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329C08EE" w:rsidR="00D761FB" w:rsidRPr="00D14AB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AR"/>
        </w:rPr>
      </w:pPr>
      <w:r w:rsidRPr="00D14ABA">
        <w:rPr>
          <w:rFonts w:asciiTheme="minorHAnsi" w:hAnsiTheme="minorHAnsi"/>
          <w:lang w:val="es-AR"/>
        </w:rPr>
        <w:t xml:space="preserve">                </w:t>
      </w:r>
    </w:p>
    <w:p w14:paraId="7BC714B6" w14:textId="7E04BD98" w:rsidR="00D761FB" w:rsidRPr="00D14ABA" w:rsidRDefault="00546C8D" w:rsidP="008E2B8D">
      <w:pPr>
        <w:pStyle w:val="Heading1a"/>
        <w:keepNext w:val="0"/>
        <w:keepLines w:val="0"/>
        <w:tabs>
          <w:tab w:val="clear" w:pos="-720"/>
        </w:tabs>
        <w:suppressAutoHyphens w:val="0"/>
        <w:ind w:left="270"/>
        <w:rPr>
          <w:rFonts w:asciiTheme="minorHAnsi" w:eastAsiaTheme="minorEastAsia" w:hAnsiTheme="minorHAnsi" w:cstheme="minorBidi"/>
          <w:sz w:val="28"/>
          <w:szCs w:val="28"/>
          <w:u w:val="single"/>
          <w:lang w:val="es-AR"/>
        </w:rPr>
      </w:pPr>
      <w:r w:rsidRPr="00D14ABA">
        <w:rPr>
          <w:rFonts w:asciiTheme="minorHAnsi" w:eastAsiaTheme="minorEastAsia" w:hAnsiTheme="minorHAnsi" w:cstheme="minorBidi"/>
          <w:smallCaps w:val="0"/>
          <w:sz w:val="28"/>
          <w:szCs w:val="28"/>
          <w:u w:val="single"/>
          <w:lang w:val="es-AR"/>
        </w:rPr>
        <w:t xml:space="preserve">SOLICITUD DE </w:t>
      </w:r>
      <w:r w:rsidR="00E82ED1" w:rsidRPr="00D14ABA">
        <w:rPr>
          <w:rFonts w:asciiTheme="minorHAnsi" w:eastAsiaTheme="minorEastAsia" w:hAnsiTheme="minorHAnsi" w:cstheme="minorBidi"/>
          <w:smallCaps w:val="0"/>
          <w:sz w:val="28"/>
          <w:szCs w:val="28"/>
          <w:u w:val="single"/>
          <w:lang w:val="es-AR"/>
        </w:rPr>
        <w:t xml:space="preserve">EXPRESIONES </w:t>
      </w:r>
      <w:r w:rsidRPr="00D14ABA">
        <w:rPr>
          <w:rFonts w:asciiTheme="minorHAnsi" w:eastAsiaTheme="minorEastAsia" w:hAnsiTheme="minorHAnsi" w:cstheme="minorBidi"/>
          <w:smallCaps w:val="0"/>
          <w:sz w:val="28"/>
          <w:szCs w:val="28"/>
          <w:u w:val="single"/>
          <w:lang w:val="es-AR"/>
        </w:rPr>
        <w:t>DE INTERÉS</w:t>
      </w:r>
    </w:p>
    <w:p w14:paraId="32A39256" w14:textId="77777777" w:rsidR="00D761FB" w:rsidRDefault="00546C8D" w:rsidP="008E2B8D">
      <w:pPr>
        <w:pStyle w:val="Heading1a"/>
        <w:keepNext w:val="0"/>
        <w:keepLines w:val="0"/>
        <w:tabs>
          <w:tab w:val="clear" w:pos="-720"/>
        </w:tabs>
        <w:suppressAutoHyphens w:val="0"/>
        <w:ind w:left="27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rsidP="008E2B8D">
      <w:pPr>
        <w:ind w:left="270"/>
        <w:jc w:val="both"/>
        <w:rPr>
          <w:rFonts w:asciiTheme="minorHAnsi" w:hAnsiTheme="minorHAnsi" w:cs="Times New Roman"/>
          <w:color w:val="auto"/>
        </w:rPr>
      </w:pPr>
    </w:p>
    <w:p w14:paraId="3BCBA36D" w14:textId="1DED1CB5" w:rsidR="00423B30" w:rsidRPr="00E40F18" w:rsidRDefault="08202347" w:rsidP="008E2B8D">
      <w:pPr>
        <w:suppressAutoHyphens/>
        <w:ind w:left="270"/>
        <w:rPr>
          <w:rFonts w:asciiTheme="minorHAnsi" w:hAnsiTheme="minorHAnsi" w:cstheme="minorBidi"/>
          <w:color w:val="auto"/>
        </w:rPr>
      </w:pPr>
      <w:r w:rsidRPr="00E40F18">
        <w:rPr>
          <w:rFonts w:asciiTheme="minorHAnsi" w:hAnsiTheme="minorHAnsi" w:cstheme="minorBidi"/>
          <w:color w:val="auto"/>
        </w:rPr>
        <w:t>Selección #:</w:t>
      </w:r>
      <w:r w:rsidR="00CD5424" w:rsidRPr="00E40F18">
        <w:rPr>
          <w:rFonts w:asciiTheme="minorHAnsi" w:hAnsiTheme="minorHAnsi" w:cstheme="minorBidi"/>
          <w:color w:val="auto"/>
        </w:rPr>
        <w:t xml:space="preserve"> </w:t>
      </w:r>
      <w:r w:rsidR="00423B30" w:rsidRPr="00E40F18">
        <w:rPr>
          <w:rFonts w:asciiTheme="minorHAnsi" w:hAnsiTheme="minorHAnsi" w:cstheme="minorBidi"/>
          <w:color w:val="auto"/>
        </w:rPr>
        <w:t>AR-T12</w:t>
      </w:r>
      <w:r w:rsidR="002E5284">
        <w:rPr>
          <w:rFonts w:asciiTheme="minorHAnsi" w:hAnsiTheme="minorHAnsi" w:cstheme="minorBidi"/>
          <w:color w:val="auto"/>
        </w:rPr>
        <w:t>73</w:t>
      </w:r>
      <w:r w:rsidR="00423B30" w:rsidRPr="00E40F18">
        <w:rPr>
          <w:rFonts w:asciiTheme="minorHAnsi" w:hAnsiTheme="minorHAnsi" w:cstheme="minorBidi"/>
          <w:color w:val="auto"/>
        </w:rPr>
        <w:t>-P00</w:t>
      </w:r>
      <w:r w:rsidR="0032652C">
        <w:rPr>
          <w:rFonts w:asciiTheme="minorHAnsi" w:hAnsiTheme="minorHAnsi" w:cstheme="minorBidi"/>
          <w:color w:val="auto"/>
        </w:rPr>
        <w:t>2</w:t>
      </w:r>
    </w:p>
    <w:p w14:paraId="2FE659F0" w14:textId="3EBCDE77" w:rsidR="00D761FB" w:rsidRPr="00E40F18" w:rsidRDefault="08202347" w:rsidP="008E2B8D">
      <w:pPr>
        <w:suppressAutoHyphens/>
        <w:ind w:left="270"/>
        <w:rPr>
          <w:color w:val="auto"/>
        </w:rPr>
      </w:pPr>
      <w:r w:rsidRPr="00E40F18">
        <w:rPr>
          <w:rFonts w:asciiTheme="minorHAnsi" w:hAnsiTheme="minorHAnsi" w:cstheme="minorBidi"/>
          <w:color w:val="auto"/>
        </w:rPr>
        <w:t>Método de selección:</w:t>
      </w:r>
      <w:r w:rsidR="00423B30" w:rsidRPr="00E40F18">
        <w:rPr>
          <w:rFonts w:asciiTheme="minorHAnsi" w:hAnsiTheme="minorHAnsi" w:cstheme="minorBidi"/>
          <w:color w:val="auto"/>
        </w:rPr>
        <w:t xml:space="preserve"> Competitivo Simplificado</w:t>
      </w:r>
    </w:p>
    <w:p w14:paraId="4356DB27" w14:textId="4A8D14EB" w:rsidR="00D761FB" w:rsidRPr="00E40F18" w:rsidRDefault="08202347" w:rsidP="008E2B8D">
      <w:pPr>
        <w:suppressAutoHyphens/>
        <w:ind w:left="270"/>
        <w:rPr>
          <w:rFonts w:asciiTheme="minorHAnsi" w:hAnsiTheme="minorHAnsi" w:cstheme="minorBidi"/>
          <w:i/>
          <w:iCs/>
          <w:color w:val="auto"/>
        </w:rPr>
      </w:pPr>
      <w:r w:rsidRPr="00E40F18">
        <w:rPr>
          <w:rFonts w:asciiTheme="minorHAnsi" w:hAnsiTheme="minorHAnsi" w:cstheme="minorBidi"/>
          <w:color w:val="auto"/>
        </w:rPr>
        <w:t>País:</w:t>
      </w:r>
      <w:r w:rsidR="00423B30" w:rsidRPr="00E40F18">
        <w:rPr>
          <w:rFonts w:asciiTheme="minorHAnsi" w:hAnsiTheme="minorHAnsi" w:cstheme="minorBidi"/>
          <w:color w:val="auto"/>
        </w:rPr>
        <w:t xml:space="preserve"> Argentina </w:t>
      </w:r>
      <w:r w:rsidRPr="00E40F18">
        <w:rPr>
          <w:rFonts w:asciiTheme="minorHAnsi" w:hAnsiTheme="minorHAnsi" w:cstheme="minorBidi"/>
          <w:color w:val="auto"/>
        </w:rPr>
        <w:t xml:space="preserve"> </w:t>
      </w:r>
      <w:r w:rsidRPr="00E40F18">
        <w:rPr>
          <w:rFonts w:asciiTheme="minorHAnsi" w:hAnsiTheme="minorHAnsi" w:cstheme="minorBidi"/>
          <w:i/>
          <w:iCs/>
          <w:color w:val="auto"/>
        </w:rPr>
        <w:t xml:space="preserve"> </w:t>
      </w:r>
    </w:p>
    <w:p w14:paraId="4C834057" w14:textId="61BA646F" w:rsidR="00D761FB" w:rsidRPr="00E40F18" w:rsidRDefault="08202347" w:rsidP="008E2B8D">
      <w:pPr>
        <w:suppressAutoHyphens/>
        <w:ind w:left="270"/>
        <w:rPr>
          <w:rFonts w:asciiTheme="minorHAnsi" w:hAnsiTheme="minorHAnsi" w:cstheme="minorBidi"/>
          <w:i/>
          <w:iCs/>
          <w:color w:val="auto"/>
        </w:rPr>
      </w:pPr>
      <w:r w:rsidRPr="00E40F18">
        <w:rPr>
          <w:rFonts w:asciiTheme="minorHAnsi" w:hAnsiTheme="minorHAnsi" w:cstheme="minorBidi"/>
          <w:i/>
          <w:iCs/>
          <w:color w:val="auto"/>
        </w:rPr>
        <w:t>Sector:</w:t>
      </w:r>
      <w:r w:rsidR="00423B30" w:rsidRPr="00E40F18">
        <w:rPr>
          <w:rFonts w:asciiTheme="minorHAnsi" w:hAnsiTheme="minorHAnsi" w:cstheme="minorBidi"/>
          <w:i/>
          <w:iCs/>
          <w:color w:val="auto"/>
        </w:rPr>
        <w:t xml:space="preserve"> IFD/</w:t>
      </w:r>
      <w:r w:rsidR="002E5284">
        <w:rPr>
          <w:rFonts w:asciiTheme="minorHAnsi" w:hAnsiTheme="minorHAnsi" w:cstheme="minorBidi"/>
          <w:i/>
          <w:iCs/>
          <w:color w:val="auto"/>
        </w:rPr>
        <w:t>CMF</w:t>
      </w:r>
    </w:p>
    <w:p w14:paraId="6868002E" w14:textId="79D4BD7E" w:rsidR="00CD5424" w:rsidRPr="00E40F18" w:rsidRDefault="00CD5424" w:rsidP="008E2B8D">
      <w:pPr>
        <w:pStyle w:val="BodyText"/>
        <w:ind w:left="270"/>
        <w:rPr>
          <w:rFonts w:asciiTheme="minorHAnsi" w:eastAsiaTheme="minorEastAsia" w:hAnsiTheme="minorHAnsi" w:cstheme="minorBidi"/>
          <w:i/>
          <w:iCs/>
          <w:spacing w:val="0"/>
          <w:szCs w:val="24"/>
          <w:lang w:eastAsia="es-AR"/>
        </w:rPr>
      </w:pPr>
      <w:r w:rsidRPr="00E40F18">
        <w:rPr>
          <w:rFonts w:asciiTheme="minorHAnsi" w:eastAsiaTheme="minorEastAsia" w:hAnsiTheme="minorHAnsi" w:cstheme="minorBidi"/>
          <w:i/>
          <w:iCs/>
          <w:spacing w:val="0"/>
          <w:szCs w:val="24"/>
          <w:lang w:eastAsia="es-AR"/>
        </w:rPr>
        <w:t>Proyecto #: AR-T12</w:t>
      </w:r>
      <w:r w:rsidR="002E5284">
        <w:rPr>
          <w:rFonts w:asciiTheme="minorHAnsi" w:eastAsiaTheme="minorEastAsia" w:hAnsiTheme="minorHAnsi" w:cstheme="minorBidi"/>
          <w:i/>
          <w:iCs/>
          <w:spacing w:val="0"/>
          <w:szCs w:val="24"/>
          <w:lang w:eastAsia="es-AR"/>
        </w:rPr>
        <w:t>73</w:t>
      </w:r>
    </w:p>
    <w:p w14:paraId="58D6B015" w14:textId="77777777" w:rsidR="00740553" w:rsidRPr="00E40F18" w:rsidRDefault="00CD5424" w:rsidP="00740553">
      <w:pPr>
        <w:pStyle w:val="BodyText"/>
        <w:ind w:left="270"/>
        <w:rPr>
          <w:rFonts w:asciiTheme="minorHAnsi" w:eastAsiaTheme="minorEastAsia" w:hAnsiTheme="minorHAnsi" w:cstheme="minorBidi"/>
          <w:i/>
          <w:iCs/>
          <w:spacing w:val="0"/>
          <w:szCs w:val="24"/>
          <w:lang w:eastAsia="es-AR"/>
        </w:rPr>
      </w:pPr>
      <w:r w:rsidRPr="00E40F18">
        <w:rPr>
          <w:rFonts w:asciiTheme="minorHAnsi" w:eastAsiaTheme="minorEastAsia" w:hAnsiTheme="minorHAnsi" w:cstheme="minorBidi"/>
          <w:i/>
          <w:iCs/>
          <w:spacing w:val="0"/>
          <w:szCs w:val="24"/>
          <w:lang w:eastAsia="es-AR"/>
        </w:rPr>
        <w:t xml:space="preserve">Nombre del TC: </w:t>
      </w:r>
      <w:r w:rsidR="00740553" w:rsidRPr="00740553">
        <w:rPr>
          <w:rFonts w:asciiTheme="minorHAnsi" w:eastAsiaTheme="minorEastAsia" w:hAnsiTheme="minorHAnsi" w:cstheme="minorBidi"/>
          <w:i/>
          <w:iCs/>
          <w:spacing w:val="0"/>
          <w:szCs w:val="24"/>
          <w:lang w:eastAsia="es-AR"/>
        </w:rPr>
        <w:t>Apoyo al fortalecimiento de la Comisión Nacional de Valores de Argentina</w:t>
      </w:r>
    </w:p>
    <w:p w14:paraId="49232FD9" w14:textId="6B5577BD" w:rsidR="00740553" w:rsidRPr="00E40F18" w:rsidRDefault="00CD5424" w:rsidP="00740553">
      <w:pPr>
        <w:pStyle w:val="BodyText"/>
        <w:ind w:left="270"/>
        <w:rPr>
          <w:rFonts w:asciiTheme="minorHAnsi" w:eastAsiaTheme="minorEastAsia" w:hAnsiTheme="minorHAnsi" w:cstheme="minorBidi"/>
          <w:i/>
          <w:iCs/>
          <w:spacing w:val="0"/>
          <w:szCs w:val="24"/>
          <w:lang w:eastAsia="es-AR"/>
        </w:rPr>
      </w:pPr>
      <w:r w:rsidRPr="00E40F18">
        <w:rPr>
          <w:rFonts w:asciiTheme="minorHAnsi" w:eastAsiaTheme="minorEastAsia" w:hAnsiTheme="minorHAnsi" w:cstheme="minorBidi"/>
          <w:i/>
          <w:iCs/>
          <w:spacing w:val="0"/>
          <w:szCs w:val="24"/>
          <w:lang w:eastAsia="es-AR"/>
        </w:rPr>
        <w:t xml:space="preserve">Descripción de los Servicios: </w:t>
      </w:r>
      <w:r w:rsidR="006B1C8F" w:rsidRPr="00A836B7">
        <w:rPr>
          <w:rFonts w:asciiTheme="minorHAnsi" w:eastAsiaTheme="minorEastAsia" w:hAnsiTheme="minorHAnsi" w:cstheme="minorBidi"/>
          <w:i/>
          <w:iCs/>
          <w:spacing w:val="0"/>
          <w:szCs w:val="24"/>
          <w:lang w:eastAsia="es-AR"/>
        </w:rPr>
        <w:t>consultoría en implementación de instrumentos de innovación regulatoria</w:t>
      </w:r>
    </w:p>
    <w:p w14:paraId="3B1BE292" w14:textId="53D692B4" w:rsidR="00CD5424" w:rsidRPr="00E40F18" w:rsidRDefault="08202347" w:rsidP="008E2B8D">
      <w:pPr>
        <w:pStyle w:val="BodyText"/>
        <w:ind w:left="270"/>
        <w:rPr>
          <w:rFonts w:asciiTheme="minorHAnsi" w:eastAsia="Calibri" w:hAnsiTheme="minorHAnsi" w:cstheme="minorBidi"/>
          <w:b/>
          <w:i/>
          <w:iCs/>
        </w:rPr>
      </w:pPr>
      <w:r w:rsidRPr="00E40F18">
        <w:rPr>
          <w:rFonts w:asciiTheme="minorHAnsi" w:eastAsiaTheme="minorEastAsia" w:hAnsiTheme="minorHAnsi" w:cstheme="minorBidi"/>
          <w:i/>
          <w:iCs/>
        </w:rPr>
        <w:t xml:space="preserve">Enlace al documento TC: </w:t>
      </w:r>
      <w:hyperlink r:id="rId13" w:history="1">
        <w:r w:rsidR="00CD5424" w:rsidRPr="00E40F18">
          <w:rPr>
            <w:rStyle w:val="Hyperlink"/>
            <w:rFonts w:asciiTheme="minorHAnsi" w:eastAsia="Calibri" w:hAnsiTheme="minorHAnsi" w:cstheme="minorBidi"/>
            <w:b/>
            <w:i/>
            <w:iCs/>
            <w:color w:val="auto"/>
          </w:rPr>
          <w:t>Cooperación Técnica</w:t>
        </w:r>
      </w:hyperlink>
    </w:p>
    <w:p w14:paraId="18F92703" w14:textId="37CFD1F5" w:rsidR="00D761FB" w:rsidRDefault="00D761FB" w:rsidP="008E2B8D">
      <w:pPr>
        <w:pStyle w:val="BodyText"/>
        <w:ind w:left="270"/>
        <w:rPr>
          <w:rFonts w:asciiTheme="minorHAnsi" w:eastAsiaTheme="minorEastAsia" w:hAnsiTheme="minorHAnsi" w:cstheme="minorBidi"/>
          <w:i/>
          <w:iCs/>
          <w:color w:val="0070C0"/>
        </w:rPr>
      </w:pPr>
    </w:p>
    <w:p w14:paraId="2C0FC91B" w14:textId="2D2B60A6" w:rsidR="00D761FB" w:rsidRDefault="08202347" w:rsidP="008E2B8D">
      <w:pPr>
        <w:ind w:left="270"/>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D72092">
        <w:rPr>
          <w:rFonts w:asciiTheme="minorHAnsi" w:hAnsiTheme="minorHAnsi" w:cstheme="minorBidi"/>
          <w:color w:val="auto"/>
        </w:rPr>
        <w:t>l 2</w:t>
      </w:r>
      <w:r w:rsidR="00D058A7">
        <w:rPr>
          <w:rFonts w:asciiTheme="minorHAnsi" w:hAnsiTheme="minorHAnsi" w:cstheme="minorBidi"/>
          <w:color w:val="auto"/>
        </w:rPr>
        <w:t>4</w:t>
      </w:r>
      <w:r w:rsidR="00D72092">
        <w:rPr>
          <w:rFonts w:asciiTheme="minorHAnsi" w:hAnsiTheme="minorHAnsi" w:cstheme="minorBidi"/>
          <w:color w:val="auto"/>
        </w:rPr>
        <w:t xml:space="preserve"> de </w:t>
      </w:r>
      <w:r w:rsidR="00D058A7">
        <w:rPr>
          <w:rFonts w:asciiTheme="minorHAnsi" w:hAnsiTheme="minorHAnsi" w:cstheme="minorBidi"/>
          <w:color w:val="auto"/>
        </w:rPr>
        <w:t>abril</w:t>
      </w:r>
      <w:r w:rsidR="00F167B1">
        <w:rPr>
          <w:rFonts w:asciiTheme="minorHAnsi" w:hAnsiTheme="minorHAnsi" w:cstheme="minorBidi"/>
          <w:color w:val="auto"/>
        </w:rPr>
        <w:t xml:space="preserve"> de 2023</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3B4B0DCE" w14:textId="495D739F" w:rsidR="00E90C6D" w:rsidRDefault="00E90C6D" w:rsidP="008E2B8D">
      <w:pPr>
        <w:ind w:left="270"/>
        <w:rPr>
          <w:rFonts w:asciiTheme="minorHAnsi" w:hAnsiTheme="minorHAnsi" w:cstheme="minorBidi"/>
          <w:color w:val="auto"/>
        </w:rPr>
      </w:pPr>
    </w:p>
    <w:p w14:paraId="2CDBF98B" w14:textId="79D2E17A" w:rsidR="00D761FB" w:rsidRDefault="00195118" w:rsidP="008E2B8D">
      <w:pPr>
        <w:ind w:left="270"/>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rsidP="008E2B8D">
      <w:pPr>
        <w:ind w:left="270"/>
        <w:jc w:val="both"/>
        <w:rPr>
          <w:rFonts w:asciiTheme="minorHAnsi" w:hAnsiTheme="minorHAnsi" w:cstheme="minorHAnsi"/>
          <w:lang w:val="es-419"/>
        </w:rPr>
      </w:pPr>
    </w:p>
    <w:p w14:paraId="1E3C3DAD" w14:textId="76C58D04" w:rsidR="00CD5424" w:rsidRPr="00CD5424" w:rsidRDefault="08202347" w:rsidP="008E2B8D">
      <w:pPr>
        <w:suppressAutoHyphens/>
        <w:ind w:left="270"/>
        <w:jc w:val="both"/>
        <w:rPr>
          <w:rFonts w:asciiTheme="minorHAnsi" w:hAnsiTheme="minorHAnsi" w:cstheme="minorBidi"/>
        </w:rPr>
      </w:pPr>
      <w:r w:rsidRPr="08202347">
        <w:rPr>
          <w:rFonts w:asciiTheme="minorHAnsi" w:hAnsiTheme="minorHAnsi" w:cstheme="minorBidi"/>
        </w:rPr>
        <w:t xml:space="preserve">Los servicios de consultoría ("los Servicios") </w:t>
      </w:r>
      <w:r w:rsidR="008E2B8D">
        <w:rPr>
          <w:rFonts w:asciiTheme="minorHAnsi" w:hAnsiTheme="minorHAnsi" w:cstheme="minorBidi"/>
        </w:rPr>
        <w:t>i</w:t>
      </w:r>
      <w:r w:rsidR="008E2B8D" w:rsidRPr="008E2B8D">
        <w:rPr>
          <w:rFonts w:asciiTheme="minorHAnsi" w:hAnsiTheme="minorHAnsi" w:cstheme="minorBidi"/>
        </w:rPr>
        <w:t xml:space="preserve">ncluyen </w:t>
      </w:r>
      <w:r w:rsidR="008E2B8D" w:rsidRPr="008E2B8D">
        <w:rPr>
          <w:rFonts w:asciiTheme="minorHAnsi" w:hAnsiTheme="minorHAnsi" w:cstheme="minorBidi"/>
          <w:i/>
          <w:iCs/>
        </w:rPr>
        <w:t>las actividades destacadas en los términos de referencias adjuntos.</w:t>
      </w:r>
    </w:p>
    <w:p w14:paraId="0816C9ED" w14:textId="77777777" w:rsidR="00CD5424" w:rsidRPr="00CD5424" w:rsidRDefault="00CD5424" w:rsidP="008E2B8D">
      <w:pPr>
        <w:suppressAutoHyphens/>
        <w:ind w:left="270"/>
        <w:jc w:val="both"/>
        <w:rPr>
          <w:rFonts w:asciiTheme="minorHAnsi" w:hAnsiTheme="minorHAnsi" w:cstheme="minorBidi"/>
        </w:rPr>
      </w:pPr>
    </w:p>
    <w:p w14:paraId="35803BFB" w14:textId="5A943D72" w:rsidR="00D761FB" w:rsidRDefault="08202347" w:rsidP="008E2B8D">
      <w:pPr>
        <w:ind w:left="270"/>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rsidP="008E2B8D">
      <w:pPr>
        <w:ind w:left="270"/>
        <w:jc w:val="both"/>
        <w:rPr>
          <w:rFonts w:asciiTheme="minorHAnsi" w:hAnsiTheme="minorHAnsi" w:cs="Times New Roman"/>
          <w:color w:val="auto"/>
        </w:rPr>
      </w:pPr>
    </w:p>
    <w:p w14:paraId="61707059" w14:textId="79793CE1" w:rsidR="00D761FB" w:rsidRDefault="08202347" w:rsidP="008E2B8D">
      <w:pPr>
        <w:ind w:left="270"/>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2F95FFB" w14:textId="749B5C2B" w:rsidR="00D761FB" w:rsidRDefault="00D761FB">
      <w:pPr>
        <w:jc w:val="both"/>
        <w:rPr>
          <w:rFonts w:asciiTheme="minorHAnsi" w:hAnsiTheme="minorHAnsi" w:cs="Times New Roman"/>
          <w:smallCaps/>
          <w:color w:val="4F81BD" w:themeColor="accent1"/>
        </w:rPr>
      </w:pPr>
    </w:p>
    <w:p w14:paraId="072BDAFB" w14:textId="77777777" w:rsidR="00214F77" w:rsidRDefault="00214F77">
      <w:pPr>
        <w:jc w:val="both"/>
        <w:rPr>
          <w:rFonts w:asciiTheme="minorHAnsi" w:hAnsiTheme="minorHAnsi" w:cs="Times New Roman"/>
          <w:smallCaps/>
          <w:color w:val="4F81BD" w:themeColor="accent1"/>
        </w:rPr>
      </w:pPr>
    </w:p>
    <w:p w14:paraId="3D2A3502" w14:textId="77777777" w:rsidR="008E2B8D" w:rsidRDefault="008E2B8D" w:rsidP="08202347">
      <w:pPr>
        <w:jc w:val="both"/>
        <w:rPr>
          <w:rFonts w:asciiTheme="minorHAnsi" w:hAnsiTheme="minorHAnsi" w:cstheme="minorBidi"/>
          <w:color w:val="auto"/>
        </w:rPr>
      </w:pPr>
    </w:p>
    <w:p w14:paraId="0840A5DC" w14:textId="7DD2EDD4" w:rsidR="008E2B8D" w:rsidRPr="008E2B8D" w:rsidRDefault="08202347" w:rsidP="008E2B8D">
      <w:pPr>
        <w:jc w:val="both"/>
        <w:rPr>
          <w:rFonts w:asciiTheme="minorHAnsi" w:hAnsiTheme="minorHAnsi" w:cs="Times New Roman"/>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w:t>
      </w:r>
      <w:r w:rsidRPr="08202347">
        <w:rPr>
          <w:rFonts w:asciiTheme="minorHAnsi" w:hAnsiTheme="minorHAnsi" w:cstheme="minorBidi"/>
          <w:color w:val="auto"/>
        </w:rPr>
        <w:lastRenderedPageBreak/>
        <w:t xml:space="preserve">de oficina, 09:00 a.m. - 5:00 PM (Hora de Washington DC), </w:t>
      </w:r>
      <w:r w:rsidR="008E2B8D" w:rsidRPr="008E2B8D">
        <w:rPr>
          <w:rFonts w:asciiTheme="minorHAnsi" w:hAnsiTheme="minorHAnsi" w:cs="Times New Roman"/>
          <w:color w:val="auto"/>
        </w:rPr>
        <w:t>mediante el envío de un correo electrónico a</w:t>
      </w:r>
    </w:p>
    <w:p w14:paraId="3327B101" w14:textId="444C0158" w:rsidR="008E2B8D" w:rsidRPr="008E2B8D" w:rsidRDefault="00AB4BCA" w:rsidP="008E2B8D">
      <w:pPr>
        <w:jc w:val="both"/>
        <w:rPr>
          <w:rFonts w:asciiTheme="minorHAnsi" w:hAnsiTheme="minorHAnsi" w:cs="Times New Roman"/>
          <w:color w:val="auto"/>
        </w:rPr>
      </w:pPr>
      <w:r>
        <w:rPr>
          <w:rFonts w:asciiTheme="minorHAnsi" w:hAnsiTheme="minorHAnsi" w:cs="Times New Roman"/>
          <w:color w:val="auto"/>
        </w:rPr>
        <w:t>Manuel Fernandini Puga</w:t>
      </w:r>
      <w:r w:rsidR="008E2B8D" w:rsidRPr="008E2B8D">
        <w:rPr>
          <w:rFonts w:asciiTheme="minorHAnsi" w:hAnsiTheme="minorHAnsi" w:cs="Times New Roman"/>
          <w:color w:val="auto"/>
        </w:rPr>
        <w:t xml:space="preserve"> (</w:t>
      </w:r>
      <w:r w:rsidR="008605E4" w:rsidRPr="008605E4">
        <w:rPr>
          <w:rFonts w:asciiTheme="minorHAnsi" w:hAnsiTheme="minorHAnsi" w:cs="Times New Roman"/>
          <w:color w:val="auto"/>
        </w:rPr>
        <w:t>manuelfe@iadb.org</w:t>
      </w:r>
      <w:r w:rsidR="008E2B8D" w:rsidRPr="008E2B8D">
        <w:rPr>
          <w:rFonts w:asciiTheme="minorHAnsi" w:hAnsiTheme="minorHAnsi" w:cs="Times New Roman"/>
          <w:color w:val="auto"/>
        </w:rPr>
        <w:t xml:space="preserve">) con copia a </w:t>
      </w:r>
      <w:r w:rsidR="00D14ABA">
        <w:rPr>
          <w:rFonts w:asciiTheme="minorHAnsi" w:hAnsiTheme="minorHAnsi" w:cs="Times New Roman"/>
          <w:color w:val="auto"/>
        </w:rPr>
        <w:t>Felicitas Cappello</w:t>
      </w:r>
      <w:r w:rsidR="008E2B8D" w:rsidRPr="008E2B8D">
        <w:rPr>
          <w:rFonts w:asciiTheme="minorHAnsi" w:hAnsiTheme="minorHAnsi" w:cs="Times New Roman"/>
          <w:color w:val="auto"/>
        </w:rPr>
        <w:t xml:space="preserve"> (m</w:t>
      </w:r>
      <w:r w:rsidR="00D14ABA">
        <w:rPr>
          <w:rFonts w:asciiTheme="minorHAnsi" w:hAnsiTheme="minorHAnsi" w:cs="Times New Roman"/>
          <w:color w:val="auto"/>
        </w:rPr>
        <w:t>cappello</w:t>
      </w:r>
      <w:r w:rsidR="008E2B8D" w:rsidRPr="008E2B8D">
        <w:rPr>
          <w:rFonts w:asciiTheme="minorHAnsi" w:hAnsiTheme="minorHAnsi" w:cs="Times New Roman"/>
          <w:color w:val="auto"/>
        </w:rPr>
        <w:t xml:space="preserve">@iadb.org). </w:t>
      </w:r>
    </w:p>
    <w:p w14:paraId="76B01623" w14:textId="77777777" w:rsidR="008E2B8D" w:rsidRDefault="008E2B8D" w:rsidP="008E2B8D">
      <w:pPr>
        <w:jc w:val="both"/>
        <w:rPr>
          <w:rFonts w:asciiTheme="minorHAnsi" w:hAnsiTheme="minorHAnsi" w:cs="Times New Roman"/>
          <w:color w:val="auto"/>
        </w:rPr>
      </w:pPr>
    </w:p>
    <w:p w14:paraId="14BE432A" w14:textId="5A3C0373"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Atención: </w:t>
      </w:r>
      <w:r w:rsidR="008605E4">
        <w:rPr>
          <w:rFonts w:asciiTheme="minorHAnsi" w:hAnsiTheme="minorHAnsi" w:cs="Times New Roman"/>
          <w:color w:val="auto"/>
        </w:rPr>
        <w:t>Manuel Fernandini Puga</w:t>
      </w:r>
    </w:p>
    <w:p w14:paraId="622366E4" w14:textId="77777777"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Banco Interamericano de Desarrollo</w:t>
      </w:r>
    </w:p>
    <w:p w14:paraId="032F215B" w14:textId="323EC915"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División: IFD/</w:t>
      </w:r>
      <w:r w:rsidR="008605E4">
        <w:rPr>
          <w:rFonts w:asciiTheme="minorHAnsi" w:hAnsiTheme="minorHAnsi" w:cs="Times New Roman"/>
          <w:color w:val="auto"/>
        </w:rPr>
        <w:t>CMF</w:t>
      </w:r>
    </w:p>
    <w:p w14:paraId="421F6272" w14:textId="41FEE1D9"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Tel: </w:t>
      </w:r>
      <w:r w:rsidR="00166273" w:rsidRPr="00166273">
        <w:rPr>
          <w:rFonts w:asciiTheme="minorHAnsi" w:hAnsiTheme="minorHAnsi" w:cs="Times New Roman"/>
          <w:color w:val="auto"/>
        </w:rPr>
        <w:t>(5411) 4320-1812</w:t>
      </w:r>
    </w:p>
    <w:p w14:paraId="491086B5" w14:textId="72BB0DA9"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Email: </w:t>
      </w:r>
      <w:r w:rsidR="00166273" w:rsidRPr="008605E4">
        <w:rPr>
          <w:rFonts w:asciiTheme="minorHAnsi" w:hAnsiTheme="minorHAnsi" w:cs="Times New Roman"/>
          <w:color w:val="auto"/>
        </w:rPr>
        <w:t>manuelfe@iadb.org</w:t>
      </w:r>
    </w:p>
    <w:p w14:paraId="200D8E06" w14:textId="61A93B99" w:rsidR="00D761FB"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Sitio Web: </w:t>
      </w:r>
      <w:hyperlink r:id="rId16" w:history="1">
        <w:r w:rsidRPr="00D70EBA">
          <w:rPr>
            <w:rStyle w:val="Hyperlink"/>
            <w:rFonts w:asciiTheme="minorHAnsi" w:hAnsiTheme="minorHAnsi" w:cs="Times New Roman"/>
          </w:rPr>
          <w:t>www.iadb.org</w:t>
        </w:r>
      </w:hyperlink>
    </w:p>
    <w:p w14:paraId="299C0769" w14:textId="41D425E9" w:rsidR="008E2B8D" w:rsidRDefault="008E2B8D">
      <w:pPr>
        <w:widowControl/>
        <w:autoSpaceDE/>
        <w:autoSpaceDN/>
        <w:adjustRightInd/>
        <w:spacing w:after="200" w:line="276" w:lineRule="auto"/>
        <w:rPr>
          <w:rFonts w:asciiTheme="minorHAnsi" w:hAnsiTheme="minorHAnsi" w:cs="Times New Roman"/>
          <w:color w:val="auto"/>
        </w:rPr>
      </w:pPr>
      <w:r>
        <w:rPr>
          <w:rFonts w:asciiTheme="minorHAnsi" w:hAnsiTheme="minorHAnsi" w:cs="Times New Roman"/>
          <w:color w:val="auto"/>
        </w:rPr>
        <w:br w:type="page"/>
      </w:r>
    </w:p>
    <w:p w14:paraId="02BF4599" w14:textId="2ACBB96D" w:rsidR="008E2B8D" w:rsidRDefault="008E2B8D" w:rsidP="008E2B8D">
      <w:pPr>
        <w:jc w:val="both"/>
        <w:rPr>
          <w:rFonts w:asciiTheme="minorHAnsi" w:hAnsiTheme="minorHAnsi" w:cs="Times New Roman"/>
          <w:color w:val="auto"/>
        </w:rPr>
      </w:pPr>
    </w:p>
    <w:p w14:paraId="110C97BA" w14:textId="465A671A" w:rsidR="008E2B8D" w:rsidRPr="008E2B8D" w:rsidRDefault="008E2B8D" w:rsidP="008E2B8D">
      <w:pPr>
        <w:pBdr>
          <w:top w:val="nil"/>
          <w:left w:val="nil"/>
          <w:bottom w:val="nil"/>
          <w:right w:val="nil"/>
          <w:between w:val="nil"/>
        </w:pBdr>
        <w:spacing w:line="276" w:lineRule="auto"/>
        <w:rPr>
          <w:rFonts w:asciiTheme="minorHAnsi" w:hAnsiTheme="minorHAnsi" w:cstheme="minorHAnsi"/>
        </w:rPr>
      </w:pPr>
      <w:r w:rsidRPr="008E2B8D">
        <w:rPr>
          <w:rStyle w:val="normaltextrun"/>
          <w:rFonts w:asciiTheme="minorHAnsi" w:hAnsiTheme="minorHAnsi" w:cstheme="minorHAnsi"/>
          <w:b/>
          <w:bCs/>
          <w:bdr w:val="none" w:sz="0" w:space="0" w:color="auto" w:frame="1"/>
          <w:lang w:val="es-CO"/>
        </w:rPr>
        <w:t>Proceso de Selección: AR-T1</w:t>
      </w:r>
      <w:r w:rsidR="00166273">
        <w:rPr>
          <w:rStyle w:val="normaltextrun"/>
          <w:rFonts w:asciiTheme="minorHAnsi" w:hAnsiTheme="minorHAnsi" w:cstheme="minorHAnsi"/>
          <w:b/>
          <w:bCs/>
          <w:bdr w:val="none" w:sz="0" w:space="0" w:color="auto" w:frame="1"/>
          <w:lang w:val="es-CO"/>
        </w:rPr>
        <w:t>273-P00</w:t>
      </w:r>
      <w:r w:rsidR="00354EF6">
        <w:rPr>
          <w:rStyle w:val="normaltextrun"/>
          <w:rFonts w:asciiTheme="minorHAnsi" w:hAnsiTheme="minorHAnsi" w:cstheme="minorHAnsi"/>
          <w:b/>
          <w:bCs/>
          <w:bdr w:val="none" w:sz="0" w:space="0" w:color="auto" w:frame="1"/>
          <w:lang w:val="es-CO"/>
        </w:rPr>
        <w:t>2</w:t>
      </w:r>
    </w:p>
    <w:p w14:paraId="3D830A58" w14:textId="305566AB" w:rsidR="00A8738A" w:rsidRPr="00A8738A" w:rsidRDefault="00354EF6" w:rsidP="00A8738A">
      <w:pPr>
        <w:keepNext/>
        <w:widowControl/>
        <w:autoSpaceDE/>
        <w:autoSpaceDN/>
        <w:adjustRightInd/>
        <w:jc w:val="center"/>
        <w:outlineLvl w:val="0"/>
        <w:rPr>
          <w:rFonts w:eastAsia="Times New Roman"/>
          <w:b/>
          <w:color w:val="auto"/>
          <w:sz w:val="22"/>
          <w:szCs w:val="20"/>
          <w:u w:val="single"/>
          <w:lang w:eastAsia="en-US"/>
        </w:rPr>
      </w:pPr>
      <w:bookmarkStart w:id="0" w:name="_gjdgxs" w:colFirst="0" w:colLast="0"/>
      <w:bookmarkEnd w:id="0"/>
      <w:r w:rsidRPr="00354EF6">
        <w:rPr>
          <w:rFonts w:eastAsia="Times New Roman"/>
          <w:b/>
          <w:color w:val="auto"/>
          <w:sz w:val="22"/>
          <w:szCs w:val="20"/>
          <w:u w:val="single"/>
          <w:lang w:eastAsia="en-US"/>
        </w:rPr>
        <w:t>CONSULTORÍA EN IMPLEMENTACIÓN DE INSTRUMENTOS DE INNOVACIÓN REGULATORIA</w:t>
      </w:r>
    </w:p>
    <w:p w14:paraId="6730B52C" w14:textId="77777777" w:rsidR="00A8738A" w:rsidRPr="00A8738A" w:rsidRDefault="00A8738A" w:rsidP="00A8738A">
      <w:pPr>
        <w:widowControl/>
        <w:autoSpaceDE/>
        <w:autoSpaceDN/>
        <w:adjustRightInd/>
        <w:jc w:val="both"/>
        <w:rPr>
          <w:rFonts w:eastAsia="Times New Roman"/>
          <w:i/>
          <w:color w:val="0070C0"/>
          <w:sz w:val="20"/>
          <w:szCs w:val="20"/>
          <w:lang w:eastAsia="en-US"/>
        </w:rPr>
      </w:pPr>
    </w:p>
    <w:p w14:paraId="52A345B4" w14:textId="77777777" w:rsidR="00A8738A" w:rsidRPr="00A8738A" w:rsidRDefault="00A8738A" w:rsidP="00A8738A">
      <w:pPr>
        <w:widowControl/>
        <w:suppressAutoHyphens/>
        <w:autoSpaceDE/>
        <w:autoSpaceDN/>
        <w:adjustRightInd/>
        <w:rPr>
          <w:rFonts w:eastAsia="Times New Roman"/>
          <w:color w:val="auto"/>
          <w:sz w:val="20"/>
          <w:szCs w:val="20"/>
          <w:lang w:eastAsia="en-US"/>
        </w:rPr>
      </w:pPr>
      <w:r w:rsidRPr="00A8738A">
        <w:rPr>
          <w:rFonts w:eastAsia="Times New Roman"/>
          <w:color w:val="auto"/>
          <w:sz w:val="20"/>
          <w:szCs w:val="20"/>
          <w:lang w:eastAsia="en-US"/>
        </w:rPr>
        <w:t>ARGENTINA</w:t>
      </w:r>
    </w:p>
    <w:p w14:paraId="5CB5F9BC" w14:textId="77777777" w:rsidR="00A8738A" w:rsidRPr="00A8738A" w:rsidRDefault="00A8738A" w:rsidP="00A8738A">
      <w:pPr>
        <w:widowControl/>
        <w:autoSpaceDE/>
        <w:autoSpaceDN/>
        <w:adjustRightInd/>
        <w:rPr>
          <w:rFonts w:eastAsia="Times New Roman"/>
          <w:b/>
          <w:bCs/>
          <w:color w:val="auto"/>
          <w:sz w:val="20"/>
          <w:szCs w:val="20"/>
          <w:lang w:eastAsia="en-US"/>
        </w:rPr>
      </w:pPr>
      <w:r w:rsidRPr="00A8738A">
        <w:rPr>
          <w:rFonts w:eastAsia="Times New Roman"/>
          <w:b/>
          <w:bCs/>
          <w:color w:val="auto"/>
          <w:sz w:val="20"/>
          <w:szCs w:val="20"/>
          <w:lang w:eastAsia="en-US"/>
        </w:rPr>
        <w:t>AR-T1273</w:t>
      </w:r>
    </w:p>
    <w:p w14:paraId="4C3A77FD" w14:textId="77777777" w:rsidR="00A8738A" w:rsidRPr="00A8738A" w:rsidRDefault="00A8738A" w:rsidP="00A8738A">
      <w:pPr>
        <w:widowControl/>
        <w:autoSpaceDE/>
        <w:autoSpaceDN/>
        <w:adjustRightInd/>
        <w:rPr>
          <w:rFonts w:eastAsia="Times New Roman"/>
          <w:b/>
          <w:bCs/>
          <w:color w:val="auto"/>
          <w:sz w:val="20"/>
          <w:szCs w:val="20"/>
          <w:lang w:eastAsia="en-US"/>
        </w:rPr>
      </w:pPr>
      <w:r w:rsidRPr="00A8738A">
        <w:rPr>
          <w:rFonts w:eastAsia="Times New Roman"/>
          <w:b/>
          <w:bCs/>
          <w:color w:val="auto"/>
          <w:sz w:val="20"/>
          <w:szCs w:val="20"/>
          <w:lang w:eastAsia="en-US"/>
        </w:rPr>
        <w:t>ATN/OC-19424-AR</w:t>
      </w:r>
    </w:p>
    <w:p w14:paraId="7A1A04D1" w14:textId="77777777" w:rsidR="00A8738A" w:rsidRPr="00A8738A" w:rsidRDefault="00000000" w:rsidP="00A8738A">
      <w:pPr>
        <w:widowControl/>
        <w:tabs>
          <w:tab w:val="left" w:pos="7080"/>
        </w:tabs>
        <w:autoSpaceDE/>
        <w:autoSpaceDN/>
        <w:adjustRightInd/>
        <w:jc w:val="both"/>
        <w:rPr>
          <w:rFonts w:eastAsia="Times New Roman" w:cs="Times New Roman"/>
          <w:color w:val="auto"/>
          <w:sz w:val="20"/>
          <w:szCs w:val="20"/>
          <w:lang w:val="es-CL" w:eastAsia="en-US"/>
        </w:rPr>
      </w:pPr>
      <w:hyperlink r:id="rId17" w:history="1">
        <w:r w:rsidR="00A8738A" w:rsidRPr="00A8738A">
          <w:rPr>
            <w:rFonts w:eastAsia="Times New Roman" w:cs="Times New Roman"/>
            <w:color w:val="0000FF" w:themeColor="hyperlink"/>
            <w:sz w:val="20"/>
            <w:szCs w:val="20"/>
            <w:u w:val="single"/>
            <w:lang w:val="es-CL" w:eastAsia="en-US"/>
          </w:rPr>
          <w:t>https://www.iadb.org/en/project/AR-T1273</w:t>
        </w:r>
      </w:hyperlink>
      <w:r w:rsidR="00A8738A" w:rsidRPr="00A8738A">
        <w:rPr>
          <w:rFonts w:eastAsia="Times New Roman" w:cs="Times New Roman"/>
          <w:color w:val="auto"/>
          <w:sz w:val="20"/>
          <w:szCs w:val="20"/>
          <w:lang w:val="es-CL" w:eastAsia="en-US"/>
        </w:rPr>
        <w:t xml:space="preserve"> </w:t>
      </w:r>
    </w:p>
    <w:p w14:paraId="5337B2F2" w14:textId="77777777" w:rsidR="00A8738A" w:rsidRPr="00A8738A" w:rsidRDefault="00A8738A" w:rsidP="00A8738A">
      <w:pPr>
        <w:widowControl/>
        <w:tabs>
          <w:tab w:val="left" w:pos="7080"/>
        </w:tabs>
        <w:autoSpaceDE/>
        <w:autoSpaceDN/>
        <w:adjustRightInd/>
        <w:jc w:val="both"/>
        <w:rPr>
          <w:rFonts w:eastAsia="Times New Roman"/>
          <w:color w:val="auto"/>
          <w:sz w:val="20"/>
          <w:szCs w:val="20"/>
          <w:lang w:eastAsia="en-US"/>
        </w:rPr>
      </w:pPr>
      <w:r w:rsidRPr="00A8738A">
        <w:rPr>
          <w:rFonts w:eastAsia="Times New Roman"/>
          <w:b/>
          <w:bCs/>
          <w:color w:val="auto"/>
          <w:sz w:val="20"/>
          <w:szCs w:val="20"/>
          <w:lang w:eastAsia="en-US"/>
        </w:rPr>
        <w:t>Nombre de la Cooperación Técnica:</w:t>
      </w:r>
      <w:r w:rsidRPr="00A8738A">
        <w:rPr>
          <w:rFonts w:eastAsia="Times New Roman"/>
          <w:color w:val="auto"/>
          <w:sz w:val="20"/>
          <w:szCs w:val="20"/>
          <w:lang w:eastAsia="en-US"/>
        </w:rPr>
        <w:t xml:space="preserve"> Apoyo al fortalecimiento de la Comisión Nacional de Valores de Argentina</w:t>
      </w:r>
    </w:p>
    <w:p w14:paraId="1AD8D2D8" w14:textId="77777777" w:rsidR="00A8738A" w:rsidRPr="00A8738A" w:rsidRDefault="00A8738A" w:rsidP="00A8738A">
      <w:pPr>
        <w:widowControl/>
        <w:tabs>
          <w:tab w:val="left" w:pos="7080"/>
        </w:tabs>
        <w:autoSpaceDE/>
        <w:autoSpaceDN/>
        <w:adjustRightInd/>
        <w:jc w:val="both"/>
        <w:rPr>
          <w:rFonts w:eastAsia="Times New Roman"/>
          <w:color w:val="auto"/>
          <w:sz w:val="20"/>
          <w:szCs w:val="20"/>
          <w:lang w:eastAsia="en-US"/>
        </w:rPr>
      </w:pPr>
    </w:p>
    <w:p w14:paraId="0B1D75A6" w14:textId="77777777" w:rsidR="00A8738A" w:rsidRPr="00A8738A" w:rsidRDefault="00A8738A" w:rsidP="00A8738A">
      <w:pPr>
        <w:widowControl/>
        <w:tabs>
          <w:tab w:val="left" w:pos="7080"/>
        </w:tabs>
        <w:autoSpaceDE/>
        <w:autoSpaceDN/>
        <w:adjustRightInd/>
        <w:jc w:val="both"/>
        <w:rPr>
          <w:rFonts w:eastAsia="Times New Roman"/>
          <w:color w:val="auto"/>
          <w:sz w:val="20"/>
          <w:szCs w:val="20"/>
          <w:lang w:eastAsia="en-US"/>
        </w:rPr>
      </w:pPr>
    </w:p>
    <w:p w14:paraId="0437183B"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Antecedentes y Justificación</w:t>
      </w:r>
    </w:p>
    <w:p w14:paraId="50A94861" w14:textId="77777777" w:rsidR="00A8738A" w:rsidRPr="00A8738A" w:rsidRDefault="00A8738A" w:rsidP="00A8738A">
      <w:pPr>
        <w:autoSpaceDE/>
        <w:autoSpaceDN/>
        <w:adjustRightInd/>
        <w:contextualSpacing/>
        <w:jc w:val="both"/>
        <w:rPr>
          <w:bCs/>
          <w:iCs/>
          <w:color w:val="auto"/>
          <w:sz w:val="20"/>
          <w:szCs w:val="20"/>
          <w:lang w:eastAsia="en-US"/>
        </w:rPr>
      </w:pPr>
    </w:p>
    <w:p w14:paraId="2DADE522" w14:textId="77777777" w:rsidR="001C6DB2" w:rsidRPr="001C6DB2" w:rsidRDefault="001C6DB2" w:rsidP="001C6DB2">
      <w:pPr>
        <w:autoSpaceDE/>
        <w:autoSpaceDN/>
        <w:adjustRightInd/>
        <w:contextualSpacing/>
        <w:jc w:val="both"/>
        <w:rPr>
          <w:rFonts w:eastAsiaTheme="minorHAnsi"/>
          <w:bCs/>
          <w:color w:val="auto"/>
          <w:sz w:val="20"/>
          <w:szCs w:val="20"/>
          <w:lang w:eastAsia="en-US"/>
        </w:rPr>
      </w:pPr>
      <w:r w:rsidRPr="001C6DB2">
        <w:rPr>
          <w:rFonts w:eastAsiaTheme="minorHAnsi"/>
          <w:bCs/>
          <w:color w:val="auto"/>
          <w:sz w:val="20"/>
          <w:szCs w:val="20"/>
          <w:lang w:eastAsia="en-US"/>
        </w:rPr>
        <w:t>Establecido en 1959, el Banco Interamericano de Desarrollo (</w:t>
      </w:r>
      <w:r w:rsidRPr="001C6DB2">
        <w:rPr>
          <w:rFonts w:eastAsiaTheme="minorHAnsi"/>
          <w:bCs/>
          <w:color w:val="auto"/>
          <w:sz w:val="20"/>
          <w:szCs w:val="20"/>
          <w:lang w:val="es-AR" w:eastAsia="en-US"/>
        </w:rPr>
        <w:t>“</w:t>
      </w:r>
      <w:r w:rsidRPr="001C6DB2">
        <w:rPr>
          <w:rFonts w:eastAsiaTheme="minorHAnsi"/>
          <w:bCs/>
          <w:color w:val="auto"/>
          <w:sz w:val="20"/>
          <w:szCs w:val="20"/>
          <w:lang w:eastAsia="en-US"/>
        </w:rPr>
        <w:t>BID” o Banco) es la principal fuente de financiamiento para el desarrollo económico, social e institucional en América Latina y el Caribe. Proporciona préstamos, donaciones, garantías, asesoramiento en políticas públicas y asistencia técnicas a los sectores público y privado de sus países prestatarios.</w:t>
      </w:r>
    </w:p>
    <w:p w14:paraId="033C1149" w14:textId="77777777" w:rsidR="001C6DB2" w:rsidRPr="001C6DB2" w:rsidRDefault="001C6DB2" w:rsidP="001C6DB2">
      <w:pPr>
        <w:autoSpaceDE/>
        <w:autoSpaceDN/>
        <w:adjustRightInd/>
        <w:contextualSpacing/>
        <w:jc w:val="both"/>
        <w:rPr>
          <w:rFonts w:eastAsiaTheme="minorHAnsi"/>
          <w:bCs/>
          <w:color w:val="auto"/>
          <w:sz w:val="20"/>
          <w:szCs w:val="20"/>
          <w:lang w:eastAsia="en-US"/>
        </w:rPr>
      </w:pPr>
    </w:p>
    <w:p w14:paraId="326FDF62"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Los retos impuestos recientemente por la pandemia global del COVID-19 han traído consigo un incremento del nivel de digitalización que ha permeado al sector financiero. En esta coyuntura mundial, las nuevas tecnologías financieras para la provisión de productos y servicios financieros (“Fintech”) generan en el mercado financiero un impacto profundo y un cambio estructural de una manera inusualmente veloz. Dicha infraestructura ha permitido la proliferación de un sinnúmero de nuevos productos y servicios, cada vez más complejos, pero al mismo tiempo más accesibles para las personas inversoras, redundando en una ampliación de la inclusión financiera, aunque no exenta de severas fallas en el acervo de información disponible del nuevo público comprendido.</w:t>
      </w:r>
    </w:p>
    <w:p w14:paraId="08D97F7C" w14:textId="4BCEFAF6" w:rsid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 xml:space="preserve">En dicho contexto la Comisión Nacional de Valores (CNV) de la República Argentina viene trabajando y promoviendo desde 2017 una serie de acciones e hitos en la temática en </w:t>
      </w:r>
      <w:proofErr w:type="spellStart"/>
      <w:r w:rsidRPr="001C6DB2">
        <w:rPr>
          <w:rFonts w:eastAsiaTheme="minorHAnsi"/>
          <w:bCs/>
          <w:iCs/>
          <w:color w:val="auto"/>
          <w:sz w:val="20"/>
          <w:szCs w:val="20"/>
          <w:lang w:eastAsia="en-US"/>
        </w:rPr>
        <w:t>pos</w:t>
      </w:r>
      <w:proofErr w:type="spellEnd"/>
      <w:r w:rsidRPr="001C6DB2">
        <w:rPr>
          <w:rFonts w:eastAsiaTheme="minorHAnsi"/>
          <w:bCs/>
          <w:iCs/>
          <w:color w:val="auto"/>
          <w:sz w:val="20"/>
          <w:szCs w:val="20"/>
          <w:lang w:eastAsia="en-US"/>
        </w:rPr>
        <w:t xml:space="preserve"> del abordaje de discusiones que permitan desarrollar en el país las iniciativas regulatorias y de políticas que favorezcan el desenvolvimiento de la industria de manera confiable y adecuada, propendiendo a una mayor inclusión financiera y protección del público inversor.</w:t>
      </w:r>
    </w:p>
    <w:p w14:paraId="5E7E7F77"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p>
    <w:p w14:paraId="1AFC6A1A" w14:textId="35ECD8BD" w:rsid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 xml:space="preserve">Es mediante la innovación regulatoria que los estados nacionales pueden promover que las innovaciones financieras se desarrollen lo suficiente sin correr el riesgo que se lancen fuera del alcance del regulador y supervisor con todos los peligros que esto conlleva, principalmente en materia de protección al inversor. En este sentido, se torna imprescindible la diagramación por parte del organismo regulador de un plan estratégico de largo alcance en términos de políticas de innovación regulatoria, que brinde coherencia en el largo plazo a las iniciativas adoptadas por el regulador en esta materia y asegure el cumplimiento de los objetivos trazados.  </w:t>
      </w:r>
    </w:p>
    <w:p w14:paraId="5A43A2B3"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p>
    <w:p w14:paraId="607F27CF"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La Mesa Fintech de la CNV, conformada por 8 profesionales de distintas áreas del organismo, con una mirada transversal de las cuestiones relativas al universo Fintech, ha elaborado un plan estratégico de mediano plazo con la implementación y la creación de distintos instrumentos de política innovadores a lo largo de diversas fases.</w:t>
      </w:r>
    </w:p>
    <w:p w14:paraId="09270B2A" w14:textId="6FC59746" w:rsid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Así, en abril de 2022 la CNV ha lanzado su “</w:t>
      </w:r>
      <w:proofErr w:type="gramStart"/>
      <w:r w:rsidRPr="001C6DB2">
        <w:rPr>
          <w:rFonts w:eastAsiaTheme="minorHAnsi"/>
          <w:bCs/>
          <w:iCs/>
          <w:color w:val="auto"/>
          <w:sz w:val="20"/>
          <w:szCs w:val="20"/>
          <w:lang w:eastAsia="en-US"/>
        </w:rPr>
        <w:t>Hub</w:t>
      </w:r>
      <w:proofErr w:type="gramEnd"/>
      <w:r w:rsidRPr="001C6DB2">
        <w:rPr>
          <w:rFonts w:eastAsiaTheme="minorHAnsi"/>
          <w:bCs/>
          <w:iCs/>
          <w:color w:val="auto"/>
          <w:sz w:val="20"/>
          <w:szCs w:val="20"/>
          <w:lang w:eastAsia="en-US"/>
        </w:rPr>
        <w:t xml:space="preserve"> de Innovación”, un espacio de colaboración público-privado, con el objeto de promover la innovación y el intercambio entre el organismo regulador, sus regulados y entidades de carácter innovador que pretendan operar bajo el ámbito de regulación de CNV.</w:t>
      </w:r>
    </w:p>
    <w:p w14:paraId="0A494800"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p>
    <w:p w14:paraId="39E4115E" w14:textId="385BED4F" w:rsid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Dicho espacio tiene como finalidad identificar y analizar los elementos y los criterios a considerar para el desarrollo y la implementación de estrategias de regulación y supervisión financiera de tecnologías innovadoras. Asimismo, estas estrategias también serán utilizadas para afrontar y prever los nuevos riesgos para los objetivos regulatorios, tales como la protección de las personas inversoras, la mejora de la competitividad relativa del sector y la competencia dentro del mismo, el desarrollo e integridad del mercado a través de la inclusión financiera, y la estabilidad financiera.</w:t>
      </w:r>
    </w:p>
    <w:p w14:paraId="39ABCA37"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p>
    <w:p w14:paraId="7D7B0515" w14:textId="0E7963A5" w:rsid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Si bien es prematuro obtener conclusiones definitivas sobre los logros y limitantes en el funcionamiento del Hub en particular, como respecto al impacto del mismo en la estimulación de la innovación financiera en el mercado de capitales y sobre el marco normativo de CNV, es pertinente la recolección de datos, métricas y análisis acerca de la información disponible en torno a la operatoria y funcionamiento del Hub para nutrir la elaboración y consolidación de una estrategia de largo plazo en materia de políticas de innovación regulatoria.</w:t>
      </w:r>
    </w:p>
    <w:p w14:paraId="61F0653D"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p>
    <w:p w14:paraId="737EF0D6"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 xml:space="preserve">En consecuencia, se demuestra imperiosa la diagramación de un Plan estratégico en el largo plazo que acredite la experiencia del </w:t>
      </w:r>
      <w:proofErr w:type="spellStart"/>
      <w:proofErr w:type="gramStart"/>
      <w:r w:rsidRPr="001C6DB2">
        <w:rPr>
          <w:rFonts w:eastAsiaTheme="minorHAnsi"/>
          <w:bCs/>
          <w:iCs/>
          <w:color w:val="auto"/>
          <w:sz w:val="20"/>
          <w:szCs w:val="20"/>
          <w:lang w:eastAsia="en-US"/>
        </w:rPr>
        <w:t>hub</w:t>
      </w:r>
      <w:proofErr w:type="spellEnd"/>
      <w:proofErr w:type="gramEnd"/>
      <w:r w:rsidRPr="001C6DB2">
        <w:rPr>
          <w:rFonts w:eastAsiaTheme="minorHAnsi"/>
          <w:bCs/>
          <w:iCs/>
          <w:color w:val="auto"/>
          <w:sz w:val="20"/>
          <w:szCs w:val="20"/>
          <w:lang w:eastAsia="en-US"/>
        </w:rPr>
        <w:t xml:space="preserve">, primer punto de contacto –informal y accesible- de la agencia regulatoria con el universo </w:t>
      </w:r>
      <w:proofErr w:type="spellStart"/>
      <w:r w:rsidRPr="001C6DB2">
        <w:rPr>
          <w:rFonts w:eastAsiaTheme="minorHAnsi"/>
          <w:bCs/>
          <w:iCs/>
          <w:color w:val="auto"/>
          <w:sz w:val="20"/>
          <w:szCs w:val="20"/>
          <w:lang w:eastAsia="en-US"/>
        </w:rPr>
        <w:t>fintech</w:t>
      </w:r>
      <w:proofErr w:type="spellEnd"/>
      <w:r w:rsidRPr="001C6DB2">
        <w:rPr>
          <w:rFonts w:eastAsiaTheme="minorHAnsi"/>
          <w:bCs/>
          <w:iCs/>
          <w:color w:val="auto"/>
          <w:sz w:val="20"/>
          <w:szCs w:val="20"/>
          <w:lang w:eastAsia="en-US"/>
        </w:rPr>
        <w:t>. Éste será el que dicte los lineamientos a seguir para el desarrollo de las próximas herramientas regulatorias a crear, tales como el diseño e implementación de un Sandbox regulatorio.</w:t>
      </w:r>
    </w:p>
    <w:p w14:paraId="67EA2578"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lastRenderedPageBreak/>
        <w:t>Es en este marco que el BID ha previsto una oportunidad de apoyar el fortalecimiento institucional de la CNV a través de una Cooperación Técnica (AR-T1213), la cual tiene como objetivo profundizar y facilitar el acceso al Mercado de Capitales Argentino, mejorar su competitividad e integridad, y robustecer los mecanismos de protección a las personas inversoras.</w:t>
      </w:r>
    </w:p>
    <w:p w14:paraId="1CAC63CF"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p>
    <w:p w14:paraId="1C7DAF4E" w14:textId="77777777" w:rsidR="001C6DB2" w:rsidRPr="001C6DB2" w:rsidRDefault="001C6DB2" w:rsidP="001C6DB2">
      <w:pPr>
        <w:autoSpaceDE/>
        <w:autoSpaceDN/>
        <w:adjustRightInd/>
        <w:contextualSpacing/>
        <w:jc w:val="both"/>
        <w:rPr>
          <w:rFonts w:eastAsiaTheme="minorHAnsi"/>
          <w:bCs/>
          <w:iCs/>
          <w:color w:val="auto"/>
          <w:sz w:val="20"/>
          <w:szCs w:val="20"/>
          <w:lang w:eastAsia="en-US"/>
        </w:rPr>
      </w:pPr>
      <w:r w:rsidRPr="001C6DB2">
        <w:rPr>
          <w:rFonts w:eastAsiaTheme="minorHAnsi"/>
          <w:bCs/>
          <w:iCs/>
          <w:color w:val="auto"/>
          <w:sz w:val="20"/>
          <w:szCs w:val="20"/>
          <w:lang w:eastAsia="en-US"/>
        </w:rPr>
        <w:t>La División de Conectividad, Mercados y Finanzas (CMF) del BID apoya a las instituciones financieras públicas en la región de América Latina y el Caribe (ALC) a través de sus operaciones. Actualmente, CMF apoya a gobiernos y bancos nacionales de desarrollo en el diseño de estrategias financieras para promover el desarrollo verde, inclusivo y sostenible en recuperación de la economía.</w:t>
      </w:r>
    </w:p>
    <w:p w14:paraId="6A33777F" w14:textId="77777777" w:rsidR="00A8738A" w:rsidRPr="00A8738A" w:rsidRDefault="00A8738A" w:rsidP="00A8738A">
      <w:pPr>
        <w:autoSpaceDE/>
        <w:autoSpaceDN/>
        <w:adjustRightInd/>
        <w:contextualSpacing/>
        <w:jc w:val="both"/>
        <w:rPr>
          <w:iCs/>
          <w:color w:val="auto"/>
          <w:sz w:val="20"/>
          <w:szCs w:val="20"/>
          <w:lang w:eastAsia="en-US"/>
        </w:rPr>
      </w:pPr>
    </w:p>
    <w:p w14:paraId="537C4104" w14:textId="77777777" w:rsidR="00A8738A" w:rsidRPr="00A8738A" w:rsidRDefault="00A8738A" w:rsidP="00A8738A">
      <w:pPr>
        <w:autoSpaceDE/>
        <w:autoSpaceDN/>
        <w:adjustRightInd/>
        <w:contextualSpacing/>
        <w:jc w:val="both"/>
        <w:rPr>
          <w:iCs/>
          <w:color w:val="auto"/>
          <w:sz w:val="20"/>
          <w:szCs w:val="20"/>
          <w:lang w:eastAsia="en-US"/>
        </w:rPr>
      </w:pPr>
    </w:p>
    <w:p w14:paraId="60D71649" w14:textId="77777777" w:rsidR="00A8738A" w:rsidRPr="00A8738A" w:rsidRDefault="00A8738A" w:rsidP="00A8738A">
      <w:pPr>
        <w:widowControl/>
        <w:autoSpaceDE/>
        <w:autoSpaceDN/>
        <w:adjustRightInd/>
        <w:ind w:left="360"/>
        <w:contextualSpacing/>
        <w:rPr>
          <w:rFonts w:eastAsiaTheme="minorHAnsi"/>
          <w:b/>
          <w:color w:val="auto"/>
          <w:sz w:val="20"/>
          <w:szCs w:val="20"/>
          <w:u w:val="single"/>
          <w:lang w:eastAsia="en-US"/>
        </w:rPr>
      </w:pPr>
    </w:p>
    <w:p w14:paraId="367ED493"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Objetivos</w:t>
      </w:r>
    </w:p>
    <w:p w14:paraId="3AADCE04" w14:textId="77777777" w:rsidR="00A8738A" w:rsidRPr="00A8738A" w:rsidRDefault="00A8738A" w:rsidP="00A8738A">
      <w:pPr>
        <w:widowControl/>
        <w:autoSpaceDE/>
        <w:autoSpaceDN/>
        <w:adjustRightInd/>
        <w:ind w:left="360"/>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 xml:space="preserve"> </w:t>
      </w:r>
    </w:p>
    <w:p w14:paraId="422BD74A" w14:textId="77777777" w:rsidR="00C54963" w:rsidRPr="00C54963" w:rsidRDefault="00C54963" w:rsidP="00C54963">
      <w:pPr>
        <w:widowControl/>
        <w:autoSpaceDE/>
        <w:autoSpaceDN/>
        <w:adjustRightInd/>
        <w:ind w:left="360"/>
        <w:contextualSpacing/>
        <w:rPr>
          <w:bCs/>
          <w:iCs/>
          <w:color w:val="auto"/>
          <w:sz w:val="20"/>
          <w:szCs w:val="20"/>
          <w:lang w:eastAsia="en-US"/>
        </w:rPr>
      </w:pPr>
      <w:r w:rsidRPr="00C54963">
        <w:rPr>
          <w:bCs/>
          <w:iCs/>
          <w:color w:val="auto"/>
          <w:sz w:val="20"/>
          <w:szCs w:val="20"/>
          <w:lang w:eastAsia="en-US"/>
        </w:rPr>
        <w:t>El objetivo del proyecto es aportar al desarrollo de políticas públicas que permitan la innovación en el sistema financiero y la inclusión de más personas en el acceso y el uso de productos y servicios financieros.</w:t>
      </w:r>
    </w:p>
    <w:p w14:paraId="2B23B637" w14:textId="77777777" w:rsidR="00C54963" w:rsidRDefault="00C54963" w:rsidP="00C54963">
      <w:pPr>
        <w:widowControl/>
        <w:autoSpaceDE/>
        <w:autoSpaceDN/>
        <w:adjustRightInd/>
        <w:ind w:left="360"/>
        <w:contextualSpacing/>
        <w:rPr>
          <w:bCs/>
          <w:iCs/>
          <w:color w:val="auto"/>
          <w:sz w:val="20"/>
          <w:szCs w:val="20"/>
          <w:lang w:eastAsia="en-US"/>
        </w:rPr>
      </w:pPr>
    </w:p>
    <w:p w14:paraId="26EF1098" w14:textId="347C99C4" w:rsidR="00C54963" w:rsidRPr="00C54963" w:rsidRDefault="00C54963" w:rsidP="00C54963">
      <w:pPr>
        <w:widowControl/>
        <w:autoSpaceDE/>
        <w:autoSpaceDN/>
        <w:adjustRightInd/>
        <w:ind w:left="360"/>
        <w:contextualSpacing/>
        <w:rPr>
          <w:bCs/>
          <w:iCs/>
          <w:color w:val="auto"/>
          <w:sz w:val="20"/>
          <w:szCs w:val="20"/>
          <w:lang w:eastAsia="en-US"/>
        </w:rPr>
      </w:pPr>
      <w:r w:rsidRPr="00C54963">
        <w:rPr>
          <w:bCs/>
          <w:iCs/>
          <w:color w:val="auto"/>
          <w:sz w:val="20"/>
          <w:szCs w:val="20"/>
          <w:lang w:eastAsia="en-US"/>
        </w:rPr>
        <w:t>A través de la contratación, se busca facilitar un análisis transversal sobre la implementación del Plan Estratégico de instrumentos innovadores de largo plazo y analizar las próximas estrategias de regulación y supervisión en el mediano plazo.</w:t>
      </w:r>
    </w:p>
    <w:p w14:paraId="7A76A3F3" w14:textId="77777777" w:rsidR="00C54963" w:rsidRDefault="00C54963" w:rsidP="00C54963">
      <w:pPr>
        <w:widowControl/>
        <w:autoSpaceDE/>
        <w:autoSpaceDN/>
        <w:adjustRightInd/>
        <w:ind w:left="360"/>
        <w:contextualSpacing/>
        <w:rPr>
          <w:bCs/>
          <w:iCs/>
          <w:color w:val="auto"/>
          <w:sz w:val="20"/>
          <w:szCs w:val="20"/>
          <w:lang w:eastAsia="en-US"/>
        </w:rPr>
      </w:pPr>
    </w:p>
    <w:p w14:paraId="3C5C6179" w14:textId="01321C5C" w:rsidR="00C54963" w:rsidRPr="00C54963" w:rsidRDefault="00C54963" w:rsidP="00C54963">
      <w:pPr>
        <w:widowControl/>
        <w:autoSpaceDE/>
        <w:autoSpaceDN/>
        <w:adjustRightInd/>
        <w:ind w:left="360"/>
        <w:contextualSpacing/>
        <w:rPr>
          <w:bCs/>
          <w:iCs/>
          <w:color w:val="auto"/>
          <w:sz w:val="20"/>
          <w:szCs w:val="20"/>
          <w:lang w:eastAsia="en-US"/>
        </w:rPr>
      </w:pPr>
      <w:r w:rsidRPr="00C54963">
        <w:rPr>
          <w:bCs/>
          <w:iCs/>
          <w:color w:val="auto"/>
          <w:sz w:val="20"/>
          <w:szCs w:val="20"/>
          <w:lang w:eastAsia="en-US"/>
        </w:rPr>
        <w:t xml:space="preserve">Asimismo, se busca entender y evaluar los requerimientos operativos y la capacidad institucional para el desarrollo de los instrumentos de regulación innovadores. </w:t>
      </w:r>
    </w:p>
    <w:p w14:paraId="3F143905" w14:textId="77777777" w:rsidR="00C54963" w:rsidRPr="00C54963" w:rsidRDefault="00C54963" w:rsidP="00C54963">
      <w:pPr>
        <w:widowControl/>
        <w:autoSpaceDE/>
        <w:autoSpaceDN/>
        <w:adjustRightInd/>
        <w:ind w:left="360"/>
        <w:contextualSpacing/>
        <w:rPr>
          <w:bCs/>
          <w:iCs/>
          <w:color w:val="auto"/>
          <w:sz w:val="20"/>
          <w:szCs w:val="20"/>
          <w:lang w:eastAsia="en-US"/>
        </w:rPr>
      </w:pPr>
      <w:r w:rsidRPr="00C54963">
        <w:rPr>
          <w:bCs/>
          <w:iCs/>
          <w:color w:val="auto"/>
          <w:sz w:val="20"/>
          <w:szCs w:val="20"/>
          <w:lang w:eastAsia="en-US"/>
        </w:rPr>
        <w:t>Se espera como resultado de este proyecto la emisión de tres documentos individuales:</w:t>
      </w:r>
    </w:p>
    <w:p w14:paraId="05DC5B66" w14:textId="77777777" w:rsidR="00C54963" w:rsidRPr="00C54963" w:rsidRDefault="00C54963" w:rsidP="00C54963">
      <w:pPr>
        <w:widowControl/>
        <w:autoSpaceDE/>
        <w:autoSpaceDN/>
        <w:adjustRightInd/>
        <w:ind w:left="360"/>
        <w:contextualSpacing/>
        <w:rPr>
          <w:bCs/>
          <w:iCs/>
          <w:color w:val="auto"/>
          <w:sz w:val="20"/>
          <w:szCs w:val="20"/>
          <w:lang w:eastAsia="en-US"/>
        </w:rPr>
      </w:pPr>
    </w:p>
    <w:p w14:paraId="71AAFEB7" w14:textId="77777777" w:rsidR="00C54963" w:rsidRPr="00C54963" w:rsidRDefault="00C54963" w:rsidP="00C54963">
      <w:pPr>
        <w:widowControl/>
        <w:numPr>
          <w:ilvl w:val="0"/>
          <w:numId w:val="13"/>
        </w:numPr>
        <w:autoSpaceDE/>
        <w:autoSpaceDN/>
        <w:adjustRightInd/>
        <w:contextualSpacing/>
        <w:rPr>
          <w:bCs/>
          <w:iCs/>
          <w:color w:val="auto"/>
          <w:sz w:val="20"/>
          <w:szCs w:val="20"/>
          <w:lang w:eastAsia="en-US"/>
        </w:rPr>
      </w:pPr>
      <w:r w:rsidRPr="00C54963">
        <w:rPr>
          <w:bCs/>
          <w:iCs/>
          <w:color w:val="auto"/>
          <w:sz w:val="20"/>
          <w:szCs w:val="20"/>
          <w:lang w:eastAsia="en-US"/>
        </w:rPr>
        <w:t xml:space="preserve">Análisis de la estructura organizacional y de los lineamientos del </w:t>
      </w:r>
      <w:proofErr w:type="gramStart"/>
      <w:r w:rsidRPr="00C54963">
        <w:rPr>
          <w:bCs/>
          <w:iCs/>
          <w:color w:val="auto"/>
          <w:sz w:val="20"/>
          <w:szCs w:val="20"/>
          <w:lang w:eastAsia="en-US"/>
        </w:rPr>
        <w:t>Hub</w:t>
      </w:r>
      <w:proofErr w:type="gramEnd"/>
      <w:r w:rsidRPr="00C54963">
        <w:rPr>
          <w:bCs/>
          <w:iCs/>
          <w:color w:val="auto"/>
          <w:sz w:val="20"/>
          <w:szCs w:val="20"/>
          <w:lang w:eastAsia="en-US"/>
        </w:rPr>
        <w:t xml:space="preserve"> de Innovación CNV, así como de los resultados obtenidos</w:t>
      </w:r>
    </w:p>
    <w:p w14:paraId="47FAA831" w14:textId="77777777" w:rsidR="00C54963" w:rsidRPr="00C54963" w:rsidRDefault="00C54963" w:rsidP="00C54963">
      <w:pPr>
        <w:widowControl/>
        <w:numPr>
          <w:ilvl w:val="0"/>
          <w:numId w:val="13"/>
        </w:numPr>
        <w:autoSpaceDE/>
        <w:autoSpaceDN/>
        <w:adjustRightInd/>
        <w:contextualSpacing/>
        <w:rPr>
          <w:bCs/>
          <w:iCs/>
          <w:color w:val="auto"/>
          <w:sz w:val="20"/>
          <w:szCs w:val="20"/>
          <w:lang w:eastAsia="en-US"/>
        </w:rPr>
      </w:pPr>
      <w:r w:rsidRPr="00C54963">
        <w:rPr>
          <w:bCs/>
          <w:iCs/>
          <w:color w:val="auto"/>
          <w:sz w:val="20"/>
          <w:szCs w:val="20"/>
          <w:lang w:eastAsia="en-US"/>
        </w:rPr>
        <w:t>Elaboración y análisis de Plan Estratégico a largo plazo</w:t>
      </w:r>
    </w:p>
    <w:p w14:paraId="7613476C" w14:textId="77777777" w:rsidR="00C54963" w:rsidRPr="00C54963" w:rsidRDefault="00C54963" w:rsidP="00C54963">
      <w:pPr>
        <w:widowControl/>
        <w:numPr>
          <w:ilvl w:val="0"/>
          <w:numId w:val="13"/>
        </w:numPr>
        <w:autoSpaceDE/>
        <w:autoSpaceDN/>
        <w:adjustRightInd/>
        <w:contextualSpacing/>
        <w:rPr>
          <w:bCs/>
          <w:iCs/>
          <w:color w:val="auto"/>
          <w:sz w:val="20"/>
          <w:szCs w:val="20"/>
          <w:lang w:eastAsia="en-US"/>
        </w:rPr>
      </w:pPr>
      <w:r w:rsidRPr="00C54963">
        <w:rPr>
          <w:bCs/>
          <w:iCs/>
          <w:color w:val="auto"/>
          <w:sz w:val="20"/>
          <w:szCs w:val="20"/>
          <w:lang w:eastAsia="en-US"/>
        </w:rPr>
        <w:t>Análisis para la implementación de Sandbox Regulatorio CNV</w:t>
      </w:r>
    </w:p>
    <w:p w14:paraId="009A1674" w14:textId="77777777" w:rsidR="00A8738A" w:rsidRPr="00A8738A" w:rsidRDefault="00A8738A" w:rsidP="00A8738A">
      <w:pPr>
        <w:widowControl/>
        <w:autoSpaceDE/>
        <w:autoSpaceDN/>
        <w:adjustRightInd/>
        <w:ind w:left="360"/>
        <w:contextualSpacing/>
        <w:rPr>
          <w:rFonts w:eastAsiaTheme="minorHAnsi"/>
          <w:b/>
          <w:color w:val="auto"/>
          <w:sz w:val="20"/>
          <w:szCs w:val="20"/>
          <w:u w:val="single"/>
          <w:lang w:eastAsia="en-US"/>
        </w:rPr>
      </w:pPr>
    </w:p>
    <w:p w14:paraId="325C06F4"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Alcance de los Servicios</w:t>
      </w:r>
    </w:p>
    <w:p w14:paraId="0F839BEE" w14:textId="77777777" w:rsidR="00A8738A" w:rsidRPr="00A8738A" w:rsidRDefault="00A8738A" w:rsidP="00A8738A">
      <w:pPr>
        <w:widowControl/>
        <w:autoSpaceDE/>
        <w:autoSpaceDN/>
        <w:adjustRightInd/>
        <w:ind w:left="792"/>
        <w:contextualSpacing/>
        <w:jc w:val="both"/>
        <w:rPr>
          <w:rFonts w:eastAsiaTheme="minorHAnsi"/>
          <w:b/>
          <w:i/>
          <w:color w:val="006600"/>
          <w:sz w:val="20"/>
          <w:szCs w:val="20"/>
          <w:lang w:eastAsia="en-US"/>
        </w:rPr>
      </w:pPr>
    </w:p>
    <w:p w14:paraId="4E69739E" w14:textId="77777777" w:rsidR="00146E7C" w:rsidRPr="00146E7C" w:rsidRDefault="00146E7C" w:rsidP="00146E7C">
      <w:pPr>
        <w:autoSpaceDE/>
        <w:autoSpaceDN/>
        <w:adjustRightInd/>
        <w:contextualSpacing/>
        <w:jc w:val="both"/>
        <w:rPr>
          <w:bCs/>
          <w:iCs/>
          <w:color w:val="auto"/>
          <w:sz w:val="20"/>
          <w:szCs w:val="20"/>
          <w:lang w:eastAsia="en-US"/>
        </w:rPr>
      </w:pPr>
      <w:r w:rsidRPr="00146E7C">
        <w:rPr>
          <w:bCs/>
          <w:iCs/>
          <w:color w:val="auto"/>
          <w:sz w:val="20"/>
          <w:szCs w:val="20"/>
          <w:lang w:eastAsia="en-US"/>
        </w:rPr>
        <w:t xml:space="preserve">Se espera contar con: </w:t>
      </w:r>
    </w:p>
    <w:p w14:paraId="3E854FA9" w14:textId="77777777" w:rsidR="00146E7C" w:rsidRPr="00146E7C" w:rsidRDefault="00146E7C" w:rsidP="00146E7C">
      <w:pPr>
        <w:numPr>
          <w:ilvl w:val="0"/>
          <w:numId w:val="14"/>
        </w:numPr>
        <w:autoSpaceDE/>
        <w:autoSpaceDN/>
        <w:adjustRightInd/>
        <w:contextualSpacing/>
        <w:jc w:val="both"/>
        <w:rPr>
          <w:bCs/>
          <w:iCs/>
          <w:color w:val="auto"/>
          <w:sz w:val="20"/>
          <w:szCs w:val="20"/>
          <w:lang w:eastAsia="en-US"/>
        </w:rPr>
      </w:pPr>
      <w:r w:rsidRPr="00146E7C">
        <w:rPr>
          <w:bCs/>
          <w:iCs/>
          <w:color w:val="auto"/>
          <w:sz w:val="20"/>
          <w:szCs w:val="20"/>
          <w:lang w:eastAsia="en-US"/>
        </w:rPr>
        <w:t xml:space="preserve">1 (un) documento de evaluación del </w:t>
      </w:r>
      <w:proofErr w:type="gramStart"/>
      <w:r w:rsidRPr="00146E7C">
        <w:rPr>
          <w:bCs/>
          <w:iCs/>
          <w:color w:val="auto"/>
          <w:sz w:val="20"/>
          <w:szCs w:val="20"/>
          <w:lang w:eastAsia="en-US"/>
        </w:rPr>
        <w:t>HUB</w:t>
      </w:r>
      <w:proofErr w:type="gramEnd"/>
      <w:r w:rsidRPr="00146E7C">
        <w:rPr>
          <w:bCs/>
          <w:iCs/>
          <w:color w:val="auto"/>
          <w:sz w:val="20"/>
          <w:szCs w:val="20"/>
          <w:lang w:eastAsia="en-US"/>
        </w:rPr>
        <w:t xml:space="preserve">: el cual deberá analizar la estructura organizacional del </w:t>
      </w:r>
      <w:proofErr w:type="spellStart"/>
      <w:r w:rsidRPr="00146E7C">
        <w:rPr>
          <w:bCs/>
          <w:iCs/>
          <w:color w:val="auto"/>
          <w:sz w:val="20"/>
          <w:szCs w:val="20"/>
          <w:lang w:eastAsia="en-US"/>
        </w:rPr>
        <w:t>hub</w:t>
      </w:r>
      <w:proofErr w:type="spellEnd"/>
      <w:r w:rsidRPr="00146E7C">
        <w:rPr>
          <w:bCs/>
          <w:iCs/>
          <w:color w:val="auto"/>
          <w:sz w:val="20"/>
          <w:szCs w:val="20"/>
          <w:lang w:eastAsia="en-US"/>
        </w:rPr>
        <w:t xml:space="preserve"> en funcionamiento, así como revisar sus lineamientos, funcionamiento operativo y resultados obtenidos, realizando un comparativo con la experiencia internacional de otros reguladores. Identificar oportunidades de mejora en los procesos actuales.</w:t>
      </w:r>
    </w:p>
    <w:p w14:paraId="1B4DE961" w14:textId="77777777" w:rsidR="00146E7C" w:rsidRPr="00146E7C" w:rsidRDefault="00146E7C" w:rsidP="00146E7C">
      <w:pPr>
        <w:numPr>
          <w:ilvl w:val="0"/>
          <w:numId w:val="14"/>
        </w:numPr>
        <w:autoSpaceDE/>
        <w:autoSpaceDN/>
        <w:adjustRightInd/>
        <w:contextualSpacing/>
        <w:jc w:val="both"/>
        <w:rPr>
          <w:bCs/>
          <w:iCs/>
          <w:color w:val="auto"/>
          <w:sz w:val="20"/>
          <w:szCs w:val="20"/>
          <w:lang w:eastAsia="en-US"/>
        </w:rPr>
      </w:pPr>
      <w:r w:rsidRPr="00146E7C">
        <w:rPr>
          <w:bCs/>
          <w:iCs/>
          <w:color w:val="auto"/>
          <w:sz w:val="20"/>
          <w:szCs w:val="20"/>
          <w:lang w:eastAsia="en-US"/>
        </w:rPr>
        <w:t>1 (un) Plan estratégico de largo plazo para la Mesa Fintech CNV: el mismo deberá contemplar una estrategia completa que sirva como hoja de ruta con su respectivo plan de acción, dando herramientas a corto, medio y largo plazo para procesarla, considerando la situación actual del organismo, el contexto dinámico y las experiencias de otros reguladores.</w:t>
      </w:r>
    </w:p>
    <w:p w14:paraId="16FEDFB2" w14:textId="77777777" w:rsidR="00146E7C" w:rsidRPr="00146E7C" w:rsidRDefault="00146E7C" w:rsidP="00146E7C">
      <w:pPr>
        <w:numPr>
          <w:ilvl w:val="0"/>
          <w:numId w:val="14"/>
        </w:numPr>
        <w:autoSpaceDE/>
        <w:autoSpaceDN/>
        <w:adjustRightInd/>
        <w:contextualSpacing/>
        <w:jc w:val="both"/>
        <w:rPr>
          <w:bCs/>
          <w:iCs/>
          <w:color w:val="auto"/>
          <w:sz w:val="20"/>
          <w:szCs w:val="20"/>
          <w:lang w:eastAsia="en-US"/>
        </w:rPr>
      </w:pPr>
      <w:r w:rsidRPr="00146E7C">
        <w:rPr>
          <w:bCs/>
          <w:iCs/>
          <w:color w:val="auto"/>
          <w:sz w:val="20"/>
          <w:szCs w:val="20"/>
          <w:lang w:eastAsia="en-US"/>
        </w:rPr>
        <w:t>1 (un) documento de implementación de Sandbox: en el cual se deberá abordar la experiencia de los Sandbox en otros reguladores, y proponer desde una óptica objetiva y completa las condiciones y necesidades que se ajustan mejor para la implementación de dicha herramienta en Argentina, e incluir un Manual de procedimientos para el mismo.</w:t>
      </w:r>
    </w:p>
    <w:p w14:paraId="2029A9C1" w14:textId="77777777" w:rsidR="00A8738A" w:rsidRPr="00A8738A" w:rsidRDefault="00A8738A" w:rsidP="00A8738A">
      <w:pPr>
        <w:autoSpaceDE/>
        <w:autoSpaceDN/>
        <w:adjustRightInd/>
        <w:contextualSpacing/>
        <w:jc w:val="both"/>
        <w:rPr>
          <w:b/>
          <w:bCs/>
          <w:i/>
          <w:iCs/>
          <w:color w:val="006600"/>
          <w:sz w:val="20"/>
          <w:szCs w:val="20"/>
          <w:lang w:eastAsia="en-US"/>
        </w:rPr>
      </w:pPr>
    </w:p>
    <w:p w14:paraId="79621A2A" w14:textId="77777777" w:rsidR="00A8738A" w:rsidRPr="00A8738A" w:rsidRDefault="00A8738A" w:rsidP="00A8738A">
      <w:pPr>
        <w:widowControl/>
        <w:autoSpaceDE/>
        <w:autoSpaceDN/>
        <w:adjustRightInd/>
        <w:ind w:left="1224"/>
        <w:contextualSpacing/>
        <w:jc w:val="both"/>
        <w:rPr>
          <w:rFonts w:eastAsiaTheme="minorHAnsi"/>
          <w:color w:val="auto"/>
          <w:sz w:val="20"/>
          <w:szCs w:val="20"/>
          <w:lang w:eastAsia="en-US"/>
        </w:rPr>
      </w:pPr>
    </w:p>
    <w:p w14:paraId="4392C148"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Actividades Clave</w:t>
      </w:r>
    </w:p>
    <w:p w14:paraId="700DC317" w14:textId="77777777" w:rsidR="00A8738A" w:rsidRPr="00A8738A" w:rsidRDefault="00A8738A" w:rsidP="00A8738A">
      <w:pPr>
        <w:autoSpaceDE/>
        <w:autoSpaceDN/>
        <w:adjustRightInd/>
        <w:contextualSpacing/>
        <w:jc w:val="both"/>
        <w:rPr>
          <w:b/>
          <w:bCs/>
          <w:i/>
          <w:iCs/>
          <w:color w:val="auto"/>
          <w:sz w:val="20"/>
          <w:szCs w:val="20"/>
          <w:lang w:eastAsia="en-US"/>
        </w:rPr>
      </w:pPr>
    </w:p>
    <w:p w14:paraId="1CDAF8AF" w14:textId="77777777" w:rsidR="00790130" w:rsidRPr="00790130" w:rsidRDefault="00790130" w:rsidP="00790130">
      <w:pPr>
        <w:widowControl/>
        <w:numPr>
          <w:ilvl w:val="0"/>
          <w:numId w:val="15"/>
        </w:numPr>
        <w:autoSpaceDE/>
        <w:autoSpaceDN/>
        <w:adjustRightInd/>
        <w:contextualSpacing/>
        <w:rPr>
          <w:b/>
          <w:bCs/>
          <w:iCs/>
          <w:color w:val="auto"/>
          <w:sz w:val="20"/>
          <w:szCs w:val="20"/>
          <w:u w:val="single"/>
          <w:lang w:eastAsia="en-US"/>
        </w:rPr>
      </w:pPr>
      <w:r w:rsidRPr="00790130">
        <w:rPr>
          <w:bCs/>
          <w:iCs/>
          <w:color w:val="auto"/>
          <w:sz w:val="20"/>
          <w:szCs w:val="20"/>
          <w:lang w:eastAsia="en-US"/>
        </w:rPr>
        <w:t xml:space="preserve">Analizar, a la luz de la experiencia internacional, la estructura organizacional del </w:t>
      </w:r>
      <w:proofErr w:type="gramStart"/>
      <w:r w:rsidRPr="00790130">
        <w:rPr>
          <w:bCs/>
          <w:iCs/>
          <w:color w:val="auto"/>
          <w:sz w:val="20"/>
          <w:szCs w:val="20"/>
          <w:lang w:eastAsia="en-US"/>
        </w:rPr>
        <w:t>Hub</w:t>
      </w:r>
      <w:proofErr w:type="gramEnd"/>
      <w:r w:rsidRPr="00790130">
        <w:rPr>
          <w:bCs/>
          <w:iCs/>
          <w:color w:val="auto"/>
          <w:sz w:val="20"/>
          <w:szCs w:val="20"/>
          <w:lang w:eastAsia="en-US"/>
        </w:rPr>
        <w:t>, sus lineamientos y funcionamiento operativo, así como relevar los resultados obtenidos e identificar oportunidades de mejora.</w:t>
      </w:r>
    </w:p>
    <w:p w14:paraId="17831071" w14:textId="77777777" w:rsidR="00790130" w:rsidRPr="00790130" w:rsidRDefault="00790130" w:rsidP="00790130">
      <w:pPr>
        <w:widowControl/>
        <w:numPr>
          <w:ilvl w:val="0"/>
          <w:numId w:val="15"/>
        </w:numPr>
        <w:autoSpaceDE/>
        <w:autoSpaceDN/>
        <w:adjustRightInd/>
        <w:contextualSpacing/>
        <w:rPr>
          <w:bCs/>
          <w:iCs/>
          <w:color w:val="auto"/>
          <w:sz w:val="20"/>
          <w:szCs w:val="20"/>
          <w:lang w:eastAsia="en-US"/>
        </w:rPr>
      </w:pPr>
      <w:r w:rsidRPr="00790130">
        <w:rPr>
          <w:bCs/>
          <w:iCs/>
          <w:color w:val="auto"/>
          <w:sz w:val="20"/>
          <w:szCs w:val="20"/>
          <w:lang w:eastAsia="en-US"/>
        </w:rPr>
        <w:t>Diagramar un plan de largo plazo y realizar recomendaciones para su ejecución teniendo en cuenta los elementos que se deben considerar y los criterios para el desarrollo y la implementación de estrategias de regulación y supervisión financiera innovadoras.</w:t>
      </w:r>
    </w:p>
    <w:p w14:paraId="1A1A81BD" w14:textId="77777777" w:rsidR="00790130" w:rsidRPr="00790130" w:rsidRDefault="00790130" w:rsidP="00790130">
      <w:pPr>
        <w:widowControl/>
        <w:numPr>
          <w:ilvl w:val="0"/>
          <w:numId w:val="15"/>
        </w:numPr>
        <w:autoSpaceDE/>
        <w:autoSpaceDN/>
        <w:adjustRightInd/>
        <w:contextualSpacing/>
        <w:rPr>
          <w:bCs/>
          <w:iCs/>
          <w:color w:val="auto"/>
          <w:sz w:val="20"/>
          <w:szCs w:val="20"/>
          <w:lang w:eastAsia="en-US"/>
        </w:rPr>
      </w:pPr>
      <w:r w:rsidRPr="00790130">
        <w:rPr>
          <w:bCs/>
          <w:iCs/>
          <w:color w:val="auto"/>
          <w:sz w:val="20"/>
          <w:szCs w:val="20"/>
          <w:lang w:eastAsia="en-US"/>
        </w:rPr>
        <w:t>Realizar un análisis sobre experiencias internacionales de Sandbox regulatorios y proponer pautas con objetivos, criterios de admisión, etapas para su implementación, régimen legal, responsabilidad del supervisor y participantes, entre otras características, así como relevar las necesidades de estructura organizacional y presupuestaria para su implementación en el caso argentino. Diagramar un “Manual de procedimientos”, cuyo propósito sea orientar y brindar herramientas a la Mesa Fintech CNV en la implementación, desarrollo operativo y evaluación de un Sandbox regulatorio.</w:t>
      </w:r>
    </w:p>
    <w:p w14:paraId="05DA3145" w14:textId="77777777" w:rsidR="00A8738A" w:rsidRPr="00A8738A" w:rsidRDefault="00A8738A" w:rsidP="00A8738A">
      <w:pPr>
        <w:widowControl/>
        <w:autoSpaceDE/>
        <w:autoSpaceDN/>
        <w:adjustRightInd/>
        <w:ind w:left="792"/>
        <w:contextualSpacing/>
        <w:rPr>
          <w:rFonts w:eastAsiaTheme="minorHAnsi"/>
          <w:b/>
          <w:color w:val="auto"/>
          <w:sz w:val="20"/>
          <w:szCs w:val="20"/>
          <w:lang w:eastAsia="en-US"/>
        </w:rPr>
      </w:pPr>
    </w:p>
    <w:p w14:paraId="75029F84" w14:textId="77777777" w:rsidR="00A8738A" w:rsidRPr="00A8738A" w:rsidRDefault="00A8738A" w:rsidP="00A8738A">
      <w:pPr>
        <w:widowControl/>
        <w:autoSpaceDE/>
        <w:autoSpaceDN/>
        <w:adjustRightInd/>
        <w:ind w:left="360"/>
        <w:contextualSpacing/>
        <w:rPr>
          <w:rFonts w:eastAsiaTheme="minorHAnsi"/>
          <w:b/>
          <w:color w:val="auto"/>
          <w:sz w:val="20"/>
          <w:szCs w:val="20"/>
          <w:u w:val="single"/>
          <w:lang w:eastAsia="en-US"/>
        </w:rPr>
      </w:pPr>
    </w:p>
    <w:p w14:paraId="2199D9A7" w14:textId="77777777" w:rsidR="001D11E4" w:rsidRDefault="001D11E4" w:rsidP="001D11E4">
      <w:pPr>
        <w:numPr>
          <w:ilvl w:val="0"/>
          <w:numId w:val="9"/>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lastRenderedPageBreak/>
        <w:t>Resultados y Productos Esperados</w:t>
      </w:r>
    </w:p>
    <w:p w14:paraId="263FB1B0" w14:textId="77777777" w:rsidR="001D11E4" w:rsidRDefault="001D11E4" w:rsidP="001D11E4">
      <w:pPr>
        <w:ind w:left="360"/>
        <w:contextualSpacing/>
        <w:rPr>
          <w:rFonts w:asciiTheme="minorHAnsi" w:eastAsiaTheme="minorHAnsi" w:hAnsiTheme="minorHAnsi"/>
          <w:b/>
          <w:sz w:val="22"/>
          <w:u w:val="single"/>
        </w:rPr>
      </w:pPr>
    </w:p>
    <w:p w14:paraId="7490747E" w14:textId="77777777" w:rsidR="001D11E4" w:rsidRDefault="001D11E4" w:rsidP="001D11E4">
      <w:pPr>
        <w:spacing w:after="120"/>
        <w:jc w:val="both"/>
        <w:rPr>
          <w:rFonts w:asciiTheme="minorHAnsi" w:hAnsiTheme="minorHAnsi"/>
          <w:iCs/>
          <w:sz w:val="22"/>
          <w:szCs w:val="22"/>
        </w:rPr>
      </w:pPr>
      <w:r>
        <w:rPr>
          <w:rFonts w:asciiTheme="minorHAnsi" w:hAnsiTheme="minorHAnsi"/>
          <w:iCs/>
          <w:sz w:val="22"/>
          <w:szCs w:val="22"/>
        </w:rPr>
        <w:t>El resultado final del contrato es la entrega de tres documentos individuales, en función de las pautas detalladas precedentemente, en formato digital e idioma español:</w:t>
      </w:r>
    </w:p>
    <w:p w14:paraId="64D1F185" w14:textId="77777777" w:rsidR="001D11E4" w:rsidRPr="001D11E4" w:rsidRDefault="001D11E4" w:rsidP="001D11E4">
      <w:pPr>
        <w:widowControl/>
        <w:numPr>
          <w:ilvl w:val="0"/>
          <w:numId w:val="15"/>
        </w:numPr>
        <w:autoSpaceDE/>
        <w:autoSpaceDN/>
        <w:adjustRightInd/>
        <w:contextualSpacing/>
        <w:rPr>
          <w:bCs/>
          <w:iCs/>
          <w:color w:val="auto"/>
          <w:sz w:val="20"/>
          <w:szCs w:val="20"/>
          <w:lang w:eastAsia="en-US"/>
        </w:rPr>
      </w:pPr>
      <w:r w:rsidRPr="001D11E4">
        <w:rPr>
          <w:bCs/>
          <w:iCs/>
          <w:color w:val="auto"/>
          <w:sz w:val="20"/>
          <w:szCs w:val="20"/>
          <w:lang w:eastAsia="en-US"/>
        </w:rPr>
        <w:t xml:space="preserve">Entregable 1: Informe sobre implementación y funcionamiento del </w:t>
      </w:r>
      <w:proofErr w:type="gramStart"/>
      <w:r w:rsidRPr="001D11E4">
        <w:rPr>
          <w:bCs/>
          <w:iCs/>
          <w:color w:val="auto"/>
          <w:sz w:val="20"/>
          <w:szCs w:val="20"/>
          <w:lang w:eastAsia="en-US"/>
        </w:rPr>
        <w:t>Hub</w:t>
      </w:r>
      <w:proofErr w:type="gramEnd"/>
      <w:r w:rsidRPr="001D11E4">
        <w:rPr>
          <w:bCs/>
          <w:iCs/>
          <w:color w:val="auto"/>
          <w:sz w:val="20"/>
          <w:szCs w:val="20"/>
          <w:lang w:eastAsia="en-US"/>
        </w:rPr>
        <w:t xml:space="preserve"> de Innovación</w:t>
      </w:r>
    </w:p>
    <w:p w14:paraId="652B5CF2" w14:textId="77777777" w:rsidR="001D11E4" w:rsidRPr="001D11E4" w:rsidRDefault="001D11E4" w:rsidP="001D11E4">
      <w:pPr>
        <w:widowControl/>
        <w:numPr>
          <w:ilvl w:val="0"/>
          <w:numId w:val="15"/>
        </w:numPr>
        <w:autoSpaceDE/>
        <w:autoSpaceDN/>
        <w:adjustRightInd/>
        <w:contextualSpacing/>
        <w:rPr>
          <w:bCs/>
          <w:iCs/>
          <w:color w:val="auto"/>
          <w:sz w:val="20"/>
          <w:szCs w:val="20"/>
          <w:lang w:eastAsia="en-US"/>
        </w:rPr>
      </w:pPr>
      <w:r w:rsidRPr="001D11E4">
        <w:rPr>
          <w:bCs/>
          <w:iCs/>
          <w:color w:val="auto"/>
          <w:sz w:val="20"/>
          <w:szCs w:val="20"/>
          <w:lang w:eastAsia="en-US"/>
        </w:rPr>
        <w:t>Entregable 2: Plan Estratégico de Largo Plazo para Mesa Fintech CNV</w:t>
      </w:r>
    </w:p>
    <w:p w14:paraId="4B99A3C1" w14:textId="77777777" w:rsidR="001D11E4" w:rsidRPr="001D11E4" w:rsidRDefault="001D11E4" w:rsidP="001D11E4">
      <w:pPr>
        <w:widowControl/>
        <w:numPr>
          <w:ilvl w:val="0"/>
          <w:numId w:val="15"/>
        </w:numPr>
        <w:autoSpaceDE/>
        <w:autoSpaceDN/>
        <w:adjustRightInd/>
        <w:contextualSpacing/>
        <w:rPr>
          <w:bCs/>
          <w:iCs/>
          <w:color w:val="auto"/>
          <w:sz w:val="20"/>
          <w:szCs w:val="20"/>
          <w:lang w:eastAsia="en-US"/>
        </w:rPr>
      </w:pPr>
      <w:r w:rsidRPr="001D11E4">
        <w:rPr>
          <w:bCs/>
          <w:iCs/>
          <w:color w:val="auto"/>
          <w:sz w:val="20"/>
          <w:szCs w:val="20"/>
          <w:lang w:eastAsia="en-US"/>
        </w:rPr>
        <w:t xml:space="preserve">Entregable 3: </w:t>
      </w:r>
    </w:p>
    <w:p w14:paraId="602BF5E8" w14:textId="77777777" w:rsidR="001D11E4" w:rsidRPr="001D11E4" w:rsidRDefault="001D11E4" w:rsidP="001D11E4">
      <w:pPr>
        <w:widowControl/>
        <w:numPr>
          <w:ilvl w:val="1"/>
          <w:numId w:val="15"/>
        </w:numPr>
        <w:autoSpaceDE/>
        <w:autoSpaceDN/>
        <w:adjustRightInd/>
        <w:contextualSpacing/>
        <w:rPr>
          <w:bCs/>
          <w:iCs/>
          <w:color w:val="auto"/>
          <w:sz w:val="20"/>
          <w:szCs w:val="20"/>
          <w:lang w:eastAsia="en-US"/>
        </w:rPr>
      </w:pPr>
      <w:r w:rsidRPr="001D11E4">
        <w:rPr>
          <w:bCs/>
          <w:iCs/>
          <w:color w:val="auto"/>
          <w:sz w:val="20"/>
          <w:szCs w:val="20"/>
          <w:lang w:eastAsia="en-US"/>
        </w:rPr>
        <w:t xml:space="preserve">Documento que establezca el propósito regulatorio y condiciones bajo las cuales el </w:t>
      </w:r>
      <w:proofErr w:type="spellStart"/>
      <w:r w:rsidRPr="001D11E4">
        <w:rPr>
          <w:bCs/>
          <w:iCs/>
          <w:color w:val="auto"/>
          <w:sz w:val="20"/>
          <w:szCs w:val="20"/>
          <w:lang w:eastAsia="en-US"/>
        </w:rPr>
        <w:t>SandBox</w:t>
      </w:r>
      <w:proofErr w:type="spellEnd"/>
      <w:r w:rsidRPr="001D11E4">
        <w:rPr>
          <w:bCs/>
          <w:iCs/>
          <w:color w:val="auto"/>
          <w:sz w:val="20"/>
          <w:szCs w:val="20"/>
          <w:lang w:eastAsia="en-US"/>
        </w:rPr>
        <w:t xml:space="preserve"> Regulatorio debe aplicarse. Asimismo, una normativa que recoja lo anterior y brinde claridad, transparencia, así como funcionalidad del Sandbox Regulatorio. </w:t>
      </w:r>
    </w:p>
    <w:p w14:paraId="1185BA79" w14:textId="77777777" w:rsidR="001D11E4" w:rsidRPr="001D11E4" w:rsidRDefault="001D11E4" w:rsidP="001D11E4">
      <w:pPr>
        <w:widowControl/>
        <w:numPr>
          <w:ilvl w:val="1"/>
          <w:numId w:val="15"/>
        </w:numPr>
        <w:autoSpaceDE/>
        <w:autoSpaceDN/>
        <w:adjustRightInd/>
        <w:contextualSpacing/>
        <w:rPr>
          <w:bCs/>
          <w:iCs/>
          <w:color w:val="auto"/>
          <w:sz w:val="20"/>
          <w:szCs w:val="20"/>
          <w:lang w:eastAsia="en-US"/>
        </w:rPr>
      </w:pPr>
      <w:r w:rsidRPr="001D11E4">
        <w:rPr>
          <w:bCs/>
          <w:iCs/>
          <w:color w:val="auto"/>
          <w:sz w:val="20"/>
          <w:szCs w:val="20"/>
          <w:lang w:eastAsia="en-US"/>
        </w:rPr>
        <w:t>Manual de procedimientos Sandbox</w:t>
      </w:r>
    </w:p>
    <w:p w14:paraId="64954DE2" w14:textId="77777777" w:rsidR="008E2B8D" w:rsidRDefault="008E2B8D" w:rsidP="008E2B8D">
      <w:pPr>
        <w:jc w:val="both"/>
        <w:rPr>
          <w:rFonts w:asciiTheme="minorHAnsi" w:hAnsiTheme="minorHAnsi" w:cs="Times New Roman"/>
          <w:color w:val="auto"/>
        </w:rPr>
      </w:pPr>
    </w:p>
    <w:sectPr w:rsidR="008E2B8D" w:rsidSect="008E2B8D">
      <w:headerReference w:type="default" r:id="rId18"/>
      <w:pgSz w:w="11907" w:h="16840"/>
      <w:pgMar w:top="1080" w:right="1017"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A984D" w14:textId="77777777" w:rsidR="00675DD4" w:rsidRDefault="00675DD4">
      <w:r>
        <w:separator/>
      </w:r>
    </w:p>
  </w:endnote>
  <w:endnote w:type="continuationSeparator" w:id="0">
    <w:p w14:paraId="37203674" w14:textId="77777777" w:rsidR="00675DD4" w:rsidRDefault="00675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18049" w14:textId="77777777" w:rsidR="00675DD4" w:rsidRDefault="00675DD4">
      <w:r>
        <w:separator/>
      </w:r>
    </w:p>
  </w:footnote>
  <w:footnote w:type="continuationSeparator" w:id="0">
    <w:p w14:paraId="3F73E19F" w14:textId="77777777" w:rsidR="00675DD4" w:rsidRDefault="00675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061B7814" w:rsidR="00D761FB" w:rsidRDefault="008E2B8D">
    <w:pPr>
      <w:pStyle w:val="Header"/>
    </w:pPr>
    <w:r>
      <w:rPr>
        <w:noProof/>
      </w:rPr>
      <w:drawing>
        <wp:inline distT="0" distB="0" distL="0" distR="0" wp14:anchorId="66DA5BAC" wp14:editId="61FBCF77">
          <wp:extent cx="1952625" cy="495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528A"/>
    <w:multiLevelType w:val="hybridMultilevel"/>
    <w:tmpl w:val="0AE2D466"/>
    <w:lvl w:ilvl="0" w:tplc="551ED940">
      <w:start w:val="1"/>
      <w:numFmt w:val="bullet"/>
      <w:lvlText w:val="-"/>
      <w:lvlJc w:val="left"/>
      <w:pPr>
        <w:ind w:left="720" w:hanging="360"/>
      </w:pPr>
      <w:rPr>
        <w:rFonts w:ascii="Calibri" w:eastAsia="Calibr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1EE4021"/>
    <w:multiLevelType w:val="multilevel"/>
    <w:tmpl w:val="D4848C46"/>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6E2AF9"/>
    <w:multiLevelType w:val="hybridMultilevel"/>
    <w:tmpl w:val="96327B7E"/>
    <w:lvl w:ilvl="0" w:tplc="0409000F">
      <w:start w:val="1"/>
      <w:numFmt w:val="decimal"/>
      <w:lvlText w:val="%1."/>
      <w:lvlJc w:val="left"/>
      <w:pPr>
        <w:ind w:left="1512" w:hanging="360"/>
      </w:pPr>
      <w:rPr>
        <w:rFonts w:hint="default"/>
      </w:rPr>
    </w:lvl>
    <w:lvl w:ilvl="1" w:tplc="2C0A0017">
      <w:start w:val="1"/>
      <w:numFmt w:val="lowerLetter"/>
      <w:lvlText w:val="%2)"/>
      <w:lvlJc w:val="left"/>
      <w:pPr>
        <w:ind w:left="2232" w:hanging="360"/>
      </w:pPr>
      <w:rPr>
        <w:rFonts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3"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888501F"/>
    <w:multiLevelType w:val="hybridMultilevel"/>
    <w:tmpl w:val="1264CA38"/>
    <w:lvl w:ilvl="0" w:tplc="551ED940">
      <w:start w:val="1"/>
      <w:numFmt w:val="bullet"/>
      <w:lvlText w:val="-"/>
      <w:lvlJc w:val="left"/>
      <w:pPr>
        <w:ind w:left="720" w:hanging="360"/>
      </w:pPr>
      <w:rPr>
        <w:rFonts w:ascii="Calibri" w:eastAsia="Calibr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D4F150C"/>
    <w:multiLevelType w:val="multilevel"/>
    <w:tmpl w:val="3FAABBC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24731388"/>
    <w:multiLevelType w:val="hybridMultilevel"/>
    <w:tmpl w:val="1818A6B0"/>
    <w:lvl w:ilvl="0" w:tplc="2C0A0001">
      <w:start w:val="1"/>
      <w:numFmt w:val="bullet"/>
      <w:lvlText w:val=""/>
      <w:lvlJc w:val="left"/>
      <w:pPr>
        <w:ind w:left="1512" w:hanging="360"/>
      </w:pPr>
      <w:rPr>
        <w:rFonts w:ascii="Symbol" w:hAnsi="Symbol" w:hint="default"/>
      </w:rPr>
    </w:lvl>
    <w:lvl w:ilvl="1" w:tplc="2C0A0003" w:tentative="1">
      <w:start w:val="1"/>
      <w:numFmt w:val="bullet"/>
      <w:lvlText w:val="o"/>
      <w:lvlJc w:val="left"/>
      <w:pPr>
        <w:ind w:left="2232" w:hanging="360"/>
      </w:pPr>
      <w:rPr>
        <w:rFonts w:ascii="Courier New" w:hAnsi="Courier New" w:cs="Courier New" w:hint="default"/>
      </w:rPr>
    </w:lvl>
    <w:lvl w:ilvl="2" w:tplc="2C0A0005" w:tentative="1">
      <w:start w:val="1"/>
      <w:numFmt w:val="bullet"/>
      <w:lvlText w:val=""/>
      <w:lvlJc w:val="left"/>
      <w:pPr>
        <w:ind w:left="2952" w:hanging="360"/>
      </w:pPr>
      <w:rPr>
        <w:rFonts w:ascii="Wingdings" w:hAnsi="Wingdings" w:hint="default"/>
      </w:rPr>
    </w:lvl>
    <w:lvl w:ilvl="3" w:tplc="2C0A0001" w:tentative="1">
      <w:start w:val="1"/>
      <w:numFmt w:val="bullet"/>
      <w:lvlText w:val=""/>
      <w:lvlJc w:val="left"/>
      <w:pPr>
        <w:ind w:left="3672" w:hanging="360"/>
      </w:pPr>
      <w:rPr>
        <w:rFonts w:ascii="Symbol" w:hAnsi="Symbol" w:hint="default"/>
      </w:rPr>
    </w:lvl>
    <w:lvl w:ilvl="4" w:tplc="2C0A0003" w:tentative="1">
      <w:start w:val="1"/>
      <w:numFmt w:val="bullet"/>
      <w:lvlText w:val="o"/>
      <w:lvlJc w:val="left"/>
      <w:pPr>
        <w:ind w:left="4392" w:hanging="360"/>
      </w:pPr>
      <w:rPr>
        <w:rFonts w:ascii="Courier New" w:hAnsi="Courier New" w:cs="Courier New" w:hint="default"/>
      </w:rPr>
    </w:lvl>
    <w:lvl w:ilvl="5" w:tplc="2C0A0005" w:tentative="1">
      <w:start w:val="1"/>
      <w:numFmt w:val="bullet"/>
      <w:lvlText w:val=""/>
      <w:lvlJc w:val="left"/>
      <w:pPr>
        <w:ind w:left="5112" w:hanging="360"/>
      </w:pPr>
      <w:rPr>
        <w:rFonts w:ascii="Wingdings" w:hAnsi="Wingdings" w:hint="default"/>
      </w:rPr>
    </w:lvl>
    <w:lvl w:ilvl="6" w:tplc="2C0A0001" w:tentative="1">
      <w:start w:val="1"/>
      <w:numFmt w:val="bullet"/>
      <w:lvlText w:val=""/>
      <w:lvlJc w:val="left"/>
      <w:pPr>
        <w:ind w:left="5832" w:hanging="360"/>
      </w:pPr>
      <w:rPr>
        <w:rFonts w:ascii="Symbol" w:hAnsi="Symbol" w:hint="default"/>
      </w:rPr>
    </w:lvl>
    <w:lvl w:ilvl="7" w:tplc="2C0A0003" w:tentative="1">
      <w:start w:val="1"/>
      <w:numFmt w:val="bullet"/>
      <w:lvlText w:val="o"/>
      <w:lvlJc w:val="left"/>
      <w:pPr>
        <w:ind w:left="6552" w:hanging="360"/>
      </w:pPr>
      <w:rPr>
        <w:rFonts w:ascii="Courier New" w:hAnsi="Courier New" w:cs="Courier New" w:hint="default"/>
      </w:rPr>
    </w:lvl>
    <w:lvl w:ilvl="8" w:tplc="2C0A0005" w:tentative="1">
      <w:start w:val="1"/>
      <w:numFmt w:val="bullet"/>
      <w:lvlText w:val=""/>
      <w:lvlJc w:val="left"/>
      <w:pPr>
        <w:ind w:left="7272" w:hanging="360"/>
      </w:pPr>
      <w:rPr>
        <w:rFonts w:ascii="Wingdings" w:hAnsi="Wingdings" w:hint="default"/>
      </w:rPr>
    </w:lvl>
  </w:abstractNum>
  <w:abstractNum w:abstractNumId="7" w15:restartNumberingAfterBreak="0">
    <w:nsid w:val="2AF95759"/>
    <w:multiLevelType w:val="hybridMultilevel"/>
    <w:tmpl w:val="2A44CA6E"/>
    <w:lvl w:ilvl="0" w:tplc="A2FABA78">
      <w:start w:val="1"/>
      <w:numFmt w:val="lowerRoman"/>
      <w:lvlText w:val="%1)"/>
      <w:lvlJc w:val="left"/>
      <w:pPr>
        <w:ind w:left="2160" w:hanging="720"/>
      </w:pPr>
      <w:rPr>
        <w:rFonts w:hint="default"/>
      </w:rPr>
    </w:lvl>
    <w:lvl w:ilvl="1" w:tplc="2C0A0019" w:tentative="1">
      <w:start w:val="1"/>
      <w:numFmt w:val="lowerLetter"/>
      <w:lvlText w:val="%2."/>
      <w:lvlJc w:val="left"/>
      <w:pPr>
        <w:ind w:left="2520" w:hanging="360"/>
      </w:pPr>
    </w:lvl>
    <w:lvl w:ilvl="2" w:tplc="2C0A001B" w:tentative="1">
      <w:start w:val="1"/>
      <w:numFmt w:val="lowerRoman"/>
      <w:lvlText w:val="%3."/>
      <w:lvlJc w:val="right"/>
      <w:pPr>
        <w:ind w:left="3240" w:hanging="180"/>
      </w:pPr>
    </w:lvl>
    <w:lvl w:ilvl="3" w:tplc="2C0A000F" w:tentative="1">
      <w:start w:val="1"/>
      <w:numFmt w:val="decimal"/>
      <w:lvlText w:val="%4."/>
      <w:lvlJc w:val="left"/>
      <w:pPr>
        <w:ind w:left="3960" w:hanging="360"/>
      </w:pPr>
    </w:lvl>
    <w:lvl w:ilvl="4" w:tplc="2C0A0019" w:tentative="1">
      <w:start w:val="1"/>
      <w:numFmt w:val="lowerLetter"/>
      <w:lvlText w:val="%5."/>
      <w:lvlJc w:val="left"/>
      <w:pPr>
        <w:ind w:left="4680" w:hanging="360"/>
      </w:pPr>
    </w:lvl>
    <w:lvl w:ilvl="5" w:tplc="2C0A001B" w:tentative="1">
      <w:start w:val="1"/>
      <w:numFmt w:val="lowerRoman"/>
      <w:lvlText w:val="%6."/>
      <w:lvlJc w:val="right"/>
      <w:pPr>
        <w:ind w:left="5400" w:hanging="180"/>
      </w:pPr>
    </w:lvl>
    <w:lvl w:ilvl="6" w:tplc="2C0A000F" w:tentative="1">
      <w:start w:val="1"/>
      <w:numFmt w:val="decimal"/>
      <w:lvlText w:val="%7."/>
      <w:lvlJc w:val="left"/>
      <w:pPr>
        <w:ind w:left="6120" w:hanging="360"/>
      </w:pPr>
    </w:lvl>
    <w:lvl w:ilvl="7" w:tplc="2C0A0019" w:tentative="1">
      <w:start w:val="1"/>
      <w:numFmt w:val="lowerLetter"/>
      <w:lvlText w:val="%8."/>
      <w:lvlJc w:val="left"/>
      <w:pPr>
        <w:ind w:left="6840" w:hanging="360"/>
      </w:pPr>
    </w:lvl>
    <w:lvl w:ilvl="8" w:tplc="2C0A001B" w:tentative="1">
      <w:start w:val="1"/>
      <w:numFmt w:val="lowerRoman"/>
      <w:lvlText w:val="%9."/>
      <w:lvlJc w:val="right"/>
      <w:pPr>
        <w:ind w:left="7560" w:hanging="180"/>
      </w:pPr>
    </w:lvl>
  </w:abstractNum>
  <w:abstractNum w:abstractNumId="8" w15:restartNumberingAfterBreak="0">
    <w:nsid w:val="409129EF"/>
    <w:multiLevelType w:val="hybridMultilevel"/>
    <w:tmpl w:val="8488E7AC"/>
    <w:lvl w:ilvl="0" w:tplc="4F247C3C">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5066229E"/>
    <w:multiLevelType w:val="hybridMultilevel"/>
    <w:tmpl w:val="AA762220"/>
    <w:lvl w:ilvl="0" w:tplc="EBA81A8A">
      <w:start w:val="1"/>
      <w:numFmt w:val="lowerLetter"/>
      <w:lvlText w:val="%1."/>
      <w:lvlJc w:val="left"/>
      <w:pPr>
        <w:ind w:left="599" w:hanging="360"/>
      </w:pPr>
      <w:rPr>
        <w:rFonts w:hint="default"/>
      </w:rPr>
    </w:lvl>
    <w:lvl w:ilvl="1" w:tplc="2C0A0019" w:tentative="1">
      <w:start w:val="1"/>
      <w:numFmt w:val="lowerLetter"/>
      <w:lvlText w:val="%2."/>
      <w:lvlJc w:val="left"/>
      <w:pPr>
        <w:ind w:left="1319" w:hanging="360"/>
      </w:pPr>
    </w:lvl>
    <w:lvl w:ilvl="2" w:tplc="2C0A001B" w:tentative="1">
      <w:start w:val="1"/>
      <w:numFmt w:val="lowerRoman"/>
      <w:lvlText w:val="%3."/>
      <w:lvlJc w:val="right"/>
      <w:pPr>
        <w:ind w:left="2039" w:hanging="180"/>
      </w:pPr>
    </w:lvl>
    <w:lvl w:ilvl="3" w:tplc="2C0A000F" w:tentative="1">
      <w:start w:val="1"/>
      <w:numFmt w:val="decimal"/>
      <w:lvlText w:val="%4."/>
      <w:lvlJc w:val="left"/>
      <w:pPr>
        <w:ind w:left="2759" w:hanging="360"/>
      </w:pPr>
    </w:lvl>
    <w:lvl w:ilvl="4" w:tplc="2C0A0019" w:tentative="1">
      <w:start w:val="1"/>
      <w:numFmt w:val="lowerLetter"/>
      <w:lvlText w:val="%5."/>
      <w:lvlJc w:val="left"/>
      <w:pPr>
        <w:ind w:left="3479" w:hanging="360"/>
      </w:pPr>
    </w:lvl>
    <w:lvl w:ilvl="5" w:tplc="2C0A001B" w:tentative="1">
      <w:start w:val="1"/>
      <w:numFmt w:val="lowerRoman"/>
      <w:lvlText w:val="%6."/>
      <w:lvlJc w:val="right"/>
      <w:pPr>
        <w:ind w:left="4199" w:hanging="180"/>
      </w:pPr>
    </w:lvl>
    <w:lvl w:ilvl="6" w:tplc="2C0A000F" w:tentative="1">
      <w:start w:val="1"/>
      <w:numFmt w:val="decimal"/>
      <w:lvlText w:val="%7."/>
      <w:lvlJc w:val="left"/>
      <w:pPr>
        <w:ind w:left="4919" w:hanging="360"/>
      </w:pPr>
    </w:lvl>
    <w:lvl w:ilvl="7" w:tplc="2C0A0019" w:tentative="1">
      <w:start w:val="1"/>
      <w:numFmt w:val="lowerLetter"/>
      <w:lvlText w:val="%8."/>
      <w:lvlJc w:val="left"/>
      <w:pPr>
        <w:ind w:left="5639" w:hanging="360"/>
      </w:pPr>
    </w:lvl>
    <w:lvl w:ilvl="8" w:tplc="2C0A001B" w:tentative="1">
      <w:start w:val="1"/>
      <w:numFmt w:val="lowerRoman"/>
      <w:lvlText w:val="%9."/>
      <w:lvlJc w:val="right"/>
      <w:pPr>
        <w:ind w:left="6359" w:hanging="180"/>
      </w:pPr>
    </w:lvl>
  </w:abstractNum>
  <w:abstractNum w:abstractNumId="10" w15:restartNumberingAfterBreak="0">
    <w:nsid w:val="50894CB0"/>
    <w:multiLevelType w:val="multilevel"/>
    <w:tmpl w:val="A5066564"/>
    <w:lvl w:ilvl="0">
      <w:start w:val="1"/>
      <w:numFmt w:val="lowerRoman"/>
      <w:lvlText w:val="%1)"/>
      <w:lvlJc w:val="left"/>
      <w:pPr>
        <w:ind w:left="1800" w:hanging="360"/>
      </w:pPr>
      <w:rPr>
        <w:rFonts w:ascii="Calibri" w:eastAsia="Calibri" w:hAnsi="Calibri" w:cs="Calibri"/>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15:restartNumberingAfterBreak="0">
    <w:nsid w:val="595E4133"/>
    <w:multiLevelType w:val="hybridMultilevel"/>
    <w:tmpl w:val="048A9086"/>
    <w:lvl w:ilvl="0" w:tplc="2E3C106C">
      <w:numFmt w:val="bullet"/>
      <w:lvlText w:val="•"/>
      <w:lvlJc w:val="left"/>
      <w:pPr>
        <w:ind w:left="1440" w:hanging="72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DCE014E"/>
    <w:multiLevelType w:val="hybridMultilevel"/>
    <w:tmpl w:val="A260F024"/>
    <w:lvl w:ilvl="0" w:tplc="23828952">
      <w:start w:val="1"/>
      <w:numFmt w:val="decimal"/>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3" w15:restartNumberingAfterBreak="0">
    <w:nsid w:val="605C76A9"/>
    <w:multiLevelType w:val="multilevel"/>
    <w:tmpl w:val="EADC810A"/>
    <w:lvl w:ilvl="0">
      <w:start w:val="1"/>
      <w:numFmt w:val="decimal"/>
      <w:lvlText w:val="%1."/>
      <w:lvlJc w:val="left"/>
      <w:pPr>
        <w:ind w:left="360" w:hanging="360"/>
      </w:pPr>
    </w:lvl>
    <w:lvl w:ilvl="1">
      <w:start w:val="1"/>
      <w:numFmt w:val="decimal"/>
      <w:lvlText w:val="%1.%2."/>
      <w:lvlJc w:val="left"/>
      <w:pPr>
        <w:ind w:left="792" w:hanging="432"/>
      </w:pPr>
      <w:rPr>
        <w:rFonts w:ascii="Calibri" w:eastAsia="Calibri" w:hAnsi="Calibri" w:cs="Calibri"/>
        <w:b/>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74A2A69"/>
    <w:multiLevelType w:val="hybridMultilevel"/>
    <w:tmpl w:val="6F5205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2820828">
    <w:abstractNumId w:val="10"/>
  </w:num>
  <w:num w:numId="2" w16cid:durableId="68429660">
    <w:abstractNumId w:val="5"/>
  </w:num>
  <w:num w:numId="3" w16cid:durableId="938832111">
    <w:abstractNumId w:val="13"/>
  </w:num>
  <w:num w:numId="4" w16cid:durableId="1052076099">
    <w:abstractNumId w:val="12"/>
  </w:num>
  <w:num w:numId="5" w16cid:durableId="339279943">
    <w:abstractNumId w:val="7"/>
  </w:num>
  <w:num w:numId="6" w16cid:durableId="1122069548">
    <w:abstractNumId w:val="0"/>
  </w:num>
  <w:num w:numId="7" w16cid:durableId="759640973">
    <w:abstractNumId w:val="1"/>
  </w:num>
  <w:num w:numId="8" w16cid:durableId="1439105033">
    <w:abstractNumId w:val="4"/>
  </w:num>
  <w:num w:numId="9" w16cid:durableId="278416087">
    <w:abstractNumId w:val="14"/>
  </w:num>
  <w:num w:numId="10" w16cid:durableId="1624651880">
    <w:abstractNumId w:val="3"/>
  </w:num>
  <w:num w:numId="11" w16cid:durableId="917859924">
    <w:abstractNumId w:val="11"/>
  </w:num>
  <w:num w:numId="12" w16cid:durableId="1262569598">
    <w:abstractNumId w:val="9"/>
  </w:num>
  <w:num w:numId="13" w16cid:durableId="1038705428">
    <w:abstractNumId w:val="6"/>
  </w:num>
  <w:num w:numId="14" w16cid:durableId="1226447781">
    <w:abstractNumId w:val="8"/>
  </w:num>
  <w:num w:numId="15" w16cid:durableId="1487092586">
    <w:abstractNumId w:val="15"/>
  </w:num>
  <w:num w:numId="16" w16cid:durableId="14758359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4AD6"/>
    <w:rsid w:val="00075A5F"/>
    <w:rsid w:val="000C118D"/>
    <w:rsid w:val="000D5283"/>
    <w:rsid w:val="00146E7C"/>
    <w:rsid w:val="00166273"/>
    <w:rsid w:val="00195118"/>
    <w:rsid w:val="001C1EA2"/>
    <w:rsid w:val="001C6DB2"/>
    <w:rsid w:val="001D11E4"/>
    <w:rsid w:val="001F2366"/>
    <w:rsid w:val="00201995"/>
    <w:rsid w:val="002044D9"/>
    <w:rsid w:val="00214F77"/>
    <w:rsid w:val="00241DEF"/>
    <w:rsid w:val="00251454"/>
    <w:rsid w:val="002E5284"/>
    <w:rsid w:val="0032652C"/>
    <w:rsid w:val="0033066F"/>
    <w:rsid w:val="00354EF6"/>
    <w:rsid w:val="00360ACB"/>
    <w:rsid w:val="003800C7"/>
    <w:rsid w:val="003E2C20"/>
    <w:rsid w:val="003F5CA1"/>
    <w:rsid w:val="004003E8"/>
    <w:rsid w:val="0040472C"/>
    <w:rsid w:val="00423B30"/>
    <w:rsid w:val="00423E38"/>
    <w:rsid w:val="00463054"/>
    <w:rsid w:val="004A3654"/>
    <w:rsid w:val="004C0B86"/>
    <w:rsid w:val="004C45AE"/>
    <w:rsid w:val="004D51F3"/>
    <w:rsid w:val="004E049F"/>
    <w:rsid w:val="0051231A"/>
    <w:rsid w:val="0052634A"/>
    <w:rsid w:val="00544F2D"/>
    <w:rsid w:val="00546C8D"/>
    <w:rsid w:val="00556C08"/>
    <w:rsid w:val="005673D5"/>
    <w:rsid w:val="0056772C"/>
    <w:rsid w:val="005B434A"/>
    <w:rsid w:val="005C2B9F"/>
    <w:rsid w:val="005C52C6"/>
    <w:rsid w:val="006071D7"/>
    <w:rsid w:val="00637714"/>
    <w:rsid w:val="00675DD4"/>
    <w:rsid w:val="006B1C8F"/>
    <w:rsid w:val="006C3B20"/>
    <w:rsid w:val="007001EE"/>
    <w:rsid w:val="00740553"/>
    <w:rsid w:val="0078460F"/>
    <w:rsid w:val="00790130"/>
    <w:rsid w:val="008171F3"/>
    <w:rsid w:val="008577C4"/>
    <w:rsid w:val="00857C68"/>
    <w:rsid w:val="008605E4"/>
    <w:rsid w:val="00891E3C"/>
    <w:rsid w:val="00897ECF"/>
    <w:rsid w:val="008C7908"/>
    <w:rsid w:val="008E2B8D"/>
    <w:rsid w:val="00901303"/>
    <w:rsid w:val="0090355D"/>
    <w:rsid w:val="0090501E"/>
    <w:rsid w:val="00913640"/>
    <w:rsid w:val="00A15B62"/>
    <w:rsid w:val="00A37CA7"/>
    <w:rsid w:val="00A438EB"/>
    <w:rsid w:val="00A836B7"/>
    <w:rsid w:val="00A838F0"/>
    <w:rsid w:val="00A83D94"/>
    <w:rsid w:val="00A8738A"/>
    <w:rsid w:val="00A97AE4"/>
    <w:rsid w:val="00AB4BCA"/>
    <w:rsid w:val="00AC4433"/>
    <w:rsid w:val="00AD6E3D"/>
    <w:rsid w:val="00AE7268"/>
    <w:rsid w:val="00B17BF0"/>
    <w:rsid w:val="00B24F99"/>
    <w:rsid w:val="00B27293"/>
    <w:rsid w:val="00B747D9"/>
    <w:rsid w:val="00BC02E9"/>
    <w:rsid w:val="00BF0B50"/>
    <w:rsid w:val="00BF2CB1"/>
    <w:rsid w:val="00BF5CD3"/>
    <w:rsid w:val="00C27587"/>
    <w:rsid w:val="00C4263C"/>
    <w:rsid w:val="00C42B39"/>
    <w:rsid w:val="00C439C0"/>
    <w:rsid w:val="00C54963"/>
    <w:rsid w:val="00C56896"/>
    <w:rsid w:val="00C90263"/>
    <w:rsid w:val="00C94EA8"/>
    <w:rsid w:val="00CA1817"/>
    <w:rsid w:val="00CA7C9E"/>
    <w:rsid w:val="00CD2A27"/>
    <w:rsid w:val="00CD36BB"/>
    <w:rsid w:val="00CD4904"/>
    <w:rsid w:val="00CD5424"/>
    <w:rsid w:val="00CE0491"/>
    <w:rsid w:val="00D058A7"/>
    <w:rsid w:val="00D14ABA"/>
    <w:rsid w:val="00D72092"/>
    <w:rsid w:val="00D761FB"/>
    <w:rsid w:val="00DE327F"/>
    <w:rsid w:val="00E24039"/>
    <w:rsid w:val="00E277C5"/>
    <w:rsid w:val="00E40F18"/>
    <w:rsid w:val="00E82ED1"/>
    <w:rsid w:val="00E90C6D"/>
    <w:rsid w:val="00ED012E"/>
    <w:rsid w:val="00ED265F"/>
    <w:rsid w:val="00ED4D33"/>
    <w:rsid w:val="00F167B1"/>
    <w:rsid w:val="00F45D9C"/>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CD5424"/>
    <w:rPr>
      <w:color w:val="605E5C"/>
      <w:shd w:val="clear" w:color="auto" w:fill="E1DFDD"/>
    </w:rPr>
  </w:style>
  <w:style w:type="paragraph" w:styleId="ListParagraph">
    <w:name w:val="List Paragraph"/>
    <w:basedOn w:val="Normal"/>
    <w:link w:val="ListParagraphChar"/>
    <w:uiPriority w:val="34"/>
    <w:qFormat/>
    <w:rsid w:val="008E2B8D"/>
    <w:pPr>
      <w:widowControl/>
      <w:autoSpaceDE/>
      <w:autoSpaceDN/>
      <w:adjustRightInd/>
      <w:ind w:left="720"/>
      <w:contextualSpacing/>
    </w:pPr>
    <w:rPr>
      <w:rFonts w:eastAsia="Arial"/>
      <w:color w:val="auto"/>
      <w:sz w:val="20"/>
      <w:szCs w:val="20"/>
    </w:rPr>
  </w:style>
  <w:style w:type="character" w:customStyle="1" w:styleId="normaltextrun">
    <w:name w:val="normaltextrun"/>
    <w:basedOn w:val="DefaultParagraphFont"/>
    <w:rsid w:val="008E2B8D"/>
  </w:style>
  <w:style w:type="table" w:styleId="TableGrid">
    <w:name w:val="Table Grid"/>
    <w:basedOn w:val="TableNormal"/>
    <w:uiPriority w:val="59"/>
    <w:rsid w:val="00A873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1D11E4"/>
    <w:rPr>
      <w:rFonts w:ascii="Arial" w:eastAsia="Arial" w:hAnsi="Arial" w:cs="Arial"/>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adb.org/en/project/AR-T1273" TargetMode="External"/><Relationship Id="rId18" Type="http://schemas.openxmlformats.org/officeDocument/2006/relationships/header" Target="header1.xml"/><Relationship Id="rId26" Type="http://schemas.openxmlformats.org/officeDocument/2006/relationships/customXml" Target="../customXml/item6.xml"/><Relationship Id="rId21" Type="http://schemas.openxmlformats.org/officeDocument/2006/relationships/customXml" Target="../customXml/item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iadb.org/en/project/AR-T1273" TargetMode="External"/><Relationship Id="rId25" Type="http://schemas.openxmlformats.org/officeDocument/2006/relationships/customXml" Target="../customXml/item5.xml"/><Relationship Id="rId16" Type="http://schemas.openxmlformats.org/officeDocument/2006/relationships/hyperlink" Target="http://www.iadb.org" TargetMode="External"/><Relationship Id="rId20" Type="http://schemas.openxmlformats.org/officeDocument/2006/relationships/theme" Target="theme/theme1.xml"/><Relationship Id="rId11" Type="http://schemas.openxmlformats.org/officeDocument/2006/relationships/footnotes" Target="footnotes.xml"/><Relationship Id="rId24" Type="http://schemas.openxmlformats.org/officeDocument/2006/relationships/customXml" Target="../customXml/item4.xml"/><Relationship Id="rId15" Type="http://schemas.openxmlformats.org/officeDocument/2006/relationships/hyperlink" Target="http://www.iadb.org/document.cfm?id=38988613" TargetMode="External"/><Relationship Id="rId23" Type="http://schemas.openxmlformats.org/officeDocument/2006/relationships/customXml" Target="../customXml/item3.xml"/><Relationship Id="rId10" Type="http://schemas.openxmlformats.org/officeDocument/2006/relationships/webSettings" Target="webSettings.xml"/><Relationship Id="rId19"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BE893CF9FC1F5041803E4A9F75AB855F" ma:contentTypeVersion="0" ma:contentTypeDescription="The base project type from which other project content types inherit their information." ma:contentTypeScope="" ma:versionID="fec09773ee3fbc2a6ca9fb546a514cbc">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CSC/CAR</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ATN/OC-19424-AR</Approval_x0020_Number>
    <Phase xmlns="cdc7663a-08f0-4737-9e8c-148ce897a09c">PHASE_IMPLEMENTATION</Phase>
    <Document_x0020_Author xmlns="cdc7663a-08f0-4737-9e8c-148ce897a09c">Fernandini Puga Manuel Pablo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CAPITAL MARKET DEVELOPMENT</TermName>
          <TermId xmlns="http://schemas.microsoft.com/office/infopath/2007/PartnerControls">8f0f4dc0-0338-4be4-bcb0-462d4594a258</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69</Value>
      <Value>11</Value>
      <Value>67</Value>
      <Value>386</Value>
      <Value>28</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AR-T1273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EZIDB0000033-103435534-25</_dlc_DocId>
    <_dlc_DocIdUrl xmlns="cdc7663a-08f0-4737-9e8c-148ce897a09c">
      <Url>https://idbg.sharepoint.com/teams/EZ-AR-TCP/AR-T1273/_layouts/15/DocIdRedir.aspx?ID=EZIDB0000033-103435534-25</Url>
      <Description>EZIDB0000033-103435534-25</Description>
    </_dlc_DocIdUrl>
  </documentManagement>
</p:properties>
</file>

<file path=customXml/itemProps1.xml><?xml version="1.0" encoding="utf-8"?>
<ds:datastoreItem xmlns:ds="http://schemas.openxmlformats.org/officeDocument/2006/customXml" ds:itemID="{1F852ED7-35C6-4C05-88EA-4EF2BE746F18}"/>
</file>

<file path=customXml/itemProps2.xml><?xml version="1.0" encoding="utf-8"?>
<ds:datastoreItem xmlns:ds="http://schemas.openxmlformats.org/officeDocument/2006/customXml" ds:itemID="{407B45E7-8FF7-4861-8D43-C292AFD40274}"/>
</file>

<file path=customXml/itemProps3.xml><?xml version="1.0" encoding="utf-8"?>
<ds:datastoreItem xmlns:ds="http://schemas.openxmlformats.org/officeDocument/2006/customXml" ds:itemID="{DA90197A-DF75-45EC-995F-0FE4762DDDAF}"/>
</file>

<file path=customXml/itemProps4.xml><?xml version="1.0" encoding="utf-8"?>
<ds:datastoreItem xmlns:ds="http://schemas.openxmlformats.org/officeDocument/2006/customXml" ds:itemID="{3A7F6023-C5DD-4871-97DC-0099B4797ABE}"/>
</file>

<file path=customXml/itemProps5.xml><?xml version="1.0" encoding="utf-8"?>
<ds:datastoreItem xmlns:ds="http://schemas.openxmlformats.org/officeDocument/2006/customXml" ds:itemID="{DCA97224-33B1-4464-ADC2-2AC3940CA08A}"/>
</file>

<file path=customXml/itemProps6.xml><?xml version="1.0" encoding="utf-8"?>
<ds:datastoreItem xmlns:ds="http://schemas.openxmlformats.org/officeDocument/2006/customXml" ds:itemID="{2E12B72B-34E6-4921-B292-26414FD030E5}"/>
</file>

<file path=docProps/app.xml><?xml version="1.0" encoding="utf-8"?>
<Properties xmlns="http://schemas.openxmlformats.org/officeDocument/2006/extended-properties" xmlns:vt="http://schemas.openxmlformats.org/officeDocument/2006/docPropsVTypes">
  <Template>Normal</Template>
  <TotalTime>131</TotalTime>
  <Pages>5</Pages>
  <Words>1922</Words>
  <Characters>10957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Felicitas Cappello</cp:lastModifiedBy>
  <cp:revision>35</cp:revision>
  <cp:lastPrinted>2015-01-20T22:56:00Z</cp:lastPrinted>
  <dcterms:created xsi:type="dcterms:W3CDTF">2022-11-16T13:53:00Z</dcterms:created>
  <dcterms:modified xsi:type="dcterms:W3CDTF">2023-04-05T10:22:00Z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0x010100ACF722E9F6B0B149B0CD8BE2560A667200BE893CF9FC1F5041803E4A9F75AB855F</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28;#Argentina|eb1b705c-195f-4c3b-9661-b201f2fee3c5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11;#Goods and Services|5bfebf1b-9f1f-4411-b1dd-4c19b807b799</vt:lpwstr>
  </property>
  <property fmtid="{D5CDD505-2E9C-101B-9397-08002B2CF9AE}" pid="10" name="Sector_x0020_IDB">
    <vt:lpwstr/>
  </property>
  <property fmtid="{D5CDD505-2E9C-101B-9397-08002B2CF9AE}" pid="11" name="Sub-Sector">
    <vt:lpwstr>386;#CAPITAL MARKET DEVELOPMENT|8f0f4dc0-0338-4be4-bcb0-462d4594a258</vt:lpwstr>
  </property>
  <property fmtid="{D5CDD505-2E9C-101B-9397-08002B2CF9AE}" pid="13" name="Fund IDB">
    <vt:lpwstr>69;#TBD|d62f6e05-3e80-4abd-9bb4-5f10b4906ff6</vt:lpwstr>
  </property>
  <property fmtid="{D5CDD505-2E9C-101B-9397-08002B2CF9AE}" pid="14" name="Sector IDB">
    <vt:lpwstr>67;#FINANCIAL MARKETS|75500f29-2419-473a-bcd8-84901ddc2aa7</vt:lpwstr>
  </property>
  <property fmtid="{D5CDD505-2E9C-101B-9397-08002B2CF9AE}" pid="15" name="_dlc_DocIdItemGuid">
    <vt:lpwstr>ca384355-2a0c-43c8-b119-da29cfa59378</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