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329C08EE" w:rsidR="00D761FB" w:rsidRPr="00D14ABA"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AR"/>
        </w:rPr>
      </w:pPr>
      <w:r w:rsidRPr="00D14ABA">
        <w:rPr>
          <w:rFonts w:asciiTheme="minorHAnsi" w:hAnsiTheme="minorHAnsi"/>
          <w:lang w:val="es-AR"/>
        </w:rPr>
        <w:t xml:space="preserve">                </w:t>
      </w:r>
    </w:p>
    <w:p w14:paraId="7BC714B6" w14:textId="7E04BD98" w:rsidR="00D761FB" w:rsidRPr="00D14ABA" w:rsidRDefault="00546C8D" w:rsidP="008E2B8D">
      <w:pPr>
        <w:pStyle w:val="Heading1a"/>
        <w:keepNext w:val="0"/>
        <w:keepLines w:val="0"/>
        <w:tabs>
          <w:tab w:val="clear" w:pos="-720"/>
        </w:tabs>
        <w:suppressAutoHyphens w:val="0"/>
        <w:ind w:left="270"/>
        <w:rPr>
          <w:rFonts w:asciiTheme="minorHAnsi" w:eastAsiaTheme="minorEastAsia" w:hAnsiTheme="minorHAnsi" w:cstheme="minorBidi"/>
          <w:sz w:val="28"/>
          <w:szCs w:val="28"/>
          <w:u w:val="single"/>
          <w:lang w:val="es-AR"/>
        </w:rPr>
      </w:pPr>
      <w:r w:rsidRPr="00D14ABA">
        <w:rPr>
          <w:rFonts w:asciiTheme="minorHAnsi" w:eastAsiaTheme="minorEastAsia" w:hAnsiTheme="minorHAnsi" w:cstheme="minorBidi"/>
          <w:smallCaps w:val="0"/>
          <w:sz w:val="28"/>
          <w:szCs w:val="28"/>
          <w:u w:val="single"/>
          <w:lang w:val="es-AR"/>
        </w:rPr>
        <w:t xml:space="preserve">SOLICITUD DE </w:t>
      </w:r>
      <w:r w:rsidR="00E82ED1" w:rsidRPr="00D14ABA">
        <w:rPr>
          <w:rFonts w:asciiTheme="minorHAnsi" w:eastAsiaTheme="minorEastAsia" w:hAnsiTheme="minorHAnsi" w:cstheme="minorBidi"/>
          <w:smallCaps w:val="0"/>
          <w:sz w:val="28"/>
          <w:szCs w:val="28"/>
          <w:u w:val="single"/>
          <w:lang w:val="es-AR"/>
        </w:rPr>
        <w:t xml:space="preserve">EXPRESIONES </w:t>
      </w:r>
      <w:r w:rsidRPr="00D14ABA">
        <w:rPr>
          <w:rFonts w:asciiTheme="minorHAnsi" w:eastAsiaTheme="minorEastAsia" w:hAnsiTheme="minorHAnsi" w:cstheme="minorBidi"/>
          <w:smallCaps w:val="0"/>
          <w:sz w:val="28"/>
          <w:szCs w:val="28"/>
          <w:u w:val="single"/>
          <w:lang w:val="es-AR"/>
        </w:rPr>
        <w:t>DE INTERÉS</w:t>
      </w:r>
    </w:p>
    <w:p w14:paraId="32A39256" w14:textId="77777777" w:rsidR="00D761FB" w:rsidRDefault="00546C8D" w:rsidP="008E2B8D">
      <w:pPr>
        <w:pStyle w:val="Heading1a"/>
        <w:keepNext w:val="0"/>
        <w:keepLines w:val="0"/>
        <w:tabs>
          <w:tab w:val="clear" w:pos="-720"/>
        </w:tabs>
        <w:suppressAutoHyphens w:val="0"/>
        <w:ind w:left="27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rsidP="008E2B8D">
      <w:pPr>
        <w:ind w:left="270"/>
        <w:jc w:val="both"/>
        <w:rPr>
          <w:rFonts w:asciiTheme="minorHAnsi" w:hAnsiTheme="minorHAnsi" w:cs="Times New Roman"/>
          <w:color w:val="auto"/>
        </w:rPr>
      </w:pPr>
    </w:p>
    <w:p w14:paraId="3BCBA36D" w14:textId="2C14EB48" w:rsidR="00423B30" w:rsidRPr="00E40F18" w:rsidRDefault="08202347" w:rsidP="008E2B8D">
      <w:pPr>
        <w:suppressAutoHyphens/>
        <w:ind w:left="270"/>
        <w:rPr>
          <w:rFonts w:asciiTheme="minorHAnsi" w:hAnsiTheme="minorHAnsi" w:cstheme="minorBidi"/>
          <w:color w:val="auto"/>
        </w:rPr>
      </w:pPr>
      <w:r w:rsidRPr="00E40F18">
        <w:rPr>
          <w:rFonts w:asciiTheme="minorHAnsi" w:hAnsiTheme="minorHAnsi" w:cstheme="minorBidi"/>
          <w:color w:val="auto"/>
        </w:rPr>
        <w:t>Selección #:</w:t>
      </w:r>
      <w:r w:rsidR="00CD5424" w:rsidRPr="00E40F18">
        <w:rPr>
          <w:rFonts w:asciiTheme="minorHAnsi" w:hAnsiTheme="minorHAnsi" w:cstheme="minorBidi"/>
          <w:color w:val="auto"/>
        </w:rPr>
        <w:t xml:space="preserve"> </w:t>
      </w:r>
      <w:r w:rsidR="00423B30" w:rsidRPr="00E40F18">
        <w:rPr>
          <w:rFonts w:asciiTheme="minorHAnsi" w:hAnsiTheme="minorHAnsi" w:cstheme="minorBidi"/>
          <w:color w:val="auto"/>
        </w:rPr>
        <w:t>AR-T12</w:t>
      </w:r>
      <w:r w:rsidR="002E5284">
        <w:rPr>
          <w:rFonts w:asciiTheme="minorHAnsi" w:hAnsiTheme="minorHAnsi" w:cstheme="minorBidi"/>
          <w:color w:val="auto"/>
        </w:rPr>
        <w:t>73</w:t>
      </w:r>
      <w:r w:rsidR="00423B30" w:rsidRPr="00E40F18">
        <w:rPr>
          <w:rFonts w:asciiTheme="minorHAnsi" w:hAnsiTheme="minorHAnsi" w:cstheme="minorBidi"/>
          <w:color w:val="auto"/>
        </w:rPr>
        <w:t>-P00</w:t>
      </w:r>
      <w:r w:rsidR="002E5284">
        <w:rPr>
          <w:rFonts w:asciiTheme="minorHAnsi" w:hAnsiTheme="minorHAnsi" w:cstheme="minorBidi"/>
          <w:color w:val="auto"/>
        </w:rPr>
        <w:t>1</w:t>
      </w:r>
    </w:p>
    <w:p w14:paraId="2FE659F0" w14:textId="3EBCDE77" w:rsidR="00D761FB" w:rsidRPr="00E40F18" w:rsidRDefault="08202347" w:rsidP="008E2B8D">
      <w:pPr>
        <w:suppressAutoHyphens/>
        <w:ind w:left="270"/>
        <w:rPr>
          <w:color w:val="auto"/>
        </w:rPr>
      </w:pPr>
      <w:r w:rsidRPr="00E40F18">
        <w:rPr>
          <w:rFonts w:asciiTheme="minorHAnsi" w:hAnsiTheme="minorHAnsi" w:cstheme="minorBidi"/>
          <w:color w:val="auto"/>
        </w:rPr>
        <w:t>Método de selección:</w:t>
      </w:r>
      <w:r w:rsidR="00423B30" w:rsidRPr="00E40F18">
        <w:rPr>
          <w:rFonts w:asciiTheme="minorHAnsi" w:hAnsiTheme="minorHAnsi" w:cstheme="minorBidi"/>
          <w:color w:val="auto"/>
        </w:rPr>
        <w:t xml:space="preserve"> Competitivo Simplificado</w:t>
      </w:r>
    </w:p>
    <w:p w14:paraId="4356DB27" w14:textId="4A8D14EB" w:rsidR="00D761FB" w:rsidRPr="00E40F18" w:rsidRDefault="08202347" w:rsidP="008E2B8D">
      <w:pPr>
        <w:suppressAutoHyphens/>
        <w:ind w:left="270"/>
        <w:rPr>
          <w:rFonts w:asciiTheme="minorHAnsi" w:hAnsiTheme="minorHAnsi" w:cstheme="minorBidi"/>
          <w:i/>
          <w:iCs/>
          <w:color w:val="auto"/>
        </w:rPr>
      </w:pPr>
      <w:r w:rsidRPr="00E40F18">
        <w:rPr>
          <w:rFonts w:asciiTheme="minorHAnsi" w:hAnsiTheme="minorHAnsi" w:cstheme="minorBidi"/>
          <w:color w:val="auto"/>
        </w:rPr>
        <w:t>País:</w:t>
      </w:r>
      <w:r w:rsidR="00423B30" w:rsidRPr="00E40F18">
        <w:rPr>
          <w:rFonts w:asciiTheme="minorHAnsi" w:hAnsiTheme="minorHAnsi" w:cstheme="minorBidi"/>
          <w:color w:val="auto"/>
        </w:rPr>
        <w:t xml:space="preserve"> Argentina </w:t>
      </w:r>
      <w:r w:rsidRPr="00E40F18">
        <w:rPr>
          <w:rFonts w:asciiTheme="minorHAnsi" w:hAnsiTheme="minorHAnsi" w:cstheme="minorBidi"/>
          <w:color w:val="auto"/>
        </w:rPr>
        <w:t xml:space="preserve"> </w:t>
      </w:r>
      <w:r w:rsidRPr="00E40F18">
        <w:rPr>
          <w:rFonts w:asciiTheme="minorHAnsi" w:hAnsiTheme="minorHAnsi" w:cstheme="minorBidi"/>
          <w:i/>
          <w:iCs/>
          <w:color w:val="auto"/>
        </w:rPr>
        <w:t xml:space="preserve"> </w:t>
      </w:r>
    </w:p>
    <w:p w14:paraId="4C834057" w14:textId="61BA646F" w:rsidR="00D761FB" w:rsidRPr="00E40F18" w:rsidRDefault="08202347" w:rsidP="008E2B8D">
      <w:pPr>
        <w:suppressAutoHyphens/>
        <w:ind w:left="270"/>
        <w:rPr>
          <w:rFonts w:asciiTheme="minorHAnsi" w:hAnsiTheme="minorHAnsi" w:cstheme="minorBidi"/>
          <w:i/>
          <w:iCs/>
          <w:color w:val="auto"/>
        </w:rPr>
      </w:pPr>
      <w:r w:rsidRPr="00E40F18">
        <w:rPr>
          <w:rFonts w:asciiTheme="minorHAnsi" w:hAnsiTheme="minorHAnsi" w:cstheme="minorBidi"/>
          <w:i/>
          <w:iCs/>
          <w:color w:val="auto"/>
        </w:rPr>
        <w:t>Sector:</w:t>
      </w:r>
      <w:r w:rsidR="00423B30" w:rsidRPr="00E40F18">
        <w:rPr>
          <w:rFonts w:asciiTheme="minorHAnsi" w:hAnsiTheme="minorHAnsi" w:cstheme="minorBidi"/>
          <w:i/>
          <w:iCs/>
          <w:color w:val="auto"/>
        </w:rPr>
        <w:t xml:space="preserve"> IFD/</w:t>
      </w:r>
      <w:r w:rsidR="002E5284">
        <w:rPr>
          <w:rFonts w:asciiTheme="minorHAnsi" w:hAnsiTheme="minorHAnsi" w:cstheme="minorBidi"/>
          <w:i/>
          <w:iCs/>
          <w:color w:val="auto"/>
        </w:rPr>
        <w:t>CMF</w:t>
      </w:r>
    </w:p>
    <w:p w14:paraId="6868002E" w14:textId="79D4BD7E" w:rsidR="00CD5424" w:rsidRPr="00E40F18" w:rsidRDefault="00CD5424" w:rsidP="008E2B8D">
      <w:pPr>
        <w:pStyle w:val="BodyText"/>
        <w:ind w:left="270"/>
        <w:rPr>
          <w:rFonts w:asciiTheme="minorHAnsi" w:eastAsiaTheme="minorEastAsia" w:hAnsiTheme="minorHAnsi" w:cstheme="minorBidi"/>
          <w:i/>
          <w:iCs/>
          <w:spacing w:val="0"/>
          <w:szCs w:val="24"/>
          <w:lang w:eastAsia="es-AR"/>
        </w:rPr>
      </w:pPr>
      <w:r w:rsidRPr="00E40F18">
        <w:rPr>
          <w:rFonts w:asciiTheme="minorHAnsi" w:eastAsiaTheme="minorEastAsia" w:hAnsiTheme="minorHAnsi" w:cstheme="minorBidi"/>
          <w:i/>
          <w:iCs/>
          <w:spacing w:val="0"/>
          <w:szCs w:val="24"/>
          <w:lang w:eastAsia="es-AR"/>
        </w:rPr>
        <w:t>Proyecto #: AR-T12</w:t>
      </w:r>
      <w:r w:rsidR="002E5284">
        <w:rPr>
          <w:rFonts w:asciiTheme="minorHAnsi" w:eastAsiaTheme="minorEastAsia" w:hAnsiTheme="minorHAnsi" w:cstheme="minorBidi"/>
          <w:i/>
          <w:iCs/>
          <w:spacing w:val="0"/>
          <w:szCs w:val="24"/>
          <w:lang w:eastAsia="es-AR"/>
        </w:rPr>
        <w:t>73</w:t>
      </w:r>
    </w:p>
    <w:p w14:paraId="58D6B015" w14:textId="77777777" w:rsidR="00740553" w:rsidRPr="00E40F18" w:rsidRDefault="00CD5424" w:rsidP="00740553">
      <w:pPr>
        <w:pStyle w:val="BodyText"/>
        <w:ind w:left="270"/>
        <w:rPr>
          <w:rFonts w:asciiTheme="minorHAnsi" w:eastAsiaTheme="minorEastAsia" w:hAnsiTheme="minorHAnsi" w:cstheme="minorBidi"/>
          <w:i/>
          <w:iCs/>
          <w:spacing w:val="0"/>
          <w:szCs w:val="24"/>
          <w:lang w:eastAsia="es-AR"/>
        </w:rPr>
      </w:pPr>
      <w:r w:rsidRPr="00E40F18">
        <w:rPr>
          <w:rFonts w:asciiTheme="minorHAnsi" w:eastAsiaTheme="minorEastAsia" w:hAnsiTheme="minorHAnsi" w:cstheme="minorBidi"/>
          <w:i/>
          <w:iCs/>
          <w:spacing w:val="0"/>
          <w:szCs w:val="24"/>
          <w:lang w:eastAsia="es-AR"/>
        </w:rPr>
        <w:t xml:space="preserve">Nombre del TC: </w:t>
      </w:r>
      <w:r w:rsidR="00740553" w:rsidRPr="00740553">
        <w:rPr>
          <w:rFonts w:asciiTheme="minorHAnsi" w:eastAsiaTheme="minorEastAsia" w:hAnsiTheme="minorHAnsi" w:cstheme="minorBidi"/>
          <w:i/>
          <w:iCs/>
          <w:spacing w:val="0"/>
          <w:szCs w:val="24"/>
          <w:lang w:eastAsia="es-AR"/>
        </w:rPr>
        <w:t>Apoyo al fortalecimiento de la Comisión Nacional de Valores de Argentina</w:t>
      </w:r>
    </w:p>
    <w:p w14:paraId="49232FD9" w14:textId="77777777" w:rsidR="00740553" w:rsidRPr="00E40F18" w:rsidRDefault="00CD5424" w:rsidP="00740553">
      <w:pPr>
        <w:pStyle w:val="BodyText"/>
        <w:ind w:left="270"/>
        <w:rPr>
          <w:rFonts w:asciiTheme="minorHAnsi" w:eastAsiaTheme="minorEastAsia" w:hAnsiTheme="minorHAnsi" w:cstheme="minorBidi"/>
          <w:i/>
          <w:iCs/>
          <w:spacing w:val="0"/>
          <w:szCs w:val="24"/>
          <w:lang w:eastAsia="es-AR"/>
        </w:rPr>
      </w:pPr>
      <w:r w:rsidRPr="00E40F18">
        <w:rPr>
          <w:rFonts w:asciiTheme="minorHAnsi" w:eastAsiaTheme="minorEastAsia" w:hAnsiTheme="minorHAnsi" w:cstheme="minorBidi"/>
          <w:i/>
          <w:iCs/>
          <w:spacing w:val="0"/>
          <w:szCs w:val="24"/>
          <w:lang w:eastAsia="es-AR"/>
        </w:rPr>
        <w:t xml:space="preserve">Descripción de los Servicios: </w:t>
      </w:r>
      <w:r w:rsidR="00740553" w:rsidRPr="005C52C6">
        <w:rPr>
          <w:rFonts w:asciiTheme="minorHAnsi" w:eastAsiaTheme="minorEastAsia" w:hAnsiTheme="minorHAnsi" w:cstheme="minorBidi"/>
          <w:i/>
          <w:iCs/>
          <w:spacing w:val="0"/>
          <w:szCs w:val="24"/>
          <w:lang w:eastAsia="es-AR"/>
        </w:rPr>
        <w:t>Consultoría en back office y desarrollo de contenido web para Hub de Innovación</w:t>
      </w:r>
    </w:p>
    <w:p w14:paraId="3B1BE292" w14:textId="53D692B4" w:rsidR="00CD5424" w:rsidRPr="00E40F18" w:rsidRDefault="08202347" w:rsidP="008E2B8D">
      <w:pPr>
        <w:pStyle w:val="BodyText"/>
        <w:ind w:left="270"/>
        <w:rPr>
          <w:rFonts w:asciiTheme="minorHAnsi" w:eastAsia="Calibri" w:hAnsiTheme="minorHAnsi" w:cstheme="minorBidi"/>
          <w:b/>
          <w:i/>
          <w:iCs/>
        </w:rPr>
      </w:pPr>
      <w:r w:rsidRPr="00E40F18">
        <w:rPr>
          <w:rFonts w:asciiTheme="minorHAnsi" w:eastAsiaTheme="minorEastAsia" w:hAnsiTheme="minorHAnsi" w:cstheme="minorBidi"/>
          <w:i/>
          <w:iCs/>
        </w:rPr>
        <w:t xml:space="preserve">Enlace al documento TC: </w:t>
      </w:r>
      <w:hyperlink r:id="rId13" w:history="1">
        <w:r w:rsidR="00CD5424" w:rsidRPr="00E40F18">
          <w:rPr>
            <w:rStyle w:val="Hyperlink"/>
            <w:rFonts w:asciiTheme="minorHAnsi" w:eastAsia="Calibri" w:hAnsiTheme="minorHAnsi" w:cstheme="minorBidi"/>
            <w:b/>
            <w:i/>
            <w:iCs/>
            <w:color w:val="auto"/>
          </w:rPr>
          <w:t>Cooperación Técnica</w:t>
        </w:r>
      </w:hyperlink>
    </w:p>
    <w:p w14:paraId="18F92703" w14:textId="37CFD1F5" w:rsidR="00D761FB" w:rsidRDefault="00D761FB" w:rsidP="008E2B8D">
      <w:pPr>
        <w:pStyle w:val="BodyText"/>
        <w:ind w:left="270"/>
        <w:rPr>
          <w:rFonts w:asciiTheme="minorHAnsi" w:eastAsiaTheme="minorEastAsia" w:hAnsiTheme="minorHAnsi" w:cstheme="minorBidi"/>
          <w:i/>
          <w:iCs/>
          <w:color w:val="0070C0"/>
        </w:rPr>
      </w:pPr>
    </w:p>
    <w:p w14:paraId="5D15DF79" w14:textId="77777777" w:rsidR="00D761FB" w:rsidRDefault="00D761FB" w:rsidP="008E2B8D">
      <w:pPr>
        <w:pStyle w:val="BodyText"/>
        <w:ind w:left="270"/>
        <w:rPr>
          <w:rFonts w:asciiTheme="minorHAnsi" w:hAnsiTheme="minorHAnsi" w:cstheme="minorHAnsi"/>
          <w:i/>
          <w:color w:val="0070C0"/>
        </w:rPr>
      </w:pPr>
    </w:p>
    <w:p w14:paraId="2C0FC91B" w14:textId="37D0AFC0" w:rsidR="00D761FB" w:rsidRDefault="08202347" w:rsidP="008E2B8D">
      <w:pPr>
        <w:ind w:left="270"/>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4"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D72092">
        <w:rPr>
          <w:rFonts w:asciiTheme="minorHAnsi" w:hAnsiTheme="minorHAnsi" w:cstheme="minorBidi"/>
          <w:color w:val="auto"/>
        </w:rPr>
        <w:t xml:space="preserve">l </w:t>
      </w:r>
      <w:r w:rsidR="00CD4837">
        <w:rPr>
          <w:rFonts w:asciiTheme="minorHAnsi" w:hAnsiTheme="minorHAnsi" w:cstheme="minorBidi"/>
          <w:color w:val="auto"/>
        </w:rPr>
        <w:t>9</w:t>
      </w:r>
      <w:r w:rsidR="00D72092">
        <w:rPr>
          <w:rFonts w:asciiTheme="minorHAnsi" w:hAnsiTheme="minorHAnsi" w:cstheme="minorBidi"/>
          <w:color w:val="auto"/>
        </w:rPr>
        <w:t xml:space="preserve"> de </w:t>
      </w:r>
      <w:r w:rsidR="00CD4837">
        <w:rPr>
          <w:rFonts w:asciiTheme="minorHAnsi" w:hAnsiTheme="minorHAnsi" w:cstheme="minorBidi"/>
          <w:color w:val="auto"/>
        </w:rPr>
        <w:t xml:space="preserve">marzo </w:t>
      </w:r>
      <w:r w:rsidR="00F167B1">
        <w:rPr>
          <w:rFonts w:asciiTheme="minorHAnsi" w:hAnsiTheme="minorHAnsi" w:cstheme="minorBidi"/>
          <w:color w:val="auto"/>
        </w:rPr>
        <w:t>de 2023</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3B4B0DCE" w14:textId="495D739F" w:rsidR="00E90C6D" w:rsidRDefault="00E90C6D" w:rsidP="008E2B8D">
      <w:pPr>
        <w:ind w:left="270"/>
        <w:rPr>
          <w:rFonts w:asciiTheme="minorHAnsi" w:hAnsiTheme="minorHAnsi" w:cstheme="minorBidi"/>
          <w:color w:val="auto"/>
        </w:rPr>
      </w:pPr>
    </w:p>
    <w:p w14:paraId="2CDBF98B" w14:textId="79D2E17A" w:rsidR="00D761FB" w:rsidRDefault="00195118" w:rsidP="008E2B8D">
      <w:pPr>
        <w:ind w:left="270"/>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rsidP="008E2B8D">
      <w:pPr>
        <w:ind w:left="270"/>
        <w:jc w:val="both"/>
        <w:rPr>
          <w:rFonts w:asciiTheme="minorHAnsi" w:hAnsiTheme="minorHAnsi" w:cstheme="minorHAnsi"/>
          <w:lang w:val="es-419"/>
        </w:rPr>
      </w:pPr>
    </w:p>
    <w:p w14:paraId="1E3C3DAD" w14:textId="76C58D04" w:rsidR="00CD5424" w:rsidRPr="00CD5424" w:rsidRDefault="08202347" w:rsidP="008E2B8D">
      <w:pPr>
        <w:suppressAutoHyphens/>
        <w:ind w:left="270"/>
        <w:jc w:val="both"/>
        <w:rPr>
          <w:rFonts w:asciiTheme="minorHAnsi" w:hAnsiTheme="minorHAnsi" w:cstheme="minorBidi"/>
        </w:rPr>
      </w:pPr>
      <w:r w:rsidRPr="08202347">
        <w:rPr>
          <w:rFonts w:asciiTheme="minorHAnsi" w:hAnsiTheme="minorHAnsi" w:cstheme="minorBidi"/>
        </w:rPr>
        <w:t xml:space="preserve">Los servicios de consultoría ("los Servicios") </w:t>
      </w:r>
      <w:r w:rsidR="008E2B8D">
        <w:rPr>
          <w:rFonts w:asciiTheme="minorHAnsi" w:hAnsiTheme="minorHAnsi" w:cstheme="minorBidi"/>
        </w:rPr>
        <w:t>i</w:t>
      </w:r>
      <w:r w:rsidR="008E2B8D" w:rsidRPr="008E2B8D">
        <w:rPr>
          <w:rFonts w:asciiTheme="minorHAnsi" w:hAnsiTheme="minorHAnsi" w:cstheme="minorBidi"/>
        </w:rPr>
        <w:t xml:space="preserve">ncluyen </w:t>
      </w:r>
      <w:r w:rsidR="008E2B8D" w:rsidRPr="008E2B8D">
        <w:rPr>
          <w:rFonts w:asciiTheme="minorHAnsi" w:hAnsiTheme="minorHAnsi" w:cstheme="minorBidi"/>
          <w:i/>
          <w:iCs/>
        </w:rPr>
        <w:t>las actividades destacadas en los términos de referencias adjuntos.</w:t>
      </w:r>
    </w:p>
    <w:p w14:paraId="0816C9ED" w14:textId="77777777" w:rsidR="00CD5424" w:rsidRPr="00CD5424" w:rsidRDefault="00CD5424" w:rsidP="008E2B8D">
      <w:pPr>
        <w:suppressAutoHyphens/>
        <w:ind w:left="270"/>
        <w:jc w:val="both"/>
        <w:rPr>
          <w:rFonts w:asciiTheme="minorHAnsi" w:hAnsiTheme="minorHAnsi" w:cstheme="minorBidi"/>
        </w:rPr>
      </w:pPr>
    </w:p>
    <w:p w14:paraId="35803BFB" w14:textId="5A943D72" w:rsidR="00D761FB" w:rsidRDefault="08202347" w:rsidP="008E2B8D">
      <w:pPr>
        <w:ind w:left="270"/>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rsidP="008E2B8D">
      <w:pPr>
        <w:ind w:left="270"/>
        <w:jc w:val="both"/>
        <w:rPr>
          <w:rFonts w:asciiTheme="minorHAnsi" w:hAnsiTheme="minorHAnsi" w:cs="Times New Roman"/>
          <w:color w:val="auto"/>
        </w:rPr>
      </w:pPr>
    </w:p>
    <w:p w14:paraId="61707059" w14:textId="79793CE1" w:rsidR="00D761FB" w:rsidRDefault="08202347" w:rsidP="008E2B8D">
      <w:pPr>
        <w:ind w:left="270"/>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2F95FFB" w14:textId="749B5C2B" w:rsidR="00D761FB" w:rsidRDefault="00D761FB">
      <w:pPr>
        <w:jc w:val="both"/>
        <w:rPr>
          <w:rFonts w:asciiTheme="minorHAnsi" w:hAnsiTheme="minorHAnsi" w:cs="Times New Roman"/>
          <w:smallCaps/>
          <w:color w:val="4F81BD" w:themeColor="accent1"/>
        </w:rPr>
      </w:pPr>
    </w:p>
    <w:p w14:paraId="072BDAFB" w14:textId="77777777" w:rsidR="00214F77" w:rsidRDefault="00214F77">
      <w:pPr>
        <w:jc w:val="both"/>
        <w:rPr>
          <w:rFonts w:asciiTheme="minorHAnsi" w:hAnsiTheme="minorHAnsi" w:cs="Times New Roman"/>
          <w:smallCaps/>
          <w:color w:val="4F81BD" w:themeColor="accent1"/>
        </w:rPr>
      </w:pPr>
    </w:p>
    <w:p w14:paraId="3D2A3502" w14:textId="77777777" w:rsidR="008E2B8D" w:rsidRDefault="008E2B8D" w:rsidP="08202347">
      <w:pPr>
        <w:jc w:val="both"/>
        <w:rPr>
          <w:rFonts w:asciiTheme="minorHAnsi" w:hAnsiTheme="minorHAnsi" w:cstheme="minorBidi"/>
          <w:color w:val="auto"/>
        </w:rPr>
      </w:pPr>
    </w:p>
    <w:p w14:paraId="0840A5DC" w14:textId="7DD2EDD4" w:rsidR="008E2B8D" w:rsidRPr="008E2B8D" w:rsidRDefault="08202347" w:rsidP="008E2B8D">
      <w:pPr>
        <w:jc w:val="both"/>
        <w:rPr>
          <w:rFonts w:asciiTheme="minorHAnsi" w:hAnsiTheme="minorHAnsi" w:cs="Times New Roman"/>
          <w:color w:val="auto"/>
        </w:rPr>
      </w:pPr>
      <w:r w:rsidRPr="08202347">
        <w:rPr>
          <w:rFonts w:asciiTheme="minorHAnsi" w:hAnsiTheme="minorHAnsi" w:cstheme="minorBidi"/>
          <w:color w:val="auto"/>
        </w:rPr>
        <w:lastRenderedPageBreak/>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w:t>
      </w:r>
      <w:r w:rsidR="008E2B8D" w:rsidRPr="008E2B8D">
        <w:rPr>
          <w:rFonts w:asciiTheme="minorHAnsi" w:hAnsiTheme="minorHAnsi" w:cs="Times New Roman"/>
          <w:color w:val="auto"/>
        </w:rPr>
        <w:t>mediante el envío de un correo electrónico a</w:t>
      </w:r>
    </w:p>
    <w:p w14:paraId="3327B101" w14:textId="444C0158" w:rsidR="008E2B8D" w:rsidRPr="008E2B8D" w:rsidRDefault="00AB4BCA" w:rsidP="008E2B8D">
      <w:pPr>
        <w:jc w:val="both"/>
        <w:rPr>
          <w:rFonts w:asciiTheme="minorHAnsi" w:hAnsiTheme="minorHAnsi" w:cs="Times New Roman"/>
          <w:color w:val="auto"/>
        </w:rPr>
      </w:pPr>
      <w:r>
        <w:rPr>
          <w:rFonts w:asciiTheme="minorHAnsi" w:hAnsiTheme="minorHAnsi" w:cs="Times New Roman"/>
          <w:color w:val="auto"/>
        </w:rPr>
        <w:t>Manuel Fernandini Puga</w:t>
      </w:r>
      <w:r w:rsidR="008E2B8D" w:rsidRPr="008E2B8D">
        <w:rPr>
          <w:rFonts w:asciiTheme="minorHAnsi" w:hAnsiTheme="minorHAnsi" w:cs="Times New Roman"/>
          <w:color w:val="auto"/>
        </w:rPr>
        <w:t xml:space="preserve"> (</w:t>
      </w:r>
      <w:r w:rsidR="008605E4" w:rsidRPr="008605E4">
        <w:rPr>
          <w:rFonts w:asciiTheme="minorHAnsi" w:hAnsiTheme="minorHAnsi" w:cs="Times New Roman"/>
          <w:color w:val="auto"/>
        </w:rPr>
        <w:t>manuelfe@iadb.org</w:t>
      </w:r>
      <w:r w:rsidR="008E2B8D" w:rsidRPr="008E2B8D">
        <w:rPr>
          <w:rFonts w:asciiTheme="minorHAnsi" w:hAnsiTheme="minorHAnsi" w:cs="Times New Roman"/>
          <w:color w:val="auto"/>
        </w:rPr>
        <w:t xml:space="preserve">) con copia a </w:t>
      </w:r>
      <w:r w:rsidR="00D14ABA">
        <w:rPr>
          <w:rFonts w:asciiTheme="minorHAnsi" w:hAnsiTheme="minorHAnsi" w:cs="Times New Roman"/>
          <w:color w:val="auto"/>
        </w:rPr>
        <w:t>Felicitas Cappello</w:t>
      </w:r>
      <w:r w:rsidR="008E2B8D" w:rsidRPr="008E2B8D">
        <w:rPr>
          <w:rFonts w:asciiTheme="minorHAnsi" w:hAnsiTheme="minorHAnsi" w:cs="Times New Roman"/>
          <w:color w:val="auto"/>
        </w:rPr>
        <w:t xml:space="preserve"> (m</w:t>
      </w:r>
      <w:r w:rsidR="00D14ABA">
        <w:rPr>
          <w:rFonts w:asciiTheme="minorHAnsi" w:hAnsiTheme="minorHAnsi" w:cs="Times New Roman"/>
          <w:color w:val="auto"/>
        </w:rPr>
        <w:t>cappello</w:t>
      </w:r>
      <w:r w:rsidR="008E2B8D" w:rsidRPr="008E2B8D">
        <w:rPr>
          <w:rFonts w:asciiTheme="minorHAnsi" w:hAnsiTheme="minorHAnsi" w:cs="Times New Roman"/>
          <w:color w:val="auto"/>
        </w:rPr>
        <w:t xml:space="preserve">@iadb.org). </w:t>
      </w:r>
    </w:p>
    <w:p w14:paraId="76B01623" w14:textId="77777777" w:rsidR="008E2B8D" w:rsidRDefault="008E2B8D" w:rsidP="008E2B8D">
      <w:pPr>
        <w:jc w:val="both"/>
        <w:rPr>
          <w:rFonts w:asciiTheme="minorHAnsi" w:hAnsiTheme="minorHAnsi" w:cs="Times New Roman"/>
          <w:color w:val="auto"/>
        </w:rPr>
      </w:pPr>
    </w:p>
    <w:p w14:paraId="14BE432A" w14:textId="5A3C0373"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 xml:space="preserve">Atención: </w:t>
      </w:r>
      <w:r w:rsidR="008605E4">
        <w:rPr>
          <w:rFonts w:asciiTheme="minorHAnsi" w:hAnsiTheme="minorHAnsi" w:cs="Times New Roman"/>
          <w:color w:val="auto"/>
        </w:rPr>
        <w:t>Manuel Fernandini Puga</w:t>
      </w:r>
    </w:p>
    <w:p w14:paraId="622366E4" w14:textId="77777777"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Banco Interamericano de Desarrollo</w:t>
      </w:r>
    </w:p>
    <w:p w14:paraId="032F215B" w14:textId="323EC915"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División: IFD/</w:t>
      </w:r>
      <w:r w:rsidR="008605E4">
        <w:rPr>
          <w:rFonts w:asciiTheme="minorHAnsi" w:hAnsiTheme="minorHAnsi" w:cs="Times New Roman"/>
          <w:color w:val="auto"/>
        </w:rPr>
        <w:t>CMF</w:t>
      </w:r>
    </w:p>
    <w:p w14:paraId="421F6272" w14:textId="41FEE1D9"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 xml:space="preserve">Tel: </w:t>
      </w:r>
      <w:r w:rsidR="00166273" w:rsidRPr="00166273">
        <w:rPr>
          <w:rFonts w:asciiTheme="minorHAnsi" w:hAnsiTheme="minorHAnsi" w:cs="Times New Roman"/>
          <w:color w:val="auto"/>
        </w:rPr>
        <w:t>(5411) 4320-1812</w:t>
      </w:r>
    </w:p>
    <w:p w14:paraId="491086B5" w14:textId="72BB0DA9" w:rsidR="008E2B8D" w:rsidRPr="008E2B8D" w:rsidRDefault="008E2B8D" w:rsidP="008E2B8D">
      <w:pPr>
        <w:jc w:val="both"/>
        <w:rPr>
          <w:rFonts w:asciiTheme="minorHAnsi" w:hAnsiTheme="minorHAnsi" w:cs="Times New Roman"/>
          <w:color w:val="auto"/>
        </w:rPr>
      </w:pPr>
      <w:r w:rsidRPr="008E2B8D">
        <w:rPr>
          <w:rFonts w:asciiTheme="minorHAnsi" w:hAnsiTheme="minorHAnsi" w:cs="Times New Roman"/>
          <w:color w:val="auto"/>
        </w:rPr>
        <w:t xml:space="preserve">Email: </w:t>
      </w:r>
      <w:r w:rsidR="00166273" w:rsidRPr="008605E4">
        <w:rPr>
          <w:rFonts w:asciiTheme="minorHAnsi" w:hAnsiTheme="minorHAnsi" w:cs="Times New Roman"/>
          <w:color w:val="auto"/>
        </w:rPr>
        <w:t>manuelfe@iadb.org</w:t>
      </w:r>
    </w:p>
    <w:p w14:paraId="200D8E06" w14:textId="61A93B99" w:rsidR="00D761FB" w:rsidRDefault="008E2B8D" w:rsidP="008E2B8D">
      <w:pPr>
        <w:jc w:val="both"/>
        <w:rPr>
          <w:rFonts w:asciiTheme="minorHAnsi" w:hAnsiTheme="minorHAnsi" w:cs="Times New Roman"/>
          <w:color w:val="auto"/>
        </w:rPr>
      </w:pPr>
      <w:r w:rsidRPr="008E2B8D">
        <w:rPr>
          <w:rFonts w:asciiTheme="minorHAnsi" w:hAnsiTheme="minorHAnsi" w:cs="Times New Roman"/>
          <w:color w:val="auto"/>
        </w:rPr>
        <w:t xml:space="preserve">Sitio Web: </w:t>
      </w:r>
      <w:hyperlink r:id="rId16" w:history="1">
        <w:r w:rsidRPr="00D70EBA">
          <w:rPr>
            <w:rStyle w:val="Hyperlink"/>
            <w:rFonts w:asciiTheme="minorHAnsi" w:hAnsiTheme="minorHAnsi" w:cs="Times New Roman"/>
          </w:rPr>
          <w:t>www.iadb.org</w:t>
        </w:r>
      </w:hyperlink>
    </w:p>
    <w:p w14:paraId="299C0769" w14:textId="41D425E9" w:rsidR="008E2B8D" w:rsidRDefault="008E2B8D">
      <w:pPr>
        <w:widowControl/>
        <w:autoSpaceDE/>
        <w:autoSpaceDN/>
        <w:adjustRightInd/>
        <w:spacing w:after="200" w:line="276" w:lineRule="auto"/>
        <w:rPr>
          <w:rFonts w:asciiTheme="minorHAnsi" w:hAnsiTheme="minorHAnsi" w:cs="Times New Roman"/>
          <w:color w:val="auto"/>
        </w:rPr>
      </w:pPr>
      <w:r>
        <w:rPr>
          <w:rFonts w:asciiTheme="minorHAnsi" w:hAnsiTheme="minorHAnsi" w:cs="Times New Roman"/>
          <w:color w:val="auto"/>
        </w:rPr>
        <w:br w:type="page"/>
      </w:r>
    </w:p>
    <w:p w14:paraId="02BF4599" w14:textId="2ACBB96D" w:rsidR="008E2B8D" w:rsidRDefault="008E2B8D" w:rsidP="008E2B8D">
      <w:pPr>
        <w:jc w:val="both"/>
        <w:rPr>
          <w:rFonts w:asciiTheme="minorHAnsi" w:hAnsiTheme="minorHAnsi" w:cs="Times New Roman"/>
          <w:color w:val="auto"/>
        </w:rPr>
      </w:pPr>
    </w:p>
    <w:p w14:paraId="110C97BA" w14:textId="2B713786" w:rsidR="008E2B8D" w:rsidRPr="008E2B8D" w:rsidRDefault="008E2B8D" w:rsidP="008E2B8D">
      <w:pPr>
        <w:pBdr>
          <w:top w:val="nil"/>
          <w:left w:val="nil"/>
          <w:bottom w:val="nil"/>
          <w:right w:val="nil"/>
          <w:between w:val="nil"/>
        </w:pBdr>
        <w:spacing w:line="276" w:lineRule="auto"/>
        <w:rPr>
          <w:rFonts w:asciiTheme="minorHAnsi" w:hAnsiTheme="minorHAnsi" w:cstheme="minorHAnsi"/>
        </w:rPr>
      </w:pPr>
      <w:r w:rsidRPr="008E2B8D">
        <w:rPr>
          <w:rStyle w:val="normaltextrun"/>
          <w:rFonts w:asciiTheme="minorHAnsi" w:hAnsiTheme="minorHAnsi" w:cstheme="minorHAnsi"/>
          <w:b/>
          <w:bCs/>
          <w:bdr w:val="none" w:sz="0" w:space="0" w:color="auto" w:frame="1"/>
          <w:lang w:val="es-CO"/>
        </w:rPr>
        <w:t>Proceso de Selección: AR-T1</w:t>
      </w:r>
      <w:r w:rsidR="00166273">
        <w:rPr>
          <w:rStyle w:val="normaltextrun"/>
          <w:rFonts w:asciiTheme="minorHAnsi" w:hAnsiTheme="minorHAnsi" w:cstheme="minorHAnsi"/>
          <w:b/>
          <w:bCs/>
          <w:bdr w:val="none" w:sz="0" w:space="0" w:color="auto" w:frame="1"/>
          <w:lang w:val="es-CO"/>
        </w:rPr>
        <w:t>273-P001</w:t>
      </w:r>
    </w:p>
    <w:p w14:paraId="3D830A58" w14:textId="77777777" w:rsidR="00A8738A" w:rsidRPr="00A8738A" w:rsidRDefault="00A8738A" w:rsidP="00A8738A">
      <w:pPr>
        <w:keepNext/>
        <w:widowControl/>
        <w:autoSpaceDE/>
        <w:autoSpaceDN/>
        <w:adjustRightInd/>
        <w:jc w:val="center"/>
        <w:outlineLvl w:val="0"/>
        <w:rPr>
          <w:rFonts w:eastAsia="Times New Roman"/>
          <w:b/>
          <w:color w:val="auto"/>
          <w:sz w:val="22"/>
          <w:szCs w:val="20"/>
          <w:u w:val="single"/>
          <w:lang w:eastAsia="en-US"/>
        </w:rPr>
      </w:pPr>
      <w:bookmarkStart w:id="0" w:name="_gjdgxs" w:colFirst="0" w:colLast="0"/>
      <w:bookmarkEnd w:id="0"/>
      <w:r w:rsidRPr="00A8738A">
        <w:rPr>
          <w:rFonts w:eastAsia="Times New Roman"/>
          <w:b/>
          <w:color w:val="auto"/>
          <w:sz w:val="22"/>
          <w:szCs w:val="20"/>
          <w:u w:val="single"/>
          <w:lang w:eastAsia="en-US"/>
        </w:rPr>
        <w:t>Consultoría en back office y desarrollo de contenido web para Hub de Innovación</w:t>
      </w:r>
    </w:p>
    <w:p w14:paraId="6730B52C" w14:textId="77777777" w:rsidR="00A8738A" w:rsidRPr="00A8738A" w:rsidRDefault="00A8738A" w:rsidP="00A8738A">
      <w:pPr>
        <w:widowControl/>
        <w:autoSpaceDE/>
        <w:autoSpaceDN/>
        <w:adjustRightInd/>
        <w:jc w:val="both"/>
        <w:rPr>
          <w:rFonts w:eastAsia="Times New Roman"/>
          <w:i/>
          <w:color w:val="0070C0"/>
          <w:sz w:val="20"/>
          <w:szCs w:val="20"/>
          <w:lang w:eastAsia="en-US"/>
        </w:rPr>
      </w:pPr>
    </w:p>
    <w:p w14:paraId="52A345B4" w14:textId="77777777" w:rsidR="00A8738A" w:rsidRPr="00A8738A" w:rsidRDefault="00A8738A" w:rsidP="00A8738A">
      <w:pPr>
        <w:widowControl/>
        <w:suppressAutoHyphens/>
        <w:autoSpaceDE/>
        <w:autoSpaceDN/>
        <w:adjustRightInd/>
        <w:rPr>
          <w:rFonts w:eastAsia="Times New Roman"/>
          <w:color w:val="auto"/>
          <w:sz w:val="20"/>
          <w:szCs w:val="20"/>
          <w:lang w:eastAsia="en-US"/>
        </w:rPr>
      </w:pPr>
      <w:r w:rsidRPr="00A8738A">
        <w:rPr>
          <w:rFonts w:eastAsia="Times New Roman"/>
          <w:color w:val="auto"/>
          <w:sz w:val="20"/>
          <w:szCs w:val="20"/>
          <w:lang w:eastAsia="en-US"/>
        </w:rPr>
        <w:t>ARGENTINA</w:t>
      </w:r>
    </w:p>
    <w:p w14:paraId="5CB5F9BC" w14:textId="77777777" w:rsidR="00A8738A" w:rsidRPr="00A8738A" w:rsidRDefault="00A8738A" w:rsidP="00A8738A">
      <w:pPr>
        <w:widowControl/>
        <w:autoSpaceDE/>
        <w:autoSpaceDN/>
        <w:adjustRightInd/>
        <w:rPr>
          <w:rFonts w:eastAsia="Times New Roman"/>
          <w:b/>
          <w:bCs/>
          <w:color w:val="auto"/>
          <w:sz w:val="20"/>
          <w:szCs w:val="20"/>
          <w:lang w:eastAsia="en-US"/>
        </w:rPr>
      </w:pPr>
      <w:r w:rsidRPr="00A8738A">
        <w:rPr>
          <w:rFonts w:eastAsia="Times New Roman"/>
          <w:b/>
          <w:bCs/>
          <w:color w:val="auto"/>
          <w:sz w:val="20"/>
          <w:szCs w:val="20"/>
          <w:lang w:eastAsia="en-US"/>
        </w:rPr>
        <w:t>AR-T1273</w:t>
      </w:r>
    </w:p>
    <w:p w14:paraId="4C3A77FD" w14:textId="77777777" w:rsidR="00A8738A" w:rsidRPr="00A8738A" w:rsidRDefault="00A8738A" w:rsidP="00A8738A">
      <w:pPr>
        <w:widowControl/>
        <w:autoSpaceDE/>
        <w:autoSpaceDN/>
        <w:adjustRightInd/>
        <w:rPr>
          <w:rFonts w:eastAsia="Times New Roman"/>
          <w:b/>
          <w:bCs/>
          <w:color w:val="auto"/>
          <w:sz w:val="20"/>
          <w:szCs w:val="20"/>
          <w:lang w:eastAsia="en-US"/>
        </w:rPr>
      </w:pPr>
      <w:r w:rsidRPr="00A8738A">
        <w:rPr>
          <w:rFonts w:eastAsia="Times New Roman"/>
          <w:b/>
          <w:bCs/>
          <w:color w:val="auto"/>
          <w:sz w:val="20"/>
          <w:szCs w:val="20"/>
          <w:lang w:eastAsia="en-US"/>
        </w:rPr>
        <w:t>ATN/OC-19424-AR</w:t>
      </w:r>
    </w:p>
    <w:p w14:paraId="7A1A04D1" w14:textId="77777777" w:rsidR="00A8738A" w:rsidRPr="00A8738A" w:rsidRDefault="00F665DB" w:rsidP="00A8738A">
      <w:pPr>
        <w:widowControl/>
        <w:tabs>
          <w:tab w:val="left" w:pos="7080"/>
        </w:tabs>
        <w:autoSpaceDE/>
        <w:autoSpaceDN/>
        <w:adjustRightInd/>
        <w:jc w:val="both"/>
        <w:rPr>
          <w:rFonts w:eastAsia="Times New Roman" w:cs="Times New Roman"/>
          <w:color w:val="auto"/>
          <w:sz w:val="20"/>
          <w:szCs w:val="20"/>
          <w:lang w:val="es-CL" w:eastAsia="en-US"/>
        </w:rPr>
      </w:pPr>
      <w:hyperlink r:id="rId17" w:history="1">
        <w:r w:rsidR="00A8738A" w:rsidRPr="00A8738A">
          <w:rPr>
            <w:rFonts w:eastAsia="Times New Roman" w:cs="Times New Roman"/>
            <w:color w:val="0000FF" w:themeColor="hyperlink"/>
            <w:sz w:val="20"/>
            <w:szCs w:val="20"/>
            <w:u w:val="single"/>
            <w:lang w:val="es-CL" w:eastAsia="en-US"/>
          </w:rPr>
          <w:t>https://www.iadb.org/en/project/AR-T1273</w:t>
        </w:r>
      </w:hyperlink>
      <w:r w:rsidR="00A8738A" w:rsidRPr="00A8738A">
        <w:rPr>
          <w:rFonts w:eastAsia="Times New Roman" w:cs="Times New Roman"/>
          <w:color w:val="auto"/>
          <w:sz w:val="20"/>
          <w:szCs w:val="20"/>
          <w:lang w:val="es-CL" w:eastAsia="en-US"/>
        </w:rPr>
        <w:t xml:space="preserve"> </w:t>
      </w:r>
    </w:p>
    <w:p w14:paraId="5337B2F2" w14:textId="77777777" w:rsidR="00A8738A" w:rsidRPr="00A8738A" w:rsidRDefault="00A8738A" w:rsidP="00A8738A">
      <w:pPr>
        <w:widowControl/>
        <w:tabs>
          <w:tab w:val="left" w:pos="7080"/>
        </w:tabs>
        <w:autoSpaceDE/>
        <w:autoSpaceDN/>
        <w:adjustRightInd/>
        <w:jc w:val="both"/>
        <w:rPr>
          <w:rFonts w:eastAsia="Times New Roman"/>
          <w:color w:val="auto"/>
          <w:sz w:val="20"/>
          <w:szCs w:val="20"/>
          <w:lang w:eastAsia="en-US"/>
        </w:rPr>
      </w:pPr>
      <w:r w:rsidRPr="00A8738A">
        <w:rPr>
          <w:rFonts w:eastAsia="Times New Roman"/>
          <w:b/>
          <w:bCs/>
          <w:color w:val="auto"/>
          <w:sz w:val="20"/>
          <w:szCs w:val="20"/>
          <w:lang w:eastAsia="en-US"/>
        </w:rPr>
        <w:t>Nombre de la Cooperación Técnica:</w:t>
      </w:r>
      <w:r w:rsidRPr="00A8738A">
        <w:rPr>
          <w:rFonts w:eastAsia="Times New Roman"/>
          <w:color w:val="auto"/>
          <w:sz w:val="20"/>
          <w:szCs w:val="20"/>
          <w:lang w:eastAsia="en-US"/>
        </w:rPr>
        <w:t xml:space="preserve"> Apoyo al fortalecimiento de la Comisión Nacional de Valores de Argentina</w:t>
      </w:r>
    </w:p>
    <w:p w14:paraId="1AD8D2D8" w14:textId="77777777" w:rsidR="00A8738A" w:rsidRPr="00A8738A" w:rsidRDefault="00A8738A" w:rsidP="00A8738A">
      <w:pPr>
        <w:widowControl/>
        <w:tabs>
          <w:tab w:val="left" w:pos="7080"/>
        </w:tabs>
        <w:autoSpaceDE/>
        <w:autoSpaceDN/>
        <w:adjustRightInd/>
        <w:jc w:val="both"/>
        <w:rPr>
          <w:rFonts w:eastAsia="Times New Roman"/>
          <w:color w:val="auto"/>
          <w:sz w:val="20"/>
          <w:szCs w:val="20"/>
          <w:lang w:eastAsia="en-US"/>
        </w:rPr>
      </w:pPr>
    </w:p>
    <w:p w14:paraId="0B1D75A6" w14:textId="77777777" w:rsidR="00A8738A" w:rsidRPr="00A8738A" w:rsidRDefault="00A8738A" w:rsidP="00A8738A">
      <w:pPr>
        <w:widowControl/>
        <w:tabs>
          <w:tab w:val="left" w:pos="7080"/>
        </w:tabs>
        <w:autoSpaceDE/>
        <w:autoSpaceDN/>
        <w:adjustRightInd/>
        <w:jc w:val="both"/>
        <w:rPr>
          <w:rFonts w:eastAsia="Times New Roman"/>
          <w:color w:val="auto"/>
          <w:sz w:val="20"/>
          <w:szCs w:val="20"/>
          <w:lang w:eastAsia="en-US"/>
        </w:rPr>
      </w:pPr>
    </w:p>
    <w:p w14:paraId="0437183B" w14:textId="77777777" w:rsidR="00A8738A" w:rsidRPr="00A8738A" w:rsidRDefault="00A8738A" w:rsidP="00A8738A">
      <w:pPr>
        <w:widowControl/>
        <w:numPr>
          <w:ilvl w:val="0"/>
          <w:numId w:val="9"/>
        </w:numPr>
        <w:autoSpaceDE/>
        <w:autoSpaceDN/>
        <w:adjustRightInd/>
        <w:contextualSpacing/>
        <w:rPr>
          <w:rFonts w:eastAsiaTheme="minorHAnsi"/>
          <w:b/>
          <w:color w:val="auto"/>
          <w:sz w:val="20"/>
          <w:szCs w:val="20"/>
          <w:u w:val="single"/>
          <w:lang w:eastAsia="en-US"/>
        </w:rPr>
      </w:pPr>
      <w:r w:rsidRPr="00A8738A">
        <w:rPr>
          <w:rFonts w:eastAsiaTheme="minorHAnsi"/>
          <w:b/>
          <w:color w:val="auto"/>
          <w:sz w:val="20"/>
          <w:szCs w:val="20"/>
          <w:u w:val="single"/>
          <w:lang w:eastAsia="en-US"/>
        </w:rPr>
        <w:t>Antecedentes y Justificación</w:t>
      </w:r>
    </w:p>
    <w:p w14:paraId="50A94861" w14:textId="77777777" w:rsidR="00A8738A" w:rsidRPr="00A8738A" w:rsidRDefault="00A8738A" w:rsidP="00A8738A">
      <w:pPr>
        <w:autoSpaceDE/>
        <w:autoSpaceDN/>
        <w:adjustRightInd/>
        <w:contextualSpacing/>
        <w:jc w:val="both"/>
        <w:rPr>
          <w:bCs/>
          <w:iCs/>
          <w:color w:val="auto"/>
          <w:sz w:val="20"/>
          <w:szCs w:val="20"/>
          <w:lang w:eastAsia="en-US"/>
        </w:rPr>
      </w:pPr>
    </w:p>
    <w:p w14:paraId="094A8CE1" w14:textId="77777777" w:rsidR="00A8738A" w:rsidRPr="00A8738A" w:rsidRDefault="00A8738A" w:rsidP="00A8738A">
      <w:pPr>
        <w:autoSpaceDE/>
        <w:autoSpaceDN/>
        <w:adjustRightInd/>
        <w:contextualSpacing/>
        <w:jc w:val="both"/>
        <w:rPr>
          <w:rFonts w:eastAsiaTheme="minorHAnsi"/>
          <w:bCs/>
          <w:color w:val="auto"/>
          <w:sz w:val="20"/>
          <w:szCs w:val="20"/>
          <w:lang w:eastAsia="en-US"/>
        </w:rPr>
      </w:pPr>
      <w:r w:rsidRPr="00A8738A">
        <w:rPr>
          <w:rFonts w:eastAsiaTheme="minorHAnsi"/>
          <w:bCs/>
          <w:color w:val="auto"/>
          <w:sz w:val="20"/>
          <w:szCs w:val="20"/>
          <w:lang w:eastAsia="en-US"/>
        </w:rPr>
        <w:t>Establecido en 1959, el Banco Interamericano de Desarrollo (</w:t>
      </w:r>
      <w:r w:rsidRPr="00A8738A">
        <w:rPr>
          <w:rFonts w:eastAsiaTheme="minorHAnsi"/>
          <w:bCs/>
          <w:color w:val="auto"/>
          <w:sz w:val="20"/>
          <w:szCs w:val="20"/>
          <w:lang w:val="es-AR" w:eastAsia="en-US"/>
        </w:rPr>
        <w:t>“</w:t>
      </w:r>
      <w:r w:rsidRPr="00A8738A">
        <w:rPr>
          <w:rFonts w:eastAsiaTheme="minorHAnsi"/>
          <w:bCs/>
          <w:color w:val="auto"/>
          <w:sz w:val="20"/>
          <w:szCs w:val="20"/>
          <w:lang w:eastAsia="en-US"/>
        </w:rPr>
        <w:t>BID” o Banco) es la principal fuente de financiamiento para el desarrollo económico, social e institucional en América Latina y el Caribe. Proporciona préstamos, donaciones, garantías, asesoramiento en políticas públicas y asistencia técnicas a los sectores público y privado de sus países prestatarios.</w:t>
      </w:r>
    </w:p>
    <w:p w14:paraId="0C0B4CD6" w14:textId="77777777" w:rsidR="00A8738A" w:rsidRPr="00A8738A" w:rsidRDefault="00A8738A" w:rsidP="00A8738A">
      <w:pPr>
        <w:autoSpaceDE/>
        <w:autoSpaceDN/>
        <w:adjustRightInd/>
        <w:contextualSpacing/>
        <w:jc w:val="both"/>
        <w:rPr>
          <w:bCs/>
          <w:iCs/>
          <w:color w:val="auto"/>
          <w:sz w:val="20"/>
          <w:szCs w:val="20"/>
          <w:lang w:eastAsia="en-US"/>
        </w:rPr>
      </w:pPr>
    </w:p>
    <w:p w14:paraId="288F70F4" w14:textId="77777777" w:rsidR="00A8738A" w:rsidRPr="00A8738A" w:rsidRDefault="00A8738A" w:rsidP="00A8738A">
      <w:pPr>
        <w:autoSpaceDE/>
        <w:autoSpaceDN/>
        <w:adjustRightInd/>
        <w:contextualSpacing/>
        <w:jc w:val="both"/>
        <w:rPr>
          <w:rFonts w:eastAsiaTheme="minorHAnsi"/>
          <w:b/>
          <w:color w:val="auto"/>
          <w:sz w:val="20"/>
          <w:szCs w:val="20"/>
          <w:u w:val="single"/>
          <w:lang w:eastAsia="en-US"/>
        </w:rPr>
      </w:pPr>
      <w:r w:rsidRPr="00A8738A">
        <w:rPr>
          <w:bCs/>
          <w:iCs/>
          <w:color w:val="auto"/>
          <w:sz w:val="20"/>
          <w:szCs w:val="20"/>
          <w:lang w:eastAsia="en-US"/>
        </w:rPr>
        <w:t>Los retos impuestos recientemente por la pandemia global del COVID-19 han traído consigo un incremento del nivel de digitalización que ha permeado al sector financiero. En esta coyuntura mundial, las nuevas tecnologías financieras para la provisión de productos y servicios financieros (“Fintech”) generan en el mercado financiero un impacto profundo y un cambio estructural de una manera inusualmente veloz. Dicha infraestructura ha permitido la proliferación de un sinnúmero de nuevos productos y servicios, cada vez más complejos, pero al mismo tiempo más accesibles para las personas inversoras, redundando en una ampliación de la inclusión financiera, aunque no exenta de severas fallas en el acervo de información disponible del nuevo público comprendido.</w:t>
      </w:r>
    </w:p>
    <w:p w14:paraId="21ED17DC" w14:textId="77777777" w:rsidR="00A8738A" w:rsidRPr="00A8738A" w:rsidRDefault="00A8738A" w:rsidP="00A8738A">
      <w:pPr>
        <w:autoSpaceDE/>
        <w:autoSpaceDN/>
        <w:adjustRightInd/>
        <w:contextualSpacing/>
        <w:jc w:val="both"/>
        <w:rPr>
          <w:bCs/>
          <w:iCs/>
          <w:color w:val="auto"/>
          <w:sz w:val="20"/>
          <w:szCs w:val="20"/>
          <w:lang w:eastAsia="en-US"/>
        </w:rPr>
      </w:pPr>
    </w:p>
    <w:p w14:paraId="1FB916E2" w14:textId="77777777" w:rsidR="00A8738A" w:rsidRPr="00A8738A" w:rsidRDefault="00A8738A" w:rsidP="00A8738A">
      <w:pPr>
        <w:autoSpaceDE/>
        <w:autoSpaceDN/>
        <w:adjustRightInd/>
        <w:contextualSpacing/>
        <w:jc w:val="both"/>
        <w:rPr>
          <w:bCs/>
          <w:iCs/>
          <w:color w:val="auto"/>
          <w:sz w:val="20"/>
          <w:szCs w:val="20"/>
          <w:lang w:eastAsia="en-US"/>
        </w:rPr>
      </w:pPr>
      <w:r w:rsidRPr="00A8738A">
        <w:rPr>
          <w:bCs/>
          <w:iCs/>
          <w:color w:val="auto"/>
          <w:sz w:val="20"/>
          <w:szCs w:val="20"/>
          <w:lang w:eastAsia="en-US"/>
        </w:rPr>
        <w:t>En dicho contexto la Comisión Nacional de Valores (CNV) de la República Argentina viene trabajando y promoviendo desde 2017 una serie de acciones e hitos en la temática en pos del abordaje de discusiones que permitan desarrollar en el país las iniciativas regulatorias y de políticas que favorezcan el desenvolvimiento de la industria de manera confiable y adecuada, propendiendo a una mayor inclusión financiera y protección del público inversor.</w:t>
      </w:r>
    </w:p>
    <w:p w14:paraId="1AAFAC47" w14:textId="77777777" w:rsidR="00A8738A" w:rsidRPr="00A8738A" w:rsidRDefault="00A8738A" w:rsidP="00A8738A">
      <w:pPr>
        <w:autoSpaceDE/>
        <w:autoSpaceDN/>
        <w:adjustRightInd/>
        <w:contextualSpacing/>
        <w:jc w:val="both"/>
        <w:rPr>
          <w:bCs/>
          <w:iCs/>
          <w:color w:val="auto"/>
          <w:sz w:val="20"/>
          <w:szCs w:val="20"/>
          <w:lang w:eastAsia="en-US"/>
        </w:rPr>
      </w:pPr>
    </w:p>
    <w:p w14:paraId="6070E0E7" w14:textId="77777777" w:rsidR="00A8738A" w:rsidRPr="00A8738A" w:rsidRDefault="00A8738A" w:rsidP="00A8738A">
      <w:pPr>
        <w:autoSpaceDE/>
        <w:autoSpaceDN/>
        <w:adjustRightInd/>
        <w:contextualSpacing/>
        <w:jc w:val="both"/>
        <w:rPr>
          <w:bCs/>
          <w:iCs/>
          <w:color w:val="auto"/>
          <w:sz w:val="20"/>
          <w:szCs w:val="20"/>
          <w:lang w:eastAsia="en-US"/>
        </w:rPr>
      </w:pPr>
      <w:r w:rsidRPr="00A8738A">
        <w:rPr>
          <w:bCs/>
          <w:iCs/>
          <w:color w:val="auto"/>
          <w:sz w:val="20"/>
          <w:szCs w:val="20"/>
          <w:lang w:eastAsia="en-US"/>
        </w:rPr>
        <w:t>Así, en abril de 2022 la CNV lanzó un Hub de Innovación (</w:t>
      </w:r>
      <w:hyperlink r:id="rId18" w:history="1">
        <w:r w:rsidRPr="00A8738A">
          <w:rPr>
            <w:bCs/>
            <w:iCs/>
            <w:color w:val="0000FF" w:themeColor="hyperlink"/>
            <w:sz w:val="20"/>
            <w:szCs w:val="20"/>
            <w:u w:val="single"/>
            <w:lang w:eastAsia="en-US"/>
          </w:rPr>
          <w:t>https://www.argentina.gob.ar/cnv/hub-de-innovacion</w:t>
        </w:r>
      </w:hyperlink>
      <w:r w:rsidRPr="00A8738A">
        <w:rPr>
          <w:bCs/>
          <w:iCs/>
          <w:color w:val="auto"/>
          <w:sz w:val="20"/>
          <w:szCs w:val="20"/>
          <w:lang w:eastAsia="en-US"/>
        </w:rPr>
        <w:t xml:space="preserve"> ), un espacio de colaboración público-privado con el objeto de promover el intercambio con las empresas reguladas y aquellas entidades que cuenten con proyectos de tecnologías de servicios y/o productos financieros en el ámbito del mercado de capitales.</w:t>
      </w:r>
    </w:p>
    <w:p w14:paraId="6570F833" w14:textId="77777777" w:rsidR="00A8738A" w:rsidRPr="00A8738A" w:rsidRDefault="00A8738A" w:rsidP="00A8738A">
      <w:pPr>
        <w:autoSpaceDE/>
        <w:autoSpaceDN/>
        <w:adjustRightInd/>
        <w:contextualSpacing/>
        <w:jc w:val="both"/>
        <w:rPr>
          <w:bCs/>
          <w:iCs/>
          <w:color w:val="auto"/>
          <w:sz w:val="20"/>
          <w:szCs w:val="20"/>
          <w:lang w:eastAsia="en-US"/>
        </w:rPr>
      </w:pPr>
    </w:p>
    <w:p w14:paraId="39EEA727" w14:textId="77777777" w:rsidR="00A8738A" w:rsidRPr="00A8738A" w:rsidRDefault="00A8738A" w:rsidP="00A8738A">
      <w:pPr>
        <w:autoSpaceDE/>
        <w:autoSpaceDN/>
        <w:adjustRightInd/>
        <w:contextualSpacing/>
        <w:jc w:val="both"/>
        <w:rPr>
          <w:iCs/>
          <w:color w:val="auto"/>
          <w:sz w:val="20"/>
          <w:szCs w:val="20"/>
          <w:lang w:eastAsia="en-US"/>
        </w:rPr>
      </w:pPr>
      <w:r w:rsidRPr="00A8738A">
        <w:rPr>
          <w:bCs/>
          <w:iCs/>
          <w:color w:val="auto"/>
          <w:sz w:val="20"/>
          <w:szCs w:val="20"/>
          <w:lang w:eastAsia="en-US"/>
        </w:rPr>
        <w:t xml:space="preserve">Dicho espacio tiene como finalidad identificar y analizar los elementos y los criterios a considerar para el desarrollo y la implementación de estrategias de regulación y supervisión financiera de tecnologías innovadoras. </w:t>
      </w:r>
      <w:r w:rsidRPr="00A8738A">
        <w:rPr>
          <w:iCs/>
          <w:color w:val="auto"/>
          <w:sz w:val="20"/>
          <w:szCs w:val="20"/>
          <w:lang w:eastAsia="en-US"/>
        </w:rPr>
        <w:t>El Hub de innovación permite hacer un seguimiento especial a proyectos de financiamiento, nuevos productos, servicios de negociación y post-negociación que se monten sobre nuevas tecnologías y que requieran el acceso a la oferta pública; poniendo especial atención en el desarrollo, integridad y transparencia del mercado de capitales, la inclusión financiera junto a los debidos mecanismos de protección del público inversor.</w:t>
      </w:r>
    </w:p>
    <w:p w14:paraId="138F48DB" w14:textId="77777777" w:rsidR="00A8738A" w:rsidRPr="00A8738A" w:rsidRDefault="00A8738A" w:rsidP="00A8738A">
      <w:pPr>
        <w:autoSpaceDE/>
        <w:autoSpaceDN/>
        <w:adjustRightInd/>
        <w:contextualSpacing/>
        <w:jc w:val="both"/>
        <w:rPr>
          <w:iCs/>
          <w:color w:val="auto"/>
          <w:sz w:val="20"/>
          <w:szCs w:val="20"/>
          <w:lang w:eastAsia="en-US"/>
        </w:rPr>
      </w:pPr>
    </w:p>
    <w:p w14:paraId="7AEAAA2F" w14:textId="77777777" w:rsidR="00A8738A" w:rsidRPr="00A8738A" w:rsidRDefault="00A8738A" w:rsidP="00A8738A">
      <w:pPr>
        <w:autoSpaceDE/>
        <w:autoSpaceDN/>
        <w:adjustRightInd/>
        <w:contextualSpacing/>
        <w:jc w:val="both"/>
        <w:rPr>
          <w:iCs/>
          <w:color w:val="auto"/>
          <w:sz w:val="20"/>
          <w:szCs w:val="20"/>
          <w:lang w:eastAsia="en-US"/>
        </w:rPr>
      </w:pPr>
      <w:r w:rsidRPr="00A8738A">
        <w:rPr>
          <w:iCs/>
          <w:color w:val="auto"/>
          <w:sz w:val="20"/>
          <w:szCs w:val="20"/>
          <w:lang w:eastAsia="en-US"/>
        </w:rPr>
        <w:t xml:space="preserve">Junto con el lanzamiento del Hub, se puso a disposición de los interesados un sitio web: </w:t>
      </w:r>
      <w:hyperlink r:id="rId19" w:history="1">
        <w:r w:rsidRPr="00A8738A">
          <w:rPr>
            <w:iCs/>
            <w:color w:val="0000FF" w:themeColor="hyperlink"/>
            <w:sz w:val="20"/>
            <w:szCs w:val="20"/>
            <w:u w:val="single"/>
            <w:lang w:eastAsia="en-US"/>
          </w:rPr>
          <w:t>https://www.argentina.gob.ar/cnv/hub-de-innovacion/acerca-del-hub</w:t>
        </w:r>
      </w:hyperlink>
      <w:r w:rsidRPr="00A8738A">
        <w:rPr>
          <w:iCs/>
          <w:color w:val="auto"/>
          <w:sz w:val="20"/>
          <w:szCs w:val="20"/>
          <w:lang w:eastAsia="en-US"/>
        </w:rPr>
        <w:t>, donde pueden encontrar información acerca de la definición, objeto y destinatarios del Hub, su estructura organizacional, así como su método de trabajo; los objetivos perseguidos por CNV con este instrumento y un set de preguntas frecuentes, orientativas, sobre la CNV, su ámbito de competencia y el Hub.</w:t>
      </w:r>
    </w:p>
    <w:p w14:paraId="178FC8DC" w14:textId="77777777" w:rsidR="00A8738A" w:rsidRPr="00A8738A" w:rsidRDefault="00A8738A" w:rsidP="00A8738A">
      <w:pPr>
        <w:autoSpaceDE/>
        <w:autoSpaceDN/>
        <w:adjustRightInd/>
        <w:contextualSpacing/>
        <w:jc w:val="both"/>
        <w:rPr>
          <w:iCs/>
          <w:color w:val="auto"/>
          <w:sz w:val="20"/>
          <w:szCs w:val="20"/>
          <w:lang w:eastAsia="en-US"/>
        </w:rPr>
      </w:pPr>
    </w:p>
    <w:p w14:paraId="02195619" w14:textId="77777777" w:rsidR="00A8738A" w:rsidRPr="00A8738A" w:rsidRDefault="00A8738A" w:rsidP="00A8738A">
      <w:pPr>
        <w:autoSpaceDE/>
        <w:autoSpaceDN/>
        <w:adjustRightInd/>
        <w:contextualSpacing/>
        <w:jc w:val="both"/>
        <w:rPr>
          <w:iCs/>
          <w:color w:val="auto"/>
          <w:sz w:val="20"/>
          <w:szCs w:val="20"/>
          <w:lang w:eastAsia="en-US"/>
        </w:rPr>
      </w:pPr>
      <w:r w:rsidRPr="00A8738A">
        <w:rPr>
          <w:iCs/>
          <w:color w:val="auto"/>
          <w:sz w:val="20"/>
          <w:szCs w:val="20"/>
          <w:lang w:eastAsia="en-US"/>
        </w:rPr>
        <w:t>Así, los interesados deberán presentar sus proyectos mediante el formulario de solicitud de participación disponible en el sitio para ser evaluados por la Mesa Fintech, que mantendrá un proceso de intercambio de hasta 12 meses con los que sean aceptados. Posteriormente surgirá una opinión no vinculante por parte de la CNV respecto de los desafíos regulatorios que impone la implementación del proyecto, los límites fijados por la legislación vigente para su operatoria, y los riesgos observados.</w:t>
      </w:r>
    </w:p>
    <w:p w14:paraId="2108BD13" w14:textId="77777777" w:rsidR="00A8738A" w:rsidRPr="00A8738A" w:rsidRDefault="00A8738A" w:rsidP="00A8738A">
      <w:pPr>
        <w:autoSpaceDE/>
        <w:autoSpaceDN/>
        <w:adjustRightInd/>
        <w:contextualSpacing/>
        <w:jc w:val="both"/>
        <w:rPr>
          <w:iCs/>
          <w:color w:val="auto"/>
          <w:sz w:val="20"/>
          <w:szCs w:val="20"/>
          <w:lang w:eastAsia="en-US"/>
        </w:rPr>
      </w:pPr>
    </w:p>
    <w:p w14:paraId="674A3A06" w14:textId="77777777" w:rsidR="00A8738A" w:rsidRPr="00A8738A" w:rsidRDefault="00A8738A" w:rsidP="00A8738A">
      <w:pPr>
        <w:autoSpaceDE/>
        <w:autoSpaceDN/>
        <w:adjustRightInd/>
        <w:spacing w:line="276" w:lineRule="auto"/>
        <w:contextualSpacing/>
        <w:jc w:val="both"/>
        <w:rPr>
          <w:bCs/>
          <w:iCs/>
          <w:color w:val="auto"/>
          <w:sz w:val="20"/>
          <w:szCs w:val="20"/>
          <w:lang w:eastAsia="en-US"/>
        </w:rPr>
      </w:pPr>
      <w:r w:rsidRPr="00A8738A">
        <w:rPr>
          <w:bCs/>
          <w:iCs/>
          <w:color w:val="auto"/>
          <w:sz w:val="20"/>
          <w:szCs w:val="20"/>
          <w:lang w:eastAsia="en-US"/>
        </w:rPr>
        <w:t>Es en este marco que el BID ha previsto una oportunidad de apoyar el fortalecimiento institucional de la CNV a través de una Cooperación Técnica (AR-T1273), la cual tiene como objetivo profundizar y facilitar el acceso al Mercado de Capitales Argentino, mejorar su competitividad e integridad, y robustecer los mecanismos de protección a las personas inversoras.</w:t>
      </w:r>
    </w:p>
    <w:p w14:paraId="25A0EAE6" w14:textId="77777777" w:rsidR="00A8738A" w:rsidRPr="00A8738A" w:rsidRDefault="00A8738A" w:rsidP="00A8738A">
      <w:pPr>
        <w:autoSpaceDE/>
        <w:autoSpaceDN/>
        <w:adjustRightInd/>
        <w:spacing w:line="276" w:lineRule="auto"/>
        <w:ind w:left="792"/>
        <w:contextualSpacing/>
        <w:jc w:val="both"/>
        <w:rPr>
          <w:bCs/>
          <w:iCs/>
          <w:color w:val="auto"/>
          <w:sz w:val="20"/>
          <w:szCs w:val="20"/>
          <w:lang w:eastAsia="en-US"/>
        </w:rPr>
      </w:pPr>
    </w:p>
    <w:p w14:paraId="2960308E" w14:textId="77777777" w:rsidR="00A8738A" w:rsidRPr="00A8738A" w:rsidRDefault="00A8738A" w:rsidP="00A8738A">
      <w:pPr>
        <w:autoSpaceDE/>
        <w:autoSpaceDN/>
        <w:adjustRightInd/>
        <w:spacing w:line="276" w:lineRule="auto"/>
        <w:contextualSpacing/>
        <w:jc w:val="both"/>
        <w:rPr>
          <w:bCs/>
          <w:iCs/>
          <w:color w:val="auto"/>
          <w:sz w:val="20"/>
          <w:szCs w:val="20"/>
          <w:lang w:eastAsia="en-US"/>
        </w:rPr>
      </w:pPr>
      <w:r w:rsidRPr="00A8738A">
        <w:rPr>
          <w:bCs/>
          <w:iCs/>
          <w:color w:val="auto"/>
          <w:sz w:val="20"/>
          <w:szCs w:val="20"/>
          <w:lang w:eastAsia="en-US"/>
        </w:rPr>
        <w:lastRenderedPageBreak/>
        <w:t>La División de Conectividad, Mercados y Finanzas (CMF) del BID apoya a las instituciones financieras públicas en la región de América Latina y el Caribe (ALC) a través de sus operaciones. Actualmente, CMF apoya a gobiernos y bancos nacionales de desarrollo en el diseño de estrategias financieras para promover el desarrollo verde, inclusivo y sostenible en recuperación de la economía.</w:t>
      </w:r>
    </w:p>
    <w:p w14:paraId="6A33777F" w14:textId="77777777" w:rsidR="00A8738A" w:rsidRPr="00A8738A" w:rsidRDefault="00A8738A" w:rsidP="00A8738A">
      <w:pPr>
        <w:autoSpaceDE/>
        <w:autoSpaceDN/>
        <w:adjustRightInd/>
        <w:contextualSpacing/>
        <w:jc w:val="both"/>
        <w:rPr>
          <w:iCs/>
          <w:color w:val="auto"/>
          <w:sz w:val="20"/>
          <w:szCs w:val="20"/>
          <w:lang w:eastAsia="en-US"/>
        </w:rPr>
      </w:pPr>
    </w:p>
    <w:p w14:paraId="537C4104" w14:textId="77777777" w:rsidR="00A8738A" w:rsidRPr="00A8738A" w:rsidRDefault="00A8738A" w:rsidP="00A8738A">
      <w:pPr>
        <w:autoSpaceDE/>
        <w:autoSpaceDN/>
        <w:adjustRightInd/>
        <w:contextualSpacing/>
        <w:jc w:val="both"/>
        <w:rPr>
          <w:iCs/>
          <w:color w:val="auto"/>
          <w:sz w:val="20"/>
          <w:szCs w:val="20"/>
          <w:lang w:eastAsia="en-US"/>
        </w:rPr>
      </w:pPr>
    </w:p>
    <w:p w14:paraId="60D71649" w14:textId="77777777" w:rsidR="00A8738A" w:rsidRPr="00A8738A" w:rsidRDefault="00A8738A" w:rsidP="00A8738A">
      <w:pPr>
        <w:widowControl/>
        <w:autoSpaceDE/>
        <w:autoSpaceDN/>
        <w:adjustRightInd/>
        <w:ind w:left="360"/>
        <w:contextualSpacing/>
        <w:rPr>
          <w:rFonts w:eastAsiaTheme="minorHAnsi"/>
          <w:b/>
          <w:color w:val="auto"/>
          <w:sz w:val="20"/>
          <w:szCs w:val="20"/>
          <w:u w:val="single"/>
          <w:lang w:eastAsia="en-US"/>
        </w:rPr>
      </w:pPr>
    </w:p>
    <w:p w14:paraId="367ED493" w14:textId="77777777" w:rsidR="00A8738A" w:rsidRPr="00A8738A" w:rsidRDefault="00A8738A" w:rsidP="00A8738A">
      <w:pPr>
        <w:widowControl/>
        <w:numPr>
          <w:ilvl w:val="0"/>
          <w:numId w:val="9"/>
        </w:numPr>
        <w:autoSpaceDE/>
        <w:autoSpaceDN/>
        <w:adjustRightInd/>
        <w:contextualSpacing/>
        <w:rPr>
          <w:rFonts w:eastAsiaTheme="minorHAnsi"/>
          <w:b/>
          <w:color w:val="auto"/>
          <w:sz w:val="20"/>
          <w:szCs w:val="20"/>
          <w:u w:val="single"/>
          <w:lang w:eastAsia="en-US"/>
        </w:rPr>
      </w:pPr>
      <w:r w:rsidRPr="00A8738A">
        <w:rPr>
          <w:rFonts w:eastAsiaTheme="minorHAnsi"/>
          <w:b/>
          <w:color w:val="auto"/>
          <w:sz w:val="20"/>
          <w:szCs w:val="20"/>
          <w:u w:val="single"/>
          <w:lang w:eastAsia="en-US"/>
        </w:rPr>
        <w:t>Objetivos</w:t>
      </w:r>
    </w:p>
    <w:p w14:paraId="2A038C7A" w14:textId="77777777" w:rsidR="00F665DB" w:rsidRDefault="00F665DB" w:rsidP="00A8738A">
      <w:pPr>
        <w:autoSpaceDE/>
        <w:autoSpaceDN/>
        <w:adjustRightInd/>
        <w:spacing w:line="276" w:lineRule="auto"/>
        <w:contextualSpacing/>
        <w:jc w:val="both"/>
        <w:rPr>
          <w:bCs/>
          <w:iCs/>
          <w:color w:val="auto"/>
          <w:sz w:val="20"/>
          <w:szCs w:val="20"/>
          <w:lang w:eastAsia="en-US"/>
        </w:rPr>
      </w:pPr>
    </w:p>
    <w:p w14:paraId="38C53549" w14:textId="6F2643CA" w:rsidR="00A8738A" w:rsidRPr="00A8738A" w:rsidRDefault="00A8738A" w:rsidP="00A8738A">
      <w:pPr>
        <w:autoSpaceDE/>
        <w:autoSpaceDN/>
        <w:adjustRightInd/>
        <w:spacing w:line="276" w:lineRule="auto"/>
        <w:contextualSpacing/>
        <w:jc w:val="both"/>
        <w:rPr>
          <w:bCs/>
          <w:iCs/>
          <w:color w:val="auto"/>
          <w:sz w:val="20"/>
          <w:szCs w:val="20"/>
          <w:lang w:eastAsia="en-US"/>
        </w:rPr>
      </w:pPr>
      <w:r w:rsidRPr="00A8738A">
        <w:rPr>
          <w:bCs/>
          <w:iCs/>
          <w:color w:val="auto"/>
          <w:sz w:val="20"/>
          <w:szCs w:val="20"/>
          <w:lang w:eastAsia="en-US"/>
        </w:rPr>
        <w:t>A través de la contratación, se busca poner en valor el actual sitio web del Hub, readaptando y generando nuevos contenidos, así como también el desarrollo de un Back Office que permita digitalizar las tareas y procesos internos y aquellos en contacto con las entidades solicitantes y participantes del HUB, así como también verificar, almacenar y registrar datos de los formularios para su posterior explotación y puesta en valor.</w:t>
      </w:r>
    </w:p>
    <w:p w14:paraId="009A1674" w14:textId="77777777" w:rsidR="00A8738A" w:rsidRPr="00A8738A" w:rsidRDefault="00A8738A" w:rsidP="00A8738A">
      <w:pPr>
        <w:widowControl/>
        <w:autoSpaceDE/>
        <w:autoSpaceDN/>
        <w:adjustRightInd/>
        <w:ind w:left="360"/>
        <w:contextualSpacing/>
        <w:rPr>
          <w:rFonts w:eastAsiaTheme="minorHAnsi"/>
          <w:b/>
          <w:color w:val="auto"/>
          <w:sz w:val="20"/>
          <w:szCs w:val="20"/>
          <w:u w:val="single"/>
          <w:lang w:eastAsia="en-US"/>
        </w:rPr>
      </w:pPr>
    </w:p>
    <w:p w14:paraId="325C06F4" w14:textId="77777777" w:rsidR="00A8738A" w:rsidRPr="00A8738A" w:rsidRDefault="00A8738A" w:rsidP="00A8738A">
      <w:pPr>
        <w:widowControl/>
        <w:numPr>
          <w:ilvl w:val="0"/>
          <w:numId w:val="9"/>
        </w:numPr>
        <w:autoSpaceDE/>
        <w:autoSpaceDN/>
        <w:adjustRightInd/>
        <w:contextualSpacing/>
        <w:rPr>
          <w:rFonts w:eastAsiaTheme="minorHAnsi"/>
          <w:b/>
          <w:color w:val="auto"/>
          <w:sz w:val="20"/>
          <w:szCs w:val="20"/>
          <w:u w:val="single"/>
          <w:lang w:eastAsia="en-US"/>
        </w:rPr>
      </w:pPr>
      <w:r w:rsidRPr="00A8738A">
        <w:rPr>
          <w:rFonts w:eastAsiaTheme="minorHAnsi"/>
          <w:b/>
          <w:color w:val="auto"/>
          <w:sz w:val="20"/>
          <w:szCs w:val="20"/>
          <w:u w:val="single"/>
          <w:lang w:eastAsia="en-US"/>
        </w:rPr>
        <w:t>Alcance de los Servicios</w:t>
      </w:r>
    </w:p>
    <w:p w14:paraId="0F839BEE" w14:textId="77777777" w:rsidR="00A8738A" w:rsidRPr="00A8738A" w:rsidRDefault="00A8738A" w:rsidP="00A8738A">
      <w:pPr>
        <w:widowControl/>
        <w:autoSpaceDE/>
        <w:autoSpaceDN/>
        <w:adjustRightInd/>
        <w:ind w:left="792"/>
        <w:contextualSpacing/>
        <w:jc w:val="both"/>
        <w:rPr>
          <w:rFonts w:eastAsiaTheme="minorHAnsi"/>
          <w:b/>
          <w:i/>
          <w:color w:val="006600"/>
          <w:sz w:val="20"/>
          <w:szCs w:val="20"/>
          <w:lang w:eastAsia="en-US"/>
        </w:rPr>
      </w:pPr>
    </w:p>
    <w:p w14:paraId="4701BDE8" w14:textId="77777777" w:rsidR="00A8738A" w:rsidRPr="00A8738A" w:rsidRDefault="00A8738A" w:rsidP="00A8738A">
      <w:pPr>
        <w:autoSpaceDE/>
        <w:autoSpaceDN/>
        <w:adjustRightInd/>
        <w:spacing w:line="276" w:lineRule="auto"/>
        <w:contextualSpacing/>
        <w:jc w:val="both"/>
        <w:rPr>
          <w:bCs/>
          <w:iCs/>
          <w:color w:val="auto"/>
          <w:sz w:val="20"/>
          <w:szCs w:val="20"/>
          <w:lang w:eastAsia="en-US"/>
        </w:rPr>
      </w:pPr>
      <w:r w:rsidRPr="00A8738A">
        <w:rPr>
          <w:bCs/>
          <w:iCs/>
          <w:color w:val="auto"/>
          <w:sz w:val="20"/>
          <w:szCs w:val="20"/>
          <w:lang w:eastAsia="en-US"/>
        </w:rPr>
        <w:t>El entregable final deberá contemplar la actualización del contenido de la web https://www.argentina.gob.ar/cnv/hub-de-innovacion, potenciando la claridad y los servicios del sitio para alcanzar una mayor cantidad de proyectos presentados, así como facilitar la gestión documental y de datos que se obtienen a través de ésta.</w:t>
      </w:r>
    </w:p>
    <w:p w14:paraId="28DF5792" w14:textId="77777777" w:rsidR="00A8738A" w:rsidRPr="00A8738A" w:rsidRDefault="00A8738A" w:rsidP="00A8738A">
      <w:pPr>
        <w:autoSpaceDE/>
        <w:autoSpaceDN/>
        <w:adjustRightInd/>
        <w:spacing w:line="276" w:lineRule="auto"/>
        <w:ind w:left="792"/>
        <w:contextualSpacing/>
        <w:jc w:val="both"/>
        <w:rPr>
          <w:iCs/>
          <w:color w:val="auto"/>
          <w:sz w:val="20"/>
          <w:szCs w:val="20"/>
          <w:lang w:eastAsia="en-US"/>
        </w:rPr>
      </w:pPr>
    </w:p>
    <w:p w14:paraId="1B2F3596" w14:textId="77777777" w:rsidR="00A8738A" w:rsidRPr="00A8738A" w:rsidRDefault="00A8738A" w:rsidP="00A8738A">
      <w:pPr>
        <w:autoSpaceDE/>
        <w:autoSpaceDN/>
        <w:adjustRightInd/>
        <w:spacing w:line="276" w:lineRule="auto"/>
        <w:contextualSpacing/>
        <w:jc w:val="both"/>
        <w:rPr>
          <w:iCs/>
          <w:color w:val="auto"/>
          <w:sz w:val="20"/>
          <w:szCs w:val="20"/>
          <w:lang w:eastAsia="en-US"/>
        </w:rPr>
      </w:pPr>
      <w:r w:rsidRPr="00A8738A">
        <w:rPr>
          <w:iCs/>
          <w:color w:val="auto"/>
          <w:sz w:val="20"/>
          <w:szCs w:val="20"/>
          <w:lang w:eastAsia="en-US"/>
        </w:rPr>
        <w:t xml:space="preserve">Se espera contar con: </w:t>
      </w:r>
    </w:p>
    <w:p w14:paraId="7D278225" w14:textId="77777777" w:rsidR="00A8738A" w:rsidRPr="00A8738A" w:rsidRDefault="00A8738A" w:rsidP="00A8738A">
      <w:pPr>
        <w:autoSpaceDE/>
        <w:autoSpaceDN/>
        <w:adjustRightInd/>
        <w:spacing w:line="276" w:lineRule="auto"/>
        <w:contextualSpacing/>
        <w:jc w:val="both"/>
        <w:rPr>
          <w:iCs/>
          <w:color w:val="auto"/>
          <w:sz w:val="20"/>
          <w:szCs w:val="20"/>
          <w:lang w:eastAsia="en-US"/>
        </w:rPr>
      </w:pPr>
      <w:r w:rsidRPr="00A8738A">
        <w:rPr>
          <w:iCs/>
          <w:color w:val="auto"/>
          <w:sz w:val="20"/>
          <w:szCs w:val="20"/>
          <w:lang w:eastAsia="en-US"/>
        </w:rPr>
        <w:t xml:space="preserve">(i) actualización y desarrollo de nuevo contenido para el sitio https://www.argentina.gob.ar/cnv/hub-de-innovacion; </w:t>
      </w:r>
    </w:p>
    <w:p w14:paraId="6FB8D0A8" w14:textId="77777777" w:rsidR="00A8738A" w:rsidRPr="00A8738A" w:rsidRDefault="00A8738A" w:rsidP="00A8738A">
      <w:pPr>
        <w:autoSpaceDE/>
        <w:autoSpaceDN/>
        <w:adjustRightInd/>
        <w:spacing w:line="276" w:lineRule="auto"/>
        <w:contextualSpacing/>
        <w:jc w:val="both"/>
        <w:rPr>
          <w:iCs/>
          <w:color w:val="auto"/>
          <w:sz w:val="20"/>
          <w:szCs w:val="20"/>
          <w:lang w:eastAsia="en-US"/>
        </w:rPr>
      </w:pPr>
      <w:r w:rsidRPr="00A8738A">
        <w:rPr>
          <w:iCs/>
          <w:color w:val="auto"/>
          <w:sz w:val="20"/>
          <w:szCs w:val="20"/>
          <w:lang w:eastAsia="en-US"/>
        </w:rPr>
        <w:t>(ii) Desarrollo de Back Office que permita digitalizar los procesos actuales y almacenar y procesar datos recolectados desde el formulario online;</w:t>
      </w:r>
    </w:p>
    <w:p w14:paraId="2029A9C1" w14:textId="77777777" w:rsidR="00A8738A" w:rsidRPr="00A8738A" w:rsidRDefault="00A8738A" w:rsidP="00A8738A">
      <w:pPr>
        <w:autoSpaceDE/>
        <w:autoSpaceDN/>
        <w:adjustRightInd/>
        <w:contextualSpacing/>
        <w:jc w:val="both"/>
        <w:rPr>
          <w:b/>
          <w:bCs/>
          <w:i/>
          <w:iCs/>
          <w:color w:val="006600"/>
          <w:sz w:val="20"/>
          <w:szCs w:val="20"/>
          <w:lang w:eastAsia="en-US"/>
        </w:rPr>
      </w:pPr>
    </w:p>
    <w:p w14:paraId="79621A2A" w14:textId="77777777" w:rsidR="00A8738A" w:rsidRPr="00A8738A" w:rsidRDefault="00A8738A" w:rsidP="00A8738A">
      <w:pPr>
        <w:widowControl/>
        <w:autoSpaceDE/>
        <w:autoSpaceDN/>
        <w:adjustRightInd/>
        <w:ind w:left="1224"/>
        <w:contextualSpacing/>
        <w:jc w:val="both"/>
        <w:rPr>
          <w:rFonts w:eastAsiaTheme="minorHAnsi"/>
          <w:color w:val="auto"/>
          <w:sz w:val="20"/>
          <w:szCs w:val="20"/>
          <w:lang w:eastAsia="en-US"/>
        </w:rPr>
      </w:pPr>
    </w:p>
    <w:p w14:paraId="4392C148" w14:textId="77777777" w:rsidR="00A8738A" w:rsidRPr="00A8738A" w:rsidRDefault="00A8738A" w:rsidP="00A8738A">
      <w:pPr>
        <w:widowControl/>
        <w:numPr>
          <w:ilvl w:val="0"/>
          <w:numId w:val="9"/>
        </w:numPr>
        <w:autoSpaceDE/>
        <w:autoSpaceDN/>
        <w:adjustRightInd/>
        <w:contextualSpacing/>
        <w:rPr>
          <w:rFonts w:eastAsiaTheme="minorHAnsi"/>
          <w:b/>
          <w:color w:val="auto"/>
          <w:sz w:val="20"/>
          <w:szCs w:val="20"/>
          <w:u w:val="single"/>
          <w:lang w:eastAsia="en-US"/>
        </w:rPr>
      </w:pPr>
      <w:r w:rsidRPr="00A8738A">
        <w:rPr>
          <w:rFonts w:eastAsiaTheme="minorHAnsi"/>
          <w:b/>
          <w:color w:val="auto"/>
          <w:sz w:val="20"/>
          <w:szCs w:val="20"/>
          <w:u w:val="single"/>
          <w:lang w:eastAsia="en-US"/>
        </w:rPr>
        <w:t>Actividades Clave</w:t>
      </w:r>
    </w:p>
    <w:p w14:paraId="700DC317" w14:textId="77777777" w:rsidR="00A8738A" w:rsidRPr="00A8738A" w:rsidRDefault="00A8738A" w:rsidP="00A8738A">
      <w:pPr>
        <w:autoSpaceDE/>
        <w:autoSpaceDN/>
        <w:adjustRightInd/>
        <w:contextualSpacing/>
        <w:jc w:val="both"/>
        <w:rPr>
          <w:b/>
          <w:bCs/>
          <w:i/>
          <w:iCs/>
          <w:color w:val="auto"/>
          <w:sz w:val="20"/>
          <w:szCs w:val="20"/>
          <w:lang w:eastAsia="en-US"/>
        </w:rPr>
      </w:pPr>
    </w:p>
    <w:p w14:paraId="5B0244B0" w14:textId="77777777" w:rsidR="00A8738A" w:rsidRPr="00A8738A" w:rsidRDefault="00A8738A" w:rsidP="00A8738A">
      <w:pPr>
        <w:autoSpaceDE/>
        <w:autoSpaceDN/>
        <w:adjustRightInd/>
        <w:ind w:left="792"/>
        <w:contextualSpacing/>
        <w:jc w:val="both"/>
        <w:rPr>
          <w:bCs/>
          <w:iCs/>
          <w:color w:val="auto"/>
          <w:sz w:val="20"/>
          <w:szCs w:val="20"/>
          <w:lang w:eastAsia="en-US"/>
        </w:rPr>
      </w:pPr>
      <w:r w:rsidRPr="00A8738A">
        <w:rPr>
          <w:bCs/>
          <w:iCs/>
          <w:color w:val="auto"/>
          <w:sz w:val="20"/>
          <w:szCs w:val="20"/>
          <w:lang w:eastAsia="en-US"/>
        </w:rPr>
        <w:t>1.</w:t>
      </w:r>
      <w:r w:rsidRPr="00A8738A">
        <w:rPr>
          <w:bCs/>
          <w:iCs/>
          <w:color w:val="auto"/>
          <w:sz w:val="20"/>
          <w:szCs w:val="20"/>
          <w:lang w:eastAsia="en-US"/>
        </w:rPr>
        <w:tab/>
        <w:t>Análisis del sitio web actual</w:t>
      </w:r>
    </w:p>
    <w:p w14:paraId="0111ED2E" w14:textId="77777777" w:rsidR="00A8738A" w:rsidRPr="00A8738A" w:rsidRDefault="00A8738A" w:rsidP="00A8738A">
      <w:pPr>
        <w:autoSpaceDE/>
        <w:autoSpaceDN/>
        <w:adjustRightInd/>
        <w:ind w:left="792"/>
        <w:contextualSpacing/>
        <w:jc w:val="both"/>
        <w:rPr>
          <w:bCs/>
          <w:iCs/>
          <w:color w:val="auto"/>
          <w:sz w:val="20"/>
          <w:szCs w:val="20"/>
          <w:lang w:eastAsia="en-US"/>
        </w:rPr>
      </w:pPr>
      <w:r w:rsidRPr="00A8738A">
        <w:rPr>
          <w:bCs/>
          <w:iCs/>
          <w:color w:val="auto"/>
          <w:sz w:val="20"/>
          <w:szCs w:val="20"/>
          <w:lang w:eastAsia="en-US"/>
        </w:rPr>
        <w:t>2.</w:t>
      </w:r>
      <w:r w:rsidRPr="00A8738A">
        <w:rPr>
          <w:bCs/>
          <w:iCs/>
          <w:color w:val="auto"/>
          <w:sz w:val="20"/>
          <w:szCs w:val="20"/>
          <w:lang w:eastAsia="en-US"/>
        </w:rPr>
        <w:tab/>
        <w:t>Definición del contenido</w:t>
      </w:r>
    </w:p>
    <w:p w14:paraId="27C4BE00" w14:textId="77777777" w:rsidR="00A8738A" w:rsidRPr="00A8738A" w:rsidRDefault="00A8738A" w:rsidP="00A8738A">
      <w:pPr>
        <w:autoSpaceDE/>
        <w:autoSpaceDN/>
        <w:adjustRightInd/>
        <w:ind w:left="792"/>
        <w:contextualSpacing/>
        <w:jc w:val="both"/>
        <w:rPr>
          <w:bCs/>
          <w:iCs/>
          <w:color w:val="auto"/>
          <w:sz w:val="20"/>
          <w:szCs w:val="20"/>
          <w:lang w:eastAsia="en-US"/>
        </w:rPr>
      </w:pPr>
      <w:r w:rsidRPr="00A8738A">
        <w:rPr>
          <w:bCs/>
          <w:iCs/>
          <w:color w:val="auto"/>
          <w:sz w:val="20"/>
          <w:szCs w:val="20"/>
          <w:lang w:eastAsia="en-US"/>
        </w:rPr>
        <w:t>3.</w:t>
      </w:r>
      <w:r w:rsidRPr="00A8738A">
        <w:rPr>
          <w:bCs/>
          <w:iCs/>
          <w:color w:val="auto"/>
          <w:sz w:val="20"/>
          <w:szCs w:val="20"/>
          <w:lang w:eastAsia="en-US"/>
        </w:rPr>
        <w:tab/>
        <w:t>Desarrollo y actualización del contenido</w:t>
      </w:r>
    </w:p>
    <w:p w14:paraId="41B9D9FF" w14:textId="77777777" w:rsidR="00A8738A" w:rsidRPr="00A8738A" w:rsidRDefault="00A8738A" w:rsidP="00A8738A">
      <w:pPr>
        <w:autoSpaceDE/>
        <w:autoSpaceDN/>
        <w:adjustRightInd/>
        <w:ind w:left="792"/>
        <w:contextualSpacing/>
        <w:jc w:val="both"/>
        <w:rPr>
          <w:bCs/>
          <w:iCs/>
          <w:color w:val="auto"/>
          <w:sz w:val="20"/>
          <w:szCs w:val="20"/>
          <w:lang w:eastAsia="en-US"/>
        </w:rPr>
      </w:pPr>
      <w:r w:rsidRPr="00A8738A">
        <w:rPr>
          <w:bCs/>
          <w:iCs/>
          <w:color w:val="auto"/>
          <w:sz w:val="20"/>
          <w:szCs w:val="20"/>
          <w:lang w:eastAsia="en-US"/>
        </w:rPr>
        <w:t>4.</w:t>
      </w:r>
      <w:r w:rsidRPr="00A8738A">
        <w:rPr>
          <w:bCs/>
          <w:iCs/>
          <w:color w:val="auto"/>
          <w:sz w:val="20"/>
          <w:szCs w:val="20"/>
          <w:lang w:eastAsia="en-US"/>
        </w:rPr>
        <w:tab/>
        <w:t>Análisis y propuesta del objetivo, alcance y diseño del Back Office</w:t>
      </w:r>
    </w:p>
    <w:p w14:paraId="11ECE25F" w14:textId="77777777" w:rsidR="00A8738A" w:rsidRPr="00A8738A" w:rsidRDefault="00A8738A" w:rsidP="00A8738A">
      <w:pPr>
        <w:autoSpaceDE/>
        <w:autoSpaceDN/>
        <w:adjustRightInd/>
        <w:ind w:left="792"/>
        <w:contextualSpacing/>
        <w:jc w:val="both"/>
        <w:rPr>
          <w:bCs/>
          <w:iCs/>
          <w:color w:val="auto"/>
          <w:sz w:val="20"/>
          <w:szCs w:val="20"/>
          <w:lang w:eastAsia="en-US"/>
        </w:rPr>
      </w:pPr>
      <w:r w:rsidRPr="00A8738A">
        <w:rPr>
          <w:bCs/>
          <w:iCs/>
          <w:color w:val="auto"/>
          <w:sz w:val="20"/>
          <w:szCs w:val="20"/>
          <w:lang w:eastAsia="en-US"/>
        </w:rPr>
        <w:t>5.</w:t>
      </w:r>
      <w:r w:rsidRPr="00A8738A">
        <w:rPr>
          <w:bCs/>
          <w:iCs/>
          <w:color w:val="auto"/>
          <w:sz w:val="20"/>
          <w:szCs w:val="20"/>
          <w:lang w:eastAsia="en-US"/>
        </w:rPr>
        <w:tab/>
        <w:t>Implementación, pruebas y test del Back Office</w:t>
      </w:r>
    </w:p>
    <w:p w14:paraId="47B50052" w14:textId="77777777" w:rsidR="00A8738A" w:rsidRPr="00A8738A" w:rsidRDefault="00A8738A" w:rsidP="00A8738A">
      <w:pPr>
        <w:autoSpaceDE/>
        <w:autoSpaceDN/>
        <w:adjustRightInd/>
        <w:ind w:left="792"/>
        <w:contextualSpacing/>
        <w:jc w:val="both"/>
        <w:rPr>
          <w:bCs/>
          <w:iCs/>
          <w:color w:val="auto"/>
          <w:sz w:val="20"/>
          <w:szCs w:val="20"/>
          <w:lang w:eastAsia="en-US"/>
        </w:rPr>
      </w:pPr>
      <w:r w:rsidRPr="00A8738A">
        <w:rPr>
          <w:bCs/>
          <w:iCs/>
          <w:color w:val="auto"/>
          <w:sz w:val="20"/>
          <w:szCs w:val="20"/>
          <w:lang w:eastAsia="en-US"/>
        </w:rPr>
        <w:t>6.</w:t>
      </w:r>
      <w:r w:rsidRPr="00A8738A">
        <w:rPr>
          <w:bCs/>
          <w:iCs/>
          <w:color w:val="auto"/>
          <w:sz w:val="20"/>
          <w:szCs w:val="20"/>
          <w:lang w:eastAsia="en-US"/>
        </w:rPr>
        <w:tab/>
        <w:t>Diseño y publicación del contenido público generado</w:t>
      </w:r>
    </w:p>
    <w:p w14:paraId="05DA3145" w14:textId="77777777" w:rsidR="00A8738A" w:rsidRPr="00A8738A" w:rsidRDefault="00A8738A" w:rsidP="00A8738A">
      <w:pPr>
        <w:widowControl/>
        <w:autoSpaceDE/>
        <w:autoSpaceDN/>
        <w:adjustRightInd/>
        <w:ind w:left="792"/>
        <w:contextualSpacing/>
        <w:rPr>
          <w:rFonts w:eastAsiaTheme="minorHAnsi"/>
          <w:b/>
          <w:color w:val="auto"/>
          <w:sz w:val="20"/>
          <w:szCs w:val="20"/>
          <w:lang w:eastAsia="en-US"/>
        </w:rPr>
      </w:pPr>
    </w:p>
    <w:p w14:paraId="75029F84" w14:textId="77777777" w:rsidR="00A8738A" w:rsidRPr="00A8738A" w:rsidRDefault="00A8738A" w:rsidP="00A8738A">
      <w:pPr>
        <w:widowControl/>
        <w:autoSpaceDE/>
        <w:autoSpaceDN/>
        <w:adjustRightInd/>
        <w:ind w:left="360"/>
        <w:contextualSpacing/>
        <w:rPr>
          <w:rFonts w:eastAsiaTheme="minorHAnsi"/>
          <w:b/>
          <w:color w:val="auto"/>
          <w:sz w:val="20"/>
          <w:szCs w:val="20"/>
          <w:u w:val="single"/>
          <w:lang w:eastAsia="en-US"/>
        </w:rPr>
      </w:pPr>
    </w:p>
    <w:p w14:paraId="64954DE2" w14:textId="77777777" w:rsidR="008E2B8D" w:rsidRDefault="008E2B8D" w:rsidP="008E2B8D">
      <w:pPr>
        <w:jc w:val="both"/>
        <w:rPr>
          <w:rFonts w:asciiTheme="minorHAnsi" w:hAnsiTheme="minorHAnsi" w:cs="Times New Roman"/>
          <w:color w:val="auto"/>
        </w:rPr>
      </w:pPr>
    </w:p>
    <w:sectPr w:rsidR="008E2B8D" w:rsidSect="008E2B8D">
      <w:headerReference w:type="default" r:id="rId20"/>
      <w:pgSz w:w="11907" w:h="16840"/>
      <w:pgMar w:top="1080" w:right="1017"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02C87" w14:textId="77777777" w:rsidR="004E049F" w:rsidRDefault="004E049F">
      <w:r>
        <w:separator/>
      </w:r>
    </w:p>
  </w:endnote>
  <w:endnote w:type="continuationSeparator" w:id="0">
    <w:p w14:paraId="1DD979C6" w14:textId="77777777" w:rsidR="004E049F" w:rsidRDefault="004E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4A5B1" w14:textId="77777777" w:rsidR="004E049F" w:rsidRDefault="004E049F">
      <w:r>
        <w:separator/>
      </w:r>
    </w:p>
  </w:footnote>
  <w:footnote w:type="continuationSeparator" w:id="0">
    <w:p w14:paraId="578113C5" w14:textId="77777777" w:rsidR="004E049F" w:rsidRDefault="004E0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061B7814" w:rsidR="00D761FB" w:rsidRDefault="008E2B8D">
    <w:pPr>
      <w:pStyle w:val="Header"/>
    </w:pPr>
    <w:r>
      <w:rPr>
        <w:noProof/>
      </w:rPr>
      <w:drawing>
        <wp:inline distT="0" distB="0" distL="0" distR="0" wp14:anchorId="66DA5BAC" wp14:editId="61FBCF77">
          <wp:extent cx="1952625" cy="495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528A"/>
    <w:multiLevelType w:val="hybridMultilevel"/>
    <w:tmpl w:val="0AE2D466"/>
    <w:lvl w:ilvl="0" w:tplc="551ED940">
      <w:start w:val="1"/>
      <w:numFmt w:val="bullet"/>
      <w:lvlText w:val="-"/>
      <w:lvlJc w:val="left"/>
      <w:pPr>
        <w:ind w:left="720" w:hanging="360"/>
      </w:pPr>
      <w:rPr>
        <w:rFonts w:ascii="Calibri" w:eastAsia="Calibr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1EE4021"/>
    <w:multiLevelType w:val="multilevel"/>
    <w:tmpl w:val="D4848C46"/>
    <w:lvl w:ilvl="0">
      <w:start w:val="1"/>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888501F"/>
    <w:multiLevelType w:val="hybridMultilevel"/>
    <w:tmpl w:val="1264CA38"/>
    <w:lvl w:ilvl="0" w:tplc="551ED940">
      <w:start w:val="1"/>
      <w:numFmt w:val="bullet"/>
      <w:lvlText w:val="-"/>
      <w:lvlJc w:val="left"/>
      <w:pPr>
        <w:ind w:left="720" w:hanging="360"/>
      </w:pPr>
      <w:rPr>
        <w:rFonts w:ascii="Calibri" w:eastAsia="Calibr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D4F150C"/>
    <w:multiLevelType w:val="multilevel"/>
    <w:tmpl w:val="3FAABBC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2AF95759"/>
    <w:multiLevelType w:val="hybridMultilevel"/>
    <w:tmpl w:val="2A44CA6E"/>
    <w:lvl w:ilvl="0" w:tplc="A2FABA78">
      <w:start w:val="1"/>
      <w:numFmt w:val="lowerRoman"/>
      <w:lvlText w:val="%1)"/>
      <w:lvlJc w:val="left"/>
      <w:pPr>
        <w:ind w:left="2160" w:hanging="720"/>
      </w:pPr>
      <w:rPr>
        <w:rFonts w:hint="default"/>
      </w:rPr>
    </w:lvl>
    <w:lvl w:ilvl="1" w:tplc="2C0A0019" w:tentative="1">
      <w:start w:val="1"/>
      <w:numFmt w:val="lowerLetter"/>
      <w:lvlText w:val="%2."/>
      <w:lvlJc w:val="left"/>
      <w:pPr>
        <w:ind w:left="2520" w:hanging="360"/>
      </w:pPr>
    </w:lvl>
    <w:lvl w:ilvl="2" w:tplc="2C0A001B" w:tentative="1">
      <w:start w:val="1"/>
      <w:numFmt w:val="lowerRoman"/>
      <w:lvlText w:val="%3."/>
      <w:lvlJc w:val="right"/>
      <w:pPr>
        <w:ind w:left="3240" w:hanging="180"/>
      </w:pPr>
    </w:lvl>
    <w:lvl w:ilvl="3" w:tplc="2C0A000F" w:tentative="1">
      <w:start w:val="1"/>
      <w:numFmt w:val="decimal"/>
      <w:lvlText w:val="%4."/>
      <w:lvlJc w:val="left"/>
      <w:pPr>
        <w:ind w:left="3960" w:hanging="360"/>
      </w:pPr>
    </w:lvl>
    <w:lvl w:ilvl="4" w:tplc="2C0A0019" w:tentative="1">
      <w:start w:val="1"/>
      <w:numFmt w:val="lowerLetter"/>
      <w:lvlText w:val="%5."/>
      <w:lvlJc w:val="left"/>
      <w:pPr>
        <w:ind w:left="4680" w:hanging="360"/>
      </w:pPr>
    </w:lvl>
    <w:lvl w:ilvl="5" w:tplc="2C0A001B" w:tentative="1">
      <w:start w:val="1"/>
      <w:numFmt w:val="lowerRoman"/>
      <w:lvlText w:val="%6."/>
      <w:lvlJc w:val="right"/>
      <w:pPr>
        <w:ind w:left="5400" w:hanging="180"/>
      </w:pPr>
    </w:lvl>
    <w:lvl w:ilvl="6" w:tplc="2C0A000F" w:tentative="1">
      <w:start w:val="1"/>
      <w:numFmt w:val="decimal"/>
      <w:lvlText w:val="%7."/>
      <w:lvlJc w:val="left"/>
      <w:pPr>
        <w:ind w:left="6120" w:hanging="360"/>
      </w:pPr>
    </w:lvl>
    <w:lvl w:ilvl="7" w:tplc="2C0A0019" w:tentative="1">
      <w:start w:val="1"/>
      <w:numFmt w:val="lowerLetter"/>
      <w:lvlText w:val="%8."/>
      <w:lvlJc w:val="left"/>
      <w:pPr>
        <w:ind w:left="6840" w:hanging="360"/>
      </w:pPr>
    </w:lvl>
    <w:lvl w:ilvl="8" w:tplc="2C0A001B" w:tentative="1">
      <w:start w:val="1"/>
      <w:numFmt w:val="lowerRoman"/>
      <w:lvlText w:val="%9."/>
      <w:lvlJc w:val="right"/>
      <w:pPr>
        <w:ind w:left="7560" w:hanging="180"/>
      </w:pPr>
    </w:lvl>
  </w:abstractNum>
  <w:abstractNum w:abstractNumId="6" w15:restartNumberingAfterBreak="0">
    <w:nsid w:val="5066229E"/>
    <w:multiLevelType w:val="hybridMultilevel"/>
    <w:tmpl w:val="AA762220"/>
    <w:lvl w:ilvl="0" w:tplc="EBA81A8A">
      <w:start w:val="1"/>
      <w:numFmt w:val="lowerLetter"/>
      <w:lvlText w:val="%1."/>
      <w:lvlJc w:val="left"/>
      <w:pPr>
        <w:ind w:left="599" w:hanging="360"/>
      </w:pPr>
      <w:rPr>
        <w:rFonts w:hint="default"/>
      </w:rPr>
    </w:lvl>
    <w:lvl w:ilvl="1" w:tplc="2C0A0019" w:tentative="1">
      <w:start w:val="1"/>
      <w:numFmt w:val="lowerLetter"/>
      <w:lvlText w:val="%2."/>
      <w:lvlJc w:val="left"/>
      <w:pPr>
        <w:ind w:left="1319" w:hanging="360"/>
      </w:pPr>
    </w:lvl>
    <w:lvl w:ilvl="2" w:tplc="2C0A001B" w:tentative="1">
      <w:start w:val="1"/>
      <w:numFmt w:val="lowerRoman"/>
      <w:lvlText w:val="%3."/>
      <w:lvlJc w:val="right"/>
      <w:pPr>
        <w:ind w:left="2039" w:hanging="180"/>
      </w:pPr>
    </w:lvl>
    <w:lvl w:ilvl="3" w:tplc="2C0A000F" w:tentative="1">
      <w:start w:val="1"/>
      <w:numFmt w:val="decimal"/>
      <w:lvlText w:val="%4."/>
      <w:lvlJc w:val="left"/>
      <w:pPr>
        <w:ind w:left="2759" w:hanging="360"/>
      </w:pPr>
    </w:lvl>
    <w:lvl w:ilvl="4" w:tplc="2C0A0019" w:tentative="1">
      <w:start w:val="1"/>
      <w:numFmt w:val="lowerLetter"/>
      <w:lvlText w:val="%5."/>
      <w:lvlJc w:val="left"/>
      <w:pPr>
        <w:ind w:left="3479" w:hanging="360"/>
      </w:pPr>
    </w:lvl>
    <w:lvl w:ilvl="5" w:tplc="2C0A001B" w:tentative="1">
      <w:start w:val="1"/>
      <w:numFmt w:val="lowerRoman"/>
      <w:lvlText w:val="%6."/>
      <w:lvlJc w:val="right"/>
      <w:pPr>
        <w:ind w:left="4199" w:hanging="180"/>
      </w:pPr>
    </w:lvl>
    <w:lvl w:ilvl="6" w:tplc="2C0A000F" w:tentative="1">
      <w:start w:val="1"/>
      <w:numFmt w:val="decimal"/>
      <w:lvlText w:val="%7."/>
      <w:lvlJc w:val="left"/>
      <w:pPr>
        <w:ind w:left="4919" w:hanging="360"/>
      </w:pPr>
    </w:lvl>
    <w:lvl w:ilvl="7" w:tplc="2C0A0019" w:tentative="1">
      <w:start w:val="1"/>
      <w:numFmt w:val="lowerLetter"/>
      <w:lvlText w:val="%8."/>
      <w:lvlJc w:val="left"/>
      <w:pPr>
        <w:ind w:left="5639" w:hanging="360"/>
      </w:pPr>
    </w:lvl>
    <w:lvl w:ilvl="8" w:tplc="2C0A001B" w:tentative="1">
      <w:start w:val="1"/>
      <w:numFmt w:val="lowerRoman"/>
      <w:lvlText w:val="%9."/>
      <w:lvlJc w:val="right"/>
      <w:pPr>
        <w:ind w:left="6359" w:hanging="180"/>
      </w:pPr>
    </w:lvl>
  </w:abstractNum>
  <w:abstractNum w:abstractNumId="7" w15:restartNumberingAfterBreak="0">
    <w:nsid w:val="50894CB0"/>
    <w:multiLevelType w:val="multilevel"/>
    <w:tmpl w:val="A5066564"/>
    <w:lvl w:ilvl="0">
      <w:start w:val="1"/>
      <w:numFmt w:val="lowerRoman"/>
      <w:lvlText w:val="%1)"/>
      <w:lvlJc w:val="left"/>
      <w:pPr>
        <w:ind w:left="1800" w:hanging="360"/>
      </w:pPr>
      <w:rPr>
        <w:rFonts w:ascii="Calibri" w:eastAsia="Calibri" w:hAnsi="Calibri" w:cs="Calibri"/>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0">
    <w:nsid w:val="595E4133"/>
    <w:multiLevelType w:val="hybridMultilevel"/>
    <w:tmpl w:val="048A9086"/>
    <w:lvl w:ilvl="0" w:tplc="2E3C106C">
      <w:numFmt w:val="bullet"/>
      <w:lvlText w:val="•"/>
      <w:lvlJc w:val="left"/>
      <w:pPr>
        <w:ind w:left="1440" w:hanging="72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DCE014E"/>
    <w:multiLevelType w:val="hybridMultilevel"/>
    <w:tmpl w:val="A260F024"/>
    <w:lvl w:ilvl="0" w:tplc="23828952">
      <w:start w:val="1"/>
      <w:numFmt w:val="decimal"/>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0" w15:restartNumberingAfterBreak="0">
    <w:nsid w:val="605C76A9"/>
    <w:multiLevelType w:val="multilevel"/>
    <w:tmpl w:val="EADC810A"/>
    <w:lvl w:ilvl="0">
      <w:start w:val="1"/>
      <w:numFmt w:val="decimal"/>
      <w:lvlText w:val="%1."/>
      <w:lvlJc w:val="left"/>
      <w:pPr>
        <w:ind w:left="360" w:hanging="360"/>
      </w:pPr>
    </w:lvl>
    <w:lvl w:ilvl="1">
      <w:start w:val="1"/>
      <w:numFmt w:val="decimal"/>
      <w:lvlText w:val="%1.%2."/>
      <w:lvlJc w:val="left"/>
      <w:pPr>
        <w:ind w:left="792" w:hanging="432"/>
      </w:pPr>
      <w:rPr>
        <w:rFonts w:ascii="Calibri" w:eastAsia="Calibri" w:hAnsi="Calibri" w:cs="Calibri"/>
        <w:b/>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2820828">
    <w:abstractNumId w:val="7"/>
  </w:num>
  <w:num w:numId="2" w16cid:durableId="68429660">
    <w:abstractNumId w:val="4"/>
  </w:num>
  <w:num w:numId="3" w16cid:durableId="938832111">
    <w:abstractNumId w:val="10"/>
  </w:num>
  <w:num w:numId="4" w16cid:durableId="1052076099">
    <w:abstractNumId w:val="9"/>
  </w:num>
  <w:num w:numId="5" w16cid:durableId="339279943">
    <w:abstractNumId w:val="5"/>
  </w:num>
  <w:num w:numId="6" w16cid:durableId="1122069548">
    <w:abstractNumId w:val="0"/>
  </w:num>
  <w:num w:numId="7" w16cid:durableId="759640973">
    <w:abstractNumId w:val="1"/>
  </w:num>
  <w:num w:numId="8" w16cid:durableId="1439105033">
    <w:abstractNumId w:val="3"/>
  </w:num>
  <w:num w:numId="9" w16cid:durableId="278416087">
    <w:abstractNumId w:val="11"/>
  </w:num>
  <w:num w:numId="10" w16cid:durableId="1624651880">
    <w:abstractNumId w:val="2"/>
  </w:num>
  <w:num w:numId="11" w16cid:durableId="917859924">
    <w:abstractNumId w:val="8"/>
  </w:num>
  <w:num w:numId="12" w16cid:durableId="12625695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4AD6"/>
    <w:rsid w:val="00075A5F"/>
    <w:rsid w:val="000C118D"/>
    <w:rsid w:val="000D5283"/>
    <w:rsid w:val="00166273"/>
    <w:rsid w:val="00195118"/>
    <w:rsid w:val="001C1EA2"/>
    <w:rsid w:val="001F2366"/>
    <w:rsid w:val="00201995"/>
    <w:rsid w:val="002044D9"/>
    <w:rsid w:val="00214F77"/>
    <w:rsid w:val="00241DEF"/>
    <w:rsid w:val="00251454"/>
    <w:rsid w:val="002E5284"/>
    <w:rsid w:val="0033066F"/>
    <w:rsid w:val="00360ACB"/>
    <w:rsid w:val="003800C7"/>
    <w:rsid w:val="003E2C20"/>
    <w:rsid w:val="003F5CA1"/>
    <w:rsid w:val="004003E8"/>
    <w:rsid w:val="0040472C"/>
    <w:rsid w:val="00423B30"/>
    <w:rsid w:val="00423E38"/>
    <w:rsid w:val="00463054"/>
    <w:rsid w:val="004A3654"/>
    <w:rsid w:val="004C0B86"/>
    <w:rsid w:val="004C45AE"/>
    <w:rsid w:val="004D51F3"/>
    <w:rsid w:val="004E049F"/>
    <w:rsid w:val="0051231A"/>
    <w:rsid w:val="0052634A"/>
    <w:rsid w:val="00544F2D"/>
    <w:rsid w:val="00546C8D"/>
    <w:rsid w:val="00556C08"/>
    <w:rsid w:val="005673D5"/>
    <w:rsid w:val="0056772C"/>
    <w:rsid w:val="005B434A"/>
    <w:rsid w:val="005C2B9F"/>
    <w:rsid w:val="005C52C6"/>
    <w:rsid w:val="006071D7"/>
    <w:rsid w:val="00637714"/>
    <w:rsid w:val="006C3B20"/>
    <w:rsid w:val="007001EE"/>
    <w:rsid w:val="00740553"/>
    <w:rsid w:val="0078460F"/>
    <w:rsid w:val="008171F3"/>
    <w:rsid w:val="008577C4"/>
    <w:rsid w:val="00857C68"/>
    <w:rsid w:val="008605E4"/>
    <w:rsid w:val="00891E3C"/>
    <w:rsid w:val="00897ECF"/>
    <w:rsid w:val="008C7908"/>
    <w:rsid w:val="008E2B8D"/>
    <w:rsid w:val="00901303"/>
    <w:rsid w:val="0090355D"/>
    <w:rsid w:val="0090501E"/>
    <w:rsid w:val="00913640"/>
    <w:rsid w:val="00A15B62"/>
    <w:rsid w:val="00A37CA7"/>
    <w:rsid w:val="00A438EB"/>
    <w:rsid w:val="00A838F0"/>
    <w:rsid w:val="00A83D94"/>
    <w:rsid w:val="00A8738A"/>
    <w:rsid w:val="00AB4BCA"/>
    <w:rsid w:val="00AC4433"/>
    <w:rsid w:val="00AD6E3D"/>
    <w:rsid w:val="00AE7268"/>
    <w:rsid w:val="00B17BF0"/>
    <w:rsid w:val="00B24F99"/>
    <w:rsid w:val="00B27293"/>
    <w:rsid w:val="00B747D9"/>
    <w:rsid w:val="00BC02E9"/>
    <w:rsid w:val="00BF0B50"/>
    <w:rsid w:val="00BF5CD3"/>
    <w:rsid w:val="00C27587"/>
    <w:rsid w:val="00C4263C"/>
    <w:rsid w:val="00C42B39"/>
    <w:rsid w:val="00C439C0"/>
    <w:rsid w:val="00C56896"/>
    <w:rsid w:val="00C90263"/>
    <w:rsid w:val="00C94EA8"/>
    <w:rsid w:val="00CA1817"/>
    <w:rsid w:val="00CA7C9E"/>
    <w:rsid w:val="00CD2A27"/>
    <w:rsid w:val="00CD36BB"/>
    <w:rsid w:val="00CD4837"/>
    <w:rsid w:val="00CD4904"/>
    <w:rsid w:val="00CD5424"/>
    <w:rsid w:val="00CE0491"/>
    <w:rsid w:val="00D14ABA"/>
    <w:rsid w:val="00D72092"/>
    <w:rsid w:val="00D761FB"/>
    <w:rsid w:val="00DE327F"/>
    <w:rsid w:val="00E277C5"/>
    <w:rsid w:val="00E40F18"/>
    <w:rsid w:val="00E82ED1"/>
    <w:rsid w:val="00E90C6D"/>
    <w:rsid w:val="00ED012E"/>
    <w:rsid w:val="00ED265F"/>
    <w:rsid w:val="00ED4D33"/>
    <w:rsid w:val="00F167B1"/>
    <w:rsid w:val="00F45D9C"/>
    <w:rsid w:val="00F665DB"/>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CD5424"/>
    <w:rPr>
      <w:color w:val="605E5C"/>
      <w:shd w:val="clear" w:color="auto" w:fill="E1DFDD"/>
    </w:rPr>
  </w:style>
  <w:style w:type="paragraph" w:styleId="ListParagraph">
    <w:name w:val="List Paragraph"/>
    <w:basedOn w:val="Normal"/>
    <w:uiPriority w:val="34"/>
    <w:qFormat/>
    <w:rsid w:val="008E2B8D"/>
    <w:pPr>
      <w:widowControl/>
      <w:autoSpaceDE/>
      <w:autoSpaceDN/>
      <w:adjustRightInd/>
      <w:ind w:left="720"/>
      <w:contextualSpacing/>
    </w:pPr>
    <w:rPr>
      <w:rFonts w:eastAsia="Arial"/>
      <w:color w:val="auto"/>
      <w:sz w:val="20"/>
      <w:szCs w:val="20"/>
    </w:rPr>
  </w:style>
  <w:style w:type="character" w:customStyle="1" w:styleId="normaltextrun">
    <w:name w:val="normaltextrun"/>
    <w:basedOn w:val="DefaultParagraphFont"/>
    <w:rsid w:val="008E2B8D"/>
  </w:style>
  <w:style w:type="table" w:styleId="TableGrid">
    <w:name w:val="Table Grid"/>
    <w:basedOn w:val="TableNormal"/>
    <w:uiPriority w:val="59"/>
    <w:rsid w:val="00A873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adb.org/en/project/AR-T1273" TargetMode="External"/><Relationship Id="rId18" Type="http://schemas.openxmlformats.org/officeDocument/2006/relationships/hyperlink" Target="https://www.argentina.gob.ar/cnv/hub-de-innovac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iadb.org/en/project/AR-T1273" TargetMode="External"/><Relationship Id="rId2" Type="http://schemas.openxmlformats.org/officeDocument/2006/relationships/customXml" Target="../customXml/item2.xml"/><Relationship Id="rId16" Type="http://schemas.openxmlformats.org/officeDocument/2006/relationships/hyperlink" Target="http://www.iadb.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hyperlink" Target="http://www.iadb.org/document.cfm?id=38988613" TargetMode="Externa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yperlink" Target="https://www.argentina.gob.ar/cnv/hub-de-innovacion/acerca-del-hub"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CC9AFA6396E5D4C8B91DC7030EFD927" ma:contentTypeVersion="0" ma:contentTypeDescription="A content type to manage public (operations) IDB documents" ma:contentTypeScope="" ma:versionID="418c3ed733224a6c2b55715efd53a59e">
  <xsd:schema xmlns:xsd="http://www.w3.org/2001/XMLSchema" xmlns:xs="http://www.w3.org/2001/XMLSchema" xmlns:p="http://schemas.microsoft.com/office/2006/metadata/properties" xmlns:ns2="cdc7663a-08f0-4737-9e8c-148ce897a09c" targetNamespace="http://schemas.microsoft.com/office/2006/metadata/properties" ma:root="true" ma:fieldsID="6e9c99d6efd84ae3a59f0c62c01494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Division_x0020_or_x0020_Unit xmlns="cdc7663a-08f0-4737-9e8c-148ce897a09c">CSC/CAR</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Smaldone, Maria Laura</Document_x0020_Author>
    <Document_x0020_Language_x0020_IDB xmlns="cdc7663a-08f0-4737-9e8c-148ce897a09c">Spanish</Document_x0020_Language_x0020_IDB>
    <TaxCatchAll xmlns="cdc7663a-08f0-4737-9e8c-148ce897a09c">
      <Value>69</Value>
      <Value>11</Value>
      <Value>67</Value>
      <Value>386</Value>
      <Value>28</Value>
    </TaxCatchAll>
    <Identifier xmlns="cdc7663a-08f0-4737-9e8c-148ce897a09c" xsi:nil="true"/>
    <_dlc_DocId xmlns="cdc7663a-08f0-4737-9e8c-148ce897a09c">EZIDB0000033-103435534-7</_dlc_DocId>
    <_dlc_DocIdUrl xmlns="cdc7663a-08f0-4737-9e8c-148ce897a09c">
      <Url>https://idbg.sharepoint.com/teams/EZ-AR-TCP/AR-T1273/_layouts/15/DocIdRedir.aspx?ID=EZIDB0000033-103435534-7</Url>
      <Description>EZIDB0000033-103435534-7</Description>
    </_dlc_DocIdUrl>
    <Related_x0020_SisCor_x0020_Number xmlns="cdc7663a-08f0-4737-9e8c-148ce897a09c" xsi:nil="true"/>
    <Record_x0020_Number xmlns="cdc7663a-08f0-4737-9e8c-148ce897a09c" xsi:nil="true"/>
    <Extracted_x0020_Keywords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CAPITAL MARKET DEVELOPMENT</TermName>
          <TermId xmlns="http://schemas.microsoft.com/office/infopath/2007/PartnerControls">8f0f4dc0-0338-4be4-bcb0-462d4594a258</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AR-T1273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0308A27134084F4AA40781B2DCA498A5" PreviousValue="false"/>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7D6C487-CA4C-4542-899C-15DDEDFD90F1}"/>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B98CC96B-FD11-466D-AEB4-CD0D9388406A}">
  <ds:schemaRefs>
    <ds:schemaRef ds:uri="http://schemas.openxmlformats.org/package/2006/metadata/core-properties"/>
    <ds:schemaRef ds:uri="http://purl.org/dc/terms/"/>
    <ds:schemaRef ds:uri="http://schemas.microsoft.com/office/2006/documentManagement/types"/>
    <ds:schemaRef ds:uri="cdc7663a-08f0-4737-9e8c-148ce897a09c"/>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6.xml><?xml version="1.0" encoding="utf-8"?>
<ds:datastoreItem xmlns:ds="http://schemas.openxmlformats.org/officeDocument/2006/customXml" ds:itemID="{95D8E178-BC28-48AB-A595-383BCB800D43}"/>
</file>

<file path=customXml/itemProps7.xml><?xml version="1.0" encoding="utf-8"?>
<ds:datastoreItem xmlns:ds="http://schemas.openxmlformats.org/officeDocument/2006/customXml" ds:itemID="{D90AD584-58FC-4F08-B5D5-F3266F952803}"/>
</file>

<file path=docProps/app.xml><?xml version="1.0" encoding="utf-8"?>
<Properties xmlns="http://schemas.openxmlformats.org/officeDocument/2006/extended-properties" xmlns:vt="http://schemas.openxmlformats.org/officeDocument/2006/docPropsVTypes">
  <Template>Normal</Template>
  <TotalTime>4</TotalTime>
  <Pages>4</Pages>
  <Words>1348</Words>
  <Characters>8424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Felicitas Cappello</cp:lastModifiedBy>
  <cp:revision>3</cp:revision>
  <cp:lastPrinted>2023-02-23T20:14:00Z</cp:lastPrinted>
  <dcterms:created xsi:type="dcterms:W3CDTF">2023-03-01T17:49:00Z</dcterms:created>
  <dcterms:modified xsi:type="dcterms:W3CDTF">2023-03-01T17:52:00Z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0x0101001A458A224826124E8B45B1D613300CFC008CC9AFA6396E5D4C8B91DC7030EFD927</vt:lpwstr>
  </property>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28;#Argentina|eb1b705c-195f-4c3b-9661-b201f2fee3c5</vt:lpwstr>
  </property>
  <property fmtid="{D5CDD505-2E9C-101B-9397-08002B2CF9AE}" pid="8" name="_dlc_DocIdItemGuid">
    <vt:lpwstr>0aeb09ed-8249-4aca-b506-bcac0ac43193</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386;#CAPITAL MARKET DEVELOPMENT|8f0f4dc0-0338-4be4-bcb0-462d4594a258</vt:lpwstr>
  </property>
  <property fmtid="{D5CDD505-2E9C-101B-9397-08002B2CF9AE}" pid="11" name="Series Operations IDB">
    <vt:lpwstr/>
  </property>
  <property fmtid="{D5CDD505-2E9C-101B-9397-08002B2CF9AE}" pid="12" name="Fund IDB">
    <vt:lpwstr>69;#TBD|d62f6e05-3e80-4abd-9bb4-5f10b4906ff6</vt:lpwstr>
  </property>
  <property fmtid="{D5CDD505-2E9C-101B-9397-08002B2CF9AE}" pid="13" name="Sector IDB">
    <vt:lpwstr>67;#FINANCIAL MARKETS|75500f29-2419-473a-bcd8-84901ddc2aa7</vt:lpwstr>
  </property>
  <property fmtid="{D5CDD505-2E9C-101B-9397-08002B2CF9AE}" pid="14" name="Function Operations IDB">
    <vt:lpwstr>11;#Goods and Services|5bfebf1b-9f1f-4411-b1dd-4c19b807b799</vt:lpwstr>
  </property>
</Properties>
</file>