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B85353" w:rsidRDefault="00546C8D" w:rsidP="00540940">
      <w:pPr>
        <w:pStyle w:val="Heading1a"/>
        <w:keepNext w:val="0"/>
        <w:keepLines w:val="0"/>
        <w:tabs>
          <w:tab w:val="clear" w:pos="-720"/>
        </w:tabs>
        <w:suppressAutoHyphens w:val="0"/>
        <w:jc w:val="both"/>
        <w:rPr>
          <w:rFonts w:asciiTheme="minorHAnsi" w:hAnsiTheme="minorHAnsi" w:cstheme="minorHAnsi"/>
          <w:smallCaps w:val="0"/>
          <w:sz w:val="28"/>
          <w:u w:val="single"/>
          <w:lang w:val="es-BO"/>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B85353">
        <w:rPr>
          <w:rFonts w:asciiTheme="minorHAnsi" w:hAnsiTheme="minorHAnsi"/>
          <w:lang w:val="es-BO"/>
        </w:rPr>
        <w:t xml:space="preserve">                </w:t>
      </w:r>
    </w:p>
    <w:p w14:paraId="7BC714B6" w14:textId="040D86B5" w:rsidR="00D761FB" w:rsidRPr="00580013" w:rsidRDefault="00546C8D" w:rsidP="00540940">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580013">
        <w:rPr>
          <w:rFonts w:asciiTheme="minorHAnsi" w:eastAsiaTheme="minorEastAsia" w:hAnsiTheme="minorHAnsi" w:cstheme="minorBidi"/>
          <w:smallCaps w:val="0"/>
          <w:sz w:val="28"/>
          <w:szCs w:val="28"/>
          <w:u w:val="single"/>
          <w:lang w:val="es-PA"/>
        </w:rPr>
        <w:t xml:space="preserve">SOLICITUD DE </w:t>
      </w:r>
      <w:r w:rsidR="00E82ED1" w:rsidRPr="00580013">
        <w:rPr>
          <w:rFonts w:asciiTheme="minorHAnsi" w:eastAsiaTheme="minorEastAsia" w:hAnsiTheme="minorHAnsi" w:cstheme="minorBidi"/>
          <w:smallCaps w:val="0"/>
          <w:sz w:val="28"/>
          <w:szCs w:val="28"/>
          <w:u w:val="single"/>
          <w:lang w:val="es-PA"/>
        </w:rPr>
        <w:t xml:space="preserve">EXPRESIONES </w:t>
      </w:r>
      <w:r w:rsidRPr="00580013">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0540940">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rsidP="00540940">
      <w:pPr>
        <w:jc w:val="both"/>
        <w:rPr>
          <w:rFonts w:asciiTheme="minorHAnsi" w:hAnsiTheme="minorHAnsi" w:cs="Times New Roman"/>
          <w:color w:val="auto"/>
        </w:rPr>
      </w:pPr>
    </w:p>
    <w:p w14:paraId="4C9F71F4" w14:textId="56285DAE" w:rsidR="00223E55" w:rsidRPr="0050717C" w:rsidRDefault="00223E55" w:rsidP="00540940">
      <w:pPr>
        <w:suppressAutoHyphens/>
        <w:jc w:val="both"/>
        <w:rPr>
          <w:rFonts w:asciiTheme="minorHAnsi" w:hAnsiTheme="minorHAnsi" w:cstheme="minorHAnsi"/>
          <w:color w:val="auto"/>
        </w:rPr>
      </w:pPr>
      <w:r w:rsidRPr="0050717C">
        <w:rPr>
          <w:rFonts w:asciiTheme="minorHAnsi" w:hAnsiTheme="minorHAnsi" w:cstheme="minorHAnsi"/>
          <w:color w:val="auto"/>
        </w:rPr>
        <w:t>Selección #: PN-T1293-P00</w:t>
      </w:r>
      <w:r>
        <w:rPr>
          <w:rFonts w:asciiTheme="minorHAnsi" w:hAnsiTheme="minorHAnsi" w:cstheme="minorHAnsi"/>
          <w:color w:val="auto"/>
        </w:rPr>
        <w:t>2</w:t>
      </w:r>
    </w:p>
    <w:p w14:paraId="1BE38365" w14:textId="77777777" w:rsidR="00223E55" w:rsidRPr="0050717C" w:rsidRDefault="00223E55" w:rsidP="00540940">
      <w:pPr>
        <w:jc w:val="both"/>
        <w:rPr>
          <w:rFonts w:asciiTheme="minorHAnsi" w:hAnsiTheme="minorHAnsi" w:cstheme="minorHAnsi"/>
          <w:color w:val="auto"/>
        </w:rPr>
      </w:pPr>
      <w:r w:rsidRPr="0050717C">
        <w:rPr>
          <w:rFonts w:asciiTheme="minorHAnsi" w:hAnsiTheme="minorHAnsi" w:cstheme="minorHAnsi"/>
          <w:color w:val="auto"/>
        </w:rPr>
        <w:t>Método de selección: Selección competitiva simplificada</w:t>
      </w:r>
    </w:p>
    <w:p w14:paraId="023486CC" w14:textId="77777777" w:rsidR="00223E55" w:rsidRPr="0050717C" w:rsidRDefault="00223E55" w:rsidP="00540940">
      <w:pPr>
        <w:suppressAutoHyphens/>
        <w:jc w:val="both"/>
        <w:rPr>
          <w:rFonts w:asciiTheme="minorHAnsi" w:hAnsiTheme="minorHAnsi" w:cstheme="minorHAnsi"/>
          <w:color w:val="auto"/>
        </w:rPr>
      </w:pPr>
      <w:r w:rsidRPr="0050717C">
        <w:rPr>
          <w:rFonts w:asciiTheme="minorHAnsi" w:hAnsiTheme="minorHAnsi" w:cstheme="minorHAnsi"/>
          <w:color w:val="auto"/>
        </w:rPr>
        <w:t>País: Panamá</w:t>
      </w:r>
    </w:p>
    <w:p w14:paraId="3423F011" w14:textId="77777777" w:rsidR="00223E55" w:rsidRPr="0050717C" w:rsidRDefault="00223E55" w:rsidP="00540940">
      <w:pPr>
        <w:suppressAutoHyphens/>
        <w:jc w:val="both"/>
        <w:rPr>
          <w:rFonts w:asciiTheme="minorHAnsi" w:hAnsiTheme="minorHAnsi" w:cstheme="minorHAnsi"/>
          <w:color w:val="auto"/>
        </w:rPr>
      </w:pPr>
      <w:r w:rsidRPr="0050717C">
        <w:rPr>
          <w:rFonts w:asciiTheme="minorHAnsi" w:hAnsiTheme="minorHAnsi" w:cstheme="minorHAnsi"/>
          <w:color w:val="auto"/>
        </w:rPr>
        <w:t>Sector: Energía (ENE)</w:t>
      </w:r>
    </w:p>
    <w:p w14:paraId="61BD793E" w14:textId="77777777" w:rsidR="00223E55" w:rsidRPr="0050717C" w:rsidRDefault="00223E55" w:rsidP="00540940">
      <w:pPr>
        <w:suppressAutoHyphens/>
        <w:jc w:val="both"/>
        <w:rPr>
          <w:rFonts w:asciiTheme="minorHAnsi" w:hAnsiTheme="minorHAnsi" w:cstheme="minorHAnsi"/>
          <w:color w:val="auto"/>
        </w:rPr>
      </w:pPr>
      <w:r w:rsidRPr="0050717C">
        <w:rPr>
          <w:rFonts w:asciiTheme="minorHAnsi" w:hAnsiTheme="minorHAnsi" w:cstheme="minorHAnsi"/>
          <w:color w:val="auto"/>
        </w:rPr>
        <w:t>Financiación - TC #: ATN/OC-19276-PN</w:t>
      </w:r>
    </w:p>
    <w:p w14:paraId="3CE131CA" w14:textId="77777777" w:rsidR="00223E55" w:rsidRPr="0050717C" w:rsidRDefault="00223E55" w:rsidP="00540940">
      <w:pPr>
        <w:pStyle w:val="BodyText"/>
        <w:jc w:val="both"/>
        <w:rPr>
          <w:rFonts w:asciiTheme="minorHAnsi" w:hAnsiTheme="minorHAnsi" w:cstheme="minorHAnsi"/>
          <w:szCs w:val="24"/>
        </w:rPr>
      </w:pPr>
      <w:r w:rsidRPr="0050717C">
        <w:rPr>
          <w:rFonts w:asciiTheme="minorHAnsi" w:eastAsiaTheme="minorEastAsia" w:hAnsiTheme="minorHAnsi" w:cstheme="minorHAnsi"/>
          <w:szCs w:val="24"/>
        </w:rPr>
        <w:t xml:space="preserve">Proyecto #: </w:t>
      </w:r>
      <w:r w:rsidRPr="0050717C">
        <w:rPr>
          <w:rFonts w:asciiTheme="minorHAnsi" w:hAnsiTheme="minorHAnsi" w:cstheme="minorHAnsi"/>
          <w:szCs w:val="24"/>
          <w:shd w:val="clear" w:color="auto" w:fill="FFFFFF"/>
        </w:rPr>
        <w:t>PN-T1293</w:t>
      </w:r>
    </w:p>
    <w:p w14:paraId="26C80FC1" w14:textId="77777777" w:rsidR="00B85353" w:rsidRDefault="00B85353" w:rsidP="00540940">
      <w:pPr>
        <w:pStyle w:val="BodyText"/>
        <w:jc w:val="both"/>
        <w:rPr>
          <w:rFonts w:asciiTheme="minorHAnsi" w:eastAsiaTheme="minorEastAsia" w:hAnsiTheme="minorHAnsi" w:cstheme="minorHAnsi"/>
          <w:szCs w:val="24"/>
        </w:rPr>
      </w:pPr>
    </w:p>
    <w:p w14:paraId="7D58F83F" w14:textId="5E27B44F" w:rsidR="00223E55" w:rsidRDefault="00223E55" w:rsidP="00540940">
      <w:pPr>
        <w:pStyle w:val="BodyText"/>
        <w:jc w:val="both"/>
        <w:rPr>
          <w:rFonts w:asciiTheme="minorHAnsi" w:eastAsiaTheme="minorEastAsia" w:hAnsiTheme="minorHAnsi" w:cstheme="minorHAnsi"/>
          <w:szCs w:val="24"/>
        </w:rPr>
      </w:pPr>
      <w:r w:rsidRPr="00B85353">
        <w:rPr>
          <w:rFonts w:asciiTheme="minorHAnsi" w:eastAsiaTheme="minorEastAsia" w:hAnsiTheme="minorHAnsi" w:cstheme="minorHAnsi"/>
          <w:b/>
          <w:bCs/>
          <w:szCs w:val="24"/>
        </w:rPr>
        <w:t>Descripción de los Servicios:</w:t>
      </w:r>
      <w:r w:rsidRPr="0050717C">
        <w:rPr>
          <w:rFonts w:asciiTheme="minorHAnsi" w:eastAsiaTheme="minorEastAsia" w:hAnsiTheme="minorHAnsi" w:cstheme="minorHAnsi"/>
          <w:szCs w:val="24"/>
        </w:rPr>
        <w:t xml:space="preserve"> </w:t>
      </w:r>
      <w:r w:rsidR="00B85353">
        <w:rPr>
          <w:rFonts w:asciiTheme="minorHAnsi" w:eastAsiaTheme="minorEastAsia" w:hAnsiTheme="minorHAnsi" w:cstheme="minorHAnsi"/>
          <w:szCs w:val="24"/>
        </w:rPr>
        <w:t>C</w:t>
      </w:r>
      <w:r w:rsidR="004D1574" w:rsidRPr="004D1574">
        <w:rPr>
          <w:rFonts w:asciiTheme="minorHAnsi" w:eastAsiaTheme="minorEastAsia" w:hAnsiTheme="minorHAnsi" w:cstheme="minorHAnsi"/>
          <w:szCs w:val="24"/>
        </w:rPr>
        <w:t>onceptualización, ingeniería de procesos y diseño de la plataforma para trámites para instalaciones de generación distribuida en Panamá.</w:t>
      </w:r>
    </w:p>
    <w:p w14:paraId="343D2686" w14:textId="77777777" w:rsidR="00B85353" w:rsidRPr="0050717C" w:rsidRDefault="00B85353" w:rsidP="00540940">
      <w:pPr>
        <w:pStyle w:val="BodyText"/>
        <w:jc w:val="both"/>
        <w:rPr>
          <w:rFonts w:asciiTheme="minorHAnsi" w:eastAsiaTheme="minorEastAsia" w:hAnsiTheme="minorHAnsi" w:cstheme="minorHAnsi"/>
          <w:szCs w:val="24"/>
        </w:rPr>
      </w:pPr>
    </w:p>
    <w:p w14:paraId="59388484" w14:textId="77777777" w:rsidR="00223E55" w:rsidRPr="0050717C" w:rsidRDefault="00223E55" w:rsidP="00540940">
      <w:pPr>
        <w:pStyle w:val="BodyText"/>
        <w:jc w:val="both"/>
        <w:rPr>
          <w:rFonts w:asciiTheme="minorHAnsi" w:hAnsiTheme="minorHAnsi" w:cstheme="minorHAnsi"/>
        </w:rPr>
      </w:pPr>
      <w:r w:rsidRPr="0050717C">
        <w:rPr>
          <w:rFonts w:asciiTheme="minorHAnsi" w:eastAsiaTheme="minorEastAsia" w:hAnsiTheme="minorHAnsi" w:cstheme="minorHAnsi"/>
        </w:rPr>
        <w:t xml:space="preserve">Enlace al documento TC: </w:t>
      </w:r>
      <w:hyperlink r:id="rId11" w:history="1">
        <w:r w:rsidRPr="0050717C">
          <w:rPr>
            <w:rStyle w:val="Hyperlink"/>
            <w:rFonts w:asciiTheme="minorHAnsi" w:eastAsiaTheme="minorEastAsia" w:hAnsiTheme="minorHAnsi" w:cstheme="minorHAnsi"/>
          </w:rPr>
          <w:t>https://www.iadb.org/es/project/PN-T1293</w:t>
        </w:r>
      </w:hyperlink>
      <w:r w:rsidRPr="0050717C">
        <w:rPr>
          <w:rFonts w:asciiTheme="minorHAnsi" w:eastAsiaTheme="minorEastAsia" w:hAnsiTheme="minorHAnsi" w:cstheme="minorHAnsi"/>
        </w:rPr>
        <w:t xml:space="preserve"> </w:t>
      </w:r>
    </w:p>
    <w:p w14:paraId="5D15DF79" w14:textId="77777777" w:rsidR="00D761FB" w:rsidRDefault="00D761FB" w:rsidP="00540940">
      <w:pPr>
        <w:pStyle w:val="BodyText"/>
        <w:jc w:val="both"/>
        <w:rPr>
          <w:rFonts w:asciiTheme="minorHAnsi" w:hAnsiTheme="minorHAnsi" w:cstheme="minorHAnsi"/>
          <w:i/>
          <w:color w:val="0070C0"/>
        </w:rPr>
      </w:pPr>
    </w:p>
    <w:p w14:paraId="2C0FC91B" w14:textId="48F594AA" w:rsidR="00D761FB" w:rsidRDefault="08202347" w:rsidP="00540940">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B85353">
        <w:rPr>
          <w:rFonts w:asciiTheme="minorHAnsi" w:hAnsiTheme="minorHAnsi" w:cstheme="minorBidi"/>
          <w:color w:val="auto"/>
        </w:rPr>
        <w:t>l viernes 14 de abril</w:t>
      </w:r>
      <w:r w:rsidR="005B434A" w:rsidRPr="08202347">
        <w:rPr>
          <w:rFonts w:asciiTheme="minorHAnsi" w:hAnsiTheme="minorHAnsi" w:cstheme="minorBidi"/>
          <w:color w:val="auto"/>
        </w:rPr>
        <w:t xml:space="preserve"> </w:t>
      </w:r>
      <w:r w:rsidR="00B85353">
        <w:rPr>
          <w:rFonts w:asciiTheme="minorHAnsi" w:hAnsiTheme="minorHAnsi" w:cstheme="minorBidi"/>
          <w:color w:val="auto"/>
        </w:rPr>
        <w:t>de 20023</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3B4B0DCE" w14:textId="495D739F" w:rsidR="00E90C6D" w:rsidRDefault="00E90C6D" w:rsidP="00540940">
      <w:pPr>
        <w:jc w:val="both"/>
        <w:rPr>
          <w:rFonts w:asciiTheme="minorHAnsi" w:hAnsiTheme="minorHAnsi" w:cstheme="minorBidi"/>
          <w:color w:val="auto"/>
        </w:rPr>
      </w:pPr>
    </w:p>
    <w:p w14:paraId="2CDBF98B" w14:textId="79D2E17A" w:rsidR="00D761FB" w:rsidRDefault="00195118" w:rsidP="00540940">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5CDDB299" w14:textId="77777777" w:rsidR="00DE67AF" w:rsidRDefault="00DE67AF" w:rsidP="00540940">
      <w:pPr>
        <w:jc w:val="both"/>
        <w:rPr>
          <w:rFonts w:asciiTheme="minorHAnsi" w:hAnsiTheme="minorHAnsi" w:cstheme="minorBidi"/>
          <w:color w:val="auto"/>
        </w:rPr>
      </w:pPr>
    </w:p>
    <w:p w14:paraId="2E34AA79" w14:textId="0E5D84FF" w:rsidR="00DE67AF" w:rsidRDefault="00DE67AF" w:rsidP="00540940">
      <w:pPr>
        <w:jc w:val="both"/>
        <w:rPr>
          <w:rFonts w:asciiTheme="minorHAnsi" w:hAnsiTheme="minorHAnsi" w:cstheme="minorBidi"/>
          <w:color w:val="auto"/>
        </w:rPr>
      </w:pPr>
      <w:r w:rsidRPr="00DE67AF">
        <w:rPr>
          <w:rFonts w:asciiTheme="minorHAnsi" w:hAnsiTheme="minorHAnsi" w:cstheme="minorBidi"/>
          <w:color w:val="auto"/>
        </w:rPr>
        <w:t xml:space="preserve">El </w:t>
      </w:r>
      <w:r w:rsidR="00FB15CC" w:rsidRPr="00FB15CC">
        <w:rPr>
          <w:rFonts w:asciiTheme="minorHAnsi" w:hAnsiTheme="minorHAnsi" w:cstheme="minorBidi"/>
          <w:color w:val="auto"/>
        </w:rPr>
        <w:t>objetivo de esta consultoría es desarrollar el diseño de una plataforma digital de trámites para instalaciones de generación distribuida en Panamá.</w:t>
      </w:r>
    </w:p>
    <w:p w14:paraId="2C349D0C" w14:textId="77777777" w:rsidR="00195118" w:rsidRPr="00195118" w:rsidRDefault="00195118" w:rsidP="00540940">
      <w:pPr>
        <w:jc w:val="both"/>
        <w:rPr>
          <w:rFonts w:asciiTheme="minorHAnsi" w:hAnsiTheme="minorHAnsi" w:cstheme="minorHAnsi"/>
          <w:lang w:val="es-419"/>
        </w:rPr>
      </w:pPr>
    </w:p>
    <w:p w14:paraId="6950FB9B" w14:textId="105507B7" w:rsidR="00D761FB" w:rsidRDefault="08202347" w:rsidP="00540940">
      <w:pPr>
        <w:suppressAutoHyphens/>
        <w:jc w:val="both"/>
        <w:rPr>
          <w:rFonts w:asciiTheme="minorHAnsi" w:hAnsiTheme="minorHAnsi" w:cstheme="minorBidi"/>
          <w:i/>
          <w:iCs/>
          <w:color w:val="0070C0"/>
        </w:rPr>
      </w:pPr>
      <w:r w:rsidRPr="08202347">
        <w:rPr>
          <w:rFonts w:asciiTheme="minorHAnsi" w:hAnsiTheme="minorHAnsi" w:cstheme="minorBidi"/>
        </w:rPr>
        <w:t>Los servicios de consultoría ("los Servicios") incluyen</w:t>
      </w:r>
      <w:r w:rsidR="00C86081">
        <w:rPr>
          <w:rFonts w:asciiTheme="minorHAnsi" w:hAnsiTheme="minorHAnsi" w:cstheme="minorBidi"/>
          <w:i/>
          <w:iCs/>
          <w:color w:val="0070C0"/>
        </w:rPr>
        <w:t>:</w:t>
      </w:r>
    </w:p>
    <w:p w14:paraId="2915B5AC" w14:textId="77777777" w:rsidR="00B85353" w:rsidRDefault="00B85353" w:rsidP="00540940">
      <w:pPr>
        <w:suppressAutoHyphens/>
        <w:jc w:val="both"/>
        <w:rPr>
          <w:rFonts w:asciiTheme="minorHAnsi" w:hAnsiTheme="minorHAnsi" w:cstheme="minorBidi"/>
          <w:i/>
          <w:iCs/>
          <w:color w:val="0070C0"/>
        </w:rPr>
      </w:pPr>
    </w:p>
    <w:p w14:paraId="67CFE380" w14:textId="062ECE9B" w:rsidR="006B3C79" w:rsidRPr="006B3C79" w:rsidRDefault="00B85353" w:rsidP="006B3C79">
      <w:pPr>
        <w:pStyle w:val="ListParagraph"/>
        <w:numPr>
          <w:ilvl w:val="0"/>
          <w:numId w:val="2"/>
        </w:numPr>
        <w:jc w:val="both"/>
        <w:rPr>
          <w:rFonts w:asciiTheme="minorHAnsi" w:hAnsiTheme="minorHAnsi" w:cstheme="minorBidi"/>
          <w:color w:val="auto"/>
        </w:rPr>
      </w:pPr>
      <w:r>
        <w:rPr>
          <w:rFonts w:asciiTheme="minorHAnsi" w:hAnsiTheme="minorHAnsi" w:cstheme="minorBidi"/>
          <w:color w:val="auto"/>
        </w:rPr>
        <w:t>R</w:t>
      </w:r>
      <w:r w:rsidR="006B3C79" w:rsidRPr="006B3C79">
        <w:rPr>
          <w:rFonts w:asciiTheme="minorHAnsi" w:hAnsiTheme="minorHAnsi" w:cstheme="minorBidi"/>
          <w:color w:val="auto"/>
        </w:rPr>
        <w:t>evisión técnica de una plataforma digital de trámites que se encuentra en operación para determinar su capacidad y potencial de uso como plataforma centralizada para trámites de proyectos de generación distribuida.</w:t>
      </w:r>
    </w:p>
    <w:p w14:paraId="2D578183" w14:textId="77777777" w:rsidR="006B3C79" w:rsidRPr="006B3C79" w:rsidRDefault="006B3C79" w:rsidP="006B3C79">
      <w:pPr>
        <w:pStyle w:val="ListParagraph"/>
        <w:numPr>
          <w:ilvl w:val="0"/>
          <w:numId w:val="2"/>
        </w:numPr>
        <w:jc w:val="both"/>
        <w:rPr>
          <w:rFonts w:asciiTheme="minorHAnsi" w:hAnsiTheme="minorHAnsi" w:cstheme="minorBidi"/>
          <w:color w:val="auto"/>
        </w:rPr>
      </w:pPr>
      <w:r w:rsidRPr="006B3C79">
        <w:rPr>
          <w:rFonts w:asciiTheme="minorHAnsi" w:hAnsiTheme="minorHAnsi" w:cstheme="minorBidi"/>
          <w:color w:val="auto"/>
        </w:rPr>
        <w:t>Determinar las necesidades de interoperabilidad con otras plataformas de las empresas de la distribución eléctrica, municipios, entre otras.</w:t>
      </w:r>
    </w:p>
    <w:p w14:paraId="11105A88" w14:textId="77777777" w:rsidR="006B3C79" w:rsidRPr="006B3C79" w:rsidRDefault="006B3C79" w:rsidP="006B3C79">
      <w:pPr>
        <w:pStyle w:val="ListParagraph"/>
        <w:numPr>
          <w:ilvl w:val="0"/>
          <w:numId w:val="2"/>
        </w:numPr>
        <w:jc w:val="both"/>
        <w:rPr>
          <w:rFonts w:asciiTheme="minorHAnsi" w:hAnsiTheme="minorHAnsi" w:cstheme="minorBidi"/>
          <w:color w:val="auto"/>
        </w:rPr>
      </w:pPr>
      <w:r w:rsidRPr="006B3C79">
        <w:rPr>
          <w:rFonts w:asciiTheme="minorHAnsi" w:hAnsiTheme="minorHAnsi" w:cstheme="minorBidi"/>
          <w:color w:val="auto"/>
        </w:rPr>
        <w:t>Desarrollar el diseño de una plataforma digital para trámites de GD a ser implementada o adaptada en Panamá.</w:t>
      </w:r>
    </w:p>
    <w:p w14:paraId="545B4BCE" w14:textId="0F503681" w:rsidR="00D761FB" w:rsidRDefault="00D761FB" w:rsidP="00540940">
      <w:pPr>
        <w:jc w:val="both"/>
        <w:rPr>
          <w:rFonts w:asciiTheme="minorHAnsi" w:hAnsiTheme="minorHAnsi" w:cs="Times New Roman"/>
          <w:color w:val="auto"/>
        </w:rPr>
      </w:pPr>
    </w:p>
    <w:p w14:paraId="3F941FF7" w14:textId="40427E4A" w:rsidR="00F74B59" w:rsidRDefault="00F74B59" w:rsidP="00540940">
      <w:pPr>
        <w:jc w:val="both"/>
        <w:rPr>
          <w:rFonts w:asciiTheme="minorHAnsi" w:hAnsiTheme="minorHAnsi" w:cs="Times New Roman"/>
          <w:color w:val="auto"/>
        </w:rPr>
      </w:pPr>
      <w:r w:rsidRPr="00F74B59">
        <w:rPr>
          <w:rFonts w:asciiTheme="minorHAnsi" w:hAnsiTheme="minorHAnsi" w:cs="Times New Roman"/>
          <w:color w:val="auto"/>
        </w:rPr>
        <w:t xml:space="preserve">El tiempo estimado para la ejecución de los servicios es de </w:t>
      </w:r>
      <w:r w:rsidR="00B85353">
        <w:rPr>
          <w:rFonts w:asciiTheme="minorHAnsi" w:hAnsiTheme="minorHAnsi" w:cs="Times New Roman"/>
          <w:color w:val="auto"/>
        </w:rPr>
        <w:t>cuatro</w:t>
      </w:r>
      <w:r w:rsidRPr="00F74B59">
        <w:rPr>
          <w:rFonts w:asciiTheme="minorHAnsi" w:hAnsiTheme="minorHAnsi" w:cs="Times New Roman"/>
          <w:color w:val="auto"/>
        </w:rPr>
        <w:t xml:space="preserve"> (</w:t>
      </w:r>
      <w:r>
        <w:rPr>
          <w:rFonts w:asciiTheme="minorHAnsi" w:hAnsiTheme="minorHAnsi" w:cs="Times New Roman"/>
          <w:color w:val="auto"/>
        </w:rPr>
        <w:t>4</w:t>
      </w:r>
      <w:r w:rsidRPr="00F74B59">
        <w:rPr>
          <w:rFonts w:asciiTheme="minorHAnsi" w:hAnsiTheme="minorHAnsi" w:cs="Times New Roman"/>
          <w:color w:val="auto"/>
        </w:rPr>
        <w:t>) meses.</w:t>
      </w:r>
    </w:p>
    <w:p w14:paraId="4BB301E6" w14:textId="77777777" w:rsidR="00F74B59" w:rsidRDefault="00F74B59" w:rsidP="00540940">
      <w:pPr>
        <w:jc w:val="both"/>
        <w:rPr>
          <w:rFonts w:asciiTheme="minorHAnsi" w:hAnsiTheme="minorHAnsi" w:cs="Times New Roman"/>
          <w:color w:val="auto"/>
        </w:rPr>
      </w:pPr>
    </w:p>
    <w:p w14:paraId="35803BFB" w14:textId="5A943D72" w:rsidR="00D761FB" w:rsidRDefault="08202347" w:rsidP="00540940">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 xml:space="preserve">Si la Firma consultora se presentara en Consorcio, designará a una de ellas como representante, y ésta será responsable de las comunicaciones, del registro en </w:t>
      </w:r>
      <w:r w:rsidR="00C90263" w:rsidRPr="427E340D">
        <w:rPr>
          <w:rFonts w:asciiTheme="minorHAnsi" w:hAnsiTheme="minorHAnsi" w:cstheme="minorBidi"/>
          <w:color w:val="auto"/>
        </w:rPr>
        <w:lastRenderedPageBreak/>
        <w:t>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rsidP="00540940">
      <w:pPr>
        <w:jc w:val="both"/>
        <w:rPr>
          <w:rFonts w:asciiTheme="minorHAnsi" w:hAnsiTheme="minorHAnsi" w:cs="Times New Roman"/>
          <w:color w:val="auto"/>
        </w:rPr>
      </w:pPr>
    </w:p>
    <w:p w14:paraId="61707059" w14:textId="61423938" w:rsidR="00D761FB" w:rsidRDefault="08202347" w:rsidP="0054094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w:t>
      </w:r>
      <w:r w:rsidRPr="007D2EB7">
        <w:rPr>
          <w:rFonts w:asciiTheme="minorHAnsi" w:hAnsiTheme="minorHAnsi" w:cstheme="minorBidi"/>
          <w:color w:val="auto"/>
          <w:lang w:val="es-PA"/>
        </w:rPr>
        <w:t xml:space="preserve">suministrar los servicios </w:t>
      </w:r>
      <w:r w:rsidR="009F70F4" w:rsidRPr="007D2EB7">
        <w:rPr>
          <w:rFonts w:asciiTheme="minorHAnsi" w:hAnsiTheme="minorHAnsi" w:cstheme="minorBidi"/>
          <w:color w:val="auto"/>
          <w:lang w:val="es-PA"/>
        </w:rPr>
        <w:t xml:space="preserve">(folletos, descripción de trabajos similares, experiencia en condiciones similares, disponibilidad de personal que tenga los conocimientos pertinentes, etc., se recomienda no enviar más de 30 páginas). </w:t>
      </w:r>
      <w:r w:rsidRPr="007D2EB7">
        <w:rPr>
          <w:rFonts w:asciiTheme="minorHAnsi" w:hAnsiTheme="minorHAnsi" w:cstheme="minorBidi"/>
          <w:color w:val="auto"/>
          <w:lang w:val="es-PA"/>
        </w:rPr>
        <w:t xml:space="preserve">Las firmas consultoras elegibles se pueden asociar como un emprendimiento conjunto o en un acuerdo de </w:t>
      </w:r>
      <w:proofErr w:type="spellStart"/>
      <w:r w:rsidRPr="007D2EB7">
        <w:rPr>
          <w:rFonts w:asciiTheme="minorHAnsi" w:hAnsiTheme="minorHAnsi" w:cstheme="minorBidi"/>
          <w:color w:val="auto"/>
          <w:lang w:val="es-PA"/>
        </w:rPr>
        <w:t>sub-consultoría</w:t>
      </w:r>
      <w:proofErr w:type="spellEnd"/>
      <w:r w:rsidRPr="007D2EB7">
        <w:rPr>
          <w:rFonts w:asciiTheme="minorHAnsi" w:hAnsiTheme="minorHAnsi" w:cstheme="minorBidi"/>
          <w:color w:val="auto"/>
          <w:lang w:val="es-PA"/>
        </w:rPr>
        <w:t xml:space="preserve"> para mejorar sus calificaciones. Dicha asociación o emprendimiento conjunto nombrará a una de las firmas como representante</w:t>
      </w:r>
      <w:r w:rsidRPr="1ACBE1A0">
        <w:rPr>
          <w:rFonts w:asciiTheme="minorHAnsi" w:hAnsiTheme="minorHAnsi" w:cstheme="minorBidi"/>
          <w:color w:val="auto"/>
        </w:rPr>
        <w:t>.</w:t>
      </w:r>
    </w:p>
    <w:p w14:paraId="04282830" w14:textId="77777777" w:rsidR="008A27C1" w:rsidRDefault="008A27C1" w:rsidP="00540940">
      <w:pPr>
        <w:jc w:val="both"/>
        <w:rPr>
          <w:rFonts w:asciiTheme="minorHAnsi" w:hAnsiTheme="minorHAnsi" w:cstheme="minorBidi"/>
          <w:color w:val="auto"/>
        </w:rPr>
      </w:pPr>
    </w:p>
    <w:p w14:paraId="0919EB07" w14:textId="77777777" w:rsidR="008A27C1" w:rsidRDefault="008A27C1" w:rsidP="00540940">
      <w:pPr>
        <w:jc w:val="both"/>
        <w:rPr>
          <w:rFonts w:asciiTheme="minorHAnsi" w:hAnsiTheme="minorHAnsi" w:cstheme="minorBidi"/>
          <w:color w:val="auto"/>
        </w:rPr>
      </w:pPr>
      <w:r w:rsidRPr="006C7B25">
        <w:rPr>
          <w:rFonts w:asciiTheme="minorHAnsi" w:hAnsiTheme="minorHAnsi" w:cstheme="minorBidi"/>
          <w:color w:val="auto"/>
        </w:rPr>
        <w:t>Se sugiere demostrar experiencia relevante y específica</w:t>
      </w:r>
      <w:r>
        <w:rPr>
          <w:rFonts w:asciiTheme="minorHAnsi" w:hAnsiTheme="minorHAnsi" w:cstheme="minorBidi"/>
          <w:color w:val="auto"/>
        </w:rPr>
        <w:t xml:space="preserve"> relacionada con los servicios descritos para está consultoría</w:t>
      </w:r>
      <w:r w:rsidRPr="006C7B25">
        <w:rPr>
          <w:rFonts w:asciiTheme="minorHAnsi" w:hAnsiTheme="minorHAnsi" w:cstheme="minorBidi"/>
          <w:color w:val="auto"/>
        </w:rPr>
        <w:t>. Por ejemplo, se podría incluir una tabla en la EOI:</w:t>
      </w:r>
    </w:p>
    <w:p w14:paraId="425A2683" w14:textId="77777777" w:rsidR="008A27C1" w:rsidRDefault="008A27C1" w:rsidP="00540940">
      <w:pPr>
        <w:jc w:val="both"/>
        <w:rPr>
          <w:rFonts w:asciiTheme="minorHAnsi" w:hAnsiTheme="minorHAnsi" w:cstheme="minorBidi"/>
          <w:color w:val="auto"/>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2048"/>
        <w:gridCol w:w="2048"/>
        <w:gridCol w:w="2048"/>
        <w:gridCol w:w="2188"/>
      </w:tblGrid>
      <w:tr w:rsidR="008A27C1" w:rsidRPr="00785778" w14:paraId="0D882F2F" w14:textId="77777777" w:rsidTr="00AF7840">
        <w:trPr>
          <w:trHeight w:val="321"/>
          <w:jc w:val="center"/>
        </w:trPr>
        <w:tc>
          <w:tcPr>
            <w:tcW w:w="2048" w:type="dxa"/>
            <w:vAlign w:val="center"/>
          </w:tcPr>
          <w:p w14:paraId="1784478F" w14:textId="77777777" w:rsidR="008A27C1" w:rsidRPr="00785778" w:rsidRDefault="008A27C1" w:rsidP="00540940">
            <w:pPr>
              <w:widowControl/>
              <w:jc w:val="both"/>
              <w:rPr>
                <w:sz w:val="20"/>
                <w:szCs w:val="20"/>
                <w:lang w:val="es-PA"/>
              </w:rPr>
            </w:pPr>
            <w:r w:rsidRPr="00785778">
              <w:rPr>
                <w:b/>
                <w:bCs/>
                <w:sz w:val="20"/>
                <w:szCs w:val="20"/>
                <w:lang w:val="es-PA"/>
              </w:rPr>
              <w:t>Pro</w:t>
            </w:r>
            <w:r w:rsidRPr="008444F5">
              <w:rPr>
                <w:b/>
                <w:bCs/>
                <w:sz w:val="20"/>
                <w:szCs w:val="20"/>
                <w:lang w:val="es-PA"/>
              </w:rPr>
              <w:t>yecto</w:t>
            </w:r>
          </w:p>
        </w:tc>
        <w:tc>
          <w:tcPr>
            <w:tcW w:w="2048" w:type="dxa"/>
            <w:vAlign w:val="center"/>
          </w:tcPr>
          <w:p w14:paraId="48B9F5DE" w14:textId="77777777" w:rsidR="008A27C1" w:rsidRPr="00785778" w:rsidRDefault="008A27C1" w:rsidP="00540940">
            <w:pPr>
              <w:widowControl/>
              <w:jc w:val="both"/>
              <w:rPr>
                <w:sz w:val="20"/>
                <w:szCs w:val="20"/>
                <w:lang w:val="es-PA"/>
              </w:rPr>
            </w:pPr>
            <w:r w:rsidRPr="008444F5">
              <w:rPr>
                <w:b/>
                <w:bCs/>
                <w:sz w:val="20"/>
                <w:szCs w:val="20"/>
                <w:lang w:val="es-PA"/>
              </w:rPr>
              <w:t>Fecha de inicio</w:t>
            </w:r>
          </w:p>
        </w:tc>
        <w:tc>
          <w:tcPr>
            <w:tcW w:w="2048" w:type="dxa"/>
            <w:vAlign w:val="center"/>
          </w:tcPr>
          <w:p w14:paraId="211A12FA" w14:textId="77777777" w:rsidR="008A27C1" w:rsidRPr="00785778" w:rsidRDefault="008A27C1" w:rsidP="00540940">
            <w:pPr>
              <w:widowControl/>
              <w:jc w:val="both"/>
              <w:rPr>
                <w:sz w:val="20"/>
                <w:szCs w:val="20"/>
                <w:lang w:val="es-PA"/>
              </w:rPr>
            </w:pPr>
            <w:r w:rsidRPr="008444F5">
              <w:rPr>
                <w:b/>
                <w:bCs/>
                <w:sz w:val="20"/>
                <w:szCs w:val="20"/>
                <w:lang w:val="es-PA"/>
              </w:rPr>
              <w:t>Fecha de finalización</w:t>
            </w:r>
          </w:p>
        </w:tc>
        <w:tc>
          <w:tcPr>
            <w:tcW w:w="2048" w:type="dxa"/>
            <w:vAlign w:val="center"/>
          </w:tcPr>
          <w:p w14:paraId="0056C5AF" w14:textId="77777777" w:rsidR="008A27C1" w:rsidRPr="00785778" w:rsidRDefault="008A27C1" w:rsidP="00540940">
            <w:pPr>
              <w:widowControl/>
              <w:jc w:val="both"/>
              <w:rPr>
                <w:sz w:val="20"/>
                <w:szCs w:val="20"/>
                <w:lang w:val="es-PA"/>
              </w:rPr>
            </w:pPr>
            <w:r w:rsidRPr="008444F5">
              <w:rPr>
                <w:b/>
                <w:bCs/>
                <w:sz w:val="20"/>
                <w:szCs w:val="20"/>
                <w:lang w:val="es-PA"/>
              </w:rPr>
              <w:t>Monto</w:t>
            </w:r>
          </w:p>
        </w:tc>
        <w:tc>
          <w:tcPr>
            <w:tcW w:w="2188" w:type="dxa"/>
            <w:vAlign w:val="center"/>
          </w:tcPr>
          <w:p w14:paraId="1BEA7B48" w14:textId="77777777" w:rsidR="008A27C1" w:rsidRPr="00785778" w:rsidRDefault="008A27C1" w:rsidP="00540940">
            <w:pPr>
              <w:widowControl/>
              <w:jc w:val="both"/>
              <w:rPr>
                <w:sz w:val="20"/>
                <w:szCs w:val="20"/>
                <w:lang w:val="es-PA"/>
              </w:rPr>
            </w:pPr>
            <w:r w:rsidRPr="008444F5">
              <w:rPr>
                <w:b/>
                <w:bCs/>
                <w:sz w:val="20"/>
                <w:szCs w:val="20"/>
                <w:lang w:val="es-PA"/>
              </w:rPr>
              <w:t>Relevancia para esta consultoría</w:t>
            </w:r>
          </w:p>
        </w:tc>
      </w:tr>
      <w:tr w:rsidR="008A27C1" w:rsidRPr="008444F5" w14:paraId="1000CE5C" w14:textId="77777777" w:rsidTr="00AF7840">
        <w:trPr>
          <w:trHeight w:val="263"/>
          <w:jc w:val="center"/>
        </w:trPr>
        <w:tc>
          <w:tcPr>
            <w:tcW w:w="2048" w:type="dxa"/>
          </w:tcPr>
          <w:p w14:paraId="3C86DE83" w14:textId="77777777" w:rsidR="008A27C1" w:rsidRPr="008444F5" w:rsidRDefault="008A27C1" w:rsidP="00540940">
            <w:pPr>
              <w:widowControl/>
              <w:jc w:val="both"/>
              <w:rPr>
                <w:b/>
                <w:bCs/>
                <w:sz w:val="20"/>
                <w:szCs w:val="20"/>
                <w:lang w:val="es-PA"/>
              </w:rPr>
            </w:pPr>
          </w:p>
        </w:tc>
        <w:tc>
          <w:tcPr>
            <w:tcW w:w="2048" w:type="dxa"/>
          </w:tcPr>
          <w:p w14:paraId="1D132986" w14:textId="77777777" w:rsidR="008A27C1" w:rsidRPr="008444F5" w:rsidRDefault="008A27C1" w:rsidP="00540940">
            <w:pPr>
              <w:widowControl/>
              <w:jc w:val="both"/>
              <w:rPr>
                <w:b/>
                <w:bCs/>
                <w:sz w:val="20"/>
                <w:szCs w:val="20"/>
                <w:lang w:val="es-PA"/>
              </w:rPr>
            </w:pPr>
          </w:p>
        </w:tc>
        <w:tc>
          <w:tcPr>
            <w:tcW w:w="2048" w:type="dxa"/>
          </w:tcPr>
          <w:p w14:paraId="032CBCAB" w14:textId="77777777" w:rsidR="008A27C1" w:rsidRPr="008444F5" w:rsidRDefault="008A27C1" w:rsidP="00540940">
            <w:pPr>
              <w:widowControl/>
              <w:jc w:val="both"/>
              <w:rPr>
                <w:b/>
                <w:bCs/>
                <w:sz w:val="20"/>
                <w:szCs w:val="20"/>
                <w:lang w:val="es-PA"/>
              </w:rPr>
            </w:pPr>
          </w:p>
        </w:tc>
        <w:tc>
          <w:tcPr>
            <w:tcW w:w="2048" w:type="dxa"/>
          </w:tcPr>
          <w:p w14:paraId="664EAE6E" w14:textId="77777777" w:rsidR="008A27C1" w:rsidRPr="008444F5" w:rsidRDefault="008A27C1" w:rsidP="00540940">
            <w:pPr>
              <w:widowControl/>
              <w:jc w:val="both"/>
              <w:rPr>
                <w:b/>
                <w:bCs/>
                <w:sz w:val="20"/>
                <w:szCs w:val="20"/>
                <w:lang w:val="es-PA"/>
              </w:rPr>
            </w:pPr>
          </w:p>
        </w:tc>
        <w:tc>
          <w:tcPr>
            <w:tcW w:w="2188" w:type="dxa"/>
          </w:tcPr>
          <w:p w14:paraId="7386A8A6" w14:textId="77777777" w:rsidR="008A27C1" w:rsidRPr="008444F5" w:rsidRDefault="008A27C1" w:rsidP="00540940">
            <w:pPr>
              <w:widowControl/>
              <w:jc w:val="both"/>
              <w:rPr>
                <w:b/>
                <w:bCs/>
                <w:sz w:val="20"/>
                <w:szCs w:val="20"/>
                <w:lang w:val="es-PA"/>
              </w:rPr>
            </w:pPr>
          </w:p>
        </w:tc>
      </w:tr>
      <w:tr w:rsidR="008A27C1" w:rsidRPr="008444F5" w14:paraId="21DFECDA" w14:textId="77777777" w:rsidTr="00AF7840">
        <w:trPr>
          <w:trHeight w:val="263"/>
          <w:jc w:val="center"/>
        </w:trPr>
        <w:tc>
          <w:tcPr>
            <w:tcW w:w="2048" w:type="dxa"/>
          </w:tcPr>
          <w:p w14:paraId="09F96230" w14:textId="77777777" w:rsidR="008A27C1" w:rsidRPr="008444F5" w:rsidRDefault="008A27C1" w:rsidP="00540940">
            <w:pPr>
              <w:widowControl/>
              <w:jc w:val="both"/>
              <w:rPr>
                <w:b/>
                <w:bCs/>
                <w:sz w:val="20"/>
                <w:szCs w:val="20"/>
                <w:lang w:val="es-PA"/>
              </w:rPr>
            </w:pPr>
          </w:p>
        </w:tc>
        <w:tc>
          <w:tcPr>
            <w:tcW w:w="2048" w:type="dxa"/>
          </w:tcPr>
          <w:p w14:paraId="3F3878D8" w14:textId="77777777" w:rsidR="008A27C1" w:rsidRPr="008444F5" w:rsidRDefault="008A27C1" w:rsidP="00540940">
            <w:pPr>
              <w:widowControl/>
              <w:jc w:val="both"/>
              <w:rPr>
                <w:b/>
                <w:bCs/>
                <w:sz w:val="20"/>
                <w:szCs w:val="20"/>
                <w:lang w:val="es-PA"/>
              </w:rPr>
            </w:pPr>
          </w:p>
        </w:tc>
        <w:tc>
          <w:tcPr>
            <w:tcW w:w="2048" w:type="dxa"/>
          </w:tcPr>
          <w:p w14:paraId="7480D327" w14:textId="77777777" w:rsidR="008A27C1" w:rsidRPr="008444F5" w:rsidRDefault="008A27C1" w:rsidP="00540940">
            <w:pPr>
              <w:widowControl/>
              <w:jc w:val="both"/>
              <w:rPr>
                <w:b/>
                <w:bCs/>
                <w:sz w:val="20"/>
                <w:szCs w:val="20"/>
                <w:lang w:val="es-PA"/>
              </w:rPr>
            </w:pPr>
          </w:p>
        </w:tc>
        <w:tc>
          <w:tcPr>
            <w:tcW w:w="2048" w:type="dxa"/>
          </w:tcPr>
          <w:p w14:paraId="0D317376" w14:textId="77777777" w:rsidR="008A27C1" w:rsidRPr="008444F5" w:rsidRDefault="008A27C1" w:rsidP="00540940">
            <w:pPr>
              <w:widowControl/>
              <w:jc w:val="both"/>
              <w:rPr>
                <w:b/>
                <w:bCs/>
                <w:sz w:val="20"/>
                <w:szCs w:val="20"/>
                <w:lang w:val="es-PA"/>
              </w:rPr>
            </w:pPr>
          </w:p>
        </w:tc>
        <w:tc>
          <w:tcPr>
            <w:tcW w:w="2188" w:type="dxa"/>
          </w:tcPr>
          <w:p w14:paraId="3D2725BF" w14:textId="77777777" w:rsidR="008A27C1" w:rsidRPr="008444F5" w:rsidRDefault="008A27C1" w:rsidP="00540940">
            <w:pPr>
              <w:widowControl/>
              <w:jc w:val="both"/>
              <w:rPr>
                <w:b/>
                <w:bCs/>
                <w:sz w:val="20"/>
                <w:szCs w:val="20"/>
                <w:lang w:val="es-PA"/>
              </w:rPr>
            </w:pPr>
          </w:p>
        </w:tc>
      </w:tr>
      <w:tr w:rsidR="008A27C1" w:rsidRPr="008444F5" w14:paraId="24F84D51" w14:textId="77777777" w:rsidTr="00AF7840">
        <w:trPr>
          <w:trHeight w:val="263"/>
          <w:jc w:val="center"/>
        </w:trPr>
        <w:tc>
          <w:tcPr>
            <w:tcW w:w="2048" w:type="dxa"/>
          </w:tcPr>
          <w:p w14:paraId="268E2038" w14:textId="77777777" w:rsidR="008A27C1" w:rsidRPr="008444F5" w:rsidRDefault="008A27C1" w:rsidP="00540940">
            <w:pPr>
              <w:widowControl/>
              <w:jc w:val="both"/>
              <w:rPr>
                <w:b/>
                <w:bCs/>
                <w:sz w:val="20"/>
                <w:szCs w:val="20"/>
                <w:lang w:val="es-PA"/>
              </w:rPr>
            </w:pPr>
          </w:p>
        </w:tc>
        <w:tc>
          <w:tcPr>
            <w:tcW w:w="2048" w:type="dxa"/>
          </w:tcPr>
          <w:p w14:paraId="3576C096" w14:textId="77777777" w:rsidR="008A27C1" w:rsidRPr="008444F5" w:rsidRDefault="008A27C1" w:rsidP="00540940">
            <w:pPr>
              <w:widowControl/>
              <w:jc w:val="both"/>
              <w:rPr>
                <w:b/>
                <w:bCs/>
                <w:sz w:val="20"/>
                <w:szCs w:val="20"/>
                <w:lang w:val="es-PA"/>
              </w:rPr>
            </w:pPr>
          </w:p>
        </w:tc>
        <w:tc>
          <w:tcPr>
            <w:tcW w:w="2048" w:type="dxa"/>
          </w:tcPr>
          <w:p w14:paraId="27C715D5" w14:textId="77777777" w:rsidR="008A27C1" w:rsidRPr="008444F5" w:rsidRDefault="008A27C1" w:rsidP="00540940">
            <w:pPr>
              <w:widowControl/>
              <w:jc w:val="both"/>
              <w:rPr>
                <w:b/>
                <w:bCs/>
                <w:sz w:val="20"/>
                <w:szCs w:val="20"/>
                <w:lang w:val="es-PA"/>
              </w:rPr>
            </w:pPr>
          </w:p>
        </w:tc>
        <w:tc>
          <w:tcPr>
            <w:tcW w:w="2048" w:type="dxa"/>
          </w:tcPr>
          <w:p w14:paraId="1B9D4FF7" w14:textId="77777777" w:rsidR="008A27C1" w:rsidRPr="008444F5" w:rsidRDefault="008A27C1" w:rsidP="00540940">
            <w:pPr>
              <w:widowControl/>
              <w:jc w:val="both"/>
              <w:rPr>
                <w:b/>
                <w:bCs/>
                <w:sz w:val="20"/>
                <w:szCs w:val="20"/>
                <w:lang w:val="es-PA"/>
              </w:rPr>
            </w:pPr>
          </w:p>
        </w:tc>
        <w:tc>
          <w:tcPr>
            <w:tcW w:w="2188" w:type="dxa"/>
          </w:tcPr>
          <w:p w14:paraId="7D118A6C" w14:textId="77777777" w:rsidR="008A27C1" w:rsidRPr="008444F5" w:rsidRDefault="008A27C1" w:rsidP="00540940">
            <w:pPr>
              <w:widowControl/>
              <w:jc w:val="both"/>
              <w:rPr>
                <w:b/>
                <w:bCs/>
                <w:sz w:val="20"/>
                <w:szCs w:val="20"/>
                <w:lang w:val="es-PA"/>
              </w:rPr>
            </w:pPr>
          </w:p>
        </w:tc>
      </w:tr>
    </w:tbl>
    <w:p w14:paraId="03A5EBB5" w14:textId="77777777" w:rsidR="00F74B59" w:rsidRDefault="00F74B59" w:rsidP="00540940">
      <w:pPr>
        <w:suppressAutoHyphens/>
        <w:jc w:val="both"/>
        <w:rPr>
          <w:rFonts w:asciiTheme="minorHAnsi" w:hAnsiTheme="minorHAnsi" w:cstheme="minorHAnsi"/>
          <w:i/>
          <w:iCs/>
          <w:color w:val="4F81BD" w:themeColor="accent1"/>
        </w:rPr>
      </w:pPr>
    </w:p>
    <w:p w14:paraId="6CDAA6F5" w14:textId="77777777" w:rsidR="00731B1B" w:rsidRPr="002E2316" w:rsidRDefault="00731B1B" w:rsidP="00540940">
      <w:pPr>
        <w:jc w:val="both"/>
        <w:rPr>
          <w:rFonts w:asciiTheme="minorHAnsi" w:hAnsiTheme="minorHAnsi" w:cstheme="minorBidi"/>
          <w:i/>
          <w:iCs/>
          <w:color w:val="0070C0"/>
          <w:lang w:val="es-PA"/>
        </w:rPr>
      </w:pPr>
      <w:r w:rsidRPr="08202347">
        <w:rPr>
          <w:rFonts w:asciiTheme="minorHAnsi" w:hAnsiTheme="minorHAnsi" w:cstheme="minorBidi"/>
          <w:color w:val="auto"/>
        </w:rPr>
        <w:t>Las firmas consultoras el</w:t>
      </w:r>
      <w:r>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w:t>
      </w:r>
      <w:r w:rsidRPr="002E2316">
        <w:rPr>
          <w:rFonts w:asciiTheme="minorHAnsi" w:hAnsiTheme="minorHAnsi" w:cstheme="minorBidi"/>
          <w:color w:val="auto"/>
          <w:lang w:val="es-PA"/>
        </w:rPr>
        <w:t xml:space="preserve">oficina, 09:00 a.m. - 5:00 PM (Hora de Washington DC), mediante el envío de un correo electrónico a: </w:t>
      </w:r>
      <w:hyperlink r:id="rId14" w:history="1">
        <w:r w:rsidRPr="002E2316">
          <w:rPr>
            <w:rStyle w:val="Hyperlink"/>
            <w:rFonts w:asciiTheme="minorHAnsi" w:hAnsiTheme="minorHAnsi" w:cstheme="minorBidi"/>
            <w:i/>
            <w:iCs/>
            <w:lang w:val="es-PA"/>
          </w:rPr>
          <w:t>arturoal@iadb.org</w:t>
        </w:r>
      </w:hyperlink>
      <w:r w:rsidRPr="002E2316">
        <w:rPr>
          <w:lang w:val="es-PA"/>
        </w:rPr>
        <w:t xml:space="preserve"> </w:t>
      </w:r>
      <w:r w:rsidRPr="002E2316">
        <w:rPr>
          <w:rFonts w:asciiTheme="minorHAnsi" w:hAnsiTheme="minorHAnsi" w:cstheme="minorBidi"/>
          <w:color w:val="auto"/>
          <w:lang w:val="es-PA"/>
        </w:rPr>
        <w:t>con copia a</w:t>
      </w:r>
      <w:r w:rsidRPr="002E2316">
        <w:rPr>
          <w:rFonts w:asciiTheme="minorHAnsi" w:hAnsiTheme="minorHAnsi" w:cstheme="minorBidi"/>
          <w:i/>
          <w:iCs/>
          <w:color w:val="0070C0"/>
          <w:lang w:val="es-PA"/>
        </w:rPr>
        <w:t xml:space="preserve"> </w:t>
      </w:r>
      <w:hyperlink r:id="rId15" w:history="1">
        <w:r w:rsidRPr="002E2316">
          <w:rPr>
            <w:rStyle w:val="Hyperlink"/>
            <w:rFonts w:asciiTheme="minorHAnsi" w:hAnsiTheme="minorHAnsi" w:cstheme="minorBidi"/>
            <w:i/>
            <w:iCs/>
            <w:lang w:val="es-PA"/>
          </w:rPr>
          <w:t>ricardoesp@iadb.org</w:t>
        </w:r>
      </w:hyperlink>
      <w:r w:rsidRPr="002E2316">
        <w:rPr>
          <w:rFonts w:asciiTheme="minorHAnsi" w:hAnsiTheme="minorHAnsi" w:cstheme="minorBidi"/>
          <w:i/>
          <w:iCs/>
          <w:color w:val="auto"/>
          <w:lang w:val="es-PA"/>
        </w:rPr>
        <w:t>.</w:t>
      </w:r>
    </w:p>
    <w:p w14:paraId="03405C6F" w14:textId="77777777" w:rsidR="00D761FB" w:rsidRPr="002E2316" w:rsidRDefault="00D761FB" w:rsidP="00540940">
      <w:pPr>
        <w:jc w:val="both"/>
        <w:rPr>
          <w:rFonts w:asciiTheme="minorHAnsi" w:hAnsiTheme="minorHAnsi" w:cs="Times New Roman"/>
          <w:color w:val="auto"/>
          <w:lang w:val="es-PA"/>
        </w:rPr>
      </w:pPr>
    </w:p>
    <w:p w14:paraId="6B06EF08" w14:textId="77777777" w:rsidR="00DF1832" w:rsidRPr="002E2316" w:rsidRDefault="00DF1832" w:rsidP="00540940">
      <w:pPr>
        <w:jc w:val="both"/>
        <w:rPr>
          <w:rFonts w:asciiTheme="minorHAnsi" w:hAnsiTheme="minorHAnsi" w:cstheme="minorBidi"/>
          <w:color w:val="auto"/>
          <w:lang w:val="es-PA"/>
        </w:rPr>
      </w:pPr>
      <w:r w:rsidRPr="002E2316">
        <w:rPr>
          <w:rFonts w:asciiTheme="minorHAnsi" w:hAnsiTheme="minorHAnsi" w:cstheme="minorBidi"/>
          <w:color w:val="auto"/>
          <w:lang w:val="es-PA"/>
        </w:rPr>
        <w:t>Banco Interamericano de Desarrollo</w:t>
      </w:r>
    </w:p>
    <w:p w14:paraId="040CFB19" w14:textId="77777777" w:rsidR="00DF1832" w:rsidRPr="002E2316" w:rsidRDefault="00DF1832" w:rsidP="00540940">
      <w:pPr>
        <w:jc w:val="both"/>
        <w:rPr>
          <w:rFonts w:asciiTheme="minorHAnsi" w:hAnsiTheme="minorHAnsi" w:cstheme="minorBidi"/>
          <w:i/>
          <w:iCs/>
          <w:color w:val="0070C0"/>
          <w:lang w:val="es-PA"/>
        </w:rPr>
      </w:pPr>
      <w:r w:rsidRPr="002E2316">
        <w:rPr>
          <w:rFonts w:asciiTheme="minorHAnsi" w:hAnsiTheme="minorHAnsi" w:cstheme="minorBidi"/>
          <w:color w:val="auto"/>
          <w:lang w:val="es-PA"/>
        </w:rPr>
        <w:t>División: INE/ENE</w:t>
      </w:r>
    </w:p>
    <w:p w14:paraId="0109A4DC" w14:textId="77777777" w:rsidR="00DF1832" w:rsidRPr="00580013" w:rsidRDefault="00DF1832" w:rsidP="00540940">
      <w:pPr>
        <w:jc w:val="both"/>
        <w:rPr>
          <w:rFonts w:asciiTheme="minorHAnsi" w:hAnsiTheme="minorHAnsi" w:cstheme="minorBidi"/>
          <w:color w:val="auto"/>
          <w:lang w:val="en-US"/>
        </w:rPr>
      </w:pPr>
      <w:r w:rsidRPr="00580013">
        <w:rPr>
          <w:rFonts w:asciiTheme="minorHAnsi" w:hAnsiTheme="minorHAnsi" w:cstheme="minorBidi"/>
          <w:color w:val="auto"/>
          <w:lang w:val="en-US"/>
        </w:rPr>
        <w:t>Atención:</w:t>
      </w:r>
      <w:r w:rsidRPr="00580013">
        <w:rPr>
          <w:rFonts w:asciiTheme="minorHAnsi" w:hAnsiTheme="minorHAnsi" w:cstheme="minorBidi"/>
          <w:i/>
          <w:iCs/>
          <w:color w:val="0070C0"/>
          <w:lang w:val="en-US"/>
        </w:rPr>
        <w:t xml:space="preserve"> </w:t>
      </w:r>
      <w:r w:rsidRPr="00580013">
        <w:rPr>
          <w:rFonts w:asciiTheme="minorHAnsi" w:hAnsiTheme="minorHAnsi" w:cstheme="minorBidi"/>
          <w:color w:val="auto"/>
          <w:lang w:val="en-US"/>
        </w:rPr>
        <w:t>Arturo Alarcón</w:t>
      </w:r>
    </w:p>
    <w:p w14:paraId="6A0636EE" w14:textId="77777777" w:rsidR="00DF1832" w:rsidRPr="00580013" w:rsidRDefault="00DF1832" w:rsidP="00540940">
      <w:pPr>
        <w:jc w:val="both"/>
        <w:rPr>
          <w:rFonts w:asciiTheme="minorHAnsi" w:hAnsiTheme="minorHAnsi" w:cs="Times New Roman"/>
          <w:color w:val="auto"/>
          <w:lang w:val="en-US"/>
        </w:rPr>
      </w:pPr>
    </w:p>
    <w:p w14:paraId="0B762C58" w14:textId="77777777" w:rsidR="00DF1832" w:rsidRPr="00580013" w:rsidRDefault="00DF1832" w:rsidP="00540940">
      <w:pPr>
        <w:jc w:val="both"/>
        <w:rPr>
          <w:rFonts w:asciiTheme="minorHAnsi" w:hAnsiTheme="minorHAnsi" w:cstheme="minorBidi"/>
          <w:color w:val="auto"/>
          <w:lang w:val="en-US"/>
        </w:rPr>
      </w:pPr>
      <w:r w:rsidRPr="00580013">
        <w:rPr>
          <w:rFonts w:asciiTheme="minorHAnsi" w:hAnsiTheme="minorHAnsi" w:cstheme="minorBidi"/>
          <w:color w:val="auto"/>
          <w:lang w:val="en-US"/>
        </w:rPr>
        <w:t>1300 New York Avenue, NW, Washington, DC 20577, EE.UU.</w:t>
      </w:r>
    </w:p>
    <w:p w14:paraId="4F8FEFC7" w14:textId="77777777" w:rsidR="00DF1832" w:rsidRPr="00580013" w:rsidRDefault="00DF1832" w:rsidP="00540940">
      <w:pPr>
        <w:suppressAutoHyphens/>
        <w:jc w:val="both"/>
        <w:rPr>
          <w:rFonts w:asciiTheme="minorHAnsi" w:hAnsiTheme="minorHAnsi" w:cstheme="minorBidi"/>
          <w:color w:val="0070C0"/>
          <w:lang w:val="en-US"/>
        </w:rPr>
      </w:pPr>
      <w:r w:rsidRPr="00580013">
        <w:rPr>
          <w:rFonts w:asciiTheme="minorHAnsi" w:hAnsiTheme="minorHAnsi" w:cstheme="minorBidi"/>
          <w:lang w:val="en-US"/>
        </w:rPr>
        <w:t>Email:</w:t>
      </w:r>
      <w:r w:rsidRPr="00580013">
        <w:rPr>
          <w:rFonts w:asciiTheme="minorHAnsi" w:hAnsiTheme="minorHAnsi" w:cstheme="minorBidi"/>
          <w:i/>
          <w:iCs/>
          <w:color w:val="0070C0"/>
          <w:lang w:val="en-US"/>
        </w:rPr>
        <w:t xml:space="preserve"> </w:t>
      </w:r>
      <w:hyperlink r:id="rId16" w:history="1">
        <w:r w:rsidRPr="00580013">
          <w:rPr>
            <w:rStyle w:val="Hyperlink"/>
            <w:rFonts w:asciiTheme="minorHAnsi" w:hAnsiTheme="minorHAnsi" w:cstheme="minorBidi"/>
            <w:lang w:val="en-US"/>
          </w:rPr>
          <w:t>arturoal@iadb.org</w:t>
        </w:r>
      </w:hyperlink>
    </w:p>
    <w:p w14:paraId="5FEE8DE4" w14:textId="77777777" w:rsidR="00DF1832" w:rsidRPr="00B85353" w:rsidRDefault="00DF1832" w:rsidP="00540940">
      <w:pPr>
        <w:jc w:val="both"/>
        <w:rPr>
          <w:rFonts w:asciiTheme="minorHAnsi" w:hAnsiTheme="minorHAnsi" w:cstheme="minorBidi"/>
          <w:color w:val="auto"/>
          <w:lang w:val="en-US"/>
        </w:rPr>
      </w:pPr>
      <w:r w:rsidRPr="00B85353">
        <w:rPr>
          <w:rFonts w:asciiTheme="minorHAnsi" w:hAnsiTheme="minorHAnsi" w:cstheme="minorBidi"/>
          <w:color w:val="auto"/>
          <w:lang w:val="en-US"/>
        </w:rPr>
        <w:t xml:space="preserve">Sitio Web: </w:t>
      </w:r>
      <w:hyperlink r:id="rId17">
        <w:r w:rsidRPr="00B85353">
          <w:rPr>
            <w:rStyle w:val="Hyperlink"/>
            <w:rFonts w:asciiTheme="minorHAnsi" w:hAnsiTheme="minorHAnsi" w:cstheme="minorBidi"/>
            <w:lang w:val="en-US"/>
          </w:rPr>
          <w:t>www.iadb.org</w:t>
        </w:r>
      </w:hyperlink>
      <w:r w:rsidRPr="00B85353">
        <w:rPr>
          <w:rFonts w:asciiTheme="minorHAnsi" w:hAnsiTheme="minorHAnsi" w:cstheme="minorBidi"/>
          <w:color w:val="auto"/>
          <w:lang w:val="en-US"/>
        </w:rPr>
        <w:t xml:space="preserve"> </w:t>
      </w:r>
    </w:p>
    <w:p w14:paraId="5DC6538B" w14:textId="77777777" w:rsidR="00DF1832" w:rsidRPr="00B85353" w:rsidRDefault="00DF1832" w:rsidP="00540940">
      <w:pPr>
        <w:jc w:val="both"/>
        <w:rPr>
          <w:rFonts w:asciiTheme="minorHAnsi" w:hAnsiTheme="minorHAnsi" w:cstheme="minorBidi"/>
          <w:color w:val="auto"/>
          <w:lang w:val="en-US"/>
        </w:rPr>
      </w:pPr>
    </w:p>
    <w:p w14:paraId="24A67E09" w14:textId="200A6ADD" w:rsidR="00B85353" w:rsidRPr="00FA7459" w:rsidRDefault="00B85353" w:rsidP="00B85353">
      <w:pPr>
        <w:widowControl/>
        <w:autoSpaceDE/>
        <w:autoSpaceDN/>
        <w:adjustRightInd/>
        <w:spacing w:after="200" w:line="276" w:lineRule="auto"/>
        <w:rPr>
          <w:rFonts w:asciiTheme="minorHAnsi" w:hAnsiTheme="minorHAnsi"/>
          <w:bCs/>
          <w:sz w:val="22"/>
          <w:u w:val="single"/>
          <w:lang w:val="en-US"/>
        </w:rPr>
      </w:pPr>
      <w:r w:rsidRPr="00FA7459">
        <w:rPr>
          <w:rFonts w:asciiTheme="minorHAnsi" w:hAnsiTheme="minorHAnsi" w:cstheme="minorBidi"/>
          <w:color w:val="auto"/>
          <w:lang w:val="en-US"/>
        </w:rPr>
        <w:br w:type="column"/>
      </w:r>
      <w:r w:rsidRPr="00FA7459">
        <w:rPr>
          <w:rFonts w:asciiTheme="minorHAnsi" w:hAnsiTheme="minorHAnsi" w:cstheme="minorBidi"/>
          <w:color w:val="auto"/>
          <w:lang w:val="en-US"/>
        </w:rPr>
        <w:br w:type="page"/>
      </w:r>
      <w:r w:rsidRPr="00FA7459">
        <w:rPr>
          <w:rFonts w:cstheme="minorHAnsi"/>
          <w:i/>
          <w:color w:val="0070C0"/>
          <w:lang w:val="en-US"/>
        </w:rPr>
        <w:t>PN-T1293-P002</w:t>
      </w:r>
    </w:p>
    <w:p w14:paraId="223DDEA9" w14:textId="2033D7F4" w:rsidR="00B85353" w:rsidRDefault="00B85353" w:rsidP="00B85353">
      <w:pPr>
        <w:pStyle w:val="Heading1"/>
        <w:jc w:val="center"/>
        <w:rPr>
          <w:rFonts w:asciiTheme="minorHAnsi" w:hAnsiTheme="minorHAnsi"/>
          <w:sz w:val="22"/>
          <w:u w:val="single"/>
          <w:lang w:val="es-PA"/>
        </w:rPr>
      </w:pPr>
      <w:r w:rsidRPr="00924BB2">
        <w:rPr>
          <w:rFonts w:asciiTheme="minorHAnsi" w:hAnsiTheme="minorHAnsi"/>
          <w:sz w:val="22"/>
          <w:u w:val="single"/>
          <w:lang w:val="es-PA"/>
        </w:rPr>
        <w:t>TÉRMINOS DE REFERENCIA</w:t>
      </w:r>
      <w:r>
        <w:rPr>
          <w:rFonts w:asciiTheme="minorHAnsi" w:hAnsiTheme="minorHAnsi"/>
          <w:sz w:val="22"/>
          <w:u w:val="single"/>
          <w:lang w:val="es-PA"/>
        </w:rPr>
        <w:t xml:space="preserve"> BORRADOR</w:t>
      </w:r>
    </w:p>
    <w:p w14:paraId="7FF06170" w14:textId="43D6EF90" w:rsidR="00B85353" w:rsidRDefault="00B85353" w:rsidP="00B85353">
      <w:pPr>
        <w:rPr>
          <w:lang w:val="es-PA"/>
        </w:rPr>
      </w:pPr>
    </w:p>
    <w:p w14:paraId="27B1341E" w14:textId="751FB89D" w:rsidR="00B85353" w:rsidRPr="00B85353" w:rsidRDefault="00B85353" w:rsidP="00B85353">
      <w:pPr>
        <w:rPr>
          <w:color w:val="FF0000"/>
          <w:lang w:val="es-PA"/>
        </w:rPr>
      </w:pPr>
      <w:r w:rsidRPr="00B85353">
        <w:rPr>
          <w:color w:val="FF0000"/>
          <w:lang w:val="es-PA"/>
        </w:rPr>
        <w:t xml:space="preserve">NOTA: Estos términos de referencia son un borrador, y serán actualizados al momento de solicitar las propuestas a las firmas de la lista corta. </w:t>
      </w:r>
    </w:p>
    <w:p w14:paraId="3A93C67F" w14:textId="77777777" w:rsidR="00B85353" w:rsidRPr="00924BB2" w:rsidRDefault="00B85353" w:rsidP="00B85353">
      <w:pPr>
        <w:jc w:val="both"/>
        <w:rPr>
          <w:rFonts w:cstheme="minorHAnsi"/>
          <w:b/>
          <w:bCs/>
          <w:iCs/>
          <w:color w:val="0070C0"/>
          <w:lang w:val="es-PA"/>
        </w:rPr>
      </w:pPr>
    </w:p>
    <w:p w14:paraId="5232CC74" w14:textId="77777777" w:rsidR="00B85353" w:rsidRPr="00924BB2" w:rsidRDefault="00B85353" w:rsidP="00B85353">
      <w:pPr>
        <w:jc w:val="center"/>
        <w:rPr>
          <w:rFonts w:cstheme="minorHAnsi"/>
          <w:b/>
          <w:bCs/>
          <w:iCs/>
          <w:lang w:val="es-PA"/>
        </w:rPr>
      </w:pPr>
      <w:r w:rsidRPr="00924BB2">
        <w:rPr>
          <w:rFonts w:cstheme="minorHAnsi"/>
          <w:b/>
          <w:bCs/>
          <w:iCs/>
          <w:lang w:val="es-PA"/>
        </w:rPr>
        <w:t>Consultoría para el apoyo a la conceptualización,</w:t>
      </w:r>
      <w:r>
        <w:rPr>
          <w:rFonts w:cstheme="minorHAnsi"/>
          <w:b/>
          <w:bCs/>
          <w:iCs/>
          <w:lang w:val="es-PA"/>
        </w:rPr>
        <w:t xml:space="preserve"> arquitectura,</w:t>
      </w:r>
      <w:r w:rsidRPr="00924BB2">
        <w:rPr>
          <w:rFonts w:cstheme="minorHAnsi"/>
          <w:b/>
          <w:bCs/>
          <w:iCs/>
          <w:lang w:val="es-PA"/>
        </w:rPr>
        <w:t xml:space="preserve"> ingeniería de procesos y diseño de la plataforma para la digitalización de trámites para instalaciones de generación distribuida en Panamá</w:t>
      </w:r>
    </w:p>
    <w:p w14:paraId="01DA6193" w14:textId="77777777" w:rsidR="00B85353" w:rsidRPr="00924BB2" w:rsidRDefault="00B85353" w:rsidP="00B85353">
      <w:pPr>
        <w:rPr>
          <w:rFonts w:cstheme="minorHAnsi"/>
          <w:i/>
          <w:color w:val="0070C0"/>
          <w:lang w:val="es-PA"/>
        </w:rPr>
      </w:pPr>
    </w:p>
    <w:p w14:paraId="31DDF94E" w14:textId="77777777" w:rsidR="00B85353" w:rsidRPr="00924BB2" w:rsidRDefault="00B85353" w:rsidP="00B85353">
      <w:pPr>
        <w:pStyle w:val="BodyText"/>
        <w:jc w:val="both"/>
        <w:rPr>
          <w:rFonts w:asciiTheme="minorHAnsi" w:hAnsiTheme="minorHAnsi" w:cstheme="minorHAnsi"/>
          <w:i/>
          <w:color w:val="0070C0"/>
          <w:lang w:val="es-PA"/>
        </w:rPr>
      </w:pPr>
      <w:r w:rsidRPr="00924BB2">
        <w:rPr>
          <w:rFonts w:asciiTheme="minorHAnsi" w:hAnsiTheme="minorHAnsi" w:cstheme="minorHAnsi"/>
          <w:i/>
          <w:color w:val="0070C0"/>
          <w:lang w:val="es-PA"/>
        </w:rPr>
        <w:t>Panamá</w:t>
      </w:r>
    </w:p>
    <w:p w14:paraId="2BB1E1F5" w14:textId="77777777" w:rsidR="00B85353" w:rsidRPr="00924BB2" w:rsidRDefault="00B85353" w:rsidP="00B85353">
      <w:pPr>
        <w:pStyle w:val="BodyText"/>
        <w:jc w:val="both"/>
        <w:rPr>
          <w:rFonts w:asciiTheme="minorHAnsi" w:hAnsiTheme="minorHAnsi" w:cstheme="minorHAnsi"/>
          <w:i/>
          <w:color w:val="0070C0"/>
          <w:lang w:val="es-PA"/>
        </w:rPr>
      </w:pPr>
      <w:r w:rsidRPr="00924BB2">
        <w:rPr>
          <w:rFonts w:asciiTheme="minorHAnsi" w:hAnsiTheme="minorHAnsi" w:cstheme="minorHAnsi"/>
          <w:i/>
          <w:color w:val="0070C0"/>
          <w:lang w:val="es-PA"/>
        </w:rPr>
        <w:t>PN-T1293</w:t>
      </w:r>
    </w:p>
    <w:p w14:paraId="62363C75" w14:textId="77777777" w:rsidR="00B85353" w:rsidRPr="00924BB2" w:rsidRDefault="00B85353" w:rsidP="00B85353">
      <w:pPr>
        <w:pStyle w:val="BodyText"/>
        <w:jc w:val="both"/>
        <w:rPr>
          <w:rFonts w:asciiTheme="minorHAnsi" w:hAnsiTheme="minorHAnsi" w:cstheme="minorHAnsi"/>
          <w:i/>
          <w:color w:val="0070C0"/>
          <w:lang w:val="es-PA"/>
        </w:rPr>
      </w:pPr>
      <w:r w:rsidRPr="00924BB2">
        <w:rPr>
          <w:rFonts w:asciiTheme="minorHAnsi" w:hAnsiTheme="minorHAnsi" w:cstheme="minorHAnsi"/>
          <w:i/>
          <w:color w:val="0070C0"/>
          <w:lang w:val="es-PA"/>
        </w:rPr>
        <w:t xml:space="preserve">[Número de Cooperación Técnica]                         </w:t>
      </w:r>
    </w:p>
    <w:p w14:paraId="55BA4725" w14:textId="77777777" w:rsidR="00B85353" w:rsidRPr="00924BB2" w:rsidRDefault="00FA7459" w:rsidP="00B85353">
      <w:pPr>
        <w:pStyle w:val="BodyText"/>
        <w:jc w:val="both"/>
        <w:rPr>
          <w:rFonts w:asciiTheme="minorHAnsi" w:hAnsiTheme="minorHAnsi" w:cstheme="minorHAnsi"/>
          <w:i/>
          <w:color w:val="0070C0"/>
          <w:lang w:val="es-PA"/>
        </w:rPr>
      </w:pPr>
      <w:hyperlink r:id="rId18" w:history="1">
        <w:r w:rsidR="00B85353" w:rsidRPr="00924BB2">
          <w:rPr>
            <w:rStyle w:val="Hyperlink"/>
            <w:rFonts w:asciiTheme="minorHAnsi" w:hAnsiTheme="minorHAnsi" w:cstheme="minorHAnsi"/>
            <w:i/>
            <w:lang w:val="es-PA"/>
          </w:rPr>
          <w:t>https://www.iadb.org/es/project/PN-T1293</w:t>
        </w:r>
      </w:hyperlink>
    </w:p>
    <w:p w14:paraId="66482CD5" w14:textId="77777777" w:rsidR="00B85353" w:rsidRPr="00924BB2" w:rsidRDefault="00B85353" w:rsidP="00B85353">
      <w:pPr>
        <w:pStyle w:val="BodyText"/>
        <w:jc w:val="both"/>
        <w:rPr>
          <w:rFonts w:asciiTheme="minorHAnsi" w:hAnsiTheme="minorHAnsi" w:cstheme="minorHAnsi"/>
          <w:i/>
          <w:color w:val="0070C0"/>
          <w:lang w:val="es-PA"/>
        </w:rPr>
      </w:pPr>
      <w:r w:rsidRPr="00924BB2">
        <w:rPr>
          <w:rFonts w:asciiTheme="minorHAnsi" w:hAnsiTheme="minorHAnsi" w:cstheme="minorHAnsi"/>
          <w:i/>
          <w:color w:val="0070C0"/>
          <w:lang w:val="es-PA"/>
        </w:rPr>
        <w:t>Apoyo a la promoción de eficiencia energética en predios públicos en Panamá</w:t>
      </w:r>
    </w:p>
    <w:p w14:paraId="79ECD1C6" w14:textId="77777777" w:rsidR="00B85353" w:rsidRPr="00924BB2" w:rsidRDefault="00B85353" w:rsidP="00B85353">
      <w:pPr>
        <w:tabs>
          <w:tab w:val="left" w:pos="7080"/>
        </w:tabs>
        <w:jc w:val="both"/>
        <w:rPr>
          <w:rFonts w:asciiTheme="minorHAnsi" w:hAnsiTheme="minorHAnsi"/>
          <w:sz w:val="22"/>
          <w:lang w:val="es-PA"/>
        </w:rPr>
      </w:pPr>
    </w:p>
    <w:p w14:paraId="0D389670"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Antecedentes y justificación</w:t>
      </w:r>
    </w:p>
    <w:p w14:paraId="4EF003C1" w14:textId="77777777" w:rsidR="00B85353" w:rsidRPr="00924BB2" w:rsidRDefault="00B85353" w:rsidP="00B85353">
      <w:pPr>
        <w:ind w:left="792"/>
        <w:contextualSpacing/>
        <w:jc w:val="both"/>
        <w:rPr>
          <w:rFonts w:asciiTheme="minorHAnsi" w:eastAsiaTheme="minorHAnsi" w:hAnsiTheme="minorHAnsi"/>
          <w:sz w:val="22"/>
          <w:lang w:val="es-PA"/>
        </w:rPr>
      </w:pPr>
    </w:p>
    <w:p w14:paraId="68CCDE60"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El Gobierno de Panamá, por medio de la Secretaría Nacional de Energía, ha elaborado la Agenda de Transición Energética (ATE), que propone una visión estratégica integral del sector. La ATE fue aprobada en Gaceta Oficial en noviembre de 2020. Esta agenda es parte de la actualización de las Contribuciones Nacionalmente Determinadas (NDC por sus siglas en inglés) presentadas por Panamá, en diciembre de 2020, como parte de los compromisos del Acuerdo de París.</w:t>
      </w:r>
    </w:p>
    <w:p w14:paraId="167BEBDC" w14:textId="77777777" w:rsidR="00B85353" w:rsidRPr="00924BB2" w:rsidRDefault="00B85353" w:rsidP="00B85353">
      <w:pPr>
        <w:pStyle w:val="ListParagraph"/>
        <w:ind w:left="792"/>
        <w:jc w:val="both"/>
        <w:rPr>
          <w:rFonts w:asciiTheme="minorHAnsi" w:hAnsiTheme="minorHAnsi" w:cstheme="minorHAnsi"/>
          <w:sz w:val="22"/>
          <w:szCs w:val="22"/>
          <w:lang w:val="es-PA"/>
        </w:rPr>
      </w:pPr>
    </w:p>
    <w:p w14:paraId="2B140860"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Los lineamientos de la ATE presentan cinco (5) estrategias para el sector eléctrico, incluyendo las estrategias de: Acceso Universal, Eficiencia Energética, Generación Distribuida (GD), Movilidad Eléctrica e Innovación del Sistema Interconectado Nacional (SIN). Estas estrategias proponen cambios en el modelo de suministro y consumo de electricidad, bajo los conceptos de descarbonización, descentralización, democratización y digitalización. Los cambios propuestos por la ATE se formulan dentro del contexto de un servicio energético accesible, asequible, sostenible, confiable, y seguro. Considerando estas premisas, el BID ha estado apoyando al Gobierno de Panamá en el desarrollo de una visión y planificación sectorial integral, en diálogos sectoriales y regionales y en la formulación de políticas públicas para el sector energético de Panamá.</w:t>
      </w:r>
    </w:p>
    <w:p w14:paraId="3A922038" w14:textId="77777777" w:rsidR="00B85353" w:rsidRPr="00924BB2" w:rsidRDefault="00B85353" w:rsidP="00B85353">
      <w:pPr>
        <w:pStyle w:val="ListParagraph"/>
        <w:rPr>
          <w:rFonts w:asciiTheme="minorHAnsi" w:hAnsiTheme="minorHAnsi" w:cstheme="minorHAnsi"/>
          <w:sz w:val="22"/>
          <w:szCs w:val="22"/>
          <w:lang w:val="es-PA"/>
        </w:rPr>
      </w:pPr>
    </w:p>
    <w:p w14:paraId="12EAD9EA"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Las estrategias publicadas por la SNE plantean un cambio profundo en el desarrollo del sector eléctrico panameño, por lo que será necesario desarrollar estudios, normativas y cambios al marco legal y regulatorio para su implementación y el alcance de sus metas. La Estrategia Nacional de Generación Distribuida (ENGED), fue publicada en Gaceta Oficial, en la Resolución de Gabinete No. 5, de 5 de enero de 2020. La ENGED cuenta con cinco (5) ejes estratégicos y veinticinco (25) líneas de acción.</w:t>
      </w:r>
    </w:p>
    <w:p w14:paraId="56B6AA1E" w14:textId="77777777" w:rsidR="00B85353" w:rsidRPr="00924BB2" w:rsidRDefault="00B85353" w:rsidP="00B85353">
      <w:pPr>
        <w:pStyle w:val="ListParagraph"/>
        <w:rPr>
          <w:rFonts w:asciiTheme="minorHAnsi" w:hAnsiTheme="minorHAnsi" w:cstheme="minorHAnsi"/>
          <w:sz w:val="22"/>
          <w:szCs w:val="22"/>
          <w:lang w:val="es-PA"/>
        </w:rPr>
      </w:pPr>
    </w:p>
    <w:p w14:paraId="38A91F02"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Los ejes estratégicos de la ENGED son: (i) aspectos legales, normativos y regulatorios, (</w:t>
      </w:r>
      <w:proofErr w:type="spellStart"/>
      <w:r w:rsidRPr="00924BB2">
        <w:rPr>
          <w:rFonts w:asciiTheme="minorHAnsi" w:hAnsiTheme="minorHAnsi" w:cstheme="minorHAnsi"/>
          <w:sz w:val="22"/>
          <w:szCs w:val="22"/>
          <w:lang w:val="es-PA"/>
        </w:rPr>
        <w:t>ii</w:t>
      </w:r>
      <w:proofErr w:type="spellEnd"/>
      <w:r w:rsidRPr="00924BB2">
        <w:rPr>
          <w:rFonts w:asciiTheme="minorHAnsi" w:hAnsiTheme="minorHAnsi" w:cstheme="minorHAnsi"/>
          <w:sz w:val="22"/>
          <w:szCs w:val="22"/>
          <w:lang w:val="es-PA"/>
        </w:rPr>
        <w:t>) innovación tecnológica y modelos de negocios, (</w:t>
      </w:r>
      <w:proofErr w:type="spellStart"/>
      <w:r w:rsidRPr="00924BB2">
        <w:rPr>
          <w:rFonts w:asciiTheme="minorHAnsi" w:hAnsiTheme="minorHAnsi" w:cstheme="minorHAnsi"/>
          <w:sz w:val="22"/>
          <w:szCs w:val="22"/>
          <w:lang w:val="es-PA"/>
        </w:rPr>
        <w:t>iii</w:t>
      </w:r>
      <w:proofErr w:type="spellEnd"/>
      <w:r w:rsidRPr="00924BB2">
        <w:rPr>
          <w:rFonts w:asciiTheme="minorHAnsi" w:hAnsiTheme="minorHAnsi" w:cstheme="minorHAnsi"/>
          <w:sz w:val="22"/>
          <w:szCs w:val="22"/>
          <w:lang w:val="es-PA"/>
        </w:rPr>
        <w:t>) financiamiento e incentivos, (</w:t>
      </w:r>
      <w:proofErr w:type="spellStart"/>
      <w:r w:rsidRPr="00924BB2">
        <w:rPr>
          <w:rFonts w:asciiTheme="minorHAnsi" w:hAnsiTheme="minorHAnsi" w:cstheme="minorHAnsi"/>
          <w:sz w:val="22"/>
          <w:szCs w:val="22"/>
          <w:lang w:val="es-PA"/>
        </w:rPr>
        <w:t>iv</w:t>
      </w:r>
      <w:proofErr w:type="spellEnd"/>
      <w:r w:rsidRPr="00924BB2">
        <w:rPr>
          <w:rFonts w:asciiTheme="minorHAnsi" w:hAnsiTheme="minorHAnsi" w:cstheme="minorHAnsi"/>
          <w:sz w:val="22"/>
          <w:szCs w:val="22"/>
          <w:lang w:val="es-PA"/>
        </w:rPr>
        <w:t>) educación, investigación, desarrollo e innovación, (v) fortalecimiento institucional. Las líneas de acción asociadas a cada eje presentan actores responsables e hitos para su implementación.</w:t>
      </w:r>
    </w:p>
    <w:p w14:paraId="4B176EF6" w14:textId="77777777" w:rsidR="00B85353" w:rsidRPr="00924BB2" w:rsidRDefault="00B85353" w:rsidP="00B85353">
      <w:pPr>
        <w:pStyle w:val="ListParagraph"/>
        <w:rPr>
          <w:rFonts w:asciiTheme="minorHAnsi" w:hAnsiTheme="minorHAnsi" w:cstheme="minorHAnsi"/>
          <w:sz w:val="22"/>
          <w:szCs w:val="22"/>
          <w:lang w:val="es-PA"/>
        </w:rPr>
      </w:pPr>
    </w:p>
    <w:p w14:paraId="5D08A809"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La línea de acción No. 1 de la ENGED, “Simplificación y digitalización de trámites para instalaciones de GD.” plantea la homologación y simplificación de trámites y requisitos para instalaciones de GD, así como el desarrollo de una plataforma digital que facilite este proceso para todas las organizaciones involucradas; donde, por medio de una plataforma digital, en un esquema ventanilla única, el usuario pueda buscar la información necesaria para el desarrollo de sus trámites para la instalación de GD, ingresar y administrar los tr</w:t>
      </w:r>
      <w:r>
        <w:rPr>
          <w:rFonts w:asciiTheme="minorHAnsi" w:hAnsiTheme="minorHAnsi" w:cstheme="minorHAnsi"/>
          <w:sz w:val="22"/>
          <w:szCs w:val="22"/>
          <w:lang w:val="es-PA"/>
        </w:rPr>
        <w:t>á</w:t>
      </w:r>
      <w:r w:rsidRPr="00924BB2">
        <w:rPr>
          <w:rFonts w:asciiTheme="minorHAnsi" w:hAnsiTheme="minorHAnsi" w:cstheme="minorHAnsi"/>
          <w:sz w:val="22"/>
          <w:szCs w:val="22"/>
          <w:lang w:val="es-PA"/>
        </w:rPr>
        <w:t>mites, compartiendo la información de manera digital a las instituciones responsables.</w:t>
      </w:r>
    </w:p>
    <w:p w14:paraId="302344DA" w14:textId="77777777" w:rsidR="00B85353" w:rsidRPr="00924BB2" w:rsidRDefault="00B85353" w:rsidP="00B85353">
      <w:pPr>
        <w:rPr>
          <w:rFonts w:asciiTheme="minorHAnsi" w:hAnsiTheme="minorHAnsi" w:cstheme="minorHAnsi"/>
          <w:sz w:val="22"/>
          <w:szCs w:val="22"/>
          <w:lang w:val="es-PA"/>
        </w:rPr>
      </w:pPr>
    </w:p>
    <w:p w14:paraId="54152208"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Con el apoyo del BID, la SNE tiene el objetivo de desarrollar el diseño de una plataforma digital de trámites para instalaciones de GD</w:t>
      </w:r>
      <w:r>
        <w:rPr>
          <w:rFonts w:asciiTheme="minorHAnsi" w:hAnsiTheme="minorHAnsi" w:cstheme="minorHAnsi"/>
          <w:sz w:val="22"/>
          <w:szCs w:val="22"/>
          <w:lang w:val="es-PA"/>
        </w:rPr>
        <w:t xml:space="preserve"> que facilite este proceso.</w:t>
      </w:r>
    </w:p>
    <w:p w14:paraId="49C767A5" w14:textId="77777777" w:rsidR="00B85353" w:rsidRPr="00924BB2" w:rsidRDefault="00B85353" w:rsidP="00B85353">
      <w:pPr>
        <w:pStyle w:val="ListParagraph"/>
        <w:rPr>
          <w:rFonts w:asciiTheme="minorHAnsi" w:hAnsiTheme="minorHAnsi" w:cstheme="minorHAnsi"/>
          <w:sz w:val="22"/>
          <w:szCs w:val="22"/>
          <w:lang w:val="es-PA"/>
        </w:rPr>
      </w:pPr>
    </w:p>
    <w:p w14:paraId="01DFFD83" w14:textId="77777777" w:rsidR="00B85353" w:rsidRPr="00924BB2" w:rsidRDefault="00B85353" w:rsidP="00B85353">
      <w:pPr>
        <w:pStyle w:val="ListParagraph"/>
        <w:widowControl/>
        <w:numPr>
          <w:ilvl w:val="1"/>
          <w:numId w:val="3"/>
        </w:numPr>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Debido a la necesidad de realizar el diseño detallado de la plataforma digital, el BID está buscando una firma consultora con experiencia en el diseño de plataformas digitales con capacidad de revisión, consulta y aprobación de procesos con interfases gráficas de sencillo uso para el usuario.</w:t>
      </w:r>
    </w:p>
    <w:p w14:paraId="090D3288" w14:textId="77777777" w:rsidR="00B85353" w:rsidRPr="00924BB2" w:rsidRDefault="00B85353" w:rsidP="00B85353">
      <w:pPr>
        <w:contextualSpacing/>
        <w:rPr>
          <w:rFonts w:asciiTheme="minorHAnsi" w:eastAsiaTheme="minorHAnsi" w:hAnsiTheme="minorHAnsi"/>
          <w:b/>
          <w:sz w:val="22"/>
          <w:u w:val="single"/>
          <w:lang w:val="es-PA"/>
        </w:rPr>
      </w:pPr>
    </w:p>
    <w:p w14:paraId="5A5837C4"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Objetivos</w:t>
      </w:r>
    </w:p>
    <w:p w14:paraId="0560390F" w14:textId="77777777" w:rsidR="00B85353" w:rsidRPr="00924BB2" w:rsidRDefault="00B85353" w:rsidP="00B85353">
      <w:pPr>
        <w:ind w:left="360"/>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 xml:space="preserve"> </w:t>
      </w:r>
    </w:p>
    <w:p w14:paraId="577996FD" w14:textId="77777777" w:rsidR="00B85353" w:rsidRPr="00924BB2" w:rsidRDefault="00B85353" w:rsidP="00B85353">
      <w:pPr>
        <w:numPr>
          <w:ilvl w:val="1"/>
          <w:numId w:val="3"/>
        </w:numPr>
        <w:autoSpaceDE/>
        <w:autoSpaceDN/>
        <w:adjustRightInd/>
        <w:contextualSpacing/>
        <w:jc w:val="both"/>
        <w:rPr>
          <w:rFonts w:asciiTheme="minorHAnsi" w:hAnsiTheme="minorHAnsi"/>
          <w:sz w:val="22"/>
          <w:szCs w:val="22"/>
          <w:lang w:val="es-PA"/>
        </w:rPr>
      </w:pPr>
      <w:r w:rsidRPr="00924BB2">
        <w:rPr>
          <w:rFonts w:asciiTheme="minorHAnsi" w:hAnsiTheme="minorHAnsi"/>
          <w:sz w:val="22"/>
          <w:szCs w:val="22"/>
          <w:lang w:val="es-PA"/>
        </w:rPr>
        <w:t xml:space="preserve">El objetivo de esta consultoría es </w:t>
      </w:r>
      <w:r w:rsidRPr="00C76A8A">
        <w:rPr>
          <w:rFonts w:asciiTheme="minorHAnsi" w:hAnsiTheme="minorHAnsi"/>
          <w:sz w:val="22"/>
          <w:szCs w:val="22"/>
          <w:lang w:val="es-PA"/>
        </w:rPr>
        <w:t>apoyar la conceptualización,</w:t>
      </w:r>
      <w:r>
        <w:rPr>
          <w:rFonts w:asciiTheme="minorHAnsi" w:hAnsiTheme="minorHAnsi"/>
          <w:sz w:val="22"/>
          <w:szCs w:val="22"/>
          <w:lang w:val="es-PA"/>
        </w:rPr>
        <w:t xml:space="preserve"> arquitectura,</w:t>
      </w:r>
      <w:r w:rsidRPr="00C76A8A">
        <w:rPr>
          <w:rFonts w:asciiTheme="minorHAnsi" w:hAnsiTheme="minorHAnsi"/>
          <w:sz w:val="22"/>
          <w:szCs w:val="22"/>
          <w:lang w:val="es-PA"/>
        </w:rPr>
        <w:t xml:space="preserve"> ingeniería de procesos y diseño de la plataforma para la digitalización de trámites para instalaciones de generación distribuida en Panamá.</w:t>
      </w:r>
    </w:p>
    <w:p w14:paraId="6EA25DFF" w14:textId="77777777" w:rsidR="00B85353" w:rsidRPr="00924BB2" w:rsidRDefault="00B85353" w:rsidP="00B85353">
      <w:pPr>
        <w:ind w:left="360"/>
        <w:contextualSpacing/>
        <w:rPr>
          <w:rFonts w:asciiTheme="minorHAnsi" w:eastAsiaTheme="minorHAnsi" w:hAnsiTheme="minorHAnsi"/>
          <w:b/>
          <w:sz w:val="22"/>
          <w:u w:val="single"/>
          <w:lang w:val="es-PA"/>
        </w:rPr>
      </w:pPr>
    </w:p>
    <w:p w14:paraId="65FCE3AA"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Alcance de los servicios</w:t>
      </w:r>
    </w:p>
    <w:p w14:paraId="31B6DD7B" w14:textId="77777777" w:rsidR="00B85353" w:rsidRPr="00924BB2" w:rsidRDefault="00B85353" w:rsidP="00B85353">
      <w:pPr>
        <w:ind w:left="792"/>
        <w:contextualSpacing/>
        <w:jc w:val="both"/>
        <w:rPr>
          <w:rFonts w:asciiTheme="minorHAnsi" w:eastAsiaTheme="minorHAnsi" w:hAnsiTheme="minorHAnsi"/>
          <w:b/>
          <w:color w:val="006600"/>
          <w:sz w:val="22"/>
          <w:lang w:val="es-PA"/>
        </w:rPr>
      </w:pPr>
    </w:p>
    <w:p w14:paraId="4F5B80AA" w14:textId="4BD77F7E" w:rsidR="00B85353" w:rsidRPr="001F47AD" w:rsidRDefault="00B85353" w:rsidP="00B85353">
      <w:pPr>
        <w:pStyle w:val="ListParagraph"/>
        <w:widowControl/>
        <w:numPr>
          <w:ilvl w:val="1"/>
          <w:numId w:val="3"/>
        </w:numPr>
        <w:autoSpaceDE/>
        <w:autoSpaceDN/>
        <w:adjustRightInd/>
        <w:jc w:val="both"/>
        <w:rPr>
          <w:rFonts w:asciiTheme="minorHAnsi" w:hAnsiTheme="minorHAnsi"/>
          <w:sz w:val="22"/>
          <w:szCs w:val="22"/>
          <w:lang w:val="es-PA"/>
        </w:rPr>
      </w:pPr>
      <w:r>
        <w:rPr>
          <w:rFonts w:asciiTheme="minorHAnsi" w:hAnsiTheme="minorHAnsi"/>
          <w:sz w:val="22"/>
          <w:szCs w:val="22"/>
          <w:lang w:val="es-PA"/>
        </w:rPr>
        <w:t>R</w:t>
      </w:r>
      <w:r w:rsidRPr="005757D3">
        <w:rPr>
          <w:rFonts w:asciiTheme="minorHAnsi" w:hAnsiTheme="minorHAnsi"/>
          <w:sz w:val="22"/>
          <w:szCs w:val="22"/>
          <w:lang w:val="es-PA"/>
        </w:rPr>
        <w:t xml:space="preserve">evisión técnica de </w:t>
      </w:r>
      <w:r>
        <w:rPr>
          <w:rFonts w:asciiTheme="minorHAnsi" w:hAnsiTheme="minorHAnsi"/>
          <w:sz w:val="22"/>
          <w:szCs w:val="22"/>
          <w:lang w:val="es-PA"/>
        </w:rPr>
        <w:t>una</w:t>
      </w:r>
      <w:r w:rsidRPr="005757D3">
        <w:rPr>
          <w:rFonts w:asciiTheme="minorHAnsi" w:hAnsiTheme="minorHAnsi"/>
          <w:sz w:val="22"/>
          <w:szCs w:val="22"/>
          <w:lang w:val="es-PA"/>
        </w:rPr>
        <w:t xml:space="preserve"> plataforma digital de trámites que se encuentra en operación para determinar su capacidad y potencial de uso como plataforma centralizada </w:t>
      </w:r>
      <w:r w:rsidRPr="001F47AD">
        <w:rPr>
          <w:rFonts w:asciiTheme="minorHAnsi" w:hAnsiTheme="minorHAnsi"/>
          <w:sz w:val="22"/>
          <w:szCs w:val="22"/>
          <w:lang w:val="es-PA"/>
        </w:rPr>
        <w:t>para trámites de proyectos de generación distribuida.</w:t>
      </w:r>
    </w:p>
    <w:p w14:paraId="0463D074" w14:textId="77777777" w:rsidR="00B85353" w:rsidRPr="001F47AD" w:rsidRDefault="00B85353" w:rsidP="00B85353">
      <w:pPr>
        <w:numPr>
          <w:ilvl w:val="1"/>
          <w:numId w:val="3"/>
        </w:numPr>
        <w:autoSpaceDE/>
        <w:autoSpaceDN/>
        <w:adjustRightInd/>
        <w:contextualSpacing/>
        <w:jc w:val="both"/>
        <w:rPr>
          <w:rFonts w:asciiTheme="minorHAnsi" w:eastAsiaTheme="minorHAnsi" w:hAnsiTheme="minorHAnsi"/>
          <w:sz w:val="22"/>
          <w:szCs w:val="22"/>
          <w:lang w:val="es-PA"/>
        </w:rPr>
      </w:pPr>
      <w:r w:rsidRPr="001F47AD">
        <w:rPr>
          <w:rFonts w:asciiTheme="minorHAnsi" w:hAnsiTheme="minorHAnsi"/>
          <w:sz w:val="22"/>
          <w:szCs w:val="22"/>
          <w:lang w:val="es-PA"/>
        </w:rPr>
        <w:t>Determinar las necesidades de interoperabilidad con otras plataformas de las empresas de la distribución eléctrica, municipios, entre otras.</w:t>
      </w:r>
    </w:p>
    <w:p w14:paraId="0440ABB1" w14:textId="77777777" w:rsidR="00B85353" w:rsidRPr="001F47AD" w:rsidRDefault="00B85353" w:rsidP="00B85353">
      <w:pPr>
        <w:numPr>
          <w:ilvl w:val="1"/>
          <w:numId w:val="3"/>
        </w:numPr>
        <w:autoSpaceDE/>
        <w:autoSpaceDN/>
        <w:adjustRightInd/>
        <w:contextualSpacing/>
        <w:jc w:val="both"/>
        <w:rPr>
          <w:rFonts w:asciiTheme="minorHAnsi" w:eastAsiaTheme="minorHAnsi" w:hAnsiTheme="minorHAnsi"/>
          <w:sz w:val="22"/>
          <w:szCs w:val="22"/>
          <w:lang w:val="es-PA"/>
        </w:rPr>
      </w:pPr>
      <w:r w:rsidRPr="001F47AD">
        <w:rPr>
          <w:rFonts w:asciiTheme="minorHAnsi" w:hAnsiTheme="minorHAnsi"/>
          <w:sz w:val="22"/>
          <w:szCs w:val="22"/>
          <w:lang w:val="es-PA"/>
        </w:rPr>
        <w:t xml:space="preserve">Desarrollar el diseño de una plataforma digital para trámites de GD a ser implementada </w:t>
      </w:r>
      <w:r w:rsidRPr="001F47AD">
        <w:rPr>
          <w:rFonts w:asciiTheme="minorHAnsi" w:hAnsiTheme="minorHAnsi" w:cstheme="minorBidi"/>
          <w:sz w:val="22"/>
          <w:szCs w:val="22"/>
          <w:lang w:val="es-PA"/>
        </w:rPr>
        <w:t>o adaptada</w:t>
      </w:r>
      <w:r w:rsidRPr="001F47AD">
        <w:rPr>
          <w:rFonts w:asciiTheme="minorHAnsi" w:hAnsiTheme="minorHAnsi"/>
          <w:sz w:val="22"/>
          <w:szCs w:val="22"/>
          <w:lang w:val="es-PA"/>
        </w:rPr>
        <w:t xml:space="preserve"> en Panamá.</w:t>
      </w:r>
    </w:p>
    <w:p w14:paraId="40074598" w14:textId="77777777" w:rsidR="00B85353" w:rsidRPr="00924BB2" w:rsidRDefault="00B85353" w:rsidP="00B85353">
      <w:pPr>
        <w:ind w:left="360"/>
        <w:contextualSpacing/>
        <w:rPr>
          <w:rFonts w:asciiTheme="minorHAnsi" w:eastAsiaTheme="minorHAnsi" w:hAnsiTheme="minorHAnsi"/>
          <w:b/>
          <w:sz w:val="22"/>
          <w:u w:val="single"/>
          <w:lang w:val="es-PA"/>
        </w:rPr>
      </w:pPr>
    </w:p>
    <w:p w14:paraId="7205BD12"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Actividades clave</w:t>
      </w:r>
    </w:p>
    <w:p w14:paraId="6133481C" w14:textId="77777777" w:rsidR="00B85353" w:rsidRPr="00924BB2" w:rsidRDefault="00B85353" w:rsidP="00B85353">
      <w:pPr>
        <w:ind w:left="360"/>
        <w:contextualSpacing/>
        <w:rPr>
          <w:rFonts w:asciiTheme="minorHAnsi" w:eastAsiaTheme="minorHAnsi" w:hAnsiTheme="minorHAnsi"/>
          <w:b/>
          <w:sz w:val="22"/>
          <w:u w:val="single"/>
          <w:lang w:val="es-PA"/>
        </w:rPr>
      </w:pPr>
    </w:p>
    <w:p w14:paraId="07623BA8" w14:textId="77777777" w:rsidR="00B85353" w:rsidRPr="00924BB2" w:rsidRDefault="00B85353" w:rsidP="00B85353">
      <w:pPr>
        <w:numPr>
          <w:ilvl w:val="1"/>
          <w:numId w:val="3"/>
        </w:numPr>
        <w:autoSpaceDE/>
        <w:autoSpaceDN/>
        <w:adjustRightInd/>
        <w:contextualSpacing/>
        <w:jc w:val="both"/>
        <w:rPr>
          <w:rFonts w:asciiTheme="minorHAnsi" w:hAnsiTheme="minorHAnsi"/>
          <w:sz w:val="22"/>
          <w:szCs w:val="22"/>
          <w:lang w:val="es-PA"/>
        </w:rPr>
      </w:pPr>
      <w:r w:rsidRPr="00924BB2">
        <w:rPr>
          <w:rFonts w:asciiTheme="minorHAnsi" w:hAnsiTheme="minorHAnsi"/>
          <w:sz w:val="22"/>
          <w:szCs w:val="22"/>
          <w:lang w:val="es-PA"/>
        </w:rPr>
        <w:t xml:space="preserve">Plan de trabajo </w:t>
      </w:r>
    </w:p>
    <w:p w14:paraId="5E975B92" w14:textId="77777777" w:rsidR="00B85353" w:rsidRPr="00924BB2" w:rsidRDefault="00B85353" w:rsidP="00B85353">
      <w:pPr>
        <w:numPr>
          <w:ilvl w:val="1"/>
          <w:numId w:val="3"/>
        </w:numPr>
        <w:autoSpaceDE/>
        <w:autoSpaceDN/>
        <w:adjustRightInd/>
        <w:contextualSpacing/>
        <w:jc w:val="both"/>
        <w:rPr>
          <w:rFonts w:asciiTheme="minorHAnsi" w:hAnsiTheme="minorHAnsi"/>
          <w:sz w:val="22"/>
          <w:szCs w:val="22"/>
          <w:lang w:val="es-PA"/>
        </w:rPr>
      </w:pPr>
      <w:r w:rsidRPr="00924BB2">
        <w:rPr>
          <w:rFonts w:asciiTheme="minorHAnsi" w:hAnsiTheme="minorHAnsi"/>
          <w:sz w:val="22"/>
          <w:szCs w:val="22"/>
          <w:lang w:val="es-PA"/>
        </w:rPr>
        <w:t xml:space="preserve">Evaluar la plataforma digital de trámites </w:t>
      </w:r>
      <w:r>
        <w:rPr>
          <w:rFonts w:asciiTheme="minorHAnsi" w:hAnsiTheme="minorHAnsi"/>
          <w:sz w:val="22"/>
          <w:szCs w:val="22"/>
          <w:lang w:val="es-PA"/>
        </w:rPr>
        <w:t>de Panamá Digital</w:t>
      </w:r>
      <w:r w:rsidRPr="00924BB2">
        <w:rPr>
          <w:rFonts w:asciiTheme="minorHAnsi" w:hAnsiTheme="minorHAnsi"/>
          <w:sz w:val="22"/>
          <w:szCs w:val="22"/>
          <w:lang w:val="es-PA"/>
        </w:rPr>
        <w:t xml:space="preserve"> para determinar su capacidad y potencial de uso para el desarrollo centralizado de la tramitología para la instalación de generación distribuida. Posterior a la evaluación se determinará las necesidades de adaptación de la plataforma o el desarrollo de una nueva plataforma específica para el desarrollo de los trámites de GD.</w:t>
      </w:r>
    </w:p>
    <w:p w14:paraId="6FA0CB13" w14:textId="77777777" w:rsidR="00B85353" w:rsidRPr="00924BB2" w:rsidRDefault="00B85353" w:rsidP="00B85353">
      <w:pPr>
        <w:pStyle w:val="ListParagraph"/>
        <w:widowControl/>
        <w:numPr>
          <w:ilvl w:val="1"/>
          <w:numId w:val="3"/>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 xml:space="preserve">Determinar las necesidades de interoperabilidad entre plataformas </w:t>
      </w:r>
      <w:r>
        <w:rPr>
          <w:rFonts w:asciiTheme="minorHAnsi" w:hAnsiTheme="minorHAnsi"/>
          <w:sz w:val="22"/>
          <w:szCs w:val="22"/>
          <w:lang w:val="es-PA"/>
        </w:rPr>
        <w:t>de Panamá Digital, el</w:t>
      </w:r>
      <w:r w:rsidRPr="00924BB2">
        <w:rPr>
          <w:rFonts w:asciiTheme="minorHAnsi" w:hAnsiTheme="minorHAnsi"/>
          <w:sz w:val="22"/>
          <w:szCs w:val="22"/>
          <w:lang w:val="es-PA"/>
        </w:rPr>
        <w:t xml:space="preserve"> Municipio de Panamá, las empresas distribuidoras</w:t>
      </w:r>
      <w:r>
        <w:rPr>
          <w:rFonts w:asciiTheme="minorHAnsi" w:hAnsiTheme="minorHAnsi"/>
          <w:sz w:val="22"/>
          <w:szCs w:val="22"/>
          <w:lang w:val="es-PA"/>
        </w:rPr>
        <w:t xml:space="preserve"> y otras plataformas. </w:t>
      </w:r>
    </w:p>
    <w:p w14:paraId="069B8C58" w14:textId="77777777" w:rsidR="00B85353" w:rsidRPr="00924BB2" w:rsidRDefault="00B85353" w:rsidP="00B85353">
      <w:pPr>
        <w:numPr>
          <w:ilvl w:val="1"/>
          <w:numId w:val="3"/>
        </w:numPr>
        <w:autoSpaceDE/>
        <w:autoSpaceDN/>
        <w:adjustRightInd/>
        <w:contextualSpacing/>
        <w:jc w:val="both"/>
        <w:rPr>
          <w:rFonts w:asciiTheme="minorHAnsi" w:hAnsiTheme="minorHAnsi" w:cstheme="minorHAnsi"/>
          <w:sz w:val="22"/>
          <w:szCs w:val="22"/>
          <w:lang w:val="es-PA"/>
        </w:rPr>
      </w:pPr>
      <w:r w:rsidRPr="00924BB2">
        <w:rPr>
          <w:rFonts w:asciiTheme="minorHAnsi" w:hAnsiTheme="minorHAnsi" w:cstheme="minorHAnsi"/>
          <w:sz w:val="22"/>
          <w:szCs w:val="22"/>
          <w:lang w:val="es-PA"/>
        </w:rPr>
        <w:t>Diseñar y desarrollar la plataforma digital de trámites para instalaciones de GD en base a un esquema de homologación y simplificación de trámites desarrollado por la SNE, con el apoyo del BID. Esta actividad debe incluir por lo menos lo siguiente (la consultoría podrá presentar sugerencias sobre el diseño y las actividades a realizar considerando el objetivo de la plataforma): (i) realizar un ejercicio de UX para definir el proceso de ejecución dentro de la plataforma digital en base a l</w:t>
      </w:r>
      <w:r>
        <w:rPr>
          <w:rFonts w:asciiTheme="minorHAnsi" w:hAnsiTheme="minorHAnsi" w:cstheme="minorHAnsi"/>
          <w:sz w:val="22"/>
          <w:szCs w:val="22"/>
          <w:lang w:val="es-PA"/>
        </w:rPr>
        <w:t>a propuesta de homologación y simplificación de trámites</w:t>
      </w:r>
      <w:r w:rsidRPr="00924BB2">
        <w:rPr>
          <w:rFonts w:asciiTheme="minorHAnsi" w:hAnsiTheme="minorHAnsi" w:cstheme="minorHAnsi"/>
          <w:sz w:val="22"/>
          <w:szCs w:val="22"/>
          <w:lang w:val="es-PA"/>
        </w:rPr>
        <w:t xml:space="preserve"> que cumpla con todos los requerimientos; (</w:t>
      </w:r>
      <w:proofErr w:type="spellStart"/>
      <w:r w:rsidRPr="00924BB2">
        <w:rPr>
          <w:rFonts w:asciiTheme="minorHAnsi" w:hAnsiTheme="minorHAnsi" w:cstheme="minorHAnsi"/>
          <w:sz w:val="22"/>
          <w:szCs w:val="22"/>
          <w:lang w:val="es-PA"/>
        </w:rPr>
        <w:t>ii</w:t>
      </w:r>
      <w:proofErr w:type="spellEnd"/>
      <w:r w:rsidRPr="00924BB2">
        <w:rPr>
          <w:rFonts w:asciiTheme="minorHAnsi" w:hAnsiTheme="minorHAnsi" w:cstheme="minorHAnsi"/>
          <w:sz w:val="22"/>
          <w:szCs w:val="22"/>
          <w:lang w:val="es-PA"/>
        </w:rPr>
        <w:t xml:space="preserve">) presentar un </w:t>
      </w:r>
      <w:proofErr w:type="spellStart"/>
      <w:r w:rsidRPr="00924BB2">
        <w:rPr>
          <w:rFonts w:asciiTheme="minorHAnsi" w:hAnsiTheme="minorHAnsi" w:cstheme="minorHAnsi"/>
          <w:sz w:val="22"/>
          <w:szCs w:val="22"/>
          <w:lang w:val="es-PA"/>
        </w:rPr>
        <w:t>mock</w:t>
      </w:r>
      <w:proofErr w:type="spellEnd"/>
      <w:r w:rsidRPr="00924BB2">
        <w:rPr>
          <w:rFonts w:asciiTheme="minorHAnsi" w:hAnsiTheme="minorHAnsi" w:cstheme="minorHAnsi"/>
          <w:sz w:val="22"/>
          <w:szCs w:val="22"/>
          <w:lang w:val="es-PA"/>
        </w:rPr>
        <w:t>-up para revisión el esquema de proceso a la SNE,</w:t>
      </w:r>
      <w:r>
        <w:rPr>
          <w:rFonts w:asciiTheme="minorHAnsi" w:hAnsiTheme="minorHAnsi" w:cstheme="minorHAnsi"/>
          <w:sz w:val="22"/>
          <w:szCs w:val="22"/>
          <w:lang w:val="es-PA"/>
        </w:rPr>
        <w:t xml:space="preserve"> AIG,</w:t>
      </w:r>
      <w:r w:rsidRPr="00924BB2">
        <w:rPr>
          <w:rFonts w:asciiTheme="minorHAnsi" w:hAnsiTheme="minorHAnsi" w:cstheme="minorHAnsi"/>
          <w:sz w:val="22"/>
          <w:szCs w:val="22"/>
          <w:lang w:val="es-PA"/>
        </w:rPr>
        <w:t xml:space="preserve"> el BID y otros actores claves que sean identificados; (</w:t>
      </w:r>
      <w:proofErr w:type="spellStart"/>
      <w:r w:rsidRPr="00924BB2">
        <w:rPr>
          <w:rFonts w:asciiTheme="minorHAnsi" w:hAnsiTheme="minorHAnsi" w:cstheme="minorHAnsi"/>
          <w:sz w:val="22"/>
          <w:szCs w:val="22"/>
          <w:lang w:val="es-PA"/>
        </w:rPr>
        <w:t>iii</w:t>
      </w:r>
      <w:proofErr w:type="spellEnd"/>
      <w:r w:rsidRPr="00924BB2">
        <w:rPr>
          <w:rFonts w:asciiTheme="minorHAnsi" w:hAnsiTheme="minorHAnsi" w:cstheme="minorHAnsi"/>
          <w:sz w:val="22"/>
          <w:szCs w:val="22"/>
          <w:lang w:val="es-PA"/>
        </w:rPr>
        <w:t>) definir la arquitectura apropiada para la plataforma digital y presentarla para aprobación; (</w:t>
      </w:r>
      <w:proofErr w:type="spellStart"/>
      <w:r w:rsidRPr="00924BB2">
        <w:rPr>
          <w:rFonts w:asciiTheme="minorHAnsi" w:hAnsiTheme="minorHAnsi" w:cstheme="minorHAnsi"/>
          <w:sz w:val="22"/>
          <w:szCs w:val="22"/>
          <w:lang w:val="es-PA"/>
        </w:rPr>
        <w:t>iv</w:t>
      </w:r>
      <w:proofErr w:type="spellEnd"/>
      <w:r w:rsidRPr="00924BB2">
        <w:rPr>
          <w:rFonts w:asciiTheme="minorHAnsi" w:hAnsiTheme="minorHAnsi" w:cstheme="minorHAnsi"/>
          <w:sz w:val="22"/>
          <w:szCs w:val="22"/>
          <w:lang w:val="es-PA"/>
        </w:rPr>
        <w:t>) desarrollar la plataforma digital siguiendo las mejores prácticas de desarrollo de software. El desarrollo debe cubrir pruebas y despliegue de la plataforma, transferencia/entrenamiento al personal técnico. Al igual sé que deberá entregar la documentación correspondiente, código fuente, bases de datos y cualquier otro elemento que resulte de esta consultoría.; (v) realizar y presentar pruebas preliminares de la plataforma desplegada en ambiente de producción a la SNE,</w:t>
      </w:r>
      <w:r>
        <w:rPr>
          <w:rFonts w:asciiTheme="minorHAnsi" w:hAnsiTheme="minorHAnsi" w:cstheme="minorHAnsi"/>
          <w:sz w:val="22"/>
          <w:szCs w:val="22"/>
          <w:lang w:val="es-PA"/>
        </w:rPr>
        <w:t xml:space="preserve"> al AIG,</w:t>
      </w:r>
      <w:r w:rsidRPr="00924BB2">
        <w:rPr>
          <w:rFonts w:asciiTheme="minorHAnsi" w:hAnsiTheme="minorHAnsi" w:cstheme="minorHAnsi"/>
          <w:sz w:val="22"/>
          <w:szCs w:val="22"/>
          <w:lang w:val="es-PA"/>
        </w:rPr>
        <w:t xml:space="preserve"> el BID y otras organizaciones claves que sean identificadas; (vi) elaborar manuales de uso de la plataforma para los diversos actores del proceso, niveles de usuario y administradores de la plataforma, archivos de documentación y referencia del código fuente; (</w:t>
      </w:r>
      <w:proofErr w:type="spellStart"/>
      <w:r w:rsidRPr="00924BB2">
        <w:rPr>
          <w:rFonts w:asciiTheme="minorHAnsi" w:hAnsiTheme="minorHAnsi" w:cstheme="minorHAnsi"/>
          <w:sz w:val="22"/>
          <w:szCs w:val="22"/>
          <w:lang w:val="es-PA"/>
        </w:rPr>
        <w:t>vii</w:t>
      </w:r>
      <w:proofErr w:type="spellEnd"/>
      <w:r w:rsidRPr="00924BB2">
        <w:rPr>
          <w:rFonts w:asciiTheme="minorHAnsi" w:hAnsiTheme="minorHAnsi" w:cstheme="minorHAnsi"/>
          <w:sz w:val="22"/>
          <w:szCs w:val="22"/>
          <w:lang w:val="es-PA"/>
        </w:rPr>
        <w:t>) presentar un informe con los requisitos técnicos y computacionales necesarios para la implementación de la plataforma digital de trámites.</w:t>
      </w:r>
    </w:p>
    <w:p w14:paraId="1863C9F0" w14:textId="77777777" w:rsidR="00B85353" w:rsidRPr="00924BB2" w:rsidRDefault="00B85353" w:rsidP="00B85353">
      <w:pPr>
        <w:ind w:left="360"/>
        <w:contextualSpacing/>
        <w:jc w:val="both"/>
        <w:rPr>
          <w:rFonts w:asciiTheme="minorHAnsi" w:hAnsiTheme="minorHAnsi"/>
          <w:sz w:val="22"/>
          <w:szCs w:val="22"/>
          <w:lang w:val="es-PA"/>
        </w:rPr>
      </w:pPr>
    </w:p>
    <w:p w14:paraId="4746B7FB" w14:textId="77777777" w:rsidR="00B85353" w:rsidRPr="00924BB2" w:rsidRDefault="00B85353" w:rsidP="00B85353">
      <w:pPr>
        <w:ind w:left="360"/>
        <w:contextualSpacing/>
        <w:jc w:val="both"/>
        <w:rPr>
          <w:rFonts w:asciiTheme="minorHAnsi" w:hAnsiTheme="minorHAnsi"/>
          <w:sz w:val="22"/>
          <w:szCs w:val="22"/>
          <w:lang w:val="es-PA"/>
        </w:rPr>
      </w:pPr>
      <w:r w:rsidRPr="00924BB2">
        <w:rPr>
          <w:rFonts w:asciiTheme="minorHAnsi" w:hAnsiTheme="minorHAnsi"/>
          <w:sz w:val="22"/>
          <w:szCs w:val="22"/>
          <w:lang w:val="es-PA"/>
        </w:rPr>
        <w:t>La plataforma digital de trámites para instalaciones de GD debe contar con una interfaz sencilla para su uso por parte de los usuarios, organizaciones involucradas en el proceso y para su administración. Está debe ser diseñada considerando criterios de seguridad informática, confiabilidad, disponibilidad, escalabilidad, usabilidad e interoperabilidad. Se deberá entregar el código fuente y todos los archivos de soporte necesarios para su funcionamiento optimo, actualización e implementación a la SNE y el BID. Está debe contar con la capacidad de realizar, por lo menos, con las siguientes tareas:</w:t>
      </w:r>
    </w:p>
    <w:p w14:paraId="7F0CF012" w14:textId="77777777" w:rsidR="00B85353" w:rsidRPr="00924BB2" w:rsidRDefault="00B85353" w:rsidP="00B85353">
      <w:pPr>
        <w:contextualSpacing/>
        <w:rPr>
          <w:rFonts w:asciiTheme="minorHAnsi" w:hAnsiTheme="minorHAnsi"/>
          <w:sz w:val="22"/>
          <w:szCs w:val="22"/>
          <w:lang w:val="es-PA"/>
        </w:rPr>
      </w:pPr>
    </w:p>
    <w:p w14:paraId="2E62E537" w14:textId="77777777" w:rsidR="00B85353"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Creación de usuarios de diversos niveles de uso y administración;</w:t>
      </w:r>
    </w:p>
    <w:p w14:paraId="2300406E"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Pr>
          <w:rFonts w:asciiTheme="minorHAnsi" w:hAnsiTheme="minorHAnsi"/>
          <w:sz w:val="22"/>
          <w:szCs w:val="22"/>
          <w:lang w:val="es-PA"/>
        </w:rPr>
        <w:t>Creación de nuevos módulos. Por ejemplo, agregar nuevas entidades para el uso de la plataforma.</w:t>
      </w:r>
    </w:p>
    <w:p w14:paraId="5BB48072"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 xml:space="preserve">Listado de procesos de trámites por usuario. </w:t>
      </w:r>
    </w:p>
    <w:p w14:paraId="36B07001"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Revisión de la guía proceso de trámites y requisitos por parte de los usuarios;</w:t>
      </w:r>
    </w:p>
    <w:p w14:paraId="29C5A0FE"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Capacidad para cargar documentación en cada proceso;</w:t>
      </w:r>
    </w:p>
    <w:p w14:paraId="1DBE06D1"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Opciones para introducción de información georreferenciada de la instalación;</w:t>
      </w:r>
    </w:p>
    <w:p w14:paraId="1E1851E6"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Seguimiento de la documentación, revisión y aprobación del proceso;</w:t>
      </w:r>
    </w:p>
    <w:p w14:paraId="260AB375"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Desarrollo de consultas por usuarios y organizaciones involucradas;</w:t>
      </w:r>
    </w:p>
    <w:p w14:paraId="03934D40"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Revisión de estado del proceso;</w:t>
      </w:r>
    </w:p>
    <w:p w14:paraId="45073723"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Opciones de pago y/o carga de comprobantes;</w:t>
      </w:r>
    </w:p>
    <w:p w14:paraId="40DB1DF8" w14:textId="77777777" w:rsidR="00B85353" w:rsidRPr="00924BB2" w:rsidRDefault="00B85353" w:rsidP="00B85353">
      <w:pPr>
        <w:pStyle w:val="ListParagraph"/>
        <w:widowControl/>
        <w:numPr>
          <w:ilvl w:val="0"/>
          <w:numId w:val="5"/>
        </w:numPr>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 xml:space="preserve">Capacidad </w:t>
      </w:r>
      <w:r>
        <w:rPr>
          <w:rFonts w:asciiTheme="minorHAnsi" w:hAnsiTheme="minorHAnsi"/>
          <w:sz w:val="22"/>
          <w:szCs w:val="22"/>
          <w:lang w:val="es-PA"/>
        </w:rPr>
        <w:t xml:space="preserve">de </w:t>
      </w:r>
      <w:r w:rsidRPr="00924BB2">
        <w:rPr>
          <w:rFonts w:asciiTheme="minorHAnsi" w:hAnsiTheme="minorHAnsi"/>
          <w:sz w:val="22"/>
          <w:szCs w:val="22"/>
          <w:lang w:val="es-PA"/>
        </w:rPr>
        <w:t>adquisición de datos por parte de los administradores sobre tiempos de proceso de revisión, cantidad de procesos, descarga de datos en formatos editables, entre otros.</w:t>
      </w:r>
    </w:p>
    <w:p w14:paraId="31198E48" w14:textId="77777777" w:rsidR="00B85353" w:rsidRPr="00924BB2" w:rsidRDefault="00B85353" w:rsidP="00B85353">
      <w:pPr>
        <w:contextualSpacing/>
        <w:rPr>
          <w:rFonts w:asciiTheme="minorHAnsi" w:hAnsiTheme="minorHAnsi"/>
          <w:sz w:val="22"/>
          <w:szCs w:val="22"/>
          <w:lang w:val="es-PA"/>
        </w:rPr>
      </w:pPr>
    </w:p>
    <w:p w14:paraId="3C743C2B" w14:textId="77777777" w:rsidR="00B85353" w:rsidRPr="00924BB2" w:rsidRDefault="00B85353" w:rsidP="00B85353">
      <w:pPr>
        <w:ind w:left="360"/>
        <w:contextualSpacing/>
        <w:jc w:val="both"/>
        <w:rPr>
          <w:rFonts w:asciiTheme="minorHAnsi" w:hAnsiTheme="minorHAnsi"/>
          <w:sz w:val="22"/>
          <w:szCs w:val="22"/>
          <w:lang w:val="es-PA"/>
        </w:rPr>
      </w:pPr>
      <w:r w:rsidRPr="00924BB2">
        <w:rPr>
          <w:rFonts w:asciiTheme="minorHAnsi" w:hAnsiTheme="minorHAnsi"/>
          <w:sz w:val="22"/>
          <w:szCs w:val="22"/>
          <w:lang w:val="es-PA"/>
        </w:rPr>
        <w:t>Todas las actividades realizadas por el/la consultor/a deben estar debidamente coordinadas con la SNE y el BID. El/La consultor/a acompañará la entrega de cada informe con una presentación al equipo del BID, de la SNE y otros interesados que el Banco pueda identificar, la cual podrá ser realizada mediante videoconferencia.</w:t>
      </w:r>
    </w:p>
    <w:p w14:paraId="5235198F" w14:textId="77777777" w:rsidR="00B85353" w:rsidRPr="00924BB2" w:rsidRDefault="00B85353" w:rsidP="00B85353">
      <w:pPr>
        <w:contextualSpacing/>
        <w:rPr>
          <w:rFonts w:asciiTheme="minorHAnsi" w:eastAsiaTheme="minorHAnsi" w:hAnsiTheme="minorHAnsi"/>
          <w:b/>
          <w:sz w:val="22"/>
          <w:lang w:val="es-PA"/>
        </w:rPr>
      </w:pPr>
    </w:p>
    <w:p w14:paraId="5A2257EB"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Resultados y productos esperados</w:t>
      </w:r>
    </w:p>
    <w:p w14:paraId="7293AB75" w14:textId="77777777" w:rsidR="00B85353" w:rsidRPr="00924BB2" w:rsidRDefault="00B85353" w:rsidP="00B85353">
      <w:pPr>
        <w:ind w:left="360"/>
        <w:contextualSpacing/>
        <w:rPr>
          <w:rFonts w:asciiTheme="minorHAnsi" w:eastAsiaTheme="minorHAnsi" w:hAnsiTheme="minorHAnsi"/>
          <w:b/>
          <w:sz w:val="22"/>
          <w:u w:val="single"/>
          <w:lang w:val="es-PA"/>
        </w:rPr>
      </w:pPr>
    </w:p>
    <w:p w14:paraId="2625A696" w14:textId="77777777" w:rsidR="00B85353" w:rsidRPr="00924BB2" w:rsidRDefault="00B85353" w:rsidP="00B85353">
      <w:pPr>
        <w:numPr>
          <w:ilvl w:val="1"/>
          <w:numId w:val="3"/>
        </w:numPr>
        <w:autoSpaceDE/>
        <w:autoSpaceDN/>
        <w:adjustRightInd/>
        <w:contextualSpacing/>
        <w:jc w:val="both"/>
        <w:rPr>
          <w:rFonts w:asciiTheme="minorHAnsi" w:hAnsiTheme="minorHAnsi"/>
          <w:sz w:val="22"/>
          <w:szCs w:val="22"/>
          <w:lang w:val="es-PA"/>
        </w:rPr>
      </w:pPr>
      <w:r w:rsidRPr="00924BB2">
        <w:rPr>
          <w:rFonts w:asciiTheme="minorHAnsi" w:hAnsiTheme="minorHAnsi"/>
          <w:b/>
          <w:bCs/>
          <w:sz w:val="22"/>
          <w:szCs w:val="22"/>
          <w:lang w:val="es-PA"/>
        </w:rPr>
        <w:t>Entregable 1. Plan de trabajo.</w:t>
      </w:r>
      <w:r w:rsidRPr="00924BB2">
        <w:rPr>
          <w:rFonts w:asciiTheme="minorHAnsi" w:hAnsiTheme="minorHAnsi"/>
          <w:sz w:val="22"/>
          <w:szCs w:val="22"/>
          <w:lang w:val="es-PA"/>
        </w:rPr>
        <w:t xml:space="preserve"> Debe presentarse un plan de trabajo que detalle la metodología para el desarrollo de las actividades y sus tiempos de ejecución. El plan de trabajo debe entregarse en un plazo de 10 días después de la fecha de contratación.</w:t>
      </w:r>
    </w:p>
    <w:p w14:paraId="0D747E5E" w14:textId="77777777" w:rsidR="00B85353" w:rsidRPr="00924BB2" w:rsidRDefault="00B85353" w:rsidP="00B85353">
      <w:pPr>
        <w:numPr>
          <w:ilvl w:val="1"/>
          <w:numId w:val="3"/>
        </w:numPr>
        <w:autoSpaceDE/>
        <w:autoSpaceDN/>
        <w:adjustRightInd/>
        <w:contextualSpacing/>
        <w:jc w:val="both"/>
        <w:rPr>
          <w:rFonts w:asciiTheme="minorHAnsi" w:hAnsiTheme="minorHAnsi"/>
          <w:sz w:val="22"/>
          <w:szCs w:val="22"/>
          <w:lang w:val="es-PA"/>
        </w:rPr>
      </w:pPr>
      <w:r w:rsidRPr="00924BB2">
        <w:rPr>
          <w:rFonts w:asciiTheme="minorHAnsi" w:hAnsiTheme="minorHAnsi"/>
          <w:b/>
          <w:bCs/>
          <w:sz w:val="22"/>
          <w:szCs w:val="22"/>
          <w:lang w:val="es-PA"/>
        </w:rPr>
        <w:t>Entregable 2.</w:t>
      </w:r>
      <w:r w:rsidRPr="00924BB2">
        <w:rPr>
          <w:rFonts w:asciiTheme="minorHAnsi" w:hAnsiTheme="minorHAnsi"/>
          <w:sz w:val="22"/>
          <w:szCs w:val="22"/>
          <w:lang w:val="es-PA"/>
        </w:rPr>
        <w:t xml:space="preserve"> Informe inicial. Desarrollo un informe inicial de borrador del diseño y estructuración de la plataforma.</w:t>
      </w:r>
    </w:p>
    <w:p w14:paraId="4920A6A0" w14:textId="77777777" w:rsidR="00B85353" w:rsidRPr="00924BB2" w:rsidRDefault="00B85353" w:rsidP="00B85353">
      <w:pPr>
        <w:numPr>
          <w:ilvl w:val="1"/>
          <w:numId w:val="3"/>
        </w:numPr>
        <w:autoSpaceDE/>
        <w:autoSpaceDN/>
        <w:adjustRightInd/>
        <w:contextualSpacing/>
        <w:jc w:val="both"/>
        <w:rPr>
          <w:rFonts w:asciiTheme="minorHAnsi" w:eastAsiaTheme="minorHAnsi" w:hAnsiTheme="minorHAnsi"/>
          <w:sz w:val="22"/>
          <w:lang w:val="es-PA"/>
        </w:rPr>
      </w:pPr>
      <w:r w:rsidRPr="00924BB2">
        <w:rPr>
          <w:rFonts w:asciiTheme="minorHAnsi" w:hAnsiTheme="minorHAnsi"/>
          <w:b/>
          <w:bCs/>
          <w:sz w:val="22"/>
          <w:szCs w:val="22"/>
          <w:lang w:val="es-PA"/>
        </w:rPr>
        <w:t>Entregable 3.</w:t>
      </w:r>
      <w:r w:rsidRPr="00924BB2">
        <w:rPr>
          <w:rFonts w:asciiTheme="minorHAnsi" w:hAnsiTheme="minorHAnsi"/>
          <w:sz w:val="22"/>
          <w:szCs w:val="22"/>
          <w:lang w:val="es-PA"/>
        </w:rPr>
        <w:t xml:space="preserve"> Informe final. Entrega final del diseño de la plataforma, su documentación de uso y guías.</w:t>
      </w:r>
    </w:p>
    <w:p w14:paraId="04A53719" w14:textId="77777777" w:rsidR="00B85353" w:rsidRPr="00924BB2" w:rsidRDefault="00B85353" w:rsidP="00B85353">
      <w:pPr>
        <w:pStyle w:val="ListParagraph"/>
        <w:rPr>
          <w:rFonts w:asciiTheme="minorHAnsi" w:eastAsiaTheme="minorHAnsi" w:hAnsiTheme="minorHAnsi"/>
          <w:sz w:val="22"/>
          <w:lang w:val="es-PA"/>
        </w:rPr>
      </w:pPr>
    </w:p>
    <w:p w14:paraId="513F6DEF"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Calendario del proyecto e hitos</w:t>
      </w:r>
    </w:p>
    <w:p w14:paraId="096937FA" w14:textId="77777777" w:rsidR="00B85353" w:rsidRPr="00924BB2" w:rsidRDefault="00B85353" w:rsidP="00B85353">
      <w:pPr>
        <w:ind w:left="360"/>
        <w:contextualSpacing/>
        <w:rPr>
          <w:rFonts w:asciiTheme="minorHAnsi" w:eastAsiaTheme="minorHAnsi" w:hAnsiTheme="minorHAnsi"/>
          <w:b/>
          <w:sz w:val="22"/>
          <w:u w:val="single"/>
          <w:lang w:val="es-PA"/>
        </w:rPr>
      </w:pPr>
    </w:p>
    <w:p w14:paraId="2495369B" w14:textId="77777777" w:rsidR="00B85353" w:rsidRPr="00924BB2" w:rsidRDefault="00B85353" w:rsidP="00B85353">
      <w:pPr>
        <w:pStyle w:val="ListParagraph"/>
        <w:numPr>
          <w:ilvl w:val="1"/>
          <w:numId w:val="3"/>
        </w:numPr>
        <w:tabs>
          <w:tab w:val="left" w:pos="360"/>
          <w:tab w:val="num" w:pos="90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La consultoría tendrá una duración de 16 semanas con el siguiente calendario de entregables:</w:t>
      </w:r>
    </w:p>
    <w:p w14:paraId="0B5CA869" w14:textId="77777777" w:rsidR="00B85353" w:rsidRPr="00924BB2" w:rsidRDefault="00B85353" w:rsidP="00B85353">
      <w:pPr>
        <w:pStyle w:val="ListParagraph"/>
        <w:numPr>
          <w:ilvl w:val="2"/>
          <w:numId w:val="3"/>
        </w:numPr>
        <w:tabs>
          <w:tab w:val="left" w:pos="36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Entregable 1. Plan de trabajo. El plan de trabajo debe entregarse en un plazo de 10 días después de la fecha de contratación.</w:t>
      </w:r>
    </w:p>
    <w:p w14:paraId="7CB57E49" w14:textId="77777777" w:rsidR="00B85353" w:rsidRPr="00924BB2" w:rsidRDefault="00B85353" w:rsidP="00B85353">
      <w:pPr>
        <w:pStyle w:val="ListParagraph"/>
        <w:numPr>
          <w:ilvl w:val="2"/>
          <w:numId w:val="3"/>
        </w:numPr>
        <w:tabs>
          <w:tab w:val="left" w:pos="36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Entregable 2. Al final de la semana 12.</w:t>
      </w:r>
    </w:p>
    <w:p w14:paraId="59BAB4EC" w14:textId="77777777" w:rsidR="00B85353" w:rsidRPr="00924BB2" w:rsidRDefault="00B85353" w:rsidP="00B85353">
      <w:pPr>
        <w:pStyle w:val="ListParagraph"/>
        <w:numPr>
          <w:ilvl w:val="2"/>
          <w:numId w:val="3"/>
        </w:numPr>
        <w:tabs>
          <w:tab w:val="left" w:pos="36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 xml:space="preserve">Entregable 3. Al final de la semana 16. </w:t>
      </w:r>
    </w:p>
    <w:p w14:paraId="6ABBAC0E" w14:textId="77777777" w:rsidR="00B85353" w:rsidRPr="00924BB2" w:rsidRDefault="00B85353" w:rsidP="00B85353">
      <w:pPr>
        <w:ind w:left="360"/>
        <w:contextualSpacing/>
        <w:rPr>
          <w:rFonts w:asciiTheme="minorHAnsi" w:eastAsiaTheme="minorHAnsi" w:hAnsiTheme="minorHAnsi"/>
          <w:b/>
          <w:sz w:val="22"/>
          <w:u w:val="single"/>
          <w:lang w:val="es-PA"/>
        </w:rPr>
      </w:pPr>
    </w:p>
    <w:p w14:paraId="3CC48B9F"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Requisitos de los informes</w:t>
      </w:r>
    </w:p>
    <w:p w14:paraId="5B2D3A3D" w14:textId="77777777" w:rsidR="00B85353" w:rsidRPr="00924BB2" w:rsidRDefault="00B85353" w:rsidP="00B85353">
      <w:pPr>
        <w:rPr>
          <w:rFonts w:asciiTheme="minorHAnsi" w:eastAsiaTheme="minorHAnsi" w:hAnsiTheme="minorHAnsi"/>
          <w:b/>
          <w:sz w:val="22"/>
          <w:u w:val="single"/>
          <w:lang w:val="es-PA"/>
        </w:rPr>
      </w:pPr>
    </w:p>
    <w:p w14:paraId="71200A14" w14:textId="77777777" w:rsidR="00B85353" w:rsidRPr="00924BB2" w:rsidRDefault="00B85353" w:rsidP="00B85353">
      <w:pPr>
        <w:pStyle w:val="ListParagraph"/>
        <w:numPr>
          <w:ilvl w:val="1"/>
          <w:numId w:val="3"/>
        </w:numPr>
        <w:tabs>
          <w:tab w:val="left" w:pos="36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Todos los informes deberán ser presentados en Word, en español, en un archivo editable, incluyendo anexos, planillas, y otro material que se requiera.</w:t>
      </w:r>
    </w:p>
    <w:p w14:paraId="752F8BE3" w14:textId="77777777" w:rsidR="00B85353" w:rsidRPr="00924BB2" w:rsidRDefault="00B85353" w:rsidP="00B85353">
      <w:pPr>
        <w:pStyle w:val="ListParagraph"/>
        <w:numPr>
          <w:ilvl w:val="1"/>
          <w:numId w:val="3"/>
        </w:numPr>
        <w:tabs>
          <w:tab w:val="left" w:pos="36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La firma consultora acompañará la entrega del entregable con una presentación al equipo del BID, de la SNE y otros interesados que el Banco pueda identificar, la cual podrá ser realizada mediante videoconferencia.</w:t>
      </w:r>
    </w:p>
    <w:p w14:paraId="3C166F96" w14:textId="77777777" w:rsidR="00B85353" w:rsidRPr="00924BB2" w:rsidRDefault="00B85353" w:rsidP="00B85353">
      <w:pPr>
        <w:pStyle w:val="ListParagraph"/>
        <w:numPr>
          <w:ilvl w:val="1"/>
          <w:numId w:val="3"/>
        </w:numPr>
        <w:tabs>
          <w:tab w:val="left" w:pos="36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Todos los informes serán confidenciales.</w:t>
      </w:r>
    </w:p>
    <w:p w14:paraId="43C3AB87" w14:textId="77777777" w:rsidR="00B85353" w:rsidRPr="00924BB2" w:rsidRDefault="00B85353" w:rsidP="00B85353">
      <w:pPr>
        <w:pStyle w:val="ListParagraph"/>
        <w:numPr>
          <w:ilvl w:val="1"/>
          <w:numId w:val="3"/>
        </w:numPr>
        <w:tabs>
          <w:tab w:val="left" w:pos="360"/>
          <w:tab w:val="num" w:pos="900"/>
          <w:tab w:val="left" w:pos="9360"/>
        </w:tabs>
        <w:autoSpaceDE/>
        <w:autoSpaceDN/>
        <w:adjustRightInd/>
        <w:jc w:val="both"/>
        <w:rPr>
          <w:rFonts w:asciiTheme="minorHAnsi" w:hAnsiTheme="minorHAnsi"/>
          <w:sz w:val="22"/>
          <w:szCs w:val="22"/>
          <w:lang w:val="es-PA"/>
        </w:rPr>
      </w:pPr>
      <w:r w:rsidRPr="00924BB2">
        <w:rPr>
          <w:rFonts w:asciiTheme="minorHAnsi" w:hAnsiTheme="minorHAnsi"/>
          <w:sz w:val="22"/>
          <w:szCs w:val="22"/>
          <w:lang w:val="es-PA"/>
        </w:rPr>
        <w:t>Los informes y materiales no podrán llevar el logo del BID o de la SNE, antes de ser aprobados.</w:t>
      </w:r>
    </w:p>
    <w:p w14:paraId="4498324F" w14:textId="77777777" w:rsidR="00B85353" w:rsidRPr="00924BB2" w:rsidRDefault="00B85353" w:rsidP="00B85353">
      <w:pPr>
        <w:rPr>
          <w:rFonts w:asciiTheme="minorHAnsi" w:eastAsiaTheme="minorHAnsi" w:hAnsiTheme="minorHAnsi"/>
          <w:b/>
          <w:sz w:val="22"/>
          <w:lang w:val="es-PA"/>
        </w:rPr>
      </w:pPr>
    </w:p>
    <w:p w14:paraId="1DCED97E"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Criterios de aceptación</w:t>
      </w:r>
    </w:p>
    <w:p w14:paraId="237A739E" w14:textId="77777777" w:rsidR="00B85353" w:rsidRPr="00924BB2" w:rsidRDefault="00B85353" w:rsidP="00B85353">
      <w:pPr>
        <w:shd w:val="clear" w:color="auto" w:fill="FFFFFF"/>
        <w:rPr>
          <w:rFonts w:asciiTheme="minorHAnsi" w:hAnsiTheme="minorHAnsi"/>
          <w:color w:val="008800"/>
          <w:sz w:val="22"/>
          <w:lang w:val="es-PA"/>
        </w:rPr>
      </w:pPr>
    </w:p>
    <w:p w14:paraId="2BB23AC2" w14:textId="77777777" w:rsidR="00B85353" w:rsidRPr="00924BB2" w:rsidRDefault="00B85353" w:rsidP="00B85353">
      <w:pPr>
        <w:numPr>
          <w:ilvl w:val="1"/>
          <w:numId w:val="3"/>
        </w:numPr>
        <w:shd w:val="clear" w:color="auto" w:fill="FFFFFF"/>
        <w:autoSpaceDE/>
        <w:autoSpaceDN/>
        <w:adjustRightInd/>
        <w:contextualSpacing/>
        <w:jc w:val="both"/>
        <w:rPr>
          <w:rFonts w:asciiTheme="minorHAnsi" w:hAnsiTheme="minorHAnsi"/>
          <w:sz w:val="22"/>
          <w:szCs w:val="22"/>
          <w:lang w:val="es-PA"/>
        </w:rPr>
      </w:pPr>
      <w:r w:rsidRPr="00924BB2">
        <w:rPr>
          <w:rFonts w:asciiTheme="minorHAnsi" w:hAnsiTheme="minorHAnsi"/>
          <w:sz w:val="22"/>
          <w:szCs w:val="22"/>
          <w:lang w:val="es-PA"/>
        </w:rPr>
        <w:t>Los productos serán aceptados para pago una vez tengan la aprobación escrita por parte del equipo del BID, en coordinación con la SNE.</w:t>
      </w:r>
    </w:p>
    <w:p w14:paraId="6F84ED74" w14:textId="77777777" w:rsidR="00B85353" w:rsidRPr="00924BB2" w:rsidRDefault="00B85353" w:rsidP="00B85353">
      <w:pPr>
        <w:numPr>
          <w:ilvl w:val="1"/>
          <w:numId w:val="3"/>
        </w:numPr>
        <w:shd w:val="clear" w:color="auto" w:fill="FFFFFF"/>
        <w:autoSpaceDE/>
        <w:autoSpaceDN/>
        <w:adjustRightInd/>
        <w:contextualSpacing/>
        <w:jc w:val="both"/>
        <w:rPr>
          <w:rFonts w:asciiTheme="minorHAnsi" w:hAnsiTheme="minorHAnsi"/>
          <w:sz w:val="22"/>
          <w:szCs w:val="22"/>
          <w:lang w:val="es-PA"/>
        </w:rPr>
      </w:pPr>
      <w:r w:rsidRPr="00924BB2">
        <w:rPr>
          <w:rFonts w:asciiTheme="minorHAnsi" w:hAnsiTheme="minorHAnsi"/>
          <w:sz w:val="22"/>
          <w:szCs w:val="22"/>
          <w:lang w:val="es-PA"/>
        </w:rPr>
        <w:t>No se pagarán productos parciales, o productos que no sean aceptados por ambas partes.</w:t>
      </w:r>
    </w:p>
    <w:p w14:paraId="59967832" w14:textId="77777777" w:rsidR="00B85353" w:rsidRPr="00924BB2" w:rsidRDefault="00B85353" w:rsidP="00B85353">
      <w:pPr>
        <w:shd w:val="clear" w:color="auto" w:fill="FFFFFF"/>
        <w:rPr>
          <w:rFonts w:asciiTheme="minorHAnsi" w:hAnsiTheme="minorHAnsi"/>
          <w:color w:val="008800"/>
          <w:sz w:val="22"/>
          <w:lang w:val="es-PA"/>
        </w:rPr>
      </w:pPr>
    </w:p>
    <w:p w14:paraId="7C8DF625"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u w:val="single"/>
          <w:lang w:val="es-PA"/>
        </w:rPr>
        <w:t>Otros Requisitos</w:t>
      </w:r>
    </w:p>
    <w:p w14:paraId="6D28DD6E" w14:textId="77777777" w:rsidR="00B85353" w:rsidRPr="00924BB2" w:rsidRDefault="00B85353" w:rsidP="00B85353">
      <w:pPr>
        <w:shd w:val="clear" w:color="auto" w:fill="FFFFFF"/>
        <w:rPr>
          <w:rFonts w:asciiTheme="minorHAnsi" w:hAnsiTheme="minorHAnsi"/>
          <w:color w:val="008800"/>
          <w:sz w:val="22"/>
          <w:lang w:val="es-PA"/>
        </w:rPr>
      </w:pPr>
    </w:p>
    <w:p w14:paraId="53C3A5B1" w14:textId="77777777" w:rsidR="00B85353" w:rsidRPr="00924BB2" w:rsidRDefault="00B85353" w:rsidP="00B85353">
      <w:pPr>
        <w:numPr>
          <w:ilvl w:val="1"/>
          <w:numId w:val="3"/>
        </w:numPr>
        <w:shd w:val="clear" w:color="auto" w:fill="FFFFFF"/>
        <w:autoSpaceDE/>
        <w:autoSpaceDN/>
        <w:adjustRightInd/>
        <w:contextualSpacing/>
        <w:jc w:val="both"/>
        <w:rPr>
          <w:rFonts w:asciiTheme="minorHAnsi" w:hAnsiTheme="minorHAnsi"/>
          <w:sz w:val="22"/>
          <w:szCs w:val="22"/>
          <w:lang w:val="es-PA"/>
        </w:rPr>
      </w:pPr>
      <w:r w:rsidRPr="00924BB2">
        <w:rPr>
          <w:rFonts w:asciiTheme="minorHAnsi" w:hAnsiTheme="minorHAnsi"/>
          <w:b/>
          <w:bCs/>
          <w:sz w:val="22"/>
          <w:szCs w:val="22"/>
          <w:lang w:val="es-PA"/>
        </w:rPr>
        <w:t>Equipo mínimo.</w:t>
      </w:r>
      <w:r w:rsidRPr="00924BB2">
        <w:rPr>
          <w:rFonts w:asciiTheme="minorHAnsi" w:hAnsiTheme="minorHAnsi"/>
          <w:sz w:val="22"/>
          <w:szCs w:val="22"/>
          <w:lang w:val="es-PA"/>
        </w:rPr>
        <w:t xml:space="preserve"> La firma deberá presentar en su propuesta un equipo mínimo de una persona, incluyendo un especialista técnico en </w:t>
      </w:r>
      <w:r w:rsidRPr="00924BB2">
        <w:rPr>
          <w:rFonts w:asciiTheme="minorHAnsi" w:hAnsiTheme="minorHAnsi"/>
          <w:sz w:val="22"/>
          <w:szCs w:val="22"/>
          <w:lang w:val="es-PA"/>
        </w:rPr>
        <w:t xml:space="preserve">el área de electricidad y un especialista técnico en </w:t>
      </w:r>
      <w:r w:rsidRPr="00924BB2">
        <w:rPr>
          <w:rFonts w:asciiTheme="minorHAnsi" w:hAnsiTheme="minorHAnsi"/>
          <w:sz w:val="22"/>
          <w:szCs w:val="22"/>
          <w:lang w:val="es-PA"/>
        </w:rPr>
        <w:t>área de informática.</w:t>
      </w:r>
    </w:p>
    <w:p w14:paraId="13B86453" w14:textId="77777777" w:rsidR="00B85353" w:rsidRPr="00924BB2" w:rsidRDefault="00B85353" w:rsidP="00B85353">
      <w:pPr>
        <w:numPr>
          <w:ilvl w:val="2"/>
          <w:numId w:val="3"/>
        </w:numPr>
        <w:shd w:val="clear" w:color="auto" w:fill="FFFFFF"/>
        <w:autoSpaceDE/>
        <w:autoSpaceDN/>
        <w:adjustRightInd/>
        <w:contextualSpacing/>
        <w:jc w:val="both"/>
        <w:rPr>
          <w:rFonts w:asciiTheme="minorHAnsi" w:hAnsiTheme="minorHAnsi"/>
          <w:sz w:val="22"/>
          <w:szCs w:val="22"/>
          <w:lang w:val="es-PA"/>
        </w:rPr>
      </w:pPr>
      <w:r w:rsidRPr="00924BB2">
        <w:rPr>
          <w:rFonts w:asciiTheme="minorHAnsi" w:hAnsiTheme="minorHAnsi"/>
          <w:sz w:val="22"/>
          <w:szCs w:val="22"/>
          <w:lang w:val="es-PA"/>
        </w:rPr>
        <w:t xml:space="preserve"> </w:t>
      </w:r>
      <w:r w:rsidRPr="00924BB2">
        <w:rPr>
          <w:rFonts w:asciiTheme="minorHAnsi" w:hAnsiTheme="minorHAnsi"/>
          <w:b/>
          <w:bCs/>
          <w:sz w:val="22"/>
          <w:szCs w:val="22"/>
          <w:lang w:val="es-PA"/>
        </w:rPr>
        <w:t>Especialista técnico en el área de informática:</w:t>
      </w:r>
      <w:r w:rsidRPr="00924BB2">
        <w:rPr>
          <w:rFonts w:asciiTheme="minorHAnsi" w:hAnsiTheme="minorHAnsi"/>
          <w:sz w:val="22"/>
          <w:szCs w:val="22"/>
          <w:lang w:val="es-PA"/>
        </w:rPr>
        <w:t xml:space="preserve"> Estudios en ingeniería en sistemas, informática, ingeniería de software o afines. Al menos 10 años de experiencia en el diseño e implementación de plataformas digitales. Experiencia en seguridad informática es deseable.</w:t>
      </w:r>
    </w:p>
    <w:p w14:paraId="23ED82A5" w14:textId="77777777" w:rsidR="00B85353" w:rsidRPr="00924BB2" w:rsidRDefault="00B85353" w:rsidP="00B85353">
      <w:pPr>
        <w:numPr>
          <w:ilvl w:val="1"/>
          <w:numId w:val="3"/>
        </w:numPr>
        <w:shd w:val="clear" w:color="auto" w:fill="FFFFFF"/>
        <w:autoSpaceDE/>
        <w:autoSpaceDN/>
        <w:adjustRightInd/>
        <w:contextualSpacing/>
        <w:jc w:val="both"/>
        <w:rPr>
          <w:rFonts w:asciiTheme="minorHAnsi" w:hAnsiTheme="minorHAnsi"/>
          <w:sz w:val="22"/>
          <w:szCs w:val="22"/>
          <w:lang w:val="es-PA"/>
        </w:rPr>
      </w:pPr>
      <w:r w:rsidRPr="00924BB2">
        <w:rPr>
          <w:rFonts w:asciiTheme="minorHAnsi" w:hAnsiTheme="minorHAnsi"/>
          <w:b/>
          <w:bCs/>
          <w:sz w:val="22"/>
          <w:szCs w:val="22"/>
          <w:lang w:val="es-PA"/>
        </w:rPr>
        <w:t xml:space="preserve">Disponibilidad: </w:t>
      </w:r>
      <w:r w:rsidRPr="00924BB2">
        <w:rPr>
          <w:rFonts w:asciiTheme="minorHAnsi" w:hAnsiTheme="minorHAnsi"/>
          <w:sz w:val="22"/>
          <w:szCs w:val="22"/>
          <w:lang w:val="es-PA"/>
        </w:rPr>
        <w:t>El especialista deberá estar disponibles durante toda la duración de la consultoría. Será valorado que la firma proponga otros especialistas de apoyo.</w:t>
      </w:r>
    </w:p>
    <w:p w14:paraId="69B9BA26" w14:textId="77777777" w:rsidR="00B85353" w:rsidRPr="00924BB2" w:rsidRDefault="00B85353" w:rsidP="00B85353">
      <w:pPr>
        <w:numPr>
          <w:ilvl w:val="1"/>
          <w:numId w:val="3"/>
        </w:numPr>
        <w:shd w:val="clear" w:color="auto" w:fill="FFFFFF"/>
        <w:autoSpaceDE/>
        <w:autoSpaceDN/>
        <w:adjustRightInd/>
        <w:contextualSpacing/>
        <w:jc w:val="both"/>
        <w:rPr>
          <w:rFonts w:asciiTheme="minorHAnsi" w:hAnsiTheme="minorHAnsi"/>
          <w:b/>
          <w:bCs/>
          <w:sz w:val="22"/>
          <w:szCs w:val="22"/>
          <w:lang w:val="es-PA"/>
        </w:rPr>
      </w:pPr>
      <w:r w:rsidRPr="00924BB2">
        <w:rPr>
          <w:rFonts w:asciiTheme="minorHAnsi" w:hAnsiTheme="minorHAnsi"/>
          <w:b/>
          <w:bCs/>
          <w:sz w:val="22"/>
          <w:szCs w:val="22"/>
          <w:lang w:val="es-PA"/>
        </w:rPr>
        <w:t xml:space="preserve">Sede: </w:t>
      </w:r>
      <w:r w:rsidRPr="00924BB2">
        <w:rPr>
          <w:rFonts w:asciiTheme="minorHAnsi" w:hAnsiTheme="minorHAnsi"/>
          <w:sz w:val="22"/>
          <w:szCs w:val="22"/>
          <w:lang w:val="es-PA"/>
        </w:rPr>
        <w:t>El trabajo podrá ser realizado en la sede de la firma de manera remota.</w:t>
      </w:r>
    </w:p>
    <w:p w14:paraId="15272537" w14:textId="77777777" w:rsidR="00B85353" w:rsidRPr="00924BB2" w:rsidRDefault="00B85353" w:rsidP="00B85353">
      <w:pPr>
        <w:numPr>
          <w:ilvl w:val="1"/>
          <w:numId w:val="3"/>
        </w:numPr>
        <w:shd w:val="clear" w:color="auto" w:fill="FFFFFF"/>
        <w:autoSpaceDE/>
        <w:autoSpaceDN/>
        <w:adjustRightInd/>
        <w:contextualSpacing/>
        <w:jc w:val="both"/>
        <w:rPr>
          <w:rFonts w:asciiTheme="minorHAnsi" w:hAnsiTheme="minorHAnsi"/>
          <w:b/>
          <w:bCs/>
          <w:sz w:val="22"/>
          <w:szCs w:val="22"/>
          <w:lang w:val="es-PA"/>
        </w:rPr>
      </w:pPr>
      <w:r w:rsidRPr="00924BB2">
        <w:rPr>
          <w:rFonts w:asciiTheme="minorHAnsi" w:hAnsiTheme="minorHAnsi"/>
          <w:b/>
          <w:bCs/>
          <w:sz w:val="22"/>
          <w:szCs w:val="22"/>
          <w:lang w:val="es-PA"/>
        </w:rPr>
        <w:t xml:space="preserve">Confidencialidad: </w:t>
      </w:r>
      <w:r w:rsidRPr="00924BB2">
        <w:rPr>
          <w:rFonts w:asciiTheme="minorHAnsi" w:hAnsiTheme="minorHAnsi"/>
          <w:sz w:val="22"/>
          <w:szCs w:val="22"/>
          <w:lang w:val="es-PA"/>
        </w:rPr>
        <w:t>Toda la información compartida con la firma será considerada confidencial. La firma no podrá divulgar a terceras partes ningún producto de esta consultoría, sin el expreso consentimiento del BID, por escrito.</w:t>
      </w:r>
    </w:p>
    <w:p w14:paraId="19CB678E" w14:textId="77777777" w:rsidR="00B85353" w:rsidRPr="00924BB2" w:rsidRDefault="00B85353" w:rsidP="00B85353">
      <w:pPr>
        <w:shd w:val="clear" w:color="auto" w:fill="FFFFFF"/>
        <w:rPr>
          <w:rFonts w:asciiTheme="minorHAnsi" w:hAnsiTheme="minorHAnsi"/>
          <w:color w:val="008800"/>
          <w:sz w:val="22"/>
          <w:lang w:val="es-PA"/>
        </w:rPr>
      </w:pPr>
    </w:p>
    <w:p w14:paraId="2B506B62" w14:textId="77777777" w:rsidR="00B85353" w:rsidRPr="00924BB2" w:rsidRDefault="00B85353" w:rsidP="00B85353">
      <w:pPr>
        <w:numPr>
          <w:ilvl w:val="0"/>
          <w:numId w:val="3"/>
        </w:numPr>
        <w:autoSpaceDE/>
        <w:autoSpaceDN/>
        <w:adjustRightInd/>
        <w:contextualSpacing/>
        <w:rPr>
          <w:rFonts w:asciiTheme="minorHAnsi" w:eastAsiaTheme="minorHAnsi" w:hAnsiTheme="minorHAnsi"/>
          <w:b/>
          <w:sz w:val="22"/>
          <w:u w:val="single"/>
          <w:lang w:val="es-PA"/>
        </w:rPr>
      </w:pPr>
      <w:r w:rsidRPr="00924BB2">
        <w:rPr>
          <w:rFonts w:asciiTheme="minorHAnsi" w:eastAsiaTheme="minorHAnsi" w:hAnsiTheme="minorHAnsi"/>
          <w:b/>
          <w:sz w:val="22"/>
          <w:lang w:val="es-PA"/>
        </w:rPr>
        <w:t xml:space="preserve"> </w:t>
      </w:r>
      <w:r w:rsidRPr="00924BB2">
        <w:rPr>
          <w:rFonts w:asciiTheme="minorHAnsi" w:eastAsiaTheme="minorHAnsi" w:hAnsiTheme="minorHAnsi"/>
          <w:b/>
          <w:sz w:val="22"/>
          <w:u w:val="single"/>
          <w:lang w:val="es-PA"/>
        </w:rPr>
        <w:t>Supervisión e Informes</w:t>
      </w:r>
    </w:p>
    <w:p w14:paraId="47345C4D" w14:textId="77777777" w:rsidR="00B85353" w:rsidRPr="00924BB2" w:rsidRDefault="00B85353" w:rsidP="00B85353">
      <w:pPr>
        <w:ind w:left="360"/>
        <w:contextualSpacing/>
        <w:rPr>
          <w:rFonts w:asciiTheme="minorHAnsi" w:eastAsiaTheme="minorHAnsi" w:hAnsiTheme="minorHAnsi"/>
          <w:b/>
          <w:sz w:val="22"/>
          <w:u w:val="single"/>
          <w:lang w:val="es-PA"/>
        </w:rPr>
      </w:pPr>
    </w:p>
    <w:p w14:paraId="3EC5DDAC" w14:textId="77777777" w:rsidR="00B85353" w:rsidRPr="00924BB2" w:rsidRDefault="00B85353" w:rsidP="00B85353">
      <w:pPr>
        <w:widowControl/>
        <w:numPr>
          <w:ilvl w:val="1"/>
          <w:numId w:val="3"/>
        </w:numPr>
        <w:autoSpaceDE/>
        <w:autoSpaceDN/>
        <w:adjustRightInd/>
        <w:ind w:hanging="522"/>
        <w:jc w:val="both"/>
        <w:rPr>
          <w:rFonts w:asciiTheme="minorHAnsi" w:hAnsiTheme="minorHAnsi"/>
          <w:sz w:val="22"/>
          <w:szCs w:val="22"/>
          <w:lang w:val="es-PA"/>
        </w:rPr>
      </w:pPr>
      <w:r w:rsidRPr="00924BB2">
        <w:rPr>
          <w:rFonts w:asciiTheme="minorHAnsi" w:hAnsiTheme="minorHAnsi"/>
          <w:b/>
          <w:bCs/>
          <w:color w:val="006600"/>
          <w:sz w:val="22"/>
          <w:szCs w:val="22"/>
          <w:lang w:val="es-PA"/>
        </w:rPr>
        <w:t xml:space="preserve"> </w:t>
      </w:r>
      <w:r w:rsidRPr="00924BB2">
        <w:rPr>
          <w:rFonts w:asciiTheme="minorHAnsi" w:hAnsiTheme="minorHAnsi"/>
          <w:sz w:val="22"/>
          <w:szCs w:val="22"/>
          <w:lang w:val="es-PA"/>
        </w:rPr>
        <w:t>El jefe del equipo será Arturo Alarcón (ENE/CPN), Especialista Sénior en Energía con sede en la Representación del BID en Panamá (arturoa@iadb.org).</w:t>
      </w:r>
    </w:p>
    <w:p w14:paraId="47D5F84F" w14:textId="77777777" w:rsidR="00B85353" w:rsidRPr="00924BB2" w:rsidRDefault="00B85353" w:rsidP="00B85353">
      <w:pPr>
        <w:ind w:right="-10"/>
        <w:jc w:val="both"/>
        <w:rPr>
          <w:rFonts w:asciiTheme="minorHAnsi" w:hAnsiTheme="minorHAnsi"/>
          <w:b/>
          <w:sz w:val="22"/>
          <w:lang w:val="es-PA"/>
        </w:rPr>
      </w:pPr>
    </w:p>
    <w:p w14:paraId="76A3CCF5" w14:textId="77777777" w:rsidR="00B85353" w:rsidRPr="00924BB2" w:rsidRDefault="00B85353" w:rsidP="00B85353">
      <w:pPr>
        <w:pStyle w:val="ListParagraph"/>
        <w:widowControl/>
        <w:numPr>
          <w:ilvl w:val="0"/>
          <w:numId w:val="3"/>
        </w:numPr>
        <w:autoSpaceDE/>
        <w:autoSpaceDN/>
        <w:adjustRightInd/>
        <w:ind w:right="-10"/>
        <w:jc w:val="both"/>
        <w:rPr>
          <w:rFonts w:asciiTheme="minorHAnsi" w:hAnsiTheme="minorHAnsi"/>
          <w:b/>
          <w:sz w:val="22"/>
          <w:u w:val="single"/>
          <w:lang w:val="es-PA"/>
        </w:rPr>
      </w:pPr>
      <w:r w:rsidRPr="00924BB2">
        <w:rPr>
          <w:rFonts w:asciiTheme="minorHAnsi" w:hAnsiTheme="minorHAnsi"/>
          <w:b/>
          <w:sz w:val="22"/>
          <w:u w:val="single"/>
          <w:lang w:val="es-PA"/>
        </w:rPr>
        <w:t>Calendario de Pagos</w:t>
      </w:r>
    </w:p>
    <w:p w14:paraId="04FAC02E" w14:textId="77777777" w:rsidR="00B85353" w:rsidRPr="00924BB2" w:rsidRDefault="00B85353" w:rsidP="00B85353">
      <w:pPr>
        <w:pStyle w:val="ListParagraph"/>
        <w:ind w:left="360" w:right="-10"/>
        <w:jc w:val="both"/>
        <w:rPr>
          <w:rFonts w:asciiTheme="minorHAnsi" w:hAnsiTheme="minorHAnsi"/>
          <w:b/>
          <w:sz w:val="22"/>
          <w:lang w:val="es-PA"/>
        </w:rPr>
      </w:pPr>
    </w:p>
    <w:p w14:paraId="22AB4ADA" w14:textId="77777777" w:rsidR="00B85353" w:rsidRPr="00924BB2" w:rsidRDefault="00B85353" w:rsidP="00B85353">
      <w:pPr>
        <w:pStyle w:val="BodyTextIndent3"/>
        <w:numPr>
          <w:ilvl w:val="1"/>
          <w:numId w:val="3"/>
        </w:numPr>
        <w:tabs>
          <w:tab w:val="left" w:pos="1080"/>
        </w:tabs>
        <w:suppressAutoHyphens/>
        <w:ind w:hanging="522"/>
        <w:jc w:val="both"/>
        <w:textAlignment w:val="baseline"/>
        <w:rPr>
          <w:rFonts w:asciiTheme="minorHAnsi" w:hAnsiTheme="minorHAnsi" w:cs="Times New Roman"/>
          <w:color w:val="auto"/>
          <w:sz w:val="22"/>
          <w:szCs w:val="22"/>
          <w:lang w:val="es-PA"/>
        </w:rPr>
      </w:pPr>
      <w:r w:rsidRPr="00924BB2">
        <w:rPr>
          <w:rFonts w:asciiTheme="minorHAnsi" w:hAnsiTheme="minorHAnsi" w:cs="Times New Roman"/>
          <w:color w:val="auto"/>
          <w:sz w:val="22"/>
          <w:szCs w:val="22"/>
          <w:lang w:val="es-PA"/>
        </w:rPr>
        <w:t xml:space="preserve">Los pagos se realizarán mediante la aprobación de los productos listados en el acápite 5, </w:t>
      </w:r>
      <w:proofErr w:type="gramStart"/>
      <w:r w:rsidRPr="00924BB2">
        <w:rPr>
          <w:rFonts w:asciiTheme="minorHAnsi" w:hAnsiTheme="minorHAnsi" w:cs="Times New Roman"/>
          <w:color w:val="auto"/>
          <w:sz w:val="22"/>
          <w:szCs w:val="22"/>
          <w:lang w:val="es-PA"/>
        </w:rPr>
        <w:t>de acuerdo a</w:t>
      </w:r>
      <w:proofErr w:type="gramEnd"/>
      <w:r w:rsidRPr="00924BB2">
        <w:rPr>
          <w:rFonts w:asciiTheme="minorHAnsi" w:hAnsiTheme="minorHAnsi" w:cs="Times New Roman"/>
          <w:color w:val="auto"/>
          <w:sz w:val="22"/>
          <w:szCs w:val="22"/>
          <w:lang w:val="es-PA"/>
        </w:rPr>
        <w:t xml:space="preserve"> las condiciones mencionadas en el punto 8.</w:t>
      </w:r>
    </w:p>
    <w:p w14:paraId="20635222" w14:textId="77777777" w:rsidR="00B85353" w:rsidRPr="00924BB2" w:rsidRDefault="00B85353" w:rsidP="00B85353">
      <w:pPr>
        <w:shd w:val="clear" w:color="auto" w:fill="FFFFFF"/>
        <w:tabs>
          <w:tab w:val="left" w:pos="990"/>
        </w:tabs>
        <w:ind w:right="-10"/>
        <w:contextualSpacing/>
        <w:jc w:val="both"/>
        <w:rPr>
          <w:rFonts w:asciiTheme="minorHAnsi" w:hAnsiTheme="minorHAnsi"/>
          <w:b/>
          <w:sz w:val="22"/>
          <w:lang w:val="es-PA"/>
        </w:rPr>
      </w:pPr>
    </w:p>
    <w:p w14:paraId="1D529A07" w14:textId="77777777" w:rsidR="00B85353" w:rsidRPr="00924BB2" w:rsidRDefault="00B85353" w:rsidP="00B85353">
      <w:pPr>
        <w:shd w:val="clear" w:color="auto" w:fill="FFFFFF"/>
        <w:tabs>
          <w:tab w:val="left" w:pos="990"/>
        </w:tabs>
        <w:ind w:right="-10"/>
        <w:contextualSpacing/>
        <w:jc w:val="both"/>
        <w:rPr>
          <w:rFonts w:asciiTheme="minorHAnsi" w:hAnsiTheme="minorHAnsi"/>
          <w:b/>
          <w:sz w:val="22"/>
          <w:lang w:val="es-PA"/>
        </w:rPr>
      </w:pPr>
    </w:p>
    <w:tbl>
      <w:tblPr>
        <w:tblStyle w:val="TableGrid"/>
        <w:tblW w:w="8725" w:type="dxa"/>
        <w:jc w:val="center"/>
        <w:tblLook w:val="04A0" w:firstRow="1" w:lastRow="0" w:firstColumn="1" w:lastColumn="0" w:noHBand="0" w:noVBand="1"/>
      </w:tblPr>
      <w:tblGrid>
        <w:gridCol w:w="7195"/>
        <w:gridCol w:w="1530"/>
      </w:tblGrid>
      <w:tr w:rsidR="00B85353" w:rsidRPr="00924BB2" w14:paraId="60DCDE34" w14:textId="77777777" w:rsidTr="00BA7F9B">
        <w:trPr>
          <w:trHeight w:val="218"/>
          <w:jc w:val="center"/>
        </w:trPr>
        <w:tc>
          <w:tcPr>
            <w:tcW w:w="8725" w:type="dxa"/>
            <w:gridSpan w:val="2"/>
          </w:tcPr>
          <w:p w14:paraId="04EBB073" w14:textId="77777777" w:rsidR="00B85353" w:rsidRPr="00924BB2" w:rsidRDefault="00B85353" w:rsidP="00BA7F9B">
            <w:pPr>
              <w:pStyle w:val="ListParagraph"/>
              <w:ind w:left="0" w:right="-10"/>
              <w:jc w:val="center"/>
              <w:rPr>
                <w:rFonts w:asciiTheme="minorHAnsi" w:hAnsiTheme="minorHAnsi"/>
                <w:b/>
                <w:lang w:val="es-PA"/>
              </w:rPr>
            </w:pPr>
            <w:r w:rsidRPr="00924BB2">
              <w:rPr>
                <w:rFonts w:asciiTheme="minorHAnsi" w:hAnsiTheme="minorHAnsi"/>
                <w:b/>
                <w:lang w:val="es-PA"/>
              </w:rPr>
              <w:t>Plan de pagos</w:t>
            </w:r>
          </w:p>
        </w:tc>
      </w:tr>
      <w:tr w:rsidR="00B85353" w:rsidRPr="00924BB2" w14:paraId="294EFD08" w14:textId="77777777" w:rsidTr="00BA7F9B">
        <w:trPr>
          <w:trHeight w:val="149"/>
          <w:jc w:val="center"/>
        </w:trPr>
        <w:tc>
          <w:tcPr>
            <w:tcW w:w="7195" w:type="dxa"/>
          </w:tcPr>
          <w:p w14:paraId="14455419" w14:textId="77777777" w:rsidR="00B85353" w:rsidRPr="00924BB2" w:rsidRDefault="00B85353" w:rsidP="00BA7F9B">
            <w:pPr>
              <w:ind w:right="-10"/>
              <w:jc w:val="both"/>
              <w:rPr>
                <w:rFonts w:asciiTheme="minorHAnsi" w:hAnsiTheme="minorHAnsi"/>
                <w:b/>
                <w:lang w:val="es-PA"/>
              </w:rPr>
            </w:pPr>
            <w:r w:rsidRPr="00924BB2">
              <w:rPr>
                <w:rFonts w:asciiTheme="minorHAnsi" w:hAnsiTheme="minorHAnsi"/>
                <w:b/>
                <w:lang w:val="es-PA"/>
              </w:rPr>
              <w:t>Entregables</w:t>
            </w:r>
          </w:p>
        </w:tc>
        <w:tc>
          <w:tcPr>
            <w:tcW w:w="1530" w:type="dxa"/>
          </w:tcPr>
          <w:p w14:paraId="42B80971" w14:textId="77777777" w:rsidR="00B85353" w:rsidRPr="00924BB2" w:rsidRDefault="00B85353" w:rsidP="00BA7F9B">
            <w:pPr>
              <w:pStyle w:val="ListParagraph"/>
              <w:ind w:left="0" w:right="-10"/>
              <w:jc w:val="center"/>
              <w:rPr>
                <w:rFonts w:asciiTheme="minorHAnsi" w:hAnsiTheme="minorHAnsi"/>
                <w:b/>
                <w:lang w:val="es-PA"/>
              </w:rPr>
            </w:pPr>
            <w:r w:rsidRPr="00924BB2">
              <w:rPr>
                <w:rFonts w:asciiTheme="minorHAnsi" w:hAnsiTheme="minorHAnsi"/>
                <w:b/>
                <w:lang w:val="es-PA"/>
              </w:rPr>
              <w:t>%</w:t>
            </w:r>
          </w:p>
        </w:tc>
      </w:tr>
      <w:tr w:rsidR="00B85353" w:rsidRPr="00924BB2" w14:paraId="246C236F" w14:textId="77777777" w:rsidTr="00BA7F9B">
        <w:trPr>
          <w:trHeight w:val="357"/>
          <w:jc w:val="center"/>
        </w:trPr>
        <w:tc>
          <w:tcPr>
            <w:tcW w:w="7195" w:type="dxa"/>
          </w:tcPr>
          <w:p w14:paraId="564DF299" w14:textId="77777777" w:rsidR="00B85353" w:rsidRPr="00857058" w:rsidRDefault="00B85353" w:rsidP="00B85353">
            <w:pPr>
              <w:pStyle w:val="ListParagraph"/>
              <w:widowControl/>
              <w:numPr>
                <w:ilvl w:val="0"/>
                <w:numId w:val="4"/>
              </w:numPr>
              <w:autoSpaceDE/>
              <w:autoSpaceDN/>
              <w:adjustRightInd/>
              <w:ind w:right="-10"/>
              <w:jc w:val="both"/>
              <w:rPr>
                <w:rFonts w:asciiTheme="minorHAnsi" w:hAnsiTheme="minorHAnsi"/>
                <w:bCs/>
                <w:sz w:val="22"/>
                <w:szCs w:val="22"/>
                <w:lang w:val="es-PA"/>
              </w:rPr>
            </w:pPr>
            <w:r w:rsidRPr="00857058">
              <w:rPr>
                <w:rFonts w:asciiTheme="minorHAnsi" w:hAnsiTheme="minorHAnsi"/>
                <w:bCs/>
                <w:noProof/>
                <w:sz w:val="22"/>
                <w:szCs w:val="22"/>
                <w:lang w:val="es-PA" w:eastAsia="es-MX"/>
              </w:rPr>
              <mc:AlternateContent>
                <mc:Choice Requires="wpi">
                  <w:drawing>
                    <wp:anchor distT="0" distB="0" distL="114300" distR="114300" simplePos="0" relativeHeight="251659264" behindDoc="0" locked="0" layoutInCell="1" allowOverlap="1" wp14:anchorId="315B3DD3" wp14:editId="145F859F">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19">
                            <w14:nvContentPartPr>
                              <w14:cNvContentPartPr/>
                            </w14:nvContentPartPr>
                            <w14:xfrm>
                              <a:off x="0" y="0"/>
                              <a:ext cx="6480" cy="360"/>
                            </w14:xfrm>
                          </w14:contentPart>
                        </a:graphicData>
                      </a:graphic>
                    </wp:anchor>
                  </w:drawing>
                </mc:Choice>
                <mc:Fallback>
                  <w:pict>
                    <v:shapetype w14:anchorId="6DEDCF2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">
                      <v:imagedata r:id="rId20" o:title=""/>
                    </v:shape>
                  </w:pict>
                </mc:Fallback>
              </mc:AlternateContent>
            </w:r>
            <w:r w:rsidRPr="00857058">
              <w:rPr>
                <w:rFonts w:asciiTheme="minorHAnsi" w:hAnsiTheme="minorHAnsi"/>
                <w:bCs/>
                <w:sz w:val="22"/>
                <w:szCs w:val="22"/>
                <w:lang w:val="es-PA"/>
              </w:rPr>
              <w:t>Entregable1. Plan de trabajo</w:t>
            </w:r>
          </w:p>
        </w:tc>
        <w:tc>
          <w:tcPr>
            <w:tcW w:w="1530" w:type="dxa"/>
            <w:vAlign w:val="center"/>
          </w:tcPr>
          <w:p w14:paraId="0760B77E" w14:textId="77777777" w:rsidR="00B85353" w:rsidRPr="00924BB2" w:rsidRDefault="00B85353" w:rsidP="00BA7F9B">
            <w:pPr>
              <w:pStyle w:val="ListParagraph"/>
              <w:ind w:left="0" w:right="-10"/>
              <w:jc w:val="center"/>
              <w:rPr>
                <w:rFonts w:asciiTheme="minorHAnsi" w:hAnsiTheme="minorHAnsi"/>
                <w:bCs/>
                <w:lang w:val="es-PA"/>
              </w:rPr>
            </w:pPr>
            <w:r w:rsidRPr="00924BB2">
              <w:rPr>
                <w:rFonts w:asciiTheme="minorHAnsi" w:hAnsiTheme="minorHAnsi"/>
                <w:bCs/>
                <w:lang w:val="es-PA"/>
              </w:rPr>
              <w:t>10%</w:t>
            </w:r>
          </w:p>
        </w:tc>
      </w:tr>
      <w:tr w:rsidR="00B85353" w:rsidRPr="00924BB2" w14:paraId="2A0BC0C3" w14:textId="77777777" w:rsidTr="00BA7F9B">
        <w:trPr>
          <w:trHeight w:val="308"/>
          <w:jc w:val="center"/>
        </w:trPr>
        <w:tc>
          <w:tcPr>
            <w:tcW w:w="7195" w:type="dxa"/>
          </w:tcPr>
          <w:p w14:paraId="639817D0" w14:textId="77777777" w:rsidR="00B85353" w:rsidRPr="00857058" w:rsidRDefault="00B85353" w:rsidP="00B85353">
            <w:pPr>
              <w:pStyle w:val="ListParagraph"/>
              <w:widowControl/>
              <w:numPr>
                <w:ilvl w:val="0"/>
                <w:numId w:val="4"/>
              </w:numPr>
              <w:autoSpaceDE/>
              <w:autoSpaceDN/>
              <w:adjustRightInd/>
              <w:jc w:val="both"/>
              <w:rPr>
                <w:rFonts w:asciiTheme="minorHAnsi" w:hAnsiTheme="minorHAnsi"/>
                <w:bCs/>
                <w:sz w:val="22"/>
                <w:szCs w:val="22"/>
                <w:lang w:val="es-PA"/>
              </w:rPr>
            </w:pPr>
            <w:r w:rsidRPr="00857058">
              <w:rPr>
                <w:rFonts w:asciiTheme="minorHAnsi" w:hAnsiTheme="minorHAnsi"/>
                <w:bCs/>
                <w:sz w:val="22"/>
                <w:szCs w:val="22"/>
                <w:lang w:val="es-PA"/>
              </w:rPr>
              <w:t xml:space="preserve">Entregable 2. Informe inicial. </w:t>
            </w:r>
            <w:r w:rsidRPr="00857058">
              <w:rPr>
                <w:rFonts w:asciiTheme="minorHAnsi" w:eastAsiaTheme="minorEastAsia" w:hAnsiTheme="minorHAnsi"/>
                <w:sz w:val="22"/>
                <w:szCs w:val="22"/>
                <w:lang w:val="es-PA"/>
              </w:rPr>
              <w:t>Desarrollo un informe borrador del diseño y estructuración de la plataforma.</w:t>
            </w:r>
          </w:p>
        </w:tc>
        <w:tc>
          <w:tcPr>
            <w:tcW w:w="1530" w:type="dxa"/>
            <w:vAlign w:val="center"/>
          </w:tcPr>
          <w:p w14:paraId="5CD67322" w14:textId="77777777" w:rsidR="00B85353" w:rsidRPr="00924BB2" w:rsidRDefault="00B85353" w:rsidP="00BA7F9B">
            <w:pPr>
              <w:pStyle w:val="ListParagraph"/>
              <w:ind w:left="0" w:right="-10"/>
              <w:jc w:val="center"/>
              <w:rPr>
                <w:rFonts w:asciiTheme="minorHAnsi" w:hAnsiTheme="minorHAnsi"/>
                <w:bCs/>
                <w:lang w:val="es-PA"/>
              </w:rPr>
            </w:pPr>
            <w:r w:rsidRPr="00924BB2">
              <w:rPr>
                <w:rFonts w:asciiTheme="minorHAnsi" w:hAnsiTheme="minorHAnsi"/>
                <w:bCs/>
                <w:lang w:val="es-PA"/>
              </w:rPr>
              <w:t>40%</w:t>
            </w:r>
          </w:p>
        </w:tc>
      </w:tr>
      <w:tr w:rsidR="00B85353" w:rsidRPr="00924BB2" w14:paraId="0D94C60A" w14:textId="77777777" w:rsidTr="00BA7F9B">
        <w:trPr>
          <w:trHeight w:val="298"/>
          <w:jc w:val="center"/>
        </w:trPr>
        <w:tc>
          <w:tcPr>
            <w:tcW w:w="7195" w:type="dxa"/>
          </w:tcPr>
          <w:p w14:paraId="1FEEB16A" w14:textId="77777777" w:rsidR="00B85353" w:rsidRPr="00857058" w:rsidRDefault="00B85353" w:rsidP="00B85353">
            <w:pPr>
              <w:pStyle w:val="ListParagraph"/>
              <w:widowControl/>
              <w:numPr>
                <w:ilvl w:val="0"/>
                <w:numId w:val="4"/>
              </w:numPr>
              <w:autoSpaceDE/>
              <w:autoSpaceDN/>
              <w:adjustRightInd/>
              <w:jc w:val="both"/>
              <w:rPr>
                <w:rFonts w:asciiTheme="minorHAnsi" w:hAnsiTheme="minorHAnsi"/>
                <w:bCs/>
                <w:sz w:val="22"/>
                <w:szCs w:val="22"/>
                <w:lang w:val="es-PA"/>
              </w:rPr>
            </w:pPr>
            <w:r w:rsidRPr="00857058">
              <w:rPr>
                <w:rFonts w:asciiTheme="minorHAnsi" w:hAnsiTheme="minorHAnsi"/>
                <w:bCs/>
                <w:sz w:val="22"/>
                <w:szCs w:val="22"/>
                <w:lang w:val="es-PA"/>
              </w:rPr>
              <w:t>Entregable 3. Informe final. Entrega final del diseño de la plataforma, su documentación de uso y guías.</w:t>
            </w:r>
          </w:p>
        </w:tc>
        <w:tc>
          <w:tcPr>
            <w:tcW w:w="1530" w:type="dxa"/>
            <w:vAlign w:val="center"/>
          </w:tcPr>
          <w:p w14:paraId="2318E84E" w14:textId="77777777" w:rsidR="00B85353" w:rsidRPr="00924BB2" w:rsidRDefault="00B85353" w:rsidP="00BA7F9B">
            <w:pPr>
              <w:pStyle w:val="ListParagraph"/>
              <w:ind w:left="0" w:right="-10"/>
              <w:jc w:val="center"/>
              <w:rPr>
                <w:rFonts w:asciiTheme="minorHAnsi" w:hAnsiTheme="minorHAnsi"/>
                <w:bCs/>
                <w:lang w:val="es-PA"/>
              </w:rPr>
            </w:pPr>
            <w:r w:rsidRPr="00924BB2">
              <w:rPr>
                <w:rFonts w:asciiTheme="minorHAnsi" w:hAnsiTheme="minorHAnsi"/>
                <w:bCs/>
                <w:lang w:val="es-PA"/>
              </w:rPr>
              <w:t>50%</w:t>
            </w:r>
          </w:p>
        </w:tc>
      </w:tr>
      <w:tr w:rsidR="00B85353" w:rsidRPr="00924BB2" w14:paraId="1F14BDA2" w14:textId="77777777" w:rsidTr="00BA7F9B">
        <w:trPr>
          <w:trHeight w:val="158"/>
          <w:jc w:val="center"/>
        </w:trPr>
        <w:tc>
          <w:tcPr>
            <w:tcW w:w="7195" w:type="dxa"/>
          </w:tcPr>
          <w:p w14:paraId="1F7E2EF9" w14:textId="77777777" w:rsidR="00B85353" w:rsidRPr="00924BB2" w:rsidRDefault="00B85353" w:rsidP="00BA7F9B">
            <w:pPr>
              <w:pStyle w:val="ListParagraph"/>
              <w:ind w:left="0" w:right="-10"/>
              <w:jc w:val="both"/>
              <w:rPr>
                <w:rFonts w:asciiTheme="minorHAnsi" w:hAnsiTheme="minorHAnsi"/>
                <w:b/>
                <w:lang w:val="es-PA"/>
              </w:rPr>
            </w:pPr>
            <w:r w:rsidRPr="00924BB2">
              <w:rPr>
                <w:rFonts w:asciiTheme="minorHAnsi" w:hAnsiTheme="minorHAnsi"/>
                <w:b/>
                <w:lang w:val="es-PA"/>
              </w:rPr>
              <w:t>TOTAL</w:t>
            </w:r>
          </w:p>
        </w:tc>
        <w:tc>
          <w:tcPr>
            <w:tcW w:w="1530" w:type="dxa"/>
            <w:vAlign w:val="center"/>
          </w:tcPr>
          <w:p w14:paraId="46DCC8EB" w14:textId="77777777" w:rsidR="00B85353" w:rsidRPr="00924BB2" w:rsidRDefault="00B85353" w:rsidP="00BA7F9B">
            <w:pPr>
              <w:pStyle w:val="ListParagraph"/>
              <w:ind w:left="0" w:right="-10"/>
              <w:jc w:val="center"/>
              <w:rPr>
                <w:rFonts w:asciiTheme="minorHAnsi" w:hAnsiTheme="minorHAnsi"/>
                <w:b/>
                <w:lang w:val="es-PA"/>
              </w:rPr>
            </w:pPr>
            <w:r w:rsidRPr="00924BB2">
              <w:rPr>
                <w:rFonts w:asciiTheme="minorHAnsi" w:hAnsiTheme="minorHAnsi"/>
                <w:b/>
                <w:lang w:val="es-PA"/>
              </w:rPr>
              <w:t>100%</w:t>
            </w:r>
          </w:p>
        </w:tc>
      </w:tr>
    </w:tbl>
    <w:p w14:paraId="79BBB6A8" w14:textId="77777777" w:rsidR="00B85353" w:rsidRPr="00924BB2" w:rsidRDefault="00B85353" w:rsidP="00B85353">
      <w:pPr>
        <w:rPr>
          <w:lang w:val="es-PA"/>
        </w:rPr>
      </w:pPr>
    </w:p>
    <w:p w14:paraId="54C1AA13" w14:textId="77777777" w:rsidR="00CE0491" w:rsidRDefault="00CE0491" w:rsidP="00540940">
      <w:pPr>
        <w:jc w:val="both"/>
        <w:rPr>
          <w:rFonts w:asciiTheme="minorHAnsi" w:hAnsiTheme="minorHAnsi" w:cstheme="minorBidi"/>
          <w:color w:val="auto"/>
        </w:rPr>
      </w:pPr>
    </w:p>
    <w:sectPr w:rsidR="00CE0491">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8394B" w14:textId="77777777" w:rsidR="00FA7459" w:rsidRDefault="00FA7459">
      <w:r>
        <w:separator/>
      </w:r>
    </w:p>
  </w:endnote>
  <w:endnote w:type="continuationSeparator" w:id="0">
    <w:p w14:paraId="3ED83DCE" w14:textId="77777777" w:rsidR="00FA7459" w:rsidRDefault="00FA7459">
      <w:r>
        <w:continuationSeparator/>
      </w:r>
    </w:p>
  </w:endnote>
  <w:endnote w:type="continuationNotice" w:id="1">
    <w:p w14:paraId="6776089F" w14:textId="77777777" w:rsidR="00FA7459" w:rsidRDefault="00FA7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F7CDB" w14:textId="77777777" w:rsidR="00FA7459" w:rsidRDefault="00FA7459">
      <w:r>
        <w:separator/>
      </w:r>
    </w:p>
  </w:footnote>
  <w:footnote w:type="continuationSeparator" w:id="0">
    <w:p w14:paraId="4B821A62" w14:textId="77777777" w:rsidR="00FA7459" w:rsidRDefault="00FA7459">
      <w:r>
        <w:continuationSeparator/>
      </w:r>
    </w:p>
  </w:footnote>
  <w:footnote w:type="continuationNotice" w:id="1">
    <w:p w14:paraId="59B40C39" w14:textId="77777777" w:rsidR="00FA7459" w:rsidRDefault="00FA74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438352C0"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81868"/>
    <w:multiLevelType w:val="hybridMultilevel"/>
    <w:tmpl w:val="BE7E5D4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15:restartNumberingAfterBreak="0">
    <w:nsid w:val="0CCA4D97"/>
    <w:multiLevelType w:val="hybridMultilevel"/>
    <w:tmpl w:val="19484862"/>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2652D43"/>
    <w:multiLevelType w:val="hybridMultilevel"/>
    <w:tmpl w:val="3FF4D746"/>
    <w:lvl w:ilvl="0" w:tplc="180A0001">
      <w:start w:val="1"/>
      <w:numFmt w:val="bullet"/>
      <w:lvlText w:val=""/>
      <w:lvlJc w:val="left"/>
      <w:pPr>
        <w:ind w:left="1080" w:hanging="360"/>
      </w:pPr>
      <w:rPr>
        <w:rFonts w:ascii="Symbol" w:hAnsi="Symbol" w:hint="default"/>
      </w:rPr>
    </w:lvl>
    <w:lvl w:ilvl="1" w:tplc="180A0003" w:tentative="1">
      <w:start w:val="1"/>
      <w:numFmt w:val="bullet"/>
      <w:lvlText w:val="o"/>
      <w:lvlJc w:val="left"/>
      <w:pPr>
        <w:ind w:left="1800" w:hanging="360"/>
      </w:pPr>
      <w:rPr>
        <w:rFonts w:ascii="Courier New" w:hAnsi="Courier New" w:cs="Courier New" w:hint="default"/>
      </w:rPr>
    </w:lvl>
    <w:lvl w:ilvl="2" w:tplc="180A0005" w:tentative="1">
      <w:start w:val="1"/>
      <w:numFmt w:val="bullet"/>
      <w:lvlText w:val=""/>
      <w:lvlJc w:val="left"/>
      <w:pPr>
        <w:ind w:left="2520" w:hanging="360"/>
      </w:pPr>
      <w:rPr>
        <w:rFonts w:ascii="Wingdings" w:hAnsi="Wingdings" w:hint="default"/>
      </w:rPr>
    </w:lvl>
    <w:lvl w:ilvl="3" w:tplc="180A0001" w:tentative="1">
      <w:start w:val="1"/>
      <w:numFmt w:val="bullet"/>
      <w:lvlText w:val=""/>
      <w:lvlJc w:val="left"/>
      <w:pPr>
        <w:ind w:left="3240" w:hanging="360"/>
      </w:pPr>
      <w:rPr>
        <w:rFonts w:ascii="Symbol" w:hAnsi="Symbol" w:hint="default"/>
      </w:rPr>
    </w:lvl>
    <w:lvl w:ilvl="4" w:tplc="180A0003" w:tentative="1">
      <w:start w:val="1"/>
      <w:numFmt w:val="bullet"/>
      <w:lvlText w:val="o"/>
      <w:lvlJc w:val="left"/>
      <w:pPr>
        <w:ind w:left="3960" w:hanging="360"/>
      </w:pPr>
      <w:rPr>
        <w:rFonts w:ascii="Courier New" w:hAnsi="Courier New" w:cs="Courier New" w:hint="default"/>
      </w:rPr>
    </w:lvl>
    <w:lvl w:ilvl="5" w:tplc="180A0005" w:tentative="1">
      <w:start w:val="1"/>
      <w:numFmt w:val="bullet"/>
      <w:lvlText w:val=""/>
      <w:lvlJc w:val="left"/>
      <w:pPr>
        <w:ind w:left="4680" w:hanging="360"/>
      </w:pPr>
      <w:rPr>
        <w:rFonts w:ascii="Wingdings" w:hAnsi="Wingdings" w:hint="default"/>
      </w:rPr>
    </w:lvl>
    <w:lvl w:ilvl="6" w:tplc="180A0001" w:tentative="1">
      <w:start w:val="1"/>
      <w:numFmt w:val="bullet"/>
      <w:lvlText w:val=""/>
      <w:lvlJc w:val="left"/>
      <w:pPr>
        <w:ind w:left="5400" w:hanging="360"/>
      </w:pPr>
      <w:rPr>
        <w:rFonts w:ascii="Symbol" w:hAnsi="Symbol" w:hint="default"/>
      </w:rPr>
    </w:lvl>
    <w:lvl w:ilvl="7" w:tplc="180A0003" w:tentative="1">
      <w:start w:val="1"/>
      <w:numFmt w:val="bullet"/>
      <w:lvlText w:val="o"/>
      <w:lvlJc w:val="left"/>
      <w:pPr>
        <w:ind w:left="6120" w:hanging="360"/>
      </w:pPr>
      <w:rPr>
        <w:rFonts w:ascii="Courier New" w:hAnsi="Courier New" w:cs="Courier New" w:hint="default"/>
      </w:rPr>
    </w:lvl>
    <w:lvl w:ilvl="8" w:tplc="180A0005" w:tentative="1">
      <w:start w:val="1"/>
      <w:numFmt w:val="bullet"/>
      <w:lvlText w:val=""/>
      <w:lvlJc w:val="left"/>
      <w:pPr>
        <w:ind w:left="6840" w:hanging="360"/>
      </w:pPr>
      <w:rPr>
        <w:rFonts w:ascii="Wingdings" w:hAnsi="Wingdings" w:hint="default"/>
      </w:rPr>
    </w:lvl>
  </w:abstractNum>
  <w:abstractNum w:abstractNumId="3" w15:restartNumberingAfterBreak="0">
    <w:nsid w:val="5925280B"/>
    <w:multiLevelType w:val="hybridMultilevel"/>
    <w:tmpl w:val="AD6EEC9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33275568">
    <w:abstractNumId w:val="3"/>
  </w:num>
  <w:num w:numId="2" w16cid:durableId="472404093">
    <w:abstractNumId w:val="0"/>
  </w:num>
  <w:num w:numId="3" w16cid:durableId="1363356493">
    <w:abstractNumId w:val="4"/>
  </w:num>
  <w:num w:numId="4" w16cid:durableId="1874417210">
    <w:abstractNumId w:val="1"/>
  </w:num>
  <w:num w:numId="5" w16cid:durableId="1241258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46ADB"/>
    <w:rsid w:val="00050DB5"/>
    <w:rsid w:val="00064AD6"/>
    <w:rsid w:val="000C118D"/>
    <w:rsid w:val="00195118"/>
    <w:rsid w:val="001C1EA2"/>
    <w:rsid w:val="001E3FD8"/>
    <w:rsid w:val="001F2366"/>
    <w:rsid w:val="00201995"/>
    <w:rsid w:val="002044D9"/>
    <w:rsid w:val="00214F77"/>
    <w:rsid w:val="0021590A"/>
    <w:rsid w:val="00223E55"/>
    <w:rsid w:val="002E2316"/>
    <w:rsid w:val="00336E32"/>
    <w:rsid w:val="00360ACB"/>
    <w:rsid w:val="003800C7"/>
    <w:rsid w:val="003E10CD"/>
    <w:rsid w:val="003E2C20"/>
    <w:rsid w:val="003F5CA1"/>
    <w:rsid w:val="004003E8"/>
    <w:rsid w:val="00423E38"/>
    <w:rsid w:val="00463054"/>
    <w:rsid w:val="004A3654"/>
    <w:rsid w:val="004C0B86"/>
    <w:rsid w:val="004D1574"/>
    <w:rsid w:val="004D51F3"/>
    <w:rsid w:val="0051231A"/>
    <w:rsid w:val="0052634A"/>
    <w:rsid w:val="00540940"/>
    <w:rsid w:val="00544F2D"/>
    <w:rsid w:val="00546C8D"/>
    <w:rsid w:val="00556C08"/>
    <w:rsid w:val="005673D5"/>
    <w:rsid w:val="0056772C"/>
    <w:rsid w:val="00580013"/>
    <w:rsid w:val="005B434A"/>
    <w:rsid w:val="005F6A5F"/>
    <w:rsid w:val="006071D7"/>
    <w:rsid w:val="00637714"/>
    <w:rsid w:val="00656E9B"/>
    <w:rsid w:val="006B3C79"/>
    <w:rsid w:val="006C3B20"/>
    <w:rsid w:val="007001EE"/>
    <w:rsid w:val="00731B1B"/>
    <w:rsid w:val="0078460F"/>
    <w:rsid w:val="007B79E8"/>
    <w:rsid w:val="007D2EB7"/>
    <w:rsid w:val="008171F3"/>
    <w:rsid w:val="008577C4"/>
    <w:rsid w:val="00891E3C"/>
    <w:rsid w:val="00897AF3"/>
    <w:rsid w:val="00897ECF"/>
    <w:rsid w:val="008A27C1"/>
    <w:rsid w:val="008C7908"/>
    <w:rsid w:val="0090028D"/>
    <w:rsid w:val="00901303"/>
    <w:rsid w:val="0090355D"/>
    <w:rsid w:val="0090501E"/>
    <w:rsid w:val="00913640"/>
    <w:rsid w:val="009F70F4"/>
    <w:rsid w:val="00A065B4"/>
    <w:rsid w:val="00A15B62"/>
    <w:rsid w:val="00A240F7"/>
    <w:rsid w:val="00A37CA7"/>
    <w:rsid w:val="00A438EB"/>
    <w:rsid w:val="00A838F0"/>
    <w:rsid w:val="00A83D94"/>
    <w:rsid w:val="00AD6E3D"/>
    <w:rsid w:val="00AE7268"/>
    <w:rsid w:val="00B17BF0"/>
    <w:rsid w:val="00B24F99"/>
    <w:rsid w:val="00B27293"/>
    <w:rsid w:val="00B747D9"/>
    <w:rsid w:val="00B85353"/>
    <w:rsid w:val="00BC02E9"/>
    <w:rsid w:val="00BF0B50"/>
    <w:rsid w:val="00BF5CD3"/>
    <w:rsid w:val="00C23B0C"/>
    <w:rsid w:val="00C27587"/>
    <w:rsid w:val="00C42B39"/>
    <w:rsid w:val="00C439C0"/>
    <w:rsid w:val="00C86081"/>
    <w:rsid w:val="00C90263"/>
    <w:rsid w:val="00C94EA8"/>
    <w:rsid w:val="00CA1817"/>
    <w:rsid w:val="00CA7C9E"/>
    <w:rsid w:val="00CD2A27"/>
    <w:rsid w:val="00CD36BB"/>
    <w:rsid w:val="00CD4904"/>
    <w:rsid w:val="00CE0491"/>
    <w:rsid w:val="00D5230B"/>
    <w:rsid w:val="00D530C9"/>
    <w:rsid w:val="00D761FB"/>
    <w:rsid w:val="00DE327F"/>
    <w:rsid w:val="00DE67AF"/>
    <w:rsid w:val="00DE6957"/>
    <w:rsid w:val="00DF1832"/>
    <w:rsid w:val="00E277C5"/>
    <w:rsid w:val="00E82ED1"/>
    <w:rsid w:val="00E877BE"/>
    <w:rsid w:val="00E90C6D"/>
    <w:rsid w:val="00E924EC"/>
    <w:rsid w:val="00EC1186"/>
    <w:rsid w:val="00ED4D33"/>
    <w:rsid w:val="00EE29DA"/>
    <w:rsid w:val="00F316CA"/>
    <w:rsid w:val="00F45D9C"/>
    <w:rsid w:val="00F74266"/>
    <w:rsid w:val="00F74B59"/>
    <w:rsid w:val="00FA7459"/>
    <w:rsid w:val="00FB15CC"/>
    <w:rsid w:val="00FB1B58"/>
    <w:rsid w:val="00FE025E"/>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ListParagraph">
    <w:name w:val="List Paragraph"/>
    <w:basedOn w:val="Normal"/>
    <w:link w:val="ListParagraphChar"/>
    <w:uiPriority w:val="34"/>
    <w:qFormat/>
    <w:rsid w:val="00C86081"/>
    <w:pPr>
      <w:ind w:left="720"/>
      <w:contextualSpacing/>
    </w:pPr>
  </w:style>
  <w:style w:type="paragraph" w:styleId="BodyTextIndent3">
    <w:name w:val="Body Text Indent 3"/>
    <w:basedOn w:val="Normal"/>
    <w:link w:val="BodyTextIndent3Char"/>
    <w:uiPriority w:val="99"/>
    <w:semiHidden/>
    <w:unhideWhenUsed/>
    <w:rsid w:val="00B8535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85353"/>
    <w:rPr>
      <w:rFonts w:ascii="Arial" w:hAnsi="Arial" w:cs="Arial"/>
      <w:color w:val="000000"/>
      <w:sz w:val="16"/>
      <w:szCs w:val="16"/>
      <w:lang w:val="es-MX"/>
    </w:rPr>
  </w:style>
  <w:style w:type="table" w:styleId="TableGrid">
    <w:name w:val="Table Grid"/>
    <w:basedOn w:val="TableNormal"/>
    <w:uiPriority w:val="59"/>
    <w:rsid w:val="00B853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85353"/>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db.org/document.cfm?id=38988613" TargetMode="External"/><Relationship Id="rId18" Type="http://schemas.openxmlformats.org/officeDocument/2006/relationships/hyperlink" Target="https://www.iadb.org/es/project/PN-T1293" TargetMode="External"/><Relationship Id="rId26" Type="http://schemas.openxmlformats.org/officeDocument/2006/relationships/footer" Target="footer3.xml"/><Relationship Id="rId21" Type="http://schemas.openxmlformats.org/officeDocument/2006/relationships/header" Target="header1.xml"/><Relationship Id="rId34" Type="http://schemas.openxmlformats.org/officeDocument/2006/relationships/customXml" Target="../customXml/item6.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hyperlink" Target="http://www.iadb.org" TargetMode="External"/><Relationship Id="rId25" Type="http://schemas.openxmlformats.org/officeDocument/2006/relationships/header" Target="header3.xml"/><Relationship Id="rId33" Type="http://schemas.openxmlformats.org/officeDocument/2006/relationships/customXml" Target="../customXml/item5.xml"/><Relationship Id="rId16" Type="http://schemas.openxmlformats.org/officeDocument/2006/relationships/hyperlink" Target="mailto:arturoal@iadb.org" TargetMode="External"/><Relationship Id="rId20" Type="http://schemas.openxmlformats.org/officeDocument/2006/relationships/image" Target="media/image2.png"/><Relationship Id="rId29"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db.org/es/project/PN-T1293" TargetMode="External"/><Relationship Id="rId24" Type="http://schemas.openxmlformats.org/officeDocument/2006/relationships/footer" Target="footer2.xml"/><Relationship Id="rId32" Type="http://schemas.openxmlformats.org/officeDocument/2006/relationships/customXml" Target="../customXml/item4.xml"/><Relationship Id="rId5" Type="http://schemas.openxmlformats.org/officeDocument/2006/relationships/styles" Target="styles.xml"/><Relationship Id="rId15" Type="http://schemas.openxmlformats.org/officeDocument/2006/relationships/hyperlink" Target="mailto:ricardoesp@iadb.or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rturoal@iadb.org" TargetMode="Externa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463D548D13870429E7A53B7FA08D491" ma:contentTypeVersion="5263" ma:contentTypeDescription="The base project type from which other project content types inherit their information." ma:contentTypeScope="" ma:versionID="789cf9263415189f8734cd828a9b610d">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ATN/OC-19276-PN</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97</Value>
      <Value>25</Value>
      <Value>59</Value>
      <Value>9</Value>
      <Value>302</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PN-T1293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EZIDB0000438-1835420359-72</_dlc_DocId>
    <_dlc_DocIdUrl xmlns="cdc7663a-08f0-4737-9e8c-148ce897a09c">
      <Url>https://idbg.sharepoint.com/teams/EZ-PN-TCP/PN-T1293/_layouts/15/DocIdRedir.aspx?ID=EZIDB0000438-1835420359-72</Url>
      <Description>EZIDB0000438-1835420359-72</Description>
    </_dlc_DocIdUrl>
  </documentManagement>
</p:properties>
</file>

<file path=customXml/itemProps1.xml><?xml version="1.0" encoding="utf-8"?>
<ds:datastoreItem xmlns:ds="http://schemas.openxmlformats.org/officeDocument/2006/customXml" ds:itemID="{2297A111-2C33-4886-9C05-BB0544C7BFEC}"/>
</file>

<file path=customXml/itemProps2.xml><?xml version="1.0" encoding="utf-8"?>
<ds:datastoreItem xmlns:ds="http://schemas.openxmlformats.org/officeDocument/2006/customXml" ds:itemID="{1515E63F-0FC2-408F-A999-2422E033E4E1}"/>
</file>

<file path=customXml/itemProps3.xml><?xml version="1.0" encoding="utf-8"?>
<ds:datastoreItem xmlns:ds="http://schemas.openxmlformats.org/officeDocument/2006/customXml" ds:itemID="{D02E18ED-DACF-4B39-B37C-5D6809E232F6}"/>
</file>

<file path=customXml/itemProps4.xml><?xml version="1.0" encoding="utf-8"?>
<ds:datastoreItem xmlns:ds="http://schemas.openxmlformats.org/officeDocument/2006/customXml" ds:itemID="{297F2257-8DD5-4397-9EA7-D1A7DF2E7BBD}"/>
</file>

<file path=customXml/itemProps5.xml><?xml version="1.0" encoding="utf-8"?>
<ds:datastoreItem xmlns:ds="http://schemas.openxmlformats.org/officeDocument/2006/customXml" ds:itemID="{CF440D14-C415-4983-827C-D97F3D1F1D4C}"/>
</file>

<file path=customXml/itemProps6.xml><?xml version="1.0" encoding="utf-8"?>
<ds:datastoreItem xmlns:ds="http://schemas.openxmlformats.org/officeDocument/2006/customXml" ds:itemID="{5C3C9458-0C8A-4352-B6B2-62C45C036A0D}"/>
</file>

<file path=docProps/app.xml><?xml version="1.0" encoding="utf-8"?>
<Properties xmlns="http://schemas.openxmlformats.org/officeDocument/2006/extended-properties" xmlns:vt="http://schemas.openxmlformats.org/officeDocument/2006/docPropsVTypes">
  <Template>Normal</Template>
  <TotalTime>3</TotalTime>
  <Pages>7</Pages>
  <Words>2428</Words>
  <Characters>14157</Characters>
  <Application>Microsoft Office Word</Application>
  <DocSecurity>0</DocSecurity>
  <Lines>117</Lines>
  <Paragraphs>33</Paragraphs>
  <ScaleCrop>false</ScaleCrop>
  <Company>Inter-American Development Bank</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1</cp:revision>
  <cp:lastPrinted>2015-01-20T22:56:00Z</cp:lastPrinted>
  <dcterms:created xsi:type="dcterms:W3CDTF">2023-03-30T17:30:00Z</dcterms:created>
  <dcterms:modified xsi:type="dcterms:W3CDTF">2023-03-30T17:38:00Z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0x010100ACF722E9F6B0B149B0CD8BE2560A6672002463D548D13870429E7A53B7FA08D491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302;#ENERGY EFFICIENCY AND RENEWABLE ENERGY IN END USE|ab88142a-aa14-42df-80f4-969425d6f976</vt:lpwstr>
  </property>
  <property fmtid="{D5CDD505-2E9C-101B-9397-08002B2CF9AE}" pid="13" name="Fund IDB">
    <vt:lpwstr>59;#TBD|d62f6e05-3e80-4abd-9bb4-5f10b4906ff6</vt:lpwstr>
  </property>
  <property fmtid="{D5CDD505-2E9C-101B-9397-08002B2CF9AE}" pid="14" name="Sector IDB">
    <vt:lpwstr>97;#ENERGY|4fed196a-cd0b-4970-87de-42da17f9b203</vt:lpwstr>
  </property>
  <property fmtid="{D5CDD505-2E9C-101B-9397-08002B2CF9AE}" pid="15" name="_dlc_DocIdItemGuid">
    <vt:lpwstr>84271a63-79a6-4192-8245-e0bde8e5426e</vt:lpwstr>
  </property>
  <property fmtid="{D5CDD505-2E9C-101B-9397-08002B2CF9AE}" pid="16" name="Disclosure Activity">
    <vt:lpwstr>BEO Procurement</vt:lpwstr>
  </property>
  <property fmtid="{D5CDD505-2E9C-101B-9397-08002B2CF9AE}" pid="17" name="Webtopic">
    <vt:lpwstr>Climate Change and Renewable Energy;Electricity;Energy;Energy Distribution and Transmission;Energy Management and Regulation;Energy Markets and Studies;Extractive Industries;</vt:lpwstr>
  </property>
  <property fmtid="{D5CDD505-2E9C-101B-9397-08002B2CF9AE}" pid="18" name="Series Operations IDB">
    <vt:lpwstr/>
  </property>
</Properties>
</file>