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comments.xml" ContentType="application/vnd.openxmlformats-officedocument.wordprocessingml.comments+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714B6" w14:textId="4CF9E5E2" w:rsidR="00D761FB" w:rsidRPr="00946024" w:rsidRDefault="00546C8D" w:rsidP="00946024">
      <w:pPr>
        <w:pStyle w:val="Heading1a"/>
        <w:keepNext w:val="0"/>
        <w:keepLines w:val="0"/>
        <w:tabs>
          <w:tab w:val="clear" w:pos="-720"/>
        </w:tabs>
        <w:suppressAutoHyphens w:val="0"/>
        <w:rPr>
          <w:rFonts w:ascii="Arial" w:eastAsiaTheme="minorEastAsia" w:hAnsi="Arial" w:cs="Arial"/>
          <w:sz w:val="22"/>
          <w:szCs w:val="22"/>
          <w:u w:val="single"/>
          <w:lang w:val="es-ES"/>
        </w:rPr>
      </w:pPr>
      <w:r w:rsidRPr="00946024">
        <w:rPr>
          <w:rFonts w:ascii="Arial" w:eastAsiaTheme="minorEastAsia" w:hAnsi="Arial" w:cs="Arial"/>
          <w:smallCaps w:val="0"/>
          <w:sz w:val="22"/>
          <w:szCs w:val="22"/>
          <w:u w:val="single"/>
          <w:lang w:val="es-ES"/>
        </w:rPr>
        <w:t xml:space="preserve">SOLICITUD DE </w:t>
      </w:r>
      <w:r w:rsidR="00E82ED1" w:rsidRPr="00946024">
        <w:rPr>
          <w:rFonts w:ascii="Arial" w:eastAsiaTheme="minorEastAsia" w:hAnsi="Arial" w:cs="Arial"/>
          <w:smallCaps w:val="0"/>
          <w:sz w:val="22"/>
          <w:szCs w:val="22"/>
          <w:u w:val="single"/>
          <w:lang w:val="es-ES"/>
        </w:rPr>
        <w:t xml:space="preserve">EXPRESIONES </w:t>
      </w:r>
      <w:r w:rsidRPr="00946024">
        <w:rPr>
          <w:rFonts w:ascii="Arial" w:eastAsiaTheme="minorEastAsia" w:hAnsi="Arial" w:cs="Arial"/>
          <w:smallCaps w:val="0"/>
          <w:sz w:val="22"/>
          <w:szCs w:val="22"/>
          <w:u w:val="single"/>
          <w:lang w:val="es-ES"/>
        </w:rPr>
        <w:t>DE INTERÉS</w:t>
      </w:r>
    </w:p>
    <w:p w14:paraId="32A39256" w14:textId="77777777" w:rsidR="00D761FB" w:rsidRPr="00946024" w:rsidRDefault="00546C8D" w:rsidP="00946024">
      <w:pPr>
        <w:pStyle w:val="Heading1a"/>
        <w:keepNext w:val="0"/>
        <w:keepLines w:val="0"/>
        <w:tabs>
          <w:tab w:val="clear" w:pos="-720"/>
        </w:tabs>
        <w:suppressAutoHyphens w:val="0"/>
        <w:rPr>
          <w:rFonts w:ascii="Arial" w:eastAsiaTheme="minorEastAsia" w:hAnsi="Arial" w:cs="Arial"/>
          <w:sz w:val="22"/>
          <w:szCs w:val="22"/>
          <w:u w:val="single"/>
        </w:rPr>
      </w:pPr>
      <w:r w:rsidRPr="00946024">
        <w:rPr>
          <w:rFonts w:ascii="Arial" w:eastAsiaTheme="minorEastAsia" w:hAnsi="Arial" w:cs="Arial"/>
          <w:smallCaps w:val="0"/>
          <w:sz w:val="22"/>
          <w:szCs w:val="22"/>
          <w:u w:val="single"/>
        </w:rPr>
        <w:t>SERVICIOS DE CONSULTORÍA</w:t>
      </w:r>
    </w:p>
    <w:p w14:paraId="2E615853" w14:textId="77777777" w:rsidR="00D761FB" w:rsidRPr="00946024" w:rsidRDefault="00D761FB">
      <w:pPr>
        <w:jc w:val="both"/>
        <w:rPr>
          <w:color w:val="auto"/>
          <w:sz w:val="22"/>
          <w:szCs w:val="22"/>
        </w:rPr>
      </w:pPr>
    </w:p>
    <w:p w14:paraId="628BF229" w14:textId="6732A155" w:rsidR="00D761FB" w:rsidRPr="00946024" w:rsidRDefault="14F72744" w:rsidP="00946024">
      <w:pPr>
        <w:suppressAutoHyphens/>
        <w:spacing w:after="80"/>
        <w:jc w:val="both"/>
        <w:rPr>
          <w:color w:val="auto"/>
          <w:sz w:val="22"/>
          <w:szCs w:val="22"/>
        </w:rPr>
      </w:pPr>
      <w:commentRangeStart w:id="0"/>
      <w:commentRangeStart w:id="1"/>
      <w:r w:rsidRPr="00946024">
        <w:rPr>
          <w:b/>
          <w:bCs/>
          <w:color w:val="auto"/>
          <w:sz w:val="22"/>
          <w:szCs w:val="22"/>
        </w:rPr>
        <w:t>Selección #:</w:t>
      </w:r>
      <w:r w:rsidR="00261387" w:rsidRPr="00946024">
        <w:rPr>
          <w:color w:val="auto"/>
          <w:sz w:val="22"/>
          <w:szCs w:val="22"/>
        </w:rPr>
        <w:t xml:space="preserve"> </w:t>
      </w:r>
      <w:r w:rsidR="59590219" w:rsidRPr="00946024">
        <w:rPr>
          <w:color w:val="auto"/>
          <w:sz w:val="22"/>
          <w:szCs w:val="22"/>
        </w:rPr>
        <w:t>RG-T3701-</w:t>
      </w:r>
      <w:r w:rsidR="1FFC0DA2" w:rsidRPr="00946024">
        <w:rPr>
          <w:color w:val="auto"/>
          <w:sz w:val="22"/>
          <w:szCs w:val="22"/>
        </w:rPr>
        <w:t>P</w:t>
      </w:r>
      <w:r w:rsidR="59590219" w:rsidRPr="00946024">
        <w:rPr>
          <w:color w:val="auto"/>
          <w:sz w:val="22"/>
          <w:szCs w:val="22"/>
        </w:rPr>
        <w:t>003</w:t>
      </w:r>
      <w:commentRangeEnd w:id="0"/>
      <w:r w:rsidR="71A5113C" w:rsidRPr="00946024">
        <w:rPr>
          <w:rStyle w:val="CommentReference"/>
          <w:color w:val="auto"/>
          <w:sz w:val="22"/>
          <w:szCs w:val="22"/>
        </w:rPr>
        <w:commentReference w:id="0"/>
      </w:r>
      <w:commentRangeEnd w:id="1"/>
      <w:r w:rsidR="71A5113C" w:rsidRPr="00946024">
        <w:rPr>
          <w:rStyle w:val="CommentReference"/>
          <w:color w:val="auto"/>
          <w:sz w:val="22"/>
          <w:szCs w:val="22"/>
        </w:rPr>
        <w:commentReference w:id="1"/>
      </w:r>
    </w:p>
    <w:p w14:paraId="2FE659F0" w14:textId="4E130786" w:rsidR="00D761FB" w:rsidRPr="00946024" w:rsidRDefault="08202347" w:rsidP="00946024">
      <w:pPr>
        <w:spacing w:after="80"/>
        <w:jc w:val="both"/>
        <w:rPr>
          <w:color w:val="auto"/>
          <w:sz w:val="22"/>
          <w:szCs w:val="22"/>
        </w:rPr>
      </w:pPr>
      <w:r w:rsidRPr="00946024">
        <w:rPr>
          <w:b/>
          <w:bCs/>
          <w:color w:val="auto"/>
          <w:sz w:val="22"/>
          <w:szCs w:val="22"/>
        </w:rPr>
        <w:t>Método de selección:</w:t>
      </w:r>
      <w:r w:rsidR="00CA1BF6" w:rsidRPr="00946024">
        <w:rPr>
          <w:color w:val="auto"/>
          <w:sz w:val="22"/>
          <w:szCs w:val="22"/>
        </w:rPr>
        <w:t xml:space="preserve"> Competitiva simplificada</w:t>
      </w:r>
    </w:p>
    <w:p w14:paraId="4356DB27" w14:textId="764F3963" w:rsidR="00D761FB" w:rsidRPr="00946024" w:rsidRDefault="08202347" w:rsidP="00946024">
      <w:pPr>
        <w:suppressAutoHyphens/>
        <w:spacing w:after="80"/>
        <w:jc w:val="both"/>
        <w:rPr>
          <w:color w:val="auto"/>
          <w:sz w:val="22"/>
          <w:szCs w:val="22"/>
        </w:rPr>
      </w:pPr>
      <w:r w:rsidRPr="00946024">
        <w:rPr>
          <w:b/>
          <w:bCs/>
          <w:color w:val="auto"/>
          <w:sz w:val="22"/>
          <w:szCs w:val="22"/>
        </w:rPr>
        <w:t>País:</w:t>
      </w:r>
      <w:r w:rsidR="00CA1BF6" w:rsidRPr="00946024">
        <w:rPr>
          <w:color w:val="auto"/>
          <w:sz w:val="22"/>
          <w:szCs w:val="22"/>
        </w:rPr>
        <w:t xml:space="preserve"> Uruguay</w:t>
      </w:r>
    </w:p>
    <w:p w14:paraId="4C834057" w14:textId="31FE4683" w:rsidR="00D761FB" w:rsidRPr="00946024" w:rsidRDefault="08202347" w:rsidP="00946024">
      <w:pPr>
        <w:suppressAutoHyphens/>
        <w:spacing w:after="80"/>
        <w:jc w:val="both"/>
        <w:rPr>
          <w:color w:val="auto"/>
          <w:sz w:val="22"/>
          <w:szCs w:val="22"/>
        </w:rPr>
      </w:pPr>
      <w:r w:rsidRPr="00946024">
        <w:rPr>
          <w:b/>
          <w:bCs/>
          <w:color w:val="auto"/>
          <w:sz w:val="22"/>
          <w:szCs w:val="22"/>
        </w:rPr>
        <w:t>Sector:</w:t>
      </w:r>
      <w:r w:rsidR="00CA1BF6" w:rsidRPr="00946024">
        <w:rPr>
          <w:color w:val="auto"/>
          <w:sz w:val="22"/>
          <w:szCs w:val="22"/>
        </w:rPr>
        <w:t xml:space="preserve"> </w:t>
      </w:r>
      <w:r w:rsidR="00946024">
        <w:rPr>
          <w:color w:val="auto"/>
          <w:sz w:val="22"/>
          <w:szCs w:val="22"/>
        </w:rPr>
        <w:t>Medio Ambiente y Desastres Naturales</w:t>
      </w:r>
    </w:p>
    <w:p w14:paraId="420580C3" w14:textId="66B72259" w:rsidR="00D761FB" w:rsidRPr="00946024" w:rsidRDefault="08202347" w:rsidP="00946024">
      <w:pPr>
        <w:suppressAutoHyphens/>
        <w:spacing w:after="80"/>
        <w:jc w:val="both"/>
        <w:rPr>
          <w:color w:val="auto"/>
          <w:sz w:val="22"/>
          <w:szCs w:val="22"/>
        </w:rPr>
      </w:pPr>
      <w:r w:rsidRPr="00946024">
        <w:rPr>
          <w:b/>
          <w:bCs/>
          <w:color w:val="auto"/>
          <w:sz w:val="22"/>
          <w:szCs w:val="22"/>
        </w:rPr>
        <w:t>Financiación - TC #:</w:t>
      </w:r>
      <w:r w:rsidR="00193E5E" w:rsidRPr="00946024">
        <w:rPr>
          <w:color w:val="auto"/>
          <w:sz w:val="22"/>
          <w:szCs w:val="22"/>
        </w:rPr>
        <w:t xml:space="preserve"> ATN/AC-18245-RG</w:t>
      </w:r>
    </w:p>
    <w:p w14:paraId="6B175998" w14:textId="046E5DCE" w:rsidR="00D761FB" w:rsidRPr="00946024" w:rsidRDefault="08202347" w:rsidP="00946024">
      <w:pPr>
        <w:pStyle w:val="BodyText"/>
        <w:spacing w:after="80"/>
        <w:jc w:val="both"/>
        <w:rPr>
          <w:rFonts w:ascii="Arial" w:hAnsi="Arial" w:cs="Arial"/>
          <w:sz w:val="22"/>
          <w:szCs w:val="22"/>
          <w:lang w:val="en-US"/>
        </w:rPr>
      </w:pPr>
      <w:r w:rsidRPr="00946024">
        <w:rPr>
          <w:rFonts w:ascii="Arial" w:eastAsiaTheme="minorEastAsia" w:hAnsi="Arial" w:cs="Arial"/>
          <w:b/>
          <w:bCs/>
          <w:sz w:val="22"/>
          <w:szCs w:val="22"/>
          <w:lang w:val="en-US"/>
        </w:rPr>
        <w:t>Proyecto #:</w:t>
      </w:r>
      <w:r w:rsidR="00193E5E" w:rsidRPr="00946024">
        <w:rPr>
          <w:rFonts w:ascii="Arial" w:eastAsiaTheme="minorEastAsia" w:hAnsi="Arial" w:cs="Arial"/>
          <w:sz w:val="22"/>
          <w:szCs w:val="22"/>
          <w:lang w:val="en-US"/>
        </w:rPr>
        <w:t xml:space="preserve"> RG-T3701</w:t>
      </w:r>
    </w:p>
    <w:p w14:paraId="08959238" w14:textId="6661DB81" w:rsidR="00D761FB" w:rsidRPr="00946024" w:rsidRDefault="08202347" w:rsidP="00946024">
      <w:pPr>
        <w:pStyle w:val="BodyText"/>
        <w:spacing w:after="80"/>
        <w:jc w:val="both"/>
        <w:rPr>
          <w:rFonts w:ascii="Arial" w:hAnsi="Arial" w:cs="Arial"/>
          <w:sz w:val="22"/>
          <w:szCs w:val="22"/>
          <w:lang w:val="es-CO"/>
        </w:rPr>
      </w:pPr>
      <w:r w:rsidRPr="00946024">
        <w:rPr>
          <w:rFonts w:ascii="Arial" w:eastAsiaTheme="minorEastAsia" w:hAnsi="Arial" w:cs="Arial"/>
          <w:b/>
          <w:bCs/>
          <w:sz w:val="22"/>
          <w:szCs w:val="22"/>
          <w:lang w:val="es-CO"/>
        </w:rPr>
        <w:t>Nombre del TC:</w:t>
      </w:r>
      <w:r w:rsidR="003F0AED" w:rsidRPr="00946024">
        <w:rPr>
          <w:rFonts w:ascii="Arial" w:eastAsiaTheme="minorEastAsia" w:hAnsi="Arial" w:cs="Arial"/>
          <w:sz w:val="22"/>
          <w:szCs w:val="22"/>
          <w:lang w:val="es-CO"/>
        </w:rPr>
        <w:t xml:space="preserve"> </w:t>
      </w:r>
      <w:r w:rsidR="00794CE4" w:rsidRPr="00946024">
        <w:rPr>
          <w:rFonts w:ascii="Arial" w:eastAsiaTheme="minorEastAsia" w:hAnsi="Arial" w:cs="Arial"/>
          <w:sz w:val="22"/>
          <w:szCs w:val="22"/>
          <w:lang w:val="es-CO"/>
        </w:rPr>
        <w:t>Cómo Atender las Consecuencias Socioeconómicas del CoViD-19 a Través de Opciones Resilientes de Crecimiento Verde</w:t>
      </w:r>
      <w:r w:rsidR="00794CE4" w:rsidRPr="00946024">
        <w:rPr>
          <w:rFonts w:ascii="Arial" w:eastAsiaTheme="minorEastAsia" w:hAnsi="Arial" w:cs="Arial"/>
          <w:sz w:val="22"/>
          <w:szCs w:val="22"/>
          <w:lang w:val="es-CO"/>
        </w:rPr>
        <w:t xml:space="preserve"> S</w:t>
      </w:r>
      <w:r w:rsidR="00794CE4" w:rsidRPr="00946024">
        <w:rPr>
          <w:rFonts w:ascii="Arial" w:eastAsiaTheme="minorEastAsia" w:hAnsi="Arial" w:cs="Arial"/>
          <w:sz w:val="22"/>
          <w:szCs w:val="22"/>
          <w:lang w:val="es-CO"/>
        </w:rPr>
        <w:t>ostenible</w:t>
      </w:r>
    </w:p>
    <w:p w14:paraId="35128683" w14:textId="46EDA8FF" w:rsidR="00D761FB" w:rsidRPr="00946024" w:rsidRDefault="08202347" w:rsidP="00946024">
      <w:pPr>
        <w:pStyle w:val="BodyText"/>
        <w:spacing w:after="80"/>
        <w:jc w:val="both"/>
        <w:rPr>
          <w:rFonts w:ascii="Arial" w:eastAsiaTheme="minorEastAsia" w:hAnsi="Arial" w:cs="Arial"/>
          <w:sz w:val="22"/>
          <w:szCs w:val="22"/>
        </w:rPr>
      </w:pPr>
      <w:r w:rsidRPr="00163F1B">
        <w:rPr>
          <w:rFonts w:ascii="Arial" w:eastAsiaTheme="minorEastAsia" w:hAnsi="Arial" w:cs="Arial"/>
          <w:b/>
          <w:bCs/>
          <w:sz w:val="22"/>
          <w:szCs w:val="22"/>
        </w:rPr>
        <w:t>Descripción de los Servicios:</w:t>
      </w:r>
      <w:r w:rsidR="00BF5CD9" w:rsidRPr="00946024">
        <w:rPr>
          <w:rFonts w:ascii="Arial" w:eastAsiaTheme="minorEastAsia" w:hAnsi="Arial" w:cs="Arial"/>
          <w:sz w:val="22"/>
          <w:szCs w:val="22"/>
        </w:rPr>
        <w:t xml:space="preserve"> Consolidación de Mejores Prácticas en Datos Abiertos Climáticos</w:t>
      </w:r>
      <w:r w:rsidR="00794CE4" w:rsidRPr="00946024">
        <w:rPr>
          <w:rFonts w:ascii="Arial" w:eastAsiaTheme="minorEastAsia" w:hAnsi="Arial" w:cs="Arial"/>
          <w:sz w:val="22"/>
          <w:szCs w:val="22"/>
        </w:rPr>
        <w:t>.</w:t>
      </w:r>
      <w:r w:rsidRPr="00946024">
        <w:rPr>
          <w:rFonts w:ascii="Arial" w:eastAsiaTheme="minorEastAsia" w:hAnsi="Arial" w:cs="Arial"/>
          <w:sz w:val="22"/>
          <w:szCs w:val="22"/>
        </w:rPr>
        <w:t xml:space="preserve"> </w:t>
      </w:r>
    </w:p>
    <w:p w14:paraId="18F92703" w14:textId="5A1F8A9D" w:rsidR="00D761FB" w:rsidRPr="00946024" w:rsidRDefault="08202347" w:rsidP="00946024">
      <w:pPr>
        <w:pStyle w:val="BodyText"/>
        <w:spacing w:after="80"/>
        <w:jc w:val="both"/>
        <w:rPr>
          <w:rFonts w:ascii="Arial" w:eastAsiaTheme="minorEastAsia" w:hAnsi="Arial" w:cs="Arial"/>
          <w:sz w:val="22"/>
          <w:szCs w:val="22"/>
        </w:rPr>
      </w:pPr>
      <w:r w:rsidRPr="00946024">
        <w:rPr>
          <w:rFonts w:ascii="Arial" w:eastAsiaTheme="minorEastAsia" w:hAnsi="Arial" w:cs="Arial"/>
          <w:b/>
          <w:bCs/>
          <w:sz w:val="22"/>
          <w:szCs w:val="22"/>
        </w:rPr>
        <w:t>Enlace al documento TC:</w:t>
      </w:r>
      <w:r w:rsidRPr="00946024">
        <w:rPr>
          <w:rFonts w:ascii="Arial" w:eastAsiaTheme="minorEastAsia" w:hAnsi="Arial" w:cs="Arial"/>
          <w:sz w:val="22"/>
          <w:szCs w:val="22"/>
        </w:rPr>
        <w:t xml:space="preserve"> </w:t>
      </w:r>
      <w:hyperlink r:id="rId17" w:history="1">
        <w:r w:rsidR="00946024" w:rsidRPr="00946024">
          <w:rPr>
            <w:rStyle w:val="Hyperlink"/>
            <w:rFonts w:ascii="Arial" w:eastAsiaTheme="minorEastAsia" w:hAnsi="Arial" w:cs="Arial"/>
            <w:sz w:val="22"/>
            <w:szCs w:val="22"/>
          </w:rPr>
          <w:t>https://www.iadb.org/en/project/RG-T3701</w:t>
        </w:r>
      </w:hyperlink>
      <w:r w:rsidR="00946024" w:rsidRPr="00946024">
        <w:rPr>
          <w:rFonts w:ascii="Arial" w:eastAsiaTheme="minorEastAsia" w:hAnsi="Arial" w:cs="Arial"/>
          <w:sz w:val="22"/>
          <w:szCs w:val="22"/>
        </w:rPr>
        <w:t>.</w:t>
      </w:r>
    </w:p>
    <w:p w14:paraId="5D15DF79" w14:textId="77777777" w:rsidR="00D761FB" w:rsidRPr="00946024" w:rsidRDefault="00D761FB" w:rsidP="00946024">
      <w:pPr>
        <w:pStyle w:val="BodyText"/>
        <w:jc w:val="both"/>
        <w:rPr>
          <w:rFonts w:ascii="Arial" w:hAnsi="Arial" w:cs="Arial"/>
          <w:color w:val="0070C0"/>
          <w:sz w:val="22"/>
          <w:szCs w:val="22"/>
        </w:rPr>
      </w:pPr>
    </w:p>
    <w:p w14:paraId="2C0FC91B" w14:textId="16AAAF31" w:rsidR="00D761FB" w:rsidRPr="00946024" w:rsidRDefault="08202347" w:rsidP="00946024">
      <w:pPr>
        <w:jc w:val="both"/>
        <w:rPr>
          <w:color w:val="auto"/>
          <w:sz w:val="22"/>
          <w:szCs w:val="22"/>
        </w:rPr>
      </w:pPr>
      <w:r w:rsidRPr="00946024">
        <w:rPr>
          <w:color w:val="auto"/>
          <w:sz w:val="22"/>
          <w:szCs w:val="22"/>
        </w:rPr>
        <w:t xml:space="preserve">El Banco Interamericano de Desarrollo (BID) está ejecutando la operación antes mencionada. Para esta operación, el BID </w:t>
      </w:r>
      <w:r w:rsidRPr="00946024">
        <w:rPr>
          <w:sz w:val="22"/>
          <w:szCs w:val="22"/>
        </w:rPr>
        <w:t>tiene la intención de contratar los servicios de consultoría descritos en esta Solicitud de Expresiones de Interés.</w:t>
      </w:r>
      <w:r w:rsidR="005B434A" w:rsidRPr="00946024">
        <w:rPr>
          <w:sz w:val="22"/>
          <w:szCs w:val="22"/>
        </w:rPr>
        <w:t xml:space="preserve"> </w:t>
      </w:r>
      <w:r w:rsidR="005B434A" w:rsidRPr="00946024">
        <w:rPr>
          <w:color w:val="auto"/>
          <w:sz w:val="22"/>
          <w:szCs w:val="22"/>
        </w:rPr>
        <w:t xml:space="preserve">Las expresiones de interés deberán ser recibidas usando el Portal del BID para las Operaciones Ejecutadas por el Banco </w:t>
      </w:r>
      <w:hyperlink r:id="rId18" w:history="1">
        <w:r w:rsidR="005B434A" w:rsidRPr="00946024">
          <w:rPr>
            <w:rStyle w:val="Hyperlink"/>
            <w:rFonts w:eastAsia="Calibri"/>
            <w:sz w:val="22"/>
            <w:szCs w:val="22"/>
            <w:lang w:val="es-ES"/>
          </w:rPr>
          <w:t>http://beo-procurement.iadb.org/home</w:t>
        </w:r>
      </w:hyperlink>
      <w:r w:rsidR="005B434A" w:rsidRPr="00946024">
        <w:rPr>
          <w:color w:val="auto"/>
          <w:sz w:val="22"/>
          <w:szCs w:val="22"/>
        </w:rPr>
        <w:t xml:space="preserve"> antes de</w:t>
      </w:r>
      <w:r w:rsidR="00FA74C5" w:rsidRPr="00946024">
        <w:rPr>
          <w:color w:val="auto"/>
          <w:sz w:val="22"/>
          <w:szCs w:val="22"/>
        </w:rPr>
        <w:t xml:space="preserve"> </w:t>
      </w:r>
      <w:commentRangeStart w:id="2"/>
      <w:commentRangeStart w:id="3"/>
      <w:r w:rsidR="00FA74C5" w:rsidRPr="00946024">
        <w:rPr>
          <w:color w:val="auto"/>
          <w:sz w:val="22"/>
          <w:szCs w:val="22"/>
        </w:rPr>
        <w:t xml:space="preserve">24/4/2023 </w:t>
      </w:r>
      <w:commentRangeEnd w:id="2"/>
      <w:r w:rsidR="00FA74C5" w:rsidRPr="00946024">
        <w:rPr>
          <w:rStyle w:val="CommentReference"/>
          <w:sz w:val="22"/>
          <w:szCs w:val="22"/>
        </w:rPr>
        <w:commentReference w:id="2"/>
      </w:r>
      <w:commentRangeEnd w:id="3"/>
      <w:r w:rsidR="008A2A21" w:rsidRPr="00946024">
        <w:rPr>
          <w:rStyle w:val="CommentReference"/>
          <w:sz w:val="22"/>
          <w:szCs w:val="22"/>
        </w:rPr>
        <w:commentReference w:id="3"/>
      </w:r>
      <w:r w:rsidR="00FA74C5" w:rsidRPr="00946024">
        <w:rPr>
          <w:color w:val="auto"/>
          <w:sz w:val="22"/>
          <w:szCs w:val="22"/>
        </w:rPr>
        <w:t xml:space="preserve">a las </w:t>
      </w:r>
      <w:r w:rsidR="005B434A" w:rsidRPr="00946024">
        <w:rPr>
          <w:color w:val="auto"/>
          <w:sz w:val="22"/>
          <w:szCs w:val="22"/>
        </w:rPr>
        <w:t>5:00 P.M. (Hora de Washington DC).</w:t>
      </w:r>
    </w:p>
    <w:p w14:paraId="3B4B0DCE" w14:textId="495D739F" w:rsidR="00E90C6D" w:rsidRPr="00946024" w:rsidRDefault="00E90C6D" w:rsidP="00946024">
      <w:pPr>
        <w:jc w:val="both"/>
        <w:rPr>
          <w:color w:val="auto"/>
          <w:sz w:val="22"/>
          <w:szCs w:val="22"/>
        </w:rPr>
      </w:pPr>
    </w:p>
    <w:p w14:paraId="2CDBF98B" w14:textId="79D2E17A" w:rsidR="00D761FB" w:rsidRPr="00946024" w:rsidRDefault="00195118" w:rsidP="00946024">
      <w:pPr>
        <w:jc w:val="both"/>
        <w:rPr>
          <w:color w:val="auto"/>
          <w:sz w:val="22"/>
          <w:szCs w:val="22"/>
        </w:rPr>
      </w:pPr>
      <w:r w:rsidRPr="00946024">
        <w:rPr>
          <w:color w:val="auto"/>
          <w:sz w:val="22"/>
          <w:szCs w:val="22"/>
        </w:rPr>
        <w:t xml:space="preserve">Para acceder al Portal del BID, las firmas deberán de generar una cuenta de registro, incluyendo </w:t>
      </w:r>
      <w:r w:rsidRPr="00946024">
        <w:rPr>
          <w:b/>
          <w:bCs/>
          <w:color w:val="auto"/>
          <w:sz w:val="22"/>
          <w:szCs w:val="22"/>
        </w:rPr>
        <w:t>todos</w:t>
      </w:r>
      <w:r w:rsidRPr="00946024">
        <w:rPr>
          <w:color w:val="auto"/>
          <w:sz w:val="22"/>
          <w:szCs w:val="22"/>
        </w:rPr>
        <w:t xml:space="preserve"> los datos solicitados por el Portal. En caso de que alguno de los datos solicitados no sea completado, la firma no podrá participar en este o cualquier otro proceso de selección ejecutado por el BID para trabajo operacional. </w:t>
      </w:r>
      <w:r w:rsidR="00897ECF" w:rsidRPr="00946024">
        <w:rPr>
          <w:color w:val="auto"/>
          <w:sz w:val="22"/>
          <w:szCs w:val="22"/>
        </w:rPr>
        <w:t>Si</w:t>
      </w:r>
      <w:r w:rsidRPr="00946024">
        <w:rPr>
          <w:color w:val="auto"/>
          <w:sz w:val="22"/>
          <w:szCs w:val="22"/>
        </w:rPr>
        <w:t xml:space="preserve"> su firma ya se haya registrado previamente, deberá de validar que cuenta con </w:t>
      </w:r>
      <w:r w:rsidRPr="00946024">
        <w:rPr>
          <w:b/>
          <w:bCs/>
          <w:color w:val="auto"/>
          <w:sz w:val="22"/>
          <w:szCs w:val="22"/>
        </w:rPr>
        <w:t>todos</w:t>
      </w:r>
      <w:r w:rsidRPr="00946024">
        <w:rPr>
          <w:color w:val="auto"/>
          <w:sz w:val="22"/>
          <w:szCs w:val="22"/>
        </w:rPr>
        <w:t xml:space="preserve"> los datos completos y actualizados antes de presentar una expresión de interés.</w:t>
      </w:r>
    </w:p>
    <w:p w14:paraId="2C349D0C" w14:textId="77777777" w:rsidR="00195118" w:rsidRPr="00946024" w:rsidRDefault="00195118" w:rsidP="00946024">
      <w:pPr>
        <w:jc w:val="both"/>
        <w:rPr>
          <w:sz w:val="22"/>
          <w:szCs w:val="22"/>
          <w:lang w:val="es-419"/>
        </w:rPr>
      </w:pPr>
    </w:p>
    <w:p w14:paraId="6950FB9B" w14:textId="6817688E" w:rsidR="00D761FB" w:rsidRPr="00946024" w:rsidRDefault="08202347" w:rsidP="00946024">
      <w:pPr>
        <w:suppressAutoHyphens/>
        <w:jc w:val="both"/>
        <w:rPr>
          <w:color w:val="0070C0"/>
          <w:sz w:val="22"/>
          <w:szCs w:val="22"/>
        </w:rPr>
      </w:pPr>
      <w:r w:rsidRPr="00946024">
        <w:rPr>
          <w:sz w:val="22"/>
          <w:szCs w:val="22"/>
        </w:rPr>
        <w:t>Los servicios de consultoría ("los Servicios") incluyen</w:t>
      </w:r>
      <w:r w:rsidR="002157F0" w:rsidRPr="00946024">
        <w:rPr>
          <w:sz w:val="22"/>
          <w:szCs w:val="22"/>
        </w:rPr>
        <w:t xml:space="preserve"> </w:t>
      </w:r>
      <w:commentRangeStart w:id="4"/>
      <w:commentRangeStart w:id="5"/>
      <w:r w:rsidR="002157F0" w:rsidRPr="00946024">
        <w:rPr>
          <w:sz w:val="22"/>
          <w:szCs w:val="22"/>
        </w:rPr>
        <w:t xml:space="preserve">la realización de materiales para la difusión audiovisual del concurso de innovación cambio climático en castellano y traducido al inglés y el reporte de experiencias e iniciativas de datos </w:t>
      </w:r>
      <w:r w:rsidR="00282D20" w:rsidRPr="00946024">
        <w:rPr>
          <w:sz w:val="22"/>
          <w:szCs w:val="22"/>
        </w:rPr>
        <w:t>abiertos para el cambio climático en América Latina</w:t>
      </w:r>
      <w:commentRangeEnd w:id="4"/>
      <w:r w:rsidR="007E54EF" w:rsidRPr="00946024">
        <w:rPr>
          <w:rStyle w:val="CommentReference"/>
          <w:sz w:val="22"/>
          <w:szCs w:val="22"/>
        </w:rPr>
        <w:commentReference w:id="4"/>
      </w:r>
      <w:commentRangeEnd w:id="5"/>
      <w:r w:rsidR="008A2A21" w:rsidRPr="00946024">
        <w:rPr>
          <w:rStyle w:val="CommentReference"/>
          <w:sz w:val="22"/>
          <w:szCs w:val="22"/>
        </w:rPr>
        <w:commentReference w:id="5"/>
      </w:r>
      <w:r w:rsidR="00282D20" w:rsidRPr="00946024">
        <w:rPr>
          <w:sz w:val="22"/>
          <w:szCs w:val="22"/>
        </w:rPr>
        <w:t xml:space="preserve">, </w:t>
      </w:r>
      <w:commentRangeStart w:id="6"/>
      <w:commentRangeStart w:id="7"/>
      <w:r w:rsidR="00282D20" w:rsidRPr="00946024">
        <w:rPr>
          <w:sz w:val="22"/>
          <w:szCs w:val="22"/>
        </w:rPr>
        <w:t>en el</w:t>
      </w:r>
      <w:r w:rsidR="007E54EF" w:rsidRPr="00946024">
        <w:rPr>
          <w:sz w:val="22"/>
          <w:szCs w:val="22"/>
        </w:rPr>
        <w:t xml:space="preserve"> tercer trimestre de 2023</w:t>
      </w:r>
      <w:r w:rsidR="007E54EF" w:rsidRPr="00946024">
        <w:rPr>
          <w:color w:val="0070C0"/>
          <w:sz w:val="22"/>
          <w:szCs w:val="22"/>
        </w:rPr>
        <w:t>.</w:t>
      </w:r>
      <w:commentRangeEnd w:id="6"/>
      <w:r w:rsidR="007E54EF" w:rsidRPr="00946024">
        <w:rPr>
          <w:rStyle w:val="CommentReference"/>
          <w:sz w:val="22"/>
          <w:szCs w:val="22"/>
        </w:rPr>
        <w:commentReference w:id="6"/>
      </w:r>
      <w:commentRangeEnd w:id="7"/>
      <w:r w:rsidR="00A3263C" w:rsidRPr="00946024">
        <w:rPr>
          <w:rStyle w:val="CommentReference"/>
          <w:sz w:val="22"/>
          <w:szCs w:val="22"/>
        </w:rPr>
        <w:commentReference w:id="7"/>
      </w:r>
    </w:p>
    <w:p w14:paraId="545B4BCE" w14:textId="77777777" w:rsidR="00D761FB" w:rsidRPr="00946024" w:rsidRDefault="00546C8D" w:rsidP="00946024">
      <w:pPr>
        <w:jc w:val="both"/>
        <w:rPr>
          <w:color w:val="auto"/>
          <w:sz w:val="22"/>
          <w:szCs w:val="22"/>
        </w:rPr>
      </w:pPr>
      <w:r w:rsidRPr="00946024">
        <w:rPr>
          <w:color w:val="auto"/>
          <w:sz w:val="22"/>
          <w:szCs w:val="22"/>
        </w:rPr>
        <w:t xml:space="preserve"> </w:t>
      </w:r>
    </w:p>
    <w:p w14:paraId="35803BFB" w14:textId="11602A69" w:rsidR="00D761FB" w:rsidRPr="00946024" w:rsidRDefault="08202347" w:rsidP="00946024">
      <w:pPr>
        <w:jc w:val="both"/>
        <w:rPr>
          <w:color w:val="auto"/>
          <w:sz w:val="22"/>
          <w:szCs w:val="22"/>
        </w:rPr>
      </w:pPr>
      <w:r w:rsidRPr="00946024">
        <w:rPr>
          <w:color w:val="auto"/>
          <w:sz w:val="22"/>
          <w:szCs w:val="22"/>
        </w:rPr>
        <w:t xml:space="preserve">Las firmas consultoras elegibles serán seleccionados de acuerdo con los procedimientos establecidos en el Banco Interamericano de Desarrollo: </w:t>
      </w:r>
      <w:hyperlink r:id="rId19">
        <w:r w:rsidRPr="00946024">
          <w:rPr>
            <w:rStyle w:val="Hyperlink"/>
            <w:sz w:val="22"/>
            <w:szCs w:val="22"/>
          </w:rPr>
          <w:t>Política para la Selección y Contratación de Firmas Consultoras para el Trabajo Operativo ejecutado por el Banco - GN-2765-</w:t>
        </w:r>
        <w:r w:rsidR="0506207C" w:rsidRPr="00946024">
          <w:rPr>
            <w:rStyle w:val="Hyperlink"/>
            <w:sz w:val="22"/>
            <w:szCs w:val="22"/>
          </w:rPr>
          <w:t>4</w:t>
        </w:r>
      </w:hyperlink>
      <w:r w:rsidR="00C90263" w:rsidRPr="00946024">
        <w:rPr>
          <w:color w:val="auto"/>
          <w:sz w:val="22"/>
          <w:szCs w:val="22"/>
        </w:rPr>
        <w:t xml:space="preserve">. </w:t>
      </w:r>
      <w:r w:rsidRPr="00946024">
        <w:rPr>
          <w:color w:val="auto"/>
          <w:sz w:val="22"/>
          <w:szCs w:val="22"/>
        </w:rPr>
        <w:t xml:space="preserve">Todas las firmas consultoras elegibles, según se define en la política, pueden manifestar su interés. </w:t>
      </w:r>
      <w:r w:rsidR="00C90263" w:rsidRPr="00946024">
        <w:rPr>
          <w:color w:val="auto"/>
          <w:sz w:val="22"/>
          <w:szCs w:val="22"/>
        </w:rPr>
        <w:t>Si la Firma consultora se presentara en Consorcio, designará a una de ellas como representante, y ésta será responsable de las comunicaciones, del registro en el portal y del envío de los documento</w:t>
      </w:r>
      <w:r w:rsidR="007001EE" w:rsidRPr="00946024">
        <w:rPr>
          <w:color w:val="auto"/>
          <w:sz w:val="22"/>
          <w:szCs w:val="22"/>
        </w:rPr>
        <w:t>s correspondientes.</w:t>
      </w:r>
    </w:p>
    <w:p w14:paraId="68B2066F" w14:textId="77777777" w:rsidR="007001EE" w:rsidRPr="00946024" w:rsidRDefault="007001EE" w:rsidP="00946024">
      <w:pPr>
        <w:jc w:val="both"/>
        <w:rPr>
          <w:color w:val="auto"/>
          <w:sz w:val="22"/>
          <w:szCs w:val="22"/>
        </w:rPr>
      </w:pPr>
    </w:p>
    <w:p w14:paraId="61707059" w14:textId="4780C019" w:rsidR="00D761FB" w:rsidRPr="00946024" w:rsidRDefault="08202347" w:rsidP="00946024">
      <w:pPr>
        <w:jc w:val="both"/>
        <w:rPr>
          <w:color w:val="auto"/>
          <w:sz w:val="22"/>
          <w:szCs w:val="22"/>
        </w:rPr>
      </w:pPr>
      <w:r w:rsidRPr="00946024">
        <w:rPr>
          <w:color w:val="auto"/>
          <w:sz w:val="22"/>
          <w:szCs w:val="22"/>
        </w:rPr>
        <w:t>El BID invita ahora a las firmas consultoras elegibles a expresar su interés en prestar los servicios</w:t>
      </w:r>
      <w:r w:rsidR="00CE0491" w:rsidRPr="00946024">
        <w:rPr>
          <w:color w:val="auto"/>
          <w:sz w:val="22"/>
          <w:szCs w:val="22"/>
        </w:rPr>
        <w:t xml:space="preserve"> </w:t>
      </w:r>
      <w:r w:rsidR="005B434A" w:rsidRPr="00946024">
        <w:rPr>
          <w:color w:val="auto"/>
          <w:sz w:val="22"/>
          <w:szCs w:val="22"/>
        </w:rPr>
        <w:t>descritos</w:t>
      </w:r>
      <w:r w:rsidR="00CE0491" w:rsidRPr="00946024">
        <w:rPr>
          <w:color w:val="auto"/>
          <w:sz w:val="22"/>
          <w:szCs w:val="22"/>
        </w:rPr>
        <w:t xml:space="preserve"> </w:t>
      </w:r>
      <w:r w:rsidR="005B434A" w:rsidRPr="00946024">
        <w:rPr>
          <w:color w:val="auto"/>
          <w:sz w:val="22"/>
          <w:szCs w:val="22"/>
        </w:rPr>
        <w:t>a</w:t>
      </w:r>
      <w:r w:rsidR="19427AB5" w:rsidRPr="00946024">
        <w:rPr>
          <w:color w:val="auto"/>
          <w:sz w:val="22"/>
          <w:szCs w:val="22"/>
        </w:rPr>
        <w:t>rriba</w:t>
      </w:r>
      <w:r w:rsidR="005F16C0" w:rsidRPr="00946024">
        <w:rPr>
          <w:color w:val="auto"/>
          <w:sz w:val="22"/>
          <w:szCs w:val="22"/>
        </w:rPr>
        <w:t xml:space="preserve">, para lo cual </w:t>
      </w:r>
      <w:r w:rsidR="00CE0491" w:rsidRPr="00946024">
        <w:rPr>
          <w:color w:val="auto"/>
          <w:sz w:val="22"/>
          <w:szCs w:val="22"/>
        </w:rPr>
        <w:t xml:space="preserve">se presenta un </w:t>
      </w:r>
      <w:r w:rsidR="00CE0491" w:rsidRPr="00946024">
        <w:rPr>
          <w:color w:val="auto"/>
          <w:sz w:val="22"/>
          <w:szCs w:val="22"/>
          <w:u w:val="single"/>
        </w:rPr>
        <w:t>borrador del resumen de los Términos de Referencia</w:t>
      </w:r>
      <w:r w:rsidR="005B434A" w:rsidRPr="00946024">
        <w:rPr>
          <w:color w:val="auto"/>
          <w:sz w:val="22"/>
          <w:szCs w:val="22"/>
        </w:rPr>
        <w:t xml:space="preserve"> de esta asignación</w:t>
      </w:r>
      <w:r w:rsidR="005F16C0" w:rsidRPr="00946024">
        <w:rPr>
          <w:color w:val="auto"/>
          <w:sz w:val="22"/>
          <w:szCs w:val="22"/>
        </w:rPr>
        <w:t xml:space="preserve"> (ver abajo)</w:t>
      </w:r>
      <w:r w:rsidRPr="00946024">
        <w:rPr>
          <w:color w:val="auto"/>
          <w:sz w:val="22"/>
          <w:szCs w:val="22"/>
        </w:rPr>
        <w:t>. Las f</w:t>
      </w:r>
      <w:r w:rsidR="00C90263" w:rsidRPr="00946024">
        <w:rPr>
          <w:color w:val="auto"/>
          <w:sz w:val="22"/>
          <w:szCs w:val="22"/>
        </w:rPr>
        <w:t xml:space="preserve">irmas consultoras interesadas </w:t>
      </w:r>
      <w:r w:rsidRPr="00946024">
        <w:rPr>
          <w:color w:val="auto"/>
          <w:sz w:val="22"/>
          <w:szCs w:val="22"/>
        </w:rPr>
        <w:t xml:space="preserve">deberán proporcionar información que indique que están calificadas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sub-consultoría para mejorar sus calificaciones. Dicha asociación o emprendimiento conjunto </w:t>
      </w:r>
      <w:r w:rsidR="0046430C" w:rsidRPr="00946024">
        <w:rPr>
          <w:color w:val="auto"/>
          <w:sz w:val="22"/>
          <w:szCs w:val="22"/>
        </w:rPr>
        <w:t xml:space="preserve">deberá </w:t>
      </w:r>
      <w:r w:rsidRPr="00946024">
        <w:rPr>
          <w:color w:val="auto"/>
          <w:sz w:val="22"/>
          <w:szCs w:val="22"/>
        </w:rPr>
        <w:t>nombra</w:t>
      </w:r>
      <w:r w:rsidR="0046430C" w:rsidRPr="00946024">
        <w:rPr>
          <w:color w:val="auto"/>
          <w:sz w:val="22"/>
          <w:szCs w:val="22"/>
        </w:rPr>
        <w:t xml:space="preserve"> </w:t>
      </w:r>
      <w:r w:rsidRPr="00946024">
        <w:rPr>
          <w:color w:val="auto"/>
          <w:sz w:val="22"/>
          <w:szCs w:val="22"/>
        </w:rPr>
        <w:t xml:space="preserve">a una de </w:t>
      </w:r>
      <w:r w:rsidRPr="00946024">
        <w:rPr>
          <w:color w:val="auto"/>
          <w:sz w:val="22"/>
          <w:szCs w:val="22"/>
        </w:rPr>
        <w:lastRenderedPageBreak/>
        <w:t>las firmas como representante.</w:t>
      </w:r>
    </w:p>
    <w:p w14:paraId="468501CA" w14:textId="3D63AAD7" w:rsidR="00D761FB" w:rsidRPr="00946024" w:rsidRDefault="00D761FB" w:rsidP="00946024">
      <w:pPr>
        <w:suppressAutoHyphens/>
        <w:jc w:val="both"/>
        <w:rPr>
          <w:color w:val="4F81BD" w:themeColor="accent1"/>
          <w:sz w:val="22"/>
          <w:szCs w:val="22"/>
        </w:rPr>
      </w:pPr>
    </w:p>
    <w:p w14:paraId="70D0EF38" w14:textId="4DC2BF71" w:rsidR="00D761FB" w:rsidRPr="00946024" w:rsidRDefault="08202347" w:rsidP="00946024">
      <w:pPr>
        <w:jc w:val="both"/>
        <w:rPr>
          <w:color w:val="auto"/>
          <w:sz w:val="22"/>
          <w:szCs w:val="22"/>
        </w:rPr>
      </w:pPr>
      <w:r w:rsidRPr="00946024">
        <w:rPr>
          <w:color w:val="auto"/>
          <w:sz w:val="22"/>
          <w:szCs w:val="22"/>
        </w:rPr>
        <w:t>Las firmas consultoras el</w:t>
      </w:r>
      <w:r w:rsidR="007001EE" w:rsidRPr="00946024">
        <w:rPr>
          <w:color w:val="auto"/>
          <w:sz w:val="22"/>
          <w:szCs w:val="22"/>
        </w:rPr>
        <w:t xml:space="preserve">egibles que estén interesadas </w:t>
      </w:r>
      <w:r w:rsidRPr="00946024">
        <w:rPr>
          <w:color w:val="auto"/>
          <w:sz w:val="22"/>
          <w:szCs w:val="22"/>
        </w:rPr>
        <w:t xml:space="preserve">podrán obtener información adicional en horario de oficina, </w:t>
      </w:r>
      <w:r w:rsidR="0046430C" w:rsidRPr="00946024">
        <w:rPr>
          <w:color w:val="auto"/>
          <w:sz w:val="22"/>
          <w:szCs w:val="22"/>
        </w:rPr>
        <w:t xml:space="preserve">de </w:t>
      </w:r>
      <w:r w:rsidRPr="00946024">
        <w:rPr>
          <w:color w:val="auto"/>
          <w:sz w:val="22"/>
          <w:szCs w:val="22"/>
        </w:rPr>
        <w:t xml:space="preserve">9:00 </w:t>
      </w:r>
      <w:r w:rsidR="0046430C" w:rsidRPr="00946024">
        <w:rPr>
          <w:color w:val="auto"/>
          <w:sz w:val="22"/>
          <w:szCs w:val="22"/>
        </w:rPr>
        <w:t>a 17</w:t>
      </w:r>
      <w:r w:rsidRPr="00946024">
        <w:rPr>
          <w:color w:val="auto"/>
          <w:sz w:val="22"/>
          <w:szCs w:val="22"/>
        </w:rPr>
        <w:t xml:space="preserve">:00 (Hora de </w:t>
      </w:r>
      <w:r w:rsidR="0046430C" w:rsidRPr="00946024">
        <w:rPr>
          <w:color w:val="auto"/>
          <w:sz w:val="22"/>
          <w:szCs w:val="22"/>
        </w:rPr>
        <w:t>Montevideo, Uruguay</w:t>
      </w:r>
      <w:r w:rsidRPr="00946024">
        <w:rPr>
          <w:color w:val="auto"/>
          <w:sz w:val="22"/>
          <w:szCs w:val="22"/>
        </w:rPr>
        <w:t>), mediante el envío de un correo electrónico a:</w:t>
      </w:r>
      <w:r w:rsidR="00936FB2" w:rsidRPr="00946024">
        <w:rPr>
          <w:color w:val="auto"/>
          <w:sz w:val="22"/>
          <w:szCs w:val="22"/>
        </w:rPr>
        <w:t xml:space="preserve"> Federico Brusa - </w:t>
      </w:r>
      <w:hyperlink r:id="rId20" w:history="1">
        <w:r w:rsidR="00936FB2" w:rsidRPr="00946024">
          <w:rPr>
            <w:rStyle w:val="Hyperlink"/>
            <w:sz w:val="22"/>
            <w:szCs w:val="22"/>
          </w:rPr>
          <w:t>fbrusa@iadb.org</w:t>
        </w:r>
      </w:hyperlink>
    </w:p>
    <w:p w14:paraId="03405C6F" w14:textId="77777777" w:rsidR="00D761FB" w:rsidRPr="00946024" w:rsidRDefault="00D761FB">
      <w:pPr>
        <w:jc w:val="both"/>
        <w:rPr>
          <w:color w:val="auto"/>
          <w:sz w:val="22"/>
          <w:szCs w:val="22"/>
        </w:rPr>
      </w:pPr>
    </w:p>
    <w:p w14:paraId="200D8E06" w14:textId="19822C2D" w:rsidR="00D761FB" w:rsidRPr="00946024" w:rsidRDefault="00D761FB">
      <w:pPr>
        <w:jc w:val="both"/>
        <w:rPr>
          <w:color w:val="auto"/>
          <w:sz w:val="22"/>
          <w:szCs w:val="22"/>
        </w:rPr>
      </w:pPr>
    </w:p>
    <w:p w14:paraId="4B527D25" w14:textId="77777777" w:rsidR="00D761FB" w:rsidRPr="00946024" w:rsidRDefault="08202347" w:rsidP="08202347">
      <w:pPr>
        <w:jc w:val="both"/>
        <w:rPr>
          <w:color w:val="auto"/>
          <w:sz w:val="22"/>
          <w:szCs w:val="22"/>
        </w:rPr>
      </w:pPr>
      <w:r w:rsidRPr="00946024">
        <w:rPr>
          <w:color w:val="auto"/>
          <w:sz w:val="22"/>
          <w:szCs w:val="22"/>
        </w:rPr>
        <w:t>Banco Interamericano de Desarrollo</w:t>
      </w:r>
    </w:p>
    <w:p w14:paraId="5B03049A" w14:textId="7CE87685" w:rsidR="00D761FB" w:rsidRPr="00946024" w:rsidRDefault="00546C8D" w:rsidP="08202347">
      <w:pPr>
        <w:jc w:val="both"/>
        <w:rPr>
          <w:color w:val="0070C0"/>
          <w:sz w:val="22"/>
          <w:szCs w:val="22"/>
        </w:rPr>
      </w:pPr>
      <w:r w:rsidRPr="00946024">
        <w:rPr>
          <w:color w:val="auto"/>
          <w:sz w:val="22"/>
          <w:szCs w:val="22"/>
        </w:rPr>
        <w:t>División:</w:t>
      </w:r>
      <w:r w:rsidR="00936FB2" w:rsidRPr="00946024">
        <w:rPr>
          <w:color w:val="auto"/>
          <w:sz w:val="22"/>
          <w:szCs w:val="22"/>
        </w:rPr>
        <w:t xml:space="preserve"> CSD/CCS</w:t>
      </w:r>
    </w:p>
    <w:p w14:paraId="3A83DC3F" w14:textId="7F861774" w:rsidR="00D761FB" w:rsidRPr="00946024" w:rsidRDefault="08202347" w:rsidP="08202347">
      <w:pPr>
        <w:jc w:val="both"/>
        <w:rPr>
          <w:color w:val="auto"/>
          <w:sz w:val="22"/>
          <w:szCs w:val="22"/>
        </w:rPr>
      </w:pPr>
      <w:r w:rsidRPr="00946024">
        <w:rPr>
          <w:color w:val="auto"/>
          <w:sz w:val="22"/>
          <w:szCs w:val="22"/>
        </w:rPr>
        <w:t>Atención:</w:t>
      </w:r>
      <w:r w:rsidR="00936FB2" w:rsidRPr="00946024">
        <w:rPr>
          <w:color w:val="auto"/>
          <w:sz w:val="22"/>
          <w:szCs w:val="22"/>
        </w:rPr>
        <w:t xml:space="preserve"> Federico Brusa, Jefe del Equipo del Proyecto</w:t>
      </w:r>
    </w:p>
    <w:p w14:paraId="6C3797D2" w14:textId="08B770BD" w:rsidR="00D761FB" w:rsidRPr="00946024" w:rsidRDefault="00D761FB">
      <w:pPr>
        <w:jc w:val="both"/>
        <w:rPr>
          <w:color w:val="auto"/>
          <w:sz w:val="22"/>
          <w:szCs w:val="22"/>
        </w:rPr>
      </w:pPr>
    </w:p>
    <w:p w14:paraId="7A3B9024" w14:textId="77777777" w:rsidR="00D761FB" w:rsidRPr="00946024" w:rsidRDefault="08202347" w:rsidP="08202347">
      <w:pPr>
        <w:jc w:val="both"/>
        <w:rPr>
          <w:color w:val="auto"/>
          <w:sz w:val="22"/>
          <w:szCs w:val="22"/>
          <w:lang w:val="en-US"/>
        </w:rPr>
      </w:pPr>
      <w:r w:rsidRPr="00946024">
        <w:rPr>
          <w:color w:val="auto"/>
          <w:sz w:val="22"/>
          <w:szCs w:val="22"/>
          <w:lang w:val="en-US"/>
        </w:rPr>
        <w:t>1300 New York Avenue, NW, Washington, DC 20577, EE.UU.</w:t>
      </w:r>
    </w:p>
    <w:p w14:paraId="6BF90EBF" w14:textId="66AB215A" w:rsidR="00D761FB" w:rsidRPr="00946024" w:rsidRDefault="08202347" w:rsidP="08202347">
      <w:pPr>
        <w:suppressAutoHyphens/>
        <w:rPr>
          <w:color w:val="0070C0"/>
          <w:sz w:val="22"/>
          <w:szCs w:val="22"/>
          <w:lang w:val="fr-FR"/>
        </w:rPr>
      </w:pPr>
      <w:r w:rsidRPr="00946024">
        <w:rPr>
          <w:sz w:val="22"/>
          <w:szCs w:val="22"/>
          <w:lang w:val="fr-FR"/>
        </w:rPr>
        <w:t>Tel</w:t>
      </w:r>
      <w:r w:rsidRPr="006526F0">
        <w:rPr>
          <w:color w:val="auto"/>
          <w:sz w:val="22"/>
          <w:szCs w:val="22"/>
          <w:lang w:val="fr-FR"/>
        </w:rPr>
        <w:t xml:space="preserve">: </w:t>
      </w:r>
      <w:r w:rsidR="00544F97" w:rsidRPr="006526F0">
        <w:rPr>
          <w:color w:val="auto"/>
          <w:sz w:val="22"/>
          <w:szCs w:val="22"/>
          <w:lang w:val="fr-FR"/>
        </w:rPr>
        <w:t>2915 4330</w:t>
      </w:r>
    </w:p>
    <w:p w14:paraId="71BBB3A6" w14:textId="63F438CD" w:rsidR="00D761FB" w:rsidRPr="00946024" w:rsidRDefault="08202347" w:rsidP="08202347">
      <w:pPr>
        <w:suppressAutoHyphens/>
        <w:jc w:val="both"/>
        <w:rPr>
          <w:color w:val="0070C0"/>
          <w:sz w:val="22"/>
          <w:szCs w:val="22"/>
          <w:lang w:val="fr-FR"/>
        </w:rPr>
      </w:pPr>
      <w:r w:rsidRPr="00946024">
        <w:rPr>
          <w:sz w:val="22"/>
          <w:szCs w:val="22"/>
          <w:lang w:val="fr-FR"/>
        </w:rPr>
        <w:t>Email:</w:t>
      </w:r>
      <w:r w:rsidR="00363567" w:rsidRPr="00946024">
        <w:rPr>
          <w:sz w:val="22"/>
          <w:szCs w:val="22"/>
          <w:lang w:val="fr-FR"/>
        </w:rPr>
        <w:t xml:space="preserve"> fbrusa@iadb.org</w:t>
      </w:r>
    </w:p>
    <w:p w14:paraId="6B9A2A55" w14:textId="5A7EFBBB" w:rsidR="00D761FB" w:rsidRPr="00946024" w:rsidRDefault="08202347" w:rsidP="08202347">
      <w:pPr>
        <w:jc w:val="both"/>
        <w:rPr>
          <w:color w:val="auto"/>
          <w:sz w:val="22"/>
          <w:szCs w:val="22"/>
          <w:lang w:val="en-US"/>
        </w:rPr>
      </w:pPr>
      <w:r w:rsidRPr="00946024">
        <w:rPr>
          <w:color w:val="auto"/>
          <w:sz w:val="22"/>
          <w:szCs w:val="22"/>
          <w:lang w:val="en-US"/>
        </w:rPr>
        <w:t xml:space="preserve">Sitio Web: </w:t>
      </w:r>
      <w:hyperlink r:id="rId21">
        <w:r w:rsidRPr="00946024">
          <w:rPr>
            <w:rStyle w:val="Hyperlink"/>
            <w:sz w:val="22"/>
            <w:szCs w:val="22"/>
            <w:lang w:val="en-US"/>
          </w:rPr>
          <w:t>www.iadb.org</w:t>
        </w:r>
      </w:hyperlink>
      <w:r w:rsidRPr="00946024">
        <w:rPr>
          <w:color w:val="auto"/>
          <w:sz w:val="22"/>
          <w:szCs w:val="22"/>
          <w:lang w:val="en-US"/>
        </w:rPr>
        <w:t xml:space="preserve"> </w:t>
      </w:r>
    </w:p>
    <w:p w14:paraId="548C12AB" w14:textId="1CB50CE1" w:rsidR="00CE0491" w:rsidRPr="00946024" w:rsidRDefault="00CE0491" w:rsidP="08202347">
      <w:pPr>
        <w:jc w:val="both"/>
        <w:rPr>
          <w:color w:val="auto"/>
          <w:sz w:val="22"/>
          <w:szCs w:val="22"/>
          <w:lang w:val="en-US"/>
        </w:rPr>
      </w:pPr>
    </w:p>
    <w:p w14:paraId="05376821" w14:textId="75267867" w:rsidR="006526F0" w:rsidRDefault="006526F0" w:rsidP="08202347">
      <w:pPr>
        <w:jc w:val="both"/>
        <w:rPr>
          <w:color w:val="auto"/>
          <w:sz w:val="22"/>
          <w:szCs w:val="22"/>
          <w:lang w:val="en-US"/>
        </w:rPr>
      </w:pPr>
      <w:r>
        <w:rPr>
          <w:color w:val="auto"/>
          <w:sz w:val="22"/>
          <w:szCs w:val="22"/>
          <w:lang w:val="en-US"/>
        </w:rPr>
        <w:br w:type="page"/>
      </w:r>
    </w:p>
    <w:p w14:paraId="101FB624" w14:textId="6B627054" w:rsidR="00F41FC7" w:rsidRPr="009B73DD" w:rsidRDefault="00811684" w:rsidP="006526F0">
      <w:pPr>
        <w:pStyle w:val="Heading1"/>
        <w:spacing w:after="120"/>
        <w:jc w:val="center"/>
        <w:rPr>
          <w:color w:val="auto"/>
          <w:sz w:val="22"/>
          <w:szCs w:val="22"/>
        </w:rPr>
      </w:pPr>
      <w:r w:rsidRPr="009B73DD">
        <w:rPr>
          <w:color w:val="auto"/>
          <w:sz w:val="22"/>
          <w:szCs w:val="22"/>
        </w:rPr>
        <w:lastRenderedPageBreak/>
        <w:t xml:space="preserve">BORRADOR DE </w:t>
      </w:r>
      <w:r w:rsidR="00F41FC7" w:rsidRPr="009B73DD">
        <w:rPr>
          <w:color w:val="auto"/>
          <w:sz w:val="22"/>
          <w:szCs w:val="22"/>
        </w:rPr>
        <w:t>TÉRMINOS DE REFERENCIA</w:t>
      </w:r>
    </w:p>
    <w:p w14:paraId="7F09BA6A" w14:textId="59800FFA" w:rsidR="00F41FC7" w:rsidRPr="006526F0" w:rsidRDefault="006526F0" w:rsidP="006526F0">
      <w:pPr>
        <w:spacing w:after="120"/>
        <w:jc w:val="center"/>
        <w:rPr>
          <w:b/>
          <w:bCs/>
          <w:color w:val="auto"/>
          <w:sz w:val="22"/>
          <w:szCs w:val="22"/>
        </w:rPr>
      </w:pPr>
      <w:r w:rsidRPr="006526F0">
        <w:rPr>
          <w:b/>
          <w:bCs/>
          <w:color w:val="auto"/>
          <w:sz w:val="22"/>
          <w:szCs w:val="22"/>
        </w:rPr>
        <w:t>CONSOLIDACIÓN DE MEJORES PRÁCTICAS EN DATOS ABIERTOS CLIMÁTICOS</w:t>
      </w:r>
    </w:p>
    <w:p w14:paraId="71581996" w14:textId="51845773" w:rsidR="00F41FC7" w:rsidRPr="006526F0" w:rsidRDefault="00F41FC7" w:rsidP="006526F0">
      <w:pPr>
        <w:suppressAutoHyphens/>
        <w:spacing w:after="120"/>
        <w:rPr>
          <w:b/>
          <w:bCs/>
          <w:color w:val="auto"/>
          <w:sz w:val="22"/>
          <w:szCs w:val="22"/>
        </w:rPr>
      </w:pPr>
      <w:r w:rsidRPr="006526F0">
        <w:rPr>
          <w:b/>
          <w:bCs/>
          <w:color w:val="auto"/>
          <w:sz w:val="22"/>
          <w:szCs w:val="22"/>
        </w:rPr>
        <w:t>U</w:t>
      </w:r>
      <w:r w:rsidR="006526F0" w:rsidRPr="006526F0">
        <w:rPr>
          <w:b/>
          <w:bCs/>
          <w:color w:val="auto"/>
          <w:sz w:val="22"/>
          <w:szCs w:val="22"/>
        </w:rPr>
        <w:t>RUGUAY</w:t>
      </w:r>
    </w:p>
    <w:p w14:paraId="113DEAAA" w14:textId="7C8279E0" w:rsidR="009B73DD" w:rsidRPr="009B73DD" w:rsidRDefault="00F41FC7" w:rsidP="009B73DD">
      <w:pPr>
        <w:pStyle w:val="BodyText"/>
        <w:spacing w:after="120"/>
        <w:rPr>
          <w:rFonts w:ascii="Arial" w:hAnsi="Arial" w:cs="Arial"/>
          <w:b/>
          <w:bCs/>
          <w:sz w:val="22"/>
          <w:szCs w:val="22"/>
          <w:lang w:val="es-CO"/>
        </w:rPr>
      </w:pPr>
      <w:r w:rsidRPr="006526F0">
        <w:rPr>
          <w:rFonts w:ascii="Arial" w:hAnsi="Arial" w:cs="Arial"/>
          <w:b/>
          <w:bCs/>
          <w:sz w:val="22"/>
          <w:szCs w:val="22"/>
        </w:rPr>
        <w:t>RG-T3701</w:t>
      </w:r>
      <w:r w:rsidR="009B73DD" w:rsidRPr="009B73DD">
        <w:rPr>
          <w:rFonts w:ascii="Arial" w:hAnsi="Arial" w:cs="Arial"/>
          <w:b/>
          <w:bCs/>
          <w:sz w:val="22"/>
          <w:szCs w:val="22"/>
          <w:lang w:val="es-CO"/>
        </w:rPr>
        <w:t xml:space="preserve"> </w:t>
      </w:r>
      <w:r w:rsidR="009B73DD">
        <w:rPr>
          <w:rFonts w:ascii="Arial" w:hAnsi="Arial" w:cs="Arial"/>
          <w:b/>
          <w:bCs/>
          <w:sz w:val="22"/>
          <w:szCs w:val="22"/>
          <w:lang w:val="es-CO"/>
        </w:rPr>
        <w:t xml:space="preserve">- </w:t>
      </w:r>
      <w:r w:rsidR="009B73DD" w:rsidRPr="009B73DD">
        <w:rPr>
          <w:rFonts w:ascii="Arial" w:hAnsi="Arial" w:cs="Arial"/>
          <w:b/>
          <w:bCs/>
          <w:sz w:val="22"/>
          <w:szCs w:val="22"/>
          <w:lang w:val="es-CO"/>
        </w:rPr>
        <w:t>Cómo Atender las Consecuencias Socioeconómicas del CoViD-19 a Través de Opciones Resilientes de Crecimiento Verde Sostenible</w:t>
      </w:r>
    </w:p>
    <w:p w14:paraId="5190496D" w14:textId="73D215DA" w:rsidR="00702218" w:rsidRPr="006526F0" w:rsidRDefault="006526F0" w:rsidP="006526F0">
      <w:pPr>
        <w:tabs>
          <w:tab w:val="left" w:pos="7080"/>
        </w:tabs>
        <w:spacing w:after="120"/>
        <w:jc w:val="both"/>
        <w:rPr>
          <w:rFonts w:eastAsia="Times New Roman"/>
          <w:b/>
          <w:bCs/>
          <w:color w:val="auto"/>
          <w:spacing w:val="-2"/>
          <w:sz w:val="22"/>
          <w:szCs w:val="22"/>
          <w:lang w:eastAsia="en-US"/>
        </w:rPr>
      </w:pPr>
      <w:hyperlink r:id="rId22" w:history="1">
        <w:r w:rsidRPr="00A77198">
          <w:rPr>
            <w:rStyle w:val="Hyperlink"/>
            <w:rFonts w:eastAsia="Times New Roman"/>
            <w:b/>
            <w:bCs/>
            <w:spacing w:val="-2"/>
            <w:sz w:val="22"/>
            <w:szCs w:val="22"/>
            <w:lang w:eastAsia="en-US"/>
          </w:rPr>
          <w:t>https://www.iadb.org/en/project/RG-T3701</w:t>
        </w:r>
      </w:hyperlink>
    </w:p>
    <w:p w14:paraId="399870CB" w14:textId="53F8F78E" w:rsidR="00F41FC7" w:rsidRPr="009B73DD" w:rsidRDefault="00F41FC7" w:rsidP="006526F0">
      <w:pPr>
        <w:tabs>
          <w:tab w:val="left" w:pos="7080"/>
        </w:tabs>
        <w:spacing w:after="120"/>
        <w:jc w:val="both"/>
        <w:rPr>
          <w:b/>
          <w:bCs/>
          <w:color w:val="auto"/>
          <w:sz w:val="22"/>
          <w:szCs w:val="22"/>
        </w:rPr>
      </w:pPr>
    </w:p>
    <w:p w14:paraId="282BE88D" w14:textId="77777777" w:rsidR="00F41FC7" w:rsidRPr="006526F0" w:rsidRDefault="00F41FC7" w:rsidP="00F41FC7">
      <w:pPr>
        <w:numPr>
          <w:ilvl w:val="0"/>
          <w:numId w:val="1"/>
        </w:numPr>
        <w:autoSpaceDE/>
        <w:autoSpaceDN/>
        <w:adjustRightInd/>
        <w:contextualSpacing/>
        <w:rPr>
          <w:rFonts w:eastAsiaTheme="minorHAnsi"/>
          <w:b/>
          <w:bCs/>
          <w:color w:val="auto"/>
          <w:sz w:val="22"/>
          <w:szCs w:val="22"/>
          <w:u w:val="single"/>
        </w:rPr>
      </w:pPr>
      <w:r w:rsidRPr="006526F0">
        <w:rPr>
          <w:rFonts w:eastAsiaTheme="minorHAnsi"/>
          <w:b/>
          <w:bCs/>
          <w:color w:val="auto"/>
          <w:sz w:val="22"/>
          <w:szCs w:val="22"/>
          <w:u w:val="single"/>
        </w:rPr>
        <w:t>Antecedentes y Justificación</w:t>
      </w:r>
    </w:p>
    <w:p w14:paraId="378523AB" w14:textId="77777777" w:rsidR="00F41FC7" w:rsidRPr="00946024" w:rsidRDefault="00F41FC7" w:rsidP="00F41FC7">
      <w:pPr>
        <w:ind w:left="792"/>
        <w:contextualSpacing/>
        <w:jc w:val="both"/>
        <w:rPr>
          <w:rFonts w:eastAsiaTheme="minorHAnsi"/>
          <w:sz w:val="22"/>
          <w:szCs w:val="22"/>
        </w:rPr>
      </w:pPr>
    </w:p>
    <w:p w14:paraId="09B624AD" w14:textId="77777777" w:rsidR="00F41FC7" w:rsidRPr="00946024" w:rsidRDefault="00F41FC7" w:rsidP="009B73DD">
      <w:pPr>
        <w:numPr>
          <w:ilvl w:val="1"/>
          <w:numId w:val="1"/>
        </w:numPr>
        <w:autoSpaceDE/>
        <w:autoSpaceDN/>
        <w:adjustRightInd/>
        <w:ind w:left="360"/>
        <w:contextualSpacing/>
        <w:jc w:val="both"/>
        <w:rPr>
          <w:b/>
          <w:bCs/>
          <w:sz w:val="22"/>
          <w:szCs w:val="22"/>
        </w:rPr>
      </w:pPr>
      <w:r w:rsidRPr="00946024">
        <w:rPr>
          <w:sz w:val="22"/>
          <w:szCs w:val="22"/>
          <w:lang w:val="es-UY" w:eastAsia="es-MX"/>
        </w:rPr>
        <w:t xml:space="preserve">Entre 2019 y 2021, el BID apoyó al gobierno de Uruguay en la adopción de estándares y métricas para la apertura de datos con un enfoque en clima. En esa primera fase, se llevaron a cabo auditorías, recomendaciones, y apoyo técnico para la adopción de estas prácticas de manejo de datos. A través del diseño de una guía para la apertura de datos climáticos, Uruguay se ha posicionado como uno de los lideres regionales de la apertura de datos climáticos. </w:t>
      </w:r>
    </w:p>
    <w:p w14:paraId="2BA9B440" w14:textId="77777777" w:rsidR="00F41FC7" w:rsidRPr="00946024" w:rsidRDefault="00F41FC7" w:rsidP="009B73DD">
      <w:pPr>
        <w:ind w:left="360"/>
        <w:contextualSpacing/>
        <w:jc w:val="both"/>
        <w:rPr>
          <w:b/>
          <w:bCs/>
          <w:sz w:val="22"/>
          <w:szCs w:val="22"/>
        </w:rPr>
      </w:pPr>
    </w:p>
    <w:p w14:paraId="2874C5F5" w14:textId="4AFB01F2" w:rsidR="00F41FC7" w:rsidRPr="00946024" w:rsidRDefault="00F41FC7" w:rsidP="009B73DD">
      <w:pPr>
        <w:numPr>
          <w:ilvl w:val="1"/>
          <w:numId w:val="1"/>
        </w:numPr>
        <w:autoSpaceDE/>
        <w:autoSpaceDN/>
        <w:adjustRightInd/>
        <w:ind w:left="360"/>
        <w:contextualSpacing/>
        <w:jc w:val="both"/>
        <w:rPr>
          <w:b/>
          <w:bCs/>
          <w:sz w:val="22"/>
          <w:szCs w:val="22"/>
        </w:rPr>
      </w:pPr>
      <w:r w:rsidRPr="00946024">
        <w:rPr>
          <w:sz w:val="22"/>
          <w:szCs w:val="22"/>
          <w:lang w:val="es-UY" w:eastAsia="es-MX"/>
        </w:rPr>
        <w:t xml:space="preserve">A raíz del proceso ya completado en Uruguay, nuevos datos han sido abiertos en los portales, y nuevos actores se han sumado a la comunidad de datos abiertos en el país. Sin embargo, con la publicación de datos no se termina el ciclo de valor. Es importante promover también la reutilización y monitoreo para lograr explotar todo el potencial de la apertura de los mismos. Luego del trabajo de apoyo a Uruguay en apertura de datos, surge la oportunidad de una segunda etapa de trabajo no prevista originalmente, para replicar los logros obtenidos en Uruguay en otros países de la región mediante productos de comunicación específicos. Así, se realizarán materiales de difusión audiovisual del Concurso de Innovación Cambio Climático, mostrando el impacto del uso de los datos que han sido abiertos, promoviendo la práctica de apertura de datos en LAC. Asimismo, se realizará un reporte de experiencias e </w:t>
      </w:r>
      <w:r w:rsidR="004879E5" w:rsidRPr="00946024">
        <w:rPr>
          <w:sz w:val="22"/>
          <w:szCs w:val="22"/>
          <w:lang w:val="es-UY" w:eastAsia="es-MX"/>
        </w:rPr>
        <w:t>iniciativas</w:t>
      </w:r>
      <w:r w:rsidRPr="00946024">
        <w:rPr>
          <w:sz w:val="22"/>
          <w:szCs w:val="22"/>
          <w:lang w:val="es-UY" w:eastAsia="es-MX"/>
        </w:rPr>
        <w:t xml:space="preserve"> de datos abiertos para el cambio climático en América Latina.</w:t>
      </w:r>
      <w:r w:rsidR="004879E5">
        <w:rPr>
          <w:sz w:val="22"/>
          <w:szCs w:val="22"/>
          <w:lang w:val="es-UY" w:eastAsia="es-MX"/>
        </w:rPr>
        <w:t xml:space="preserve"> </w:t>
      </w:r>
      <w:r w:rsidRPr="00946024">
        <w:rPr>
          <w:sz w:val="22"/>
          <w:szCs w:val="22"/>
          <w:lang w:val="es-UY" w:eastAsia="es-MX"/>
        </w:rPr>
        <w:t>Estos productos serán un insumo para una futura publicación del BID/UNEP sobre Transparencia en LAC.</w:t>
      </w:r>
    </w:p>
    <w:p w14:paraId="22DAFF27" w14:textId="77777777" w:rsidR="00F41FC7" w:rsidRPr="00946024" w:rsidRDefault="00F41FC7" w:rsidP="00F41FC7">
      <w:pPr>
        <w:contextualSpacing/>
        <w:rPr>
          <w:rFonts w:eastAsiaTheme="minorHAnsi"/>
          <w:b/>
          <w:sz w:val="22"/>
          <w:szCs w:val="22"/>
          <w:u w:val="single"/>
        </w:rPr>
      </w:pPr>
    </w:p>
    <w:p w14:paraId="467B4905" w14:textId="77777777" w:rsidR="00F41FC7" w:rsidRPr="00946024" w:rsidRDefault="00F41FC7" w:rsidP="00F41FC7">
      <w:pPr>
        <w:numPr>
          <w:ilvl w:val="0"/>
          <w:numId w:val="1"/>
        </w:numPr>
        <w:autoSpaceDE/>
        <w:autoSpaceDN/>
        <w:adjustRightInd/>
        <w:contextualSpacing/>
        <w:rPr>
          <w:rFonts w:eastAsiaTheme="minorHAnsi"/>
          <w:b/>
          <w:sz w:val="22"/>
          <w:szCs w:val="22"/>
          <w:u w:val="single"/>
        </w:rPr>
      </w:pPr>
      <w:r w:rsidRPr="00946024">
        <w:rPr>
          <w:rFonts w:eastAsiaTheme="minorHAnsi"/>
          <w:b/>
          <w:sz w:val="22"/>
          <w:szCs w:val="22"/>
          <w:u w:val="single"/>
        </w:rPr>
        <w:t>Objetivos</w:t>
      </w:r>
    </w:p>
    <w:p w14:paraId="02AD1418" w14:textId="77777777" w:rsidR="00F41FC7" w:rsidRPr="009B73DD" w:rsidRDefault="00F41FC7" w:rsidP="009B73DD">
      <w:pPr>
        <w:ind w:left="360" w:hanging="450"/>
        <w:contextualSpacing/>
        <w:rPr>
          <w:rFonts w:eastAsiaTheme="minorHAnsi"/>
          <w:b/>
          <w:sz w:val="22"/>
          <w:szCs w:val="22"/>
        </w:rPr>
      </w:pPr>
      <w:r w:rsidRPr="009B73DD">
        <w:rPr>
          <w:rFonts w:eastAsiaTheme="minorHAnsi"/>
          <w:b/>
          <w:sz w:val="22"/>
          <w:szCs w:val="22"/>
        </w:rPr>
        <w:t xml:space="preserve"> </w:t>
      </w:r>
    </w:p>
    <w:p w14:paraId="44E896F0" w14:textId="5F5709C0" w:rsidR="00F41FC7" w:rsidRPr="00946024" w:rsidRDefault="00F41FC7" w:rsidP="009B73DD">
      <w:pPr>
        <w:numPr>
          <w:ilvl w:val="1"/>
          <w:numId w:val="1"/>
        </w:numPr>
        <w:autoSpaceDE/>
        <w:autoSpaceDN/>
        <w:adjustRightInd/>
        <w:ind w:left="360" w:hanging="450"/>
        <w:contextualSpacing/>
        <w:jc w:val="both"/>
        <w:rPr>
          <w:sz w:val="22"/>
          <w:szCs w:val="22"/>
        </w:rPr>
      </w:pPr>
      <w:r w:rsidRPr="00946024">
        <w:rPr>
          <w:sz w:val="22"/>
          <w:szCs w:val="22"/>
          <w:lang w:val="es-UY" w:eastAsia="es-MX"/>
        </w:rPr>
        <w:t xml:space="preserve">Esta </w:t>
      </w:r>
      <w:r w:rsidR="009B73DD" w:rsidRPr="00946024">
        <w:rPr>
          <w:sz w:val="22"/>
          <w:szCs w:val="22"/>
          <w:lang w:val="es-UY" w:eastAsia="es-MX"/>
        </w:rPr>
        <w:t>consultoría</w:t>
      </w:r>
      <w:r w:rsidRPr="00946024">
        <w:rPr>
          <w:sz w:val="22"/>
          <w:szCs w:val="22"/>
          <w:lang w:val="es-UY" w:eastAsia="es-MX"/>
        </w:rPr>
        <w:t xml:space="preserve"> buscará difundir las ventajas de la apertura de datos para el cambio climático mediante: </w:t>
      </w:r>
    </w:p>
    <w:p w14:paraId="29F35433" w14:textId="77777777" w:rsidR="00F41FC7" w:rsidRPr="00946024" w:rsidRDefault="00F41FC7" w:rsidP="00F41FC7">
      <w:pPr>
        <w:ind w:left="792"/>
        <w:contextualSpacing/>
        <w:jc w:val="both"/>
        <w:rPr>
          <w:sz w:val="22"/>
          <w:szCs w:val="22"/>
        </w:rPr>
      </w:pPr>
    </w:p>
    <w:p w14:paraId="76F1FF4B" w14:textId="77777777" w:rsidR="00F41FC7" w:rsidRPr="00946024" w:rsidRDefault="00F41FC7" w:rsidP="009B73DD">
      <w:pPr>
        <w:numPr>
          <w:ilvl w:val="2"/>
          <w:numId w:val="1"/>
        </w:numPr>
        <w:autoSpaceDE/>
        <w:autoSpaceDN/>
        <w:adjustRightInd/>
        <w:spacing w:after="120"/>
        <w:ind w:left="1094" w:hanging="691"/>
        <w:jc w:val="both"/>
        <w:rPr>
          <w:sz w:val="22"/>
          <w:szCs w:val="22"/>
        </w:rPr>
      </w:pPr>
      <w:r w:rsidRPr="00946024">
        <w:rPr>
          <w:sz w:val="22"/>
          <w:szCs w:val="22"/>
          <w:lang w:eastAsia="es-MX"/>
        </w:rPr>
        <w:t xml:space="preserve">Materiales de difusión audiovisual sobre la </w:t>
      </w:r>
      <w:r w:rsidRPr="00946024">
        <w:rPr>
          <w:sz w:val="22"/>
          <w:szCs w:val="22"/>
          <w:lang w:val="es-UY" w:eastAsia="es-MX"/>
        </w:rPr>
        <w:t xml:space="preserve">experiencia de Uruguay </w:t>
      </w:r>
      <w:r w:rsidRPr="00946024">
        <w:rPr>
          <w:sz w:val="22"/>
          <w:szCs w:val="22"/>
        </w:rPr>
        <w:t xml:space="preserve">del Concurso de Innovación Cambio Climático </w:t>
      </w:r>
    </w:p>
    <w:p w14:paraId="3CDBC720" w14:textId="77777777" w:rsidR="00F41FC7" w:rsidRPr="00946024" w:rsidRDefault="00F41FC7" w:rsidP="009B73DD">
      <w:pPr>
        <w:numPr>
          <w:ilvl w:val="2"/>
          <w:numId w:val="1"/>
        </w:numPr>
        <w:autoSpaceDE/>
        <w:autoSpaceDN/>
        <w:adjustRightInd/>
        <w:spacing w:after="120"/>
        <w:ind w:left="1094" w:hanging="691"/>
        <w:jc w:val="both"/>
        <w:rPr>
          <w:sz w:val="22"/>
          <w:szCs w:val="22"/>
        </w:rPr>
      </w:pPr>
      <w:r w:rsidRPr="00946024">
        <w:rPr>
          <w:rFonts w:eastAsia="Calibri"/>
          <w:sz w:val="22"/>
          <w:szCs w:val="22"/>
        </w:rPr>
        <w:t>Reporte de modelos de gobernanza de datos climáticos en América Latina</w:t>
      </w:r>
    </w:p>
    <w:p w14:paraId="5672D93C" w14:textId="77777777" w:rsidR="00F41FC7" w:rsidRPr="00946024" w:rsidRDefault="00F41FC7" w:rsidP="00F41FC7">
      <w:pPr>
        <w:contextualSpacing/>
        <w:jc w:val="both"/>
        <w:rPr>
          <w:rFonts w:eastAsiaTheme="minorHAnsi"/>
          <w:sz w:val="22"/>
          <w:szCs w:val="22"/>
        </w:rPr>
      </w:pPr>
      <w:r w:rsidRPr="00946024">
        <w:rPr>
          <w:sz w:val="22"/>
          <w:szCs w:val="22"/>
          <w:lang w:val="es-UY" w:eastAsia="es-MX"/>
        </w:rPr>
        <w:t xml:space="preserve"> </w:t>
      </w:r>
    </w:p>
    <w:p w14:paraId="0F04BEFF" w14:textId="77777777" w:rsidR="00F41FC7" w:rsidRPr="00946024" w:rsidRDefault="00F41FC7" w:rsidP="00F41FC7">
      <w:pPr>
        <w:numPr>
          <w:ilvl w:val="0"/>
          <w:numId w:val="1"/>
        </w:numPr>
        <w:autoSpaceDE/>
        <w:autoSpaceDN/>
        <w:adjustRightInd/>
        <w:contextualSpacing/>
        <w:rPr>
          <w:rFonts w:eastAsiaTheme="minorHAnsi"/>
          <w:b/>
          <w:sz w:val="22"/>
          <w:szCs w:val="22"/>
          <w:u w:val="single"/>
        </w:rPr>
      </w:pPr>
      <w:r w:rsidRPr="00946024">
        <w:rPr>
          <w:rFonts w:eastAsiaTheme="minorHAnsi"/>
          <w:b/>
          <w:sz w:val="22"/>
          <w:szCs w:val="22"/>
          <w:u w:val="single"/>
        </w:rPr>
        <w:t>Alcance de los Servicios</w:t>
      </w:r>
    </w:p>
    <w:p w14:paraId="441FFB34" w14:textId="77777777" w:rsidR="00F41FC7" w:rsidRPr="00946024" w:rsidRDefault="00F41FC7" w:rsidP="00F41FC7">
      <w:pPr>
        <w:ind w:left="360"/>
        <w:contextualSpacing/>
        <w:rPr>
          <w:rFonts w:eastAsiaTheme="minorHAnsi"/>
          <w:b/>
          <w:sz w:val="22"/>
          <w:szCs w:val="22"/>
          <w:u w:val="single"/>
        </w:rPr>
      </w:pPr>
    </w:p>
    <w:p w14:paraId="19F4C712" w14:textId="2EFAAD7B" w:rsidR="00F41FC7" w:rsidRDefault="00F41FC7" w:rsidP="009B73DD">
      <w:pPr>
        <w:numPr>
          <w:ilvl w:val="1"/>
          <w:numId w:val="1"/>
        </w:numPr>
        <w:autoSpaceDE/>
        <w:autoSpaceDN/>
        <w:adjustRightInd/>
        <w:ind w:left="360" w:hanging="450"/>
        <w:contextualSpacing/>
        <w:rPr>
          <w:rFonts w:eastAsiaTheme="minorHAnsi"/>
          <w:bCs/>
          <w:sz w:val="22"/>
          <w:szCs w:val="22"/>
        </w:rPr>
      </w:pPr>
      <w:r w:rsidRPr="00946024">
        <w:rPr>
          <w:rFonts w:eastAsiaTheme="minorHAnsi"/>
          <w:bCs/>
          <w:sz w:val="22"/>
          <w:szCs w:val="22"/>
        </w:rPr>
        <w:t>Los servicios incluyen las actividades establecidas en la sección 4, en forma no taxativa, y cualquier otra que sea necesaria para la entrega exitosa de los productos de la sección 5.</w:t>
      </w:r>
    </w:p>
    <w:p w14:paraId="130A6012" w14:textId="77777777" w:rsidR="00890812" w:rsidRDefault="00890812" w:rsidP="00890812">
      <w:pPr>
        <w:autoSpaceDE/>
        <w:autoSpaceDN/>
        <w:adjustRightInd/>
        <w:contextualSpacing/>
        <w:rPr>
          <w:rFonts w:eastAsiaTheme="minorHAnsi"/>
          <w:bCs/>
          <w:sz w:val="22"/>
          <w:szCs w:val="22"/>
        </w:rPr>
      </w:pPr>
    </w:p>
    <w:p w14:paraId="30F67E51" w14:textId="77777777" w:rsidR="00890812" w:rsidRPr="00946024" w:rsidRDefault="00890812" w:rsidP="00890812">
      <w:pPr>
        <w:autoSpaceDE/>
        <w:autoSpaceDN/>
        <w:adjustRightInd/>
        <w:contextualSpacing/>
        <w:rPr>
          <w:rFonts w:eastAsiaTheme="minorHAnsi"/>
          <w:bCs/>
          <w:sz w:val="22"/>
          <w:szCs w:val="22"/>
        </w:rPr>
      </w:pPr>
    </w:p>
    <w:p w14:paraId="5E85B476" w14:textId="77777777" w:rsidR="00F41FC7" w:rsidRPr="00946024" w:rsidRDefault="00F41FC7" w:rsidP="00F41FC7">
      <w:pPr>
        <w:ind w:left="792"/>
        <w:contextualSpacing/>
        <w:rPr>
          <w:rFonts w:eastAsiaTheme="minorHAnsi"/>
          <w:bCs/>
          <w:sz w:val="22"/>
          <w:szCs w:val="22"/>
        </w:rPr>
      </w:pPr>
    </w:p>
    <w:p w14:paraId="4A68F22D" w14:textId="77777777" w:rsidR="00F41FC7" w:rsidRPr="00946024" w:rsidRDefault="00F41FC7" w:rsidP="00F41FC7">
      <w:pPr>
        <w:numPr>
          <w:ilvl w:val="0"/>
          <w:numId w:val="1"/>
        </w:numPr>
        <w:autoSpaceDE/>
        <w:autoSpaceDN/>
        <w:adjustRightInd/>
        <w:contextualSpacing/>
        <w:rPr>
          <w:rFonts w:eastAsiaTheme="minorHAnsi"/>
          <w:b/>
          <w:sz w:val="22"/>
          <w:szCs w:val="22"/>
          <w:u w:val="single"/>
        </w:rPr>
      </w:pPr>
      <w:r w:rsidRPr="00946024">
        <w:rPr>
          <w:rFonts w:eastAsiaTheme="minorHAnsi"/>
          <w:b/>
          <w:sz w:val="22"/>
          <w:szCs w:val="22"/>
          <w:u w:val="single"/>
        </w:rPr>
        <w:t>Actividades Clave</w:t>
      </w:r>
    </w:p>
    <w:p w14:paraId="371F83FC" w14:textId="77777777" w:rsidR="00F41FC7" w:rsidRPr="00946024" w:rsidRDefault="00F41FC7" w:rsidP="00F41FC7">
      <w:pPr>
        <w:ind w:left="360"/>
        <w:contextualSpacing/>
        <w:rPr>
          <w:rFonts w:eastAsiaTheme="minorHAnsi"/>
          <w:b/>
          <w:sz w:val="22"/>
          <w:szCs w:val="22"/>
          <w:u w:val="single"/>
        </w:rPr>
      </w:pPr>
    </w:p>
    <w:p w14:paraId="4F173A01" w14:textId="77777777" w:rsidR="00F41FC7" w:rsidRPr="00946024" w:rsidRDefault="00F41FC7" w:rsidP="009B73DD">
      <w:pPr>
        <w:numPr>
          <w:ilvl w:val="1"/>
          <w:numId w:val="1"/>
        </w:numPr>
        <w:autoSpaceDE/>
        <w:autoSpaceDN/>
        <w:adjustRightInd/>
        <w:spacing w:after="120"/>
        <w:ind w:left="360"/>
        <w:jc w:val="both"/>
        <w:rPr>
          <w:sz w:val="22"/>
          <w:szCs w:val="22"/>
        </w:rPr>
      </w:pPr>
      <w:r w:rsidRPr="00946024">
        <w:rPr>
          <w:sz w:val="22"/>
          <w:szCs w:val="22"/>
        </w:rPr>
        <w:lastRenderedPageBreak/>
        <w:t>Preparación de materiales para difusión audiovisual del Concurso de Innovación Cambio Climático editado en castellano y traducido al inglés, con foco a reproducir ejercicio uruguayo en otros países de la región.</w:t>
      </w:r>
    </w:p>
    <w:p w14:paraId="491921F0" w14:textId="77777777" w:rsidR="00F41FC7" w:rsidRPr="00946024" w:rsidRDefault="00F41FC7" w:rsidP="009B73DD">
      <w:pPr>
        <w:numPr>
          <w:ilvl w:val="2"/>
          <w:numId w:val="1"/>
        </w:numPr>
        <w:autoSpaceDE/>
        <w:autoSpaceDN/>
        <w:adjustRightInd/>
        <w:spacing w:after="120"/>
        <w:ind w:left="1080" w:hanging="684"/>
        <w:jc w:val="both"/>
        <w:rPr>
          <w:sz w:val="22"/>
          <w:szCs w:val="22"/>
        </w:rPr>
      </w:pPr>
      <w:r w:rsidRPr="00946024">
        <w:rPr>
          <w:sz w:val="22"/>
          <w:szCs w:val="22"/>
        </w:rPr>
        <w:t>Realización de entrevistas cortas a los participantes del Concurso de Innovación en Uruguay</w:t>
      </w:r>
    </w:p>
    <w:p w14:paraId="6437CB67" w14:textId="77777777" w:rsidR="00F41FC7" w:rsidRPr="00946024" w:rsidRDefault="00F41FC7" w:rsidP="009B73DD">
      <w:pPr>
        <w:numPr>
          <w:ilvl w:val="2"/>
          <w:numId w:val="1"/>
        </w:numPr>
        <w:autoSpaceDE/>
        <w:autoSpaceDN/>
        <w:adjustRightInd/>
        <w:spacing w:after="120"/>
        <w:ind w:left="1080" w:hanging="684"/>
        <w:jc w:val="both"/>
        <w:rPr>
          <w:sz w:val="22"/>
          <w:szCs w:val="22"/>
        </w:rPr>
      </w:pPr>
      <w:r w:rsidRPr="00946024">
        <w:rPr>
          <w:sz w:val="22"/>
          <w:szCs w:val="22"/>
        </w:rPr>
        <w:t xml:space="preserve">Realización de un guión para el desarrollo del </w:t>
      </w:r>
      <w:r w:rsidRPr="00946024">
        <w:rPr>
          <w:rFonts w:eastAsia="Calibri"/>
          <w:sz w:val="22"/>
          <w:szCs w:val="22"/>
        </w:rPr>
        <w:t>Guión para el desarrollo del video institucional del Concurso de Innovación en Uruguay</w:t>
      </w:r>
    </w:p>
    <w:p w14:paraId="4B8318BE" w14:textId="61DE1BD4" w:rsidR="00F41FC7" w:rsidRPr="00946024" w:rsidRDefault="00F41FC7" w:rsidP="009B73DD">
      <w:pPr>
        <w:numPr>
          <w:ilvl w:val="2"/>
          <w:numId w:val="1"/>
        </w:numPr>
        <w:autoSpaceDE/>
        <w:autoSpaceDN/>
        <w:adjustRightInd/>
        <w:spacing w:after="120"/>
        <w:ind w:left="1080" w:hanging="684"/>
        <w:jc w:val="both"/>
        <w:rPr>
          <w:sz w:val="22"/>
          <w:szCs w:val="22"/>
        </w:rPr>
      </w:pPr>
      <w:r w:rsidRPr="00946024">
        <w:rPr>
          <w:sz w:val="22"/>
          <w:szCs w:val="22"/>
        </w:rPr>
        <w:t xml:space="preserve">Realización del </w:t>
      </w:r>
      <w:r w:rsidRPr="00946024">
        <w:rPr>
          <w:rFonts w:eastAsia="Calibri"/>
          <w:sz w:val="22"/>
          <w:szCs w:val="22"/>
        </w:rPr>
        <w:t>Guión para el desarrollo del video institucional del Concurso de Innovación en Uruguay</w:t>
      </w:r>
    </w:p>
    <w:p w14:paraId="7F590131" w14:textId="1A8675CF" w:rsidR="00F41FC7" w:rsidRPr="00946024" w:rsidRDefault="00F41FC7" w:rsidP="009B73DD">
      <w:pPr>
        <w:numPr>
          <w:ilvl w:val="2"/>
          <w:numId w:val="1"/>
        </w:numPr>
        <w:autoSpaceDE/>
        <w:autoSpaceDN/>
        <w:adjustRightInd/>
        <w:spacing w:after="120"/>
        <w:ind w:left="1080" w:hanging="684"/>
        <w:jc w:val="both"/>
        <w:rPr>
          <w:sz w:val="22"/>
          <w:szCs w:val="22"/>
        </w:rPr>
      </w:pPr>
      <w:r w:rsidRPr="00946024">
        <w:rPr>
          <w:rFonts w:eastAsia="Calibri"/>
          <w:sz w:val="22"/>
          <w:szCs w:val="22"/>
        </w:rPr>
        <w:t>Edición del video de difusión de 5 minutos y 5 clips para redes sociales.</w:t>
      </w:r>
    </w:p>
    <w:p w14:paraId="148FC2A5" w14:textId="77777777" w:rsidR="00F41FC7" w:rsidRPr="00946024" w:rsidRDefault="00F41FC7" w:rsidP="009B73DD">
      <w:pPr>
        <w:numPr>
          <w:ilvl w:val="2"/>
          <w:numId w:val="1"/>
        </w:numPr>
        <w:autoSpaceDE/>
        <w:autoSpaceDN/>
        <w:adjustRightInd/>
        <w:spacing w:after="120"/>
        <w:ind w:left="1080" w:hanging="684"/>
        <w:jc w:val="both"/>
        <w:rPr>
          <w:sz w:val="22"/>
          <w:szCs w:val="22"/>
        </w:rPr>
      </w:pPr>
      <w:r w:rsidRPr="00946024">
        <w:rPr>
          <w:rFonts w:eastAsia="Calibri"/>
          <w:sz w:val="22"/>
          <w:szCs w:val="22"/>
        </w:rPr>
        <w:t>Traducción y edición de los materiales al inglés</w:t>
      </w:r>
    </w:p>
    <w:p w14:paraId="6A2AE192" w14:textId="77777777" w:rsidR="00F41FC7" w:rsidRPr="00946024" w:rsidRDefault="00F41FC7" w:rsidP="009B73DD">
      <w:pPr>
        <w:numPr>
          <w:ilvl w:val="1"/>
          <w:numId w:val="1"/>
        </w:numPr>
        <w:autoSpaceDE/>
        <w:autoSpaceDN/>
        <w:adjustRightInd/>
        <w:spacing w:after="120"/>
        <w:ind w:left="360"/>
        <w:jc w:val="both"/>
        <w:rPr>
          <w:sz w:val="22"/>
          <w:szCs w:val="22"/>
        </w:rPr>
      </w:pPr>
      <w:r w:rsidRPr="00946024">
        <w:rPr>
          <w:rFonts w:eastAsia="Calibri"/>
          <w:sz w:val="22"/>
          <w:szCs w:val="22"/>
        </w:rPr>
        <w:t>Reporte de experiencias e iniciativas de datos abiertos para el cambio climático en América Latina</w:t>
      </w:r>
    </w:p>
    <w:p w14:paraId="0A1C8FA2" w14:textId="77777777" w:rsidR="00F41FC7" w:rsidRPr="00946024" w:rsidRDefault="00F41FC7" w:rsidP="009B73DD">
      <w:pPr>
        <w:numPr>
          <w:ilvl w:val="2"/>
          <w:numId w:val="1"/>
        </w:numPr>
        <w:autoSpaceDE/>
        <w:autoSpaceDN/>
        <w:adjustRightInd/>
        <w:spacing w:after="120"/>
        <w:ind w:left="1080" w:hanging="684"/>
        <w:jc w:val="both"/>
        <w:rPr>
          <w:sz w:val="22"/>
          <w:szCs w:val="22"/>
        </w:rPr>
      </w:pPr>
      <w:r w:rsidRPr="00946024">
        <w:rPr>
          <w:sz w:val="22"/>
          <w:szCs w:val="22"/>
        </w:rPr>
        <w:t xml:space="preserve">Realización de </w:t>
      </w:r>
      <w:r w:rsidRPr="00946024">
        <w:rPr>
          <w:rFonts w:eastAsia="Calibri"/>
          <w:sz w:val="22"/>
          <w:szCs w:val="22"/>
        </w:rPr>
        <w:t>Entrevistas a las áreas de datos abiertos de 6 países priorizados en el marco de la Cumbre América Abierta</w:t>
      </w:r>
    </w:p>
    <w:p w14:paraId="04BEFB6B" w14:textId="77777777" w:rsidR="00F41FC7" w:rsidRPr="00946024" w:rsidRDefault="00F41FC7" w:rsidP="009B73DD">
      <w:pPr>
        <w:numPr>
          <w:ilvl w:val="2"/>
          <w:numId w:val="1"/>
        </w:numPr>
        <w:autoSpaceDE/>
        <w:autoSpaceDN/>
        <w:adjustRightInd/>
        <w:spacing w:after="120"/>
        <w:ind w:left="1080" w:hanging="684"/>
        <w:jc w:val="both"/>
        <w:rPr>
          <w:rFonts w:eastAsia="Calibri"/>
          <w:sz w:val="22"/>
          <w:szCs w:val="22"/>
        </w:rPr>
      </w:pPr>
      <w:r w:rsidRPr="00946024">
        <w:rPr>
          <w:rFonts w:eastAsia="Calibri"/>
          <w:sz w:val="22"/>
          <w:szCs w:val="22"/>
        </w:rPr>
        <w:t>Producción de Documento de mapeo de políticas e iniciativas de datos abiertos para el cambio climático y modelos de gobernanza de datos de cambio climático en América Latina.</w:t>
      </w:r>
    </w:p>
    <w:p w14:paraId="2DBFE8E0" w14:textId="4A1ABBFD" w:rsidR="00F41FC7" w:rsidRPr="00946024" w:rsidRDefault="00F41FC7" w:rsidP="009B73DD">
      <w:pPr>
        <w:numPr>
          <w:ilvl w:val="2"/>
          <w:numId w:val="1"/>
        </w:numPr>
        <w:autoSpaceDE/>
        <w:autoSpaceDN/>
        <w:adjustRightInd/>
        <w:spacing w:after="120"/>
        <w:ind w:left="1080" w:hanging="684"/>
        <w:jc w:val="both"/>
        <w:rPr>
          <w:rFonts w:eastAsia="Calibri"/>
          <w:sz w:val="22"/>
          <w:szCs w:val="22"/>
        </w:rPr>
      </w:pPr>
      <w:r w:rsidRPr="00946024">
        <w:rPr>
          <w:sz w:val="22"/>
          <w:szCs w:val="22"/>
        </w:rPr>
        <w:t>Realización de actividades de difusión del reporte de experiencias e iniciativas de datos abiertos para el cambio climático</w:t>
      </w:r>
      <w:r w:rsidR="004879E5">
        <w:rPr>
          <w:sz w:val="22"/>
          <w:szCs w:val="22"/>
        </w:rPr>
        <w:t>.</w:t>
      </w:r>
    </w:p>
    <w:p w14:paraId="3655AB46" w14:textId="77777777" w:rsidR="00F41FC7" w:rsidRPr="00946024" w:rsidRDefault="00F41FC7" w:rsidP="009B73DD">
      <w:pPr>
        <w:numPr>
          <w:ilvl w:val="2"/>
          <w:numId w:val="1"/>
        </w:numPr>
        <w:autoSpaceDE/>
        <w:autoSpaceDN/>
        <w:adjustRightInd/>
        <w:spacing w:after="120"/>
        <w:ind w:left="1080" w:hanging="684"/>
        <w:jc w:val="both"/>
        <w:rPr>
          <w:rFonts w:eastAsia="Calibri"/>
          <w:sz w:val="22"/>
          <w:szCs w:val="22"/>
        </w:rPr>
      </w:pPr>
      <w:r w:rsidRPr="00946024">
        <w:rPr>
          <w:rFonts w:eastAsia="Calibri"/>
          <w:sz w:val="22"/>
          <w:szCs w:val="22"/>
        </w:rPr>
        <w:t>Presentación de los resultados de los productos en un evento híbrido y entrega de insumos de presentación para discusión en otros eventos</w:t>
      </w:r>
    </w:p>
    <w:p w14:paraId="0F98645D" w14:textId="77777777" w:rsidR="00F41FC7" w:rsidRPr="00946024" w:rsidRDefault="00F41FC7" w:rsidP="00F41FC7">
      <w:pPr>
        <w:ind w:left="792"/>
        <w:contextualSpacing/>
        <w:rPr>
          <w:rFonts w:eastAsiaTheme="minorHAnsi"/>
          <w:b/>
          <w:sz w:val="22"/>
          <w:szCs w:val="22"/>
        </w:rPr>
      </w:pPr>
    </w:p>
    <w:p w14:paraId="644F05A5" w14:textId="77777777" w:rsidR="00F41FC7" w:rsidRPr="00946024" w:rsidRDefault="00F41FC7" w:rsidP="00F41FC7">
      <w:pPr>
        <w:numPr>
          <w:ilvl w:val="0"/>
          <w:numId w:val="1"/>
        </w:numPr>
        <w:autoSpaceDE/>
        <w:autoSpaceDN/>
        <w:adjustRightInd/>
        <w:contextualSpacing/>
        <w:rPr>
          <w:rFonts w:eastAsiaTheme="minorHAnsi"/>
          <w:b/>
          <w:sz w:val="22"/>
          <w:szCs w:val="22"/>
          <w:u w:val="single"/>
        </w:rPr>
      </w:pPr>
      <w:r w:rsidRPr="00946024">
        <w:rPr>
          <w:rFonts w:eastAsiaTheme="minorHAnsi"/>
          <w:b/>
          <w:sz w:val="22"/>
          <w:szCs w:val="22"/>
          <w:u w:val="single"/>
        </w:rPr>
        <w:t>Resultados y Productos Esperados</w:t>
      </w:r>
    </w:p>
    <w:p w14:paraId="46987E2E" w14:textId="77777777" w:rsidR="00F41FC7" w:rsidRPr="00946024" w:rsidRDefault="00F41FC7" w:rsidP="00F41FC7">
      <w:pPr>
        <w:ind w:left="360"/>
        <w:contextualSpacing/>
        <w:rPr>
          <w:rFonts w:eastAsiaTheme="minorHAnsi"/>
          <w:b/>
          <w:sz w:val="22"/>
          <w:szCs w:val="22"/>
          <w:u w:val="single"/>
        </w:rPr>
      </w:pPr>
    </w:p>
    <w:p w14:paraId="632D927C" w14:textId="77777777" w:rsidR="00F41FC7" w:rsidRPr="00946024" w:rsidRDefault="00F41FC7" w:rsidP="00890812">
      <w:pPr>
        <w:numPr>
          <w:ilvl w:val="1"/>
          <w:numId w:val="1"/>
        </w:numPr>
        <w:autoSpaceDE/>
        <w:autoSpaceDN/>
        <w:adjustRightInd/>
        <w:spacing w:after="120"/>
        <w:ind w:left="360"/>
        <w:jc w:val="both"/>
        <w:rPr>
          <w:sz w:val="22"/>
          <w:szCs w:val="22"/>
        </w:rPr>
      </w:pPr>
      <w:r w:rsidRPr="00946024">
        <w:rPr>
          <w:sz w:val="22"/>
          <w:szCs w:val="22"/>
        </w:rPr>
        <w:t>Entregable 1: Plan de trabajo detallado de la consultoría</w:t>
      </w:r>
    </w:p>
    <w:p w14:paraId="66598ED6" w14:textId="77777777" w:rsidR="00F41FC7" w:rsidRPr="00946024" w:rsidRDefault="00F41FC7" w:rsidP="00890812">
      <w:pPr>
        <w:numPr>
          <w:ilvl w:val="1"/>
          <w:numId w:val="1"/>
        </w:numPr>
        <w:autoSpaceDE/>
        <w:autoSpaceDN/>
        <w:adjustRightInd/>
        <w:spacing w:after="120"/>
        <w:ind w:left="360"/>
        <w:jc w:val="both"/>
        <w:rPr>
          <w:sz w:val="22"/>
          <w:szCs w:val="22"/>
        </w:rPr>
      </w:pPr>
      <w:r w:rsidRPr="00946024">
        <w:rPr>
          <w:sz w:val="22"/>
          <w:szCs w:val="22"/>
        </w:rPr>
        <w:t>Entregable 2: Materiales para difusión audiovisual del Concurso de Innovación Cambio Climático editado en castellano y traducido al inglés, con foco a reproducir ejercicio uruguayo en otros países de la región, conteniendo todos los productos de las actividades 4.1</w:t>
      </w:r>
    </w:p>
    <w:p w14:paraId="14C9A83F" w14:textId="77777777" w:rsidR="00F41FC7" w:rsidRPr="00946024" w:rsidRDefault="00F41FC7" w:rsidP="00890812">
      <w:pPr>
        <w:numPr>
          <w:ilvl w:val="1"/>
          <w:numId w:val="1"/>
        </w:numPr>
        <w:autoSpaceDE/>
        <w:autoSpaceDN/>
        <w:adjustRightInd/>
        <w:spacing w:after="120"/>
        <w:ind w:left="360"/>
        <w:jc w:val="both"/>
        <w:rPr>
          <w:sz w:val="22"/>
          <w:szCs w:val="22"/>
        </w:rPr>
      </w:pPr>
      <w:r w:rsidRPr="00946024">
        <w:rPr>
          <w:rFonts w:eastAsia="Calibri"/>
          <w:sz w:val="22"/>
          <w:szCs w:val="22"/>
        </w:rPr>
        <w:t>Entregable 3: Reporte de experiencias e iniciativas de datos abiertos para el cambio climático en América Latina</w:t>
      </w:r>
      <w:r w:rsidRPr="00946024">
        <w:rPr>
          <w:sz w:val="22"/>
          <w:szCs w:val="22"/>
        </w:rPr>
        <w:t>, conteniendo todos los productos de las actividades 4.2</w:t>
      </w:r>
    </w:p>
    <w:p w14:paraId="2509C789" w14:textId="205D2541" w:rsidR="00CE0491" w:rsidRPr="00946024" w:rsidRDefault="00CE0491" w:rsidP="009B73DD">
      <w:pPr>
        <w:spacing w:after="120"/>
        <w:ind w:left="360"/>
        <w:jc w:val="both"/>
        <w:rPr>
          <w:color w:val="auto"/>
          <w:sz w:val="22"/>
          <w:szCs w:val="22"/>
        </w:rPr>
      </w:pPr>
    </w:p>
    <w:sectPr w:rsidR="00CE0491" w:rsidRPr="00946024" w:rsidSect="00946024">
      <w:headerReference w:type="default" r:id="rId23"/>
      <w:pgSz w:w="11907" w:h="16840"/>
      <w:pgMar w:top="1440" w:right="1800" w:bottom="1440" w:left="1800" w:header="360" w:footer="720" w:gutter="0"/>
      <w:cols w:space="720"/>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icrosoft Office User" w:date="2023-04-11T15:23:00Z" w:initials="MOU">
    <w:p w14:paraId="229A630D" w14:textId="77777777" w:rsidR="00CA1BF6" w:rsidRDefault="008F4C52" w:rsidP="00F7557E">
      <w:r>
        <w:rPr>
          <w:rStyle w:val="CommentReference"/>
        </w:rPr>
        <w:annotationRef/>
      </w:r>
      <w:r w:rsidR="00CA1BF6">
        <w:rPr>
          <w:sz w:val="20"/>
          <w:szCs w:val="20"/>
        </w:rPr>
        <w:t>Es este el número correcto?</w:t>
      </w:r>
    </w:p>
  </w:comment>
  <w:comment w:id="1" w:author="Brusa, Federico" w:date="2023-04-11T23:08:00Z" w:initials="BF">
    <w:p w14:paraId="5AAC02AE" w14:textId="77777777" w:rsidR="008A2A21" w:rsidRDefault="008A2A21" w:rsidP="00F7557E">
      <w:pPr>
        <w:pStyle w:val="CommentText"/>
      </w:pPr>
      <w:r>
        <w:rPr>
          <w:rStyle w:val="CommentReference"/>
        </w:rPr>
        <w:annotationRef/>
      </w:r>
      <w:r>
        <w:t>yep</w:t>
      </w:r>
    </w:p>
  </w:comment>
  <w:comment w:id="2" w:author="Microsoft Office User" w:date="2023-04-11T15:28:00Z" w:initials="MOU">
    <w:p w14:paraId="2D0FAA44" w14:textId="0EA88EE8" w:rsidR="00FA74C5" w:rsidRDefault="00FA74C5" w:rsidP="00F7557E">
      <w:r>
        <w:rPr>
          <w:rStyle w:val="CommentReference"/>
        </w:rPr>
        <w:annotationRef/>
      </w:r>
      <w:r>
        <w:rPr>
          <w:sz w:val="20"/>
          <w:szCs w:val="20"/>
        </w:rPr>
        <w:t>Chequear cuando vayamos a publicar</w:t>
      </w:r>
    </w:p>
  </w:comment>
  <w:comment w:id="3" w:author="Brusa, Federico" w:date="2023-04-11T23:09:00Z" w:initials="BF">
    <w:p w14:paraId="5FDD334E" w14:textId="77777777" w:rsidR="008A2A21" w:rsidRDefault="008A2A21" w:rsidP="00F7557E">
      <w:pPr>
        <w:pStyle w:val="CommentText"/>
      </w:pPr>
      <w:r>
        <w:rPr>
          <w:rStyle w:val="CommentReference"/>
        </w:rPr>
        <w:annotationRef/>
      </w:r>
      <w:r>
        <w:t>Menor cantidad de tiempo posible, porfa</w:t>
      </w:r>
    </w:p>
  </w:comment>
  <w:comment w:id="4" w:author="Microsoft Office User" w:date="2023-04-11T15:34:00Z" w:initials="MOU">
    <w:p w14:paraId="651306F2" w14:textId="10FC8A59" w:rsidR="007E54EF" w:rsidRDefault="007E54EF" w:rsidP="00F7557E">
      <w:r>
        <w:rPr>
          <w:rStyle w:val="CommentReference"/>
        </w:rPr>
        <w:annotationRef/>
      </w:r>
      <w:r>
        <w:rPr>
          <w:sz w:val="20"/>
          <w:szCs w:val="20"/>
        </w:rPr>
        <w:t>Le puse los dos productos, está bien?</w:t>
      </w:r>
    </w:p>
  </w:comment>
  <w:comment w:id="5" w:author="Brusa, Federico" w:date="2023-04-11T23:09:00Z" w:initials="BF">
    <w:p w14:paraId="1C4B9DA5" w14:textId="77777777" w:rsidR="008A2A21" w:rsidRDefault="008A2A21" w:rsidP="00F7557E">
      <w:pPr>
        <w:pStyle w:val="CommentText"/>
      </w:pPr>
      <w:r>
        <w:rPr>
          <w:rStyle w:val="CommentReference"/>
        </w:rPr>
        <w:annotationRef/>
      </w:r>
      <w:r>
        <w:t>yep</w:t>
      </w:r>
    </w:p>
  </w:comment>
  <w:comment w:id="6" w:author="Microsoft Office User" w:date="2023-04-11T15:34:00Z" w:initials="MOU">
    <w:p w14:paraId="7A434FBE" w14:textId="77777777" w:rsidR="00F41FC7" w:rsidRDefault="007E54EF" w:rsidP="00F7557E">
      <w:r>
        <w:rPr>
          <w:rStyle w:val="CommentReference"/>
        </w:rPr>
        <w:annotationRef/>
      </w:r>
      <w:r w:rsidR="00F41FC7">
        <w:rPr>
          <w:sz w:val="20"/>
          <w:szCs w:val="20"/>
        </w:rPr>
        <w:t>Esto considerando que ya estamos en el segundo trimestre y tendrían 70 días para la entrega del último producto luego de la firma del contrato</w:t>
      </w:r>
    </w:p>
  </w:comment>
  <w:comment w:id="7" w:author="Brusa, Federico" w:date="2023-04-11T23:09:00Z" w:initials="BF">
    <w:p w14:paraId="0640B0E0" w14:textId="0F052E24" w:rsidR="00A3263C" w:rsidRDefault="00A3263C" w:rsidP="00F7557E">
      <w:pPr>
        <w:pStyle w:val="CommentText"/>
      </w:pPr>
      <w:r>
        <w:rPr>
          <w:rStyle w:val="CommentReference"/>
        </w:rPr>
        <w:annotationRef/>
      </w:r>
      <w:r>
        <w:t>perfecto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9A630D" w15:done="1"/>
  <w15:commentEx w15:paraId="5AAC02AE" w15:paraIdParent="229A630D" w15:done="1"/>
  <w15:commentEx w15:paraId="2D0FAA44" w15:done="1"/>
  <w15:commentEx w15:paraId="5FDD334E" w15:paraIdParent="2D0FAA44" w15:done="1"/>
  <w15:commentEx w15:paraId="651306F2" w15:done="1"/>
  <w15:commentEx w15:paraId="1C4B9DA5" w15:paraIdParent="651306F2" w15:done="1"/>
  <w15:commentEx w15:paraId="7A434FBE" w15:done="0"/>
  <w15:commentEx w15:paraId="0640B0E0" w15:paraIdParent="7A434F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FF9EA" w16cex:dateUtc="2023-04-11T18:23:00Z"/>
  <w16cex:commentExtensible w16cex:durableId="27E066FD" w16cex:dateUtc="2023-04-12T02:08:00Z"/>
  <w16cex:commentExtensible w16cex:durableId="27DFFB06" w16cex:dateUtc="2023-04-11T18:28:00Z"/>
  <w16cex:commentExtensible w16cex:durableId="27E06715" w16cex:dateUtc="2023-04-12T02:09:00Z"/>
  <w16cex:commentExtensible w16cex:durableId="27DFFC7F" w16cex:dateUtc="2023-04-11T18:34:00Z"/>
  <w16cex:commentExtensible w16cex:durableId="27E06728" w16cex:dateUtc="2023-04-12T02:09:00Z"/>
  <w16cex:commentExtensible w16cex:durableId="27DFFC97" w16cex:dateUtc="2023-04-11T18:34:00Z"/>
  <w16cex:commentExtensible w16cex:durableId="27E0673B" w16cex:dateUtc="2023-04-12T02: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9A630D" w16cid:durableId="27DFF9EA"/>
  <w16cid:commentId w16cid:paraId="5AAC02AE" w16cid:durableId="27E066FD"/>
  <w16cid:commentId w16cid:paraId="2D0FAA44" w16cid:durableId="27DFFB06"/>
  <w16cid:commentId w16cid:paraId="5FDD334E" w16cid:durableId="27E06715"/>
  <w16cid:commentId w16cid:paraId="651306F2" w16cid:durableId="27DFFC7F"/>
  <w16cid:commentId w16cid:paraId="1C4B9DA5" w16cid:durableId="27E06728"/>
  <w16cid:commentId w16cid:paraId="7A434FBE" w16cid:durableId="27DFFC97"/>
  <w16cid:commentId w16cid:paraId="0640B0E0" w16cid:durableId="27E0673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FAF73D" w14:textId="77777777" w:rsidR="00EC7A1C" w:rsidRDefault="00EC7A1C">
      <w:r>
        <w:separator/>
      </w:r>
    </w:p>
  </w:endnote>
  <w:endnote w:type="continuationSeparator" w:id="0">
    <w:p w14:paraId="46EDE6AD" w14:textId="77777777" w:rsidR="00EC7A1C" w:rsidRDefault="00EC7A1C">
      <w:r>
        <w:continuationSeparator/>
      </w:r>
    </w:p>
  </w:endnote>
  <w:endnote w:type="continuationNotice" w:id="1">
    <w:p w14:paraId="2483F4C7" w14:textId="77777777" w:rsidR="00DD38D2" w:rsidRDefault="00DD38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2AF07A" w14:textId="77777777" w:rsidR="00EC7A1C" w:rsidRDefault="00EC7A1C">
      <w:r>
        <w:separator/>
      </w:r>
    </w:p>
  </w:footnote>
  <w:footnote w:type="continuationSeparator" w:id="0">
    <w:p w14:paraId="23CFAD1E" w14:textId="77777777" w:rsidR="00EC7A1C" w:rsidRDefault="00EC7A1C">
      <w:r>
        <w:continuationSeparator/>
      </w:r>
    </w:p>
  </w:footnote>
  <w:footnote w:type="continuationNotice" w:id="1">
    <w:p w14:paraId="045FB317" w14:textId="77777777" w:rsidR="00DD38D2" w:rsidRDefault="00DD38D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9D67D" w14:textId="1472FF42" w:rsidR="00946024" w:rsidRPr="00946024" w:rsidRDefault="00946024" w:rsidP="00946024">
    <w:pPr>
      <w:pStyle w:val="Header"/>
    </w:pPr>
    <w:r>
      <w:rPr>
        <w:noProof/>
      </w:rPr>
      <w:drawing>
        <wp:inline distT="0" distB="0" distL="0" distR="0" wp14:anchorId="1AB74ACA" wp14:editId="04BCE9A0">
          <wp:extent cx="1952625" cy="495300"/>
          <wp:effectExtent l="0" t="0" r="9525" b="0"/>
          <wp:docPr id="1" name="Imagen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Text&#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C65F78"/>
    <w:multiLevelType w:val="multilevel"/>
    <w:tmpl w:val="13589574"/>
    <w:lvl w:ilvl="0">
      <w:start w:val="1"/>
      <w:numFmt w:val="decimal"/>
      <w:lvlText w:val="%1."/>
      <w:lvlJc w:val="left"/>
      <w:pPr>
        <w:ind w:left="360" w:hanging="360"/>
      </w:pPr>
    </w:lvl>
    <w:lvl w:ilvl="1">
      <w:start w:val="1"/>
      <w:numFmt w:val="decimal"/>
      <w:lvlText w:val="%1.%2."/>
      <w:lvlJc w:val="left"/>
      <w:pPr>
        <w:ind w:left="792" w:hanging="432"/>
      </w:pPr>
      <w:rPr>
        <w:b w:val="0"/>
        <w:bCs w:val="0"/>
        <w:i w:val="0"/>
        <w:iCs w:val="0"/>
        <w:color w:val="000000" w:themeColor="text1"/>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8555278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crosoft Office User">
    <w15:presenceInfo w15:providerId="None" w15:userId="Microsoft Office User"/>
  </w15:person>
  <w15:person w15:author="Brusa, Federico">
    <w15:presenceInfo w15:providerId="AD" w15:userId="S::FBRUSA@iadb.org::27ca507a-7c8b-45fe-a80f-07b15e27a1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16DEE"/>
    <w:rsid w:val="00032422"/>
    <w:rsid w:val="0003493A"/>
    <w:rsid w:val="00050DB5"/>
    <w:rsid w:val="00064AD6"/>
    <w:rsid w:val="00075E00"/>
    <w:rsid w:val="000C118D"/>
    <w:rsid w:val="00150313"/>
    <w:rsid w:val="00163F1B"/>
    <w:rsid w:val="00193E5E"/>
    <w:rsid w:val="00195118"/>
    <w:rsid w:val="001A61A3"/>
    <w:rsid w:val="001C1EA2"/>
    <w:rsid w:val="001F2366"/>
    <w:rsid w:val="00201995"/>
    <w:rsid w:val="002044D9"/>
    <w:rsid w:val="00214F77"/>
    <w:rsid w:val="002157F0"/>
    <w:rsid w:val="00243C74"/>
    <w:rsid w:val="00261387"/>
    <w:rsid w:val="00282D20"/>
    <w:rsid w:val="002A318F"/>
    <w:rsid w:val="002B6E56"/>
    <w:rsid w:val="00360ACB"/>
    <w:rsid w:val="00363567"/>
    <w:rsid w:val="003800C7"/>
    <w:rsid w:val="003C306C"/>
    <w:rsid w:val="003E2C20"/>
    <w:rsid w:val="003F0AED"/>
    <w:rsid w:val="003F0B64"/>
    <w:rsid w:val="003F5CA1"/>
    <w:rsid w:val="004003E8"/>
    <w:rsid w:val="00423E38"/>
    <w:rsid w:val="00463054"/>
    <w:rsid w:val="0046430C"/>
    <w:rsid w:val="004879E5"/>
    <w:rsid w:val="004A3654"/>
    <w:rsid w:val="004C0B86"/>
    <w:rsid w:val="004D51F3"/>
    <w:rsid w:val="0051231A"/>
    <w:rsid w:val="0052634A"/>
    <w:rsid w:val="00544632"/>
    <w:rsid w:val="00544F2D"/>
    <w:rsid w:val="00544F97"/>
    <w:rsid w:val="00546C8D"/>
    <w:rsid w:val="00556C08"/>
    <w:rsid w:val="005673D5"/>
    <w:rsid w:val="0056772C"/>
    <w:rsid w:val="00581846"/>
    <w:rsid w:val="005A2D02"/>
    <w:rsid w:val="005B434A"/>
    <w:rsid w:val="005C20F6"/>
    <w:rsid w:val="005E4ACD"/>
    <w:rsid w:val="005F16C0"/>
    <w:rsid w:val="005F5179"/>
    <w:rsid w:val="005F7316"/>
    <w:rsid w:val="006071D7"/>
    <w:rsid w:val="00637714"/>
    <w:rsid w:val="006526F0"/>
    <w:rsid w:val="006C3B20"/>
    <w:rsid w:val="007001EE"/>
    <w:rsid w:val="00702218"/>
    <w:rsid w:val="00704ED3"/>
    <w:rsid w:val="00711F1A"/>
    <w:rsid w:val="0078460F"/>
    <w:rsid w:val="00794CE4"/>
    <w:rsid w:val="007E54EF"/>
    <w:rsid w:val="007E7229"/>
    <w:rsid w:val="00811684"/>
    <w:rsid w:val="008171F3"/>
    <w:rsid w:val="0085325B"/>
    <w:rsid w:val="008577C4"/>
    <w:rsid w:val="00890812"/>
    <w:rsid w:val="00891E3C"/>
    <w:rsid w:val="00897ECF"/>
    <w:rsid w:val="008A2A21"/>
    <w:rsid w:val="008C0901"/>
    <w:rsid w:val="008C7908"/>
    <w:rsid w:val="008F4C52"/>
    <w:rsid w:val="00901303"/>
    <w:rsid w:val="0090355D"/>
    <w:rsid w:val="0090501E"/>
    <w:rsid w:val="0091314D"/>
    <w:rsid w:val="00913640"/>
    <w:rsid w:val="00936FB2"/>
    <w:rsid w:val="00946024"/>
    <w:rsid w:val="0098433D"/>
    <w:rsid w:val="009878D7"/>
    <w:rsid w:val="009B6B22"/>
    <w:rsid w:val="009B73DD"/>
    <w:rsid w:val="009E318C"/>
    <w:rsid w:val="00A01F26"/>
    <w:rsid w:val="00A02B48"/>
    <w:rsid w:val="00A15B62"/>
    <w:rsid w:val="00A22A3A"/>
    <w:rsid w:val="00A3263C"/>
    <w:rsid w:val="00A37CA7"/>
    <w:rsid w:val="00A438EB"/>
    <w:rsid w:val="00A838F0"/>
    <w:rsid w:val="00A83D94"/>
    <w:rsid w:val="00AD6E3D"/>
    <w:rsid w:val="00AE7268"/>
    <w:rsid w:val="00B00C2E"/>
    <w:rsid w:val="00B17BF0"/>
    <w:rsid w:val="00B24F99"/>
    <w:rsid w:val="00B27293"/>
    <w:rsid w:val="00B47E70"/>
    <w:rsid w:val="00B747D9"/>
    <w:rsid w:val="00B90187"/>
    <w:rsid w:val="00BB32D3"/>
    <w:rsid w:val="00BC02E9"/>
    <w:rsid w:val="00BE1B60"/>
    <w:rsid w:val="00BE2E78"/>
    <w:rsid w:val="00BE6F2F"/>
    <w:rsid w:val="00BE7BAD"/>
    <w:rsid w:val="00BF0B50"/>
    <w:rsid w:val="00BF5CD3"/>
    <w:rsid w:val="00BF5CD9"/>
    <w:rsid w:val="00C120ED"/>
    <w:rsid w:val="00C27587"/>
    <w:rsid w:val="00C42B39"/>
    <w:rsid w:val="00C439C0"/>
    <w:rsid w:val="00C90263"/>
    <w:rsid w:val="00C94EA8"/>
    <w:rsid w:val="00CA1817"/>
    <w:rsid w:val="00CA1BF6"/>
    <w:rsid w:val="00CA29AF"/>
    <w:rsid w:val="00CA7C9E"/>
    <w:rsid w:val="00CD2A27"/>
    <w:rsid w:val="00CD36BB"/>
    <w:rsid w:val="00CD4904"/>
    <w:rsid w:val="00CE0491"/>
    <w:rsid w:val="00CF67CE"/>
    <w:rsid w:val="00CF7BE6"/>
    <w:rsid w:val="00D761FB"/>
    <w:rsid w:val="00DD38D2"/>
    <w:rsid w:val="00DE327F"/>
    <w:rsid w:val="00E277C5"/>
    <w:rsid w:val="00E42537"/>
    <w:rsid w:val="00E74E56"/>
    <w:rsid w:val="00E82ED1"/>
    <w:rsid w:val="00E87206"/>
    <w:rsid w:val="00E90C6D"/>
    <w:rsid w:val="00EA3338"/>
    <w:rsid w:val="00EA5694"/>
    <w:rsid w:val="00EB50B6"/>
    <w:rsid w:val="00EB5C17"/>
    <w:rsid w:val="00EC7A1C"/>
    <w:rsid w:val="00ED4D33"/>
    <w:rsid w:val="00F37FC6"/>
    <w:rsid w:val="00F41FC7"/>
    <w:rsid w:val="00F435DB"/>
    <w:rsid w:val="00F45D9C"/>
    <w:rsid w:val="00F74266"/>
    <w:rsid w:val="00F7557E"/>
    <w:rsid w:val="00F85FCB"/>
    <w:rsid w:val="00FA3439"/>
    <w:rsid w:val="00FA74C5"/>
    <w:rsid w:val="00FF652E"/>
    <w:rsid w:val="0506207C"/>
    <w:rsid w:val="08202347"/>
    <w:rsid w:val="14F72744"/>
    <w:rsid w:val="19427AB5"/>
    <w:rsid w:val="1ACBE1A0"/>
    <w:rsid w:val="1FFC0DA2"/>
    <w:rsid w:val="225EE21D"/>
    <w:rsid w:val="2498A323"/>
    <w:rsid w:val="2C944FB1"/>
    <w:rsid w:val="38993981"/>
    <w:rsid w:val="427E340D"/>
    <w:rsid w:val="4C7BC12C"/>
    <w:rsid w:val="59590219"/>
    <w:rsid w:val="672BA234"/>
    <w:rsid w:val="71A5113C"/>
    <w:rsid w:val="784908F4"/>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31195049-4A2E-4A22-A85A-771EFC947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unhideWhenUsed/>
    <w:rsid w:val="004003E8"/>
    <w:rPr>
      <w:sz w:val="20"/>
      <w:szCs w:val="20"/>
    </w:rPr>
  </w:style>
  <w:style w:type="character" w:customStyle="1" w:styleId="CommentTextChar">
    <w:name w:val="Comment Text Char"/>
    <w:basedOn w:val="DefaultParagraphFont"/>
    <w:link w:val="CommentText"/>
    <w:uiPriority w:val="99"/>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FA74C5"/>
    <w:rPr>
      <w:color w:val="605E5C"/>
      <w:shd w:val="clear" w:color="auto" w:fill="E1DFDD"/>
    </w:rPr>
  </w:style>
  <w:style w:type="paragraph" w:styleId="BodyTextIndent3">
    <w:name w:val="Body Text Indent 3"/>
    <w:basedOn w:val="Normal"/>
    <w:link w:val="BodyTextIndent3Char"/>
    <w:uiPriority w:val="99"/>
    <w:semiHidden/>
    <w:unhideWhenUsed/>
    <w:rsid w:val="005A2D02"/>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A2D02"/>
    <w:rPr>
      <w:rFonts w:ascii="Arial" w:hAnsi="Arial" w:cs="Arial"/>
      <w:color w:val="000000"/>
      <w:sz w:val="16"/>
      <w:szCs w:val="16"/>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 w:id="587158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yperlink" Target="http://beo-procurement.iadb.org/home" TargetMode="External"/><Relationship Id="rId26" Type="http://schemas.openxmlformats.org/officeDocument/2006/relationships/theme" Target="theme/theme1.xml"/><Relationship Id="rId21" Type="http://schemas.openxmlformats.org/officeDocument/2006/relationships/hyperlink" Target="http://www.iadb.org"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iadb.org/en/project/RG-T3701" TargetMode="External"/><Relationship Id="rId25" Type="http://schemas.microsoft.com/office/2011/relationships/people" Target="people.xml"/><Relationship Id="rId16" Type="http://schemas.microsoft.com/office/2018/08/relationships/commentsExtensible" Target="commentsExtensible.xml"/><Relationship Id="rId20" Type="http://schemas.openxmlformats.org/officeDocument/2006/relationships/hyperlink" Target="mailto:fbrusa@iadb.org" TargetMode="External"/><Relationship Id="rId29" Type="http://schemas.openxmlformats.org/officeDocument/2006/relationships/customXml" Target="../customXml/item3.xml"/><Relationship Id="rId11" Type="http://schemas.openxmlformats.org/officeDocument/2006/relationships/footnotes" Target="footnotes.xml"/><Relationship Id="rId24" Type="http://schemas.openxmlformats.org/officeDocument/2006/relationships/fontTable" Target="fontTable.xml"/><Relationship Id="rId32" Type="http://schemas.openxmlformats.org/officeDocument/2006/relationships/customXml" Target="../customXml/item6.xml"/><Relationship Id="rId15" Type="http://schemas.microsoft.com/office/2016/09/relationships/commentsIds" Target="commentsIds.xml"/><Relationship Id="rId23" Type="http://schemas.openxmlformats.org/officeDocument/2006/relationships/header" Target="header1.xml"/><Relationship Id="rId28" Type="http://schemas.openxmlformats.org/officeDocument/2006/relationships/customXml" Target="../customXml/item2.xml"/><Relationship Id="rId10" Type="http://schemas.openxmlformats.org/officeDocument/2006/relationships/webSettings" Target="webSettings.xml"/><Relationship Id="rId19" Type="http://schemas.openxmlformats.org/officeDocument/2006/relationships/hyperlink" Target="http://www.iadb.org/document.cfm?id=38988613" TargetMode="External"/><Relationship Id="rId31" Type="http://schemas.openxmlformats.org/officeDocument/2006/relationships/customXml" Target="../customXml/item5.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hyperlink" Target="https://www.iadb.org/en/project/RG-T3701" TargetMode="External"/><Relationship Id="rId27" Type="http://schemas.openxmlformats.org/officeDocument/2006/relationships/customXml" Target="../customXml/item1.xml"/><Relationship Id="rId30"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8DC0CDCF5921084087B29594C91B7347" ma:contentTypeVersion="8202" ma:contentTypeDescription="The base project type from which other project content types inherit their information." ma:contentTypeScope="" ma:versionID="0730fe668da3486abe90398d41538843">
  <xsd:schema xmlns:xsd="http://www.w3.org/2001/XMLSchema" xmlns:xs="http://www.w3.org/2001/XMLSchema" xmlns:p="http://schemas.microsoft.com/office/2006/metadata/properties" xmlns:ns2="cdc7663a-08f0-4737-9e8c-148ce897a09c" targetNamespace="http://schemas.microsoft.com/office/2006/metadata/properties" ma:root="true" ma:fieldsID="d92852dbd8bf7ca3b5310d8db4c9a112"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RG-T3701"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ACF722E9F6B0B149B0CD8BE2560A6672"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RG</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CSD/CCS</Division_x0020_or_x0020_Unit>
    <From_x003a_ xmlns="cdc7663a-08f0-4737-9e8c-148ce897a09c" xsi:nil="true"/>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Other_x0020_Author xmlns="cdc7663a-08f0-4737-9e8c-148ce897a09c" xsi:nil="true"/>
    <Migration_x0020_Info xmlns="cdc7663a-08f0-4737-9e8c-148ce897a09c" xsi:nil="true"/>
    <Approval_x0020_Number xmlns="cdc7663a-08f0-4737-9e8c-148ce897a09c">ATN/AC-18245-RG</Approval_x0020_Number>
    <Phase xmlns="cdc7663a-08f0-4737-9e8c-148ce897a09c">PHASE_IMPLEMENTATION</Phase>
    <Document_x0020_Author xmlns="cdc7663a-08f0-4737-9e8c-148ce897a09c">Gomez Juan Carlos</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PA-ADA</TermName>
          <TermId xmlns="http://schemas.microsoft.com/office/infopath/2007/PartnerControls">d69113c3-94f3-4894-9c2f-0ab925485eb4</TermId>
        </TermInfo>
      </Terms>
    </b2ec7cfb18674cb8803df6b262e8b107>
    <Business_x0020_Area xmlns="cdc7663a-08f0-4737-9e8c-148ce897a09c">BEO Procurement</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ACL</TermName>
          <TermId xmlns="http://schemas.microsoft.com/office/infopath/2007/PartnerControls">889aa697-df0a-4674-98ae-3686e39a83d1</TermId>
        </TermInfo>
        <TermInfo xmlns="http://schemas.microsoft.com/office/infopath/2007/PartnerControls">
          <TermName xmlns="http://schemas.microsoft.com/office/infopath/2007/PartnerControls">SUS</TermName>
          <TermId xmlns="http://schemas.microsoft.com/office/infopath/2007/PartnerControls">a52fbbab-6bb9-4f53-9a43-d35ec8453bb2</TermId>
        </TermInfo>
      </Terms>
    </g511464f9e53401d84b16fa9b379a574>
    <Related_x0020_SisCor_x0020_Number xmlns="cdc7663a-08f0-4737-9e8c-148ce897a09c" xsi:nil="true"/>
    <Transaction_x0020_Type xmlns="cdc7663a-08f0-4737-9e8c-148ce897a09c" xsi:nil="true"/>
    <TaxCatchAll xmlns="cdc7663a-08f0-4737-9e8c-148ce897a09c">
      <Value>560</Value>
      <Value>44</Value>
      <Value>483</Value>
      <Value>6</Value>
      <Value>84</Value>
      <Value>51</Value>
    </TaxCatchAll>
    <Operation_x0020_Type xmlns="cdc7663a-08f0-4737-9e8c-148ce897a09c">TCP</Operation_x0020_Type>
    <Package_x0020_Code xmlns="cdc7663a-08f0-4737-9e8c-148ce897a09c" xsi:nil="true"/>
    <To_x003a_ xmlns="cdc7663a-08f0-4737-9e8c-148ce897a09c" xsi:nil="true"/>
    <Identifier xmlns="cdc7663a-08f0-4737-9e8c-148ce897a09c" xsi:nil="true"/>
    <Project_x0020_Number xmlns="cdc7663a-08f0-4737-9e8c-148ce897a09c">RG-T3701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Record_x0020_Number xmlns="cdc7663a-08f0-4737-9e8c-148ce897a09c" xsi:nil="true"/>
    <Transaction_x0020_Number xmlns="cdc7663a-08f0-4737-9e8c-148ce897a09c" xsi:nil="true"/>
    <Extracted_x0020_Keywords xmlns="cdc7663a-08f0-4737-9e8c-148ce897a09c" xsi:nil="true"/>
    <Approval_x0020_date xmlns="cdc7663a-08f0-4737-9e8c-148ce897a09c" xsi:nil="true"/>
    <_dlc_DocId xmlns="cdc7663a-08f0-4737-9e8c-148ce897a09c">EZIDB0000474-1322728628-35</_dlc_DocId>
    <_dlc_DocIdUrl xmlns="cdc7663a-08f0-4737-9e8c-148ce897a09c">
      <Url>https://idbg.sharepoint.com/teams/EZ-RG-TCP/RG-T3701/_layouts/15/DocIdRedir.aspx?ID=EZIDB0000474-1322728628-35</Url>
      <Description>EZIDB0000474-1322728628-35</Description>
    </_dlc_DocIdUrl>
  </documentManagement>
</p:properties>
</file>

<file path=customXml/itemProps1.xml><?xml version="1.0" encoding="utf-8"?>
<ds:datastoreItem xmlns:ds="http://schemas.openxmlformats.org/officeDocument/2006/customXml" ds:itemID="{C138BE41-4699-46D9-899D-B290858D0B75}"/>
</file>

<file path=customXml/itemProps2.xml><?xml version="1.0" encoding="utf-8"?>
<ds:datastoreItem xmlns:ds="http://schemas.openxmlformats.org/officeDocument/2006/customXml" ds:itemID="{544154B0-529D-402A-9788-22ECB810A294}"/>
</file>

<file path=customXml/itemProps3.xml><?xml version="1.0" encoding="utf-8"?>
<ds:datastoreItem xmlns:ds="http://schemas.openxmlformats.org/officeDocument/2006/customXml" ds:itemID="{5A73597D-2C93-40C4-B693-5DFA737A517E}"/>
</file>

<file path=customXml/itemProps4.xml><?xml version="1.0" encoding="utf-8"?>
<ds:datastoreItem xmlns:ds="http://schemas.openxmlformats.org/officeDocument/2006/customXml" ds:itemID="{524EECE1-45D9-4806-AD95-3A8999A21CAD}"/>
</file>

<file path=customXml/itemProps5.xml><?xml version="1.0" encoding="utf-8"?>
<ds:datastoreItem xmlns:ds="http://schemas.openxmlformats.org/officeDocument/2006/customXml" ds:itemID="{4CA2DA4C-A4F8-4CB0-B6D6-4492042900DC}"/>
</file>

<file path=customXml/itemProps6.xml><?xml version="1.0" encoding="utf-8"?>
<ds:datastoreItem xmlns:ds="http://schemas.openxmlformats.org/officeDocument/2006/customXml" ds:itemID="{3DA1CEFD-86DF-4241-BEDD-F4AC63F49F73}"/>
</file>

<file path=docProps/app.xml><?xml version="1.0" encoding="utf-8"?>
<Properties xmlns="http://schemas.openxmlformats.org/officeDocument/2006/extended-properties" xmlns:vt="http://schemas.openxmlformats.org/officeDocument/2006/docPropsVTypes">
  <Template>Normal.dotm</Template>
  <TotalTime>1</TotalTime>
  <Pages>4</Pages>
  <Words>1202</Words>
  <Characters>7036</Characters>
  <Application>Microsoft Office Word</Application>
  <DocSecurity>0</DocSecurity>
  <Lines>58</Lines>
  <Paragraphs>16</Paragraphs>
  <ScaleCrop>false</ScaleCrop>
  <Company>Inter-American Development Bank</Company>
  <LinksUpToDate>false</LinksUpToDate>
  <CharactersWithSpaces>8222</CharactersWithSpaces>
  <SharedDoc>false</SharedDoc>
  <HLinks>
    <vt:vector size="36" baseType="variant">
      <vt:variant>
        <vt:i4>4718594</vt:i4>
      </vt:variant>
      <vt:variant>
        <vt:i4>15</vt:i4>
      </vt:variant>
      <vt:variant>
        <vt:i4>0</vt:i4>
      </vt:variant>
      <vt:variant>
        <vt:i4>5</vt:i4>
      </vt:variant>
      <vt:variant>
        <vt:lpwstr>https://www.iadb.org/en/project/RG-T3701</vt:lpwstr>
      </vt:variant>
      <vt:variant>
        <vt:lpwstr/>
      </vt:variant>
      <vt:variant>
        <vt:i4>5570651</vt:i4>
      </vt:variant>
      <vt:variant>
        <vt:i4>12</vt:i4>
      </vt:variant>
      <vt:variant>
        <vt:i4>0</vt:i4>
      </vt:variant>
      <vt:variant>
        <vt:i4>5</vt:i4>
      </vt:variant>
      <vt:variant>
        <vt:lpwstr>http://www.iadb.org/</vt:lpwstr>
      </vt:variant>
      <vt:variant>
        <vt:lpwstr/>
      </vt:variant>
      <vt:variant>
        <vt:i4>5111917</vt:i4>
      </vt:variant>
      <vt:variant>
        <vt:i4>9</vt:i4>
      </vt:variant>
      <vt:variant>
        <vt:i4>0</vt:i4>
      </vt:variant>
      <vt:variant>
        <vt:i4>5</vt:i4>
      </vt:variant>
      <vt:variant>
        <vt:lpwstr>mailto:fbrusa@iadb.org</vt:lpwstr>
      </vt:variant>
      <vt:variant>
        <vt:lpwstr/>
      </vt:variant>
      <vt:variant>
        <vt:i4>65615</vt:i4>
      </vt:variant>
      <vt:variant>
        <vt:i4>6</vt:i4>
      </vt:variant>
      <vt:variant>
        <vt:i4>0</vt:i4>
      </vt:variant>
      <vt:variant>
        <vt:i4>5</vt:i4>
      </vt:variant>
      <vt:variant>
        <vt:lpwstr>http://www.iadb.org/document.cfm?id=38988613</vt:lpwstr>
      </vt:variant>
      <vt:variant>
        <vt:lpwstr/>
      </vt:variant>
      <vt:variant>
        <vt:i4>4980737</vt:i4>
      </vt:variant>
      <vt:variant>
        <vt:i4>3</vt:i4>
      </vt:variant>
      <vt:variant>
        <vt:i4>0</vt:i4>
      </vt:variant>
      <vt:variant>
        <vt:i4>5</vt:i4>
      </vt:variant>
      <vt:variant>
        <vt:lpwstr>http://beo-procurement.iadb.org/home</vt:lpwstr>
      </vt:variant>
      <vt:variant>
        <vt:lpwstr/>
      </vt:variant>
      <vt:variant>
        <vt:i4>4718594</vt:i4>
      </vt:variant>
      <vt:variant>
        <vt:i4>0</vt:i4>
      </vt:variant>
      <vt:variant>
        <vt:i4>0</vt:i4>
      </vt:variant>
      <vt:variant>
        <vt:i4>5</vt:i4>
      </vt:variant>
      <vt:variant>
        <vt:lpwstr>https://www.iadb.org/en/project/RG-T3701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Juan</cp:lastModifiedBy>
  <cp:revision>3</cp:revision>
  <cp:lastPrinted>2015-01-20T22:56:00Z</cp:lastPrinted>
  <dcterms:created xsi:type="dcterms:W3CDTF">2023-04-13T14:25:00Z</dcterms:created>
  <dcterms:modified xsi:type="dcterms:W3CDTF">2023-04-13T14:25:00Z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0x010100ACF722E9F6B0B149B0CD8BE2560A6672008DC0CDCF5921084087B29594C91B7347</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44;#RG|2537a5b7-6d8e-482c-94dc-32c3cc44ff65</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6;#Goods and Services|5bfebf1b-9f1f-4411-b1dd-4c19b807b799</vt:lpwstr>
  </property>
  <property fmtid="{D5CDD505-2E9C-101B-9397-08002B2CF9AE}" pid="10" name="Sector_x0020_IDB">
    <vt:lpwstr/>
  </property>
  <property fmtid="{D5CDD505-2E9C-101B-9397-08002B2CF9AE}" pid="11" name="Sub-Sector">
    <vt:lpwstr>84;#PA-ADA|d69113c3-94f3-4894-9c2f-0ab925485eb4</vt:lpwstr>
  </property>
  <property fmtid="{D5CDD505-2E9C-101B-9397-08002B2CF9AE}" pid="13" name="Fund IDB">
    <vt:lpwstr>560;#ACL|889aa697-df0a-4674-98ae-3686e39a83d1;#483;#SUS|a52fbbab-6bb9-4f53-9a43-d35ec8453bb2</vt:lpwstr>
  </property>
  <property fmtid="{D5CDD505-2E9C-101B-9397-08002B2CF9AE}" pid="14" name="Sector IDB">
    <vt:lpwstr>51;#PA|261e2b33-090b-4ab0-8e06-3aa3e7f32d57</vt:lpwstr>
  </property>
  <property fmtid="{D5CDD505-2E9C-101B-9397-08002B2CF9AE}" pid="15" name="_dlc_DocIdItemGuid">
    <vt:lpwstr>ad7f70b4-9160-401f-9207-2a0c0832c60b</vt:lpwstr>
  </property>
  <property fmtid="{D5CDD505-2E9C-101B-9397-08002B2CF9AE}" pid="16" name="Disclosure Activity">
    <vt:lpwstr>BEO Procurement</vt:lpwstr>
  </property>
  <property fmtid="{D5CDD505-2E9C-101B-9397-08002B2CF9AE}" pid="17" name="Webtopic">
    <vt:lpwstr/>
  </property>
  <property fmtid="{D5CDD505-2E9C-101B-9397-08002B2CF9AE}" pid="18" name="Series Operations IDB">
    <vt:lpwstr/>
  </property>
</Properties>
</file>