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Pr="00B237B0" w:rsidRDefault="0003493A" w:rsidP="2CDD2216">
      <w:pPr>
        <w:pStyle w:val="Heading1a"/>
        <w:keepNext w:val="0"/>
        <w:keepLines w:val="0"/>
        <w:tabs>
          <w:tab w:val="clear" w:pos="-720"/>
        </w:tabs>
        <w:suppressAutoHyphens w:val="0"/>
        <w:rPr>
          <w:rFonts w:asciiTheme="minorHAnsi" w:eastAsiaTheme="minorEastAsia" w:hAnsiTheme="minorHAnsi" w:cstheme="minorHAnsi"/>
          <w:sz w:val="22"/>
          <w:szCs w:val="22"/>
          <w:u w:val="single"/>
        </w:rPr>
      </w:pPr>
      <w:r w:rsidRPr="00B237B0">
        <w:rPr>
          <w:rFonts w:asciiTheme="minorHAnsi" w:eastAsiaTheme="minorEastAsia" w:hAnsiTheme="minorHAnsi" w:cstheme="minorHAnsi"/>
          <w:smallCaps w:val="0"/>
          <w:sz w:val="22"/>
          <w:szCs w:val="22"/>
          <w:u w:val="single"/>
        </w:rPr>
        <w:t xml:space="preserve">REQUEST FOR EXPRESSIONS </w:t>
      </w:r>
      <w:r w:rsidR="006C3B20" w:rsidRPr="00B237B0">
        <w:rPr>
          <w:rFonts w:asciiTheme="minorHAnsi" w:eastAsiaTheme="minorEastAsia" w:hAnsiTheme="minorHAnsi" w:cstheme="minorHAnsi"/>
          <w:smallCaps w:val="0"/>
          <w:sz w:val="22"/>
          <w:szCs w:val="22"/>
          <w:u w:val="single"/>
        </w:rPr>
        <w:t>OF INTEREST</w:t>
      </w:r>
    </w:p>
    <w:p w14:paraId="74340CE1" w14:textId="77777777" w:rsidR="006C3B20" w:rsidRPr="00B237B0" w:rsidRDefault="006C3B20" w:rsidP="6D59273E">
      <w:pPr>
        <w:pStyle w:val="Heading1a"/>
        <w:keepNext w:val="0"/>
        <w:keepLines w:val="0"/>
        <w:tabs>
          <w:tab w:val="clear" w:pos="-720"/>
        </w:tabs>
        <w:suppressAutoHyphens w:val="0"/>
        <w:rPr>
          <w:rFonts w:asciiTheme="minorHAnsi" w:eastAsiaTheme="minorEastAsia" w:hAnsiTheme="minorHAnsi" w:cstheme="minorHAnsi"/>
          <w:color w:val="FF0000"/>
          <w:sz w:val="22"/>
          <w:szCs w:val="22"/>
          <w:u w:val="single"/>
        </w:rPr>
      </w:pPr>
      <w:r w:rsidRPr="00B237B0">
        <w:rPr>
          <w:rFonts w:asciiTheme="minorHAnsi" w:eastAsiaTheme="minorEastAsia" w:hAnsiTheme="minorHAnsi" w:cstheme="minorHAnsi"/>
          <w:smallCaps w:val="0"/>
          <w:sz w:val="22"/>
          <w:szCs w:val="22"/>
          <w:u w:val="single"/>
        </w:rPr>
        <w:t>CONSULTING SERVICES</w:t>
      </w:r>
      <w:r w:rsidR="00637BD8" w:rsidRPr="00B237B0">
        <w:rPr>
          <w:rFonts w:asciiTheme="minorHAnsi" w:eastAsiaTheme="minorEastAsia" w:hAnsiTheme="minorHAnsi" w:cstheme="minorHAnsi"/>
          <w:smallCaps w:val="0"/>
          <w:sz w:val="22"/>
          <w:szCs w:val="22"/>
          <w:u w:val="single"/>
        </w:rPr>
        <w:t xml:space="preserve"> </w:t>
      </w:r>
    </w:p>
    <w:p w14:paraId="0BDF0170" w14:textId="77777777" w:rsidR="003F5CA1" w:rsidRPr="00B237B0" w:rsidRDefault="003F5CA1" w:rsidP="00901303">
      <w:pPr>
        <w:jc w:val="both"/>
        <w:rPr>
          <w:rFonts w:asciiTheme="minorHAnsi" w:hAnsiTheme="minorHAnsi" w:cstheme="minorHAnsi"/>
          <w:color w:val="auto"/>
          <w:sz w:val="22"/>
          <w:szCs w:val="22"/>
        </w:rPr>
      </w:pPr>
    </w:p>
    <w:p w14:paraId="0546D62C" w14:textId="263C82C0" w:rsidR="00F45D9C" w:rsidRPr="00B237B0" w:rsidRDefault="00170248" w:rsidP="2CDD2216">
      <w:pPr>
        <w:suppressAutoHyphens/>
        <w:rPr>
          <w:rFonts w:asciiTheme="minorHAnsi" w:hAnsiTheme="minorHAnsi" w:cstheme="minorHAnsi"/>
          <w:color w:val="0070C0"/>
          <w:sz w:val="22"/>
          <w:szCs w:val="22"/>
        </w:rPr>
      </w:pPr>
      <w:r w:rsidRPr="00B237B0">
        <w:rPr>
          <w:rFonts w:asciiTheme="minorHAnsi" w:hAnsiTheme="minorHAnsi" w:cstheme="minorHAnsi"/>
          <w:color w:val="0070C0"/>
          <w:spacing w:val="-2"/>
          <w:sz w:val="22"/>
          <w:szCs w:val="22"/>
        </w:rPr>
        <w:t>Selection #</w:t>
      </w:r>
      <w:r w:rsidR="00F45D9C" w:rsidRPr="00B237B0">
        <w:rPr>
          <w:rFonts w:asciiTheme="minorHAnsi" w:hAnsiTheme="minorHAnsi" w:cstheme="minorHAnsi"/>
          <w:color w:val="0070C0"/>
          <w:spacing w:val="-2"/>
          <w:sz w:val="22"/>
          <w:szCs w:val="22"/>
        </w:rPr>
        <w:t xml:space="preserve"> as assigned by </w:t>
      </w:r>
      <w:r w:rsidR="00360ACB" w:rsidRPr="00B237B0">
        <w:rPr>
          <w:rFonts w:asciiTheme="minorHAnsi" w:hAnsiTheme="minorHAnsi" w:cstheme="minorHAnsi"/>
          <w:color w:val="0070C0"/>
          <w:spacing w:val="-2"/>
          <w:sz w:val="22"/>
          <w:szCs w:val="22"/>
        </w:rPr>
        <w:t>e-Tool:</w:t>
      </w:r>
      <w:r w:rsidR="00DF70F2" w:rsidRPr="00B237B0">
        <w:rPr>
          <w:rFonts w:asciiTheme="minorHAnsi" w:hAnsiTheme="minorHAnsi" w:cstheme="minorHAnsi"/>
          <w:color w:val="0070C0"/>
          <w:spacing w:val="-2"/>
          <w:sz w:val="22"/>
          <w:szCs w:val="22"/>
        </w:rPr>
        <w:t xml:space="preserve">  </w:t>
      </w:r>
      <w:r w:rsidR="00DF70F2" w:rsidRPr="00B237B0">
        <w:rPr>
          <w:rFonts w:asciiTheme="minorHAnsi" w:hAnsiTheme="minorHAnsi" w:cstheme="minorHAnsi"/>
          <w:color w:val="auto"/>
          <w:spacing w:val="-2"/>
          <w:sz w:val="22"/>
          <w:szCs w:val="22"/>
        </w:rPr>
        <w:t>TT-T1122-P001</w:t>
      </w:r>
    </w:p>
    <w:p w14:paraId="0992F71B" w14:textId="7A24CA13" w:rsidR="672BA234" w:rsidRPr="00B237B0" w:rsidRDefault="2CDD2216" w:rsidP="672BA234">
      <w:pPr>
        <w:rPr>
          <w:rFonts w:asciiTheme="minorHAnsi" w:hAnsiTheme="minorHAnsi" w:cstheme="minorHAnsi"/>
          <w:sz w:val="22"/>
          <w:szCs w:val="22"/>
        </w:rPr>
      </w:pPr>
      <w:r w:rsidRPr="00B237B0">
        <w:rPr>
          <w:rFonts w:asciiTheme="minorHAnsi" w:hAnsiTheme="minorHAnsi" w:cstheme="minorHAnsi"/>
          <w:color w:val="0070C0"/>
          <w:sz w:val="22"/>
          <w:szCs w:val="22"/>
        </w:rPr>
        <w:t>Selection Method:</w:t>
      </w:r>
      <w:r w:rsidR="00DF70F2" w:rsidRPr="00B237B0">
        <w:rPr>
          <w:rFonts w:asciiTheme="minorHAnsi" w:hAnsiTheme="minorHAnsi" w:cstheme="minorHAnsi"/>
          <w:color w:val="0070C0"/>
          <w:sz w:val="22"/>
          <w:szCs w:val="22"/>
        </w:rPr>
        <w:t xml:space="preserve"> </w:t>
      </w:r>
      <w:r w:rsidR="006B2285" w:rsidRPr="00B237B0">
        <w:rPr>
          <w:rFonts w:asciiTheme="minorHAnsi" w:hAnsiTheme="minorHAnsi" w:cstheme="minorHAnsi"/>
          <w:color w:val="auto"/>
          <w:sz w:val="22"/>
          <w:szCs w:val="22"/>
        </w:rPr>
        <w:t>Full Competitive Process</w:t>
      </w:r>
    </w:p>
    <w:p w14:paraId="661E8539" w14:textId="35B655C5" w:rsidR="00F45D9C" w:rsidRPr="00B237B0" w:rsidRDefault="00F45D9C" w:rsidP="2CDD2216">
      <w:pPr>
        <w:suppressAutoHyphens/>
        <w:rPr>
          <w:rFonts w:asciiTheme="minorHAnsi" w:hAnsiTheme="minorHAnsi" w:cstheme="minorHAnsi"/>
          <w:color w:val="0070C0"/>
          <w:sz w:val="22"/>
          <w:szCs w:val="22"/>
        </w:rPr>
      </w:pPr>
      <w:r w:rsidRPr="00B237B0">
        <w:rPr>
          <w:rFonts w:asciiTheme="minorHAnsi" w:hAnsiTheme="minorHAnsi" w:cstheme="minorHAnsi"/>
          <w:color w:val="0070C0"/>
          <w:spacing w:val="-2"/>
          <w:sz w:val="22"/>
          <w:szCs w:val="22"/>
        </w:rPr>
        <w:t xml:space="preserve">Country: </w:t>
      </w:r>
      <w:r w:rsidRPr="00B237B0">
        <w:rPr>
          <w:rFonts w:asciiTheme="minorHAnsi" w:hAnsiTheme="minorHAnsi" w:cstheme="minorHAnsi"/>
          <w:i/>
          <w:iCs/>
          <w:color w:val="0070C0"/>
          <w:sz w:val="22"/>
          <w:szCs w:val="22"/>
        </w:rPr>
        <w:t xml:space="preserve"> </w:t>
      </w:r>
      <w:r w:rsidR="006B2285" w:rsidRPr="00B237B0">
        <w:rPr>
          <w:rFonts w:asciiTheme="minorHAnsi" w:hAnsiTheme="minorHAnsi" w:cstheme="minorHAnsi"/>
          <w:color w:val="auto"/>
          <w:sz w:val="22"/>
          <w:szCs w:val="22"/>
        </w:rPr>
        <w:t>Trinidad and Tobago</w:t>
      </w:r>
    </w:p>
    <w:p w14:paraId="3BE9C14F" w14:textId="0E4C9926" w:rsidR="00F45D9C" w:rsidRPr="00B237B0" w:rsidRDefault="2CDD2216" w:rsidP="2CDD2216">
      <w:pPr>
        <w:suppressAutoHyphens/>
        <w:rPr>
          <w:rFonts w:asciiTheme="minorHAnsi" w:hAnsiTheme="minorHAnsi" w:cstheme="minorHAnsi"/>
          <w:color w:val="0070C0"/>
          <w:sz w:val="22"/>
          <w:szCs w:val="22"/>
        </w:rPr>
      </w:pPr>
      <w:r w:rsidRPr="00B237B0">
        <w:rPr>
          <w:rFonts w:asciiTheme="minorHAnsi" w:hAnsiTheme="minorHAnsi" w:cstheme="minorHAnsi"/>
          <w:i/>
          <w:iCs/>
          <w:color w:val="0070C0"/>
          <w:sz w:val="22"/>
          <w:szCs w:val="22"/>
        </w:rPr>
        <w:t>Sector:</w:t>
      </w:r>
      <w:r w:rsidR="000643DC" w:rsidRPr="00B237B0">
        <w:rPr>
          <w:rFonts w:asciiTheme="minorHAnsi" w:hAnsiTheme="minorHAnsi" w:cstheme="minorHAnsi"/>
          <w:color w:val="0070C0"/>
          <w:sz w:val="22"/>
          <w:szCs w:val="22"/>
        </w:rPr>
        <w:t xml:space="preserve">  </w:t>
      </w:r>
      <w:r w:rsidR="000643DC" w:rsidRPr="00B237B0">
        <w:rPr>
          <w:rFonts w:asciiTheme="minorHAnsi" w:hAnsiTheme="minorHAnsi" w:cstheme="minorHAnsi"/>
          <w:color w:val="auto"/>
          <w:sz w:val="22"/>
          <w:szCs w:val="22"/>
        </w:rPr>
        <w:t>Water and Sanitation</w:t>
      </w:r>
    </w:p>
    <w:p w14:paraId="11A9D93B" w14:textId="275E0185" w:rsidR="00F45D9C" w:rsidRPr="00B237B0" w:rsidRDefault="2CDD2216" w:rsidP="2CDD2216">
      <w:pPr>
        <w:suppressAutoHyphens/>
        <w:rPr>
          <w:rFonts w:asciiTheme="minorHAnsi" w:hAnsiTheme="minorHAnsi" w:cstheme="minorHAnsi"/>
          <w:i/>
          <w:iCs/>
          <w:color w:val="0070C0"/>
          <w:sz w:val="22"/>
          <w:szCs w:val="22"/>
        </w:rPr>
      </w:pPr>
      <w:r w:rsidRPr="00B237B0">
        <w:rPr>
          <w:rFonts w:asciiTheme="minorHAnsi" w:hAnsiTheme="minorHAnsi" w:cstheme="minorHAnsi"/>
          <w:i/>
          <w:iCs/>
          <w:color w:val="0070C0"/>
          <w:sz w:val="22"/>
          <w:szCs w:val="22"/>
        </w:rPr>
        <w:t>Funding – TC #:</w:t>
      </w:r>
      <w:r w:rsidR="000643DC" w:rsidRPr="00B237B0">
        <w:rPr>
          <w:rFonts w:asciiTheme="minorHAnsi" w:hAnsiTheme="minorHAnsi" w:cstheme="minorHAnsi"/>
          <w:i/>
          <w:iCs/>
          <w:color w:val="0070C0"/>
          <w:sz w:val="22"/>
          <w:szCs w:val="22"/>
        </w:rPr>
        <w:t xml:space="preserve">  </w:t>
      </w:r>
      <w:r w:rsidR="000643DC" w:rsidRPr="00B237B0">
        <w:rPr>
          <w:rFonts w:asciiTheme="minorHAnsi" w:hAnsiTheme="minorHAnsi" w:cstheme="minorHAnsi"/>
          <w:color w:val="auto"/>
          <w:sz w:val="22"/>
          <w:szCs w:val="22"/>
        </w:rPr>
        <w:t>ATN/OC-19744-TT</w:t>
      </w:r>
      <w:r w:rsidRPr="00B237B0">
        <w:rPr>
          <w:rFonts w:asciiTheme="minorHAnsi" w:hAnsiTheme="minorHAnsi" w:cstheme="minorHAnsi"/>
          <w:i/>
          <w:iCs/>
          <w:color w:val="0070C0"/>
          <w:sz w:val="22"/>
          <w:szCs w:val="22"/>
        </w:rPr>
        <w:t xml:space="preserve">                            </w:t>
      </w:r>
    </w:p>
    <w:p w14:paraId="3BFF64A1" w14:textId="6A1D8C41" w:rsidR="00F45D9C" w:rsidRPr="00B237B0" w:rsidRDefault="2CDD2216" w:rsidP="00F45D9C">
      <w:pPr>
        <w:pStyle w:val="BodyText"/>
        <w:rPr>
          <w:rFonts w:asciiTheme="minorHAnsi" w:hAnsiTheme="minorHAnsi" w:cstheme="minorHAnsi"/>
          <w:sz w:val="22"/>
          <w:szCs w:val="22"/>
        </w:rPr>
      </w:pPr>
      <w:r w:rsidRPr="00B237B0">
        <w:rPr>
          <w:rFonts w:asciiTheme="minorHAnsi" w:eastAsiaTheme="minorEastAsia" w:hAnsiTheme="minorHAnsi" w:cstheme="minorHAnsi"/>
          <w:i/>
          <w:iCs/>
          <w:color w:val="0070C0"/>
          <w:sz w:val="22"/>
          <w:szCs w:val="22"/>
        </w:rPr>
        <w:t>Project #:</w:t>
      </w:r>
      <w:r w:rsidR="000643DC" w:rsidRPr="00B237B0">
        <w:rPr>
          <w:rFonts w:asciiTheme="minorHAnsi" w:eastAsiaTheme="minorEastAsia" w:hAnsiTheme="minorHAnsi" w:cstheme="minorHAnsi"/>
          <w:i/>
          <w:iCs/>
          <w:color w:val="0070C0"/>
          <w:sz w:val="22"/>
          <w:szCs w:val="22"/>
        </w:rPr>
        <w:t xml:space="preserve">  </w:t>
      </w:r>
      <w:r w:rsidR="000643DC" w:rsidRPr="00B237B0">
        <w:rPr>
          <w:rFonts w:asciiTheme="minorHAnsi" w:eastAsiaTheme="minorEastAsia" w:hAnsiTheme="minorHAnsi" w:cstheme="minorHAnsi"/>
          <w:sz w:val="22"/>
          <w:szCs w:val="22"/>
        </w:rPr>
        <w:t>TT-T1122</w:t>
      </w:r>
    </w:p>
    <w:p w14:paraId="4FC4572B" w14:textId="3D716F48" w:rsidR="00F45D9C" w:rsidRPr="00B237B0" w:rsidRDefault="672BA234" w:rsidP="00170248">
      <w:pPr>
        <w:pStyle w:val="BodyText"/>
        <w:tabs>
          <w:tab w:val="left" w:pos="6645"/>
        </w:tabs>
        <w:rPr>
          <w:rFonts w:asciiTheme="minorHAnsi" w:hAnsiTheme="minorHAnsi" w:cstheme="minorHAnsi"/>
          <w:sz w:val="22"/>
          <w:szCs w:val="22"/>
        </w:rPr>
      </w:pPr>
      <w:r w:rsidRPr="00B237B0">
        <w:rPr>
          <w:rFonts w:asciiTheme="minorHAnsi" w:eastAsiaTheme="minorEastAsia" w:hAnsiTheme="minorHAnsi" w:cstheme="minorHAnsi"/>
          <w:i/>
          <w:iCs/>
          <w:color w:val="0070C0"/>
          <w:sz w:val="22"/>
          <w:szCs w:val="22"/>
        </w:rPr>
        <w:t>TC name:</w:t>
      </w:r>
      <w:r w:rsidR="000643DC" w:rsidRPr="00B237B0">
        <w:rPr>
          <w:rFonts w:asciiTheme="minorHAnsi" w:eastAsiaTheme="minorEastAsia" w:hAnsiTheme="minorHAnsi" w:cstheme="minorHAnsi"/>
          <w:i/>
          <w:iCs/>
          <w:color w:val="0070C0"/>
          <w:sz w:val="22"/>
          <w:szCs w:val="22"/>
        </w:rPr>
        <w:t xml:space="preserve"> </w:t>
      </w:r>
      <w:r w:rsidR="000643DC" w:rsidRPr="00B237B0">
        <w:rPr>
          <w:rFonts w:asciiTheme="minorHAnsi" w:eastAsiaTheme="minorEastAsia" w:hAnsiTheme="minorHAnsi" w:cstheme="minorHAnsi"/>
          <w:sz w:val="22"/>
          <w:szCs w:val="22"/>
        </w:rPr>
        <w:t>Trinidad and Tobago Organic Waste Municipal Curbside Recycling Programme (MCRP)</w:t>
      </w:r>
      <w:r w:rsidR="00170248" w:rsidRPr="00B237B0">
        <w:rPr>
          <w:rFonts w:asciiTheme="minorHAnsi" w:eastAsiaTheme="minorEastAsia" w:hAnsiTheme="minorHAnsi" w:cstheme="minorHAnsi"/>
          <w:i/>
          <w:iCs/>
          <w:color w:val="0070C0"/>
          <w:sz w:val="22"/>
          <w:szCs w:val="22"/>
        </w:rPr>
        <w:tab/>
      </w:r>
    </w:p>
    <w:p w14:paraId="3A50EEED" w14:textId="74573A9E" w:rsidR="00F45D9C" w:rsidRPr="00B237B0" w:rsidRDefault="4738AB8D" w:rsidP="4738AB8D">
      <w:pPr>
        <w:pStyle w:val="BodyText"/>
        <w:rPr>
          <w:rFonts w:asciiTheme="minorHAnsi" w:eastAsiaTheme="minorEastAsia" w:hAnsiTheme="minorHAnsi" w:cstheme="minorHAnsi"/>
          <w:sz w:val="22"/>
          <w:szCs w:val="22"/>
        </w:rPr>
      </w:pPr>
      <w:r w:rsidRPr="00B237B0">
        <w:rPr>
          <w:rFonts w:asciiTheme="minorHAnsi" w:eastAsiaTheme="minorEastAsia" w:hAnsiTheme="minorHAnsi" w:cstheme="minorHAnsi"/>
          <w:i/>
          <w:iCs/>
          <w:color w:val="0070C0"/>
          <w:sz w:val="22"/>
          <w:szCs w:val="22"/>
        </w:rPr>
        <w:t xml:space="preserve">Description of Services:  </w:t>
      </w:r>
      <w:r w:rsidR="003467E7" w:rsidRPr="00B237B0">
        <w:rPr>
          <w:rFonts w:asciiTheme="minorHAnsi" w:eastAsiaTheme="minorEastAsia" w:hAnsiTheme="minorHAnsi" w:cstheme="minorHAnsi"/>
          <w:sz w:val="22"/>
          <w:szCs w:val="22"/>
        </w:rPr>
        <w:t>Support IDB and SWMCOL in</w:t>
      </w:r>
      <w:r w:rsidR="00A30475" w:rsidRPr="00B237B0">
        <w:rPr>
          <w:rFonts w:asciiTheme="minorHAnsi" w:eastAsiaTheme="minorEastAsia" w:hAnsiTheme="minorHAnsi" w:cstheme="minorHAnsi"/>
          <w:sz w:val="22"/>
          <w:szCs w:val="22"/>
        </w:rPr>
        <w:t xml:space="preserve"> </w:t>
      </w:r>
      <w:r w:rsidR="00A30475" w:rsidRPr="00B237B0">
        <w:rPr>
          <w:rFonts w:asciiTheme="minorHAnsi" w:hAnsiTheme="minorHAnsi" w:cstheme="minorHAnsi"/>
          <w:sz w:val="22"/>
          <w:szCs w:val="22"/>
        </w:rPr>
        <w:t>expanding the municipal curbside recycling programme to include source separated organics in two municipalities that will be selected from</w:t>
      </w:r>
      <w:r w:rsidR="00386734" w:rsidRPr="00B237B0">
        <w:rPr>
          <w:rFonts w:asciiTheme="minorHAnsi" w:hAnsiTheme="minorHAnsi" w:cstheme="minorHAnsi"/>
          <w:sz w:val="22"/>
          <w:szCs w:val="22"/>
        </w:rPr>
        <w:t>:</w:t>
      </w:r>
      <w:r w:rsidR="00A30475" w:rsidRPr="00B237B0">
        <w:rPr>
          <w:rFonts w:asciiTheme="minorHAnsi" w:hAnsiTheme="minorHAnsi" w:cstheme="minorHAnsi"/>
          <w:sz w:val="22"/>
          <w:szCs w:val="22"/>
        </w:rPr>
        <w:t xml:space="preserve"> </w:t>
      </w:r>
      <w:r w:rsidR="009C7490" w:rsidRPr="00B237B0">
        <w:rPr>
          <w:rFonts w:asciiTheme="minorHAnsi" w:hAnsiTheme="minorHAnsi" w:cstheme="minorHAnsi"/>
          <w:sz w:val="22"/>
          <w:szCs w:val="22"/>
        </w:rPr>
        <w:t>Chaguanas, Diego Martin, Mayaro/ Rio Claro, Penal/ Debe, Princes Town, and San Juan /Laventille.</w:t>
      </w:r>
    </w:p>
    <w:p w14:paraId="4DEADFED" w14:textId="77777777" w:rsidR="00F45D9C" w:rsidRPr="00B237B0" w:rsidRDefault="00F45D9C" w:rsidP="00F45D9C">
      <w:pPr>
        <w:pStyle w:val="BodyText"/>
        <w:rPr>
          <w:rFonts w:asciiTheme="minorHAnsi" w:hAnsiTheme="minorHAnsi" w:cstheme="minorHAnsi"/>
          <w:i/>
          <w:color w:val="0070C0"/>
          <w:sz w:val="22"/>
          <w:szCs w:val="22"/>
        </w:rPr>
      </w:pPr>
    </w:p>
    <w:p w14:paraId="1DBF52D2" w14:textId="5ABEAF29" w:rsidR="00F45D9C" w:rsidRPr="00B237B0" w:rsidRDefault="4738AB8D" w:rsidP="00F45D9C">
      <w:pPr>
        <w:pStyle w:val="BodyText"/>
        <w:rPr>
          <w:rFonts w:asciiTheme="minorHAnsi" w:hAnsiTheme="minorHAnsi" w:cstheme="minorHAnsi"/>
          <w:i/>
          <w:color w:val="0070C0"/>
          <w:sz w:val="22"/>
          <w:szCs w:val="22"/>
        </w:rPr>
      </w:pPr>
      <w:r w:rsidRPr="00B237B0">
        <w:rPr>
          <w:rFonts w:asciiTheme="minorHAnsi" w:eastAsiaTheme="minorEastAsia" w:hAnsiTheme="minorHAnsi" w:cstheme="minorHAnsi"/>
          <w:i/>
          <w:iCs/>
          <w:color w:val="0070C0"/>
          <w:sz w:val="22"/>
          <w:szCs w:val="22"/>
        </w:rPr>
        <w:t xml:space="preserve">Link to TC document: </w:t>
      </w:r>
      <w:hyperlink r:id="rId12" w:tgtFrame="_blank" w:history="1">
        <w:r w:rsidR="000643DC" w:rsidRPr="00B237B0">
          <w:rPr>
            <w:rStyle w:val="Hyperlink"/>
            <w:rFonts w:asciiTheme="minorHAnsi" w:eastAsiaTheme="majorEastAsia" w:hAnsiTheme="minorHAnsi" w:cstheme="minorHAnsi"/>
            <w:b/>
            <w:bCs/>
            <w:color w:val="2A6496"/>
            <w:sz w:val="22"/>
            <w:szCs w:val="22"/>
            <w:shd w:val="clear" w:color="auto" w:fill="FFFFFF"/>
          </w:rPr>
          <w:t>https://www.iadb.org/en/project/TT-T1122</w:t>
        </w:r>
      </w:hyperlink>
    </w:p>
    <w:p w14:paraId="2F72047F" w14:textId="77777777" w:rsidR="000643DC" w:rsidRPr="00B237B0" w:rsidRDefault="000643DC" w:rsidP="002E7B51">
      <w:pPr>
        <w:spacing w:line="320" w:lineRule="atLeast"/>
        <w:jc w:val="both"/>
        <w:rPr>
          <w:rFonts w:asciiTheme="minorHAnsi" w:hAnsiTheme="minorHAnsi" w:cstheme="minorHAnsi"/>
          <w:color w:val="auto"/>
          <w:sz w:val="22"/>
          <w:szCs w:val="22"/>
        </w:rPr>
      </w:pPr>
    </w:p>
    <w:p w14:paraId="4FD8FFBB" w14:textId="4985DCBC" w:rsidR="002E7B51" w:rsidRPr="00B237B0" w:rsidRDefault="00F45D9C" w:rsidP="002E7B51">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 xml:space="preserve">The Inter-American Development Bank (IDB) is executing the above mentioned operation.  For this operation, the IDB </w:t>
      </w:r>
      <w:r w:rsidRPr="00B237B0">
        <w:rPr>
          <w:rFonts w:asciiTheme="minorHAnsi" w:hAnsiTheme="minorHAnsi" w:cstheme="minorHAnsi"/>
          <w:spacing w:val="-2"/>
          <w:sz w:val="22"/>
          <w:szCs w:val="22"/>
        </w:rPr>
        <w:t>intends to contract consulting services described in this Request for Expressions of Interest.</w:t>
      </w:r>
      <w:r w:rsidR="002E7B51" w:rsidRPr="00B237B0">
        <w:rPr>
          <w:rFonts w:asciiTheme="minorHAnsi" w:hAnsiTheme="minorHAnsi" w:cstheme="minorHAnsi"/>
          <w:spacing w:val="-2"/>
          <w:sz w:val="22"/>
          <w:szCs w:val="22"/>
        </w:rPr>
        <w:t xml:space="preserve">  </w:t>
      </w:r>
    </w:p>
    <w:p w14:paraId="52D780AC" w14:textId="3C387207" w:rsidR="002E7B51" w:rsidRPr="00B237B0" w:rsidRDefault="002E7B51" w:rsidP="002E7B51">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Expressions of interest must be delivered using the IDB Portal for Bank Executed Operations (</w:t>
      </w:r>
      <w:r w:rsidRPr="00B237B0">
        <w:rPr>
          <w:rFonts w:asciiTheme="minorHAnsi" w:hAnsiTheme="minorHAnsi" w:cstheme="minorHAnsi"/>
          <w:sz w:val="22"/>
          <w:szCs w:val="22"/>
        </w:rPr>
        <w:t xml:space="preserve"> </w:t>
      </w:r>
      <w:hyperlink r:id="rId13" w:history="1">
        <w:r w:rsidRPr="00B237B0">
          <w:rPr>
            <w:rStyle w:val="Hyperlink"/>
            <w:rFonts w:asciiTheme="minorHAnsi" w:hAnsiTheme="minorHAnsi" w:cstheme="minorHAnsi"/>
            <w:sz w:val="22"/>
            <w:szCs w:val="22"/>
          </w:rPr>
          <w:t>http://beo-procurement.iadb.org/home</w:t>
        </w:r>
      </w:hyperlink>
      <w:r w:rsidRPr="00B237B0">
        <w:rPr>
          <w:rFonts w:asciiTheme="minorHAnsi" w:hAnsiTheme="minorHAnsi" w:cstheme="minorHAnsi"/>
          <w:color w:val="auto"/>
          <w:sz w:val="22"/>
          <w:szCs w:val="22"/>
        </w:rPr>
        <w:t>)  by:</w:t>
      </w:r>
      <w:r w:rsidR="00FB28F1">
        <w:rPr>
          <w:rFonts w:asciiTheme="minorHAnsi" w:hAnsiTheme="minorHAnsi" w:cstheme="minorHAnsi"/>
          <w:color w:val="auto"/>
          <w:sz w:val="22"/>
          <w:szCs w:val="22"/>
        </w:rPr>
        <w:t xml:space="preserve"> June </w:t>
      </w:r>
      <w:r w:rsidR="00291905">
        <w:rPr>
          <w:rFonts w:asciiTheme="minorHAnsi" w:hAnsiTheme="minorHAnsi" w:cstheme="minorHAnsi"/>
          <w:color w:val="auto"/>
          <w:sz w:val="22"/>
          <w:szCs w:val="22"/>
        </w:rPr>
        <w:t>2</w:t>
      </w:r>
      <w:r w:rsidR="00291905">
        <w:rPr>
          <w:rFonts w:asciiTheme="minorHAnsi" w:hAnsiTheme="minorHAnsi" w:cstheme="minorHAnsi"/>
          <w:color w:val="auto"/>
          <w:sz w:val="22"/>
          <w:szCs w:val="22"/>
        </w:rPr>
        <w:t>7</w:t>
      </w:r>
      <w:r w:rsidR="00FB28F1">
        <w:rPr>
          <w:rFonts w:asciiTheme="minorHAnsi" w:hAnsiTheme="minorHAnsi" w:cstheme="minorHAnsi"/>
          <w:color w:val="auto"/>
          <w:sz w:val="22"/>
          <w:szCs w:val="22"/>
        </w:rPr>
        <w:t>, 2023</w:t>
      </w:r>
      <w:r w:rsidRPr="00B237B0">
        <w:rPr>
          <w:rFonts w:asciiTheme="minorHAnsi" w:hAnsiTheme="minorHAnsi" w:cstheme="minorHAnsi"/>
          <w:color w:val="auto"/>
          <w:sz w:val="22"/>
          <w:szCs w:val="22"/>
        </w:rPr>
        <w:t xml:space="preserve">, 5:00 </w:t>
      </w:r>
      <w:r w:rsidR="003C6547" w:rsidRPr="00B237B0">
        <w:rPr>
          <w:rFonts w:asciiTheme="minorHAnsi" w:hAnsiTheme="minorHAnsi" w:cstheme="minorHAnsi"/>
          <w:color w:val="auto"/>
          <w:sz w:val="22"/>
          <w:szCs w:val="22"/>
        </w:rPr>
        <w:t>P.M.</w:t>
      </w:r>
      <w:r w:rsidRPr="00B237B0">
        <w:rPr>
          <w:rFonts w:asciiTheme="minorHAnsi" w:hAnsiTheme="minorHAnsi" w:cstheme="minorHAnsi"/>
          <w:color w:val="auto"/>
          <w:sz w:val="22"/>
          <w:szCs w:val="22"/>
        </w:rPr>
        <w:t xml:space="preserve"> (Washington D.C. Time).</w:t>
      </w:r>
    </w:p>
    <w:p w14:paraId="1A8ED3F9" w14:textId="7466C292" w:rsidR="00E915B4" w:rsidRPr="00B237B0" w:rsidRDefault="00E915B4" w:rsidP="002E7B51">
      <w:pPr>
        <w:spacing w:line="320" w:lineRule="atLeast"/>
        <w:jc w:val="both"/>
        <w:rPr>
          <w:rFonts w:asciiTheme="minorHAnsi" w:hAnsiTheme="minorHAnsi" w:cstheme="minorHAnsi"/>
          <w:color w:val="auto"/>
          <w:sz w:val="22"/>
          <w:szCs w:val="22"/>
        </w:rPr>
      </w:pPr>
    </w:p>
    <w:p w14:paraId="30703B39" w14:textId="4FA88C09" w:rsidR="00F45D9C" w:rsidRPr="00B237B0" w:rsidRDefault="006619FF" w:rsidP="00F45D9C">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 xml:space="preserve">To access the IDB Portal, the firms must generate a registration account, including </w:t>
      </w:r>
      <w:r w:rsidRPr="00B237B0">
        <w:rPr>
          <w:rFonts w:asciiTheme="minorHAnsi" w:hAnsiTheme="minorHAnsi" w:cstheme="minorHAnsi"/>
          <w:b/>
          <w:bCs/>
          <w:i/>
          <w:iCs/>
          <w:color w:val="auto"/>
          <w:sz w:val="22"/>
          <w:szCs w:val="22"/>
        </w:rPr>
        <w:t>all</w:t>
      </w:r>
      <w:r w:rsidRPr="00B237B0">
        <w:rPr>
          <w:rFonts w:asciiTheme="minorHAnsi" w:hAnsiTheme="minorHAnsi" w:cstheme="minorHAnsi"/>
          <w:color w:val="auto"/>
          <w:sz w:val="22"/>
          <w:szCs w:val="22"/>
        </w:rPr>
        <w:t xml:space="preserve"> the data requested by the Portal. In the event that any of the information requested is not included, the firm will not be able to participate in this or any other Bank-executed selection process for operational work. If the firm has been previously registered, please validate that you have </w:t>
      </w:r>
      <w:r w:rsidRPr="00B237B0">
        <w:rPr>
          <w:rFonts w:asciiTheme="minorHAnsi" w:hAnsiTheme="minorHAnsi" w:cstheme="minorHAnsi"/>
          <w:b/>
          <w:bCs/>
          <w:i/>
          <w:iCs/>
          <w:color w:val="auto"/>
          <w:sz w:val="22"/>
          <w:szCs w:val="22"/>
        </w:rPr>
        <w:t>all</w:t>
      </w:r>
      <w:r w:rsidRPr="00B237B0">
        <w:rPr>
          <w:rFonts w:asciiTheme="minorHAnsi" w:hAnsiTheme="minorHAnsi" w:cstheme="minorHAnsi"/>
          <w:color w:val="auto"/>
          <w:sz w:val="22"/>
          <w:szCs w:val="22"/>
        </w:rPr>
        <w:t xml:space="preserve"> the firm’s information updated and complete before submitting an expression of interest.</w:t>
      </w:r>
    </w:p>
    <w:p w14:paraId="736D8321" w14:textId="77777777" w:rsidR="006619FF" w:rsidRPr="00B237B0" w:rsidRDefault="006619FF" w:rsidP="00F45D9C">
      <w:pPr>
        <w:spacing w:line="320" w:lineRule="atLeast"/>
        <w:jc w:val="both"/>
        <w:rPr>
          <w:rFonts w:asciiTheme="minorHAnsi" w:hAnsiTheme="minorHAnsi" w:cstheme="minorHAnsi"/>
          <w:spacing w:val="-2"/>
          <w:sz w:val="22"/>
          <w:szCs w:val="22"/>
        </w:rPr>
      </w:pPr>
    </w:p>
    <w:p w14:paraId="0766B3CB" w14:textId="29CAF568" w:rsidR="00F45D9C" w:rsidRPr="00B237B0" w:rsidRDefault="00F45D9C" w:rsidP="009C24AE">
      <w:pPr>
        <w:suppressAutoHyphens/>
        <w:jc w:val="both"/>
        <w:rPr>
          <w:rFonts w:asciiTheme="minorHAnsi" w:hAnsiTheme="minorHAnsi" w:cstheme="minorHAnsi"/>
          <w:i/>
          <w:iCs/>
          <w:color w:val="0070C0"/>
          <w:sz w:val="22"/>
          <w:szCs w:val="22"/>
        </w:rPr>
      </w:pPr>
      <w:r w:rsidRPr="00B237B0">
        <w:rPr>
          <w:rFonts w:asciiTheme="minorHAnsi" w:hAnsiTheme="minorHAnsi" w:cstheme="minorHAnsi"/>
          <w:spacing w:val="-2"/>
          <w:sz w:val="22"/>
          <w:szCs w:val="22"/>
        </w:rPr>
        <w:t xml:space="preserve">The consulting services (“the Services”) include </w:t>
      </w:r>
      <w:r w:rsidR="009C24AE" w:rsidRPr="00B237B0">
        <w:rPr>
          <w:rFonts w:asciiTheme="minorHAnsi" w:hAnsiTheme="minorHAnsi" w:cstheme="minorHAnsi"/>
          <w:color w:val="auto"/>
          <w:sz w:val="22"/>
          <w:szCs w:val="22"/>
        </w:rPr>
        <w:t>the conduct of</w:t>
      </w:r>
      <w:r w:rsidR="009C24AE" w:rsidRPr="00B237B0">
        <w:rPr>
          <w:rFonts w:asciiTheme="minorHAnsi" w:hAnsiTheme="minorHAnsi" w:cstheme="minorHAnsi"/>
          <w:i/>
          <w:iCs/>
          <w:color w:val="auto"/>
          <w:sz w:val="22"/>
          <w:szCs w:val="22"/>
        </w:rPr>
        <w:t xml:space="preserve"> </w:t>
      </w:r>
      <w:r w:rsidR="009C24AE" w:rsidRPr="00B237B0">
        <w:rPr>
          <w:rFonts w:asciiTheme="minorHAnsi" w:hAnsiTheme="minorHAnsi" w:cstheme="minorHAnsi"/>
          <w:sz w:val="22"/>
          <w:szCs w:val="22"/>
        </w:rPr>
        <w:t>a desktop review and diagnosis of the municipal solid waste management system (institutional, legal/regulatory, technical, financial, environmental and socio-economic) in the country</w:t>
      </w:r>
      <w:r w:rsidR="00C50FCB" w:rsidRPr="00B237B0">
        <w:rPr>
          <w:rFonts w:asciiTheme="minorHAnsi" w:hAnsiTheme="minorHAnsi" w:cstheme="minorHAnsi"/>
          <w:sz w:val="22"/>
          <w:szCs w:val="22"/>
        </w:rPr>
        <w:t xml:space="preserve"> as well as</w:t>
      </w:r>
      <w:r w:rsidR="009C24AE" w:rsidRPr="00B237B0">
        <w:rPr>
          <w:rFonts w:asciiTheme="minorHAnsi" w:hAnsiTheme="minorHAnsi" w:cstheme="minorHAnsi"/>
          <w:sz w:val="22"/>
          <w:szCs w:val="22"/>
        </w:rPr>
        <w:t xml:space="preserve"> site visits to the current MCRP sites and gather firsthand knowledge of the MCRP’s organization, operations, strengths and weaknesses. On the basis of the above the </w:t>
      </w:r>
      <w:r w:rsidR="00C50FCB" w:rsidRPr="00B237B0">
        <w:rPr>
          <w:rFonts w:asciiTheme="minorHAnsi" w:hAnsiTheme="minorHAnsi" w:cstheme="minorHAnsi"/>
          <w:sz w:val="22"/>
          <w:szCs w:val="22"/>
        </w:rPr>
        <w:t>Consulting Firm (CF)</w:t>
      </w:r>
      <w:r w:rsidR="009C24AE" w:rsidRPr="00B237B0">
        <w:rPr>
          <w:rFonts w:asciiTheme="minorHAnsi" w:hAnsiTheme="minorHAnsi" w:cstheme="minorHAnsi"/>
          <w:sz w:val="22"/>
          <w:szCs w:val="22"/>
        </w:rPr>
        <w:t xml:space="preserve"> will design, cost and implement a pilot study for municipal curbside collection and treatment of source separated organics with due consideration to selecting a statistically valid sample from </w:t>
      </w:r>
      <w:r w:rsidR="00C22F40">
        <w:rPr>
          <w:rFonts w:asciiTheme="minorHAnsi" w:hAnsiTheme="minorHAnsi" w:cstheme="minorHAnsi"/>
          <w:sz w:val="22"/>
          <w:szCs w:val="22"/>
        </w:rPr>
        <w:t xml:space="preserve">each of </w:t>
      </w:r>
      <w:r w:rsidR="009C24AE" w:rsidRPr="00B237B0">
        <w:rPr>
          <w:rFonts w:asciiTheme="minorHAnsi" w:hAnsiTheme="minorHAnsi" w:cstheme="minorHAnsi"/>
          <w:sz w:val="22"/>
          <w:szCs w:val="22"/>
        </w:rPr>
        <w:t>the two municipalities. The treatment method is expected to be composting or other technology that is recommended by the CF and approved by the IDB and SWMCOL based on appropriateness and scalability of the technology in the country. The CF will use the results of the pilot to assess the scalability and feasibility for replication in the other municipalities participating in the MCRP. The CF will analyze, document and present the results of the pilot to a select group of stakeholders. This will include an assessment of the benefits, costs, and requirements to be considered for the diversion of organic waste from final disposal systems in the selected municipalities. The CF will propose a strategy</w:t>
      </w:r>
      <w:r w:rsidR="009C24AE" w:rsidRPr="00B237B0">
        <w:rPr>
          <w:rFonts w:asciiTheme="minorHAnsi" w:hAnsiTheme="minorHAnsi" w:cstheme="minorHAnsi"/>
          <w:color w:val="FF0000"/>
          <w:sz w:val="22"/>
          <w:szCs w:val="22"/>
        </w:rPr>
        <w:t xml:space="preserve"> </w:t>
      </w:r>
      <w:r w:rsidR="009C24AE" w:rsidRPr="00B237B0">
        <w:rPr>
          <w:rFonts w:asciiTheme="minorHAnsi" w:hAnsiTheme="minorHAnsi" w:cstheme="minorHAnsi"/>
          <w:color w:val="auto"/>
          <w:sz w:val="22"/>
          <w:szCs w:val="22"/>
        </w:rPr>
        <w:t>and recommendations for its implementation in the two municipalities,</w:t>
      </w:r>
      <w:r w:rsidR="009C24AE" w:rsidRPr="00B237B0">
        <w:rPr>
          <w:rFonts w:asciiTheme="minorHAnsi" w:hAnsiTheme="minorHAnsi" w:cstheme="minorHAnsi"/>
          <w:sz w:val="22"/>
          <w:szCs w:val="22"/>
        </w:rPr>
        <w:t xml:space="preserve"> with particular emphasis on the use of digital tools/technologies.</w:t>
      </w:r>
      <w:r w:rsidRPr="00B237B0">
        <w:rPr>
          <w:rFonts w:asciiTheme="minorHAnsi" w:hAnsiTheme="minorHAnsi" w:cstheme="minorHAnsi"/>
          <w:color w:val="auto"/>
          <w:sz w:val="22"/>
          <w:szCs w:val="22"/>
        </w:rPr>
        <w:t xml:space="preserve"> </w:t>
      </w:r>
      <w:r w:rsidR="00D213F7" w:rsidRPr="00B237B0">
        <w:rPr>
          <w:rFonts w:asciiTheme="minorHAnsi" w:hAnsiTheme="minorHAnsi" w:cstheme="minorHAnsi"/>
          <w:color w:val="auto"/>
          <w:sz w:val="22"/>
          <w:szCs w:val="22"/>
        </w:rPr>
        <w:t xml:space="preserve"> The duration of this Consultancy is expected to be no more than twelve (12) months from contract signature.</w:t>
      </w:r>
    </w:p>
    <w:p w14:paraId="26EF32D2" w14:textId="77777777" w:rsidR="008E7ADA" w:rsidRPr="00B237B0" w:rsidRDefault="008E7ADA" w:rsidP="00F45D9C">
      <w:pPr>
        <w:spacing w:line="320" w:lineRule="atLeast"/>
        <w:jc w:val="both"/>
        <w:rPr>
          <w:rFonts w:asciiTheme="minorHAnsi" w:hAnsiTheme="minorHAnsi" w:cstheme="minorHAnsi"/>
          <w:color w:val="auto"/>
          <w:sz w:val="22"/>
          <w:szCs w:val="22"/>
        </w:rPr>
      </w:pPr>
    </w:p>
    <w:p w14:paraId="0A0C2E05" w14:textId="316ACB18" w:rsidR="00F45D9C" w:rsidRPr="00B237B0" w:rsidRDefault="2CDD2216" w:rsidP="1FB12BE9">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 xml:space="preserve">Eligible consulting firms will be selected in accordance with the procedures set out in the Inter-American Development Bank: </w:t>
      </w:r>
      <w:hyperlink r:id="rId14">
        <w:r w:rsidRPr="00B237B0">
          <w:rPr>
            <w:rStyle w:val="Hyperlink"/>
            <w:rFonts w:asciiTheme="minorHAnsi" w:hAnsiTheme="minorHAnsi" w:cstheme="minorHAnsi"/>
            <w:i/>
            <w:iCs/>
            <w:sz w:val="22"/>
            <w:szCs w:val="22"/>
          </w:rPr>
          <w:t>Policy for the Selection and Contracting of Consulting firms for Bank-executed Operational Work</w:t>
        </w:r>
      </w:hyperlink>
      <w:r w:rsidR="003C4BA8" w:rsidRPr="00B237B0">
        <w:rPr>
          <w:rFonts w:asciiTheme="minorHAnsi" w:hAnsiTheme="minorHAnsi" w:cstheme="minorHAnsi"/>
          <w:color w:val="auto"/>
          <w:sz w:val="22"/>
          <w:szCs w:val="22"/>
        </w:rPr>
        <w:t xml:space="preserve"> - GN-2765-</w:t>
      </w:r>
      <w:r w:rsidR="64D200BA" w:rsidRPr="00B237B0">
        <w:rPr>
          <w:rFonts w:asciiTheme="minorHAnsi" w:hAnsiTheme="minorHAnsi" w:cstheme="minorHAnsi"/>
          <w:color w:val="auto"/>
          <w:sz w:val="22"/>
          <w:szCs w:val="22"/>
        </w:rPr>
        <w:t>4</w:t>
      </w:r>
      <w:r w:rsidR="003C4BA8" w:rsidRPr="00B237B0">
        <w:rPr>
          <w:rFonts w:asciiTheme="minorHAnsi" w:hAnsiTheme="minorHAnsi" w:cstheme="minorHAnsi"/>
          <w:color w:val="auto"/>
          <w:sz w:val="22"/>
          <w:szCs w:val="22"/>
        </w:rPr>
        <w:t xml:space="preserve">. </w:t>
      </w:r>
      <w:r w:rsidRPr="00B237B0">
        <w:rPr>
          <w:rFonts w:asciiTheme="minorHAnsi" w:hAnsiTheme="minorHAnsi" w:cstheme="minorHAnsi"/>
          <w:color w:val="auto"/>
          <w:sz w:val="22"/>
          <w:szCs w:val="22"/>
        </w:rPr>
        <w:t xml:space="preserve">All eligible consulting firms, as defined in the Policy may express an interest. </w:t>
      </w:r>
      <w:r w:rsidR="003C4BA8" w:rsidRPr="00B237B0">
        <w:rPr>
          <w:rFonts w:asciiTheme="minorHAnsi" w:hAnsiTheme="minorHAnsi" w:cstheme="minorHAnsi"/>
          <w:color w:val="auto"/>
          <w:sz w:val="22"/>
          <w:szCs w:val="22"/>
        </w:rPr>
        <w:t>If the Consulting Firm is presented in a Consortium, it will designate one of them as a representative, and the latter will be responsible for the communications, the registration in the portal and for submitting the corresponding documents.</w:t>
      </w:r>
    </w:p>
    <w:p w14:paraId="104E1CEF" w14:textId="77777777" w:rsidR="00F45D9C" w:rsidRPr="00B237B0" w:rsidRDefault="00F45D9C" w:rsidP="00F45D9C">
      <w:pPr>
        <w:spacing w:line="320" w:lineRule="atLeast"/>
        <w:jc w:val="both"/>
        <w:rPr>
          <w:rFonts w:asciiTheme="minorHAnsi" w:hAnsiTheme="minorHAnsi" w:cstheme="minorHAnsi"/>
          <w:color w:val="auto"/>
          <w:sz w:val="22"/>
          <w:szCs w:val="22"/>
        </w:rPr>
      </w:pPr>
    </w:p>
    <w:p w14:paraId="1FB8A942" w14:textId="753BC268" w:rsidR="00F45D9C" w:rsidRPr="00B237B0" w:rsidRDefault="4738AB8D" w:rsidP="1B0650FE">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The IDB now invites eligible consulting firms to indicate their interest in providing the services</w:t>
      </w:r>
      <w:r w:rsidR="002C3359" w:rsidRPr="00B237B0">
        <w:rPr>
          <w:rFonts w:asciiTheme="minorHAnsi" w:hAnsiTheme="minorHAnsi" w:cstheme="minorHAnsi"/>
          <w:color w:val="auto"/>
          <w:sz w:val="22"/>
          <w:szCs w:val="22"/>
        </w:rPr>
        <w:t xml:space="preserve"> </w:t>
      </w:r>
      <w:r w:rsidR="002E7B51" w:rsidRPr="00B237B0">
        <w:rPr>
          <w:rFonts w:asciiTheme="minorHAnsi" w:hAnsiTheme="minorHAnsi" w:cstheme="minorHAnsi"/>
          <w:color w:val="auto"/>
          <w:sz w:val="22"/>
          <w:szCs w:val="22"/>
        </w:rPr>
        <w:t xml:space="preserve">described </w:t>
      </w:r>
      <w:r w:rsidR="36854241" w:rsidRPr="00B237B0">
        <w:rPr>
          <w:rFonts w:asciiTheme="minorHAnsi" w:hAnsiTheme="minorHAnsi" w:cstheme="minorHAnsi"/>
          <w:color w:val="auto"/>
          <w:sz w:val="22"/>
          <w:szCs w:val="22"/>
        </w:rPr>
        <w:t xml:space="preserve">above </w:t>
      </w:r>
      <w:r w:rsidR="002E7B51" w:rsidRPr="00B237B0">
        <w:rPr>
          <w:rFonts w:asciiTheme="minorHAnsi" w:hAnsiTheme="minorHAnsi" w:cstheme="minorHAnsi"/>
          <w:color w:val="auto"/>
          <w:sz w:val="22"/>
          <w:szCs w:val="22"/>
        </w:rPr>
        <w:t>in the</w:t>
      </w:r>
      <w:r w:rsidR="002C3359" w:rsidRPr="00B237B0">
        <w:rPr>
          <w:rStyle w:val="apple-converted-space"/>
          <w:rFonts w:asciiTheme="minorHAnsi" w:hAnsiTheme="minorHAnsi" w:cstheme="minorHAnsi"/>
          <w:sz w:val="22"/>
          <w:szCs w:val="22"/>
          <w:shd w:val="clear" w:color="auto" w:fill="FFFFFF"/>
        </w:rPr>
        <w:t> </w:t>
      </w:r>
      <w:r w:rsidR="002C3359" w:rsidRPr="00B237B0">
        <w:rPr>
          <w:rStyle w:val="normaltextrun"/>
          <w:rFonts w:asciiTheme="minorHAnsi" w:hAnsiTheme="minorHAnsi" w:cstheme="minorHAnsi"/>
          <w:sz w:val="22"/>
          <w:szCs w:val="22"/>
          <w:u w:val="single"/>
          <w:shd w:val="clear" w:color="auto" w:fill="FFFFFF"/>
        </w:rPr>
        <w:t>draft summary</w:t>
      </w:r>
      <w:r w:rsidR="002C3359" w:rsidRPr="00B237B0">
        <w:rPr>
          <w:rStyle w:val="apple-converted-space"/>
          <w:rFonts w:asciiTheme="minorHAnsi" w:hAnsiTheme="minorHAnsi" w:cstheme="minorHAnsi"/>
          <w:sz w:val="22"/>
          <w:szCs w:val="22"/>
          <w:shd w:val="clear" w:color="auto" w:fill="FFFFFF"/>
        </w:rPr>
        <w:t> </w:t>
      </w:r>
      <w:r w:rsidR="002C3359" w:rsidRPr="00B237B0">
        <w:rPr>
          <w:rStyle w:val="normaltextrun"/>
          <w:rFonts w:asciiTheme="minorHAnsi" w:hAnsiTheme="minorHAnsi" w:cstheme="minorHAnsi"/>
          <w:sz w:val="22"/>
          <w:szCs w:val="22"/>
          <w:shd w:val="clear" w:color="auto" w:fill="FFFFFF"/>
        </w:rPr>
        <w:t>of the intended Terms of Reference for the</w:t>
      </w:r>
      <w:r w:rsidR="002C3359" w:rsidRPr="00B237B0">
        <w:rPr>
          <w:rStyle w:val="apple-converted-space"/>
          <w:rFonts w:asciiTheme="minorHAnsi" w:hAnsiTheme="minorHAnsi" w:cstheme="minorHAnsi"/>
          <w:sz w:val="22"/>
          <w:szCs w:val="22"/>
          <w:shd w:val="clear" w:color="auto" w:fill="FFFFFF"/>
        </w:rPr>
        <w:t> </w:t>
      </w:r>
      <w:r w:rsidR="002E7B51" w:rsidRPr="00B237B0">
        <w:rPr>
          <w:rStyle w:val="normaltextrun"/>
          <w:rFonts w:asciiTheme="minorHAnsi" w:hAnsiTheme="minorHAnsi" w:cstheme="minorHAnsi"/>
          <w:sz w:val="22"/>
          <w:szCs w:val="22"/>
          <w:shd w:val="clear" w:color="auto" w:fill="FFFFFF"/>
        </w:rPr>
        <w:t>assignment</w:t>
      </w:r>
      <w:r w:rsidR="002C3359" w:rsidRPr="00B237B0">
        <w:rPr>
          <w:rStyle w:val="normaltextrun"/>
          <w:rFonts w:asciiTheme="minorHAnsi" w:hAnsiTheme="minorHAnsi" w:cstheme="minorHAnsi"/>
          <w:sz w:val="22"/>
          <w:szCs w:val="22"/>
          <w:shd w:val="clear" w:color="auto" w:fill="FFFFFF"/>
        </w:rPr>
        <w:t>.</w:t>
      </w:r>
      <w:r w:rsidR="002C3359" w:rsidRPr="00B237B0">
        <w:rPr>
          <w:rStyle w:val="apple-converted-space"/>
          <w:rFonts w:asciiTheme="minorHAnsi" w:hAnsiTheme="minorHAnsi" w:cstheme="minorHAnsi"/>
          <w:sz w:val="22"/>
          <w:szCs w:val="22"/>
          <w:shd w:val="clear" w:color="auto" w:fill="FFFFFF"/>
        </w:rPr>
        <w:t> </w:t>
      </w:r>
      <w:r w:rsidRPr="00B237B0">
        <w:rPr>
          <w:rFonts w:asciiTheme="minorHAnsi" w:hAnsiTheme="minorHAnsi" w:cstheme="minorHAnsi"/>
          <w:color w:val="auto"/>
          <w:sz w:val="22"/>
          <w:szCs w:val="22"/>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73F6620B" w14:textId="77777777" w:rsidR="002E7B51" w:rsidRPr="00B237B0" w:rsidRDefault="002E7B51" w:rsidP="2CDD2216">
      <w:pPr>
        <w:suppressAutoHyphens/>
        <w:jc w:val="both"/>
        <w:rPr>
          <w:rFonts w:asciiTheme="minorHAnsi" w:hAnsiTheme="minorHAnsi" w:cstheme="minorHAnsi"/>
          <w:i/>
          <w:iCs/>
          <w:color w:val="4F81BD" w:themeColor="accent1"/>
          <w:sz w:val="22"/>
          <w:szCs w:val="22"/>
        </w:rPr>
      </w:pPr>
    </w:p>
    <w:p w14:paraId="4E1C23E0" w14:textId="538FCF8E" w:rsidR="002E7B51" w:rsidRPr="00B237B0" w:rsidRDefault="002E7B51" w:rsidP="002E7B51">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 xml:space="preserve">Interested eligible consulting firms may obtain further information during office hours, 09:00 AM to 05:00 PM, (Washington D.C. Time) by sending an email to: </w:t>
      </w:r>
      <w:r w:rsidR="00573478" w:rsidRPr="00B237B0">
        <w:rPr>
          <w:rFonts w:asciiTheme="minorHAnsi" w:hAnsiTheme="minorHAnsi" w:cstheme="minorHAnsi"/>
          <w:i/>
          <w:iCs/>
          <w:color w:val="auto"/>
          <w:sz w:val="22"/>
          <w:szCs w:val="22"/>
        </w:rPr>
        <w:t xml:space="preserve">Gilroy Lewis </w:t>
      </w:r>
      <w:r w:rsidR="00573478" w:rsidRPr="00B237B0">
        <w:rPr>
          <w:rFonts w:asciiTheme="minorHAnsi" w:hAnsiTheme="minorHAnsi" w:cstheme="minorHAnsi"/>
          <w:i/>
          <w:iCs/>
          <w:color w:val="0070C0"/>
          <w:sz w:val="22"/>
          <w:szCs w:val="22"/>
        </w:rPr>
        <w:t>(</w:t>
      </w:r>
      <w:hyperlink r:id="rId15" w:history="1">
        <w:r w:rsidR="00FE1FDA" w:rsidRPr="00B237B0">
          <w:rPr>
            <w:rStyle w:val="Hyperlink"/>
            <w:rFonts w:asciiTheme="minorHAnsi" w:hAnsiTheme="minorHAnsi" w:cstheme="minorHAnsi"/>
            <w:i/>
            <w:iCs/>
            <w:sz w:val="22"/>
            <w:szCs w:val="22"/>
          </w:rPr>
          <w:t>gilroyl@iadb.org</w:t>
        </w:r>
      </w:hyperlink>
      <w:r w:rsidR="00FE1FDA" w:rsidRPr="00B237B0">
        <w:rPr>
          <w:rFonts w:asciiTheme="minorHAnsi" w:hAnsiTheme="minorHAnsi" w:cstheme="minorHAnsi"/>
          <w:i/>
          <w:iCs/>
          <w:color w:val="0070C0"/>
          <w:sz w:val="22"/>
          <w:szCs w:val="22"/>
        </w:rPr>
        <w:t xml:space="preserve">) </w:t>
      </w:r>
    </w:p>
    <w:p w14:paraId="1680211F" w14:textId="77777777" w:rsidR="00F45D9C" w:rsidRPr="00B237B0" w:rsidRDefault="00F45D9C" w:rsidP="00F45D9C">
      <w:pPr>
        <w:spacing w:line="320" w:lineRule="atLeast"/>
        <w:jc w:val="both"/>
        <w:rPr>
          <w:rFonts w:asciiTheme="minorHAnsi" w:hAnsiTheme="minorHAnsi" w:cstheme="minorHAnsi"/>
          <w:color w:val="auto"/>
          <w:sz w:val="22"/>
          <w:szCs w:val="22"/>
        </w:rPr>
      </w:pPr>
    </w:p>
    <w:p w14:paraId="4C8351D7" w14:textId="77777777" w:rsidR="00F45D9C" w:rsidRPr="00B237B0" w:rsidRDefault="2CDD2216" w:rsidP="2CDD2216">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Inter-American Development Bank</w:t>
      </w:r>
    </w:p>
    <w:p w14:paraId="64E78C0E" w14:textId="73638953" w:rsidR="00F45D9C" w:rsidRPr="00B237B0" w:rsidRDefault="00F45D9C" w:rsidP="2CDD2216">
      <w:pPr>
        <w:spacing w:line="320" w:lineRule="atLeast"/>
        <w:jc w:val="both"/>
        <w:rPr>
          <w:rFonts w:asciiTheme="minorHAnsi" w:hAnsiTheme="minorHAnsi" w:cstheme="minorHAnsi"/>
          <w:i/>
          <w:iCs/>
          <w:color w:val="auto"/>
          <w:sz w:val="22"/>
          <w:szCs w:val="22"/>
        </w:rPr>
      </w:pPr>
      <w:r w:rsidRPr="00B237B0">
        <w:rPr>
          <w:rFonts w:asciiTheme="minorHAnsi" w:hAnsiTheme="minorHAnsi" w:cstheme="minorHAnsi"/>
          <w:color w:val="auto"/>
          <w:sz w:val="22"/>
          <w:szCs w:val="22"/>
        </w:rPr>
        <w:t>Division:</w:t>
      </w:r>
      <w:r w:rsidR="00745672" w:rsidRPr="00B237B0">
        <w:rPr>
          <w:rFonts w:asciiTheme="minorHAnsi" w:hAnsiTheme="minorHAnsi" w:cstheme="minorHAnsi"/>
          <w:color w:val="auto"/>
          <w:sz w:val="22"/>
          <w:szCs w:val="22"/>
        </w:rPr>
        <w:t xml:space="preserve"> Water and Sanitation</w:t>
      </w:r>
    </w:p>
    <w:p w14:paraId="21F4E4F5" w14:textId="128B3B5D" w:rsidR="00F45D9C" w:rsidRPr="00B237B0" w:rsidRDefault="00F45D9C" w:rsidP="2CDD2216">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Attn:</w:t>
      </w:r>
      <w:r w:rsidRPr="00B237B0">
        <w:rPr>
          <w:rFonts w:asciiTheme="minorHAnsi" w:hAnsiTheme="minorHAnsi" w:cstheme="minorHAnsi"/>
          <w:i/>
          <w:iCs/>
          <w:color w:val="auto"/>
          <w:spacing w:val="-2"/>
          <w:sz w:val="22"/>
          <w:szCs w:val="22"/>
        </w:rPr>
        <w:t xml:space="preserve">  </w:t>
      </w:r>
      <w:r w:rsidR="00FE1FDA" w:rsidRPr="00B237B0">
        <w:rPr>
          <w:rFonts w:asciiTheme="minorHAnsi" w:hAnsiTheme="minorHAnsi" w:cstheme="minorHAnsi"/>
          <w:color w:val="auto"/>
          <w:spacing w:val="-2"/>
          <w:sz w:val="22"/>
          <w:szCs w:val="22"/>
        </w:rPr>
        <w:t>Gilroy Lewis</w:t>
      </w:r>
    </w:p>
    <w:p w14:paraId="4B0045BF" w14:textId="77777777" w:rsidR="00F45D9C" w:rsidRPr="00B237B0" w:rsidRDefault="00F45D9C" w:rsidP="00F45D9C">
      <w:pPr>
        <w:spacing w:line="320" w:lineRule="atLeast"/>
        <w:jc w:val="both"/>
        <w:rPr>
          <w:rFonts w:asciiTheme="minorHAnsi" w:hAnsiTheme="minorHAnsi" w:cstheme="minorHAnsi"/>
          <w:color w:val="auto"/>
          <w:sz w:val="22"/>
          <w:szCs w:val="22"/>
        </w:rPr>
      </w:pPr>
    </w:p>
    <w:p w14:paraId="648099CF" w14:textId="485B5DD6" w:rsidR="00F45D9C" w:rsidRPr="00B237B0" w:rsidRDefault="00745672" w:rsidP="2CDD2216">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17 Alexandra Street, St. Clair, Port of Spain, Trinidad</w:t>
      </w:r>
    </w:p>
    <w:p w14:paraId="0C7C68E9" w14:textId="71A9863C" w:rsidR="00F45D9C" w:rsidRPr="00B237B0" w:rsidRDefault="00F45D9C" w:rsidP="2CDD2216">
      <w:pPr>
        <w:suppressAutoHyphens/>
        <w:jc w:val="both"/>
        <w:rPr>
          <w:rFonts w:asciiTheme="minorHAnsi" w:hAnsiTheme="minorHAnsi" w:cstheme="minorHAnsi"/>
          <w:color w:val="0070C0"/>
          <w:sz w:val="22"/>
          <w:szCs w:val="22"/>
        </w:rPr>
      </w:pPr>
      <w:r w:rsidRPr="00B237B0">
        <w:rPr>
          <w:rFonts w:asciiTheme="minorHAnsi" w:hAnsiTheme="minorHAnsi" w:cstheme="minorHAnsi"/>
          <w:spacing w:val="-2"/>
          <w:sz w:val="22"/>
          <w:szCs w:val="22"/>
        </w:rPr>
        <w:t xml:space="preserve">E-mail: </w:t>
      </w:r>
      <w:hyperlink r:id="rId16" w:history="1">
        <w:r w:rsidR="00745672" w:rsidRPr="00B237B0">
          <w:rPr>
            <w:rStyle w:val="Hyperlink"/>
            <w:rFonts w:asciiTheme="minorHAnsi" w:hAnsiTheme="minorHAnsi" w:cstheme="minorHAnsi"/>
            <w:i/>
            <w:iCs/>
            <w:spacing w:val="-2"/>
            <w:sz w:val="22"/>
            <w:szCs w:val="22"/>
          </w:rPr>
          <w:t>gilroyl@iadb.org</w:t>
        </w:r>
      </w:hyperlink>
      <w:r w:rsidR="00745672" w:rsidRPr="00B237B0">
        <w:rPr>
          <w:rFonts w:asciiTheme="minorHAnsi" w:hAnsiTheme="minorHAnsi" w:cstheme="minorHAnsi"/>
          <w:i/>
          <w:iCs/>
          <w:color w:val="0070C0"/>
          <w:spacing w:val="-2"/>
          <w:sz w:val="22"/>
          <w:szCs w:val="22"/>
        </w:rPr>
        <w:t xml:space="preserve"> </w:t>
      </w:r>
    </w:p>
    <w:p w14:paraId="1BD17ACE" w14:textId="77777777" w:rsidR="00170248" w:rsidRPr="00B237B0" w:rsidRDefault="2CDD2216" w:rsidP="2CDD2216">
      <w:pPr>
        <w:spacing w:line="320" w:lineRule="atLeast"/>
        <w:jc w:val="both"/>
        <w:rPr>
          <w:rFonts w:asciiTheme="minorHAnsi" w:hAnsiTheme="minorHAnsi" w:cstheme="minorHAnsi"/>
          <w:color w:val="auto"/>
          <w:sz w:val="22"/>
          <w:szCs w:val="22"/>
        </w:rPr>
      </w:pPr>
      <w:r w:rsidRPr="00B237B0">
        <w:rPr>
          <w:rFonts w:asciiTheme="minorHAnsi" w:hAnsiTheme="minorHAnsi" w:cstheme="minorHAnsi"/>
          <w:color w:val="auto"/>
          <w:sz w:val="22"/>
          <w:szCs w:val="22"/>
        </w:rPr>
        <w:t xml:space="preserve">Web site: </w:t>
      </w:r>
      <w:hyperlink r:id="rId17">
        <w:r w:rsidRPr="00B237B0">
          <w:rPr>
            <w:rStyle w:val="Hyperlink"/>
            <w:rFonts w:asciiTheme="minorHAnsi" w:hAnsiTheme="minorHAnsi" w:cstheme="minorHAnsi"/>
            <w:sz w:val="22"/>
            <w:szCs w:val="22"/>
          </w:rPr>
          <w:t>www.iadb.org</w:t>
        </w:r>
      </w:hyperlink>
      <w:r w:rsidRPr="00B237B0">
        <w:rPr>
          <w:rFonts w:asciiTheme="minorHAnsi" w:hAnsiTheme="minorHAnsi" w:cstheme="minorHAnsi"/>
          <w:color w:val="auto"/>
          <w:sz w:val="22"/>
          <w:szCs w:val="22"/>
        </w:rPr>
        <w:t xml:space="preserve"> </w:t>
      </w:r>
    </w:p>
    <w:sectPr w:rsidR="00170248" w:rsidRPr="00B237B0">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C93F5" w14:textId="77777777" w:rsidR="00BD0BC3" w:rsidRDefault="00BD0BC3" w:rsidP="0056772C">
      <w:r>
        <w:separator/>
      </w:r>
    </w:p>
  </w:endnote>
  <w:endnote w:type="continuationSeparator" w:id="0">
    <w:p w14:paraId="60E65A46" w14:textId="77777777" w:rsidR="00BD0BC3" w:rsidRDefault="00BD0BC3"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2CB11" w14:textId="77777777" w:rsidR="00BD0BC3" w:rsidRDefault="00BD0BC3" w:rsidP="0056772C">
      <w:r>
        <w:separator/>
      </w:r>
    </w:p>
  </w:footnote>
  <w:footnote w:type="continuationSeparator" w:id="0">
    <w:p w14:paraId="4C7DC98F" w14:textId="77777777" w:rsidR="00BD0BC3" w:rsidRDefault="00BD0BC3"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8A49" w14:textId="77777777" w:rsidR="0056772C" w:rsidRDefault="005677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643DC"/>
    <w:rsid w:val="000C118D"/>
    <w:rsid w:val="00170248"/>
    <w:rsid w:val="001F2366"/>
    <w:rsid w:val="00242C10"/>
    <w:rsid w:val="00291905"/>
    <w:rsid w:val="002C3359"/>
    <w:rsid w:val="002E7B51"/>
    <w:rsid w:val="00341BE9"/>
    <w:rsid w:val="003455F6"/>
    <w:rsid w:val="003467E7"/>
    <w:rsid w:val="00360ACB"/>
    <w:rsid w:val="003800C7"/>
    <w:rsid w:val="00386734"/>
    <w:rsid w:val="003C4BA8"/>
    <w:rsid w:val="003C6547"/>
    <w:rsid w:val="003F5CA1"/>
    <w:rsid w:val="004003E8"/>
    <w:rsid w:val="00423E38"/>
    <w:rsid w:val="00496C03"/>
    <w:rsid w:val="004A3654"/>
    <w:rsid w:val="004A57F6"/>
    <w:rsid w:val="004D1120"/>
    <w:rsid w:val="004D51F3"/>
    <w:rsid w:val="0051231A"/>
    <w:rsid w:val="0052634A"/>
    <w:rsid w:val="00556C08"/>
    <w:rsid w:val="005673D5"/>
    <w:rsid w:val="0056772C"/>
    <w:rsid w:val="00573478"/>
    <w:rsid w:val="006071D7"/>
    <w:rsid w:val="00637714"/>
    <w:rsid w:val="00637BD8"/>
    <w:rsid w:val="006619FF"/>
    <w:rsid w:val="00670BFE"/>
    <w:rsid w:val="006B07BB"/>
    <w:rsid w:val="006B2285"/>
    <w:rsid w:val="006C3B20"/>
    <w:rsid w:val="00745672"/>
    <w:rsid w:val="0078460F"/>
    <w:rsid w:val="0079670C"/>
    <w:rsid w:val="007F47CF"/>
    <w:rsid w:val="008171F3"/>
    <w:rsid w:val="00891E3C"/>
    <w:rsid w:val="008C7908"/>
    <w:rsid w:val="008C7EEE"/>
    <w:rsid w:val="008E7ADA"/>
    <w:rsid w:val="00901303"/>
    <w:rsid w:val="00961A82"/>
    <w:rsid w:val="009B688E"/>
    <w:rsid w:val="009C24AE"/>
    <w:rsid w:val="009C7490"/>
    <w:rsid w:val="00A15B62"/>
    <w:rsid w:val="00A30475"/>
    <w:rsid w:val="00A37CA7"/>
    <w:rsid w:val="00A838F0"/>
    <w:rsid w:val="00AD35C3"/>
    <w:rsid w:val="00AD6E3D"/>
    <w:rsid w:val="00AE7268"/>
    <w:rsid w:val="00B17BF0"/>
    <w:rsid w:val="00B237B0"/>
    <w:rsid w:val="00B27293"/>
    <w:rsid w:val="00B81741"/>
    <w:rsid w:val="00BD0BC3"/>
    <w:rsid w:val="00BF0B50"/>
    <w:rsid w:val="00BF5CD3"/>
    <w:rsid w:val="00C22F40"/>
    <w:rsid w:val="00C27587"/>
    <w:rsid w:val="00C42B39"/>
    <w:rsid w:val="00C439C0"/>
    <w:rsid w:val="00C50FCB"/>
    <w:rsid w:val="00C809E6"/>
    <w:rsid w:val="00C869FB"/>
    <w:rsid w:val="00CA49B4"/>
    <w:rsid w:val="00CA7C9E"/>
    <w:rsid w:val="00CB5D61"/>
    <w:rsid w:val="00CD36BB"/>
    <w:rsid w:val="00CD4904"/>
    <w:rsid w:val="00D213F7"/>
    <w:rsid w:val="00D47AC0"/>
    <w:rsid w:val="00DE327F"/>
    <w:rsid w:val="00DF70F2"/>
    <w:rsid w:val="00E0315D"/>
    <w:rsid w:val="00E277C5"/>
    <w:rsid w:val="00E915B4"/>
    <w:rsid w:val="00ED4D33"/>
    <w:rsid w:val="00F03679"/>
    <w:rsid w:val="00F128A6"/>
    <w:rsid w:val="00F45D9C"/>
    <w:rsid w:val="00F74266"/>
    <w:rsid w:val="00FB28F1"/>
    <w:rsid w:val="00FE1FDA"/>
    <w:rsid w:val="10E76954"/>
    <w:rsid w:val="1B0650FE"/>
    <w:rsid w:val="1FB12BE9"/>
    <w:rsid w:val="23C30F60"/>
    <w:rsid w:val="2CDD2216"/>
    <w:rsid w:val="36854241"/>
    <w:rsid w:val="4738AB8D"/>
    <w:rsid w:val="633C71E7"/>
    <w:rsid w:val="64D200BA"/>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character" w:styleId="UnresolvedMention">
    <w:name w:val="Unresolved Mention"/>
    <w:basedOn w:val="DefaultParagraphFont"/>
    <w:uiPriority w:val="99"/>
    <w:semiHidden/>
    <w:unhideWhenUsed/>
    <w:rsid w:val="00FE1FDA"/>
    <w:rPr>
      <w:color w:val="605E5C"/>
      <w:shd w:val="clear" w:color="auto" w:fill="E1DFDD"/>
    </w:rPr>
  </w:style>
  <w:style w:type="paragraph" w:styleId="Revision">
    <w:name w:val="Revision"/>
    <w:hidden/>
    <w:uiPriority w:val="99"/>
    <w:semiHidden/>
    <w:rsid w:val="00C22F40"/>
    <w:pPr>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beo-procurement.iadb.org/hom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iadb.org/en/project/TT-T1122" TargetMode="External"/><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ilroyl@iadb.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gilroyl@iadb.org"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dbdocs.iadb.org/wsdocs/getdocument.aspx?DOCNUM=38988574"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7FACE8714CD1244B2F3E720E7DB1895" ma:contentTypeVersion="1230" ma:contentTypeDescription="A content type to manage public (operations) IDB documents" ma:contentTypeScope="" ma:versionID="f87731de9baf2617fc1bd2d2647d5d7a">
  <xsd:schema xmlns:xsd="http://www.w3.org/2001/XMLSchema" xmlns:xs="http://www.w3.org/2001/XMLSchema" xmlns:p="http://schemas.microsoft.com/office/2006/metadata/properties" xmlns:ns2="cdc7663a-08f0-4737-9e8c-148ce897a09c" targetNamespace="http://schemas.microsoft.com/office/2006/metadata/properties" ma:root="true" ma:fieldsID="00dc91988e280ee3828c44f7b67f09d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TT-T112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INE/WSA</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Agostini Dorri Michelle</Document_x0020_Author>
    <Document_x0020_Language_x0020_IDB xmlns="cdc7663a-08f0-4737-9e8c-148ce897a09c">English</Document_x0020_Language_x0020_IDB>
    <TaxCatchAll xmlns="cdc7663a-08f0-4737-9e8c-148ce897a09c">
      <Value>4</Value>
    </TaxCatchAll>
    <Identifier xmlns="cdc7663a-08f0-4737-9e8c-148ce897a09c" xsi:nil="true"/>
    <_dlc_DocId xmlns="cdc7663a-08f0-4737-9e8c-148ce897a09c">EZIDB0000513-245489488-4</_dlc_DocId>
    <_dlc_DocIdUrl xmlns="cdc7663a-08f0-4737-9e8c-148ce897a09c">
      <Url>https://idbg.sharepoint.com/teams/EZ-TT-TCP/TT-T1122/_layouts/15/DocIdRedir.aspx?ID=EZIDB0000513-245489488-4</Url>
      <Description>EZIDB0000513-245489488-4</Description>
    </_dlc_DocIdUrl>
    <Related_x0020_SisCor_x0020_Number xmlns="cdc7663a-08f0-4737-9e8c-148ce897a09c" xsi:nil="true"/>
    <Record_x0020_Number xmlns="cdc7663a-08f0-4737-9e8c-148ce897a09c" xsi:nil="true"/>
    <Extracted_x0020_Keywords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 xsi:nil="true"/>
    <Package_x0020_Code xmlns="cdc7663a-08f0-4737-9e8c-148ce897a09c" xsi:nil="true"/>
    <Project_x0020_Number xmlns="cdc7663a-08f0-4737-9e8c-148ce897a09c">TT-T1122</Project_x0020_Number>
    <nddeef1749674d76abdbe4b239a70bc6 xmlns="cdc7663a-08f0-4737-9e8c-148ce897a09c">
      <Terms xmlns="http://schemas.microsoft.com/office/infopath/2007/PartnerControl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D477C44-4F00-4A53-AE62-C471D6F9165E}"/>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E8796120-B7E1-4B41-9C15-25BDD9414047}"/>
</file>

<file path=customXml/itemProps5.xml><?xml version="1.0" encoding="utf-8"?>
<ds:datastoreItem xmlns:ds="http://schemas.openxmlformats.org/officeDocument/2006/customXml" ds:itemID="{2A6357FA-4790-4693-B9E9-8054B5E48B54}"/>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Agostini, Dorri Michelle</cp:lastModifiedBy>
  <cp:revision>3</cp:revision>
  <cp:lastPrinted>2015-01-20T22:56:00Z</cp:lastPrinted>
  <dcterms:created xsi:type="dcterms:W3CDTF">2023-06-09T09:48:00Z</dcterms:created>
  <dcterms:modified xsi:type="dcterms:W3CDTF">2023-06-09T09:49:00Z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0x0101001A458A224826124E8B45B1D613300CFC0047FACE8714CD1244B2F3E720E7DB1895</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
  </property>
  <property fmtid="{D5CDD505-2E9C-101B-9397-08002B2CF9AE}" pid="8" name="_dlc_DocIdItemGuid">
    <vt:lpwstr>978c47df-1230-468a-beab-d41b2c3f72f4</vt:lpwstr>
  </property>
  <property fmtid="{D5CDD505-2E9C-101B-9397-08002B2CF9AE}" pid="9" name="Sub-Sector">
    <vt:lpwstr/>
  </property>
  <property fmtid="{D5CDD505-2E9C-101B-9397-08002B2CF9AE}" pid="10" name="Series Operations IDB">
    <vt:lpwstr/>
  </property>
  <property fmtid="{D5CDD505-2E9C-101B-9397-08002B2CF9AE}" pid="11" name="Fund IDB">
    <vt:lpwstr/>
  </property>
  <property fmtid="{D5CDD505-2E9C-101B-9397-08002B2CF9AE}" pid="12" name="Sector IDB">
    <vt:lpwstr/>
  </property>
  <property fmtid="{D5CDD505-2E9C-101B-9397-08002B2CF9AE}" pid="13" name="Function Operations IDB">
    <vt:lpwstr>4;#Goods and Services|5bfebf1b-9f1f-4411-b1dd-4c19b807b799</vt:lpwstr>
  </property>
</Properties>
</file>