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295E0" w14:textId="77777777" w:rsidR="00E46277" w:rsidRDefault="00E46277" w:rsidP="000765FA">
      <w:pPr>
        <w:tabs>
          <w:tab w:val="left" w:pos="1440"/>
          <w:tab w:val="left" w:pos="3060"/>
        </w:tabs>
        <w:jc w:val="center"/>
        <w:rPr>
          <w:rFonts w:ascii="Arial" w:hAnsi="Arial" w:cs="Arial"/>
          <w:b/>
          <w:smallCaps/>
          <w:sz w:val="28"/>
          <w:szCs w:val="28"/>
          <w:lang w:val="es-ES"/>
        </w:rPr>
      </w:pPr>
    </w:p>
    <w:p w14:paraId="465C8086" w14:textId="77777777" w:rsidR="00E46277" w:rsidRDefault="00E46277" w:rsidP="000765FA">
      <w:pPr>
        <w:tabs>
          <w:tab w:val="left" w:pos="1440"/>
          <w:tab w:val="left" w:pos="3060"/>
        </w:tabs>
        <w:jc w:val="center"/>
        <w:rPr>
          <w:rFonts w:ascii="Arial" w:hAnsi="Arial" w:cs="Arial"/>
          <w:b/>
          <w:smallCaps/>
          <w:sz w:val="28"/>
          <w:szCs w:val="28"/>
          <w:lang w:val="es-ES"/>
        </w:rPr>
      </w:pPr>
    </w:p>
    <w:p w14:paraId="65BB7FD3" w14:textId="77777777" w:rsidR="00E46277" w:rsidRDefault="00E46277" w:rsidP="000765FA">
      <w:pPr>
        <w:tabs>
          <w:tab w:val="left" w:pos="1440"/>
          <w:tab w:val="left" w:pos="3060"/>
        </w:tabs>
        <w:jc w:val="center"/>
        <w:rPr>
          <w:rFonts w:ascii="Arial" w:hAnsi="Arial" w:cs="Arial"/>
          <w:b/>
          <w:smallCaps/>
          <w:sz w:val="28"/>
          <w:szCs w:val="28"/>
          <w:lang w:val="es-ES"/>
        </w:rPr>
      </w:pPr>
    </w:p>
    <w:p w14:paraId="6523B81D" w14:textId="77777777" w:rsidR="000765FA" w:rsidRPr="00046E14" w:rsidRDefault="000765FA" w:rsidP="000765FA">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Uruguay</w:t>
      </w:r>
    </w:p>
    <w:p w14:paraId="68B75185" w14:textId="77777777" w:rsidR="000765FA" w:rsidRDefault="000765FA" w:rsidP="000765FA">
      <w:pPr>
        <w:tabs>
          <w:tab w:val="left" w:pos="1440"/>
          <w:tab w:val="left" w:pos="3060"/>
        </w:tabs>
        <w:jc w:val="center"/>
        <w:rPr>
          <w:rFonts w:ascii="Arial" w:hAnsi="Arial" w:cs="Arial"/>
          <w:smallCaps/>
          <w:lang w:val="es-ES"/>
        </w:rPr>
      </w:pPr>
    </w:p>
    <w:p w14:paraId="2F27CB88" w14:textId="77777777" w:rsidR="00E74B5B" w:rsidRPr="00046E14" w:rsidRDefault="00E74B5B" w:rsidP="000765FA">
      <w:pPr>
        <w:tabs>
          <w:tab w:val="left" w:pos="1440"/>
          <w:tab w:val="left" w:pos="3060"/>
        </w:tabs>
        <w:jc w:val="center"/>
        <w:rPr>
          <w:rFonts w:ascii="Arial" w:hAnsi="Arial" w:cs="Arial"/>
          <w:smallCaps/>
          <w:lang w:val="es-ES"/>
        </w:rPr>
      </w:pPr>
    </w:p>
    <w:p w14:paraId="1646B199" w14:textId="2FE5E36B" w:rsidR="00E74B5B" w:rsidRPr="008F0430" w:rsidRDefault="00CD6A9E" w:rsidP="00E74B5B">
      <w:pPr>
        <w:tabs>
          <w:tab w:val="left" w:pos="1440"/>
          <w:tab w:val="left" w:pos="3060"/>
        </w:tabs>
        <w:jc w:val="center"/>
        <w:rPr>
          <w:rFonts w:ascii="Arial" w:hAnsi="Arial" w:cs="Arial"/>
          <w:b/>
          <w:smallCaps/>
          <w:sz w:val="28"/>
          <w:szCs w:val="28"/>
          <w:lang w:val="es-ES_tradnl"/>
        </w:rPr>
      </w:pPr>
      <w:r w:rsidRPr="008F0430">
        <w:rPr>
          <w:rFonts w:ascii="Arial" w:hAnsi="Arial" w:cs="Arial"/>
          <w:b/>
          <w:smallCaps/>
          <w:sz w:val="28"/>
          <w:szCs w:val="28"/>
          <w:lang w:val="es-ES_tradnl"/>
        </w:rPr>
        <w:t>PROGRAMA DE SANEAMIENTO URBANO DE MONTEVIDEO</w:t>
      </w:r>
    </w:p>
    <w:p w14:paraId="31180789" w14:textId="77777777" w:rsidR="00E74B5B" w:rsidRPr="008F00D7" w:rsidRDefault="00E74B5B" w:rsidP="00E74B5B">
      <w:pPr>
        <w:tabs>
          <w:tab w:val="left" w:pos="1440"/>
          <w:tab w:val="left" w:pos="3060"/>
        </w:tabs>
        <w:jc w:val="center"/>
        <w:rPr>
          <w:rFonts w:ascii="Arial" w:hAnsi="Arial" w:cs="Arial"/>
          <w:b/>
          <w:smallCaps/>
          <w:sz w:val="28"/>
          <w:szCs w:val="28"/>
          <w:lang w:val="es-ES"/>
        </w:rPr>
      </w:pPr>
      <w:r w:rsidRPr="008F00D7">
        <w:rPr>
          <w:rFonts w:ascii="Arial" w:hAnsi="Arial" w:cs="Arial"/>
          <w:b/>
          <w:smallCaps/>
          <w:sz w:val="28"/>
          <w:szCs w:val="28"/>
          <w:lang w:val="es-ES"/>
        </w:rPr>
        <w:t>(PSU V)</w:t>
      </w:r>
    </w:p>
    <w:p w14:paraId="5410528D" w14:textId="77777777" w:rsidR="000765FA" w:rsidRDefault="000765FA" w:rsidP="000765FA">
      <w:pPr>
        <w:tabs>
          <w:tab w:val="left" w:pos="1440"/>
          <w:tab w:val="left" w:pos="3060"/>
        </w:tabs>
        <w:jc w:val="center"/>
        <w:rPr>
          <w:rFonts w:ascii="Arial" w:hAnsi="Arial" w:cs="Arial"/>
          <w:b/>
          <w:smallCaps/>
          <w:sz w:val="24"/>
          <w:lang w:val="es-ES"/>
        </w:rPr>
      </w:pPr>
    </w:p>
    <w:p w14:paraId="113BD95F" w14:textId="77777777" w:rsidR="000765FA" w:rsidRDefault="000765FA" w:rsidP="000765FA">
      <w:pPr>
        <w:tabs>
          <w:tab w:val="left" w:pos="1440"/>
          <w:tab w:val="left" w:pos="3060"/>
        </w:tabs>
        <w:jc w:val="center"/>
        <w:rPr>
          <w:rFonts w:ascii="Arial" w:hAnsi="Arial" w:cs="Arial"/>
          <w:b/>
          <w:smallCaps/>
          <w:sz w:val="24"/>
          <w:lang w:val="es-ES"/>
        </w:rPr>
      </w:pPr>
      <w:r w:rsidRPr="00911265">
        <w:rPr>
          <w:rFonts w:ascii="Arial" w:hAnsi="Arial" w:cs="Arial"/>
          <w:b/>
          <w:smallCaps/>
          <w:sz w:val="24"/>
          <w:lang w:val="es-ES"/>
        </w:rPr>
        <w:t>(</w:t>
      </w:r>
      <w:r>
        <w:rPr>
          <w:rFonts w:ascii="Arial" w:hAnsi="Arial" w:cs="Arial"/>
          <w:b/>
          <w:smallCaps/>
          <w:sz w:val="24"/>
          <w:lang w:val="es-ES"/>
        </w:rPr>
        <w:t>U</w:t>
      </w:r>
      <w:r w:rsidRPr="00911265">
        <w:rPr>
          <w:rFonts w:ascii="Arial" w:hAnsi="Arial" w:cs="Arial"/>
          <w:b/>
          <w:smallCaps/>
          <w:sz w:val="24"/>
          <w:lang w:val="es-ES"/>
        </w:rPr>
        <w:t>R-L</w:t>
      </w:r>
      <w:r>
        <w:rPr>
          <w:rFonts w:ascii="Arial" w:hAnsi="Arial" w:cs="Arial"/>
          <w:b/>
          <w:smallCaps/>
          <w:sz w:val="24"/>
          <w:lang w:val="es-ES"/>
        </w:rPr>
        <w:t>1136</w:t>
      </w:r>
      <w:r w:rsidRPr="00911265">
        <w:rPr>
          <w:rFonts w:ascii="Arial" w:hAnsi="Arial" w:cs="Arial"/>
          <w:b/>
          <w:smallCaps/>
          <w:sz w:val="24"/>
          <w:lang w:val="es-ES"/>
        </w:rPr>
        <w:t>)</w:t>
      </w:r>
    </w:p>
    <w:p w14:paraId="616E9D66" w14:textId="77777777" w:rsidR="00E74B5B" w:rsidRPr="008F00D7" w:rsidRDefault="00E74B5B" w:rsidP="00E74B5B">
      <w:pPr>
        <w:tabs>
          <w:tab w:val="left" w:pos="1440"/>
          <w:tab w:val="left" w:pos="3060"/>
        </w:tabs>
        <w:jc w:val="center"/>
        <w:rPr>
          <w:rFonts w:ascii="Arial" w:hAnsi="Arial" w:cs="Arial"/>
          <w:smallCaps/>
          <w:lang w:val="es-ES"/>
        </w:rPr>
      </w:pPr>
      <w:r w:rsidRPr="008F00D7">
        <w:rPr>
          <w:rFonts w:ascii="Arial" w:hAnsi="Arial" w:cs="Arial"/>
          <w:smallCaps/>
          <w:lang w:val="es-ES"/>
        </w:rPr>
        <w:t xml:space="preserve">SEGUNDO PRESTAMO </w:t>
      </w:r>
    </w:p>
    <w:p w14:paraId="7268D17E" w14:textId="77777777" w:rsidR="00E74B5B" w:rsidRPr="008F00D7" w:rsidRDefault="00E74B5B" w:rsidP="00E74B5B">
      <w:pPr>
        <w:tabs>
          <w:tab w:val="left" w:pos="1440"/>
          <w:tab w:val="left" w:pos="3060"/>
        </w:tabs>
        <w:jc w:val="center"/>
        <w:rPr>
          <w:rFonts w:ascii="Arial" w:hAnsi="Arial" w:cs="Arial"/>
          <w:smallCaps/>
          <w:lang w:val="es-ES"/>
        </w:rPr>
      </w:pPr>
      <w:r w:rsidRPr="008F00D7">
        <w:rPr>
          <w:rFonts w:ascii="Arial" w:hAnsi="Arial" w:cs="Arial"/>
          <w:smallCaps/>
          <w:lang w:val="es-ES"/>
        </w:rPr>
        <w:t xml:space="preserve"> BAJO LA LÍNEA CCLIP</w:t>
      </w:r>
    </w:p>
    <w:p w14:paraId="3A39C7C9" w14:textId="0D7BF522" w:rsidR="00E74B5B" w:rsidRPr="008F00D7" w:rsidRDefault="009551BA" w:rsidP="00E74B5B">
      <w:pPr>
        <w:tabs>
          <w:tab w:val="left" w:pos="1440"/>
          <w:tab w:val="left" w:pos="3060"/>
        </w:tabs>
        <w:jc w:val="center"/>
        <w:rPr>
          <w:rFonts w:ascii="Arial" w:hAnsi="Arial" w:cs="Arial"/>
          <w:smallCaps/>
          <w:lang w:val="es-ES"/>
        </w:rPr>
      </w:pPr>
      <w:r>
        <w:rPr>
          <w:rFonts w:ascii="Arial" w:hAnsi="Arial" w:cs="Arial"/>
          <w:smallCaps/>
          <w:lang w:val="es-ES"/>
        </w:rPr>
        <w:t>(UR-X1001</w:t>
      </w:r>
      <w:bookmarkStart w:id="0" w:name="_GoBack"/>
      <w:bookmarkEnd w:id="0"/>
      <w:r w:rsidR="00E74B5B" w:rsidRPr="008F00D7">
        <w:rPr>
          <w:rFonts w:ascii="Arial" w:hAnsi="Arial" w:cs="Arial"/>
          <w:smallCaps/>
          <w:lang w:val="es-ES"/>
        </w:rPr>
        <w:t>)</w:t>
      </w:r>
    </w:p>
    <w:p w14:paraId="6CAD9DC1" w14:textId="77777777" w:rsidR="000765FA" w:rsidRDefault="000765FA" w:rsidP="000765FA">
      <w:pPr>
        <w:tabs>
          <w:tab w:val="left" w:pos="1440"/>
          <w:tab w:val="left" w:pos="3060"/>
        </w:tabs>
        <w:jc w:val="center"/>
        <w:rPr>
          <w:rFonts w:ascii="Arial" w:hAnsi="Arial" w:cs="Arial"/>
          <w:smallCaps/>
          <w:sz w:val="28"/>
          <w:lang w:val="es-ES"/>
        </w:rPr>
      </w:pPr>
    </w:p>
    <w:p w14:paraId="55B22AFB" w14:textId="77777777" w:rsidR="00E74B5B" w:rsidRPr="00911265" w:rsidRDefault="00E74B5B" w:rsidP="000765FA">
      <w:pPr>
        <w:tabs>
          <w:tab w:val="left" w:pos="1440"/>
          <w:tab w:val="left" w:pos="3060"/>
        </w:tabs>
        <w:jc w:val="center"/>
        <w:rPr>
          <w:rFonts w:ascii="Arial" w:hAnsi="Arial" w:cs="Arial"/>
          <w:smallCaps/>
          <w:sz w:val="28"/>
          <w:lang w:val="es-ES"/>
        </w:rPr>
      </w:pPr>
    </w:p>
    <w:p w14:paraId="5B89F876" w14:textId="77777777" w:rsidR="000765FA" w:rsidRPr="00911265" w:rsidRDefault="000765FA" w:rsidP="000765FA">
      <w:pPr>
        <w:tabs>
          <w:tab w:val="left" w:pos="1440"/>
          <w:tab w:val="left" w:pos="3060"/>
        </w:tabs>
        <w:jc w:val="center"/>
        <w:outlineLvl w:val="0"/>
        <w:rPr>
          <w:rFonts w:ascii="Arial" w:hAnsi="Arial" w:cs="Arial"/>
          <w:b/>
          <w:smallCaps/>
          <w:sz w:val="24"/>
          <w:szCs w:val="24"/>
          <w:lang w:val="es-ES"/>
        </w:rPr>
      </w:pPr>
      <w:r w:rsidRPr="00911265">
        <w:rPr>
          <w:rFonts w:ascii="Arial" w:hAnsi="Arial" w:cs="Arial"/>
          <w:b/>
          <w:smallCaps/>
          <w:sz w:val="24"/>
          <w:szCs w:val="24"/>
          <w:lang w:val="es-ES"/>
        </w:rPr>
        <w:t>ANEXO</w:t>
      </w:r>
    </w:p>
    <w:p w14:paraId="570DB0BD" w14:textId="77777777" w:rsidR="000765FA" w:rsidRPr="00911265" w:rsidRDefault="000765FA" w:rsidP="000765FA">
      <w:pPr>
        <w:tabs>
          <w:tab w:val="left" w:pos="1440"/>
          <w:tab w:val="left" w:pos="3060"/>
        </w:tabs>
        <w:jc w:val="center"/>
        <w:outlineLvl w:val="0"/>
        <w:rPr>
          <w:rFonts w:ascii="Arial" w:hAnsi="Arial" w:cs="Arial"/>
          <w:b/>
          <w:sz w:val="24"/>
          <w:szCs w:val="24"/>
          <w:lang w:val="es-ES"/>
        </w:rPr>
      </w:pPr>
      <w:r w:rsidRPr="00911265">
        <w:rPr>
          <w:rFonts w:ascii="Arial" w:hAnsi="Arial" w:cs="Arial"/>
          <w:b/>
          <w:smallCaps/>
          <w:sz w:val="24"/>
          <w:szCs w:val="24"/>
          <w:lang w:val="es-ES"/>
        </w:rPr>
        <w:t>Análisis Financiero</w:t>
      </w:r>
    </w:p>
    <w:p w14:paraId="434235C0" w14:textId="77777777" w:rsidR="00894738" w:rsidRDefault="00894738" w:rsidP="005B04AC">
      <w:pPr>
        <w:tabs>
          <w:tab w:val="left" w:pos="1440"/>
          <w:tab w:val="left" w:pos="3060"/>
        </w:tabs>
        <w:jc w:val="center"/>
        <w:rPr>
          <w:rFonts w:ascii="Times New Roman" w:hAnsi="Times New Roman" w:cs="Times New Roman"/>
          <w:color w:val="000000"/>
          <w:sz w:val="24"/>
          <w:szCs w:val="24"/>
          <w:lang w:val="es-ES_tradnl"/>
        </w:rPr>
      </w:pPr>
      <w:r w:rsidRPr="00894738">
        <w:rPr>
          <w:lang w:val="es-ES_tradnl"/>
        </w:rPr>
        <w:br w:type="page"/>
      </w:r>
    </w:p>
    <w:p w14:paraId="5E14E096" w14:textId="77777777" w:rsidR="00894738" w:rsidRPr="00894738" w:rsidRDefault="00894738" w:rsidP="00894738">
      <w:pPr>
        <w:pStyle w:val="Default"/>
        <w:rPr>
          <w:lang w:val="es-ES_tradnl"/>
        </w:rPr>
      </w:pPr>
    </w:p>
    <w:p w14:paraId="61F8D287" w14:textId="77777777" w:rsidR="00894738" w:rsidRPr="002B4DDB" w:rsidRDefault="0000523F" w:rsidP="00894738">
      <w:pPr>
        <w:pStyle w:val="Default"/>
        <w:rPr>
          <w:rFonts w:ascii="Arial" w:hAnsi="Arial" w:cs="Arial"/>
          <w:b/>
          <w:bCs/>
          <w:sz w:val="28"/>
          <w:szCs w:val="28"/>
          <w:lang w:val="es-ES_tradnl"/>
        </w:rPr>
      </w:pPr>
      <w:r w:rsidRPr="002B4DDB">
        <w:rPr>
          <w:rFonts w:ascii="Arial" w:hAnsi="Arial" w:cs="Arial"/>
          <w:b/>
          <w:bCs/>
          <w:sz w:val="28"/>
          <w:szCs w:val="28"/>
          <w:lang w:val="es-ES_tradnl"/>
        </w:rPr>
        <w:t>I</w:t>
      </w:r>
      <w:r w:rsidR="00894738" w:rsidRPr="002B4DDB">
        <w:rPr>
          <w:rFonts w:ascii="Arial" w:hAnsi="Arial" w:cs="Arial"/>
          <w:b/>
          <w:bCs/>
          <w:sz w:val="28"/>
          <w:szCs w:val="28"/>
          <w:lang w:val="es-ES_tradnl"/>
        </w:rPr>
        <w:t xml:space="preserve">. Alcance </w:t>
      </w:r>
    </w:p>
    <w:p w14:paraId="21B15E6F" w14:textId="77777777" w:rsidR="002B4DDB" w:rsidRPr="002B4DDB" w:rsidRDefault="002B4DDB" w:rsidP="00894738">
      <w:pPr>
        <w:pStyle w:val="Default"/>
        <w:rPr>
          <w:rFonts w:ascii="Arial" w:hAnsi="Arial" w:cs="Arial"/>
          <w:sz w:val="22"/>
          <w:szCs w:val="22"/>
          <w:lang w:val="es-ES_tradnl"/>
        </w:rPr>
      </w:pPr>
    </w:p>
    <w:p w14:paraId="2C80968D" w14:textId="6958C314" w:rsidR="000B532D" w:rsidRDefault="00894738" w:rsidP="00263A43">
      <w:pPr>
        <w:pStyle w:val="Default"/>
        <w:numPr>
          <w:ilvl w:val="1"/>
          <w:numId w:val="5"/>
        </w:numPr>
        <w:jc w:val="both"/>
        <w:rPr>
          <w:rFonts w:ascii="Arial" w:hAnsi="Arial" w:cs="Arial"/>
          <w:sz w:val="22"/>
          <w:szCs w:val="22"/>
          <w:lang w:val="es-ES_tradnl"/>
        </w:rPr>
      </w:pPr>
      <w:r w:rsidRPr="00894738">
        <w:rPr>
          <w:rFonts w:ascii="Arial" w:hAnsi="Arial" w:cs="Arial"/>
          <w:i/>
          <w:iCs/>
          <w:sz w:val="22"/>
          <w:szCs w:val="22"/>
          <w:lang w:val="es-ES_tradnl"/>
        </w:rPr>
        <w:t>Alcance del análisis financiero</w:t>
      </w:r>
      <w:r w:rsidR="000B532D">
        <w:rPr>
          <w:rFonts w:ascii="Arial" w:hAnsi="Arial" w:cs="Arial"/>
          <w:i/>
          <w:iCs/>
          <w:sz w:val="22"/>
          <w:szCs w:val="22"/>
          <w:lang w:val="es-ES_tradnl"/>
        </w:rPr>
        <w:t>.</w:t>
      </w:r>
      <w:r w:rsidRPr="00894738">
        <w:rPr>
          <w:rFonts w:ascii="Arial" w:hAnsi="Arial" w:cs="Arial"/>
          <w:i/>
          <w:iCs/>
          <w:sz w:val="22"/>
          <w:szCs w:val="22"/>
          <w:lang w:val="es-ES_tradnl"/>
        </w:rPr>
        <w:t xml:space="preserve"> </w:t>
      </w:r>
      <w:r w:rsidRPr="00894738">
        <w:rPr>
          <w:rFonts w:ascii="Arial" w:hAnsi="Arial" w:cs="Arial"/>
          <w:sz w:val="22"/>
          <w:szCs w:val="22"/>
          <w:lang w:val="es-ES_tradnl"/>
        </w:rPr>
        <w:t>El análisis financiero de</w:t>
      </w:r>
      <w:r w:rsidR="007932F5">
        <w:rPr>
          <w:rFonts w:ascii="Arial" w:hAnsi="Arial" w:cs="Arial"/>
          <w:sz w:val="22"/>
          <w:szCs w:val="22"/>
          <w:lang w:val="es-ES_tradnl"/>
        </w:rPr>
        <w:t>l Sector Saneamiento</w:t>
      </w:r>
      <w:r w:rsidRPr="00894738">
        <w:rPr>
          <w:rFonts w:ascii="Arial" w:hAnsi="Arial" w:cs="Arial"/>
          <w:sz w:val="22"/>
          <w:szCs w:val="22"/>
          <w:lang w:val="es-ES_tradnl"/>
        </w:rPr>
        <w:t xml:space="preserve"> de la Intendencia de Montevideo (IM) se </w:t>
      </w:r>
      <w:r w:rsidR="007932F5" w:rsidRPr="00894738">
        <w:rPr>
          <w:rFonts w:ascii="Arial" w:hAnsi="Arial" w:cs="Arial"/>
          <w:sz w:val="22"/>
          <w:szCs w:val="22"/>
          <w:lang w:val="es-ES_tradnl"/>
        </w:rPr>
        <w:t>realizó</w:t>
      </w:r>
      <w:r w:rsidRPr="00894738">
        <w:rPr>
          <w:rFonts w:ascii="Arial" w:hAnsi="Arial" w:cs="Arial"/>
          <w:sz w:val="22"/>
          <w:szCs w:val="22"/>
          <w:lang w:val="es-ES_tradnl"/>
        </w:rPr>
        <w:t xml:space="preserve"> mediante un modelo desarrollado internamente por INE/WSA tomando como</w:t>
      </w:r>
      <w:r w:rsidR="00263A43">
        <w:rPr>
          <w:rFonts w:ascii="Arial" w:hAnsi="Arial" w:cs="Arial"/>
          <w:sz w:val="22"/>
          <w:szCs w:val="22"/>
          <w:lang w:val="es-ES_tradnl"/>
        </w:rPr>
        <w:t xml:space="preserve"> base </w:t>
      </w:r>
      <w:r w:rsidR="00263A43" w:rsidRPr="00263A43">
        <w:rPr>
          <w:rFonts w:ascii="Arial" w:hAnsi="Arial" w:cs="Arial"/>
          <w:sz w:val="22"/>
          <w:szCs w:val="22"/>
          <w:lang w:val="es-ES_tradnl"/>
        </w:rPr>
        <w:t>tomando como base los estados financieros de 2013 y 2014, los estados financieros estimados de 2015</w:t>
      </w:r>
      <w:r w:rsidR="00B91217">
        <w:rPr>
          <w:rStyle w:val="FootnoteReference"/>
          <w:rFonts w:ascii="Arial" w:hAnsi="Arial" w:cs="Arial"/>
          <w:sz w:val="22"/>
          <w:szCs w:val="22"/>
          <w:lang w:val="es-ES_tradnl"/>
        </w:rPr>
        <w:footnoteReference w:id="1"/>
      </w:r>
      <w:r w:rsidR="00263A43">
        <w:rPr>
          <w:rFonts w:ascii="Arial" w:hAnsi="Arial" w:cs="Arial"/>
          <w:sz w:val="22"/>
          <w:szCs w:val="22"/>
          <w:lang w:val="es-ES_tradnl"/>
        </w:rPr>
        <w:t>,</w:t>
      </w:r>
      <w:r w:rsidRPr="00894738">
        <w:rPr>
          <w:rFonts w:ascii="Arial" w:hAnsi="Arial" w:cs="Arial"/>
          <w:sz w:val="22"/>
          <w:szCs w:val="22"/>
          <w:lang w:val="es-ES_tradnl"/>
        </w:rPr>
        <w:t xml:space="preserve"> y un conjunto de supuestos que se detallan más adelante. Las proyecciones se realizaron por 10 años y están expresadas en dólares constantes de diciembre de del 201</w:t>
      </w:r>
      <w:r w:rsidR="00263A43">
        <w:rPr>
          <w:rFonts w:ascii="Arial" w:hAnsi="Arial" w:cs="Arial"/>
          <w:sz w:val="22"/>
          <w:szCs w:val="22"/>
          <w:lang w:val="es-ES_tradnl"/>
        </w:rPr>
        <w:t>5</w:t>
      </w:r>
      <w:r w:rsidRPr="00894738">
        <w:rPr>
          <w:rFonts w:ascii="Arial" w:hAnsi="Arial" w:cs="Arial"/>
          <w:sz w:val="22"/>
          <w:szCs w:val="22"/>
          <w:lang w:val="es-ES_tradnl"/>
        </w:rPr>
        <w:t xml:space="preserve">. Este modelo incluye proyecciones de los ingresos y costos operativos, inversiones de capital, financiamiento externo, activos fijos, y capital de trabajo con base en los cuales se prepararon los estado financieros proyectados. </w:t>
      </w:r>
    </w:p>
    <w:p w14:paraId="5C1C6AF9" w14:textId="77777777" w:rsidR="000B532D" w:rsidRDefault="000B532D" w:rsidP="000B532D">
      <w:pPr>
        <w:pStyle w:val="Default"/>
        <w:ind w:left="360"/>
        <w:jc w:val="both"/>
        <w:rPr>
          <w:rFonts w:ascii="Arial" w:hAnsi="Arial" w:cs="Arial"/>
          <w:sz w:val="22"/>
          <w:szCs w:val="22"/>
          <w:lang w:val="es-ES_tradnl"/>
        </w:rPr>
      </w:pPr>
    </w:p>
    <w:p w14:paraId="4940C4CC" w14:textId="20C35C82" w:rsidR="00C35E49" w:rsidRDefault="00C35E49" w:rsidP="00C35E49">
      <w:pPr>
        <w:pStyle w:val="Default"/>
        <w:numPr>
          <w:ilvl w:val="1"/>
          <w:numId w:val="5"/>
        </w:numPr>
        <w:jc w:val="both"/>
        <w:rPr>
          <w:rFonts w:ascii="Arial" w:hAnsi="Arial" w:cs="Arial"/>
          <w:sz w:val="22"/>
          <w:szCs w:val="22"/>
          <w:lang w:val="es-ES_tradnl"/>
        </w:rPr>
      </w:pPr>
      <w:r>
        <w:rPr>
          <w:rFonts w:ascii="Arial" w:hAnsi="Arial" w:cs="Arial"/>
          <w:i/>
          <w:iCs/>
          <w:sz w:val="22"/>
          <w:szCs w:val="22"/>
          <w:lang w:val="es-ES_tradnl"/>
        </w:rPr>
        <w:t>Unidad contable del Sector Saneamiento</w:t>
      </w:r>
      <w:r w:rsidR="000B532D">
        <w:rPr>
          <w:rFonts w:ascii="Arial" w:hAnsi="Arial" w:cs="Arial"/>
          <w:i/>
          <w:iCs/>
          <w:sz w:val="22"/>
          <w:szCs w:val="22"/>
          <w:lang w:val="es-ES_tradnl"/>
        </w:rPr>
        <w:t>.</w:t>
      </w:r>
      <w:r w:rsidR="00894738" w:rsidRPr="000B532D">
        <w:rPr>
          <w:rFonts w:ascii="Arial" w:hAnsi="Arial" w:cs="Arial"/>
          <w:i/>
          <w:iCs/>
          <w:sz w:val="22"/>
          <w:szCs w:val="22"/>
          <w:lang w:val="es-ES_tradnl"/>
        </w:rPr>
        <w:t xml:space="preserve"> </w:t>
      </w:r>
      <w:r>
        <w:rPr>
          <w:rFonts w:ascii="Arial" w:hAnsi="Arial" w:cs="Arial"/>
          <w:sz w:val="22"/>
          <w:szCs w:val="22"/>
          <w:lang w:val="es-ES_tradnl"/>
        </w:rPr>
        <w:t>El Sector Saneamiento (SS) se refiere a</w:t>
      </w:r>
      <w:r w:rsidR="00BE1722">
        <w:rPr>
          <w:rFonts w:ascii="Arial" w:hAnsi="Arial" w:cs="Arial"/>
          <w:sz w:val="22"/>
          <w:szCs w:val="22"/>
          <w:lang w:val="es-ES_tradnl"/>
        </w:rPr>
        <w:t xml:space="preserve"> una unidad contable que se compone de</w:t>
      </w:r>
      <w:r>
        <w:rPr>
          <w:rFonts w:ascii="Arial" w:hAnsi="Arial" w:cs="Arial"/>
          <w:sz w:val="22"/>
          <w:szCs w:val="22"/>
          <w:lang w:val="es-ES_tradnl"/>
        </w:rPr>
        <w:t xml:space="preserve"> </w:t>
      </w:r>
      <w:r w:rsidRPr="00C35E49">
        <w:rPr>
          <w:rFonts w:ascii="Arial" w:hAnsi="Arial" w:cs="Arial"/>
          <w:sz w:val="22"/>
          <w:szCs w:val="22"/>
          <w:lang w:val="es-ES_tradnl"/>
        </w:rPr>
        <w:t>la Dirección Saneamiento (DS) y la Unidad Ejecutora de Saneamiento (UES)</w:t>
      </w:r>
      <w:r>
        <w:rPr>
          <w:rFonts w:ascii="Arial" w:hAnsi="Arial" w:cs="Arial"/>
          <w:sz w:val="22"/>
          <w:szCs w:val="22"/>
          <w:lang w:val="es-ES_tradnl"/>
        </w:rPr>
        <w:t xml:space="preserve">, ambas dependiente de </w:t>
      </w:r>
      <w:r w:rsidRPr="000B532D">
        <w:rPr>
          <w:rFonts w:ascii="Arial" w:hAnsi="Arial" w:cs="Arial"/>
          <w:sz w:val="22"/>
          <w:szCs w:val="22"/>
          <w:lang w:val="es-ES_tradnl"/>
        </w:rPr>
        <w:t xml:space="preserve">del Departamento de Desarrollo Ambiental (DDA) de la </w:t>
      </w:r>
      <w:r>
        <w:rPr>
          <w:rFonts w:ascii="Arial" w:hAnsi="Arial" w:cs="Arial"/>
          <w:sz w:val="22"/>
          <w:szCs w:val="22"/>
          <w:lang w:val="es-ES_tradnl"/>
        </w:rPr>
        <w:t>IM</w:t>
      </w:r>
      <w:r w:rsidRPr="000B532D">
        <w:rPr>
          <w:rFonts w:ascii="Arial" w:hAnsi="Arial" w:cs="Arial"/>
          <w:sz w:val="22"/>
          <w:szCs w:val="22"/>
          <w:lang w:val="es-ES_tradnl"/>
        </w:rPr>
        <w:t>.</w:t>
      </w:r>
      <w:r>
        <w:rPr>
          <w:rFonts w:ascii="Arial" w:hAnsi="Arial" w:cs="Arial"/>
          <w:sz w:val="22"/>
          <w:szCs w:val="22"/>
          <w:lang w:val="es-ES_tradnl"/>
        </w:rPr>
        <w:t xml:space="preserve"> La DS </w:t>
      </w:r>
      <w:r w:rsidRPr="00C35E49">
        <w:rPr>
          <w:rFonts w:ascii="Arial" w:hAnsi="Arial" w:cs="Arial"/>
          <w:sz w:val="22"/>
          <w:szCs w:val="22"/>
          <w:lang w:val="es-ES_tradnl"/>
        </w:rPr>
        <w:t>es responsable de la prestación de los servicios de saneamiento en el todo el Departamento de Montevideo, el cual tiene una extensión de 53.000 hectáreas</w:t>
      </w:r>
      <w:r>
        <w:rPr>
          <w:rFonts w:ascii="Arial" w:hAnsi="Arial" w:cs="Arial"/>
          <w:sz w:val="22"/>
          <w:szCs w:val="22"/>
          <w:lang w:val="es-ES_tradnl"/>
        </w:rPr>
        <w:t xml:space="preserve">, mientras que la UES </w:t>
      </w:r>
      <w:r w:rsidRPr="00C35E49">
        <w:rPr>
          <w:rFonts w:ascii="Arial" w:hAnsi="Arial" w:cs="Arial"/>
          <w:sz w:val="22"/>
          <w:szCs w:val="22"/>
          <w:lang w:val="es-ES_tradnl"/>
        </w:rPr>
        <w:t>se encarga de la ejecución integral de todos los Planes de Saneamiento Urbano.</w:t>
      </w:r>
      <w:r w:rsidR="00894738" w:rsidRPr="000B532D">
        <w:rPr>
          <w:rFonts w:ascii="Arial" w:hAnsi="Arial" w:cs="Arial"/>
          <w:sz w:val="22"/>
          <w:szCs w:val="22"/>
          <w:lang w:val="es-ES_tradnl"/>
        </w:rPr>
        <w:t xml:space="preserve"> </w:t>
      </w:r>
      <w:r>
        <w:rPr>
          <w:rFonts w:ascii="Arial" w:hAnsi="Arial" w:cs="Arial"/>
          <w:sz w:val="22"/>
          <w:szCs w:val="22"/>
          <w:lang w:val="es-ES_tradnl"/>
        </w:rPr>
        <w:t xml:space="preserve">El SS cuenta con </w:t>
      </w:r>
      <w:r w:rsidRPr="00C35E49">
        <w:rPr>
          <w:rFonts w:ascii="Arial" w:hAnsi="Arial" w:cs="Arial"/>
          <w:sz w:val="22"/>
          <w:szCs w:val="22"/>
          <w:lang w:val="es-ES_tradnl"/>
        </w:rPr>
        <w:t>una planta de personal de</w:t>
      </w:r>
      <w:r>
        <w:rPr>
          <w:rFonts w:ascii="Arial" w:hAnsi="Arial" w:cs="Arial"/>
          <w:sz w:val="22"/>
          <w:szCs w:val="22"/>
          <w:lang w:val="es-ES_tradnl"/>
        </w:rPr>
        <w:t xml:space="preserve"> unos</w:t>
      </w:r>
      <w:r w:rsidRPr="00C35E49">
        <w:rPr>
          <w:rFonts w:ascii="Arial" w:hAnsi="Arial" w:cs="Arial"/>
          <w:sz w:val="22"/>
          <w:szCs w:val="22"/>
          <w:lang w:val="es-ES_tradnl"/>
        </w:rPr>
        <w:t xml:space="preserve"> </w:t>
      </w:r>
      <w:r>
        <w:rPr>
          <w:rFonts w:ascii="Arial" w:hAnsi="Arial" w:cs="Arial"/>
          <w:sz w:val="22"/>
          <w:szCs w:val="22"/>
          <w:lang w:val="es-ES_tradnl"/>
        </w:rPr>
        <w:t>320</w:t>
      </w:r>
      <w:r w:rsidRPr="00C35E49">
        <w:rPr>
          <w:rFonts w:ascii="Arial" w:hAnsi="Arial" w:cs="Arial"/>
          <w:sz w:val="22"/>
          <w:szCs w:val="22"/>
          <w:lang w:val="es-ES_tradnl"/>
        </w:rPr>
        <w:t xml:space="preserve"> empleados</w:t>
      </w:r>
      <w:r>
        <w:rPr>
          <w:rFonts w:ascii="Arial" w:hAnsi="Arial" w:cs="Arial"/>
          <w:sz w:val="22"/>
          <w:szCs w:val="22"/>
          <w:lang w:val="es-ES_tradnl"/>
        </w:rPr>
        <w:t>.</w:t>
      </w:r>
    </w:p>
    <w:p w14:paraId="54CAA6FE" w14:textId="77777777" w:rsidR="002B4DDB" w:rsidRDefault="002B4DDB" w:rsidP="002B4DDB">
      <w:pPr>
        <w:pStyle w:val="Default"/>
        <w:ind w:left="360"/>
        <w:jc w:val="both"/>
        <w:rPr>
          <w:rFonts w:ascii="Arial" w:hAnsi="Arial" w:cs="Arial"/>
          <w:sz w:val="22"/>
          <w:szCs w:val="22"/>
          <w:lang w:val="es-ES_tradnl"/>
        </w:rPr>
      </w:pPr>
    </w:p>
    <w:p w14:paraId="7D7532CA" w14:textId="77777777" w:rsidR="000B532D" w:rsidRDefault="00894738" w:rsidP="004A6388">
      <w:pPr>
        <w:pStyle w:val="Default"/>
        <w:numPr>
          <w:ilvl w:val="1"/>
          <w:numId w:val="5"/>
        </w:numPr>
        <w:jc w:val="both"/>
        <w:rPr>
          <w:rFonts w:ascii="Arial" w:hAnsi="Arial" w:cs="Arial"/>
          <w:sz w:val="22"/>
          <w:szCs w:val="22"/>
          <w:lang w:val="es-ES_tradnl"/>
        </w:rPr>
      </w:pPr>
      <w:r w:rsidRPr="00C35E49">
        <w:rPr>
          <w:rFonts w:ascii="Arial" w:hAnsi="Arial" w:cs="Arial"/>
          <w:sz w:val="22"/>
          <w:szCs w:val="22"/>
          <w:lang w:val="es-ES_tradnl"/>
        </w:rPr>
        <w:t>E</w:t>
      </w:r>
      <w:r w:rsidR="004A6388">
        <w:rPr>
          <w:rFonts w:ascii="Arial" w:hAnsi="Arial" w:cs="Arial"/>
          <w:sz w:val="22"/>
          <w:szCs w:val="22"/>
          <w:lang w:val="es-ES_tradnl"/>
        </w:rPr>
        <w:t>n el Departamento de Montevideo, e</w:t>
      </w:r>
      <w:r w:rsidRPr="00C35E49">
        <w:rPr>
          <w:rFonts w:ascii="Arial" w:hAnsi="Arial" w:cs="Arial"/>
          <w:sz w:val="22"/>
          <w:szCs w:val="22"/>
          <w:lang w:val="es-ES_tradnl"/>
        </w:rPr>
        <w:t>l saneamiento</w:t>
      </w:r>
      <w:r w:rsidR="004A6388">
        <w:rPr>
          <w:rFonts w:ascii="Arial" w:hAnsi="Arial" w:cs="Arial"/>
          <w:sz w:val="22"/>
          <w:szCs w:val="22"/>
          <w:lang w:val="es-ES_tradnl"/>
        </w:rPr>
        <w:t xml:space="preserve"> es</w:t>
      </w:r>
      <w:r w:rsidRPr="00C35E49">
        <w:rPr>
          <w:rFonts w:ascii="Arial" w:hAnsi="Arial" w:cs="Arial"/>
          <w:sz w:val="22"/>
          <w:szCs w:val="22"/>
          <w:lang w:val="es-ES_tradnl"/>
        </w:rPr>
        <w:t xml:space="preserve"> </w:t>
      </w:r>
      <w:r w:rsidR="004A6388" w:rsidRPr="004A6388">
        <w:rPr>
          <w:rFonts w:ascii="Arial" w:hAnsi="Arial" w:cs="Arial"/>
          <w:sz w:val="22"/>
          <w:szCs w:val="22"/>
          <w:lang w:val="es-ES_tradnl"/>
        </w:rPr>
        <w:t xml:space="preserve">un servicio público a cargo de la </w:t>
      </w:r>
      <w:r w:rsidR="004A6388">
        <w:rPr>
          <w:rFonts w:ascii="Arial" w:hAnsi="Arial" w:cs="Arial"/>
          <w:sz w:val="22"/>
          <w:szCs w:val="22"/>
          <w:lang w:val="es-ES_tradnl"/>
        </w:rPr>
        <w:t>IM</w:t>
      </w:r>
      <w:r w:rsidR="001F39DA">
        <w:rPr>
          <w:rFonts w:ascii="Arial" w:hAnsi="Arial" w:cs="Arial"/>
          <w:sz w:val="22"/>
          <w:szCs w:val="22"/>
          <w:lang w:val="es-ES_tradnl"/>
        </w:rPr>
        <w:t xml:space="preserve"> desde 1913. En la actualidad,</w:t>
      </w:r>
      <w:r w:rsidRPr="00C35E49">
        <w:rPr>
          <w:rFonts w:ascii="Arial" w:hAnsi="Arial" w:cs="Arial"/>
          <w:sz w:val="22"/>
          <w:szCs w:val="22"/>
          <w:lang w:val="es-ES_tradnl"/>
        </w:rPr>
        <w:t xml:space="preserve"> 1,1 millones de habitantes</w:t>
      </w:r>
      <w:r w:rsidR="00001CD3">
        <w:rPr>
          <w:rFonts w:ascii="Arial" w:hAnsi="Arial" w:cs="Arial"/>
          <w:sz w:val="22"/>
          <w:szCs w:val="22"/>
          <w:lang w:val="es-ES_tradnl"/>
        </w:rPr>
        <w:t xml:space="preserve"> (el 87% de la población departamental)</w:t>
      </w:r>
      <w:r w:rsidR="001F39DA">
        <w:rPr>
          <w:rFonts w:ascii="Arial" w:hAnsi="Arial" w:cs="Arial"/>
          <w:sz w:val="22"/>
          <w:szCs w:val="22"/>
          <w:lang w:val="es-ES_tradnl"/>
        </w:rPr>
        <w:t xml:space="preserve"> están atendidos </w:t>
      </w:r>
      <w:r w:rsidRPr="00C35E49">
        <w:rPr>
          <w:rFonts w:ascii="Arial" w:hAnsi="Arial" w:cs="Arial"/>
          <w:sz w:val="22"/>
          <w:szCs w:val="22"/>
          <w:lang w:val="es-ES_tradnl"/>
        </w:rPr>
        <w:t>mediante un sistema de conductos y redes. Debido a su antigüedad (comenzó a construirse en 1856), el sistema</w:t>
      </w:r>
      <w:r w:rsidR="001F39DA">
        <w:rPr>
          <w:rFonts w:ascii="Arial" w:hAnsi="Arial" w:cs="Arial"/>
          <w:sz w:val="22"/>
          <w:szCs w:val="22"/>
          <w:lang w:val="es-ES_tradnl"/>
        </w:rPr>
        <w:t xml:space="preserve"> es “unitario” en su mayor parte</w:t>
      </w:r>
      <w:r w:rsidRPr="00C35E49">
        <w:rPr>
          <w:rFonts w:ascii="Arial" w:hAnsi="Arial" w:cs="Arial"/>
          <w:sz w:val="22"/>
          <w:szCs w:val="22"/>
          <w:lang w:val="es-ES_tradnl"/>
        </w:rPr>
        <w:t xml:space="preserve">, es decir que los mismos conductos que transportan las aguas de origen pluvial, recolectan y conducen las aguas residuales de origen doméstico e industrial. </w:t>
      </w:r>
    </w:p>
    <w:p w14:paraId="142A6B64" w14:textId="77777777" w:rsidR="000B532D" w:rsidRPr="000B532D" w:rsidRDefault="000B532D" w:rsidP="000B532D">
      <w:pPr>
        <w:pStyle w:val="Default"/>
        <w:ind w:left="360"/>
        <w:jc w:val="both"/>
        <w:rPr>
          <w:rFonts w:ascii="Arial" w:hAnsi="Arial" w:cs="Arial"/>
          <w:sz w:val="22"/>
          <w:szCs w:val="22"/>
          <w:lang w:val="es-ES_tradnl"/>
        </w:rPr>
      </w:pPr>
    </w:p>
    <w:p w14:paraId="3A66A67B" w14:textId="77777777" w:rsidR="00894738" w:rsidRPr="000B532D" w:rsidRDefault="002B4DDB" w:rsidP="00894738">
      <w:pPr>
        <w:pStyle w:val="Default"/>
        <w:numPr>
          <w:ilvl w:val="1"/>
          <w:numId w:val="5"/>
        </w:numPr>
        <w:jc w:val="both"/>
        <w:rPr>
          <w:rFonts w:ascii="Arial" w:hAnsi="Arial" w:cs="Arial"/>
          <w:sz w:val="22"/>
          <w:szCs w:val="22"/>
          <w:lang w:val="es-ES_tradnl"/>
        </w:rPr>
      </w:pPr>
      <w:r>
        <w:rPr>
          <w:rFonts w:ascii="Arial" w:hAnsi="Arial" w:cs="Arial"/>
          <w:sz w:val="22"/>
          <w:szCs w:val="22"/>
          <w:lang w:val="es-ES_tradnl"/>
        </w:rPr>
        <w:t>Vale la pena destacar que l</w:t>
      </w:r>
      <w:r w:rsidR="00894738" w:rsidRPr="000B532D">
        <w:rPr>
          <w:rFonts w:ascii="Arial" w:hAnsi="Arial" w:cs="Arial"/>
          <w:sz w:val="22"/>
          <w:szCs w:val="22"/>
          <w:lang w:val="es-ES_tradnl"/>
        </w:rPr>
        <w:t>os estados financieros</w:t>
      </w:r>
      <w:r w:rsidR="00205797">
        <w:rPr>
          <w:rFonts w:ascii="Arial" w:hAnsi="Arial" w:cs="Arial"/>
          <w:sz w:val="22"/>
          <w:szCs w:val="22"/>
          <w:lang w:val="es-ES_tradnl"/>
        </w:rPr>
        <w:t xml:space="preserve"> del</w:t>
      </w:r>
      <w:r w:rsidR="00894738" w:rsidRPr="000B532D">
        <w:rPr>
          <w:rFonts w:ascii="Arial" w:hAnsi="Arial" w:cs="Arial"/>
          <w:sz w:val="22"/>
          <w:szCs w:val="22"/>
          <w:lang w:val="es-ES_tradnl"/>
        </w:rPr>
        <w:t xml:space="preserve"> </w:t>
      </w:r>
      <w:r>
        <w:rPr>
          <w:rFonts w:ascii="Arial" w:hAnsi="Arial" w:cs="Arial"/>
          <w:sz w:val="22"/>
          <w:szCs w:val="22"/>
          <w:lang w:val="es-ES_tradnl"/>
        </w:rPr>
        <w:t>S</w:t>
      </w:r>
      <w:r w:rsidR="00894738" w:rsidRPr="000B532D">
        <w:rPr>
          <w:rFonts w:ascii="Arial" w:hAnsi="Arial" w:cs="Arial"/>
          <w:sz w:val="22"/>
          <w:szCs w:val="22"/>
          <w:lang w:val="es-ES_tradnl"/>
        </w:rPr>
        <w:t>S fueron afectados por la evolución de variables macroeconómicas (inflación, variación del tipo de cambio e incremento de índices específicos) que impactan en la estructura de costos operativos y por factores internos relacionados con un mayor nivel de actividad.</w:t>
      </w:r>
    </w:p>
    <w:p w14:paraId="0F0D9DA5" w14:textId="77777777" w:rsidR="00894738" w:rsidRPr="00894738" w:rsidRDefault="00894738" w:rsidP="00894738">
      <w:pPr>
        <w:pStyle w:val="Default"/>
        <w:rPr>
          <w:rFonts w:ascii="Arial" w:hAnsi="Arial" w:cs="Arial"/>
          <w:sz w:val="22"/>
          <w:szCs w:val="22"/>
          <w:lang w:val="es-ES_tradnl"/>
        </w:rPr>
      </w:pPr>
    </w:p>
    <w:p w14:paraId="18657811" w14:textId="77777777" w:rsidR="00894738" w:rsidRPr="00894738" w:rsidRDefault="00894738" w:rsidP="00894738">
      <w:pPr>
        <w:pStyle w:val="Default"/>
        <w:rPr>
          <w:rFonts w:ascii="Arial" w:hAnsi="Arial" w:cs="Arial"/>
          <w:sz w:val="22"/>
          <w:szCs w:val="22"/>
          <w:lang w:val="es-ES_tradnl"/>
        </w:rPr>
      </w:pPr>
    </w:p>
    <w:p w14:paraId="07BBF5B4" w14:textId="77777777" w:rsidR="00894738" w:rsidRPr="005B0324" w:rsidRDefault="0000523F" w:rsidP="00894738">
      <w:pPr>
        <w:pStyle w:val="Default"/>
        <w:rPr>
          <w:rFonts w:ascii="Arial" w:hAnsi="Arial" w:cs="Arial"/>
          <w:b/>
          <w:bCs/>
          <w:sz w:val="28"/>
          <w:szCs w:val="28"/>
          <w:lang w:val="es-ES_tradnl"/>
        </w:rPr>
      </w:pPr>
      <w:r w:rsidRPr="005B0324">
        <w:rPr>
          <w:rFonts w:ascii="Arial" w:hAnsi="Arial" w:cs="Arial"/>
          <w:b/>
          <w:bCs/>
          <w:sz w:val="28"/>
          <w:szCs w:val="28"/>
          <w:lang w:val="es-ES_tradnl"/>
        </w:rPr>
        <w:t>II</w:t>
      </w:r>
      <w:r w:rsidR="00894738" w:rsidRPr="005B0324">
        <w:rPr>
          <w:rFonts w:ascii="Arial" w:hAnsi="Arial" w:cs="Arial"/>
          <w:b/>
          <w:bCs/>
          <w:sz w:val="28"/>
          <w:szCs w:val="28"/>
          <w:lang w:val="es-ES_tradnl"/>
        </w:rPr>
        <w:t xml:space="preserve">. Análisis Financiero Histórico </w:t>
      </w:r>
    </w:p>
    <w:p w14:paraId="50CD9F7B" w14:textId="77777777" w:rsidR="005B0324" w:rsidRDefault="005B0324" w:rsidP="00894738">
      <w:pPr>
        <w:pStyle w:val="Default"/>
        <w:rPr>
          <w:rFonts w:ascii="Arial" w:hAnsi="Arial" w:cs="Arial"/>
          <w:sz w:val="22"/>
          <w:szCs w:val="22"/>
          <w:lang w:val="es-ES_tradnl"/>
        </w:rPr>
      </w:pPr>
    </w:p>
    <w:p w14:paraId="7B6C0826" w14:textId="77777777" w:rsidR="0091398D" w:rsidRPr="0091398D" w:rsidRDefault="0091398D" w:rsidP="0091398D">
      <w:pPr>
        <w:pStyle w:val="Default"/>
        <w:rPr>
          <w:rFonts w:ascii="Arial" w:hAnsi="Arial" w:cs="Arial"/>
          <w:b/>
          <w:bCs/>
          <w:szCs w:val="28"/>
          <w:lang w:val="es-ES_tradnl"/>
        </w:rPr>
      </w:pPr>
      <w:r w:rsidRPr="0091398D">
        <w:rPr>
          <w:rFonts w:ascii="Arial" w:hAnsi="Arial" w:cs="Arial"/>
          <w:b/>
          <w:bCs/>
          <w:szCs w:val="28"/>
          <w:lang w:val="es-ES_tradnl"/>
        </w:rPr>
        <w:t>A. Estado de Resultados</w:t>
      </w:r>
    </w:p>
    <w:p w14:paraId="7A818B2B" w14:textId="77777777" w:rsidR="0091398D" w:rsidRPr="00894738" w:rsidRDefault="0091398D" w:rsidP="00894738">
      <w:pPr>
        <w:pStyle w:val="Default"/>
        <w:rPr>
          <w:rFonts w:ascii="Arial" w:hAnsi="Arial" w:cs="Arial"/>
          <w:sz w:val="22"/>
          <w:szCs w:val="22"/>
          <w:lang w:val="es-ES_tradnl"/>
        </w:rPr>
      </w:pPr>
    </w:p>
    <w:p w14:paraId="56C4EA14" w14:textId="77777777" w:rsidR="000B532D" w:rsidRPr="000B532D" w:rsidRDefault="000B532D" w:rsidP="000B532D">
      <w:pPr>
        <w:pStyle w:val="ListParagraph"/>
        <w:numPr>
          <w:ilvl w:val="0"/>
          <w:numId w:val="5"/>
        </w:numPr>
        <w:autoSpaceDE w:val="0"/>
        <w:autoSpaceDN w:val="0"/>
        <w:adjustRightInd w:val="0"/>
        <w:spacing w:after="0" w:line="240" w:lineRule="auto"/>
        <w:contextualSpacing w:val="0"/>
        <w:rPr>
          <w:rFonts w:ascii="Arial" w:hAnsi="Arial" w:cs="Arial"/>
          <w:vanish/>
          <w:color w:val="000000"/>
          <w:lang w:val="es-ES_tradnl"/>
        </w:rPr>
      </w:pPr>
    </w:p>
    <w:p w14:paraId="5B54EC09" w14:textId="77777777" w:rsidR="0030250F" w:rsidRPr="0030250F" w:rsidRDefault="0030250F" w:rsidP="0026300E">
      <w:pPr>
        <w:pStyle w:val="Default"/>
        <w:numPr>
          <w:ilvl w:val="1"/>
          <w:numId w:val="5"/>
        </w:numPr>
        <w:jc w:val="both"/>
        <w:rPr>
          <w:rFonts w:ascii="Arial" w:hAnsi="Arial" w:cs="Arial"/>
          <w:sz w:val="22"/>
          <w:szCs w:val="22"/>
          <w:lang w:val="es-ES_tradnl"/>
        </w:rPr>
      </w:pPr>
      <w:r w:rsidRPr="0030250F">
        <w:rPr>
          <w:rFonts w:ascii="Arial" w:hAnsi="Arial" w:cs="Arial"/>
          <w:sz w:val="22"/>
          <w:szCs w:val="22"/>
          <w:lang w:val="es-ES_tradnl"/>
        </w:rPr>
        <w:t>Ingresos Operativos</w:t>
      </w:r>
      <w:r w:rsidRPr="0030250F">
        <w:rPr>
          <w:rFonts w:ascii="Arial" w:hAnsi="Arial" w:cs="Arial"/>
          <w:sz w:val="22"/>
          <w:szCs w:val="22"/>
          <w:lang w:val="es-ES"/>
        </w:rPr>
        <w:t>.</w:t>
      </w:r>
      <w:r w:rsidRPr="0030250F">
        <w:rPr>
          <w:rFonts w:ascii="Arial" w:hAnsi="Arial" w:cs="Arial"/>
          <w:sz w:val="22"/>
          <w:szCs w:val="22"/>
          <w:lang w:val="es-ES_tradnl"/>
        </w:rPr>
        <w:t xml:space="preserve"> Los ingresos operativos</w:t>
      </w:r>
      <w:r w:rsidR="006706FF">
        <w:rPr>
          <w:rFonts w:ascii="Arial" w:hAnsi="Arial" w:cs="Arial"/>
          <w:sz w:val="22"/>
          <w:szCs w:val="22"/>
          <w:lang w:val="es-ES_tradnl"/>
        </w:rPr>
        <w:t xml:space="preserve"> del SS, </w:t>
      </w:r>
      <w:r w:rsidRPr="0030250F">
        <w:rPr>
          <w:rFonts w:ascii="Arial" w:hAnsi="Arial" w:cs="Arial"/>
          <w:sz w:val="22"/>
          <w:szCs w:val="22"/>
          <w:lang w:val="es-ES_tradnl"/>
        </w:rPr>
        <w:t>en promedio</w:t>
      </w:r>
      <w:r w:rsidR="006706FF">
        <w:rPr>
          <w:rFonts w:ascii="Arial" w:hAnsi="Arial" w:cs="Arial"/>
          <w:sz w:val="22"/>
          <w:szCs w:val="22"/>
          <w:lang w:val="es-ES_tradnl"/>
        </w:rPr>
        <w:t xml:space="preserve"> de los tres últimos años, fue</w:t>
      </w:r>
      <w:r w:rsidRPr="0030250F">
        <w:rPr>
          <w:rFonts w:ascii="Arial" w:hAnsi="Arial" w:cs="Arial"/>
          <w:sz w:val="22"/>
          <w:szCs w:val="22"/>
          <w:lang w:val="es-ES_tradnl"/>
        </w:rPr>
        <w:t xml:space="preserve"> </w:t>
      </w:r>
      <w:r w:rsidR="006706FF">
        <w:rPr>
          <w:rFonts w:ascii="Arial" w:hAnsi="Arial" w:cs="Arial"/>
          <w:sz w:val="22"/>
          <w:szCs w:val="22"/>
          <w:lang w:val="es-ES_tradnl"/>
        </w:rPr>
        <w:t>de</w:t>
      </w:r>
      <w:r w:rsidRPr="0030250F">
        <w:rPr>
          <w:rFonts w:ascii="Arial" w:hAnsi="Arial" w:cs="Arial"/>
          <w:sz w:val="22"/>
          <w:szCs w:val="22"/>
          <w:lang w:val="es-ES_tradnl"/>
        </w:rPr>
        <w:t xml:space="preserve"> US$ </w:t>
      </w:r>
      <w:r w:rsidR="00EB3689">
        <w:rPr>
          <w:rFonts w:ascii="Arial" w:hAnsi="Arial" w:cs="Arial"/>
          <w:sz w:val="22"/>
          <w:szCs w:val="22"/>
          <w:lang w:val="es-ES_tradnl"/>
        </w:rPr>
        <w:t>65,5</w:t>
      </w:r>
      <w:r w:rsidRPr="0030250F">
        <w:rPr>
          <w:rFonts w:ascii="Arial" w:hAnsi="Arial" w:cs="Arial"/>
          <w:sz w:val="22"/>
          <w:szCs w:val="22"/>
          <w:lang w:val="es-ES_tradnl"/>
        </w:rPr>
        <w:t xml:space="preserve"> millones anuales. Los ingresos operativos están compuestos principalmente por los ingresos por saneamiento que representan, en el promedio de los tres últimos años, el 78% de los ingresos totales y por la contribución inmobiliaria que representa el 18%. Los ingresos operativos se beneficiaron de los aumentos tarifarios (en alineación con lo que se acordó  en el marco del PSU IV) y de nuevas conexiones, y se aumentaron en el promedio anual un 7% durante el periodo de análisis histórico. </w:t>
      </w:r>
    </w:p>
    <w:p w14:paraId="63F00F40" w14:textId="77777777" w:rsidR="0030250F" w:rsidRDefault="0030250F" w:rsidP="0030250F">
      <w:pPr>
        <w:pStyle w:val="Default"/>
        <w:ind w:left="360"/>
        <w:jc w:val="both"/>
        <w:rPr>
          <w:rFonts w:ascii="Arial" w:hAnsi="Arial" w:cs="Arial"/>
          <w:sz w:val="22"/>
          <w:szCs w:val="22"/>
          <w:lang w:val="es-ES_tradnl"/>
        </w:rPr>
      </w:pPr>
    </w:p>
    <w:p w14:paraId="0B85FF5E" w14:textId="774B592A" w:rsidR="0030250F" w:rsidRPr="00DB09DD" w:rsidRDefault="0030250F" w:rsidP="005B252C">
      <w:pPr>
        <w:pStyle w:val="Default"/>
        <w:numPr>
          <w:ilvl w:val="1"/>
          <w:numId w:val="5"/>
        </w:numPr>
        <w:jc w:val="both"/>
        <w:rPr>
          <w:rFonts w:ascii="Arial" w:hAnsi="Arial" w:cs="Arial"/>
          <w:sz w:val="22"/>
          <w:szCs w:val="22"/>
          <w:lang w:val="es-ES_tradnl"/>
        </w:rPr>
      </w:pPr>
      <w:r w:rsidRPr="000B532D">
        <w:rPr>
          <w:rFonts w:ascii="Arial" w:hAnsi="Arial" w:cs="Arial"/>
          <w:sz w:val="22"/>
          <w:szCs w:val="22"/>
          <w:lang w:val="es-ES_tradnl"/>
        </w:rPr>
        <w:lastRenderedPageBreak/>
        <w:t>La tarifa de saneamiento, vigente a partir del 2001, tiene un cargo fijo y uno variable. El cargo fijo</w:t>
      </w:r>
      <w:r w:rsidR="005B252C">
        <w:rPr>
          <w:rFonts w:ascii="Arial" w:hAnsi="Arial" w:cs="Arial"/>
          <w:sz w:val="22"/>
          <w:szCs w:val="22"/>
          <w:lang w:val="es-ES"/>
        </w:rPr>
        <w:t xml:space="preserve"> es un valor </w:t>
      </w:r>
      <w:r w:rsidR="005B252C" w:rsidRPr="00DB09DD">
        <w:rPr>
          <w:rFonts w:ascii="Arial" w:hAnsi="Arial" w:cs="Arial"/>
          <w:sz w:val="22"/>
          <w:szCs w:val="22"/>
          <w:lang w:val="es-ES"/>
        </w:rPr>
        <w:t>único por mes por factura, que</w:t>
      </w:r>
      <w:r w:rsidRPr="00DB09DD">
        <w:rPr>
          <w:rFonts w:ascii="Arial" w:hAnsi="Arial" w:cs="Arial"/>
          <w:sz w:val="22"/>
          <w:szCs w:val="22"/>
          <w:lang w:val="es-ES_tradnl"/>
        </w:rPr>
        <w:t xml:space="preserve"> corresponde a costos de administración y comercialización </w:t>
      </w:r>
      <w:r w:rsidR="005B252C" w:rsidRPr="00DB09DD">
        <w:rPr>
          <w:rFonts w:ascii="Arial" w:hAnsi="Arial" w:cs="Arial"/>
          <w:sz w:val="22"/>
          <w:szCs w:val="22"/>
          <w:lang w:val="es-ES_tradnl"/>
        </w:rPr>
        <w:t>(</w:t>
      </w:r>
      <w:r w:rsidRPr="00DB09DD">
        <w:rPr>
          <w:rFonts w:ascii="Arial" w:hAnsi="Arial" w:cs="Arial"/>
          <w:sz w:val="22"/>
          <w:szCs w:val="22"/>
          <w:lang w:val="es-ES_tradnl"/>
        </w:rPr>
        <w:t>US$1,</w:t>
      </w:r>
      <w:r w:rsidR="005B252C" w:rsidRPr="00DB09DD">
        <w:rPr>
          <w:rFonts w:ascii="Arial" w:hAnsi="Arial" w:cs="Arial"/>
          <w:sz w:val="22"/>
          <w:szCs w:val="22"/>
          <w:lang w:val="es-ES_tradnl"/>
        </w:rPr>
        <w:t>3</w:t>
      </w:r>
      <w:r w:rsidR="00E15BF6" w:rsidRPr="00DB09DD">
        <w:rPr>
          <w:rFonts w:ascii="Arial" w:hAnsi="Arial" w:cs="Arial"/>
          <w:sz w:val="22"/>
          <w:szCs w:val="22"/>
          <w:lang w:val="es-ES_tradnl"/>
        </w:rPr>
        <w:t>5</w:t>
      </w:r>
      <w:r w:rsidR="005B252C" w:rsidRPr="00DB09DD">
        <w:rPr>
          <w:rFonts w:ascii="Arial" w:hAnsi="Arial" w:cs="Arial"/>
          <w:sz w:val="22"/>
          <w:szCs w:val="22"/>
          <w:lang w:val="es-ES_tradnl"/>
        </w:rPr>
        <w:t xml:space="preserve"> al diciembre de 2015</w:t>
      </w:r>
      <w:r w:rsidRPr="00DB09DD">
        <w:rPr>
          <w:rFonts w:ascii="Arial" w:hAnsi="Arial" w:cs="Arial"/>
          <w:sz w:val="22"/>
          <w:szCs w:val="22"/>
          <w:lang w:val="es-ES_tradnl"/>
        </w:rPr>
        <w:t xml:space="preserve">). El cargo variable de saneamiento </w:t>
      </w:r>
      <w:r w:rsidR="005B252C" w:rsidRPr="00DB09DD">
        <w:rPr>
          <w:rFonts w:ascii="Arial" w:hAnsi="Arial" w:cs="Arial"/>
          <w:sz w:val="22"/>
          <w:szCs w:val="22"/>
          <w:lang w:val="es-ES_tradnl"/>
        </w:rPr>
        <w:t>se calcula por metro cúbico de agua consumida (US$0,7</w:t>
      </w:r>
      <w:r w:rsidR="00E15BF6" w:rsidRPr="00DB09DD">
        <w:rPr>
          <w:rFonts w:ascii="Arial" w:hAnsi="Arial" w:cs="Arial"/>
          <w:sz w:val="22"/>
          <w:szCs w:val="22"/>
          <w:lang w:val="es-ES_tradnl"/>
        </w:rPr>
        <w:t>6</w:t>
      </w:r>
      <w:r w:rsidR="005B252C" w:rsidRPr="00DB09DD">
        <w:rPr>
          <w:rFonts w:ascii="Arial" w:hAnsi="Arial" w:cs="Arial"/>
          <w:sz w:val="22"/>
          <w:szCs w:val="22"/>
          <w:lang w:val="es-ES_tradnl"/>
        </w:rPr>
        <w:t xml:space="preserve"> al diciembre de 2015), y a los grandes usuarios (</w:t>
      </w:r>
      <w:r w:rsidR="00572473" w:rsidRPr="00DB09DD">
        <w:rPr>
          <w:rFonts w:ascii="Arial" w:hAnsi="Arial" w:cs="Arial"/>
          <w:sz w:val="22"/>
          <w:szCs w:val="22"/>
          <w:lang w:val="es-ES_tradnl"/>
        </w:rPr>
        <w:t>con consumos de más de 1,000m</w:t>
      </w:r>
      <w:r w:rsidR="00572473" w:rsidRPr="00DB09DD">
        <w:rPr>
          <w:rFonts w:ascii="Arial" w:hAnsi="Arial" w:cs="Arial"/>
          <w:sz w:val="22"/>
          <w:szCs w:val="22"/>
          <w:vertAlign w:val="superscript"/>
          <w:lang w:val="es-ES_tradnl"/>
        </w:rPr>
        <w:t>3</w:t>
      </w:r>
      <w:r w:rsidR="00572473" w:rsidRPr="00DB09DD">
        <w:rPr>
          <w:rFonts w:ascii="Arial" w:hAnsi="Arial" w:cs="Arial"/>
          <w:sz w:val="22"/>
          <w:szCs w:val="22"/>
          <w:lang w:val="es-ES_tradnl"/>
        </w:rPr>
        <w:t xml:space="preserve"> por mes</w:t>
      </w:r>
      <w:r w:rsidR="005B252C" w:rsidRPr="00DB09DD">
        <w:rPr>
          <w:rFonts w:ascii="Arial" w:hAnsi="Arial" w:cs="Arial"/>
          <w:sz w:val="22"/>
          <w:szCs w:val="22"/>
          <w:lang w:val="es-ES_tradnl"/>
        </w:rPr>
        <w:t>)</w:t>
      </w:r>
      <w:r w:rsidR="00572473" w:rsidRPr="00DB09DD">
        <w:rPr>
          <w:rFonts w:ascii="Arial" w:hAnsi="Arial" w:cs="Arial"/>
          <w:sz w:val="22"/>
          <w:szCs w:val="22"/>
          <w:lang w:val="es-ES_tradnl"/>
        </w:rPr>
        <w:t xml:space="preserve"> aplican</w:t>
      </w:r>
      <w:r w:rsidR="005B252C" w:rsidRPr="00DB09DD">
        <w:rPr>
          <w:rFonts w:ascii="Arial" w:hAnsi="Arial" w:cs="Arial"/>
          <w:sz w:val="22"/>
          <w:szCs w:val="22"/>
          <w:lang w:val="es-ES_tradnl"/>
        </w:rPr>
        <w:t xml:space="preserve"> bonificaciones progresivas</w:t>
      </w:r>
      <w:r w:rsidRPr="00DB09DD">
        <w:rPr>
          <w:rFonts w:ascii="Arial" w:hAnsi="Arial" w:cs="Arial"/>
          <w:sz w:val="22"/>
          <w:szCs w:val="22"/>
          <w:lang w:val="es-ES_tradnl"/>
        </w:rPr>
        <w:t>. Para los usuarios residenciales de bajos ingresos se aplica una bonificación social</w:t>
      </w:r>
      <w:r w:rsidRPr="00DB09DD">
        <w:rPr>
          <w:rStyle w:val="FootnoteReference"/>
          <w:rFonts w:ascii="Arial" w:hAnsi="Arial" w:cs="Arial"/>
          <w:sz w:val="22"/>
          <w:szCs w:val="22"/>
          <w:lang w:val="es-ES_tradnl"/>
        </w:rPr>
        <w:footnoteReference w:id="2"/>
      </w:r>
      <w:r w:rsidRPr="00DB09DD">
        <w:rPr>
          <w:rFonts w:ascii="Arial" w:hAnsi="Arial" w:cs="Arial"/>
          <w:sz w:val="22"/>
          <w:szCs w:val="22"/>
          <w:lang w:val="es-ES_tradnl"/>
        </w:rPr>
        <w:t xml:space="preserve">. </w:t>
      </w:r>
      <w:r w:rsidR="00F446B5" w:rsidRPr="00DB09DD">
        <w:rPr>
          <w:rFonts w:ascii="Arial" w:hAnsi="Arial" w:cs="Arial"/>
          <w:sz w:val="22"/>
          <w:szCs w:val="22"/>
          <w:lang w:val="es-ES_tradnl"/>
        </w:rPr>
        <w:t>Como lo previsto en el marco de PSU IV, d</w:t>
      </w:r>
      <w:r w:rsidR="00572473" w:rsidRPr="00DB09DD">
        <w:rPr>
          <w:rFonts w:ascii="Arial" w:hAnsi="Arial" w:cs="Arial"/>
          <w:sz w:val="22"/>
          <w:szCs w:val="22"/>
          <w:lang w:val="es-ES_tradnl"/>
        </w:rPr>
        <w:t>urante el 2011 y 2014, hubo ajustes tarifarios</w:t>
      </w:r>
      <w:r w:rsidR="00F446B5" w:rsidRPr="00DB09DD">
        <w:rPr>
          <w:rFonts w:ascii="Arial" w:hAnsi="Arial" w:cs="Arial"/>
          <w:sz w:val="22"/>
          <w:szCs w:val="22"/>
          <w:lang w:val="es-ES_tradnl"/>
        </w:rPr>
        <w:t>, cuyo efecto acumulativo fue de 24,6% en términos reales.</w:t>
      </w:r>
      <w:r w:rsidRPr="00DB09DD">
        <w:rPr>
          <w:rFonts w:ascii="Arial" w:hAnsi="Arial" w:cs="Arial"/>
          <w:sz w:val="22"/>
          <w:szCs w:val="22"/>
          <w:lang w:val="es-ES_tradnl"/>
        </w:rPr>
        <w:t xml:space="preserve"> </w:t>
      </w:r>
    </w:p>
    <w:p w14:paraId="2EA268F4" w14:textId="77777777" w:rsidR="0030250F" w:rsidRPr="00DB09DD" w:rsidRDefault="0030250F" w:rsidP="0030250F">
      <w:pPr>
        <w:pStyle w:val="Default"/>
        <w:ind w:left="360"/>
        <w:jc w:val="both"/>
        <w:rPr>
          <w:rFonts w:ascii="Arial" w:hAnsi="Arial" w:cs="Arial"/>
          <w:sz w:val="22"/>
          <w:szCs w:val="22"/>
          <w:lang w:val="es-ES_tradnl"/>
        </w:rPr>
      </w:pPr>
    </w:p>
    <w:p w14:paraId="27A12E23" w14:textId="6B9D9F4F" w:rsidR="009A3816" w:rsidRPr="00DB09DD" w:rsidRDefault="0030250F" w:rsidP="00CF02C0">
      <w:pPr>
        <w:pStyle w:val="Default"/>
        <w:numPr>
          <w:ilvl w:val="1"/>
          <w:numId w:val="5"/>
        </w:numPr>
        <w:jc w:val="both"/>
        <w:rPr>
          <w:rFonts w:ascii="Arial" w:hAnsi="Arial" w:cs="Arial"/>
          <w:sz w:val="22"/>
          <w:szCs w:val="22"/>
          <w:lang w:val="es-ES_tradnl"/>
        </w:rPr>
      </w:pPr>
      <w:r w:rsidRPr="00DB09DD">
        <w:rPr>
          <w:rFonts w:ascii="Arial" w:hAnsi="Arial" w:cs="Arial"/>
          <w:iCs/>
          <w:sz w:val="22"/>
          <w:szCs w:val="22"/>
          <w:lang w:val="es-ES_tradnl"/>
        </w:rPr>
        <w:t>A</w:t>
      </w:r>
      <w:r w:rsidR="00894738" w:rsidRPr="00DB09DD">
        <w:rPr>
          <w:rFonts w:ascii="Arial" w:hAnsi="Arial" w:cs="Arial"/>
          <w:sz w:val="22"/>
          <w:szCs w:val="22"/>
          <w:lang w:val="es-ES_tradnl"/>
        </w:rPr>
        <w:t xml:space="preserve"> finales de diciembre del 201</w:t>
      </w:r>
      <w:r w:rsidR="00B1309E" w:rsidRPr="00DB09DD">
        <w:rPr>
          <w:rFonts w:ascii="Arial" w:hAnsi="Arial" w:cs="Arial"/>
          <w:sz w:val="22"/>
          <w:szCs w:val="22"/>
          <w:lang w:val="es-ES_tradnl"/>
        </w:rPr>
        <w:t>5</w:t>
      </w:r>
      <w:r w:rsidR="00894738" w:rsidRPr="00DB09DD">
        <w:rPr>
          <w:rFonts w:ascii="Arial" w:hAnsi="Arial" w:cs="Arial"/>
          <w:sz w:val="22"/>
          <w:szCs w:val="22"/>
          <w:lang w:val="es-ES_tradnl"/>
        </w:rPr>
        <w:t>, cuent</w:t>
      </w:r>
      <w:r w:rsidR="00B1309E" w:rsidRPr="00DB09DD">
        <w:rPr>
          <w:rFonts w:ascii="Arial" w:hAnsi="Arial" w:cs="Arial"/>
          <w:sz w:val="22"/>
          <w:szCs w:val="22"/>
          <w:lang w:val="es-ES_tradnl"/>
        </w:rPr>
        <w:t>a</w:t>
      </w:r>
      <w:r w:rsidR="00894738" w:rsidRPr="00DB09DD">
        <w:rPr>
          <w:rFonts w:ascii="Arial" w:hAnsi="Arial" w:cs="Arial"/>
          <w:sz w:val="22"/>
          <w:szCs w:val="22"/>
          <w:lang w:val="es-ES_tradnl"/>
        </w:rPr>
        <w:t xml:space="preserve"> con más de </w:t>
      </w:r>
      <w:r w:rsidR="00B1309E" w:rsidRPr="00DB09DD">
        <w:rPr>
          <w:rFonts w:ascii="Arial" w:hAnsi="Arial" w:cs="Arial"/>
          <w:sz w:val="22"/>
          <w:szCs w:val="22"/>
          <w:lang w:val="es-ES_tradnl"/>
        </w:rPr>
        <w:t xml:space="preserve">411 mil </w:t>
      </w:r>
      <w:r w:rsidR="00894738" w:rsidRPr="00DB09DD">
        <w:rPr>
          <w:rFonts w:ascii="Arial" w:hAnsi="Arial" w:cs="Arial"/>
          <w:sz w:val="22"/>
          <w:szCs w:val="22"/>
          <w:lang w:val="es-ES_tradnl"/>
        </w:rPr>
        <w:t>usuarios de los cuales aproximadamente el 8</w:t>
      </w:r>
      <w:r w:rsidR="00B1309E" w:rsidRPr="00DB09DD">
        <w:rPr>
          <w:rFonts w:ascii="Arial" w:hAnsi="Arial" w:cs="Arial"/>
          <w:sz w:val="22"/>
          <w:szCs w:val="22"/>
          <w:lang w:val="es-ES_tradnl"/>
        </w:rPr>
        <w:t>9</w:t>
      </w:r>
      <w:r w:rsidR="00894738" w:rsidRPr="00DB09DD">
        <w:rPr>
          <w:rFonts w:ascii="Arial" w:hAnsi="Arial" w:cs="Arial"/>
          <w:sz w:val="22"/>
          <w:szCs w:val="22"/>
          <w:lang w:val="es-ES_tradnl"/>
        </w:rPr>
        <w:t>% son usuarios residenciales</w:t>
      </w:r>
      <w:r w:rsidR="00B1309E" w:rsidRPr="00DB09DD">
        <w:rPr>
          <w:rFonts w:ascii="Arial" w:hAnsi="Arial" w:cs="Arial"/>
          <w:sz w:val="22"/>
          <w:szCs w:val="22"/>
          <w:lang w:val="es-ES_tradnl"/>
        </w:rPr>
        <w:t>,</w:t>
      </w:r>
      <w:r w:rsidR="00894738" w:rsidRPr="00DB09DD">
        <w:rPr>
          <w:rFonts w:ascii="Arial" w:hAnsi="Arial" w:cs="Arial"/>
          <w:sz w:val="22"/>
          <w:szCs w:val="22"/>
          <w:lang w:val="es-ES_tradnl"/>
        </w:rPr>
        <w:t xml:space="preserve"> oficiales</w:t>
      </w:r>
      <w:r w:rsidR="00B1309E" w:rsidRPr="00DB09DD">
        <w:rPr>
          <w:rFonts w:ascii="Arial" w:hAnsi="Arial" w:cs="Arial"/>
          <w:sz w:val="22"/>
          <w:szCs w:val="22"/>
          <w:lang w:val="es-ES_tradnl"/>
        </w:rPr>
        <w:t xml:space="preserve"> y otros, y el remanentes industriales y</w:t>
      </w:r>
      <w:r w:rsidR="00894738" w:rsidRPr="00DB09DD">
        <w:rPr>
          <w:rFonts w:ascii="Arial" w:hAnsi="Arial" w:cs="Arial"/>
          <w:sz w:val="22"/>
          <w:szCs w:val="22"/>
          <w:lang w:val="es-ES_tradnl"/>
        </w:rPr>
        <w:t xml:space="preserve"> comerciales. La facturación se efectúa </w:t>
      </w:r>
      <w:r w:rsidR="00B1309E" w:rsidRPr="00DB09DD">
        <w:rPr>
          <w:rFonts w:ascii="Arial" w:hAnsi="Arial" w:cs="Arial"/>
          <w:sz w:val="22"/>
          <w:szCs w:val="22"/>
          <w:lang w:val="es-ES_tradnl"/>
        </w:rPr>
        <w:t>bi</w:t>
      </w:r>
      <w:r w:rsidR="002008AD" w:rsidRPr="00DB09DD">
        <w:rPr>
          <w:rFonts w:ascii="Arial" w:hAnsi="Arial" w:cs="Arial"/>
          <w:sz w:val="22"/>
          <w:szCs w:val="22"/>
          <w:lang w:val="es-ES_tradnl"/>
        </w:rPr>
        <w:t>mensualmente, y es realizada por el Servicio de Administración de Saneamiento del DS, que atiende todas las consultas y reclamos al respecto, tanto por teléfono como personalmente.</w:t>
      </w:r>
      <w:r w:rsidR="00CF02C0" w:rsidRPr="00DB09DD">
        <w:rPr>
          <w:rFonts w:ascii="Arial" w:hAnsi="Arial" w:cs="Arial"/>
          <w:sz w:val="22"/>
          <w:szCs w:val="22"/>
          <w:lang w:val="es-ES_tradnl"/>
        </w:rPr>
        <w:t xml:space="preserve"> Cabe mencionar que la facturación se basa principalmente en la base de datos comerciales de OSE, empresa responsable por la prestación del servicio de Agua Potable</w:t>
      </w:r>
      <w:r w:rsidR="00CF02C0" w:rsidRPr="00DB09DD">
        <w:rPr>
          <w:rStyle w:val="FootnoteReference"/>
          <w:rFonts w:ascii="Arial" w:hAnsi="Arial" w:cs="Arial"/>
          <w:sz w:val="22"/>
          <w:szCs w:val="22"/>
          <w:lang w:val="es-ES_tradnl"/>
        </w:rPr>
        <w:footnoteReference w:id="3"/>
      </w:r>
      <w:r w:rsidR="00CF02C0" w:rsidRPr="00DB09DD">
        <w:rPr>
          <w:rFonts w:ascii="Arial" w:hAnsi="Arial" w:cs="Arial"/>
          <w:sz w:val="22"/>
          <w:szCs w:val="22"/>
          <w:lang w:val="es-ES_tradnl"/>
        </w:rPr>
        <w:t>.</w:t>
      </w:r>
      <w:r w:rsidR="002008AD" w:rsidRPr="00DB09DD">
        <w:rPr>
          <w:rFonts w:ascii="Arial" w:hAnsi="Arial" w:cs="Arial"/>
          <w:color w:val="333333"/>
          <w:sz w:val="21"/>
          <w:szCs w:val="21"/>
          <w:shd w:val="clear" w:color="auto" w:fill="FFFFFF"/>
          <w:lang w:val="es-ES"/>
        </w:rPr>
        <w:t xml:space="preserve"> Para </w:t>
      </w:r>
      <w:r w:rsidR="00894738" w:rsidRPr="00DB09DD">
        <w:rPr>
          <w:rFonts w:ascii="Arial" w:hAnsi="Arial" w:cs="Arial"/>
          <w:sz w:val="22"/>
          <w:szCs w:val="22"/>
          <w:lang w:val="es-ES_tradnl"/>
        </w:rPr>
        <w:t>el recaudo</w:t>
      </w:r>
      <w:r w:rsidR="002008AD" w:rsidRPr="00DB09DD">
        <w:rPr>
          <w:rFonts w:ascii="Arial" w:hAnsi="Arial" w:cs="Arial"/>
          <w:sz w:val="22"/>
          <w:szCs w:val="22"/>
          <w:lang w:val="es-ES_tradnl"/>
        </w:rPr>
        <w:t>, la IM</w:t>
      </w:r>
      <w:r w:rsidR="00894738" w:rsidRPr="00DB09DD">
        <w:rPr>
          <w:rFonts w:ascii="Arial" w:hAnsi="Arial" w:cs="Arial"/>
          <w:sz w:val="22"/>
          <w:szCs w:val="22"/>
          <w:lang w:val="es-ES_tradnl"/>
        </w:rPr>
        <w:t xml:space="preserve"> cuenta con varios</w:t>
      </w:r>
      <w:r w:rsidR="00654B1E" w:rsidRPr="00DB09DD">
        <w:rPr>
          <w:rFonts w:ascii="Arial" w:hAnsi="Arial" w:cs="Arial"/>
          <w:sz w:val="22"/>
          <w:szCs w:val="22"/>
          <w:lang w:val="es-ES_tradnl"/>
        </w:rPr>
        <w:t xml:space="preserve"> acuerdos con los agentes de cobranza externos, </w:t>
      </w:r>
      <w:r w:rsidR="00365327" w:rsidRPr="00DB09DD">
        <w:rPr>
          <w:rFonts w:ascii="Arial" w:hAnsi="Arial" w:cs="Arial"/>
          <w:sz w:val="22"/>
          <w:szCs w:val="22"/>
          <w:lang w:val="es-ES_tradnl"/>
        </w:rPr>
        <w:t xml:space="preserve">con lo cual ofrece a </w:t>
      </w:r>
      <w:r w:rsidR="00654B1E" w:rsidRPr="00DB09DD">
        <w:rPr>
          <w:rFonts w:ascii="Arial" w:hAnsi="Arial" w:cs="Arial"/>
          <w:sz w:val="22"/>
          <w:szCs w:val="22"/>
          <w:lang w:val="es-ES_tradnl"/>
        </w:rPr>
        <w:t>los usuarios la facilidad de pagar las cuentas</w:t>
      </w:r>
      <w:r w:rsidR="00365327" w:rsidRPr="00DB09DD">
        <w:rPr>
          <w:rFonts w:ascii="Arial" w:hAnsi="Arial" w:cs="Arial"/>
          <w:sz w:val="22"/>
          <w:szCs w:val="22"/>
          <w:lang w:val="es-ES_tradnl"/>
        </w:rPr>
        <w:t xml:space="preserve"> por</w:t>
      </w:r>
      <w:r w:rsidR="00894738" w:rsidRPr="00DB09DD">
        <w:rPr>
          <w:rFonts w:ascii="Arial" w:hAnsi="Arial" w:cs="Arial"/>
          <w:sz w:val="22"/>
          <w:szCs w:val="22"/>
          <w:lang w:val="es-ES_tradnl"/>
        </w:rPr>
        <w:t xml:space="preserve"> servicios electrónicos de pago,</w:t>
      </w:r>
      <w:r w:rsidR="00365327" w:rsidRPr="00DB09DD">
        <w:rPr>
          <w:rFonts w:ascii="Arial" w:hAnsi="Arial" w:cs="Arial"/>
          <w:sz w:val="22"/>
          <w:szCs w:val="22"/>
          <w:lang w:val="es-ES_tradnl"/>
        </w:rPr>
        <w:t xml:space="preserve"> o en las</w:t>
      </w:r>
      <w:r w:rsidR="00894738" w:rsidRPr="00DB09DD">
        <w:rPr>
          <w:rFonts w:ascii="Arial" w:hAnsi="Arial" w:cs="Arial"/>
          <w:sz w:val="22"/>
          <w:szCs w:val="22"/>
          <w:lang w:val="es-ES_tradnl"/>
        </w:rPr>
        <w:t xml:space="preserve"> oficinas</w:t>
      </w:r>
      <w:r w:rsidR="00365327" w:rsidRPr="00DB09DD">
        <w:rPr>
          <w:rFonts w:ascii="Arial" w:hAnsi="Arial" w:cs="Arial"/>
          <w:sz w:val="22"/>
          <w:szCs w:val="22"/>
          <w:lang w:val="es-ES_tradnl"/>
        </w:rPr>
        <w:t xml:space="preserve"> de la IM o de bancos comerciales</w:t>
      </w:r>
      <w:r w:rsidR="00FC18EB" w:rsidRPr="00DB09DD">
        <w:rPr>
          <w:rFonts w:ascii="Arial" w:hAnsi="Arial" w:cs="Arial"/>
          <w:sz w:val="22"/>
          <w:szCs w:val="22"/>
          <w:lang w:val="es-ES_tradnl"/>
        </w:rPr>
        <w:t xml:space="preserve">. </w:t>
      </w:r>
      <w:r w:rsidR="00931F5F" w:rsidRPr="00DB09DD">
        <w:rPr>
          <w:rFonts w:ascii="Arial" w:hAnsi="Arial" w:cs="Arial"/>
          <w:sz w:val="22"/>
          <w:szCs w:val="22"/>
          <w:lang w:val="es-ES_tradnl"/>
        </w:rPr>
        <w:t>La eficiencia de cobranza reportada para el primer semestre de 2015 fue de un 82,7%</w:t>
      </w:r>
      <w:r w:rsidR="00931F5F" w:rsidRPr="00DB09DD">
        <w:rPr>
          <w:rStyle w:val="FootnoteReference"/>
          <w:rFonts w:ascii="Arial" w:hAnsi="Arial" w:cs="Arial"/>
          <w:sz w:val="22"/>
          <w:szCs w:val="22"/>
          <w:lang w:val="es-ES_tradnl"/>
        </w:rPr>
        <w:footnoteReference w:id="4"/>
      </w:r>
      <w:r w:rsidR="00931F5F" w:rsidRPr="00DB09DD">
        <w:rPr>
          <w:rFonts w:ascii="Arial" w:hAnsi="Arial" w:cs="Arial"/>
          <w:sz w:val="22"/>
          <w:szCs w:val="22"/>
          <w:lang w:val="es-ES_tradnl"/>
        </w:rPr>
        <w:t>.</w:t>
      </w:r>
    </w:p>
    <w:p w14:paraId="6D73B1DB" w14:textId="77777777" w:rsidR="00CF02C0" w:rsidRDefault="00CF02C0" w:rsidP="00CF02C0">
      <w:pPr>
        <w:pStyle w:val="Default"/>
        <w:jc w:val="both"/>
        <w:rPr>
          <w:rFonts w:ascii="Arial" w:hAnsi="Arial" w:cs="Arial"/>
          <w:sz w:val="22"/>
          <w:szCs w:val="22"/>
          <w:lang w:val="es-ES_tradnl"/>
        </w:rPr>
      </w:pPr>
    </w:p>
    <w:p w14:paraId="0A7B00CB" w14:textId="77777777" w:rsidR="000B532D" w:rsidRPr="003C2EB0" w:rsidRDefault="003C2EB0" w:rsidP="003C2EB0">
      <w:pPr>
        <w:pStyle w:val="Default"/>
        <w:numPr>
          <w:ilvl w:val="1"/>
          <w:numId w:val="5"/>
        </w:numPr>
        <w:jc w:val="both"/>
        <w:rPr>
          <w:rFonts w:ascii="Arial" w:hAnsi="Arial" w:cs="Arial"/>
          <w:i/>
          <w:iCs/>
          <w:sz w:val="22"/>
          <w:szCs w:val="22"/>
          <w:lang w:val="es-ES_tradnl"/>
        </w:rPr>
      </w:pPr>
      <w:r>
        <w:rPr>
          <w:rFonts w:ascii="Arial" w:hAnsi="Arial" w:cs="Arial"/>
          <w:i/>
          <w:iCs/>
          <w:sz w:val="22"/>
          <w:szCs w:val="22"/>
          <w:lang w:val="es-ES_tradnl"/>
        </w:rPr>
        <w:t>Adicional</w:t>
      </w:r>
      <w:r w:rsidR="00894738" w:rsidRPr="000B532D">
        <w:rPr>
          <w:rFonts w:ascii="Arial" w:hAnsi="Arial" w:cs="Arial"/>
          <w:i/>
          <w:iCs/>
          <w:sz w:val="22"/>
          <w:szCs w:val="22"/>
          <w:lang w:val="es-ES_tradnl"/>
        </w:rPr>
        <w:t xml:space="preserve"> de</w:t>
      </w:r>
      <w:r>
        <w:rPr>
          <w:rFonts w:ascii="Arial" w:hAnsi="Arial" w:cs="Arial"/>
          <w:i/>
          <w:iCs/>
          <w:sz w:val="22"/>
          <w:szCs w:val="22"/>
          <w:lang w:val="es-ES_tradnl"/>
        </w:rPr>
        <w:t xml:space="preserve"> la Contribución Inmobiliaria.</w:t>
      </w:r>
      <w:r w:rsidR="00894738" w:rsidRPr="000B532D">
        <w:rPr>
          <w:rFonts w:ascii="Arial" w:hAnsi="Arial" w:cs="Arial"/>
          <w:i/>
          <w:iCs/>
          <w:sz w:val="22"/>
          <w:szCs w:val="22"/>
          <w:lang w:val="es-ES_tradnl"/>
        </w:rPr>
        <w:t xml:space="preserve"> </w:t>
      </w:r>
      <w:r w:rsidR="00894738" w:rsidRPr="00A760E8">
        <w:rPr>
          <w:rFonts w:ascii="Arial" w:hAnsi="Arial" w:cs="Arial"/>
          <w:iCs/>
          <w:sz w:val="22"/>
          <w:szCs w:val="22"/>
          <w:lang w:val="es-ES_tradnl"/>
        </w:rPr>
        <w:t>La</w:t>
      </w:r>
      <w:r w:rsidRPr="00A760E8">
        <w:rPr>
          <w:rFonts w:ascii="Arial" w:hAnsi="Arial" w:cs="Arial"/>
          <w:iCs/>
          <w:sz w:val="22"/>
          <w:szCs w:val="22"/>
          <w:lang w:val="es-ES_tradnl"/>
        </w:rPr>
        <w:t xml:space="preserve"> IM</w:t>
      </w:r>
      <w:r w:rsidR="00894738" w:rsidRPr="00A760E8">
        <w:rPr>
          <w:rFonts w:ascii="Arial" w:hAnsi="Arial" w:cs="Arial"/>
          <w:iCs/>
          <w:sz w:val="22"/>
          <w:szCs w:val="22"/>
          <w:lang w:val="es-ES_tradnl"/>
        </w:rPr>
        <w:t xml:space="preserve"> </w:t>
      </w:r>
      <w:r w:rsidRPr="00A760E8">
        <w:rPr>
          <w:rFonts w:ascii="Arial" w:hAnsi="Arial" w:cs="Arial"/>
          <w:iCs/>
          <w:sz w:val="22"/>
          <w:szCs w:val="22"/>
          <w:lang w:val="es-ES_tradnl"/>
        </w:rPr>
        <w:t>cobra</w:t>
      </w:r>
      <w:r w:rsidR="00894738" w:rsidRPr="00A760E8">
        <w:rPr>
          <w:rFonts w:ascii="Arial" w:hAnsi="Arial" w:cs="Arial"/>
          <w:iCs/>
          <w:sz w:val="22"/>
          <w:szCs w:val="22"/>
          <w:lang w:val="es-ES_tradnl"/>
        </w:rPr>
        <w:t xml:space="preserve"> </w:t>
      </w:r>
      <w:r w:rsidRPr="00A760E8">
        <w:rPr>
          <w:rFonts w:ascii="Arial" w:hAnsi="Arial" w:cs="Arial"/>
          <w:iCs/>
          <w:sz w:val="22"/>
          <w:szCs w:val="22"/>
          <w:lang w:val="es-ES_tradnl"/>
        </w:rPr>
        <w:t>el 10</w:t>
      </w:r>
      <w:r w:rsidRPr="00A760E8">
        <w:rPr>
          <w:rFonts w:ascii="Arial" w:hAnsi="Arial" w:cs="Arial" w:hint="eastAsia"/>
          <w:iCs/>
          <w:sz w:val="22"/>
          <w:szCs w:val="22"/>
          <w:lang w:val="es-ES_tradnl"/>
        </w:rPr>
        <w:t>%</w:t>
      </w:r>
      <w:r w:rsidRPr="00A760E8">
        <w:rPr>
          <w:rFonts w:ascii="Arial" w:hAnsi="Arial" w:cs="Arial"/>
          <w:iCs/>
          <w:sz w:val="22"/>
          <w:szCs w:val="22"/>
          <w:lang w:val="es-ES_tradnl"/>
        </w:rPr>
        <w:t xml:space="preserve"> </w:t>
      </w:r>
      <w:r w:rsidR="00894738" w:rsidRPr="00A760E8">
        <w:rPr>
          <w:rFonts w:ascii="Arial" w:hAnsi="Arial" w:cs="Arial"/>
          <w:iCs/>
          <w:sz w:val="22"/>
          <w:szCs w:val="22"/>
          <w:lang w:val="es-ES_tradnl"/>
        </w:rPr>
        <w:t xml:space="preserve">adicional al valor de la </w:t>
      </w:r>
      <w:r w:rsidRPr="00A760E8">
        <w:rPr>
          <w:rFonts w:ascii="Arial" w:hAnsi="Arial" w:cs="Arial" w:hint="eastAsia"/>
          <w:iCs/>
          <w:sz w:val="22"/>
          <w:szCs w:val="22"/>
          <w:lang w:val="es-ES_tradnl"/>
        </w:rPr>
        <w:t>C</w:t>
      </w:r>
      <w:r w:rsidR="00894738" w:rsidRPr="00A760E8">
        <w:rPr>
          <w:rFonts w:ascii="Arial" w:hAnsi="Arial" w:cs="Arial"/>
          <w:iCs/>
          <w:sz w:val="22"/>
          <w:szCs w:val="22"/>
          <w:lang w:val="es-ES_tradnl"/>
        </w:rPr>
        <w:t xml:space="preserve">ontribución </w:t>
      </w:r>
      <w:r w:rsidRPr="00A760E8">
        <w:rPr>
          <w:rFonts w:ascii="Arial" w:hAnsi="Arial" w:cs="Arial" w:hint="eastAsia"/>
          <w:iCs/>
          <w:sz w:val="22"/>
          <w:szCs w:val="22"/>
          <w:lang w:val="es-ES_tradnl"/>
        </w:rPr>
        <w:t>I</w:t>
      </w:r>
      <w:r w:rsidR="00894738" w:rsidRPr="00A760E8">
        <w:rPr>
          <w:rFonts w:ascii="Arial" w:hAnsi="Arial" w:cs="Arial"/>
          <w:iCs/>
          <w:sz w:val="22"/>
          <w:szCs w:val="22"/>
          <w:lang w:val="es-ES_tradnl"/>
        </w:rPr>
        <w:t>nmobiliaria</w:t>
      </w:r>
      <w:r w:rsidRPr="00A760E8">
        <w:rPr>
          <w:rFonts w:ascii="Arial" w:hAnsi="Arial" w:cs="Arial" w:hint="eastAsia"/>
          <w:iCs/>
          <w:sz w:val="22"/>
          <w:szCs w:val="22"/>
          <w:lang w:val="es-ES_tradnl"/>
        </w:rPr>
        <w:t xml:space="preserve"> </w:t>
      </w:r>
      <w:r w:rsidRPr="00A760E8">
        <w:rPr>
          <w:rFonts w:ascii="Arial" w:hAnsi="Arial" w:cs="Arial"/>
          <w:iCs/>
          <w:sz w:val="22"/>
          <w:szCs w:val="22"/>
          <w:lang w:val="es-ES_tradnl"/>
        </w:rPr>
        <w:t>para destinar al mantenimiento y desarrollo del sistema de drenaje pluvial</w:t>
      </w:r>
      <w:r w:rsidR="00894738" w:rsidRPr="00A760E8">
        <w:rPr>
          <w:rFonts w:ascii="Arial" w:hAnsi="Arial" w:cs="Arial"/>
          <w:iCs/>
          <w:sz w:val="22"/>
          <w:szCs w:val="22"/>
          <w:lang w:val="es-ES_tradnl"/>
        </w:rPr>
        <w:t xml:space="preserve">. Este valor representa el </w:t>
      </w:r>
      <w:r w:rsidRPr="00A760E8">
        <w:rPr>
          <w:rFonts w:ascii="Arial" w:hAnsi="Arial" w:cs="Arial" w:hint="eastAsia"/>
          <w:iCs/>
          <w:sz w:val="22"/>
          <w:szCs w:val="22"/>
          <w:lang w:val="es-ES_tradnl"/>
        </w:rPr>
        <w:t>18</w:t>
      </w:r>
      <w:r w:rsidR="00894738" w:rsidRPr="00A760E8">
        <w:rPr>
          <w:rFonts w:ascii="Arial" w:hAnsi="Arial" w:cs="Arial"/>
          <w:iCs/>
          <w:sz w:val="22"/>
          <w:szCs w:val="22"/>
          <w:lang w:val="es-ES_tradnl"/>
        </w:rPr>
        <w:t>% del total de la recaudación de</w:t>
      </w:r>
      <w:r w:rsidRPr="00A760E8">
        <w:rPr>
          <w:rFonts w:ascii="Arial" w:hAnsi="Arial" w:cs="Arial" w:hint="eastAsia"/>
          <w:iCs/>
          <w:sz w:val="22"/>
          <w:szCs w:val="22"/>
          <w:lang w:val="es-ES_tradnl"/>
        </w:rPr>
        <w:t>l</w:t>
      </w:r>
      <w:r w:rsidR="00894738" w:rsidRPr="00A760E8">
        <w:rPr>
          <w:rFonts w:ascii="Arial" w:hAnsi="Arial" w:cs="Arial"/>
          <w:iCs/>
          <w:sz w:val="22"/>
          <w:szCs w:val="22"/>
          <w:lang w:val="es-ES_tradnl"/>
        </w:rPr>
        <w:t xml:space="preserve"> </w:t>
      </w:r>
      <w:r w:rsidRPr="00A760E8">
        <w:rPr>
          <w:rFonts w:ascii="Arial" w:hAnsi="Arial" w:cs="Arial" w:hint="eastAsia"/>
          <w:iCs/>
          <w:sz w:val="22"/>
          <w:szCs w:val="22"/>
          <w:lang w:val="es-ES_tradnl"/>
        </w:rPr>
        <w:t>SS</w:t>
      </w:r>
      <w:r w:rsidR="00894738" w:rsidRPr="00A760E8">
        <w:rPr>
          <w:rFonts w:ascii="Arial" w:hAnsi="Arial" w:cs="Arial"/>
          <w:iCs/>
          <w:sz w:val="22"/>
          <w:szCs w:val="22"/>
          <w:lang w:val="es-ES_tradnl"/>
        </w:rPr>
        <w:t>.</w:t>
      </w:r>
      <w:r w:rsidRPr="003C2EB0">
        <w:rPr>
          <w:rFonts w:ascii="Arial" w:hAnsi="Arial" w:cs="Arial" w:hint="eastAsia"/>
          <w:i/>
          <w:iCs/>
          <w:sz w:val="22"/>
          <w:szCs w:val="22"/>
          <w:lang w:val="es-ES_tradnl"/>
        </w:rPr>
        <w:t xml:space="preserve"> </w:t>
      </w:r>
    </w:p>
    <w:p w14:paraId="2BDA2452" w14:textId="77777777" w:rsidR="000B532D" w:rsidRPr="000B532D" w:rsidRDefault="000B532D" w:rsidP="000B532D">
      <w:pPr>
        <w:pStyle w:val="Default"/>
        <w:jc w:val="both"/>
        <w:rPr>
          <w:rFonts w:ascii="Arial" w:hAnsi="Arial" w:cs="Arial"/>
          <w:sz w:val="22"/>
          <w:szCs w:val="22"/>
          <w:lang w:val="es-ES_tradnl"/>
        </w:rPr>
      </w:pPr>
    </w:p>
    <w:p w14:paraId="6AB01695" w14:textId="77777777" w:rsidR="00463D40" w:rsidRDefault="00894738" w:rsidP="00463D40">
      <w:pPr>
        <w:pStyle w:val="Default"/>
        <w:numPr>
          <w:ilvl w:val="1"/>
          <w:numId w:val="5"/>
        </w:numPr>
        <w:jc w:val="both"/>
        <w:rPr>
          <w:rFonts w:ascii="Arial" w:hAnsi="Arial" w:cs="Arial"/>
          <w:sz w:val="22"/>
          <w:szCs w:val="22"/>
          <w:lang w:val="es-ES_tradnl"/>
        </w:rPr>
      </w:pPr>
      <w:r w:rsidRPr="000B532D">
        <w:rPr>
          <w:rFonts w:ascii="Arial" w:hAnsi="Arial" w:cs="Arial"/>
          <w:i/>
          <w:iCs/>
          <w:sz w:val="22"/>
          <w:szCs w:val="22"/>
          <w:lang w:val="es-ES_tradnl"/>
        </w:rPr>
        <w:t>Costos operativos</w:t>
      </w:r>
      <w:r w:rsidR="006706FF">
        <w:rPr>
          <w:rFonts w:ascii="Arial" w:hAnsi="Arial" w:cs="Arial"/>
          <w:i/>
          <w:iCs/>
          <w:sz w:val="22"/>
          <w:szCs w:val="22"/>
          <w:lang w:val="es-ES_tradnl"/>
        </w:rPr>
        <w:t>.</w:t>
      </w:r>
      <w:r w:rsidR="006706FF" w:rsidRPr="006706FF">
        <w:rPr>
          <w:rFonts w:ascii="Arial" w:hAnsi="Arial" w:cs="Arial"/>
          <w:sz w:val="22"/>
          <w:szCs w:val="22"/>
          <w:lang w:val="es-ES_tradnl"/>
        </w:rPr>
        <w:t xml:space="preserve"> </w:t>
      </w:r>
      <w:r w:rsidR="006706FF" w:rsidRPr="0030250F">
        <w:rPr>
          <w:rFonts w:ascii="Arial" w:hAnsi="Arial" w:cs="Arial"/>
          <w:sz w:val="22"/>
          <w:szCs w:val="22"/>
          <w:lang w:val="es-ES_tradnl"/>
        </w:rPr>
        <w:t xml:space="preserve">Los </w:t>
      </w:r>
      <w:r w:rsidR="00EB3689">
        <w:rPr>
          <w:rFonts w:ascii="Arial" w:hAnsi="Arial" w:cs="Arial"/>
          <w:sz w:val="22"/>
          <w:szCs w:val="22"/>
          <w:lang w:val="es-ES_tradnl"/>
        </w:rPr>
        <w:t>costos</w:t>
      </w:r>
      <w:r w:rsidR="006706FF" w:rsidRPr="0030250F">
        <w:rPr>
          <w:rFonts w:ascii="Arial" w:hAnsi="Arial" w:cs="Arial"/>
          <w:sz w:val="22"/>
          <w:szCs w:val="22"/>
          <w:lang w:val="es-ES_tradnl"/>
        </w:rPr>
        <w:t xml:space="preserve"> operativos</w:t>
      </w:r>
      <w:r w:rsidR="006706FF">
        <w:rPr>
          <w:rFonts w:ascii="Arial" w:hAnsi="Arial" w:cs="Arial"/>
          <w:sz w:val="22"/>
          <w:szCs w:val="22"/>
          <w:lang w:val="es-ES_tradnl"/>
        </w:rPr>
        <w:t xml:space="preserve"> del SS, </w:t>
      </w:r>
      <w:r w:rsidR="006706FF" w:rsidRPr="0030250F">
        <w:rPr>
          <w:rFonts w:ascii="Arial" w:hAnsi="Arial" w:cs="Arial"/>
          <w:sz w:val="22"/>
          <w:szCs w:val="22"/>
          <w:lang w:val="es-ES_tradnl"/>
        </w:rPr>
        <w:t>en promedio</w:t>
      </w:r>
      <w:r w:rsidR="006706FF">
        <w:rPr>
          <w:rFonts w:ascii="Arial" w:hAnsi="Arial" w:cs="Arial"/>
          <w:sz w:val="22"/>
          <w:szCs w:val="22"/>
          <w:lang w:val="es-ES_tradnl"/>
        </w:rPr>
        <w:t xml:space="preserve"> de los tres últimos años, fue</w:t>
      </w:r>
      <w:r w:rsidR="006706FF" w:rsidRPr="0030250F">
        <w:rPr>
          <w:rFonts w:ascii="Arial" w:hAnsi="Arial" w:cs="Arial"/>
          <w:sz w:val="22"/>
          <w:szCs w:val="22"/>
          <w:lang w:val="es-ES_tradnl"/>
        </w:rPr>
        <w:t xml:space="preserve"> </w:t>
      </w:r>
      <w:r w:rsidR="006706FF">
        <w:rPr>
          <w:rFonts w:ascii="Arial" w:hAnsi="Arial" w:cs="Arial"/>
          <w:sz w:val="22"/>
          <w:szCs w:val="22"/>
          <w:lang w:val="es-ES_tradnl"/>
        </w:rPr>
        <w:t>de</w:t>
      </w:r>
      <w:r w:rsidR="006706FF" w:rsidRPr="0030250F">
        <w:rPr>
          <w:rFonts w:ascii="Arial" w:hAnsi="Arial" w:cs="Arial"/>
          <w:sz w:val="22"/>
          <w:szCs w:val="22"/>
          <w:lang w:val="es-ES_tradnl"/>
        </w:rPr>
        <w:t xml:space="preserve"> US$ </w:t>
      </w:r>
      <w:r w:rsidR="006706FF">
        <w:rPr>
          <w:rFonts w:ascii="Arial" w:hAnsi="Arial" w:cs="Arial"/>
          <w:sz w:val="22"/>
          <w:szCs w:val="22"/>
          <w:lang w:val="es-ES_tradnl"/>
        </w:rPr>
        <w:t>2</w:t>
      </w:r>
      <w:r w:rsidR="00EB3689">
        <w:rPr>
          <w:rFonts w:ascii="Arial" w:hAnsi="Arial" w:cs="Arial"/>
          <w:sz w:val="22"/>
          <w:szCs w:val="22"/>
          <w:lang w:val="es-ES_tradnl"/>
        </w:rPr>
        <w:t>7</w:t>
      </w:r>
      <w:r w:rsidR="006706FF" w:rsidRPr="0030250F">
        <w:rPr>
          <w:rFonts w:ascii="Arial" w:hAnsi="Arial" w:cs="Arial"/>
          <w:sz w:val="22"/>
          <w:szCs w:val="22"/>
          <w:lang w:val="es-ES_tradnl"/>
        </w:rPr>
        <w:t xml:space="preserve"> millones anuales.</w:t>
      </w:r>
      <w:r w:rsidRPr="000B532D">
        <w:rPr>
          <w:rFonts w:ascii="Arial" w:hAnsi="Arial" w:cs="Arial"/>
          <w:sz w:val="22"/>
          <w:szCs w:val="22"/>
          <w:lang w:val="es-ES_tradnl"/>
        </w:rPr>
        <w:t xml:space="preserve"> Los costos de Alcantarillado representan el 6</w:t>
      </w:r>
      <w:r w:rsidR="006706FF">
        <w:rPr>
          <w:rFonts w:ascii="Arial" w:hAnsi="Arial" w:cs="Arial"/>
          <w:sz w:val="22"/>
          <w:szCs w:val="22"/>
          <w:lang w:val="es-ES_tradnl"/>
        </w:rPr>
        <w:t>5</w:t>
      </w:r>
      <w:r w:rsidRPr="000B532D">
        <w:rPr>
          <w:rFonts w:ascii="Arial" w:hAnsi="Arial" w:cs="Arial"/>
          <w:sz w:val="22"/>
          <w:szCs w:val="22"/>
          <w:lang w:val="es-ES_tradnl"/>
        </w:rPr>
        <w:t>% del total de los costos</w:t>
      </w:r>
      <w:r w:rsidR="006706FF">
        <w:rPr>
          <w:rFonts w:ascii="Arial" w:hAnsi="Arial" w:cs="Arial"/>
          <w:sz w:val="22"/>
          <w:szCs w:val="22"/>
          <w:lang w:val="es-ES_tradnl"/>
        </w:rPr>
        <w:t xml:space="preserve"> operativos</w:t>
      </w:r>
      <w:r w:rsidRPr="000B532D">
        <w:rPr>
          <w:rFonts w:ascii="Arial" w:hAnsi="Arial" w:cs="Arial"/>
          <w:sz w:val="22"/>
          <w:szCs w:val="22"/>
          <w:lang w:val="es-ES_tradnl"/>
        </w:rPr>
        <w:t xml:space="preserve"> y el </w:t>
      </w:r>
      <w:r w:rsidR="006706FF">
        <w:rPr>
          <w:rFonts w:ascii="Arial" w:hAnsi="Arial" w:cs="Arial"/>
          <w:sz w:val="22"/>
          <w:szCs w:val="22"/>
          <w:lang w:val="es-ES_tradnl"/>
        </w:rPr>
        <w:t>35</w:t>
      </w:r>
      <w:r w:rsidRPr="000B532D">
        <w:rPr>
          <w:rFonts w:ascii="Arial" w:hAnsi="Arial" w:cs="Arial"/>
          <w:sz w:val="22"/>
          <w:szCs w:val="22"/>
          <w:lang w:val="es-ES_tradnl"/>
        </w:rPr>
        <w:t xml:space="preserve">% corresponde al total de los costos de drenaje. A su vez, los costos operativos </w:t>
      </w:r>
      <w:r w:rsidR="005A1C01">
        <w:rPr>
          <w:rFonts w:ascii="Arial" w:hAnsi="Arial" w:cs="Arial"/>
          <w:sz w:val="22"/>
          <w:szCs w:val="22"/>
          <w:lang w:val="es-ES_tradnl"/>
        </w:rPr>
        <w:t>se</w:t>
      </w:r>
      <w:r w:rsidRPr="000B532D">
        <w:rPr>
          <w:rFonts w:ascii="Arial" w:hAnsi="Arial" w:cs="Arial"/>
          <w:sz w:val="22"/>
          <w:szCs w:val="22"/>
          <w:lang w:val="es-ES_tradnl"/>
        </w:rPr>
        <w:t xml:space="preserve"> encuentran distribuidos de la siguiente manera</w:t>
      </w:r>
      <w:r w:rsidR="006706FF">
        <w:rPr>
          <w:rFonts w:ascii="Arial" w:hAnsi="Arial" w:cs="Arial"/>
          <w:sz w:val="22"/>
          <w:szCs w:val="22"/>
          <w:lang w:val="es-ES_tradnl"/>
        </w:rPr>
        <w:t>:</w:t>
      </w:r>
      <w:r w:rsidRPr="000B532D">
        <w:rPr>
          <w:rFonts w:ascii="Arial" w:hAnsi="Arial" w:cs="Arial"/>
          <w:sz w:val="22"/>
          <w:szCs w:val="22"/>
          <w:lang w:val="es-ES_tradnl"/>
        </w:rPr>
        <w:t xml:space="preserve"> </w:t>
      </w:r>
      <w:r w:rsidR="00463D40">
        <w:rPr>
          <w:rFonts w:ascii="Arial" w:hAnsi="Arial" w:cs="Arial"/>
          <w:sz w:val="22"/>
          <w:szCs w:val="22"/>
          <w:lang w:val="es-ES_tradnl"/>
        </w:rPr>
        <w:t>g</w:t>
      </w:r>
      <w:r w:rsidRPr="000B532D">
        <w:rPr>
          <w:rFonts w:ascii="Arial" w:hAnsi="Arial" w:cs="Arial"/>
          <w:sz w:val="22"/>
          <w:szCs w:val="22"/>
          <w:lang w:val="es-ES_tradnl"/>
        </w:rPr>
        <w:t>astos de personal 2</w:t>
      </w:r>
      <w:r w:rsidR="00463D40">
        <w:rPr>
          <w:rFonts w:ascii="Arial" w:hAnsi="Arial" w:cs="Arial"/>
          <w:sz w:val="22"/>
          <w:szCs w:val="22"/>
          <w:lang w:val="es-ES_tradnl"/>
        </w:rPr>
        <w:t>5</w:t>
      </w:r>
      <w:r w:rsidRPr="000B532D">
        <w:rPr>
          <w:rFonts w:ascii="Arial" w:hAnsi="Arial" w:cs="Arial"/>
          <w:sz w:val="22"/>
          <w:szCs w:val="22"/>
          <w:lang w:val="es-ES_tradnl"/>
        </w:rPr>
        <w:t>%</w:t>
      </w:r>
      <w:r w:rsidR="00463D40">
        <w:rPr>
          <w:rFonts w:ascii="Arial" w:hAnsi="Arial" w:cs="Arial"/>
          <w:sz w:val="22"/>
          <w:szCs w:val="22"/>
          <w:lang w:val="es-ES_tradnl"/>
        </w:rPr>
        <w:t>,</w:t>
      </w:r>
      <w:r w:rsidRPr="000B532D">
        <w:rPr>
          <w:rFonts w:ascii="Arial" w:hAnsi="Arial" w:cs="Arial"/>
          <w:sz w:val="22"/>
          <w:szCs w:val="22"/>
          <w:lang w:val="es-ES_tradnl"/>
        </w:rPr>
        <w:t xml:space="preserve"> </w:t>
      </w:r>
      <w:r w:rsidR="00463D40">
        <w:rPr>
          <w:rFonts w:ascii="Arial" w:hAnsi="Arial" w:cs="Arial"/>
          <w:sz w:val="22"/>
          <w:szCs w:val="22"/>
          <w:lang w:val="es-ES_tradnl"/>
        </w:rPr>
        <w:t>servicios contratados 33%, costos indirectos 19%, deudores incobrables 10%, y otros gastos operativos 13%</w:t>
      </w:r>
      <w:r w:rsidRPr="000B532D">
        <w:rPr>
          <w:rFonts w:ascii="Arial" w:hAnsi="Arial" w:cs="Arial"/>
          <w:sz w:val="22"/>
          <w:szCs w:val="22"/>
          <w:lang w:val="es-ES_tradnl"/>
        </w:rPr>
        <w:t xml:space="preserve">. </w:t>
      </w:r>
    </w:p>
    <w:p w14:paraId="005F4632" w14:textId="77777777" w:rsidR="0091398D" w:rsidRDefault="0091398D" w:rsidP="0091398D">
      <w:pPr>
        <w:pStyle w:val="Default"/>
        <w:ind w:left="360"/>
        <w:jc w:val="both"/>
        <w:rPr>
          <w:rFonts w:ascii="Arial" w:hAnsi="Arial" w:cs="Arial"/>
          <w:sz w:val="22"/>
          <w:szCs w:val="22"/>
          <w:lang w:val="es-ES_tradnl"/>
        </w:rPr>
      </w:pPr>
    </w:p>
    <w:p w14:paraId="6214AD80" w14:textId="77777777" w:rsidR="00EB3689" w:rsidRDefault="00463D40" w:rsidP="00EB3689">
      <w:pPr>
        <w:pStyle w:val="Default"/>
        <w:numPr>
          <w:ilvl w:val="1"/>
          <w:numId w:val="5"/>
        </w:numPr>
        <w:jc w:val="both"/>
        <w:rPr>
          <w:rFonts w:ascii="Arial" w:hAnsi="Arial" w:cs="Arial"/>
          <w:sz w:val="22"/>
          <w:szCs w:val="22"/>
          <w:lang w:val="es-ES_tradnl"/>
        </w:rPr>
      </w:pPr>
      <w:r w:rsidRPr="00463D40">
        <w:rPr>
          <w:rFonts w:ascii="Arial" w:hAnsi="Arial" w:cs="Arial"/>
          <w:sz w:val="22"/>
          <w:szCs w:val="22"/>
          <w:lang w:val="es-ES_tradnl"/>
        </w:rPr>
        <w:t>Margen Operativo</w:t>
      </w:r>
      <w:r>
        <w:rPr>
          <w:rFonts w:ascii="Arial" w:hAnsi="Arial" w:cs="Arial"/>
          <w:sz w:val="22"/>
          <w:szCs w:val="22"/>
          <w:lang w:val="es-ES_tradnl"/>
        </w:rPr>
        <w:t>. L</w:t>
      </w:r>
      <w:r w:rsidRPr="0094183A">
        <w:rPr>
          <w:rFonts w:ascii="Arial" w:hAnsi="Arial" w:cs="Arial"/>
          <w:sz w:val="22"/>
          <w:szCs w:val="22"/>
          <w:lang w:val="es-ES_tradnl"/>
        </w:rPr>
        <w:t>os ingresos operativos del SS recuperan la totalidad de los costos de operación y mantenimiento</w:t>
      </w:r>
      <w:r>
        <w:rPr>
          <w:rFonts w:ascii="Arial" w:hAnsi="Arial" w:cs="Arial"/>
          <w:sz w:val="22"/>
          <w:szCs w:val="22"/>
          <w:lang w:val="es-ES_tradnl"/>
        </w:rPr>
        <w:t>.</w:t>
      </w:r>
      <w:r w:rsidRPr="00463D40">
        <w:rPr>
          <w:rFonts w:ascii="Arial" w:hAnsi="Arial" w:cs="Arial"/>
          <w:sz w:val="22"/>
          <w:szCs w:val="22"/>
          <w:lang w:val="es-ES_tradnl"/>
        </w:rPr>
        <w:t xml:space="preserve"> </w:t>
      </w:r>
      <w:r>
        <w:rPr>
          <w:rFonts w:ascii="Arial" w:hAnsi="Arial" w:cs="Arial"/>
          <w:sz w:val="22"/>
          <w:szCs w:val="22"/>
          <w:lang w:val="es-ES_tradnl"/>
        </w:rPr>
        <w:t xml:space="preserve">El SS cuenta con </w:t>
      </w:r>
      <w:r w:rsidRPr="00463D40">
        <w:rPr>
          <w:rFonts w:ascii="Arial" w:hAnsi="Arial" w:cs="Arial"/>
          <w:sz w:val="22"/>
          <w:szCs w:val="22"/>
          <w:lang w:val="es-ES_tradnl"/>
        </w:rPr>
        <w:t>EBITDA positiva con un margen</w:t>
      </w:r>
      <w:r>
        <w:rPr>
          <w:rFonts w:ascii="Arial" w:hAnsi="Arial" w:cs="Arial"/>
          <w:sz w:val="22"/>
          <w:szCs w:val="22"/>
          <w:lang w:val="es-ES_tradnl"/>
        </w:rPr>
        <w:t xml:space="preserve"> de</w:t>
      </w:r>
      <w:r w:rsidRPr="00463D40">
        <w:rPr>
          <w:rFonts w:ascii="Arial" w:hAnsi="Arial" w:cs="Arial"/>
          <w:sz w:val="22"/>
          <w:szCs w:val="22"/>
          <w:lang w:val="es-ES_tradnl"/>
        </w:rPr>
        <w:t xml:space="preserve"> </w:t>
      </w:r>
      <w:r w:rsidR="00C71DBD">
        <w:rPr>
          <w:rFonts w:ascii="Arial" w:hAnsi="Arial" w:cs="Arial"/>
          <w:sz w:val="22"/>
          <w:szCs w:val="22"/>
          <w:lang w:val="es-ES_tradnl"/>
        </w:rPr>
        <w:t>51</w:t>
      </w:r>
      <w:r w:rsidRPr="00463D40">
        <w:rPr>
          <w:rFonts w:ascii="Arial" w:hAnsi="Arial" w:cs="Arial"/>
          <w:sz w:val="22"/>
          <w:szCs w:val="22"/>
          <w:lang w:val="es-ES_tradnl"/>
        </w:rPr>
        <w:t>%</w:t>
      </w:r>
      <w:r w:rsidR="00C71DBD">
        <w:rPr>
          <w:rFonts w:ascii="Arial" w:hAnsi="Arial" w:cs="Arial"/>
          <w:sz w:val="22"/>
          <w:szCs w:val="22"/>
          <w:lang w:val="es-ES_tradnl"/>
        </w:rPr>
        <w:t xml:space="preserve"> en el 2015. El margen EBITDA bajó del 59% al 51% del 2014 a 2015. Esta </w:t>
      </w:r>
      <w:r w:rsidRPr="00463D40">
        <w:rPr>
          <w:rFonts w:ascii="Arial" w:hAnsi="Arial" w:cs="Arial"/>
          <w:sz w:val="22"/>
          <w:szCs w:val="22"/>
          <w:lang w:val="es-ES_tradnl"/>
        </w:rPr>
        <w:t xml:space="preserve">disminución </w:t>
      </w:r>
      <w:r w:rsidR="006906B7">
        <w:rPr>
          <w:rFonts w:ascii="Arial" w:hAnsi="Arial" w:cs="Arial"/>
          <w:sz w:val="22"/>
          <w:szCs w:val="22"/>
          <w:lang w:val="es-ES_tradnl"/>
        </w:rPr>
        <w:t>se debe a que se aumentó</w:t>
      </w:r>
      <w:r w:rsidR="00C71DBD">
        <w:rPr>
          <w:rFonts w:ascii="Arial" w:hAnsi="Arial" w:cs="Arial"/>
          <w:sz w:val="22"/>
          <w:szCs w:val="22"/>
          <w:lang w:val="es-ES_tradnl"/>
        </w:rPr>
        <w:t xml:space="preserve"> la previsión al incobrabilidad a un nivel adecuado al estimar los estados financieros de 2015</w:t>
      </w:r>
      <w:r w:rsidR="007E02A8">
        <w:rPr>
          <w:rStyle w:val="FootnoteReference"/>
          <w:rFonts w:ascii="Arial" w:hAnsi="Arial" w:cs="Arial"/>
          <w:sz w:val="22"/>
          <w:szCs w:val="22"/>
          <w:lang w:val="es-ES_tradnl"/>
        </w:rPr>
        <w:footnoteReference w:id="5"/>
      </w:r>
      <w:r w:rsidR="00C71DBD">
        <w:rPr>
          <w:rFonts w:ascii="Arial" w:hAnsi="Arial" w:cs="Arial"/>
          <w:sz w:val="22"/>
          <w:szCs w:val="22"/>
          <w:lang w:val="es-ES_tradnl"/>
        </w:rPr>
        <w:t>.</w:t>
      </w:r>
      <w:r w:rsidRPr="00463D40">
        <w:rPr>
          <w:rFonts w:ascii="Arial" w:hAnsi="Arial" w:cs="Arial"/>
          <w:sz w:val="22"/>
          <w:szCs w:val="22"/>
          <w:lang w:val="es-ES_tradnl"/>
        </w:rPr>
        <w:t xml:space="preserve"> </w:t>
      </w:r>
    </w:p>
    <w:p w14:paraId="4E50F053" w14:textId="77777777" w:rsidR="00EB3689" w:rsidRPr="00EB3689" w:rsidRDefault="00EB3689" w:rsidP="00EB3689">
      <w:pPr>
        <w:pStyle w:val="Default"/>
        <w:ind w:left="360"/>
        <w:jc w:val="both"/>
        <w:rPr>
          <w:rFonts w:ascii="Arial" w:hAnsi="Arial" w:cs="Arial"/>
          <w:sz w:val="22"/>
          <w:szCs w:val="22"/>
          <w:lang w:val="es-ES_tradnl"/>
        </w:rPr>
      </w:pPr>
    </w:p>
    <w:p w14:paraId="12208CCD" w14:textId="77777777" w:rsidR="00463D40" w:rsidRPr="00EB3689" w:rsidRDefault="00EB3689" w:rsidP="00EB3689">
      <w:pPr>
        <w:pStyle w:val="Default"/>
        <w:numPr>
          <w:ilvl w:val="1"/>
          <w:numId w:val="5"/>
        </w:numPr>
        <w:jc w:val="both"/>
        <w:rPr>
          <w:rFonts w:ascii="Arial" w:hAnsi="Arial" w:cs="Arial"/>
          <w:sz w:val="22"/>
          <w:szCs w:val="22"/>
          <w:lang w:val="es-ES_tradnl"/>
        </w:rPr>
      </w:pPr>
      <w:r w:rsidRPr="00EB3689">
        <w:rPr>
          <w:rFonts w:ascii="Arial" w:hAnsi="Arial" w:cs="Arial"/>
          <w:sz w:val="22"/>
          <w:szCs w:val="22"/>
          <w:lang w:val="es-ES"/>
        </w:rPr>
        <w:lastRenderedPageBreak/>
        <w:t xml:space="preserve">Depreciaciones y Amortizaciones (U$S </w:t>
      </w:r>
      <w:r>
        <w:rPr>
          <w:rFonts w:ascii="Arial" w:hAnsi="Arial" w:cs="Arial"/>
          <w:sz w:val="22"/>
          <w:szCs w:val="22"/>
          <w:lang w:val="es-ES"/>
        </w:rPr>
        <w:t>6,1</w:t>
      </w:r>
      <w:r w:rsidRPr="00EB3689">
        <w:rPr>
          <w:rFonts w:ascii="Arial" w:hAnsi="Arial" w:cs="Arial"/>
          <w:sz w:val="22"/>
          <w:szCs w:val="22"/>
          <w:lang w:val="es-ES"/>
        </w:rPr>
        <w:t xml:space="preserve"> millones) representan en promedio el </w:t>
      </w:r>
      <w:r>
        <w:rPr>
          <w:rFonts w:ascii="Arial" w:hAnsi="Arial" w:cs="Arial"/>
          <w:sz w:val="22"/>
          <w:szCs w:val="22"/>
          <w:lang w:val="es-ES"/>
        </w:rPr>
        <w:t>9,4</w:t>
      </w:r>
      <w:r w:rsidRPr="00EB3689">
        <w:rPr>
          <w:rFonts w:ascii="Arial" w:hAnsi="Arial" w:cs="Arial"/>
          <w:sz w:val="22"/>
          <w:szCs w:val="22"/>
          <w:lang w:val="es-ES"/>
        </w:rPr>
        <w:t xml:space="preserve">% de los ingresos operativos y el </w:t>
      </w:r>
      <w:r>
        <w:rPr>
          <w:rFonts w:ascii="Arial" w:hAnsi="Arial" w:cs="Arial"/>
          <w:sz w:val="22"/>
          <w:szCs w:val="22"/>
          <w:lang w:val="es-ES"/>
        </w:rPr>
        <w:t>2,4</w:t>
      </w:r>
      <w:r w:rsidRPr="00EB3689">
        <w:rPr>
          <w:rFonts w:ascii="Arial" w:hAnsi="Arial" w:cs="Arial"/>
          <w:sz w:val="22"/>
          <w:szCs w:val="22"/>
          <w:lang w:val="es-ES"/>
        </w:rPr>
        <w:t>% del valor de los activos</w:t>
      </w:r>
      <w:r>
        <w:rPr>
          <w:rFonts w:ascii="Arial" w:hAnsi="Arial" w:cs="Arial"/>
          <w:sz w:val="22"/>
          <w:szCs w:val="22"/>
          <w:lang w:val="es-ES"/>
        </w:rPr>
        <w:t xml:space="preserve"> no corrientes</w:t>
      </w:r>
      <w:r w:rsidRPr="00EB3689">
        <w:rPr>
          <w:rFonts w:ascii="Arial" w:hAnsi="Arial" w:cs="Arial"/>
          <w:sz w:val="22"/>
          <w:szCs w:val="22"/>
          <w:lang w:val="es-ES"/>
        </w:rPr>
        <w:t xml:space="preserve">, lo que equivale a una vida útil promedio de </w:t>
      </w:r>
      <w:r>
        <w:rPr>
          <w:rFonts w:ascii="Arial" w:hAnsi="Arial" w:cs="Arial"/>
          <w:sz w:val="22"/>
          <w:szCs w:val="22"/>
          <w:lang w:val="es-ES"/>
        </w:rPr>
        <w:t>41</w:t>
      </w:r>
      <w:r w:rsidRPr="00EB3689">
        <w:rPr>
          <w:rFonts w:ascii="Arial" w:hAnsi="Arial" w:cs="Arial"/>
          <w:sz w:val="22"/>
          <w:szCs w:val="22"/>
          <w:lang w:val="es-ES"/>
        </w:rPr>
        <w:t xml:space="preserve"> años. </w:t>
      </w:r>
    </w:p>
    <w:p w14:paraId="05C6567D" w14:textId="77777777" w:rsidR="0030250F" w:rsidRPr="000B532D" w:rsidRDefault="0030250F" w:rsidP="000B532D">
      <w:pPr>
        <w:pStyle w:val="Default"/>
        <w:jc w:val="both"/>
        <w:rPr>
          <w:rFonts w:ascii="Arial" w:hAnsi="Arial" w:cs="Arial"/>
          <w:sz w:val="22"/>
          <w:szCs w:val="22"/>
          <w:lang w:val="es-ES_tradnl"/>
        </w:rPr>
      </w:pPr>
    </w:p>
    <w:p w14:paraId="24F0ADDD" w14:textId="77777777" w:rsidR="00894738" w:rsidRDefault="00894738" w:rsidP="000B532D">
      <w:pPr>
        <w:pStyle w:val="Default"/>
        <w:numPr>
          <w:ilvl w:val="1"/>
          <w:numId w:val="5"/>
        </w:numPr>
        <w:jc w:val="both"/>
        <w:rPr>
          <w:rFonts w:ascii="Arial" w:hAnsi="Arial" w:cs="Arial"/>
          <w:sz w:val="22"/>
          <w:szCs w:val="22"/>
          <w:lang w:val="es-ES_tradnl"/>
        </w:rPr>
      </w:pPr>
      <w:r w:rsidRPr="000B532D">
        <w:rPr>
          <w:rFonts w:ascii="Arial" w:hAnsi="Arial" w:cs="Arial"/>
          <w:i/>
          <w:iCs/>
          <w:sz w:val="22"/>
          <w:szCs w:val="22"/>
          <w:lang w:val="es-ES_tradnl"/>
        </w:rPr>
        <w:t>Otros Ingresos y Egreso</w:t>
      </w:r>
      <w:r w:rsidR="00EB3689">
        <w:rPr>
          <w:rFonts w:ascii="Arial" w:hAnsi="Arial" w:cs="Arial"/>
          <w:i/>
          <w:iCs/>
          <w:sz w:val="22"/>
          <w:szCs w:val="22"/>
          <w:lang w:val="es-ES_tradnl"/>
        </w:rPr>
        <w:t>s</w:t>
      </w:r>
      <w:r w:rsidRPr="000B532D">
        <w:rPr>
          <w:rFonts w:ascii="Arial" w:hAnsi="Arial" w:cs="Arial"/>
          <w:i/>
          <w:iCs/>
          <w:sz w:val="22"/>
          <w:szCs w:val="22"/>
          <w:lang w:val="es-ES_tradnl"/>
        </w:rPr>
        <w:t xml:space="preserve">, y gastos financieros. </w:t>
      </w:r>
      <w:r w:rsidR="0091398D">
        <w:rPr>
          <w:rFonts w:ascii="Arial" w:hAnsi="Arial" w:cs="Arial"/>
          <w:sz w:val="22"/>
          <w:szCs w:val="22"/>
          <w:lang w:val="es-ES_tradnl"/>
        </w:rPr>
        <w:t>Otros ingresos y egresos fueron insignificantes, sólo representando el 0,3% de los ingresos totales durante los últimos tres años. Las diferencias de cambio (net</w:t>
      </w:r>
      <w:r w:rsidR="00246F19">
        <w:rPr>
          <w:rFonts w:ascii="Arial" w:hAnsi="Arial" w:cs="Arial"/>
          <w:sz w:val="22"/>
          <w:szCs w:val="22"/>
          <w:lang w:val="es-ES_tradnl"/>
        </w:rPr>
        <w:t>as</w:t>
      </w:r>
      <w:r w:rsidR="0091398D">
        <w:rPr>
          <w:rFonts w:ascii="Arial" w:hAnsi="Arial" w:cs="Arial"/>
          <w:sz w:val="22"/>
          <w:szCs w:val="22"/>
          <w:lang w:val="es-ES_tradnl"/>
        </w:rPr>
        <w:t>) representaron la mayor parte de los gastos financieros con el valor promedio de US$18,1 millones durante los últimos tres años, frente a los intereses y las comisiones devengados por los empréstitos contraídos con el BID (US$5,2 millones).</w:t>
      </w:r>
    </w:p>
    <w:p w14:paraId="404AB075" w14:textId="77777777" w:rsidR="00284A8B" w:rsidRDefault="00284A8B" w:rsidP="00284A8B">
      <w:pPr>
        <w:pStyle w:val="Default"/>
        <w:jc w:val="both"/>
        <w:rPr>
          <w:rFonts w:ascii="Arial" w:hAnsi="Arial" w:cs="Arial"/>
          <w:sz w:val="22"/>
          <w:szCs w:val="22"/>
          <w:lang w:val="es-ES_tradnl"/>
        </w:rPr>
      </w:pPr>
    </w:p>
    <w:p w14:paraId="0C6042B0" w14:textId="417106A0" w:rsidR="0091398D" w:rsidRDefault="0091398D" w:rsidP="0091398D">
      <w:pPr>
        <w:pStyle w:val="Default"/>
        <w:numPr>
          <w:ilvl w:val="1"/>
          <w:numId w:val="5"/>
        </w:numPr>
        <w:jc w:val="both"/>
        <w:rPr>
          <w:rFonts w:ascii="Arial" w:hAnsi="Arial" w:cs="Arial"/>
          <w:sz w:val="22"/>
          <w:szCs w:val="22"/>
          <w:lang w:val="es-ES_tradnl"/>
        </w:rPr>
      </w:pPr>
      <w:r>
        <w:rPr>
          <w:rFonts w:ascii="Arial" w:hAnsi="Arial" w:cs="Arial"/>
          <w:i/>
          <w:iCs/>
          <w:sz w:val="22"/>
          <w:szCs w:val="22"/>
          <w:lang w:val="es-ES_tradnl"/>
        </w:rPr>
        <w:t>Resultado del Ejercicio</w:t>
      </w:r>
      <w:r w:rsidRPr="000B532D">
        <w:rPr>
          <w:rFonts w:ascii="Arial" w:hAnsi="Arial" w:cs="Arial"/>
          <w:i/>
          <w:iCs/>
          <w:sz w:val="22"/>
          <w:szCs w:val="22"/>
          <w:lang w:val="es-ES_tradnl"/>
        </w:rPr>
        <w:t xml:space="preserve">. </w:t>
      </w:r>
      <w:r>
        <w:rPr>
          <w:rFonts w:ascii="Arial" w:hAnsi="Arial" w:cs="Arial"/>
          <w:sz w:val="22"/>
          <w:szCs w:val="22"/>
          <w:lang w:val="es-ES_tradnl"/>
        </w:rPr>
        <w:t>En el promedio de los tres últimos años, el resultado del ejercicio fue positivo (US$9,4 millones). Vale la pena mencionar que la</w:t>
      </w:r>
      <w:r w:rsidR="00246F19">
        <w:rPr>
          <w:rFonts w:ascii="Arial" w:hAnsi="Arial" w:cs="Arial"/>
          <w:sz w:val="22"/>
          <w:szCs w:val="22"/>
          <w:lang w:val="es-ES_tradnl"/>
        </w:rPr>
        <w:t>s</w:t>
      </w:r>
      <w:r>
        <w:rPr>
          <w:rFonts w:ascii="Arial" w:hAnsi="Arial" w:cs="Arial"/>
          <w:sz w:val="22"/>
          <w:szCs w:val="22"/>
          <w:lang w:val="es-ES_tradnl"/>
        </w:rPr>
        <w:t xml:space="preserve"> diferencia</w:t>
      </w:r>
      <w:r w:rsidR="00246F19">
        <w:rPr>
          <w:rFonts w:ascii="Arial" w:hAnsi="Arial" w:cs="Arial"/>
          <w:sz w:val="22"/>
          <w:szCs w:val="22"/>
          <w:lang w:val="es-ES_tradnl"/>
        </w:rPr>
        <w:t>s</w:t>
      </w:r>
      <w:r>
        <w:rPr>
          <w:rFonts w:ascii="Arial" w:hAnsi="Arial" w:cs="Arial"/>
          <w:sz w:val="22"/>
          <w:szCs w:val="22"/>
          <w:lang w:val="es-ES_tradnl"/>
        </w:rPr>
        <w:t xml:space="preserve"> de cambio fue </w:t>
      </w:r>
      <w:r w:rsidR="00246F19">
        <w:rPr>
          <w:rFonts w:ascii="Arial" w:hAnsi="Arial" w:cs="Arial"/>
          <w:sz w:val="22"/>
          <w:szCs w:val="22"/>
          <w:lang w:val="es-ES_tradnl"/>
        </w:rPr>
        <w:t xml:space="preserve">un factor que </w:t>
      </w:r>
      <w:r w:rsidR="00C7139D">
        <w:rPr>
          <w:rFonts w:ascii="Arial" w:hAnsi="Arial" w:cs="Arial"/>
          <w:sz w:val="22"/>
          <w:szCs w:val="22"/>
          <w:lang w:val="es-ES_tradnl"/>
        </w:rPr>
        <w:t>tuvo gran impacto en el resultado del ejercicio. En particular, el resultado final negativo del 2015 es producto de las pérdidas por las diferencias de cambio</w:t>
      </w:r>
      <w:r w:rsidR="00C7139D">
        <w:rPr>
          <w:rStyle w:val="FootnoteReference"/>
          <w:rFonts w:ascii="Arial" w:hAnsi="Arial" w:cs="Arial"/>
          <w:sz w:val="22"/>
          <w:szCs w:val="22"/>
          <w:lang w:val="es-ES_tradnl"/>
        </w:rPr>
        <w:footnoteReference w:id="6"/>
      </w:r>
      <w:r w:rsidR="00C7139D">
        <w:rPr>
          <w:rFonts w:ascii="Arial" w:hAnsi="Arial" w:cs="Arial"/>
          <w:sz w:val="22"/>
          <w:szCs w:val="22"/>
          <w:lang w:val="es-ES_tradnl"/>
        </w:rPr>
        <w:t>.</w:t>
      </w:r>
    </w:p>
    <w:p w14:paraId="1DE7C953" w14:textId="77777777" w:rsidR="0011459F" w:rsidRDefault="0011459F" w:rsidP="00246F19">
      <w:pPr>
        <w:pStyle w:val="Paragraph"/>
        <w:numPr>
          <w:ilvl w:val="0"/>
          <w:numId w:val="0"/>
        </w:numPr>
        <w:jc w:val="center"/>
        <w:rPr>
          <w:rFonts w:ascii="Arial" w:hAnsi="Arial" w:cs="Arial"/>
          <w:sz w:val="22"/>
          <w:szCs w:val="22"/>
          <w:u w:val="single"/>
        </w:rPr>
      </w:pPr>
    </w:p>
    <w:p w14:paraId="4A6BB8D2" w14:textId="20C984F5" w:rsidR="00894738" w:rsidRDefault="0091398D" w:rsidP="00246F19">
      <w:pPr>
        <w:pStyle w:val="Paragraph"/>
        <w:numPr>
          <w:ilvl w:val="0"/>
          <w:numId w:val="0"/>
        </w:numPr>
        <w:jc w:val="center"/>
        <w:rPr>
          <w:rFonts w:ascii="Arial" w:hAnsi="Arial" w:cs="Arial"/>
          <w:b/>
          <w:bCs/>
          <w:sz w:val="22"/>
          <w:szCs w:val="22"/>
        </w:rPr>
      </w:pPr>
      <w:r w:rsidRPr="00BA4588">
        <w:rPr>
          <w:rFonts w:ascii="Arial" w:hAnsi="Arial" w:cs="Arial"/>
          <w:sz w:val="22"/>
          <w:szCs w:val="22"/>
          <w:u w:val="single"/>
        </w:rPr>
        <w:t xml:space="preserve">Cuadro </w:t>
      </w:r>
      <w:r>
        <w:rPr>
          <w:rFonts w:ascii="Arial" w:hAnsi="Arial" w:cs="Arial"/>
          <w:sz w:val="22"/>
          <w:szCs w:val="22"/>
          <w:u w:val="single"/>
        </w:rPr>
        <w:t>1</w:t>
      </w:r>
      <w:r w:rsidRPr="00BA4588">
        <w:rPr>
          <w:rFonts w:ascii="Arial" w:hAnsi="Arial" w:cs="Arial"/>
          <w:sz w:val="22"/>
          <w:szCs w:val="22"/>
          <w:u w:val="single"/>
        </w:rPr>
        <w:t>. Estado de Resultados Histórico (en miles de US$ de 2015)</w:t>
      </w:r>
    </w:p>
    <w:p w14:paraId="49C91C6C" w14:textId="48BF2D27" w:rsidR="0091398D" w:rsidRDefault="0011459F" w:rsidP="00894738">
      <w:pPr>
        <w:pStyle w:val="Default"/>
        <w:rPr>
          <w:rFonts w:ascii="Arial" w:hAnsi="Arial" w:cs="Arial"/>
          <w:b/>
          <w:bCs/>
          <w:sz w:val="22"/>
          <w:szCs w:val="22"/>
          <w:lang w:val="es-ES"/>
        </w:rPr>
      </w:pPr>
      <w:r w:rsidRPr="0011459F">
        <w:rPr>
          <w:noProof/>
          <w:lang w:eastAsia="en-US"/>
        </w:rPr>
        <w:drawing>
          <wp:anchor distT="0" distB="0" distL="114300" distR="114300" simplePos="0" relativeHeight="251688960" behindDoc="1" locked="0" layoutInCell="1" allowOverlap="1" wp14:anchorId="51E3BAFB" wp14:editId="35FC5551">
            <wp:simplePos x="0" y="0"/>
            <wp:positionH relativeFrom="column">
              <wp:posOffset>636905</wp:posOffset>
            </wp:positionH>
            <wp:positionV relativeFrom="paragraph">
              <wp:posOffset>125257</wp:posOffset>
            </wp:positionV>
            <wp:extent cx="4667885" cy="4051300"/>
            <wp:effectExtent l="0" t="0" r="0" b="6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7885" cy="4051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43107" w14:textId="77777777" w:rsidR="0091398D" w:rsidRDefault="0091398D" w:rsidP="00894738">
      <w:pPr>
        <w:pStyle w:val="Default"/>
        <w:rPr>
          <w:rFonts w:ascii="Arial" w:hAnsi="Arial" w:cs="Arial"/>
          <w:b/>
          <w:bCs/>
          <w:sz w:val="22"/>
          <w:szCs w:val="22"/>
          <w:lang w:val="es-ES"/>
        </w:rPr>
      </w:pPr>
    </w:p>
    <w:p w14:paraId="0FE9B290" w14:textId="77777777" w:rsidR="00246F19" w:rsidRDefault="00246F19" w:rsidP="00894738">
      <w:pPr>
        <w:pStyle w:val="Default"/>
        <w:rPr>
          <w:rFonts w:ascii="Arial" w:hAnsi="Arial" w:cs="Arial"/>
          <w:b/>
          <w:bCs/>
          <w:sz w:val="22"/>
          <w:szCs w:val="22"/>
          <w:lang w:val="es-ES"/>
        </w:rPr>
      </w:pPr>
    </w:p>
    <w:p w14:paraId="1373E9B3" w14:textId="77777777" w:rsidR="00246F19" w:rsidRDefault="00246F19" w:rsidP="00894738">
      <w:pPr>
        <w:pStyle w:val="Default"/>
        <w:rPr>
          <w:rFonts w:ascii="Arial" w:hAnsi="Arial" w:cs="Arial"/>
          <w:b/>
          <w:bCs/>
          <w:sz w:val="22"/>
          <w:szCs w:val="22"/>
          <w:lang w:val="es-ES"/>
        </w:rPr>
      </w:pPr>
    </w:p>
    <w:p w14:paraId="60D93205" w14:textId="77777777" w:rsidR="00246F19" w:rsidRDefault="00246F19" w:rsidP="00894738">
      <w:pPr>
        <w:pStyle w:val="Default"/>
        <w:rPr>
          <w:rFonts w:ascii="Arial" w:hAnsi="Arial" w:cs="Arial"/>
          <w:b/>
          <w:bCs/>
          <w:sz w:val="22"/>
          <w:szCs w:val="22"/>
          <w:lang w:val="es-ES"/>
        </w:rPr>
      </w:pPr>
    </w:p>
    <w:p w14:paraId="0760DA4A" w14:textId="77777777" w:rsidR="00246F19" w:rsidRDefault="00246F19" w:rsidP="00894738">
      <w:pPr>
        <w:pStyle w:val="Default"/>
        <w:rPr>
          <w:rFonts w:ascii="Arial" w:hAnsi="Arial" w:cs="Arial"/>
          <w:b/>
          <w:bCs/>
          <w:sz w:val="22"/>
          <w:szCs w:val="22"/>
          <w:lang w:val="es-ES"/>
        </w:rPr>
      </w:pPr>
    </w:p>
    <w:p w14:paraId="29A2EEA6" w14:textId="77777777" w:rsidR="00246F19" w:rsidRDefault="00246F19" w:rsidP="00894738">
      <w:pPr>
        <w:pStyle w:val="Default"/>
        <w:rPr>
          <w:rFonts w:ascii="Arial" w:hAnsi="Arial" w:cs="Arial"/>
          <w:b/>
          <w:bCs/>
          <w:sz w:val="22"/>
          <w:szCs w:val="22"/>
          <w:lang w:val="es-ES"/>
        </w:rPr>
      </w:pPr>
    </w:p>
    <w:p w14:paraId="6AAA1EC2" w14:textId="77777777" w:rsidR="00246F19" w:rsidRDefault="00246F19" w:rsidP="00894738">
      <w:pPr>
        <w:pStyle w:val="Default"/>
        <w:rPr>
          <w:rFonts w:ascii="Arial" w:hAnsi="Arial" w:cs="Arial"/>
          <w:b/>
          <w:bCs/>
          <w:sz w:val="22"/>
          <w:szCs w:val="22"/>
          <w:lang w:val="es-ES"/>
        </w:rPr>
      </w:pPr>
    </w:p>
    <w:p w14:paraId="1B6AEB1F" w14:textId="77777777" w:rsidR="00246F19" w:rsidRDefault="00246F19" w:rsidP="00894738">
      <w:pPr>
        <w:pStyle w:val="Default"/>
        <w:rPr>
          <w:rFonts w:ascii="Arial" w:hAnsi="Arial" w:cs="Arial"/>
          <w:b/>
          <w:bCs/>
          <w:sz w:val="22"/>
          <w:szCs w:val="22"/>
          <w:lang w:val="es-ES"/>
        </w:rPr>
      </w:pPr>
    </w:p>
    <w:p w14:paraId="6FCAB44A" w14:textId="77777777" w:rsidR="00246F19" w:rsidRDefault="00246F19" w:rsidP="00894738">
      <w:pPr>
        <w:pStyle w:val="Default"/>
        <w:rPr>
          <w:rFonts w:ascii="Arial" w:hAnsi="Arial" w:cs="Arial"/>
          <w:b/>
          <w:bCs/>
          <w:sz w:val="22"/>
          <w:szCs w:val="22"/>
          <w:lang w:val="es-ES"/>
        </w:rPr>
      </w:pPr>
    </w:p>
    <w:p w14:paraId="4E736548" w14:textId="77777777" w:rsidR="00246F19" w:rsidRDefault="00246F19" w:rsidP="00894738">
      <w:pPr>
        <w:pStyle w:val="Default"/>
        <w:rPr>
          <w:rFonts w:ascii="Arial" w:hAnsi="Arial" w:cs="Arial"/>
          <w:b/>
          <w:bCs/>
          <w:sz w:val="22"/>
          <w:szCs w:val="22"/>
          <w:lang w:val="es-ES"/>
        </w:rPr>
      </w:pPr>
    </w:p>
    <w:p w14:paraId="3C01524C" w14:textId="77777777" w:rsidR="00246F19" w:rsidRDefault="00246F19" w:rsidP="00894738">
      <w:pPr>
        <w:pStyle w:val="Default"/>
        <w:rPr>
          <w:rFonts w:ascii="Arial" w:hAnsi="Arial" w:cs="Arial"/>
          <w:b/>
          <w:bCs/>
          <w:sz w:val="22"/>
          <w:szCs w:val="22"/>
          <w:lang w:val="es-ES"/>
        </w:rPr>
      </w:pPr>
    </w:p>
    <w:p w14:paraId="19BF10F8" w14:textId="77777777" w:rsidR="0091398D" w:rsidRDefault="0091398D" w:rsidP="00894738">
      <w:pPr>
        <w:pStyle w:val="Default"/>
        <w:rPr>
          <w:rFonts w:ascii="Arial" w:hAnsi="Arial" w:cs="Arial"/>
          <w:b/>
          <w:bCs/>
          <w:sz w:val="22"/>
          <w:szCs w:val="22"/>
          <w:lang w:val="es-ES"/>
        </w:rPr>
      </w:pPr>
    </w:p>
    <w:p w14:paraId="51FAA806" w14:textId="77777777" w:rsidR="0091398D" w:rsidRDefault="0091398D" w:rsidP="00894738">
      <w:pPr>
        <w:pStyle w:val="Default"/>
        <w:rPr>
          <w:rFonts w:ascii="Arial" w:hAnsi="Arial" w:cs="Arial"/>
          <w:b/>
          <w:bCs/>
          <w:sz w:val="22"/>
          <w:szCs w:val="22"/>
          <w:lang w:val="es-ES"/>
        </w:rPr>
      </w:pPr>
    </w:p>
    <w:p w14:paraId="180CD549" w14:textId="77777777" w:rsidR="0091398D" w:rsidRDefault="0091398D" w:rsidP="00894738">
      <w:pPr>
        <w:pStyle w:val="Default"/>
        <w:rPr>
          <w:rFonts w:ascii="Arial" w:hAnsi="Arial" w:cs="Arial"/>
          <w:b/>
          <w:bCs/>
          <w:sz w:val="22"/>
          <w:szCs w:val="22"/>
          <w:lang w:val="es-ES"/>
        </w:rPr>
      </w:pPr>
    </w:p>
    <w:p w14:paraId="3F5F0299" w14:textId="77777777" w:rsidR="0091398D" w:rsidRDefault="0091398D" w:rsidP="00894738">
      <w:pPr>
        <w:pStyle w:val="Default"/>
        <w:rPr>
          <w:rFonts w:ascii="Arial" w:hAnsi="Arial" w:cs="Arial"/>
          <w:b/>
          <w:bCs/>
          <w:sz w:val="22"/>
          <w:szCs w:val="22"/>
          <w:lang w:val="es-ES"/>
        </w:rPr>
      </w:pPr>
    </w:p>
    <w:p w14:paraId="4291BF97" w14:textId="77777777" w:rsidR="008F0430" w:rsidRDefault="008F0430" w:rsidP="00894738">
      <w:pPr>
        <w:pStyle w:val="Default"/>
        <w:rPr>
          <w:rFonts w:ascii="Arial" w:hAnsi="Arial" w:cs="Arial"/>
          <w:b/>
          <w:bCs/>
          <w:sz w:val="22"/>
          <w:szCs w:val="22"/>
          <w:lang w:val="es-ES"/>
        </w:rPr>
      </w:pPr>
    </w:p>
    <w:p w14:paraId="6C6FEACE" w14:textId="77777777" w:rsidR="008F0430" w:rsidRDefault="008F0430" w:rsidP="00894738">
      <w:pPr>
        <w:pStyle w:val="Default"/>
        <w:rPr>
          <w:rFonts w:ascii="Arial" w:hAnsi="Arial" w:cs="Arial"/>
          <w:b/>
          <w:bCs/>
          <w:sz w:val="22"/>
          <w:szCs w:val="22"/>
          <w:lang w:val="es-ES"/>
        </w:rPr>
      </w:pPr>
    </w:p>
    <w:p w14:paraId="3AF38073" w14:textId="77777777" w:rsidR="0091398D" w:rsidRDefault="0091398D" w:rsidP="00894738">
      <w:pPr>
        <w:pStyle w:val="Default"/>
        <w:rPr>
          <w:rFonts w:ascii="Arial" w:hAnsi="Arial" w:cs="Arial"/>
          <w:b/>
          <w:bCs/>
          <w:sz w:val="22"/>
          <w:szCs w:val="22"/>
          <w:lang w:val="es-ES"/>
        </w:rPr>
      </w:pPr>
    </w:p>
    <w:p w14:paraId="2A937F97" w14:textId="77777777" w:rsidR="0091398D" w:rsidRDefault="0091398D" w:rsidP="00894738">
      <w:pPr>
        <w:pStyle w:val="Default"/>
        <w:rPr>
          <w:rFonts w:ascii="Arial" w:hAnsi="Arial" w:cs="Arial"/>
          <w:b/>
          <w:bCs/>
          <w:sz w:val="22"/>
          <w:szCs w:val="22"/>
          <w:lang w:val="es-ES"/>
        </w:rPr>
      </w:pPr>
    </w:p>
    <w:p w14:paraId="77928617" w14:textId="77777777" w:rsidR="0091398D" w:rsidRDefault="0091398D" w:rsidP="00894738">
      <w:pPr>
        <w:pStyle w:val="Default"/>
        <w:rPr>
          <w:rFonts w:ascii="Arial" w:hAnsi="Arial" w:cs="Arial"/>
          <w:b/>
          <w:bCs/>
          <w:sz w:val="22"/>
          <w:szCs w:val="22"/>
          <w:lang w:val="es-ES"/>
        </w:rPr>
      </w:pPr>
    </w:p>
    <w:p w14:paraId="4B2F1013" w14:textId="77777777" w:rsidR="0091398D" w:rsidRDefault="0091398D" w:rsidP="00894738">
      <w:pPr>
        <w:pStyle w:val="Default"/>
        <w:rPr>
          <w:rFonts w:ascii="Arial" w:hAnsi="Arial" w:cs="Arial"/>
          <w:b/>
          <w:bCs/>
          <w:sz w:val="22"/>
          <w:szCs w:val="22"/>
          <w:lang w:val="es-ES"/>
        </w:rPr>
      </w:pPr>
    </w:p>
    <w:p w14:paraId="67887C25" w14:textId="77777777" w:rsidR="0091398D" w:rsidRDefault="0091398D" w:rsidP="00894738">
      <w:pPr>
        <w:pStyle w:val="Default"/>
        <w:rPr>
          <w:rFonts w:ascii="Arial" w:hAnsi="Arial" w:cs="Arial"/>
          <w:b/>
          <w:bCs/>
          <w:sz w:val="22"/>
          <w:szCs w:val="22"/>
          <w:lang w:val="es-ES"/>
        </w:rPr>
      </w:pPr>
    </w:p>
    <w:p w14:paraId="7A0F9013" w14:textId="77777777" w:rsidR="0091398D" w:rsidRDefault="0091398D" w:rsidP="00894738">
      <w:pPr>
        <w:pStyle w:val="Default"/>
        <w:rPr>
          <w:rFonts w:ascii="Arial" w:hAnsi="Arial" w:cs="Arial"/>
          <w:b/>
          <w:bCs/>
          <w:sz w:val="22"/>
          <w:szCs w:val="22"/>
          <w:lang w:val="es-ES"/>
        </w:rPr>
      </w:pPr>
    </w:p>
    <w:p w14:paraId="421713AD" w14:textId="77777777" w:rsidR="00246F19" w:rsidRDefault="00246F19" w:rsidP="00894738">
      <w:pPr>
        <w:pStyle w:val="Default"/>
        <w:rPr>
          <w:rFonts w:ascii="Arial" w:hAnsi="Arial" w:cs="Arial"/>
          <w:b/>
          <w:bCs/>
          <w:sz w:val="22"/>
          <w:szCs w:val="22"/>
          <w:lang w:val="es-ES"/>
        </w:rPr>
      </w:pPr>
    </w:p>
    <w:p w14:paraId="0A5AA78C" w14:textId="77777777" w:rsidR="00246F19" w:rsidRDefault="00246F19" w:rsidP="00894738">
      <w:pPr>
        <w:pStyle w:val="Default"/>
        <w:rPr>
          <w:rFonts w:ascii="Arial" w:hAnsi="Arial" w:cs="Arial"/>
          <w:b/>
          <w:bCs/>
          <w:sz w:val="22"/>
          <w:szCs w:val="22"/>
          <w:lang w:val="es-ES"/>
        </w:rPr>
      </w:pPr>
    </w:p>
    <w:p w14:paraId="52DA5537" w14:textId="77777777" w:rsidR="00246F19" w:rsidRPr="00246F19" w:rsidRDefault="00246F19" w:rsidP="00894738">
      <w:pPr>
        <w:pStyle w:val="Default"/>
        <w:rPr>
          <w:rFonts w:ascii="Arial" w:hAnsi="Arial" w:cs="Arial"/>
          <w:b/>
          <w:bCs/>
          <w:sz w:val="22"/>
          <w:szCs w:val="22"/>
          <w:lang w:val="es-ES"/>
        </w:rPr>
      </w:pPr>
    </w:p>
    <w:p w14:paraId="3B426F69" w14:textId="77777777" w:rsidR="00894738" w:rsidRDefault="00894738" w:rsidP="00894738">
      <w:pPr>
        <w:pStyle w:val="Default"/>
        <w:rPr>
          <w:rFonts w:ascii="Arial" w:hAnsi="Arial" w:cs="Arial"/>
          <w:sz w:val="22"/>
          <w:szCs w:val="22"/>
          <w:lang w:val="es-ES_tradnl"/>
        </w:rPr>
      </w:pPr>
    </w:p>
    <w:p w14:paraId="53C13573" w14:textId="77777777" w:rsidR="00133423" w:rsidRDefault="00133423" w:rsidP="00894738">
      <w:pPr>
        <w:pStyle w:val="Default"/>
        <w:rPr>
          <w:rFonts w:ascii="Arial" w:hAnsi="Arial" w:cs="Arial"/>
          <w:sz w:val="22"/>
          <w:szCs w:val="22"/>
          <w:lang w:val="es-ES_tradnl"/>
        </w:rPr>
      </w:pPr>
    </w:p>
    <w:p w14:paraId="7EB8EF20" w14:textId="77777777" w:rsidR="0091398D" w:rsidRPr="0091398D" w:rsidRDefault="0091398D" w:rsidP="0091398D">
      <w:pPr>
        <w:pStyle w:val="Default"/>
        <w:rPr>
          <w:rFonts w:ascii="Arial" w:hAnsi="Arial" w:cs="Arial"/>
          <w:b/>
          <w:bCs/>
          <w:szCs w:val="28"/>
          <w:lang w:val="es-ES_tradnl"/>
        </w:rPr>
      </w:pPr>
      <w:r>
        <w:rPr>
          <w:rFonts w:ascii="Arial" w:hAnsi="Arial" w:cs="Arial"/>
          <w:b/>
          <w:bCs/>
          <w:szCs w:val="28"/>
          <w:lang w:val="es-ES_tradnl"/>
        </w:rPr>
        <w:lastRenderedPageBreak/>
        <w:t>B</w:t>
      </w:r>
      <w:r w:rsidRPr="0091398D">
        <w:rPr>
          <w:rFonts w:ascii="Arial" w:hAnsi="Arial" w:cs="Arial"/>
          <w:b/>
          <w:bCs/>
          <w:szCs w:val="28"/>
          <w:lang w:val="es-ES_tradnl"/>
        </w:rPr>
        <w:t xml:space="preserve">. Estado de </w:t>
      </w:r>
      <w:r>
        <w:rPr>
          <w:rFonts w:ascii="Arial" w:hAnsi="Arial" w:cs="Arial"/>
          <w:b/>
          <w:bCs/>
          <w:szCs w:val="28"/>
          <w:lang w:val="es-ES_tradnl"/>
        </w:rPr>
        <w:t>Flujo de Caja</w:t>
      </w:r>
    </w:p>
    <w:p w14:paraId="17BA929E" w14:textId="77777777" w:rsidR="0091398D" w:rsidRPr="00894738" w:rsidRDefault="0091398D" w:rsidP="00894738">
      <w:pPr>
        <w:pStyle w:val="Default"/>
        <w:rPr>
          <w:rFonts w:ascii="Arial" w:hAnsi="Arial" w:cs="Arial"/>
          <w:sz w:val="22"/>
          <w:szCs w:val="22"/>
          <w:lang w:val="es-ES_tradnl"/>
        </w:rPr>
      </w:pPr>
    </w:p>
    <w:p w14:paraId="6B9771C4" w14:textId="77777777" w:rsidR="00894738" w:rsidRPr="000B532D" w:rsidRDefault="00894738" w:rsidP="000B532D">
      <w:pPr>
        <w:pStyle w:val="Default"/>
        <w:numPr>
          <w:ilvl w:val="1"/>
          <w:numId w:val="5"/>
        </w:numPr>
        <w:jc w:val="both"/>
        <w:rPr>
          <w:rFonts w:ascii="Arial" w:hAnsi="Arial" w:cs="Arial"/>
          <w:iCs/>
          <w:sz w:val="22"/>
          <w:szCs w:val="22"/>
          <w:lang w:val="es-ES_tradnl"/>
        </w:rPr>
      </w:pPr>
      <w:r w:rsidRPr="00894738">
        <w:rPr>
          <w:rFonts w:ascii="Arial" w:hAnsi="Arial" w:cs="Arial"/>
          <w:i/>
          <w:iCs/>
          <w:sz w:val="22"/>
          <w:szCs w:val="22"/>
          <w:lang w:val="es-ES_tradnl"/>
        </w:rPr>
        <w:t>La generación interna</w:t>
      </w:r>
      <w:r w:rsidR="000B532D">
        <w:rPr>
          <w:rFonts w:ascii="Arial" w:hAnsi="Arial" w:cs="Arial"/>
          <w:i/>
          <w:iCs/>
          <w:sz w:val="22"/>
          <w:szCs w:val="22"/>
          <w:lang w:val="es-ES_tradnl"/>
        </w:rPr>
        <w:t>.</w:t>
      </w:r>
      <w:r w:rsidRPr="000B532D">
        <w:rPr>
          <w:rFonts w:ascii="Arial" w:hAnsi="Arial" w:cs="Arial"/>
          <w:iCs/>
          <w:sz w:val="22"/>
          <w:szCs w:val="22"/>
          <w:lang w:val="es-ES_tradnl"/>
        </w:rPr>
        <w:t xml:space="preserve"> </w:t>
      </w:r>
      <w:r w:rsidR="00E96B70">
        <w:rPr>
          <w:rFonts w:ascii="Arial" w:hAnsi="Arial" w:cs="Arial"/>
          <w:iCs/>
          <w:sz w:val="22"/>
          <w:szCs w:val="22"/>
          <w:lang w:val="es-ES_tradnl"/>
        </w:rPr>
        <w:t xml:space="preserve">Durante los tres últimos años, </w:t>
      </w:r>
      <w:r w:rsidR="00A86BFB">
        <w:rPr>
          <w:rFonts w:ascii="Arial" w:hAnsi="Arial" w:cs="Arial"/>
          <w:iCs/>
          <w:sz w:val="22"/>
          <w:szCs w:val="22"/>
          <w:lang w:val="es-ES_tradnl"/>
        </w:rPr>
        <w:t xml:space="preserve">el flujo de fondos operativos (antes del ajuste por capital de trabajo) se permaneció muy fuerte (con el valor promedio de US$38,7 millones). El ajuste por capital de trabajo fue constantemente negativo (menos </w:t>
      </w:r>
      <w:r w:rsidR="00A86BFB" w:rsidRPr="000B532D">
        <w:rPr>
          <w:rFonts w:ascii="Arial" w:hAnsi="Arial" w:cs="Arial"/>
          <w:iCs/>
          <w:sz w:val="22"/>
          <w:szCs w:val="22"/>
          <w:lang w:val="es-ES_tradnl"/>
        </w:rPr>
        <w:t>US$</w:t>
      </w:r>
      <w:r w:rsidR="00A86BFB">
        <w:rPr>
          <w:rFonts w:ascii="Arial" w:hAnsi="Arial" w:cs="Arial"/>
          <w:iCs/>
          <w:sz w:val="22"/>
          <w:szCs w:val="22"/>
          <w:lang w:val="es-ES_tradnl"/>
        </w:rPr>
        <w:t>20</w:t>
      </w:r>
      <w:r w:rsidR="00A86BFB" w:rsidRPr="000B532D">
        <w:rPr>
          <w:rFonts w:ascii="Arial" w:hAnsi="Arial" w:cs="Arial"/>
          <w:iCs/>
          <w:sz w:val="22"/>
          <w:szCs w:val="22"/>
          <w:lang w:val="es-ES_tradnl"/>
        </w:rPr>
        <w:t>,</w:t>
      </w:r>
      <w:r w:rsidR="00A86BFB">
        <w:rPr>
          <w:rFonts w:ascii="Arial" w:hAnsi="Arial" w:cs="Arial"/>
          <w:iCs/>
          <w:sz w:val="22"/>
          <w:szCs w:val="22"/>
          <w:lang w:val="es-ES_tradnl"/>
        </w:rPr>
        <w:t>3</w:t>
      </w:r>
      <w:r w:rsidR="00A86BFB" w:rsidRPr="000B532D">
        <w:rPr>
          <w:rFonts w:ascii="Arial" w:hAnsi="Arial" w:cs="Arial"/>
          <w:iCs/>
          <w:sz w:val="22"/>
          <w:szCs w:val="22"/>
          <w:lang w:val="es-ES_tradnl"/>
        </w:rPr>
        <w:t xml:space="preserve"> millones</w:t>
      </w:r>
      <w:r w:rsidR="00A86BFB">
        <w:rPr>
          <w:rFonts w:ascii="Arial" w:hAnsi="Arial" w:cs="Arial"/>
          <w:iCs/>
          <w:sz w:val="22"/>
          <w:szCs w:val="22"/>
          <w:lang w:val="es-ES_tradnl"/>
        </w:rPr>
        <w:t xml:space="preserve">), acumulándose un rubro contable que se llama </w:t>
      </w:r>
      <w:r w:rsidR="00A4530A">
        <w:rPr>
          <w:rFonts w:ascii="Arial" w:hAnsi="Arial" w:cs="Arial"/>
          <w:iCs/>
          <w:sz w:val="22"/>
          <w:szCs w:val="22"/>
          <w:lang w:val="es-ES_tradnl"/>
        </w:rPr>
        <w:t xml:space="preserve">la </w:t>
      </w:r>
      <w:r w:rsidR="00A86BFB">
        <w:rPr>
          <w:rFonts w:ascii="Arial" w:hAnsi="Arial" w:cs="Arial"/>
          <w:iCs/>
          <w:sz w:val="22"/>
          <w:szCs w:val="22"/>
          <w:lang w:val="es-ES_tradnl"/>
        </w:rPr>
        <w:t xml:space="preserve">Cobranza </w:t>
      </w:r>
      <w:r w:rsidR="00A4530A">
        <w:rPr>
          <w:rFonts w:ascii="Arial" w:hAnsi="Arial" w:cs="Arial"/>
          <w:iCs/>
          <w:sz w:val="22"/>
          <w:szCs w:val="22"/>
          <w:lang w:val="es-ES_tradnl"/>
        </w:rPr>
        <w:t>en poder de la</w:t>
      </w:r>
      <w:r w:rsidR="00A86BFB">
        <w:rPr>
          <w:rFonts w:ascii="Arial" w:hAnsi="Arial" w:cs="Arial"/>
          <w:iCs/>
          <w:sz w:val="22"/>
          <w:szCs w:val="22"/>
          <w:lang w:val="es-ES_tradnl"/>
        </w:rPr>
        <w:t xml:space="preserve"> Intendencia</w:t>
      </w:r>
      <w:r w:rsidR="00A4530A">
        <w:rPr>
          <w:rStyle w:val="FootnoteReference"/>
          <w:rFonts w:ascii="Arial" w:hAnsi="Arial" w:cs="Arial"/>
          <w:iCs/>
          <w:sz w:val="22"/>
          <w:szCs w:val="22"/>
          <w:lang w:val="es-ES_tradnl"/>
        </w:rPr>
        <w:footnoteReference w:id="7"/>
      </w:r>
      <w:r w:rsidR="00A86BFB">
        <w:rPr>
          <w:rFonts w:ascii="Arial" w:hAnsi="Arial" w:cs="Arial"/>
          <w:iCs/>
          <w:sz w:val="22"/>
          <w:szCs w:val="22"/>
          <w:lang w:val="es-ES_tradnl"/>
        </w:rPr>
        <w:t>.</w:t>
      </w:r>
      <w:r w:rsidR="00A4530A">
        <w:rPr>
          <w:rFonts w:ascii="Arial" w:hAnsi="Arial" w:cs="Arial"/>
          <w:iCs/>
          <w:sz w:val="22"/>
          <w:szCs w:val="22"/>
          <w:lang w:val="es-ES_tradnl"/>
        </w:rPr>
        <w:t xml:space="preserve"> Tras dicho ajuste de capital de trabajo, el flujo de fondos</w:t>
      </w:r>
      <w:r w:rsidRPr="000B532D">
        <w:rPr>
          <w:rFonts w:ascii="Arial" w:hAnsi="Arial" w:cs="Arial"/>
          <w:iCs/>
          <w:sz w:val="22"/>
          <w:szCs w:val="22"/>
          <w:lang w:val="es-ES_tradnl"/>
        </w:rPr>
        <w:t xml:space="preserve"> operativo</w:t>
      </w:r>
      <w:r w:rsidR="00A4530A">
        <w:rPr>
          <w:rFonts w:ascii="Arial" w:hAnsi="Arial" w:cs="Arial"/>
          <w:iCs/>
          <w:sz w:val="22"/>
          <w:szCs w:val="22"/>
          <w:lang w:val="es-ES_tradnl"/>
        </w:rPr>
        <w:t>s</w:t>
      </w:r>
      <w:r w:rsidRPr="000B532D">
        <w:rPr>
          <w:rFonts w:ascii="Arial" w:hAnsi="Arial" w:cs="Arial"/>
          <w:iCs/>
          <w:sz w:val="22"/>
          <w:szCs w:val="22"/>
          <w:lang w:val="es-ES_tradnl"/>
        </w:rPr>
        <w:t xml:space="preserve"> </w:t>
      </w:r>
      <w:r w:rsidR="00A4530A">
        <w:rPr>
          <w:rFonts w:ascii="Arial" w:hAnsi="Arial" w:cs="Arial"/>
          <w:iCs/>
          <w:sz w:val="22"/>
          <w:szCs w:val="22"/>
          <w:lang w:val="es-ES_tradnl"/>
        </w:rPr>
        <w:t>(</w:t>
      </w:r>
      <w:r w:rsidRPr="000B532D">
        <w:rPr>
          <w:rFonts w:ascii="Arial" w:hAnsi="Arial" w:cs="Arial"/>
          <w:iCs/>
          <w:sz w:val="22"/>
          <w:szCs w:val="22"/>
          <w:lang w:val="es-ES_tradnl"/>
        </w:rPr>
        <w:t>US$</w:t>
      </w:r>
      <w:r w:rsidR="00E96B70">
        <w:rPr>
          <w:rFonts w:ascii="Arial" w:hAnsi="Arial" w:cs="Arial"/>
          <w:iCs/>
          <w:sz w:val="22"/>
          <w:szCs w:val="22"/>
          <w:lang w:val="es-ES_tradnl"/>
        </w:rPr>
        <w:t>18</w:t>
      </w:r>
      <w:r w:rsidRPr="000B532D">
        <w:rPr>
          <w:rFonts w:ascii="Arial" w:hAnsi="Arial" w:cs="Arial"/>
          <w:iCs/>
          <w:sz w:val="22"/>
          <w:szCs w:val="22"/>
          <w:lang w:val="es-ES_tradnl"/>
        </w:rPr>
        <w:t>,</w:t>
      </w:r>
      <w:r w:rsidR="00E96B70">
        <w:rPr>
          <w:rFonts w:ascii="Arial" w:hAnsi="Arial" w:cs="Arial"/>
          <w:iCs/>
          <w:sz w:val="22"/>
          <w:szCs w:val="22"/>
          <w:lang w:val="es-ES_tradnl"/>
        </w:rPr>
        <w:t>5</w:t>
      </w:r>
      <w:r w:rsidRPr="000B532D">
        <w:rPr>
          <w:rFonts w:ascii="Arial" w:hAnsi="Arial" w:cs="Arial"/>
          <w:iCs/>
          <w:sz w:val="22"/>
          <w:szCs w:val="22"/>
          <w:lang w:val="es-ES_tradnl"/>
        </w:rPr>
        <w:t xml:space="preserve"> millones) permitió financiar </w:t>
      </w:r>
      <w:r w:rsidR="00E96B70">
        <w:rPr>
          <w:rFonts w:ascii="Arial" w:hAnsi="Arial" w:cs="Arial"/>
          <w:iCs/>
          <w:sz w:val="22"/>
          <w:szCs w:val="22"/>
          <w:lang w:val="es-ES_tradnl"/>
        </w:rPr>
        <w:t>l</w:t>
      </w:r>
      <w:r w:rsidR="00A4530A">
        <w:rPr>
          <w:rFonts w:ascii="Arial" w:hAnsi="Arial" w:cs="Arial"/>
          <w:iCs/>
          <w:sz w:val="22"/>
          <w:szCs w:val="22"/>
          <w:lang w:val="es-ES_tradnl"/>
        </w:rPr>
        <w:t>o</w:t>
      </w:r>
      <w:r w:rsidR="00E96B70">
        <w:rPr>
          <w:rFonts w:ascii="Arial" w:hAnsi="Arial" w:cs="Arial"/>
          <w:iCs/>
          <w:sz w:val="22"/>
          <w:szCs w:val="22"/>
          <w:lang w:val="es-ES_tradnl"/>
        </w:rPr>
        <w:t>s servicios de las deudas</w:t>
      </w:r>
      <w:r w:rsidRPr="000B532D">
        <w:rPr>
          <w:rFonts w:ascii="Arial" w:hAnsi="Arial" w:cs="Arial"/>
          <w:iCs/>
          <w:sz w:val="22"/>
          <w:szCs w:val="22"/>
          <w:lang w:val="es-ES_tradnl"/>
        </w:rPr>
        <w:t xml:space="preserve"> (US$</w:t>
      </w:r>
      <w:r w:rsidR="00E96B70">
        <w:rPr>
          <w:rFonts w:ascii="Arial" w:hAnsi="Arial" w:cs="Arial"/>
          <w:iCs/>
          <w:sz w:val="22"/>
          <w:szCs w:val="22"/>
          <w:lang w:val="es-ES_tradnl"/>
        </w:rPr>
        <w:t>13</w:t>
      </w:r>
      <w:r w:rsidRPr="000B532D">
        <w:rPr>
          <w:rFonts w:ascii="Arial" w:hAnsi="Arial" w:cs="Arial"/>
          <w:iCs/>
          <w:sz w:val="22"/>
          <w:szCs w:val="22"/>
          <w:lang w:val="es-ES_tradnl"/>
        </w:rPr>
        <w:t>,</w:t>
      </w:r>
      <w:r w:rsidR="00E96B70">
        <w:rPr>
          <w:rFonts w:ascii="Arial" w:hAnsi="Arial" w:cs="Arial"/>
          <w:iCs/>
          <w:sz w:val="22"/>
          <w:szCs w:val="22"/>
          <w:lang w:val="es-ES_tradnl"/>
        </w:rPr>
        <w:t>3</w:t>
      </w:r>
      <w:r w:rsidRPr="000B532D">
        <w:rPr>
          <w:rFonts w:ascii="Arial" w:hAnsi="Arial" w:cs="Arial"/>
          <w:iCs/>
          <w:sz w:val="22"/>
          <w:szCs w:val="22"/>
          <w:lang w:val="es-ES_tradnl"/>
        </w:rPr>
        <w:t xml:space="preserve"> millones). </w:t>
      </w:r>
    </w:p>
    <w:p w14:paraId="2BF45927" w14:textId="77777777" w:rsidR="000B532D" w:rsidRPr="00E84169" w:rsidRDefault="000B532D" w:rsidP="000B532D">
      <w:pPr>
        <w:pStyle w:val="Default"/>
        <w:ind w:left="360"/>
        <w:jc w:val="both"/>
        <w:rPr>
          <w:rFonts w:ascii="Arial" w:hAnsi="Arial" w:cs="Arial"/>
          <w:iCs/>
          <w:sz w:val="22"/>
          <w:szCs w:val="22"/>
          <w:lang w:val="es-ES_tradnl"/>
        </w:rPr>
      </w:pPr>
    </w:p>
    <w:p w14:paraId="580CE4D7" w14:textId="77777777" w:rsidR="00894738" w:rsidRPr="003D7D92" w:rsidRDefault="00894738" w:rsidP="000B532D">
      <w:pPr>
        <w:pStyle w:val="Default"/>
        <w:numPr>
          <w:ilvl w:val="1"/>
          <w:numId w:val="5"/>
        </w:numPr>
        <w:jc w:val="both"/>
        <w:rPr>
          <w:rFonts w:ascii="Arial" w:hAnsi="Arial" w:cs="Arial"/>
          <w:i/>
          <w:iCs/>
          <w:sz w:val="22"/>
          <w:szCs w:val="22"/>
          <w:lang w:val="es-ES_tradnl"/>
        </w:rPr>
      </w:pPr>
      <w:r w:rsidRPr="00894738">
        <w:rPr>
          <w:rFonts w:ascii="Arial" w:hAnsi="Arial" w:cs="Arial"/>
          <w:i/>
          <w:iCs/>
          <w:sz w:val="22"/>
          <w:szCs w:val="22"/>
          <w:lang w:val="es-ES_tradnl"/>
        </w:rPr>
        <w:t xml:space="preserve">Programa de Inversiones y financiamiento. </w:t>
      </w:r>
      <w:r w:rsidRPr="000B532D">
        <w:rPr>
          <w:rFonts w:ascii="Arial" w:hAnsi="Arial" w:cs="Arial"/>
          <w:iCs/>
          <w:sz w:val="22"/>
          <w:szCs w:val="22"/>
          <w:lang w:val="es-ES_tradnl"/>
        </w:rPr>
        <w:t>El</w:t>
      </w:r>
      <w:r w:rsidR="00E96B70">
        <w:rPr>
          <w:rFonts w:ascii="Arial" w:hAnsi="Arial" w:cs="Arial"/>
          <w:iCs/>
          <w:sz w:val="22"/>
          <w:szCs w:val="22"/>
          <w:lang w:val="es-ES_tradnl"/>
        </w:rPr>
        <w:t xml:space="preserve"> SS de la IM realizó en el promedio las inversiones del US$23,8 millones durante los últimos tres años.</w:t>
      </w:r>
      <w:r w:rsidRPr="000B532D">
        <w:rPr>
          <w:rFonts w:ascii="Arial" w:hAnsi="Arial" w:cs="Arial"/>
          <w:iCs/>
          <w:sz w:val="22"/>
          <w:szCs w:val="22"/>
          <w:lang w:val="es-ES_tradnl"/>
        </w:rPr>
        <w:t xml:space="preserve"> </w:t>
      </w:r>
      <w:r w:rsidR="00E96B70">
        <w:rPr>
          <w:rFonts w:ascii="Arial" w:hAnsi="Arial" w:cs="Arial"/>
          <w:iCs/>
          <w:sz w:val="22"/>
          <w:szCs w:val="22"/>
          <w:lang w:val="es-ES_tradnl"/>
        </w:rPr>
        <w:t>Estas inversiones fueron principalmente las obras de</w:t>
      </w:r>
      <w:r w:rsidR="00870643">
        <w:rPr>
          <w:rFonts w:ascii="Arial" w:hAnsi="Arial" w:cs="Arial"/>
          <w:iCs/>
          <w:sz w:val="22"/>
          <w:szCs w:val="22"/>
          <w:lang w:val="es-ES_tradnl"/>
        </w:rPr>
        <w:t>l PSU IV</w:t>
      </w:r>
      <w:r w:rsidR="00A4530A">
        <w:rPr>
          <w:rFonts w:ascii="Arial" w:hAnsi="Arial" w:cs="Arial"/>
          <w:iCs/>
          <w:sz w:val="22"/>
          <w:szCs w:val="22"/>
          <w:lang w:val="es-ES_tradnl"/>
        </w:rPr>
        <w:t>, por lo que a fuente de financiamiento principal para las inversiones fue los recursos de los préstamos del BID. El monto de inversión financiada por los propios recursos de la IM durante el periodo fue aproximadamente 20% del monto de inversión total</w:t>
      </w:r>
      <w:r w:rsidRPr="000B532D">
        <w:rPr>
          <w:rFonts w:ascii="Arial" w:hAnsi="Arial" w:cs="Arial"/>
          <w:iCs/>
          <w:sz w:val="22"/>
          <w:szCs w:val="22"/>
          <w:lang w:val="es-ES_tradnl"/>
        </w:rPr>
        <w:t xml:space="preserve"> </w:t>
      </w:r>
      <w:r w:rsidR="00A4530A">
        <w:rPr>
          <w:rFonts w:ascii="Arial" w:hAnsi="Arial" w:cs="Arial"/>
          <w:iCs/>
          <w:sz w:val="22"/>
          <w:szCs w:val="22"/>
          <w:lang w:val="es-ES_tradnl"/>
        </w:rPr>
        <w:t>(US$4,7 millones)</w:t>
      </w:r>
      <w:r w:rsidRPr="000B532D">
        <w:rPr>
          <w:rFonts w:ascii="Arial" w:hAnsi="Arial" w:cs="Arial"/>
          <w:sz w:val="22"/>
          <w:szCs w:val="22"/>
          <w:lang w:val="es-ES_tradnl"/>
        </w:rPr>
        <w:t>.</w:t>
      </w:r>
    </w:p>
    <w:p w14:paraId="01B3E460" w14:textId="77777777" w:rsidR="003D7D92" w:rsidRDefault="003D7D92" w:rsidP="003D7D92">
      <w:pPr>
        <w:pStyle w:val="Default"/>
        <w:ind w:left="360"/>
        <w:jc w:val="both"/>
        <w:rPr>
          <w:rFonts w:ascii="Arial" w:hAnsi="Arial" w:cs="Arial"/>
          <w:i/>
          <w:iCs/>
          <w:sz w:val="22"/>
          <w:szCs w:val="22"/>
          <w:lang w:val="es-ES_tradnl"/>
        </w:rPr>
      </w:pPr>
    </w:p>
    <w:p w14:paraId="6D4CE94D" w14:textId="77777777" w:rsidR="003D7D92" w:rsidRPr="003D7D92" w:rsidRDefault="003D7D92" w:rsidP="003D7D92">
      <w:pPr>
        <w:pStyle w:val="Default"/>
        <w:numPr>
          <w:ilvl w:val="1"/>
          <w:numId w:val="5"/>
        </w:numPr>
        <w:jc w:val="both"/>
        <w:rPr>
          <w:rFonts w:ascii="Arial" w:hAnsi="Arial" w:cs="Arial"/>
          <w:i/>
          <w:iCs/>
          <w:sz w:val="22"/>
          <w:szCs w:val="22"/>
          <w:lang w:val="es-ES_tradnl"/>
        </w:rPr>
      </w:pPr>
      <w:r>
        <w:rPr>
          <w:rFonts w:ascii="Arial" w:hAnsi="Arial" w:cs="Arial"/>
          <w:i/>
          <w:iCs/>
          <w:sz w:val="22"/>
          <w:szCs w:val="22"/>
          <w:lang w:val="es-ES_tradnl"/>
        </w:rPr>
        <w:t>Flujo de Caja del Ejercicio</w:t>
      </w:r>
      <w:r w:rsidRPr="000B532D">
        <w:rPr>
          <w:rFonts w:ascii="Arial" w:hAnsi="Arial" w:cs="Arial"/>
          <w:i/>
          <w:iCs/>
          <w:sz w:val="22"/>
          <w:szCs w:val="22"/>
          <w:lang w:val="es-ES_tradnl"/>
        </w:rPr>
        <w:t xml:space="preserve">. </w:t>
      </w:r>
      <w:r>
        <w:rPr>
          <w:rFonts w:ascii="Arial" w:hAnsi="Arial" w:cs="Arial"/>
          <w:sz w:val="22"/>
          <w:szCs w:val="22"/>
          <w:lang w:val="es-ES_tradnl"/>
        </w:rPr>
        <w:t>En el promedio de los tres últimos años, el flujo de caja del ejercicio fue positivo (US$5,3 millones).</w:t>
      </w:r>
    </w:p>
    <w:p w14:paraId="3A9F122E" w14:textId="42B855AE" w:rsidR="008F121C" w:rsidRDefault="00A4530A" w:rsidP="008F121C">
      <w:pPr>
        <w:pStyle w:val="Paragraph"/>
        <w:numPr>
          <w:ilvl w:val="0"/>
          <w:numId w:val="0"/>
        </w:numPr>
        <w:jc w:val="center"/>
        <w:rPr>
          <w:rFonts w:ascii="Arial" w:hAnsi="Arial" w:cs="Arial"/>
          <w:b/>
          <w:bCs/>
          <w:sz w:val="22"/>
          <w:szCs w:val="22"/>
        </w:rPr>
      </w:pPr>
      <w:r>
        <w:rPr>
          <w:rFonts w:ascii="Arial" w:hAnsi="Arial" w:cs="Arial"/>
          <w:sz w:val="22"/>
          <w:szCs w:val="22"/>
          <w:u w:val="single"/>
        </w:rPr>
        <w:br/>
      </w:r>
      <w:r w:rsidR="008F121C" w:rsidRPr="00BA4588">
        <w:rPr>
          <w:rFonts w:ascii="Arial" w:hAnsi="Arial" w:cs="Arial"/>
          <w:sz w:val="22"/>
          <w:szCs w:val="22"/>
          <w:u w:val="single"/>
        </w:rPr>
        <w:t xml:space="preserve">Cuadro </w:t>
      </w:r>
      <w:r w:rsidR="008F121C">
        <w:rPr>
          <w:rFonts w:ascii="Arial" w:hAnsi="Arial" w:cs="Arial"/>
          <w:sz w:val="22"/>
          <w:szCs w:val="22"/>
          <w:u w:val="single"/>
        </w:rPr>
        <w:t>2</w:t>
      </w:r>
      <w:r w:rsidR="008F121C" w:rsidRPr="00BA4588">
        <w:rPr>
          <w:rFonts w:ascii="Arial" w:hAnsi="Arial" w:cs="Arial"/>
          <w:sz w:val="22"/>
          <w:szCs w:val="22"/>
          <w:u w:val="single"/>
        </w:rPr>
        <w:t xml:space="preserve">. Estado de </w:t>
      </w:r>
      <w:r w:rsidR="008F121C">
        <w:rPr>
          <w:rFonts w:ascii="Arial" w:hAnsi="Arial" w:cs="Arial"/>
          <w:sz w:val="22"/>
          <w:szCs w:val="22"/>
          <w:u w:val="single"/>
        </w:rPr>
        <w:t xml:space="preserve">Flujo de Caja </w:t>
      </w:r>
      <w:r w:rsidR="008F121C" w:rsidRPr="00BA4588">
        <w:rPr>
          <w:rFonts w:ascii="Arial" w:hAnsi="Arial" w:cs="Arial"/>
          <w:sz w:val="22"/>
          <w:szCs w:val="22"/>
          <w:u w:val="single"/>
        </w:rPr>
        <w:t>Histórico (en miles de US$ de 2015)</w:t>
      </w:r>
    </w:p>
    <w:p w14:paraId="03894C27" w14:textId="3D40CD71" w:rsidR="008F121C" w:rsidRDefault="008F0430" w:rsidP="008F121C">
      <w:pPr>
        <w:pStyle w:val="Default"/>
        <w:jc w:val="both"/>
        <w:rPr>
          <w:rFonts w:ascii="Arial" w:hAnsi="Arial" w:cs="Arial"/>
          <w:i/>
          <w:iCs/>
          <w:sz w:val="22"/>
          <w:szCs w:val="22"/>
          <w:lang w:val="es-ES_tradnl"/>
        </w:rPr>
      </w:pPr>
      <w:r w:rsidRPr="008F0430">
        <w:rPr>
          <w:noProof/>
          <w:lang w:eastAsia="en-US"/>
        </w:rPr>
        <w:drawing>
          <wp:anchor distT="0" distB="0" distL="114300" distR="114300" simplePos="0" relativeHeight="251686912" behindDoc="1" locked="0" layoutInCell="1" allowOverlap="1" wp14:anchorId="71C2DB7C" wp14:editId="56275D3E">
            <wp:simplePos x="0" y="0"/>
            <wp:positionH relativeFrom="column">
              <wp:posOffset>438150</wp:posOffset>
            </wp:positionH>
            <wp:positionV relativeFrom="paragraph">
              <wp:posOffset>134620</wp:posOffset>
            </wp:positionV>
            <wp:extent cx="5086350" cy="3790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6350" cy="3790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3B14B0" w14:textId="5C7630F3" w:rsidR="008F121C" w:rsidRDefault="008F121C" w:rsidP="008F121C">
      <w:pPr>
        <w:pStyle w:val="Default"/>
        <w:jc w:val="both"/>
        <w:rPr>
          <w:rFonts w:ascii="Arial" w:hAnsi="Arial" w:cs="Arial"/>
          <w:i/>
          <w:iCs/>
          <w:sz w:val="22"/>
          <w:szCs w:val="22"/>
          <w:lang w:val="es-ES_tradnl"/>
        </w:rPr>
      </w:pPr>
    </w:p>
    <w:p w14:paraId="06957756" w14:textId="77777777" w:rsidR="008F121C" w:rsidRDefault="008F121C" w:rsidP="008F121C">
      <w:pPr>
        <w:pStyle w:val="Default"/>
        <w:jc w:val="both"/>
        <w:rPr>
          <w:rFonts w:ascii="Arial" w:hAnsi="Arial" w:cs="Arial"/>
          <w:i/>
          <w:iCs/>
          <w:sz w:val="22"/>
          <w:szCs w:val="22"/>
          <w:lang w:val="es-ES_tradnl"/>
        </w:rPr>
      </w:pPr>
    </w:p>
    <w:p w14:paraId="2F0FD817" w14:textId="77777777" w:rsidR="008F121C" w:rsidRDefault="008F121C" w:rsidP="008F121C">
      <w:pPr>
        <w:pStyle w:val="Default"/>
        <w:jc w:val="both"/>
        <w:rPr>
          <w:rFonts w:ascii="Arial" w:hAnsi="Arial" w:cs="Arial"/>
          <w:i/>
          <w:iCs/>
          <w:sz w:val="22"/>
          <w:szCs w:val="22"/>
          <w:lang w:val="es-ES_tradnl"/>
        </w:rPr>
      </w:pPr>
    </w:p>
    <w:p w14:paraId="0DE1A687" w14:textId="77777777" w:rsidR="008F121C" w:rsidRDefault="008F121C" w:rsidP="008F121C">
      <w:pPr>
        <w:pStyle w:val="Default"/>
        <w:jc w:val="both"/>
        <w:rPr>
          <w:rFonts w:ascii="Arial" w:hAnsi="Arial" w:cs="Arial"/>
          <w:i/>
          <w:iCs/>
          <w:sz w:val="22"/>
          <w:szCs w:val="22"/>
          <w:lang w:val="es-ES_tradnl"/>
        </w:rPr>
      </w:pPr>
    </w:p>
    <w:p w14:paraId="24BE370D" w14:textId="77777777" w:rsidR="008F121C" w:rsidRDefault="008F121C" w:rsidP="008F121C">
      <w:pPr>
        <w:pStyle w:val="Default"/>
        <w:jc w:val="both"/>
        <w:rPr>
          <w:rFonts w:ascii="Arial" w:hAnsi="Arial" w:cs="Arial"/>
          <w:i/>
          <w:iCs/>
          <w:sz w:val="22"/>
          <w:szCs w:val="22"/>
          <w:lang w:val="es-ES_tradnl"/>
        </w:rPr>
      </w:pPr>
    </w:p>
    <w:p w14:paraId="3052B56E" w14:textId="77777777" w:rsidR="008F121C" w:rsidRDefault="008F121C" w:rsidP="008F121C">
      <w:pPr>
        <w:pStyle w:val="Default"/>
        <w:jc w:val="both"/>
        <w:rPr>
          <w:rFonts w:ascii="Arial" w:hAnsi="Arial" w:cs="Arial"/>
          <w:i/>
          <w:iCs/>
          <w:sz w:val="22"/>
          <w:szCs w:val="22"/>
          <w:lang w:val="es-ES_tradnl"/>
        </w:rPr>
      </w:pPr>
    </w:p>
    <w:p w14:paraId="70071047" w14:textId="77777777" w:rsidR="008F121C" w:rsidRDefault="008F121C" w:rsidP="008F121C">
      <w:pPr>
        <w:pStyle w:val="Default"/>
        <w:jc w:val="both"/>
        <w:rPr>
          <w:rFonts w:ascii="Arial" w:hAnsi="Arial" w:cs="Arial"/>
          <w:i/>
          <w:iCs/>
          <w:sz w:val="22"/>
          <w:szCs w:val="22"/>
          <w:lang w:val="es-ES_tradnl"/>
        </w:rPr>
      </w:pPr>
    </w:p>
    <w:p w14:paraId="5A087365" w14:textId="77777777" w:rsidR="008F121C" w:rsidRDefault="008F121C" w:rsidP="008F121C">
      <w:pPr>
        <w:pStyle w:val="Default"/>
        <w:jc w:val="both"/>
        <w:rPr>
          <w:rFonts w:ascii="Arial" w:hAnsi="Arial" w:cs="Arial"/>
          <w:i/>
          <w:iCs/>
          <w:sz w:val="22"/>
          <w:szCs w:val="22"/>
          <w:lang w:val="es-ES_tradnl"/>
        </w:rPr>
      </w:pPr>
    </w:p>
    <w:p w14:paraId="113FD06C" w14:textId="77777777" w:rsidR="008F121C" w:rsidRDefault="008F121C" w:rsidP="008F121C">
      <w:pPr>
        <w:pStyle w:val="Default"/>
        <w:jc w:val="both"/>
        <w:rPr>
          <w:rFonts w:ascii="Arial" w:hAnsi="Arial" w:cs="Arial"/>
          <w:i/>
          <w:iCs/>
          <w:sz w:val="22"/>
          <w:szCs w:val="22"/>
          <w:lang w:val="es-ES_tradnl"/>
        </w:rPr>
      </w:pPr>
    </w:p>
    <w:p w14:paraId="582B73D5" w14:textId="77777777" w:rsidR="008F121C" w:rsidRDefault="008F121C" w:rsidP="008F121C">
      <w:pPr>
        <w:pStyle w:val="Default"/>
        <w:jc w:val="both"/>
        <w:rPr>
          <w:rFonts w:ascii="Arial" w:hAnsi="Arial" w:cs="Arial"/>
          <w:i/>
          <w:iCs/>
          <w:sz w:val="22"/>
          <w:szCs w:val="22"/>
          <w:lang w:val="es-ES_tradnl"/>
        </w:rPr>
      </w:pPr>
    </w:p>
    <w:p w14:paraId="16079FDA" w14:textId="77777777" w:rsidR="008F121C" w:rsidRDefault="008F121C" w:rsidP="008F121C">
      <w:pPr>
        <w:pStyle w:val="Default"/>
        <w:jc w:val="both"/>
        <w:rPr>
          <w:rFonts w:ascii="Arial" w:hAnsi="Arial" w:cs="Arial"/>
          <w:i/>
          <w:iCs/>
          <w:sz w:val="22"/>
          <w:szCs w:val="22"/>
          <w:lang w:val="es-ES_tradnl"/>
        </w:rPr>
      </w:pPr>
    </w:p>
    <w:p w14:paraId="3D8C3022" w14:textId="77777777" w:rsidR="008F121C" w:rsidRDefault="008F121C" w:rsidP="008F121C">
      <w:pPr>
        <w:pStyle w:val="Default"/>
        <w:jc w:val="both"/>
        <w:rPr>
          <w:rFonts w:ascii="Arial" w:hAnsi="Arial" w:cs="Arial"/>
          <w:i/>
          <w:iCs/>
          <w:sz w:val="22"/>
          <w:szCs w:val="22"/>
          <w:lang w:val="es-ES_tradnl"/>
        </w:rPr>
      </w:pPr>
    </w:p>
    <w:p w14:paraId="461F5C32" w14:textId="77777777" w:rsidR="008F121C" w:rsidRDefault="008F121C" w:rsidP="008F121C">
      <w:pPr>
        <w:pStyle w:val="Default"/>
        <w:jc w:val="both"/>
        <w:rPr>
          <w:rFonts w:ascii="Arial" w:hAnsi="Arial" w:cs="Arial"/>
          <w:i/>
          <w:iCs/>
          <w:sz w:val="22"/>
          <w:szCs w:val="22"/>
          <w:lang w:val="es-ES_tradnl"/>
        </w:rPr>
      </w:pPr>
    </w:p>
    <w:p w14:paraId="3C20CDD2" w14:textId="77777777" w:rsidR="008F121C" w:rsidRDefault="008F121C" w:rsidP="008F121C">
      <w:pPr>
        <w:pStyle w:val="Default"/>
        <w:jc w:val="both"/>
        <w:rPr>
          <w:rFonts w:ascii="Arial" w:hAnsi="Arial" w:cs="Arial"/>
          <w:i/>
          <w:iCs/>
          <w:sz w:val="22"/>
          <w:szCs w:val="22"/>
          <w:lang w:val="es-ES_tradnl"/>
        </w:rPr>
      </w:pPr>
    </w:p>
    <w:p w14:paraId="5184BB18" w14:textId="77777777" w:rsidR="008F121C" w:rsidRDefault="008F121C" w:rsidP="008F121C">
      <w:pPr>
        <w:pStyle w:val="Default"/>
        <w:jc w:val="both"/>
        <w:rPr>
          <w:rFonts w:ascii="Arial" w:hAnsi="Arial" w:cs="Arial"/>
          <w:i/>
          <w:iCs/>
          <w:sz w:val="22"/>
          <w:szCs w:val="22"/>
          <w:lang w:val="es-ES_tradnl"/>
        </w:rPr>
      </w:pPr>
    </w:p>
    <w:p w14:paraId="6C0A5E55" w14:textId="77777777" w:rsidR="008F121C" w:rsidRDefault="008F121C" w:rsidP="008F121C">
      <w:pPr>
        <w:pStyle w:val="Default"/>
        <w:jc w:val="both"/>
        <w:rPr>
          <w:rFonts w:ascii="Arial" w:hAnsi="Arial" w:cs="Arial"/>
          <w:i/>
          <w:iCs/>
          <w:sz w:val="22"/>
          <w:szCs w:val="22"/>
          <w:lang w:val="es-ES_tradnl"/>
        </w:rPr>
      </w:pPr>
    </w:p>
    <w:p w14:paraId="64D1E22E" w14:textId="77777777" w:rsidR="008F121C" w:rsidRDefault="008F121C" w:rsidP="008F121C">
      <w:pPr>
        <w:pStyle w:val="Default"/>
        <w:jc w:val="both"/>
        <w:rPr>
          <w:rFonts w:ascii="Arial" w:hAnsi="Arial" w:cs="Arial"/>
          <w:i/>
          <w:iCs/>
          <w:sz w:val="22"/>
          <w:szCs w:val="22"/>
          <w:lang w:val="es-ES_tradnl"/>
        </w:rPr>
      </w:pPr>
    </w:p>
    <w:p w14:paraId="62DEEFED" w14:textId="77777777" w:rsidR="008F121C" w:rsidRDefault="008F121C" w:rsidP="008F121C">
      <w:pPr>
        <w:pStyle w:val="Default"/>
        <w:jc w:val="both"/>
        <w:rPr>
          <w:rFonts w:ascii="Arial" w:hAnsi="Arial" w:cs="Arial"/>
          <w:i/>
          <w:iCs/>
          <w:sz w:val="22"/>
          <w:szCs w:val="22"/>
          <w:lang w:val="es-ES_tradnl"/>
        </w:rPr>
      </w:pPr>
    </w:p>
    <w:p w14:paraId="1DA7428C" w14:textId="77777777" w:rsidR="008F121C" w:rsidRDefault="008F121C" w:rsidP="008F121C">
      <w:pPr>
        <w:pStyle w:val="Default"/>
        <w:jc w:val="both"/>
        <w:rPr>
          <w:rFonts w:ascii="Arial" w:hAnsi="Arial" w:cs="Arial"/>
          <w:i/>
          <w:iCs/>
          <w:sz w:val="22"/>
          <w:szCs w:val="22"/>
          <w:lang w:val="es-ES_tradnl"/>
        </w:rPr>
      </w:pPr>
    </w:p>
    <w:p w14:paraId="34B0BA78" w14:textId="77777777" w:rsidR="008F121C" w:rsidRDefault="008F121C" w:rsidP="008F121C">
      <w:pPr>
        <w:pStyle w:val="Default"/>
        <w:jc w:val="both"/>
        <w:rPr>
          <w:rFonts w:ascii="Arial" w:hAnsi="Arial" w:cs="Arial"/>
          <w:i/>
          <w:iCs/>
          <w:sz w:val="22"/>
          <w:szCs w:val="22"/>
          <w:lang w:val="es-ES_tradnl"/>
        </w:rPr>
      </w:pPr>
    </w:p>
    <w:p w14:paraId="7AEE5D9D" w14:textId="77777777" w:rsidR="008F121C" w:rsidRDefault="008F121C" w:rsidP="008F121C">
      <w:pPr>
        <w:pStyle w:val="Default"/>
        <w:jc w:val="both"/>
        <w:rPr>
          <w:rFonts w:ascii="Arial" w:hAnsi="Arial" w:cs="Arial"/>
          <w:i/>
          <w:iCs/>
          <w:sz w:val="22"/>
          <w:szCs w:val="22"/>
          <w:lang w:val="es-ES_tradnl"/>
        </w:rPr>
      </w:pPr>
    </w:p>
    <w:p w14:paraId="258A4FF1" w14:textId="77777777" w:rsidR="008F121C" w:rsidRDefault="008F121C" w:rsidP="008F121C">
      <w:pPr>
        <w:pStyle w:val="Default"/>
        <w:jc w:val="both"/>
        <w:rPr>
          <w:rFonts w:ascii="Arial" w:hAnsi="Arial" w:cs="Arial"/>
          <w:i/>
          <w:iCs/>
          <w:sz w:val="22"/>
          <w:szCs w:val="22"/>
          <w:lang w:val="es-ES_tradnl"/>
        </w:rPr>
      </w:pPr>
    </w:p>
    <w:p w14:paraId="4629866D" w14:textId="77777777" w:rsidR="008F121C" w:rsidRDefault="008F121C" w:rsidP="008F121C">
      <w:pPr>
        <w:pStyle w:val="Default"/>
        <w:jc w:val="both"/>
        <w:rPr>
          <w:rFonts w:ascii="Arial" w:hAnsi="Arial" w:cs="Arial"/>
          <w:i/>
          <w:iCs/>
          <w:sz w:val="22"/>
          <w:szCs w:val="22"/>
          <w:lang w:val="es-ES_tradnl"/>
        </w:rPr>
      </w:pPr>
    </w:p>
    <w:p w14:paraId="5D0FC98C" w14:textId="77777777" w:rsidR="00DB09DD" w:rsidRDefault="00DB09DD" w:rsidP="008F121C">
      <w:pPr>
        <w:pStyle w:val="Default"/>
        <w:jc w:val="both"/>
        <w:rPr>
          <w:rFonts w:ascii="Arial" w:hAnsi="Arial" w:cs="Arial"/>
          <w:i/>
          <w:iCs/>
          <w:sz w:val="22"/>
          <w:szCs w:val="22"/>
          <w:lang w:val="es-ES_tradnl"/>
        </w:rPr>
      </w:pPr>
    </w:p>
    <w:p w14:paraId="7FEC9DDE" w14:textId="77777777" w:rsidR="003D7D92" w:rsidRPr="0091398D" w:rsidRDefault="003D7D92" w:rsidP="003D7D92">
      <w:pPr>
        <w:pStyle w:val="Default"/>
        <w:rPr>
          <w:rFonts w:ascii="Arial" w:hAnsi="Arial" w:cs="Arial"/>
          <w:b/>
          <w:bCs/>
          <w:szCs w:val="28"/>
          <w:lang w:val="es-ES_tradnl"/>
        </w:rPr>
      </w:pPr>
      <w:r>
        <w:rPr>
          <w:rFonts w:ascii="Arial" w:hAnsi="Arial" w:cs="Arial"/>
          <w:b/>
          <w:bCs/>
          <w:szCs w:val="28"/>
          <w:lang w:val="es-ES_tradnl"/>
        </w:rPr>
        <w:lastRenderedPageBreak/>
        <w:t>C</w:t>
      </w:r>
      <w:r w:rsidRPr="0091398D">
        <w:rPr>
          <w:rFonts w:ascii="Arial" w:hAnsi="Arial" w:cs="Arial"/>
          <w:b/>
          <w:bCs/>
          <w:szCs w:val="28"/>
          <w:lang w:val="es-ES_tradnl"/>
        </w:rPr>
        <w:t xml:space="preserve">. Estado de </w:t>
      </w:r>
      <w:r>
        <w:rPr>
          <w:rFonts w:ascii="Arial" w:hAnsi="Arial" w:cs="Arial"/>
          <w:b/>
          <w:bCs/>
          <w:szCs w:val="28"/>
          <w:lang w:val="es-ES_tradnl"/>
        </w:rPr>
        <w:t>Balance</w:t>
      </w:r>
    </w:p>
    <w:p w14:paraId="33714E3A" w14:textId="77777777" w:rsidR="00894738" w:rsidRPr="008F121C" w:rsidRDefault="00894738" w:rsidP="00894738">
      <w:pPr>
        <w:pStyle w:val="Default"/>
        <w:rPr>
          <w:rFonts w:ascii="Arial" w:hAnsi="Arial" w:cs="Arial"/>
          <w:sz w:val="22"/>
          <w:szCs w:val="22"/>
          <w:lang w:val="es-ES"/>
        </w:rPr>
      </w:pPr>
    </w:p>
    <w:p w14:paraId="1CD2D539" w14:textId="77777777" w:rsidR="00894738" w:rsidRPr="009D11A1" w:rsidRDefault="00894738" w:rsidP="000B532D">
      <w:pPr>
        <w:pStyle w:val="Default"/>
        <w:numPr>
          <w:ilvl w:val="1"/>
          <w:numId w:val="5"/>
        </w:numPr>
        <w:jc w:val="both"/>
        <w:rPr>
          <w:rFonts w:ascii="Arial" w:hAnsi="Arial" w:cs="Arial"/>
          <w:iCs/>
          <w:sz w:val="22"/>
          <w:szCs w:val="22"/>
          <w:lang w:val="es-ES_tradnl"/>
        </w:rPr>
      </w:pPr>
      <w:r w:rsidRPr="009D11A1">
        <w:rPr>
          <w:rFonts w:ascii="Arial" w:hAnsi="Arial" w:cs="Arial"/>
          <w:iCs/>
          <w:sz w:val="22"/>
          <w:szCs w:val="22"/>
          <w:lang w:val="es-ES_tradnl"/>
        </w:rPr>
        <w:t>Los estados</w:t>
      </w:r>
      <w:r w:rsidR="006F29F6" w:rsidRPr="009D11A1">
        <w:rPr>
          <w:rFonts w:ascii="Arial" w:hAnsi="Arial" w:cs="Arial"/>
          <w:iCs/>
          <w:sz w:val="22"/>
          <w:szCs w:val="22"/>
          <w:lang w:val="es-ES_tradnl"/>
        </w:rPr>
        <w:t xml:space="preserve"> financieros correspondientes al diciembre de 2015 </w:t>
      </w:r>
      <w:r w:rsidRPr="009D11A1">
        <w:rPr>
          <w:rFonts w:ascii="Arial" w:hAnsi="Arial" w:cs="Arial"/>
          <w:iCs/>
          <w:sz w:val="22"/>
          <w:szCs w:val="22"/>
          <w:lang w:val="es-ES_tradnl"/>
        </w:rPr>
        <w:t xml:space="preserve">indican que los activos se encuentra respaldados en un </w:t>
      </w:r>
      <w:r w:rsidR="00422A30" w:rsidRPr="009D11A1">
        <w:rPr>
          <w:rFonts w:ascii="Arial" w:hAnsi="Arial" w:cs="Arial"/>
          <w:iCs/>
          <w:sz w:val="22"/>
          <w:szCs w:val="22"/>
          <w:lang w:val="es-ES_tradnl"/>
        </w:rPr>
        <w:t>48</w:t>
      </w:r>
      <w:r w:rsidRPr="009D11A1">
        <w:rPr>
          <w:rFonts w:ascii="Arial" w:hAnsi="Arial" w:cs="Arial"/>
          <w:iCs/>
          <w:sz w:val="22"/>
          <w:szCs w:val="22"/>
          <w:lang w:val="es-ES_tradnl"/>
        </w:rPr>
        <w:t>,</w:t>
      </w:r>
      <w:r w:rsidR="00422A30" w:rsidRPr="009D11A1">
        <w:rPr>
          <w:rFonts w:ascii="Arial" w:hAnsi="Arial" w:cs="Arial"/>
          <w:iCs/>
          <w:sz w:val="22"/>
          <w:szCs w:val="22"/>
          <w:lang w:val="es-ES_tradnl"/>
        </w:rPr>
        <w:t>2</w:t>
      </w:r>
      <w:r w:rsidRPr="009D11A1">
        <w:rPr>
          <w:rFonts w:ascii="Arial" w:hAnsi="Arial" w:cs="Arial"/>
          <w:iCs/>
          <w:sz w:val="22"/>
          <w:szCs w:val="22"/>
          <w:lang w:val="es-ES_tradnl"/>
        </w:rPr>
        <w:t xml:space="preserve"> % con capital propio y </w:t>
      </w:r>
      <w:r w:rsidR="00422A30" w:rsidRPr="009D11A1">
        <w:rPr>
          <w:rFonts w:ascii="Arial" w:hAnsi="Arial" w:cs="Arial"/>
          <w:iCs/>
          <w:sz w:val="22"/>
          <w:szCs w:val="22"/>
          <w:lang w:val="es-ES_tradnl"/>
        </w:rPr>
        <w:t>51</w:t>
      </w:r>
      <w:r w:rsidRPr="009D11A1">
        <w:rPr>
          <w:rFonts w:ascii="Arial" w:hAnsi="Arial" w:cs="Arial"/>
          <w:iCs/>
          <w:sz w:val="22"/>
          <w:szCs w:val="22"/>
          <w:lang w:val="es-ES_tradnl"/>
        </w:rPr>
        <w:t>,</w:t>
      </w:r>
      <w:r w:rsidR="00422A30" w:rsidRPr="009D11A1">
        <w:rPr>
          <w:rFonts w:ascii="Arial" w:hAnsi="Arial" w:cs="Arial"/>
          <w:iCs/>
          <w:sz w:val="22"/>
          <w:szCs w:val="22"/>
          <w:lang w:val="es-ES_tradnl"/>
        </w:rPr>
        <w:t>8</w:t>
      </w:r>
      <w:r w:rsidRPr="009D11A1">
        <w:rPr>
          <w:rFonts w:ascii="Arial" w:hAnsi="Arial" w:cs="Arial"/>
          <w:iCs/>
          <w:sz w:val="22"/>
          <w:szCs w:val="22"/>
          <w:lang w:val="es-ES_tradnl"/>
        </w:rPr>
        <w:t xml:space="preserve">% con </w:t>
      </w:r>
      <w:r w:rsidR="001F567D" w:rsidRPr="009D11A1">
        <w:rPr>
          <w:rFonts w:ascii="Arial" w:hAnsi="Arial" w:cs="Arial"/>
          <w:iCs/>
          <w:sz w:val="22"/>
          <w:szCs w:val="22"/>
          <w:lang w:val="es-ES_tradnl"/>
        </w:rPr>
        <w:t>capital ajeno.</w:t>
      </w:r>
    </w:p>
    <w:p w14:paraId="5F4AB07D" w14:textId="77777777" w:rsidR="000B532D" w:rsidRPr="009D11A1" w:rsidRDefault="000B532D" w:rsidP="000B532D">
      <w:pPr>
        <w:pStyle w:val="Default"/>
        <w:ind w:left="360"/>
        <w:jc w:val="both"/>
        <w:rPr>
          <w:rFonts w:ascii="Arial" w:hAnsi="Arial" w:cs="Arial"/>
          <w:i/>
          <w:iCs/>
          <w:sz w:val="22"/>
          <w:szCs w:val="22"/>
          <w:lang w:val="es-ES_tradnl"/>
        </w:rPr>
      </w:pPr>
    </w:p>
    <w:p w14:paraId="4F61A1DF" w14:textId="77777777" w:rsidR="001F567D" w:rsidRPr="009D11A1" w:rsidRDefault="00894738" w:rsidP="000B532D">
      <w:pPr>
        <w:pStyle w:val="Default"/>
        <w:numPr>
          <w:ilvl w:val="1"/>
          <w:numId w:val="5"/>
        </w:numPr>
        <w:jc w:val="both"/>
        <w:rPr>
          <w:rFonts w:ascii="Arial" w:hAnsi="Arial" w:cs="Arial"/>
          <w:iCs/>
          <w:sz w:val="22"/>
          <w:szCs w:val="22"/>
          <w:lang w:val="es-ES_tradnl"/>
        </w:rPr>
      </w:pPr>
      <w:r w:rsidRPr="009D11A1">
        <w:rPr>
          <w:rFonts w:ascii="Arial" w:hAnsi="Arial" w:cs="Arial"/>
          <w:i/>
          <w:iCs/>
          <w:sz w:val="22"/>
          <w:szCs w:val="22"/>
          <w:lang w:val="es-ES_tradnl"/>
        </w:rPr>
        <w:t>Activo</w:t>
      </w:r>
      <w:r w:rsidR="001F567D" w:rsidRPr="009D11A1">
        <w:rPr>
          <w:rFonts w:ascii="Arial" w:hAnsi="Arial" w:cs="Arial"/>
          <w:i/>
          <w:iCs/>
          <w:sz w:val="22"/>
          <w:szCs w:val="22"/>
          <w:lang w:val="es-ES_tradnl"/>
        </w:rPr>
        <w:t xml:space="preserve"> Corriente</w:t>
      </w:r>
      <w:r w:rsidRPr="009D11A1">
        <w:rPr>
          <w:rFonts w:ascii="Arial" w:hAnsi="Arial" w:cs="Arial"/>
          <w:i/>
          <w:iCs/>
          <w:sz w:val="22"/>
          <w:szCs w:val="22"/>
          <w:lang w:val="es-ES_tradnl"/>
        </w:rPr>
        <w:t>.</w:t>
      </w:r>
      <w:r w:rsidRPr="009D11A1">
        <w:rPr>
          <w:rFonts w:ascii="Arial" w:hAnsi="Arial" w:cs="Arial"/>
          <w:iCs/>
          <w:sz w:val="22"/>
          <w:szCs w:val="22"/>
          <w:lang w:val="es-ES_tradnl"/>
        </w:rPr>
        <w:t xml:space="preserve"> El activo corriente</w:t>
      </w:r>
      <w:r w:rsidR="006F29F6" w:rsidRPr="009D11A1">
        <w:rPr>
          <w:rFonts w:ascii="Arial" w:hAnsi="Arial" w:cs="Arial"/>
          <w:iCs/>
          <w:sz w:val="22"/>
          <w:szCs w:val="22"/>
          <w:lang w:val="es-ES_tradnl"/>
        </w:rPr>
        <w:t xml:space="preserve"> </w:t>
      </w:r>
      <w:r w:rsidR="006F29F6" w:rsidRPr="009D11A1">
        <w:rPr>
          <w:rFonts w:ascii="Arial" w:hAnsi="Arial" w:cs="Arial"/>
          <w:sz w:val="22"/>
          <w:szCs w:val="22"/>
          <w:lang w:val="es-ES_tradnl"/>
        </w:rPr>
        <w:t>(</w:t>
      </w:r>
      <w:r w:rsidR="00422A30" w:rsidRPr="009D11A1">
        <w:rPr>
          <w:rFonts w:ascii="Arial" w:hAnsi="Arial" w:cs="Arial"/>
          <w:sz w:val="22"/>
          <w:szCs w:val="22"/>
          <w:lang w:val="es-ES_tradnl"/>
        </w:rPr>
        <w:t>41</w:t>
      </w:r>
      <w:r w:rsidR="006F29F6" w:rsidRPr="009D11A1">
        <w:rPr>
          <w:rFonts w:ascii="Arial" w:hAnsi="Arial" w:cs="Arial"/>
          <w:sz w:val="22"/>
          <w:szCs w:val="22"/>
          <w:lang w:val="es-ES_tradnl"/>
        </w:rPr>
        <w:t>,</w:t>
      </w:r>
      <w:r w:rsidR="00422A30" w:rsidRPr="009D11A1">
        <w:rPr>
          <w:rFonts w:ascii="Arial" w:hAnsi="Arial" w:cs="Arial"/>
          <w:sz w:val="22"/>
          <w:szCs w:val="22"/>
          <w:lang w:val="es-ES_tradnl"/>
        </w:rPr>
        <w:t>2</w:t>
      </w:r>
      <w:r w:rsidR="006F29F6" w:rsidRPr="009D11A1">
        <w:rPr>
          <w:rFonts w:ascii="Arial" w:hAnsi="Arial" w:cs="Arial"/>
          <w:sz w:val="22"/>
          <w:szCs w:val="22"/>
          <w:lang w:val="es-ES_tradnl"/>
        </w:rPr>
        <w:t>% del total de activos)</w:t>
      </w:r>
      <w:r w:rsidRPr="009D11A1">
        <w:rPr>
          <w:rFonts w:ascii="Arial" w:hAnsi="Arial" w:cs="Arial"/>
          <w:iCs/>
          <w:sz w:val="22"/>
          <w:szCs w:val="22"/>
          <w:lang w:val="es-ES_tradnl"/>
        </w:rPr>
        <w:t xml:space="preserve"> tiene la capacidad de cubrir </w:t>
      </w:r>
      <w:r w:rsidR="006F29F6" w:rsidRPr="009D11A1">
        <w:rPr>
          <w:rFonts w:ascii="Arial" w:hAnsi="Arial" w:cs="Arial"/>
          <w:iCs/>
          <w:sz w:val="22"/>
          <w:szCs w:val="22"/>
          <w:lang w:val="es-ES_tradnl"/>
        </w:rPr>
        <w:t>3,</w:t>
      </w:r>
      <w:r w:rsidR="00422A30" w:rsidRPr="009D11A1">
        <w:rPr>
          <w:rFonts w:ascii="Arial" w:hAnsi="Arial" w:cs="Arial"/>
          <w:iCs/>
          <w:sz w:val="22"/>
          <w:szCs w:val="22"/>
          <w:lang w:val="es-ES_tradnl"/>
        </w:rPr>
        <w:t>3</w:t>
      </w:r>
      <w:r w:rsidRPr="009D11A1">
        <w:rPr>
          <w:rFonts w:ascii="Arial" w:hAnsi="Arial" w:cs="Arial"/>
          <w:iCs/>
          <w:sz w:val="22"/>
          <w:szCs w:val="22"/>
          <w:lang w:val="es-ES_tradnl"/>
        </w:rPr>
        <w:t xml:space="preserve"> veces el pasivo corriente. Las disponibilidades de caja y bancos representan el </w:t>
      </w:r>
      <w:r w:rsidR="00422A30" w:rsidRPr="009D11A1">
        <w:rPr>
          <w:rFonts w:ascii="Arial" w:hAnsi="Arial" w:cs="Arial"/>
          <w:iCs/>
          <w:sz w:val="22"/>
          <w:szCs w:val="22"/>
          <w:lang w:val="es-ES_tradnl"/>
        </w:rPr>
        <w:t>12</w:t>
      </w:r>
      <w:r w:rsidR="001F567D" w:rsidRPr="009D11A1">
        <w:rPr>
          <w:rFonts w:ascii="Arial" w:hAnsi="Arial" w:cs="Arial"/>
          <w:iCs/>
          <w:sz w:val="22"/>
          <w:szCs w:val="22"/>
          <w:lang w:val="es-ES_tradnl"/>
        </w:rPr>
        <w:t>,</w:t>
      </w:r>
      <w:r w:rsidR="00422A30" w:rsidRPr="009D11A1">
        <w:rPr>
          <w:rFonts w:ascii="Arial" w:hAnsi="Arial" w:cs="Arial"/>
          <w:iCs/>
          <w:sz w:val="22"/>
          <w:szCs w:val="22"/>
          <w:lang w:val="es-ES_tradnl"/>
        </w:rPr>
        <w:t>0</w:t>
      </w:r>
      <w:r w:rsidRPr="009D11A1">
        <w:rPr>
          <w:rFonts w:ascii="Arial" w:hAnsi="Arial" w:cs="Arial"/>
          <w:iCs/>
          <w:sz w:val="22"/>
          <w:szCs w:val="22"/>
          <w:lang w:val="es-ES_tradnl"/>
        </w:rPr>
        <w:t>% del total del activo corriente. Las cuentas por cobrar</w:t>
      </w:r>
      <w:r w:rsidR="001F567D" w:rsidRPr="009D11A1">
        <w:rPr>
          <w:rFonts w:ascii="Arial" w:hAnsi="Arial" w:cs="Arial"/>
          <w:iCs/>
          <w:sz w:val="22"/>
          <w:szCs w:val="22"/>
          <w:lang w:val="es-ES_tradnl"/>
        </w:rPr>
        <w:t>,</w:t>
      </w:r>
      <w:r w:rsidRPr="009D11A1">
        <w:rPr>
          <w:rFonts w:ascii="Arial" w:hAnsi="Arial" w:cs="Arial"/>
          <w:iCs/>
          <w:sz w:val="22"/>
          <w:szCs w:val="22"/>
          <w:lang w:val="es-ES_tradnl"/>
        </w:rPr>
        <w:t xml:space="preserve"> </w:t>
      </w:r>
      <w:r w:rsidRPr="009D11A1">
        <w:rPr>
          <w:rFonts w:ascii="Arial" w:hAnsi="Arial" w:cs="Arial"/>
          <w:sz w:val="22"/>
          <w:szCs w:val="22"/>
          <w:lang w:val="es-ES_tradnl"/>
        </w:rPr>
        <w:t>respaldadas por una adecuada gestión comercial</w:t>
      </w:r>
      <w:r w:rsidR="001F567D" w:rsidRPr="009D11A1">
        <w:rPr>
          <w:rFonts w:ascii="Arial" w:hAnsi="Arial" w:cs="Arial"/>
          <w:sz w:val="22"/>
          <w:szCs w:val="22"/>
          <w:lang w:val="es-ES_tradnl"/>
        </w:rPr>
        <w:t>,</w:t>
      </w:r>
      <w:r w:rsidRPr="009D11A1">
        <w:rPr>
          <w:rFonts w:ascii="Arial" w:hAnsi="Arial" w:cs="Arial"/>
          <w:sz w:val="22"/>
          <w:szCs w:val="22"/>
          <w:lang w:val="es-ES_tradnl"/>
        </w:rPr>
        <w:t xml:space="preserve"> representan el </w:t>
      </w:r>
      <w:r w:rsidR="006F29F6" w:rsidRPr="009D11A1">
        <w:rPr>
          <w:rFonts w:ascii="Arial" w:hAnsi="Arial" w:cs="Arial"/>
          <w:sz w:val="22"/>
          <w:szCs w:val="22"/>
          <w:lang w:val="es-ES_tradnl"/>
        </w:rPr>
        <w:t>29</w:t>
      </w:r>
      <w:r w:rsidR="001F567D" w:rsidRPr="009D11A1">
        <w:rPr>
          <w:rFonts w:ascii="Arial" w:hAnsi="Arial" w:cs="Arial"/>
          <w:sz w:val="22"/>
          <w:szCs w:val="22"/>
          <w:lang w:val="es-ES_tradnl"/>
        </w:rPr>
        <w:t>,</w:t>
      </w:r>
      <w:r w:rsidR="00422A30" w:rsidRPr="009D11A1">
        <w:rPr>
          <w:rFonts w:ascii="Arial" w:hAnsi="Arial" w:cs="Arial"/>
          <w:sz w:val="22"/>
          <w:szCs w:val="22"/>
          <w:lang w:val="es-ES_tradnl"/>
        </w:rPr>
        <w:t>8</w:t>
      </w:r>
      <w:r w:rsidRPr="009D11A1">
        <w:rPr>
          <w:rFonts w:ascii="Arial" w:hAnsi="Arial" w:cs="Arial"/>
          <w:sz w:val="22"/>
          <w:szCs w:val="22"/>
          <w:lang w:val="es-ES_tradnl"/>
        </w:rPr>
        <w:t xml:space="preserve">% del activo corriente. </w:t>
      </w:r>
      <w:r w:rsidR="006F29F6" w:rsidRPr="009D11A1">
        <w:rPr>
          <w:rFonts w:ascii="Arial" w:hAnsi="Arial" w:cs="Arial"/>
          <w:sz w:val="22"/>
          <w:szCs w:val="22"/>
          <w:lang w:val="es-ES_tradnl"/>
        </w:rPr>
        <w:t>Vale la pena destacar que el</w:t>
      </w:r>
      <w:r w:rsidR="001F567D" w:rsidRPr="009D11A1">
        <w:rPr>
          <w:rFonts w:ascii="Arial" w:hAnsi="Arial" w:cs="Arial"/>
          <w:sz w:val="22"/>
          <w:szCs w:val="22"/>
          <w:lang w:val="es-ES_tradnl"/>
        </w:rPr>
        <w:t xml:space="preserve"> rubro de los otros activos representa el </w:t>
      </w:r>
      <w:r w:rsidR="006F29F6" w:rsidRPr="009D11A1">
        <w:rPr>
          <w:rFonts w:ascii="Arial" w:hAnsi="Arial" w:cs="Arial"/>
          <w:sz w:val="22"/>
          <w:szCs w:val="22"/>
          <w:lang w:val="es-ES_tradnl"/>
        </w:rPr>
        <w:t>57,</w:t>
      </w:r>
      <w:r w:rsidR="00422A30" w:rsidRPr="009D11A1">
        <w:rPr>
          <w:rFonts w:ascii="Arial" w:hAnsi="Arial" w:cs="Arial"/>
          <w:sz w:val="22"/>
          <w:szCs w:val="22"/>
          <w:lang w:val="es-ES_tradnl"/>
        </w:rPr>
        <w:t>6</w:t>
      </w:r>
      <w:r w:rsidR="001F567D" w:rsidRPr="009D11A1">
        <w:rPr>
          <w:rFonts w:ascii="Arial" w:hAnsi="Arial" w:cs="Arial"/>
          <w:sz w:val="22"/>
          <w:szCs w:val="22"/>
          <w:lang w:val="es-ES_tradnl"/>
        </w:rPr>
        <w:t>% del activo corriente, cuya gran mayoría es la Cobranza en poder de la Intendencia.</w:t>
      </w:r>
    </w:p>
    <w:p w14:paraId="6F8BC884" w14:textId="77777777" w:rsidR="001F567D" w:rsidRPr="009D11A1" w:rsidRDefault="001F567D" w:rsidP="001F567D">
      <w:pPr>
        <w:pStyle w:val="ListParagraph"/>
        <w:rPr>
          <w:rFonts w:ascii="Arial" w:hAnsi="Arial" w:cs="Arial"/>
          <w:lang w:val="es-ES_tradnl"/>
        </w:rPr>
      </w:pPr>
    </w:p>
    <w:p w14:paraId="60986E5B" w14:textId="77777777" w:rsidR="000B532D" w:rsidRPr="009D11A1" w:rsidRDefault="001F567D" w:rsidP="000B532D">
      <w:pPr>
        <w:pStyle w:val="Default"/>
        <w:numPr>
          <w:ilvl w:val="1"/>
          <w:numId w:val="5"/>
        </w:numPr>
        <w:jc w:val="both"/>
        <w:rPr>
          <w:rFonts w:ascii="Arial" w:hAnsi="Arial" w:cs="Arial"/>
          <w:iCs/>
          <w:sz w:val="22"/>
          <w:szCs w:val="22"/>
          <w:lang w:val="es-ES_tradnl"/>
        </w:rPr>
      </w:pPr>
      <w:r w:rsidRPr="009D11A1">
        <w:rPr>
          <w:rFonts w:ascii="Arial" w:hAnsi="Arial" w:cs="Arial"/>
          <w:i/>
          <w:iCs/>
          <w:sz w:val="22"/>
          <w:szCs w:val="22"/>
          <w:lang w:val="es-ES_tradnl"/>
        </w:rPr>
        <w:t>Activo No Corriente.</w:t>
      </w:r>
      <w:r w:rsidRPr="009D11A1">
        <w:rPr>
          <w:rFonts w:ascii="Arial" w:hAnsi="Arial" w:cs="Arial"/>
          <w:iCs/>
          <w:sz w:val="22"/>
          <w:szCs w:val="22"/>
          <w:lang w:val="es-ES_tradnl"/>
        </w:rPr>
        <w:t xml:space="preserve"> </w:t>
      </w:r>
      <w:r w:rsidR="00894738" w:rsidRPr="009D11A1">
        <w:rPr>
          <w:rFonts w:ascii="Arial" w:hAnsi="Arial" w:cs="Arial"/>
          <w:sz w:val="22"/>
          <w:szCs w:val="22"/>
          <w:lang w:val="es-ES_tradnl"/>
        </w:rPr>
        <w:t>Los activos fijos de la empresa</w:t>
      </w:r>
      <w:r w:rsidRPr="009D11A1">
        <w:rPr>
          <w:rFonts w:ascii="Arial" w:hAnsi="Arial" w:cs="Arial"/>
          <w:sz w:val="22"/>
          <w:szCs w:val="22"/>
          <w:lang w:val="es-ES_tradnl"/>
        </w:rPr>
        <w:t xml:space="preserve"> (</w:t>
      </w:r>
      <w:r w:rsidR="00422A30" w:rsidRPr="009D11A1">
        <w:rPr>
          <w:rFonts w:ascii="Arial" w:hAnsi="Arial" w:cs="Arial"/>
          <w:sz w:val="22"/>
          <w:szCs w:val="22"/>
          <w:lang w:val="es-ES_tradnl"/>
        </w:rPr>
        <w:t>58</w:t>
      </w:r>
      <w:r w:rsidR="006F29F6" w:rsidRPr="009D11A1">
        <w:rPr>
          <w:rFonts w:ascii="Arial" w:hAnsi="Arial" w:cs="Arial"/>
          <w:sz w:val="22"/>
          <w:szCs w:val="22"/>
          <w:lang w:val="es-ES_tradnl"/>
        </w:rPr>
        <w:t>,</w:t>
      </w:r>
      <w:r w:rsidR="00422A30" w:rsidRPr="009D11A1">
        <w:rPr>
          <w:rFonts w:ascii="Arial" w:hAnsi="Arial" w:cs="Arial"/>
          <w:sz w:val="22"/>
          <w:szCs w:val="22"/>
          <w:lang w:val="es-ES_tradnl"/>
        </w:rPr>
        <w:t>8</w:t>
      </w:r>
      <w:r w:rsidR="006F29F6" w:rsidRPr="009D11A1">
        <w:rPr>
          <w:rFonts w:ascii="Arial" w:hAnsi="Arial" w:cs="Arial"/>
          <w:sz w:val="22"/>
          <w:szCs w:val="22"/>
          <w:lang w:val="es-ES_tradnl"/>
        </w:rPr>
        <w:t>% del total de activos</w:t>
      </w:r>
      <w:r w:rsidRPr="009D11A1">
        <w:rPr>
          <w:rFonts w:ascii="Arial" w:hAnsi="Arial" w:cs="Arial"/>
          <w:sz w:val="22"/>
          <w:szCs w:val="22"/>
          <w:lang w:val="es-ES_tradnl"/>
        </w:rPr>
        <w:t>)</w:t>
      </w:r>
      <w:r w:rsidR="00894738" w:rsidRPr="009D11A1">
        <w:rPr>
          <w:rFonts w:ascii="Arial" w:hAnsi="Arial" w:cs="Arial"/>
          <w:sz w:val="22"/>
          <w:szCs w:val="22"/>
          <w:lang w:val="es-ES_tradnl"/>
        </w:rPr>
        <w:t xml:space="preserve"> están constituidos principalmente por propiedad de planta y equipos que corresponde los activos destinados a la prestación del servicio.</w:t>
      </w:r>
    </w:p>
    <w:p w14:paraId="52CE8362" w14:textId="77777777" w:rsidR="000B532D" w:rsidRPr="009D11A1" w:rsidRDefault="000B532D" w:rsidP="000B532D">
      <w:pPr>
        <w:pStyle w:val="Default"/>
        <w:jc w:val="both"/>
        <w:rPr>
          <w:rFonts w:ascii="Arial" w:hAnsi="Arial" w:cs="Arial"/>
          <w:iCs/>
          <w:sz w:val="22"/>
          <w:szCs w:val="22"/>
          <w:lang w:val="es-ES_tradnl"/>
        </w:rPr>
      </w:pPr>
    </w:p>
    <w:p w14:paraId="579316C6" w14:textId="77777777" w:rsidR="006F29F6" w:rsidRPr="009D11A1" w:rsidRDefault="00894738" w:rsidP="00894738">
      <w:pPr>
        <w:pStyle w:val="Default"/>
        <w:numPr>
          <w:ilvl w:val="1"/>
          <w:numId w:val="5"/>
        </w:numPr>
        <w:jc w:val="both"/>
        <w:rPr>
          <w:rFonts w:ascii="Arial" w:hAnsi="Arial" w:cs="Arial"/>
          <w:iCs/>
          <w:sz w:val="22"/>
          <w:szCs w:val="22"/>
          <w:lang w:val="es-ES_tradnl"/>
        </w:rPr>
      </w:pPr>
      <w:r w:rsidRPr="009D11A1">
        <w:rPr>
          <w:rFonts w:ascii="Arial" w:hAnsi="Arial" w:cs="Arial"/>
          <w:i/>
          <w:sz w:val="22"/>
          <w:szCs w:val="22"/>
          <w:lang w:val="es-ES_tradnl"/>
        </w:rPr>
        <w:t xml:space="preserve"> </w:t>
      </w:r>
      <w:r w:rsidRPr="009D11A1">
        <w:rPr>
          <w:rFonts w:ascii="Arial" w:hAnsi="Arial" w:cs="Arial"/>
          <w:bCs/>
          <w:i/>
          <w:sz w:val="22"/>
          <w:szCs w:val="22"/>
          <w:lang w:val="es-ES_tradnl"/>
        </w:rPr>
        <w:t>Pasivo</w:t>
      </w:r>
      <w:r w:rsidR="006F29F6" w:rsidRPr="009D11A1">
        <w:rPr>
          <w:rFonts w:ascii="Arial" w:hAnsi="Arial" w:cs="Arial"/>
          <w:bCs/>
          <w:i/>
          <w:sz w:val="22"/>
          <w:szCs w:val="22"/>
          <w:lang w:val="es-ES_tradnl"/>
        </w:rPr>
        <w:t xml:space="preserve"> Corriente</w:t>
      </w:r>
      <w:r w:rsidR="000B532D" w:rsidRPr="009D11A1">
        <w:rPr>
          <w:rFonts w:ascii="Arial" w:hAnsi="Arial" w:cs="Arial"/>
          <w:bCs/>
          <w:i/>
          <w:sz w:val="22"/>
          <w:szCs w:val="22"/>
          <w:lang w:val="es-ES_tradnl"/>
        </w:rPr>
        <w:t>.</w:t>
      </w:r>
      <w:r w:rsidRPr="009D11A1">
        <w:rPr>
          <w:rFonts w:ascii="Arial" w:hAnsi="Arial" w:cs="Arial"/>
          <w:b/>
          <w:bCs/>
          <w:i/>
          <w:sz w:val="22"/>
          <w:szCs w:val="22"/>
          <w:lang w:val="es-ES_tradnl"/>
        </w:rPr>
        <w:t xml:space="preserve"> </w:t>
      </w:r>
      <w:r w:rsidRPr="009D11A1">
        <w:rPr>
          <w:rFonts w:ascii="Arial" w:hAnsi="Arial" w:cs="Arial"/>
          <w:sz w:val="22"/>
          <w:szCs w:val="22"/>
          <w:lang w:val="es-ES_tradnl"/>
        </w:rPr>
        <w:t>El pasivo corriente de la empresa</w:t>
      </w:r>
      <w:r w:rsidR="006F29F6" w:rsidRPr="009D11A1">
        <w:rPr>
          <w:rFonts w:ascii="Arial" w:hAnsi="Arial" w:cs="Arial"/>
          <w:sz w:val="22"/>
          <w:szCs w:val="22"/>
          <w:lang w:val="es-ES_tradnl"/>
        </w:rPr>
        <w:t xml:space="preserve"> (</w:t>
      </w:r>
      <w:r w:rsidRPr="009D11A1">
        <w:rPr>
          <w:rFonts w:ascii="Arial" w:hAnsi="Arial" w:cs="Arial"/>
          <w:sz w:val="22"/>
          <w:szCs w:val="22"/>
          <w:lang w:val="es-ES_tradnl"/>
        </w:rPr>
        <w:t>2</w:t>
      </w:r>
      <w:r w:rsidR="006F29F6" w:rsidRPr="009D11A1">
        <w:rPr>
          <w:rFonts w:ascii="Arial" w:hAnsi="Arial" w:cs="Arial"/>
          <w:sz w:val="22"/>
          <w:szCs w:val="22"/>
          <w:lang w:val="es-ES_tradnl"/>
        </w:rPr>
        <w:t>3,</w:t>
      </w:r>
      <w:r w:rsidR="00422A30" w:rsidRPr="009D11A1">
        <w:rPr>
          <w:rFonts w:ascii="Arial" w:hAnsi="Arial" w:cs="Arial"/>
          <w:sz w:val="22"/>
          <w:szCs w:val="22"/>
          <w:lang w:val="es-ES_tradnl"/>
        </w:rPr>
        <w:t>9</w:t>
      </w:r>
      <w:r w:rsidRPr="009D11A1">
        <w:rPr>
          <w:rFonts w:ascii="Arial" w:hAnsi="Arial" w:cs="Arial"/>
          <w:sz w:val="22"/>
          <w:szCs w:val="22"/>
          <w:lang w:val="es-ES_tradnl"/>
        </w:rPr>
        <w:t>% del total del pasivo</w:t>
      </w:r>
      <w:r w:rsidR="006F29F6" w:rsidRPr="009D11A1">
        <w:rPr>
          <w:rFonts w:ascii="Arial" w:hAnsi="Arial" w:cs="Arial"/>
          <w:sz w:val="22"/>
          <w:szCs w:val="22"/>
          <w:lang w:val="es-ES_tradnl"/>
        </w:rPr>
        <w:t>)</w:t>
      </w:r>
      <w:r w:rsidRPr="009D11A1">
        <w:rPr>
          <w:rFonts w:ascii="Arial" w:hAnsi="Arial" w:cs="Arial"/>
          <w:sz w:val="22"/>
          <w:szCs w:val="22"/>
          <w:lang w:val="es-ES_tradnl"/>
        </w:rPr>
        <w:t xml:space="preserve"> está compuesto por principalmente la porción corriente de las deudas a largo plazo, cuentas por pagar a proveedores, anticipos a clientes y cargas sociales y obligaciones fiscales. </w:t>
      </w:r>
    </w:p>
    <w:p w14:paraId="40DD9168" w14:textId="77777777" w:rsidR="006F29F6" w:rsidRPr="009D11A1" w:rsidRDefault="006F29F6" w:rsidP="006F29F6">
      <w:pPr>
        <w:pStyle w:val="ListParagraph"/>
        <w:rPr>
          <w:rFonts w:ascii="Arial" w:hAnsi="Arial" w:cs="Arial"/>
          <w:lang w:val="es-ES_tradnl"/>
        </w:rPr>
      </w:pPr>
    </w:p>
    <w:p w14:paraId="0F2016B4" w14:textId="77777777" w:rsidR="000B532D" w:rsidRPr="009D11A1" w:rsidRDefault="006F29F6" w:rsidP="00894738">
      <w:pPr>
        <w:pStyle w:val="Default"/>
        <w:numPr>
          <w:ilvl w:val="1"/>
          <w:numId w:val="5"/>
        </w:numPr>
        <w:jc w:val="both"/>
        <w:rPr>
          <w:rFonts w:ascii="Arial" w:hAnsi="Arial" w:cs="Arial"/>
          <w:iCs/>
          <w:sz w:val="22"/>
          <w:szCs w:val="22"/>
          <w:lang w:val="es-ES_tradnl"/>
        </w:rPr>
      </w:pPr>
      <w:r w:rsidRPr="009D11A1">
        <w:rPr>
          <w:rFonts w:ascii="Arial" w:hAnsi="Arial" w:cs="Arial"/>
          <w:i/>
          <w:sz w:val="22"/>
          <w:szCs w:val="22"/>
          <w:lang w:val="es-ES_tradnl"/>
        </w:rPr>
        <w:t>Pasivo No Corriente</w:t>
      </w:r>
      <w:r w:rsidRPr="009D11A1">
        <w:rPr>
          <w:rFonts w:ascii="Arial" w:hAnsi="Arial" w:cs="Arial"/>
          <w:sz w:val="22"/>
          <w:szCs w:val="22"/>
          <w:lang w:val="es-ES_tradnl"/>
        </w:rPr>
        <w:t xml:space="preserve">. </w:t>
      </w:r>
      <w:r w:rsidR="00894738" w:rsidRPr="009D11A1">
        <w:rPr>
          <w:rFonts w:ascii="Arial" w:hAnsi="Arial" w:cs="Arial"/>
          <w:sz w:val="22"/>
          <w:szCs w:val="22"/>
          <w:lang w:val="es-ES_tradnl"/>
        </w:rPr>
        <w:t>El Pasivo a largo plazo de la empresa</w:t>
      </w:r>
      <w:r w:rsidRPr="009D11A1">
        <w:rPr>
          <w:rFonts w:ascii="Arial" w:hAnsi="Arial" w:cs="Arial"/>
          <w:sz w:val="22"/>
          <w:szCs w:val="22"/>
          <w:lang w:val="es-ES_tradnl"/>
        </w:rPr>
        <w:t xml:space="preserve"> (76</w:t>
      </w:r>
      <w:r w:rsidR="00894738" w:rsidRPr="009D11A1">
        <w:rPr>
          <w:rFonts w:ascii="Arial" w:hAnsi="Arial" w:cs="Arial"/>
          <w:sz w:val="22"/>
          <w:szCs w:val="22"/>
          <w:lang w:val="es-ES_tradnl"/>
        </w:rPr>
        <w:t>.</w:t>
      </w:r>
      <w:r w:rsidR="00422A30" w:rsidRPr="009D11A1">
        <w:rPr>
          <w:rFonts w:ascii="Arial" w:hAnsi="Arial" w:cs="Arial"/>
          <w:sz w:val="22"/>
          <w:szCs w:val="22"/>
          <w:lang w:val="es-ES_tradnl"/>
        </w:rPr>
        <w:t>1</w:t>
      </w:r>
      <w:r w:rsidR="00894738" w:rsidRPr="009D11A1">
        <w:rPr>
          <w:rFonts w:ascii="Arial" w:hAnsi="Arial" w:cs="Arial"/>
          <w:sz w:val="22"/>
          <w:szCs w:val="22"/>
          <w:lang w:val="es-ES_tradnl"/>
        </w:rPr>
        <w:t>% del total pasivos</w:t>
      </w:r>
      <w:r w:rsidRPr="009D11A1">
        <w:rPr>
          <w:rFonts w:ascii="Arial" w:hAnsi="Arial" w:cs="Arial"/>
          <w:sz w:val="22"/>
          <w:szCs w:val="22"/>
          <w:lang w:val="es-ES_tradnl"/>
        </w:rPr>
        <w:t>)</w:t>
      </w:r>
      <w:r w:rsidR="00894738" w:rsidRPr="009D11A1">
        <w:rPr>
          <w:rFonts w:ascii="Arial" w:hAnsi="Arial" w:cs="Arial"/>
          <w:sz w:val="22"/>
          <w:szCs w:val="22"/>
          <w:lang w:val="es-ES_tradnl"/>
        </w:rPr>
        <w:t xml:space="preserve"> comprende principalmente deudas con el BID.</w:t>
      </w:r>
    </w:p>
    <w:p w14:paraId="5D13BBA6" w14:textId="77777777" w:rsidR="000B532D" w:rsidRPr="009D11A1" w:rsidRDefault="000B532D" w:rsidP="000B532D">
      <w:pPr>
        <w:pStyle w:val="ListParagraph"/>
        <w:rPr>
          <w:rFonts w:ascii="Arial" w:hAnsi="Arial" w:cs="Arial"/>
          <w:b/>
          <w:bCs/>
          <w:lang w:val="es-ES_tradnl"/>
        </w:rPr>
      </w:pPr>
    </w:p>
    <w:p w14:paraId="5912BB5A" w14:textId="77777777" w:rsidR="00894738" w:rsidRPr="009D11A1" w:rsidRDefault="00894738" w:rsidP="00894738">
      <w:pPr>
        <w:pStyle w:val="Default"/>
        <w:numPr>
          <w:ilvl w:val="1"/>
          <w:numId w:val="5"/>
        </w:numPr>
        <w:jc w:val="both"/>
        <w:rPr>
          <w:rFonts w:ascii="Arial" w:hAnsi="Arial" w:cs="Arial"/>
          <w:iCs/>
          <w:sz w:val="22"/>
          <w:szCs w:val="22"/>
          <w:lang w:val="es-ES_tradnl"/>
        </w:rPr>
      </w:pPr>
      <w:r w:rsidRPr="009D11A1">
        <w:rPr>
          <w:rFonts w:ascii="Arial" w:hAnsi="Arial" w:cs="Arial"/>
          <w:bCs/>
          <w:i/>
          <w:sz w:val="22"/>
          <w:szCs w:val="22"/>
          <w:lang w:val="es-ES_tradnl"/>
        </w:rPr>
        <w:t>Patrimonio</w:t>
      </w:r>
      <w:r w:rsidR="000B532D" w:rsidRPr="009D11A1">
        <w:rPr>
          <w:rFonts w:ascii="Arial" w:hAnsi="Arial" w:cs="Arial"/>
          <w:b/>
          <w:bCs/>
          <w:i/>
          <w:sz w:val="22"/>
          <w:szCs w:val="22"/>
          <w:lang w:val="es-ES_tradnl"/>
        </w:rPr>
        <w:t>.</w:t>
      </w:r>
      <w:r w:rsidRPr="009D11A1">
        <w:rPr>
          <w:rFonts w:ascii="Arial" w:hAnsi="Arial" w:cs="Arial"/>
          <w:b/>
          <w:bCs/>
          <w:sz w:val="22"/>
          <w:szCs w:val="22"/>
          <w:lang w:val="es-ES_tradnl"/>
        </w:rPr>
        <w:t xml:space="preserve"> </w:t>
      </w:r>
      <w:r w:rsidR="006F29F6" w:rsidRPr="009D11A1">
        <w:rPr>
          <w:rFonts w:ascii="Arial" w:hAnsi="Arial" w:cs="Arial"/>
          <w:sz w:val="22"/>
          <w:szCs w:val="22"/>
          <w:lang w:val="es-ES_tradnl"/>
        </w:rPr>
        <w:t>El patrimonio del S</w:t>
      </w:r>
      <w:r w:rsidRPr="009D11A1">
        <w:rPr>
          <w:rFonts w:ascii="Arial" w:hAnsi="Arial" w:cs="Arial"/>
          <w:sz w:val="22"/>
          <w:szCs w:val="22"/>
          <w:lang w:val="es-ES_tradnl"/>
        </w:rPr>
        <w:t>S está compuesto por</w:t>
      </w:r>
      <w:r w:rsidR="006F29F6" w:rsidRPr="009D11A1">
        <w:rPr>
          <w:rFonts w:ascii="Arial" w:hAnsi="Arial" w:cs="Arial"/>
          <w:sz w:val="22"/>
          <w:szCs w:val="22"/>
          <w:lang w:val="es-ES_tradnl"/>
        </w:rPr>
        <w:t xml:space="preserve"> las utilidades retenidas (6</w:t>
      </w:r>
      <w:r w:rsidR="00422A30" w:rsidRPr="009D11A1">
        <w:rPr>
          <w:rFonts w:ascii="Arial" w:hAnsi="Arial" w:cs="Arial"/>
          <w:sz w:val="22"/>
          <w:szCs w:val="22"/>
          <w:lang w:val="es-ES_tradnl"/>
        </w:rPr>
        <w:t>6</w:t>
      </w:r>
      <w:r w:rsidR="006F29F6" w:rsidRPr="009D11A1">
        <w:rPr>
          <w:rFonts w:ascii="Arial" w:hAnsi="Arial" w:cs="Arial"/>
          <w:sz w:val="22"/>
          <w:szCs w:val="22"/>
          <w:lang w:val="es-ES_tradnl"/>
        </w:rPr>
        <w:t>,</w:t>
      </w:r>
      <w:r w:rsidR="00422A30" w:rsidRPr="009D11A1">
        <w:rPr>
          <w:rFonts w:ascii="Arial" w:hAnsi="Arial" w:cs="Arial"/>
          <w:sz w:val="22"/>
          <w:szCs w:val="22"/>
          <w:lang w:val="es-ES_tradnl"/>
        </w:rPr>
        <w:t>4</w:t>
      </w:r>
      <w:r w:rsidR="006F29F6" w:rsidRPr="009D11A1">
        <w:rPr>
          <w:rFonts w:ascii="Arial" w:hAnsi="Arial" w:cs="Arial"/>
          <w:sz w:val="22"/>
          <w:szCs w:val="22"/>
          <w:lang w:val="es-ES_tradnl"/>
        </w:rPr>
        <w:t>% del total del Patrimonio) y</w:t>
      </w:r>
      <w:r w:rsidRPr="009D11A1">
        <w:rPr>
          <w:rFonts w:ascii="Arial" w:hAnsi="Arial" w:cs="Arial"/>
          <w:sz w:val="22"/>
          <w:szCs w:val="22"/>
          <w:lang w:val="es-ES_tradnl"/>
        </w:rPr>
        <w:t xml:space="preserve"> los aportes de la IM</w:t>
      </w:r>
      <w:r w:rsidR="006F29F6" w:rsidRPr="009D11A1">
        <w:rPr>
          <w:rStyle w:val="FootnoteReference"/>
          <w:rFonts w:ascii="Arial" w:hAnsi="Arial" w:cs="Arial"/>
          <w:sz w:val="22"/>
          <w:szCs w:val="22"/>
          <w:lang w:val="es-ES_tradnl"/>
        </w:rPr>
        <w:footnoteReference w:id="8"/>
      </w:r>
      <w:r w:rsidRPr="009D11A1">
        <w:rPr>
          <w:rFonts w:ascii="Arial" w:hAnsi="Arial" w:cs="Arial"/>
          <w:sz w:val="22"/>
          <w:szCs w:val="22"/>
          <w:lang w:val="es-ES_tradnl"/>
        </w:rPr>
        <w:t xml:space="preserve"> (</w:t>
      </w:r>
      <w:r w:rsidR="006F29F6" w:rsidRPr="009D11A1">
        <w:rPr>
          <w:rFonts w:ascii="Arial" w:hAnsi="Arial" w:cs="Arial"/>
          <w:sz w:val="22"/>
          <w:szCs w:val="22"/>
          <w:lang w:val="es-ES_tradnl"/>
        </w:rPr>
        <w:t>3</w:t>
      </w:r>
      <w:r w:rsidR="00422A30" w:rsidRPr="009D11A1">
        <w:rPr>
          <w:rFonts w:ascii="Arial" w:hAnsi="Arial" w:cs="Arial"/>
          <w:sz w:val="22"/>
          <w:szCs w:val="22"/>
          <w:lang w:val="es-ES_tradnl"/>
        </w:rPr>
        <w:t>3</w:t>
      </w:r>
      <w:r w:rsidRPr="009D11A1">
        <w:rPr>
          <w:rFonts w:ascii="Arial" w:hAnsi="Arial" w:cs="Arial"/>
          <w:sz w:val="22"/>
          <w:szCs w:val="22"/>
          <w:lang w:val="es-ES_tradnl"/>
        </w:rPr>
        <w:t>.</w:t>
      </w:r>
      <w:r w:rsidR="00422A30" w:rsidRPr="009D11A1">
        <w:rPr>
          <w:rFonts w:ascii="Arial" w:hAnsi="Arial" w:cs="Arial"/>
          <w:sz w:val="22"/>
          <w:szCs w:val="22"/>
          <w:lang w:val="es-ES_tradnl"/>
        </w:rPr>
        <w:t>6</w:t>
      </w:r>
      <w:r w:rsidRPr="009D11A1">
        <w:rPr>
          <w:rFonts w:ascii="Arial" w:hAnsi="Arial" w:cs="Arial"/>
          <w:sz w:val="22"/>
          <w:szCs w:val="22"/>
          <w:lang w:val="es-ES_tradnl"/>
        </w:rPr>
        <w:t xml:space="preserve">% del total del Patrimonio). </w:t>
      </w:r>
    </w:p>
    <w:p w14:paraId="3EAA42B0" w14:textId="77777777" w:rsidR="000B532D" w:rsidRDefault="000B532D" w:rsidP="000B532D">
      <w:pPr>
        <w:pStyle w:val="Default"/>
        <w:jc w:val="both"/>
        <w:rPr>
          <w:rFonts w:ascii="Arial" w:hAnsi="Arial" w:cs="Arial"/>
          <w:iCs/>
          <w:sz w:val="22"/>
          <w:szCs w:val="22"/>
          <w:lang w:val="es-ES_tradnl"/>
        </w:rPr>
      </w:pPr>
    </w:p>
    <w:p w14:paraId="41B3EF47" w14:textId="77777777" w:rsidR="00DB09DD" w:rsidRDefault="00DB09DD" w:rsidP="000B532D">
      <w:pPr>
        <w:pStyle w:val="Default"/>
        <w:jc w:val="both"/>
        <w:rPr>
          <w:rFonts w:ascii="Arial" w:hAnsi="Arial" w:cs="Arial"/>
          <w:iCs/>
          <w:sz w:val="22"/>
          <w:szCs w:val="22"/>
          <w:lang w:val="es-ES_tradnl"/>
        </w:rPr>
      </w:pPr>
    </w:p>
    <w:p w14:paraId="2EEF5474" w14:textId="77777777" w:rsidR="00DB09DD" w:rsidRDefault="00DB09DD" w:rsidP="000B532D">
      <w:pPr>
        <w:pStyle w:val="Default"/>
        <w:jc w:val="both"/>
        <w:rPr>
          <w:rFonts w:ascii="Arial" w:hAnsi="Arial" w:cs="Arial"/>
          <w:iCs/>
          <w:sz w:val="22"/>
          <w:szCs w:val="22"/>
          <w:lang w:val="es-ES_tradnl"/>
        </w:rPr>
      </w:pPr>
    </w:p>
    <w:p w14:paraId="2E87C1EE" w14:textId="77777777" w:rsidR="00DB09DD" w:rsidRDefault="00DB09DD" w:rsidP="000B532D">
      <w:pPr>
        <w:pStyle w:val="Default"/>
        <w:jc w:val="both"/>
        <w:rPr>
          <w:rFonts w:ascii="Arial" w:hAnsi="Arial" w:cs="Arial"/>
          <w:iCs/>
          <w:sz w:val="22"/>
          <w:szCs w:val="22"/>
          <w:lang w:val="es-ES_tradnl"/>
        </w:rPr>
      </w:pPr>
    </w:p>
    <w:p w14:paraId="29278E7F" w14:textId="77777777" w:rsidR="00DB09DD" w:rsidRDefault="00DB09DD" w:rsidP="000B532D">
      <w:pPr>
        <w:pStyle w:val="Default"/>
        <w:jc w:val="both"/>
        <w:rPr>
          <w:rFonts w:ascii="Arial" w:hAnsi="Arial" w:cs="Arial"/>
          <w:iCs/>
          <w:sz w:val="22"/>
          <w:szCs w:val="22"/>
          <w:lang w:val="es-ES_tradnl"/>
        </w:rPr>
      </w:pPr>
    </w:p>
    <w:p w14:paraId="6D92591A" w14:textId="77777777" w:rsidR="00DB09DD" w:rsidRDefault="00DB09DD" w:rsidP="000B532D">
      <w:pPr>
        <w:pStyle w:val="Default"/>
        <w:jc w:val="both"/>
        <w:rPr>
          <w:rFonts w:ascii="Arial" w:hAnsi="Arial" w:cs="Arial"/>
          <w:iCs/>
          <w:sz w:val="22"/>
          <w:szCs w:val="22"/>
          <w:lang w:val="es-ES_tradnl"/>
        </w:rPr>
      </w:pPr>
    </w:p>
    <w:p w14:paraId="227138C7" w14:textId="77777777" w:rsidR="00DB09DD" w:rsidRDefault="00DB09DD" w:rsidP="000B532D">
      <w:pPr>
        <w:pStyle w:val="Default"/>
        <w:jc w:val="both"/>
        <w:rPr>
          <w:rFonts w:ascii="Arial" w:hAnsi="Arial" w:cs="Arial"/>
          <w:iCs/>
          <w:sz w:val="22"/>
          <w:szCs w:val="22"/>
          <w:lang w:val="es-ES_tradnl"/>
        </w:rPr>
      </w:pPr>
    </w:p>
    <w:p w14:paraId="6C9BE735" w14:textId="77777777" w:rsidR="00DB09DD" w:rsidRDefault="00DB09DD" w:rsidP="000B532D">
      <w:pPr>
        <w:pStyle w:val="Default"/>
        <w:jc w:val="both"/>
        <w:rPr>
          <w:rFonts w:ascii="Arial" w:hAnsi="Arial" w:cs="Arial"/>
          <w:iCs/>
          <w:sz w:val="22"/>
          <w:szCs w:val="22"/>
          <w:lang w:val="es-ES_tradnl"/>
        </w:rPr>
      </w:pPr>
    </w:p>
    <w:p w14:paraId="3401CFF2" w14:textId="77777777" w:rsidR="00DB09DD" w:rsidRDefault="00DB09DD" w:rsidP="000B532D">
      <w:pPr>
        <w:pStyle w:val="Default"/>
        <w:jc w:val="both"/>
        <w:rPr>
          <w:rFonts w:ascii="Arial" w:hAnsi="Arial" w:cs="Arial"/>
          <w:iCs/>
          <w:sz w:val="22"/>
          <w:szCs w:val="22"/>
          <w:lang w:val="es-ES_tradnl"/>
        </w:rPr>
      </w:pPr>
    </w:p>
    <w:p w14:paraId="44933BC6" w14:textId="77777777" w:rsidR="00DB09DD" w:rsidRDefault="00DB09DD" w:rsidP="000B532D">
      <w:pPr>
        <w:pStyle w:val="Default"/>
        <w:jc w:val="both"/>
        <w:rPr>
          <w:rFonts w:ascii="Arial" w:hAnsi="Arial" w:cs="Arial"/>
          <w:iCs/>
          <w:sz w:val="22"/>
          <w:szCs w:val="22"/>
          <w:lang w:val="es-ES_tradnl"/>
        </w:rPr>
      </w:pPr>
    </w:p>
    <w:p w14:paraId="5F68F1FF" w14:textId="77777777" w:rsidR="00DB09DD" w:rsidRDefault="00DB09DD" w:rsidP="000B532D">
      <w:pPr>
        <w:pStyle w:val="Default"/>
        <w:jc w:val="both"/>
        <w:rPr>
          <w:rFonts w:ascii="Arial" w:hAnsi="Arial" w:cs="Arial"/>
          <w:iCs/>
          <w:sz w:val="22"/>
          <w:szCs w:val="22"/>
          <w:lang w:val="es-ES_tradnl"/>
        </w:rPr>
      </w:pPr>
    </w:p>
    <w:p w14:paraId="5818A006" w14:textId="77777777" w:rsidR="00DB09DD" w:rsidRDefault="00DB09DD" w:rsidP="000B532D">
      <w:pPr>
        <w:pStyle w:val="Default"/>
        <w:jc w:val="both"/>
        <w:rPr>
          <w:rFonts w:ascii="Arial" w:hAnsi="Arial" w:cs="Arial"/>
          <w:iCs/>
          <w:sz w:val="22"/>
          <w:szCs w:val="22"/>
          <w:lang w:val="es-ES_tradnl"/>
        </w:rPr>
      </w:pPr>
    </w:p>
    <w:p w14:paraId="43BFDE98" w14:textId="77777777" w:rsidR="00DB09DD" w:rsidRDefault="00DB09DD" w:rsidP="000B532D">
      <w:pPr>
        <w:pStyle w:val="Default"/>
        <w:jc w:val="both"/>
        <w:rPr>
          <w:rFonts w:ascii="Arial" w:hAnsi="Arial" w:cs="Arial"/>
          <w:iCs/>
          <w:sz w:val="22"/>
          <w:szCs w:val="22"/>
          <w:lang w:val="es-ES_tradnl"/>
        </w:rPr>
      </w:pPr>
    </w:p>
    <w:p w14:paraId="32CB53F2" w14:textId="77777777" w:rsidR="00DB09DD" w:rsidRDefault="00DB09DD" w:rsidP="000B532D">
      <w:pPr>
        <w:pStyle w:val="Default"/>
        <w:jc w:val="both"/>
        <w:rPr>
          <w:rFonts w:ascii="Arial" w:hAnsi="Arial" w:cs="Arial"/>
          <w:iCs/>
          <w:sz w:val="22"/>
          <w:szCs w:val="22"/>
          <w:lang w:val="es-ES_tradnl"/>
        </w:rPr>
      </w:pPr>
    </w:p>
    <w:p w14:paraId="3D6045E1" w14:textId="77777777" w:rsidR="00DB09DD" w:rsidRDefault="00DB09DD" w:rsidP="000B532D">
      <w:pPr>
        <w:pStyle w:val="Default"/>
        <w:jc w:val="both"/>
        <w:rPr>
          <w:rFonts w:ascii="Arial" w:hAnsi="Arial" w:cs="Arial"/>
          <w:iCs/>
          <w:sz w:val="22"/>
          <w:szCs w:val="22"/>
          <w:lang w:val="es-ES_tradnl"/>
        </w:rPr>
      </w:pPr>
    </w:p>
    <w:p w14:paraId="31658FD9" w14:textId="77777777" w:rsidR="00DB09DD" w:rsidRDefault="00DB09DD" w:rsidP="000B532D">
      <w:pPr>
        <w:pStyle w:val="Default"/>
        <w:jc w:val="both"/>
        <w:rPr>
          <w:rFonts w:ascii="Arial" w:hAnsi="Arial" w:cs="Arial"/>
          <w:iCs/>
          <w:sz w:val="22"/>
          <w:szCs w:val="22"/>
          <w:lang w:val="es-ES_tradnl"/>
        </w:rPr>
      </w:pPr>
    </w:p>
    <w:p w14:paraId="204C39C5" w14:textId="77777777" w:rsidR="00DB09DD" w:rsidRDefault="00DB09DD" w:rsidP="000B532D">
      <w:pPr>
        <w:pStyle w:val="Default"/>
        <w:jc w:val="both"/>
        <w:rPr>
          <w:rFonts w:ascii="Arial" w:hAnsi="Arial" w:cs="Arial"/>
          <w:iCs/>
          <w:sz w:val="22"/>
          <w:szCs w:val="22"/>
          <w:lang w:val="es-ES_tradnl"/>
        </w:rPr>
      </w:pPr>
    </w:p>
    <w:p w14:paraId="27510E6A" w14:textId="77777777" w:rsidR="00DB09DD" w:rsidRDefault="00DB09DD" w:rsidP="000B532D">
      <w:pPr>
        <w:pStyle w:val="Default"/>
        <w:jc w:val="both"/>
        <w:rPr>
          <w:rFonts w:ascii="Arial" w:hAnsi="Arial" w:cs="Arial"/>
          <w:iCs/>
          <w:sz w:val="22"/>
          <w:szCs w:val="22"/>
          <w:lang w:val="es-ES_tradnl"/>
        </w:rPr>
      </w:pPr>
    </w:p>
    <w:p w14:paraId="6BA2B5CC" w14:textId="77777777" w:rsidR="00DB09DD" w:rsidRDefault="00DB09DD" w:rsidP="000B532D">
      <w:pPr>
        <w:pStyle w:val="Default"/>
        <w:jc w:val="both"/>
        <w:rPr>
          <w:rFonts w:ascii="Arial" w:hAnsi="Arial" w:cs="Arial"/>
          <w:iCs/>
          <w:sz w:val="22"/>
          <w:szCs w:val="22"/>
          <w:lang w:val="es-ES_tradnl"/>
        </w:rPr>
      </w:pPr>
    </w:p>
    <w:p w14:paraId="5C254347" w14:textId="77777777" w:rsidR="00DB09DD" w:rsidRPr="000B532D" w:rsidRDefault="00DB09DD" w:rsidP="000B532D">
      <w:pPr>
        <w:pStyle w:val="Default"/>
        <w:jc w:val="both"/>
        <w:rPr>
          <w:rFonts w:ascii="Arial" w:hAnsi="Arial" w:cs="Arial"/>
          <w:iCs/>
          <w:sz w:val="22"/>
          <w:szCs w:val="22"/>
          <w:lang w:val="es-ES_tradnl"/>
        </w:rPr>
      </w:pPr>
    </w:p>
    <w:p w14:paraId="24CD2F5C" w14:textId="13A976BF" w:rsidR="00422A30" w:rsidRDefault="00422A30" w:rsidP="00422A30">
      <w:pPr>
        <w:pStyle w:val="Paragraph"/>
        <w:numPr>
          <w:ilvl w:val="0"/>
          <w:numId w:val="0"/>
        </w:numPr>
        <w:jc w:val="center"/>
        <w:rPr>
          <w:rFonts w:ascii="Arial" w:hAnsi="Arial" w:cs="Arial"/>
          <w:b/>
          <w:bCs/>
          <w:sz w:val="22"/>
          <w:szCs w:val="22"/>
        </w:rPr>
      </w:pPr>
      <w:r w:rsidRPr="00BA4588">
        <w:rPr>
          <w:rFonts w:ascii="Arial" w:hAnsi="Arial" w:cs="Arial"/>
          <w:sz w:val="22"/>
          <w:szCs w:val="22"/>
          <w:u w:val="single"/>
        </w:rPr>
        <w:lastRenderedPageBreak/>
        <w:t xml:space="preserve">Cuadro </w:t>
      </w:r>
      <w:r>
        <w:rPr>
          <w:rFonts w:ascii="Arial" w:hAnsi="Arial" w:cs="Arial"/>
          <w:sz w:val="22"/>
          <w:szCs w:val="22"/>
          <w:u w:val="single"/>
        </w:rPr>
        <w:t>3</w:t>
      </w:r>
      <w:r w:rsidRPr="00BA4588">
        <w:rPr>
          <w:rFonts w:ascii="Arial" w:hAnsi="Arial" w:cs="Arial"/>
          <w:sz w:val="22"/>
          <w:szCs w:val="22"/>
          <w:u w:val="single"/>
        </w:rPr>
        <w:t xml:space="preserve">. Estado de </w:t>
      </w:r>
      <w:r>
        <w:rPr>
          <w:rFonts w:ascii="Arial" w:hAnsi="Arial" w:cs="Arial"/>
          <w:sz w:val="22"/>
          <w:szCs w:val="22"/>
          <w:u w:val="single"/>
        </w:rPr>
        <w:t>Balance</w:t>
      </w:r>
      <w:r w:rsidR="00282F45">
        <w:rPr>
          <w:rFonts w:ascii="Arial" w:hAnsi="Arial" w:cs="Arial"/>
          <w:sz w:val="22"/>
          <w:szCs w:val="22"/>
          <w:u w:val="single"/>
        </w:rPr>
        <w:t xml:space="preserve"> General</w:t>
      </w:r>
      <w:r>
        <w:rPr>
          <w:rFonts w:ascii="Arial" w:hAnsi="Arial" w:cs="Arial"/>
          <w:sz w:val="22"/>
          <w:szCs w:val="22"/>
          <w:u w:val="single"/>
        </w:rPr>
        <w:t xml:space="preserve"> </w:t>
      </w:r>
      <w:r w:rsidRPr="00BA4588">
        <w:rPr>
          <w:rFonts w:ascii="Arial" w:hAnsi="Arial" w:cs="Arial"/>
          <w:sz w:val="22"/>
          <w:szCs w:val="22"/>
          <w:u w:val="single"/>
        </w:rPr>
        <w:t>(en miles de US$ de 2015)</w:t>
      </w:r>
    </w:p>
    <w:p w14:paraId="6E9E9298" w14:textId="27FACB9C" w:rsidR="00894738" w:rsidRDefault="0011459F" w:rsidP="00894738">
      <w:pPr>
        <w:pStyle w:val="Default"/>
        <w:rPr>
          <w:rFonts w:ascii="Arial" w:hAnsi="Arial" w:cs="Arial"/>
          <w:sz w:val="22"/>
          <w:szCs w:val="22"/>
          <w:lang w:val="es-ES"/>
        </w:rPr>
      </w:pPr>
      <w:r w:rsidRPr="0011459F">
        <w:rPr>
          <w:noProof/>
          <w:lang w:eastAsia="en-US"/>
        </w:rPr>
        <w:drawing>
          <wp:anchor distT="0" distB="0" distL="114300" distR="114300" simplePos="0" relativeHeight="251687936" behindDoc="1" locked="0" layoutInCell="1" allowOverlap="1" wp14:anchorId="0F746B27" wp14:editId="058A4A5F">
            <wp:simplePos x="0" y="0"/>
            <wp:positionH relativeFrom="column">
              <wp:posOffset>600075</wp:posOffset>
            </wp:positionH>
            <wp:positionV relativeFrom="paragraph">
              <wp:posOffset>29845</wp:posOffset>
            </wp:positionV>
            <wp:extent cx="4667250" cy="3886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0"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AB792" w14:textId="2BCE6662" w:rsidR="00422A30" w:rsidRDefault="00422A30" w:rsidP="00894738">
      <w:pPr>
        <w:pStyle w:val="Default"/>
        <w:rPr>
          <w:rFonts w:ascii="Arial" w:hAnsi="Arial" w:cs="Arial"/>
          <w:sz w:val="22"/>
          <w:szCs w:val="22"/>
          <w:lang w:val="es-ES"/>
        </w:rPr>
      </w:pPr>
    </w:p>
    <w:p w14:paraId="1D113AAD" w14:textId="77777777" w:rsidR="00422A30" w:rsidRDefault="00422A30" w:rsidP="00894738">
      <w:pPr>
        <w:pStyle w:val="Default"/>
        <w:rPr>
          <w:rFonts w:ascii="Arial" w:hAnsi="Arial" w:cs="Arial"/>
          <w:sz w:val="22"/>
          <w:szCs w:val="22"/>
          <w:lang w:val="es-ES"/>
        </w:rPr>
      </w:pPr>
    </w:p>
    <w:p w14:paraId="3904C222" w14:textId="77777777" w:rsidR="00422A30" w:rsidRDefault="00422A30" w:rsidP="00894738">
      <w:pPr>
        <w:pStyle w:val="Default"/>
        <w:rPr>
          <w:rFonts w:ascii="Arial" w:hAnsi="Arial" w:cs="Arial"/>
          <w:sz w:val="22"/>
          <w:szCs w:val="22"/>
          <w:lang w:val="es-ES"/>
        </w:rPr>
      </w:pPr>
    </w:p>
    <w:p w14:paraId="0698708A" w14:textId="77777777" w:rsidR="00422A30" w:rsidRDefault="00422A30" w:rsidP="00894738">
      <w:pPr>
        <w:pStyle w:val="Default"/>
        <w:rPr>
          <w:rFonts w:ascii="Arial" w:hAnsi="Arial" w:cs="Arial"/>
          <w:sz w:val="22"/>
          <w:szCs w:val="22"/>
          <w:lang w:val="es-ES"/>
        </w:rPr>
      </w:pPr>
    </w:p>
    <w:p w14:paraId="21221DF9" w14:textId="77777777" w:rsidR="00422A30" w:rsidRDefault="00422A30" w:rsidP="00894738">
      <w:pPr>
        <w:pStyle w:val="Default"/>
        <w:rPr>
          <w:rFonts w:ascii="Arial" w:hAnsi="Arial" w:cs="Arial"/>
          <w:sz w:val="22"/>
          <w:szCs w:val="22"/>
          <w:lang w:val="es-ES"/>
        </w:rPr>
      </w:pPr>
    </w:p>
    <w:p w14:paraId="34E4AA02" w14:textId="77777777" w:rsidR="00422A30" w:rsidRDefault="00422A30" w:rsidP="00894738">
      <w:pPr>
        <w:pStyle w:val="Default"/>
        <w:rPr>
          <w:rFonts w:ascii="Arial" w:hAnsi="Arial" w:cs="Arial"/>
          <w:sz w:val="22"/>
          <w:szCs w:val="22"/>
          <w:lang w:val="es-ES"/>
        </w:rPr>
      </w:pPr>
    </w:p>
    <w:p w14:paraId="435ACC51" w14:textId="116D44F3" w:rsidR="00422A30" w:rsidRDefault="00422A30" w:rsidP="00894738">
      <w:pPr>
        <w:pStyle w:val="Default"/>
        <w:rPr>
          <w:rFonts w:ascii="Arial" w:hAnsi="Arial" w:cs="Arial"/>
          <w:sz w:val="22"/>
          <w:szCs w:val="22"/>
          <w:lang w:val="es-ES"/>
        </w:rPr>
      </w:pPr>
    </w:p>
    <w:p w14:paraId="0D5D251B" w14:textId="77777777" w:rsidR="00422A30" w:rsidRDefault="00422A30" w:rsidP="00894738">
      <w:pPr>
        <w:pStyle w:val="Default"/>
        <w:rPr>
          <w:rFonts w:ascii="Arial" w:hAnsi="Arial" w:cs="Arial"/>
          <w:sz w:val="22"/>
          <w:szCs w:val="22"/>
          <w:lang w:val="es-ES"/>
        </w:rPr>
      </w:pPr>
    </w:p>
    <w:p w14:paraId="496542F1" w14:textId="77777777" w:rsidR="00422A30" w:rsidRDefault="00422A30" w:rsidP="00894738">
      <w:pPr>
        <w:pStyle w:val="Default"/>
        <w:rPr>
          <w:rFonts w:ascii="Arial" w:hAnsi="Arial" w:cs="Arial"/>
          <w:sz w:val="22"/>
          <w:szCs w:val="22"/>
          <w:lang w:val="es-ES"/>
        </w:rPr>
      </w:pPr>
    </w:p>
    <w:p w14:paraId="4CC5F1FD" w14:textId="77777777" w:rsidR="00422A30" w:rsidRDefault="00422A30" w:rsidP="00894738">
      <w:pPr>
        <w:pStyle w:val="Default"/>
        <w:rPr>
          <w:rFonts w:ascii="Arial" w:hAnsi="Arial" w:cs="Arial"/>
          <w:sz w:val="22"/>
          <w:szCs w:val="22"/>
          <w:lang w:val="es-ES"/>
        </w:rPr>
      </w:pPr>
    </w:p>
    <w:p w14:paraId="60E159F7" w14:textId="77777777" w:rsidR="00422A30" w:rsidRDefault="00422A30" w:rsidP="00894738">
      <w:pPr>
        <w:pStyle w:val="Default"/>
        <w:rPr>
          <w:rFonts w:ascii="Arial" w:hAnsi="Arial" w:cs="Arial"/>
          <w:sz w:val="22"/>
          <w:szCs w:val="22"/>
          <w:lang w:val="es-ES"/>
        </w:rPr>
      </w:pPr>
    </w:p>
    <w:p w14:paraId="40453784" w14:textId="77777777" w:rsidR="00422A30" w:rsidRDefault="00422A30" w:rsidP="00894738">
      <w:pPr>
        <w:pStyle w:val="Default"/>
        <w:rPr>
          <w:rFonts w:ascii="Arial" w:hAnsi="Arial" w:cs="Arial"/>
          <w:sz w:val="22"/>
          <w:szCs w:val="22"/>
          <w:lang w:val="es-ES"/>
        </w:rPr>
      </w:pPr>
    </w:p>
    <w:p w14:paraId="3A6F942D" w14:textId="77777777" w:rsidR="00422A30" w:rsidRDefault="00422A30" w:rsidP="00894738">
      <w:pPr>
        <w:pStyle w:val="Default"/>
        <w:rPr>
          <w:rFonts w:ascii="Arial" w:hAnsi="Arial" w:cs="Arial"/>
          <w:sz w:val="22"/>
          <w:szCs w:val="22"/>
          <w:lang w:val="es-ES"/>
        </w:rPr>
      </w:pPr>
    </w:p>
    <w:p w14:paraId="6594584A" w14:textId="77777777" w:rsidR="00422A30" w:rsidRDefault="00422A30" w:rsidP="00894738">
      <w:pPr>
        <w:pStyle w:val="Default"/>
        <w:rPr>
          <w:rFonts w:ascii="Arial" w:hAnsi="Arial" w:cs="Arial"/>
          <w:sz w:val="22"/>
          <w:szCs w:val="22"/>
          <w:lang w:val="es-ES"/>
        </w:rPr>
      </w:pPr>
    </w:p>
    <w:p w14:paraId="070BF5D7" w14:textId="77777777" w:rsidR="00422A30" w:rsidRDefault="00422A30" w:rsidP="00894738">
      <w:pPr>
        <w:pStyle w:val="Default"/>
        <w:rPr>
          <w:rFonts w:ascii="Arial" w:hAnsi="Arial" w:cs="Arial"/>
          <w:sz w:val="22"/>
          <w:szCs w:val="22"/>
          <w:lang w:val="es-ES"/>
        </w:rPr>
      </w:pPr>
    </w:p>
    <w:p w14:paraId="70E2DC3F" w14:textId="77777777" w:rsidR="00422A30" w:rsidRDefault="00422A30" w:rsidP="00894738">
      <w:pPr>
        <w:pStyle w:val="Default"/>
        <w:rPr>
          <w:rFonts w:ascii="Arial" w:hAnsi="Arial" w:cs="Arial"/>
          <w:sz w:val="22"/>
          <w:szCs w:val="22"/>
          <w:lang w:val="es-ES"/>
        </w:rPr>
      </w:pPr>
    </w:p>
    <w:p w14:paraId="4A283DFE" w14:textId="77777777" w:rsidR="00422A30" w:rsidRDefault="00422A30" w:rsidP="00894738">
      <w:pPr>
        <w:pStyle w:val="Default"/>
        <w:rPr>
          <w:rFonts w:ascii="Arial" w:hAnsi="Arial" w:cs="Arial"/>
          <w:sz w:val="22"/>
          <w:szCs w:val="22"/>
          <w:lang w:val="es-ES"/>
        </w:rPr>
      </w:pPr>
    </w:p>
    <w:p w14:paraId="04DF22B4" w14:textId="77777777" w:rsidR="00422A30" w:rsidRDefault="00422A30" w:rsidP="00894738">
      <w:pPr>
        <w:pStyle w:val="Default"/>
        <w:rPr>
          <w:rFonts w:ascii="Arial" w:hAnsi="Arial" w:cs="Arial"/>
          <w:sz w:val="22"/>
          <w:szCs w:val="22"/>
          <w:lang w:val="es-ES"/>
        </w:rPr>
      </w:pPr>
    </w:p>
    <w:p w14:paraId="7F42F64E" w14:textId="77777777" w:rsidR="00422A30" w:rsidRDefault="00422A30" w:rsidP="00894738">
      <w:pPr>
        <w:pStyle w:val="Default"/>
        <w:rPr>
          <w:rFonts w:ascii="Arial" w:hAnsi="Arial" w:cs="Arial"/>
          <w:sz w:val="22"/>
          <w:szCs w:val="22"/>
          <w:lang w:val="es-ES"/>
        </w:rPr>
      </w:pPr>
    </w:p>
    <w:p w14:paraId="46F000E7" w14:textId="77777777" w:rsidR="00422A30" w:rsidRDefault="00422A30" w:rsidP="00894738">
      <w:pPr>
        <w:pStyle w:val="Default"/>
        <w:rPr>
          <w:rFonts w:ascii="Arial" w:hAnsi="Arial" w:cs="Arial"/>
          <w:sz w:val="22"/>
          <w:szCs w:val="22"/>
          <w:lang w:val="es-ES"/>
        </w:rPr>
      </w:pPr>
    </w:p>
    <w:p w14:paraId="005F6D6C" w14:textId="77777777" w:rsidR="00422A30" w:rsidRDefault="00422A30" w:rsidP="00894738">
      <w:pPr>
        <w:pStyle w:val="Default"/>
        <w:rPr>
          <w:rFonts w:ascii="Arial" w:hAnsi="Arial" w:cs="Arial"/>
          <w:sz w:val="22"/>
          <w:szCs w:val="22"/>
          <w:lang w:val="es-ES"/>
        </w:rPr>
      </w:pPr>
    </w:p>
    <w:p w14:paraId="67F570FE" w14:textId="77777777" w:rsidR="00422A30" w:rsidRDefault="00422A30" w:rsidP="00894738">
      <w:pPr>
        <w:pStyle w:val="Default"/>
        <w:rPr>
          <w:rFonts w:ascii="Arial" w:hAnsi="Arial" w:cs="Arial"/>
          <w:sz w:val="22"/>
          <w:szCs w:val="22"/>
          <w:lang w:val="es-ES"/>
        </w:rPr>
      </w:pPr>
    </w:p>
    <w:p w14:paraId="4DFCB949" w14:textId="77777777" w:rsidR="00422A30" w:rsidRDefault="00422A30" w:rsidP="00894738">
      <w:pPr>
        <w:pStyle w:val="Default"/>
        <w:rPr>
          <w:rFonts w:ascii="Arial" w:hAnsi="Arial" w:cs="Arial"/>
          <w:sz w:val="22"/>
          <w:szCs w:val="22"/>
          <w:lang w:val="es-ES"/>
        </w:rPr>
      </w:pPr>
    </w:p>
    <w:p w14:paraId="6799B24D" w14:textId="77777777" w:rsidR="00FF2524" w:rsidRDefault="00FF2524" w:rsidP="00894738">
      <w:pPr>
        <w:pStyle w:val="Default"/>
        <w:rPr>
          <w:rFonts w:ascii="Arial" w:hAnsi="Arial" w:cs="Arial"/>
          <w:sz w:val="22"/>
          <w:szCs w:val="22"/>
          <w:lang w:val="es-ES"/>
        </w:rPr>
      </w:pPr>
    </w:p>
    <w:p w14:paraId="273BA59A" w14:textId="7CFF4226" w:rsidR="00033C31" w:rsidRPr="00FF2524" w:rsidRDefault="00422A30" w:rsidP="00033C31">
      <w:pPr>
        <w:pStyle w:val="Default"/>
        <w:rPr>
          <w:rFonts w:ascii="Arial" w:hAnsi="Arial" w:cs="Arial"/>
          <w:b/>
          <w:bCs/>
          <w:sz w:val="22"/>
          <w:szCs w:val="22"/>
          <w:lang w:val="es-ES_tradnl"/>
        </w:rPr>
      </w:pPr>
      <w:r w:rsidRPr="005B0324">
        <w:rPr>
          <w:rFonts w:ascii="Arial" w:hAnsi="Arial" w:cs="Arial"/>
          <w:b/>
          <w:bCs/>
          <w:sz w:val="28"/>
          <w:szCs w:val="28"/>
          <w:lang w:val="es-ES_tradnl"/>
        </w:rPr>
        <w:t>II</w:t>
      </w:r>
      <w:r>
        <w:rPr>
          <w:rFonts w:ascii="Arial" w:hAnsi="Arial" w:cs="Arial"/>
          <w:b/>
          <w:bCs/>
          <w:sz w:val="28"/>
          <w:szCs w:val="28"/>
          <w:lang w:val="es-ES_tradnl"/>
        </w:rPr>
        <w:t>I</w:t>
      </w:r>
      <w:r w:rsidRPr="005B0324">
        <w:rPr>
          <w:rFonts w:ascii="Arial" w:hAnsi="Arial" w:cs="Arial"/>
          <w:b/>
          <w:bCs/>
          <w:sz w:val="28"/>
          <w:szCs w:val="28"/>
          <w:lang w:val="es-ES_tradnl"/>
        </w:rPr>
        <w:t>. Análisis</w:t>
      </w:r>
      <w:r>
        <w:rPr>
          <w:rFonts w:ascii="Arial" w:hAnsi="Arial" w:cs="Arial"/>
          <w:b/>
          <w:bCs/>
          <w:sz w:val="28"/>
          <w:szCs w:val="28"/>
          <w:lang w:val="es-ES_tradnl"/>
        </w:rPr>
        <w:t xml:space="preserve"> de las Proyecciones</w:t>
      </w:r>
    </w:p>
    <w:p w14:paraId="364CCBAE" w14:textId="77777777" w:rsidR="00033C31" w:rsidRPr="0000523F" w:rsidRDefault="00033C31" w:rsidP="00033C31">
      <w:pPr>
        <w:pStyle w:val="ListParagraph"/>
        <w:numPr>
          <w:ilvl w:val="0"/>
          <w:numId w:val="5"/>
        </w:numPr>
        <w:autoSpaceDE w:val="0"/>
        <w:autoSpaceDN w:val="0"/>
        <w:adjustRightInd w:val="0"/>
        <w:spacing w:after="0" w:line="240" w:lineRule="auto"/>
        <w:contextualSpacing w:val="0"/>
        <w:jc w:val="both"/>
        <w:rPr>
          <w:rFonts w:ascii="Arial" w:hAnsi="Arial" w:cs="Arial"/>
          <w:bCs/>
          <w:i/>
          <w:vanish/>
          <w:color w:val="000000"/>
          <w:lang w:val="es-ES_tradnl"/>
        </w:rPr>
      </w:pPr>
    </w:p>
    <w:p w14:paraId="3B2E97AC" w14:textId="77777777" w:rsidR="00BC38AE" w:rsidRPr="005236A5" w:rsidRDefault="00BC38AE" w:rsidP="005236A5">
      <w:pPr>
        <w:autoSpaceDE w:val="0"/>
        <w:autoSpaceDN w:val="0"/>
        <w:adjustRightInd w:val="0"/>
        <w:spacing w:after="0" w:line="240" w:lineRule="auto"/>
        <w:jc w:val="both"/>
        <w:rPr>
          <w:rFonts w:ascii="Arial" w:hAnsi="Arial" w:cs="Arial"/>
          <w:bCs/>
          <w:lang w:val="es-ES_tradnl"/>
        </w:rPr>
      </w:pPr>
    </w:p>
    <w:p w14:paraId="3B4018FA" w14:textId="39A9B516" w:rsidR="002D3DB6" w:rsidRPr="00C553D5" w:rsidRDefault="00BC38AE" w:rsidP="00C553D5">
      <w:pPr>
        <w:pStyle w:val="Default"/>
        <w:numPr>
          <w:ilvl w:val="1"/>
          <w:numId w:val="5"/>
        </w:numPr>
        <w:jc w:val="both"/>
        <w:rPr>
          <w:rFonts w:ascii="Arial" w:hAnsi="Arial" w:cs="Arial"/>
          <w:bCs/>
          <w:sz w:val="22"/>
          <w:szCs w:val="22"/>
          <w:lang w:val="es-ES_tradnl"/>
        </w:rPr>
      </w:pPr>
      <w:r w:rsidRPr="005236A5">
        <w:rPr>
          <w:rFonts w:ascii="Arial" w:hAnsi="Arial" w:cs="Arial"/>
          <w:bCs/>
          <w:sz w:val="22"/>
          <w:szCs w:val="22"/>
          <w:lang w:val="es-ES_tradnl"/>
        </w:rPr>
        <w:t>Las proyecciones de la empresa indican que para los próximos 10 años los ingresos operativos crecerán a un promedio anual del orden del 0,5%</w:t>
      </w:r>
      <w:r w:rsidR="005236A5" w:rsidRPr="005236A5">
        <w:rPr>
          <w:rFonts w:ascii="Arial" w:hAnsi="Arial" w:cs="Arial"/>
          <w:bCs/>
          <w:sz w:val="22"/>
          <w:szCs w:val="22"/>
          <w:lang w:val="es-ES_tradnl"/>
        </w:rPr>
        <w:t>,</w:t>
      </w:r>
      <w:r w:rsidRPr="005236A5">
        <w:rPr>
          <w:rFonts w:ascii="Arial" w:hAnsi="Arial" w:cs="Arial"/>
          <w:bCs/>
          <w:sz w:val="22"/>
          <w:szCs w:val="22"/>
          <w:lang w:val="es-ES_tradnl"/>
        </w:rPr>
        <w:t xml:space="preserve"> mientras que los costos operativos crecerán en un 0,1%. El margen EBITDA oscila entre 50,7% y 53,1% durante el periodo de proyección.</w:t>
      </w:r>
      <w:r w:rsidR="005236A5" w:rsidRPr="005236A5">
        <w:rPr>
          <w:rFonts w:ascii="Arial" w:hAnsi="Arial" w:cs="Arial"/>
          <w:bCs/>
          <w:sz w:val="22"/>
          <w:szCs w:val="22"/>
          <w:lang w:val="es-ES_tradnl"/>
        </w:rPr>
        <w:t xml:space="preserve"> El resultado del análisis a continuación indica que el SS puede generar los ingresos suficientes para i) cubrir los costos de operación y mantenimiento, y servicios de deuda; y ii) financiar la contrapartida local del Programa.</w:t>
      </w:r>
      <w:r w:rsidR="00C553D5">
        <w:rPr>
          <w:rFonts w:ascii="Arial" w:hAnsi="Arial" w:cs="Arial"/>
          <w:bCs/>
          <w:sz w:val="22"/>
          <w:szCs w:val="22"/>
          <w:lang w:val="es-ES_tradnl"/>
        </w:rPr>
        <w:t xml:space="preserve"> Para asegurar que se mantenga esta situación, c</w:t>
      </w:r>
      <w:r w:rsidR="00B91217" w:rsidRPr="00C553D5">
        <w:rPr>
          <w:rFonts w:ascii="Arial" w:hAnsi="Arial" w:cs="Arial" w:hint="eastAsia"/>
          <w:bCs/>
          <w:sz w:val="22"/>
          <w:szCs w:val="22"/>
          <w:lang w:val="es-ES_tradnl"/>
        </w:rPr>
        <w:t xml:space="preserve">omo parte de </w:t>
      </w:r>
      <w:r w:rsidR="00B91217" w:rsidRPr="00C553D5">
        <w:rPr>
          <w:rFonts w:ascii="Arial" w:hAnsi="Arial" w:cs="Arial"/>
          <w:bCs/>
          <w:sz w:val="22"/>
          <w:szCs w:val="22"/>
          <w:lang w:val="es-ES_tradnl"/>
        </w:rPr>
        <w:t xml:space="preserve">los Compromisos de Gestión, </w:t>
      </w:r>
      <w:r w:rsidR="00C553D5">
        <w:rPr>
          <w:rFonts w:ascii="Arial" w:hAnsi="Arial" w:cs="Arial"/>
          <w:bCs/>
          <w:sz w:val="22"/>
          <w:szCs w:val="22"/>
          <w:lang w:val="es-ES_tradnl"/>
        </w:rPr>
        <w:t>se incluirá un indicador de cobertura de los costos de servicios de saneamiento y drenaje.</w:t>
      </w:r>
    </w:p>
    <w:p w14:paraId="3661B9D2" w14:textId="77777777" w:rsidR="00033C31" w:rsidRPr="00BC38AE" w:rsidRDefault="00033C31" w:rsidP="00422A30">
      <w:pPr>
        <w:pStyle w:val="Default"/>
        <w:rPr>
          <w:rFonts w:ascii="Arial" w:hAnsi="Arial" w:cs="Arial"/>
          <w:sz w:val="22"/>
          <w:szCs w:val="22"/>
          <w:lang w:val="es-ES_tradnl"/>
        </w:rPr>
      </w:pPr>
    </w:p>
    <w:p w14:paraId="5E2288B3" w14:textId="77777777" w:rsidR="00422A30" w:rsidRPr="0091398D" w:rsidRDefault="00422A30" w:rsidP="00422A30">
      <w:pPr>
        <w:pStyle w:val="Default"/>
        <w:rPr>
          <w:rFonts w:ascii="Arial" w:hAnsi="Arial" w:cs="Arial"/>
          <w:b/>
          <w:bCs/>
          <w:szCs w:val="28"/>
          <w:lang w:val="es-ES_tradnl"/>
        </w:rPr>
      </w:pPr>
      <w:r w:rsidRPr="0091398D">
        <w:rPr>
          <w:rFonts w:ascii="Arial" w:hAnsi="Arial" w:cs="Arial"/>
          <w:b/>
          <w:bCs/>
          <w:szCs w:val="28"/>
          <w:lang w:val="es-ES_tradnl"/>
        </w:rPr>
        <w:t>A. Estado de Resultados</w:t>
      </w:r>
    </w:p>
    <w:p w14:paraId="6DE32BF1" w14:textId="77777777" w:rsidR="0000523F" w:rsidRDefault="0000523F" w:rsidP="0000523F">
      <w:pPr>
        <w:pStyle w:val="Default"/>
        <w:ind w:left="360"/>
        <w:jc w:val="both"/>
        <w:rPr>
          <w:rFonts w:ascii="Arial" w:hAnsi="Arial" w:cs="Arial"/>
          <w:bCs/>
          <w:sz w:val="22"/>
          <w:szCs w:val="22"/>
          <w:lang w:val="es-ES_tradnl"/>
        </w:rPr>
      </w:pPr>
    </w:p>
    <w:p w14:paraId="3F19B27D" w14:textId="14D893EE" w:rsidR="0000523F" w:rsidRPr="00733952" w:rsidRDefault="00733952" w:rsidP="00733952">
      <w:pPr>
        <w:pStyle w:val="Paragraph"/>
        <w:numPr>
          <w:ilvl w:val="1"/>
          <w:numId w:val="5"/>
        </w:numPr>
        <w:rPr>
          <w:rFonts w:ascii="Arial" w:hAnsi="Arial" w:cs="Arial"/>
          <w:sz w:val="22"/>
          <w:szCs w:val="22"/>
        </w:rPr>
      </w:pPr>
      <w:r w:rsidRPr="008255AB">
        <w:rPr>
          <w:rFonts w:ascii="Arial" w:hAnsi="Arial" w:cs="Arial"/>
          <w:sz w:val="22"/>
          <w:szCs w:val="22"/>
        </w:rPr>
        <w:t xml:space="preserve">Durante los primeros cinco años de proyección se incorporarán como nuevos usuarios de </w:t>
      </w:r>
      <w:r>
        <w:rPr>
          <w:rFonts w:ascii="Arial" w:hAnsi="Arial" w:cs="Arial"/>
          <w:sz w:val="22"/>
          <w:szCs w:val="22"/>
        </w:rPr>
        <w:t>saneamiento</w:t>
      </w:r>
      <w:r w:rsidRPr="008255AB">
        <w:rPr>
          <w:rFonts w:ascii="Arial" w:hAnsi="Arial" w:cs="Arial"/>
          <w:sz w:val="22"/>
          <w:szCs w:val="22"/>
        </w:rPr>
        <w:t xml:space="preserve"> </w:t>
      </w:r>
      <w:r w:rsidR="00D07EB3">
        <w:rPr>
          <w:rFonts w:ascii="Arial" w:hAnsi="Arial" w:cs="Arial"/>
          <w:sz w:val="22"/>
          <w:szCs w:val="22"/>
        </w:rPr>
        <w:t>aproximadamente</w:t>
      </w:r>
      <w:r w:rsidRPr="008255AB">
        <w:rPr>
          <w:rFonts w:ascii="Arial" w:hAnsi="Arial" w:cs="Arial"/>
          <w:sz w:val="22"/>
          <w:szCs w:val="22"/>
        </w:rPr>
        <w:t xml:space="preserve"> </w:t>
      </w:r>
      <w:r w:rsidR="00D07EB3">
        <w:rPr>
          <w:rFonts w:ascii="Arial" w:hAnsi="Arial" w:cs="Arial"/>
          <w:sz w:val="22"/>
          <w:szCs w:val="22"/>
        </w:rPr>
        <w:t>20</w:t>
      </w:r>
      <w:r w:rsidRPr="008255AB">
        <w:rPr>
          <w:rFonts w:ascii="Arial" w:hAnsi="Arial" w:cs="Arial"/>
          <w:sz w:val="22"/>
          <w:szCs w:val="22"/>
        </w:rPr>
        <w:t xml:space="preserve"> </w:t>
      </w:r>
      <w:r w:rsidR="00D07EB3">
        <w:rPr>
          <w:rFonts w:ascii="Arial" w:hAnsi="Arial" w:cs="Arial"/>
          <w:sz w:val="22"/>
          <w:szCs w:val="22"/>
        </w:rPr>
        <w:t xml:space="preserve">mil </w:t>
      </w:r>
      <w:r w:rsidR="00FF5E10">
        <w:rPr>
          <w:rFonts w:ascii="Arial" w:hAnsi="Arial" w:cs="Arial"/>
          <w:sz w:val="22"/>
          <w:szCs w:val="22"/>
        </w:rPr>
        <w:t>usuarios</w:t>
      </w:r>
      <w:r w:rsidR="00367F0E">
        <w:rPr>
          <w:rFonts w:ascii="Arial" w:hAnsi="Arial" w:cs="Arial"/>
          <w:sz w:val="22"/>
          <w:szCs w:val="22"/>
        </w:rPr>
        <w:t xml:space="preserve">, alcanzando el número total de </w:t>
      </w:r>
      <w:r w:rsidR="00FF5E10">
        <w:rPr>
          <w:rFonts w:ascii="Arial" w:hAnsi="Arial" w:cs="Arial"/>
          <w:sz w:val="22"/>
          <w:szCs w:val="22"/>
        </w:rPr>
        <w:t>usuarios</w:t>
      </w:r>
      <w:r w:rsidR="00367F0E">
        <w:rPr>
          <w:rFonts w:ascii="Arial" w:hAnsi="Arial" w:cs="Arial"/>
          <w:sz w:val="22"/>
          <w:szCs w:val="22"/>
        </w:rPr>
        <w:t xml:space="preserve"> de 431 mil</w:t>
      </w:r>
      <w:r w:rsidR="00EA3F86">
        <w:rPr>
          <w:rFonts w:ascii="Arial" w:hAnsi="Arial" w:cs="Arial"/>
          <w:sz w:val="22"/>
          <w:szCs w:val="22"/>
        </w:rPr>
        <w:t xml:space="preserve">. Esto se debe a tanto </w:t>
      </w:r>
      <w:r w:rsidR="00D07EB3">
        <w:rPr>
          <w:rFonts w:ascii="Arial" w:hAnsi="Arial" w:cs="Arial"/>
          <w:sz w:val="22"/>
          <w:szCs w:val="22"/>
        </w:rPr>
        <w:t xml:space="preserve">las obras del Programa </w:t>
      </w:r>
      <w:r w:rsidR="00EA3F86">
        <w:rPr>
          <w:rFonts w:ascii="Arial" w:hAnsi="Arial" w:cs="Arial"/>
          <w:sz w:val="22"/>
          <w:szCs w:val="22"/>
        </w:rPr>
        <w:t>como</w:t>
      </w:r>
      <w:r w:rsidR="00D07EB3">
        <w:rPr>
          <w:rFonts w:ascii="Arial" w:hAnsi="Arial" w:cs="Arial"/>
          <w:sz w:val="22"/>
          <w:szCs w:val="22"/>
        </w:rPr>
        <w:t xml:space="preserve"> </w:t>
      </w:r>
      <w:r w:rsidR="00EA3F86">
        <w:rPr>
          <w:rFonts w:ascii="Arial" w:hAnsi="Arial" w:cs="Arial"/>
          <w:sz w:val="22"/>
          <w:szCs w:val="22"/>
        </w:rPr>
        <w:t>las actividades de fortalecer la gestión de la División Saneamiento (en particular, mejoramiento de los catastros)</w:t>
      </w:r>
      <w:r w:rsidRPr="008255AB">
        <w:rPr>
          <w:rFonts w:ascii="Arial" w:hAnsi="Arial" w:cs="Arial"/>
          <w:sz w:val="22"/>
          <w:szCs w:val="22"/>
        </w:rPr>
        <w:t xml:space="preserve">. Se estima que en el año 2020 se facturarán aproximadamente </w:t>
      </w:r>
      <w:r w:rsidR="00367F0E">
        <w:rPr>
          <w:rFonts w:ascii="Arial" w:hAnsi="Arial" w:cs="Arial"/>
          <w:sz w:val="22"/>
          <w:szCs w:val="22"/>
        </w:rPr>
        <w:t>70</w:t>
      </w:r>
      <w:r w:rsidRPr="008255AB">
        <w:rPr>
          <w:rFonts w:ascii="Arial" w:hAnsi="Arial" w:cs="Arial"/>
          <w:sz w:val="22"/>
          <w:szCs w:val="22"/>
        </w:rPr>
        <w:t xml:space="preserve"> millones de m3</w:t>
      </w:r>
      <w:r w:rsidR="00367F0E">
        <w:rPr>
          <w:rFonts w:ascii="Arial" w:hAnsi="Arial" w:cs="Arial"/>
          <w:sz w:val="22"/>
          <w:szCs w:val="22"/>
        </w:rPr>
        <w:t>/año</w:t>
      </w:r>
      <w:r w:rsidRPr="008255AB">
        <w:rPr>
          <w:rFonts w:ascii="Arial" w:hAnsi="Arial" w:cs="Arial"/>
          <w:sz w:val="22"/>
          <w:szCs w:val="22"/>
        </w:rPr>
        <w:t xml:space="preserve"> de </w:t>
      </w:r>
      <w:r w:rsidR="00367F0E">
        <w:rPr>
          <w:rFonts w:ascii="Arial" w:hAnsi="Arial" w:cs="Arial"/>
          <w:sz w:val="22"/>
          <w:szCs w:val="22"/>
        </w:rPr>
        <w:t xml:space="preserve">servicio de saneamiento </w:t>
      </w:r>
      <w:r w:rsidRPr="008255AB">
        <w:rPr>
          <w:rFonts w:ascii="Arial" w:hAnsi="Arial" w:cs="Arial"/>
          <w:sz w:val="22"/>
          <w:szCs w:val="22"/>
        </w:rPr>
        <w:t>a una tarifa promedio de US$0,</w:t>
      </w:r>
      <w:r w:rsidR="00367F0E">
        <w:rPr>
          <w:rFonts w:ascii="Arial" w:hAnsi="Arial" w:cs="Arial"/>
          <w:sz w:val="22"/>
          <w:szCs w:val="22"/>
        </w:rPr>
        <w:t>8</w:t>
      </w:r>
      <w:r w:rsidRPr="008255AB">
        <w:rPr>
          <w:rFonts w:ascii="Arial" w:hAnsi="Arial" w:cs="Arial"/>
          <w:sz w:val="22"/>
          <w:szCs w:val="22"/>
        </w:rPr>
        <w:t>/m</w:t>
      </w:r>
      <w:r w:rsidRPr="008255AB">
        <w:rPr>
          <w:rFonts w:ascii="Arial" w:hAnsi="Arial" w:cs="Arial"/>
          <w:sz w:val="22"/>
          <w:szCs w:val="22"/>
          <w:vertAlign w:val="superscript"/>
        </w:rPr>
        <w:t>3</w:t>
      </w:r>
      <w:r w:rsidR="000A7E58">
        <w:rPr>
          <w:rFonts w:ascii="Arial" w:hAnsi="Arial" w:cs="Arial"/>
          <w:sz w:val="22"/>
          <w:szCs w:val="22"/>
        </w:rPr>
        <w:t xml:space="preserve">. En el promedio, </w:t>
      </w:r>
      <w:r w:rsidR="000E4862">
        <w:rPr>
          <w:rFonts w:ascii="Arial" w:hAnsi="Arial" w:cs="Arial"/>
          <w:sz w:val="22"/>
          <w:szCs w:val="22"/>
        </w:rPr>
        <w:t>por usuario, se estima la facturación mensual del</w:t>
      </w:r>
      <w:r w:rsidR="000A7E58">
        <w:rPr>
          <w:rFonts w:ascii="Arial" w:hAnsi="Arial" w:cs="Arial"/>
          <w:sz w:val="22"/>
          <w:szCs w:val="22"/>
        </w:rPr>
        <w:t xml:space="preserve"> US$11 para el consumo mensual de un </w:t>
      </w:r>
      <w:r w:rsidR="000E4862">
        <w:rPr>
          <w:rFonts w:ascii="Arial" w:hAnsi="Arial" w:cs="Arial"/>
          <w:sz w:val="22"/>
          <w:szCs w:val="22"/>
        </w:rPr>
        <w:t>1</w:t>
      </w:r>
      <w:r w:rsidR="000A7E58">
        <w:rPr>
          <w:rFonts w:ascii="Arial" w:hAnsi="Arial" w:cs="Arial"/>
          <w:sz w:val="22"/>
          <w:szCs w:val="22"/>
        </w:rPr>
        <w:t>4m</w:t>
      </w:r>
      <w:r w:rsidR="000A7E58" w:rsidRPr="000A7E58">
        <w:rPr>
          <w:rFonts w:ascii="Arial" w:hAnsi="Arial" w:cs="Arial"/>
          <w:sz w:val="22"/>
          <w:szCs w:val="22"/>
          <w:vertAlign w:val="superscript"/>
        </w:rPr>
        <w:t>3</w:t>
      </w:r>
      <w:r w:rsidR="000A7E58">
        <w:rPr>
          <w:rFonts w:ascii="Arial" w:hAnsi="Arial" w:cs="Arial"/>
          <w:sz w:val="22"/>
          <w:szCs w:val="22"/>
        </w:rPr>
        <w:t>.</w:t>
      </w:r>
      <w:r w:rsidR="00367F0E">
        <w:rPr>
          <w:rFonts w:ascii="Arial" w:hAnsi="Arial" w:cs="Arial"/>
          <w:sz w:val="22"/>
          <w:szCs w:val="22"/>
        </w:rPr>
        <w:t xml:space="preserve"> </w:t>
      </w:r>
    </w:p>
    <w:p w14:paraId="57E13BA7" w14:textId="77777777" w:rsidR="0000523F" w:rsidRPr="000E4862" w:rsidRDefault="0000523F" w:rsidP="0000523F">
      <w:pPr>
        <w:pStyle w:val="Default"/>
        <w:jc w:val="both"/>
        <w:rPr>
          <w:rFonts w:ascii="Arial" w:hAnsi="Arial" w:cs="Arial"/>
          <w:bCs/>
          <w:sz w:val="22"/>
          <w:szCs w:val="22"/>
          <w:lang w:val="es-ES"/>
        </w:rPr>
      </w:pPr>
    </w:p>
    <w:p w14:paraId="76BA5220" w14:textId="77777777" w:rsidR="0000523F" w:rsidRPr="0000523F" w:rsidRDefault="000A7E58" w:rsidP="00422A30">
      <w:pPr>
        <w:pStyle w:val="Default"/>
        <w:numPr>
          <w:ilvl w:val="1"/>
          <w:numId w:val="5"/>
        </w:numPr>
        <w:jc w:val="both"/>
        <w:rPr>
          <w:rFonts w:ascii="Arial" w:hAnsi="Arial" w:cs="Arial"/>
          <w:bCs/>
          <w:sz w:val="22"/>
          <w:szCs w:val="22"/>
          <w:lang w:val="es-ES_tradnl"/>
        </w:rPr>
      </w:pPr>
      <w:r>
        <w:rPr>
          <w:rFonts w:ascii="Arial" w:hAnsi="Arial" w:cs="Arial"/>
          <w:sz w:val="22"/>
          <w:szCs w:val="22"/>
          <w:lang w:val="es-ES_tradnl"/>
        </w:rPr>
        <w:t>El</w:t>
      </w:r>
      <w:r w:rsidR="00894738" w:rsidRPr="0000523F">
        <w:rPr>
          <w:rFonts w:ascii="Arial" w:hAnsi="Arial" w:cs="Arial"/>
          <w:sz w:val="22"/>
          <w:szCs w:val="22"/>
          <w:lang w:val="es-ES_tradnl"/>
        </w:rPr>
        <w:t xml:space="preserve"> </w:t>
      </w:r>
      <w:r>
        <w:rPr>
          <w:rFonts w:ascii="Arial" w:hAnsi="Arial" w:cs="Arial"/>
          <w:sz w:val="22"/>
          <w:szCs w:val="22"/>
          <w:lang w:val="es-ES_tradnl"/>
        </w:rPr>
        <w:t>A</w:t>
      </w:r>
      <w:r w:rsidR="00894738" w:rsidRPr="0000523F">
        <w:rPr>
          <w:rFonts w:ascii="Arial" w:hAnsi="Arial" w:cs="Arial"/>
          <w:sz w:val="22"/>
          <w:szCs w:val="22"/>
          <w:lang w:val="es-ES_tradnl"/>
        </w:rPr>
        <w:t xml:space="preserve">dicional </w:t>
      </w:r>
      <w:r>
        <w:rPr>
          <w:rFonts w:ascii="Arial" w:hAnsi="Arial" w:cs="Arial"/>
          <w:sz w:val="22"/>
          <w:szCs w:val="22"/>
          <w:lang w:val="es-ES_tradnl"/>
        </w:rPr>
        <w:t>de</w:t>
      </w:r>
      <w:r w:rsidR="00894738" w:rsidRPr="0000523F">
        <w:rPr>
          <w:rFonts w:ascii="Arial" w:hAnsi="Arial" w:cs="Arial"/>
          <w:sz w:val="22"/>
          <w:szCs w:val="22"/>
          <w:lang w:val="es-ES_tradnl"/>
        </w:rPr>
        <w:t xml:space="preserve"> </w:t>
      </w:r>
      <w:r>
        <w:rPr>
          <w:rFonts w:ascii="Arial" w:hAnsi="Arial" w:cs="Arial"/>
          <w:sz w:val="22"/>
          <w:szCs w:val="22"/>
          <w:lang w:val="es-ES_tradnl"/>
        </w:rPr>
        <w:t>la C</w:t>
      </w:r>
      <w:r w:rsidR="00894738" w:rsidRPr="0000523F">
        <w:rPr>
          <w:rFonts w:ascii="Arial" w:hAnsi="Arial" w:cs="Arial"/>
          <w:sz w:val="22"/>
          <w:szCs w:val="22"/>
          <w:lang w:val="es-ES_tradnl"/>
        </w:rPr>
        <w:t xml:space="preserve">ontribución </w:t>
      </w:r>
      <w:r>
        <w:rPr>
          <w:rFonts w:ascii="Arial" w:hAnsi="Arial" w:cs="Arial"/>
          <w:sz w:val="22"/>
          <w:szCs w:val="22"/>
          <w:lang w:val="es-ES_tradnl"/>
        </w:rPr>
        <w:t>I</w:t>
      </w:r>
      <w:r w:rsidR="00894738" w:rsidRPr="0000523F">
        <w:rPr>
          <w:rFonts w:ascii="Arial" w:hAnsi="Arial" w:cs="Arial"/>
          <w:sz w:val="22"/>
          <w:szCs w:val="22"/>
          <w:lang w:val="es-ES_tradnl"/>
        </w:rPr>
        <w:t>nmobiliaria</w:t>
      </w:r>
      <w:r>
        <w:rPr>
          <w:rFonts w:ascii="Arial" w:hAnsi="Arial" w:cs="Arial"/>
          <w:sz w:val="22"/>
          <w:szCs w:val="22"/>
          <w:lang w:val="es-ES_tradnl"/>
        </w:rPr>
        <w:t>, en el 2020,</w:t>
      </w:r>
      <w:r w:rsidR="00894738" w:rsidRPr="0000523F">
        <w:rPr>
          <w:rFonts w:ascii="Arial" w:hAnsi="Arial" w:cs="Arial"/>
          <w:sz w:val="22"/>
          <w:szCs w:val="22"/>
          <w:lang w:val="es-ES_tradnl"/>
        </w:rPr>
        <w:t xml:space="preserve"> representa el </w:t>
      </w:r>
      <w:r w:rsidRPr="000A7E58">
        <w:rPr>
          <w:rFonts w:ascii="Arial" w:hAnsi="Arial" w:cs="Arial"/>
          <w:sz w:val="22"/>
          <w:szCs w:val="22"/>
          <w:lang w:val="es-ES_tradnl"/>
        </w:rPr>
        <w:t>16,9</w:t>
      </w:r>
      <w:r w:rsidR="00894738" w:rsidRPr="000A7E58">
        <w:rPr>
          <w:rFonts w:ascii="Arial" w:hAnsi="Arial" w:cs="Arial"/>
          <w:sz w:val="22"/>
          <w:szCs w:val="22"/>
          <w:lang w:val="es-ES_tradnl"/>
        </w:rPr>
        <w:t>%</w:t>
      </w:r>
      <w:r w:rsidR="00894738" w:rsidRPr="0000523F">
        <w:rPr>
          <w:rFonts w:ascii="Arial" w:hAnsi="Arial" w:cs="Arial"/>
          <w:sz w:val="22"/>
          <w:szCs w:val="22"/>
          <w:lang w:val="es-ES_tradnl"/>
        </w:rPr>
        <w:t xml:space="preserve"> del total de los ingresos y se incrementa de US$1</w:t>
      </w:r>
      <w:r>
        <w:rPr>
          <w:rFonts w:ascii="Arial" w:hAnsi="Arial" w:cs="Arial"/>
          <w:sz w:val="22"/>
          <w:szCs w:val="22"/>
          <w:lang w:val="es-ES_tradnl"/>
        </w:rPr>
        <w:t>1</w:t>
      </w:r>
      <w:r w:rsidR="00894738" w:rsidRPr="0000523F">
        <w:rPr>
          <w:rFonts w:ascii="Arial" w:hAnsi="Arial" w:cs="Arial"/>
          <w:sz w:val="22"/>
          <w:szCs w:val="22"/>
          <w:lang w:val="es-ES_tradnl"/>
        </w:rPr>
        <w:t>.</w:t>
      </w:r>
      <w:r>
        <w:rPr>
          <w:rFonts w:ascii="Arial" w:hAnsi="Arial" w:cs="Arial"/>
          <w:sz w:val="22"/>
          <w:szCs w:val="22"/>
          <w:lang w:val="es-ES_tradnl"/>
        </w:rPr>
        <w:t>9</w:t>
      </w:r>
      <w:r w:rsidR="00894738" w:rsidRPr="0000523F">
        <w:rPr>
          <w:rFonts w:ascii="Arial" w:hAnsi="Arial" w:cs="Arial"/>
          <w:sz w:val="22"/>
          <w:szCs w:val="22"/>
          <w:lang w:val="es-ES_tradnl"/>
        </w:rPr>
        <w:t xml:space="preserve"> millones por año a US$12,</w:t>
      </w:r>
      <w:r>
        <w:rPr>
          <w:rFonts w:ascii="Arial" w:hAnsi="Arial" w:cs="Arial"/>
          <w:sz w:val="22"/>
          <w:szCs w:val="22"/>
          <w:lang w:val="es-ES_tradnl"/>
        </w:rPr>
        <w:t>1</w:t>
      </w:r>
      <w:r w:rsidR="00894738" w:rsidRPr="0000523F">
        <w:rPr>
          <w:rFonts w:ascii="Arial" w:hAnsi="Arial" w:cs="Arial"/>
          <w:sz w:val="22"/>
          <w:szCs w:val="22"/>
          <w:lang w:val="es-ES_tradnl"/>
        </w:rPr>
        <w:t xml:space="preserve"> millones. </w:t>
      </w:r>
    </w:p>
    <w:p w14:paraId="64ED9B5F" w14:textId="77777777" w:rsidR="0000523F" w:rsidRPr="000A7E58" w:rsidRDefault="0000523F" w:rsidP="0000523F">
      <w:pPr>
        <w:pStyle w:val="Default"/>
        <w:ind w:left="360"/>
        <w:jc w:val="both"/>
        <w:rPr>
          <w:rFonts w:ascii="Arial" w:hAnsi="Arial" w:cs="Arial"/>
          <w:bCs/>
          <w:sz w:val="22"/>
          <w:szCs w:val="22"/>
          <w:lang w:val="es-ES_tradnl"/>
        </w:rPr>
      </w:pPr>
    </w:p>
    <w:p w14:paraId="0A6E6E32" w14:textId="204C30D4" w:rsidR="0000523F" w:rsidRPr="0000523F" w:rsidRDefault="00894738" w:rsidP="0000523F">
      <w:pPr>
        <w:pStyle w:val="Default"/>
        <w:numPr>
          <w:ilvl w:val="1"/>
          <w:numId w:val="5"/>
        </w:numPr>
        <w:jc w:val="both"/>
        <w:rPr>
          <w:rFonts w:ascii="Arial" w:hAnsi="Arial" w:cs="Arial"/>
          <w:bCs/>
          <w:sz w:val="22"/>
          <w:szCs w:val="22"/>
          <w:lang w:val="es-ES_tradnl"/>
        </w:rPr>
      </w:pPr>
      <w:r w:rsidRPr="0000523F">
        <w:rPr>
          <w:rFonts w:ascii="Arial" w:hAnsi="Arial" w:cs="Arial"/>
          <w:sz w:val="22"/>
          <w:szCs w:val="22"/>
          <w:lang w:val="es-ES_tradnl"/>
        </w:rPr>
        <w:t xml:space="preserve">Los </w:t>
      </w:r>
      <w:r w:rsidR="00467D66">
        <w:rPr>
          <w:rFonts w:ascii="Arial" w:hAnsi="Arial" w:cs="Arial" w:hint="eastAsia"/>
          <w:sz w:val="22"/>
          <w:szCs w:val="22"/>
          <w:lang w:val="es-ES_tradnl"/>
        </w:rPr>
        <w:t>Cost</w:t>
      </w:r>
      <w:r w:rsidRPr="0000523F">
        <w:rPr>
          <w:rFonts w:ascii="Arial" w:hAnsi="Arial" w:cs="Arial"/>
          <w:sz w:val="22"/>
          <w:szCs w:val="22"/>
          <w:lang w:val="es-ES_tradnl"/>
        </w:rPr>
        <w:t xml:space="preserve">os de Operación y Mantenimiento crecen a una tasa promedio anual del </w:t>
      </w:r>
      <w:r w:rsidR="000A7E58">
        <w:rPr>
          <w:rFonts w:ascii="Arial" w:hAnsi="Arial" w:cs="Arial"/>
          <w:sz w:val="22"/>
          <w:szCs w:val="22"/>
          <w:lang w:val="es-ES_tradnl"/>
        </w:rPr>
        <w:t>0</w:t>
      </w:r>
      <w:r w:rsidRPr="0000523F">
        <w:rPr>
          <w:rFonts w:ascii="Arial" w:hAnsi="Arial" w:cs="Arial"/>
          <w:sz w:val="22"/>
          <w:szCs w:val="22"/>
          <w:lang w:val="es-ES_tradnl"/>
        </w:rPr>
        <w:t>,</w:t>
      </w:r>
      <w:r w:rsidR="000A7E58">
        <w:rPr>
          <w:rFonts w:ascii="Arial" w:hAnsi="Arial" w:cs="Arial"/>
          <w:sz w:val="22"/>
          <w:szCs w:val="22"/>
          <w:lang w:val="es-ES_tradnl"/>
        </w:rPr>
        <w:t>6</w:t>
      </w:r>
      <w:r w:rsidRPr="0000523F">
        <w:rPr>
          <w:rFonts w:ascii="Arial" w:hAnsi="Arial" w:cs="Arial"/>
          <w:sz w:val="22"/>
          <w:szCs w:val="22"/>
          <w:lang w:val="es-ES_tradnl"/>
        </w:rPr>
        <w:t xml:space="preserve">% como resultado de la entrada en servicio de las instalaciones financiadas con el programa y por las incorporaciones de los nuevos usuarios. </w:t>
      </w:r>
      <w:r w:rsidR="000A7E58">
        <w:rPr>
          <w:rFonts w:ascii="Arial" w:hAnsi="Arial" w:cs="Arial"/>
          <w:sz w:val="22"/>
          <w:szCs w:val="22"/>
          <w:lang w:val="es-ES_tradnl"/>
        </w:rPr>
        <w:t>El SS</w:t>
      </w:r>
      <w:r w:rsidRPr="0000523F">
        <w:rPr>
          <w:rFonts w:ascii="Arial" w:hAnsi="Arial" w:cs="Arial"/>
          <w:sz w:val="22"/>
          <w:szCs w:val="22"/>
          <w:lang w:val="es-ES_tradnl"/>
        </w:rPr>
        <w:t xml:space="preserve"> mant</w:t>
      </w:r>
      <w:r w:rsidR="000A7E58">
        <w:rPr>
          <w:rFonts w:ascii="Arial" w:hAnsi="Arial" w:cs="Arial"/>
          <w:sz w:val="22"/>
          <w:szCs w:val="22"/>
          <w:lang w:val="es-ES_tradnl"/>
        </w:rPr>
        <w:t>endrá</w:t>
      </w:r>
      <w:r w:rsidRPr="0000523F">
        <w:rPr>
          <w:rFonts w:ascii="Arial" w:hAnsi="Arial" w:cs="Arial"/>
          <w:sz w:val="22"/>
          <w:szCs w:val="22"/>
          <w:lang w:val="es-ES_tradnl"/>
        </w:rPr>
        <w:t xml:space="preserve"> el</w:t>
      </w:r>
      <w:r w:rsidR="0000523F">
        <w:rPr>
          <w:rFonts w:ascii="Arial" w:hAnsi="Arial" w:cs="Arial"/>
          <w:bCs/>
          <w:sz w:val="22"/>
          <w:szCs w:val="22"/>
          <w:lang w:val="es-ES_tradnl"/>
        </w:rPr>
        <w:t xml:space="preserve"> </w:t>
      </w:r>
      <w:r w:rsidRPr="0000523F">
        <w:rPr>
          <w:rFonts w:ascii="Arial" w:hAnsi="Arial" w:cs="Arial"/>
          <w:sz w:val="22"/>
          <w:szCs w:val="22"/>
          <w:lang w:val="es-ES_tradnl"/>
        </w:rPr>
        <w:t>nivel</w:t>
      </w:r>
      <w:r w:rsidR="000A7E58">
        <w:rPr>
          <w:rFonts w:ascii="Arial" w:hAnsi="Arial" w:cs="Arial"/>
          <w:sz w:val="22"/>
          <w:szCs w:val="22"/>
          <w:lang w:val="es-ES_tradnl"/>
        </w:rPr>
        <w:t xml:space="preserve"> actual</w:t>
      </w:r>
      <w:r w:rsidRPr="0000523F">
        <w:rPr>
          <w:rFonts w:ascii="Arial" w:hAnsi="Arial" w:cs="Arial"/>
          <w:sz w:val="22"/>
          <w:szCs w:val="22"/>
          <w:lang w:val="es-ES_tradnl"/>
        </w:rPr>
        <w:t xml:space="preserve"> de empleados por mil </w:t>
      </w:r>
      <w:r w:rsidR="00FF5E10">
        <w:rPr>
          <w:rFonts w:ascii="Arial" w:hAnsi="Arial" w:cs="Arial"/>
          <w:sz w:val="22"/>
          <w:szCs w:val="22"/>
          <w:lang w:val="es-ES_tradnl"/>
        </w:rPr>
        <w:t>usuarios</w:t>
      </w:r>
      <w:r w:rsidR="000A7E58">
        <w:rPr>
          <w:rFonts w:ascii="Arial" w:hAnsi="Arial" w:cs="Arial"/>
          <w:sz w:val="22"/>
          <w:szCs w:val="22"/>
          <w:lang w:val="es-ES_tradnl"/>
        </w:rPr>
        <w:t xml:space="preserve"> (0,8 empleados/mil </w:t>
      </w:r>
      <w:r w:rsidR="00FF5E10">
        <w:rPr>
          <w:rFonts w:ascii="Arial" w:hAnsi="Arial" w:cs="Arial"/>
          <w:sz w:val="22"/>
          <w:szCs w:val="22"/>
          <w:lang w:val="es-ES_tradnl"/>
        </w:rPr>
        <w:t>usuarios</w:t>
      </w:r>
      <w:r w:rsidR="000A7E58">
        <w:rPr>
          <w:rFonts w:ascii="Arial" w:hAnsi="Arial" w:cs="Arial"/>
          <w:sz w:val="22"/>
          <w:szCs w:val="22"/>
          <w:lang w:val="es-ES_tradnl"/>
        </w:rPr>
        <w:t>)</w:t>
      </w:r>
      <w:r w:rsidRPr="0000523F">
        <w:rPr>
          <w:rFonts w:ascii="Arial" w:hAnsi="Arial" w:cs="Arial"/>
          <w:sz w:val="22"/>
          <w:szCs w:val="22"/>
          <w:lang w:val="es-ES_tradnl"/>
        </w:rPr>
        <w:t>, indicador que se considera ent</w:t>
      </w:r>
      <w:r w:rsidR="0000523F">
        <w:rPr>
          <w:rFonts w:ascii="Arial" w:hAnsi="Arial" w:cs="Arial"/>
          <w:sz w:val="22"/>
          <w:szCs w:val="22"/>
          <w:lang w:val="es-ES_tradnl"/>
        </w:rPr>
        <w:t>re los mejores de la industria.</w:t>
      </w:r>
      <w:r w:rsidR="00467D66">
        <w:rPr>
          <w:rFonts w:ascii="Arial" w:hAnsi="Arial" w:cs="Arial"/>
          <w:sz w:val="22"/>
          <w:szCs w:val="22"/>
          <w:lang w:val="es-ES_tradnl"/>
        </w:rPr>
        <w:t xml:space="preserve"> Por m</w:t>
      </w:r>
      <w:r w:rsidR="00467D66" w:rsidRPr="00467D66">
        <w:rPr>
          <w:rFonts w:ascii="Arial" w:hAnsi="Arial" w:cs="Arial"/>
          <w:sz w:val="22"/>
          <w:szCs w:val="22"/>
          <w:vertAlign w:val="superscript"/>
          <w:lang w:val="es-ES_tradnl"/>
        </w:rPr>
        <w:t>3</w:t>
      </w:r>
      <w:r w:rsidR="00467D66">
        <w:rPr>
          <w:rFonts w:ascii="Arial" w:hAnsi="Arial" w:cs="Arial"/>
          <w:sz w:val="22"/>
          <w:szCs w:val="22"/>
          <w:lang w:val="es-ES_tradnl"/>
        </w:rPr>
        <w:t xml:space="preserve"> de saneamiento, se estima el costo de operación</w:t>
      </w:r>
      <w:r w:rsidR="00467D66">
        <w:rPr>
          <w:rFonts w:ascii="Arial" w:hAnsi="Arial" w:cs="Arial"/>
          <w:sz w:val="22"/>
          <w:szCs w:val="22"/>
          <w:lang w:val="es-ES"/>
        </w:rPr>
        <w:t xml:space="preserve"> y mantenimiento de US$0,3$/m</w:t>
      </w:r>
      <w:r w:rsidR="00467D66" w:rsidRPr="00467D66">
        <w:rPr>
          <w:rFonts w:ascii="Arial" w:hAnsi="Arial" w:cs="Arial"/>
          <w:sz w:val="22"/>
          <w:szCs w:val="22"/>
          <w:vertAlign w:val="superscript"/>
          <w:lang w:val="es-ES"/>
        </w:rPr>
        <w:t>3</w:t>
      </w:r>
      <w:r w:rsidR="00467D66">
        <w:rPr>
          <w:rFonts w:ascii="Arial" w:hAnsi="Arial" w:cs="Arial"/>
          <w:sz w:val="22"/>
          <w:szCs w:val="22"/>
          <w:lang w:val="es-ES"/>
        </w:rPr>
        <w:t>.</w:t>
      </w:r>
    </w:p>
    <w:p w14:paraId="4986301B" w14:textId="77777777" w:rsidR="0000523F" w:rsidRPr="0000523F" w:rsidRDefault="0000523F" w:rsidP="0000523F">
      <w:pPr>
        <w:pStyle w:val="Default"/>
        <w:ind w:left="360"/>
        <w:jc w:val="both"/>
        <w:rPr>
          <w:rFonts w:ascii="Arial" w:hAnsi="Arial" w:cs="Arial"/>
          <w:bCs/>
          <w:sz w:val="22"/>
          <w:szCs w:val="22"/>
          <w:lang w:val="es-ES_tradnl"/>
        </w:rPr>
      </w:pPr>
    </w:p>
    <w:p w14:paraId="3BF061A3" w14:textId="77777777" w:rsidR="0000523F" w:rsidRPr="0000523F" w:rsidRDefault="00894738" w:rsidP="0000523F">
      <w:pPr>
        <w:pStyle w:val="Default"/>
        <w:numPr>
          <w:ilvl w:val="1"/>
          <w:numId w:val="5"/>
        </w:numPr>
        <w:jc w:val="both"/>
        <w:rPr>
          <w:rFonts w:ascii="Arial" w:hAnsi="Arial" w:cs="Arial"/>
          <w:bCs/>
          <w:sz w:val="22"/>
          <w:szCs w:val="22"/>
          <w:lang w:val="es-ES_tradnl"/>
        </w:rPr>
      </w:pPr>
      <w:r w:rsidRPr="0000523F">
        <w:rPr>
          <w:rFonts w:ascii="Arial" w:hAnsi="Arial" w:cs="Arial"/>
          <w:sz w:val="22"/>
          <w:szCs w:val="22"/>
          <w:lang w:val="es-ES_tradnl"/>
        </w:rPr>
        <w:t xml:space="preserve">El margen de utilidad operativa </w:t>
      </w:r>
      <w:r w:rsidR="000A7E58">
        <w:rPr>
          <w:rFonts w:ascii="Arial" w:hAnsi="Arial" w:cs="Arial"/>
          <w:sz w:val="22"/>
          <w:szCs w:val="22"/>
          <w:lang w:val="es-ES_tradnl"/>
        </w:rPr>
        <w:t>(</w:t>
      </w:r>
      <w:r w:rsidRPr="0000523F">
        <w:rPr>
          <w:rFonts w:ascii="Arial" w:hAnsi="Arial" w:cs="Arial"/>
          <w:sz w:val="22"/>
          <w:szCs w:val="22"/>
          <w:lang w:val="es-ES_tradnl"/>
        </w:rPr>
        <w:t>EBITDA</w:t>
      </w:r>
      <w:r w:rsidR="000A7E58">
        <w:rPr>
          <w:rFonts w:ascii="Arial" w:hAnsi="Arial" w:cs="Arial"/>
          <w:sz w:val="22"/>
          <w:szCs w:val="22"/>
          <w:lang w:val="es-ES_tradnl"/>
        </w:rPr>
        <w:t>)</w:t>
      </w:r>
      <w:r w:rsidRPr="0000523F">
        <w:rPr>
          <w:rFonts w:ascii="Arial" w:hAnsi="Arial" w:cs="Arial"/>
          <w:sz w:val="22"/>
          <w:szCs w:val="22"/>
          <w:lang w:val="es-ES_tradnl"/>
        </w:rPr>
        <w:t xml:space="preserve"> estimado </w:t>
      </w:r>
      <w:r w:rsidR="000A7E58">
        <w:rPr>
          <w:rFonts w:ascii="Arial" w:hAnsi="Arial" w:cs="Arial"/>
          <w:sz w:val="22"/>
          <w:szCs w:val="22"/>
          <w:lang w:val="es-ES_tradnl"/>
        </w:rPr>
        <w:t xml:space="preserve">al quinto año </w:t>
      </w:r>
      <w:r w:rsidR="000A7E58">
        <w:rPr>
          <w:rFonts w:ascii="Arial" w:hAnsi="Arial" w:cs="Arial"/>
          <w:sz w:val="22"/>
          <w:szCs w:val="22"/>
          <w:lang w:val="es-ES"/>
        </w:rPr>
        <w:t>de la proyección</w:t>
      </w:r>
      <w:r w:rsidRPr="0000523F">
        <w:rPr>
          <w:rFonts w:ascii="Arial" w:hAnsi="Arial" w:cs="Arial"/>
          <w:sz w:val="22"/>
          <w:szCs w:val="22"/>
          <w:lang w:val="es-ES_tradnl"/>
        </w:rPr>
        <w:t xml:space="preserve"> se proyecta en</w:t>
      </w:r>
      <w:r w:rsidR="000A7E58">
        <w:rPr>
          <w:rFonts w:ascii="Arial" w:hAnsi="Arial" w:cs="Arial"/>
          <w:sz w:val="22"/>
          <w:szCs w:val="22"/>
          <w:lang w:val="es-ES_tradnl"/>
        </w:rPr>
        <w:t xml:space="preserve"> el</w:t>
      </w:r>
      <w:r w:rsidRPr="0000523F">
        <w:rPr>
          <w:rFonts w:ascii="Arial" w:hAnsi="Arial" w:cs="Arial"/>
          <w:sz w:val="22"/>
          <w:szCs w:val="22"/>
          <w:lang w:val="es-ES_tradnl"/>
        </w:rPr>
        <w:t xml:space="preserve"> </w:t>
      </w:r>
      <w:r w:rsidR="000A7E58">
        <w:rPr>
          <w:rFonts w:ascii="Arial" w:hAnsi="Arial" w:cs="Arial"/>
          <w:sz w:val="22"/>
          <w:szCs w:val="22"/>
          <w:lang w:val="es-ES_tradnl"/>
        </w:rPr>
        <w:t>51,6</w:t>
      </w:r>
      <w:r w:rsidRPr="0000523F">
        <w:rPr>
          <w:rFonts w:ascii="Arial" w:hAnsi="Arial" w:cs="Arial"/>
          <w:sz w:val="22"/>
          <w:szCs w:val="22"/>
          <w:lang w:val="es-ES_tradnl"/>
        </w:rPr>
        <w:t>%</w:t>
      </w:r>
      <w:r w:rsidR="000A7E58">
        <w:rPr>
          <w:rFonts w:ascii="Arial" w:hAnsi="Arial" w:cs="Arial"/>
          <w:sz w:val="22"/>
          <w:szCs w:val="22"/>
          <w:lang w:val="es-ES_tradnl"/>
        </w:rPr>
        <w:t>, mostrando leve aumento comparado con el 51,0% del 2015</w:t>
      </w:r>
      <w:r w:rsidRPr="0000523F">
        <w:rPr>
          <w:rFonts w:ascii="Arial" w:hAnsi="Arial" w:cs="Arial"/>
          <w:sz w:val="22"/>
          <w:szCs w:val="22"/>
          <w:lang w:val="es-ES_tradnl"/>
        </w:rPr>
        <w:t xml:space="preserve">. Los ingresos operativos son suficientes para cubrir los costos de depreciación, reportando </w:t>
      </w:r>
      <w:r w:rsidR="000A7E58">
        <w:rPr>
          <w:rFonts w:ascii="Arial" w:hAnsi="Arial" w:cs="Arial"/>
          <w:sz w:val="22"/>
          <w:szCs w:val="22"/>
          <w:lang w:val="es-ES_tradnl"/>
        </w:rPr>
        <w:t>el</w:t>
      </w:r>
      <w:r w:rsidRPr="0000523F">
        <w:rPr>
          <w:rFonts w:ascii="Arial" w:hAnsi="Arial" w:cs="Arial"/>
          <w:sz w:val="22"/>
          <w:szCs w:val="22"/>
          <w:lang w:val="es-ES_tradnl"/>
        </w:rPr>
        <w:t xml:space="preserve"> </w:t>
      </w:r>
      <w:r w:rsidR="000A7E58">
        <w:rPr>
          <w:rFonts w:ascii="Arial" w:hAnsi="Arial" w:cs="Arial"/>
          <w:sz w:val="22"/>
          <w:szCs w:val="22"/>
          <w:lang w:val="es-ES_tradnl"/>
        </w:rPr>
        <w:t>m</w:t>
      </w:r>
      <w:r w:rsidRPr="0000523F">
        <w:rPr>
          <w:rFonts w:ascii="Arial" w:hAnsi="Arial" w:cs="Arial"/>
          <w:sz w:val="22"/>
          <w:szCs w:val="22"/>
          <w:lang w:val="es-ES_tradnl"/>
        </w:rPr>
        <w:t xml:space="preserve">argen EBIT del </w:t>
      </w:r>
      <w:r w:rsidR="000A7E58">
        <w:rPr>
          <w:rFonts w:ascii="Arial" w:hAnsi="Arial" w:cs="Arial"/>
          <w:sz w:val="22"/>
          <w:szCs w:val="22"/>
          <w:lang w:val="es-ES_tradnl"/>
        </w:rPr>
        <w:t>39,</w:t>
      </w:r>
      <w:r w:rsidR="00186FB2">
        <w:rPr>
          <w:rFonts w:ascii="Arial" w:hAnsi="Arial" w:cs="Arial"/>
          <w:sz w:val="22"/>
          <w:szCs w:val="22"/>
          <w:lang w:val="es-ES_tradnl"/>
        </w:rPr>
        <w:t>0</w:t>
      </w:r>
      <w:r w:rsidRPr="0000523F">
        <w:rPr>
          <w:rFonts w:ascii="Arial" w:hAnsi="Arial" w:cs="Arial"/>
          <w:sz w:val="22"/>
          <w:szCs w:val="22"/>
          <w:lang w:val="es-ES_tradnl"/>
        </w:rPr>
        <w:t xml:space="preserve">% </w:t>
      </w:r>
      <w:r w:rsidR="000A7E58">
        <w:rPr>
          <w:rFonts w:ascii="Arial" w:hAnsi="Arial" w:cs="Arial"/>
          <w:sz w:val="22"/>
          <w:szCs w:val="22"/>
          <w:lang w:val="es-ES_tradnl"/>
        </w:rPr>
        <w:t>en el 2020.</w:t>
      </w:r>
      <w:r w:rsidRPr="0000523F">
        <w:rPr>
          <w:rFonts w:ascii="Arial" w:hAnsi="Arial" w:cs="Arial"/>
          <w:sz w:val="22"/>
          <w:szCs w:val="22"/>
          <w:lang w:val="es-ES_tradnl"/>
        </w:rPr>
        <w:t xml:space="preserve"> </w:t>
      </w:r>
    </w:p>
    <w:p w14:paraId="0FDE7E4A" w14:textId="77777777" w:rsidR="0000523F" w:rsidRPr="00DB09F4" w:rsidRDefault="0000523F" w:rsidP="0000523F">
      <w:pPr>
        <w:pStyle w:val="Default"/>
        <w:jc w:val="both"/>
        <w:rPr>
          <w:rFonts w:ascii="Arial" w:hAnsi="Arial" w:cs="Arial"/>
          <w:bCs/>
          <w:sz w:val="22"/>
          <w:szCs w:val="22"/>
          <w:lang w:val="es-ES_tradnl"/>
        </w:rPr>
      </w:pPr>
    </w:p>
    <w:p w14:paraId="659F88B7" w14:textId="77777777" w:rsidR="0000523F" w:rsidRPr="0000523F" w:rsidRDefault="00020000" w:rsidP="0000523F">
      <w:pPr>
        <w:pStyle w:val="Default"/>
        <w:numPr>
          <w:ilvl w:val="1"/>
          <w:numId w:val="5"/>
        </w:numPr>
        <w:jc w:val="both"/>
        <w:rPr>
          <w:rFonts w:ascii="Arial" w:hAnsi="Arial" w:cs="Arial"/>
          <w:bCs/>
          <w:sz w:val="22"/>
          <w:szCs w:val="22"/>
          <w:lang w:val="es-ES_tradnl"/>
        </w:rPr>
      </w:pPr>
      <w:r>
        <w:rPr>
          <w:rFonts w:ascii="Arial" w:hAnsi="Arial" w:cs="Arial"/>
          <w:sz w:val="22"/>
          <w:szCs w:val="22"/>
          <w:lang w:val="es-ES_tradnl"/>
        </w:rPr>
        <w:t>Los o</w:t>
      </w:r>
      <w:r w:rsidR="00894738" w:rsidRPr="0000523F">
        <w:rPr>
          <w:rFonts w:ascii="Arial" w:hAnsi="Arial" w:cs="Arial"/>
          <w:sz w:val="22"/>
          <w:szCs w:val="22"/>
          <w:lang w:val="es-ES_tradnl"/>
        </w:rPr>
        <w:t>tros ingresos y gastos</w:t>
      </w:r>
      <w:r w:rsidR="000A7E58">
        <w:rPr>
          <w:rFonts w:ascii="Arial" w:hAnsi="Arial" w:cs="Arial"/>
          <w:sz w:val="22"/>
          <w:szCs w:val="22"/>
          <w:lang w:val="es-ES_tradnl"/>
        </w:rPr>
        <w:t xml:space="preserve"> financieros</w:t>
      </w:r>
      <w:r>
        <w:rPr>
          <w:rFonts w:ascii="Arial" w:hAnsi="Arial" w:cs="Arial"/>
          <w:sz w:val="22"/>
          <w:szCs w:val="22"/>
          <w:lang w:val="es-ES_tradnl"/>
        </w:rPr>
        <w:t>, en conjunto,</w:t>
      </w:r>
      <w:r w:rsidR="00894738" w:rsidRPr="0000523F">
        <w:rPr>
          <w:rFonts w:ascii="Arial" w:hAnsi="Arial" w:cs="Arial"/>
          <w:sz w:val="22"/>
          <w:szCs w:val="22"/>
          <w:lang w:val="es-ES_tradnl"/>
        </w:rPr>
        <w:t xml:space="preserve"> representan un saldo </w:t>
      </w:r>
      <w:r>
        <w:rPr>
          <w:rFonts w:ascii="Arial" w:hAnsi="Arial" w:cs="Arial"/>
          <w:sz w:val="22"/>
          <w:szCs w:val="22"/>
          <w:lang w:val="es-ES_tradnl"/>
        </w:rPr>
        <w:t>negativo</w:t>
      </w:r>
      <w:r w:rsidR="00894738" w:rsidRPr="0000523F">
        <w:rPr>
          <w:rFonts w:ascii="Arial" w:hAnsi="Arial" w:cs="Arial"/>
          <w:sz w:val="22"/>
          <w:szCs w:val="22"/>
          <w:lang w:val="es-ES_tradnl"/>
        </w:rPr>
        <w:t xml:space="preserve"> equivalente al </w:t>
      </w:r>
      <w:r>
        <w:rPr>
          <w:rFonts w:ascii="Arial" w:hAnsi="Arial" w:cs="Arial"/>
          <w:sz w:val="22"/>
          <w:szCs w:val="22"/>
          <w:lang w:val="es-ES_tradnl"/>
        </w:rPr>
        <w:t>9,0</w:t>
      </w:r>
      <w:r w:rsidR="00894738" w:rsidRPr="0000523F">
        <w:rPr>
          <w:rFonts w:ascii="Arial" w:hAnsi="Arial" w:cs="Arial"/>
          <w:sz w:val="22"/>
          <w:szCs w:val="22"/>
          <w:lang w:val="es-ES_tradnl"/>
        </w:rPr>
        <w:t>% del total de los ingresos</w:t>
      </w:r>
      <w:r>
        <w:rPr>
          <w:rFonts w:ascii="Arial" w:hAnsi="Arial" w:cs="Arial"/>
          <w:sz w:val="22"/>
          <w:szCs w:val="22"/>
          <w:lang w:val="es-ES_tradnl"/>
        </w:rPr>
        <w:t>, y el margen neto del 2020 se proyecta a un 30,</w:t>
      </w:r>
      <w:r w:rsidR="00186FB2">
        <w:rPr>
          <w:rFonts w:ascii="Arial" w:hAnsi="Arial" w:cs="Arial"/>
          <w:sz w:val="22"/>
          <w:szCs w:val="22"/>
          <w:lang w:val="es-ES_tradnl"/>
        </w:rPr>
        <w:t>0</w:t>
      </w:r>
      <w:r>
        <w:rPr>
          <w:rFonts w:ascii="Arial" w:hAnsi="Arial" w:cs="Arial"/>
          <w:sz w:val="22"/>
          <w:szCs w:val="22"/>
          <w:lang w:val="es-ES_tradnl"/>
        </w:rPr>
        <w:t>%</w:t>
      </w:r>
      <w:r w:rsidR="00894738" w:rsidRPr="0000523F">
        <w:rPr>
          <w:rFonts w:ascii="Arial" w:hAnsi="Arial" w:cs="Arial"/>
          <w:sz w:val="22"/>
          <w:szCs w:val="22"/>
          <w:lang w:val="es-ES_tradnl"/>
        </w:rPr>
        <w:t>.</w:t>
      </w:r>
    </w:p>
    <w:p w14:paraId="344CB849" w14:textId="77777777" w:rsidR="00020000" w:rsidRDefault="00020000" w:rsidP="00020000">
      <w:pPr>
        <w:pStyle w:val="Default"/>
        <w:rPr>
          <w:rFonts w:ascii="Arial" w:hAnsi="Arial" w:cs="Arial"/>
          <w:sz w:val="22"/>
          <w:szCs w:val="22"/>
          <w:lang w:val="es-ES_tradnl"/>
        </w:rPr>
      </w:pPr>
    </w:p>
    <w:p w14:paraId="1620F6D8" w14:textId="77777777" w:rsidR="00020000" w:rsidRPr="00020000" w:rsidRDefault="00020000" w:rsidP="00020000">
      <w:pPr>
        <w:pStyle w:val="Paragraph"/>
        <w:numPr>
          <w:ilvl w:val="0"/>
          <w:numId w:val="0"/>
        </w:numPr>
        <w:jc w:val="center"/>
        <w:rPr>
          <w:rFonts w:ascii="Arial" w:hAnsi="Arial" w:cs="Arial"/>
          <w:b/>
          <w:bCs/>
          <w:sz w:val="22"/>
          <w:szCs w:val="22"/>
        </w:rPr>
      </w:pPr>
      <w:r w:rsidRPr="00BA4588">
        <w:rPr>
          <w:rFonts w:ascii="Arial" w:hAnsi="Arial" w:cs="Arial"/>
          <w:sz w:val="22"/>
          <w:szCs w:val="22"/>
          <w:u w:val="single"/>
        </w:rPr>
        <w:t xml:space="preserve">Cuadro </w:t>
      </w:r>
      <w:r>
        <w:rPr>
          <w:rFonts w:ascii="Arial" w:hAnsi="Arial" w:cs="Arial"/>
          <w:sz w:val="22"/>
          <w:szCs w:val="22"/>
          <w:u w:val="single"/>
        </w:rPr>
        <w:t>4</w:t>
      </w:r>
      <w:r w:rsidRPr="00BA4588">
        <w:rPr>
          <w:rFonts w:ascii="Arial" w:hAnsi="Arial" w:cs="Arial"/>
          <w:sz w:val="22"/>
          <w:szCs w:val="22"/>
          <w:u w:val="single"/>
        </w:rPr>
        <w:t xml:space="preserve">. Estado de </w:t>
      </w:r>
      <w:r>
        <w:rPr>
          <w:rFonts w:ascii="Arial" w:hAnsi="Arial" w:cs="Arial"/>
          <w:sz w:val="22"/>
          <w:szCs w:val="22"/>
          <w:u w:val="single"/>
        </w:rPr>
        <w:t xml:space="preserve">Resultados Proyectado </w:t>
      </w:r>
      <w:r w:rsidRPr="00BA4588">
        <w:rPr>
          <w:rFonts w:ascii="Arial" w:hAnsi="Arial" w:cs="Arial"/>
          <w:sz w:val="22"/>
          <w:szCs w:val="22"/>
          <w:u w:val="single"/>
        </w:rPr>
        <w:t>(en millones de US$ de 2015)</w:t>
      </w:r>
    </w:p>
    <w:p w14:paraId="09AA739F" w14:textId="13D8C455" w:rsidR="00020000" w:rsidRDefault="0011459F" w:rsidP="00020000">
      <w:pPr>
        <w:pStyle w:val="Default"/>
        <w:rPr>
          <w:rFonts w:ascii="Arial" w:hAnsi="Arial" w:cs="Arial"/>
          <w:sz w:val="22"/>
          <w:szCs w:val="22"/>
          <w:lang w:val="es-ES"/>
        </w:rPr>
      </w:pPr>
      <w:r w:rsidRPr="0011459F">
        <w:rPr>
          <w:noProof/>
          <w:lang w:eastAsia="en-US"/>
        </w:rPr>
        <w:drawing>
          <wp:inline distT="0" distB="0" distL="0" distR="0" wp14:anchorId="6BBF7D14" wp14:editId="5B9D062B">
            <wp:extent cx="5943600" cy="33551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55173"/>
                    </a:xfrm>
                    <a:prstGeom prst="rect">
                      <a:avLst/>
                    </a:prstGeom>
                    <a:noFill/>
                    <a:ln>
                      <a:noFill/>
                    </a:ln>
                  </pic:spPr>
                </pic:pic>
              </a:graphicData>
            </a:graphic>
          </wp:inline>
        </w:drawing>
      </w:r>
    </w:p>
    <w:p w14:paraId="6B22423F" w14:textId="77777777" w:rsidR="00020000" w:rsidRDefault="00020000" w:rsidP="00422A30">
      <w:pPr>
        <w:pStyle w:val="Default"/>
        <w:rPr>
          <w:rFonts w:ascii="Arial" w:hAnsi="Arial" w:cs="Arial"/>
          <w:sz w:val="22"/>
          <w:szCs w:val="22"/>
          <w:lang w:val="es-ES_tradnl"/>
        </w:rPr>
      </w:pPr>
    </w:p>
    <w:p w14:paraId="5F6B0CE7" w14:textId="77777777" w:rsidR="00133423" w:rsidRDefault="00133423" w:rsidP="00422A30">
      <w:pPr>
        <w:pStyle w:val="Default"/>
        <w:rPr>
          <w:rFonts w:ascii="Arial" w:hAnsi="Arial" w:cs="Arial"/>
          <w:sz w:val="22"/>
          <w:szCs w:val="22"/>
          <w:lang w:val="es-ES_tradnl"/>
        </w:rPr>
      </w:pPr>
    </w:p>
    <w:p w14:paraId="1C546087" w14:textId="77777777" w:rsidR="00422A30" w:rsidRPr="0091398D" w:rsidRDefault="00422A30" w:rsidP="00422A30">
      <w:pPr>
        <w:pStyle w:val="Default"/>
        <w:rPr>
          <w:rFonts w:ascii="Arial" w:hAnsi="Arial" w:cs="Arial"/>
          <w:b/>
          <w:bCs/>
          <w:szCs w:val="28"/>
          <w:lang w:val="es-ES_tradnl"/>
        </w:rPr>
      </w:pPr>
      <w:r>
        <w:rPr>
          <w:rFonts w:ascii="Arial" w:hAnsi="Arial" w:cs="Arial"/>
          <w:b/>
          <w:bCs/>
          <w:szCs w:val="28"/>
          <w:lang w:val="es-ES_tradnl"/>
        </w:rPr>
        <w:t>B</w:t>
      </w:r>
      <w:r w:rsidRPr="0091398D">
        <w:rPr>
          <w:rFonts w:ascii="Arial" w:hAnsi="Arial" w:cs="Arial"/>
          <w:b/>
          <w:bCs/>
          <w:szCs w:val="28"/>
          <w:lang w:val="es-ES_tradnl"/>
        </w:rPr>
        <w:t xml:space="preserve">. Estado de </w:t>
      </w:r>
      <w:r>
        <w:rPr>
          <w:rFonts w:ascii="Arial" w:hAnsi="Arial" w:cs="Arial"/>
          <w:b/>
          <w:bCs/>
          <w:szCs w:val="28"/>
          <w:lang w:val="es-ES_tradnl"/>
        </w:rPr>
        <w:t>Flujo de Caja</w:t>
      </w:r>
    </w:p>
    <w:p w14:paraId="6C07D569" w14:textId="77777777" w:rsidR="009D50E4" w:rsidRPr="0000523F" w:rsidRDefault="009D50E4" w:rsidP="0000523F">
      <w:pPr>
        <w:pStyle w:val="Default"/>
        <w:jc w:val="both"/>
        <w:rPr>
          <w:rFonts w:ascii="Arial" w:hAnsi="Arial" w:cs="Arial"/>
          <w:bCs/>
          <w:sz w:val="22"/>
          <w:szCs w:val="22"/>
          <w:lang w:val="es-ES_tradnl"/>
        </w:rPr>
      </w:pPr>
    </w:p>
    <w:p w14:paraId="03930A18" w14:textId="77777777" w:rsidR="00482CF6" w:rsidRPr="006E271C" w:rsidRDefault="00894738" w:rsidP="006E271C">
      <w:pPr>
        <w:pStyle w:val="Default"/>
        <w:numPr>
          <w:ilvl w:val="1"/>
          <w:numId w:val="5"/>
        </w:numPr>
        <w:jc w:val="both"/>
        <w:rPr>
          <w:rFonts w:ascii="Arial" w:hAnsi="Arial" w:cs="Arial"/>
          <w:bCs/>
          <w:sz w:val="22"/>
          <w:szCs w:val="22"/>
          <w:lang w:val="es-ES_tradnl"/>
        </w:rPr>
      </w:pPr>
      <w:r w:rsidRPr="0000523F">
        <w:rPr>
          <w:rFonts w:ascii="Arial" w:hAnsi="Arial" w:cs="Arial"/>
          <w:sz w:val="22"/>
          <w:szCs w:val="22"/>
          <w:lang w:val="es-ES_tradnl"/>
        </w:rPr>
        <w:t>La generación interna</w:t>
      </w:r>
      <w:r w:rsidR="00424B20">
        <w:rPr>
          <w:rFonts w:ascii="Arial" w:hAnsi="Arial" w:cs="Arial"/>
          <w:sz w:val="22"/>
          <w:szCs w:val="22"/>
          <w:lang w:val="es-ES_tradnl"/>
        </w:rPr>
        <w:t>.</w:t>
      </w:r>
      <w:r w:rsidRPr="0000523F">
        <w:rPr>
          <w:rFonts w:ascii="Arial" w:hAnsi="Arial" w:cs="Arial"/>
          <w:sz w:val="22"/>
          <w:szCs w:val="22"/>
          <w:lang w:val="es-ES_tradnl"/>
        </w:rPr>
        <w:t xml:space="preserve"> </w:t>
      </w:r>
      <w:r w:rsidR="00424B20">
        <w:rPr>
          <w:rFonts w:ascii="Arial" w:hAnsi="Arial" w:cs="Arial"/>
          <w:iCs/>
          <w:sz w:val="22"/>
          <w:szCs w:val="22"/>
          <w:lang w:val="es-ES_tradnl"/>
        </w:rPr>
        <w:t>Durante los primeros cinco años de la proyección, el flujo de fondos operativos (antes del ajuste por capital de trabajo) fluctuará en torno a US$36 millones. El ajuste por capital de trabajo se mantendrá negativo</w:t>
      </w:r>
      <w:r w:rsidR="00186FB2">
        <w:rPr>
          <w:rFonts w:ascii="Arial" w:hAnsi="Arial" w:cs="Arial"/>
          <w:iCs/>
          <w:sz w:val="22"/>
          <w:szCs w:val="22"/>
          <w:lang w:val="es-ES_tradnl"/>
        </w:rPr>
        <w:t xml:space="preserve"> (en el promedio de los cinco próximos años, menos </w:t>
      </w:r>
      <w:r w:rsidR="00186FB2" w:rsidRPr="000B532D">
        <w:rPr>
          <w:rFonts w:ascii="Arial" w:hAnsi="Arial" w:cs="Arial"/>
          <w:iCs/>
          <w:sz w:val="22"/>
          <w:szCs w:val="22"/>
          <w:lang w:val="es-ES_tradnl"/>
        </w:rPr>
        <w:t>US$</w:t>
      </w:r>
      <w:r w:rsidR="00186FB2">
        <w:rPr>
          <w:rFonts w:ascii="Arial" w:hAnsi="Arial" w:cs="Arial"/>
          <w:iCs/>
          <w:sz w:val="22"/>
          <w:szCs w:val="22"/>
          <w:lang w:val="es-ES_tradnl"/>
        </w:rPr>
        <w:t>7</w:t>
      </w:r>
      <w:r w:rsidR="00186FB2" w:rsidRPr="000B532D">
        <w:rPr>
          <w:rFonts w:ascii="Arial" w:hAnsi="Arial" w:cs="Arial"/>
          <w:iCs/>
          <w:sz w:val="22"/>
          <w:szCs w:val="22"/>
          <w:lang w:val="es-ES_tradnl"/>
        </w:rPr>
        <w:t>,</w:t>
      </w:r>
      <w:r w:rsidR="00186FB2">
        <w:rPr>
          <w:rFonts w:ascii="Arial" w:hAnsi="Arial" w:cs="Arial"/>
          <w:iCs/>
          <w:sz w:val="22"/>
          <w:szCs w:val="22"/>
          <w:lang w:val="es-ES_tradnl"/>
        </w:rPr>
        <w:t>3</w:t>
      </w:r>
      <w:r w:rsidR="00186FB2" w:rsidRPr="000B532D">
        <w:rPr>
          <w:rFonts w:ascii="Arial" w:hAnsi="Arial" w:cs="Arial"/>
          <w:iCs/>
          <w:sz w:val="22"/>
          <w:szCs w:val="22"/>
          <w:lang w:val="es-ES_tradnl"/>
        </w:rPr>
        <w:t xml:space="preserve"> millones</w:t>
      </w:r>
      <w:r w:rsidR="00186FB2">
        <w:rPr>
          <w:rFonts w:ascii="Arial" w:hAnsi="Arial" w:cs="Arial"/>
          <w:iCs/>
          <w:sz w:val="22"/>
          <w:szCs w:val="22"/>
          <w:lang w:val="es-ES_tradnl"/>
        </w:rPr>
        <w:t>)</w:t>
      </w:r>
      <w:r w:rsidR="00424B20">
        <w:rPr>
          <w:rFonts w:ascii="Arial" w:hAnsi="Arial" w:cs="Arial"/>
          <w:iCs/>
          <w:sz w:val="22"/>
          <w:szCs w:val="22"/>
          <w:lang w:val="es-ES_tradnl"/>
        </w:rPr>
        <w:t xml:space="preserve">, pero de menor escala que los tres años históricos. </w:t>
      </w:r>
      <w:r w:rsidR="00482CF6">
        <w:rPr>
          <w:rFonts w:ascii="Arial" w:hAnsi="Arial" w:cs="Arial"/>
          <w:iCs/>
          <w:sz w:val="22"/>
          <w:szCs w:val="22"/>
          <w:lang w:val="es-ES_tradnl"/>
        </w:rPr>
        <w:t>Se proyecta que el flujo de fondos operativos (neto de capital de trabajo) será de US$2</w:t>
      </w:r>
      <w:r w:rsidR="00186FB2">
        <w:rPr>
          <w:rFonts w:ascii="Arial" w:hAnsi="Arial" w:cs="Arial"/>
          <w:iCs/>
          <w:sz w:val="22"/>
          <w:szCs w:val="22"/>
          <w:lang w:val="es-ES_tradnl"/>
        </w:rPr>
        <w:t>8</w:t>
      </w:r>
      <w:r w:rsidR="00482CF6">
        <w:rPr>
          <w:rFonts w:ascii="Arial" w:hAnsi="Arial" w:cs="Arial"/>
          <w:iCs/>
          <w:sz w:val="22"/>
          <w:szCs w:val="22"/>
          <w:lang w:val="es-ES_tradnl"/>
        </w:rPr>
        <w:t>,</w:t>
      </w:r>
      <w:r w:rsidR="00186FB2">
        <w:rPr>
          <w:rFonts w:ascii="Arial" w:hAnsi="Arial" w:cs="Arial"/>
          <w:iCs/>
          <w:sz w:val="22"/>
          <w:szCs w:val="22"/>
          <w:lang w:val="es-ES_tradnl"/>
        </w:rPr>
        <w:t>8</w:t>
      </w:r>
      <w:r w:rsidR="00482CF6">
        <w:rPr>
          <w:rFonts w:ascii="Arial" w:hAnsi="Arial" w:cs="Arial"/>
          <w:iCs/>
          <w:sz w:val="22"/>
          <w:szCs w:val="22"/>
          <w:lang w:val="es-ES_tradnl"/>
        </w:rPr>
        <w:t xml:space="preserve"> millones en el promedio de los próximos cinco años. </w:t>
      </w:r>
      <w:r w:rsidR="00482CF6">
        <w:rPr>
          <w:rFonts w:ascii="Arial" w:hAnsi="Arial" w:cs="Arial"/>
          <w:sz w:val="22"/>
          <w:szCs w:val="22"/>
          <w:lang w:val="es-ES_tradnl"/>
        </w:rPr>
        <w:t>Este flujo operativo</w:t>
      </w:r>
      <w:r w:rsidRPr="0000523F">
        <w:rPr>
          <w:rFonts w:ascii="Arial" w:hAnsi="Arial" w:cs="Arial"/>
          <w:sz w:val="22"/>
          <w:szCs w:val="22"/>
          <w:lang w:val="es-ES_tradnl"/>
        </w:rPr>
        <w:t xml:space="preserve"> </w:t>
      </w:r>
      <w:r w:rsidR="00482CF6">
        <w:rPr>
          <w:rFonts w:ascii="Arial" w:hAnsi="Arial" w:cs="Arial"/>
          <w:sz w:val="22"/>
          <w:szCs w:val="22"/>
          <w:lang w:val="es-ES_tradnl"/>
        </w:rPr>
        <w:t>es</w:t>
      </w:r>
      <w:r w:rsidRPr="0000523F">
        <w:rPr>
          <w:rFonts w:ascii="Arial" w:hAnsi="Arial" w:cs="Arial"/>
          <w:sz w:val="22"/>
          <w:szCs w:val="22"/>
          <w:lang w:val="es-ES_tradnl"/>
        </w:rPr>
        <w:t xml:space="preserve"> suficientes para cubrir</w:t>
      </w:r>
      <w:r w:rsidR="00482CF6">
        <w:rPr>
          <w:rFonts w:ascii="Arial" w:hAnsi="Arial" w:cs="Arial"/>
          <w:sz w:val="22"/>
          <w:szCs w:val="22"/>
          <w:lang w:val="es-ES_tradnl"/>
        </w:rPr>
        <w:t xml:space="preserve"> </w:t>
      </w:r>
      <w:r w:rsidR="00482CF6">
        <w:rPr>
          <w:rFonts w:ascii="Arial" w:hAnsi="Arial" w:cs="Arial"/>
          <w:iCs/>
          <w:sz w:val="22"/>
          <w:szCs w:val="22"/>
          <w:lang w:val="es-ES_tradnl"/>
        </w:rPr>
        <w:t>los servicios de las deudas</w:t>
      </w:r>
      <w:r w:rsidR="00482CF6" w:rsidRPr="000B532D">
        <w:rPr>
          <w:rFonts w:ascii="Arial" w:hAnsi="Arial" w:cs="Arial"/>
          <w:iCs/>
          <w:sz w:val="22"/>
          <w:szCs w:val="22"/>
          <w:lang w:val="es-ES_tradnl"/>
        </w:rPr>
        <w:t xml:space="preserve"> (US$</w:t>
      </w:r>
      <w:r w:rsidR="00482CF6">
        <w:rPr>
          <w:rFonts w:ascii="Arial" w:hAnsi="Arial" w:cs="Arial"/>
          <w:iCs/>
          <w:sz w:val="22"/>
          <w:szCs w:val="22"/>
          <w:lang w:val="es-ES_tradnl"/>
        </w:rPr>
        <w:t>24</w:t>
      </w:r>
      <w:r w:rsidR="00482CF6" w:rsidRPr="000B532D">
        <w:rPr>
          <w:rFonts w:ascii="Arial" w:hAnsi="Arial" w:cs="Arial"/>
          <w:iCs/>
          <w:sz w:val="22"/>
          <w:szCs w:val="22"/>
          <w:lang w:val="es-ES_tradnl"/>
        </w:rPr>
        <w:t>,</w:t>
      </w:r>
      <w:r w:rsidR="00482CF6">
        <w:rPr>
          <w:rFonts w:ascii="Arial" w:hAnsi="Arial" w:cs="Arial"/>
          <w:iCs/>
          <w:sz w:val="22"/>
          <w:szCs w:val="22"/>
          <w:lang w:val="es-ES_tradnl"/>
        </w:rPr>
        <w:t>6</w:t>
      </w:r>
      <w:r w:rsidR="00482CF6" w:rsidRPr="000B532D">
        <w:rPr>
          <w:rFonts w:ascii="Arial" w:hAnsi="Arial" w:cs="Arial"/>
          <w:iCs/>
          <w:sz w:val="22"/>
          <w:szCs w:val="22"/>
          <w:lang w:val="es-ES_tradnl"/>
        </w:rPr>
        <w:t xml:space="preserve"> millones).</w:t>
      </w:r>
    </w:p>
    <w:p w14:paraId="3AF6F264" w14:textId="77777777" w:rsidR="00424B20" w:rsidRPr="00E84169" w:rsidRDefault="00424B20" w:rsidP="00424B20">
      <w:pPr>
        <w:pStyle w:val="Default"/>
        <w:ind w:left="360"/>
        <w:jc w:val="both"/>
        <w:rPr>
          <w:rFonts w:ascii="Arial" w:hAnsi="Arial" w:cs="Arial"/>
          <w:iCs/>
          <w:sz w:val="22"/>
          <w:szCs w:val="22"/>
          <w:lang w:val="es-ES_tradnl"/>
        </w:rPr>
      </w:pPr>
    </w:p>
    <w:p w14:paraId="2EBDBE98" w14:textId="77777777" w:rsidR="00424B20" w:rsidRDefault="001F7DD2" w:rsidP="00424B20">
      <w:pPr>
        <w:pStyle w:val="Default"/>
        <w:numPr>
          <w:ilvl w:val="1"/>
          <w:numId w:val="5"/>
        </w:numPr>
        <w:jc w:val="both"/>
        <w:rPr>
          <w:rFonts w:ascii="Arial" w:hAnsi="Arial" w:cs="Arial"/>
          <w:i/>
          <w:iCs/>
          <w:sz w:val="22"/>
          <w:szCs w:val="22"/>
          <w:lang w:val="es-ES_tradnl"/>
        </w:rPr>
      </w:pPr>
      <w:r>
        <w:rPr>
          <w:rFonts w:ascii="Arial" w:hAnsi="Arial" w:cs="Arial"/>
          <w:iCs/>
          <w:sz w:val="22"/>
          <w:szCs w:val="22"/>
          <w:lang w:val="es-ES_tradnl"/>
        </w:rPr>
        <w:t>Se invertirán, en el promedio, US$2</w:t>
      </w:r>
      <w:r w:rsidR="00186FB2">
        <w:rPr>
          <w:rFonts w:ascii="Arial" w:hAnsi="Arial" w:cs="Arial"/>
          <w:iCs/>
          <w:sz w:val="22"/>
          <w:szCs w:val="22"/>
          <w:lang w:val="es-ES_tradnl"/>
        </w:rPr>
        <w:t>4</w:t>
      </w:r>
      <w:r>
        <w:rPr>
          <w:rFonts w:ascii="Arial" w:hAnsi="Arial" w:cs="Arial"/>
          <w:iCs/>
          <w:sz w:val="22"/>
          <w:szCs w:val="22"/>
          <w:lang w:val="es-ES_tradnl"/>
        </w:rPr>
        <w:t>,</w:t>
      </w:r>
      <w:r w:rsidR="00186FB2">
        <w:rPr>
          <w:rFonts w:ascii="Arial" w:hAnsi="Arial" w:cs="Arial"/>
          <w:iCs/>
          <w:sz w:val="22"/>
          <w:szCs w:val="22"/>
          <w:lang w:val="es-ES_tradnl"/>
        </w:rPr>
        <w:t>5</w:t>
      </w:r>
      <w:r>
        <w:rPr>
          <w:rFonts w:ascii="Arial" w:hAnsi="Arial" w:cs="Arial"/>
          <w:iCs/>
          <w:sz w:val="22"/>
          <w:szCs w:val="22"/>
          <w:lang w:val="es-ES_tradnl"/>
        </w:rPr>
        <w:t xml:space="preserve"> millones anuales durante el mismo periodo</w:t>
      </w:r>
      <w:r w:rsidR="004040A8">
        <w:rPr>
          <w:rFonts w:ascii="Arial" w:hAnsi="Arial" w:cs="Arial"/>
          <w:iCs/>
          <w:sz w:val="22"/>
          <w:szCs w:val="22"/>
          <w:lang w:val="es-ES_tradnl"/>
        </w:rPr>
        <w:t>. La mayor parte de e</w:t>
      </w:r>
      <w:r w:rsidR="00424B20">
        <w:rPr>
          <w:rFonts w:ascii="Arial" w:hAnsi="Arial" w:cs="Arial"/>
          <w:iCs/>
          <w:sz w:val="22"/>
          <w:szCs w:val="22"/>
          <w:lang w:val="es-ES_tradnl"/>
        </w:rPr>
        <w:t xml:space="preserve">stas inversiones </w:t>
      </w:r>
      <w:r w:rsidR="004040A8">
        <w:rPr>
          <w:rFonts w:ascii="Arial" w:hAnsi="Arial" w:cs="Arial"/>
          <w:iCs/>
          <w:sz w:val="22"/>
          <w:szCs w:val="22"/>
          <w:lang w:val="es-ES_tradnl"/>
        </w:rPr>
        <w:t>será l</w:t>
      </w:r>
      <w:r w:rsidR="00424B20">
        <w:rPr>
          <w:rFonts w:ascii="Arial" w:hAnsi="Arial" w:cs="Arial"/>
          <w:iCs/>
          <w:sz w:val="22"/>
          <w:szCs w:val="22"/>
          <w:lang w:val="es-ES_tradnl"/>
        </w:rPr>
        <w:t>as obras del PSU IV</w:t>
      </w:r>
      <w:r w:rsidR="004040A8">
        <w:rPr>
          <w:rFonts w:ascii="Arial" w:hAnsi="Arial" w:cs="Arial"/>
          <w:iCs/>
          <w:sz w:val="22"/>
          <w:szCs w:val="22"/>
          <w:lang w:val="es-ES_tradnl"/>
        </w:rPr>
        <w:t xml:space="preserve"> y V</w:t>
      </w:r>
      <w:r w:rsidR="00424B20">
        <w:rPr>
          <w:rFonts w:ascii="Arial" w:hAnsi="Arial" w:cs="Arial"/>
          <w:iCs/>
          <w:sz w:val="22"/>
          <w:szCs w:val="22"/>
          <w:lang w:val="es-ES_tradnl"/>
        </w:rPr>
        <w:t xml:space="preserve">, por lo que a fuente de financiamiento principal para las inversiones fue los recursos de los préstamos del BID. El monto de inversión </w:t>
      </w:r>
      <w:r w:rsidR="00B829EC">
        <w:rPr>
          <w:rFonts w:ascii="Arial" w:hAnsi="Arial" w:cs="Arial"/>
          <w:iCs/>
          <w:sz w:val="22"/>
          <w:szCs w:val="22"/>
          <w:lang w:val="es-ES_tradnl"/>
        </w:rPr>
        <w:t xml:space="preserve">a ser </w:t>
      </w:r>
      <w:r w:rsidR="00424B20">
        <w:rPr>
          <w:rFonts w:ascii="Arial" w:hAnsi="Arial" w:cs="Arial"/>
          <w:iCs/>
          <w:sz w:val="22"/>
          <w:szCs w:val="22"/>
          <w:lang w:val="es-ES_tradnl"/>
        </w:rPr>
        <w:t xml:space="preserve">financiada por los propios recursos de la IM durante el periodo </w:t>
      </w:r>
      <w:r w:rsidR="00B829EC">
        <w:rPr>
          <w:rFonts w:ascii="Arial" w:hAnsi="Arial" w:cs="Arial"/>
          <w:iCs/>
          <w:sz w:val="22"/>
          <w:szCs w:val="22"/>
          <w:lang w:val="es-ES_tradnl"/>
        </w:rPr>
        <w:t>se estimará en torno al</w:t>
      </w:r>
      <w:r w:rsidR="00424B20">
        <w:rPr>
          <w:rFonts w:ascii="Arial" w:hAnsi="Arial" w:cs="Arial"/>
          <w:iCs/>
          <w:sz w:val="22"/>
          <w:szCs w:val="22"/>
          <w:lang w:val="es-ES_tradnl"/>
        </w:rPr>
        <w:t xml:space="preserve"> </w:t>
      </w:r>
      <w:r w:rsidR="00B829EC">
        <w:rPr>
          <w:rFonts w:ascii="Arial" w:hAnsi="Arial" w:cs="Arial"/>
          <w:iCs/>
          <w:sz w:val="22"/>
          <w:szCs w:val="22"/>
          <w:lang w:val="es-ES_tradnl"/>
        </w:rPr>
        <w:t>24</w:t>
      </w:r>
      <w:r w:rsidR="00424B20">
        <w:rPr>
          <w:rFonts w:ascii="Arial" w:hAnsi="Arial" w:cs="Arial"/>
          <w:iCs/>
          <w:sz w:val="22"/>
          <w:szCs w:val="22"/>
          <w:lang w:val="es-ES_tradnl"/>
        </w:rPr>
        <w:t>% del monto de inversión total</w:t>
      </w:r>
      <w:r w:rsidR="00424B20" w:rsidRPr="000B532D">
        <w:rPr>
          <w:rFonts w:ascii="Arial" w:hAnsi="Arial" w:cs="Arial"/>
          <w:iCs/>
          <w:sz w:val="22"/>
          <w:szCs w:val="22"/>
          <w:lang w:val="es-ES_tradnl"/>
        </w:rPr>
        <w:t xml:space="preserve"> </w:t>
      </w:r>
      <w:r w:rsidR="00424B20">
        <w:rPr>
          <w:rFonts w:ascii="Arial" w:hAnsi="Arial" w:cs="Arial"/>
          <w:iCs/>
          <w:sz w:val="22"/>
          <w:szCs w:val="22"/>
          <w:lang w:val="es-ES_tradnl"/>
        </w:rPr>
        <w:t>(US$</w:t>
      </w:r>
      <w:r w:rsidR="00B829EC">
        <w:rPr>
          <w:rFonts w:ascii="Arial" w:hAnsi="Arial" w:cs="Arial"/>
          <w:iCs/>
          <w:sz w:val="22"/>
          <w:szCs w:val="22"/>
          <w:lang w:val="es-ES_tradnl"/>
        </w:rPr>
        <w:t>6</w:t>
      </w:r>
      <w:r w:rsidR="00424B20">
        <w:rPr>
          <w:rFonts w:ascii="Arial" w:hAnsi="Arial" w:cs="Arial"/>
          <w:iCs/>
          <w:sz w:val="22"/>
          <w:szCs w:val="22"/>
          <w:lang w:val="es-ES_tradnl"/>
        </w:rPr>
        <w:t xml:space="preserve"> millones)</w:t>
      </w:r>
      <w:r w:rsidR="00424B20" w:rsidRPr="000B532D">
        <w:rPr>
          <w:rFonts w:ascii="Arial" w:hAnsi="Arial" w:cs="Arial"/>
          <w:sz w:val="22"/>
          <w:szCs w:val="22"/>
          <w:lang w:val="es-ES_tradnl"/>
        </w:rPr>
        <w:t>.</w:t>
      </w:r>
    </w:p>
    <w:p w14:paraId="4045A602" w14:textId="77777777" w:rsidR="004040A8" w:rsidRPr="00B829EC" w:rsidRDefault="004040A8" w:rsidP="004040A8">
      <w:pPr>
        <w:pStyle w:val="Default"/>
        <w:ind w:left="360"/>
        <w:jc w:val="both"/>
        <w:rPr>
          <w:rFonts w:ascii="Arial" w:hAnsi="Arial" w:cs="Arial"/>
          <w:i/>
          <w:iCs/>
          <w:sz w:val="22"/>
          <w:szCs w:val="22"/>
          <w:lang w:val="es-ES_tradnl"/>
        </w:rPr>
      </w:pPr>
    </w:p>
    <w:p w14:paraId="4AFE7DEE" w14:textId="77777777" w:rsidR="00424B20" w:rsidRPr="00424B20" w:rsidRDefault="00424B20" w:rsidP="00424B20">
      <w:pPr>
        <w:pStyle w:val="Default"/>
        <w:numPr>
          <w:ilvl w:val="1"/>
          <w:numId w:val="5"/>
        </w:numPr>
        <w:jc w:val="both"/>
        <w:rPr>
          <w:rFonts w:ascii="Arial" w:hAnsi="Arial" w:cs="Arial"/>
          <w:i/>
          <w:iCs/>
          <w:sz w:val="22"/>
          <w:szCs w:val="22"/>
          <w:lang w:val="es-ES_tradnl"/>
        </w:rPr>
      </w:pPr>
      <w:r w:rsidRPr="00424B20">
        <w:rPr>
          <w:rFonts w:ascii="Arial" w:hAnsi="Arial" w:cs="Arial"/>
          <w:i/>
          <w:iCs/>
          <w:sz w:val="22"/>
          <w:szCs w:val="22"/>
          <w:lang w:val="es-ES_tradnl"/>
        </w:rPr>
        <w:t xml:space="preserve">Flujo de Caja del Ejercicio. </w:t>
      </w:r>
      <w:r w:rsidR="004040A8">
        <w:rPr>
          <w:rFonts w:ascii="Arial" w:hAnsi="Arial" w:cs="Arial"/>
          <w:sz w:val="22"/>
          <w:szCs w:val="22"/>
          <w:lang w:val="es-ES_tradnl"/>
        </w:rPr>
        <w:t>El flujo de caja del ejercicio se mantendrá ligeramente positivo durante los próximos cinco años, manteniendo el suficiente nivel de caja.</w:t>
      </w:r>
    </w:p>
    <w:p w14:paraId="2032002F" w14:textId="77777777" w:rsidR="00424B20" w:rsidRDefault="00424B20" w:rsidP="00894738">
      <w:pPr>
        <w:pStyle w:val="Default"/>
        <w:rPr>
          <w:rFonts w:ascii="Arial" w:hAnsi="Arial" w:cs="Arial"/>
          <w:sz w:val="22"/>
          <w:szCs w:val="22"/>
          <w:lang w:val="es-ES_tradnl"/>
        </w:rPr>
      </w:pPr>
    </w:p>
    <w:p w14:paraId="5ABFE9CD" w14:textId="77777777" w:rsidR="004040A8" w:rsidRPr="004040A8" w:rsidRDefault="004040A8" w:rsidP="004040A8">
      <w:pPr>
        <w:pStyle w:val="Default"/>
        <w:jc w:val="center"/>
        <w:rPr>
          <w:rFonts w:ascii="Arial" w:hAnsi="Arial" w:cs="Arial"/>
          <w:sz w:val="22"/>
          <w:szCs w:val="22"/>
          <w:lang w:val="es-ES"/>
        </w:rPr>
      </w:pPr>
      <w:r w:rsidRPr="004040A8">
        <w:rPr>
          <w:rFonts w:ascii="Arial" w:hAnsi="Arial" w:cs="Arial"/>
          <w:sz w:val="22"/>
          <w:szCs w:val="22"/>
          <w:u w:val="single"/>
          <w:lang w:val="es-ES"/>
        </w:rPr>
        <w:t xml:space="preserve">Cuadro </w:t>
      </w:r>
      <w:r>
        <w:rPr>
          <w:rFonts w:ascii="Arial" w:hAnsi="Arial" w:cs="Arial"/>
          <w:sz w:val="22"/>
          <w:szCs w:val="22"/>
          <w:u w:val="single"/>
          <w:lang w:val="es-ES"/>
        </w:rPr>
        <w:t>5</w:t>
      </w:r>
      <w:r w:rsidRPr="004040A8">
        <w:rPr>
          <w:rFonts w:ascii="Arial" w:hAnsi="Arial" w:cs="Arial"/>
          <w:sz w:val="22"/>
          <w:szCs w:val="22"/>
          <w:u w:val="single"/>
          <w:lang w:val="es-ES"/>
        </w:rPr>
        <w:t xml:space="preserve">. Estado de </w:t>
      </w:r>
      <w:r>
        <w:rPr>
          <w:rFonts w:ascii="Arial" w:hAnsi="Arial" w:cs="Arial"/>
          <w:sz w:val="22"/>
          <w:szCs w:val="22"/>
          <w:u w:val="single"/>
          <w:lang w:val="es-ES"/>
        </w:rPr>
        <w:t>Flujo de Caja</w:t>
      </w:r>
      <w:r w:rsidRPr="004040A8">
        <w:rPr>
          <w:rFonts w:ascii="Arial" w:hAnsi="Arial" w:cs="Arial"/>
          <w:sz w:val="22"/>
          <w:szCs w:val="22"/>
          <w:u w:val="single"/>
          <w:lang w:val="es-ES"/>
        </w:rPr>
        <w:t xml:space="preserve"> Proyectado (en millones de US$ de 2015)</w:t>
      </w:r>
    </w:p>
    <w:p w14:paraId="0F7931C5" w14:textId="77777777" w:rsidR="004040A8" w:rsidRPr="004040A8" w:rsidRDefault="004040A8" w:rsidP="00894738">
      <w:pPr>
        <w:pStyle w:val="Default"/>
        <w:rPr>
          <w:rFonts w:ascii="Arial" w:hAnsi="Arial" w:cs="Arial"/>
          <w:sz w:val="22"/>
          <w:szCs w:val="22"/>
          <w:lang w:val="es-ES"/>
        </w:rPr>
      </w:pPr>
    </w:p>
    <w:p w14:paraId="3777134E" w14:textId="7976C54A" w:rsidR="004040A8" w:rsidRDefault="0011459F" w:rsidP="00894738">
      <w:pPr>
        <w:pStyle w:val="Default"/>
        <w:rPr>
          <w:rFonts w:ascii="Arial" w:hAnsi="Arial" w:cs="Arial"/>
          <w:sz w:val="22"/>
          <w:szCs w:val="22"/>
          <w:lang w:val="es-ES_tradnl"/>
        </w:rPr>
      </w:pPr>
      <w:r w:rsidRPr="0011459F">
        <w:rPr>
          <w:noProof/>
          <w:lang w:eastAsia="en-US"/>
        </w:rPr>
        <w:drawing>
          <wp:inline distT="0" distB="0" distL="0" distR="0" wp14:anchorId="677286CB" wp14:editId="331FDD1C">
            <wp:extent cx="5943600" cy="2967828"/>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967828"/>
                    </a:xfrm>
                    <a:prstGeom prst="rect">
                      <a:avLst/>
                    </a:prstGeom>
                    <a:noFill/>
                    <a:ln>
                      <a:noFill/>
                    </a:ln>
                  </pic:spPr>
                </pic:pic>
              </a:graphicData>
            </a:graphic>
          </wp:inline>
        </w:drawing>
      </w:r>
    </w:p>
    <w:p w14:paraId="6E2C6EC6" w14:textId="77777777" w:rsidR="004040A8" w:rsidRDefault="004040A8" w:rsidP="00894738">
      <w:pPr>
        <w:pStyle w:val="Default"/>
        <w:rPr>
          <w:rFonts w:ascii="Arial" w:hAnsi="Arial" w:cs="Arial"/>
          <w:sz w:val="22"/>
          <w:szCs w:val="22"/>
          <w:lang w:val="es-ES_tradnl"/>
        </w:rPr>
      </w:pPr>
    </w:p>
    <w:p w14:paraId="39A2A129" w14:textId="77777777" w:rsidR="004040A8" w:rsidRPr="004040A8" w:rsidRDefault="004040A8" w:rsidP="00894738">
      <w:pPr>
        <w:pStyle w:val="Default"/>
        <w:rPr>
          <w:rFonts w:ascii="Arial" w:hAnsi="Arial" w:cs="Arial"/>
          <w:sz w:val="22"/>
          <w:szCs w:val="22"/>
          <w:lang w:val="es-ES_tradnl"/>
        </w:rPr>
      </w:pPr>
    </w:p>
    <w:p w14:paraId="2F0D65DB" w14:textId="77777777" w:rsidR="00422A30" w:rsidRPr="0091398D" w:rsidRDefault="00422A30" w:rsidP="00422A30">
      <w:pPr>
        <w:pStyle w:val="Default"/>
        <w:rPr>
          <w:rFonts w:ascii="Arial" w:hAnsi="Arial" w:cs="Arial"/>
          <w:b/>
          <w:bCs/>
          <w:szCs w:val="28"/>
          <w:lang w:val="es-ES_tradnl"/>
        </w:rPr>
      </w:pPr>
      <w:r>
        <w:rPr>
          <w:rFonts w:ascii="Arial" w:hAnsi="Arial" w:cs="Arial"/>
          <w:b/>
          <w:bCs/>
          <w:szCs w:val="28"/>
          <w:lang w:val="es-ES_tradnl"/>
        </w:rPr>
        <w:t>C</w:t>
      </w:r>
      <w:r w:rsidRPr="0091398D">
        <w:rPr>
          <w:rFonts w:ascii="Arial" w:hAnsi="Arial" w:cs="Arial"/>
          <w:b/>
          <w:bCs/>
          <w:szCs w:val="28"/>
          <w:lang w:val="es-ES_tradnl"/>
        </w:rPr>
        <w:t xml:space="preserve">. Estado de </w:t>
      </w:r>
      <w:r>
        <w:rPr>
          <w:rFonts w:ascii="Arial" w:hAnsi="Arial" w:cs="Arial"/>
          <w:b/>
          <w:bCs/>
          <w:szCs w:val="28"/>
          <w:lang w:val="es-ES_tradnl"/>
        </w:rPr>
        <w:t>Balance</w:t>
      </w:r>
    </w:p>
    <w:p w14:paraId="300952BC" w14:textId="77777777" w:rsidR="00671720" w:rsidRPr="008F121C" w:rsidRDefault="00671720" w:rsidP="00671720">
      <w:pPr>
        <w:pStyle w:val="Default"/>
        <w:rPr>
          <w:rFonts w:ascii="Arial" w:hAnsi="Arial" w:cs="Arial"/>
          <w:sz w:val="22"/>
          <w:szCs w:val="22"/>
          <w:lang w:val="es-ES"/>
        </w:rPr>
      </w:pPr>
    </w:p>
    <w:p w14:paraId="70B7B768" w14:textId="77777777" w:rsidR="00671720" w:rsidRPr="005236A5" w:rsidRDefault="00671720" w:rsidP="00671720">
      <w:pPr>
        <w:pStyle w:val="Default"/>
        <w:numPr>
          <w:ilvl w:val="1"/>
          <w:numId w:val="5"/>
        </w:numPr>
        <w:jc w:val="both"/>
        <w:rPr>
          <w:rFonts w:ascii="Arial" w:hAnsi="Arial" w:cs="Arial"/>
          <w:iCs/>
          <w:sz w:val="22"/>
          <w:szCs w:val="22"/>
          <w:lang w:val="es-ES_tradnl"/>
        </w:rPr>
      </w:pPr>
      <w:r w:rsidRPr="005236A5">
        <w:rPr>
          <w:rFonts w:ascii="Arial" w:hAnsi="Arial" w:cs="Arial"/>
          <w:iCs/>
          <w:sz w:val="22"/>
          <w:szCs w:val="22"/>
          <w:lang w:val="es-ES_tradnl"/>
        </w:rPr>
        <w:t>Los estados financieros correspondientes al diciembre de 2020 indican que los activos se encuentra respaldados en un 56,</w:t>
      </w:r>
      <w:r w:rsidR="00E84169" w:rsidRPr="005236A5">
        <w:rPr>
          <w:rFonts w:ascii="Arial" w:hAnsi="Arial" w:cs="Arial"/>
          <w:iCs/>
          <w:sz w:val="22"/>
          <w:szCs w:val="22"/>
          <w:lang w:val="es-ES_tradnl"/>
        </w:rPr>
        <w:t>8</w:t>
      </w:r>
      <w:r w:rsidRPr="005236A5">
        <w:rPr>
          <w:rFonts w:ascii="Arial" w:hAnsi="Arial" w:cs="Arial"/>
          <w:iCs/>
          <w:sz w:val="22"/>
          <w:szCs w:val="22"/>
          <w:lang w:val="es-ES_tradnl"/>
        </w:rPr>
        <w:t>% con capital propio y 43,</w:t>
      </w:r>
      <w:r w:rsidR="00E84169" w:rsidRPr="005236A5">
        <w:rPr>
          <w:rFonts w:ascii="Arial" w:hAnsi="Arial" w:cs="Arial"/>
          <w:iCs/>
          <w:sz w:val="22"/>
          <w:szCs w:val="22"/>
          <w:lang w:val="es-ES_tradnl"/>
        </w:rPr>
        <w:t>2</w:t>
      </w:r>
      <w:r w:rsidRPr="005236A5">
        <w:rPr>
          <w:rFonts w:ascii="Arial" w:hAnsi="Arial" w:cs="Arial"/>
          <w:iCs/>
          <w:sz w:val="22"/>
          <w:szCs w:val="22"/>
          <w:lang w:val="es-ES_tradnl"/>
        </w:rPr>
        <w:t>% con capital ajeno.</w:t>
      </w:r>
    </w:p>
    <w:p w14:paraId="53040B10" w14:textId="77777777" w:rsidR="00671720" w:rsidRPr="005236A5" w:rsidRDefault="00671720" w:rsidP="00671720">
      <w:pPr>
        <w:pStyle w:val="Default"/>
        <w:ind w:left="360"/>
        <w:jc w:val="both"/>
        <w:rPr>
          <w:rFonts w:ascii="Arial" w:hAnsi="Arial" w:cs="Arial"/>
          <w:i/>
          <w:iCs/>
          <w:sz w:val="22"/>
          <w:szCs w:val="22"/>
          <w:lang w:val="es-ES_tradnl"/>
        </w:rPr>
      </w:pPr>
    </w:p>
    <w:p w14:paraId="5D294F6F" w14:textId="77777777" w:rsidR="00671720" w:rsidRPr="005236A5" w:rsidRDefault="00671720" w:rsidP="006960F4">
      <w:pPr>
        <w:pStyle w:val="Default"/>
        <w:numPr>
          <w:ilvl w:val="1"/>
          <w:numId w:val="5"/>
        </w:numPr>
        <w:jc w:val="both"/>
        <w:rPr>
          <w:rFonts w:ascii="Arial" w:hAnsi="Arial" w:cs="Arial"/>
          <w:iCs/>
          <w:sz w:val="22"/>
          <w:szCs w:val="22"/>
          <w:lang w:val="es-ES_tradnl"/>
        </w:rPr>
      </w:pPr>
      <w:r w:rsidRPr="005236A5">
        <w:rPr>
          <w:rFonts w:ascii="Arial" w:hAnsi="Arial" w:cs="Arial"/>
          <w:i/>
          <w:iCs/>
          <w:sz w:val="22"/>
          <w:szCs w:val="22"/>
          <w:lang w:val="es-ES_tradnl"/>
        </w:rPr>
        <w:t>Activo Corriente.</w:t>
      </w:r>
      <w:r w:rsidRPr="005236A5">
        <w:rPr>
          <w:rFonts w:ascii="Arial" w:hAnsi="Arial" w:cs="Arial"/>
          <w:iCs/>
          <w:sz w:val="22"/>
          <w:szCs w:val="22"/>
          <w:lang w:val="es-ES_tradnl"/>
        </w:rPr>
        <w:t xml:space="preserve"> Al quinto año de la proyección, el activo corriente </w:t>
      </w:r>
      <w:r w:rsidRPr="005236A5">
        <w:rPr>
          <w:rFonts w:ascii="Arial" w:hAnsi="Arial" w:cs="Arial"/>
          <w:sz w:val="22"/>
          <w:szCs w:val="22"/>
          <w:lang w:val="es-ES_tradnl"/>
        </w:rPr>
        <w:t>(</w:t>
      </w:r>
      <w:r w:rsidR="00E84169" w:rsidRPr="005236A5">
        <w:rPr>
          <w:rFonts w:ascii="Arial" w:hAnsi="Arial" w:cs="Arial"/>
          <w:sz w:val="22"/>
          <w:szCs w:val="22"/>
          <w:lang w:val="es-ES_tradnl"/>
        </w:rPr>
        <w:t>39</w:t>
      </w:r>
      <w:r w:rsidRPr="005236A5">
        <w:rPr>
          <w:rFonts w:ascii="Arial" w:hAnsi="Arial" w:cs="Arial"/>
          <w:sz w:val="22"/>
          <w:szCs w:val="22"/>
          <w:lang w:val="es-ES_tradnl"/>
        </w:rPr>
        <w:t>,</w:t>
      </w:r>
      <w:r w:rsidR="00E84169" w:rsidRPr="005236A5">
        <w:rPr>
          <w:rFonts w:ascii="Arial" w:hAnsi="Arial" w:cs="Arial"/>
          <w:sz w:val="22"/>
          <w:szCs w:val="22"/>
          <w:lang w:val="es-ES_tradnl"/>
        </w:rPr>
        <w:t>1</w:t>
      </w:r>
      <w:r w:rsidRPr="005236A5">
        <w:rPr>
          <w:rFonts w:ascii="Arial" w:hAnsi="Arial" w:cs="Arial"/>
          <w:sz w:val="22"/>
          <w:szCs w:val="22"/>
          <w:lang w:val="es-ES_tradnl"/>
        </w:rPr>
        <w:t>% del total de activos)</w:t>
      </w:r>
      <w:r w:rsidRPr="005236A5">
        <w:rPr>
          <w:rFonts w:ascii="Arial" w:hAnsi="Arial" w:cs="Arial"/>
          <w:iCs/>
          <w:sz w:val="22"/>
          <w:szCs w:val="22"/>
          <w:lang w:val="es-ES_tradnl"/>
        </w:rPr>
        <w:t xml:space="preserve"> tiene la capacidad de cubrir 4 veces el pasivo corriente. Las disponibilidades de caja y bancos representan el </w:t>
      </w:r>
      <w:r w:rsidR="00E84169" w:rsidRPr="005236A5">
        <w:rPr>
          <w:rFonts w:ascii="Arial" w:hAnsi="Arial" w:cs="Arial"/>
          <w:iCs/>
          <w:sz w:val="22"/>
          <w:szCs w:val="22"/>
          <w:lang w:val="es-ES_tradnl"/>
        </w:rPr>
        <w:t>10</w:t>
      </w:r>
      <w:r w:rsidRPr="005236A5">
        <w:rPr>
          <w:rFonts w:ascii="Arial" w:hAnsi="Arial" w:cs="Arial"/>
          <w:iCs/>
          <w:sz w:val="22"/>
          <w:szCs w:val="22"/>
          <w:lang w:val="es-ES_tradnl"/>
        </w:rPr>
        <w:t>,</w:t>
      </w:r>
      <w:r w:rsidR="00E84169" w:rsidRPr="005236A5">
        <w:rPr>
          <w:rFonts w:ascii="Arial" w:hAnsi="Arial" w:cs="Arial"/>
          <w:iCs/>
          <w:sz w:val="22"/>
          <w:szCs w:val="22"/>
          <w:lang w:val="es-ES_tradnl"/>
        </w:rPr>
        <w:t>3</w:t>
      </w:r>
      <w:r w:rsidRPr="005236A5">
        <w:rPr>
          <w:rFonts w:ascii="Arial" w:hAnsi="Arial" w:cs="Arial"/>
          <w:iCs/>
          <w:sz w:val="22"/>
          <w:szCs w:val="22"/>
          <w:lang w:val="es-ES_tradnl"/>
        </w:rPr>
        <w:t xml:space="preserve">% del total del activo corriente. Las cuentas por cobrar, </w:t>
      </w:r>
      <w:r w:rsidRPr="005236A5">
        <w:rPr>
          <w:rFonts w:ascii="Arial" w:hAnsi="Arial" w:cs="Arial"/>
          <w:sz w:val="22"/>
          <w:szCs w:val="22"/>
          <w:lang w:val="es-ES_tradnl"/>
        </w:rPr>
        <w:t>respaldadas por una adecuada gestión comercial, representan el 2</w:t>
      </w:r>
      <w:r w:rsidR="00E84169" w:rsidRPr="005236A5">
        <w:rPr>
          <w:rFonts w:ascii="Arial" w:hAnsi="Arial" w:cs="Arial"/>
          <w:sz w:val="22"/>
          <w:szCs w:val="22"/>
          <w:lang w:val="es-ES_tradnl"/>
        </w:rPr>
        <w:t>5</w:t>
      </w:r>
      <w:r w:rsidRPr="005236A5">
        <w:rPr>
          <w:rFonts w:ascii="Arial" w:hAnsi="Arial" w:cs="Arial"/>
          <w:sz w:val="22"/>
          <w:szCs w:val="22"/>
          <w:lang w:val="es-ES_tradnl"/>
        </w:rPr>
        <w:t>,</w:t>
      </w:r>
      <w:r w:rsidR="00E84169" w:rsidRPr="005236A5">
        <w:rPr>
          <w:rFonts w:ascii="Arial" w:hAnsi="Arial" w:cs="Arial"/>
          <w:sz w:val="22"/>
          <w:szCs w:val="22"/>
          <w:lang w:val="es-ES_tradnl"/>
        </w:rPr>
        <w:t>4</w:t>
      </w:r>
      <w:r w:rsidRPr="005236A5">
        <w:rPr>
          <w:rFonts w:ascii="Arial" w:hAnsi="Arial" w:cs="Arial"/>
          <w:sz w:val="22"/>
          <w:szCs w:val="22"/>
          <w:lang w:val="es-ES_tradnl"/>
        </w:rPr>
        <w:t>% del activo corriente. Vale la pena destacar que el rubro de los otros activos representa el 6</w:t>
      </w:r>
      <w:r w:rsidR="00E84169" w:rsidRPr="005236A5">
        <w:rPr>
          <w:rFonts w:ascii="Arial" w:hAnsi="Arial" w:cs="Arial"/>
          <w:sz w:val="22"/>
          <w:szCs w:val="22"/>
          <w:lang w:val="es-ES_tradnl"/>
        </w:rPr>
        <w:t>3</w:t>
      </w:r>
      <w:r w:rsidRPr="005236A5">
        <w:rPr>
          <w:rFonts w:ascii="Arial" w:hAnsi="Arial" w:cs="Arial"/>
          <w:sz w:val="22"/>
          <w:szCs w:val="22"/>
          <w:lang w:val="es-ES_tradnl"/>
        </w:rPr>
        <w:t>,</w:t>
      </w:r>
      <w:r w:rsidR="00E84169" w:rsidRPr="005236A5">
        <w:rPr>
          <w:rFonts w:ascii="Arial" w:hAnsi="Arial" w:cs="Arial"/>
          <w:sz w:val="22"/>
          <w:szCs w:val="22"/>
          <w:lang w:val="es-ES_tradnl"/>
        </w:rPr>
        <w:t>8</w:t>
      </w:r>
      <w:r w:rsidRPr="005236A5">
        <w:rPr>
          <w:rFonts w:ascii="Arial" w:hAnsi="Arial" w:cs="Arial"/>
          <w:sz w:val="22"/>
          <w:szCs w:val="22"/>
          <w:lang w:val="es-ES_tradnl"/>
        </w:rPr>
        <w:t xml:space="preserve">% del activo corriente, </w:t>
      </w:r>
      <w:r w:rsidR="001C20A1">
        <w:rPr>
          <w:rFonts w:ascii="Arial" w:hAnsi="Arial" w:cs="Arial"/>
          <w:sz w:val="22"/>
          <w:szCs w:val="22"/>
          <w:lang w:val="es-ES_tradnl"/>
        </w:rPr>
        <w:t>acumulándose</w:t>
      </w:r>
      <w:r w:rsidRPr="005236A5">
        <w:rPr>
          <w:rFonts w:ascii="Arial" w:hAnsi="Arial" w:cs="Arial"/>
          <w:sz w:val="22"/>
          <w:szCs w:val="22"/>
          <w:lang w:val="es-ES_tradnl"/>
        </w:rPr>
        <w:t xml:space="preserve"> la Cobranza en poder de la Intendencia.</w:t>
      </w:r>
    </w:p>
    <w:p w14:paraId="14D94160" w14:textId="77777777" w:rsidR="006960F4" w:rsidRPr="005236A5" w:rsidRDefault="006960F4" w:rsidP="006960F4">
      <w:pPr>
        <w:pStyle w:val="Default"/>
        <w:jc w:val="both"/>
        <w:rPr>
          <w:rFonts w:ascii="Arial" w:hAnsi="Arial" w:cs="Arial"/>
          <w:iCs/>
          <w:sz w:val="22"/>
          <w:szCs w:val="22"/>
          <w:lang w:val="es-ES_tradnl"/>
        </w:rPr>
      </w:pPr>
    </w:p>
    <w:p w14:paraId="6DADB080" w14:textId="77777777" w:rsidR="00671720" w:rsidRPr="005236A5" w:rsidRDefault="00671720" w:rsidP="00671720">
      <w:pPr>
        <w:pStyle w:val="Default"/>
        <w:numPr>
          <w:ilvl w:val="1"/>
          <w:numId w:val="5"/>
        </w:numPr>
        <w:jc w:val="both"/>
        <w:rPr>
          <w:rFonts w:ascii="Arial" w:hAnsi="Arial" w:cs="Arial"/>
          <w:iCs/>
          <w:sz w:val="22"/>
          <w:szCs w:val="22"/>
          <w:lang w:val="es-ES_tradnl"/>
        </w:rPr>
      </w:pPr>
      <w:r w:rsidRPr="005236A5">
        <w:rPr>
          <w:rFonts w:ascii="Arial" w:hAnsi="Arial" w:cs="Arial"/>
          <w:i/>
          <w:iCs/>
          <w:sz w:val="22"/>
          <w:szCs w:val="22"/>
          <w:lang w:val="es-ES_tradnl"/>
        </w:rPr>
        <w:t>Activo No Corriente.</w:t>
      </w:r>
      <w:r w:rsidRPr="005236A5">
        <w:rPr>
          <w:rFonts w:ascii="Arial" w:hAnsi="Arial" w:cs="Arial"/>
          <w:iCs/>
          <w:sz w:val="22"/>
          <w:szCs w:val="22"/>
          <w:lang w:val="es-ES_tradnl"/>
        </w:rPr>
        <w:t xml:space="preserve"> </w:t>
      </w:r>
      <w:r w:rsidRPr="005236A5">
        <w:rPr>
          <w:rFonts w:ascii="Arial" w:hAnsi="Arial" w:cs="Arial"/>
          <w:sz w:val="22"/>
          <w:szCs w:val="22"/>
          <w:lang w:val="es-ES_tradnl"/>
        </w:rPr>
        <w:t>Los activos fijos de la empresa (</w:t>
      </w:r>
      <w:r w:rsidR="00E84169" w:rsidRPr="005236A5">
        <w:rPr>
          <w:rFonts w:ascii="Arial" w:hAnsi="Arial" w:cs="Arial"/>
          <w:sz w:val="22"/>
          <w:szCs w:val="22"/>
          <w:lang w:val="es-ES_tradnl"/>
        </w:rPr>
        <w:t>60</w:t>
      </w:r>
      <w:r w:rsidRPr="005236A5">
        <w:rPr>
          <w:rFonts w:ascii="Arial" w:hAnsi="Arial" w:cs="Arial"/>
          <w:sz w:val="22"/>
          <w:szCs w:val="22"/>
          <w:lang w:val="es-ES_tradnl"/>
        </w:rPr>
        <w:t>,</w:t>
      </w:r>
      <w:r w:rsidR="00E84169" w:rsidRPr="005236A5">
        <w:rPr>
          <w:rFonts w:ascii="Arial" w:hAnsi="Arial" w:cs="Arial"/>
          <w:sz w:val="22"/>
          <w:szCs w:val="22"/>
          <w:lang w:val="es-ES_tradnl"/>
        </w:rPr>
        <w:t>9</w:t>
      </w:r>
      <w:r w:rsidRPr="005236A5">
        <w:rPr>
          <w:rFonts w:ascii="Arial" w:hAnsi="Arial" w:cs="Arial"/>
          <w:sz w:val="22"/>
          <w:szCs w:val="22"/>
          <w:lang w:val="es-ES_tradnl"/>
        </w:rPr>
        <w:t>% del total de activos) están constituidos principalmente por propiedad de planta y equipos que corresponde los activos destinados a la prestación del servicio.</w:t>
      </w:r>
      <w:r w:rsidR="00E84169" w:rsidRPr="005236A5">
        <w:rPr>
          <w:rFonts w:ascii="Arial" w:hAnsi="Arial" w:cs="Arial"/>
          <w:sz w:val="22"/>
          <w:szCs w:val="22"/>
          <w:lang w:val="es-ES_tradnl"/>
        </w:rPr>
        <w:t xml:space="preserve"> Comparado con el 2015, </w:t>
      </w:r>
      <w:r w:rsidR="006960F4" w:rsidRPr="005236A5">
        <w:rPr>
          <w:rFonts w:ascii="Arial" w:hAnsi="Arial" w:cs="Arial"/>
          <w:sz w:val="22"/>
          <w:szCs w:val="22"/>
          <w:lang w:val="es-ES_tradnl"/>
        </w:rPr>
        <w:t>se incrementará</w:t>
      </w:r>
      <w:r w:rsidR="00E84169" w:rsidRPr="005236A5">
        <w:rPr>
          <w:rFonts w:ascii="Arial" w:hAnsi="Arial" w:cs="Arial"/>
          <w:sz w:val="22"/>
          <w:szCs w:val="22"/>
          <w:lang w:val="es-ES"/>
        </w:rPr>
        <w:t xml:space="preserve"> en un 33% por las inversiones del PSU IV y V, y las de fondos propios.</w:t>
      </w:r>
    </w:p>
    <w:p w14:paraId="3B591A48" w14:textId="77777777" w:rsidR="00671720" w:rsidRPr="005236A5" w:rsidRDefault="00671720" w:rsidP="00671720">
      <w:pPr>
        <w:pStyle w:val="Default"/>
        <w:jc w:val="both"/>
        <w:rPr>
          <w:rFonts w:ascii="Arial" w:hAnsi="Arial" w:cs="Arial"/>
          <w:iCs/>
          <w:sz w:val="22"/>
          <w:szCs w:val="22"/>
          <w:lang w:val="es-ES_tradnl"/>
        </w:rPr>
      </w:pPr>
    </w:p>
    <w:p w14:paraId="645218B1" w14:textId="77777777" w:rsidR="00671720" w:rsidRPr="005236A5" w:rsidRDefault="00671720" w:rsidP="006960F4">
      <w:pPr>
        <w:pStyle w:val="Default"/>
        <w:numPr>
          <w:ilvl w:val="1"/>
          <w:numId w:val="5"/>
        </w:numPr>
        <w:jc w:val="both"/>
        <w:rPr>
          <w:rFonts w:ascii="Arial" w:hAnsi="Arial" w:cs="Arial"/>
          <w:iCs/>
          <w:sz w:val="22"/>
          <w:szCs w:val="22"/>
          <w:lang w:val="es-ES_tradnl"/>
        </w:rPr>
      </w:pPr>
      <w:r w:rsidRPr="005236A5">
        <w:rPr>
          <w:rFonts w:ascii="Arial" w:hAnsi="Arial" w:cs="Arial"/>
          <w:i/>
          <w:sz w:val="22"/>
          <w:szCs w:val="22"/>
          <w:lang w:val="es-ES_tradnl"/>
        </w:rPr>
        <w:lastRenderedPageBreak/>
        <w:t xml:space="preserve"> </w:t>
      </w:r>
      <w:r w:rsidRPr="005236A5">
        <w:rPr>
          <w:rFonts w:ascii="Arial" w:hAnsi="Arial" w:cs="Arial"/>
          <w:bCs/>
          <w:i/>
          <w:sz w:val="22"/>
          <w:szCs w:val="22"/>
          <w:lang w:val="es-ES_tradnl"/>
        </w:rPr>
        <w:t>Pasivo Corriente.</w:t>
      </w:r>
      <w:r w:rsidRPr="005236A5">
        <w:rPr>
          <w:rFonts w:ascii="Arial" w:hAnsi="Arial" w:cs="Arial"/>
          <w:b/>
          <w:bCs/>
          <w:i/>
          <w:sz w:val="22"/>
          <w:szCs w:val="22"/>
          <w:lang w:val="es-ES_tradnl"/>
        </w:rPr>
        <w:t xml:space="preserve"> </w:t>
      </w:r>
      <w:r w:rsidRPr="005236A5">
        <w:rPr>
          <w:rFonts w:ascii="Arial" w:hAnsi="Arial" w:cs="Arial"/>
          <w:sz w:val="22"/>
          <w:szCs w:val="22"/>
          <w:lang w:val="es-ES_tradnl"/>
        </w:rPr>
        <w:t>El pasivo corriente de la empresa (2</w:t>
      </w:r>
      <w:r w:rsidR="00E84169" w:rsidRPr="005236A5">
        <w:rPr>
          <w:rFonts w:ascii="Arial" w:hAnsi="Arial" w:cs="Arial"/>
          <w:sz w:val="22"/>
          <w:szCs w:val="22"/>
          <w:lang w:val="es-ES_tradnl"/>
        </w:rPr>
        <w:t>2</w:t>
      </w:r>
      <w:r w:rsidRPr="005236A5">
        <w:rPr>
          <w:rFonts w:ascii="Arial" w:hAnsi="Arial" w:cs="Arial"/>
          <w:sz w:val="22"/>
          <w:szCs w:val="22"/>
          <w:lang w:val="es-ES_tradnl"/>
        </w:rPr>
        <w:t>,</w:t>
      </w:r>
      <w:r w:rsidR="00E84169" w:rsidRPr="005236A5">
        <w:rPr>
          <w:rFonts w:ascii="Arial" w:hAnsi="Arial" w:cs="Arial"/>
          <w:sz w:val="22"/>
          <w:szCs w:val="22"/>
          <w:lang w:val="es-ES_tradnl"/>
        </w:rPr>
        <w:t>6</w:t>
      </w:r>
      <w:r w:rsidRPr="005236A5">
        <w:rPr>
          <w:rFonts w:ascii="Arial" w:hAnsi="Arial" w:cs="Arial"/>
          <w:sz w:val="22"/>
          <w:szCs w:val="22"/>
          <w:lang w:val="es-ES_tradnl"/>
        </w:rPr>
        <w:t>% del total del pasivo) está compuesto por principalmente la porción corriente de las deudas a largo plazo, cuentas por pagar a proveedores, anticipos a clientes y cargas so</w:t>
      </w:r>
      <w:r w:rsidR="006960F4" w:rsidRPr="005236A5">
        <w:rPr>
          <w:rFonts w:ascii="Arial" w:hAnsi="Arial" w:cs="Arial"/>
          <w:sz w:val="22"/>
          <w:szCs w:val="22"/>
          <w:lang w:val="es-ES_tradnl"/>
        </w:rPr>
        <w:t xml:space="preserve">ciales y obligaciones fiscales. </w:t>
      </w:r>
    </w:p>
    <w:p w14:paraId="3C8A24A7" w14:textId="77777777" w:rsidR="006960F4" w:rsidRPr="005236A5" w:rsidRDefault="006960F4" w:rsidP="006960F4">
      <w:pPr>
        <w:pStyle w:val="Default"/>
        <w:jc w:val="both"/>
        <w:rPr>
          <w:rFonts w:ascii="Arial" w:hAnsi="Arial" w:cs="Arial"/>
          <w:iCs/>
          <w:sz w:val="22"/>
          <w:szCs w:val="22"/>
          <w:lang w:val="es-ES_tradnl"/>
        </w:rPr>
      </w:pPr>
    </w:p>
    <w:p w14:paraId="1AACF928" w14:textId="77777777" w:rsidR="00671720" w:rsidRPr="005236A5" w:rsidRDefault="00671720" w:rsidP="006960F4">
      <w:pPr>
        <w:pStyle w:val="Default"/>
        <w:numPr>
          <w:ilvl w:val="1"/>
          <w:numId w:val="5"/>
        </w:numPr>
        <w:jc w:val="both"/>
        <w:rPr>
          <w:rFonts w:ascii="Arial" w:hAnsi="Arial" w:cs="Arial"/>
          <w:iCs/>
          <w:sz w:val="22"/>
          <w:szCs w:val="22"/>
          <w:lang w:val="es-ES_tradnl"/>
        </w:rPr>
      </w:pPr>
      <w:r w:rsidRPr="005236A5">
        <w:rPr>
          <w:rFonts w:ascii="Arial" w:hAnsi="Arial" w:cs="Arial"/>
          <w:i/>
          <w:sz w:val="22"/>
          <w:szCs w:val="22"/>
          <w:lang w:val="es-ES_tradnl"/>
        </w:rPr>
        <w:t>Pasivo No Corriente</w:t>
      </w:r>
      <w:r w:rsidRPr="005236A5">
        <w:rPr>
          <w:rFonts w:ascii="Arial" w:hAnsi="Arial" w:cs="Arial"/>
          <w:sz w:val="22"/>
          <w:szCs w:val="22"/>
          <w:lang w:val="es-ES_tradnl"/>
        </w:rPr>
        <w:t>. El Pasivo a largo plazo de la empresa (</w:t>
      </w:r>
      <w:r w:rsidR="006960F4" w:rsidRPr="005236A5">
        <w:rPr>
          <w:rFonts w:ascii="Arial" w:hAnsi="Arial" w:cs="Arial"/>
          <w:sz w:val="22"/>
          <w:szCs w:val="22"/>
          <w:lang w:val="es-ES_tradnl"/>
        </w:rPr>
        <w:t>7</w:t>
      </w:r>
      <w:r w:rsidRPr="005236A5">
        <w:rPr>
          <w:rFonts w:ascii="Arial" w:hAnsi="Arial" w:cs="Arial"/>
          <w:sz w:val="22"/>
          <w:szCs w:val="22"/>
          <w:lang w:val="es-ES_tradnl"/>
        </w:rPr>
        <w:t>7</w:t>
      </w:r>
      <w:r w:rsidR="006960F4" w:rsidRPr="005236A5">
        <w:rPr>
          <w:rFonts w:ascii="Arial" w:hAnsi="Arial" w:cs="Arial"/>
          <w:sz w:val="22"/>
          <w:szCs w:val="22"/>
          <w:lang w:val="es-ES_tradnl"/>
        </w:rPr>
        <w:t>,4</w:t>
      </w:r>
      <w:r w:rsidRPr="005236A5">
        <w:rPr>
          <w:rFonts w:ascii="Arial" w:hAnsi="Arial" w:cs="Arial"/>
          <w:sz w:val="22"/>
          <w:szCs w:val="22"/>
          <w:lang w:val="es-ES_tradnl"/>
        </w:rPr>
        <w:t>% del total pasivos) comprende p</w:t>
      </w:r>
      <w:r w:rsidR="006960F4" w:rsidRPr="005236A5">
        <w:rPr>
          <w:rFonts w:ascii="Arial" w:hAnsi="Arial" w:cs="Arial"/>
          <w:sz w:val="22"/>
          <w:szCs w:val="22"/>
          <w:lang w:val="es-ES_tradnl"/>
        </w:rPr>
        <w:t>rincipalmente deudas con el BID. El monto total de Pasivo No Corriente se aumentará en un 9% en los próximos cinco años.</w:t>
      </w:r>
    </w:p>
    <w:p w14:paraId="78DF28E1" w14:textId="77777777" w:rsidR="006960F4" w:rsidRPr="005236A5" w:rsidRDefault="006960F4" w:rsidP="006960F4">
      <w:pPr>
        <w:pStyle w:val="Default"/>
        <w:jc w:val="both"/>
        <w:rPr>
          <w:rFonts w:ascii="Arial" w:hAnsi="Arial" w:cs="Arial"/>
          <w:iCs/>
          <w:sz w:val="22"/>
          <w:szCs w:val="22"/>
          <w:lang w:val="es-ES_tradnl"/>
        </w:rPr>
      </w:pPr>
    </w:p>
    <w:p w14:paraId="2430262B" w14:textId="77777777" w:rsidR="00671720" w:rsidRPr="005236A5" w:rsidRDefault="00671720" w:rsidP="00671720">
      <w:pPr>
        <w:pStyle w:val="Default"/>
        <w:numPr>
          <w:ilvl w:val="1"/>
          <w:numId w:val="5"/>
        </w:numPr>
        <w:jc w:val="both"/>
        <w:rPr>
          <w:rFonts w:ascii="Arial" w:hAnsi="Arial" w:cs="Arial"/>
          <w:iCs/>
          <w:sz w:val="22"/>
          <w:szCs w:val="22"/>
          <w:lang w:val="es-ES_tradnl"/>
        </w:rPr>
      </w:pPr>
      <w:r w:rsidRPr="005236A5">
        <w:rPr>
          <w:rFonts w:ascii="Arial" w:hAnsi="Arial" w:cs="Arial"/>
          <w:bCs/>
          <w:i/>
          <w:sz w:val="22"/>
          <w:szCs w:val="22"/>
          <w:lang w:val="es-ES_tradnl"/>
        </w:rPr>
        <w:t>Patrimonio</w:t>
      </w:r>
      <w:r w:rsidRPr="005236A5">
        <w:rPr>
          <w:rFonts w:ascii="Arial" w:hAnsi="Arial" w:cs="Arial"/>
          <w:b/>
          <w:bCs/>
          <w:i/>
          <w:sz w:val="22"/>
          <w:szCs w:val="22"/>
          <w:lang w:val="es-ES_tradnl"/>
        </w:rPr>
        <w:t>.</w:t>
      </w:r>
      <w:r w:rsidRPr="005236A5">
        <w:rPr>
          <w:rFonts w:ascii="Arial" w:hAnsi="Arial" w:cs="Arial"/>
          <w:b/>
          <w:bCs/>
          <w:sz w:val="22"/>
          <w:szCs w:val="22"/>
          <w:lang w:val="es-ES_tradnl"/>
        </w:rPr>
        <w:t xml:space="preserve"> </w:t>
      </w:r>
      <w:r w:rsidRPr="005236A5">
        <w:rPr>
          <w:rFonts w:ascii="Arial" w:hAnsi="Arial" w:cs="Arial"/>
          <w:sz w:val="22"/>
          <w:szCs w:val="22"/>
          <w:lang w:val="es-ES_tradnl"/>
        </w:rPr>
        <w:t>El patrimonio del SS</w:t>
      </w:r>
      <w:r w:rsidR="006960F4" w:rsidRPr="005236A5">
        <w:rPr>
          <w:rFonts w:ascii="Arial" w:hAnsi="Arial" w:cs="Arial"/>
          <w:sz w:val="22"/>
          <w:szCs w:val="22"/>
          <w:lang w:val="es-ES_tradnl"/>
        </w:rPr>
        <w:t xml:space="preserve"> alcanzará al valor de US$307,5 millones, que representa el 56,8% del total de pasivos y patrimonio. El crecimiento del patrimonio comparado con el 2015 se debe a la retención de las utilidades.</w:t>
      </w:r>
      <w:r w:rsidRPr="005236A5">
        <w:rPr>
          <w:rFonts w:ascii="Arial" w:hAnsi="Arial" w:cs="Arial"/>
          <w:sz w:val="22"/>
          <w:szCs w:val="22"/>
          <w:lang w:val="es-ES_tradnl"/>
        </w:rPr>
        <w:t xml:space="preserve"> </w:t>
      </w:r>
    </w:p>
    <w:p w14:paraId="6634FEC9" w14:textId="77777777" w:rsidR="00671720" w:rsidRPr="006960F4" w:rsidRDefault="00671720" w:rsidP="00671720">
      <w:pPr>
        <w:pStyle w:val="Default"/>
        <w:jc w:val="both"/>
        <w:rPr>
          <w:rFonts w:ascii="Arial" w:hAnsi="Arial" w:cs="Arial"/>
          <w:iCs/>
          <w:sz w:val="22"/>
          <w:szCs w:val="22"/>
          <w:lang w:val="es-ES_tradnl"/>
        </w:rPr>
      </w:pPr>
    </w:p>
    <w:p w14:paraId="1A1F4395" w14:textId="77777777" w:rsidR="001C20A1" w:rsidRDefault="001C20A1" w:rsidP="001C20A1">
      <w:pPr>
        <w:pStyle w:val="Default"/>
        <w:rPr>
          <w:sz w:val="23"/>
          <w:szCs w:val="23"/>
          <w:lang w:val="es-ES_tradnl"/>
        </w:rPr>
      </w:pPr>
    </w:p>
    <w:p w14:paraId="3C706772" w14:textId="77777777" w:rsidR="001C20A1" w:rsidRPr="004040A8" w:rsidRDefault="001C20A1" w:rsidP="001C20A1">
      <w:pPr>
        <w:pStyle w:val="Default"/>
        <w:jc w:val="center"/>
        <w:rPr>
          <w:sz w:val="23"/>
          <w:szCs w:val="23"/>
          <w:lang w:val="es-ES"/>
        </w:rPr>
      </w:pPr>
      <w:r w:rsidRPr="004040A8">
        <w:rPr>
          <w:rFonts w:ascii="Arial" w:hAnsi="Arial" w:cs="Arial"/>
          <w:sz w:val="22"/>
          <w:szCs w:val="22"/>
          <w:u w:val="single"/>
          <w:lang w:val="es-ES"/>
        </w:rPr>
        <w:t xml:space="preserve">Cuadro </w:t>
      </w:r>
      <w:r>
        <w:rPr>
          <w:rFonts w:ascii="Arial" w:hAnsi="Arial" w:cs="Arial"/>
          <w:sz w:val="22"/>
          <w:szCs w:val="22"/>
          <w:u w:val="single"/>
          <w:lang w:val="es-ES"/>
        </w:rPr>
        <w:t>6</w:t>
      </w:r>
      <w:r w:rsidRPr="004040A8">
        <w:rPr>
          <w:rFonts w:ascii="Arial" w:hAnsi="Arial" w:cs="Arial"/>
          <w:sz w:val="22"/>
          <w:szCs w:val="22"/>
          <w:u w:val="single"/>
          <w:lang w:val="es-ES"/>
        </w:rPr>
        <w:t xml:space="preserve">. Estado de </w:t>
      </w:r>
      <w:r>
        <w:rPr>
          <w:rFonts w:ascii="Arial" w:hAnsi="Arial" w:cs="Arial"/>
          <w:sz w:val="22"/>
          <w:szCs w:val="22"/>
          <w:u w:val="single"/>
          <w:lang w:val="es-ES"/>
        </w:rPr>
        <w:t>Balance</w:t>
      </w:r>
      <w:r w:rsidR="00282F45" w:rsidRPr="00282F45">
        <w:rPr>
          <w:rFonts w:ascii="Arial" w:hAnsi="Arial" w:cs="Arial"/>
          <w:sz w:val="22"/>
          <w:szCs w:val="22"/>
          <w:u w:val="single"/>
          <w:lang w:val="es-ES_tradnl"/>
        </w:rPr>
        <w:t xml:space="preserve"> General</w:t>
      </w:r>
      <w:r w:rsidRPr="004040A8">
        <w:rPr>
          <w:rFonts w:ascii="Arial" w:hAnsi="Arial" w:cs="Arial"/>
          <w:sz w:val="22"/>
          <w:szCs w:val="22"/>
          <w:u w:val="single"/>
          <w:lang w:val="es-ES"/>
        </w:rPr>
        <w:t xml:space="preserve"> (en millones de US$ de 2015)</w:t>
      </w:r>
    </w:p>
    <w:p w14:paraId="3F3D62B8" w14:textId="77777777" w:rsidR="001C20A1" w:rsidRPr="004040A8" w:rsidRDefault="001C20A1" w:rsidP="001C20A1">
      <w:pPr>
        <w:pStyle w:val="Default"/>
        <w:rPr>
          <w:sz w:val="23"/>
          <w:szCs w:val="23"/>
          <w:lang w:val="es-ES"/>
        </w:rPr>
      </w:pPr>
    </w:p>
    <w:p w14:paraId="310112AC" w14:textId="3BBA4BD7" w:rsidR="001C20A1" w:rsidRPr="00424F9E" w:rsidRDefault="0011459F" w:rsidP="001C20A1">
      <w:pPr>
        <w:pStyle w:val="Default"/>
        <w:rPr>
          <w:sz w:val="23"/>
          <w:szCs w:val="23"/>
          <w:lang w:val="es-ES"/>
        </w:rPr>
      </w:pPr>
      <w:r w:rsidRPr="0011459F">
        <w:rPr>
          <w:noProof/>
          <w:lang w:eastAsia="en-US"/>
        </w:rPr>
        <w:drawing>
          <wp:inline distT="0" distB="0" distL="0" distR="0" wp14:anchorId="396453C8" wp14:editId="74EF8362">
            <wp:extent cx="5943600" cy="322264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222649"/>
                    </a:xfrm>
                    <a:prstGeom prst="rect">
                      <a:avLst/>
                    </a:prstGeom>
                    <a:noFill/>
                    <a:ln>
                      <a:noFill/>
                    </a:ln>
                  </pic:spPr>
                </pic:pic>
              </a:graphicData>
            </a:graphic>
          </wp:inline>
        </w:drawing>
      </w:r>
    </w:p>
    <w:p w14:paraId="1136248F" w14:textId="77777777" w:rsidR="001C20A1" w:rsidRDefault="001C20A1" w:rsidP="001C20A1">
      <w:pPr>
        <w:pStyle w:val="Default"/>
        <w:rPr>
          <w:sz w:val="23"/>
          <w:szCs w:val="23"/>
          <w:lang w:val="es-ES_tradnl"/>
        </w:rPr>
      </w:pPr>
    </w:p>
    <w:p w14:paraId="65252DC8" w14:textId="77777777" w:rsidR="00671720" w:rsidRDefault="00671720" w:rsidP="00894738">
      <w:pPr>
        <w:pStyle w:val="Default"/>
        <w:rPr>
          <w:sz w:val="23"/>
          <w:szCs w:val="23"/>
          <w:lang w:val="es-ES_tradnl"/>
        </w:rPr>
      </w:pPr>
    </w:p>
    <w:p w14:paraId="5E5A3576" w14:textId="77777777" w:rsidR="00671720" w:rsidRDefault="00671720" w:rsidP="00894738">
      <w:pPr>
        <w:pStyle w:val="Default"/>
        <w:rPr>
          <w:sz w:val="23"/>
          <w:szCs w:val="23"/>
          <w:lang w:val="es-ES_tradnl"/>
        </w:rPr>
      </w:pPr>
    </w:p>
    <w:p w14:paraId="45C1C79C" w14:textId="77777777" w:rsidR="00671720" w:rsidRDefault="00671720" w:rsidP="00894738">
      <w:pPr>
        <w:pStyle w:val="Default"/>
        <w:rPr>
          <w:sz w:val="23"/>
          <w:szCs w:val="23"/>
          <w:lang w:val="es-ES_tradnl"/>
        </w:rPr>
      </w:pPr>
    </w:p>
    <w:p w14:paraId="36137A0C" w14:textId="77777777" w:rsidR="004040A8" w:rsidRDefault="004040A8" w:rsidP="00894738">
      <w:pPr>
        <w:pStyle w:val="Default"/>
        <w:rPr>
          <w:sz w:val="23"/>
          <w:szCs w:val="23"/>
          <w:lang w:val="es-ES_tradnl"/>
        </w:rPr>
      </w:pPr>
    </w:p>
    <w:p w14:paraId="243DF80D" w14:textId="477B61F4" w:rsidR="00DB09DD" w:rsidRDefault="00DB09DD" w:rsidP="00894738">
      <w:pPr>
        <w:pStyle w:val="Default"/>
        <w:rPr>
          <w:sz w:val="23"/>
          <w:szCs w:val="23"/>
          <w:lang w:val="es-ES_tradnl"/>
        </w:rPr>
      </w:pPr>
      <w:r>
        <w:rPr>
          <w:sz w:val="23"/>
          <w:szCs w:val="23"/>
          <w:lang w:val="es-ES_tradnl"/>
        </w:rPr>
        <w:br w:type="page"/>
      </w:r>
    </w:p>
    <w:p w14:paraId="7861CE74" w14:textId="77777777" w:rsidR="00894738" w:rsidRPr="008255AB" w:rsidRDefault="0000523F" w:rsidP="00894738">
      <w:pPr>
        <w:pStyle w:val="Paragraph"/>
        <w:keepNext/>
        <w:keepLines/>
        <w:numPr>
          <w:ilvl w:val="0"/>
          <w:numId w:val="0"/>
        </w:numPr>
        <w:rPr>
          <w:rFonts w:ascii="Arial" w:hAnsi="Arial" w:cs="Arial"/>
          <w:b/>
          <w:sz w:val="22"/>
          <w:szCs w:val="22"/>
        </w:rPr>
      </w:pPr>
      <w:r>
        <w:rPr>
          <w:rFonts w:ascii="Arial" w:hAnsi="Arial" w:cs="Arial"/>
          <w:b/>
          <w:sz w:val="22"/>
          <w:szCs w:val="22"/>
        </w:rPr>
        <w:lastRenderedPageBreak/>
        <w:t xml:space="preserve">IV. </w:t>
      </w:r>
      <w:r w:rsidRPr="0000523F">
        <w:rPr>
          <w:rFonts w:ascii="Arial" w:hAnsi="Arial" w:cs="Arial"/>
          <w:b/>
          <w:sz w:val="22"/>
          <w:szCs w:val="22"/>
        </w:rPr>
        <w:t>Supuestos para las proyecciones</w:t>
      </w:r>
    </w:p>
    <w:tbl>
      <w:tblPr>
        <w:tblW w:w="8931" w:type="dxa"/>
        <w:tblInd w:w="-34" w:type="dxa"/>
        <w:tblBorders>
          <w:top w:val="single" w:sz="4" w:space="0" w:color="auto"/>
          <w:bottom w:val="single" w:sz="4" w:space="0" w:color="auto"/>
          <w:insideH w:val="single" w:sz="4" w:space="0" w:color="auto"/>
        </w:tblBorders>
        <w:tblLook w:val="0000" w:firstRow="0" w:lastRow="0" w:firstColumn="0" w:lastColumn="0" w:noHBand="0" w:noVBand="0"/>
      </w:tblPr>
      <w:tblGrid>
        <w:gridCol w:w="2070"/>
        <w:gridCol w:w="6861"/>
      </w:tblGrid>
      <w:tr w:rsidR="00894738" w:rsidRPr="008255AB" w14:paraId="0069A679" w14:textId="77777777" w:rsidTr="009E6B32">
        <w:trPr>
          <w:trHeight w:val="390"/>
        </w:trPr>
        <w:tc>
          <w:tcPr>
            <w:tcW w:w="2070" w:type="dxa"/>
            <w:tcBorders>
              <w:top w:val="single" w:sz="24" w:space="0" w:color="auto"/>
            </w:tcBorders>
          </w:tcPr>
          <w:p w14:paraId="5B3A4022" w14:textId="77777777" w:rsidR="00894738" w:rsidRPr="00D04CC0" w:rsidRDefault="00894738" w:rsidP="009E6B32">
            <w:pPr>
              <w:pStyle w:val="Heading1"/>
              <w:tabs>
                <w:tab w:val="left" w:pos="0"/>
              </w:tabs>
              <w:spacing w:before="60"/>
              <w:ind w:left="72"/>
              <w:rPr>
                <w:rFonts w:ascii="Arial" w:hAnsi="Arial" w:cs="Arial"/>
                <w:i/>
                <w:iCs/>
                <w:color w:val="auto"/>
                <w:sz w:val="22"/>
                <w:szCs w:val="22"/>
                <w:lang w:val="es-ES"/>
              </w:rPr>
            </w:pPr>
            <w:r w:rsidRPr="00D04CC0">
              <w:rPr>
                <w:rFonts w:ascii="Arial" w:hAnsi="Arial" w:cs="Arial"/>
                <w:i/>
                <w:iCs/>
                <w:color w:val="auto"/>
                <w:sz w:val="22"/>
                <w:szCs w:val="22"/>
                <w:lang w:val="es-ES"/>
              </w:rPr>
              <w:t>Rubros</w:t>
            </w:r>
          </w:p>
        </w:tc>
        <w:tc>
          <w:tcPr>
            <w:tcW w:w="6861" w:type="dxa"/>
            <w:tcBorders>
              <w:top w:val="single" w:sz="24" w:space="0" w:color="auto"/>
            </w:tcBorders>
          </w:tcPr>
          <w:p w14:paraId="64BB4C44" w14:textId="77777777" w:rsidR="00894738" w:rsidRPr="00D04CC0" w:rsidRDefault="00894738" w:rsidP="009E6B32">
            <w:pPr>
              <w:pStyle w:val="Heading2"/>
              <w:spacing w:before="60"/>
              <w:rPr>
                <w:rFonts w:ascii="Arial" w:hAnsi="Arial" w:cs="Arial"/>
                <w:color w:val="auto"/>
                <w:sz w:val="22"/>
                <w:szCs w:val="22"/>
                <w:lang w:val="es-ES"/>
              </w:rPr>
            </w:pPr>
            <w:r w:rsidRPr="00D04CC0">
              <w:rPr>
                <w:rFonts w:ascii="Arial" w:hAnsi="Arial" w:cs="Arial"/>
                <w:color w:val="auto"/>
                <w:sz w:val="22"/>
                <w:szCs w:val="22"/>
                <w:lang w:val="es-ES"/>
              </w:rPr>
              <w:t>Supuestos</w:t>
            </w:r>
          </w:p>
        </w:tc>
      </w:tr>
      <w:tr w:rsidR="00894738" w:rsidRPr="009551BA" w14:paraId="279ED280" w14:textId="77777777" w:rsidTr="009E6B32">
        <w:tc>
          <w:tcPr>
            <w:tcW w:w="2070" w:type="dxa"/>
          </w:tcPr>
          <w:p w14:paraId="7024144B" w14:textId="77777777" w:rsidR="00894738" w:rsidRPr="00D04CC0" w:rsidRDefault="00894738" w:rsidP="005236A5">
            <w:pPr>
              <w:pStyle w:val="Heading1"/>
              <w:tabs>
                <w:tab w:val="left" w:pos="0"/>
              </w:tabs>
              <w:spacing w:before="0"/>
              <w:ind w:left="72"/>
              <w:rPr>
                <w:rFonts w:ascii="Arial" w:hAnsi="Arial" w:cs="Arial"/>
                <w:i/>
                <w:iCs/>
                <w:color w:val="auto"/>
                <w:sz w:val="22"/>
                <w:szCs w:val="22"/>
                <w:lang w:val="es-ES"/>
              </w:rPr>
            </w:pPr>
            <w:r w:rsidRPr="00D04CC0">
              <w:rPr>
                <w:rFonts w:ascii="Arial" w:hAnsi="Arial" w:cs="Arial"/>
                <w:i/>
                <w:iCs/>
                <w:color w:val="auto"/>
                <w:sz w:val="22"/>
                <w:szCs w:val="22"/>
                <w:lang w:val="es-ES"/>
              </w:rPr>
              <w:t>Tarifas</w:t>
            </w:r>
          </w:p>
        </w:tc>
        <w:tc>
          <w:tcPr>
            <w:tcW w:w="6861" w:type="dxa"/>
          </w:tcPr>
          <w:p w14:paraId="332B851F" w14:textId="77777777" w:rsidR="00894738" w:rsidRPr="00D04CC0" w:rsidRDefault="005236A5" w:rsidP="005236A5">
            <w:pPr>
              <w:keepNext/>
              <w:keepLines/>
              <w:rPr>
                <w:rFonts w:ascii="Arial" w:hAnsi="Arial" w:cs="Arial"/>
                <w:lang w:val="es-ES"/>
              </w:rPr>
            </w:pPr>
            <w:r w:rsidRPr="00D04CC0">
              <w:rPr>
                <w:rFonts w:ascii="Arial" w:hAnsi="Arial" w:cs="Arial"/>
                <w:lang w:val="es-ES"/>
              </w:rPr>
              <w:t>S</w:t>
            </w:r>
            <w:r w:rsidR="00894738" w:rsidRPr="00D04CC0">
              <w:rPr>
                <w:rFonts w:ascii="Arial" w:hAnsi="Arial" w:cs="Arial"/>
                <w:lang w:val="es-ES"/>
              </w:rPr>
              <w:t xml:space="preserve">e mantiene el nivel de tarifa en términos reales, suponiendo </w:t>
            </w:r>
            <w:r w:rsidRPr="00D04CC0">
              <w:rPr>
                <w:rFonts w:ascii="Arial" w:hAnsi="Arial" w:cs="Arial"/>
                <w:lang w:val="es-ES"/>
              </w:rPr>
              <w:t xml:space="preserve">la continuación de las actualizaciones tarifarias </w:t>
            </w:r>
            <w:r w:rsidR="00894738" w:rsidRPr="00D04CC0">
              <w:rPr>
                <w:rFonts w:ascii="Arial" w:hAnsi="Arial" w:cs="Arial"/>
                <w:lang w:val="es-ES"/>
              </w:rPr>
              <w:t>para reflejar l</w:t>
            </w:r>
            <w:r w:rsidRPr="00D04CC0">
              <w:rPr>
                <w:rFonts w:ascii="Arial" w:hAnsi="Arial" w:cs="Arial"/>
                <w:lang w:val="es-ES"/>
              </w:rPr>
              <w:t>a inflación</w:t>
            </w:r>
            <w:r w:rsidR="00894738" w:rsidRPr="00D04CC0">
              <w:rPr>
                <w:rFonts w:ascii="Arial" w:hAnsi="Arial" w:cs="Arial"/>
                <w:lang w:val="es-ES"/>
              </w:rPr>
              <w:t>.</w:t>
            </w:r>
          </w:p>
        </w:tc>
      </w:tr>
      <w:tr w:rsidR="00894738" w:rsidRPr="009551BA" w14:paraId="55D3A298" w14:textId="77777777" w:rsidTr="009E6B32">
        <w:tc>
          <w:tcPr>
            <w:tcW w:w="2070" w:type="dxa"/>
          </w:tcPr>
          <w:p w14:paraId="12FE42FB" w14:textId="77777777" w:rsidR="00894738" w:rsidRPr="00D04CC0" w:rsidRDefault="00894738" w:rsidP="009E6B32">
            <w:pPr>
              <w:pStyle w:val="Heading1"/>
              <w:spacing w:before="0"/>
              <w:ind w:left="72"/>
              <w:rPr>
                <w:rFonts w:ascii="Arial" w:hAnsi="Arial" w:cs="Arial"/>
                <w:i/>
                <w:iCs/>
                <w:color w:val="auto"/>
                <w:sz w:val="22"/>
                <w:szCs w:val="22"/>
                <w:lang w:val="es-ES"/>
              </w:rPr>
            </w:pPr>
            <w:r w:rsidRPr="00D04CC0">
              <w:rPr>
                <w:rFonts w:ascii="Arial" w:hAnsi="Arial" w:cs="Arial"/>
                <w:i/>
                <w:iCs/>
                <w:color w:val="auto"/>
                <w:sz w:val="22"/>
                <w:szCs w:val="22"/>
                <w:lang w:val="es-ES"/>
              </w:rPr>
              <w:t>Consumos y Base de Clientes</w:t>
            </w:r>
          </w:p>
        </w:tc>
        <w:tc>
          <w:tcPr>
            <w:tcW w:w="6861" w:type="dxa"/>
          </w:tcPr>
          <w:p w14:paraId="3F5C5FCA" w14:textId="77777777" w:rsidR="00894738" w:rsidRPr="00D04CC0" w:rsidRDefault="00894738" w:rsidP="005236A5">
            <w:pPr>
              <w:pStyle w:val="BodyText"/>
              <w:jc w:val="left"/>
              <w:rPr>
                <w:rFonts w:ascii="Arial" w:hAnsi="Arial" w:cs="Arial"/>
                <w:sz w:val="22"/>
                <w:szCs w:val="22"/>
                <w:lang w:val="es-ES"/>
              </w:rPr>
            </w:pPr>
            <w:r w:rsidRPr="00D04CC0">
              <w:rPr>
                <w:rFonts w:ascii="Arial" w:hAnsi="Arial" w:cs="Arial"/>
                <w:sz w:val="22"/>
                <w:szCs w:val="22"/>
                <w:lang w:val="es-ES"/>
              </w:rPr>
              <w:t xml:space="preserve">El número de </w:t>
            </w:r>
            <w:r w:rsidR="005236A5" w:rsidRPr="00D04CC0">
              <w:rPr>
                <w:rFonts w:ascii="Arial" w:hAnsi="Arial" w:cs="Arial"/>
                <w:sz w:val="22"/>
                <w:szCs w:val="22"/>
                <w:lang w:val="es-ES"/>
              </w:rPr>
              <w:t>cuentas</w:t>
            </w:r>
            <w:r w:rsidRPr="00D04CC0">
              <w:rPr>
                <w:rFonts w:ascii="Arial" w:hAnsi="Arial" w:cs="Arial"/>
                <w:sz w:val="22"/>
                <w:szCs w:val="22"/>
                <w:lang w:val="es-ES"/>
              </w:rPr>
              <w:t xml:space="preserve"> que tiene el servicio de </w:t>
            </w:r>
            <w:r w:rsidR="005236A5" w:rsidRPr="00D04CC0">
              <w:rPr>
                <w:rFonts w:ascii="Arial" w:hAnsi="Arial" w:cs="Arial"/>
                <w:sz w:val="22"/>
                <w:szCs w:val="22"/>
                <w:lang w:val="es-ES"/>
              </w:rPr>
              <w:t>saneamiento</w:t>
            </w:r>
            <w:r w:rsidRPr="00D04CC0">
              <w:rPr>
                <w:rFonts w:ascii="Arial" w:hAnsi="Arial" w:cs="Arial"/>
                <w:sz w:val="22"/>
                <w:szCs w:val="22"/>
                <w:lang w:val="es-ES"/>
              </w:rPr>
              <w:t xml:space="preserve"> crece de </w:t>
            </w:r>
            <w:r w:rsidR="005236A5" w:rsidRPr="00D04CC0">
              <w:rPr>
                <w:rFonts w:ascii="Arial" w:hAnsi="Arial" w:cs="Arial"/>
                <w:sz w:val="22"/>
                <w:szCs w:val="22"/>
                <w:lang w:val="es-ES"/>
              </w:rPr>
              <w:t>411</w:t>
            </w:r>
            <w:r w:rsidRPr="00D04CC0">
              <w:rPr>
                <w:rFonts w:ascii="Arial" w:hAnsi="Arial" w:cs="Arial"/>
                <w:sz w:val="22"/>
                <w:szCs w:val="22"/>
                <w:lang w:val="es-ES"/>
              </w:rPr>
              <w:t xml:space="preserve"> mil en el 2015 a </w:t>
            </w:r>
            <w:r w:rsidR="005236A5" w:rsidRPr="00D04CC0">
              <w:rPr>
                <w:rFonts w:ascii="Arial" w:hAnsi="Arial" w:cs="Arial"/>
                <w:sz w:val="22"/>
                <w:szCs w:val="22"/>
                <w:lang w:val="es-ES"/>
              </w:rPr>
              <w:t>436</w:t>
            </w:r>
            <w:r w:rsidRPr="00D04CC0">
              <w:rPr>
                <w:rFonts w:ascii="Arial" w:hAnsi="Arial" w:cs="Arial"/>
                <w:sz w:val="22"/>
                <w:szCs w:val="22"/>
                <w:lang w:val="es-ES"/>
              </w:rPr>
              <w:t xml:space="preserve"> mil en el 2020 (la tasa de crecimiento anual promedio de un </w:t>
            </w:r>
            <w:r w:rsidR="005236A5" w:rsidRPr="00D04CC0">
              <w:rPr>
                <w:rFonts w:ascii="Arial" w:hAnsi="Arial" w:cs="Arial"/>
                <w:sz w:val="22"/>
                <w:szCs w:val="22"/>
                <w:lang w:val="es-ES_tradnl"/>
              </w:rPr>
              <w:t>0</w:t>
            </w:r>
            <w:r w:rsidRPr="00D04CC0">
              <w:rPr>
                <w:rFonts w:ascii="Arial" w:hAnsi="Arial" w:cs="Arial"/>
                <w:sz w:val="22"/>
                <w:szCs w:val="22"/>
                <w:lang w:val="es-ES"/>
              </w:rPr>
              <w:t>,</w:t>
            </w:r>
            <w:r w:rsidR="005236A5" w:rsidRPr="00D04CC0">
              <w:rPr>
                <w:rFonts w:ascii="Arial" w:hAnsi="Arial" w:cs="Arial"/>
                <w:sz w:val="22"/>
                <w:szCs w:val="22"/>
                <w:lang w:val="es-ES_tradnl"/>
              </w:rPr>
              <w:t>6</w:t>
            </w:r>
            <w:r w:rsidRPr="00D04CC0">
              <w:rPr>
                <w:rFonts w:ascii="Arial" w:hAnsi="Arial" w:cs="Arial"/>
                <w:sz w:val="22"/>
                <w:szCs w:val="22"/>
                <w:lang w:val="es-ES"/>
              </w:rPr>
              <w:t xml:space="preserve">%). </w:t>
            </w:r>
            <w:r w:rsidR="005236A5" w:rsidRPr="00D04CC0">
              <w:rPr>
                <w:rFonts w:ascii="Arial" w:hAnsi="Arial" w:cs="Arial"/>
                <w:sz w:val="22"/>
                <w:szCs w:val="22"/>
                <w:lang w:val="es-ES"/>
              </w:rPr>
              <w:t xml:space="preserve">El consumo total anual </w:t>
            </w:r>
            <w:r w:rsidRPr="00D04CC0">
              <w:rPr>
                <w:rFonts w:ascii="Arial" w:hAnsi="Arial" w:cs="Arial"/>
                <w:sz w:val="22"/>
                <w:szCs w:val="22"/>
                <w:lang w:val="es-ES"/>
              </w:rPr>
              <w:t xml:space="preserve">de </w:t>
            </w:r>
            <w:r w:rsidR="005236A5" w:rsidRPr="00D04CC0">
              <w:rPr>
                <w:rFonts w:ascii="Arial" w:hAnsi="Arial" w:cs="Arial"/>
                <w:sz w:val="22"/>
                <w:szCs w:val="22"/>
                <w:lang w:val="es-ES"/>
              </w:rPr>
              <w:t>saneamiento</w:t>
            </w:r>
            <w:r w:rsidRPr="00D04CC0">
              <w:rPr>
                <w:rFonts w:ascii="Arial" w:hAnsi="Arial" w:cs="Arial"/>
                <w:sz w:val="22"/>
                <w:szCs w:val="22"/>
                <w:lang w:val="es-ES"/>
              </w:rPr>
              <w:t xml:space="preserve"> se aumenta de </w:t>
            </w:r>
            <w:r w:rsidR="005236A5" w:rsidRPr="00D04CC0">
              <w:rPr>
                <w:rFonts w:ascii="Arial" w:hAnsi="Arial" w:cs="Arial"/>
                <w:sz w:val="22"/>
                <w:szCs w:val="22"/>
                <w:lang w:val="es-ES"/>
              </w:rPr>
              <w:t>65</w:t>
            </w:r>
            <w:r w:rsidRPr="00D04CC0">
              <w:rPr>
                <w:rFonts w:ascii="Arial" w:hAnsi="Arial" w:cs="Arial"/>
                <w:sz w:val="22"/>
                <w:szCs w:val="22"/>
                <w:lang w:val="es-ES"/>
              </w:rPr>
              <w:t>,1 millones de m</w:t>
            </w:r>
            <w:r w:rsidRPr="00D04CC0">
              <w:rPr>
                <w:rFonts w:ascii="Arial" w:hAnsi="Arial" w:cs="Arial"/>
                <w:sz w:val="22"/>
                <w:szCs w:val="22"/>
                <w:vertAlign w:val="superscript"/>
                <w:lang w:val="es-ES"/>
              </w:rPr>
              <w:t>3</w:t>
            </w:r>
            <w:r w:rsidRPr="00D04CC0">
              <w:rPr>
                <w:rFonts w:ascii="Arial" w:hAnsi="Arial" w:cs="Arial"/>
                <w:sz w:val="22"/>
                <w:szCs w:val="22"/>
                <w:lang w:val="es-ES"/>
              </w:rPr>
              <w:t xml:space="preserve"> en el 2015 a </w:t>
            </w:r>
            <w:r w:rsidR="005236A5" w:rsidRPr="00D04CC0">
              <w:rPr>
                <w:rFonts w:ascii="Arial" w:hAnsi="Arial" w:cs="Arial"/>
                <w:sz w:val="22"/>
                <w:szCs w:val="22"/>
                <w:lang w:val="es-ES"/>
              </w:rPr>
              <w:t>71</w:t>
            </w:r>
            <w:r w:rsidRPr="00D04CC0">
              <w:rPr>
                <w:rFonts w:ascii="Arial" w:hAnsi="Arial" w:cs="Arial"/>
                <w:sz w:val="22"/>
                <w:szCs w:val="22"/>
                <w:lang w:val="es-ES_tradnl"/>
              </w:rPr>
              <w:t>,</w:t>
            </w:r>
            <w:r w:rsidR="005236A5" w:rsidRPr="00D04CC0">
              <w:rPr>
                <w:rFonts w:ascii="Arial" w:hAnsi="Arial" w:cs="Arial"/>
                <w:sz w:val="22"/>
                <w:szCs w:val="22"/>
                <w:lang w:val="es-ES_tradnl"/>
              </w:rPr>
              <w:t>0</w:t>
            </w:r>
            <w:r w:rsidRPr="00D04CC0">
              <w:rPr>
                <w:rFonts w:ascii="Arial" w:hAnsi="Arial" w:cs="Arial"/>
                <w:sz w:val="22"/>
                <w:szCs w:val="22"/>
                <w:lang w:val="es-ES"/>
              </w:rPr>
              <w:t xml:space="preserve"> millones</w:t>
            </w:r>
            <w:r w:rsidR="005236A5" w:rsidRPr="00D04CC0">
              <w:rPr>
                <w:rFonts w:ascii="Arial" w:hAnsi="Arial" w:cs="Arial"/>
                <w:sz w:val="22"/>
                <w:szCs w:val="22"/>
                <w:lang w:val="es-ES"/>
              </w:rPr>
              <w:t xml:space="preserve"> de</w:t>
            </w:r>
            <w:r w:rsidRPr="00D04CC0">
              <w:rPr>
                <w:rFonts w:ascii="Arial" w:hAnsi="Arial" w:cs="Arial"/>
                <w:sz w:val="22"/>
                <w:szCs w:val="22"/>
                <w:lang w:val="es-ES"/>
              </w:rPr>
              <w:t xml:space="preserve"> m</w:t>
            </w:r>
            <w:r w:rsidRPr="00D04CC0">
              <w:rPr>
                <w:rFonts w:ascii="Arial" w:hAnsi="Arial" w:cs="Arial"/>
                <w:sz w:val="22"/>
                <w:szCs w:val="22"/>
                <w:vertAlign w:val="superscript"/>
                <w:lang w:val="es-ES"/>
              </w:rPr>
              <w:t xml:space="preserve">3 </w:t>
            </w:r>
            <w:r w:rsidRPr="00D04CC0">
              <w:rPr>
                <w:rFonts w:ascii="Arial" w:hAnsi="Arial" w:cs="Arial"/>
                <w:sz w:val="22"/>
                <w:szCs w:val="22"/>
                <w:lang w:val="es-ES"/>
              </w:rPr>
              <w:t>en el 2020.</w:t>
            </w:r>
          </w:p>
        </w:tc>
      </w:tr>
      <w:tr w:rsidR="00894738" w:rsidRPr="009551BA" w14:paraId="3524E314" w14:textId="77777777" w:rsidTr="009E6B32">
        <w:tc>
          <w:tcPr>
            <w:tcW w:w="2070" w:type="dxa"/>
            <w:tcBorders>
              <w:bottom w:val="single" w:sz="4" w:space="0" w:color="auto"/>
            </w:tcBorders>
          </w:tcPr>
          <w:p w14:paraId="331195BC" w14:textId="77777777" w:rsidR="00894738" w:rsidRPr="00D04CC0" w:rsidRDefault="00894738" w:rsidP="009E6B32">
            <w:pPr>
              <w:pStyle w:val="Heading1"/>
              <w:spacing w:before="0"/>
              <w:ind w:left="72"/>
              <w:rPr>
                <w:rFonts w:ascii="Arial" w:hAnsi="Arial" w:cs="Arial"/>
                <w:i/>
                <w:iCs/>
                <w:color w:val="auto"/>
                <w:sz w:val="22"/>
                <w:szCs w:val="22"/>
                <w:lang w:val="es-ES"/>
              </w:rPr>
            </w:pPr>
            <w:r w:rsidRPr="00D04CC0">
              <w:rPr>
                <w:rFonts w:ascii="Arial" w:hAnsi="Arial" w:cs="Arial"/>
                <w:i/>
                <w:iCs/>
                <w:color w:val="auto"/>
                <w:sz w:val="22"/>
                <w:szCs w:val="22"/>
                <w:lang w:val="es-ES"/>
              </w:rPr>
              <w:t>Ingresos Operativos</w:t>
            </w:r>
          </w:p>
          <w:p w14:paraId="44AA1215" w14:textId="77777777" w:rsidR="00894738" w:rsidRPr="00D04CC0" w:rsidRDefault="00894738" w:rsidP="009E6B32">
            <w:pPr>
              <w:tabs>
                <w:tab w:val="left" w:pos="0"/>
              </w:tabs>
              <w:ind w:left="72"/>
              <w:rPr>
                <w:rFonts w:ascii="Arial" w:hAnsi="Arial" w:cs="Arial"/>
                <w:i/>
                <w:iCs/>
                <w:lang w:val="es-ES"/>
              </w:rPr>
            </w:pPr>
          </w:p>
        </w:tc>
        <w:tc>
          <w:tcPr>
            <w:tcW w:w="6861" w:type="dxa"/>
            <w:tcBorders>
              <w:bottom w:val="single" w:sz="4" w:space="0" w:color="auto"/>
            </w:tcBorders>
          </w:tcPr>
          <w:p w14:paraId="4B847FBA" w14:textId="77777777" w:rsidR="00894738" w:rsidRPr="00D04CC0" w:rsidRDefault="00894738" w:rsidP="00E9547A">
            <w:pPr>
              <w:pStyle w:val="BodyText"/>
              <w:jc w:val="left"/>
              <w:rPr>
                <w:rFonts w:ascii="Arial" w:hAnsi="Arial" w:cs="Arial"/>
                <w:sz w:val="22"/>
                <w:szCs w:val="22"/>
                <w:lang w:val="es-ES"/>
              </w:rPr>
            </w:pPr>
            <w:r w:rsidRPr="00D04CC0">
              <w:rPr>
                <w:rFonts w:ascii="Arial" w:hAnsi="Arial" w:cs="Arial"/>
                <w:sz w:val="22"/>
                <w:szCs w:val="22"/>
                <w:lang w:val="es-ES"/>
              </w:rPr>
              <w:t xml:space="preserve">Las </w:t>
            </w:r>
            <w:r w:rsidR="00354A29" w:rsidRPr="00D04CC0">
              <w:rPr>
                <w:rFonts w:ascii="Arial" w:hAnsi="Arial" w:cs="Arial"/>
                <w:sz w:val="22"/>
                <w:szCs w:val="22"/>
                <w:lang w:val="es-ES"/>
              </w:rPr>
              <w:t xml:space="preserve">ingresos operativos </w:t>
            </w:r>
            <w:r w:rsidRPr="00D04CC0">
              <w:rPr>
                <w:rFonts w:ascii="Arial" w:hAnsi="Arial" w:cs="Arial"/>
                <w:sz w:val="22"/>
                <w:szCs w:val="22"/>
                <w:lang w:val="es-ES"/>
              </w:rPr>
              <w:t>crecen con una tasa</w:t>
            </w:r>
            <w:r w:rsidR="00354A29" w:rsidRPr="00D04CC0">
              <w:rPr>
                <w:rFonts w:ascii="Arial" w:hAnsi="Arial" w:cs="Arial"/>
                <w:sz w:val="22"/>
                <w:szCs w:val="22"/>
                <w:lang w:val="es-ES"/>
              </w:rPr>
              <w:t xml:space="preserve"> promedio anual</w:t>
            </w:r>
            <w:r w:rsidRPr="00D04CC0">
              <w:rPr>
                <w:rFonts w:ascii="Arial" w:hAnsi="Arial" w:cs="Arial"/>
                <w:sz w:val="22"/>
                <w:szCs w:val="22"/>
                <w:lang w:val="es-ES"/>
              </w:rPr>
              <w:t xml:space="preserve"> de </w:t>
            </w:r>
            <w:r w:rsidR="00354A29" w:rsidRPr="00D04CC0">
              <w:rPr>
                <w:rFonts w:ascii="Arial" w:hAnsi="Arial" w:cs="Arial"/>
                <w:sz w:val="22"/>
                <w:szCs w:val="22"/>
                <w:lang w:val="es-ES_tradnl"/>
              </w:rPr>
              <w:t>0,5</w:t>
            </w:r>
            <w:r w:rsidRPr="00D04CC0">
              <w:rPr>
                <w:rFonts w:ascii="Arial" w:hAnsi="Arial" w:cs="Arial"/>
                <w:sz w:val="22"/>
                <w:szCs w:val="22"/>
                <w:lang w:val="es-ES"/>
              </w:rPr>
              <w:t xml:space="preserve">% </w:t>
            </w:r>
            <w:r w:rsidR="00354A29" w:rsidRPr="00D04CC0">
              <w:rPr>
                <w:rFonts w:ascii="Arial" w:hAnsi="Arial" w:cs="Arial"/>
                <w:sz w:val="22"/>
                <w:szCs w:val="22"/>
                <w:lang w:val="es-ES"/>
              </w:rPr>
              <w:t>durante los diez años de proyección</w:t>
            </w:r>
            <w:r w:rsidRPr="00D04CC0">
              <w:rPr>
                <w:rFonts w:ascii="Arial" w:hAnsi="Arial" w:cs="Arial"/>
                <w:sz w:val="22"/>
                <w:szCs w:val="22"/>
                <w:lang w:val="es-ES"/>
              </w:rPr>
              <w:t xml:space="preserve">, </w:t>
            </w:r>
            <w:r w:rsidR="00354A29" w:rsidRPr="00D04CC0">
              <w:rPr>
                <w:rFonts w:ascii="Arial" w:hAnsi="Arial" w:cs="Arial"/>
                <w:sz w:val="22"/>
                <w:szCs w:val="22"/>
                <w:lang w:val="es-ES"/>
              </w:rPr>
              <w:t>beneficiándose tanto las obras del Programa como las actividades de fortalecer la gestión de la División Saneamiento (en particular, mejoramiento de los catastros).</w:t>
            </w:r>
            <w:r w:rsidRPr="00D04CC0">
              <w:rPr>
                <w:rFonts w:ascii="Arial" w:hAnsi="Arial" w:cs="Arial"/>
                <w:sz w:val="22"/>
                <w:szCs w:val="22"/>
                <w:lang w:val="es-ES"/>
              </w:rPr>
              <w:t xml:space="preserve"> Como resultado, el total de </w:t>
            </w:r>
            <w:r w:rsidR="00E9547A" w:rsidRPr="00D04CC0">
              <w:rPr>
                <w:rFonts w:ascii="Arial" w:hAnsi="Arial" w:cs="Arial"/>
                <w:sz w:val="22"/>
                <w:szCs w:val="22"/>
                <w:lang w:val="es-ES"/>
              </w:rPr>
              <w:t>los ingresos operativos</w:t>
            </w:r>
            <w:r w:rsidRPr="00D04CC0">
              <w:rPr>
                <w:rFonts w:ascii="Arial" w:hAnsi="Arial" w:cs="Arial"/>
                <w:sz w:val="22"/>
                <w:szCs w:val="22"/>
                <w:lang w:val="es-ES"/>
              </w:rPr>
              <w:t xml:space="preserve"> alcanza al US$7</w:t>
            </w:r>
            <w:r w:rsidR="00E9547A" w:rsidRPr="00D04CC0">
              <w:rPr>
                <w:rFonts w:ascii="Arial" w:hAnsi="Arial" w:cs="Arial"/>
                <w:sz w:val="22"/>
                <w:szCs w:val="22"/>
                <w:lang w:val="es-ES_tradnl"/>
              </w:rPr>
              <w:t xml:space="preserve">2,3 </w:t>
            </w:r>
            <w:r w:rsidRPr="00D04CC0">
              <w:rPr>
                <w:rFonts w:ascii="Arial" w:hAnsi="Arial" w:cs="Arial"/>
                <w:sz w:val="22"/>
                <w:szCs w:val="22"/>
                <w:lang w:val="es-ES"/>
              </w:rPr>
              <w:t>millones</w:t>
            </w:r>
            <w:r w:rsidRPr="00D04CC0">
              <w:rPr>
                <w:rFonts w:ascii="Arial" w:hAnsi="Arial" w:cs="Arial"/>
                <w:sz w:val="22"/>
                <w:szCs w:val="22"/>
                <w:lang w:val="es-ES_tradnl"/>
              </w:rPr>
              <w:t xml:space="preserve"> en el 2020</w:t>
            </w:r>
            <w:r w:rsidRPr="00D04CC0">
              <w:rPr>
                <w:rFonts w:ascii="Arial" w:hAnsi="Arial" w:cs="Arial"/>
                <w:sz w:val="22"/>
                <w:szCs w:val="22"/>
                <w:lang w:val="es-ES"/>
              </w:rPr>
              <w:t>.</w:t>
            </w:r>
          </w:p>
        </w:tc>
      </w:tr>
      <w:tr w:rsidR="00894738" w:rsidRPr="009551BA" w14:paraId="3FA55F43" w14:textId="77777777" w:rsidTr="009E6B32">
        <w:tblPrEx>
          <w:tblBorders>
            <w:left w:val="single" w:sz="4" w:space="0" w:color="auto"/>
            <w:right w:val="single" w:sz="4" w:space="0" w:color="auto"/>
            <w:insideV w:val="single" w:sz="4" w:space="0" w:color="auto"/>
          </w:tblBorders>
        </w:tblPrEx>
        <w:tc>
          <w:tcPr>
            <w:tcW w:w="2070" w:type="dxa"/>
            <w:tcBorders>
              <w:left w:val="nil"/>
              <w:right w:val="nil"/>
            </w:tcBorders>
          </w:tcPr>
          <w:p w14:paraId="63284E4E" w14:textId="77777777" w:rsidR="00894738" w:rsidRPr="00D04CC0" w:rsidRDefault="00894738" w:rsidP="009E6B32">
            <w:pPr>
              <w:pStyle w:val="Heading1"/>
              <w:spacing w:before="0"/>
              <w:ind w:left="72"/>
              <w:rPr>
                <w:rFonts w:ascii="Arial" w:hAnsi="Arial" w:cs="Arial"/>
                <w:i/>
                <w:iCs/>
                <w:color w:val="auto"/>
                <w:sz w:val="22"/>
                <w:szCs w:val="22"/>
                <w:lang w:val="es-ES"/>
              </w:rPr>
            </w:pPr>
            <w:r w:rsidRPr="00D04CC0">
              <w:rPr>
                <w:rFonts w:ascii="Arial" w:hAnsi="Arial" w:cs="Arial"/>
                <w:i/>
                <w:iCs/>
                <w:color w:val="auto"/>
                <w:sz w:val="22"/>
                <w:szCs w:val="22"/>
                <w:lang w:val="es-ES"/>
              </w:rPr>
              <w:t xml:space="preserve">Costos de </w:t>
            </w:r>
            <w:r w:rsidR="007C0006" w:rsidRPr="00D04CC0">
              <w:rPr>
                <w:rFonts w:ascii="Arial" w:hAnsi="Arial" w:cs="Arial"/>
                <w:i/>
                <w:iCs/>
                <w:color w:val="auto"/>
                <w:sz w:val="22"/>
                <w:szCs w:val="22"/>
                <w:lang w:val="es-ES"/>
              </w:rPr>
              <w:t>Operativos</w:t>
            </w:r>
          </w:p>
          <w:p w14:paraId="1C50F096" w14:textId="77777777" w:rsidR="00894738" w:rsidRPr="00D04CC0" w:rsidRDefault="00894738" w:rsidP="009E6B32">
            <w:pPr>
              <w:tabs>
                <w:tab w:val="left" w:pos="0"/>
              </w:tabs>
              <w:ind w:left="72"/>
              <w:rPr>
                <w:rFonts w:ascii="Arial" w:hAnsi="Arial" w:cs="Arial"/>
                <w:i/>
                <w:iCs/>
                <w:lang w:val="es-ES"/>
              </w:rPr>
            </w:pPr>
          </w:p>
        </w:tc>
        <w:tc>
          <w:tcPr>
            <w:tcW w:w="6861" w:type="dxa"/>
            <w:tcBorders>
              <w:left w:val="nil"/>
              <w:right w:val="nil"/>
            </w:tcBorders>
          </w:tcPr>
          <w:p w14:paraId="682A73B2" w14:textId="77777777" w:rsidR="00894738" w:rsidRPr="00D04CC0" w:rsidRDefault="00894738" w:rsidP="00D04CC0">
            <w:pPr>
              <w:rPr>
                <w:rFonts w:ascii="Arial" w:hAnsi="Arial" w:cs="Arial"/>
                <w:lang w:val="es-ES"/>
              </w:rPr>
            </w:pPr>
            <w:r w:rsidRPr="00D04CC0">
              <w:rPr>
                <w:rFonts w:ascii="Arial" w:hAnsi="Arial" w:cs="Arial"/>
                <w:lang w:val="es-ES"/>
              </w:rPr>
              <w:t xml:space="preserve">Los </w:t>
            </w:r>
            <w:r w:rsidR="007C0006" w:rsidRPr="00D04CC0">
              <w:rPr>
                <w:rFonts w:ascii="Arial" w:hAnsi="Arial" w:cs="Arial"/>
                <w:lang w:val="es-ES"/>
              </w:rPr>
              <w:t>c</w:t>
            </w:r>
            <w:r w:rsidR="00E9547A" w:rsidRPr="00D04CC0">
              <w:rPr>
                <w:rFonts w:ascii="Arial" w:hAnsi="Arial" w:cs="Arial"/>
                <w:lang w:val="es-ES"/>
              </w:rPr>
              <w:t>ost</w:t>
            </w:r>
            <w:r w:rsidRPr="00D04CC0">
              <w:rPr>
                <w:rFonts w:ascii="Arial" w:hAnsi="Arial" w:cs="Arial"/>
                <w:lang w:val="es-ES"/>
              </w:rPr>
              <w:t xml:space="preserve">os </w:t>
            </w:r>
            <w:r w:rsidR="007C0006" w:rsidRPr="00D04CC0">
              <w:rPr>
                <w:rFonts w:ascii="Arial" w:hAnsi="Arial" w:cs="Arial"/>
                <w:lang w:val="es-ES"/>
              </w:rPr>
              <w:t>operativos</w:t>
            </w:r>
            <w:r w:rsidRPr="00D04CC0">
              <w:rPr>
                <w:rFonts w:ascii="Arial" w:hAnsi="Arial" w:cs="Arial"/>
                <w:lang w:val="es-ES"/>
              </w:rPr>
              <w:t xml:space="preserve"> crecen a una tasa promedio anual del </w:t>
            </w:r>
            <w:r w:rsidR="00E9547A" w:rsidRPr="00D04CC0">
              <w:rPr>
                <w:rFonts w:ascii="Arial" w:hAnsi="Arial" w:cs="Arial"/>
                <w:lang w:val="es-ES_tradnl"/>
              </w:rPr>
              <w:t>0</w:t>
            </w:r>
            <w:r w:rsidRPr="00D04CC0">
              <w:rPr>
                <w:rFonts w:ascii="Arial" w:hAnsi="Arial" w:cs="Arial"/>
                <w:lang w:val="es-ES"/>
              </w:rPr>
              <w:t>,</w:t>
            </w:r>
            <w:r w:rsidR="00E9547A" w:rsidRPr="00D04CC0">
              <w:rPr>
                <w:rFonts w:ascii="Arial" w:hAnsi="Arial" w:cs="Arial"/>
                <w:lang w:val="es-ES_tradnl"/>
              </w:rPr>
              <w:t>1</w:t>
            </w:r>
            <w:r w:rsidRPr="00D04CC0">
              <w:rPr>
                <w:rFonts w:ascii="Arial" w:hAnsi="Arial" w:cs="Arial"/>
                <w:lang w:val="es-ES"/>
              </w:rPr>
              <w:t xml:space="preserve">% durante </w:t>
            </w:r>
            <w:r w:rsidR="00E9547A" w:rsidRPr="00D04CC0">
              <w:rPr>
                <w:rFonts w:ascii="Arial" w:hAnsi="Arial" w:cs="Arial"/>
                <w:lang w:val="es-ES"/>
              </w:rPr>
              <w:t xml:space="preserve">el periodo de </w:t>
            </w:r>
            <w:r w:rsidR="007C0006" w:rsidRPr="00D04CC0">
              <w:rPr>
                <w:rFonts w:ascii="Arial" w:hAnsi="Arial" w:cs="Arial"/>
                <w:lang w:val="es-ES"/>
              </w:rPr>
              <w:t>proyección</w:t>
            </w:r>
            <w:r w:rsidR="007C0006" w:rsidRPr="00D04CC0">
              <w:rPr>
                <w:lang w:val="es-ES_tradnl"/>
              </w:rPr>
              <w:t xml:space="preserve">. </w:t>
            </w:r>
            <w:r w:rsidR="007C0006" w:rsidRPr="00D04CC0">
              <w:rPr>
                <w:rFonts w:ascii="Arial" w:hAnsi="Arial" w:cs="Arial"/>
                <w:lang w:val="es-ES"/>
              </w:rPr>
              <w:t>Se mantendrá el nivel actual de empleados por mil cuentas (0,8 empleados/mil cuentas)</w:t>
            </w:r>
            <w:r w:rsidRPr="00D04CC0">
              <w:rPr>
                <w:rFonts w:ascii="Arial" w:hAnsi="Arial" w:cs="Arial"/>
                <w:lang w:val="es-ES_tradnl"/>
              </w:rPr>
              <w:t>.</w:t>
            </w:r>
            <w:r w:rsidRPr="00D04CC0">
              <w:rPr>
                <w:rFonts w:ascii="Arial" w:hAnsi="Arial" w:cs="Arial"/>
                <w:lang w:val="es-ES"/>
              </w:rPr>
              <w:t xml:space="preserve"> </w:t>
            </w:r>
            <w:r w:rsidR="007C0006" w:rsidRPr="00D04CC0">
              <w:rPr>
                <w:rFonts w:ascii="Arial" w:hAnsi="Arial" w:cs="Arial"/>
                <w:lang w:val="es-ES"/>
              </w:rPr>
              <w:t>Se estima</w:t>
            </w:r>
            <w:r w:rsidR="00D04CC0" w:rsidRPr="00D04CC0">
              <w:rPr>
                <w:rFonts w:ascii="Arial" w:hAnsi="Arial" w:cs="Arial"/>
                <w:lang w:val="es-ES"/>
              </w:rPr>
              <w:t xml:space="preserve"> que, en el promedio de los diez años de proyección,</w:t>
            </w:r>
            <w:r w:rsidR="007C0006" w:rsidRPr="00D04CC0">
              <w:rPr>
                <w:rFonts w:ascii="Arial" w:hAnsi="Arial" w:cs="Arial"/>
                <w:lang w:val="es-ES"/>
              </w:rPr>
              <w:t xml:space="preserve"> el costo de </w:t>
            </w:r>
            <w:r w:rsidR="00D04CC0" w:rsidRPr="00D04CC0">
              <w:rPr>
                <w:rFonts w:ascii="Arial" w:hAnsi="Arial" w:cs="Arial"/>
                <w:lang w:val="es-ES"/>
              </w:rPr>
              <w:t>deudores incobrables será</w:t>
            </w:r>
            <w:r w:rsidR="007C0006" w:rsidRPr="00D04CC0">
              <w:rPr>
                <w:rFonts w:ascii="Arial" w:hAnsi="Arial" w:cs="Arial"/>
                <w:lang w:val="es-ES"/>
              </w:rPr>
              <w:t xml:space="preserve"> </w:t>
            </w:r>
            <w:r w:rsidR="00D04CC0" w:rsidRPr="00D04CC0">
              <w:rPr>
                <w:rFonts w:ascii="Arial" w:hAnsi="Arial" w:cs="Arial"/>
                <w:lang w:val="es-ES"/>
              </w:rPr>
              <w:t xml:space="preserve">entorno a un 8,8% de los ingresos operativos. </w:t>
            </w:r>
            <w:r w:rsidRPr="00D04CC0">
              <w:rPr>
                <w:rFonts w:ascii="Arial" w:hAnsi="Arial" w:cs="Arial"/>
                <w:lang w:val="es-ES"/>
              </w:rPr>
              <w:t>La distribución de los gastos operativos en el 202</w:t>
            </w:r>
            <w:r w:rsidR="00D04CC0" w:rsidRPr="00D04CC0">
              <w:rPr>
                <w:rFonts w:ascii="Arial" w:hAnsi="Arial" w:cs="Arial"/>
                <w:lang w:val="es-ES"/>
              </w:rPr>
              <w:t>5</w:t>
            </w:r>
            <w:r w:rsidRPr="00D04CC0">
              <w:rPr>
                <w:rFonts w:ascii="Arial" w:hAnsi="Arial" w:cs="Arial"/>
                <w:lang w:val="es-ES"/>
              </w:rPr>
              <w:t xml:space="preserve"> será: </w:t>
            </w:r>
            <w:r w:rsidR="00D04CC0" w:rsidRPr="00D04CC0">
              <w:rPr>
                <w:rFonts w:ascii="Arial" w:hAnsi="Arial" w:cs="Arial"/>
                <w:lang w:val="es-ES"/>
              </w:rPr>
              <w:t>gastos de personal 21%, servicios contratados 31%, costos indirectos 22%, deudores incobrables 16%, y otros gastos operativos 11%.</w:t>
            </w:r>
          </w:p>
        </w:tc>
      </w:tr>
      <w:tr w:rsidR="00894738" w:rsidRPr="009551BA" w14:paraId="33EDC72D" w14:textId="77777777" w:rsidTr="009E6B32">
        <w:tblPrEx>
          <w:tblBorders>
            <w:left w:val="single" w:sz="4" w:space="0" w:color="auto"/>
            <w:right w:val="single" w:sz="4" w:space="0" w:color="auto"/>
            <w:insideV w:val="single" w:sz="4" w:space="0" w:color="auto"/>
          </w:tblBorders>
        </w:tblPrEx>
        <w:trPr>
          <w:trHeight w:val="1043"/>
        </w:trPr>
        <w:tc>
          <w:tcPr>
            <w:tcW w:w="2070" w:type="dxa"/>
            <w:tcBorders>
              <w:left w:val="nil"/>
              <w:right w:val="nil"/>
            </w:tcBorders>
          </w:tcPr>
          <w:p w14:paraId="464460E3" w14:textId="77777777" w:rsidR="00894738" w:rsidRPr="00414F3A" w:rsidRDefault="00894738" w:rsidP="009E6B32">
            <w:pPr>
              <w:pStyle w:val="Heading1"/>
              <w:spacing w:before="0"/>
              <w:ind w:left="72"/>
              <w:rPr>
                <w:rFonts w:ascii="Arial" w:hAnsi="Arial" w:cs="Arial"/>
                <w:i/>
                <w:iCs/>
                <w:color w:val="auto"/>
                <w:sz w:val="22"/>
                <w:szCs w:val="22"/>
                <w:lang w:val="es-ES"/>
              </w:rPr>
            </w:pPr>
            <w:r w:rsidRPr="00414F3A">
              <w:rPr>
                <w:rFonts w:ascii="Arial" w:hAnsi="Arial" w:cs="Arial"/>
                <w:color w:val="auto"/>
                <w:sz w:val="22"/>
                <w:szCs w:val="22"/>
                <w:lang w:val="es-ES"/>
              </w:rPr>
              <w:t xml:space="preserve">EBITDA Margen </w:t>
            </w:r>
            <w:r w:rsidRPr="00414F3A">
              <w:rPr>
                <w:rFonts w:ascii="Arial" w:hAnsi="Arial" w:cs="Arial"/>
                <w:b w:val="0"/>
                <w:color w:val="auto"/>
                <w:sz w:val="22"/>
                <w:szCs w:val="22"/>
                <w:lang w:val="es-ES"/>
              </w:rPr>
              <w:t>(Ingresos antes de intereses, impuestos, depreciación y amortización)</w:t>
            </w:r>
          </w:p>
        </w:tc>
        <w:tc>
          <w:tcPr>
            <w:tcW w:w="6861" w:type="dxa"/>
            <w:tcBorders>
              <w:left w:val="nil"/>
              <w:right w:val="nil"/>
            </w:tcBorders>
          </w:tcPr>
          <w:p w14:paraId="4845AC3F" w14:textId="77777777" w:rsidR="00894738" w:rsidRPr="00414F3A" w:rsidRDefault="00894738" w:rsidP="00414F3A">
            <w:pPr>
              <w:rPr>
                <w:rFonts w:ascii="Arial" w:hAnsi="Arial" w:cs="Arial"/>
                <w:lang w:val="es-ES"/>
              </w:rPr>
            </w:pPr>
            <w:r w:rsidRPr="00414F3A">
              <w:rPr>
                <w:rFonts w:ascii="Arial" w:hAnsi="Arial" w:cs="Arial"/>
                <w:lang w:val="es-ES"/>
              </w:rPr>
              <w:t xml:space="preserve">El </w:t>
            </w:r>
            <w:r w:rsidR="00414F3A" w:rsidRPr="00414F3A">
              <w:rPr>
                <w:rFonts w:ascii="Arial" w:hAnsi="Arial" w:cs="Arial"/>
                <w:lang w:val="es-ES"/>
              </w:rPr>
              <w:t>m</w:t>
            </w:r>
            <w:r w:rsidRPr="00414F3A">
              <w:rPr>
                <w:rFonts w:ascii="Arial" w:hAnsi="Arial" w:cs="Arial"/>
                <w:lang w:val="es-ES"/>
              </w:rPr>
              <w:t xml:space="preserve">argen EBITDA </w:t>
            </w:r>
            <w:r w:rsidR="00414F3A" w:rsidRPr="00414F3A">
              <w:rPr>
                <w:rFonts w:ascii="Arial" w:hAnsi="Arial" w:cs="Arial"/>
                <w:lang w:val="es-ES"/>
              </w:rPr>
              <w:t>(</w:t>
            </w:r>
            <w:r w:rsidRPr="00414F3A">
              <w:rPr>
                <w:rFonts w:ascii="Arial" w:hAnsi="Arial" w:cs="Arial"/>
                <w:i/>
                <w:iCs/>
                <w:lang w:val="es-ES"/>
              </w:rPr>
              <w:t>Ingresos operativo antes de intereses, impuestos, depreciación y amortización</w:t>
            </w:r>
            <w:r w:rsidR="00414F3A" w:rsidRPr="00414F3A">
              <w:rPr>
                <w:rFonts w:ascii="Arial" w:hAnsi="Arial" w:cs="Arial"/>
                <w:i/>
                <w:iCs/>
                <w:lang w:val="es-ES"/>
              </w:rPr>
              <w:t>)</w:t>
            </w:r>
            <w:r w:rsidRPr="00414F3A">
              <w:rPr>
                <w:rFonts w:ascii="Arial" w:hAnsi="Arial" w:cs="Arial"/>
                <w:i/>
                <w:iCs/>
                <w:lang w:val="es-ES"/>
              </w:rPr>
              <w:t xml:space="preserve"> </w:t>
            </w:r>
            <w:r w:rsidRPr="00414F3A">
              <w:rPr>
                <w:rFonts w:ascii="Arial" w:hAnsi="Arial" w:cs="Arial"/>
                <w:iCs/>
                <w:lang w:val="es-ES"/>
              </w:rPr>
              <w:t xml:space="preserve">durante los primeros cinco años se  proyecta en un </w:t>
            </w:r>
            <w:r w:rsidR="00414F3A" w:rsidRPr="00414F3A">
              <w:rPr>
                <w:rFonts w:ascii="Arial" w:hAnsi="Arial" w:cs="Arial"/>
                <w:iCs/>
                <w:lang w:val="es-ES"/>
              </w:rPr>
              <w:t>51</w:t>
            </w:r>
            <w:r w:rsidRPr="00414F3A">
              <w:rPr>
                <w:rFonts w:ascii="Arial" w:hAnsi="Arial" w:cs="Arial"/>
                <w:iCs/>
                <w:lang w:val="es-ES"/>
              </w:rPr>
              <w:t>,</w:t>
            </w:r>
            <w:r w:rsidR="00414F3A" w:rsidRPr="00414F3A">
              <w:rPr>
                <w:rFonts w:ascii="Arial" w:hAnsi="Arial" w:cs="Arial"/>
                <w:iCs/>
                <w:lang w:val="es-ES_tradnl"/>
              </w:rPr>
              <w:t>1</w:t>
            </w:r>
            <w:r w:rsidRPr="00414F3A">
              <w:rPr>
                <w:rFonts w:ascii="Arial" w:hAnsi="Arial" w:cs="Arial"/>
                <w:iCs/>
                <w:lang w:val="es-ES"/>
              </w:rPr>
              <w:t>%</w:t>
            </w:r>
            <w:r w:rsidRPr="00414F3A">
              <w:rPr>
                <w:rFonts w:ascii="Arial" w:hAnsi="Arial" w:cs="Arial"/>
                <w:iCs/>
                <w:lang w:val="es-ES_tradnl"/>
              </w:rPr>
              <w:t xml:space="preserve"> (2016-2020)</w:t>
            </w:r>
            <w:r w:rsidRPr="00414F3A">
              <w:rPr>
                <w:rFonts w:ascii="Arial" w:hAnsi="Arial" w:cs="Arial"/>
                <w:iCs/>
                <w:lang w:val="es-ES"/>
              </w:rPr>
              <w:t xml:space="preserve"> y será de </w:t>
            </w:r>
            <w:r w:rsidR="00414F3A" w:rsidRPr="00414F3A">
              <w:rPr>
                <w:rFonts w:ascii="Arial" w:hAnsi="Arial" w:cs="Arial"/>
                <w:iCs/>
                <w:lang w:val="es-ES_tradnl"/>
              </w:rPr>
              <w:t>52</w:t>
            </w:r>
            <w:r w:rsidRPr="00414F3A">
              <w:rPr>
                <w:rFonts w:ascii="Arial" w:hAnsi="Arial" w:cs="Arial"/>
                <w:iCs/>
                <w:lang w:val="es-ES_tradnl"/>
              </w:rPr>
              <w:t>,</w:t>
            </w:r>
            <w:r w:rsidR="00414F3A" w:rsidRPr="00414F3A">
              <w:rPr>
                <w:rFonts w:ascii="Arial" w:hAnsi="Arial" w:cs="Arial"/>
                <w:iCs/>
                <w:lang w:val="es-ES_tradnl"/>
              </w:rPr>
              <w:t>2</w:t>
            </w:r>
            <w:r w:rsidRPr="00414F3A">
              <w:rPr>
                <w:rFonts w:ascii="Arial" w:hAnsi="Arial" w:cs="Arial"/>
                <w:iCs/>
                <w:lang w:val="es-ES"/>
              </w:rPr>
              <w:t>%</w:t>
            </w:r>
            <w:r w:rsidRPr="00414F3A">
              <w:rPr>
                <w:rFonts w:ascii="Arial" w:hAnsi="Arial" w:cs="Arial"/>
                <w:lang w:val="es-ES"/>
              </w:rPr>
              <w:t xml:space="preserve"> en promedio durante el </w:t>
            </w:r>
            <w:r w:rsidRPr="00414F3A">
              <w:rPr>
                <w:rFonts w:ascii="Arial" w:hAnsi="Arial" w:cs="Arial"/>
                <w:lang w:val="es-ES_tradnl"/>
              </w:rPr>
              <w:t xml:space="preserve">resto del </w:t>
            </w:r>
            <w:r w:rsidRPr="00414F3A">
              <w:rPr>
                <w:rFonts w:ascii="Arial" w:hAnsi="Arial" w:cs="Arial"/>
                <w:lang w:val="es-ES"/>
              </w:rPr>
              <w:t>periodo de la proyección</w:t>
            </w:r>
            <w:r w:rsidRPr="00414F3A">
              <w:rPr>
                <w:rFonts w:ascii="Arial" w:hAnsi="Arial" w:cs="Arial"/>
                <w:lang w:val="es-ES_tradnl"/>
              </w:rPr>
              <w:t xml:space="preserve"> (2021-2025)</w:t>
            </w:r>
            <w:r w:rsidRPr="00414F3A">
              <w:rPr>
                <w:rFonts w:ascii="Arial" w:hAnsi="Arial" w:cs="Arial"/>
                <w:lang w:val="es-ES"/>
              </w:rPr>
              <w:t>.</w:t>
            </w:r>
            <w:r w:rsidRPr="00414F3A">
              <w:rPr>
                <w:rFonts w:ascii="Arial" w:hAnsi="Arial" w:cs="Arial"/>
                <w:iCs/>
                <w:lang w:val="es-ES"/>
              </w:rPr>
              <w:t xml:space="preserve"> </w:t>
            </w:r>
          </w:p>
        </w:tc>
      </w:tr>
      <w:tr w:rsidR="00894738" w:rsidRPr="009551BA" w14:paraId="7C6D6EC3" w14:textId="77777777" w:rsidTr="009E6B32">
        <w:tblPrEx>
          <w:tblBorders>
            <w:left w:val="single" w:sz="4" w:space="0" w:color="auto"/>
            <w:right w:val="single" w:sz="4" w:space="0" w:color="auto"/>
            <w:insideV w:val="single" w:sz="4" w:space="0" w:color="auto"/>
          </w:tblBorders>
        </w:tblPrEx>
        <w:trPr>
          <w:trHeight w:val="656"/>
        </w:trPr>
        <w:tc>
          <w:tcPr>
            <w:tcW w:w="2070" w:type="dxa"/>
            <w:tcBorders>
              <w:left w:val="nil"/>
              <w:right w:val="nil"/>
            </w:tcBorders>
          </w:tcPr>
          <w:p w14:paraId="43FEDE77" w14:textId="77777777" w:rsidR="00894738" w:rsidRPr="009D11A1" w:rsidRDefault="00894738" w:rsidP="009E6B32">
            <w:pPr>
              <w:pStyle w:val="Heading1"/>
              <w:spacing w:before="0"/>
              <w:ind w:left="72"/>
              <w:rPr>
                <w:rFonts w:ascii="Arial" w:hAnsi="Arial" w:cs="Arial"/>
                <w:i/>
                <w:iCs/>
                <w:color w:val="auto"/>
                <w:sz w:val="22"/>
                <w:szCs w:val="22"/>
                <w:lang w:val="es-ES"/>
              </w:rPr>
            </w:pPr>
            <w:r w:rsidRPr="009D11A1">
              <w:rPr>
                <w:rFonts w:ascii="Arial" w:hAnsi="Arial" w:cs="Arial"/>
                <w:i/>
                <w:iCs/>
                <w:color w:val="auto"/>
                <w:sz w:val="22"/>
                <w:szCs w:val="22"/>
                <w:lang w:val="es-ES"/>
              </w:rPr>
              <w:t>Inversión de Capital</w:t>
            </w:r>
          </w:p>
          <w:p w14:paraId="23A96242" w14:textId="77777777" w:rsidR="00894738" w:rsidRPr="009D11A1" w:rsidRDefault="00894738" w:rsidP="009E6B32">
            <w:pPr>
              <w:tabs>
                <w:tab w:val="left" w:pos="0"/>
              </w:tabs>
              <w:ind w:left="72"/>
              <w:rPr>
                <w:rFonts w:ascii="Arial" w:hAnsi="Arial" w:cs="Arial"/>
                <w:i/>
                <w:iCs/>
                <w:lang w:val="es-ES"/>
              </w:rPr>
            </w:pPr>
            <w:r w:rsidRPr="009D11A1">
              <w:rPr>
                <w:rFonts w:ascii="Arial" w:hAnsi="Arial" w:cs="Arial"/>
                <w:i/>
                <w:iCs/>
                <w:lang w:val="es-ES"/>
              </w:rPr>
              <w:t>(CAPEX)</w:t>
            </w:r>
          </w:p>
        </w:tc>
        <w:tc>
          <w:tcPr>
            <w:tcW w:w="6861" w:type="dxa"/>
            <w:tcBorders>
              <w:left w:val="nil"/>
              <w:right w:val="nil"/>
            </w:tcBorders>
          </w:tcPr>
          <w:p w14:paraId="342B4E73" w14:textId="77777777" w:rsidR="00894738" w:rsidRPr="009D11A1" w:rsidRDefault="00894738" w:rsidP="00D97C43">
            <w:pPr>
              <w:rPr>
                <w:rFonts w:ascii="Arial" w:hAnsi="Arial" w:cs="Arial"/>
                <w:lang w:val="es-ES"/>
              </w:rPr>
            </w:pPr>
            <w:r w:rsidRPr="009D11A1">
              <w:rPr>
                <w:rFonts w:ascii="Arial" w:hAnsi="Arial" w:cs="Arial"/>
                <w:lang w:val="es-ES"/>
              </w:rPr>
              <w:t>La</w:t>
            </w:r>
            <w:r w:rsidR="00414F3A" w:rsidRPr="009D11A1">
              <w:rPr>
                <w:rFonts w:ascii="Arial" w:hAnsi="Arial" w:cs="Arial"/>
                <w:lang w:val="es-ES"/>
              </w:rPr>
              <w:t>s</w:t>
            </w:r>
            <w:r w:rsidRPr="009D11A1">
              <w:rPr>
                <w:rFonts w:ascii="Arial" w:hAnsi="Arial" w:cs="Arial"/>
                <w:lang w:val="es-ES"/>
              </w:rPr>
              <w:t xml:space="preserve"> inversiones de Capital de</w:t>
            </w:r>
            <w:r w:rsidR="00414F3A" w:rsidRPr="009D11A1">
              <w:rPr>
                <w:rFonts w:ascii="Arial" w:hAnsi="Arial" w:cs="Arial"/>
                <w:lang w:val="es-ES"/>
              </w:rPr>
              <w:t>l</w:t>
            </w:r>
            <w:r w:rsidRPr="009D11A1">
              <w:rPr>
                <w:rFonts w:ascii="Arial" w:hAnsi="Arial" w:cs="Arial"/>
                <w:lang w:val="es-ES"/>
              </w:rPr>
              <w:t xml:space="preserve"> </w:t>
            </w:r>
            <w:r w:rsidR="00414F3A" w:rsidRPr="009D11A1">
              <w:rPr>
                <w:rFonts w:ascii="Arial" w:hAnsi="Arial" w:cs="Arial"/>
                <w:lang w:val="es-ES"/>
              </w:rPr>
              <w:t>SS</w:t>
            </w:r>
            <w:r w:rsidRPr="009D11A1">
              <w:rPr>
                <w:rFonts w:ascii="Arial" w:hAnsi="Arial" w:cs="Arial"/>
                <w:lang w:val="es-ES"/>
              </w:rPr>
              <w:t xml:space="preserve"> para los próximos cinco años asciende</w:t>
            </w:r>
            <w:r w:rsidR="00414F3A" w:rsidRPr="009D11A1">
              <w:rPr>
                <w:rFonts w:ascii="Arial" w:hAnsi="Arial" w:cs="Arial"/>
                <w:lang w:val="es-ES"/>
              </w:rPr>
              <w:t>n</w:t>
            </w:r>
            <w:r w:rsidRPr="009D11A1">
              <w:rPr>
                <w:rFonts w:ascii="Arial" w:hAnsi="Arial" w:cs="Arial"/>
                <w:lang w:val="es-ES"/>
              </w:rPr>
              <w:t xml:space="preserve"> a </w:t>
            </w:r>
            <w:r w:rsidR="00414F3A" w:rsidRPr="009D11A1">
              <w:rPr>
                <w:rFonts w:ascii="Arial" w:hAnsi="Arial" w:cs="Arial"/>
                <w:lang w:val="es-ES"/>
              </w:rPr>
              <w:t>US</w:t>
            </w:r>
            <w:r w:rsidRPr="009D11A1">
              <w:rPr>
                <w:rFonts w:ascii="Arial" w:hAnsi="Arial" w:cs="Arial"/>
                <w:lang w:val="es-ES"/>
              </w:rPr>
              <w:t>$</w:t>
            </w:r>
            <w:r w:rsidR="00414F3A" w:rsidRPr="009D11A1">
              <w:rPr>
                <w:rFonts w:ascii="Arial" w:hAnsi="Arial" w:cs="Arial"/>
                <w:lang w:val="es-ES"/>
              </w:rPr>
              <w:t>123</w:t>
            </w:r>
            <w:r w:rsidRPr="009D11A1">
              <w:rPr>
                <w:rFonts w:ascii="Arial" w:hAnsi="Arial" w:cs="Arial"/>
                <w:lang w:val="es-ES"/>
              </w:rPr>
              <w:t xml:space="preserve"> millones</w:t>
            </w:r>
            <w:r w:rsidR="00414F3A" w:rsidRPr="009D11A1">
              <w:rPr>
                <w:rFonts w:ascii="Arial" w:hAnsi="Arial" w:cs="Arial"/>
                <w:lang w:val="es-ES"/>
              </w:rPr>
              <w:t>. Este monto se compone de las inversiones de PSU IV (</w:t>
            </w:r>
            <w:r w:rsidR="00D97C43" w:rsidRPr="009D11A1">
              <w:rPr>
                <w:rFonts w:ascii="Arial" w:hAnsi="Arial" w:cs="Arial"/>
                <w:lang w:val="es-ES"/>
              </w:rPr>
              <w:t>45%</w:t>
            </w:r>
            <w:r w:rsidR="00414F3A" w:rsidRPr="009D11A1">
              <w:rPr>
                <w:rFonts w:ascii="Arial" w:hAnsi="Arial" w:cs="Arial"/>
                <w:lang w:val="es-ES"/>
              </w:rPr>
              <w:t>), PSU V</w:t>
            </w:r>
            <w:r w:rsidR="00D97C43" w:rsidRPr="009D11A1">
              <w:rPr>
                <w:rFonts w:ascii="Arial" w:hAnsi="Arial" w:cs="Arial"/>
                <w:lang w:val="es-ES"/>
              </w:rPr>
              <w:t xml:space="preserve"> (41%)</w:t>
            </w:r>
            <w:r w:rsidR="00414F3A" w:rsidRPr="009D11A1">
              <w:rPr>
                <w:rFonts w:ascii="Arial" w:hAnsi="Arial" w:cs="Arial"/>
                <w:lang w:val="es-ES"/>
              </w:rPr>
              <w:t>, y demás inversiones (</w:t>
            </w:r>
            <w:r w:rsidR="00D97C43" w:rsidRPr="009D11A1">
              <w:rPr>
                <w:rFonts w:ascii="Arial" w:hAnsi="Arial" w:cs="Arial"/>
                <w:lang w:val="es-ES"/>
              </w:rPr>
              <w:t>15%</w:t>
            </w:r>
            <w:r w:rsidR="00414F3A" w:rsidRPr="009D11A1">
              <w:rPr>
                <w:rFonts w:ascii="Arial" w:hAnsi="Arial" w:cs="Arial"/>
                <w:lang w:val="es-ES"/>
              </w:rPr>
              <w:t>)</w:t>
            </w:r>
            <w:r w:rsidRPr="009D11A1">
              <w:rPr>
                <w:rFonts w:ascii="Arial" w:hAnsi="Arial" w:cs="Arial"/>
                <w:lang w:val="es-ES"/>
              </w:rPr>
              <w:t>.</w:t>
            </w:r>
            <w:r w:rsidR="00D97C43" w:rsidRPr="009D11A1">
              <w:rPr>
                <w:rFonts w:ascii="Arial" w:hAnsi="Arial" w:cs="Arial"/>
                <w:lang w:val="es-ES"/>
              </w:rPr>
              <w:t xml:space="preserve"> Para el periodo 2021-2025, sólo se han incluido inversiones con fondos propios.</w:t>
            </w:r>
          </w:p>
        </w:tc>
      </w:tr>
      <w:tr w:rsidR="00894738" w:rsidRPr="009551BA" w14:paraId="65191230" w14:textId="77777777" w:rsidTr="009E6B32">
        <w:tblPrEx>
          <w:tblBorders>
            <w:left w:val="single" w:sz="4" w:space="0" w:color="auto"/>
            <w:right w:val="single" w:sz="4" w:space="0" w:color="auto"/>
            <w:insideV w:val="single" w:sz="4" w:space="0" w:color="auto"/>
          </w:tblBorders>
        </w:tblPrEx>
        <w:trPr>
          <w:trHeight w:val="710"/>
        </w:trPr>
        <w:tc>
          <w:tcPr>
            <w:tcW w:w="2070" w:type="dxa"/>
            <w:tcBorders>
              <w:left w:val="nil"/>
              <w:bottom w:val="single" w:sz="4" w:space="0" w:color="auto"/>
              <w:right w:val="nil"/>
            </w:tcBorders>
          </w:tcPr>
          <w:p w14:paraId="0D3F18A4" w14:textId="77777777" w:rsidR="00894738" w:rsidRPr="009D11A1" w:rsidRDefault="00894738" w:rsidP="009E6B32">
            <w:pPr>
              <w:pStyle w:val="Heading1"/>
              <w:spacing w:before="0"/>
              <w:ind w:left="72"/>
              <w:rPr>
                <w:rFonts w:ascii="Arial" w:hAnsi="Arial" w:cs="Arial"/>
                <w:i/>
                <w:iCs/>
                <w:color w:val="auto"/>
                <w:sz w:val="22"/>
                <w:szCs w:val="22"/>
                <w:lang w:val="es-ES"/>
              </w:rPr>
            </w:pPr>
            <w:r w:rsidRPr="009D11A1">
              <w:rPr>
                <w:rFonts w:ascii="Arial" w:hAnsi="Arial" w:cs="Arial"/>
                <w:i/>
                <w:iCs/>
                <w:color w:val="auto"/>
                <w:sz w:val="22"/>
                <w:szCs w:val="22"/>
                <w:lang w:val="es-ES"/>
              </w:rPr>
              <w:t>Financiamiento de las Inversiones</w:t>
            </w:r>
          </w:p>
          <w:p w14:paraId="48A11156" w14:textId="77777777" w:rsidR="00894738" w:rsidRPr="009D11A1" w:rsidRDefault="00894738" w:rsidP="009E6B32">
            <w:pPr>
              <w:tabs>
                <w:tab w:val="left" w:pos="0"/>
              </w:tabs>
              <w:ind w:left="72"/>
              <w:rPr>
                <w:rFonts w:ascii="Arial" w:hAnsi="Arial" w:cs="Arial"/>
                <w:i/>
                <w:iCs/>
                <w:lang w:val="es-ES"/>
              </w:rPr>
            </w:pPr>
          </w:p>
        </w:tc>
        <w:tc>
          <w:tcPr>
            <w:tcW w:w="6861" w:type="dxa"/>
            <w:tcBorders>
              <w:left w:val="nil"/>
              <w:bottom w:val="single" w:sz="4" w:space="0" w:color="auto"/>
              <w:right w:val="nil"/>
            </w:tcBorders>
          </w:tcPr>
          <w:p w14:paraId="6622EE33" w14:textId="77777777" w:rsidR="00894738" w:rsidRPr="009D11A1" w:rsidRDefault="00D97C43" w:rsidP="009D11A1">
            <w:pPr>
              <w:rPr>
                <w:rFonts w:ascii="Arial" w:hAnsi="Arial" w:cs="Arial"/>
                <w:lang w:val="es-ES"/>
              </w:rPr>
            </w:pPr>
            <w:r w:rsidRPr="009D11A1">
              <w:rPr>
                <w:rFonts w:ascii="Arial" w:hAnsi="Arial" w:cs="Arial"/>
                <w:lang w:val="es-ES_tradnl"/>
              </w:rPr>
              <w:t>Durante los primeros cinco años, se prevé el monto total de desembolsos de préstamos del US$103 millones</w:t>
            </w:r>
            <w:r w:rsidR="009D11A1" w:rsidRPr="009D11A1">
              <w:rPr>
                <w:rFonts w:ascii="Arial" w:hAnsi="Arial" w:cs="Arial"/>
                <w:lang w:val="es-ES_tradnl"/>
              </w:rPr>
              <w:t>, del cual aproximadamente US$93 millones serán destinados a financiar las inversiones de PSU IV y PSU V</w:t>
            </w:r>
            <w:r w:rsidRPr="009D11A1">
              <w:rPr>
                <w:rFonts w:ascii="Arial" w:hAnsi="Arial" w:cs="Arial"/>
                <w:lang w:val="es-ES_tradnl"/>
              </w:rPr>
              <w:t xml:space="preserve">. </w:t>
            </w:r>
            <w:r w:rsidR="009D11A1" w:rsidRPr="009D11A1">
              <w:rPr>
                <w:rFonts w:ascii="Arial" w:hAnsi="Arial" w:cs="Arial"/>
                <w:lang w:val="es-ES_tradnl"/>
              </w:rPr>
              <w:t>El SS de la IM contará con un nivel suficiente de la</w:t>
            </w:r>
            <w:r w:rsidR="00894738" w:rsidRPr="009D11A1">
              <w:rPr>
                <w:rFonts w:ascii="Arial" w:hAnsi="Arial" w:cs="Arial"/>
                <w:lang w:val="es-ES_tradnl"/>
              </w:rPr>
              <w:t xml:space="preserve"> generación interna neta</w:t>
            </w:r>
            <w:r w:rsidR="009D11A1" w:rsidRPr="009D11A1">
              <w:rPr>
                <w:rFonts w:ascii="Arial" w:hAnsi="Arial" w:cs="Arial"/>
                <w:lang w:val="es-ES_tradnl"/>
              </w:rPr>
              <w:t xml:space="preserve"> para poder cubrir la parte restante de las inversiones, y cubrir </w:t>
            </w:r>
            <w:r w:rsidR="009D11A1" w:rsidRPr="009D11A1">
              <w:rPr>
                <w:rFonts w:ascii="Arial" w:hAnsi="Arial" w:cs="Arial"/>
                <w:iCs/>
                <w:lang w:val="es-ES_tradnl"/>
              </w:rPr>
              <w:t>los servicios de las deudas</w:t>
            </w:r>
            <w:r w:rsidR="00894738" w:rsidRPr="009D11A1">
              <w:rPr>
                <w:rFonts w:ascii="Arial" w:hAnsi="Arial" w:cs="Arial"/>
                <w:lang w:val="es-ES_tradnl"/>
              </w:rPr>
              <w:t>.</w:t>
            </w:r>
          </w:p>
        </w:tc>
      </w:tr>
      <w:tr w:rsidR="00894738" w:rsidRPr="009551BA" w14:paraId="40B22223" w14:textId="77777777" w:rsidTr="009D11A1">
        <w:tblPrEx>
          <w:tblBorders>
            <w:left w:val="single" w:sz="4" w:space="0" w:color="auto"/>
            <w:right w:val="single" w:sz="4" w:space="0" w:color="auto"/>
            <w:insideV w:val="single" w:sz="4" w:space="0" w:color="auto"/>
          </w:tblBorders>
        </w:tblPrEx>
        <w:tc>
          <w:tcPr>
            <w:tcW w:w="2070" w:type="dxa"/>
            <w:tcBorders>
              <w:left w:val="nil"/>
              <w:bottom w:val="single" w:sz="18" w:space="0" w:color="auto"/>
              <w:right w:val="nil"/>
            </w:tcBorders>
            <w:shd w:val="clear" w:color="auto" w:fill="auto"/>
          </w:tcPr>
          <w:p w14:paraId="0DDB985A" w14:textId="77777777" w:rsidR="00894738" w:rsidRPr="009D11A1" w:rsidRDefault="00894738" w:rsidP="009E6B32">
            <w:pPr>
              <w:pStyle w:val="Heading1"/>
              <w:spacing w:before="0"/>
              <w:ind w:left="72"/>
              <w:rPr>
                <w:rFonts w:ascii="Arial" w:hAnsi="Arial" w:cs="Arial"/>
                <w:i/>
                <w:iCs/>
                <w:color w:val="auto"/>
                <w:sz w:val="22"/>
                <w:szCs w:val="22"/>
                <w:lang w:val="es-ES"/>
              </w:rPr>
            </w:pPr>
            <w:r w:rsidRPr="009D11A1">
              <w:rPr>
                <w:rFonts w:ascii="Arial" w:hAnsi="Arial" w:cs="Arial"/>
                <w:i/>
                <w:iCs/>
                <w:color w:val="auto"/>
                <w:sz w:val="22"/>
                <w:szCs w:val="22"/>
                <w:lang w:val="es-ES"/>
              </w:rPr>
              <w:lastRenderedPageBreak/>
              <w:t>Activos</w:t>
            </w:r>
          </w:p>
        </w:tc>
        <w:tc>
          <w:tcPr>
            <w:tcW w:w="6861" w:type="dxa"/>
            <w:tcBorders>
              <w:left w:val="nil"/>
              <w:bottom w:val="single" w:sz="18" w:space="0" w:color="auto"/>
              <w:right w:val="nil"/>
            </w:tcBorders>
            <w:shd w:val="clear" w:color="auto" w:fill="auto"/>
          </w:tcPr>
          <w:p w14:paraId="3C70712A" w14:textId="77777777" w:rsidR="00894738" w:rsidRPr="009D11A1" w:rsidRDefault="00894738" w:rsidP="009D11A1">
            <w:pPr>
              <w:rPr>
                <w:rFonts w:ascii="Arial" w:hAnsi="Arial" w:cs="Arial"/>
                <w:lang w:val="es-ES"/>
              </w:rPr>
            </w:pPr>
            <w:r w:rsidRPr="009D11A1">
              <w:rPr>
                <w:rFonts w:ascii="Arial" w:hAnsi="Arial" w:cs="Arial"/>
                <w:lang w:val="es-ES_tradnl"/>
              </w:rPr>
              <w:t>El total de los activos crecerá a un US$</w:t>
            </w:r>
            <w:r w:rsidR="009D11A1" w:rsidRPr="009D11A1">
              <w:rPr>
                <w:rFonts w:ascii="Arial" w:hAnsi="Arial" w:cs="Arial"/>
                <w:lang w:val="es-ES_tradnl"/>
              </w:rPr>
              <w:t>541</w:t>
            </w:r>
            <w:r w:rsidRPr="009D11A1">
              <w:rPr>
                <w:rFonts w:ascii="Arial" w:hAnsi="Arial" w:cs="Arial"/>
                <w:lang w:val="es-ES_tradnl"/>
              </w:rPr>
              <w:t xml:space="preserve"> millones en el 2020, principalmente por el aumento de los activos fijos al incorporar las obras </w:t>
            </w:r>
            <w:r w:rsidR="009D11A1" w:rsidRPr="009D11A1">
              <w:rPr>
                <w:rFonts w:ascii="Arial" w:hAnsi="Arial" w:cs="Arial"/>
                <w:lang w:val="es-ES_tradnl"/>
              </w:rPr>
              <w:t>arriba mencionadas</w:t>
            </w:r>
            <w:r w:rsidRPr="009D11A1">
              <w:rPr>
                <w:rFonts w:ascii="Arial" w:hAnsi="Arial" w:cs="Arial"/>
                <w:lang w:val="es-ES_tradnl"/>
              </w:rPr>
              <w:t>.</w:t>
            </w:r>
          </w:p>
        </w:tc>
      </w:tr>
    </w:tbl>
    <w:p w14:paraId="0CD4764E" w14:textId="77777777" w:rsidR="00894738" w:rsidRPr="009D11A1" w:rsidRDefault="00894738" w:rsidP="00894738">
      <w:pPr>
        <w:pStyle w:val="Paragraph"/>
        <w:numPr>
          <w:ilvl w:val="0"/>
          <w:numId w:val="0"/>
        </w:numPr>
        <w:rPr>
          <w:rFonts w:ascii="Arial" w:hAnsi="Arial" w:cs="Arial"/>
          <w:b/>
          <w:sz w:val="22"/>
          <w:szCs w:val="22"/>
          <w:lang w:val="es-ES_tradnl"/>
        </w:rPr>
      </w:pPr>
    </w:p>
    <w:p w14:paraId="4DCB3CCA" w14:textId="77777777" w:rsidR="00894738" w:rsidRPr="00894738" w:rsidRDefault="00894738" w:rsidP="00894738">
      <w:pPr>
        <w:pStyle w:val="Default"/>
        <w:rPr>
          <w:b/>
          <w:bCs/>
          <w:sz w:val="23"/>
          <w:szCs w:val="23"/>
          <w:lang w:val="es-ES"/>
        </w:rPr>
      </w:pPr>
    </w:p>
    <w:p w14:paraId="08E802E7" w14:textId="77777777" w:rsidR="00894738" w:rsidRPr="00894738" w:rsidRDefault="00894738" w:rsidP="00894738">
      <w:pPr>
        <w:pStyle w:val="Default"/>
        <w:rPr>
          <w:b/>
          <w:bCs/>
          <w:sz w:val="23"/>
          <w:szCs w:val="23"/>
          <w:lang w:val="es-ES_tradnl"/>
        </w:rPr>
      </w:pPr>
    </w:p>
    <w:p w14:paraId="47C41283" w14:textId="77777777" w:rsidR="00894738" w:rsidRPr="00894738" w:rsidRDefault="00894738" w:rsidP="00894738">
      <w:pPr>
        <w:pStyle w:val="Default"/>
        <w:rPr>
          <w:b/>
          <w:bCs/>
          <w:sz w:val="23"/>
          <w:szCs w:val="23"/>
          <w:lang w:val="es-ES_tradnl"/>
        </w:rPr>
        <w:sectPr w:rsidR="00894738" w:rsidRPr="00894738">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pPr>
    </w:p>
    <w:p w14:paraId="48070714" w14:textId="77777777" w:rsidR="00894738" w:rsidRPr="006960F4" w:rsidRDefault="00894738" w:rsidP="00894738">
      <w:pPr>
        <w:pStyle w:val="Default"/>
        <w:rPr>
          <w:b/>
          <w:bCs/>
          <w:sz w:val="23"/>
          <w:szCs w:val="23"/>
          <w:lang w:val="es-ES"/>
        </w:rPr>
      </w:pPr>
      <w:r w:rsidRPr="006960F4">
        <w:rPr>
          <w:b/>
          <w:bCs/>
          <w:sz w:val="23"/>
          <w:szCs w:val="23"/>
          <w:lang w:val="es-ES"/>
        </w:rPr>
        <w:lastRenderedPageBreak/>
        <w:t>D. Proyecciones financieras</w:t>
      </w:r>
    </w:p>
    <w:p w14:paraId="50A75BC9" w14:textId="77777777" w:rsidR="00894738" w:rsidRPr="006960F4" w:rsidRDefault="00894738" w:rsidP="00894738">
      <w:pPr>
        <w:pStyle w:val="Default"/>
        <w:rPr>
          <w:b/>
          <w:bCs/>
          <w:sz w:val="23"/>
          <w:szCs w:val="23"/>
          <w:lang w:val="es-ES"/>
        </w:rPr>
      </w:pPr>
    </w:p>
    <w:p w14:paraId="3F791FD6" w14:textId="6CC6CCE9" w:rsidR="006960F4" w:rsidRPr="004040A8" w:rsidRDefault="006960F4" w:rsidP="006960F4">
      <w:pPr>
        <w:pStyle w:val="Default"/>
        <w:jc w:val="center"/>
        <w:rPr>
          <w:sz w:val="23"/>
          <w:szCs w:val="23"/>
          <w:lang w:val="es-ES"/>
        </w:rPr>
      </w:pPr>
      <w:r w:rsidRPr="004040A8">
        <w:rPr>
          <w:rFonts w:ascii="Arial" w:hAnsi="Arial" w:cs="Arial"/>
          <w:sz w:val="22"/>
          <w:szCs w:val="22"/>
          <w:u w:val="single"/>
          <w:lang w:val="es-ES"/>
        </w:rPr>
        <w:t xml:space="preserve">Cuadro </w:t>
      </w:r>
      <w:r>
        <w:rPr>
          <w:rFonts w:ascii="Arial" w:hAnsi="Arial" w:cs="Arial"/>
          <w:sz w:val="22"/>
          <w:szCs w:val="22"/>
          <w:u w:val="single"/>
          <w:lang w:val="es-ES"/>
        </w:rPr>
        <w:t>7</w:t>
      </w:r>
      <w:r w:rsidRPr="004040A8">
        <w:rPr>
          <w:rFonts w:ascii="Arial" w:hAnsi="Arial" w:cs="Arial"/>
          <w:sz w:val="22"/>
          <w:szCs w:val="22"/>
          <w:u w:val="single"/>
          <w:lang w:val="es-ES"/>
        </w:rPr>
        <w:t xml:space="preserve">. Estado de </w:t>
      </w:r>
      <w:r>
        <w:rPr>
          <w:rFonts w:ascii="Arial" w:hAnsi="Arial" w:cs="Arial"/>
          <w:sz w:val="22"/>
          <w:szCs w:val="22"/>
          <w:u w:val="single"/>
          <w:lang w:val="es-ES"/>
        </w:rPr>
        <w:t>Resultados</w:t>
      </w:r>
      <w:r w:rsidRPr="004040A8">
        <w:rPr>
          <w:rFonts w:ascii="Arial" w:hAnsi="Arial" w:cs="Arial"/>
          <w:sz w:val="22"/>
          <w:szCs w:val="22"/>
          <w:u w:val="single"/>
          <w:lang w:val="es-ES"/>
        </w:rPr>
        <w:t xml:space="preserve"> (en miles de US$ de 2015)</w:t>
      </w:r>
    </w:p>
    <w:p w14:paraId="24C72B36" w14:textId="77777777" w:rsidR="00894738" w:rsidRPr="006960F4" w:rsidRDefault="00894738" w:rsidP="00894738">
      <w:pPr>
        <w:pStyle w:val="Default"/>
        <w:rPr>
          <w:b/>
          <w:bCs/>
          <w:sz w:val="23"/>
          <w:szCs w:val="23"/>
          <w:lang w:val="es-ES"/>
        </w:rPr>
      </w:pPr>
    </w:p>
    <w:p w14:paraId="07D181A0" w14:textId="5801DFC0" w:rsidR="00894738" w:rsidRDefault="0011459F" w:rsidP="00894738">
      <w:pPr>
        <w:pStyle w:val="Default"/>
        <w:rPr>
          <w:b/>
          <w:bCs/>
          <w:sz w:val="23"/>
          <w:szCs w:val="23"/>
        </w:rPr>
      </w:pPr>
      <w:r w:rsidRPr="0011459F">
        <w:rPr>
          <w:noProof/>
          <w:lang w:eastAsia="en-US"/>
        </w:rPr>
        <w:drawing>
          <wp:inline distT="0" distB="0" distL="0" distR="0" wp14:anchorId="3EBF64A3" wp14:editId="160351FD">
            <wp:extent cx="8229600" cy="2906119"/>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29600" cy="2906119"/>
                    </a:xfrm>
                    <a:prstGeom prst="rect">
                      <a:avLst/>
                    </a:prstGeom>
                    <a:noFill/>
                    <a:ln>
                      <a:noFill/>
                    </a:ln>
                  </pic:spPr>
                </pic:pic>
              </a:graphicData>
            </a:graphic>
          </wp:inline>
        </w:drawing>
      </w:r>
    </w:p>
    <w:p w14:paraId="0B6683C9" w14:textId="77777777" w:rsidR="00894738" w:rsidRDefault="00894738" w:rsidP="00894738">
      <w:pPr>
        <w:pStyle w:val="Default"/>
        <w:rPr>
          <w:b/>
          <w:bCs/>
          <w:sz w:val="23"/>
          <w:szCs w:val="23"/>
        </w:rPr>
      </w:pPr>
    </w:p>
    <w:p w14:paraId="76DA7362" w14:textId="77777777" w:rsidR="007F13A4" w:rsidRDefault="007F13A4" w:rsidP="00894738">
      <w:pPr>
        <w:pStyle w:val="Default"/>
        <w:rPr>
          <w:b/>
          <w:bCs/>
          <w:sz w:val="23"/>
          <w:szCs w:val="23"/>
        </w:rPr>
      </w:pPr>
    </w:p>
    <w:p w14:paraId="35896DBD" w14:textId="77777777" w:rsidR="007F13A4" w:rsidRDefault="007F13A4" w:rsidP="00894738">
      <w:pPr>
        <w:pStyle w:val="Default"/>
        <w:rPr>
          <w:b/>
          <w:bCs/>
          <w:sz w:val="23"/>
          <w:szCs w:val="23"/>
        </w:rPr>
      </w:pPr>
    </w:p>
    <w:p w14:paraId="7443BE4E" w14:textId="77777777" w:rsidR="007F13A4" w:rsidRDefault="007F13A4" w:rsidP="00894738">
      <w:pPr>
        <w:pStyle w:val="Default"/>
        <w:rPr>
          <w:b/>
          <w:bCs/>
          <w:sz w:val="23"/>
          <w:szCs w:val="23"/>
        </w:rPr>
      </w:pPr>
    </w:p>
    <w:p w14:paraId="65E89D96" w14:textId="77777777" w:rsidR="007F13A4" w:rsidRDefault="007F13A4" w:rsidP="00894738">
      <w:pPr>
        <w:pStyle w:val="Default"/>
        <w:rPr>
          <w:b/>
          <w:bCs/>
          <w:sz w:val="23"/>
          <w:szCs w:val="23"/>
        </w:rPr>
      </w:pPr>
    </w:p>
    <w:p w14:paraId="27F26906" w14:textId="77777777" w:rsidR="007F13A4" w:rsidRDefault="007F13A4" w:rsidP="00894738">
      <w:pPr>
        <w:pStyle w:val="Default"/>
        <w:rPr>
          <w:b/>
          <w:bCs/>
          <w:sz w:val="23"/>
          <w:szCs w:val="23"/>
        </w:rPr>
      </w:pPr>
    </w:p>
    <w:p w14:paraId="19B3C361" w14:textId="77777777" w:rsidR="007F13A4" w:rsidRDefault="007F13A4" w:rsidP="00894738">
      <w:pPr>
        <w:pStyle w:val="Default"/>
        <w:rPr>
          <w:b/>
          <w:bCs/>
          <w:sz w:val="23"/>
          <w:szCs w:val="23"/>
        </w:rPr>
      </w:pPr>
    </w:p>
    <w:p w14:paraId="205B1C8F" w14:textId="77777777" w:rsidR="007F13A4" w:rsidRDefault="007F13A4" w:rsidP="00894738">
      <w:pPr>
        <w:pStyle w:val="Default"/>
        <w:rPr>
          <w:b/>
          <w:bCs/>
          <w:sz w:val="23"/>
          <w:szCs w:val="23"/>
        </w:rPr>
      </w:pPr>
    </w:p>
    <w:p w14:paraId="626355E4" w14:textId="77777777" w:rsidR="007F13A4" w:rsidRDefault="007F13A4" w:rsidP="00894738">
      <w:pPr>
        <w:pStyle w:val="Default"/>
        <w:rPr>
          <w:b/>
          <w:bCs/>
          <w:sz w:val="23"/>
          <w:szCs w:val="23"/>
        </w:rPr>
      </w:pPr>
    </w:p>
    <w:p w14:paraId="17E2F1A9" w14:textId="77777777" w:rsidR="007F13A4" w:rsidRDefault="007F13A4" w:rsidP="00894738">
      <w:pPr>
        <w:pStyle w:val="Default"/>
        <w:rPr>
          <w:b/>
          <w:bCs/>
          <w:sz w:val="23"/>
          <w:szCs w:val="23"/>
        </w:rPr>
      </w:pPr>
    </w:p>
    <w:p w14:paraId="785D8E19" w14:textId="77777777" w:rsidR="007F13A4" w:rsidRDefault="007F13A4" w:rsidP="00894738">
      <w:pPr>
        <w:pStyle w:val="Default"/>
        <w:rPr>
          <w:b/>
          <w:bCs/>
          <w:sz w:val="23"/>
          <w:szCs w:val="23"/>
        </w:rPr>
      </w:pPr>
    </w:p>
    <w:p w14:paraId="38214DA4" w14:textId="77777777" w:rsidR="007F13A4" w:rsidRDefault="007F13A4" w:rsidP="007F13A4">
      <w:pPr>
        <w:pStyle w:val="Default"/>
        <w:rPr>
          <w:b/>
          <w:bCs/>
          <w:sz w:val="23"/>
          <w:szCs w:val="23"/>
          <w:lang w:val="es-ES"/>
        </w:rPr>
      </w:pPr>
    </w:p>
    <w:p w14:paraId="70AC7074" w14:textId="77777777" w:rsidR="007F13A4" w:rsidRDefault="007F13A4" w:rsidP="007F13A4">
      <w:pPr>
        <w:pStyle w:val="Default"/>
        <w:rPr>
          <w:b/>
          <w:bCs/>
          <w:sz w:val="23"/>
          <w:szCs w:val="23"/>
          <w:lang w:val="es-ES"/>
        </w:rPr>
      </w:pPr>
    </w:p>
    <w:p w14:paraId="22631737" w14:textId="77777777" w:rsidR="007F13A4" w:rsidRPr="006960F4" w:rsidRDefault="007F13A4" w:rsidP="007F13A4">
      <w:pPr>
        <w:pStyle w:val="Default"/>
        <w:rPr>
          <w:b/>
          <w:bCs/>
          <w:sz w:val="23"/>
          <w:szCs w:val="23"/>
          <w:lang w:val="es-ES"/>
        </w:rPr>
      </w:pPr>
    </w:p>
    <w:p w14:paraId="4E7E633C" w14:textId="54E25AAB" w:rsidR="007F13A4" w:rsidRPr="004040A8" w:rsidRDefault="007F13A4" w:rsidP="007F13A4">
      <w:pPr>
        <w:pStyle w:val="Default"/>
        <w:jc w:val="center"/>
        <w:rPr>
          <w:sz w:val="23"/>
          <w:szCs w:val="23"/>
          <w:lang w:val="es-ES"/>
        </w:rPr>
      </w:pPr>
      <w:r w:rsidRPr="004040A8">
        <w:rPr>
          <w:rFonts w:ascii="Arial" w:hAnsi="Arial" w:cs="Arial"/>
          <w:sz w:val="22"/>
          <w:szCs w:val="22"/>
          <w:u w:val="single"/>
          <w:lang w:val="es-ES"/>
        </w:rPr>
        <w:lastRenderedPageBreak/>
        <w:t xml:space="preserve">Cuadro </w:t>
      </w:r>
      <w:r>
        <w:rPr>
          <w:rFonts w:ascii="Arial" w:hAnsi="Arial" w:cs="Arial"/>
          <w:sz w:val="22"/>
          <w:szCs w:val="22"/>
          <w:u w:val="single"/>
          <w:lang w:val="es-ES"/>
        </w:rPr>
        <w:t>8</w:t>
      </w:r>
      <w:r w:rsidRPr="004040A8">
        <w:rPr>
          <w:rFonts w:ascii="Arial" w:hAnsi="Arial" w:cs="Arial"/>
          <w:sz w:val="22"/>
          <w:szCs w:val="22"/>
          <w:u w:val="single"/>
          <w:lang w:val="es-ES"/>
        </w:rPr>
        <w:t xml:space="preserve">. Estado de </w:t>
      </w:r>
      <w:r>
        <w:rPr>
          <w:rFonts w:ascii="Arial" w:hAnsi="Arial" w:cs="Arial"/>
          <w:sz w:val="22"/>
          <w:szCs w:val="22"/>
          <w:u w:val="single"/>
          <w:lang w:val="es-ES"/>
        </w:rPr>
        <w:t>Flujo de Caja</w:t>
      </w:r>
      <w:r w:rsidRPr="004040A8">
        <w:rPr>
          <w:rFonts w:ascii="Arial" w:hAnsi="Arial" w:cs="Arial"/>
          <w:sz w:val="22"/>
          <w:szCs w:val="22"/>
          <w:u w:val="single"/>
          <w:lang w:val="es-ES"/>
        </w:rPr>
        <w:t xml:space="preserve"> (en miles de US$ de 2015)</w:t>
      </w:r>
    </w:p>
    <w:p w14:paraId="61B1CEDC" w14:textId="77777777" w:rsidR="00894738" w:rsidRDefault="00894738" w:rsidP="00894738">
      <w:pPr>
        <w:pStyle w:val="Default"/>
        <w:rPr>
          <w:b/>
          <w:bCs/>
          <w:sz w:val="23"/>
          <w:szCs w:val="23"/>
          <w:lang w:val="es-ES"/>
        </w:rPr>
      </w:pPr>
    </w:p>
    <w:p w14:paraId="7D59B47F" w14:textId="4180D28B" w:rsidR="00894738" w:rsidRDefault="0011459F" w:rsidP="00894738">
      <w:pPr>
        <w:pStyle w:val="Default"/>
        <w:rPr>
          <w:b/>
          <w:bCs/>
          <w:sz w:val="23"/>
          <w:szCs w:val="23"/>
          <w:lang w:val="es-ES"/>
        </w:rPr>
      </w:pPr>
      <w:r w:rsidRPr="0011459F">
        <w:rPr>
          <w:noProof/>
          <w:lang w:eastAsia="en-US"/>
        </w:rPr>
        <w:drawing>
          <wp:inline distT="0" distB="0" distL="0" distR="0" wp14:anchorId="7C9A1053" wp14:editId="2D672C45">
            <wp:extent cx="8229600" cy="2628021"/>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29600" cy="2628021"/>
                    </a:xfrm>
                    <a:prstGeom prst="rect">
                      <a:avLst/>
                    </a:prstGeom>
                    <a:noFill/>
                    <a:ln>
                      <a:noFill/>
                    </a:ln>
                  </pic:spPr>
                </pic:pic>
              </a:graphicData>
            </a:graphic>
          </wp:inline>
        </w:drawing>
      </w:r>
    </w:p>
    <w:p w14:paraId="756E5F86" w14:textId="081C74D0" w:rsidR="007F13A4" w:rsidRPr="004040A8" w:rsidRDefault="007F13A4" w:rsidP="007F13A4">
      <w:pPr>
        <w:pStyle w:val="Default"/>
        <w:jc w:val="center"/>
        <w:rPr>
          <w:sz w:val="23"/>
          <w:szCs w:val="23"/>
          <w:lang w:val="es-ES"/>
        </w:rPr>
      </w:pPr>
      <w:r>
        <w:rPr>
          <w:rFonts w:ascii="Arial" w:hAnsi="Arial" w:cs="Arial"/>
          <w:sz w:val="22"/>
          <w:szCs w:val="22"/>
          <w:u w:val="single"/>
          <w:lang w:val="es-ES"/>
        </w:rPr>
        <w:br/>
      </w:r>
      <w:r w:rsidRPr="004040A8">
        <w:rPr>
          <w:rFonts w:ascii="Arial" w:hAnsi="Arial" w:cs="Arial"/>
          <w:sz w:val="22"/>
          <w:szCs w:val="22"/>
          <w:u w:val="single"/>
          <w:lang w:val="es-ES"/>
        </w:rPr>
        <w:t xml:space="preserve">Cuadro </w:t>
      </w:r>
      <w:r>
        <w:rPr>
          <w:rFonts w:ascii="Arial" w:hAnsi="Arial" w:cs="Arial"/>
          <w:sz w:val="22"/>
          <w:szCs w:val="22"/>
          <w:u w:val="single"/>
          <w:lang w:val="es-ES"/>
        </w:rPr>
        <w:t>9</w:t>
      </w:r>
      <w:r w:rsidRPr="004040A8">
        <w:rPr>
          <w:rFonts w:ascii="Arial" w:hAnsi="Arial" w:cs="Arial"/>
          <w:sz w:val="22"/>
          <w:szCs w:val="22"/>
          <w:u w:val="single"/>
          <w:lang w:val="es-ES"/>
        </w:rPr>
        <w:t xml:space="preserve">. Estado de </w:t>
      </w:r>
      <w:r>
        <w:rPr>
          <w:rFonts w:ascii="Arial" w:hAnsi="Arial" w:cs="Arial"/>
          <w:sz w:val="22"/>
          <w:szCs w:val="22"/>
          <w:u w:val="single"/>
          <w:lang w:val="es-ES"/>
        </w:rPr>
        <w:t>Balance</w:t>
      </w:r>
      <w:r w:rsidR="00282F45" w:rsidRPr="00E9547A">
        <w:rPr>
          <w:rFonts w:ascii="Arial" w:hAnsi="Arial" w:cs="Arial"/>
          <w:sz w:val="22"/>
          <w:szCs w:val="22"/>
          <w:u w:val="single"/>
          <w:lang w:val="es-ES_tradnl"/>
        </w:rPr>
        <w:t xml:space="preserve"> General</w:t>
      </w:r>
      <w:r w:rsidRPr="004040A8">
        <w:rPr>
          <w:rFonts w:ascii="Arial" w:hAnsi="Arial" w:cs="Arial"/>
          <w:sz w:val="22"/>
          <w:szCs w:val="22"/>
          <w:u w:val="single"/>
          <w:lang w:val="es-ES"/>
        </w:rPr>
        <w:t xml:space="preserve"> (en miles de US$ de 2015)</w:t>
      </w:r>
    </w:p>
    <w:p w14:paraId="26538D65" w14:textId="3BB55C83" w:rsidR="007F13A4" w:rsidRPr="007F13A4" w:rsidRDefault="0011459F" w:rsidP="00894738">
      <w:pPr>
        <w:pStyle w:val="Default"/>
        <w:rPr>
          <w:b/>
          <w:bCs/>
          <w:sz w:val="23"/>
          <w:szCs w:val="23"/>
          <w:lang w:val="es-ES"/>
        </w:rPr>
      </w:pPr>
      <w:r w:rsidRPr="0011459F">
        <w:rPr>
          <w:noProof/>
          <w:lang w:eastAsia="en-US"/>
        </w:rPr>
        <w:drawing>
          <wp:anchor distT="0" distB="0" distL="114300" distR="114300" simplePos="0" relativeHeight="251689984" behindDoc="1" locked="0" layoutInCell="1" allowOverlap="1" wp14:anchorId="58DE220F" wp14:editId="28F533A8">
            <wp:simplePos x="0" y="0"/>
            <wp:positionH relativeFrom="column">
              <wp:posOffset>29629</wp:posOffset>
            </wp:positionH>
            <wp:positionV relativeFrom="paragraph">
              <wp:posOffset>91440</wp:posOffset>
            </wp:positionV>
            <wp:extent cx="8229600" cy="2790825"/>
            <wp:effectExtent l="0" t="0" r="0" b="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29600" cy="2790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641CF4" w14:textId="5D08F53F" w:rsidR="00894738" w:rsidRPr="007F13A4" w:rsidRDefault="00894738" w:rsidP="00894738">
      <w:pPr>
        <w:pStyle w:val="Default"/>
        <w:rPr>
          <w:b/>
          <w:bCs/>
          <w:sz w:val="23"/>
          <w:szCs w:val="23"/>
          <w:lang w:val="es-ES"/>
        </w:rPr>
      </w:pPr>
    </w:p>
    <w:p w14:paraId="11B79E80" w14:textId="77777777" w:rsidR="00894738" w:rsidRPr="007F13A4" w:rsidRDefault="00894738" w:rsidP="00894738">
      <w:pPr>
        <w:pStyle w:val="Default"/>
        <w:rPr>
          <w:b/>
          <w:bCs/>
          <w:sz w:val="23"/>
          <w:szCs w:val="23"/>
          <w:lang w:val="es-ES"/>
        </w:rPr>
      </w:pPr>
    </w:p>
    <w:p w14:paraId="4C4850AB" w14:textId="77777777" w:rsidR="00894738" w:rsidRPr="007F13A4" w:rsidRDefault="00894738" w:rsidP="00894738">
      <w:pPr>
        <w:pStyle w:val="Default"/>
        <w:rPr>
          <w:b/>
          <w:bCs/>
          <w:sz w:val="23"/>
          <w:szCs w:val="23"/>
          <w:lang w:val="es-ES"/>
        </w:rPr>
      </w:pPr>
    </w:p>
    <w:p w14:paraId="0D4B847E" w14:textId="77777777" w:rsidR="00894738" w:rsidRPr="007F13A4" w:rsidRDefault="00894738" w:rsidP="00894738">
      <w:pPr>
        <w:pStyle w:val="Default"/>
        <w:rPr>
          <w:b/>
          <w:bCs/>
          <w:sz w:val="23"/>
          <w:szCs w:val="23"/>
          <w:lang w:val="es-ES"/>
        </w:rPr>
      </w:pPr>
    </w:p>
    <w:p w14:paraId="25269D7B" w14:textId="77777777" w:rsidR="00894738" w:rsidRPr="00894738" w:rsidRDefault="00894738" w:rsidP="00894738">
      <w:pPr>
        <w:pStyle w:val="Default"/>
        <w:rPr>
          <w:lang w:val="es-ES_tradnl"/>
        </w:rPr>
      </w:pPr>
    </w:p>
    <w:sectPr w:rsidR="00894738" w:rsidRPr="00894738" w:rsidSect="00894738">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0D6862" w15:done="0"/>
  <w15:commentEx w15:paraId="0F6A34D2" w15:done="0"/>
  <w15:commentEx w15:paraId="034A30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FB00C" w14:textId="77777777" w:rsidR="00B32750" w:rsidRDefault="00B32750" w:rsidP="00894738">
      <w:pPr>
        <w:spacing w:after="0" w:line="240" w:lineRule="auto"/>
      </w:pPr>
      <w:r>
        <w:separator/>
      </w:r>
    </w:p>
  </w:endnote>
  <w:endnote w:type="continuationSeparator" w:id="0">
    <w:p w14:paraId="5FE54C41" w14:textId="77777777" w:rsidR="00B32750" w:rsidRDefault="00B32750" w:rsidP="00894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C2B4F" w14:textId="77777777" w:rsidR="00CD4895" w:rsidRDefault="00CD48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B1AE5" w14:textId="77777777" w:rsidR="00CD4895" w:rsidRDefault="00CD48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3EAC4" w14:textId="77777777" w:rsidR="00CD4895" w:rsidRDefault="00CD48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AD6C8" w14:textId="77777777" w:rsidR="00B32750" w:rsidRDefault="00B32750" w:rsidP="00894738">
      <w:pPr>
        <w:spacing w:after="0" w:line="240" w:lineRule="auto"/>
      </w:pPr>
      <w:r>
        <w:separator/>
      </w:r>
    </w:p>
  </w:footnote>
  <w:footnote w:type="continuationSeparator" w:id="0">
    <w:p w14:paraId="1A168105" w14:textId="77777777" w:rsidR="00B32750" w:rsidRDefault="00B32750" w:rsidP="00894738">
      <w:pPr>
        <w:spacing w:after="0" w:line="240" w:lineRule="auto"/>
      </w:pPr>
      <w:r>
        <w:continuationSeparator/>
      </w:r>
    </w:p>
  </w:footnote>
  <w:footnote w:id="1">
    <w:p w14:paraId="0D40C790" w14:textId="61CB6A34" w:rsidR="00B91217" w:rsidRPr="00B91217" w:rsidRDefault="00B91217">
      <w:pPr>
        <w:pStyle w:val="FootnoteText"/>
        <w:rPr>
          <w:rFonts w:ascii="Arial" w:hAnsi="Arial" w:cs="Arial"/>
          <w:lang w:val="es-ES"/>
        </w:rPr>
      </w:pPr>
      <w:r w:rsidRPr="00B91217">
        <w:rPr>
          <w:rStyle w:val="FootnoteReference"/>
          <w:rFonts w:ascii="Arial" w:hAnsi="Arial" w:cs="Arial"/>
        </w:rPr>
        <w:footnoteRef/>
      </w:r>
      <w:r w:rsidRPr="00B91217">
        <w:rPr>
          <w:rFonts w:ascii="Arial" w:hAnsi="Arial" w:cs="Arial"/>
          <w:lang w:val="es-ES"/>
        </w:rPr>
        <w:t xml:space="preserve"> </w:t>
      </w:r>
      <w:r>
        <w:rPr>
          <w:rFonts w:ascii="Arial" w:hAnsi="Arial" w:cs="Arial"/>
          <w:lang w:val="es-ES"/>
        </w:rPr>
        <w:t xml:space="preserve">  </w:t>
      </w:r>
      <w:r w:rsidR="00BE1722" w:rsidRPr="003C49A9">
        <w:rPr>
          <w:rFonts w:ascii="Arial" w:hAnsi="Arial" w:cs="Arial"/>
          <w:lang w:val="es-ES"/>
        </w:rPr>
        <w:t xml:space="preserve">A la fecha de preparación de este </w:t>
      </w:r>
      <w:r w:rsidR="00BE1722">
        <w:rPr>
          <w:rFonts w:ascii="Arial" w:hAnsi="Arial" w:cs="Arial"/>
          <w:lang w:val="es-ES"/>
        </w:rPr>
        <w:t>anexo</w:t>
      </w:r>
      <w:r w:rsidR="00BE1722" w:rsidRPr="003C49A9">
        <w:rPr>
          <w:rFonts w:ascii="Arial" w:hAnsi="Arial" w:cs="Arial"/>
          <w:lang w:val="es-ES"/>
        </w:rPr>
        <w:t>, los estados financieros de 2015 del SS, se encuentran en proceso de elaboración, debido a que se generan con base en los estados financieros de la IM posteriormente al cierre de la auditoria de los mismos.</w:t>
      </w:r>
    </w:p>
  </w:footnote>
  <w:footnote w:id="2">
    <w:p w14:paraId="251CFA49" w14:textId="77777777" w:rsidR="0030250F" w:rsidRPr="000B532D" w:rsidRDefault="0030250F" w:rsidP="0030250F">
      <w:pPr>
        <w:pStyle w:val="FootnoteText"/>
        <w:rPr>
          <w:rFonts w:ascii="Arial" w:hAnsi="Arial" w:cs="Arial"/>
          <w:lang w:val="es-ES_tradnl"/>
        </w:rPr>
      </w:pPr>
      <w:r w:rsidRPr="000B532D">
        <w:rPr>
          <w:rStyle w:val="FootnoteReference"/>
          <w:rFonts w:ascii="Arial" w:hAnsi="Arial" w:cs="Arial"/>
        </w:rPr>
        <w:footnoteRef/>
      </w:r>
      <w:r w:rsidR="00C7139D">
        <w:rPr>
          <w:rFonts w:ascii="Arial" w:hAnsi="Arial" w:cs="Arial"/>
          <w:lang w:val="es-ES_tradnl"/>
        </w:rPr>
        <w:t xml:space="preserve">   </w:t>
      </w:r>
      <w:r w:rsidRPr="000B532D">
        <w:rPr>
          <w:rFonts w:ascii="Arial" w:hAnsi="Arial" w:cs="Arial"/>
          <w:lang w:val="es-ES_tradnl"/>
        </w:rPr>
        <w:t>El 3</w:t>
      </w:r>
      <w:r>
        <w:rPr>
          <w:rFonts w:ascii="Arial" w:hAnsi="Arial" w:cs="Arial" w:hint="eastAsia"/>
          <w:lang w:val="es-ES_tradnl" w:eastAsia="ja-JP"/>
        </w:rPr>
        <w:t>4</w:t>
      </w:r>
      <w:r w:rsidRPr="000B532D">
        <w:rPr>
          <w:rFonts w:ascii="Arial" w:hAnsi="Arial" w:cs="Arial"/>
          <w:lang w:val="es-ES_tradnl"/>
        </w:rPr>
        <w:t xml:space="preserve">% de las viviendas facturadas se benefician </w:t>
      </w:r>
      <w:r>
        <w:rPr>
          <w:rFonts w:ascii="Arial" w:hAnsi="Arial" w:cs="Arial"/>
          <w:lang w:val="es-ES_tradnl"/>
        </w:rPr>
        <w:t xml:space="preserve">de la bonificación. </w:t>
      </w:r>
      <w:r>
        <w:rPr>
          <w:rFonts w:ascii="Arial" w:hAnsi="Arial" w:cs="Arial" w:hint="eastAsia"/>
          <w:lang w:val="es-ES_tradnl" w:eastAsia="ja-JP"/>
        </w:rPr>
        <w:t>La bonificaci</w:t>
      </w:r>
      <w:r>
        <w:rPr>
          <w:rFonts w:ascii="Arial" w:hAnsi="Arial" w:cs="Arial"/>
          <w:lang w:val="es-ES_tradnl" w:eastAsia="ja-JP"/>
        </w:rPr>
        <w:t>ón social se calcula aplicando el porcentaje de 35% sobre el monto del cargo variable sobre los primeros 10 metros cúbicos de agua potable consumida</w:t>
      </w:r>
      <w:r w:rsidRPr="000B532D">
        <w:rPr>
          <w:rFonts w:ascii="Arial" w:hAnsi="Arial" w:cs="Arial"/>
          <w:lang w:val="es-ES_tradnl"/>
        </w:rPr>
        <w:t>.</w:t>
      </w:r>
    </w:p>
  </w:footnote>
  <w:footnote w:id="3">
    <w:p w14:paraId="63BA9131" w14:textId="77777777" w:rsidR="00CF02C0" w:rsidRPr="00CF02C0" w:rsidRDefault="00CF02C0">
      <w:pPr>
        <w:pStyle w:val="FootnoteText"/>
        <w:rPr>
          <w:rFonts w:ascii="Arial" w:hAnsi="Arial" w:cs="Arial"/>
          <w:lang w:val="es-ES"/>
        </w:rPr>
      </w:pPr>
      <w:r w:rsidRPr="00CF02C0">
        <w:rPr>
          <w:rStyle w:val="FootnoteReference"/>
          <w:rFonts w:ascii="Arial" w:hAnsi="Arial" w:cs="Arial"/>
        </w:rPr>
        <w:footnoteRef/>
      </w:r>
      <w:r w:rsidRPr="00CF02C0">
        <w:rPr>
          <w:rFonts w:ascii="Arial" w:hAnsi="Arial" w:cs="Arial"/>
          <w:lang w:val="es-ES"/>
        </w:rPr>
        <w:t xml:space="preserve"> </w:t>
      </w:r>
      <w:r>
        <w:rPr>
          <w:rFonts w:ascii="Arial" w:hAnsi="Arial" w:cs="Arial"/>
          <w:lang w:val="es-ES"/>
        </w:rPr>
        <w:t xml:space="preserve">   </w:t>
      </w:r>
      <w:r w:rsidR="00151AB2">
        <w:rPr>
          <w:rFonts w:ascii="Arial" w:hAnsi="Arial" w:cs="Arial"/>
          <w:lang w:val="es-ES"/>
        </w:rPr>
        <w:t>Por este motivo, se firmó</w:t>
      </w:r>
      <w:r w:rsidRPr="00CF02C0">
        <w:rPr>
          <w:rFonts w:ascii="Arial" w:hAnsi="Arial" w:cs="Arial"/>
          <w:lang w:val="es-ES"/>
        </w:rPr>
        <w:t xml:space="preserve"> un convenio entre ambas instituciones. Sin perjuicio de ello, si la IM lo considera conveniente di</w:t>
      </w:r>
      <w:r w:rsidR="00151AB2">
        <w:rPr>
          <w:rFonts w:ascii="Arial" w:hAnsi="Arial" w:cs="Arial"/>
          <w:lang w:val="es-ES"/>
        </w:rPr>
        <w:t>spone</w:t>
      </w:r>
      <w:r w:rsidRPr="00CF02C0">
        <w:rPr>
          <w:rFonts w:ascii="Arial" w:hAnsi="Arial" w:cs="Arial"/>
          <w:lang w:val="es-ES"/>
        </w:rPr>
        <w:t xml:space="preserve"> elementos complementarios de medición</w:t>
      </w:r>
      <w:r w:rsidR="00151AB2" w:rsidRPr="00CF02C0">
        <w:rPr>
          <w:rFonts w:ascii="Arial" w:hAnsi="Arial" w:cs="Arial"/>
          <w:lang w:val="es-ES"/>
        </w:rPr>
        <w:t>,</w:t>
      </w:r>
      <w:r w:rsidR="00151AB2">
        <w:rPr>
          <w:rFonts w:ascii="Arial" w:hAnsi="Arial" w:cs="Arial"/>
          <w:lang w:val="es-ES"/>
        </w:rPr>
        <w:t xml:space="preserve"> en particular en caso de grandes usuarios que tengan fuentes de abastecimiento propio</w:t>
      </w:r>
      <w:r w:rsidRPr="00CF02C0">
        <w:rPr>
          <w:rFonts w:ascii="Arial" w:hAnsi="Arial" w:cs="Arial"/>
          <w:lang w:val="es-ES"/>
        </w:rPr>
        <w:t>.</w:t>
      </w:r>
    </w:p>
  </w:footnote>
  <w:footnote w:id="4">
    <w:p w14:paraId="18F58A05" w14:textId="034EDB92" w:rsidR="00931F5F" w:rsidRPr="00931F5F" w:rsidRDefault="00931F5F">
      <w:pPr>
        <w:pStyle w:val="FootnoteText"/>
        <w:rPr>
          <w:rFonts w:ascii="Arial" w:hAnsi="Arial" w:cs="Arial"/>
          <w:lang w:val="es-ES"/>
        </w:rPr>
      </w:pPr>
      <w:r w:rsidRPr="00931F5F">
        <w:rPr>
          <w:rStyle w:val="FootnoteReference"/>
          <w:rFonts w:ascii="Arial" w:hAnsi="Arial" w:cs="Arial"/>
        </w:rPr>
        <w:footnoteRef/>
      </w:r>
      <w:r w:rsidRPr="00931F5F">
        <w:rPr>
          <w:rFonts w:ascii="Arial" w:hAnsi="Arial" w:cs="Arial"/>
          <w:lang w:val="es-ES"/>
        </w:rPr>
        <w:t xml:space="preserve"> </w:t>
      </w:r>
      <w:r>
        <w:rPr>
          <w:rFonts w:ascii="Arial" w:hAnsi="Arial" w:cs="Arial"/>
          <w:lang w:val="es-ES"/>
        </w:rPr>
        <w:t xml:space="preserve">   El dato más reciente disponible. Calculado como el monto recaudado / el total de los ingresos operativos.</w:t>
      </w:r>
    </w:p>
  </w:footnote>
  <w:footnote w:id="5">
    <w:p w14:paraId="0760FA5E" w14:textId="77777777" w:rsidR="007E02A8" w:rsidRPr="007E02A8" w:rsidRDefault="007E02A8">
      <w:pPr>
        <w:pStyle w:val="FootnoteText"/>
        <w:rPr>
          <w:lang w:val="es-ES"/>
        </w:rPr>
      </w:pPr>
      <w:r w:rsidRPr="007E02A8">
        <w:rPr>
          <w:rFonts w:ascii="Arial" w:hAnsi="Arial" w:cs="Arial"/>
          <w:vertAlign w:val="superscript"/>
          <w:lang w:val="es-ES_tradnl"/>
        </w:rPr>
        <w:footnoteRef/>
      </w:r>
      <w:r w:rsidRPr="007E02A8">
        <w:rPr>
          <w:rFonts w:ascii="Arial" w:hAnsi="Arial" w:cs="Arial"/>
          <w:lang w:val="es-ES_tradnl"/>
        </w:rPr>
        <w:t xml:space="preserve"> </w:t>
      </w:r>
      <w:r w:rsidR="00C7139D">
        <w:rPr>
          <w:rFonts w:ascii="Arial" w:hAnsi="Arial" w:cs="Arial"/>
          <w:lang w:val="es-ES_tradnl"/>
        </w:rPr>
        <w:t xml:space="preserve">   </w:t>
      </w:r>
      <w:r w:rsidRPr="007E02A8">
        <w:rPr>
          <w:rFonts w:ascii="Arial" w:hAnsi="Arial" w:cs="Arial"/>
          <w:lang w:val="es-ES_tradnl"/>
        </w:rPr>
        <w:t>Por este ajuste, el costo de deudores incobrables se aumentó del 2% al 9% de los ingresos totales entre 2014 y 2015 (respectivamente, US$1</w:t>
      </w:r>
      <w:r w:rsidR="00EB3689">
        <w:rPr>
          <w:rFonts w:ascii="Arial" w:hAnsi="Arial" w:cs="Arial"/>
          <w:lang w:val="es-ES_tradnl"/>
        </w:rPr>
        <w:t>,1</w:t>
      </w:r>
      <w:r w:rsidRPr="007E02A8">
        <w:rPr>
          <w:rFonts w:ascii="Arial" w:hAnsi="Arial" w:cs="Arial"/>
          <w:lang w:val="es-ES_tradnl"/>
        </w:rPr>
        <w:t xml:space="preserve"> millón y US$6</w:t>
      </w:r>
      <w:r w:rsidR="00EB3689">
        <w:rPr>
          <w:rFonts w:ascii="Arial" w:hAnsi="Arial" w:cs="Arial"/>
          <w:lang w:val="es-ES_tradnl"/>
        </w:rPr>
        <w:t>,3</w:t>
      </w:r>
      <w:r w:rsidRPr="007E02A8">
        <w:rPr>
          <w:rFonts w:ascii="Arial" w:hAnsi="Arial" w:cs="Arial"/>
          <w:lang w:val="es-ES_tradnl"/>
        </w:rPr>
        <w:t xml:space="preserve"> millones).</w:t>
      </w:r>
    </w:p>
  </w:footnote>
  <w:footnote w:id="6">
    <w:p w14:paraId="2E719B67" w14:textId="77777777" w:rsidR="00C7139D" w:rsidRPr="00C7139D" w:rsidRDefault="00C7139D">
      <w:pPr>
        <w:pStyle w:val="FootnoteText"/>
        <w:rPr>
          <w:rFonts w:ascii="Arial" w:hAnsi="Arial" w:cs="Arial"/>
          <w:lang w:val="es-ES"/>
        </w:rPr>
      </w:pPr>
      <w:r w:rsidRPr="00C7139D">
        <w:rPr>
          <w:rStyle w:val="FootnoteReference"/>
          <w:rFonts w:ascii="Arial" w:hAnsi="Arial" w:cs="Arial"/>
        </w:rPr>
        <w:footnoteRef/>
      </w:r>
      <w:r w:rsidRPr="00C7139D">
        <w:rPr>
          <w:rFonts w:ascii="Arial" w:hAnsi="Arial" w:cs="Arial"/>
          <w:lang w:val="es-ES"/>
        </w:rPr>
        <w:t xml:space="preserve"> </w:t>
      </w:r>
      <w:r>
        <w:rPr>
          <w:rFonts w:ascii="Arial" w:hAnsi="Arial" w:cs="Arial"/>
          <w:lang w:val="es-ES"/>
        </w:rPr>
        <w:t xml:space="preserve">  </w:t>
      </w:r>
      <w:r w:rsidRPr="00C7139D">
        <w:rPr>
          <w:rFonts w:ascii="Arial" w:hAnsi="Arial" w:cs="Arial"/>
          <w:lang w:val="es-ES"/>
        </w:rPr>
        <w:t>Del diciembre de 2014 al diciembre de 2015, el peso uruguayo se depreció en un 22,9% (de 24,4 pesos/US$ a 29,9 pesos/US$).</w:t>
      </w:r>
    </w:p>
  </w:footnote>
  <w:footnote w:id="7">
    <w:p w14:paraId="57637B2F" w14:textId="77777777" w:rsidR="00A4530A" w:rsidRPr="00A4530A" w:rsidRDefault="00A4530A" w:rsidP="00A4530A">
      <w:pPr>
        <w:pStyle w:val="FootnoteText"/>
        <w:rPr>
          <w:rFonts w:ascii="Arial" w:hAnsi="Arial" w:cs="Arial"/>
          <w:lang w:val="es-ES"/>
        </w:rPr>
      </w:pPr>
      <w:r w:rsidRPr="00A4530A">
        <w:rPr>
          <w:rStyle w:val="FootnoteReference"/>
          <w:rFonts w:ascii="Arial" w:hAnsi="Arial" w:cs="Arial"/>
        </w:rPr>
        <w:footnoteRef/>
      </w:r>
      <w:r w:rsidRPr="00A4530A">
        <w:rPr>
          <w:rStyle w:val="FootnoteReference"/>
          <w:rFonts w:ascii="Arial" w:hAnsi="Arial" w:cs="Arial"/>
          <w:lang w:val="es-ES"/>
        </w:rPr>
        <w:t xml:space="preserve"> </w:t>
      </w:r>
      <w:r w:rsidRPr="00A4530A">
        <w:rPr>
          <w:rFonts w:ascii="Arial" w:hAnsi="Arial" w:cs="Arial"/>
          <w:lang w:val="es-ES"/>
        </w:rPr>
        <w:t xml:space="preserve">   Este rubro de la </w:t>
      </w:r>
      <w:r w:rsidRPr="00A4530A">
        <w:rPr>
          <w:rStyle w:val="FootnoteReference"/>
          <w:rFonts w:ascii="Arial" w:hAnsi="Arial" w:cs="Arial"/>
          <w:vertAlign w:val="baseline"/>
          <w:lang w:val="es-ES"/>
        </w:rPr>
        <w:t>Cobranzas en poder de la Intendencia refleja la diferencia entre</w:t>
      </w:r>
      <w:r w:rsidRPr="00A4530A">
        <w:rPr>
          <w:rFonts w:ascii="Arial" w:hAnsi="Arial" w:cs="Arial"/>
          <w:lang w:val="es-ES"/>
        </w:rPr>
        <w:t xml:space="preserve"> </w:t>
      </w:r>
      <w:r w:rsidRPr="00A4530A">
        <w:rPr>
          <w:rStyle w:val="FootnoteReference"/>
          <w:rFonts w:ascii="Arial" w:hAnsi="Arial" w:cs="Arial"/>
          <w:vertAlign w:val="baseline"/>
          <w:lang w:val="es-ES"/>
        </w:rPr>
        <w:t>lo cobrado por la IM por conceptos de Saneamiento y lo pagado por la IM, con fondos propios, por egresos del Sector Saneamiento.</w:t>
      </w:r>
    </w:p>
  </w:footnote>
  <w:footnote w:id="8">
    <w:p w14:paraId="1E799FD4" w14:textId="77777777" w:rsidR="006F29F6" w:rsidRPr="006F29F6" w:rsidRDefault="006F29F6">
      <w:pPr>
        <w:pStyle w:val="FootnoteText"/>
        <w:rPr>
          <w:rFonts w:ascii="Arial" w:hAnsi="Arial" w:cs="Arial"/>
          <w:lang w:val="es-ES"/>
        </w:rPr>
      </w:pPr>
      <w:r w:rsidRPr="006F29F6">
        <w:rPr>
          <w:rStyle w:val="FootnoteReference"/>
          <w:rFonts w:ascii="Arial" w:hAnsi="Arial" w:cs="Arial"/>
        </w:rPr>
        <w:footnoteRef/>
      </w:r>
      <w:r w:rsidRPr="006F29F6">
        <w:rPr>
          <w:rFonts w:ascii="Arial" w:hAnsi="Arial" w:cs="Arial"/>
          <w:lang w:val="es-ES"/>
        </w:rPr>
        <w:t xml:space="preserve"> </w:t>
      </w:r>
      <w:r>
        <w:rPr>
          <w:rFonts w:ascii="Arial" w:hAnsi="Arial" w:cs="Arial"/>
          <w:lang w:val="es-ES"/>
        </w:rPr>
        <w:t xml:space="preserve">   </w:t>
      </w:r>
      <w:r w:rsidRPr="006F29F6">
        <w:rPr>
          <w:rFonts w:ascii="Arial" w:hAnsi="Arial" w:cs="Arial"/>
          <w:lang w:val="es-ES_tradnl"/>
        </w:rPr>
        <w:t>Estos aportes incluyen aportes del gobierno central hasta por un 10% del total de los aportes de la IM.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3468A" w14:textId="77777777" w:rsidR="00CD4895" w:rsidRDefault="00CD48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78FE0" w14:textId="7E367B61" w:rsidR="00CD4895" w:rsidRDefault="00CD48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57A70" w14:textId="77777777" w:rsidR="00CD4895" w:rsidRDefault="00CD48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4C2B"/>
    <w:multiLevelType w:val="multilevel"/>
    <w:tmpl w:val="A4189D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B7FC9"/>
    <w:multiLevelType w:val="multilevel"/>
    <w:tmpl w:val="13BEADB6"/>
    <w:lvl w:ilvl="0">
      <w:start w:val="1"/>
      <w:numFmt w:val="decimal"/>
      <w:lvlText w:val="%1"/>
      <w:lvlJc w:val="left"/>
      <w:pPr>
        <w:ind w:left="720" w:hanging="432"/>
      </w:pPr>
      <w:rPr>
        <w:b/>
        <w:i w:val="0"/>
      </w:rPr>
    </w:lvl>
    <w:lvl w:ilvl="1">
      <w:start w:val="1"/>
      <w:numFmt w:val="decimal"/>
      <w:lvlText w:val="%1.%2"/>
      <w:lvlJc w:val="left"/>
      <w:pPr>
        <w:ind w:left="864" w:hanging="576"/>
      </w:pPr>
      <w:rPr>
        <w:lang w:val="es-ES"/>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
    <w:nsid w:val="0E452529"/>
    <w:multiLevelType w:val="multilevel"/>
    <w:tmpl w:val="90D0DE8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386"/>
        </w:tabs>
        <w:ind w:left="13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4DD07473"/>
    <w:multiLevelType w:val="multilevel"/>
    <w:tmpl w:val="A4189D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D8757E6"/>
    <w:multiLevelType w:val="multilevel"/>
    <w:tmpl w:val="61C092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nsid w:val="74C74592"/>
    <w:multiLevelType w:val="multilevel"/>
    <w:tmpl w:val="BBAE952C"/>
    <w:lvl w:ilvl="0">
      <w:start w:val="1"/>
      <w:numFmt w:val="upperRoman"/>
      <w:lvlText w:val="%1."/>
      <w:lvlJc w:val="left"/>
      <w:pPr>
        <w:tabs>
          <w:tab w:val="num" w:pos="-360"/>
        </w:tabs>
        <w:ind w:left="-72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440"/>
        </w:tabs>
        <w:ind w:left="360" w:firstLine="108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16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6">
    <w:nsid w:val="7D031E9E"/>
    <w:multiLevelType w:val="hybridMultilevel"/>
    <w:tmpl w:val="AEC2D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0"/>
  </w:num>
  <w:num w:numId="6">
    <w:abstractNumId w:val="3"/>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佐々木啓介">
    <w15:presenceInfo w15:providerId="Windows Live" w15:userId="927e5a27654e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738"/>
    <w:rsid w:val="00001CD3"/>
    <w:rsid w:val="000032EA"/>
    <w:rsid w:val="0000523F"/>
    <w:rsid w:val="00013CC3"/>
    <w:rsid w:val="00015986"/>
    <w:rsid w:val="00020000"/>
    <w:rsid w:val="00033C31"/>
    <w:rsid w:val="000631C0"/>
    <w:rsid w:val="000765FA"/>
    <w:rsid w:val="000A7E58"/>
    <w:rsid w:val="000B532D"/>
    <w:rsid w:val="000C2FEF"/>
    <w:rsid w:val="000E4862"/>
    <w:rsid w:val="0011459F"/>
    <w:rsid w:val="00133423"/>
    <w:rsid w:val="00143E29"/>
    <w:rsid w:val="00151AB2"/>
    <w:rsid w:val="0017351B"/>
    <w:rsid w:val="00186FB2"/>
    <w:rsid w:val="001C20A1"/>
    <w:rsid w:val="001F39DA"/>
    <w:rsid w:val="001F567D"/>
    <w:rsid w:val="001F7DD2"/>
    <w:rsid w:val="002008AD"/>
    <w:rsid w:val="00205797"/>
    <w:rsid w:val="00246F19"/>
    <w:rsid w:val="00263A43"/>
    <w:rsid w:val="00282F45"/>
    <w:rsid w:val="00284A8B"/>
    <w:rsid w:val="002867CE"/>
    <w:rsid w:val="002B4DDB"/>
    <w:rsid w:val="002D3DB6"/>
    <w:rsid w:val="002F699C"/>
    <w:rsid w:val="0030250F"/>
    <w:rsid w:val="00303ACF"/>
    <w:rsid w:val="003349C2"/>
    <w:rsid w:val="00354A29"/>
    <w:rsid w:val="00365327"/>
    <w:rsid w:val="00367F0E"/>
    <w:rsid w:val="003C2EB0"/>
    <w:rsid w:val="003D7D92"/>
    <w:rsid w:val="004040A8"/>
    <w:rsid w:val="00414F3A"/>
    <w:rsid w:val="00422A30"/>
    <w:rsid w:val="00424B20"/>
    <w:rsid w:val="00424F9E"/>
    <w:rsid w:val="00463D40"/>
    <w:rsid w:val="00467D66"/>
    <w:rsid w:val="00482CF6"/>
    <w:rsid w:val="004A514F"/>
    <w:rsid w:val="004A6388"/>
    <w:rsid w:val="005236A5"/>
    <w:rsid w:val="005642A8"/>
    <w:rsid w:val="00572473"/>
    <w:rsid w:val="005750C3"/>
    <w:rsid w:val="00583081"/>
    <w:rsid w:val="005A1C01"/>
    <w:rsid w:val="005B0324"/>
    <w:rsid w:val="005B04AC"/>
    <w:rsid w:val="005B252C"/>
    <w:rsid w:val="00654B1E"/>
    <w:rsid w:val="006706FF"/>
    <w:rsid w:val="00671720"/>
    <w:rsid w:val="006906B7"/>
    <w:rsid w:val="006960F4"/>
    <w:rsid w:val="006E271C"/>
    <w:rsid w:val="006F29F6"/>
    <w:rsid w:val="00704CD2"/>
    <w:rsid w:val="00733952"/>
    <w:rsid w:val="00745386"/>
    <w:rsid w:val="007911C2"/>
    <w:rsid w:val="007932F5"/>
    <w:rsid w:val="007C0006"/>
    <w:rsid w:val="007E02A8"/>
    <w:rsid w:val="007F13A4"/>
    <w:rsid w:val="00855708"/>
    <w:rsid w:val="00870643"/>
    <w:rsid w:val="00894738"/>
    <w:rsid w:val="008B1FD4"/>
    <w:rsid w:val="008F0430"/>
    <w:rsid w:val="008F121C"/>
    <w:rsid w:val="0091398D"/>
    <w:rsid w:val="00931F5F"/>
    <w:rsid w:val="00935818"/>
    <w:rsid w:val="0094183A"/>
    <w:rsid w:val="009551BA"/>
    <w:rsid w:val="00962850"/>
    <w:rsid w:val="009948B2"/>
    <w:rsid w:val="00995C08"/>
    <w:rsid w:val="009A3816"/>
    <w:rsid w:val="009D11A1"/>
    <w:rsid w:val="009D50E4"/>
    <w:rsid w:val="009E6B32"/>
    <w:rsid w:val="00A4530A"/>
    <w:rsid w:val="00A53AE8"/>
    <w:rsid w:val="00A760E8"/>
    <w:rsid w:val="00A805F6"/>
    <w:rsid w:val="00A86B56"/>
    <w:rsid w:val="00A86BFB"/>
    <w:rsid w:val="00AC76F4"/>
    <w:rsid w:val="00B1309E"/>
    <w:rsid w:val="00B32750"/>
    <w:rsid w:val="00B4202D"/>
    <w:rsid w:val="00B829EC"/>
    <w:rsid w:val="00B91217"/>
    <w:rsid w:val="00BB4F96"/>
    <w:rsid w:val="00BC38AE"/>
    <w:rsid w:val="00BE1722"/>
    <w:rsid w:val="00BE282E"/>
    <w:rsid w:val="00C35E49"/>
    <w:rsid w:val="00C373EA"/>
    <w:rsid w:val="00C553D5"/>
    <w:rsid w:val="00C7139D"/>
    <w:rsid w:val="00C71DBD"/>
    <w:rsid w:val="00C7578F"/>
    <w:rsid w:val="00C9779C"/>
    <w:rsid w:val="00CD4895"/>
    <w:rsid w:val="00CD6A9E"/>
    <w:rsid w:val="00CE2D05"/>
    <w:rsid w:val="00CF02C0"/>
    <w:rsid w:val="00D04CC0"/>
    <w:rsid w:val="00D07EB3"/>
    <w:rsid w:val="00D14FF1"/>
    <w:rsid w:val="00D36BAB"/>
    <w:rsid w:val="00D97C43"/>
    <w:rsid w:val="00DA7976"/>
    <w:rsid w:val="00DB09DD"/>
    <w:rsid w:val="00DB09F4"/>
    <w:rsid w:val="00E15BF6"/>
    <w:rsid w:val="00E46277"/>
    <w:rsid w:val="00E74B5B"/>
    <w:rsid w:val="00E84169"/>
    <w:rsid w:val="00E9547A"/>
    <w:rsid w:val="00E96B70"/>
    <w:rsid w:val="00EA3F86"/>
    <w:rsid w:val="00EB3689"/>
    <w:rsid w:val="00F446B5"/>
    <w:rsid w:val="00FB581A"/>
    <w:rsid w:val="00FC18EB"/>
    <w:rsid w:val="00FC5672"/>
    <w:rsid w:val="00FF2524"/>
    <w:rsid w:val="00FF5548"/>
    <w:rsid w:val="00FF5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32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47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947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3952"/>
    <w:pPr>
      <w:keepNext/>
      <w:tabs>
        <w:tab w:val="num" w:pos="1440"/>
      </w:tabs>
      <w:spacing w:before="120" w:after="60" w:line="240" w:lineRule="auto"/>
      <w:ind w:left="360"/>
      <w:outlineLvl w:val="2"/>
    </w:pPr>
    <w:rPr>
      <w:rFonts w:ascii="Times New Roman" w:eastAsia="MS Mincho" w:hAnsi="Times New Roman" w:cs="Times New Roman"/>
      <w:b/>
      <w:smallCaps/>
      <w:sz w:val="24"/>
      <w:szCs w:val="24"/>
      <w:lang w:eastAsia="en-US"/>
    </w:rPr>
  </w:style>
  <w:style w:type="paragraph" w:styleId="Heading4">
    <w:name w:val="heading 4"/>
    <w:basedOn w:val="Normal"/>
    <w:next w:val="Normal"/>
    <w:link w:val="Heading4Char"/>
    <w:qFormat/>
    <w:rsid w:val="00733952"/>
    <w:pPr>
      <w:keepNext/>
      <w:tabs>
        <w:tab w:val="num" w:pos="1800"/>
      </w:tabs>
      <w:spacing w:before="240" w:after="60" w:line="240" w:lineRule="auto"/>
      <w:ind w:left="1440"/>
      <w:outlineLvl w:val="3"/>
    </w:pPr>
    <w:rPr>
      <w:rFonts w:ascii="Arial" w:eastAsia="MS Mincho" w:hAnsi="Arial" w:cs="Times New Roman"/>
      <w:b/>
      <w:sz w:val="24"/>
      <w:szCs w:val="20"/>
      <w:lang w:eastAsia="en-US"/>
    </w:rPr>
  </w:style>
  <w:style w:type="paragraph" w:styleId="Heading5">
    <w:name w:val="heading 5"/>
    <w:basedOn w:val="Normal"/>
    <w:next w:val="Normal"/>
    <w:link w:val="Heading5Char"/>
    <w:qFormat/>
    <w:rsid w:val="00894738"/>
    <w:pPr>
      <w:numPr>
        <w:ilvl w:val="4"/>
        <w:numId w:val="1"/>
      </w:numPr>
      <w:spacing w:before="120" w:after="60" w:line="240" w:lineRule="auto"/>
      <w:outlineLvl w:val="4"/>
    </w:pPr>
    <w:rPr>
      <w:rFonts w:ascii="Times New Roman" w:eastAsia="MS Mincho" w:hAnsi="Times New Roman" w:cs="Times New Roman"/>
      <w:b/>
      <w:u w:val="words"/>
      <w:lang w:eastAsia="en-US"/>
    </w:rPr>
  </w:style>
  <w:style w:type="paragraph" w:styleId="Heading6">
    <w:name w:val="heading 6"/>
    <w:basedOn w:val="Normal"/>
    <w:next w:val="Normal"/>
    <w:link w:val="Heading6Char"/>
    <w:qFormat/>
    <w:rsid w:val="00894738"/>
    <w:pPr>
      <w:numPr>
        <w:ilvl w:val="5"/>
        <w:numId w:val="1"/>
      </w:numPr>
      <w:spacing w:before="240" w:after="60" w:line="240" w:lineRule="auto"/>
      <w:outlineLvl w:val="5"/>
    </w:pPr>
    <w:rPr>
      <w:rFonts w:ascii="Times New Roman" w:eastAsia="MS Mincho" w:hAnsi="Times New Roman" w:cs="Times New Roman"/>
      <w:i/>
      <w:szCs w:val="20"/>
      <w:lang w:eastAsia="en-US"/>
    </w:rPr>
  </w:style>
  <w:style w:type="paragraph" w:styleId="Heading7">
    <w:name w:val="heading 7"/>
    <w:basedOn w:val="Normal"/>
    <w:next w:val="Normal"/>
    <w:link w:val="Heading7Char"/>
    <w:qFormat/>
    <w:rsid w:val="00894738"/>
    <w:pPr>
      <w:numPr>
        <w:ilvl w:val="6"/>
        <w:numId w:val="1"/>
      </w:numPr>
      <w:spacing w:before="240" w:after="60" w:line="240" w:lineRule="auto"/>
      <w:outlineLvl w:val="6"/>
    </w:pPr>
    <w:rPr>
      <w:rFonts w:ascii="Arial" w:eastAsia="MS Mincho" w:hAnsi="Arial" w:cs="Times New Roman"/>
      <w:sz w:val="24"/>
      <w:szCs w:val="20"/>
      <w:lang w:eastAsia="en-US"/>
    </w:rPr>
  </w:style>
  <w:style w:type="paragraph" w:styleId="Heading8">
    <w:name w:val="heading 8"/>
    <w:basedOn w:val="Normal"/>
    <w:next w:val="Normal"/>
    <w:link w:val="Heading8Char"/>
    <w:qFormat/>
    <w:rsid w:val="00894738"/>
    <w:pPr>
      <w:numPr>
        <w:ilvl w:val="7"/>
        <w:numId w:val="1"/>
      </w:numPr>
      <w:spacing w:before="240" w:after="60" w:line="240" w:lineRule="auto"/>
      <w:outlineLvl w:val="7"/>
    </w:pPr>
    <w:rPr>
      <w:rFonts w:ascii="Arial" w:eastAsia="MS Mincho" w:hAnsi="Arial" w:cs="Times New Roman"/>
      <w:i/>
      <w:sz w:val="24"/>
      <w:szCs w:val="20"/>
      <w:lang w:eastAsia="en-US"/>
    </w:rPr>
  </w:style>
  <w:style w:type="paragraph" w:styleId="Heading9">
    <w:name w:val="heading 9"/>
    <w:basedOn w:val="Normal"/>
    <w:next w:val="Normal"/>
    <w:link w:val="Heading9Char"/>
    <w:qFormat/>
    <w:rsid w:val="00894738"/>
    <w:pPr>
      <w:numPr>
        <w:ilvl w:val="8"/>
        <w:numId w:val="1"/>
      </w:numPr>
      <w:spacing w:before="240" w:after="60" w:line="240" w:lineRule="auto"/>
      <w:outlineLvl w:val="8"/>
    </w:pPr>
    <w:rPr>
      <w:rFonts w:ascii="Arial" w:eastAsia="MS Mincho" w:hAnsi="Arial" w:cs="Times New Roman"/>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473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94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738"/>
    <w:rPr>
      <w:rFonts w:ascii="Tahoma" w:hAnsi="Tahoma" w:cs="Tahoma"/>
      <w:sz w:val="16"/>
      <w:szCs w:val="16"/>
    </w:rPr>
  </w:style>
  <w:style w:type="character" w:customStyle="1" w:styleId="Heading5Char">
    <w:name w:val="Heading 5 Char"/>
    <w:basedOn w:val="DefaultParagraphFont"/>
    <w:link w:val="Heading5"/>
    <w:rsid w:val="00894738"/>
    <w:rPr>
      <w:rFonts w:ascii="Times New Roman" w:eastAsia="MS Mincho" w:hAnsi="Times New Roman" w:cs="Times New Roman"/>
      <w:b/>
      <w:u w:val="words"/>
      <w:lang w:eastAsia="en-US"/>
    </w:rPr>
  </w:style>
  <w:style w:type="character" w:customStyle="1" w:styleId="Heading6Char">
    <w:name w:val="Heading 6 Char"/>
    <w:basedOn w:val="DefaultParagraphFont"/>
    <w:link w:val="Heading6"/>
    <w:rsid w:val="00894738"/>
    <w:rPr>
      <w:rFonts w:ascii="Times New Roman" w:eastAsia="MS Mincho" w:hAnsi="Times New Roman" w:cs="Times New Roman"/>
      <w:i/>
      <w:szCs w:val="20"/>
      <w:lang w:eastAsia="en-US"/>
    </w:rPr>
  </w:style>
  <w:style w:type="character" w:customStyle="1" w:styleId="Heading7Char">
    <w:name w:val="Heading 7 Char"/>
    <w:basedOn w:val="DefaultParagraphFont"/>
    <w:link w:val="Heading7"/>
    <w:rsid w:val="00894738"/>
    <w:rPr>
      <w:rFonts w:ascii="Arial" w:eastAsia="MS Mincho" w:hAnsi="Arial" w:cs="Times New Roman"/>
      <w:sz w:val="24"/>
      <w:szCs w:val="20"/>
      <w:lang w:eastAsia="en-US"/>
    </w:rPr>
  </w:style>
  <w:style w:type="character" w:customStyle="1" w:styleId="Heading8Char">
    <w:name w:val="Heading 8 Char"/>
    <w:basedOn w:val="DefaultParagraphFont"/>
    <w:link w:val="Heading8"/>
    <w:rsid w:val="00894738"/>
    <w:rPr>
      <w:rFonts w:ascii="Arial" w:eastAsia="MS Mincho" w:hAnsi="Arial" w:cs="Times New Roman"/>
      <w:i/>
      <w:sz w:val="24"/>
      <w:szCs w:val="20"/>
      <w:lang w:eastAsia="en-US"/>
    </w:rPr>
  </w:style>
  <w:style w:type="character" w:customStyle="1" w:styleId="Heading9Char">
    <w:name w:val="Heading 9 Char"/>
    <w:basedOn w:val="DefaultParagraphFont"/>
    <w:link w:val="Heading9"/>
    <w:rsid w:val="00894738"/>
    <w:rPr>
      <w:rFonts w:ascii="Arial" w:eastAsia="MS Mincho" w:hAnsi="Arial" w:cs="Times New Roman"/>
      <w:b/>
      <w:i/>
      <w:sz w:val="18"/>
      <w:szCs w:val="20"/>
      <w:lang w:eastAsia="en-US"/>
    </w:rPr>
  </w:style>
  <w:style w:type="paragraph" w:customStyle="1" w:styleId="FirstHeading">
    <w:name w:val="FirstHeading"/>
    <w:basedOn w:val="Normal"/>
    <w:next w:val="Normal"/>
    <w:rsid w:val="00894738"/>
    <w:pPr>
      <w:keepNext/>
      <w:numPr>
        <w:numId w:val="1"/>
      </w:numPr>
      <w:tabs>
        <w:tab w:val="left" w:pos="0"/>
        <w:tab w:val="left" w:pos="86"/>
      </w:tabs>
      <w:spacing w:before="120" w:after="120" w:line="240" w:lineRule="auto"/>
    </w:pPr>
    <w:rPr>
      <w:rFonts w:ascii="Times New Roman" w:eastAsia="MS Mincho" w:hAnsi="Times New Roman" w:cs="Times New Roman"/>
      <w:b/>
      <w:sz w:val="24"/>
      <w:szCs w:val="20"/>
      <w:lang w:val="es-ES" w:eastAsia="en-US"/>
    </w:rPr>
  </w:style>
  <w:style w:type="paragraph" w:customStyle="1" w:styleId="SecHeading">
    <w:name w:val="SecHeading"/>
    <w:basedOn w:val="Normal"/>
    <w:next w:val="Normal"/>
    <w:rsid w:val="00894738"/>
    <w:pPr>
      <w:keepNext/>
      <w:numPr>
        <w:ilvl w:val="1"/>
        <w:numId w:val="1"/>
      </w:numPr>
      <w:spacing w:before="120" w:after="120" w:line="240" w:lineRule="auto"/>
    </w:pPr>
    <w:rPr>
      <w:rFonts w:ascii="Times New Roman" w:eastAsia="MS Mincho" w:hAnsi="Times New Roman" w:cs="Times New Roman"/>
      <w:b/>
      <w:sz w:val="24"/>
      <w:szCs w:val="20"/>
      <w:lang w:val="es-ES_tradnl" w:eastAsia="en-US"/>
    </w:rPr>
  </w:style>
  <w:style w:type="paragraph" w:customStyle="1" w:styleId="SubHeading1">
    <w:name w:val="SubHeading1"/>
    <w:basedOn w:val="SecHeading"/>
    <w:rsid w:val="00894738"/>
    <w:pPr>
      <w:numPr>
        <w:ilvl w:val="2"/>
      </w:numPr>
      <w:tabs>
        <w:tab w:val="clear" w:pos="5976"/>
        <w:tab w:val="num" w:pos="1872"/>
      </w:tabs>
      <w:ind w:left="1872"/>
    </w:pPr>
  </w:style>
  <w:style w:type="paragraph" w:customStyle="1" w:styleId="Subheading2">
    <w:name w:val="Subheading2"/>
    <w:basedOn w:val="SecHeading"/>
    <w:rsid w:val="00894738"/>
    <w:pPr>
      <w:numPr>
        <w:ilvl w:val="3"/>
      </w:numPr>
      <w:tabs>
        <w:tab w:val="clear" w:pos="6480"/>
        <w:tab w:val="num" w:pos="2376"/>
      </w:tabs>
      <w:ind w:left="2376"/>
    </w:pPr>
  </w:style>
  <w:style w:type="character" w:customStyle="1" w:styleId="Heading1Char">
    <w:name w:val="Heading 1 Char"/>
    <w:basedOn w:val="DefaultParagraphFont"/>
    <w:link w:val="Heading1"/>
    <w:uiPriority w:val="9"/>
    <w:rsid w:val="008947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94738"/>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894738"/>
    <w:pPr>
      <w:tabs>
        <w:tab w:val="left" w:pos="3060"/>
      </w:tabs>
      <w:spacing w:after="0" w:line="240" w:lineRule="auto"/>
      <w:jc w:val="center"/>
    </w:pPr>
    <w:rPr>
      <w:rFonts w:ascii="Times New Roman" w:eastAsia="MS Mincho" w:hAnsi="Times New Roman" w:cs="Times New Roman"/>
      <w:sz w:val="24"/>
      <w:szCs w:val="20"/>
      <w:lang w:eastAsia="en-US"/>
    </w:rPr>
  </w:style>
  <w:style w:type="character" w:customStyle="1" w:styleId="BodyTextChar">
    <w:name w:val="Body Text Char"/>
    <w:basedOn w:val="DefaultParagraphFont"/>
    <w:link w:val="BodyText"/>
    <w:rsid w:val="00894738"/>
    <w:rPr>
      <w:rFonts w:ascii="Times New Roman" w:eastAsia="MS Mincho" w:hAnsi="Times New Roman" w:cs="Times New Roman"/>
      <w:sz w:val="24"/>
      <w:szCs w:val="20"/>
      <w:lang w:eastAsia="en-US"/>
    </w:rPr>
  </w:style>
  <w:style w:type="paragraph" w:customStyle="1" w:styleId="Chapter">
    <w:name w:val="Chapter"/>
    <w:basedOn w:val="Normal"/>
    <w:next w:val="Normal"/>
    <w:rsid w:val="00894738"/>
    <w:pPr>
      <w:keepNext/>
      <w:numPr>
        <w:numId w:val="3"/>
      </w:numPr>
      <w:tabs>
        <w:tab w:val="clear" w:pos="2088"/>
        <w:tab w:val="num" w:pos="648"/>
        <w:tab w:val="left" w:pos="1440"/>
      </w:tabs>
      <w:spacing w:before="240" w:after="240" w:line="240" w:lineRule="auto"/>
      <w:ind w:left="0"/>
      <w:jc w:val="center"/>
    </w:pPr>
    <w:rPr>
      <w:rFonts w:ascii="Times New Roman" w:eastAsia="MS Mincho" w:hAnsi="Times New Roman" w:cs="Times New Roman"/>
      <w:b/>
      <w:smallCaps/>
      <w:sz w:val="24"/>
      <w:szCs w:val="20"/>
      <w:lang w:val="es-ES" w:eastAsia="en-US"/>
    </w:rPr>
  </w:style>
  <w:style w:type="paragraph" w:styleId="FootnoteText">
    <w:name w:val="footnote text"/>
    <w:aliases w:val="fn,foottextfra,footnote,F"/>
    <w:basedOn w:val="Normal"/>
    <w:link w:val="FootnoteTextChar"/>
    <w:semiHidden/>
    <w:rsid w:val="00894738"/>
    <w:pPr>
      <w:keepNext/>
      <w:keepLines/>
      <w:spacing w:after="120" w:line="240" w:lineRule="auto"/>
      <w:ind w:left="288" w:hanging="288"/>
      <w:jc w:val="both"/>
    </w:pPr>
    <w:rPr>
      <w:rFonts w:ascii="Times New Roman" w:eastAsia="MS Mincho" w:hAnsi="Times New Roman" w:cs="Times New Roman"/>
      <w:spacing w:val="-3"/>
      <w:sz w:val="20"/>
      <w:szCs w:val="20"/>
      <w:lang w:eastAsia="en-US"/>
    </w:rPr>
  </w:style>
  <w:style w:type="character" w:customStyle="1" w:styleId="FootnoteTextChar">
    <w:name w:val="Footnote Text Char"/>
    <w:aliases w:val="fn Char,foottextfra Char,footnote Char,F Char"/>
    <w:basedOn w:val="DefaultParagraphFont"/>
    <w:link w:val="FootnoteText"/>
    <w:semiHidden/>
    <w:rsid w:val="00894738"/>
    <w:rPr>
      <w:rFonts w:ascii="Times New Roman" w:eastAsia="MS Mincho" w:hAnsi="Times New Roman" w:cs="Times New Roman"/>
      <w:spacing w:val="-3"/>
      <w:sz w:val="20"/>
      <w:szCs w:val="20"/>
      <w:lang w:eastAsia="en-US"/>
    </w:rPr>
  </w:style>
  <w:style w:type="paragraph" w:customStyle="1" w:styleId="Paragraph">
    <w:name w:val="Paragraph"/>
    <w:aliases w:val="paragraph,p,PARAGRAPH,PG,pa,at"/>
    <w:basedOn w:val="BodyTextIndent"/>
    <w:link w:val="ParagraphChar"/>
    <w:qFormat/>
    <w:rsid w:val="00894738"/>
    <w:pPr>
      <w:numPr>
        <w:ilvl w:val="1"/>
        <w:numId w:val="3"/>
      </w:numPr>
      <w:spacing w:before="120" w:line="240" w:lineRule="auto"/>
      <w:jc w:val="both"/>
      <w:outlineLvl w:val="1"/>
    </w:pPr>
    <w:rPr>
      <w:rFonts w:ascii="Times New Roman" w:eastAsia="MS Mincho" w:hAnsi="Times New Roman" w:cs="Times New Roman"/>
      <w:sz w:val="24"/>
      <w:szCs w:val="20"/>
      <w:lang w:val="es-ES" w:eastAsia="en-US"/>
    </w:rPr>
  </w:style>
  <w:style w:type="paragraph" w:customStyle="1" w:styleId="subpar">
    <w:name w:val="subpar"/>
    <w:basedOn w:val="BodyTextIndent3"/>
    <w:rsid w:val="00894738"/>
    <w:pPr>
      <w:numPr>
        <w:ilvl w:val="2"/>
        <w:numId w:val="3"/>
      </w:numPr>
      <w:tabs>
        <w:tab w:val="clear" w:pos="2592"/>
        <w:tab w:val="num" w:pos="360"/>
        <w:tab w:val="num" w:pos="1152"/>
      </w:tabs>
      <w:spacing w:before="120" w:line="240" w:lineRule="auto"/>
      <w:ind w:left="1152" w:firstLine="0"/>
      <w:jc w:val="both"/>
      <w:outlineLvl w:val="2"/>
    </w:pPr>
    <w:rPr>
      <w:rFonts w:ascii="Times New Roman" w:eastAsia="MS Mincho" w:hAnsi="Times New Roman" w:cs="Times New Roman"/>
      <w:sz w:val="24"/>
      <w:szCs w:val="20"/>
      <w:lang w:val="es-ES_tradnl" w:eastAsia="en-US"/>
    </w:rPr>
  </w:style>
  <w:style w:type="paragraph" w:customStyle="1" w:styleId="SubSubPar">
    <w:name w:val="SubSubPar"/>
    <w:basedOn w:val="subpar"/>
    <w:rsid w:val="00894738"/>
    <w:pPr>
      <w:numPr>
        <w:ilvl w:val="3"/>
      </w:numPr>
      <w:tabs>
        <w:tab w:val="clear" w:pos="3024"/>
        <w:tab w:val="left" w:pos="0"/>
        <w:tab w:val="num" w:pos="360"/>
        <w:tab w:val="num" w:pos="1152"/>
        <w:tab w:val="num" w:pos="1296"/>
      </w:tabs>
      <w:ind w:left="1296"/>
    </w:pPr>
  </w:style>
  <w:style w:type="character" w:styleId="FootnoteReference">
    <w:name w:val="footnote reference"/>
    <w:semiHidden/>
    <w:rsid w:val="00894738"/>
    <w:rPr>
      <w:vertAlign w:val="superscript"/>
    </w:rPr>
  </w:style>
  <w:style w:type="character" w:customStyle="1" w:styleId="ParagraphChar">
    <w:name w:val="Paragraph Char"/>
    <w:link w:val="Paragraph"/>
    <w:locked/>
    <w:rsid w:val="00894738"/>
    <w:rPr>
      <w:rFonts w:ascii="Times New Roman" w:eastAsia="MS Mincho" w:hAnsi="Times New Roman" w:cs="Times New Roman"/>
      <w:sz w:val="24"/>
      <w:szCs w:val="20"/>
      <w:lang w:val="es-ES" w:eastAsia="en-US"/>
    </w:rPr>
  </w:style>
  <w:style w:type="paragraph" w:styleId="BodyTextIndent">
    <w:name w:val="Body Text Indent"/>
    <w:basedOn w:val="Normal"/>
    <w:link w:val="BodyTextIndentChar"/>
    <w:uiPriority w:val="99"/>
    <w:semiHidden/>
    <w:unhideWhenUsed/>
    <w:rsid w:val="00894738"/>
    <w:pPr>
      <w:spacing w:after="120"/>
      <w:ind w:left="360"/>
    </w:pPr>
  </w:style>
  <w:style w:type="character" w:customStyle="1" w:styleId="BodyTextIndentChar">
    <w:name w:val="Body Text Indent Char"/>
    <w:basedOn w:val="DefaultParagraphFont"/>
    <w:link w:val="BodyTextIndent"/>
    <w:uiPriority w:val="99"/>
    <w:semiHidden/>
    <w:rsid w:val="00894738"/>
  </w:style>
  <w:style w:type="paragraph" w:styleId="BodyTextIndent3">
    <w:name w:val="Body Text Indent 3"/>
    <w:basedOn w:val="Normal"/>
    <w:link w:val="BodyTextIndent3Char"/>
    <w:uiPriority w:val="99"/>
    <w:semiHidden/>
    <w:unhideWhenUsed/>
    <w:rsid w:val="0089473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4738"/>
    <w:rPr>
      <w:sz w:val="16"/>
      <w:szCs w:val="16"/>
    </w:rPr>
  </w:style>
  <w:style w:type="paragraph" w:customStyle="1" w:styleId="Newpage">
    <w:name w:val="Newpage"/>
    <w:basedOn w:val="Chapter"/>
    <w:rsid w:val="000765FA"/>
    <w:pPr>
      <w:numPr>
        <w:numId w:val="0"/>
      </w:numPr>
      <w:tabs>
        <w:tab w:val="clear" w:pos="1440"/>
        <w:tab w:val="left" w:pos="3060"/>
      </w:tabs>
      <w:spacing w:after="0"/>
    </w:pPr>
    <w:rPr>
      <w:rFonts w:eastAsia="Times New Roman"/>
    </w:rPr>
  </w:style>
  <w:style w:type="paragraph" w:styleId="ListParagraph">
    <w:name w:val="List Paragraph"/>
    <w:basedOn w:val="Normal"/>
    <w:uiPriority w:val="34"/>
    <w:qFormat/>
    <w:rsid w:val="000B532D"/>
    <w:pPr>
      <w:ind w:left="720"/>
      <w:contextualSpacing/>
    </w:pPr>
  </w:style>
  <w:style w:type="character" w:customStyle="1" w:styleId="Heading3Char">
    <w:name w:val="Heading 3 Char"/>
    <w:basedOn w:val="DefaultParagraphFont"/>
    <w:link w:val="Heading3"/>
    <w:rsid w:val="00733952"/>
    <w:rPr>
      <w:rFonts w:ascii="Times New Roman" w:eastAsia="MS Mincho" w:hAnsi="Times New Roman" w:cs="Times New Roman"/>
      <w:b/>
      <w:smallCaps/>
      <w:sz w:val="24"/>
      <w:szCs w:val="24"/>
      <w:lang w:eastAsia="en-US"/>
    </w:rPr>
  </w:style>
  <w:style w:type="character" w:customStyle="1" w:styleId="Heading4Char">
    <w:name w:val="Heading 4 Char"/>
    <w:basedOn w:val="DefaultParagraphFont"/>
    <w:link w:val="Heading4"/>
    <w:rsid w:val="00733952"/>
    <w:rPr>
      <w:rFonts w:ascii="Arial" w:eastAsia="MS Mincho" w:hAnsi="Arial" w:cs="Times New Roman"/>
      <w:b/>
      <w:sz w:val="24"/>
      <w:szCs w:val="20"/>
      <w:lang w:eastAsia="en-US"/>
    </w:rPr>
  </w:style>
  <w:style w:type="character" w:styleId="CommentReference">
    <w:name w:val="annotation reference"/>
    <w:basedOn w:val="DefaultParagraphFont"/>
    <w:uiPriority w:val="99"/>
    <w:semiHidden/>
    <w:unhideWhenUsed/>
    <w:rsid w:val="00F446B5"/>
    <w:rPr>
      <w:sz w:val="18"/>
      <w:szCs w:val="18"/>
    </w:rPr>
  </w:style>
  <w:style w:type="paragraph" w:styleId="CommentText">
    <w:name w:val="annotation text"/>
    <w:basedOn w:val="Normal"/>
    <w:link w:val="CommentTextChar"/>
    <w:uiPriority w:val="99"/>
    <w:semiHidden/>
    <w:unhideWhenUsed/>
    <w:rsid w:val="00F446B5"/>
  </w:style>
  <w:style w:type="character" w:customStyle="1" w:styleId="CommentTextChar">
    <w:name w:val="Comment Text Char"/>
    <w:basedOn w:val="DefaultParagraphFont"/>
    <w:link w:val="CommentText"/>
    <w:uiPriority w:val="99"/>
    <w:semiHidden/>
    <w:rsid w:val="00F446B5"/>
  </w:style>
  <w:style w:type="paragraph" w:styleId="CommentSubject">
    <w:name w:val="annotation subject"/>
    <w:basedOn w:val="CommentText"/>
    <w:next w:val="CommentText"/>
    <w:link w:val="CommentSubjectChar"/>
    <w:uiPriority w:val="99"/>
    <w:semiHidden/>
    <w:unhideWhenUsed/>
    <w:rsid w:val="00F446B5"/>
    <w:rPr>
      <w:b/>
      <w:bCs/>
    </w:rPr>
  </w:style>
  <w:style w:type="character" w:customStyle="1" w:styleId="CommentSubjectChar">
    <w:name w:val="Comment Subject Char"/>
    <w:basedOn w:val="CommentTextChar"/>
    <w:link w:val="CommentSubject"/>
    <w:uiPriority w:val="99"/>
    <w:semiHidden/>
    <w:rsid w:val="00F446B5"/>
    <w:rPr>
      <w:b/>
      <w:bCs/>
    </w:rPr>
  </w:style>
  <w:style w:type="paragraph" w:styleId="Revision">
    <w:name w:val="Revision"/>
    <w:hidden/>
    <w:uiPriority w:val="99"/>
    <w:semiHidden/>
    <w:rsid w:val="00931F5F"/>
    <w:pPr>
      <w:spacing w:after="0" w:line="240" w:lineRule="auto"/>
    </w:pPr>
  </w:style>
  <w:style w:type="paragraph" w:styleId="Header">
    <w:name w:val="header"/>
    <w:basedOn w:val="Normal"/>
    <w:link w:val="HeaderChar"/>
    <w:uiPriority w:val="99"/>
    <w:unhideWhenUsed/>
    <w:rsid w:val="00CD4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895"/>
  </w:style>
  <w:style w:type="paragraph" w:styleId="Footer">
    <w:name w:val="footer"/>
    <w:basedOn w:val="Normal"/>
    <w:link w:val="FooterChar"/>
    <w:uiPriority w:val="99"/>
    <w:unhideWhenUsed/>
    <w:rsid w:val="00CD4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8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947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947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3952"/>
    <w:pPr>
      <w:keepNext/>
      <w:tabs>
        <w:tab w:val="num" w:pos="1440"/>
      </w:tabs>
      <w:spacing w:before="120" w:after="60" w:line="240" w:lineRule="auto"/>
      <w:ind w:left="360"/>
      <w:outlineLvl w:val="2"/>
    </w:pPr>
    <w:rPr>
      <w:rFonts w:ascii="Times New Roman" w:eastAsia="MS Mincho" w:hAnsi="Times New Roman" w:cs="Times New Roman"/>
      <w:b/>
      <w:smallCaps/>
      <w:sz w:val="24"/>
      <w:szCs w:val="24"/>
      <w:lang w:eastAsia="en-US"/>
    </w:rPr>
  </w:style>
  <w:style w:type="paragraph" w:styleId="Heading4">
    <w:name w:val="heading 4"/>
    <w:basedOn w:val="Normal"/>
    <w:next w:val="Normal"/>
    <w:link w:val="Heading4Char"/>
    <w:qFormat/>
    <w:rsid w:val="00733952"/>
    <w:pPr>
      <w:keepNext/>
      <w:tabs>
        <w:tab w:val="num" w:pos="1800"/>
      </w:tabs>
      <w:spacing w:before="240" w:after="60" w:line="240" w:lineRule="auto"/>
      <w:ind w:left="1440"/>
      <w:outlineLvl w:val="3"/>
    </w:pPr>
    <w:rPr>
      <w:rFonts w:ascii="Arial" w:eastAsia="MS Mincho" w:hAnsi="Arial" w:cs="Times New Roman"/>
      <w:b/>
      <w:sz w:val="24"/>
      <w:szCs w:val="20"/>
      <w:lang w:eastAsia="en-US"/>
    </w:rPr>
  </w:style>
  <w:style w:type="paragraph" w:styleId="Heading5">
    <w:name w:val="heading 5"/>
    <w:basedOn w:val="Normal"/>
    <w:next w:val="Normal"/>
    <w:link w:val="Heading5Char"/>
    <w:qFormat/>
    <w:rsid w:val="00894738"/>
    <w:pPr>
      <w:numPr>
        <w:ilvl w:val="4"/>
        <w:numId w:val="1"/>
      </w:numPr>
      <w:spacing w:before="120" w:after="60" w:line="240" w:lineRule="auto"/>
      <w:outlineLvl w:val="4"/>
    </w:pPr>
    <w:rPr>
      <w:rFonts w:ascii="Times New Roman" w:eastAsia="MS Mincho" w:hAnsi="Times New Roman" w:cs="Times New Roman"/>
      <w:b/>
      <w:u w:val="words"/>
      <w:lang w:eastAsia="en-US"/>
    </w:rPr>
  </w:style>
  <w:style w:type="paragraph" w:styleId="Heading6">
    <w:name w:val="heading 6"/>
    <w:basedOn w:val="Normal"/>
    <w:next w:val="Normal"/>
    <w:link w:val="Heading6Char"/>
    <w:qFormat/>
    <w:rsid w:val="00894738"/>
    <w:pPr>
      <w:numPr>
        <w:ilvl w:val="5"/>
        <w:numId w:val="1"/>
      </w:numPr>
      <w:spacing w:before="240" w:after="60" w:line="240" w:lineRule="auto"/>
      <w:outlineLvl w:val="5"/>
    </w:pPr>
    <w:rPr>
      <w:rFonts w:ascii="Times New Roman" w:eastAsia="MS Mincho" w:hAnsi="Times New Roman" w:cs="Times New Roman"/>
      <w:i/>
      <w:szCs w:val="20"/>
      <w:lang w:eastAsia="en-US"/>
    </w:rPr>
  </w:style>
  <w:style w:type="paragraph" w:styleId="Heading7">
    <w:name w:val="heading 7"/>
    <w:basedOn w:val="Normal"/>
    <w:next w:val="Normal"/>
    <w:link w:val="Heading7Char"/>
    <w:qFormat/>
    <w:rsid w:val="00894738"/>
    <w:pPr>
      <w:numPr>
        <w:ilvl w:val="6"/>
        <w:numId w:val="1"/>
      </w:numPr>
      <w:spacing w:before="240" w:after="60" w:line="240" w:lineRule="auto"/>
      <w:outlineLvl w:val="6"/>
    </w:pPr>
    <w:rPr>
      <w:rFonts w:ascii="Arial" w:eastAsia="MS Mincho" w:hAnsi="Arial" w:cs="Times New Roman"/>
      <w:sz w:val="24"/>
      <w:szCs w:val="20"/>
      <w:lang w:eastAsia="en-US"/>
    </w:rPr>
  </w:style>
  <w:style w:type="paragraph" w:styleId="Heading8">
    <w:name w:val="heading 8"/>
    <w:basedOn w:val="Normal"/>
    <w:next w:val="Normal"/>
    <w:link w:val="Heading8Char"/>
    <w:qFormat/>
    <w:rsid w:val="00894738"/>
    <w:pPr>
      <w:numPr>
        <w:ilvl w:val="7"/>
        <w:numId w:val="1"/>
      </w:numPr>
      <w:spacing w:before="240" w:after="60" w:line="240" w:lineRule="auto"/>
      <w:outlineLvl w:val="7"/>
    </w:pPr>
    <w:rPr>
      <w:rFonts w:ascii="Arial" w:eastAsia="MS Mincho" w:hAnsi="Arial" w:cs="Times New Roman"/>
      <w:i/>
      <w:sz w:val="24"/>
      <w:szCs w:val="20"/>
      <w:lang w:eastAsia="en-US"/>
    </w:rPr>
  </w:style>
  <w:style w:type="paragraph" w:styleId="Heading9">
    <w:name w:val="heading 9"/>
    <w:basedOn w:val="Normal"/>
    <w:next w:val="Normal"/>
    <w:link w:val="Heading9Char"/>
    <w:qFormat/>
    <w:rsid w:val="00894738"/>
    <w:pPr>
      <w:numPr>
        <w:ilvl w:val="8"/>
        <w:numId w:val="1"/>
      </w:numPr>
      <w:spacing w:before="240" w:after="60" w:line="240" w:lineRule="auto"/>
      <w:outlineLvl w:val="8"/>
    </w:pPr>
    <w:rPr>
      <w:rFonts w:ascii="Arial" w:eastAsia="MS Mincho" w:hAnsi="Arial" w:cs="Times New Roman"/>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473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94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738"/>
    <w:rPr>
      <w:rFonts w:ascii="Tahoma" w:hAnsi="Tahoma" w:cs="Tahoma"/>
      <w:sz w:val="16"/>
      <w:szCs w:val="16"/>
    </w:rPr>
  </w:style>
  <w:style w:type="character" w:customStyle="1" w:styleId="Heading5Char">
    <w:name w:val="Heading 5 Char"/>
    <w:basedOn w:val="DefaultParagraphFont"/>
    <w:link w:val="Heading5"/>
    <w:rsid w:val="00894738"/>
    <w:rPr>
      <w:rFonts w:ascii="Times New Roman" w:eastAsia="MS Mincho" w:hAnsi="Times New Roman" w:cs="Times New Roman"/>
      <w:b/>
      <w:u w:val="words"/>
      <w:lang w:eastAsia="en-US"/>
    </w:rPr>
  </w:style>
  <w:style w:type="character" w:customStyle="1" w:styleId="Heading6Char">
    <w:name w:val="Heading 6 Char"/>
    <w:basedOn w:val="DefaultParagraphFont"/>
    <w:link w:val="Heading6"/>
    <w:rsid w:val="00894738"/>
    <w:rPr>
      <w:rFonts w:ascii="Times New Roman" w:eastAsia="MS Mincho" w:hAnsi="Times New Roman" w:cs="Times New Roman"/>
      <w:i/>
      <w:szCs w:val="20"/>
      <w:lang w:eastAsia="en-US"/>
    </w:rPr>
  </w:style>
  <w:style w:type="character" w:customStyle="1" w:styleId="Heading7Char">
    <w:name w:val="Heading 7 Char"/>
    <w:basedOn w:val="DefaultParagraphFont"/>
    <w:link w:val="Heading7"/>
    <w:rsid w:val="00894738"/>
    <w:rPr>
      <w:rFonts w:ascii="Arial" w:eastAsia="MS Mincho" w:hAnsi="Arial" w:cs="Times New Roman"/>
      <w:sz w:val="24"/>
      <w:szCs w:val="20"/>
      <w:lang w:eastAsia="en-US"/>
    </w:rPr>
  </w:style>
  <w:style w:type="character" w:customStyle="1" w:styleId="Heading8Char">
    <w:name w:val="Heading 8 Char"/>
    <w:basedOn w:val="DefaultParagraphFont"/>
    <w:link w:val="Heading8"/>
    <w:rsid w:val="00894738"/>
    <w:rPr>
      <w:rFonts w:ascii="Arial" w:eastAsia="MS Mincho" w:hAnsi="Arial" w:cs="Times New Roman"/>
      <w:i/>
      <w:sz w:val="24"/>
      <w:szCs w:val="20"/>
      <w:lang w:eastAsia="en-US"/>
    </w:rPr>
  </w:style>
  <w:style w:type="character" w:customStyle="1" w:styleId="Heading9Char">
    <w:name w:val="Heading 9 Char"/>
    <w:basedOn w:val="DefaultParagraphFont"/>
    <w:link w:val="Heading9"/>
    <w:rsid w:val="00894738"/>
    <w:rPr>
      <w:rFonts w:ascii="Arial" w:eastAsia="MS Mincho" w:hAnsi="Arial" w:cs="Times New Roman"/>
      <w:b/>
      <w:i/>
      <w:sz w:val="18"/>
      <w:szCs w:val="20"/>
      <w:lang w:eastAsia="en-US"/>
    </w:rPr>
  </w:style>
  <w:style w:type="paragraph" w:customStyle="1" w:styleId="FirstHeading">
    <w:name w:val="FirstHeading"/>
    <w:basedOn w:val="Normal"/>
    <w:next w:val="Normal"/>
    <w:rsid w:val="00894738"/>
    <w:pPr>
      <w:keepNext/>
      <w:numPr>
        <w:numId w:val="1"/>
      </w:numPr>
      <w:tabs>
        <w:tab w:val="left" w:pos="0"/>
        <w:tab w:val="left" w:pos="86"/>
      </w:tabs>
      <w:spacing w:before="120" w:after="120" w:line="240" w:lineRule="auto"/>
    </w:pPr>
    <w:rPr>
      <w:rFonts w:ascii="Times New Roman" w:eastAsia="MS Mincho" w:hAnsi="Times New Roman" w:cs="Times New Roman"/>
      <w:b/>
      <w:sz w:val="24"/>
      <w:szCs w:val="20"/>
      <w:lang w:val="es-ES" w:eastAsia="en-US"/>
    </w:rPr>
  </w:style>
  <w:style w:type="paragraph" w:customStyle="1" w:styleId="SecHeading">
    <w:name w:val="SecHeading"/>
    <w:basedOn w:val="Normal"/>
    <w:next w:val="Normal"/>
    <w:rsid w:val="00894738"/>
    <w:pPr>
      <w:keepNext/>
      <w:numPr>
        <w:ilvl w:val="1"/>
        <w:numId w:val="1"/>
      </w:numPr>
      <w:spacing w:before="120" w:after="120" w:line="240" w:lineRule="auto"/>
    </w:pPr>
    <w:rPr>
      <w:rFonts w:ascii="Times New Roman" w:eastAsia="MS Mincho" w:hAnsi="Times New Roman" w:cs="Times New Roman"/>
      <w:b/>
      <w:sz w:val="24"/>
      <w:szCs w:val="20"/>
      <w:lang w:val="es-ES_tradnl" w:eastAsia="en-US"/>
    </w:rPr>
  </w:style>
  <w:style w:type="paragraph" w:customStyle="1" w:styleId="SubHeading1">
    <w:name w:val="SubHeading1"/>
    <w:basedOn w:val="SecHeading"/>
    <w:rsid w:val="00894738"/>
    <w:pPr>
      <w:numPr>
        <w:ilvl w:val="2"/>
      </w:numPr>
      <w:tabs>
        <w:tab w:val="clear" w:pos="5976"/>
        <w:tab w:val="num" w:pos="1872"/>
      </w:tabs>
      <w:ind w:left="1872"/>
    </w:pPr>
  </w:style>
  <w:style w:type="paragraph" w:customStyle="1" w:styleId="Subheading2">
    <w:name w:val="Subheading2"/>
    <w:basedOn w:val="SecHeading"/>
    <w:rsid w:val="00894738"/>
    <w:pPr>
      <w:numPr>
        <w:ilvl w:val="3"/>
      </w:numPr>
      <w:tabs>
        <w:tab w:val="clear" w:pos="6480"/>
        <w:tab w:val="num" w:pos="2376"/>
      </w:tabs>
      <w:ind w:left="2376"/>
    </w:pPr>
  </w:style>
  <w:style w:type="character" w:customStyle="1" w:styleId="Heading1Char">
    <w:name w:val="Heading 1 Char"/>
    <w:basedOn w:val="DefaultParagraphFont"/>
    <w:link w:val="Heading1"/>
    <w:uiPriority w:val="9"/>
    <w:rsid w:val="008947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94738"/>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894738"/>
    <w:pPr>
      <w:tabs>
        <w:tab w:val="left" w:pos="3060"/>
      </w:tabs>
      <w:spacing w:after="0" w:line="240" w:lineRule="auto"/>
      <w:jc w:val="center"/>
    </w:pPr>
    <w:rPr>
      <w:rFonts w:ascii="Times New Roman" w:eastAsia="MS Mincho" w:hAnsi="Times New Roman" w:cs="Times New Roman"/>
      <w:sz w:val="24"/>
      <w:szCs w:val="20"/>
      <w:lang w:eastAsia="en-US"/>
    </w:rPr>
  </w:style>
  <w:style w:type="character" w:customStyle="1" w:styleId="BodyTextChar">
    <w:name w:val="Body Text Char"/>
    <w:basedOn w:val="DefaultParagraphFont"/>
    <w:link w:val="BodyText"/>
    <w:rsid w:val="00894738"/>
    <w:rPr>
      <w:rFonts w:ascii="Times New Roman" w:eastAsia="MS Mincho" w:hAnsi="Times New Roman" w:cs="Times New Roman"/>
      <w:sz w:val="24"/>
      <w:szCs w:val="20"/>
      <w:lang w:eastAsia="en-US"/>
    </w:rPr>
  </w:style>
  <w:style w:type="paragraph" w:customStyle="1" w:styleId="Chapter">
    <w:name w:val="Chapter"/>
    <w:basedOn w:val="Normal"/>
    <w:next w:val="Normal"/>
    <w:rsid w:val="00894738"/>
    <w:pPr>
      <w:keepNext/>
      <w:numPr>
        <w:numId w:val="3"/>
      </w:numPr>
      <w:tabs>
        <w:tab w:val="clear" w:pos="2088"/>
        <w:tab w:val="num" w:pos="648"/>
        <w:tab w:val="left" w:pos="1440"/>
      </w:tabs>
      <w:spacing w:before="240" w:after="240" w:line="240" w:lineRule="auto"/>
      <w:ind w:left="0"/>
      <w:jc w:val="center"/>
    </w:pPr>
    <w:rPr>
      <w:rFonts w:ascii="Times New Roman" w:eastAsia="MS Mincho" w:hAnsi="Times New Roman" w:cs="Times New Roman"/>
      <w:b/>
      <w:smallCaps/>
      <w:sz w:val="24"/>
      <w:szCs w:val="20"/>
      <w:lang w:val="es-ES" w:eastAsia="en-US"/>
    </w:rPr>
  </w:style>
  <w:style w:type="paragraph" w:styleId="FootnoteText">
    <w:name w:val="footnote text"/>
    <w:aliases w:val="fn,foottextfra,footnote,F"/>
    <w:basedOn w:val="Normal"/>
    <w:link w:val="FootnoteTextChar"/>
    <w:semiHidden/>
    <w:rsid w:val="00894738"/>
    <w:pPr>
      <w:keepNext/>
      <w:keepLines/>
      <w:spacing w:after="120" w:line="240" w:lineRule="auto"/>
      <w:ind w:left="288" w:hanging="288"/>
      <w:jc w:val="both"/>
    </w:pPr>
    <w:rPr>
      <w:rFonts w:ascii="Times New Roman" w:eastAsia="MS Mincho" w:hAnsi="Times New Roman" w:cs="Times New Roman"/>
      <w:spacing w:val="-3"/>
      <w:sz w:val="20"/>
      <w:szCs w:val="20"/>
      <w:lang w:eastAsia="en-US"/>
    </w:rPr>
  </w:style>
  <w:style w:type="character" w:customStyle="1" w:styleId="FootnoteTextChar">
    <w:name w:val="Footnote Text Char"/>
    <w:aliases w:val="fn Char,foottextfra Char,footnote Char,F Char"/>
    <w:basedOn w:val="DefaultParagraphFont"/>
    <w:link w:val="FootnoteText"/>
    <w:semiHidden/>
    <w:rsid w:val="00894738"/>
    <w:rPr>
      <w:rFonts w:ascii="Times New Roman" w:eastAsia="MS Mincho" w:hAnsi="Times New Roman" w:cs="Times New Roman"/>
      <w:spacing w:val="-3"/>
      <w:sz w:val="20"/>
      <w:szCs w:val="20"/>
      <w:lang w:eastAsia="en-US"/>
    </w:rPr>
  </w:style>
  <w:style w:type="paragraph" w:customStyle="1" w:styleId="Paragraph">
    <w:name w:val="Paragraph"/>
    <w:aliases w:val="paragraph,p,PARAGRAPH,PG,pa,at"/>
    <w:basedOn w:val="BodyTextIndent"/>
    <w:link w:val="ParagraphChar"/>
    <w:qFormat/>
    <w:rsid w:val="00894738"/>
    <w:pPr>
      <w:numPr>
        <w:ilvl w:val="1"/>
        <w:numId w:val="3"/>
      </w:numPr>
      <w:spacing w:before="120" w:line="240" w:lineRule="auto"/>
      <w:jc w:val="both"/>
      <w:outlineLvl w:val="1"/>
    </w:pPr>
    <w:rPr>
      <w:rFonts w:ascii="Times New Roman" w:eastAsia="MS Mincho" w:hAnsi="Times New Roman" w:cs="Times New Roman"/>
      <w:sz w:val="24"/>
      <w:szCs w:val="20"/>
      <w:lang w:val="es-ES" w:eastAsia="en-US"/>
    </w:rPr>
  </w:style>
  <w:style w:type="paragraph" w:customStyle="1" w:styleId="subpar">
    <w:name w:val="subpar"/>
    <w:basedOn w:val="BodyTextIndent3"/>
    <w:rsid w:val="00894738"/>
    <w:pPr>
      <w:numPr>
        <w:ilvl w:val="2"/>
        <w:numId w:val="3"/>
      </w:numPr>
      <w:tabs>
        <w:tab w:val="clear" w:pos="2592"/>
        <w:tab w:val="num" w:pos="360"/>
        <w:tab w:val="num" w:pos="1152"/>
      </w:tabs>
      <w:spacing w:before="120" w:line="240" w:lineRule="auto"/>
      <w:ind w:left="1152" w:firstLine="0"/>
      <w:jc w:val="both"/>
      <w:outlineLvl w:val="2"/>
    </w:pPr>
    <w:rPr>
      <w:rFonts w:ascii="Times New Roman" w:eastAsia="MS Mincho" w:hAnsi="Times New Roman" w:cs="Times New Roman"/>
      <w:sz w:val="24"/>
      <w:szCs w:val="20"/>
      <w:lang w:val="es-ES_tradnl" w:eastAsia="en-US"/>
    </w:rPr>
  </w:style>
  <w:style w:type="paragraph" w:customStyle="1" w:styleId="SubSubPar">
    <w:name w:val="SubSubPar"/>
    <w:basedOn w:val="subpar"/>
    <w:rsid w:val="00894738"/>
    <w:pPr>
      <w:numPr>
        <w:ilvl w:val="3"/>
      </w:numPr>
      <w:tabs>
        <w:tab w:val="clear" w:pos="3024"/>
        <w:tab w:val="left" w:pos="0"/>
        <w:tab w:val="num" w:pos="360"/>
        <w:tab w:val="num" w:pos="1152"/>
        <w:tab w:val="num" w:pos="1296"/>
      </w:tabs>
      <w:ind w:left="1296"/>
    </w:pPr>
  </w:style>
  <w:style w:type="character" w:styleId="FootnoteReference">
    <w:name w:val="footnote reference"/>
    <w:semiHidden/>
    <w:rsid w:val="00894738"/>
    <w:rPr>
      <w:vertAlign w:val="superscript"/>
    </w:rPr>
  </w:style>
  <w:style w:type="character" w:customStyle="1" w:styleId="ParagraphChar">
    <w:name w:val="Paragraph Char"/>
    <w:link w:val="Paragraph"/>
    <w:locked/>
    <w:rsid w:val="00894738"/>
    <w:rPr>
      <w:rFonts w:ascii="Times New Roman" w:eastAsia="MS Mincho" w:hAnsi="Times New Roman" w:cs="Times New Roman"/>
      <w:sz w:val="24"/>
      <w:szCs w:val="20"/>
      <w:lang w:val="es-ES" w:eastAsia="en-US"/>
    </w:rPr>
  </w:style>
  <w:style w:type="paragraph" w:styleId="BodyTextIndent">
    <w:name w:val="Body Text Indent"/>
    <w:basedOn w:val="Normal"/>
    <w:link w:val="BodyTextIndentChar"/>
    <w:uiPriority w:val="99"/>
    <w:semiHidden/>
    <w:unhideWhenUsed/>
    <w:rsid w:val="00894738"/>
    <w:pPr>
      <w:spacing w:after="120"/>
      <w:ind w:left="360"/>
    </w:pPr>
  </w:style>
  <w:style w:type="character" w:customStyle="1" w:styleId="BodyTextIndentChar">
    <w:name w:val="Body Text Indent Char"/>
    <w:basedOn w:val="DefaultParagraphFont"/>
    <w:link w:val="BodyTextIndent"/>
    <w:uiPriority w:val="99"/>
    <w:semiHidden/>
    <w:rsid w:val="00894738"/>
  </w:style>
  <w:style w:type="paragraph" w:styleId="BodyTextIndent3">
    <w:name w:val="Body Text Indent 3"/>
    <w:basedOn w:val="Normal"/>
    <w:link w:val="BodyTextIndent3Char"/>
    <w:uiPriority w:val="99"/>
    <w:semiHidden/>
    <w:unhideWhenUsed/>
    <w:rsid w:val="0089473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4738"/>
    <w:rPr>
      <w:sz w:val="16"/>
      <w:szCs w:val="16"/>
    </w:rPr>
  </w:style>
  <w:style w:type="paragraph" w:customStyle="1" w:styleId="Newpage">
    <w:name w:val="Newpage"/>
    <w:basedOn w:val="Chapter"/>
    <w:rsid w:val="000765FA"/>
    <w:pPr>
      <w:numPr>
        <w:numId w:val="0"/>
      </w:numPr>
      <w:tabs>
        <w:tab w:val="clear" w:pos="1440"/>
        <w:tab w:val="left" w:pos="3060"/>
      </w:tabs>
      <w:spacing w:after="0"/>
    </w:pPr>
    <w:rPr>
      <w:rFonts w:eastAsia="Times New Roman"/>
    </w:rPr>
  </w:style>
  <w:style w:type="paragraph" w:styleId="ListParagraph">
    <w:name w:val="List Paragraph"/>
    <w:basedOn w:val="Normal"/>
    <w:uiPriority w:val="34"/>
    <w:qFormat/>
    <w:rsid w:val="000B532D"/>
    <w:pPr>
      <w:ind w:left="720"/>
      <w:contextualSpacing/>
    </w:pPr>
  </w:style>
  <w:style w:type="character" w:customStyle="1" w:styleId="Heading3Char">
    <w:name w:val="Heading 3 Char"/>
    <w:basedOn w:val="DefaultParagraphFont"/>
    <w:link w:val="Heading3"/>
    <w:rsid w:val="00733952"/>
    <w:rPr>
      <w:rFonts w:ascii="Times New Roman" w:eastAsia="MS Mincho" w:hAnsi="Times New Roman" w:cs="Times New Roman"/>
      <w:b/>
      <w:smallCaps/>
      <w:sz w:val="24"/>
      <w:szCs w:val="24"/>
      <w:lang w:eastAsia="en-US"/>
    </w:rPr>
  </w:style>
  <w:style w:type="character" w:customStyle="1" w:styleId="Heading4Char">
    <w:name w:val="Heading 4 Char"/>
    <w:basedOn w:val="DefaultParagraphFont"/>
    <w:link w:val="Heading4"/>
    <w:rsid w:val="00733952"/>
    <w:rPr>
      <w:rFonts w:ascii="Arial" w:eastAsia="MS Mincho" w:hAnsi="Arial" w:cs="Times New Roman"/>
      <w:b/>
      <w:sz w:val="24"/>
      <w:szCs w:val="20"/>
      <w:lang w:eastAsia="en-US"/>
    </w:rPr>
  </w:style>
  <w:style w:type="character" w:styleId="CommentReference">
    <w:name w:val="annotation reference"/>
    <w:basedOn w:val="DefaultParagraphFont"/>
    <w:uiPriority w:val="99"/>
    <w:semiHidden/>
    <w:unhideWhenUsed/>
    <w:rsid w:val="00F446B5"/>
    <w:rPr>
      <w:sz w:val="18"/>
      <w:szCs w:val="18"/>
    </w:rPr>
  </w:style>
  <w:style w:type="paragraph" w:styleId="CommentText">
    <w:name w:val="annotation text"/>
    <w:basedOn w:val="Normal"/>
    <w:link w:val="CommentTextChar"/>
    <w:uiPriority w:val="99"/>
    <w:semiHidden/>
    <w:unhideWhenUsed/>
    <w:rsid w:val="00F446B5"/>
  </w:style>
  <w:style w:type="character" w:customStyle="1" w:styleId="CommentTextChar">
    <w:name w:val="Comment Text Char"/>
    <w:basedOn w:val="DefaultParagraphFont"/>
    <w:link w:val="CommentText"/>
    <w:uiPriority w:val="99"/>
    <w:semiHidden/>
    <w:rsid w:val="00F446B5"/>
  </w:style>
  <w:style w:type="paragraph" w:styleId="CommentSubject">
    <w:name w:val="annotation subject"/>
    <w:basedOn w:val="CommentText"/>
    <w:next w:val="CommentText"/>
    <w:link w:val="CommentSubjectChar"/>
    <w:uiPriority w:val="99"/>
    <w:semiHidden/>
    <w:unhideWhenUsed/>
    <w:rsid w:val="00F446B5"/>
    <w:rPr>
      <w:b/>
      <w:bCs/>
    </w:rPr>
  </w:style>
  <w:style w:type="character" w:customStyle="1" w:styleId="CommentSubjectChar">
    <w:name w:val="Comment Subject Char"/>
    <w:basedOn w:val="CommentTextChar"/>
    <w:link w:val="CommentSubject"/>
    <w:uiPriority w:val="99"/>
    <w:semiHidden/>
    <w:rsid w:val="00F446B5"/>
    <w:rPr>
      <w:b/>
      <w:bCs/>
    </w:rPr>
  </w:style>
  <w:style w:type="paragraph" w:styleId="Revision">
    <w:name w:val="Revision"/>
    <w:hidden/>
    <w:uiPriority w:val="99"/>
    <w:semiHidden/>
    <w:rsid w:val="00931F5F"/>
    <w:pPr>
      <w:spacing w:after="0" w:line="240" w:lineRule="auto"/>
    </w:pPr>
  </w:style>
  <w:style w:type="paragraph" w:styleId="Header">
    <w:name w:val="header"/>
    <w:basedOn w:val="Normal"/>
    <w:link w:val="HeaderChar"/>
    <w:uiPriority w:val="99"/>
    <w:unhideWhenUsed/>
    <w:rsid w:val="00CD4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895"/>
  </w:style>
  <w:style w:type="paragraph" w:styleId="Footer">
    <w:name w:val="footer"/>
    <w:basedOn w:val="Normal"/>
    <w:link w:val="FooterChar"/>
    <w:uiPriority w:val="99"/>
    <w:unhideWhenUsed/>
    <w:rsid w:val="00CD4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0097">
      <w:bodyDiv w:val="1"/>
      <w:marLeft w:val="0"/>
      <w:marRight w:val="0"/>
      <w:marTop w:val="0"/>
      <w:marBottom w:val="0"/>
      <w:divBdr>
        <w:top w:val="none" w:sz="0" w:space="0" w:color="auto"/>
        <w:left w:val="none" w:sz="0" w:space="0" w:color="auto"/>
        <w:bottom w:val="none" w:sz="0" w:space="0" w:color="auto"/>
        <w:right w:val="none" w:sz="0" w:space="0" w:color="auto"/>
      </w:divBdr>
    </w:div>
    <w:div w:id="106002291">
      <w:bodyDiv w:val="1"/>
      <w:marLeft w:val="0"/>
      <w:marRight w:val="0"/>
      <w:marTop w:val="0"/>
      <w:marBottom w:val="0"/>
      <w:divBdr>
        <w:top w:val="none" w:sz="0" w:space="0" w:color="auto"/>
        <w:left w:val="none" w:sz="0" w:space="0" w:color="auto"/>
        <w:bottom w:val="none" w:sz="0" w:space="0" w:color="auto"/>
        <w:right w:val="none" w:sz="0" w:space="0" w:color="auto"/>
      </w:divBdr>
    </w:div>
    <w:div w:id="199245832">
      <w:bodyDiv w:val="1"/>
      <w:marLeft w:val="0"/>
      <w:marRight w:val="0"/>
      <w:marTop w:val="0"/>
      <w:marBottom w:val="0"/>
      <w:divBdr>
        <w:top w:val="none" w:sz="0" w:space="0" w:color="auto"/>
        <w:left w:val="none" w:sz="0" w:space="0" w:color="auto"/>
        <w:bottom w:val="none" w:sz="0" w:space="0" w:color="auto"/>
        <w:right w:val="none" w:sz="0" w:space="0" w:color="auto"/>
      </w:divBdr>
    </w:div>
    <w:div w:id="293802055">
      <w:bodyDiv w:val="1"/>
      <w:marLeft w:val="0"/>
      <w:marRight w:val="0"/>
      <w:marTop w:val="0"/>
      <w:marBottom w:val="0"/>
      <w:divBdr>
        <w:top w:val="none" w:sz="0" w:space="0" w:color="auto"/>
        <w:left w:val="none" w:sz="0" w:space="0" w:color="auto"/>
        <w:bottom w:val="none" w:sz="0" w:space="0" w:color="auto"/>
        <w:right w:val="none" w:sz="0" w:space="0" w:color="auto"/>
      </w:divBdr>
    </w:div>
    <w:div w:id="336201378">
      <w:bodyDiv w:val="1"/>
      <w:marLeft w:val="0"/>
      <w:marRight w:val="0"/>
      <w:marTop w:val="0"/>
      <w:marBottom w:val="0"/>
      <w:divBdr>
        <w:top w:val="none" w:sz="0" w:space="0" w:color="auto"/>
        <w:left w:val="none" w:sz="0" w:space="0" w:color="auto"/>
        <w:bottom w:val="none" w:sz="0" w:space="0" w:color="auto"/>
        <w:right w:val="none" w:sz="0" w:space="0" w:color="auto"/>
      </w:divBdr>
    </w:div>
    <w:div w:id="350452986">
      <w:bodyDiv w:val="1"/>
      <w:marLeft w:val="0"/>
      <w:marRight w:val="0"/>
      <w:marTop w:val="0"/>
      <w:marBottom w:val="0"/>
      <w:divBdr>
        <w:top w:val="none" w:sz="0" w:space="0" w:color="auto"/>
        <w:left w:val="none" w:sz="0" w:space="0" w:color="auto"/>
        <w:bottom w:val="none" w:sz="0" w:space="0" w:color="auto"/>
        <w:right w:val="none" w:sz="0" w:space="0" w:color="auto"/>
      </w:divBdr>
    </w:div>
    <w:div w:id="356858726">
      <w:bodyDiv w:val="1"/>
      <w:marLeft w:val="0"/>
      <w:marRight w:val="0"/>
      <w:marTop w:val="0"/>
      <w:marBottom w:val="0"/>
      <w:divBdr>
        <w:top w:val="none" w:sz="0" w:space="0" w:color="auto"/>
        <w:left w:val="none" w:sz="0" w:space="0" w:color="auto"/>
        <w:bottom w:val="none" w:sz="0" w:space="0" w:color="auto"/>
        <w:right w:val="none" w:sz="0" w:space="0" w:color="auto"/>
      </w:divBdr>
    </w:div>
    <w:div w:id="365646265">
      <w:bodyDiv w:val="1"/>
      <w:marLeft w:val="0"/>
      <w:marRight w:val="0"/>
      <w:marTop w:val="0"/>
      <w:marBottom w:val="0"/>
      <w:divBdr>
        <w:top w:val="none" w:sz="0" w:space="0" w:color="auto"/>
        <w:left w:val="none" w:sz="0" w:space="0" w:color="auto"/>
        <w:bottom w:val="none" w:sz="0" w:space="0" w:color="auto"/>
        <w:right w:val="none" w:sz="0" w:space="0" w:color="auto"/>
      </w:divBdr>
    </w:div>
    <w:div w:id="383912608">
      <w:bodyDiv w:val="1"/>
      <w:marLeft w:val="0"/>
      <w:marRight w:val="0"/>
      <w:marTop w:val="0"/>
      <w:marBottom w:val="0"/>
      <w:divBdr>
        <w:top w:val="none" w:sz="0" w:space="0" w:color="auto"/>
        <w:left w:val="none" w:sz="0" w:space="0" w:color="auto"/>
        <w:bottom w:val="none" w:sz="0" w:space="0" w:color="auto"/>
        <w:right w:val="none" w:sz="0" w:space="0" w:color="auto"/>
      </w:divBdr>
    </w:div>
    <w:div w:id="414132930">
      <w:bodyDiv w:val="1"/>
      <w:marLeft w:val="0"/>
      <w:marRight w:val="0"/>
      <w:marTop w:val="0"/>
      <w:marBottom w:val="0"/>
      <w:divBdr>
        <w:top w:val="none" w:sz="0" w:space="0" w:color="auto"/>
        <w:left w:val="none" w:sz="0" w:space="0" w:color="auto"/>
        <w:bottom w:val="none" w:sz="0" w:space="0" w:color="auto"/>
        <w:right w:val="none" w:sz="0" w:space="0" w:color="auto"/>
      </w:divBdr>
    </w:div>
    <w:div w:id="446193802">
      <w:bodyDiv w:val="1"/>
      <w:marLeft w:val="0"/>
      <w:marRight w:val="0"/>
      <w:marTop w:val="0"/>
      <w:marBottom w:val="0"/>
      <w:divBdr>
        <w:top w:val="none" w:sz="0" w:space="0" w:color="auto"/>
        <w:left w:val="none" w:sz="0" w:space="0" w:color="auto"/>
        <w:bottom w:val="none" w:sz="0" w:space="0" w:color="auto"/>
        <w:right w:val="none" w:sz="0" w:space="0" w:color="auto"/>
      </w:divBdr>
    </w:div>
    <w:div w:id="465781579">
      <w:bodyDiv w:val="1"/>
      <w:marLeft w:val="0"/>
      <w:marRight w:val="0"/>
      <w:marTop w:val="0"/>
      <w:marBottom w:val="0"/>
      <w:divBdr>
        <w:top w:val="none" w:sz="0" w:space="0" w:color="auto"/>
        <w:left w:val="none" w:sz="0" w:space="0" w:color="auto"/>
        <w:bottom w:val="none" w:sz="0" w:space="0" w:color="auto"/>
        <w:right w:val="none" w:sz="0" w:space="0" w:color="auto"/>
      </w:divBdr>
    </w:div>
    <w:div w:id="481044083">
      <w:bodyDiv w:val="1"/>
      <w:marLeft w:val="0"/>
      <w:marRight w:val="0"/>
      <w:marTop w:val="0"/>
      <w:marBottom w:val="0"/>
      <w:divBdr>
        <w:top w:val="none" w:sz="0" w:space="0" w:color="auto"/>
        <w:left w:val="none" w:sz="0" w:space="0" w:color="auto"/>
        <w:bottom w:val="none" w:sz="0" w:space="0" w:color="auto"/>
        <w:right w:val="none" w:sz="0" w:space="0" w:color="auto"/>
      </w:divBdr>
    </w:div>
    <w:div w:id="547380165">
      <w:bodyDiv w:val="1"/>
      <w:marLeft w:val="0"/>
      <w:marRight w:val="0"/>
      <w:marTop w:val="0"/>
      <w:marBottom w:val="0"/>
      <w:divBdr>
        <w:top w:val="none" w:sz="0" w:space="0" w:color="auto"/>
        <w:left w:val="none" w:sz="0" w:space="0" w:color="auto"/>
        <w:bottom w:val="none" w:sz="0" w:space="0" w:color="auto"/>
        <w:right w:val="none" w:sz="0" w:space="0" w:color="auto"/>
      </w:divBdr>
    </w:div>
    <w:div w:id="551773309">
      <w:bodyDiv w:val="1"/>
      <w:marLeft w:val="0"/>
      <w:marRight w:val="0"/>
      <w:marTop w:val="0"/>
      <w:marBottom w:val="0"/>
      <w:divBdr>
        <w:top w:val="none" w:sz="0" w:space="0" w:color="auto"/>
        <w:left w:val="none" w:sz="0" w:space="0" w:color="auto"/>
        <w:bottom w:val="none" w:sz="0" w:space="0" w:color="auto"/>
        <w:right w:val="none" w:sz="0" w:space="0" w:color="auto"/>
      </w:divBdr>
    </w:div>
    <w:div w:id="570969939">
      <w:bodyDiv w:val="1"/>
      <w:marLeft w:val="0"/>
      <w:marRight w:val="0"/>
      <w:marTop w:val="0"/>
      <w:marBottom w:val="0"/>
      <w:divBdr>
        <w:top w:val="none" w:sz="0" w:space="0" w:color="auto"/>
        <w:left w:val="none" w:sz="0" w:space="0" w:color="auto"/>
        <w:bottom w:val="none" w:sz="0" w:space="0" w:color="auto"/>
        <w:right w:val="none" w:sz="0" w:space="0" w:color="auto"/>
      </w:divBdr>
    </w:div>
    <w:div w:id="598368103">
      <w:bodyDiv w:val="1"/>
      <w:marLeft w:val="0"/>
      <w:marRight w:val="0"/>
      <w:marTop w:val="0"/>
      <w:marBottom w:val="0"/>
      <w:divBdr>
        <w:top w:val="none" w:sz="0" w:space="0" w:color="auto"/>
        <w:left w:val="none" w:sz="0" w:space="0" w:color="auto"/>
        <w:bottom w:val="none" w:sz="0" w:space="0" w:color="auto"/>
        <w:right w:val="none" w:sz="0" w:space="0" w:color="auto"/>
      </w:divBdr>
    </w:div>
    <w:div w:id="614558957">
      <w:bodyDiv w:val="1"/>
      <w:marLeft w:val="0"/>
      <w:marRight w:val="0"/>
      <w:marTop w:val="0"/>
      <w:marBottom w:val="0"/>
      <w:divBdr>
        <w:top w:val="none" w:sz="0" w:space="0" w:color="auto"/>
        <w:left w:val="none" w:sz="0" w:space="0" w:color="auto"/>
        <w:bottom w:val="none" w:sz="0" w:space="0" w:color="auto"/>
        <w:right w:val="none" w:sz="0" w:space="0" w:color="auto"/>
      </w:divBdr>
    </w:div>
    <w:div w:id="661666546">
      <w:bodyDiv w:val="1"/>
      <w:marLeft w:val="0"/>
      <w:marRight w:val="0"/>
      <w:marTop w:val="0"/>
      <w:marBottom w:val="0"/>
      <w:divBdr>
        <w:top w:val="none" w:sz="0" w:space="0" w:color="auto"/>
        <w:left w:val="none" w:sz="0" w:space="0" w:color="auto"/>
        <w:bottom w:val="none" w:sz="0" w:space="0" w:color="auto"/>
        <w:right w:val="none" w:sz="0" w:space="0" w:color="auto"/>
      </w:divBdr>
    </w:div>
    <w:div w:id="733043599">
      <w:bodyDiv w:val="1"/>
      <w:marLeft w:val="0"/>
      <w:marRight w:val="0"/>
      <w:marTop w:val="0"/>
      <w:marBottom w:val="0"/>
      <w:divBdr>
        <w:top w:val="none" w:sz="0" w:space="0" w:color="auto"/>
        <w:left w:val="none" w:sz="0" w:space="0" w:color="auto"/>
        <w:bottom w:val="none" w:sz="0" w:space="0" w:color="auto"/>
        <w:right w:val="none" w:sz="0" w:space="0" w:color="auto"/>
      </w:divBdr>
    </w:div>
    <w:div w:id="733046518">
      <w:bodyDiv w:val="1"/>
      <w:marLeft w:val="0"/>
      <w:marRight w:val="0"/>
      <w:marTop w:val="0"/>
      <w:marBottom w:val="0"/>
      <w:divBdr>
        <w:top w:val="none" w:sz="0" w:space="0" w:color="auto"/>
        <w:left w:val="none" w:sz="0" w:space="0" w:color="auto"/>
        <w:bottom w:val="none" w:sz="0" w:space="0" w:color="auto"/>
        <w:right w:val="none" w:sz="0" w:space="0" w:color="auto"/>
      </w:divBdr>
    </w:div>
    <w:div w:id="780565257">
      <w:bodyDiv w:val="1"/>
      <w:marLeft w:val="0"/>
      <w:marRight w:val="0"/>
      <w:marTop w:val="0"/>
      <w:marBottom w:val="0"/>
      <w:divBdr>
        <w:top w:val="none" w:sz="0" w:space="0" w:color="auto"/>
        <w:left w:val="none" w:sz="0" w:space="0" w:color="auto"/>
        <w:bottom w:val="none" w:sz="0" w:space="0" w:color="auto"/>
        <w:right w:val="none" w:sz="0" w:space="0" w:color="auto"/>
      </w:divBdr>
    </w:div>
    <w:div w:id="842473567">
      <w:bodyDiv w:val="1"/>
      <w:marLeft w:val="0"/>
      <w:marRight w:val="0"/>
      <w:marTop w:val="0"/>
      <w:marBottom w:val="0"/>
      <w:divBdr>
        <w:top w:val="none" w:sz="0" w:space="0" w:color="auto"/>
        <w:left w:val="none" w:sz="0" w:space="0" w:color="auto"/>
        <w:bottom w:val="none" w:sz="0" w:space="0" w:color="auto"/>
        <w:right w:val="none" w:sz="0" w:space="0" w:color="auto"/>
      </w:divBdr>
    </w:div>
    <w:div w:id="873692184">
      <w:bodyDiv w:val="1"/>
      <w:marLeft w:val="0"/>
      <w:marRight w:val="0"/>
      <w:marTop w:val="0"/>
      <w:marBottom w:val="0"/>
      <w:divBdr>
        <w:top w:val="none" w:sz="0" w:space="0" w:color="auto"/>
        <w:left w:val="none" w:sz="0" w:space="0" w:color="auto"/>
        <w:bottom w:val="none" w:sz="0" w:space="0" w:color="auto"/>
        <w:right w:val="none" w:sz="0" w:space="0" w:color="auto"/>
      </w:divBdr>
    </w:div>
    <w:div w:id="874540125">
      <w:bodyDiv w:val="1"/>
      <w:marLeft w:val="0"/>
      <w:marRight w:val="0"/>
      <w:marTop w:val="0"/>
      <w:marBottom w:val="0"/>
      <w:divBdr>
        <w:top w:val="none" w:sz="0" w:space="0" w:color="auto"/>
        <w:left w:val="none" w:sz="0" w:space="0" w:color="auto"/>
        <w:bottom w:val="none" w:sz="0" w:space="0" w:color="auto"/>
        <w:right w:val="none" w:sz="0" w:space="0" w:color="auto"/>
      </w:divBdr>
    </w:div>
    <w:div w:id="878862015">
      <w:bodyDiv w:val="1"/>
      <w:marLeft w:val="0"/>
      <w:marRight w:val="0"/>
      <w:marTop w:val="0"/>
      <w:marBottom w:val="0"/>
      <w:divBdr>
        <w:top w:val="none" w:sz="0" w:space="0" w:color="auto"/>
        <w:left w:val="none" w:sz="0" w:space="0" w:color="auto"/>
        <w:bottom w:val="none" w:sz="0" w:space="0" w:color="auto"/>
        <w:right w:val="none" w:sz="0" w:space="0" w:color="auto"/>
      </w:divBdr>
    </w:div>
    <w:div w:id="953749705">
      <w:bodyDiv w:val="1"/>
      <w:marLeft w:val="0"/>
      <w:marRight w:val="0"/>
      <w:marTop w:val="0"/>
      <w:marBottom w:val="0"/>
      <w:divBdr>
        <w:top w:val="none" w:sz="0" w:space="0" w:color="auto"/>
        <w:left w:val="none" w:sz="0" w:space="0" w:color="auto"/>
        <w:bottom w:val="none" w:sz="0" w:space="0" w:color="auto"/>
        <w:right w:val="none" w:sz="0" w:space="0" w:color="auto"/>
      </w:divBdr>
    </w:div>
    <w:div w:id="957222508">
      <w:bodyDiv w:val="1"/>
      <w:marLeft w:val="0"/>
      <w:marRight w:val="0"/>
      <w:marTop w:val="0"/>
      <w:marBottom w:val="0"/>
      <w:divBdr>
        <w:top w:val="none" w:sz="0" w:space="0" w:color="auto"/>
        <w:left w:val="none" w:sz="0" w:space="0" w:color="auto"/>
        <w:bottom w:val="none" w:sz="0" w:space="0" w:color="auto"/>
        <w:right w:val="none" w:sz="0" w:space="0" w:color="auto"/>
      </w:divBdr>
    </w:div>
    <w:div w:id="969475338">
      <w:bodyDiv w:val="1"/>
      <w:marLeft w:val="0"/>
      <w:marRight w:val="0"/>
      <w:marTop w:val="0"/>
      <w:marBottom w:val="0"/>
      <w:divBdr>
        <w:top w:val="none" w:sz="0" w:space="0" w:color="auto"/>
        <w:left w:val="none" w:sz="0" w:space="0" w:color="auto"/>
        <w:bottom w:val="none" w:sz="0" w:space="0" w:color="auto"/>
        <w:right w:val="none" w:sz="0" w:space="0" w:color="auto"/>
      </w:divBdr>
    </w:div>
    <w:div w:id="985166195">
      <w:bodyDiv w:val="1"/>
      <w:marLeft w:val="0"/>
      <w:marRight w:val="0"/>
      <w:marTop w:val="0"/>
      <w:marBottom w:val="0"/>
      <w:divBdr>
        <w:top w:val="none" w:sz="0" w:space="0" w:color="auto"/>
        <w:left w:val="none" w:sz="0" w:space="0" w:color="auto"/>
        <w:bottom w:val="none" w:sz="0" w:space="0" w:color="auto"/>
        <w:right w:val="none" w:sz="0" w:space="0" w:color="auto"/>
      </w:divBdr>
    </w:div>
    <w:div w:id="985431844">
      <w:bodyDiv w:val="1"/>
      <w:marLeft w:val="0"/>
      <w:marRight w:val="0"/>
      <w:marTop w:val="0"/>
      <w:marBottom w:val="0"/>
      <w:divBdr>
        <w:top w:val="none" w:sz="0" w:space="0" w:color="auto"/>
        <w:left w:val="none" w:sz="0" w:space="0" w:color="auto"/>
        <w:bottom w:val="none" w:sz="0" w:space="0" w:color="auto"/>
        <w:right w:val="none" w:sz="0" w:space="0" w:color="auto"/>
      </w:divBdr>
    </w:div>
    <w:div w:id="986323884">
      <w:bodyDiv w:val="1"/>
      <w:marLeft w:val="0"/>
      <w:marRight w:val="0"/>
      <w:marTop w:val="0"/>
      <w:marBottom w:val="0"/>
      <w:divBdr>
        <w:top w:val="none" w:sz="0" w:space="0" w:color="auto"/>
        <w:left w:val="none" w:sz="0" w:space="0" w:color="auto"/>
        <w:bottom w:val="none" w:sz="0" w:space="0" w:color="auto"/>
        <w:right w:val="none" w:sz="0" w:space="0" w:color="auto"/>
      </w:divBdr>
    </w:div>
    <w:div w:id="1005668371">
      <w:bodyDiv w:val="1"/>
      <w:marLeft w:val="0"/>
      <w:marRight w:val="0"/>
      <w:marTop w:val="0"/>
      <w:marBottom w:val="0"/>
      <w:divBdr>
        <w:top w:val="none" w:sz="0" w:space="0" w:color="auto"/>
        <w:left w:val="none" w:sz="0" w:space="0" w:color="auto"/>
        <w:bottom w:val="none" w:sz="0" w:space="0" w:color="auto"/>
        <w:right w:val="none" w:sz="0" w:space="0" w:color="auto"/>
      </w:divBdr>
    </w:div>
    <w:div w:id="1041368137">
      <w:bodyDiv w:val="1"/>
      <w:marLeft w:val="0"/>
      <w:marRight w:val="0"/>
      <w:marTop w:val="0"/>
      <w:marBottom w:val="0"/>
      <w:divBdr>
        <w:top w:val="none" w:sz="0" w:space="0" w:color="auto"/>
        <w:left w:val="none" w:sz="0" w:space="0" w:color="auto"/>
        <w:bottom w:val="none" w:sz="0" w:space="0" w:color="auto"/>
        <w:right w:val="none" w:sz="0" w:space="0" w:color="auto"/>
      </w:divBdr>
    </w:div>
    <w:div w:id="1091850903">
      <w:bodyDiv w:val="1"/>
      <w:marLeft w:val="0"/>
      <w:marRight w:val="0"/>
      <w:marTop w:val="0"/>
      <w:marBottom w:val="0"/>
      <w:divBdr>
        <w:top w:val="none" w:sz="0" w:space="0" w:color="auto"/>
        <w:left w:val="none" w:sz="0" w:space="0" w:color="auto"/>
        <w:bottom w:val="none" w:sz="0" w:space="0" w:color="auto"/>
        <w:right w:val="none" w:sz="0" w:space="0" w:color="auto"/>
      </w:divBdr>
    </w:div>
    <w:div w:id="1476794878">
      <w:bodyDiv w:val="1"/>
      <w:marLeft w:val="0"/>
      <w:marRight w:val="0"/>
      <w:marTop w:val="0"/>
      <w:marBottom w:val="0"/>
      <w:divBdr>
        <w:top w:val="none" w:sz="0" w:space="0" w:color="auto"/>
        <w:left w:val="none" w:sz="0" w:space="0" w:color="auto"/>
        <w:bottom w:val="none" w:sz="0" w:space="0" w:color="auto"/>
        <w:right w:val="none" w:sz="0" w:space="0" w:color="auto"/>
      </w:divBdr>
    </w:div>
    <w:div w:id="1542863838">
      <w:bodyDiv w:val="1"/>
      <w:marLeft w:val="0"/>
      <w:marRight w:val="0"/>
      <w:marTop w:val="0"/>
      <w:marBottom w:val="0"/>
      <w:divBdr>
        <w:top w:val="none" w:sz="0" w:space="0" w:color="auto"/>
        <w:left w:val="none" w:sz="0" w:space="0" w:color="auto"/>
        <w:bottom w:val="none" w:sz="0" w:space="0" w:color="auto"/>
        <w:right w:val="none" w:sz="0" w:space="0" w:color="auto"/>
      </w:divBdr>
    </w:div>
    <w:div w:id="1543515176">
      <w:bodyDiv w:val="1"/>
      <w:marLeft w:val="0"/>
      <w:marRight w:val="0"/>
      <w:marTop w:val="0"/>
      <w:marBottom w:val="0"/>
      <w:divBdr>
        <w:top w:val="none" w:sz="0" w:space="0" w:color="auto"/>
        <w:left w:val="none" w:sz="0" w:space="0" w:color="auto"/>
        <w:bottom w:val="none" w:sz="0" w:space="0" w:color="auto"/>
        <w:right w:val="none" w:sz="0" w:space="0" w:color="auto"/>
      </w:divBdr>
    </w:div>
    <w:div w:id="1572814931">
      <w:bodyDiv w:val="1"/>
      <w:marLeft w:val="0"/>
      <w:marRight w:val="0"/>
      <w:marTop w:val="0"/>
      <w:marBottom w:val="0"/>
      <w:divBdr>
        <w:top w:val="none" w:sz="0" w:space="0" w:color="auto"/>
        <w:left w:val="none" w:sz="0" w:space="0" w:color="auto"/>
        <w:bottom w:val="none" w:sz="0" w:space="0" w:color="auto"/>
        <w:right w:val="none" w:sz="0" w:space="0" w:color="auto"/>
      </w:divBdr>
    </w:div>
    <w:div w:id="1579944909">
      <w:bodyDiv w:val="1"/>
      <w:marLeft w:val="0"/>
      <w:marRight w:val="0"/>
      <w:marTop w:val="0"/>
      <w:marBottom w:val="0"/>
      <w:divBdr>
        <w:top w:val="none" w:sz="0" w:space="0" w:color="auto"/>
        <w:left w:val="none" w:sz="0" w:space="0" w:color="auto"/>
        <w:bottom w:val="none" w:sz="0" w:space="0" w:color="auto"/>
        <w:right w:val="none" w:sz="0" w:space="0" w:color="auto"/>
      </w:divBdr>
    </w:div>
    <w:div w:id="1585916086">
      <w:bodyDiv w:val="1"/>
      <w:marLeft w:val="0"/>
      <w:marRight w:val="0"/>
      <w:marTop w:val="0"/>
      <w:marBottom w:val="0"/>
      <w:divBdr>
        <w:top w:val="none" w:sz="0" w:space="0" w:color="auto"/>
        <w:left w:val="none" w:sz="0" w:space="0" w:color="auto"/>
        <w:bottom w:val="none" w:sz="0" w:space="0" w:color="auto"/>
        <w:right w:val="none" w:sz="0" w:space="0" w:color="auto"/>
      </w:divBdr>
    </w:div>
    <w:div w:id="1602645097">
      <w:bodyDiv w:val="1"/>
      <w:marLeft w:val="0"/>
      <w:marRight w:val="0"/>
      <w:marTop w:val="0"/>
      <w:marBottom w:val="0"/>
      <w:divBdr>
        <w:top w:val="none" w:sz="0" w:space="0" w:color="auto"/>
        <w:left w:val="none" w:sz="0" w:space="0" w:color="auto"/>
        <w:bottom w:val="none" w:sz="0" w:space="0" w:color="auto"/>
        <w:right w:val="none" w:sz="0" w:space="0" w:color="auto"/>
      </w:divBdr>
    </w:div>
    <w:div w:id="1656491776">
      <w:bodyDiv w:val="1"/>
      <w:marLeft w:val="0"/>
      <w:marRight w:val="0"/>
      <w:marTop w:val="0"/>
      <w:marBottom w:val="0"/>
      <w:divBdr>
        <w:top w:val="none" w:sz="0" w:space="0" w:color="auto"/>
        <w:left w:val="none" w:sz="0" w:space="0" w:color="auto"/>
        <w:bottom w:val="none" w:sz="0" w:space="0" w:color="auto"/>
        <w:right w:val="none" w:sz="0" w:space="0" w:color="auto"/>
      </w:divBdr>
    </w:div>
    <w:div w:id="1695183274">
      <w:bodyDiv w:val="1"/>
      <w:marLeft w:val="0"/>
      <w:marRight w:val="0"/>
      <w:marTop w:val="0"/>
      <w:marBottom w:val="0"/>
      <w:divBdr>
        <w:top w:val="none" w:sz="0" w:space="0" w:color="auto"/>
        <w:left w:val="none" w:sz="0" w:space="0" w:color="auto"/>
        <w:bottom w:val="none" w:sz="0" w:space="0" w:color="auto"/>
        <w:right w:val="none" w:sz="0" w:space="0" w:color="auto"/>
      </w:divBdr>
    </w:div>
    <w:div w:id="1703089634">
      <w:bodyDiv w:val="1"/>
      <w:marLeft w:val="0"/>
      <w:marRight w:val="0"/>
      <w:marTop w:val="0"/>
      <w:marBottom w:val="0"/>
      <w:divBdr>
        <w:top w:val="none" w:sz="0" w:space="0" w:color="auto"/>
        <w:left w:val="none" w:sz="0" w:space="0" w:color="auto"/>
        <w:bottom w:val="none" w:sz="0" w:space="0" w:color="auto"/>
        <w:right w:val="none" w:sz="0" w:space="0" w:color="auto"/>
      </w:divBdr>
    </w:div>
    <w:div w:id="1862544893">
      <w:bodyDiv w:val="1"/>
      <w:marLeft w:val="0"/>
      <w:marRight w:val="0"/>
      <w:marTop w:val="0"/>
      <w:marBottom w:val="0"/>
      <w:divBdr>
        <w:top w:val="none" w:sz="0" w:space="0" w:color="auto"/>
        <w:left w:val="none" w:sz="0" w:space="0" w:color="auto"/>
        <w:bottom w:val="none" w:sz="0" w:space="0" w:color="auto"/>
        <w:right w:val="none" w:sz="0" w:space="0" w:color="auto"/>
      </w:divBdr>
    </w:div>
    <w:div w:id="1877886680">
      <w:bodyDiv w:val="1"/>
      <w:marLeft w:val="0"/>
      <w:marRight w:val="0"/>
      <w:marTop w:val="0"/>
      <w:marBottom w:val="0"/>
      <w:divBdr>
        <w:top w:val="none" w:sz="0" w:space="0" w:color="auto"/>
        <w:left w:val="none" w:sz="0" w:space="0" w:color="auto"/>
        <w:bottom w:val="none" w:sz="0" w:space="0" w:color="auto"/>
        <w:right w:val="none" w:sz="0" w:space="0" w:color="auto"/>
      </w:divBdr>
    </w:div>
    <w:div w:id="1921018582">
      <w:bodyDiv w:val="1"/>
      <w:marLeft w:val="0"/>
      <w:marRight w:val="0"/>
      <w:marTop w:val="0"/>
      <w:marBottom w:val="0"/>
      <w:divBdr>
        <w:top w:val="none" w:sz="0" w:space="0" w:color="auto"/>
        <w:left w:val="none" w:sz="0" w:space="0" w:color="auto"/>
        <w:bottom w:val="none" w:sz="0" w:space="0" w:color="auto"/>
        <w:right w:val="none" w:sz="0" w:space="0" w:color="auto"/>
      </w:divBdr>
    </w:div>
    <w:div w:id="1968969944">
      <w:bodyDiv w:val="1"/>
      <w:marLeft w:val="0"/>
      <w:marRight w:val="0"/>
      <w:marTop w:val="0"/>
      <w:marBottom w:val="0"/>
      <w:divBdr>
        <w:top w:val="none" w:sz="0" w:space="0" w:color="auto"/>
        <w:left w:val="none" w:sz="0" w:space="0" w:color="auto"/>
        <w:bottom w:val="none" w:sz="0" w:space="0" w:color="auto"/>
        <w:right w:val="none" w:sz="0" w:space="0" w:color="auto"/>
      </w:divBdr>
    </w:div>
    <w:div w:id="1984500659">
      <w:bodyDiv w:val="1"/>
      <w:marLeft w:val="0"/>
      <w:marRight w:val="0"/>
      <w:marTop w:val="0"/>
      <w:marBottom w:val="0"/>
      <w:divBdr>
        <w:top w:val="none" w:sz="0" w:space="0" w:color="auto"/>
        <w:left w:val="none" w:sz="0" w:space="0" w:color="auto"/>
        <w:bottom w:val="none" w:sz="0" w:space="0" w:color="auto"/>
        <w:right w:val="none" w:sz="0" w:space="0" w:color="auto"/>
      </w:divBdr>
    </w:div>
    <w:div w:id="1991979331">
      <w:bodyDiv w:val="1"/>
      <w:marLeft w:val="0"/>
      <w:marRight w:val="0"/>
      <w:marTop w:val="0"/>
      <w:marBottom w:val="0"/>
      <w:divBdr>
        <w:top w:val="none" w:sz="0" w:space="0" w:color="auto"/>
        <w:left w:val="none" w:sz="0" w:space="0" w:color="auto"/>
        <w:bottom w:val="none" w:sz="0" w:space="0" w:color="auto"/>
        <w:right w:val="none" w:sz="0" w:space="0" w:color="auto"/>
      </w:divBdr>
    </w:div>
    <w:div w:id="2035764661">
      <w:bodyDiv w:val="1"/>
      <w:marLeft w:val="0"/>
      <w:marRight w:val="0"/>
      <w:marTop w:val="0"/>
      <w:marBottom w:val="0"/>
      <w:divBdr>
        <w:top w:val="none" w:sz="0" w:space="0" w:color="auto"/>
        <w:left w:val="none" w:sz="0" w:space="0" w:color="auto"/>
        <w:bottom w:val="none" w:sz="0" w:space="0" w:color="auto"/>
        <w:right w:val="none" w:sz="0" w:space="0" w:color="auto"/>
      </w:divBdr>
    </w:div>
    <w:div w:id="2061132514">
      <w:bodyDiv w:val="1"/>
      <w:marLeft w:val="0"/>
      <w:marRight w:val="0"/>
      <w:marTop w:val="0"/>
      <w:marBottom w:val="0"/>
      <w:divBdr>
        <w:top w:val="none" w:sz="0" w:space="0" w:color="auto"/>
        <w:left w:val="none" w:sz="0" w:space="0" w:color="auto"/>
        <w:bottom w:val="none" w:sz="0" w:space="0" w:color="auto"/>
        <w:right w:val="none" w:sz="0" w:space="0" w:color="auto"/>
      </w:divBdr>
    </w:div>
    <w:div w:id="2062558566">
      <w:bodyDiv w:val="1"/>
      <w:marLeft w:val="0"/>
      <w:marRight w:val="0"/>
      <w:marTop w:val="0"/>
      <w:marBottom w:val="0"/>
      <w:divBdr>
        <w:top w:val="none" w:sz="0" w:space="0" w:color="auto"/>
        <w:left w:val="none" w:sz="0" w:space="0" w:color="auto"/>
        <w:bottom w:val="none" w:sz="0" w:space="0" w:color="auto"/>
        <w:right w:val="none" w:sz="0" w:space="0" w:color="auto"/>
      </w:divBdr>
    </w:div>
    <w:div w:id="2067289704">
      <w:bodyDiv w:val="1"/>
      <w:marLeft w:val="0"/>
      <w:marRight w:val="0"/>
      <w:marTop w:val="0"/>
      <w:marBottom w:val="0"/>
      <w:divBdr>
        <w:top w:val="none" w:sz="0" w:space="0" w:color="auto"/>
        <w:left w:val="none" w:sz="0" w:space="0" w:color="auto"/>
        <w:bottom w:val="none" w:sz="0" w:space="0" w:color="auto"/>
        <w:right w:val="none" w:sz="0" w:space="0" w:color="auto"/>
      </w:divBdr>
    </w:div>
    <w:div w:id="210129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theme" Target="theme/theme1.xml"/><Relationship Id="rId33"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9.emf"/><Relationship Id="rId28"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header" Target="header3.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8.emf"/><Relationship Id="rId27" Type="http://schemas.microsoft.com/office/2011/relationships/commentsExtended" Target="commentsExtended.xml"/><Relationship Id="rId30" Type="http://schemas.openxmlformats.org/officeDocument/2006/relationships/customXml" Target="../customXml/item4.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40663706</IDBDocs_x0020_Number>
    <TaxCatchAll xmlns="cdc7663a-08f0-4737-9e8c-148ce897a09c">
      <Value>5</Value>
      <Value>6</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Paez Rubio, Tania</Document_x0020_Author>
    <Fiscal_x0020_Year_x0020_IDB xmlns="cdc7663a-08f0-4737-9e8c-148ce897a09c">2016</Fiscal_x0020_Year_x0020_IDB>
    <Other_x0020_Author xmlns="cdc7663a-08f0-4737-9e8c-148ce897a09c" xsi:nil="true"/>
    <Project_x0020_Number xmlns="cdc7663a-08f0-4737-9e8c-148ce897a09c">UR-L1136</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WORD&lt;/APPLICATION&gt;&lt;USER_STAGE&gt;Proposal for Operation Development&lt;/USER_STAGE&gt;&lt;PD_OBJ_TYPE&gt;0&lt;/PD_OBJ_TYPE&gt;&lt;MAKERECORD&gt;N&lt;/MAKERECORD&gt;&lt;/Data&gt;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R0000150483</Record_x0020_Number>
    <_dlc_DocId xmlns="cdc7663a-08f0-4737-9e8c-148ce897a09c">EZSHARE-1017219630-13</_dlc_DocId>
    <_dlc_DocIdUrl xmlns="cdc7663a-08f0-4737-9e8c-148ce897a09c">
      <Url>https://idbg.sharepoint.com/teams/EZ-UR-LON/UR-L1136/_layouts/15/DocIdRedir.aspx?ID=EZSHARE-1017219630-13</Url>
      <Description>EZSHARE-1017219630-13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7B461672848D5642889689238B4D3115" ma:contentTypeVersion="16" ma:contentTypeDescription="The base project type from which other project content types inherit their information." ma:contentTypeScope="" ma:versionID="96eb84ff5ee38c876b99bb68a9fdb691">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1A87E8F-F4AC-48E0-B2D1-A8EABA841D1E}"/>
</file>

<file path=customXml/itemProps2.xml><?xml version="1.0" encoding="utf-8"?>
<ds:datastoreItem xmlns:ds="http://schemas.openxmlformats.org/officeDocument/2006/customXml" ds:itemID="{9188259E-CBB3-4050-BE76-9D850A48E90C}"/>
</file>

<file path=customXml/itemProps3.xml><?xml version="1.0" encoding="utf-8"?>
<ds:datastoreItem xmlns:ds="http://schemas.openxmlformats.org/officeDocument/2006/customXml" ds:itemID="{CA0F17C1-DE60-4EF6-AD00-84DA77863913}"/>
</file>

<file path=customXml/itemProps4.xml><?xml version="1.0" encoding="utf-8"?>
<ds:datastoreItem xmlns:ds="http://schemas.openxmlformats.org/officeDocument/2006/customXml" ds:itemID="{BAD159DF-1B7E-4C82-90B2-C835616AE4B1}"/>
</file>

<file path=customXml/itemProps5.xml><?xml version="1.0" encoding="utf-8"?>
<ds:datastoreItem xmlns:ds="http://schemas.openxmlformats.org/officeDocument/2006/customXml" ds:itemID="{46E6C2A2-8913-4FE0-8C9C-914FEAD7C2CE}"/>
</file>

<file path=customXml/itemProps6.xml><?xml version="1.0" encoding="utf-8"?>
<ds:datastoreItem xmlns:ds="http://schemas.openxmlformats.org/officeDocument/2006/customXml" ds:itemID="{2682228D-4D8C-4DC4-BB84-21FF9D5262E7}"/>
</file>

<file path=customXml/itemProps7.xml><?xml version="1.0" encoding="utf-8"?>
<ds:datastoreItem xmlns:ds="http://schemas.openxmlformats.org/officeDocument/2006/customXml" ds:itemID="{53C9ABCA-4C17-4E13-8BE9-45EFD974E4FB}"/>
</file>

<file path=docProps/app.xml><?xml version="1.0" encoding="utf-8"?>
<Properties xmlns="http://schemas.openxmlformats.org/officeDocument/2006/extended-properties" xmlns:vt="http://schemas.openxmlformats.org/officeDocument/2006/docPropsVTypes">
  <Template>Normal.dotm</Template>
  <TotalTime>28</TotalTime>
  <Pages>14</Pages>
  <Words>2710</Words>
  <Characters>15451</Characters>
  <Application>Microsoft Office Word</Application>
  <DocSecurity>0</DocSecurity>
  <Lines>128</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Inter-American Development Bank</Company>
  <LinksUpToDate>false</LinksUpToDate>
  <CharactersWithSpaces>18125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EEO_4- Evaluación Financiera del Organismo Ejecutor</dc:title>
  <dc:creator>KS</dc:creator>
  <cp:lastModifiedBy>IADB</cp:lastModifiedBy>
  <cp:revision>5</cp:revision>
  <cp:lastPrinted>2016-09-06T19:00:00Z</cp:lastPrinted>
  <dcterms:created xsi:type="dcterms:W3CDTF">2016-09-12T19:44:00Z</dcterms:created>
  <dcterms:modified xsi:type="dcterms:W3CDTF">2016-09-15T16:11:00Z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0x010100ACF722E9F6B0B149B0CD8BE2560A6672007B461672848D5642889689238B4D3115</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Proposal for Operation Development</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Proposal for Operation Development</vt:lpwstr>
  </property>
  <property fmtid="{D5CDD505-2E9C-101B-9397-08002B2CF9AE}" pid="24" name="Fund_x0020_IDB">
    <vt:lpwstr/>
  </property>
  <property fmtid="{D5CDD505-2E9C-101B-9397-08002B2CF9AE}" pid="25" name="_dlc_DocIdItemGuid">
    <vt:lpwstr>f31367ac-779b-4221-9fdb-c14f83f78f61</vt:lpwstr>
  </property>
  <property fmtid="{D5CDD505-2E9C-101B-9397-08002B2CF9AE}" pid="26" name="Webtopic">
    <vt:lpwstr>OS-ASA</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