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ajorEastAsia"/>
          <w:caps/>
          <w:sz w:val="22"/>
          <w:szCs w:val="22"/>
        </w:rPr>
        <w:id w:val="1440497907"/>
        <w:docPartObj>
          <w:docPartGallery w:val="Cover Pages"/>
          <w:docPartUnique/>
        </w:docPartObj>
      </w:sdtPr>
      <w:sdtEndPr>
        <w:rPr>
          <w:rFonts w:eastAsia="Times New Roman"/>
          <w:caps w:val="0"/>
        </w:rPr>
      </w:sdtEndPr>
      <w:sdtContent>
        <w:tbl>
          <w:tblPr>
            <w:tblW w:w="5000" w:type="pct"/>
            <w:jc w:val="center"/>
            <w:tblLook w:val="04A0" w:firstRow="1" w:lastRow="0" w:firstColumn="1" w:lastColumn="0" w:noHBand="0" w:noVBand="1"/>
          </w:tblPr>
          <w:tblGrid>
            <w:gridCol w:w="9620"/>
          </w:tblGrid>
          <w:tr w:rsidR="0043483C" w:rsidRPr="0053032C" w:rsidTr="0043483C">
            <w:trPr>
              <w:trHeight w:val="1128"/>
              <w:jc w:val="center"/>
            </w:trPr>
            <w:tc>
              <w:tcPr>
                <w:tcW w:w="5000" w:type="pct"/>
              </w:tcPr>
              <w:p w:rsidR="0043483C" w:rsidRPr="0053032C" w:rsidRDefault="0043483C" w:rsidP="00661854">
                <w:pPr>
                  <w:pStyle w:val="NoSpacing"/>
                  <w:jc w:val="center"/>
                  <w:rPr>
                    <w:rFonts w:eastAsiaTheme="majorEastAsia"/>
                    <w:caps/>
                    <w:sz w:val="22"/>
                    <w:szCs w:val="22"/>
                  </w:rPr>
                </w:pPr>
              </w:p>
            </w:tc>
          </w:tr>
          <w:tr w:rsidR="00661854" w:rsidRPr="0053032C" w:rsidTr="0043483C">
            <w:trPr>
              <w:trHeight w:val="1128"/>
              <w:jc w:val="center"/>
            </w:trPr>
            <w:sdt>
              <w:sdtPr>
                <w:rPr>
                  <w:rFonts w:eastAsiaTheme="majorEastAsia"/>
                  <w:b/>
                  <w:sz w:val="36"/>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Pr>
                  <w:p w:rsidR="00661854" w:rsidRPr="0053032C" w:rsidRDefault="00847A5A" w:rsidP="00661854">
                    <w:pPr>
                      <w:pStyle w:val="NoSpacing"/>
                      <w:jc w:val="center"/>
                      <w:rPr>
                        <w:rFonts w:eastAsiaTheme="majorEastAsia"/>
                        <w:b/>
                        <w:sz w:val="36"/>
                        <w:szCs w:val="80"/>
                      </w:rPr>
                    </w:pPr>
                    <w:r>
                      <w:rPr>
                        <w:rFonts w:eastAsiaTheme="majorEastAsia"/>
                        <w:b/>
                        <w:sz w:val="36"/>
                        <w:szCs w:val="80"/>
                      </w:rPr>
                      <w:t>PROGRAMA DE MEJORA DE LA GESTIÓN PÚBLICA Y DE LOS SERVICIOS AL CIUDADANO</w:t>
                    </w:r>
                  </w:p>
                </w:tc>
              </w:sdtContent>
            </w:sdt>
          </w:tr>
          <w:tr w:rsidR="0043483C" w:rsidRPr="0053032C" w:rsidTr="00AC3E44">
            <w:trPr>
              <w:trHeight w:val="720"/>
              <w:jc w:val="center"/>
            </w:trPr>
            <w:tc>
              <w:tcPr>
                <w:tcW w:w="5000" w:type="pct"/>
                <w:vAlign w:val="center"/>
              </w:tcPr>
              <w:p w:rsidR="0043483C" w:rsidRPr="0053032C" w:rsidRDefault="0043483C" w:rsidP="00BD1DE4">
                <w:pPr>
                  <w:pStyle w:val="NoSpacing"/>
                  <w:jc w:val="center"/>
                  <w:rPr>
                    <w:rFonts w:eastAsiaTheme="majorEastAsia"/>
                    <w:sz w:val="28"/>
                    <w:szCs w:val="44"/>
                  </w:rPr>
                </w:pPr>
                <w:r w:rsidRPr="0053032C">
                  <w:rPr>
                    <w:rFonts w:eastAsiaTheme="majorEastAsia"/>
                    <w:b/>
                    <w:sz w:val="28"/>
                    <w:szCs w:val="44"/>
                  </w:rPr>
                  <w:t>(</w:t>
                </w:r>
                <w:r w:rsidR="00B804B8" w:rsidRPr="0053032C">
                  <w:rPr>
                    <w:b/>
                    <w:smallCaps/>
                  </w:rPr>
                  <w:t>CH-L1085</w:t>
                </w:r>
                <w:r w:rsidRPr="0053032C">
                  <w:rPr>
                    <w:rFonts w:eastAsiaTheme="majorEastAsia"/>
                    <w:b/>
                    <w:sz w:val="28"/>
                    <w:szCs w:val="44"/>
                  </w:rPr>
                  <w:t>)</w:t>
                </w:r>
              </w:p>
            </w:tc>
          </w:tr>
          <w:tr w:rsidR="00661854" w:rsidRPr="0053032C" w:rsidTr="00661854">
            <w:trPr>
              <w:trHeight w:val="1440"/>
              <w:jc w:val="center"/>
            </w:trPr>
            <w:tc>
              <w:tcPr>
                <w:tcW w:w="5000" w:type="pct"/>
                <w:vAlign w:val="center"/>
              </w:tcPr>
              <w:p w:rsidR="00661854" w:rsidRPr="0053032C" w:rsidRDefault="00661854" w:rsidP="00661854">
                <w:pPr>
                  <w:pStyle w:val="NoSpacing"/>
                  <w:jc w:val="center"/>
                  <w:rPr>
                    <w:rFonts w:eastAsiaTheme="majorEastAsia"/>
                    <w:b/>
                    <w:sz w:val="36"/>
                    <w:szCs w:val="80"/>
                  </w:rPr>
                </w:pPr>
              </w:p>
            </w:tc>
          </w:tr>
          <w:tr w:rsidR="0043483C" w:rsidRPr="0053032C" w:rsidTr="00661854">
            <w:trPr>
              <w:trHeight w:val="720"/>
              <w:jc w:val="center"/>
            </w:trPr>
            <w:tc>
              <w:tcPr>
                <w:tcW w:w="5000" w:type="pct"/>
                <w:vAlign w:val="center"/>
              </w:tcPr>
              <w:p w:rsidR="0043483C" w:rsidRPr="0053032C" w:rsidRDefault="0043483C" w:rsidP="00AC3E44">
                <w:pPr>
                  <w:pStyle w:val="NoSpacing"/>
                  <w:jc w:val="center"/>
                  <w:rPr>
                    <w:rFonts w:eastAsiaTheme="majorEastAsia"/>
                    <w:b/>
                    <w:sz w:val="36"/>
                    <w:szCs w:val="80"/>
                  </w:rPr>
                </w:pPr>
                <w:r w:rsidRPr="0053032C">
                  <w:rPr>
                    <w:rFonts w:eastAsiaTheme="majorEastAsia"/>
                    <w:b/>
                    <w:sz w:val="36"/>
                    <w:szCs w:val="80"/>
                  </w:rPr>
                  <w:t>ANÁLISIS ECONÓMICO</w:t>
                </w:r>
              </w:p>
            </w:tc>
          </w:tr>
          <w:tr w:rsidR="0043483C" w:rsidRPr="0053032C" w:rsidTr="00661854">
            <w:trPr>
              <w:trHeight w:val="720"/>
              <w:jc w:val="center"/>
            </w:trPr>
            <w:tc>
              <w:tcPr>
                <w:tcW w:w="5000" w:type="pct"/>
                <w:vAlign w:val="center"/>
              </w:tcPr>
              <w:p w:rsidR="0043483C" w:rsidRPr="0053032C" w:rsidRDefault="0043483C" w:rsidP="00661854">
                <w:pPr>
                  <w:pStyle w:val="NoSpacing"/>
                  <w:jc w:val="center"/>
                  <w:rPr>
                    <w:rFonts w:eastAsiaTheme="majorEastAsia"/>
                    <w:sz w:val="28"/>
                    <w:szCs w:val="44"/>
                  </w:rPr>
                </w:pPr>
                <w:bookmarkStart w:id="0" w:name="_GoBack"/>
                <w:bookmarkEnd w:id="0"/>
              </w:p>
            </w:tc>
          </w:tr>
          <w:tr w:rsidR="0043483C" w:rsidRPr="0053032C" w:rsidTr="00661854">
            <w:trPr>
              <w:trHeight w:val="720"/>
              <w:jc w:val="center"/>
            </w:trPr>
            <w:tc>
              <w:tcPr>
                <w:tcW w:w="5000" w:type="pct"/>
                <w:vAlign w:val="center"/>
              </w:tcPr>
              <w:p w:rsidR="0043483C" w:rsidRPr="0053032C" w:rsidRDefault="0043483C" w:rsidP="000B7263">
                <w:pPr>
                  <w:pStyle w:val="NoSpacing"/>
                  <w:jc w:val="center"/>
                  <w:rPr>
                    <w:rFonts w:eastAsiaTheme="majorEastAsia"/>
                    <w:b/>
                    <w:szCs w:val="44"/>
                  </w:rPr>
                </w:pPr>
              </w:p>
            </w:tc>
          </w:tr>
          <w:tr w:rsidR="0043483C" w:rsidRPr="0053032C">
            <w:trPr>
              <w:trHeight w:val="360"/>
              <w:jc w:val="center"/>
            </w:trPr>
            <w:tc>
              <w:tcPr>
                <w:tcW w:w="5000" w:type="pct"/>
                <w:vAlign w:val="center"/>
              </w:tcPr>
              <w:p w:rsidR="0043483C" w:rsidRPr="0053032C" w:rsidRDefault="0043483C">
                <w:pPr>
                  <w:pStyle w:val="NoSpacing"/>
                  <w:jc w:val="center"/>
                </w:pPr>
              </w:p>
            </w:tc>
          </w:tr>
          <w:tr w:rsidR="0043483C" w:rsidRPr="0053032C">
            <w:trPr>
              <w:trHeight w:val="360"/>
              <w:jc w:val="center"/>
            </w:trPr>
            <w:tc>
              <w:tcPr>
                <w:tcW w:w="5000" w:type="pct"/>
                <w:vAlign w:val="center"/>
              </w:tcPr>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p w:rsidR="0043483C" w:rsidRPr="0053032C" w:rsidRDefault="0043483C" w:rsidP="00661854">
                <w:pPr>
                  <w:pStyle w:val="NoSpacing"/>
                  <w:jc w:val="center"/>
                  <w:rPr>
                    <w:b/>
                    <w:bCs/>
                  </w:rPr>
                </w:pPr>
              </w:p>
            </w:tc>
          </w:tr>
          <w:tr w:rsidR="0043483C" w:rsidRPr="0053032C">
            <w:trPr>
              <w:trHeight w:val="360"/>
              <w:jc w:val="center"/>
            </w:trPr>
            <w:tc>
              <w:tcPr>
                <w:tcW w:w="5000" w:type="pct"/>
                <w:vAlign w:val="center"/>
              </w:tcPr>
              <w:p w:rsidR="0043483C" w:rsidRPr="0053032C" w:rsidRDefault="0043483C" w:rsidP="00661854">
                <w:pPr>
                  <w:pStyle w:val="NoSpacing"/>
                  <w:jc w:val="right"/>
                  <w:rPr>
                    <w:b/>
                    <w:bCs/>
                  </w:rPr>
                </w:pPr>
              </w:p>
            </w:tc>
          </w:tr>
          <w:tr w:rsidR="0043483C" w:rsidRPr="0053032C">
            <w:trPr>
              <w:trHeight w:val="360"/>
              <w:jc w:val="center"/>
            </w:trPr>
            <w:tc>
              <w:tcPr>
                <w:tcW w:w="5000" w:type="pct"/>
                <w:vAlign w:val="center"/>
              </w:tcPr>
              <w:p w:rsidR="0043483C" w:rsidRPr="0053032C" w:rsidRDefault="0043483C" w:rsidP="00661854">
                <w:pPr>
                  <w:pStyle w:val="NoSpacing"/>
                  <w:jc w:val="right"/>
                  <w:rPr>
                    <w:b/>
                    <w:bCs/>
                  </w:rPr>
                </w:pPr>
              </w:p>
            </w:tc>
          </w:tr>
          <w:tr w:rsidR="0043483C" w:rsidRPr="0053032C">
            <w:trPr>
              <w:trHeight w:val="360"/>
              <w:jc w:val="center"/>
            </w:trPr>
            <w:tc>
              <w:tcPr>
                <w:tcW w:w="5000" w:type="pct"/>
                <w:vAlign w:val="center"/>
              </w:tcPr>
              <w:p w:rsidR="0043483C" w:rsidRPr="0053032C" w:rsidRDefault="0043483C" w:rsidP="00661854">
                <w:pPr>
                  <w:pStyle w:val="NoSpacing"/>
                  <w:jc w:val="right"/>
                  <w:rPr>
                    <w:b/>
                    <w:bCs/>
                  </w:rPr>
                </w:pPr>
              </w:p>
            </w:tc>
          </w:tr>
          <w:tr w:rsidR="0043483C" w:rsidRPr="0053032C">
            <w:trPr>
              <w:trHeight w:val="360"/>
              <w:jc w:val="center"/>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3483C" w:rsidRPr="0053032C" w:rsidRDefault="00847A5A" w:rsidP="00661854">
                    <w:pPr>
                      <w:pStyle w:val="NoSpacing"/>
                      <w:jc w:val="right"/>
                      <w:rPr>
                        <w:b/>
                        <w:bCs/>
                      </w:rPr>
                    </w:pPr>
                    <w:r>
                      <w:rPr>
                        <w:b/>
                        <w:bCs/>
                      </w:rPr>
                      <w:t>Fernando Grafe</w:t>
                    </w:r>
                  </w:p>
                </w:tc>
              </w:sdtContent>
            </w:sdt>
          </w:tr>
          <w:tr w:rsidR="0043483C" w:rsidRPr="0053032C">
            <w:trPr>
              <w:trHeight w:val="360"/>
              <w:jc w:val="center"/>
            </w:trPr>
            <w:sdt>
              <w:sdtPr>
                <w:rPr>
                  <w:b/>
                  <w:bCs/>
                </w:rPr>
                <w:alias w:val="Fecha"/>
                <w:id w:val="516659546"/>
                <w:dataBinding w:prefixMappings="xmlns:ns0='http://schemas.microsoft.com/office/2006/coverPageProps'" w:xpath="/ns0:CoverPageProperties[1]/ns0:PublishDate[1]" w:storeItemID="{55AF091B-3C7A-41E3-B477-F2FDAA23CFDA}"/>
                <w:date w:fullDate="2014-08-04T00:00:00Z">
                  <w:dateFormat w:val="dd/MM/yyyy"/>
                  <w:lid w:val="es-ES"/>
                  <w:storeMappedDataAs w:val="dateTime"/>
                  <w:calendar w:val="gregorian"/>
                </w:date>
              </w:sdtPr>
              <w:sdtContent>
                <w:tc>
                  <w:tcPr>
                    <w:tcW w:w="5000" w:type="pct"/>
                    <w:vAlign w:val="center"/>
                  </w:tcPr>
                  <w:p w:rsidR="0043483C" w:rsidRPr="0053032C" w:rsidRDefault="00847A5A" w:rsidP="009D7FBF">
                    <w:pPr>
                      <w:pStyle w:val="NoSpacing"/>
                      <w:jc w:val="right"/>
                      <w:rPr>
                        <w:b/>
                        <w:bCs/>
                      </w:rPr>
                    </w:pPr>
                    <w:r>
                      <w:rPr>
                        <w:b/>
                        <w:bCs/>
                      </w:rPr>
                      <w:t>04/08/2014</w:t>
                    </w:r>
                  </w:p>
                </w:tc>
              </w:sdtContent>
            </w:sdt>
          </w:tr>
        </w:tbl>
        <w:p w:rsidR="00661854" w:rsidRPr="0053032C" w:rsidRDefault="00AE7E80"/>
      </w:sdtContent>
    </w:sdt>
    <w:p w:rsidR="00661854" w:rsidRPr="0053032C" w:rsidRDefault="00661854" w:rsidP="00D04EC0"/>
    <w:p w:rsidR="00661854" w:rsidRPr="0053032C" w:rsidRDefault="00661854" w:rsidP="00D04EC0"/>
    <w:p w:rsidR="00661854" w:rsidRPr="0053032C" w:rsidRDefault="00661854" w:rsidP="00D04EC0">
      <w:pPr>
        <w:sectPr w:rsidR="00661854" w:rsidRPr="0053032C" w:rsidSect="0043483C">
          <w:footerReference w:type="default" r:id="rId10"/>
          <w:type w:val="continuous"/>
          <w:pgSz w:w="12240" w:h="15840" w:code="1"/>
          <w:pgMar w:top="1702" w:right="1418" w:bottom="1418" w:left="1418" w:header="709" w:footer="856" w:gutter="0"/>
          <w:pgNumType w:start="0"/>
          <w:cols w:space="708"/>
          <w:titlePg/>
          <w:docGrid w:linePitch="360"/>
        </w:sectPr>
      </w:pPr>
    </w:p>
    <w:p w:rsidR="00661854" w:rsidRPr="0053032C" w:rsidRDefault="00661854" w:rsidP="00D04EC0"/>
    <w:sdt>
      <w:sdtPr>
        <w:rPr>
          <w:rFonts w:ascii="Times New Roman" w:hAnsi="Times New Roman"/>
          <w:b w:val="0"/>
          <w:bCs w:val="0"/>
          <w:color w:val="auto"/>
          <w:sz w:val="22"/>
          <w:szCs w:val="22"/>
          <w:lang w:eastAsia="es-ES"/>
        </w:rPr>
        <w:id w:val="-166784796"/>
        <w:docPartObj>
          <w:docPartGallery w:val="Table of Contents"/>
          <w:docPartUnique/>
        </w:docPartObj>
      </w:sdtPr>
      <w:sdtContent>
        <w:p w:rsidR="00661854" w:rsidRPr="0053032C" w:rsidRDefault="00661854">
          <w:pPr>
            <w:pStyle w:val="TOCHeading"/>
            <w:rPr>
              <w:rFonts w:ascii="Times New Roman" w:hAnsi="Times New Roman"/>
            </w:rPr>
          </w:pPr>
          <w:r w:rsidRPr="0053032C">
            <w:rPr>
              <w:rFonts w:ascii="Times New Roman" w:hAnsi="Times New Roman"/>
            </w:rPr>
            <w:t>Contenido</w:t>
          </w:r>
        </w:p>
        <w:p w:rsidR="00BB478C" w:rsidRDefault="00076D66">
          <w:pPr>
            <w:pStyle w:val="TOC1"/>
            <w:rPr>
              <w:rFonts w:asciiTheme="minorHAnsi" w:eastAsiaTheme="minorEastAsia" w:hAnsiTheme="minorHAnsi" w:cstheme="minorBidi"/>
              <w:b w:val="0"/>
              <w:szCs w:val="22"/>
            </w:rPr>
          </w:pPr>
          <w:r>
            <w:fldChar w:fldCharType="begin"/>
          </w:r>
          <w:r>
            <w:instrText xml:space="preserve"> TOC \o "1-3" \h \z \t "Anexo;1" </w:instrText>
          </w:r>
          <w:r>
            <w:fldChar w:fldCharType="separate"/>
          </w:r>
          <w:hyperlink w:anchor="_Toc395208843" w:history="1">
            <w:r w:rsidR="00BB478C" w:rsidRPr="00F407D3">
              <w:rPr>
                <w:rStyle w:val="Hyperlink"/>
              </w:rPr>
              <w:t>1.</w:t>
            </w:r>
            <w:r w:rsidR="00BB478C">
              <w:rPr>
                <w:rFonts w:asciiTheme="minorHAnsi" w:eastAsiaTheme="minorEastAsia" w:hAnsiTheme="minorHAnsi" w:cstheme="minorBidi"/>
                <w:b w:val="0"/>
                <w:szCs w:val="22"/>
              </w:rPr>
              <w:tab/>
            </w:r>
            <w:r w:rsidR="00BB478C" w:rsidRPr="00F407D3">
              <w:rPr>
                <w:rStyle w:val="Hyperlink"/>
              </w:rPr>
              <w:t>Introducción</w:t>
            </w:r>
            <w:r w:rsidR="00BB478C">
              <w:rPr>
                <w:webHidden/>
              </w:rPr>
              <w:tab/>
            </w:r>
            <w:r w:rsidR="00BB478C">
              <w:rPr>
                <w:webHidden/>
              </w:rPr>
              <w:fldChar w:fldCharType="begin"/>
            </w:r>
            <w:r w:rsidR="00BB478C">
              <w:rPr>
                <w:webHidden/>
              </w:rPr>
              <w:instrText xml:space="preserve"> PAGEREF _Toc395208843 \h </w:instrText>
            </w:r>
            <w:r w:rsidR="00BB478C">
              <w:rPr>
                <w:webHidden/>
              </w:rPr>
            </w:r>
            <w:r w:rsidR="00BB478C">
              <w:rPr>
                <w:webHidden/>
              </w:rPr>
              <w:fldChar w:fldCharType="separate"/>
            </w:r>
            <w:r w:rsidR="00BB478C">
              <w:rPr>
                <w:webHidden/>
              </w:rPr>
              <w:t>1</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44" w:history="1">
            <w:r w:rsidR="00BB478C" w:rsidRPr="00F407D3">
              <w:rPr>
                <w:rStyle w:val="Hyperlink"/>
              </w:rPr>
              <w:t>1.1.</w:t>
            </w:r>
            <w:r w:rsidR="00BB478C">
              <w:rPr>
                <w:rFonts w:asciiTheme="minorHAnsi" w:eastAsiaTheme="minorEastAsia" w:hAnsiTheme="minorHAnsi" w:cstheme="minorBidi"/>
                <w:szCs w:val="22"/>
              </w:rPr>
              <w:tab/>
            </w:r>
            <w:r w:rsidR="00BB478C" w:rsidRPr="00F407D3">
              <w:rPr>
                <w:rStyle w:val="Hyperlink"/>
              </w:rPr>
              <w:t>Breve descripción del Programa</w:t>
            </w:r>
            <w:r w:rsidR="00BB478C">
              <w:rPr>
                <w:webHidden/>
              </w:rPr>
              <w:tab/>
            </w:r>
            <w:r w:rsidR="00BB478C">
              <w:rPr>
                <w:webHidden/>
              </w:rPr>
              <w:fldChar w:fldCharType="begin"/>
            </w:r>
            <w:r w:rsidR="00BB478C">
              <w:rPr>
                <w:webHidden/>
              </w:rPr>
              <w:instrText xml:space="preserve"> PAGEREF _Toc395208844 \h </w:instrText>
            </w:r>
            <w:r w:rsidR="00BB478C">
              <w:rPr>
                <w:webHidden/>
              </w:rPr>
            </w:r>
            <w:r w:rsidR="00BB478C">
              <w:rPr>
                <w:webHidden/>
              </w:rPr>
              <w:fldChar w:fldCharType="separate"/>
            </w:r>
            <w:r w:rsidR="00BB478C">
              <w:rPr>
                <w:webHidden/>
              </w:rPr>
              <w:t>1</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45" w:history="1">
            <w:r w:rsidR="00BB478C" w:rsidRPr="00F407D3">
              <w:rPr>
                <w:rStyle w:val="Hyperlink"/>
              </w:rPr>
              <w:t>1.2.</w:t>
            </w:r>
            <w:r w:rsidR="00BB478C">
              <w:rPr>
                <w:rFonts w:asciiTheme="minorHAnsi" w:eastAsiaTheme="minorEastAsia" w:hAnsiTheme="minorHAnsi" w:cstheme="minorBidi"/>
                <w:szCs w:val="22"/>
              </w:rPr>
              <w:tab/>
            </w:r>
            <w:r w:rsidR="00BB478C" w:rsidRPr="00F407D3">
              <w:rPr>
                <w:rStyle w:val="Hyperlink"/>
              </w:rPr>
              <w:t>Resultados esperados del programa</w:t>
            </w:r>
            <w:r w:rsidR="00BB478C">
              <w:rPr>
                <w:webHidden/>
              </w:rPr>
              <w:tab/>
            </w:r>
            <w:r w:rsidR="00BB478C">
              <w:rPr>
                <w:webHidden/>
              </w:rPr>
              <w:fldChar w:fldCharType="begin"/>
            </w:r>
            <w:r w:rsidR="00BB478C">
              <w:rPr>
                <w:webHidden/>
              </w:rPr>
              <w:instrText xml:space="preserve"> PAGEREF _Toc395208845 \h </w:instrText>
            </w:r>
            <w:r w:rsidR="00BB478C">
              <w:rPr>
                <w:webHidden/>
              </w:rPr>
            </w:r>
            <w:r w:rsidR="00BB478C">
              <w:rPr>
                <w:webHidden/>
              </w:rPr>
              <w:fldChar w:fldCharType="separate"/>
            </w:r>
            <w:r w:rsidR="00BB478C">
              <w:rPr>
                <w:webHidden/>
              </w:rPr>
              <w:t>1</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46" w:history="1">
            <w:r w:rsidR="00BB478C" w:rsidRPr="00F407D3">
              <w:rPr>
                <w:rStyle w:val="Hyperlink"/>
              </w:rPr>
              <w:t>1.3.</w:t>
            </w:r>
            <w:r w:rsidR="00BB478C">
              <w:rPr>
                <w:rFonts w:asciiTheme="minorHAnsi" w:eastAsiaTheme="minorEastAsia" w:hAnsiTheme="minorHAnsi" w:cstheme="minorBidi"/>
                <w:szCs w:val="22"/>
              </w:rPr>
              <w:tab/>
            </w:r>
            <w:r w:rsidR="00BB478C" w:rsidRPr="00F407D3">
              <w:rPr>
                <w:rStyle w:val="Hyperlink"/>
              </w:rPr>
              <w:t>Método de análisis seleccionado</w:t>
            </w:r>
            <w:r w:rsidR="00BB478C">
              <w:rPr>
                <w:webHidden/>
              </w:rPr>
              <w:tab/>
            </w:r>
            <w:r w:rsidR="00BB478C">
              <w:rPr>
                <w:webHidden/>
              </w:rPr>
              <w:fldChar w:fldCharType="begin"/>
            </w:r>
            <w:r w:rsidR="00BB478C">
              <w:rPr>
                <w:webHidden/>
              </w:rPr>
              <w:instrText xml:space="preserve"> PAGEREF _Toc395208846 \h </w:instrText>
            </w:r>
            <w:r w:rsidR="00BB478C">
              <w:rPr>
                <w:webHidden/>
              </w:rPr>
            </w:r>
            <w:r w:rsidR="00BB478C">
              <w:rPr>
                <w:webHidden/>
              </w:rPr>
              <w:fldChar w:fldCharType="separate"/>
            </w:r>
            <w:r w:rsidR="00BB478C">
              <w:rPr>
                <w:webHidden/>
              </w:rPr>
              <w:t>3</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47" w:history="1">
            <w:r w:rsidR="00BB478C" w:rsidRPr="00F407D3">
              <w:rPr>
                <w:rStyle w:val="Hyperlink"/>
              </w:rPr>
              <w:t>2.</w:t>
            </w:r>
            <w:r w:rsidR="00BB478C">
              <w:rPr>
                <w:rFonts w:asciiTheme="minorHAnsi" w:eastAsiaTheme="minorEastAsia" w:hAnsiTheme="minorHAnsi" w:cstheme="minorBidi"/>
                <w:b w:val="0"/>
                <w:szCs w:val="22"/>
              </w:rPr>
              <w:tab/>
            </w:r>
            <w:r w:rsidR="00BB478C" w:rsidRPr="00F407D3">
              <w:rPr>
                <w:rStyle w:val="Hyperlink"/>
              </w:rPr>
              <w:t>Supuestos y alternativas</w:t>
            </w:r>
            <w:r w:rsidR="00BB478C">
              <w:rPr>
                <w:webHidden/>
              </w:rPr>
              <w:tab/>
            </w:r>
            <w:r w:rsidR="00BB478C">
              <w:rPr>
                <w:webHidden/>
              </w:rPr>
              <w:fldChar w:fldCharType="begin"/>
            </w:r>
            <w:r w:rsidR="00BB478C">
              <w:rPr>
                <w:webHidden/>
              </w:rPr>
              <w:instrText xml:space="preserve"> PAGEREF _Toc395208847 \h </w:instrText>
            </w:r>
            <w:r w:rsidR="00BB478C">
              <w:rPr>
                <w:webHidden/>
              </w:rPr>
            </w:r>
            <w:r w:rsidR="00BB478C">
              <w:rPr>
                <w:webHidden/>
              </w:rPr>
              <w:fldChar w:fldCharType="separate"/>
            </w:r>
            <w:r w:rsidR="00BB478C">
              <w:rPr>
                <w:webHidden/>
              </w:rPr>
              <w:t>3</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48" w:history="1">
            <w:r w:rsidR="00BB478C" w:rsidRPr="00F407D3">
              <w:rPr>
                <w:rStyle w:val="Hyperlink"/>
              </w:rPr>
              <w:t>2.1.</w:t>
            </w:r>
            <w:r w:rsidR="00BB478C">
              <w:rPr>
                <w:rFonts w:asciiTheme="minorHAnsi" w:eastAsiaTheme="minorEastAsia" w:hAnsiTheme="minorHAnsi" w:cstheme="minorBidi"/>
                <w:szCs w:val="22"/>
              </w:rPr>
              <w:tab/>
            </w:r>
            <w:r w:rsidR="00BB478C" w:rsidRPr="00F407D3">
              <w:rPr>
                <w:rStyle w:val="Hyperlink"/>
              </w:rPr>
              <w:t>Supuestos</w:t>
            </w:r>
            <w:r w:rsidR="00BB478C">
              <w:rPr>
                <w:webHidden/>
              </w:rPr>
              <w:tab/>
            </w:r>
            <w:r w:rsidR="00BB478C">
              <w:rPr>
                <w:webHidden/>
              </w:rPr>
              <w:fldChar w:fldCharType="begin"/>
            </w:r>
            <w:r w:rsidR="00BB478C">
              <w:rPr>
                <w:webHidden/>
              </w:rPr>
              <w:instrText xml:space="preserve"> PAGEREF _Toc395208848 \h </w:instrText>
            </w:r>
            <w:r w:rsidR="00BB478C">
              <w:rPr>
                <w:webHidden/>
              </w:rPr>
            </w:r>
            <w:r w:rsidR="00BB478C">
              <w:rPr>
                <w:webHidden/>
              </w:rPr>
              <w:fldChar w:fldCharType="separate"/>
            </w:r>
            <w:r w:rsidR="00BB478C">
              <w:rPr>
                <w:webHidden/>
              </w:rPr>
              <w:t>3</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49" w:history="1">
            <w:r w:rsidR="00BB478C" w:rsidRPr="00F407D3">
              <w:rPr>
                <w:rStyle w:val="Hyperlink"/>
              </w:rPr>
              <w:t>2.2.</w:t>
            </w:r>
            <w:r w:rsidR="00BB478C">
              <w:rPr>
                <w:rFonts w:asciiTheme="minorHAnsi" w:eastAsiaTheme="minorEastAsia" w:hAnsiTheme="minorHAnsi" w:cstheme="minorBidi"/>
                <w:szCs w:val="22"/>
              </w:rPr>
              <w:tab/>
            </w:r>
            <w:r w:rsidR="00BB478C" w:rsidRPr="00F407D3">
              <w:rPr>
                <w:rStyle w:val="Hyperlink"/>
              </w:rPr>
              <w:t>Alternativas consideradas</w:t>
            </w:r>
            <w:r w:rsidR="00BB478C">
              <w:rPr>
                <w:webHidden/>
              </w:rPr>
              <w:tab/>
            </w:r>
            <w:r w:rsidR="00BB478C">
              <w:rPr>
                <w:webHidden/>
              </w:rPr>
              <w:fldChar w:fldCharType="begin"/>
            </w:r>
            <w:r w:rsidR="00BB478C">
              <w:rPr>
                <w:webHidden/>
              </w:rPr>
              <w:instrText xml:space="preserve"> PAGEREF _Toc395208849 \h </w:instrText>
            </w:r>
            <w:r w:rsidR="00BB478C">
              <w:rPr>
                <w:webHidden/>
              </w:rPr>
            </w:r>
            <w:r w:rsidR="00BB478C">
              <w:rPr>
                <w:webHidden/>
              </w:rPr>
              <w:fldChar w:fldCharType="separate"/>
            </w:r>
            <w:r w:rsidR="00BB478C">
              <w:rPr>
                <w:webHidden/>
              </w:rPr>
              <w:t>6</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50" w:history="1">
            <w:r w:rsidR="00BB478C" w:rsidRPr="00F407D3">
              <w:rPr>
                <w:rStyle w:val="Hyperlink"/>
              </w:rPr>
              <w:t>2.3.</w:t>
            </w:r>
            <w:r w:rsidR="00BB478C">
              <w:rPr>
                <w:rFonts w:asciiTheme="minorHAnsi" w:eastAsiaTheme="minorEastAsia" w:hAnsiTheme="minorHAnsi" w:cstheme="minorBidi"/>
                <w:szCs w:val="22"/>
              </w:rPr>
              <w:tab/>
            </w:r>
            <w:r w:rsidR="00BB478C" w:rsidRPr="00F407D3">
              <w:rPr>
                <w:rStyle w:val="Hyperlink"/>
              </w:rPr>
              <w:t>Precios utilizados</w:t>
            </w:r>
            <w:r w:rsidR="00BB478C">
              <w:rPr>
                <w:webHidden/>
              </w:rPr>
              <w:tab/>
            </w:r>
            <w:r w:rsidR="00BB478C">
              <w:rPr>
                <w:webHidden/>
              </w:rPr>
              <w:fldChar w:fldCharType="begin"/>
            </w:r>
            <w:r w:rsidR="00BB478C">
              <w:rPr>
                <w:webHidden/>
              </w:rPr>
              <w:instrText xml:space="preserve"> PAGEREF _Toc395208850 \h </w:instrText>
            </w:r>
            <w:r w:rsidR="00BB478C">
              <w:rPr>
                <w:webHidden/>
              </w:rPr>
            </w:r>
            <w:r w:rsidR="00BB478C">
              <w:rPr>
                <w:webHidden/>
              </w:rPr>
              <w:fldChar w:fldCharType="separate"/>
            </w:r>
            <w:r w:rsidR="00BB478C">
              <w:rPr>
                <w:webHidden/>
              </w:rPr>
              <w:t>7</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1" w:history="1">
            <w:r w:rsidR="00BB478C" w:rsidRPr="00F407D3">
              <w:rPr>
                <w:rStyle w:val="Hyperlink"/>
              </w:rPr>
              <w:t>3.</w:t>
            </w:r>
            <w:r w:rsidR="00BB478C">
              <w:rPr>
                <w:rFonts w:asciiTheme="minorHAnsi" w:eastAsiaTheme="minorEastAsia" w:hAnsiTheme="minorHAnsi" w:cstheme="minorBidi"/>
                <w:b w:val="0"/>
                <w:szCs w:val="22"/>
              </w:rPr>
              <w:tab/>
            </w:r>
            <w:r w:rsidR="00BB478C" w:rsidRPr="00F407D3">
              <w:rPr>
                <w:rStyle w:val="Hyperlink"/>
              </w:rPr>
              <w:t>Costos económicos</w:t>
            </w:r>
            <w:r w:rsidR="00BB478C">
              <w:rPr>
                <w:webHidden/>
              </w:rPr>
              <w:tab/>
            </w:r>
            <w:r w:rsidR="00BB478C">
              <w:rPr>
                <w:webHidden/>
              </w:rPr>
              <w:fldChar w:fldCharType="begin"/>
            </w:r>
            <w:r w:rsidR="00BB478C">
              <w:rPr>
                <w:webHidden/>
              </w:rPr>
              <w:instrText xml:space="preserve"> PAGEREF _Toc395208851 \h </w:instrText>
            </w:r>
            <w:r w:rsidR="00BB478C">
              <w:rPr>
                <w:webHidden/>
              </w:rPr>
            </w:r>
            <w:r w:rsidR="00BB478C">
              <w:rPr>
                <w:webHidden/>
              </w:rPr>
              <w:fldChar w:fldCharType="separate"/>
            </w:r>
            <w:r w:rsidR="00BB478C">
              <w:rPr>
                <w:webHidden/>
              </w:rPr>
              <w:t>7</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52" w:history="1">
            <w:r w:rsidR="00BB478C" w:rsidRPr="00F407D3">
              <w:rPr>
                <w:rStyle w:val="Hyperlink"/>
              </w:rPr>
              <w:t>3.1.</w:t>
            </w:r>
            <w:r w:rsidR="00BB478C">
              <w:rPr>
                <w:rFonts w:asciiTheme="minorHAnsi" w:eastAsiaTheme="minorEastAsia" w:hAnsiTheme="minorHAnsi" w:cstheme="minorBidi"/>
                <w:szCs w:val="22"/>
              </w:rPr>
              <w:tab/>
            </w:r>
            <w:r w:rsidR="00BB478C" w:rsidRPr="00F407D3">
              <w:rPr>
                <w:rStyle w:val="Hyperlink"/>
              </w:rPr>
              <w:t>Descripción de los costos reales</w:t>
            </w:r>
            <w:r w:rsidR="00BB478C">
              <w:rPr>
                <w:webHidden/>
              </w:rPr>
              <w:tab/>
            </w:r>
            <w:r w:rsidR="00BB478C">
              <w:rPr>
                <w:webHidden/>
              </w:rPr>
              <w:fldChar w:fldCharType="begin"/>
            </w:r>
            <w:r w:rsidR="00BB478C">
              <w:rPr>
                <w:webHidden/>
              </w:rPr>
              <w:instrText xml:space="preserve"> PAGEREF _Toc395208852 \h </w:instrText>
            </w:r>
            <w:r w:rsidR="00BB478C">
              <w:rPr>
                <w:webHidden/>
              </w:rPr>
            </w:r>
            <w:r w:rsidR="00BB478C">
              <w:rPr>
                <w:webHidden/>
              </w:rPr>
              <w:fldChar w:fldCharType="separate"/>
            </w:r>
            <w:r w:rsidR="00BB478C">
              <w:rPr>
                <w:webHidden/>
              </w:rPr>
              <w:t>7</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53" w:history="1">
            <w:r w:rsidR="00BB478C" w:rsidRPr="00F407D3">
              <w:rPr>
                <w:rStyle w:val="Hyperlink"/>
              </w:rPr>
              <w:t>3.2.</w:t>
            </w:r>
            <w:r w:rsidR="00BB478C">
              <w:rPr>
                <w:rFonts w:asciiTheme="minorHAnsi" w:eastAsiaTheme="minorEastAsia" w:hAnsiTheme="minorHAnsi" w:cstheme="minorBidi"/>
                <w:szCs w:val="22"/>
              </w:rPr>
              <w:tab/>
            </w:r>
            <w:r w:rsidR="00BB478C" w:rsidRPr="00F407D3">
              <w:rPr>
                <w:rStyle w:val="Hyperlink"/>
              </w:rPr>
              <w:t>Flujos previstos y descontados</w:t>
            </w:r>
            <w:r w:rsidR="00BB478C">
              <w:rPr>
                <w:webHidden/>
              </w:rPr>
              <w:tab/>
            </w:r>
            <w:r w:rsidR="00BB478C">
              <w:rPr>
                <w:webHidden/>
              </w:rPr>
              <w:fldChar w:fldCharType="begin"/>
            </w:r>
            <w:r w:rsidR="00BB478C">
              <w:rPr>
                <w:webHidden/>
              </w:rPr>
              <w:instrText xml:space="preserve"> PAGEREF _Toc395208853 \h </w:instrText>
            </w:r>
            <w:r w:rsidR="00BB478C">
              <w:rPr>
                <w:webHidden/>
              </w:rPr>
            </w:r>
            <w:r w:rsidR="00BB478C">
              <w:rPr>
                <w:webHidden/>
              </w:rPr>
              <w:fldChar w:fldCharType="separate"/>
            </w:r>
            <w:r w:rsidR="00BB478C">
              <w:rPr>
                <w:webHidden/>
              </w:rPr>
              <w:t>8</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4" w:history="1">
            <w:r w:rsidR="00BB478C" w:rsidRPr="00F407D3">
              <w:rPr>
                <w:rStyle w:val="Hyperlink"/>
              </w:rPr>
              <w:t>4.</w:t>
            </w:r>
            <w:r w:rsidR="00BB478C">
              <w:rPr>
                <w:rFonts w:asciiTheme="minorHAnsi" w:eastAsiaTheme="minorEastAsia" w:hAnsiTheme="minorHAnsi" w:cstheme="minorBidi"/>
                <w:b w:val="0"/>
                <w:szCs w:val="22"/>
              </w:rPr>
              <w:tab/>
            </w:r>
            <w:r w:rsidR="00BB478C" w:rsidRPr="00F407D3">
              <w:rPr>
                <w:rStyle w:val="Hyperlink"/>
              </w:rPr>
              <w:t>Evaluación costo-efectividad</w:t>
            </w:r>
            <w:r w:rsidR="00BB478C">
              <w:rPr>
                <w:webHidden/>
              </w:rPr>
              <w:tab/>
            </w:r>
            <w:r w:rsidR="00BB478C">
              <w:rPr>
                <w:webHidden/>
              </w:rPr>
              <w:fldChar w:fldCharType="begin"/>
            </w:r>
            <w:r w:rsidR="00BB478C">
              <w:rPr>
                <w:webHidden/>
              </w:rPr>
              <w:instrText xml:space="preserve"> PAGEREF _Toc395208854 \h </w:instrText>
            </w:r>
            <w:r w:rsidR="00BB478C">
              <w:rPr>
                <w:webHidden/>
              </w:rPr>
            </w:r>
            <w:r w:rsidR="00BB478C">
              <w:rPr>
                <w:webHidden/>
              </w:rPr>
              <w:fldChar w:fldCharType="separate"/>
            </w:r>
            <w:r w:rsidR="00BB478C">
              <w:rPr>
                <w:webHidden/>
              </w:rPr>
              <w:t>8</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5" w:history="1">
            <w:r w:rsidR="00BB478C" w:rsidRPr="00F407D3">
              <w:rPr>
                <w:rStyle w:val="Hyperlink"/>
              </w:rPr>
              <w:t>5.</w:t>
            </w:r>
            <w:r w:rsidR="00BB478C">
              <w:rPr>
                <w:rFonts w:asciiTheme="minorHAnsi" w:eastAsiaTheme="minorEastAsia" w:hAnsiTheme="minorHAnsi" w:cstheme="minorBidi"/>
                <w:b w:val="0"/>
                <w:szCs w:val="22"/>
              </w:rPr>
              <w:tab/>
            </w:r>
            <w:r w:rsidR="00BB478C" w:rsidRPr="00F407D3">
              <w:rPr>
                <w:rStyle w:val="Hyperlink"/>
              </w:rPr>
              <w:t>Análisis de sensibilidad</w:t>
            </w:r>
            <w:r w:rsidR="00BB478C">
              <w:rPr>
                <w:webHidden/>
              </w:rPr>
              <w:tab/>
            </w:r>
            <w:r w:rsidR="00BB478C">
              <w:rPr>
                <w:webHidden/>
              </w:rPr>
              <w:fldChar w:fldCharType="begin"/>
            </w:r>
            <w:r w:rsidR="00BB478C">
              <w:rPr>
                <w:webHidden/>
              </w:rPr>
              <w:instrText xml:space="preserve"> PAGEREF _Toc395208855 \h </w:instrText>
            </w:r>
            <w:r w:rsidR="00BB478C">
              <w:rPr>
                <w:webHidden/>
              </w:rPr>
            </w:r>
            <w:r w:rsidR="00BB478C">
              <w:rPr>
                <w:webHidden/>
              </w:rPr>
              <w:fldChar w:fldCharType="separate"/>
            </w:r>
            <w:r w:rsidR="00BB478C">
              <w:rPr>
                <w:webHidden/>
              </w:rPr>
              <w:t>8</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6" w:history="1">
            <w:r w:rsidR="00BB478C" w:rsidRPr="00F407D3">
              <w:rPr>
                <w:rStyle w:val="Hyperlink"/>
              </w:rPr>
              <w:t>6.</w:t>
            </w:r>
            <w:r w:rsidR="00BB478C">
              <w:rPr>
                <w:rFonts w:asciiTheme="minorHAnsi" w:eastAsiaTheme="minorEastAsia" w:hAnsiTheme="minorHAnsi" w:cstheme="minorBidi"/>
                <w:b w:val="0"/>
                <w:szCs w:val="22"/>
              </w:rPr>
              <w:tab/>
            </w:r>
            <w:r w:rsidR="00BB478C" w:rsidRPr="00F407D3">
              <w:rPr>
                <w:rStyle w:val="Hyperlink"/>
              </w:rPr>
              <w:t>Conclusiones</w:t>
            </w:r>
            <w:r w:rsidR="00BB478C">
              <w:rPr>
                <w:webHidden/>
              </w:rPr>
              <w:tab/>
            </w:r>
            <w:r w:rsidR="00BB478C">
              <w:rPr>
                <w:webHidden/>
              </w:rPr>
              <w:fldChar w:fldCharType="begin"/>
            </w:r>
            <w:r w:rsidR="00BB478C">
              <w:rPr>
                <w:webHidden/>
              </w:rPr>
              <w:instrText xml:space="preserve"> PAGEREF _Toc395208856 \h </w:instrText>
            </w:r>
            <w:r w:rsidR="00BB478C">
              <w:rPr>
                <w:webHidden/>
              </w:rPr>
            </w:r>
            <w:r w:rsidR="00BB478C">
              <w:rPr>
                <w:webHidden/>
              </w:rPr>
              <w:fldChar w:fldCharType="separate"/>
            </w:r>
            <w:r w:rsidR="00BB478C">
              <w:rPr>
                <w:webHidden/>
              </w:rPr>
              <w:t>9</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7" w:history="1">
            <w:r w:rsidR="00BB478C" w:rsidRPr="00F407D3">
              <w:rPr>
                <w:rStyle w:val="Hyperlink"/>
              </w:rPr>
              <w:t>ANEXOS</w:t>
            </w:r>
            <w:r w:rsidR="00BB478C">
              <w:rPr>
                <w:webHidden/>
              </w:rPr>
              <w:tab/>
            </w:r>
            <w:r w:rsidR="00BB478C">
              <w:rPr>
                <w:webHidden/>
              </w:rPr>
              <w:fldChar w:fldCharType="begin"/>
            </w:r>
            <w:r w:rsidR="00BB478C">
              <w:rPr>
                <w:webHidden/>
              </w:rPr>
              <w:instrText xml:space="preserve"> PAGEREF _Toc395208857 \h </w:instrText>
            </w:r>
            <w:r w:rsidR="00BB478C">
              <w:rPr>
                <w:webHidden/>
              </w:rPr>
            </w:r>
            <w:r w:rsidR="00BB478C">
              <w:rPr>
                <w:webHidden/>
              </w:rPr>
              <w:fldChar w:fldCharType="separate"/>
            </w:r>
            <w:r w:rsidR="00BB478C">
              <w:rPr>
                <w:webHidden/>
              </w:rPr>
              <w:t>10</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8" w:history="1">
            <w:r w:rsidR="00BB478C" w:rsidRPr="00F407D3">
              <w:rPr>
                <w:rStyle w:val="Hyperlink"/>
                <w:iCs/>
              </w:rPr>
              <w:t>A.</w:t>
            </w:r>
            <w:r w:rsidR="00BB478C">
              <w:rPr>
                <w:rFonts w:asciiTheme="minorHAnsi" w:eastAsiaTheme="minorEastAsia" w:hAnsiTheme="minorHAnsi" w:cstheme="minorBidi"/>
                <w:b w:val="0"/>
                <w:szCs w:val="22"/>
              </w:rPr>
              <w:tab/>
            </w:r>
            <w:r w:rsidR="00BB478C" w:rsidRPr="00F407D3">
              <w:rPr>
                <w:rStyle w:val="Hyperlink"/>
                <w:iCs/>
              </w:rPr>
              <w:t>Lógica vertical del programa</w:t>
            </w:r>
            <w:r w:rsidR="00BB478C">
              <w:rPr>
                <w:webHidden/>
              </w:rPr>
              <w:tab/>
            </w:r>
            <w:r w:rsidR="00BB478C">
              <w:rPr>
                <w:webHidden/>
              </w:rPr>
              <w:fldChar w:fldCharType="begin"/>
            </w:r>
            <w:r w:rsidR="00BB478C">
              <w:rPr>
                <w:webHidden/>
              </w:rPr>
              <w:instrText xml:space="preserve"> PAGEREF _Toc395208858 \h </w:instrText>
            </w:r>
            <w:r w:rsidR="00BB478C">
              <w:rPr>
                <w:webHidden/>
              </w:rPr>
            </w:r>
            <w:r w:rsidR="00BB478C">
              <w:rPr>
                <w:webHidden/>
              </w:rPr>
              <w:fldChar w:fldCharType="separate"/>
            </w:r>
            <w:r w:rsidR="00BB478C">
              <w:rPr>
                <w:webHidden/>
              </w:rPr>
              <w:t>11</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59" w:history="1">
            <w:r w:rsidR="00BB478C" w:rsidRPr="00F407D3">
              <w:rPr>
                <w:rStyle w:val="Hyperlink"/>
                <w:iCs/>
              </w:rPr>
              <w:t>B.</w:t>
            </w:r>
            <w:r w:rsidR="00BB478C">
              <w:rPr>
                <w:rFonts w:asciiTheme="minorHAnsi" w:eastAsiaTheme="minorEastAsia" w:hAnsiTheme="minorHAnsi" w:cstheme="minorBidi"/>
                <w:b w:val="0"/>
                <w:szCs w:val="22"/>
              </w:rPr>
              <w:tab/>
            </w:r>
            <w:r w:rsidR="00BB478C" w:rsidRPr="00F407D3">
              <w:rPr>
                <w:rStyle w:val="Hyperlink"/>
                <w:iCs/>
              </w:rPr>
              <w:t>Programas de fortalecimiento institucional y efectividad</w:t>
            </w:r>
            <w:r w:rsidR="00BB478C">
              <w:rPr>
                <w:webHidden/>
              </w:rPr>
              <w:tab/>
            </w:r>
            <w:r w:rsidR="00BB478C">
              <w:rPr>
                <w:webHidden/>
              </w:rPr>
              <w:fldChar w:fldCharType="begin"/>
            </w:r>
            <w:r w:rsidR="00BB478C">
              <w:rPr>
                <w:webHidden/>
              </w:rPr>
              <w:instrText xml:space="preserve"> PAGEREF _Toc395208859 \h </w:instrText>
            </w:r>
            <w:r w:rsidR="00BB478C">
              <w:rPr>
                <w:webHidden/>
              </w:rPr>
            </w:r>
            <w:r w:rsidR="00BB478C">
              <w:rPr>
                <w:webHidden/>
              </w:rPr>
              <w:fldChar w:fldCharType="separate"/>
            </w:r>
            <w:r w:rsidR="00BB478C">
              <w:rPr>
                <w:webHidden/>
              </w:rPr>
              <w:t>12</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60" w:history="1">
            <w:r w:rsidR="00BB478C" w:rsidRPr="00F407D3">
              <w:rPr>
                <w:rStyle w:val="Hyperlink"/>
              </w:rPr>
              <w:t>1.</w:t>
            </w:r>
            <w:r w:rsidR="00BB478C">
              <w:rPr>
                <w:rFonts w:asciiTheme="minorHAnsi" w:eastAsiaTheme="minorEastAsia" w:hAnsiTheme="minorHAnsi" w:cstheme="minorBidi"/>
                <w:b w:val="0"/>
                <w:szCs w:val="22"/>
              </w:rPr>
              <w:tab/>
            </w:r>
            <w:r w:rsidR="00BB478C" w:rsidRPr="00F407D3">
              <w:rPr>
                <w:rStyle w:val="Hyperlink"/>
              </w:rPr>
              <w:t>Introducción</w:t>
            </w:r>
            <w:r w:rsidR="00BB478C">
              <w:rPr>
                <w:webHidden/>
              </w:rPr>
              <w:tab/>
            </w:r>
            <w:r w:rsidR="00BB478C">
              <w:rPr>
                <w:webHidden/>
              </w:rPr>
              <w:fldChar w:fldCharType="begin"/>
            </w:r>
            <w:r w:rsidR="00BB478C">
              <w:rPr>
                <w:webHidden/>
              </w:rPr>
              <w:instrText xml:space="preserve"> PAGEREF _Toc395208860 \h </w:instrText>
            </w:r>
            <w:r w:rsidR="00BB478C">
              <w:rPr>
                <w:webHidden/>
              </w:rPr>
            </w:r>
            <w:r w:rsidR="00BB478C">
              <w:rPr>
                <w:webHidden/>
              </w:rPr>
              <w:fldChar w:fldCharType="separate"/>
            </w:r>
            <w:r w:rsidR="00BB478C">
              <w:rPr>
                <w:webHidden/>
              </w:rPr>
              <w:t>12</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61" w:history="1">
            <w:r w:rsidR="00BB478C" w:rsidRPr="00F407D3">
              <w:rPr>
                <w:rStyle w:val="Hyperlink"/>
              </w:rPr>
              <w:t>2.</w:t>
            </w:r>
            <w:r w:rsidR="00BB478C">
              <w:rPr>
                <w:rFonts w:asciiTheme="minorHAnsi" w:eastAsiaTheme="minorEastAsia" w:hAnsiTheme="minorHAnsi" w:cstheme="minorBidi"/>
                <w:b w:val="0"/>
                <w:szCs w:val="22"/>
              </w:rPr>
              <w:tab/>
            </w:r>
            <w:r w:rsidR="00BB478C" w:rsidRPr="00F407D3">
              <w:rPr>
                <w:rStyle w:val="Hyperlink"/>
              </w:rPr>
              <w:t>Programa de Fortalecimiento de la Dirección Nacional de Servicio Civil (CH-L1008)</w:t>
            </w:r>
            <w:r w:rsidR="00BB478C">
              <w:rPr>
                <w:webHidden/>
              </w:rPr>
              <w:tab/>
            </w:r>
            <w:r w:rsidR="00BB478C">
              <w:rPr>
                <w:webHidden/>
              </w:rPr>
              <w:fldChar w:fldCharType="begin"/>
            </w:r>
            <w:r w:rsidR="00BB478C">
              <w:rPr>
                <w:webHidden/>
              </w:rPr>
              <w:instrText xml:space="preserve"> PAGEREF _Toc395208861 \h </w:instrText>
            </w:r>
            <w:r w:rsidR="00BB478C">
              <w:rPr>
                <w:webHidden/>
              </w:rPr>
            </w:r>
            <w:r w:rsidR="00BB478C">
              <w:rPr>
                <w:webHidden/>
              </w:rPr>
              <w:fldChar w:fldCharType="separate"/>
            </w:r>
            <w:r w:rsidR="00BB478C">
              <w:rPr>
                <w:webHidden/>
              </w:rPr>
              <w:t>12</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2" w:history="1">
            <w:r w:rsidR="00BB478C" w:rsidRPr="00F407D3">
              <w:rPr>
                <w:rStyle w:val="Hyperlink"/>
              </w:rPr>
              <w:t>2.1.</w:t>
            </w:r>
            <w:r w:rsidR="00BB478C">
              <w:rPr>
                <w:rFonts w:asciiTheme="minorHAnsi" w:eastAsiaTheme="minorEastAsia" w:hAnsiTheme="minorHAnsi" w:cstheme="minorBidi"/>
                <w:szCs w:val="22"/>
              </w:rPr>
              <w:tab/>
            </w:r>
            <w:r w:rsidR="00BB478C" w:rsidRPr="00F407D3">
              <w:rPr>
                <w:rStyle w:val="Hyperlink"/>
              </w:rPr>
              <w:t>Breve descripción del programa</w:t>
            </w:r>
            <w:r w:rsidR="00BB478C">
              <w:rPr>
                <w:webHidden/>
              </w:rPr>
              <w:tab/>
            </w:r>
            <w:r w:rsidR="00BB478C">
              <w:rPr>
                <w:webHidden/>
              </w:rPr>
              <w:fldChar w:fldCharType="begin"/>
            </w:r>
            <w:r w:rsidR="00BB478C">
              <w:rPr>
                <w:webHidden/>
              </w:rPr>
              <w:instrText xml:space="preserve"> PAGEREF _Toc395208862 \h </w:instrText>
            </w:r>
            <w:r w:rsidR="00BB478C">
              <w:rPr>
                <w:webHidden/>
              </w:rPr>
            </w:r>
            <w:r w:rsidR="00BB478C">
              <w:rPr>
                <w:webHidden/>
              </w:rPr>
              <w:fldChar w:fldCharType="separate"/>
            </w:r>
            <w:r w:rsidR="00BB478C">
              <w:rPr>
                <w:webHidden/>
              </w:rPr>
              <w:t>12</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3" w:history="1">
            <w:r w:rsidR="00BB478C" w:rsidRPr="00F407D3">
              <w:rPr>
                <w:rStyle w:val="Hyperlink"/>
              </w:rPr>
              <w:t>2.2.</w:t>
            </w:r>
            <w:r w:rsidR="00BB478C">
              <w:rPr>
                <w:rFonts w:asciiTheme="minorHAnsi" w:eastAsiaTheme="minorEastAsia" w:hAnsiTheme="minorHAnsi" w:cstheme="minorBidi"/>
                <w:szCs w:val="22"/>
              </w:rPr>
              <w:tab/>
            </w:r>
            <w:r w:rsidR="00BB478C" w:rsidRPr="00F407D3">
              <w:rPr>
                <w:rStyle w:val="Hyperlink"/>
              </w:rPr>
              <w:t>Evaluación de los resultados del programa</w:t>
            </w:r>
            <w:r w:rsidR="00BB478C">
              <w:rPr>
                <w:webHidden/>
              </w:rPr>
              <w:tab/>
            </w:r>
            <w:r w:rsidR="00BB478C">
              <w:rPr>
                <w:webHidden/>
              </w:rPr>
              <w:fldChar w:fldCharType="begin"/>
            </w:r>
            <w:r w:rsidR="00BB478C">
              <w:rPr>
                <w:webHidden/>
              </w:rPr>
              <w:instrText xml:space="preserve"> PAGEREF _Toc395208863 \h </w:instrText>
            </w:r>
            <w:r w:rsidR="00BB478C">
              <w:rPr>
                <w:webHidden/>
              </w:rPr>
            </w:r>
            <w:r w:rsidR="00BB478C">
              <w:rPr>
                <w:webHidden/>
              </w:rPr>
              <w:fldChar w:fldCharType="separate"/>
            </w:r>
            <w:r w:rsidR="00BB478C">
              <w:rPr>
                <w:webHidden/>
              </w:rPr>
              <w:t>13</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4" w:history="1">
            <w:r w:rsidR="00BB478C" w:rsidRPr="00F407D3">
              <w:rPr>
                <w:rStyle w:val="Hyperlink"/>
              </w:rPr>
              <w:t>2.3.</w:t>
            </w:r>
            <w:r w:rsidR="00BB478C">
              <w:rPr>
                <w:rFonts w:asciiTheme="minorHAnsi" w:eastAsiaTheme="minorEastAsia" w:hAnsiTheme="minorHAnsi" w:cstheme="minorBidi"/>
                <w:szCs w:val="22"/>
              </w:rPr>
              <w:tab/>
            </w:r>
            <w:r w:rsidR="00BB478C" w:rsidRPr="00F407D3">
              <w:rPr>
                <w:rStyle w:val="Hyperlink"/>
              </w:rPr>
              <w:t>Conclusiones</w:t>
            </w:r>
            <w:r w:rsidR="00BB478C">
              <w:rPr>
                <w:webHidden/>
              </w:rPr>
              <w:tab/>
            </w:r>
            <w:r w:rsidR="00BB478C">
              <w:rPr>
                <w:webHidden/>
              </w:rPr>
              <w:fldChar w:fldCharType="begin"/>
            </w:r>
            <w:r w:rsidR="00BB478C">
              <w:rPr>
                <w:webHidden/>
              </w:rPr>
              <w:instrText xml:space="preserve"> PAGEREF _Toc395208864 \h </w:instrText>
            </w:r>
            <w:r w:rsidR="00BB478C">
              <w:rPr>
                <w:webHidden/>
              </w:rPr>
            </w:r>
            <w:r w:rsidR="00BB478C">
              <w:rPr>
                <w:webHidden/>
              </w:rPr>
              <w:fldChar w:fldCharType="separate"/>
            </w:r>
            <w:r w:rsidR="00BB478C">
              <w:rPr>
                <w:webHidden/>
              </w:rPr>
              <w:t>15</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65" w:history="1">
            <w:r w:rsidR="00BB478C" w:rsidRPr="00F407D3">
              <w:rPr>
                <w:rStyle w:val="Hyperlink"/>
              </w:rPr>
              <w:t>3.</w:t>
            </w:r>
            <w:r w:rsidR="00BB478C">
              <w:rPr>
                <w:rFonts w:asciiTheme="minorHAnsi" w:eastAsiaTheme="minorEastAsia" w:hAnsiTheme="minorHAnsi" w:cstheme="minorBidi"/>
                <w:b w:val="0"/>
                <w:szCs w:val="22"/>
              </w:rPr>
              <w:tab/>
            </w:r>
            <w:r w:rsidR="00BB478C" w:rsidRPr="00F407D3">
              <w:rPr>
                <w:rStyle w:val="Hyperlink"/>
              </w:rPr>
              <w:t>Medición del impacto en la efectividad de un programa de fortalecimiento institucional: el caso de los servicios jurídicos de la Alcaldía Mayor de Bogotá</w:t>
            </w:r>
            <w:r w:rsidR="00BB478C">
              <w:rPr>
                <w:webHidden/>
              </w:rPr>
              <w:tab/>
            </w:r>
            <w:r w:rsidR="00BB478C">
              <w:rPr>
                <w:webHidden/>
              </w:rPr>
              <w:fldChar w:fldCharType="begin"/>
            </w:r>
            <w:r w:rsidR="00BB478C">
              <w:rPr>
                <w:webHidden/>
              </w:rPr>
              <w:instrText xml:space="preserve"> PAGEREF _Toc395208865 \h </w:instrText>
            </w:r>
            <w:r w:rsidR="00BB478C">
              <w:rPr>
                <w:webHidden/>
              </w:rPr>
            </w:r>
            <w:r w:rsidR="00BB478C">
              <w:rPr>
                <w:webHidden/>
              </w:rPr>
              <w:fldChar w:fldCharType="separate"/>
            </w:r>
            <w:r w:rsidR="00BB478C">
              <w:rPr>
                <w:webHidden/>
              </w:rPr>
              <w:t>16</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6" w:history="1">
            <w:r w:rsidR="00BB478C" w:rsidRPr="00F407D3">
              <w:rPr>
                <w:rStyle w:val="Hyperlink"/>
              </w:rPr>
              <w:t>3.1.</w:t>
            </w:r>
            <w:r w:rsidR="00BB478C">
              <w:rPr>
                <w:rFonts w:asciiTheme="minorHAnsi" w:eastAsiaTheme="minorEastAsia" w:hAnsiTheme="minorHAnsi" w:cstheme="minorBidi"/>
                <w:szCs w:val="22"/>
              </w:rPr>
              <w:tab/>
            </w:r>
            <w:r w:rsidR="00BB478C" w:rsidRPr="00F407D3">
              <w:rPr>
                <w:rStyle w:val="Hyperlink"/>
              </w:rPr>
              <w:t>Breve descripción del programa</w:t>
            </w:r>
            <w:r w:rsidR="00BB478C">
              <w:rPr>
                <w:webHidden/>
              </w:rPr>
              <w:tab/>
            </w:r>
            <w:r w:rsidR="00BB478C">
              <w:rPr>
                <w:webHidden/>
              </w:rPr>
              <w:fldChar w:fldCharType="begin"/>
            </w:r>
            <w:r w:rsidR="00BB478C">
              <w:rPr>
                <w:webHidden/>
              </w:rPr>
              <w:instrText xml:space="preserve"> PAGEREF _Toc395208866 \h </w:instrText>
            </w:r>
            <w:r w:rsidR="00BB478C">
              <w:rPr>
                <w:webHidden/>
              </w:rPr>
            </w:r>
            <w:r w:rsidR="00BB478C">
              <w:rPr>
                <w:webHidden/>
              </w:rPr>
              <w:fldChar w:fldCharType="separate"/>
            </w:r>
            <w:r w:rsidR="00BB478C">
              <w:rPr>
                <w:webHidden/>
              </w:rPr>
              <w:t>16</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7" w:history="1">
            <w:r w:rsidR="00BB478C" w:rsidRPr="00F407D3">
              <w:rPr>
                <w:rStyle w:val="Hyperlink"/>
              </w:rPr>
              <w:t>3.2.</w:t>
            </w:r>
            <w:r w:rsidR="00BB478C">
              <w:rPr>
                <w:rFonts w:asciiTheme="minorHAnsi" w:eastAsiaTheme="minorEastAsia" w:hAnsiTheme="minorHAnsi" w:cstheme="minorBidi"/>
                <w:szCs w:val="22"/>
              </w:rPr>
              <w:tab/>
            </w:r>
            <w:r w:rsidR="00BB478C" w:rsidRPr="00F407D3">
              <w:rPr>
                <w:rStyle w:val="Hyperlink"/>
              </w:rPr>
              <w:t>Evaluación de los resultados del programa</w:t>
            </w:r>
            <w:r w:rsidR="00BB478C">
              <w:rPr>
                <w:webHidden/>
              </w:rPr>
              <w:tab/>
            </w:r>
            <w:r w:rsidR="00BB478C">
              <w:rPr>
                <w:webHidden/>
              </w:rPr>
              <w:fldChar w:fldCharType="begin"/>
            </w:r>
            <w:r w:rsidR="00BB478C">
              <w:rPr>
                <w:webHidden/>
              </w:rPr>
              <w:instrText xml:space="preserve"> PAGEREF _Toc395208867 \h </w:instrText>
            </w:r>
            <w:r w:rsidR="00BB478C">
              <w:rPr>
                <w:webHidden/>
              </w:rPr>
            </w:r>
            <w:r w:rsidR="00BB478C">
              <w:rPr>
                <w:webHidden/>
              </w:rPr>
              <w:fldChar w:fldCharType="separate"/>
            </w:r>
            <w:r w:rsidR="00BB478C">
              <w:rPr>
                <w:webHidden/>
              </w:rPr>
              <w:t>17</w:t>
            </w:r>
            <w:r w:rsidR="00BB478C">
              <w:rPr>
                <w:webHidden/>
              </w:rPr>
              <w:fldChar w:fldCharType="end"/>
            </w:r>
          </w:hyperlink>
        </w:p>
        <w:p w:rsidR="00BB478C" w:rsidRDefault="00AE7E80">
          <w:pPr>
            <w:pStyle w:val="TOC2"/>
            <w:rPr>
              <w:rFonts w:asciiTheme="minorHAnsi" w:eastAsiaTheme="minorEastAsia" w:hAnsiTheme="minorHAnsi" w:cstheme="minorBidi"/>
              <w:szCs w:val="22"/>
            </w:rPr>
          </w:pPr>
          <w:hyperlink w:anchor="_Toc395208868" w:history="1">
            <w:r w:rsidR="00BB478C" w:rsidRPr="00F407D3">
              <w:rPr>
                <w:rStyle w:val="Hyperlink"/>
              </w:rPr>
              <w:t>3.3.</w:t>
            </w:r>
            <w:r w:rsidR="00BB478C">
              <w:rPr>
                <w:rFonts w:asciiTheme="minorHAnsi" w:eastAsiaTheme="minorEastAsia" w:hAnsiTheme="minorHAnsi" w:cstheme="minorBidi"/>
                <w:szCs w:val="22"/>
              </w:rPr>
              <w:tab/>
            </w:r>
            <w:r w:rsidR="00BB478C" w:rsidRPr="00F407D3">
              <w:rPr>
                <w:rStyle w:val="Hyperlink"/>
              </w:rPr>
              <w:t>Conclusiones</w:t>
            </w:r>
            <w:r w:rsidR="00BB478C">
              <w:rPr>
                <w:webHidden/>
              </w:rPr>
              <w:tab/>
            </w:r>
            <w:r w:rsidR="00BB478C">
              <w:rPr>
                <w:webHidden/>
              </w:rPr>
              <w:fldChar w:fldCharType="begin"/>
            </w:r>
            <w:r w:rsidR="00BB478C">
              <w:rPr>
                <w:webHidden/>
              </w:rPr>
              <w:instrText xml:space="preserve"> PAGEREF _Toc395208868 \h </w:instrText>
            </w:r>
            <w:r w:rsidR="00BB478C">
              <w:rPr>
                <w:webHidden/>
              </w:rPr>
            </w:r>
            <w:r w:rsidR="00BB478C">
              <w:rPr>
                <w:webHidden/>
              </w:rPr>
              <w:fldChar w:fldCharType="separate"/>
            </w:r>
            <w:r w:rsidR="00BB478C">
              <w:rPr>
                <w:webHidden/>
              </w:rPr>
              <w:t>19</w:t>
            </w:r>
            <w:r w:rsidR="00BB478C">
              <w:rPr>
                <w:webHidden/>
              </w:rPr>
              <w:fldChar w:fldCharType="end"/>
            </w:r>
          </w:hyperlink>
        </w:p>
        <w:p w:rsidR="00BB478C" w:rsidRDefault="00AE7E80">
          <w:pPr>
            <w:pStyle w:val="TOC1"/>
            <w:rPr>
              <w:rFonts w:asciiTheme="minorHAnsi" w:eastAsiaTheme="minorEastAsia" w:hAnsiTheme="minorHAnsi" w:cstheme="minorBidi"/>
              <w:b w:val="0"/>
              <w:szCs w:val="22"/>
            </w:rPr>
          </w:pPr>
          <w:hyperlink w:anchor="_Toc395208869" w:history="1">
            <w:r w:rsidR="00BB478C" w:rsidRPr="00F407D3">
              <w:rPr>
                <w:rStyle w:val="Hyperlink"/>
                <w:iCs/>
              </w:rPr>
              <w:t>C.</w:t>
            </w:r>
            <w:r w:rsidR="00BB478C">
              <w:rPr>
                <w:rFonts w:asciiTheme="minorHAnsi" w:eastAsiaTheme="minorEastAsia" w:hAnsiTheme="minorHAnsi" w:cstheme="minorBidi"/>
                <w:b w:val="0"/>
                <w:szCs w:val="22"/>
              </w:rPr>
              <w:tab/>
            </w:r>
            <w:r w:rsidR="00BB478C" w:rsidRPr="00F407D3">
              <w:rPr>
                <w:rStyle w:val="Hyperlink"/>
                <w:iCs/>
              </w:rPr>
              <w:t>Resultados de análisis costo/efectividad</w:t>
            </w:r>
            <w:r w:rsidR="00BB478C">
              <w:rPr>
                <w:webHidden/>
              </w:rPr>
              <w:tab/>
            </w:r>
            <w:r w:rsidR="00BB478C">
              <w:rPr>
                <w:webHidden/>
              </w:rPr>
              <w:fldChar w:fldCharType="begin"/>
            </w:r>
            <w:r w:rsidR="00BB478C">
              <w:rPr>
                <w:webHidden/>
              </w:rPr>
              <w:instrText xml:space="preserve"> PAGEREF _Toc395208869 \h </w:instrText>
            </w:r>
            <w:r w:rsidR="00BB478C">
              <w:rPr>
                <w:webHidden/>
              </w:rPr>
            </w:r>
            <w:r w:rsidR="00BB478C">
              <w:rPr>
                <w:webHidden/>
              </w:rPr>
              <w:fldChar w:fldCharType="separate"/>
            </w:r>
            <w:r w:rsidR="00BB478C">
              <w:rPr>
                <w:webHidden/>
              </w:rPr>
              <w:t>20</w:t>
            </w:r>
            <w:r w:rsidR="00BB478C">
              <w:rPr>
                <w:webHidden/>
              </w:rPr>
              <w:fldChar w:fldCharType="end"/>
            </w:r>
          </w:hyperlink>
        </w:p>
        <w:p w:rsidR="00661854" w:rsidRPr="0053032C" w:rsidRDefault="00076D66">
          <w:r>
            <w:fldChar w:fldCharType="end"/>
          </w:r>
        </w:p>
      </w:sdtContent>
    </w:sdt>
    <w:p w:rsidR="00661854" w:rsidRPr="0053032C" w:rsidRDefault="00661854" w:rsidP="00D04EC0"/>
    <w:p w:rsidR="00661854" w:rsidRPr="0053032C" w:rsidRDefault="00661854" w:rsidP="00D04EC0"/>
    <w:p w:rsidR="00661854" w:rsidRPr="0053032C" w:rsidRDefault="00661854" w:rsidP="00D04EC0">
      <w:pPr>
        <w:sectPr w:rsidR="00661854" w:rsidRPr="0053032C" w:rsidSect="00661854">
          <w:pgSz w:w="12240" w:h="15840" w:code="1"/>
          <w:pgMar w:top="1418" w:right="1418" w:bottom="1418" w:left="1418" w:header="709" w:footer="856" w:gutter="0"/>
          <w:cols w:space="708"/>
          <w:docGrid w:linePitch="360"/>
        </w:sectPr>
      </w:pPr>
    </w:p>
    <w:p w:rsidR="004433C4" w:rsidRPr="0053032C" w:rsidRDefault="00966F4C" w:rsidP="0017791C">
      <w:pPr>
        <w:pStyle w:val="Heading1"/>
      </w:pPr>
      <w:bookmarkStart w:id="1" w:name="_Toc395208843"/>
      <w:r w:rsidRPr="0053032C">
        <w:lastRenderedPageBreak/>
        <w:t>Introducción</w:t>
      </w:r>
      <w:bookmarkEnd w:id="1"/>
    </w:p>
    <w:p w:rsidR="00966F4C" w:rsidRPr="0053032C" w:rsidRDefault="00966F4C" w:rsidP="00111F00">
      <w:pPr>
        <w:pStyle w:val="Heading2"/>
      </w:pPr>
      <w:bookmarkStart w:id="2" w:name="_Ref300065100"/>
      <w:bookmarkStart w:id="3" w:name="_Toc395208844"/>
      <w:r w:rsidRPr="0053032C">
        <w:t>Breve descripción del Programa</w:t>
      </w:r>
      <w:bookmarkEnd w:id="2"/>
      <w:bookmarkEnd w:id="3"/>
    </w:p>
    <w:p w:rsidR="009A142E" w:rsidRPr="0053032C" w:rsidRDefault="00B87ECB" w:rsidP="00976892">
      <w:pPr>
        <w:pStyle w:val="ListParagraph"/>
        <w:numPr>
          <w:ilvl w:val="0"/>
          <w:numId w:val="14"/>
        </w:numPr>
        <w:spacing w:after="240"/>
        <w:ind w:left="0" w:hanging="567"/>
      </w:pPr>
      <w:r w:rsidRPr="0053032C">
        <w:t>El objetivo general del programa es colaborar con la mejora de la satisfacción que los ciudadanos tienen con los servicios que ofrece el Estado. El objetivo específico es elevar la efectividad y eficiencia de las entidades (rectoras y de entrega) que ofrecen servicios a los ciudadanos, mediante una mejora de sus capacidades de gestión.</w:t>
      </w:r>
    </w:p>
    <w:p w:rsidR="00976892" w:rsidRPr="0053032C" w:rsidRDefault="00976892" w:rsidP="00976892">
      <w:pPr>
        <w:pStyle w:val="ListParagraph"/>
        <w:numPr>
          <w:ilvl w:val="0"/>
          <w:numId w:val="14"/>
        </w:numPr>
        <w:spacing w:after="240"/>
        <w:ind w:left="0" w:hanging="567"/>
      </w:pPr>
      <w:r w:rsidRPr="0053032C">
        <w:t>De acuerdo con el Documento de Programa (POD), el programa desarrollará proyectos de mejora para entidades rectoras (sectoriales o centrales) y entidades de entrega. Se financiará también el apoyo a la puesta en marcha de nuevas entidades. De esta manera, el programa apoyará cuatro tipos de proyectos: P1-Proyectos de mejora de entidades rectoras existentes, P2-Proyectos de apoyo a la implantación de nuevas entidades rectoras, P3-Proyectos de mejora de entidades de entrega de servicios</w:t>
      </w:r>
      <w:r w:rsidR="00610337">
        <w:t xml:space="preserve"> (no previsto ninguno actualmente)</w:t>
      </w:r>
      <w:r w:rsidRPr="0053032C">
        <w:t xml:space="preserve"> y P4-Proyectos de apoyo a la implantación de nuevas entidades de entrega de servicios. </w:t>
      </w:r>
    </w:p>
    <w:p w:rsidR="00550370" w:rsidRPr="0053032C" w:rsidRDefault="00976892" w:rsidP="00976892">
      <w:pPr>
        <w:pStyle w:val="ListParagraph"/>
        <w:numPr>
          <w:ilvl w:val="0"/>
          <w:numId w:val="14"/>
        </w:numPr>
        <w:spacing w:after="240"/>
        <w:ind w:left="0" w:hanging="567"/>
      </w:pPr>
      <w:r w:rsidRPr="0053032C">
        <w:t>Para el diseño y dimensionamiento del programa, se ha considerado una muestra de proyectos. En el cuadro 1 pueden observarse estas entidades y servicios utilizados en la muestra, clasificados por tipo de proyecto:</w:t>
      </w:r>
    </w:p>
    <w:p w:rsidR="00976892" w:rsidRPr="00076D66" w:rsidRDefault="00976892" w:rsidP="00076D66">
      <w:pPr>
        <w:spacing w:after="60"/>
        <w:jc w:val="center"/>
        <w:rPr>
          <w:b/>
          <w:sz w:val="20"/>
        </w:rPr>
      </w:pPr>
      <w:r w:rsidRPr="00076D66">
        <w:rPr>
          <w:b/>
          <w:sz w:val="20"/>
        </w:rPr>
        <w:t>Cuadro 1</w:t>
      </w:r>
      <w:r w:rsidR="00033B2B" w:rsidRPr="00076D66">
        <w:rPr>
          <w:b/>
          <w:sz w:val="20"/>
        </w:rPr>
        <w:t>.</w:t>
      </w:r>
      <w:r w:rsidRPr="00076D66">
        <w:rPr>
          <w:b/>
          <w:sz w:val="20"/>
        </w:rPr>
        <w:t xml:space="preserve"> Muestra de proyectos para la elaboración del programa</w:t>
      </w:r>
    </w:p>
    <w:tbl>
      <w:tblPr>
        <w:tblStyle w:val="Tablanormal21"/>
        <w:tblW w:w="7717" w:type="dxa"/>
        <w:tblInd w:w="737" w:type="dxa"/>
        <w:tblLook w:val="04A0" w:firstRow="1" w:lastRow="0" w:firstColumn="1" w:lastColumn="0" w:noHBand="0" w:noVBand="1"/>
      </w:tblPr>
      <w:tblGrid>
        <w:gridCol w:w="1118"/>
        <w:gridCol w:w="3203"/>
        <w:gridCol w:w="3396"/>
      </w:tblGrid>
      <w:tr w:rsidR="00976892" w:rsidRPr="0060307A" w:rsidTr="009768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8" w:type="dxa"/>
            <w:shd w:val="clear" w:color="auto" w:fill="D9D9D9" w:themeFill="background1" w:themeFillShade="D9"/>
          </w:tcPr>
          <w:p w:rsidR="00976892" w:rsidRPr="0060307A" w:rsidRDefault="00976892" w:rsidP="00076D66">
            <w:pPr>
              <w:rPr>
                <w:rFonts w:ascii="Times New Roman" w:hAnsi="Times New Roman" w:cs="Times New Roman"/>
                <w:sz w:val="20"/>
              </w:rPr>
            </w:pPr>
          </w:p>
        </w:tc>
        <w:tc>
          <w:tcPr>
            <w:tcW w:w="3203" w:type="dxa"/>
            <w:shd w:val="clear" w:color="auto" w:fill="D9D9D9" w:themeFill="background1" w:themeFillShade="D9"/>
          </w:tcPr>
          <w:p w:rsidR="00976892" w:rsidRPr="0060307A" w:rsidRDefault="00976892" w:rsidP="00076D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Funciones rectoras</w:t>
            </w:r>
          </w:p>
        </w:tc>
        <w:tc>
          <w:tcPr>
            <w:tcW w:w="3396" w:type="dxa"/>
            <w:shd w:val="clear" w:color="auto" w:fill="D9D9D9" w:themeFill="background1" w:themeFillShade="D9"/>
          </w:tcPr>
          <w:p w:rsidR="00976892" w:rsidRPr="0060307A" w:rsidRDefault="00976892" w:rsidP="00076D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Funciones de entrega</w:t>
            </w:r>
          </w:p>
        </w:tc>
      </w:tr>
      <w:tr w:rsidR="00976892" w:rsidRPr="0060307A" w:rsidTr="009768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8" w:type="dxa"/>
            <w:shd w:val="clear" w:color="auto" w:fill="D9D9D9" w:themeFill="background1" w:themeFillShade="D9"/>
          </w:tcPr>
          <w:p w:rsidR="00976892" w:rsidRPr="0060307A" w:rsidRDefault="00976892" w:rsidP="00076D66">
            <w:pPr>
              <w:rPr>
                <w:rFonts w:ascii="Times New Roman" w:hAnsi="Times New Roman" w:cs="Times New Roman"/>
                <w:sz w:val="20"/>
              </w:rPr>
            </w:pPr>
            <w:r w:rsidRPr="0060307A">
              <w:rPr>
                <w:rFonts w:ascii="Times New Roman" w:hAnsi="Times New Roman" w:cs="Times New Roman"/>
                <w:sz w:val="20"/>
              </w:rPr>
              <w:t>Entidades existentes</w:t>
            </w:r>
          </w:p>
        </w:tc>
        <w:tc>
          <w:tcPr>
            <w:tcW w:w="3203" w:type="dxa"/>
          </w:tcPr>
          <w:p w:rsidR="00976892" w:rsidRPr="0060307A" w:rsidRDefault="00976892"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P1</w:t>
            </w:r>
          </w:p>
          <w:p w:rsidR="00BA2047" w:rsidRPr="0060307A" w:rsidRDefault="00BA2047"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rsidR="00976892" w:rsidRPr="0060307A" w:rsidRDefault="00976892"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Proyecto de mejora de la gestión del Servicio Nacional de Pesca</w:t>
            </w:r>
          </w:p>
        </w:tc>
        <w:tc>
          <w:tcPr>
            <w:tcW w:w="3396" w:type="dxa"/>
          </w:tcPr>
          <w:p w:rsidR="00976892" w:rsidRPr="0060307A" w:rsidRDefault="00976892"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P3</w:t>
            </w:r>
          </w:p>
          <w:p w:rsidR="00BA2047" w:rsidRPr="0060307A" w:rsidRDefault="00BA2047"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rsidR="00976892" w:rsidRPr="0060307A" w:rsidRDefault="00976892"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Proyecto de mejora de la gestión del Servicio Nacional del Consumidor</w:t>
            </w:r>
            <w:r w:rsidR="00707AC7">
              <w:rPr>
                <w:rFonts w:ascii="Times New Roman" w:hAnsi="Times New Roman" w:cs="Times New Roman"/>
                <w:sz w:val="20"/>
              </w:rPr>
              <w:t xml:space="preserve"> (SERNAC)</w:t>
            </w:r>
          </w:p>
          <w:p w:rsidR="00976892" w:rsidRPr="0060307A" w:rsidRDefault="00976892" w:rsidP="00076D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Proyecto de mejora de la gestión del Instituto Nacional de Estadísticas</w:t>
            </w:r>
            <w:r w:rsidR="00707AC7">
              <w:rPr>
                <w:rFonts w:ascii="Times New Roman" w:hAnsi="Times New Roman" w:cs="Times New Roman"/>
                <w:sz w:val="20"/>
              </w:rPr>
              <w:t xml:space="preserve"> (INE)</w:t>
            </w:r>
          </w:p>
        </w:tc>
      </w:tr>
      <w:tr w:rsidR="00976892" w:rsidRPr="0060307A" w:rsidTr="00976892">
        <w:tc>
          <w:tcPr>
            <w:cnfStyle w:val="001000000000" w:firstRow="0" w:lastRow="0" w:firstColumn="1" w:lastColumn="0" w:oddVBand="0" w:evenVBand="0" w:oddHBand="0" w:evenHBand="0" w:firstRowFirstColumn="0" w:firstRowLastColumn="0" w:lastRowFirstColumn="0" w:lastRowLastColumn="0"/>
            <w:tcW w:w="1118" w:type="dxa"/>
            <w:shd w:val="clear" w:color="auto" w:fill="D9D9D9" w:themeFill="background1" w:themeFillShade="D9"/>
          </w:tcPr>
          <w:p w:rsidR="00976892" w:rsidRPr="0060307A" w:rsidRDefault="00976892" w:rsidP="00076D66">
            <w:pPr>
              <w:rPr>
                <w:rFonts w:ascii="Times New Roman" w:hAnsi="Times New Roman" w:cs="Times New Roman"/>
                <w:sz w:val="20"/>
              </w:rPr>
            </w:pPr>
            <w:r w:rsidRPr="0060307A">
              <w:rPr>
                <w:rFonts w:ascii="Times New Roman" w:hAnsi="Times New Roman" w:cs="Times New Roman"/>
                <w:sz w:val="20"/>
              </w:rPr>
              <w:t>Entidades nuevas</w:t>
            </w:r>
          </w:p>
        </w:tc>
        <w:tc>
          <w:tcPr>
            <w:tcW w:w="3203" w:type="dxa"/>
          </w:tcPr>
          <w:p w:rsidR="00976892" w:rsidRPr="0060307A" w:rsidRDefault="00976892" w:rsidP="00076D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P2</w:t>
            </w:r>
          </w:p>
        </w:tc>
        <w:tc>
          <w:tcPr>
            <w:tcW w:w="3396" w:type="dxa"/>
          </w:tcPr>
          <w:p w:rsidR="00976892" w:rsidRPr="0060307A" w:rsidRDefault="00976892" w:rsidP="00076D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P4</w:t>
            </w:r>
          </w:p>
          <w:p w:rsidR="00BA2047" w:rsidRPr="0060307A" w:rsidRDefault="00BA2047" w:rsidP="00076D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rsidR="00976892" w:rsidRPr="0060307A" w:rsidRDefault="00976892" w:rsidP="00076D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Proyecto de apoyo  a la implantación del Servicio Nacional de Protección del Menor</w:t>
            </w:r>
            <w:r w:rsidR="0060307A">
              <w:rPr>
                <w:rFonts w:ascii="Times New Roman" w:hAnsi="Times New Roman" w:cs="Times New Roman"/>
                <w:sz w:val="20"/>
              </w:rPr>
              <w:t xml:space="preserve"> (SNPM)</w:t>
            </w:r>
          </w:p>
          <w:p w:rsidR="00976892" w:rsidRPr="0060307A" w:rsidRDefault="00976892" w:rsidP="00076D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60307A">
              <w:rPr>
                <w:rFonts w:ascii="Times New Roman" w:hAnsi="Times New Roman" w:cs="Times New Roman"/>
                <w:sz w:val="20"/>
              </w:rPr>
              <w:t>Proyecto de apoyo a la implantación del Servicio de Reinserción del Adolescente</w:t>
            </w:r>
            <w:r w:rsidR="0060307A">
              <w:rPr>
                <w:rFonts w:ascii="Times New Roman" w:hAnsi="Times New Roman" w:cs="Times New Roman"/>
                <w:sz w:val="20"/>
              </w:rPr>
              <w:t xml:space="preserve"> (</w:t>
            </w:r>
            <w:r w:rsidR="00707AC7">
              <w:rPr>
                <w:rFonts w:ascii="Times New Roman" w:hAnsi="Times New Roman" w:cs="Times New Roman"/>
                <w:sz w:val="20"/>
              </w:rPr>
              <w:t>SNRA)</w:t>
            </w:r>
          </w:p>
        </w:tc>
      </w:tr>
    </w:tbl>
    <w:p w:rsidR="00976892" w:rsidRPr="0053032C" w:rsidRDefault="00976892" w:rsidP="00F42813"/>
    <w:p w:rsidR="00710376" w:rsidRPr="0053032C" w:rsidRDefault="00F42813" w:rsidP="00F42813">
      <w:pPr>
        <w:pStyle w:val="ListParagraph"/>
        <w:numPr>
          <w:ilvl w:val="0"/>
          <w:numId w:val="14"/>
        </w:numPr>
        <w:spacing w:after="240"/>
        <w:ind w:left="0" w:hanging="567"/>
      </w:pPr>
      <w:r w:rsidRPr="0053032C">
        <w:t>El programa se estructura en tres componentes. Los dos primeros relativos a los proyectos de mejora de la gestión o implantación de nuevas entidades, y el tercero referido al fortalecimiento de instrumentos centrales de elaboración, seguimiento y evaluación de proyectos. El componente 1 se concentra en la mejora de las capacidades rectoras de las entidades (o eventualmente en la implantación de nuevas entidades), mientras que el componente 2 se focaliza en la mejora de la gestión de las agencias/servicios que entregan servicios a la ciudadanía (o eventualmente en la implantación de nuevos servicios). El componente 3 trata de forta</w:t>
      </w:r>
      <w:r w:rsidR="00E2274C" w:rsidRPr="0053032C">
        <w:t>lecer las capacidades de los órganos centrales para apoyar el desarrollo e implementación de instrumentos adecuados para la planificación, ejecución, seguimiento y evaluación de proyectos</w:t>
      </w:r>
      <w:r w:rsidR="00BA2047" w:rsidRPr="0053032C">
        <w:t xml:space="preserve">, así como </w:t>
      </w:r>
      <w:r w:rsidR="00E2274C" w:rsidRPr="0053032C">
        <w:t xml:space="preserve">iniciativas de mejora de la gestión o de implantación de nuevas entidades. </w:t>
      </w:r>
    </w:p>
    <w:p w:rsidR="00710376" w:rsidRPr="0053032C" w:rsidRDefault="00710376" w:rsidP="00111F00">
      <w:pPr>
        <w:pStyle w:val="Heading2"/>
      </w:pPr>
      <w:bookmarkStart w:id="4" w:name="_Ref395003570"/>
      <w:bookmarkStart w:id="5" w:name="_Toc395208845"/>
      <w:r w:rsidRPr="0053032C">
        <w:lastRenderedPageBreak/>
        <w:t>Resultados esperados</w:t>
      </w:r>
      <w:r w:rsidR="001D2C4C" w:rsidRPr="0053032C">
        <w:t xml:space="preserve"> del programa</w:t>
      </w:r>
      <w:bookmarkEnd w:id="4"/>
      <w:bookmarkEnd w:id="5"/>
    </w:p>
    <w:p w:rsidR="0065198A" w:rsidRPr="0053032C" w:rsidRDefault="009A142E" w:rsidP="0065198A">
      <w:pPr>
        <w:pStyle w:val="ListParagraph"/>
        <w:numPr>
          <w:ilvl w:val="0"/>
          <w:numId w:val="14"/>
        </w:numPr>
        <w:spacing w:after="240"/>
        <w:ind w:left="0" w:hanging="567"/>
      </w:pPr>
      <w:r w:rsidRPr="0053032C">
        <w:t xml:space="preserve">De acuerdo con la matriz de resultados, </w:t>
      </w:r>
      <w:r w:rsidR="0065198A" w:rsidRPr="0053032C">
        <w:t xml:space="preserve">el impacto esperado del programa es la mejora de la satisfacción ciudadana con los servicios públicos prestados por las entidades de entrega incluidas en el Programa. </w:t>
      </w:r>
      <w:r w:rsidR="00033B2B" w:rsidRPr="0053032C">
        <w:t xml:space="preserve">En concreto, se espera que </w:t>
      </w:r>
      <w:r w:rsidR="00033B2B" w:rsidRPr="00610337">
        <w:t>el porcentaje de satisfacción ciudadana con los servicios públicos prestados por las entidades de entrega (servicios) en el programa mejore un 50% tras la ejecución del programa. Para ello las acciones del programa se orientan a mejorar la efectividad y eficiencia de dichas entidades prestadoras de servicios a la ciudadanía.</w:t>
      </w:r>
    </w:p>
    <w:p w:rsidR="005542AD" w:rsidRPr="0053032C" w:rsidRDefault="00033B2B" w:rsidP="0065198A">
      <w:pPr>
        <w:pStyle w:val="ListParagraph"/>
        <w:numPr>
          <w:ilvl w:val="0"/>
          <w:numId w:val="14"/>
        </w:numPr>
        <w:spacing w:after="240"/>
        <w:ind w:left="0" w:hanging="567"/>
      </w:pPr>
      <w:r w:rsidRPr="0053032C">
        <w:t>De esto modos, l</w:t>
      </w:r>
      <w:r w:rsidR="009A142E" w:rsidRPr="0053032C">
        <w:t xml:space="preserve">os </w:t>
      </w:r>
      <w:r w:rsidR="0057085A" w:rsidRPr="0053032C">
        <w:t xml:space="preserve">logros en términos de </w:t>
      </w:r>
      <w:r w:rsidR="0057085A" w:rsidRPr="0053032C">
        <w:rPr>
          <w:i/>
        </w:rPr>
        <w:t>outcomes</w:t>
      </w:r>
      <w:r w:rsidR="009A142E" w:rsidRPr="0053032C">
        <w:t xml:space="preserve"> que se esperan </w:t>
      </w:r>
      <w:r w:rsidR="001D2C4C" w:rsidRPr="0053032C">
        <w:t>conseguir</w:t>
      </w:r>
      <w:r w:rsidR="0057085A" w:rsidRPr="0053032C">
        <w:t xml:space="preserve"> mediante las actividades financiada</w:t>
      </w:r>
      <w:r w:rsidRPr="0053032C">
        <w:t>s</w:t>
      </w:r>
      <w:r w:rsidR="0057085A" w:rsidRPr="0053032C">
        <w:t xml:space="preserve"> por </w:t>
      </w:r>
      <w:r w:rsidR="009A142E" w:rsidRPr="0053032C">
        <w:t xml:space="preserve">el programa </w:t>
      </w:r>
      <w:r w:rsidR="001D2C4C" w:rsidRPr="0053032C">
        <w:t>está</w:t>
      </w:r>
      <w:r w:rsidR="00425EE1" w:rsidRPr="0053032C">
        <w:t>n</w:t>
      </w:r>
      <w:r w:rsidR="001D2C4C" w:rsidRPr="0053032C">
        <w:t xml:space="preserve"> expresados por </w:t>
      </w:r>
      <w:r w:rsidR="00425EE1" w:rsidRPr="0053032C">
        <w:t xml:space="preserve">los siguientes </w:t>
      </w:r>
      <w:r w:rsidR="001D2C4C" w:rsidRPr="0053032C">
        <w:t xml:space="preserve">dos </w:t>
      </w:r>
      <w:r w:rsidR="005542AD" w:rsidRPr="0053032C">
        <w:t>resultados esperados</w:t>
      </w:r>
      <w:r w:rsidR="009A142E" w:rsidRPr="0053032C">
        <w:t>:</w:t>
      </w:r>
      <w:r w:rsidR="001D2C4C" w:rsidRPr="0053032C">
        <w:t xml:space="preserve"> (i) </w:t>
      </w:r>
      <w:r w:rsidR="005542AD" w:rsidRPr="0053032C">
        <w:t>mayor efectividad de las entidades que ofrecen servicios a los ciudadanos</w:t>
      </w:r>
      <w:r w:rsidR="001D2C4C" w:rsidRPr="0053032C">
        <w:t xml:space="preserve">; y (ii) </w:t>
      </w:r>
      <w:r w:rsidR="005542AD" w:rsidRPr="0053032C">
        <w:t>mayor eficiencia de las entidades que ofrecen servicios a los ciudadanos</w:t>
      </w:r>
      <w:r w:rsidR="001D2C4C" w:rsidRPr="0053032C">
        <w:t>.</w:t>
      </w:r>
      <w:r w:rsidR="005542AD" w:rsidRPr="0053032C">
        <w:t xml:space="preserve"> En el cuadro 2 pueden consultarse los indicadores asociados a cada resultado.</w:t>
      </w:r>
    </w:p>
    <w:p w:rsidR="005542AD" w:rsidRPr="0053032C" w:rsidRDefault="005542AD" w:rsidP="005542AD">
      <w:pPr>
        <w:pStyle w:val="Caption"/>
        <w:spacing w:after="120"/>
        <w:jc w:val="center"/>
        <w:rPr>
          <w:b w:val="0"/>
        </w:rPr>
      </w:pPr>
      <w:r w:rsidRPr="0053032C">
        <w:t xml:space="preserve">Cuadro </w:t>
      </w:r>
      <w:r w:rsidR="00033B2B" w:rsidRPr="0053032C">
        <w:t>2.</w:t>
      </w:r>
      <w:r w:rsidRPr="0053032C">
        <w:t xml:space="preserve"> Indicadores de resultados finales</w:t>
      </w:r>
    </w:p>
    <w:tbl>
      <w:tblPr>
        <w:tblW w:w="8931" w:type="dxa"/>
        <w:jc w:val="center"/>
        <w:tblLayout w:type="fixed"/>
        <w:tblLook w:val="04A0" w:firstRow="1" w:lastRow="0" w:firstColumn="1" w:lastColumn="0" w:noHBand="0" w:noVBand="1"/>
      </w:tblPr>
      <w:tblGrid>
        <w:gridCol w:w="6946"/>
        <w:gridCol w:w="1985"/>
      </w:tblGrid>
      <w:tr w:rsidR="0065198A" w:rsidRPr="0053032C" w:rsidTr="00DB6204">
        <w:trPr>
          <w:jc w:val="center"/>
        </w:trPr>
        <w:tc>
          <w:tcPr>
            <w:tcW w:w="6946" w:type="dxa"/>
            <w:tcBorders>
              <w:top w:val="single" w:sz="4" w:space="0" w:color="auto"/>
              <w:bottom w:val="single" w:sz="4" w:space="0" w:color="auto"/>
            </w:tcBorders>
          </w:tcPr>
          <w:p w:rsidR="0065198A" w:rsidRPr="0053032C" w:rsidRDefault="0065198A" w:rsidP="00076D66">
            <w:pPr>
              <w:ind w:left="144" w:hanging="144"/>
              <w:rPr>
                <w:b/>
                <w:sz w:val="20"/>
                <w:szCs w:val="18"/>
              </w:rPr>
            </w:pPr>
            <w:r w:rsidRPr="0053032C">
              <w:rPr>
                <w:b/>
                <w:sz w:val="20"/>
                <w:szCs w:val="18"/>
              </w:rPr>
              <w:t>Indicadores</w:t>
            </w:r>
          </w:p>
        </w:tc>
        <w:tc>
          <w:tcPr>
            <w:tcW w:w="1985" w:type="dxa"/>
            <w:tcBorders>
              <w:top w:val="single" w:sz="4" w:space="0" w:color="auto"/>
              <w:bottom w:val="single" w:sz="4" w:space="0" w:color="auto"/>
            </w:tcBorders>
          </w:tcPr>
          <w:p w:rsidR="0065198A" w:rsidRPr="0053032C" w:rsidRDefault="0065198A" w:rsidP="0065198A">
            <w:pPr>
              <w:jc w:val="center"/>
              <w:rPr>
                <w:b/>
                <w:sz w:val="20"/>
                <w:szCs w:val="18"/>
              </w:rPr>
            </w:pPr>
            <w:r w:rsidRPr="0053032C">
              <w:rPr>
                <w:b/>
                <w:sz w:val="20"/>
                <w:szCs w:val="18"/>
              </w:rPr>
              <w:t>Unidad de medida</w:t>
            </w:r>
          </w:p>
        </w:tc>
      </w:tr>
      <w:tr w:rsidR="0065198A" w:rsidRPr="0053032C" w:rsidTr="00DB6204">
        <w:trPr>
          <w:jc w:val="center"/>
        </w:trPr>
        <w:tc>
          <w:tcPr>
            <w:tcW w:w="6946" w:type="dxa"/>
            <w:tcBorders>
              <w:top w:val="single" w:sz="4" w:space="0" w:color="auto"/>
              <w:bottom w:val="single" w:sz="4" w:space="0" w:color="auto"/>
            </w:tcBorders>
          </w:tcPr>
          <w:p w:rsidR="0065198A" w:rsidRPr="0053032C" w:rsidRDefault="0065198A" w:rsidP="00033B2B">
            <w:pPr>
              <w:rPr>
                <w:b/>
                <w:sz w:val="20"/>
                <w:szCs w:val="18"/>
              </w:rPr>
            </w:pPr>
            <w:r w:rsidRPr="0053032C">
              <w:rPr>
                <w:b/>
                <w:sz w:val="20"/>
                <w:szCs w:val="18"/>
              </w:rPr>
              <w:t>Resultado final 1: mayor efectividad de las entidades que ofrecen servicios a los ciudadanos</w:t>
            </w:r>
          </w:p>
        </w:tc>
        <w:tc>
          <w:tcPr>
            <w:tcW w:w="1985" w:type="dxa"/>
            <w:tcBorders>
              <w:top w:val="single" w:sz="4" w:space="0" w:color="auto"/>
            </w:tcBorders>
            <w:vAlign w:val="center"/>
          </w:tcPr>
          <w:p w:rsidR="0065198A" w:rsidRPr="0053032C" w:rsidRDefault="0065198A" w:rsidP="0065198A">
            <w:pPr>
              <w:jc w:val="center"/>
              <w:rPr>
                <w:sz w:val="20"/>
                <w:szCs w:val="20"/>
              </w:rPr>
            </w:pPr>
          </w:p>
        </w:tc>
      </w:tr>
      <w:tr w:rsidR="0065198A" w:rsidRPr="0053032C" w:rsidTr="00DB6204">
        <w:trPr>
          <w:jc w:val="center"/>
        </w:trPr>
        <w:tc>
          <w:tcPr>
            <w:tcW w:w="6946" w:type="dxa"/>
            <w:tcBorders>
              <w:top w:val="single" w:sz="4" w:space="0" w:color="auto"/>
            </w:tcBorders>
            <w:vAlign w:val="center"/>
            <w:hideMark/>
          </w:tcPr>
          <w:p w:rsidR="0065198A" w:rsidRPr="0053032C" w:rsidRDefault="0065198A" w:rsidP="009C2EE7">
            <w:pPr>
              <w:pStyle w:val="ListParagraph"/>
              <w:numPr>
                <w:ilvl w:val="0"/>
                <w:numId w:val="21"/>
              </w:numPr>
              <w:ind w:left="318" w:hanging="284"/>
              <w:contextualSpacing/>
              <w:jc w:val="left"/>
              <w:rPr>
                <w:sz w:val="20"/>
                <w:szCs w:val="20"/>
              </w:rPr>
            </w:pPr>
            <w:r w:rsidRPr="0053032C">
              <w:rPr>
                <w:sz w:val="20"/>
                <w:szCs w:val="20"/>
              </w:rPr>
              <w:t xml:space="preserve">Nivel de cumplimiento de la meta de </w:t>
            </w:r>
            <w:r w:rsidRPr="0053032C">
              <w:rPr>
                <w:b/>
                <w:sz w:val="20"/>
                <w:szCs w:val="20"/>
              </w:rPr>
              <w:t>efectividad</w:t>
            </w:r>
            <w:r w:rsidRPr="0053032C">
              <w:rPr>
                <w:sz w:val="20"/>
                <w:szCs w:val="20"/>
              </w:rPr>
              <w:t xml:space="preserve"> prevista en al menos dos tercios de las entidades</w:t>
            </w:r>
            <w:r w:rsidRPr="0053032C">
              <w:rPr>
                <w:b/>
                <w:sz w:val="20"/>
                <w:szCs w:val="20"/>
              </w:rPr>
              <w:t xml:space="preserve"> rectoras</w:t>
            </w:r>
            <w:r w:rsidRPr="0053032C">
              <w:rPr>
                <w:sz w:val="20"/>
                <w:szCs w:val="20"/>
              </w:rPr>
              <w:t xml:space="preserve"> incluidas en el Programa</w:t>
            </w:r>
          </w:p>
        </w:tc>
        <w:tc>
          <w:tcPr>
            <w:tcW w:w="1985" w:type="dxa"/>
            <w:vAlign w:val="center"/>
          </w:tcPr>
          <w:p w:rsidR="0065198A" w:rsidRPr="0053032C" w:rsidRDefault="0065198A" w:rsidP="0065198A">
            <w:pPr>
              <w:jc w:val="center"/>
              <w:rPr>
                <w:sz w:val="20"/>
                <w:szCs w:val="20"/>
              </w:rPr>
            </w:pPr>
            <w:r w:rsidRPr="0053032C">
              <w:rPr>
                <w:sz w:val="20"/>
                <w:szCs w:val="20"/>
              </w:rPr>
              <w:t>% cumplimiento de meta</w:t>
            </w:r>
          </w:p>
        </w:tc>
      </w:tr>
      <w:tr w:rsidR="0065198A" w:rsidRPr="0053032C" w:rsidTr="00DB6204">
        <w:trPr>
          <w:jc w:val="center"/>
        </w:trPr>
        <w:tc>
          <w:tcPr>
            <w:tcW w:w="6946" w:type="dxa"/>
            <w:tcBorders>
              <w:bottom w:val="single" w:sz="4" w:space="0" w:color="auto"/>
            </w:tcBorders>
            <w:vAlign w:val="center"/>
          </w:tcPr>
          <w:p w:rsidR="0065198A" w:rsidRPr="0053032C" w:rsidRDefault="0065198A" w:rsidP="009C2EE7">
            <w:pPr>
              <w:pStyle w:val="ListParagraph"/>
              <w:numPr>
                <w:ilvl w:val="0"/>
                <w:numId w:val="21"/>
              </w:numPr>
              <w:ind w:left="318" w:hanging="284"/>
              <w:contextualSpacing/>
              <w:jc w:val="left"/>
              <w:rPr>
                <w:sz w:val="20"/>
                <w:szCs w:val="20"/>
              </w:rPr>
            </w:pPr>
            <w:r w:rsidRPr="0053032C">
              <w:rPr>
                <w:sz w:val="20"/>
                <w:szCs w:val="20"/>
              </w:rPr>
              <w:t xml:space="preserve">Nivel de cumplimiento de la meta de </w:t>
            </w:r>
            <w:r w:rsidR="00033B2B" w:rsidRPr="0053032C">
              <w:rPr>
                <w:sz w:val="20"/>
                <w:szCs w:val="20"/>
              </w:rPr>
              <w:t>e</w:t>
            </w:r>
            <w:r w:rsidRPr="0053032C">
              <w:rPr>
                <w:b/>
                <w:sz w:val="20"/>
                <w:szCs w:val="20"/>
              </w:rPr>
              <w:t>fectividad</w:t>
            </w:r>
            <w:r w:rsidRPr="0053032C">
              <w:rPr>
                <w:sz w:val="20"/>
                <w:szCs w:val="20"/>
              </w:rPr>
              <w:t xml:space="preserve"> prevista en al menos dos tercios de las entidades de</w:t>
            </w:r>
            <w:r w:rsidRPr="0053032C">
              <w:rPr>
                <w:b/>
                <w:sz w:val="20"/>
                <w:szCs w:val="20"/>
              </w:rPr>
              <w:t xml:space="preserve"> entrega de servicios</w:t>
            </w:r>
            <w:r w:rsidRPr="0053032C">
              <w:rPr>
                <w:sz w:val="20"/>
                <w:szCs w:val="20"/>
              </w:rPr>
              <w:t xml:space="preserve"> incluidas en el Programa</w:t>
            </w:r>
          </w:p>
        </w:tc>
        <w:tc>
          <w:tcPr>
            <w:tcW w:w="1985" w:type="dxa"/>
            <w:tcBorders>
              <w:bottom w:val="single" w:sz="4" w:space="0" w:color="auto"/>
            </w:tcBorders>
            <w:vAlign w:val="center"/>
          </w:tcPr>
          <w:p w:rsidR="0065198A" w:rsidRPr="0053032C" w:rsidRDefault="0065198A" w:rsidP="0065198A">
            <w:pPr>
              <w:jc w:val="center"/>
              <w:rPr>
                <w:sz w:val="20"/>
                <w:szCs w:val="20"/>
              </w:rPr>
            </w:pPr>
            <w:r w:rsidRPr="0053032C">
              <w:rPr>
                <w:sz w:val="20"/>
                <w:szCs w:val="20"/>
              </w:rPr>
              <w:t>% cumplimiento de meta</w:t>
            </w:r>
          </w:p>
        </w:tc>
      </w:tr>
      <w:tr w:rsidR="0065198A" w:rsidRPr="0053032C" w:rsidTr="00DB6204">
        <w:trPr>
          <w:jc w:val="center"/>
        </w:trPr>
        <w:tc>
          <w:tcPr>
            <w:tcW w:w="6946" w:type="dxa"/>
            <w:tcBorders>
              <w:top w:val="single" w:sz="4" w:space="0" w:color="auto"/>
              <w:bottom w:val="single" w:sz="4" w:space="0" w:color="auto"/>
            </w:tcBorders>
          </w:tcPr>
          <w:p w:rsidR="0065198A" w:rsidRPr="0053032C" w:rsidRDefault="0065198A" w:rsidP="00033B2B">
            <w:pPr>
              <w:rPr>
                <w:b/>
                <w:sz w:val="20"/>
                <w:szCs w:val="18"/>
              </w:rPr>
            </w:pPr>
            <w:r w:rsidRPr="0053032C">
              <w:rPr>
                <w:b/>
                <w:sz w:val="20"/>
                <w:szCs w:val="18"/>
              </w:rPr>
              <w:t>Resultado final 2: mayor eficiencia de las entidades que ofrecen servicios a los ciudadanos</w:t>
            </w:r>
          </w:p>
        </w:tc>
        <w:tc>
          <w:tcPr>
            <w:tcW w:w="1985" w:type="dxa"/>
            <w:tcBorders>
              <w:top w:val="single" w:sz="4" w:space="0" w:color="auto"/>
            </w:tcBorders>
            <w:vAlign w:val="center"/>
          </w:tcPr>
          <w:p w:rsidR="0065198A" w:rsidRPr="0053032C" w:rsidRDefault="0065198A" w:rsidP="0065198A">
            <w:pPr>
              <w:jc w:val="center"/>
              <w:rPr>
                <w:sz w:val="20"/>
                <w:szCs w:val="20"/>
              </w:rPr>
            </w:pPr>
          </w:p>
        </w:tc>
      </w:tr>
      <w:tr w:rsidR="0065198A" w:rsidRPr="0053032C" w:rsidTr="00DB6204">
        <w:trPr>
          <w:jc w:val="center"/>
        </w:trPr>
        <w:tc>
          <w:tcPr>
            <w:tcW w:w="6946" w:type="dxa"/>
            <w:tcBorders>
              <w:top w:val="single" w:sz="4" w:space="0" w:color="auto"/>
            </w:tcBorders>
            <w:vAlign w:val="center"/>
          </w:tcPr>
          <w:p w:rsidR="0065198A" w:rsidRPr="0053032C" w:rsidRDefault="0065198A" w:rsidP="009C2EE7">
            <w:pPr>
              <w:pStyle w:val="ListParagraph"/>
              <w:numPr>
                <w:ilvl w:val="0"/>
                <w:numId w:val="21"/>
              </w:numPr>
              <w:ind w:left="318" w:hanging="284"/>
              <w:contextualSpacing/>
              <w:jc w:val="left"/>
              <w:rPr>
                <w:sz w:val="20"/>
                <w:szCs w:val="20"/>
              </w:rPr>
            </w:pPr>
            <w:r w:rsidRPr="0053032C">
              <w:rPr>
                <w:sz w:val="20"/>
                <w:szCs w:val="20"/>
              </w:rPr>
              <w:t>Nive</w:t>
            </w:r>
            <w:r w:rsidR="00033B2B" w:rsidRPr="0053032C">
              <w:rPr>
                <w:sz w:val="20"/>
                <w:szCs w:val="20"/>
              </w:rPr>
              <w:t>l de cumplimiento de la meta de</w:t>
            </w:r>
            <w:r w:rsidRPr="0053032C">
              <w:rPr>
                <w:sz w:val="20"/>
                <w:szCs w:val="20"/>
              </w:rPr>
              <w:t xml:space="preserve"> </w:t>
            </w:r>
            <w:r w:rsidRPr="0053032C">
              <w:rPr>
                <w:b/>
                <w:sz w:val="20"/>
                <w:szCs w:val="20"/>
              </w:rPr>
              <w:t>eficiencia</w:t>
            </w:r>
            <w:r w:rsidRPr="0053032C">
              <w:rPr>
                <w:sz w:val="20"/>
                <w:szCs w:val="20"/>
              </w:rPr>
              <w:t xml:space="preserve"> prevista en al menos dos tercios de las entidades</w:t>
            </w:r>
            <w:r w:rsidRPr="0053032C">
              <w:rPr>
                <w:b/>
                <w:sz w:val="20"/>
                <w:szCs w:val="20"/>
              </w:rPr>
              <w:t xml:space="preserve"> rectoras</w:t>
            </w:r>
            <w:r w:rsidRPr="0053032C">
              <w:rPr>
                <w:sz w:val="20"/>
                <w:szCs w:val="20"/>
              </w:rPr>
              <w:t xml:space="preserve"> incluidas en el Programa</w:t>
            </w:r>
          </w:p>
        </w:tc>
        <w:tc>
          <w:tcPr>
            <w:tcW w:w="1985" w:type="dxa"/>
            <w:vAlign w:val="center"/>
          </w:tcPr>
          <w:p w:rsidR="0065198A" w:rsidRPr="0053032C" w:rsidRDefault="0065198A" w:rsidP="0065198A">
            <w:pPr>
              <w:jc w:val="center"/>
              <w:rPr>
                <w:sz w:val="20"/>
                <w:szCs w:val="20"/>
              </w:rPr>
            </w:pPr>
            <w:r w:rsidRPr="0053032C">
              <w:rPr>
                <w:sz w:val="20"/>
                <w:szCs w:val="20"/>
              </w:rPr>
              <w:t>% cumplimiento de meta</w:t>
            </w:r>
          </w:p>
        </w:tc>
      </w:tr>
      <w:tr w:rsidR="0065198A" w:rsidRPr="0053032C" w:rsidTr="00DB6204">
        <w:trPr>
          <w:jc w:val="center"/>
        </w:trPr>
        <w:tc>
          <w:tcPr>
            <w:tcW w:w="6946" w:type="dxa"/>
            <w:tcBorders>
              <w:bottom w:val="single" w:sz="4" w:space="0" w:color="auto"/>
            </w:tcBorders>
            <w:vAlign w:val="center"/>
          </w:tcPr>
          <w:p w:rsidR="0065198A" w:rsidRPr="0053032C" w:rsidRDefault="0065198A" w:rsidP="009C2EE7">
            <w:pPr>
              <w:pStyle w:val="ListParagraph"/>
              <w:numPr>
                <w:ilvl w:val="0"/>
                <w:numId w:val="21"/>
              </w:numPr>
              <w:ind w:left="318" w:hanging="284"/>
              <w:contextualSpacing/>
              <w:jc w:val="left"/>
              <w:rPr>
                <w:sz w:val="20"/>
                <w:szCs w:val="20"/>
              </w:rPr>
            </w:pPr>
            <w:r w:rsidRPr="0053032C">
              <w:rPr>
                <w:sz w:val="20"/>
                <w:szCs w:val="20"/>
              </w:rPr>
              <w:t xml:space="preserve">Nivel de cumplimiento de la meta de </w:t>
            </w:r>
            <w:r w:rsidRPr="0053032C">
              <w:rPr>
                <w:b/>
                <w:sz w:val="20"/>
                <w:szCs w:val="20"/>
              </w:rPr>
              <w:t>eficiencia</w:t>
            </w:r>
            <w:r w:rsidRPr="0053032C">
              <w:rPr>
                <w:sz w:val="20"/>
                <w:szCs w:val="20"/>
              </w:rPr>
              <w:t xml:space="preserve"> prevista en al menos dos tercios de las entidades</w:t>
            </w:r>
            <w:r w:rsidRPr="0053032C">
              <w:rPr>
                <w:b/>
                <w:sz w:val="20"/>
                <w:szCs w:val="20"/>
              </w:rPr>
              <w:t xml:space="preserve"> </w:t>
            </w:r>
            <w:r w:rsidRPr="0053032C">
              <w:rPr>
                <w:sz w:val="20"/>
                <w:szCs w:val="20"/>
              </w:rPr>
              <w:t xml:space="preserve">de </w:t>
            </w:r>
            <w:r w:rsidRPr="0053032C">
              <w:rPr>
                <w:b/>
                <w:sz w:val="20"/>
                <w:szCs w:val="20"/>
              </w:rPr>
              <w:t>entrega de servicios</w:t>
            </w:r>
            <w:r w:rsidRPr="0053032C">
              <w:rPr>
                <w:sz w:val="20"/>
                <w:szCs w:val="20"/>
              </w:rPr>
              <w:t xml:space="preserve"> incluidas en el Programa</w:t>
            </w:r>
          </w:p>
        </w:tc>
        <w:tc>
          <w:tcPr>
            <w:tcW w:w="1985" w:type="dxa"/>
            <w:tcBorders>
              <w:bottom w:val="single" w:sz="4" w:space="0" w:color="auto"/>
            </w:tcBorders>
            <w:vAlign w:val="center"/>
          </w:tcPr>
          <w:p w:rsidR="0065198A" w:rsidRPr="0053032C" w:rsidRDefault="0065198A" w:rsidP="0065198A">
            <w:pPr>
              <w:jc w:val="center"/>
              <w:rPr>
                <w:sz w:val="20"/>
                <w:szCs w:val="20"/>
              </w:rPr>
            </w:pPr>
            <w:r w:rsidRPr="0053032C">
              <w:rPr>
                <w:sz w:val="20"/>
                <w:szCs w:val="20"/>
              </w:rPr>
              <w:t>% cumplimiento de meta</w:t>
            </w:r>
          </w:p>
        </w:tc>
      </w:tr>
    </w:tbl>
    <w:p w:rsidR="005542AD" w:rsidRPr="0053032C" w:rsidRDefault="005542AD" w:rsidP="0065198A"/>
    <w:p w:rsidR="00710376" w:rsidRPr="0053032C" w:rsidRDefault="005813A9" w:rsidP="005542AD">
      <w:pPr>
        <w:pStyle w:val="ListParagraph"/>
        <w:numPr>
          <w:ilvl w:val="0"/>
          <w:numId w:val="14"/>
        </w:numPr>
        <w:spacing w:after="240"/>
        <w:ind w:left="0" w:hanging="567"/>
      </w:pPr>
      <w:r w:rsidRPr="0053032C">
        <w:t xml:space="preserve">Asimismo, en el cuadro 2 puede consultarse </w:t>
      </w:r>
      <w:r w:rsidR="00033B2B" w:rsidRPr="0053032C">
        <w:t>la unidad de medida utilizada en los cuatro indicadores: en todos los casos se trata de porcentaje de cumplimiento de la meta.</w:t>
      </w:r>
    </w:p>
    <w:p w:rsidR="009A142E" w:rsidRPr="0053032C" w:rsidRDefault="00033B2B" w:rsidP="00033B2B">
      <w:pPr>
        <w:pStyle w:val="ListParagraph"/>
        <w:numPr>
          <w:ilvl w:val="0"/>
          <w:numId w:val="14"/>
        </w:numPr>
        <w:spacing w:after="240"/>
        <w:ind w:left="0" w:hanging="567"/>
      </w:pPr>
      <w:r w:rsidRPr="0053032C">
        <w:t>Además, en la matriz de resultados se incluye un conjunto de resultados intermedios que van a ser determinantes para el análisis económicos. Estos indicadores pueden consultarse en el cuadro 3.</w:t>
      </w:r>
    </w:p>
    <w:p w:rsidR="00033B2B" w:rsidRPr="0053032C" w:rsidRDefault="00033B2B" w:rsidP="00033B2B">
      <w:pPr>
        <w:pStyle w:val="Caption"/>
        <w:spacing w:after="120"/>
        <w:jc w:val="center"/>
        <w:rPr>
          <w:b w:val="0"/>
        </w:rPr>
      </w:pPr>
      <w:r w:rsidRPr="0053032C">
        <w:t>Cuadro 3. Indicadores de resultados intermedios</w:t>
      </w:r>
    </w:p>
    <w:tbl>
      <w:tblPr>
        <w:tblW w:w="9107" w:type="dxa"/>
        <w:jc w:val="center"/>
        <w:tblLayout w:type="fixed"/>
        <w:tblLook w:val="04A0" w:firstRow="1" w:lastRow="0" w:firstColumn="1" w:lastColumn="0" w:noHBand="0" w:noVBand="1"/>
      </w:tblPr>
      <w:tblGrid>
        <w:gridCol w:w="6663"/>
        <w:gridCol w:w="2444"/>
      </w:tblGrid>
      <w:tr w:rsidR="00033B2B" w:rsidRPr="0053032C" w:rsidTr="0053032C">
        <w:trPr>
          <w:jc w:val="center"/>
        </w:trPr>
        <w:tc>
          <w:tcPr>
            <w:tcW w:w="6663" w:type="dxa"/>
            <w:tcBorders>
              <w:top w:val="single" w:sz="4" w:space="0" w:color="auto"/>
              <w:bottom w:val="single" w:sz="4" w:space="0" w:color="auto"/>
            </w:tcBorders>
          </w:tcPr>
          <w:p w:rsidR="00033B2B" w:rsidRPr="0053032C" w:rsidRDefault="00033B2B" w:rsidP="00076D66">
            <w:pPr>
              <w:ind w:left="144" w:hanging="144"/>
              <w:rPr>
                <w:b/>
                <w:sz w:val="20"/>
                <w:szCs w:val="18"/>
              </w:rPr>
            </w:pPr>
            <w:r w:rsidRPr="0053032C">
              <w:rPr>
                <w:b/>
                <w:sz w:val="20"/>
                <w:szCs w:val="18"/>
              </w:rPr>
              <w:t>Indicadores</w:t>
            </w:r>
          </w:p>
        </w:tc>
        <w:tc>
          <w:tcPr>
            <w:tcW w:w="2444" w:type="dxa"/>
            <w:tcBorders>
              <w:top w:val="single" w:sz="4" w:space="0" w:color="auto"/>
              <w:bottom w:val="single" w:sz="4" w:space="0" w:color="auto"/>
            </w:tcBorders>
          </w:tcPr>
          <w:p w:rsidR="00033B2B" w:rsidRPr="0053032C" w:rsidRDefault="00033B2B" w:rsidP="00076D66">
            <w:pPr>
              <w:jc w:val="center"/>
              <w:rPr>
                <w:b/>
                <w:sz w:val="20"/>
                <w:szCs w:val="18"/>
              </w:rPr>
            </w:pPr>
            <w:r w:rsidRPr="0053032C">
              <w:rPr>
                <w:b/>
                <w:sz w:val="20"/>
                <w:szCs w:val="18"/>
              </w:rPr>
              <w:t>Unidad de medida</w:t>
            </w:r>
          </w:p>
        </w:tc>
      </w:tr>
      <w:tr w:rsidR="00033B2B" w:rsidRPr="0053032C" w:rsidTr="0053032C">
        <w:trPr>
          <w:jc w:val="center"/>
        </w:trPr>
        <w:tc>
          <w:tcPr>
            <w:tcW w:w="6663" w:type="dxa"/>
            <w:tcBorders>
              <w:top w:val="single" w:sz="4" w:space="0" w:color="auto"/>
              <w:bottom w:val="single" w:sz="4" w:space="0" w:color="auto"/>
            </w:tcBorders>
          </w:tcPr>
          <w:p w:rsidR="00033B2B" w:rsidRPr="0053032C" w:rsidRDefault="00033B2B" w:rsidP="00076D66">
            <w:pPr>
              <w:rPr>
                <w:b/>
                <w:sz w:val="20"/>
                <w:szCs w:val="18"/>
              </w:rPr>
            </w:pPr>
            <w:r w:rsidRPr="0053032C">
              <w:rPr>
                <w:b/>
                <w:sz w:val="20"/>
                <w:szCs w:val="20"/>
              </w:rPr>
              <w:t>Resultado intermedio 1: Capacidades de gestión de las entidades responsables de la rectoría o entrega de servicios mejoradas</w:t>
            </w:r>
          </w:p>
        </w:tc>
        <w:tc>
          <w:tcPr>
            <w:tcW w:w="2444" w:type="dxa"/>
            <w:tcBorders>
              <w:top w:val="single" w:sz="4" w:space="0" w:color="auto"/>
            </w:tcBorders>
            <w:vAlign w:val="center"/>
          </w:tcPr>
          <w:p w:rsidR="00033B2B" w:rsidRPr="0053032C" w:rsidRDefault="00033B2B" w:rsidP="00076D66">
            <w:pPr>
              <w:jc w:val="center"/>
              <w:rPr>
                <w:sz w:val="20"/>
                <w:szCs w:val="20"/>
              </w:rPr>
            </w:pPr>
          </w:p>
        </w:tc>
      </w:tr>
      <w:tr w:rsidR="002C128B" w:rsidRPr="0053032C" w:rsidTr="0053032C">
        <w:trPr>
          <w:jc w:val="center"/>
        </w:trPr>
        <w:tc>
          <w:tcPr>
            <w:tcW w:w="6663" w:type="dxa"/>
            <w:tcBorders>
              <w:top w:val="single" w:sz="4" w:space="0" w:color="auto"/>
            </w:tcBorders>
            <w:hideMark/>
          </w:tcPr>
          <w:p w:rsidR="002C128B" w:rsidRPr="0053032C" w:rsidRDefault="002C128B" w:rsidP="009C2EE7">
            <w:pPr>
              <w:pStyle w:val="ListParagraph"/>
              <w:numPr>
                <w:ilvl w:val="0"/>
                <w:numId w:val="22"/>
              </w:numPr>
              <w:ind w:left="318" w:hanging="318"/>
              <w:contextualSpacing/>
              <w:jc w:val="left"/>
              <w:rPr>
                <w:sz w:val="20"/>
                <w:szCs w:val="20"/>
              </w:rPr>
            </w:pPr>
            <w:r w:rsidRPr="0053032C">
              <w:rPr>
                <w:sz w:val="20"/>
                <w:szCs w:val="20"/>
              </w:rPr>
              <w:t>Índice de alineamiento estratégico</w:t>
            </w:r>
          </w:p>
        </w:tc>
        <w:tc>
          <w:tcPr>
            <w:tcW w:w="2444" w:type="dxa"/>
            <w:vAlign w:val="center"/>
          </w:tcPr>
          <w:p w:rsidR="002C128B" w:rsidRPr="0053032C" w:rsidRDefault="002C128B" w:rsidP="002C128B">
            <w:pPr>
              <w:jc w:val="center"/>
              <w:rPr>
                <w:sz w:val="20"/>
                <w:szCs w:val="20"/>
              </w:rPr>
            </w:pPr>
            <w:r w:rsidRPr="0053032C">
              <w:rPr>
                <w:sz w:val="20"/>
                <w:szCs w:val="20"/>
              </w:rPr>
              <w:t>% cumplimiento de meta</w:t>
            </w:r>
          </w:p>
        </w:tc>
      </w:tr>
      <w:tr w:rsidR="002C128B" w:rsidRPr="0053032C" w:rsidTr="0053032C">
        <w:trPr>
          <w:jc w:val="center"/>
        </w:trPr>
        <w:tc>
          <w:tcPr>
            <w:tcW w:w="6663" w:type="dxa"/>
          </w:tcPr>
          <w:p w:rsidR="002C128B" w:rsidRPr="0053032C" w:rsidRDefault="002C128B" w:rsidP="009C2EE7">
            <w:pPr>
              <w:pStyle w:val="ListParagraph"/>
              <w:numPr>
                <w:ilvl w:val="0"/>
                <w:numId w:val="22"/>
              </w:numPr>
              <w:ind w:left="318" w:hanging="318"/>
              <w:contextualSpacing/>
              <w:jc w:val="left"/>
              <w:rPr>
                <w:sz w:val="20"/>
                <w:szCs w:val="20"/>
              </w:rPr>
            </w:pPr>
            <w:r w:rsidRPr="0053032C">
              <w:rPr>
                <w:sz w:val="20"/>
                <w:szCs w:val="20"/>
              </w:rPr>
              <w:t>Índice de gestión estratégica</w:t>
            </w:r>
          </w:p>
        </w:tc>
        <w:tc>
          <w:tcPr>
            <w:tcW w:w="2444" w:type="dxa"/>
            <w:vAlign w:val="center"/>
          </w:tcPr>
          <w:p w:rsidR="002C128B" w:rsidRPr="0053032C" w:rsidRDefault="002C128B" w:rsidP="002C128B">
            <w:pPr>
              <w:jc w:val="center"/>
              <w:rPr>
                <w:sz w:val="20"/>
                <w:szCs w:val="20"/>
              </w:rPr>
            </w:pPr>
            <w:r w:rsidRPr="0053032C">
              <w:rPr>
                <w:sz w:val="20"/>
                <w:szCs w:val="20"/>
              </w:rPr>
              <w:t>% cumplimiento de meta</w:t>
            </w:r>
          </w:p>
        </w:tc>
      </w:tr>
      <w:tr w:rsidR="002C128B" w:rsidRPr="0053032C" w:rsidTr="0053032C">
        <w:trPr>
          <w:jc w:val="center"/>
        </w:trPr>
        <w:tc>
          <w:tcPr>
            <w:tcW w:w="6663" w:type="dxa"/>
          </w:tcPr>
          <w:p w:rsidR="002C128B" w:rsidRPr="0053032C" w:rsidRDefault="002C128B" w:rsidP="009C2EE7">
            <w:pPr>
              <w:pStyle w:val="ListParagraph"/>
              <w:numPr>
                <w:ilvl w:val="0"/>
                <w:numId w:val="22"/>
              </w:numPr>
              <w:ind w:left="318" w:hanging="318"/>
              <w:contextualSpacing/>
              <w:jc w:val="left"/>
              <w:rPr>
                <w:sz w:val="20"/>
                <w:szCs w:val="20"/>
              </w:rPr>
            </w:pPr>
            <w:r w:rsidRPr="0053032C">
              <w:rPr>
                <w:sz w:val="20"/>
                <w:szCs w:val="20"/>
              </w:rPr>
              <w:t>Índice de gestión de procesos</w:t>
            </w:r>
          </w:p>
        </w:tc>
        <w:tc>
          <w:tcPr>
            <w:tcW w:w="2444" w:type="dxa"/>
            <w:vAlign w:val="center"/>
          </w:tcPr>
          <w:p w:rsidR="002C128B" w:rsidRPr="0053032C" w:rsidRDefault="002C128B" w:rsidP="002C128B">
            <w:pPr>
              <w:jc w:val="center"/>
              <w:rPr>
                <w:sz w:val="20"/>
                <w:szCs w:val="20"/>
              </w:rPr>
            </w:pPr>
            <w:r w:rsidRPr="0053032C">
              <w:rPr>
                <w:sz w:val="20"/>
                <w:szCs w:val="20"/>
              </w:rPr>
              <w:t>% cumplimiento de meta</w:t>
            </w:r>
          </w:p>
        </w:tc>
      </w:tr>
      <w:tr w:rsidR="002C128B" w:rsidRPr="0053032C" w:rsidTr="0053032C">
        <w:trPr>
          <w:jc w:val="center"/>
        </w:trPr>
        <w:tc>
          <w:tcPr>
            <w:tcW w:w="6663" w:type="dxa"/>
          </w:tcPr>
          <w:p w:rsidR="002C128B" w:rsidRPr="0053032C" w:rsidRDefault="002C128B" w:rsidP="009C2EE7">
            <w:pPr>
              <w:pStyle w:val="ListParagraph"/>
              <w:numPr>
                <w:ilvl w:val="0"/>
                <w:numId w:val="22"/>
              </w:numPr>
              <w:ind w:left="318" w:hanging="318"/>
              <w:contextualSpacing/>
              <w:jc w:val="left"/>
              <w:rPr>
                <w:sz w:val="20"/>
                <w:szCs w:val="20"/>
              </w:rPr>
            </w:pPr>
            <w:r w:rsidRPr="0053032C">
              <w:rPr>
                <w:sz w:val="20"/>
                <w:szCs w:val="20"/>
              </w:rPr>
              <w:t>Índice de apoyo administrativo</w:t>
            </w:r>
          </w:p>
        </w:tc>
        <w:tc>
          <w:tcPr>
            <w:tcW w:w="2444" w:type="dxa"/>
            <w:vAlign w:val="center"/>
          </w:tcPr>
          <w:p w:rsidR="002C128B" w:rsidRPr="0053032C" w:rsidRDefault="002C128B" w:rsidP="002C128B">
            <w:pPr>
              <w:jc w:val="center"/>
              <w:rPr>
                <w:sz w:val="20"/>
                <w:szCs w:val="20"/>
              </w:rPr>
            </w:pPr>
            <w:r w:rsidRPr="0053032C">
              <w:rPr>
                <w:sz w:val="20"/>
                <w:szCs w:val="20"/>
              </w:rPr>
              <w:t>% cumplimiento de meta</w:t>
            </w:r>
          </w:p>
        </w:tc>
      </w:tr>
      <w:tr w:rsidR="002C128B" w:rsidRPr="0053032C" w:rsidTr="0053032C">
        <w:trPr>
          <w:jc w:val="center"/>
        </w:trPr>
        <w:tc>
          <w:tcPr>
            <w:tcW w:w="6663" w:type="dxa"/>
            <w:tcBorders>
              <w:bottom w:val="single" w:sz="4" w:space="0" w:color="auto"/>
            </w:tcBorders>
          </w:tcPr>
          <w:p w:rsidR="002C128B" w:rsidRPr="0053032C" w:rsidRDefault="002C128B" w:rsidP="009C2EE7">
            <w:pPr>
              <w:pStyle w:val="ListParagraph"/>
              <w:numPr>
                <w:ilvl w:val="0"/>
                <w:numId w:val="22"/>
              </w:numPr>
              <w:ind w:left="318" w:hanging="318"/>
              <w:contextualSpacing/>
              <w:jc w:val="left"/>
              <w:rPr>
                <w:sz w:val="20"/>
                <w:szCs w:val="20"/>
              </w:rPr>
            </w:pPr>
            <w:r w:rsidRPr="0053032C">
              <w:rPr>
                <w:sz w:val="20"/>
                <w:szCs w:val="20"/>
              </w:rPr>
              <w:t>Índice global de capacidades de gestión</w:t>
            </w:r>
            <w:r w:rsidR="00457125">
              <w:rPr>
                <w:sz w:val="20"/>
                <w:szCs w:val="20"/>
              </w:rPr>
              <w:t xml:space="preserve"> (I</w:t>
            </w:r>
            <w:r w:rsidR="007D19DA">
              <w:rPr>
                <w:sz w:val="20"/>
                <w:szCs w:val="20"/>
              </w:rPr>
              <w:t>CA</w:t>
            </w:r>
            <w:r w:rsidR="00457125">
              <w:rPr>
                <w:sz w:val="20"/>
                <w:szCs w:val="20"/>
              </w:rPr>
              <w:t>GE</w:t>
            </w:r>
            <w:r w:rsidR="007D19DA">
              <w:rPr>
                <w:sz w:val="20"/>
                <w:szCs w:val="20"/>
              </w:rPr>
              <w:t>)</w:t>
            </w:r>
          </w:p>
        </w:tc>
        <w:tc>
          <w:tcPr>
            <w:tcW w:w="2444" w:type="dxa"/>
            <w:tcBorders>
              <w:bottom w:val="single" w:sz="4" w:space="0" w:color="auto"/>
            </w:tcBorders>
            <w:vAlign w:val="center"/>
          </w:tcPr>
          <w:p w:rsidR="002C128B" w:rsidRPr="0053032C" w:rsidRDefault="002C128B" w:rsidP="002C128B">
            <w:pPr>
              <w:jc w:val="center"/>
              <w:rPr>
                <w:sz w:val="20"/>
                <w:szCs w:val="20"/>
              </w:rPr>
            </w:pPr>
            <w:r w:rsidRPr="0053032C">
              <w:rPr>
                <w:sz w:val="20"/>
                <w:szCs w:val="20"/>
              </w:rPr>
              <w:t>% cumplimiento de meta</w:t>
            </w:r>
          </w:p>
        </w:tc>
      </w:tr>
    </w:tbl>
    <w:p w:rsidR="00033B2B" w:rsidRPr="0053032C" w:rsidRDefault="00033B2B" w:rsidP="00376D3F"/>
    <w:p w:rsidR="00033B2B" w:rsidRDefault="002C128B" w:rsidP="002C128B">
      <w:pPr>
        <w:pStyle w:val="ListParagraph"/>
        <w:numPr>
          <w:ilvl w:val="0"/>
          <w:numId w:val="14"/>
        </w:numPr>
        <w:spacing w:after="240"/>
        <w:ind w:left="0" w:hanging="567"/>
      </w:pPr>
      <w:r w:rsidRPr="0053032C">
        <w:t xml:space="preserve">Estos índices miden la capacidad de gestión institucional para cuatro grandes áreas </w:t>
      </w:r>
      <w:r w:rsidR="00274CBA">
        <w:t xml:space="preserve">o dimensiones </w:t>
      </w:r>
      <w:r w:rsidRPr="0053032C">
        <w:t xml:space="preserve">de gestión: (i) alineamiento estratégico; (ii) gestión estratégica; (iii) gestión de procesos, y (iv) apoyo </w:t>
      </w:r>
      <w:r w:rsidR="0053032C" w:rsidRPr="0053032C">
        <w:t>administrativo</w:t>
      </w:r>
      <w:r w:rsidRPr="0053032C">
        <w:t>. Asimismo se utiliza un índice global de capacidades de gestión</w:t>
      </w:r>
      <w:r w:rsidR="00457125">
        <w:t xml:space="preserve"> (ICAGE)</w:t>
      </w:r>
      <w:r w:rsidRPr="0053032C">
        <w:t xml:space="preserve">, que reúne en un solo indicador </w:t>
      </w:r>
      <w:r w:rsidR="0053032C" w:rsidRPr="0053032C">
        <w:t>agregado</w:t>
      </w:r>
      <w:r w:rsidRPr="0053032C">
        <w:t xml:space="preserve"> las cuatro </w:t>
      </w:r>
      <w:r w:rsidR="0053032C" w:rsidRPr="0053032C">
        <w:t>dimensiones</w:t>
      </w:r>
      <w:r w:rsidRPr="0053032C">
        <w:t xml:space="preserve"> de gestión. </w:t>
      </w:r>
      <w:r w:rsidR="00274CBA">
        <w:t>Todos los índices oscilan de 0 a 10, siendo 0 una muy deficiente gestión institucional y 10 una excelente gestión.</w:t>
      </w:r>
    </w:p>
    <w:p w:rsidR="0053032C" w:rsidRPr="0053032C" w:rsidRDefault="0053032C" w:rsidP="002C128B">
      <w:pPr>
        <w:pStyle w:val="ListParagraph"/>
        <w:numPr>
          <w:ilvl w:val="0"/>
          <w:numId w:val="14"/>
        </w:numPr>
        <w:spacing w:after="240"/>
        <w:ind w:left="0" w:hanging="567"/>
      </w:pPr>
      <w:r>
        <w:lastRenderedPageBreak/>
        <w:t xml:space="preserve">A efectos del análisis económico, se retendrá este último </w:t>
      </w:r>
      <w:r w:rsidRPr="00274CBA">
        <w:rPr>
          <w:i/>
        </w:rPr>
        <w:t>índice global de capacidades</w:t>
      </w:r>
      <w:r w:rsidR="007D19DA">
        <w:t xml:space="preserve"> (</w:t>
      </w:r>
      <w:r w:rsidR="00457125">
        <w:t>ICAGE</w:t>
      </w:r>
      <w:r w:rsidR="007D19DA">
        <w:t>)</w:t>
      </w:r>
      <w:r w:rsidR="00274CBA">
        <w:t xml:space="preserve"> como indicador agregado</w:t>
      </w:r>
      <w:r>
        <w:t xml:space="preserve">. Se considera que </w:t>
      </w:r>
      <w:r w:rsidR="00274CBA">
        <w:t xml:space="preserve">este índice </w:t>
      </w:r>
      <w:r>
        <w:t xml:space="preserve">engloba suficientemente las cuatro dimensiones principales de la gestión pública institucional y, por otra parte, la utilización de una métrica </w:t>
      </w:r>
      <w:r w:rsidR="00EE0BB1">
        <w:t>similar</w:t>
      </w:r>
      <w:r w:rsidR="00274CBA">
        <w:t xml:space="preserve"> para todas las entidades </w:t>
      </w:r>
      <w:r w:rsidR="00274CBA" w:rsidRPr="0053032C">
        <w:t>permite comparar de forma homogénea los niveles de calidad de la gestión institucional.</w:t>
      </w:r>
      <w:r w:rsidR="00EE0BB1">
        <w:t xml:space="preserve"> En la sección </w:t>
      </w:r>
      <w:r w:rsidR="00457125">
        <w:rPr>
          <w:highlight w:val="yellow"/>
        </w:rPr>
        <w:fldChar w:fldCharType="begin"/>
      </w:r>
      <w:r w:rsidR="00457125">
        <w:instrText xml:space="preserve"> REF _Ref395004533 \r \h </w:instrText>
      </w:r>
      <w:r w:rsidR="00457125">
        <w:rPr>
          <w:highlight w:val="yellow"/>
        </w:rPr>
      </w:r>
      <w:r w:rsidR="00457125">
        <w:rPr>
          <w:highlight w:val="yellow"/>
        </w:rPr>
        <w:fldChar w:fldCharType="separate"/>
      </w:r>
      <w:r w:rsidR="00457125">
        <w:t>2.1</w:t>
      </w:r>
      <w:r w:rsidR="00457125">
        <w:rPr>
          <w:highlight w:val="yellow"/>
        </w:rPr>
        <w:fldChar w:fldCharType="end"/>
      </w:r>
      <w:r w:rsidR="00457125">
        <w:t xml:space="preserve"> </w:t>
      </w:r>
      <w:r w:rsidR="00EE0BB1">
        <w:t>se discute su coherencia conceptual y su relación con la lógica vertical del programa.</w:t>
      </w:r>
    </w:p>
    <w:p w:rsidR="009A142E" w:rsidRPr="0053032C" w:rsidRDefault="005E4865" w:rsidP="00111F00">
      <w:pPr>
        <w:pStyle w:val="Heading2"/>
      </w:pPr>
      <w:bookmarkStart w:id="6" w:name="_Toc395208846"/>
      <w:r w:rsidRPr="0053032C">
        <w:t>Método de análisis seleccionado</w:t>
      </w:r>
      <w:bookmarkEnd w:id="6"/>
    </w:p>
    <w:p w:rsidR="0028206B" w:rsidRPr="0053032C" w:rsidRDefault="005E4865" w:rsidP="0053032C">
      <w:pPr>
        <w:pStyle w:val="ListParagraph"/>
        <w:numPr>
          <w:ilvl w:val="0"/>
          <w:numId w:val="14"/>
        </w:numPr>
        <w:spacing w:after="240"/>
        <w:ind w:left="0" w:hanging="567"/>
      </w:pPr>
      <w:r w:rsidRPr="0053032C">
        <w:t xml:space="preserve">De acuerdo con </w:t>
      </w:r>
      <w:r w:rsidR="005028D4" w:rsidRPr="0053032C">
        <w:t>las características de estos</w:t>
      </w:r>
      <w:r w:rsidRPr="0053032C">
        <w:t xml:space="preserve"> indicadores de resultados</w:t>
      </w:r>
      <w:r w:rsidR="005028D4" w:rsidRPr="0053032C">
        <w:t xml:space="preserve"> disponibles</w:t>
      </w:r>
      <w:r w:rsidRPr="0053032C">
        <w:t xml:space="preserve">, el método de análisis económico seleccionado es el de </w:t>
      </w:r>
      <w:r w:rsidRPr="0053032C">
        <w:rPr>
          <w:i/>
        </w:rPr>
        <w:t>coste en función de la efectividad</w:t>
      </w:r>
      <w:r w:rsidRPr="0053032C">
        <w:t xml:space="preserve"> para cada uno de los </w:t>
      </w:r>
      <w:r w:rsidR="0053032C">
        <w:t>índices incluidos en el cuadro 3</w:t>
      </w:r>
      <w:r w:rsidRPr="0053032C">
        <w:t xml:space="preserve">. Para ello se van a construir dos </w:t>
      </w:r>
      <w:r w:rsidR="00C2324A" w:rsidRPr="0053032C">
        <w:t>alternativas</w:t>
      </w:r>
      <w:r w:rsidRPr="0053032C">
        <w:t xml:space="preserve">. La primera trata de analizar el costo-efectividad de la </w:t>
      </w:r>
      <w:r w:rsidR="005028D4" w:rsidRPr="0053032C">
        <w:rPr>
          <w:i/>
        </w:rPr>
        <w:t>opción</w:t>
      </w:r>
      <w:r w:rsidRPr="0053032C">
        <w:rPr>
          <w:i/>
        </w:rPr>
        <w:t xml:space="preserve"> con programa BID</w:t>
      </w:r>
      <w:r w:rsidRPr="0053032C">
        <w:t xml:space="preserve">, es decir, el costo </w:t>
      </w:r>
      <w:r w:rsidR="005028D4" w:rsidRPr="0053032C">
        <w:t>que</w:t>
      </w:r>
      <w:r w:rsidRPr="0053032C">
        <w:t xml:space="preserve"> supone </w:t>
      </w:r>
      <w:r w:rsidR="005028D4" w:rsidRPr="0053032C">
        <w:t xml:space="preserve">lograr un punto de mejora en </w:t>
      </w:r>
      <w:r w:rsidR="0053032C">
        <w:t>el indicador global de capacidades de gestión</w:t>
      </w:r>
      <w:r w:rsidR="005028D4" w:rsidRPr="0053032C">
        <w:t xml:space="preserve">. </w:t>
      </w:r>
    </w:p>
    <w:p w:rsidR="00710376" w:rsidRPr="0053032C" w:rsidRDefault="0028206B" w:rsidP="0053032C">
      <w:pPr>
        <w:pStyle w:val="ListParagraph"/>
        <w:numPr>
          <w:ilvl w:val="0"/>
          <w:numId w:val="14"/>
        </w:numPr>
        <w:spacing w:after="240"/>
        <w:ind w:left="0" w:hanging="567"/>
      </w:pPr>
      <w:r w:rsidRPr="0053032C">
        <w:t xml:space="preserve">La segunda alternativa </w:t>
      </w:r>
      <w:r w:rsidR="00C2324A" w:rsidRPr="0053032C">
        <w:t>parte de supuesto de que</w:t>
      </w:r>
      <w:r w:rsidRPr="0053032C">
        <w:t xml:space="preserve"> las mejoras </w:t>
      </w:r>
      <w:r w:rsidR="00C2324A" w:rsidRPr="0053032C">
        <w:t xml:space="preserve">en el proceso de elaboración de las políticas económicas se realizarían exclusivamente </w:t>
      </w:r>
      <w:r w:rsidRPr="0053032C">
        <w:t xml:space="preserve">con los </w:t>
      </w:r>
      <w:r w:rsidRPr="0053032C">
        <w:rPr>
          <w:i/>
        </w:rPr>
        <w:t xml:space="preserve">recursos </w:t>
      </w:r>
      <w:r w:rsidR="00C2324A" w:rsidRPr="0053032C">
        <w:rPr>
          <w:i/>
        </w:rPr>
        <w:t>propios</w:t>
      </w:r>
      <w:r w:rsidR="00C2324A" w:rsidRPr="0053032C">
        <w:t xml:space="preserve"> </w:t>
      </w:r>
      <w:r w:rsidRPr="0053032C">
        <w:t xml:space="preserve">asignados </w:t>
      </w:r>
      <w:r w:rsidR="00C2324A" w:rsidRPr="0053032C">
        <w:t>en los presupuestos de</w:t>
      </w:r>
      <w:r w:rsidR="00727787">
        <w:t xml:space="preserve"> las entidades y servicios</w:t>
      </w:r>
      <w:r w:rsidR="00C2324A" w:rsidRPr="0053032C">
        <w:t>, principal</w:t>
      </w:r>
      <w:r w:rsidR="00727787">
        <w:t>es</w:t>
      </w:r>
      <w:r w:rsidR="00C2324A" w:rsidRPr="0053032C">
        <w:t xml:space="preserve"> receptor</w:t>
      </w:r>
      <w:r w:rsidR="00727787">
        <w:t>es</w:t>
      </w:r>
      <w:r w:rsidR="00C2324A" w:rsidRPr="0053032C">
        <w:t xml:space="preserve"> del programa BID.</w:t>
      </w:r>
      <w:r w:rsidRPr="0053032C">
        <w:t xml:space="preserve"> </w:t>
      </w:r>
      <w:r w:rsidR="00C2324A" w:rsidRPr="0053032C">
        <w:t xml:space="preserve">Por tanto, en el análisis económico se contrastarán dos opciones: (i) una primera opción es la que surge a partir del programa BID, y (ii) la segunda opción, es la que se observaría en el caso de que </w:t>
      </w:r>
      <w:r w:rsidR="00727787">
        <w:t xml:space="preserve">la mejora de la gestión </w:t>
      </w:r>
      <w:r w:rsidR="00C2324A" w:rsidRPr="0053032C">
        <w:t xml:space="preserve">su </w:t>
      </w:r>
      <w:r w:rsidR="00727787">
        <w:t>apoye</w:t>
      </w:r>
      <w:r w:rsidR="00C2324A" w:rsidRPr="0053032C">
        <w:t xml:space="preserve"> </w:t>
      </w:r>
      <w:r w:rsidR="00C2324A" w:rsidRPr="00727787">
        <w:rPr>
          <w:i/>
        </w:rPr>
        <w:t>exclusivamente</w:t>
      </w:r>
      <w:r w:rsidR="00C2324A" w:rsidRPr="0053032C">
        <w:t xml:space="preserve"> a los fondos propios presupuestarios.</w:t>
      </w:r>
    </w:p>
    <w:p w:rsidR="00C2324A" w:rsidRPr="0053032C" w:rsidRDefault="00C2324A" w:rsidP="00C2324A">
      <w:pPr>
        <w:pStyle w:val="Heading1"/>
      </w:pPr>
      <w:bookmarkStart w:id="7" w:name="_Ref395205104"/>
      <w:bookmarkStart w:id="8" w:name="_Toc395208847"/>
      <w:r w:rsidRPr="0053032C">
        <w:t>Supuestos y alternativas</w:t>
      </w:r>
      <w:bookmarkEnd w:id="7"/>
      <w:bookmarkEnd w:id="8"/>
    </w:p>
    <w:p w:rsidR="00C2324A" w:rsidRPr="00111F00" w:rsidRDefault="00E13D73" w:rsidP="00111F00">
      <w:pPr>
        <w:pStyle w:val="Heading2"/>
      </w:pPr>
      <w:bookmarkStart w:id="9" w:name="_Ref395004533"/>
      <w:bookmarkStart w:id="10" w:name="_Toc395208848"/>
      <w:r w:rsidRPr="00111F00">
        <w:t>Supuestos</w:t>
      </w:r>
      <w:bookmarkEnd w:id="9"/>
      <w:bookmarkEnd w:id="10"/>
    </w:p>
    <w:p w:rsidR="00EE0BB1" w:rsidRDefault="00EE0BB1" w:rsidP="00727787">
      <w:pPr>
        <w:pStyle w:val="ListParagraph"/>
        <w:numPr>
          <w:ilvl w:val="0"/>
          <w:numId w:val="14"/>
        </w:numPr>
        <w:spacing w:after="240"/>
        <w:ind w:left="0" w:hanging="567"/>
      </w:pPr>
      <w:r>
        <w:t xml:space="preserve">En la sección </w:t>
      </w:r>
      <w:r w:rsidR="007D19DA">
        <w:fldChar w:fldCharType="begin"/>
      </w:r>
      <w:r w:rsidR="007D19DA">
        <w:instrText xml:space="preserve"> REF _Ref395003570 \r \h </w:instrText>
      </w:r>
      <w:r w:rsidR="007D19DA">
        <w:fldChar w:fldCharType="separate"/>
      </w:r>
      <w:r w:rsidR="007D19DA">
        <w:t>1.2</w:t>
      </w:r>
      <w:r w:rsidR="007D19DA">
        <w:fldChar w:fldCharType="end"/>
      </w:r>
      <w:r w:rsidR="007D19DA">
        <w:t xml:space="preserve"> se mencionaba que el indicador seleccionado para realizar el análisis económico procede del conjunto de resultados intermedios, y más en concreto, se refiere al </w:t>
      </w:r>
      <w:r w:rsidR="007D19DA" w:rsidRPr="007D19DA">
        <w:rPr>
          <w:i/>
        </w:rPr>
        <w:t>índice global de capacidades</w:t>
      </w:r>
      <w:r w:rsidR="007D19DA">
        <w:t xml:space="preserve"> (</w:t>
      </w:r>
      <w:r w:rsidR="00457125">
        <w:t>ICAGE</w:t>
      </w:r>
      <w:r w:rsidR="007D19DA">
        <w:t xml:space="preserve">) de gestión. Para analizar la pertinencia de la selección de este indicador, es conveniente tener en consideración </w:t>
      </w:r>
      <w:r w:rsidR="0087137A">
        <w:t>algunos supuestos generales.</w:t>
      </w:r>
    </w:p>
    <w:p w:rsidR="00457125" w:rsidRPr="00457125" w:rsidRDefault="00457125" w:rsidP="00457125">
      <w:pPr>
        <w:spacing w:after="240"/>
        <w:rPr>
          <w:b/>
          <w:u w:val="single"/>
        </w:rPr>
      </w:pPr>
      <w:r w:rsidRPr="00457125">
        <w:rPr>
          <w:b/>
          <w:u w:val="single"/>
        </w:rPr>
        <w:t>Relación causal entre los indicadores intermedio, de resultados finales y de impacto</w:t>
      </w:r>
    </w:p>
    <w:p w:rsidR="002E2A1D" w:rsidRDefault="007D19DA" w:rsidP="0087137A">
      <w:pPr>
        <w:pStyle w:val="ListParagraph"/>
        <w:numPr>
          <w:ilvl w:val="0"/>
          <w:numId w:val="14"/>
        </w:numPr>
        <w:spacing w:after="240"/>
        <w:ind w:left="0" w:hanging="567"/>
      </w:pPr>
      <w:r>
        <w:t xml:space="preserve">Se parte del supuesto de que existe una relación causal entre las variaciones en el índice global de capacidades </w:t>
      </w:r>
      <w:r w:rsidR="00457125">
        <w:t>ICAGE (resultado intermedio)</w:t>
      </w:r>
      <w:r>
        <w:t xml:space="preserve">, las variaciones en los indicadores de efectividad y eficiencia </w:t>
      </w:r>
      <w:r w:rsidR="00457125">
        <w:t xml:space="preserve">(resultados) </w:t>
      </w:r>
      <w:r>
        <w:t xml:space="preserve">y </w:t>
      </w:r>
      <w:r w:rsidR="00457125">
        <w:t>las variaciones en el indicador de impacto (satisfacción de la ciudadanía con los servicios entregados).</w:t>
      </w:r>
      <w:r w:rsidR="00457125">
        <w:rPr>
          <w:rStyle w:val="FootnoteReference"/>
        </w:rPr>
        <w:footnoteReference w:id="1"/>
      </w:r>
      <w:r w:rsidR="00457125">
        <w:t xml:space="preserve"> La pregunta que cabe formularse es si esta relación está basada en la evidencia. </w:t>
      </w:r>
    </w:p>
    <w:p w:rsidR="0087137A" w:rsidRDefault="0087137A" w:rsidP="0087137A">
      <w:pPr>
        <w:pStyle w:val="ListParagraph"/>
        <w:numPr>
          <w:ilvl w:val="0"/>
          <w:numId w:val="14"/>
        </w:numPr>
        <w:spacing w:after="240"/>
        <w:ind w:left="0" w:hanging="567"/>
      </w:pPr>
      <w:r>
        <w:t xml:space="preserve">Con el fin de responder a la cuestión planteada, es conveniente aislar los distintos eslabones de la cadena causal. Para ello </w:t>
      </w:r>
      <w:r w:rsidR="002E2A1D">
        <w:t>se analizaron</w:t>
      </w:r>
      <w:r>
        <w:t xml:space="preserve"> de forma detallada</w:t>
      </w:r>
      <w:r w:rsidR="002E2A1D">
        <w:t xml:space="preserve"> diversos proyectos de fortalecimiento institucional </w:t>
      </w:r>
      <w:r>
        <w:t xml:space="preserve">en los que el diseño de su programa de mejora de la gestión pretendía incrementar la efectividad y eficiencias institucionales, lo que a su vez mejoraría la satisfacción de los ciudadanos con los servicios prestados. </w:t>
      </w:r>
    </w:p>
    <w:p w:rsidR="007D4E76" w:rsidRDefault="0087137A" w:rsidP="0087137A">
      <w:pPr>
        <w:pStyle w:val="ListParagraph"/>
        <w:numPr>
          <w:ilvl w:val="0"/>
          <w:numId w:val="14"/>
        </w:numPr>
        <w:spacing w:after="240"/>
        <w:ind w:left="0" w:hanging="567"/>
      </w:pPr>
      <w:r w:rsidRPr="00D34426">
        <w:t xml:space="preserve">Las evidencias encontradas son fuertes para el primer eslabón (mejora de la gestión versus variaciones en los indicadores de efectividad y eficiencia. En efecto, tanto en el programa Fortalecimiento de la Dirección Nacional de Servicio Civil (1622/OC-CH), financiado con recursos del Banco, como en el Programa de fortalecimiento institucional de los servicios jurídicos de la Alcaldía Mayor de Bogotá, </w:t>
      </w:r>
      <w:r w:rsidRPr="00D34426">
        <w:lastRenderedPageBreak/>
        <w:t>financiado con recursos propios de la Alcaldía Mayor de Bogotá</w:t>
      </w:r>
      <w:r w:rsidR="00E67FAD" w:rsidRPr="00D34426">
        <w:t xml:space="preserve">, pudieron medirse los efectos positivos que tuvieron las mejoras institucionales en los indicadores de resultados. En el caso del programa “Fortalecimiento de la Dirección Nacional de Servicio Civil (1622/OC-CH)” se observó que tuvieron lugar “avances sustantivos en el servicio civil chileno en los cuatro años de implementación del Programa de Modernización de la DNSC, cumpliendo de esta manera con su fin y propósito. </w:t>
      </w:r>
    </w:p>
    <w:p w:rsidR="007D19DA" w:rsidRPr="00D34426" w:rsidRDefault="00E67FAD" w:rsidP="0087137A">
      <w:pPr>
        <w:pStyle w:val="ListParagraph"/>
        <w:numPr>
          <w:ilvl w:val="0"/>
          <w:numId w:val="14"/>
        </w:numPr>
        <w:spacing w:after="240"/>
        <w:ind w:left="0" w:hanging="567"/>
      </w:pPr>
      <w:r w:rsidRPr="00D34426">
        <w:t xml:space="preserve">Por lo tanto, puede concluirse que un conjunto de actividades y productos orientados a la </w:t>
      </w:r>
      <w:r w:rsidRPr="00D34426">
        <w:rPr>
          <w:i/>
        </w:rPr>
        <w:t>mejora de la gestión</w:t>
      </w:r>
      <w:r w:rsidRPr="00D34426">
        <w:t xml:space="preserve"> de las políticas relacionadas con el servicio civil generaron </w:t>
      </w:r>
      <w:r w:rsidRPr="00D34426">
        <w:rPr>
          <w:i/>
        </w:rPr>
        <w:t>efectos positivos</w:t>
      </w:r>
      <w:r w:rsidRPr="00D34426">
        <w:t xml:space="preserve"> sobre dichas políticas”. Además, de acuerdo con el informe de evaluación, quedaron instaladas los procesos de trabajo permanentes de la Dirección Nacional de Servicio Civil (DNSC) a través de la asignación de presupuesto del gobierno nacional. Se refuerzan así los logros del Programa en términos de resultados finales, al lograr construir institucionalidad sostenible e instalar nuevas prácticas de gestión en la DNSC.</w:t>
      </w:r>
      <w:r w:rsidR="00E9146F" w:rsidRPr="00D34426">
        <w:rPr>
          <w:rStyle w:val="FootnoteReference"/>
        </w:rPr>
        <w:footnoteReference w:id="2"/>
      </w:r>
    </w:p>
    <w:p w:rsidR="00847A5A" w:rsidRPr="00847A5A" w:rsidRDefault="007D4E76" w:rsidP="007D4E76">
      <w:pPr>
        <w:pStyle w:val="ListParagraph"/>
        <w:numPr>
          <w:ilvl w:val="0"/>
          <w:numId w:val="14"/>
        </w:numPr>
        <w:spacing w:after="240"/>
        <w:ind w:left="0" w:hanging="567"/>
      </w:pPr>
      <w:r w:rsidRPr="00211AFB">
        <w:rPr>
          <w:noProof/>
          <w:lang w:val="en-US" w:eastAsia="en-US"/>
        </w:rPr>
        <w:drawing>
          <wp:anchor distT="0" distB="0" distL="114300" distR="114300" simplePos="0" relativeHeight="251659264" behindDoc="1" locked="0" layoutInCell="1" allowOverlap="1" wp14:anchorId="496020C5" wp14:editId="07D5FAEA">
            <wp:simplePos x="0" y="0"/>
            <wp:positionH relativeFrom="column">
              <wp:posOffset>2186940</wp:posOffset>
            </wp:positionH>
            <wp:positionV relativeFrom="paragraph">
              <wp:posOffset>957580</wp:posOffset>
            </wp:positionV>
            <wp:extent cx="3585210" cy="2181225"/>
            <wp:effectExtent l="0" t="0" r="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5210"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4426" w:rsidRPr="00D34426">
        <w:t xml:space="preserve">Por otra parte, en el </w:t>
      </w:r>
      <w:r>
        <w:t>“</w:t>
      </w:r>
      <w:r w:rsidR="00D34426" w:rsidRPr="00D34426">
        <w:t>Programa de fortalecimiento institucional de los servicios jurídicos de la Alcaldía Mayor de Bogotá</w:t>
      </w:r>
      <w:r>
        <w:t>”</w:t>
      </w:r>
      <w:r w:rsidR="00D34426" w:rsidRPr="00D34426">
        <w:t xml:space="preserve"> se observa que “una inversión en la mejora de la gestión jurídica permite obtener mejoras notables en la efectividad y en los retornos económicos de forma rápida y con alto impacto”. Por ejemplo, </w:t>
      </w:r>
      <w:r w:rsidR="00D34426" w:rsidRPr="00D34426">
        <w:rPr>
          <w:lang w:val="es-UY"/>
        </w:rPr>
        <w:t xml:space="preserve">la tasa de éxito en sentencias definitivas para aquellas demandas iniciadas y finalizadas antes del año 2004 (antes del inicio del programa de fortalecimiento) se situaba en el 71%. Una vez concluido el programa, los procesos comenzados después del año 2004 tuvieron una tasa de éxito del 80%, es decir: una mejora de 9 puntos porcentuales en la efectividad. </w:t>
      </w:r>
    </w:p>
    <w:p w:rsidR="007D4E76" w:rsidRPr="007D4E76" w:rsidRDefault="004E36D2" w:rsidP="007D4E76">
      <w:pPr>
        <w:pStyle w:val="ListParagraph"/>
        <w:numPr>
          <w:ilvl w:val="0"/>
          <w:numId w:val="14"/>
        </w:numPr>
        <w:spacing w:after="240"/>
        <w:ind w:left="0" w:hanging="567"/>
      </w:pPr>
      <w:r>
        <w:rPr>
          <w:lang w:val="es-UY"/>
        </w:rPr>
        <w:t xml:space="preserve">Además, </w:t>
      </w:r>
      <w:r w:rsidRPr="00DD381B">
        <w:t>esta</w:t>
      </w:r>
      <w:r w:rsidR="00D34426" w:rsidRPr="00DD381B">
        <w:t xml:space="preserve"> mejora en la tasa de éxito de los servicios jurídicos debería impactar en una reducción de los pagos por sentencia definitiva. Una atenta mirada al gráfico permite concluir que, en efecto, luego de 2004 los pagos por sentencias y conciliaciones que realizó la Alcaldía Mayor de Bogotá disminuyeron sensiblemente en relación con los pagos que tuvo que afrontar antes de 2004.</w:t>
      </w:r>
    </w:p>
    <w:p w:rsidR="00D34426" w:rsidRPr="007D4E76" w:rsidRDefault="007D4E76" w:rsidP="007D4E76">
      <w:pPr>
        <w:spacing w:after="240"/>
        <w:rPr>
          <w:b/>
          <w:u w:val="single"/>
        </w:rPr>
      </w:pPr>
      <w:r w:rsidRPr="007D4E76">
        <w:rPr>
          <w:b/>
          <w:u w:val="single"/>
        </w:rPr>
        <w:t>La construcción de la métrica</w:t>
      </w:r>
      <w:r>
        <w:rPr>
          <w:b/>
          <w:u w:val="single"/>
        </w:rPr>
        <w:t xml:space="preserve"> del ICAGE</w:t>
      </w:r>
    </w:p>
    <w:p w:rsidR="00847A5A" w:rsidRDefault="00847A5A" w:rsidP="00B6564A">
      <w:pPr>
        <w:pStyle w:val="ListParagraph"/>
        <w:numPr>
          <w:ilvl w:val="0"/>
          <w:numId w:val="14"/>
        </w:numPr>
        <w:spacing w:after="240"/>
        <w:ind w:left="0" w:hanging="567"/>
      </w:pPr>
      <w:r>
        <w:t>Una vez descritas las evidencias que permitirían apoyar la lógica de que una mejora de la gestión de los servicios/entidades tiene como efecto positivo una mejora subsecuente en la efectividad y eficiencia de una institución, el siguiente aspecto de interés es definir qué unidad de medida se puede utilizar para determinar el estado actual (línea de base) de los servicios y cómo variará el indicador resultante como resultado de la inversión prevista en el programa.</w:t>
      </w:r>
    </w:p>
    <w:p w:rsidR="00847A5A" w:rsidRDefault="00847A5A" w:rsidP="00B6564A">
      <w:pPr>
        <w:pStyle w:val="ListParagraph"/>
        <w:numPr>
          <w:ilvl w:val="0"/>
          <w:numId w:val="14"/>
        </w:numPr>
        <w:spacing w:after="240"/>
        <w:ind w:left="0" w:hanging="567"/>
      </w:pPr>
      <w:r>
        <w:t>Para ello se ha diseñado un instrumento de medición que permite l</w:t>
      </w:r>
      <w:r w:rsidR="007D4E76" w:rsidRPr="007D4E76">
        <w:t>a evaluació</w:t>
      </w:r>
      <w:r>
        <w:t>n de las capacidades de gestión.</w:t>
      </w:r>
      <w:r w:rsidR="004964EA">
        <w:rPr>
          <w:rStyle w:val="FootnoteReference"/>
        </w:rPr>
        <w:footnoteReference w:id="3"/>
      </w:r>
      <w:r>
        <w:t xml:space="preserve"> Este </w:t>
      </w:r>
      <w:r w:rsidR="007D4E76" w:rsidRPr="007D4E76">
        <w:t xml:space="preserve">instrumento presenta una apertura en tres niveles de agregación: en el primero y más agregado hay cuatro dimensiones (Alineamiento estratégico; Gestión estratégica; Gestión de Procesos; </w:t>
      </w:r>
      <w:r w:rsidR="007D4E76" w:rsidRPr="007D4E76">
        <w:lastRenderedPageBreak/>
        <w:t>y Apoyo administrativo) que, en el segundo, se abren en 18 ítems (temas), los cuales a su vez dividen, en el tercer nivel, en 42 puntos críticos (aspectos o elementos específicos dentro de cada tema)</w:t>
      </w:r>
      <w:r>
        <w:t xml:space="preserve"> vinculados directamente con aspectos concretos de la gestión</w:t>
      </w:r>
      <w:r w:rsidR="007D4E76" w:rsidRPr="007D4E76">
        <w:t xml:space="preserve">. </w:t>
      </w:r>
    </w:p>
    <w:p w:rsidR="00847A5A" w:rsidRDefault="007D4E76" w:rsidP="00B6564A">
      <w:pPr>
        <w:pStyle w:val="ListParagraph"/>
        <w:numPr>
          <w:ilvl w:val="0"/>
          <w:numId w:val="14"/>
        </w:numPr>
        <w:spacing w:after="240"/>
        <w:ind w:left="0" w:hanging="567"/>
      </w:pPr>
      <w:r w:rsidRPr="007D4E76">
        <w:t>A partir de información cuali-cuantitativa levantada mediante análisis documental y entrevistas con funcionarios</w:t>
      </w:r>
      <w:r w:rsidR="00847A5A">
        <w:t xml:space="preserve"> de los servicios y entidades</w:t>
      </w:r>
      <w:r w:rsidRPr="007D4E76">
        <w:t xml:space="preserve">, los 42 puntos críticos son valorados en un escala de 0 a 3 según </w:t>
      </w:r>
      <w:r w:rsidR="00847A5A">
        <w:t>su</w:t>
      </w:r>
      <w:r w:rsidRPr="007D4E76">
        <w:t xml:space="preserve"> grado de </w:t>
      </w:r>
      <w:r w:rsidR="00847A5A">
        <w:t xml:space="preserve">presencia y </w:t>
      </w:r>
      <w:r w:rsidRPr="007D4E76">
        <w:t xml:space="preserve">solidez de la entidad en cada punto. </w:t>
      </w:r>
      <w:r w:rsidR="00847A5A">
        <w:t xml:space="preserve">Esta información es levantada mediante entrevistas estructuradas y los resultados son discutidos con los funcionarios de cada entidad. </w:t>
      </w:r>
    </w:p>
    <w:p w:rsidR="007D4E76" w:rsidRDefault="007D4E76" w:rsidP="00B6564A">
      <w:pPr>
        <w:pStyle w:val="ListParagraph"/>
        <w:numPr>
          <w:ilvl w:val="0"/>
          <w:numId w:val="14"/>
        </w:numPr>
        <w:spacing w:after="240"/>
        <w:ind w:left="0" w:hanging="567"/>
      </w:pPr>
      <w:r w:rsidRPr="007D4E76">
        <w:t>Como resultado se obtienen, en una escala de 0 a 10 y de forma ponderada, un índice por cada dimensión y una medida agregada</w:t>
      </w:r>
      <w:r w:rsidR="00DF6713">
        <w:t xml:space="preserve"> para cada entidad</w:t>
      </w:r>
      <w:r w:rsidRPr="007D4E76">
        <w:t xml:space="preserve">. El conjunto de cinco índices refleja en forma específica y general la consistencia de las capacidades de gestión de la entidad bajo </w:t>
      </w:r>
      <w:r>
        <w:t>análisis.</w:t>
      </w:r>
      <w:r w:rsidR="00847A5A">
        <w:t xml:space="preserve"> </w:t>
      </w:r>
    </w:p>
    <w:p w:rsidR="00847A5A" w:rsidRDefault="00847A5A" w:rsidP="00B6564A">
      <w:pPr>
        <w:pStyle w:val="ListParagraph"/>
        <w:numPr>
          <w:ilvl w:val="0"/>
          <w:numId w:val="14"/>
        </w:numPr>
        <w:spacing w:after="240"/>
        <w:ind w:left="0" w:hanging="567"/>
      </w:pPr>
      <w:r>
        <w:t xml:space="preserve">Lo que es importante resaltar es que </w:t>
      </w:r>
      <w:r w:rsidR="0060307A">
        <w:t>es que con este instrumento es posible construir una métrica homogénea para cada una de las entidades, que varía entre 0 y 10, y que es susceptible de agregación para generar índices compuestos. La agregación puede ser por medio de promedio simples, o ponderados, o cualquier otra forma de agregación que se considere conveniente para medir.</w:t>
      </w:r>
    </w:p>
    <w:p w:rsidR="002E7624" w:rsidRPr="002E7624" w:rsidRDefault="002E7624" w:rsidP="002E7624">
      <w:pPr>
        <w:spacing w:after="240"/>
        <w:rPr>
          <w:b/>
          <w:u w:val="single"/>
        </w:rPr>
      </w:pPr>
      <w:r w:rsidRPr="002E7624">
        <w:rPr>
          <w:b/>
          <w:u w:val="single"/>
        </w:rPr>
        <w:t>Determinación de la línea de base y meta</w:t>
      </w:r>
    </w:p>
    <w:p w:rsidR="002E7624" w:rsidRDefault="0060307A" w:rsidP="00727787">
      <w:pPr>
        <w:pStyle w:val="ListParagraph"/>
        <w:numPr>
          <w:ilvl w:val="0"/>
          <w:numId w:val="14"/>
        </w:numPr>
        <w:spacing w:after="240"/>
        <w:ind w:left="0" w:hanging="567"/>
      </w:pPr>
      <w:r>
        <w:t>En el caso d</w:t>
      </w:r>
      <w:r w:rsidR="00B6564A">
        <w:t>el análisis económico, e</w:t>
      </w:r>
      <w:r w:rsidR="007D4E76">
        <w:t>ste inst</w:t>
      </w:r>
      <w:r w:rsidR="00B6564A">
        <w:t xml:space="preserve">rumento de medición de las capacidades institucionales de gestión se aplicó </w:t>
      </w:r>
      <w:r>
        <w:t xml:space="preserve">a una muestra disponible de entidades actualmente existentes </w:t>
      </w:r>
      <w:r w:rsidR="003F3F36">
        <w:t>(</w:t>
      </w:r>
      <w:r w:rsidR="004E36D2">
        <w:t xml:space="preserve">tipologías </w:t>
      </w:r>
      <w:r w:rsidR="003F3F36">
        <w:t xml:space="preserve">P3 y P4) </w:t>
      </w:r>
      <w:r w:rsidR="00B6564A">
        <w:t>a los siguientes servicios y/o entidades</w:t>
      </w:r>
      <w:r w:rsidR="004E36D2">
        <w:t xml:space="preserve"> (ver cuadro 4)</w:t>
      </w:r>
      <w:r w:rsidR="00D608FC">
        <w:t xml:space="preserve">. Puede observarse que se incluyen dos entidades actualmente existentes (P3), que son prestadoras de servicios, y dos entidades de nueva creación (P4). </w:t>
      </w:r>
    </w:p>
    <w:p w:rsidR="00D34426" w:rsidRDefault="00184D54" w:rsidP="00727787">
      <w:pPr>
        <w:pStyle w:val="ListParagraph"/>
        <w:numPr>
          <w:ilvl w:val="0"/>
          <w:numId w:val="14"/>
        </w:numPr>
        <w:spacing w:after="240"/>
        <w:ind w:left="0" w:hanging="567"/>
      </w:pPr>
      <w:r>
        <w:t>La muestra utilizada en el análisis económico es coincidente con las indicaciones del Gobierno de Chile, en el sentido de que estas cuatro entidades serían beneficiarias del programa. De esta forma, se tiene la seguridad de que tanto la línea de base, como las metas</w:t>
      </w:r>
      <w:r w:rsidR="00111F00">
        <w:t xml:space="preserve"> que se alcancen con la ejecución del programa</w:t>
      </w:r>
      <w:r>
        <w:t>, formarán parte de la futura matriz de resultados.</w:t>
      </w:r>
    </w:p>
    <w:p w:rsidR="004E36D2" w:rsidRPr="0053032C" w:rsidRDefault="004E36D2" w:rsidP="004E36D2">
      <w:pPr>
        <w:pStyle w:val="Caption"/>
        <w:spacing w:after="120"/>
        <w:jc w:val="center"/>
        <w:rPr>
          <w:b w:val="0"/>
        </w:rPr>
      </w:pPr>
      <w:r>
        <w:t>Cuadro 4</w:t>
      </w:r>
      <w:r w:rsidRPr="0053032C">
        <w:t xml:space="preserve">. </w:t>
      </w:r>
      <w:r>
        <w:t>Resultados del índice ICAGE para cada entidad de la muestra</w:t>
      </w:r>
    </w:p>
    <w:tbl>
      <w:tblPr>
        <w:tblW w:w="9214" w:type="dxa"/>
        <w:jc w:val="center"/>
        <w:tblCellMar>
          <w:left w:w="70" w:type="dxa"/>
          <w:right w:w="70" w:type="dxa"/>
        </w:tblCellMar>
        <w:tblLook w:val="04A0" w:firstRow="1" w:lastRow="0" w:firstColumn="1" w:lastColumn="0" w:noHBand="0" w:noVBand="1"/>
      </w:tblPr>
      <w:tblGrid>
        <w:gridCol w:w="1131"/>
        <w:gridCol w:w="4960"/>
        <w:gridCol w:w="1844"/>
        <w:gridCol w:w="1279"/>
      </w:tblGrid>
      <w:tr w:rsidR="00111F00" w:rsidRPr="00B6564A" w:rsidTr="00DB6204">
        <w:trPr>
          <w:jc w:val="center"/>
        </w:trPr>
        <w:tc>
          <w:tcPr>
            <w:tcW w:w="1131" w:type="dxa"/>
            <w:tcBorders>
              <w:top w:val="single" w:sz="4" w:space="0" w:color="auto"/>
              <w:left w:val="nil"/>
              <w:bottom w:val="single" w:sz="4" w:space="0" w:color="auto"/>
              <w:right w:val="nil"/>
            </w:tcBorders>
            <w:vAlign w:val="center"/>
          </w:tcPr>
          <w:p w:rsidR="00111F00" w:rsidRPr="00B6564A" w:rsidRDefault="00111F00" w:rsidP="00111F00">
            <w:pPr>
              <w:jc w:val="left"/>
              <w:rPr>
                <w:b/>
                <w:bCs/>
                <w:color w:val="000000"/>
                <w:sz w:val="20"/>
                <w:szCs w:val="20"/>
              </w:rPr>
            </w:pPr>
            <w:r>
              <w:rPr>
                <w:b/>
                <w:bCs/>
                <w:color w:val="000000"/>
                <w:sz w:val="20"/>
                <w:szCs w:val="20"/>
              </w:rPr>
              <w:t>Tipología</w:t>
            </w:r>
          </w:p>
        </w:tc>
        <w:tc>
          <w:tcPr>
            <w:tcW w:w="4960" w:type="dxa"/>
            <w:tcBorders>
              <w:top w:val="single" w:sz="4" w:space="0" w:color="auto"/>
              <w:left w:val="nil"/>
              <w:bottom w:val="single" w:sz="4" w:space="0" w:color="auto"/>
              <w:right w:val="nil"/>
            </w:tcBorders>
            <w:shd w:val="clear" w:color="auto" w:fill="auto"/>
            <w:noWrap/>
            <w:vAlign w:val="center"/>
            <w:hideMark/>
          </w:tcPr>
          <w:p w:rsidR="00111F00" w:rsidRPr="00B6564A" w:rsidRDefault="00111F00" w:rsidP="00111F00">
            <w:pPr>
              <w:jc w:val="left"/>
              <w:rPr>
                <w:b/>
                <w:bCs/>
                <w:color w:val="000000"/>
                <w:sz w:val="20"/>
                <w:szCs w:val="20"/>
              </w:rPr>
            </w:pPr>
            <w:r>
              <w:rPr>
                <w:b/>
                <w:bCs/>
                <w:color w:val="000000"/>
                <w:sz w:val="20"/>
                <w:szCs w:val="20"/>
              </w:rPr>
              <w:t>Entidades/servicios</w:t>
            </w:r>
          </w:p>
        </w:tc>
        <w:tc>
          <w:tcPr>
            <w:tcW w:w="1844" w:type="dxa"/>
            <w:tcBorders>
              <w:top w:val="single" w:sz="4" w:space="0" w:color="auto"/>
              <w:left w:val="nil"/>
              <w:bottom w:val="single" w:sz="4" w:space="0" w:color="auto"/>
              <w:right w:val="nil"/>
            </w:tcBorders>
            <w:shd w:val="clear" w:color="auto" w:fill="auto"/>
            <w:vAlign w:val="center"/>
            <w:hideMark/>
          </w:tcPr>
          <w:p w:rsidR="00111F00" w:rsidRPr="00B6564A" w:rsidRDefault="00111F00" w:rsidP="00111F00">
            <w:pPr>
              <w:jc w:val="left"/>
              <w:rPr>
                <w:b/>
                <w:bCs/>
                <w:color w:val="000000"/>
                <w:sz w:val="20"/>
                <w:szCs w:val="20"/>
              </w:rPr>
            </w:pPr>
            <w:r w:rsidRPr="00847A5A">
              <w:rPr>
                <w:b/>
                <w:bCs/>
                <w:color w:val="000000"/>
                <w:sz w:val="20"/>
                <w:szCs w:val="20"/>
              </w:rPr>
              <w:t>Línea de base (A)</w:t>
            </w:r>
          </w:p>
        </w:tc>
        <w:tc>
          <w:tcPr>
            <w:tcW w:w="1279" w:type="dxa"/>
            <w:tcBorders>
              <w:top w:val="single" w:sz="4" w:space="0" w:color="auto"/>
              <w:left w:val="nil"/>
              <w:bottom w:val="single" w:sz="4" w:space="0" w:color="auto"/>
              <w:right w:val="nil"/>
            </w:tcBorders>
            <w:vAlign w:val="center"/>
          </w:tcPr>
          <w:p w:rsidR="00111F00" w:rsidRPr="00847A5A" w:rsidRDefault="00111F00" w:rsidP="00111F00">
            <w:pPr>
              <w:jc w:val="left"/>
              <w:rPr>
                <w:b/>
                <w:bCs/>
                <w:color w:val="000000"/>
                <w:sz w:val="20"/>
                <w:szCs w:val="20"/>
              </w:rPr>
            </w:pPr>
            <w:r>
              <w:rPr>
                <w:b/>
                <w:bCs/>
                <w:color w:val="000000"/>
                <w:sz w:val="20"/>
                <w:szCs w:val="20"/>
              </w:rPr>
              <w:t>Meta (con proyecto)</w:t>
            </w:r>
          </w:p>
        </w:tc>
      </w:tr>
      <w:tr w:rsidR="00111F00" w:rsidRPr="00B6564A" w:rsidTr="00DB6204">
        <w:trPr>
          <w:trHeight w:val="210"/>
          <w:jc w:val="center"/>
        </w:trPr>
        <w:tc>
          <w:tcPr>
            <w:tcW w:w="1131" w:type="dxa"/>
            <w:tcBorders>
              <w:top w:val="single" w:sz="4" w:space="0" w:color="auto"/>
              <w:left w:val="nil"/>
              <w:bottom w:val="nil"/>
              <w:right w:val="nil"/>
            </w:tcBorders>
          </w:tcPr>
          <w:p w:rsidR="00111F00" w:rsidRPr="00B6564A" w:rsidRDefault="00111F00" w:rsidP="00111F00">
            <w:pPr>
              <w:jc w:val="center"/>
              <w:rPr>
                <w:color w:val="000000"/>
                <w:sz w:val="20"/>
                <w:szCs w:val="20"/>
              </w:rPr>
            </w:pPr>
            <w:r>
              <w:rPr>
                <w:color w:val="000000"/>
                <w:sz w:val="20"/>
                <w:szCs w:val="20"/>
              </w:rPr>
              <w:t>P3</w:t>
            </w:r>
          </w:p>
        </w:tc>
        <w:tc>
          <w:tcPr>
            <w:tcW w:w="4960" w:type="dxa"/>
            <w:tcBorders>
              <w:top w:val="single" w:sz="4" w:space="0" w:color="auto"/>
              <w:left w:val="nil"/>
              <w:bottom w:val="nil"/>
              <w:right w:val="nil"/>
            </w:tcBorders>
            <w:shd w:val="clear" w:color="auto" w:fill="auto"/>
            <w:noWrap/>
            <w:vAlign w:val="bottom"/>
            <w:hideMark/>
          </w:tcPr>
          <w:p w:rsidR="00111F00" w:rsidRPr="00B6564A" w:rsidRDefault="00111F00" w:rsidP="00111F00">
            <w:pPr>
              <w:jc w:val="left"/>
              <w:rPr>
                <w:color w:val="000000"/>
                <w:sz w:val="20"/>
                <w:szCs w:val="20"/>
              </w:rPr>
            </w:pPr>
            <w:r w:rsidRPr="00B6564A">
              <w:rPr>
                <w:color w:val="000000"/>
                <w:sz w:val="20"/>
                <w:szCs w:val="20"/>
              </w:rPr>
              <w:t>Servicio Nacional del Consumidor (SERNAC)</w:t>
            </w:r>
          </w:p>
        </w:tc>
        <w:tc>
          <w:tcPr>
            <w:tcW w:w="1844" w:type="dxa"/>
            <w:tcBorders>
              <w:top w:val="single" w:sz="4" w:space="0" w:color="auto"/>
              <w:left w:val="nil"/>
              <w:bottom w:val="nil"/>
              <w:right w:val="nil"/>
            </w:tcBorders>
            <w:shd w:val="clear" w:color="auto" w:fill="auto"/>
            <w:noWrap/>
            <w:vAlign w:val="bottom"/>
            <w:hideMark/>
          </w:tcPr>
          <w:p w:rsidR="00111F00" w:rsidRPr="00B6564A" w:rsidRDefault="00111F00" w:rsidP="00111F00">
            <w:pPr>
              <w:ind w:right="638"/>
              <w:jc w:val="right"/>
              <w:rPr>
                <w:color w:val="000000"/>
                <w:sz w:val="20"/>
                <w:szCs w:val="20"/>
              </w:rPr>
            </w:pPr>
            <w:r w:rsidRPr="00B6564A">
              <w:rPr>
                <w:color w:val="000000"/>
                <w:sz w:val="20"/>
                <w:szCs w:val="20"/>
              </w:rPr>
              <w:t>5,42</w:t>
            </w:r>
          </w:p>
        </w:tc>
        <w:tc>
          <w:tcPr>
            <w:tcW w:w="1279" w:type="dxa"/>
            <w:tcBorders>
              <w:top w:val="single" w:sz="4" w:space="0" w:color="auto"/>
              <w:left w:val="nil"/>
              <w:bottom w:val="nil"/>
              <w:right w:val="nil"/>
            </w:tcBorders>
          </w:tcPr>
          <w:p w:rsidR="00111F00" w:rsidRPr="00111F00" w:rsidRDefault="00111F00" w:rsidP="00111F00">
            <w:pPr>
              <w:ind w:right="638"/>
              <w:jc w:val="right"/>
              <w:rPr>
                <w:color w:val="000000"/>
                <w:sz w:val="20"/>
                <w:szCs w:val="20"/>
              </w:rPr>
            </w:pPr>
            <w:r w:rsidRPr="00111F00">
              <w:rPr>
                <w:color w:val="000000"/>
                <w:sz w:val="20"/>
                <w:szCs w:val="20"/>
              </w:rPr>
              <w:t>8,00</w:t>
            </w:r>
          </w:p>
        </w:tc>
      </w:tr>
      <w:tr w:rsidR="00111F00" w:rsidRPr="00B6564A" w:rsidTr="00DB6204">
        <w:trPr>
          <w:trHeight w:val="210"/>
          <w:jc w:val="center"/>
        </w:trPr>
        <w:tc>
          <w:tcPr>
            <w:tcW w:w="1131" w:type="dxa"/>
            <w:tcBorders>
              <w:top w:val="nil"/>
              <w:left w:val="nil"/>
              <w:bottom w:val="nil"/>
              <w:right w:val="nil"/>
            </w:tcBorders>
          </w:tcPr>
          <w:p w:rsidR="00111F00" w:rsidRPr="00B6564A" w:rsidRDefault="00111F00" w:rsidP="00111F00">
            <w:pPr>
              <w:jc w:val="center"/>
              <w:rPr>
                <w:color w:val="000000"/>
                <w:sz w:val="20"/>
                <w:szCs w:val="20"/>
              </w:rPr>
            </w:pPr>
            <w:r>
              <w:rPr>
                <w:color w:val="000000"/>
                <w:sz w:val="20"/>
                <w:szCs w:val="20"/>
              </w:rPr>
              <w:t>P3</w:t>
            </w:r>
          </w:p>
        </w:tc>
        <w:tc>
          <w:tcPr>
            <w:tcW w:w="4960" w:type="dxa"/>
            <w:tcBorders>
              <w:top w:val="nil"/>
              <w:left w:val="nil"/>
              <w:bottom w:val="nil"/>
              <w:right w:val="nil"/>
            </w:tcBorders>
            <w:shd w:val="clear" w:color="auto" w:fill="auto"/>
            <w:noWrap/>
            <w:vAlign w:val="bottom"/>
            <w:hideMark/>
          </w:tcPr>
          <w:p w:rsidR="00111F00" w:rsidRPr="00B6564A" w:rsidRDefault="00111F00" w:rsidP="00111F00">
            <w:pPr>
              <w:jc w:val="left"/>
              <w:rPr>
                <w:color w:val="000000"/>
                <w:sz w:val="20"/>
                <w:szCs w:val="20"/>
              </w:rPr>
            </w:pPr>
            <w:r w:rsidRPr="00B6564A">
              <w:rPr>
                <w:color w:val="000000"/>
                <w:sz w:val="20"/>
                <w:szCs w:val="20"/>
              </w:rPr>
              <w:t>Instituto Nacional de Estadística (INE)</w:t>
            </w:r>
          </w:p>
        </w:tc>
        <w:tc>
          <w:tcPr>
            <w:tcW w:w="1844" w:type="dxa"/>
            <w:tcBorders>
              <w:top w:val="nil"/>
              <w:left w:val="nil"/>
              <w:bottom w:val="nil"/>
              <w:right w:val="nil"/>
            </w:tcBorders>
            <w:shd w:val="clear" w:color="auto" w:fill="auto"/>
            <w:noWrap/>
            <w:vAlign w:val="bottom"/>
            <w:hideMark/>
          </w:tcPr>
          <w:p w:rsidR="00111F00" w:rsidRPr="00B6564A" w:rsidRDefault="00111F00" w:rsidP="00111F00">
            <w:pPr>
              <w:ind w:right="638"/>
              <w:jc w:val="right"/>
              <w:rPr>
                <w:color w:val="000000"/>
                <w:sz w:val="20"/>
                <w:szCs w:val="20"/>
              </w:rPr>
            </w:pPr>
            <w:r w:rsidRPr="00B6564A">
              <w:rPr>
                <w:color w:val="000000"/>
                <w:sz w:val="20"/>
                <w:szCs w:val="20"/>
              </w:rPr>
              <w:t>3,81</w:t>
            </w:r>
          </w:p>
        </w:tc>
        <w:tc>
          <w:tcPr>
            <w:tcW w:w="1279" w:type="dxa"/>
            <w:tcBorders>
              <w:top w:val="nil"/>
              <w:left w:val="nil"/>
              <w:bottom w:val="nil"/>
              <w:right w:val="nil"/>
            </w:tcBorders>
          </w:tcPr>
          <w:p w:rsidR="00111F00" w:rsidRPr="00111F00" w:rsidRDefault="00111F00" w:rsidP="00111F00">
            <w:pPr>
              <w:ind w:right="638"/>
              <w:jc w:val="right"/>
              <w:rPr>
                <w:color w:val="000000"/>
                <w:sz w:val="20"/>
                <w:szCs w:val="20"/>
              </w:rPr>
            </w:pPr>
            <w:r w:rsidRPr="00111F00">
              <w:rPr>
                <w:color w:val="000000"/>
                <w:sz w:val="20"/>
                <w:szCs w:val="20"/>
              </w:rPr>
              <w:t>7,50</w:t>
            </w:r>
          </w:p>
        </w:tc>
      </w:tr>
      <w:tr w:rsidR="00111F00" w:rsidRPr="00B6564A" w:rsidTr="00DB6204">
        <w:trPr>
          <w:trHeight w:val="210"/>
          <w:jc w:val="center"/>
        </w:trPr>
        <w:tc>
          <w:tcPr>
            <w:tcW w:w="1131" w:type="dxa"/>
            <w:tcBorders>
              <w:top w:val="nil"/>
              <w:left w:val="nil"/>
              <w:bottom w:val="nil"/>
              <w:right w:val="nil"/>
            </w:tcBorders>
          </w:tcPr>
          <w:p w:rsidR="00111F00" w:rsidRPr="00B6564A" w:rsidRDefault="00111F00" w:rsidP="00111F00">
            <w:pPr>
              <w:jc w:val="center"/>
              <w:rPr>
                <w:color w:val="000000"/>
                <w:sz w:val="20"/>
                <w:szCs w:val="20"/>
              </w:rPr>
            </w:pPr>
            <w:r>
              <w:rPr>
                <w:color w:val="000000"/>
                <w:sz w:val="20"/>
                <w:szCs w:val="20"/>
              </w:rPr>
              <w:t>P4</w:t>
            </w:r>
          </w:p>
        </w:tc>
        <w:tc>
          <w:tcPr>
            <w:tcW w:w="4960" w:type="dxa"/>
            <w:tcBorders>
              <w:top w:val="nil"/>
              <w:left w:val="nil"/>
              <w:bottom w:val="nil"/>
              <w:right w:val="nil"/>
            </w:tcBorders>
            <w:shd w:val="clear" w:color="auto" w:fill="auto"/>
            <w:noWrap/>
            <w:vAlign w:val="bottom"/>
            <w:hideMark/>
          </w:tcPr>
          <w:p w:rsidR="00111F00" w:rsidRPr="00B6564A" w:rsidRDefault="00111F00" w:rsidP="00111F00">
            <w:pPr>
              <w:jc w:val="left"/>
              <w:rPr>
                <w:color w:val="000000"/>
                <w:sz w:val="20"/>
                <w:szCs w:val="20"/>
              </w:rPr>
            </w:pPr>
            <w:r w:rsidRPr="00B6564A">
              <w:rPr>
                <w:color w:val="000000"/>
                <w:sz w:val="20"/>
                <w:szCs w:val="20"/>
              </w:rPr>
              <w:t>Servicio Nacional de Protección del Menor (SPMN)</w:t>
            </w:r>
          </w:p>
        </w:tc>
        <w:tc>
          <w:tcPr>
            <w:tcW w:w="1844" w:type="dxa"/>
            <w:tcBorders>
              <w:top w:val="nil"/>
              <w:left w:val="nil"/>
              <w:bottom w:val="nil"/>
              <w:right w:val="nil"/>
            </w:tcBorders>
            <w:shd w:val="clear" w:color="auto" w:fill="auto"/>
            <w:noWrap/>
            <w:vAlign w:val="bottom"/>
            <w:hideMark/>
          </w:tcPr>
          <w:p w:rsidR="00111F00" w:rsidRPr="00B6564A" w:rsidRDefault="00111F00" w:rsidP="00111F00">
            <w:pPr>
              <w:ind w:right="638"/>
              <w:jc w:val="right"/>
              <w:rPr>
                <w:color w:val="000000"/>
                <w:sz w:val="20"/>
                <w:szCs w:val="20"/>
              </w:rPr>
            </w:pPr>
            <w:r w:rsidRPr="00B6564A">
              <w:rPr>
                <w:color w:val="000000"/>
                <w:sz w:val="20"/>
                <w:szCs w:val="20"/>
              </w:rPr>
              <w:t>4,93</w:t>
            </w:r>
          </w:p>
        </w:tc>
        <w:tc>
          <w:tcPr>
            <w:tcW w:w="1279" w:type="dxa"/>
            <w:tcBorders>
              <w:top w:val="nil"/>
              <w:left w:val="nil"/>
              <w:bottom w:val="nil"/>
              <w:right w:val="nil"/>
            </w:tcBorders>
          </w:tcPr>
          <w:p w:rsidR="00111F00" w:rsidRPr="00111F00" w:rsidRDefault="00111F00" w:rsidP="00111F00">
            <w:pPr>
              <w:ind w:right="638"/>
              <w:jc w:val="right"/>
              <w:rPr>
                <w:color w:val="000000"/>
                <w:sz w:val="20"/>
                <w:szCs w:val="20"/>
              </w:rPr>
            </w:pPr>
            <w:r w:rsidRPr="00111F00">
              <w:rPr>
                <w:color w:val="000000"/>
                <w:sz w:val="20"/>
                <w:szCs w:val="20"/>
              </w:rPr>
              <w:t>7,75</w:t>
            </w:r>
          </w:p>
        </w:tc>
      </w:tr>
      <w:tr w:rsidR="00111F00" w:rsidRPr="00B6564A" w:rsidTr="00DB6204">
        <w:trPr>
          <w:trHeight w:val="210"/>
          <w:jc w:val="center"/>
        </w:trPr>
        <w:tc>
          <w:tcPr>
            <w:tcW w:w="1131" w:type="dxa"/>
            <w:tcBorders>
              <w:top w:val="nil"/>
              <w:left w:val="nil"/>
              <w:bottom w:val="single" w:sz="4" w:space="0" w:color="auto"/>
              <w:right w:val="nil"/>
            </w:tcBorders>
          </w:tcPr>
          <w:p w:rsidR="00111F00" w:rsidRPr="00B6564A" w:rsidRDefault="00111F00" w:rsidP="00111F00">
            <w:pPr>
              <w:jc w:val="center"/>
              <w:rPr>
                <w:color w:val="000000"/>
                <w:sz w:val="20"/>
                <w:szCs w:val="20"/>
              </w:rPr>
            </w:pPr>
            <w:r>
              <w:rPr>
                <w:color w:val="000000"/>
                <w:sz w:val="20"/>
                <w:szCs w:val="20"/>
              </w:rPr>
              <w:t>P4</w:t>
            </w:r>
          </w:p>
        </w:tc>
        <w:tc>
          <w:tcPr>
            <w:tcW w:w="4960" w:type="dxa"/>
            <w:tcBorders>
              <w:top w:val="nil"/>
              <w:left w:val="nil"/>
              <w:bottom w:val="single" w:sz="4" w:space="0" w:color="auto"/>
              <w:right w:val="nil"/>
            </w:tcBorders>
            <w:shd w:val="clear" w:color="auto" w:fill="auto"/>
            <w:noWrap/>
            <w:vAlign w:val="bottom"/>
            <w:hideMark/>
          </w:tcPr>
          <w:p w:rsidR="00111F00" w:rsidRPr="00B6564A" w:rsidRDefault="00111F00" w:rsidP="00111F00">
            <w:pPr>
              <w:jc w:val="left"/>
              <w:rPr>
                <w:color w:val="000000"/>
                <w:sz w:val="20"/>
                <w:szCs w:val="20"/>
              </w:rPr>
            </w:pPr>
            <w:r w:rsidRPr="00B6564A">
              <w:rPr>
                <w:color w:val="000000"/>
                <w:sz w:val="20"/>
                <w:szCs w:val="20"/>
              </w:rPr>
              <w:t>Servicio Nacional de Reinserción del Adolescente (SNRA)</w:t>
            </w:r>
          </w:p>
        </w:tc>
        <w:tc>
          <w:tcPr>
            <w:tcW w:w="1844" w:type="dxa"/>
            <w:tcBorders>
              <w:top w:val="nil"/>
              <w:left w:val="nil"/>
              <w:bottom w:val="single" w:sz="4" w:space="0" w:color="auto"/>
              <w:right w:val="nil"/>
            </w:tcBorders>
            <w:shd w:val="clear" w:color="auto" w:fill="auto"/>
            <w:noWrap/>
            <w:vAlign w:val="bottom"/>
            <w:hideMark/>
          </w:tcPr>
          <w:p w:rsidR="00111F00" w:rsidRPr="00B6564A" w:rsidRDefault="00111F00" w:rsidP="00111F00">
            <w:pPr>
              <w:ind w:right="638"/>
              <w:jc w:val="right"/>
              <w:rPr>
                <w:color w:val="000000"/>
                <w:sz w:val="20"/>
                <w:szCs w:val="20"/>
              </w:rPr>
            </w:pPr>
            <w:r w:rsidRPr="00B6564A">
              <w:rPr>
                <w:color w:val="000000"/>
                <w:sz w:val="20"/>
                <w:szCs w:val="20"/>
              </w:rPr>
              <w:t>5,65</w:t>
            </w:r>
          </w:p>
        </w:tc>
        <w:tc>
          <w:tcPr>
            <w:tcW w:w="1279" w:type="dxa"/>
            <w:tcBorders>
              <w:top w:val="nil"/>
              <w:left w:val="nil"/>
              <w:bottom w:val="single" w:sz="4" w:space="0" w:color="auto"/>
              <w:right w:val="nil"/>
            </w:tcBorders>
          </w:tcPr>
          <w:p w:rsidR="00111F00" w:rsidRPr="00111F00" w:rsidRDefault="00111F00" w:rsidP="00111F00">
            <w:pPr>
              <w:ind w:right="638"/>
              <w:jc w:val="right"/>
              <w:rPr>
                <w:color w:val="000000"/>
                <w:sz w:val="20"/>
                <w:szCs w:val="20"/>
              </w:rPr>
            </w:pPr>
            <w:r w:rsidRPr="00111F00">
              <w:rPr>
                <w:color w:val="000000"/>
                <w:sz w:val="20"/>
                <w:szCs w:val="20"/>
              </w:rPr>
              <w:t>7,88</w:t>
            </w:r>
          </w:p>
        </w:tc>
      </w:tr>
      <w:tr w:rsidR="00111F00" w:rsidRPr="00B6564A" w:rsidTr="00DB6204">
        <w:trPr>
          <w:trHeight w:val="210"/>
          <w:jc w:val="center"/>
        </w:trPr>
        <w:tc>
          <w:tcPr>
            <w:tcW w:w="1131" w:type="dxa"/>
            <w:tcBorders>
              <w:top w:val="single" w:sz="4" w:space="0" w:color="auto"/>
              <w:left w:val="nil"/>
              <w:bottom w:val="single" w:sz="4" w:space="0" w:color="auto"/>
              <w:right w:val="nil"/>
            </w:tcBorders>
          </w:tcPr>
          <w:p w:rsidR="00111F00" w:rsidRPr="00B6564A" w:rsidRDefault="00111F00" w:rsidP="00111F00">
            <w:pPr>
              <w:jc w:val="left"/>
              <w:rPr>
                <w:b/>
                <w:bCs/>
                <w:color w:val="000000"/>
                <w:sz w:val="20"/>
                <w:szCs w:val="20"/>
              </w:rPr>
            </w:pPr>
          </w:p>
        </w:tc>
        <w:tc>
          <w:tcPr>
            <w:tcW w:w="4960" w:type="dxa"/>
            <w:tcBorders>
              <w:top w:val="single" w:sz="4" w:space="0" w:color="auto"/>
              <w:left w:val="nil"/>
              <w:bottom w:val="single" w:sz="4" w:space="0" w:color="auto"/>
              <w:right w:val="nil"/>
            </w:tcBorders>
            <w:shd w:val="clear" w:color="auto" w:fill="auto"/>
            <w:noWrap/>
            <w:vAlign w:val="bottom"/>
            <w:hideMark/>
          </w:tcPr>
          <w:p w:rsidR="00111F00" w:rsidRPr="00B6564A" w:rsidRDefault="00111F00" w:rsidP="00111F00">
            <w:pPr>
              <w:jc w:val="left"/>
              <w:rPr>
                <w:b/>
                <w:bCs/>
                <w:color w:val="000000"/>
                <w:sz w:val="20"/>
                <w:szCs w:val="20"/>
              </w:rPr>
            </w:pPr>
            <w:r w:rsidRPr="00B6564A">
              <w:rPr>
                <w:b/>
                <w:bCs/>
                <w:color w:val="000000"/>
                <w:sz w:val="20"/>
                <w:szCs w:val="20"/>
              </w:rPr>
              <w:t>Total</w:t>
            </w:r>
            <w:r>
              <w:rPr>
                <w:b/>
                <w:bCs/>
                <w:color w:val="000000"/>
                <w:sz w:val="20"/>
                <w:szCs w:val="20"/>
              </w:rPr>
              <w:t xml:space="preserve"> ICAGE</w:t>
            </w:r>
          </w:p>
        </w:tc>
        <w:tc>
          <w:tcPr>
            <w:tcW w:w="1844" w:type="dxa"/>
            <w:tcBorders>
              <w:top w:val="single" w:sz="4" w:space="0" w:color="auto"/>
              <w:left w:val="nil"/>
              <w:bottom w:val="single" w:sz="4" w:space="0" w:color="auto"/>
              <w:right w:val="nil"/>
            </w:tcBorders>
            <w:shd w:val="clear" w:color="auto" w:fill="auto"/>
            <w:noWrap/>
            <w:vAlign w:val="bottom"/>
            <w:hideMark/>
          </w:tcPr>
          <w:p w:rsidR="00111F00" w:rsidRPr="00B6564A" w:rsidRDefault="00111F00" w:rsidP="00111F00">
            <w:pPr>
              <w:ind w:right="638"/>
              <w:jc w:val="right"/>
              <w:rPr>
                <w:b/>
                <w:bCs/>
                <w:color w:val="000000"/>
                <w:sz w:val="20"/>
                <w:szCs w:val="20"/>
              </w:rPr>
            </w:pPr>
            <w:r w:rsidRPr="00B6564A">
              <w:rPr>
                <w:b/>
                <w:bCs/>
                <w:color w:val="000000"/>
                <w:sz w:val="20"/>
                <w:szCs w:val="20"/>
              </w:rPr>
              <w:t>4,95</w:t>
            </w:r>
          </w:p>
        </w:tc>
        <w:tc>
          <w:tcPr>
            <w:tcW w:w="1279" w:type="dxa"/>
            <w:tcBorders>
              <w:top w:val="single" w:sz="4" w:space="0" w:color="auto"/>
              <w:left w:val="nil"/>
              <w:bottom w:val="single" w:sz="4" w:space="0" w:color="auto"/>
              <w:right w:val="nil"/>
            </w:tcBorders>
          </w:tcPr>
          <w:p w:rsidR="00111F00" w:rsidRPr="00111F00" w:rsidRDefault="00111F00" w:rsidP="00111F00">
            <w:pPr>
              <w:ind w:right="638"/>
              <w:jc w:val="right"/>
              <w:rPr>
                <w:b/>
                <w:color w:val="000000"/>
                <w:sz w:val="20"/>
                <w:szCs w:val="20"/>
              </w:rPr>
            </w:pPr>
            <w:r w:rsidRPr="00111F00">
              <w:rPr>
                <w:b/>
                <w:color w:val="000000"/>
                <w:sz w:val="20"/>
                <w:szCs w:val="20"/>
              </w:rPr>
              <w:t>7,78</w:t>
            </w:r>
          </w:p>
        </w:tc>
      </w:tr>
    </w:tbl>
    <w:p w:rsidR="004E36D2" w:rsidRDefault="004E36D2" w:rsidP="00D608FC"/>
    <w:p w:rsidR="00184D54" w:rsidRDefault="00032552" w:rsidP="00BB28CF">
      <w:pPr>
        <w:pStyle w:val="ListParagraph"/>
        <w:numPr>
          <w:ilvl w:val="0"/>
          <w:numId w:val="14"/>
        </w:numPr>
        <w:spacing w:after="240"/>
        <w:ind w:left="0" w:hanging="567"/>
      </w:pPr>
      <w:r>
        <w:t>Es importante señalar que estas dos nuevas entidades que van a ser creadas surgen de la partición en dos del actual Servicio Nacional del Menor (SENAME), por lo que en realidad gran parte de las unidades</w:t>
      </w:r>
      <w:r w:rsidR="00184D54">
        <w:t xml:space="preserve"> actualmente existentes en el SENAME se traspasarían directamente a la nueva institucionalidad.</w:t>
      </w:r>
      <w:r w:rsidR="002E7624">
        <w:t xml:space="preserve"> Por lo tanto, e</w:t>
      </w:r>
      <w:r w:rsidR="00184D54">
        <w:t xml:space="preserve">sta particularidad permite evaluar la situación actual de los servicios, y la situación futura </w:t>
      </w:r>
      <w:r w:rsidR="00747C66">
        <w:t>tras la ejecución del programa y por tanto es pertinente utilizar estas cuatro entidades como muestra para el análisis económico.</w:t>
      </w:r>
    </w:p>
    <w:p w:rsidR="00747C66" w:rsidRDefault="00747C66" w:rsidP="00BB28CF">
      <w:pPr>
        <w:pStyle w:val="ListParagraph"/>
        <w:numPr>
          <w:ilvl w:val="0"/>
          <w:numId w:val="14"/>
        </w:numPr>
        <w:spacing w:after="240"/>
        <w:ind w:left="0" w:hanging="567"/>
      </w:pPr>
      <w:r>
        <w:t xml:space="preserve">Establecidas estos criterios, finalmente quedaría por señalar que para el análisis económico se utilizan los costos de inversión previstos para </w:t>
      </w:r>
      <w:r w:rsidR="00111F00">
        <w:t>la mejora de la capacidad de gestión de dos de las</w:t>
      </w:r>
      <w:r w:rsidR="00A9571B">
        <w:t xml:space="preserve"> entidades</w:t>
      </w:r>
      <w:r w:rsidR="00111F00">
        <w:t xml:space="preserve"> actualmente existentes (tipología P3), y los costos igualmente previstos para implantar las dos nuevas entidades (tipología P4). </w:t>
      </w:r>
      <w:r w:rsidR="00DF1F28">
        <w:t xml:space="preserve">Estos costos </w:t>
      </w:r>
      <w:r w:rsidR="00CF0886">
        <w:t xml:space="preserve">para cada una de las entidades </w:t>
      </w:r>
      <w:r w:rsidR="00DF1F28">
        <w:t xml:space="preserve">son agregados en un costo total, </w:t>
      </w:r>
      <w:r w:rsidR="00DF1F28">
        <w:lastRenderedPageBreak/>
        <w:t xml:space="preserve">que </w:t>
      </w:r>
      <w:r w:rsidR="00CF0886">
        <w:t xml:space="preserve">es el que se supone que deberá mover el ICAGE de 4,95 </w:t>
      </w:r>
      <w:r w:rsidR="005A61D0">
        <w:t xml:space="preserve">(línea de base actual) </w:t>
      </w:r>
      <w:r w:rsidR="00CF0886">
        <w:t xml:space="preserve">a 7,78 </w:t>
      </w:r>
      <w:r w:rsidR="005A61D0">
        <w:t xml:space="preserve">(meta final) </w:t>
      </w:r>
      <w:r w:rsidR="00CF0886">
        <w:t xml:space="preserve">en el marco del programa BID. </w:t>
      </w:r>
    </w:p>
    <w:p w:rsidR="00EA7B14" w:rsidRPr="0053032C" w:rsidRDefault="00EA7B14" w:rsidP="00111F00">
      <w:pPr>
        <w:pStyle w:val="Heading2"/>
      </w:pPr>
      <w:bookmarkStart w:id="11" w:name="_Ref300078228"/>
      <w:bookmarkStart w:id="12" w:name="_Toc395208849"/>
      <w:r w:rsidRPr="0053032C">
        <w:t>Alternativas consideradas</w:t>
      </w:r>
      <w:bookmarkEnd w:id="11"/>
      <w:bookmarkEnd w:id="12"/>
    </w:p>
    <w:p w:rsidR="00293365" w:rsidRPr="0053032C" w:rsidRDefault="00062D3C" w:rsidP="00DF1F28">
      <w:pPr>
        <w:pStyle w:val="ListParagraph"/>
        <w:numPr>
          <w:ilvl w:val="0"/>
          <w:numId w:val="14"/>
        </w:numPr>
        <w:spacing w:after="240"/>
        <w:ind w:left="0" w:hanging="567"/>
      </w:pPr>
      <w:r w:rsidRPr="0053032C">
        <w:t xml:space="preserve">Para tratar de identificar la trayectoria que seguirían </w:t>
      </w:r>
      <w:r w:rsidR="00C2406C" w:rsidRPr="0053032C">
        <w:t xml:space="preserve">estos índices, se procedió a </w:t>
      </w:r>
      <w:r w:rsidR="00293365" w:rsidRPr="0053032C">
        <w:t>diseñar</w:t>
      </w:r>
      <w:r w:rsidR="00C2406C" w:rsidRPr="0053032C">
        <w:t xml:space="preserve"> cuáles serían las metas </w:t>
      </w:r>
      <w:r w:rsidR="00435A99" w:rsidRPr="0053032C">
        <w:t xml:space="preserve">al final del Programa BID bajo dos opciones o alternativas: (i) con recursos exclusivamente de </w:t>
      </w:r>
      <w:r w:rsidR="00DF1F28">
        <w:t>fuente del Tesoro (alternativa SIN programa</w:t>
      </w:r>
      <w:r w:rsidR="00435A99" w:rsidRPr="0053032C">
        <w:t xml:space="preserve">); y (ii) con recursos del préstamo (alternativa </w:t>
      </w:r>
      <w:r w:rsidR="00DF1F28">
        <w:t>CON programa</w:t>
      </w:r>
      <w:r w:rsidR="00435A99" w:rsidRPr="0053032C">
        <w:t xml:space="preserve">). </w:t>
      </w:r>
    </w:p>
    <w:p w:rsidR="005A61D0" w:rsidRDefault="005A61D0" w:rsidP="005A61D0">
      <w:pPr>
        <w:pStyle w:val="ListParagraph"/>
        <w:numPr>
          <w:ilvl w:val="0"/>
          <w:numId w:val="14"/>
        </w:numPr>
        <w:spacing w:after="240"/>
        <w:ind w:left="0" w:hanging="567"/>
      </w:pPr>
      <w:r>
        <w:t xml:space="preserve">Para la definición de la alternativa SIN programa, se mantuvieron diversas conversaciones con las autoridades de las entidades actualmente en funcionamiento (SERNAC e INE), y con el SENAME, como entidad de la que se van a desgajar los servicios de nueva creación incorporados en la muestra (SNPM y SNRA). En estas entrevistas se analizaron detenidamente las perspectivas de estas entidades, en cuanto a su mandato y modelo de gestión futuros, y cuáles serían las acciones que se desarrollarían en el supuesto de que en los próximos seis años </w:t>
      </w:r>
      <w:r w:rsidR="00D070C2">
        <w:t>el</w:t>
      </w:r>
      <w:r>
        <w:t xml:space="preserve"> funcionamiento y</w:t>
      </w:r>
      <w:r w:rsidR="00D070C2">
        <w:t xml:space="preserve"> los</w:t>
      </w:r>
      <w:r>
        <w:t xml:space="preserve"> gastos de inversión se financiaran exclusivamente con recursos del presupuesto nacional.</w:t>
      </w:r>
      <w:r w:rsidR="00D070C2">
        <w:t xml:space="preserve"> </w:t>
      </w:r>
    </w:p>
    <w:p w:rsidR="00490EC9" w:rsidRDefault="005A61D0" w:rsidP="005A61D0">
      <w:pPr>
        <w:pStyle w:val="ListParagraph"/>
        <w:numPr>
          <w:ilvl w:val="0"/>
          <w:numId w:val="14"/>
        </w:numPr>
        <w:spacing w:after="240"/>
        <w:ind w:left="0" w:hanging="567"/>
      </w:pPr>
      <w:r>
        <w:t xml:space="preserve">Pudieron establecerse </w:t>
      </w:r>
      <w:r w:rsidR="00C006AB">
        <w:t>las siguientes</w:t>
      </w:r>
      <w:r>
        <w:t xml:space="preserve"> conclusiones: </w:t>
      </w:r>
    </w:p>
    <w:p w:rsidR="00C006AB" w:rsidRDefault="00C006AB" w:rsidP="00BB28CF">
      <w:pPr>
        <w:pStyle w:val="ListParagraph"/>
        <w:numPr>
          <w:ilvl w:val="0"/>
          <w:numId w:val="27"/>
        </w:numPr>
        <w:spacing w:after="240"/>
      </w:pPr>
      <w:r>
        <w:t>D</w:t>
      </w:r>
      <w:r w:rsidR="00BB28CF">
        <w:t xml:space="preserve">e las cuatro entidades incorporadas en el análisis económico, las dos de </w:t>
      </w:r>
      <w:r w:rsidR="00BB28CF" w:rsidRPr="00BB28CF">
        <w:rPr>
          <w:i/>
        </w:rPr>
        <w:t>nueva creación</w:t>
      </w:r>
      <w:r w:rsidR="00BB28CF">
        <w:t xml:space="preserve"> </w:t>
      </w:r>
      <w:r>
        <w:t xml:space="preserve">(P4) </w:t>
      </w:r>
      <w:r w:rsidR="00BB28CF">
        <w:t xml:space="preserve">deberán </w:t>
      </w:r>
      <w:r w:rsidR="00CF3CF1">
        <w:t xml:space="preserve">de </w:t>
      </w:r>
      <w:r w:rsidR="00CF3CF1" w:rsidRPr="00C006AB">
        <w:rPr>
          <w:i/>
        </w:rPr>
        <w:t xml:space="preserve">diseñar e </w:t>
      </w:r>
      <w:r>
        <w:rPr>
          <w:i/>
        </w:rPr>
        <w:t>implantar</w:t>
      </w:r>
      <w:r w:rsidR="00BB28CF">
        <w:t xml:space="preserve"> en la práctica todos los procesos relacionados con las dimensiones de Alineamiento Estratégico, Gestión Estratégica y Apoyo Administrativo, pues en la actualidad todas </w:t>
      </w:r>
      <w:r w:rsidR="00CF3CF1">
        <w:t>ellos están ubicados y desempeñado</w:t>
      </w:r>
      <w:r w:rsidR="00BB28CF">
        <w:t>s en el SENAME. Además, en el caso de la dimensión Gestión de Procesos, si bien en la actualidad los procesos de protección de menores y de reinserción juvenil lo</w:t>
      </w:r>
      <w:r w:rsidR="00CF3CF1">
        <w:t>s</w:t>
      </w:r>
      <w:r w:rsidR="00BB28CF">
        <w:t xml:space="preserve"> realizan el Departamento de Protección de Derechos (DEPRODE) y el </w:t>
      </w:r>
      <w:r w:rsidR="00BB28CF" w:rsidRPr="00F3059C">
        <w:t>Departamento de Reinserción</w:t>
      </w:r>
      <w:r w:rsidR="00BB28CF">
        <w:t xml:space="preserve"> Social Juvenil (DRSJ)</w:t>
      </w:r>
      <w:r w:rsidR="00CF3CF1">
        <w:t xml:space="preserve">, respectivamente, del SENAME, será necesario realizar diversas reingenierías de trabajo e instalar nuevos sistemas de gestión. El riesgo de la alternativa SIN programa es que estas tareas se realicen de forma lenta y no </w:t>
      </w:r>
      <w:r w:rsidR="00D070C2">
        <w:t>logren</w:t>
      </w:r>
      <w:r w:rsidR="00CF3CF1">
        <w:t xml:space="preserve"> situar estos dos nuevos servicios dentro de las mejores prácticas internacionales. </w:t>
      </w:r>
    </w:p>
    <w:p w:rsidR="00C006AB" w:rsidRDefault="00C006AB" w:rsidP="00BB28CF">
      <w:pPr>
        <w:pStyle w:val="ListParagraph"/>
        <w:numPr>
          <w:ilvl w:val="0"/>
          <w:numId w:val="27"/>
        </w:numPr>
        <w:spacing w:after="240"/>
      </w:pPr>
      <w:r>
        <w:t xml:space="preserve">En el caso de las otras dos </w:t>
      </w:r>
      <w:r w:rsidRPr="00D070C2">
        <w:rPr>
          <w:i/>
        </w:rPr>
        <w:t>entidades existentes</w:t>
      </w:r>
      <w:r>
        <w:t xml:space="preserve"> (P3), las autoridades del SERNAC y del INE manifestaron la necesidad de fortalecer los procesos relacionados actualmente existentes, mediante la optimización y la reingeniería de los mismos, la instalación de sistemas de gestión modernos y una mejor capacidad de gestión estratégica, máxime en un contexto donde ambas entidades es probable que asuman nuevas facultades como resultado de cambios normativos. </w:t>
      </w:r>
    </w:p>
    <w:p w:rsidR="00BB28CF" w:rsidRDefault="00C006AB" w:rsidP="00BB28CF">
      <w:pPr>
        <w:pStyle w:val="ListParagraph"/>
        <w:numPr>
          <w:ilvl w:val="0"/>
          <w:numId w:val="27"/>
        </w:numPr>
        <w:spacing w:after="240"/>
      </w:pPr>
      <w:r>
        <w:t>Todos ellos</w:t>
      </w:r>
      <w:r w:rsidR="00CF3CF1">
        <w:t xml:space="preserve"> manifestaron sus temores de que en ausencia de </w:t>
      </w:r>
      <w:r>
        <w:t xml:space="preserve">un </w:t>
      </w:r>
      <w:r w:rsidR="00CF3CF1">
        <w:t>esfuerzo sostenido y con apoyo experto</w:t>
      </w:r>
      <w:r>
        <w:t xml:space="preserve"> de mejora de la gestión</w:t>
      </w:r>
      <w:r w:rsidR="00CF3CF1">
        <w:t xml:space="preserve">, los actuales resultados </w:t>
      </w:r>
      <w:r>
        <w:t xml:space="preserve">en términos de efectividad y eficiencia </w:t>
      </w:r>
      <w:r w:rsidR="00CF3CF1">
        <w:t xml:space="preserve">puedan verse también amenazados. </w:t>
      </w:r>
      <w:r>
        <w:t xml:space="preserve">De esta forma, las metas que en ausencia del programa BID se alcanzaría serían bastante más limitadas que en un escenario </w:t>
      </w:r>
      <w:r w:rsidR="009B5A3A">
        <w:t xml:space="preserve">con programa BID. En el cuadro 5 pueden observarse las diferencias sobre las metas previstas en un escenario SIN programa frente a otro escenario CON programa. El índice ICAGE </w:t>
      </w:r>
      <w:r w:rsidR="00AB403B">
        <w:t xml:space="preserve">sin programa BID </w:t>
      </w:r>
      <w:r w:rsidR="009B5A3A">
        <w:t>alcanzaría 5,70 punto</w:t>
      </w:r>
      <w:r w:rsidR="00AB403B">
        <w:t>s al sexto año</w:t>
      </w:r>
      <w:r w:rsidR="009B5A3A">
        <w:t xml:space="preserve">, frente a </w:t>
      </w:r>
      <w:r w:rsidR="00AB403B">
        <w:t>los 7,78 p</w:t>
      </w:r>
      <w:r w:rsidR="00D070C2">
        <w:t>untos en el escenario con BID: u</w:t>
      </w:r>
      <w:r w:rsidR="00AB403B">
        <w:t>na diferencia de 2,08 puntos favorable al escenario con BID.</w:t>
      </w:r>
    </w:p>
    <w:p w:rsidR="00C006AB" w:rsidRPr="0053032C" w:rsidRDefault="00C006AB" w:rsidP="00C006AB">
      <w:pPr>
        <w:pStyle w:val="Caption"/>
        <w:spacing w:after="120"/>
        <w:jc w:val="center"/>
        <w:rPr>
          <w:b w:val="0"/>
        </w:rPr>
      </w:pPr>
      <w:r>
        <w:t>Cuadro 5</w:t>
      </w:r>
      <w:r w:rsidRPr="0053032C">
        <w:t xml:space="preserve">. </w:t>
      </w:r>
      <w:r>
        <w:t>Resultados del índice ICAGE para cada entidad de la muestra</w:t>
      </w:r>
    </w:p>
    <w:tbl>
      <w:tblPr>
        <w:tblW w:w="9272" w:type="dxa"/>
        <w:jc w:val="center"/>
        <w:tblCellMar>
          <w:left w:w="70" w:type="dxa"/>
          <w:right w:w="70" w:type="dxa"/>
        </w:tblCellMar>
        <w:tblLook w:val="04A0" w:firstRow="1" w:lastRow="0" w:firstColumn="1" w:lastColumn="0" w:noHBand="0" w:noVBand="1"/>
      </w:tblPr>
      <w:tblGrid>
        <w:gridCol w:w="953"/>
        <w:gridCol w:w="4434"/>
        <w:gridCol w:w="1276"/>
        <w:gridCol w:w="1417"/>
        <w:gridCol w:w="1192"/>
      </w:tblGrid>
      <w:tr w:rsidR="00C006AB" w:rsidRPr="00B6564A" w:rsidTr="009B5A3A">
        <w:trPr>
          <w:jc w:val="center"/>
        </w:trPr>
        <w:tc>
          <w:tcPr>
            <w:tcW w:w="953" w:type="dxa"/>
            <w:tcBorders>
              <w:top w:val="single" w:sz="4" w:space="0" w:color="auto"/>
              <w:left w:val="nil"/>
              <w:bottom w:val="single" w:sz="4" w:space="0" w:color="auto"/>
              <w:right w:val="nil"/>
            </w:tcBorders>
            <w:vAlign w:val="center"/>
          </w:tcPr>
          <w:p w:rsidR="00C006AB" w:rsidRPr="00B6564A" w:rsidRDefault="00C006AB" w:rsidP="00C006AB">
            <w:pPr>
              <w:jc w:val="left"/>
              <w:rPr>
                <w:b/>
                <w:bCs/>
                <w:color w:val="000000"/>
                <w:sz w:val="20"/>
                <w:szCs w:val="20"/>
              </w:rPr>
            </w:pPr>
            <w:r>
              <w:rPr>
                <w:b/>
                <w:bCs/>
                <w:color w:val="000000"/>
                <w:sz w:val="20"/>
                <w:szCs w:val="20"/>
              </w:rPr>
              <w:t>Tipología</w:t>
            </w:r>
          </w:p>
        </w:tc>
        <w:tc>
          <w:tcPr>
            <w:tcW w:w="4434" w:type="dxa"/>
            <w:tcBorders>
              <w:top w:val="single" w:sz="4" w:space="0" w:color="auto"/>
              <w:left w:val="nil"/>
              <w:bottom w:val="single" w:sz="4" w:space="0" w:color="auto"/>
              <w:right w:val="nil"/>
            </w:tcBorders>
            <w:shd w:val="clear" w:color="auto" w:fill="auto"/>
            <w:noWrap/>
            <w:vAlign w:val="center"/>
            <w:hideMark/>
          </w:tcPr>
          <w:p w:rsidR="00C006AB" w:rsidRPr="00B6564A" w:rsidRDefault="00C006AB" w:rsidP="00C006AB">
            <w:pPr>
              <w:jc w:val="left"/>
              <w:rPr>
                <w:b/>
                <w:bCs/>
                <w:color w:val="000000"/>
                <w:sz w:val="20"/>
                <w:szCs w:val="20"/>
              </w:rPr>
            </w:pPr>
            <w:r>
              <w:rPr>
                <w:b/>
                <w:bCs/>
                <w:color w:val="000000"/>
                <w:sz w:val="20"/>
                <w:szCs w:val="20"/>
              </w:rPr>
              <w:t>Entidades/servicios</w:t>
            </w:r>
          </w:p>
        </w:tc>
        <w:tc>
          <w:tcPr>
            <w:tcW w:w="1276" w:type="dxa"/>
            <w:tcBorders>
              <w:top w:val="single" w:sz="4" w:space="0" w:color="auto"/>
              <w:left w:val="nil"/>
              <w:bottom w:val="single" w:sz="4" w:space="0" w:color="auto"/>
              <w:right w:val="nil"/>
            </w:tcBorders>
            <w:shd w:val="clear" w:color="auto" w:fill="auto"/>
            <w:vAlign w:val="center"/>
            <w:hideMark/>
          </w:tcPr>
          <w:p w:rsidR="00C006AB" w:rsidRPr="00B6564A" w:rsidRDefault="00C006AB" w:rsidP="009B5A3A">
            <w:pPr>
              <w:jc w:val="center"/>
              <w:rPr>
                <w:b/>
                <w:bCs/>
                <w:color w:val="000000"/>
                <w:sz w:val="20"/>
                <w:szCs w:val="20"/>
              </w:rPr>
            </w:pPr>
            <w:r w:rsidRPr="00847A5A">
              <w:rPr>
                <w:b/>
                <w:bCs/>
                <w:color w:val="000000"/>
                <w:sz w:val="20"/>
                <w:szCs w:val="20"/>
              </w:rPr>
              <w:t>Línea de base (A)</w:t>
            </w:r>
          </w:p>
        </w:tc>
        <w:tc>
          <w:tcPr>
            <w:tcW w:w="1417" w:type="dxa"/>
            <w:tcBorders>
              <w:top w:val="single" w:sz="4" w:space="0" w:color="auto"/>
              <w:left w:val="nil"/>
              <w:bottom w:val="single" w:sz="4" w:space="0" w:color="auto"/>
              <w:right w:val="nil"/>
            </w:tcBorders>
            <w:vAlign w:val="center"/>
          </w:tcPr>
          <w:p w:rsidR="00C006AB" w:rsidRPr="00847A5A" w:rsidRDefault="00C006AB" w:rsidP="009B5A3A">
            <w:pPr>
              <w:jc w:val="center"/>
              <w:rPr>
                <w:b/>
                <w:bCs/>
                <w:color w:val="000000"/>
                <w:sz w:val="20"/>
                <w:szCs w:val="20"/>
              </w:rPr>
            </w:pPr>
            <w:r>
              <w:rPr>
                <w:b/>
                <w:bCs/>
                <w:color w:val="000000"/>
                <w:sz w:val="20"/>
                <w:szCs w:val="20"/>
              </w:rPr>
              <w:t xml:space="preserve">Meta (CON </w:t>
            </w:r>
            <w:r w:rsidR="009B5A3A">
              <w:rPr>
                <w:b/>
                <w:bCs/>
                <w:color w:val="000000"/>
                <w:sz w:val="20"/>
                <w:szCs w:val="20"/>
              </w:rPr>
              <w:t>programa</w:t>
            </w:r>
            <w:r>
              <w:rPr>
                <w:b/>
                <w:bCs/>
                <w:color w:val="000000"/>
                <w:sz w:val="20"/>
                <w:szCs w:val="20"/>
              </w:rPr>
              <w:t>)</w:t>
            </w:r>
          </w:p>
        </w:tc>
        <w:tc>
          <w:tcPr>
            <w:tcW w:w="1192" w:type="dxa"/>
            <w:tcBorders>
              <w:top w:val="single" w:sz="4" w:space="0" w:color="auto"/>
              <w:left w:val="nil"/>
              <w:bottom w:val="single" w:sz="4" w:space="0" w:color="auto"/>
              <w:right w:val="nil"/>
            </w:tcBorders>
            <w:vAlign w:val="center"/>
          </w:tcPr>
          <w:p w:rsidR="00C006AB" w:rsidRPr="00847A5A" w:rsidRDefault="00C006AB" w:rsidP="009B5A3A">
            <w:pPr>
              <w:jc w:val="center"/>
              <w:rPr>
                <w:b/>
                <w:bCs/>
                <w:color w:val="000000"/>
                <w:sz w:val="20"/>
                <w:szCs w:val="20"/>
              </w:rPr>
            </w:pPr>
            <w:r>
              <w:rPr>
                <w:b/>
                <w:bCs/>
                <w:color w:val="000000"/>
                <w:sz w:val="20"/>
                <w:szCs w:val="20"/>
              </w:rPr>
              <w:t>Meta (</w:t>
            </w:r>
            <w:r w:rsidR="009B5A3A">
              <w:rPr>
                <w:b/>
                <w:bCs/>
                <w:color w:val="000000"/>
                <w:sz w:val="20"/>
                <w:szCs w:val="20"/>
              </w:rPr>
              <w:t>SIN</w:t>
            </w:r>
            <w:r>
              <w:rPr>
                <w:b/>
                <w:bCs/>
                <w:color w:val="000000"/>
                <w:sz w:val="20"/>
                <w:szCs w:val="20"/>
              </w:rPr>
              <w:t xml:space="preserve"> </w:t>
            </w:r>
            <w:r w:rsidR="009B5A3A">
              <w:rPr>
                <w:b/>
                <w:bCs/>
                <w:color w:val="000000"/>
                <w:sz w:val="20"/>
                <w:szCs w:val="20"/>
              </w:rPr>
              <w:t>programa</w:t>
            </w:r>
            <w:r>
              <w:rPr>
                <w:b/>
                <w:bCs/>
                <w:color w:val="000000"/>
                <w:sz w:val="20"/>
                <w:szCs w:val="20"/>
              </w:rPr>
              <w:t>)</w:t>
            </w:r>
          </w:p>
        </w:tc>
      </w:tr>
      <w:tr w:rsidR="009B5A3A" w:rsidRPr="00B6564A" w:rsidTr="009B5A3A">
        <w:trPr>
          <w:trHeight w:val="210"/>
          <w:jc w:val="center"/>
        </w:trPr>
        <w:tc>
          <w:tcPr>
            <w:tcW w:w="953" w:type="dxa"/>
            <w:tcBorders>
              <w:top w:val="single" w:sz="4" w:space="0" w:color="auto"/>
              <w:left w:val="nil"/>
              <w:bottom w:val="nil"/>
              <w:right w:val="nil"/>
            </w:tcBorders>
          </w:tcPr>
          <w:p w:rsidR="009B5A3A" w:rsidRPr="00B6564A" w:rsidRDefault="009B5A3A" w:rsidP="009B5A3A">
            <w:pPr>
              <w:jc w:val="center"/>
              <w:rPr>
                <w:color w:val="000000"/>
                <w:sz w:val="20"/>
                <w:szCs w:val="20"/>
              </w:rPr>
            </w:pPr>
            <w:r>
              <w:rPr>
                <w:color w:val="000000"/>
                <w:sz w:val="20"/>
                <w:szCs w:val="20"/>
              </w:rPr>
              <w:t>P3</w:t>
            </w:r>
          </w:p>
        </w:tc>
        <w:tc>
          <w:tcPr>
            <w:tcW w:w="4434" w:type="dxa"/>
            <w:tcBorders>
              <w:top w:val="single" w:sz="4" w:space="0" w:color="auto"/>
              <w:left w:val="nil"/>
              <w:bottom w:val="nil"/>
              <w:right w:val="nil"/>
            </w:tcBorders>
            <w:shd w:val="clear" w:color="auto" w:fill="auto"/>
            <w:noWrap/>
            <w:vAlign w:val="bottom"/>
            <w:hideMark/>
          </w:tcPr>
          <w:p w:rsidR="009B5A3A" w:rsidRPr="00B6564A" w:rsidRDefault="009B5A3A" w:rsidP="009B5A3A">
            <w:pPr>
              <w:jc w:val="left"/>
              <w:rPr>
                <w:color w:val="000000"/>
                <w:sz w:val="20"/>
                <w:szCs w:val="20"/>
              </w:rPr>
            </w:pPr>
            <w:r w:rsidRPr="00B6564A">
              <w:rPr>
                <w:color w:val="000000"/>
                <w:sz w:val="20"/>
                <w:szCs w:val="20"/>
              </w:rPr>
              <w:t>Servicio Nacional del Consumidor (SERNAC)</w:t>
            </w:r>
          </w:p>
        </w:tc>
        <w:tc>
          <w:tcPr>
            <w:tcW w:w="1276" w:type="dxa"/>
            <w:tcBorders>
              <w:top w:val="single" w:sz="4" w:space="0" w:color="auto"/>
              <w:left w:val="nil"/>
              <w:bottom w:val="nil"/>
              <w:right w:val="nil"/>
            </w:tcBorders>
            <w:shd w:val="clear" w:color="auto" w:fill="auto"/>
            <w:noWrap/>
            <w:vAlign w:val="bottom"/>
            <w:hideMark/>
          </w:tcPr>
          <w:p w:rsidR="009B5A3A" w:rsidRPr="00B6564A" w:rsidRDefault="009B5A3A" w:rsidP="009B5A3A">
            <w:pPr>
              <w:jc w:val="right"/>
              <w:rPr>
                <w:color w:val="000000"/>
                <w:sz w:val="20"/>
                <w:szCs w:val="20"/>
              </w:rPr>
            </w:pPr>
            <w:r w:rsidRPr="00B6564A">
              <w:rPr>
                <w:color w:val="000000"/>
                <w:sz w:val="20"/>
                <w:szCs w:val="20"/>
              </w:rPr>
              <w:t>5,42</w:t>
            </w:r>
          </w:p>
        </w:tc>
        <w:tc>
          <w:tcPr>
            <w:tcW w:w="1417" w:type="dxa"/>
            <w:tcBorders>
              <w:top w:val="single" w:sz="4" w:space="0" w:color="auto"/>
              <w:left w:val="nil"/>
              <w:bottom w:val="nil"/>
              <w:right w:val="nil"/>
            </w:tcBorders>
          </w:tcPr>
          <w:p w:rsidR="009B5A3A" w:rsidRPr="00111F00" w:rsidRDefault="009B5A3A" w:rsidP="009B5A3A">
            <w:pPr>
              <w:tabs>
                <w:tab w:val="left" w:pos="639"/>
              </w:tabs>
              <w:jc w:val="right"/>
              <w:rPr>
                <w:color w:val="000000"/>
                <w:sz w:val="20"/>
                <w:szCs w:val="20"/>
              </w:rPr>
            </w:pPr>
            <w:r w:rsidRPr="00111F00">
              <w:rPr>
                <w:color w:val="000000"/>
                <w:sz w:val="20"/>
                <w:szCs w:val="20"/>
              </w:rPr>
              <w:t>8,00</w:t>
            </w:r>
          </w:p>
        </w:tc>
        <w:tc>
          <w:tcPr>
            <w:tcW w:w="1192" w:type="dxa"/>
            <w:tcBorders>
              <w:top w:val="single" w:sz="4" w:space="0" w:color="auto"/>
              <w:left w:val="nil"/>
              <w:bottom w:val="nil"/>
              <w:right w:val="nil"/>
            </w:tcBorders>
          </w:tcPr>
          <w:p w:rsidR="009B5A3A" w:rsidRPr="009B5A3A" w:rsidRDefault="009B5A3A" w:rsidP="009B5A3A">
            <w:pPr>
              <w:tabs>
                <w:tab w:val="left" w:pos="639"/>
              </w:tabs>
              <w:jc w:val="right"/>
              <w:rPr>
                <w:color w:val="000000"/>
                <w:sz w:val="20"/>
                <w:szCs w:val="20"/>
              </w:rPr>
            </w:pPr>
            <w:r w:rsidRPr="009B5A3A">
              <w:rPr>
                <w:color w:val="000000"/>
                <w:sz w:val="20"/>
                <w:szCs w:val="20"/>
              </w:rPr>
              <w:t>6,00</w:t>
            </w:r>
          </w:p>
        </w:tc>
      </w:tr>
      <w:tr w:rsidR="009B5A3A" w:rsidRPr="00B6564A" w:rsidTr="009B5A3A">
        <w:trPr>
          <w:trHeight w:val="210"/>
          <w:jc w:val="center"/>
        </w:trPr>
        <w:tc>
          <w:tcPr>
            <w:tcW w:w="953" w:type="dxa"/>
            <w:tcBorders>
              <w:top w:val="nil"/>
              <w:left w:val="nil"/>
              <w:bottom w:val="nil"/>
              <w:right w:val="nil"/>
            </w:tcBorders>
          </w:tcPr>
          <w:p w:rsidR="009B5A3A" w:rsidRPr="00B6564A" w:rsidRDefault="009B5A3A" w:rsidP="009B5A3A">
            <w:pPr>
              <w:jc w:val="center"/>
              <w:rPr>
                <w:color w:val="000000"/>
                <w:sz w:val="20"/>
                <w:szCs w:val="20"/>
              </w:rPr>
            </w:pPr>
            <w:r>
              <w:rPr>
                <w:color w:val="000000"/>
                <w:sz w:val="20"/>
                <w:szCs w:val="20"/>
              </w:rPr>
              <w:t>P3</w:t>
            </w:r>
          </w:p>
        </w:tc>
        <w:tc>
          <w:tcPr>
            <w:tcW w:w="4434" w:type="dxa"/>
            <w:tcBorders>
              <w:top w:val="nil"/>
              <w:left w:val="nil"/>
              <w:bottom w:val="nil"/>
              <w:right w:val="nil"/>
            </w:tcBorders>
            <w:shd w:val="clear" w:color="auto" w:fill="auto"/>
            <w:noWrap/>
            <w:vAlign w:val="bottom"/>
            <w:hideMark/>
          </w:tcPr>
          <w:p w:rsidR="009B5A3A" w:rsidRPr="00B6564A" w:rsidRDefault="009B5A3A" w:rsidP="009B5A3A">
            <w:pPr>
              <w:jc w:val="left"/>
              <w:rPr>
                <w:color w:val="000000"/>
                <w:sz w:val="20"/>
                <w:szCs w:val="20"/>
              </w:rPr>
            </w:pPr>
            <w:r w:rsidRPr="00B6564A">
              <w:rPr>
                <w:color w:val="000000"/>
                <w:sz w:val="20"/>
                <w:szCs w:val="20"/>
              </w:rPr>
              <w:t>Instituto Nacional de Estadística (INE)</w:t>
            </w:r>
          </w:p>
        </w:tc>
        <w:tc>
          <w:tcPr>
            <w:tcW w:w="1276" w:type="dxa"/>
            <w:tcBorders>
              <w:top w:val="nil"/>
              <w:left w:val="nil"/>
              <w:bottom w:val="nil"/>
              <w:right w:val="nil"/>
            </w:tcBorders>
            <w:shd w:val="clear" w:color="auto" w:fill="auto"/>
            <w:noWrap/>
            <w:vAlign w:val="bottom"/>
            <w:hideMark/>
          </w:tcPr>
          <w:p w:rsidR="009B5A3A" w:rsidRPr="00B6564A" w:rsidRDefault="009B5A3A" w:rsidP="009B5A3A">
            <w:pPr>
              <w:jc w:val="right"/>
              <w:rPr>
                <w:color w:val="000000"/>
                <w:sz w:val="20"/>
                <w:szCs w:val="20"/>
              </w:rPr>
            </w:pPr>
            <w:r w:rsidRPr="00B6564A">
              <w:rPr>
                <w:color w:val="000000"/>
                <w:sz w:val="20"/>
                <w:szCs w:val="20"/>
              </w:rPr>
              <w:t>3,81</w:t>
            </w:r>
          </w:p>
        </w:tc>
        <w:tc>
          <w:tcPr>
            <w:tcW w:w="1417" w:type="dxa"/>
            <w:tcBorders>
              <w:top w:val="nil"/>
              <w:left w:val="nil"/>
              <w:bottom w:val="nil"/>
              <w:right w:val="nil"/>
            </w:tcBorders>
          </w:tcPr>
          <w:p w:rsidR="009B5A3A" w:rsidRPr="00111F00" w:rsidRDefault="009B5A3A" w:rsidP="009B5A3A">
            <w:pPr>
              <w:tabs>
                <w:tab w:val="left" w:pos="639"/>
              </w:tabs>
              <w:jc w:val="right"/>
              <w:rPr>
                <w:color w:val="000000"/>
                <w:sz w:val="20"/>
                <w:szCs w:val="20"/>
              </w:rPr>
            </w:pPr>
            <w:r w:rsidRPr="00111F00">
              <w:rPr>
                <w:color w:val="000000"/>
                <w:sz w:val="20"/>
                <w:szCs w:val="20"/>
              </w:rPr>
              <w:t>7,50</w:t>
            </w:r>
          </w:p>
        </w:tc>
        <w:tc>
          <w:tcPr>
            <w:tcW w:w="1192" w:type="dxa"/>
            <w:tcBorders>
              <w:top w:val="nil"/>
              <w:left w:val="nil"/>
              <w:bottom w:val="nil"/>
              <w:right w:val="nil"/>
            </w:tcBorders>
          </w:tcPr>
          <w:p w:rsidR="009B5A3A" w:rsidRPr="009B5A3A" w:rsidRDefault="009B5A3A" w:rsidP="009B5A3A">
            <w:pPr>
              <w:tabs>
                <w:tab w:val="left" w:pos="639"/>
              </w:tabs>
              <w:jc w:val="right"/>
              <w:rPr>
                <w:color w:val="000000"/>
                <w:sz w:val="20"/>
                <w:szCs w:val="20"/>
              </w:rPr>
            </w:pPr>
            <w:r w:rsidRPr="009B5A3A">
              <w:rPr>
                <w:color w:val="000000"/>
                <w:sz w:val="20"/>
                <w:szCs w:val="20"/>
              </w:rPr>
              <w:t>5,00</w:t>
            </w:r>
          </w:p>
        </w:tc>
      </w:tr>
      <w:tr w:rsidR="009B5A3A" w:rsidRPr="00B6564A" w:rsidTr="009B5A3A">
        <w:trPr>
          <w:trHeight w:val="210"/>
          <w:jc w:val="center"/>
        </w:trPr>
        <w:tc>
          <w:tcPr>
            <w:tcW w:w="953" w:type="dxa"/>
            <w:tcBorders>
              <w:top w:val="nil"/>
              <w:left w:val="nil"/>
              <w:bottom w:val="nil"/>
              <w:right w:val="nil"/>
            </w:tcBorders>
          </w:tcPr>
          <w:p w:rsidR="009B5A3A" w:rsidRPr="00B6564A" w:rsidRDefault="009B5A3A" w:rsidP="009B5A3A">
            <w:pPr>
              <w:jc w:val="center"/>
              <w:rPr>
                <w:color w:val="000000"/>
                <w:sz w:val="20"/>
                <w:szCs w:val="20"/>
              </w:rPr>
            </w:pPr>
            <w:r>
              <w:rPr>
                <w:color w:val="000000"/>
                <w:sz w:val="20"/>
                <w:szCs w:val="20"/>
              </w:rPr>
              <w:lastRenderedPageBreak/>
              <w:t>P4</w:t>
            </w:r>
          </w:p>
        </w:tc>
        <w:tc>
          <w:tcPr>
            <w:tcW w:w="4434" w:type="dxa"/>
            <w:tcBorders>
              <w:top w:val="nil"/>
              <w:left w:val="nil"/>
              <w:bottom w:val="nil"/>
              <w:right w:val="nil"/>
            </w:tcBorders>
            <w:shd w:val="clear" w:color="auto" w:fill="auto"/>
            <w:noWrap/>
            <w:vAlign w:val="bottom"/>
            <w:hideMark/>
          </w:tcPr>
          <w:p w:rsidR="009B5A3A" w:rsidRPr="00B6564A" w:rsidRDefault="009B5A3A" w:rsidP="009B5A3A">
            <w:pPr>
              <w:jc w:val="left"/>
              <w:rPr>
                <w:color w:val="000000"/>
                <w:sz w:val="20"/>
                <w:szCs w:val="20"/>
              </w:rPr>
            </w:pPr>
            <w:r w:rsidRPr="00B6564A">
              <w:rPr>
                <w:color w:val="000000"/>
                <w:sz w:val="20"/>
                <w:szCs w:val="20"/>
              </w:rPr>
              <w:t>Servicio Nacional de Protección del Menor (SPMN)</w:t>
            </w:r>
          </w:p>
        </w:tc>
        <w:tc>
          <w:tcPr>
            <w:tcW w:w="1276" w:type="dxa"/>
            <w:tcBorders>
              <w:top w:val="nil"/>
              <w:left w:val="nil"/>
              <w:bottom w:val="nil"/>
              <w:right w:val="nil"/>
            </w:tcBorders>
            <w:shd w:val="clear" w:color="auto" w:fill="auto"/>
            <w:noWrap/>
            <w:vAlign w:val="bottom"/>
            <w:hideMark/>
          </w:tcPr>
          <w:p w:rsidR="009B5A3A" w:rsidRPr="00B6564A" w:rsidRDefault="009B5A3A" w:rsidP="009B5A3A">
            <w:pPr>
              <w:jc w:val="right"/>
              <w:rPr>
                <w:color w:val="000000"/>
                <w:sz w:val="20"/>
                <w:szCs w:val="20"/>
              </w:rPr>
            </w:pPr>
            <w:r w:rsidRPr="00B6564A">
              <w:rPr>
                <w:color w:val="000000"/>
                <w:sz w:val="20"/>
                <w:szCs w:val="20"/>
              </w:rPr>
              <w:t>4,93</w:t>
            </w:r>
          </w:p>
        </w:tc>
        <w:tc>
          <w:tcPr>
            <w:tcW w:w="1417" w:type="dxa"/>
            <w:tcBorders>
              <w:top w:val="nil"/>
              <w:left w:val="nil"/>
              <w:bottom w:val="nil"/>
              <w:right w:val="nil"/>
            </w:tcBorders>
          </w:tcPr>
          <w:p w:rsidR="009B5A3A" w:rsidRPr="00111F00" w:rsidRDefault="009B5A3A" w:rsidP="009B5A3A">
            <w:pPr>
              <w:tabs>
                <w:tab w:val="left" w:pos="639"/>
              </w:tabs>
              <w:jc w:val="right"/>
              <w:rPr>
                <w:color w:val="000000"/>
                <w:sz w:val="20"/>
                <w:szCs w:val="20"/>
              </w:rPr>
            </w:pPr>
            <w:r w:rsidRPr="00111F00">
              <w:rPr>
                <w:color w:val="000000"/>
                <w:sz w:val="20"/>
                <w:szCs w:val="20"/>
              </w:rPr>
              <w:t>7,75</w:t>
            </w:r>
          </w:p>
        </w:tc>
        <w:tc>
          <w:tcPr>
            <w:tcW w:w="1192" w:type="dxa"/>
            <w:tcBorders>
              <w:top w:val="nil"/>
              <w:left w:val="nil"/>
              <w:bottom w:val="nil"/>
              <w:right w:val="nil"/>
            </w:tcBorders>
          </w:tcPr>
          <w:p w:rsidR="009B5A3A" w:rsidRPr="009B5A3A" w:rsidRDefault="009B5A3A" w:rsidP="009B5A3A">
            <w:pPr>
              <w:tabs>
                <w:tab w:val="left" w:pos="639"/>
              </w:tabs>
              <w:jc w:val="right"/>
              <w:rPr>
                <w:color w:val="000000"/>
                <w:sz w:val="20"/>
                <w:szCs w:val="20"/>
              </w:rPr>
            </w:pPr>
            <w:r w:rsidRPr="009B5A3A">
              <w:rPr>
                <w:color w:val="000000"/>
                <w:sz w:val="20"/>
                <w:szCs w:val="20"/>
              </w:rPr>
              <w:t>5,80</w:t>
            </w:r>
          </w:p>
        </w:tc>
      </w:tr>
      <w:tr w:rsidR="009B5A3A" w:rsidRPr="00B6564A" w:rsidTr="009B5A3A">
        <w:trPr>
          <w:trHeight w:val="210"/>
          <w:jc w:val="center"/>
        </w:trPr>
        <w:tc>
          <w:tcPr>
            <w:tcW w:w="953" w:type="dxa"/>
            <w:tcBorders>
              <w:top w:val="nil"/>
              <w:left w:val="nil"/>
              <w:bottom w:val="single" w:sz="4" w:space="0" w:color="auto"/>
              <w:right w:val="nil"/>
            </w:tcBorders>
          </w:tcPr>
          <w:p w:rsidR="009B5A3A" w:rsidRPr="00B6564A" w:rsidRDefault="009B5A3A" w:rsidP="009B5A3A">
            <w:pPr>
              <w:jc w:val="center"/>
              <w:rPr>
                <w:color w:val="000000"/>
                <w:sz w:val="20"/>
                <w:szCs w:val="20"/>
              </w:rPr>
            </w:pPr>
            <w:r>
              <w:rPr>
                <w:color w:val="000000"/>
                <w:sz w:val="20"/>
                <w:szCs w:val="20"/>
              </w:rPr>
              <w:t>P4</w:t>
            </w:r>
          </w:p>
        </w:tc>
        <w:tc>
          <w:tcPr>
            <w:tcW w:w="4434" w:type="dxa"/>
            <w:tcBorders>
              <w:top w:val="nil"/>
              <w:left w:val="nil"/>
              <w:bottom w:val="single" w:sz="4" w:space="0" w:color="auto"/>
              <w:right w:val="nil"/>
            </w:tcBorders>
            <w:shd w:val="clear" w:color="auto" w:fill="auto"/>
            <w:noWrap/>
            <w:vAlign w:val="bottom"/>
            <w:hideMark/>
          </w:tcPr>
          <w:p w:rsidR="009B5A3A" w:rsidRPr="00B6564A" w:rsidRDefault="00D070C2" w:rsidP="009B5A3A">
            <w:pPr>
              <w:jc w:val="left"/>
              <w:rPr>
                <w:color w:val="000000"/>
                <w:sz w:val="20"/>
                <w:szCs w:val="20"/>
              </w:rPr>
            </w:pPr>
            <w:r>
              <w:rPr>
                <w:color w:val="000000"/>
                <w:sz w:val="20"/>
                <w:szCs w:val="20"/>
              </w:rPr>
              <w:t>S.</w:t>
            </w:r>
            <w:r w:rsidR="009B5A3A" w:rsidRPr="00B6564A">
              <w:rPr>
                <w:color w:val="000000"/>
                <w:sz w:val="20"/>
                <w:szCs w:val="20"/>
              </w:rPr>
              <w:t xml:space="preserve"> Naciona</w:t>
            </w:r>
            <w:r>
              <w:rPr>
                <w:color w:val="000000"/>
                <w:sz w:val="20"/>
                <w:szCs w:val="20"/>
              </w:rPr>
              <w:t>l de Reinserción del Adolescente</w:t>
            </w:r>
            <w:r w:rsidR="009B5A3A" w:rsidRPr="00B6564A">
              <w:rPr>
                <w:color w:val="000000"/>
                <w:sz w:val="20"/>
                <w:szCs w:val="20"/>
              </w:rPr>
              <w:t xml:space="preserve"> (SNRA)</w:t>
            </w:r>
          </w:p>
        </w:tc>
        <w:tc>
          <w:tcPr>
            <w:tcW w:w="1276" w:type="dxa"/>
            <w:tcBorders>
              <w:top w:val="nil"/>
              <w:left w:val="nil"/>
              <w:bottom w:val="single" w:sz="4" w:space="0" w:color="auto"/>
              <w:right w:val="nil"/>
            </w:tcBorders>
            <w:shd w:val="clear" w:color="auto" w:fill="auto"/>
            <w:noWrap/>
            <w:vAlign w:val="bottom"/>
            <w:hideMark/>
          </w:tcPr>
          <w:p w:rsidR="009B5A3A" w:rsidRPr="00B6564A" w:rsidRDefault="009B5A3A" w:rsidP="009B5A3A">
            <w:pPr>
              <w:jc w:val="right"/>
              <w:rPr>
                <w:color w:val="000000"/>
                <w:sz w:val="20"/>
                <w:szCs w:val="20"/>
              </w:rPr>
            </w:pPr>
            <w:r w:rsidRPr="00B6564A">
              <w:rPr>
                <w:color w:val="000000"/>
                <w:sz w:val="20"/>
                <w:szCs w:val="20"/>
              </w:rPr>
              <w:t>5,65</w:t>
            </w:r>
          </w:p>
        </w:tc>
        <w:tc>
          <w:tcPr>
            <w:tcW w:w="1417" w:type="dxa"/>
            <w:tcBorders>
              <w:top w:val="nil"/>
              <w:left w:val="nil"/>
              <w:bottom w:val="single" w:sz="4" w:space="0" w:color="auto"/>
              <w:right w:val="nil"/>
            </w:tcBorders>
          </w:tcPr>
          <w:p w:rsidR="009B5A3A" w:rsidRPr="00111F00" w:rsidRDefault="009B5A3A" w:rsidP="009B5A3A">
            <w:pPr>
              <w:tabs>
                <w:tab w:val="left" w:pos="639"/>
              </w:tabs>
              <w:jc w:val="right"/>
              <w:rPr>
                <w:color w:val="000000"/>
                <w:sz w:val="20"/>
                <w:szCs w:val="20"/>
              </w:rPr>
            </w:pPr>
            <w:r w:rsidRPr="00111F00">
              <w:rPr>
                <w:color w:val="000000"/>
                <w:sz w:val="20"/>
                <w:szCs w:val="20"/>
              </w:rPr>
              <w:t>7,88</w:t>
            </w:r>
          </w:p>
        </w:tc>
        <w:tc>
          <w:tcPr>
            <w:tcW w:w="1192" w:type="dxa"/>
            <w:tcBorders>
              <w:top w:val="nil"/>
              <w:left w:val="nil"/>
              <w:bottom w:val="single" w:sz="4" w:space="0" w:color="auto"/>
              <w:right w:val="nil"/>
            </w:tcBorders>
          </w:tcPr>
          <w:p w:rsidR="009B5A3A" w:rsidRPr="009B5A3A" w:rsidRDefault="009B5A3A" w:rsidP="009B5A3A">
            <w:pPr>
              <w:tabs>
                <w:tab w:val="left" w:pos="639"/>
              </w:tabs>
              <w:jc w:val="right"/>
              <w:rPr>
                <w:color w:val="000000"/>
                <w:sz w:val="20"/>
                <w:szCs w:val="20"/>
              </w:rPr>
            </w:pPr>
            <w:r w:rsidRPr="009B5A3A">
              <w:rPr>
                <w:color w:val="000000"/>
                <w:sz w:val="20"/>
                <w:szCs w:val="20"/>
              </w:rPr>
              <w:t>6,00</w:t>
            </w:r>
          </w:p>
        </w:tc>
      </w:tr>
      <w:tr w:rsidR="009B5A3A" w:rsidRPr="00B6564A" w:rsidTr="009B5A3A">
        <w:trPr>
          <w:trHeight w:val="210"/>
          <w:jc w:val="center"/>
        </w:trPr>
        <w:tc>
          <w:tcPr>
            <w:tcW w:w="953" w:type="dxa"/>
            <w:tcBorders>
              <w:top w:val="single" w:sz="4" w:space="0" w:color="auto"/>
              <w:left w:val="nil"/>
              <w:bottom w:val="single" w:sz="4" w:space="0" w:color="auto"/>
              <w:right w:val="nil"/>
            </w:tcBorders>
          </w:tcPr>
          <w:p w:rsidR="009B5A3A" w:rsidRPr="00B6564A" w:rsidRDefault="009B5A3A" w:rsidP="009B5A3A">
            <w:pPr>
              <w:jc w:val="left"/>
              <w:rPr>
                <w:b/>
                <w:bCs/>
                <w:color w:val="000000"/>
                <w:sz w:val="20"/>
                <w:szCs w:val="20"/>
              </w:rPr>
            </w:pPr>
          </w:p>
        </w:tc>
        <w:tc>
          <w:tcPr>
            <w:tcW w:w="4434" w:type="dxa"/>
            <w:tcBorders>
              <w:top w:val="single" w:sz="4" w:space="0" w:color="auto"/>
              <w:left w:val="nil"/>
              <w:bottom w:val="single" w:sz="4" w:space="0" w:color="auto"/>
              <w:right w:val="nil"/>
            </w:tcBorders>
            <w:shd w:val="clear" w:color="auto" w:fill="auto"/>
            <w:noWrap/>
            <w:vAlign w:val="bottom"/>
            <w:hideMark/>
          </w:tcPr>
          <w:p w:rsidR="009B5A3A" w:rsidRPr="00B6564A" w:rsidRDefault="009B5A3A" w:rsidP="009B5A3A">
            <w:pPr>
              <w:jc w:val="left"/>
              <w:rPr>
                <w:b/>
                <w:bCs/>
                <w:color w:val="000000"/>
                <w:sz w:val="20"/>
                <w:szCs w:val="20"/>
              </w:rPr>
            </w:pPr>
            <w:r w:rsidRPr="00B6564A">
              <w:rPr>
                <w:b/>
                <w:bCs/>
                <w:color w:val="000000"/>
                <w:sz w:val="20"/>
                <w:szCs w:val="20"/>
              </w:rPr>
              <w:t>Total</w:t>
            </w:r>
            <w:r>
              <w:rPr>
                <w:b/>
                <w:bCs/>
                <w:color w:val="000000"/>
                <w:sz w:val="20"/>
                <w:szCs w:val="20"/>
              </w:rPr>
              <w:t xml:space="preserve"> ICAGE</w:t>
            </w:r>
          </w:p>
        </w:tc>
        <w:tc>
          <w:tcPr>
            <w:tcW w:w="1276" w:type="dxa"/>
            <w:tcBorders>
              <w:top w:val="single" w:sz="4" w:space="0" w:color="auto"/>
              <w:left w:val="nil"/>
              <w:bottom w:val="single" w:sz="4" w:space="0" w:color="auto"/>
              <w:right w:val="nil"/>
            </w:tcBorders>
            <w:shd w:val="clear" w:color="auto" w:fill="auto"/>
            <w:noWrap/>
            <w:vAlign w:val="bottom"/>
            <w:hideMark/>
          </w:tcPr>
          <w:p w:rsidR="009B5A3A" w:rsidRPr="00B6564A" w:rsidRDefault="009B5A3A" w:rsidP="009B5A3A">
            <w:pPr>
              <w:jc w:val="right"/>
              <w:rPr>
                <w:b/>
                <w:bCs/>
                <w:color w:val="000000"/>
                <w:sz w:val="20"/>
                <w:szCs w:val="20"/>
              </w:rPr>
            </w:pPr>
            <w:r w:rsidRPr="00B6564A">
              <w:rPr>
                <w:b/>
                <w:bCs/>
                <w:color w:val="000000"/>
                <w:sz w:val="20"/>
                <w:szCs w:val="20"/>
              </w:rPr>
              <w:t>4,95</w:t>
            </w:r>
          </w:p>
        </w:tc>
        <w:tc>
          <w:tcPr>
            <w:tcW w:w="1417" w:type="dxa"/>
            <w:tcBorders>
              <w:top w:val="single" w:sz="4" w:space="0" w:color="auto"/>
              <w:left w:val="nil"/>
              <w:bottom w:val="single" w:sz="4" w:space="0" w:color="auto"/>
              <w:right w:val="nil"/>
            </w:tcBorders>
          </w:tcPr>
          <w:p w:rsidR="009B5A3A" w:rsidRPr="00111F00" w:rsidRDefault="009B5A3A" w:rsidP="009B5A3A">
            <w:pPr>
              <w:tabs>
                <w:tab w:val="left" w:pos="639"/>
              </w:tabs>
              <w:jc w:val="right"/>
              <w:rPr>
                <w:b/>
                <w:color w:val="000000"/>
                <w:sz w:val="20"/>
                <w:szCs w:val="20"/>
              </w:rPr>
            </w:pPr>
            <w:r w:rsidRPr="00111F00">
              <w:rPr>
                <w:b/>
                <w:color w:val="000000"/>
                <w:sz w:val="20"/>
                <w:szCs w:val="20"/>
              </w:rPr>
              <w:t>7,78</w:t>
            </w:r>
          </w:p>
        </w:tc>
        <w:tc>
          <w:tcPr>
            <w:tcW w:w="1192" w:type="dxa"/>
            <w:tcBorders>
              <w:top w:val="single" w:sz="4" w:space="0" w:color="auto"/>
              <w:left w:val="nil"/>
              <w:bottom w:val="single" w:sz="4" w:space="0" w:color="auto"/>
              <w:right w:val="nil"/>
            </w:tcBorders>
          </w:tcPr>
          <w:p w:rsidR="009B5A3A" w:rsidRPr="009B5A3A" w:rsidRDefault="009B5A3A" w:rsidP="009B5A3A">
            <w:pPr>
              <w:tabs>
                <w:tab w:val="left" w:pos="639"/>
              </w:tabs>
              <w:jc w:val="right"/>
              <w:rPr>
                <w:b/>
                <w:color w:val="000000"/>
                <w:sz w:val="20"/>
                <w:szCs w:val="20"/>
              </w:rPr>
            </w:pPr>
            <w:r w:rsidRPr="009B5A3A">
              <w:rPr>
                <w:b/>
                <w:color w:val="000000"/>
                <w:sz w:val="20"/>
                <w:szCs w:val="20"/>
              </w:rPr>
              <w:t>5,70</w:t>
            </w:r>
          </w:p>
        </w:tc>
      </w:tr>
    </w:tbl>
    <w:p w:rsidR="00BB28CF" w:rsidRDefault="00BB28CF" w:rsidP="00AB403B"/>
    <w:p w:rsidR="00927F74" w:rsidRDefault="00927F74" w:rsidP="00927F74">
      <w:pPr>
        <w:pStyle w:val="ListParagraph"/>
        <w:numPr>
          <w:ilvl w:val="0"/>
          <w:numId w:val="14"/>
        </w:numPr>
        <w:spacing w:after="240"/>
        <w:ind w:left="0" w:hanging="567"/>
      </w:pPr>
      <w:r>
        <w:t>Obsérvese que las metas en el escenario SIN programa son relativamente modestas, ya que en ningún caso superan los 6 puntos sobre un máximo de 10. Esto significa que los riesgos de que sin programa BID estas entidades tengan problemas para un cumplimiento cabal del mandato pueden ser significativamente altos, lo que a su vez es una justificación de la importancia que tiene el programa BID para mejorar notablemente los niveles de efectividad y eficiencia.</w:t>
      </w:r>
    </w:p>
    <w:p w:rsidR="000E00A9" w:rsidRDefault="00D070C2" w:rsidP="00D070C2">
      <w:pPr>
        <w:pStyle w:val="ListParagraph"/>
        <w:numPr>
          <w:ilvl w:val="0"/>
          <w:numId w:val="14"/>
        </w:numPr>
        <w:spacing w:after="240"/>
        <w:ind w:left="0" w:hanging="567"/>
      </w:pPr>
      <w:r>
        <w:t>En cuanto a la inversión que las autoridades de las cuatro entidades prevén en un escenario SIN programa BID, los datos no son del todo concluyentes acerca de los montos que tendrían disponi</w:t>
      </w:r>
      <w:r w:rsidR="00691982">
        <w:t>bles en los próximos seis años. En el caso de las entidades existentes (P3) se estima que la inversión será un 40% de la inversión que está prevista en el programa BID.</w:t>
      </w:r>
      <w:r>
        <w:t xml:space="preserve"> </w:t>
      </w:r>
    </w:p>
    <w:p w:rsidR="00BB28CF" w:rsidRDefault="00691982" w:rsidP="00D070C2">
      <w:pPr>
        <w:pStyle w:val="ListParagraph"/>
        <w:numPr>
          <w:ilvl w:val="0"/>
          <w:numId w:val="14"/>
        </w:numPr>
        <w:spacing w:after="240"/>
        <w:ind w:left="0" w:hanging="567"/>
      </w:pPr>
      <w:r>
        <w:t xml:space="preserve">Es decir, si para cada una de las entidades que entregan servicios el programa BID estima una inversión de USD 7.632.000 en cuatro años, en el caso de la opción SIN programa se estima que la inversión en los cuatro años será de un 40% equivalente a la del BID pero prolongada durante seis años. </w:t>
      </w:r>
      <w:r w:rsidR="00C869EF">
        <w:t>Se considera que en los cuatro años posteriores quedaría una inversión residual.</w:t>
      </w:r>
    </w:p>
    <w:p w:rsidR="00691982" w:rsidRDefault="00691982" w:rsidP="00D070C2">
      <w:pPr>
        <w:pStyle w:val="ListParagraph"/>
        <w:numPr>
          <w:ilvl w:val="0"/>
          <w:numId w:val="14"/>
        </w:numPr>
        <w:spacing w:after="240"/>
        <w:ind w:left="0" w:hanging="567"/>
      </w:pPr>
      <w:r>
        <w:t xml:space="preserve">En el caso de entidades de </w:t>
      </w:r>
      <w:r w:rsidR="00C869EF">
        <w:t>nueva creación, en el escenario SIN programa las estimaciones son que los recursos presupuestarios representarían torno al 50% de la inversión prevista por el programa BID, también programada para un lapso de tiempo de 6 años. Se considera que en los cuatro años posteriores quedaría una inversión residual.</w:t>
      </w:r>
    </w:p>
    <w:p w:rsidR="00B11521" w:rsidRPr="0053032C" w:rsidRDefault="00B11521" w:rsidP="00111F00">
      <w:pPr>
        <w:pStyle w:val="Heading2"/>
      </w:pPr>
      <w:bookmarkStart w:id="13" w:name="_Toc395208850"/>
      <w:r w:rsidRPr="0053032C">
        <w:t>Precios utilizados</w:t>
      </w:r>
      <w:bookmarkEnd w:id="13"/>
    </w:p>
    <w:p w:rsidR="00B11521" w:rsidRPr="0053032C" w:rsidRDefault="00C869EF" w:rsidP="006108C4">
      <w:pPr>
        <w:pStyle w:val="ListParagraph"/>
        <w:numPr>
          <w:ilvl w:val="0"/>
          <w:numId w:val="14"/>
        </w:numPr>
        <w:spacing w:after="240"/>
        <w:ind w:left="0" w:hanging="567"/>
      </w:pPr>
      <w:r>
        <w:t xml:space="preserve">Todos los precios utilizados en </w:t>
      </w:r>
      <w:r w:rsidR="006108C4">
        <w:t>el análisis económico</w:t>
      </w:r>
      <w:r>
        <w:t xml:space="preserve"> son a precio de mercado.</w:t>
      </w:r>
      <w:r w:rsidR="006108C4">
        <w:t xml:space="preserve"> Este es el criterio usado en Chile en la formulación y gestión del presupuesto, y así fue considerado también en el costeo del programa. Los costos están expresados en dólares de julio 2014.</w:t>
      </w:r>
    </w:p>
    <w:p w:rsidR="00F62063" w:rsidRPr="0053032C" w:rsidRDefault="00083E24" w:rsidP="00083E24">
      <w:pPr>
        <w:pStyle w:val="Heading1"/>
      </w:pPr>
      <w:bookmarkStart w:id="14" w:name="_Toc395208851"/>
      <w:r w:rsidRPr="0053032C">
        <w:t>Costos económicos</w:t>
      </w:r>
      <w:bookmarkEnd w:id="14"/>
    </w:p>
    <w:p w:rsidR="00F62063" w:rsidRPr="0053032C" w:rsidRDefault="00083E24" w:rsidP="00111F00">
      <w:pPr>
        <w:pStyle w:val="Heading2"/>
      </w:pPr>
      <w:bookmarkStart w:id="15" w:name="_Toc395208852"/>
      <w:r w:rsidRPr="0053032C">
        <w:t>Descripción de los costos reales</w:t>
      </w:r>
      <w:bookmarkEnd w:id="15"/>
    </w:p>
    <w:p w:rsidR="00F62063" w:rsidRPr="0053032C" w:rsidRDefault="00083E24" w:rsidP="006108C4">
      <w:pPr>
        <w:pStyle w:val="ListParagraph"/>
        <w:numPr>
          <w:ilvl w:val="0"/>
          <w:numId w:val="14"/>
        </w:numPr>
        <w:spacing w:after="240"/>
        <w:ind w:left="0" w:hanging="567"/>
      </w:pPr>
      <w:r w:rsidRPr="0053032C">
        <w:t xml:space="preserve">Los costos </w:t>
      </w:r>
      <w:r w:rsidR="006108C4">
        <w:t>considerados tanto en la</w:t>
      </w:r>
      <w:r w:rsidRPr="0053032C">
        <w:t xml:space="preserve"> alternativa </w:t>
      </w:r>
      <w:r w:rsidR="006108C4">
        <w:t>SIN como en la alternativa CON programa BID son los siguientes</w:t>
      </w:r>
      <w:r w:rsidRPr="0053032C">
        <w:t xml:space="preserve"> </w:t>
      </w:r>
    </w:p>
    <w:p w:rsidR="00C349DD" w:rsidRPr="0053032C" w:rsidRDefault="006108C4" w:rsidP="009C2EE7">
      <w:pPr>
        <w:pStyle w:val="ListParagraph"/>
        <w:numPr>
          <w:ilvl w:val="0"/>
          <w:numId w:val="17"/>
        </w:numPr>
      </w:pPr>
      <w:r>
        <w:t>Adquisición</w:t>
      </w:r>
      <w:r w:rsidR="00C349DD" w:rsidRPr="0053032C">
        <w:t xml:space="preserve"> de servicios técnicos y profesionales</w:t>
      </w:r>
      <w:r>
        <w:t xml:space="preserve"> (consultorías individuales y firmas)</w:t>
      </w:r>
      <w:r w:rsidR="00713977">
        <w:t>, incluyendo pasajes y viáticos para expertos internacionales.</w:t>
      </w:r>
    </w:p>
    <w:p w:rsidR="00083E24" w:rsidRPr="0053032C" w:rsidRDefault="00713977" w:rsidP="009C2EE7">
      <w:pPr>
        <w:pStyle w:val="ListParagraph"/>
        <w:numPr>
          <w:ilvl w:val="0"/>
          <w:numId w:val="17"/>
        </w:numPr>
      </w:pPr>
      <w:r>
        <w:t>Adquisición</w:t>
      </w:r>
      <w:r w:rsidRPr="0053032C">
        <w:t xml:space="preserve"> de </w:t>
      </w:r>
      <w:r w:rsidR="006108C4">
        <w:t xml:space="preserve">sistemas de información, licencias y </w:t>
      </w:r>
      <w:r w:rsidR="00C349DD" w:rsidRPr="0053032C">
        <w:t>e</w:t>
      </w:r>
      <w:r w:rsidR="00821591" w:rsidRPr="0053032C">
        <w:t>quipos</w:t>
      </w:r>
      <w:r>
        <w:t xml:space="preserve"> informáticos.</w:t>
      </w:r>
    </w:p>
    <w:p w:rsidR="00821591" w:rsidRPr="0053032C" w:rsidRDefault="00713977" w:rsidP="009C2EE7">
      <w:pPr>
        <w:pStyle w:val="ListParagraph"/>
        <w:numPr>
          <w:ilvl w:val="0"/>
          <w:numId w:val="17"/>
        </w:numPr>
      </w:pPr>
      <w:r>
        <w:t>Adquisición</w:t>
      </w:r>
      <w:r w:rsidRPr="0053032C">
        <w:t xml:space="preserve"> de </w:t>
      </w:r>
      <w:r>
        <w:t xml:space="preserve">servicios (capacitación, talleres, etc.). </w:t>
      </w:r>
    </w:p>
    <w:p w:rsidR="00083E24" w:rsidRPr="0053032C" w:rsidRDefault="00083E24" w:rsidP="00D85F7B">
      <w:pPr>
        <w:pStyle w:val="ListParagraph"/>
        <w:ind w:left="360"/>
      </w:pPr>
    </w:p>
    <w:p w:rsidR="00EC7EE1" w:rsidRPr="0053032C" w:rsidRDefault="001A7E33" w:rsidP="00713977">
      <w:pPr>
        <w:pStyle w:val="ListParagraph"/>
        <w:numPr>
          <w:ilvl w:val="0"/>
          <w:numId w:val="14"/>
        </w:numPr>
        <w:spacing w:after="240"/>
        <w:ind w:left="0" w:hanging="567"/>
      </w:pPr>
      <w:r w:rsidRPr="0053032C">
        <w:t>De acuerdo con este planteamiento</w:t>
      </w:r>
      <w:r w:rsidR="00662E96" w:rsidRPr="0053032C">
        <w:t>, para el tramo correspondiente a los recursos nacionales basta tomar en consideración los mismos criterios utilizados para describir la asignación de costos de la Alternativa A. Sin embargo, para el tramo BID se han utilizado los siguientes criterios:</w:t>
      </w:r>
    </w:p>
    <w:p w:rsidR="00662E96" w:rsidRPr="0053032C" w:rsidRDefault="00662E96" w:rsidP="00713977">
      <w:pPr>
        <w:pStyle w:val="ListParagraph"/>
        <w:numPr>
          <w:ilvl w:val="0"/>
          <w:numId w:val="29"/>
        </w:numPr>
        <w:spacing w:after="240"/>
      </w:pPr>
      <w:r w:rsidRPr="0053032C">
        <w:t>Se anualizan los gastos</w:t>
      </w:r>
      <w:r w:rsidR="003D33FD" w:rsidRPr="0053032C">
        <w:t xml:space="preserve"> de inversión</w:t>
      </w:r>
      <w:r w:rsidRPr="0053032C">
        <w:t xml:space="preserve"> de cada uno de </w:t>
      </w:r>
      <w:r w:rsidR="005923A1">
        <w:t>las</w:t>
      </w:r>
      <w:r w:rsidRPr="0053032C">
        <w:t xml:space="preserve"> cuatro </w:t>
      </w:r>
      <w:r w:rsidR="005923A1">
        <w:t>entidades</w:t>
      </w:r>
      <w:r w:rsidRPr="0053032C">
        <w:t xml:space="preserve"> del </w:t>
      </w:r>
      <w:r w:rsidR="0037658F" w:rsidRPr="0053032C">
        <w:t xml:space="preserve">programa </w:t>
      </w:r>
      <w:r w:rsidRPr="0053032C">
        <w:t xml:space="preserve">de acuerdo con </w:t>
      </w:r>
      <w:r w:rsidR="003D33FD" w:rsidRPr="0053032C">
        <w:t xml:space="preserve">el calendario fijado de </w:t>
      </w:r>
      <w:r w:rsidRPr="0053032C">
        <w:t>los desembolsos previstos</w:t>
      </w:r>
      <w:r w:rsidR="0037658F">
        <w:t xml:space="preserve"> (seis años en la opción CON programa)</w:t>
      </w:r>
      <w:r w:rsidRPr="0053032C">
        <w:t xml:space="preserve">. </w:t>
      </w:r>
      <w:r w:rsidR="003D33FD" w:rsidRPr="0053032C">
        <w:t xml:space="preserve">Recuérdese que el </w:t>
      </w:r>
      <w:r w:rsidR="0037658F" w:rsidRPr="0053032C">
        <w:t xml:space="preserve">programa </w:t>
      </w:r>
      <w:r w:rsidR="003D33FD" w:rsidRPr="0053032C">
        <w:t xml:space="preserve">tiene una duración de </w:t>
      </w:r>
      <w:r w:rsidR="00713977">
        <w:t>seis</w:t>
      </w:r>
      <w:r w:rsidR="003D33FD" w:rsidRPr="0053032C">
        <w:t xml:space="preserve"> años. No se consideran gastos recurrentes o de depreciación, pues las inversiones a realizar con recursos del </w:t>
      </w:r>
      <w:r w:rsidR="0037658F" w:rsidRPr="0053032C">
        <w:t>programa</w:t>
      </w:r>
      <w:r w:rsidR="0037658F">
        <w:t xml:space="preserve"> (opción CON)</w:t>
      </w:r>
      <w:r w:rsidR="003D33FD" w:rsidRPr="0053032C">
        <w:t xml:space="preserve">, </w:t>
      </w:r>
      <w:r w:rsidR="003D33FD" w:rsidRPr="0053032C">
        <w:lastRenderedPageBreak/>
        <w:t xml:space="preserve">básicamente compra de sistemas, no entran en funcionamiento hasta el </w:t>
      </w:r>
      <w:r w:rsidR="005923A1">
        <w:t>quinto o sexto año</w:t>
      </w:r>
      <w:r w:rsidR="003D33FD" w:rsidRPr="0053032C">
        <w:t xml:space="preserve"> de ejecución. Por tanto, </w:t>
      </w:r>
      <w:r w:rsidR="009008C5" w:rsidRPr="0053032C">
        <w:t xml:space="preserve">en la mayoría de los casos </w:t>
      </w:r>
      <w:r w:rsidR="003D33FD" w:rsidRPr="0053032C">
        <w:t>no cabe aplicar tasa de depreciación</w:t>
      </w:r>
      <w:r w:rsidR="009008C5" w:rsidRPr="0053032C">
        <w:t>, y en los pocos que se cabría su valor es claramente residual</w:t>
      </w:r>
      <w:r w:rsidR="003D33FD" w:rsidRPr="0053032C">
        <w:t>.</w:t>
      </w:r>
    </w:p>
    <w:p w:rsidR="00EC7EE1" w:rsidRPr="0053032C" w:rsidRDefault="003D33FD" w:rsidP="005923A1">
      <w:pPr>
        <w:pStyle w:val="ListParagraph"/>
        <w:numPr>
          <w:ilvl w:val="0"/>
          <w:numId w:val="29"/>
        </w:numPr>
        <w:spacing w:after="240"/>
      </w:pPr>
      <w:r w:rsidRPr="0053032C">
        <w:t xml:space="preserve">Una vez anualizados los gastos de inversión, se asignan al logro de las metas fijadas para cada uno de </w:t>
      </w:r>
      <w:r w:rsidR="0037658F">
        <w:t>entidades, así como la meta agregada</w:t>
      </w:r>
      <w:r w:rsidRPr="0053032C">
        <w:t xml:space="preserve">. </w:t>
      </w:r>
      <w:r w:rsidR="00260C62">
        <w:t xml:space="preserve">De acuerdo con estos criterios, </w:t>
      </w:r>
      <w:r w:rsidR="00096B03" w:rsidRPr="0053032C">
        <w:t>el costo total de</w:t>
      </w:r>
      <w:r w:rsidR="00260C62">
        <w:t xml:space="preserve"> la inversión en</w:t>
      </w:r>
      <w:r w:rsidR="00096B03" w:rsidRPr="0053032C">
        <w:t xml:space="preserve"> cada </w:t>
      </w:r>
      <w:r w:rsidR="005923A1">
        <w:t>entidad y el total para las cuatro entidades</w:t>
      </w:r>
      <w:r w:rsidR="00096B03" w:rsidRPr="0053032C">
        <w:t xml:space="preserve"> es el que se muestra en el cuadro </w:t>
      </w:r>
      <w:r w:rsidR="005923A1">
        <w:t>6</w:t>
      </w:r>
      <w:r w:rsidR="00096B03" w:rsidRPr="0053032C">
        <w:t>.</w:t>
      </w:r>
      <w:r w:rsidR="005923A1">
        <w:rPr>
          <w:rStyle w:val="FootnoteReference"/>
        </w:rPr>
        <w:footnoteReference w:id="4"/>
      </w:r>
    </w:p>
    <w:p w:rsidR="00096B03" w:rsidRDefault="00096B03" w:rsidP="00096B03">
      <w:pPr>
        <w:pStyle w:val="Caption"/>
        <w:spacing w:after="120"/>
        <w:jc w:val="center"/>
      </w:pPr>
      <w:r w:rsidRPr="0053032C">
        <w:t xml:space="preserve">Cuadro </w:t>
      </w:r>
      <w:r w:rsidR="00AE7E80">
        <w:fldChar w:fldCharType="begin"/>
      </w:r>
      <w:r w:rsidR="00AE7E80">
        <w:instrText xml:space="preserve"> SEQ Cuadro \* ARABIC </w:instrText>
      </w:r>
      <w:r w:rsidR="00AE7E80">
        <w:fldChar w:fldCharType="separate"/>
      </w:r>
      <w:r w:rsidR="0065198A" w:rsidRPr="0053032C">
        <w:t>6</w:t>
      </w:r>
      <w:r w:rsidR="00AE7E80">
        <w:fldChar w:fldCharType="end"/>
      </w:r>
      <w:r w:rsidRPr="0053032C">
        <w:t xml:space="preserve">. Alternativa </w:t>
      </w:r>
      <w:r w:rsidR="005923A1">
        <w:t xml:space="preserve">SIN </w:t>
      </w:r>
      <w:r w:rsidR="00260C62">
        <w:t xml:space="preserve">y CON </w:t>
      </w:r>
      <w:r w:rsidR="005923A1">
        <w:t>programa</w:t>
      </w:r>
    </w:p>
    <w:tbl>
      <w:tblPr>
        <w:tblW w:w="8080" w:type="dxa"/>
        <w:jc w:val="center"/>
        <w:tblCellMar>
          <w:left w:w="70" w:type="dxa"/>
          <w:right w:w="70" w:type="dxa"/>
        </w:tblCellMar>
        <w:tblLook w:val="04A0" w:firstRow="1" w:lastRow="0" w:firstColumn="1" w:lastColumn="0" w:noHBand="0" w:noVBand="1"/>
      </w:tblPr>
      <w:tblGrid>
        <w:gridCol w:w="4960"/>
        <w:gridCol w:w="1560"/>
        <w:gridCol w:w="1560"/>
      </w:tblGrid>
      <w:tr w:rsidR="00260C62" w:rsidRPr="0037658F" w:rsidTr="00260C62">
        <w:trPr>
          <w:jc w:val="center"/>
        </w:trPr>
        <w:tc>
          <w:tcPr>
            <w:tcW w:w="4960" w:type="dxa"/>
            <w:tcBorders>
              <w:top w:val="single" w:sz="4" w:space="0" w:color="auto"/>
              <w:left w:val="nil"/>
              <w:bottom w:val="single" w:sz="4" w:space="0" w:color="auto"/>
              <w:right w:val="nil"/>
            </w:tcBorders>
            <w:shd w:val="clear" w:color="auto" w:fill="auto"/>
            <w:noWrap/>
            <w:vAlign w:val="bottom"/>
            <w:hideMark/>
          </w:tcPr>
          <w:p w:rsidR="00260C62" w:rsidRPr="0037658F" w:rsidRDefault="00260C62" w:rsidP="0037658F">
            <w:pPr>
              <w:jc w:val="left"/>
              <w:rPr>
                <w:b/>
                <w:bCs/>
                <w:color w:val="000000"/>
                <w:sz w:val="20"/>
                <w:szCs w:val="16"/>
              </w:rPr>
            </w:pPr>
          </w:p>
        </w:tc>
        <w:tc>
          <w:tcPr>
            <w:tcW w:w="1560" w:type="dxa"/>
            <w:tcBorders>
              <w:top w:val="single" w:sz="4" w:space="0" w:color="auto"/>
              <w:left w:val="nil"/>
              <w:bottom w:val="single" w:sz="4" w:space="0" w:color="auto"/>
              <w:right w:val="nil"/>
            </w:tcBorders>
            <w:shd w:val="clear" w:color="auto" w:fill="auto"/>
            <w:vAlign w:val="bottom"/>
            <w:hideMark/>
          </w:tcPr>
          <w:p w:rsidR="00260C62" w:rsidRPr="0037658F" w:rsidRDefault="00260C62" w:rsidP="00260C62">
            <w:pPr>
              <w:jc w:val="center"/>
              <w:rPr>
                <w:b/>
                <w:bCs/>
                <w:color w:val="000000"/>
                <w:sz w:val="20"/>
                <w:szCs w:val="16"/>
              </w:rPr>
            </w:pPr>
            <w:r>
              <w:rPr>
                <w:b/>
                <w:bCs/>
                <w:color w:val="000000"/>
                <w:sz w:val="20"/>
                <w:szCs w:val="16"/>
              </w:rPr>
              <w:t>SIN</w:t>
            </w:r>
          </w:p>
        </w:tc>
        <w:tc>
          <w:tcPr>
            <w:tcW w:w="1560" w:type="dxa"/>
            <w:tcBorders>
              <w:top w:val="single" w:sz="4" w:space="0" w:color="auto"/>
              <w:left w:val="nil"/>
              <w:bottom w:val="single" w:sz="4" w:space="0" w:color="auto"/>
              <w:right w:val="nil"/>
            </w:tcBorders>
          </w:tcPr>
          <w:p w:rsidR="00260C62" w:rsidRDefault="00260C62" w:rsidP="00260C62">
            <w:pPr>
              <w:jc w:val="center"/>
              <w:rPr>
                <w:b/>
                <w:bCs/>
                <w:color w:val="000000"/>
                <w:sz w:val="20"/>
                <w:szCs w:val="16"/>
              </w:rPr>
            </w:pPr>
            <w:r>
              <w:rPr>
                <w:b/>
                <w:bCs/>
                <w:color w:val="000000"/>
                <w:sz w:val="20"/>
                <w:szCs w:val="16"/>
              </w:rPr>
              <w:t>CON</w:t>
            </w:r>
          </w:p>
        </w:tc>
      </w:tr>
      <w:tr w:rsidR="00260C62" w:rsidRPr="0037658F" w:rsidTr="0042091B">
        <w:trPr>
          <w:trHeight w:val="210"/>
          <w:jc w:val="center"/>
        </w:trPr>
        <w:tc>
          <w:tcPr>
            <w:tcW w:w="4960" w:type="dxa"/>
            <w:tcBorders>
              <w:top w:val="single" w:sz="4" w:space="0" w:color="auto"/>
              <w:left w:val="nil"/>
              <w:bottom w:val="nil"/>
              <w:right w:val="nil"/>
            </w:tcBorders>
            <w:shd w:val="clear" w:color="auto" w:fill="auto"/>
            <w:noWrap/>
            <w:vAlign w:val="bottom"/>
            <w:hideMark/>
          </w:tcPr>
          <w:p w:rsidR="00260C62" w:rsidRPr="0037658F" w:rsidRDefault="00260C62" w:rsidP="00260C62">
            <w:pPr>
              <w:jc w:val="left"/>
              <w:rPr>
                <w:color w:val="000000"/>
                <w:sz w:val="20"/>
                <w:szCs w:val="16"/>
              </w:rPr>
            </w:pPr>
            <w:r w:rsidRPr="0037658F">
              <w:rPr>
                <w:color w:val="000000"/>
                <w:sz w:val="20"/>
                <w:szCs w:val="16"/>
              </w:rPr>
              <w:t>Servicio Nacional del Consumidor (SERNAC)</w:t>
            </w:r>
          </w:p>
        </w:tc>
        <w:tc>
          <w:tcPr>
            <w:tcW w:w="1560" w:type="dxa"/>
            <w:tcBorders>
              <w:top w:val="single" w:sz="4" w:space="0" w:color="auto"/>
              <w:left w:val="nil"/>
              <w:bottom w:val="nil"/>
              <w:right w:val="nil"/>
            </w:tcBorders>
            <w:shd w:val="clear" w:color="auto" w:fill="auto"/>
            <w:noWrap/>
            <w:vAlign w:val="bottom"/>
            <w:hideMark/>
          </w:tcPr>
          <w:p w:rsidR="00260C62" w:rsidRPr="0037658F" w:rsidRDefault="00260C62" w:rsidP="00260C62">
            <w:pPr>
              <w:ind w:right="213"/>
              <w:jc w:val="right"/>
              <w:rPr>
                <w:color w:val="000000"/>
                <w:sz w:val="20"/>
                <w:szCs w:val="16"/>
              </w:rPr>
            </w:pPr>
            <w:r w:rsidRPr="0037658F">
              <w:rPr>
                <w:color w:val="000000"/>
                <w:sz w:val="20"/>
                <w:szCs w:val="16"/>
              </w:rPr>
              <w:t>2.853.600</w:t>
            </w:r>
          </w:p>
        </w:tc>
        <w:tc>
          <w:tcPr>
            <w:tcW w:w="1560" w:type="dxa"/>
            <w:tcBorders>
              <w:top w:val="single" w:sz="4" w:space="0" w:color="auto"/>
              <w:left w:val="nil"/>
              <w:bottom w:val="nil"/>
              <w:right w:val="nil"/>
            </w:tcBorders>
            <w:vAlign w:val="bottom"/>
          </w:tcPr>
          <w:p w:rsidR="00260C62" w:rsidRPr="00260C62" w:rsidRDefault="00260C62" w:rsidP="00260C62">
            <w:pPr>
              <w:ind w:right="213"/>
              <w:jc w:val="right"/>
              <w:rPr>
                <w:color w:val="000000"/>
                <w:sz w:val="20"/>
                <w:szCs w:val="20"/>
              </w:rPr>
            </w:pPr>
            <w:r w:rsidRPr="00260C62">
              <w:rPr>
                <w:color w:val="000000"/>
                <w:sz w:val="20"/>
                <w:szCs w:val="20"/>
              </w:rPr>
              <w:t>7.632.000</w:t>
            </w:r>
          </w:p>
        </w:tc>
      </w:tr>
      <w:tr w:rsidR="00260C62" w:rsidRPr="0037658F" w:rsidTr="0042091B">
        <w:trPr>
          <w:trHeight w:val="210"/>
          <w:jc w:val="center"/>
        </w:trPr>
        <w:tc>
          <w:tcPr>
            <w:tcW w:w="4960" w:type="dxa"/>
            <w:tcBorders>
              <w:top w:val="nil"/>
              <w:left w:val="nil"/>
              <w:bottom w:val="nil"/>
              <w:right w:val="nil"/>
            </w:tcBorders>
            <w:shd w:val="clear" w:color="auto" w:fill="auto"/>
            <w:noWrap/>
            <w:vAlign w:val="bottom"/>
            <w:hideMark/>
          </w:tcPr>
          <w:p w:rsidR="00260C62" w:rsidRPr="0037658F" w:rsidRDefault="00260C62" w:rsidP="00260C62">
            <w:pPr>
              <w:jc w:val="left"/>
              <w:rPr>
                <w:color w:val="000000"/>
                <w:sz w:val="20"/>
                <w:szCs w:val="16"/>
              </w:rPr>
            </w:pPr>
            <w:r w:rsidRPr="0037658F">
              <w:rPr>
                <w:color w:val="000000"/>
                <w:sz w:val="20"/>
                <w:szCs w:val="16"/>
              </w:rPr>
              <w:t>Instituto Nacional de Estadística (INE)</w:t>
            </w:r>
          </w:p>
        </w:tc>
        <w:tc>
          <w:tcPr>
            <w:tcW w:w="1560" w:type="dxa"/>
            <w:tcBorders>
              <w:top w:val="nil"/>
              <w:left w:val="nil"/>
              <w:bottom w:val="nil"/>
              <w:right w:val="nil"/>
            </w:tcBorders>
            <w:shd w:val="clear" w:color="auto" w:fill="auto"/>
            <w:noWrap/>
            <w:vAlign w:val="bottom"/>
            <w:hideMark/>
          </w:tcPr>
          <w:p w:rsidR="00260C62" w:rsidRPr="0037658F" w:rsidRDefault="00260C62" w:rsidP="00260C62">
            <w:pPr>
              <w:ind w:right="213"/>
              <w:jc w:val="right"/>
              <w:rPr>
                <w:color w:val="000000"/>
                <w:sz w:val="20"/>
                <w:szCs w:val="16"/>
              </w:rPr>
            </w:pPr>
            <w:r w:rsidRPr="0037658F">
              <w:rPr>
                <w:color w:val="000000"/>
                <w:sz w:val="20"/>
                <w:szCs w:val="16"/>
              </w:rPr>
              <w:t>2.249.800</w:t>
            </w:r>
          </w:p>
        </w:tc>
        <w:tc>
          <w:tcPr>
            <w:tcW w:w="1560" w:type="dxa"/>
            <w:tcBorders>
              <w:top w:val="nil"/>
              <w:left w:val="nil"/>
              <w:bottom w:val="nil"/>
              <w:right w:val="nil"/>
            </w:tcBorders>
            <w:vAlign w:val="bottom"/>
          </w:tcPr>
          <w:p w:rsidR="00260C62" w:rsidRPr="00260C62" w:rsidRDefault="00260C62" w:rsidP="00260C62">
            <w:pPr>
              <w:ind w:right="213"/>
              <w:jc w:val="right"/>
              <w:rPr>
                <w:color w:val="000000"/>
                <w:sz w:val="20"/>
                <w:szCs w:val="20"/>
              </w:rPr>
            </w:pPr>
            <w:r w:rsidRPr="00260C62">
              <w:rPr>
                <w:color w:val="000000"/>
                <w:sz w:val="20"/>
                <w:szCs w:val="20"/>
              </w:rPr>
              <w:t>7.632.000</w:t>
            </w:r>
          </w:p>
        </w:tc>
      </w:tr>
      <w:tr w:rsidR="00260C62" w:rsidRPr="0037658F" w:rsidTr="0042091B">
        <w:trPr>
          <w:trHeight w:val="210"/>
          <w:jc w:val="center"/>
        </w:trPr>
        <w:tc>
          <w:tcPr>
            <w:tcW w:w="4960" w:type="dxa"/>
            <w:tcBorders>
              <w:top w:val="nil"/>
              <w:left w:val="nil"/>
              <w:right w:val="nil"/>
            </w:tcBorders>
            <w:shd w:val="clear" w:color="auto" w:fill="auto"/>
            <w:noWrap/>
            <w:vAlign w:val="bottom"/>
            <w:hideMark/>
          </w:tcPr>
          <w:p w:rsidR="00260C62" w:rsidRPr="0037658F" w:rsidRDefault="00260C62" w:rsidP="00260C62">
            <w:pPr>
              <w:jc w:val="left"/>
              <w:rPr>
                <w:color w:val="000000"/>
                <w:sz w:val="20"/>
                <w:szCs w:val="16"/>
              </w:rPr>
            </w:pPr>
            <w:r w:rsidRPr="0037658F">
              <w:rPr>
                <w:color w:val="000000"/>
                <w:sz w:val="20"/>
                <w:szCs w:val="16"/>
              </w:rPr>
              <w:t>Servicio Nacional de Protección del Menor (SPMN)</w:t>
            </w:r>
          </w:p>
        </w:tc>
        <w:tc>
          <w:tcPr>
            <w:tcW w:w="1560" w:type="dxa"/>
            <w:tcBorders>
              <w:top w:val="nil"/>
              <w:left w:val="nil"/>
              <w:right w:val="nil"/>
            </w:tcBorders>
            <w:shd w:val="clear" w:color="auto" w:fill="auto"/>
            <w:noWrap/>
            <w:vAlign w:val="bottom"/>
            <w:hideMark/>
          </w:tcPr>
          <w:p w:rsidR="00260C62" w:rsidRPr="0037658F" w:rsidRDefault="00260C62" w:rsidP="00260C62">
            <w:pPr>
              <w:ind w:right="213"/>
              <w:jc w:val="right"/>
              <w:rPr>
                <w:color w:val="000000"/>
                <w:sz w:val="20"/>
                <w:szCs w:val="16"/>
              </w:rPr>
            </w:pPr>
            <w:r w:rsidRPr="0037658F">
              <w:rPr>
                <w:color w:val="000000"/>
                <w:sz w:val="20"/>
                <w:szCs w:val="16"/>
              </w:rPr>
              <w:t>2.995.250</w:t>
            </w:r>
          </w:p>
        </w:tc>
        <w:tc>
          <w:tcPr>
            <w:tcW w:w="1560" w:type="dxa"/>
            <w:tcBorders>
              <w:top w:val="nil"/>
              <w:left w:val="nil"/>
              <w:right w:val="nil"/>
            </w:tcBorders>
            <w:vAlign w:val="bottom"/>
          </w:tcPr>
          <w:p w:rsidR="00260C62" w:rsidRPr="00260C62" w:rsidRDefault="00260C62" w:rsidP="00260C62">
            <w:pPr>
              <w:ind w:right="213"/>
              <w:jc w:val="right"/>
              <w:rPr>
                <w:color w:val="000000"/>
                <w:sz w:val="20"/>
                <w:szCs w:val="20"/>
              </w:rPr>
            </w:pPr>
            <w:r w:rsidRPr="00260C62">
              <w:rPr>
                <w:color w:val="000000"/>
                <w:sz w:val="20"/>
                <w:szCs w:val="20"/>
              </w:rPr>
              <w:t>7.632.000</w:t>
            </w:r>
          </w:p>
        </w:tc>
      </w:tr>
      <w:tr w:rsidR="00260C62" w:rsidRPr="0037658F" w:rsidTr="0042091B">
        <w:trPr>
          <w:trHeight w:val="210"/>
          <w:jc w:val="center"/>
        </w:trPr>
        <w:tc>
          <w:tcPr>
            <w:tcW w:w="4960" w:type="dxa"/>
            <w:tcBorders>
              <w:top w:val="nil"/>
              <w:left w:val="nil"/>
              <w:bottom w:val="single" w:sz="4" w:space="0" w:color="auto"/>
              <w:right w:val="nil"/>
            </w:tcBorders>
            <w:shd w:val="clear" w:color="auto" w:fill="auto"/>
            <w:noWrap/>
            <w:vAlign w:val="bottom"/>
            <w:hideMark/>
          </w:tcPr>
          <w:p w:rsidR="00260C62" w:rsidRPr="0037658F" w:rsidRDefault="00260C62" w:rsidP="00260C62">
            <w:pPr>
              <w:jc w:val="left"/>
              <w:rPr>
                <w:color w:val="000000"/>
                <w:sz w:val="20"/>
                <w:szCs w:val="16"/>
              </w:rPr>
            </w:pPr>
            <w:r w:rsidRPr="0037658F">
              <w:rPr>
                <w:color w:val="000000"/>
                <w:sz w:val="20"/>
                <w:szCs w:val="16"/>
              </w:rPr>
              <w:t>Servicio Nacional de Reinserción del Adolescente (SNRA)</w:t>
            </w:r>
          </w:p>
        </w:tc>
        <w:tc>
          <w:tcPr>
            <w:tcW w:w="1560" w:type="dxa"/>
            <w:tcBorders>
              <w:top w:val="nil"/>
              <w:left w:val="nil"/>
              <w:bottom w:val="single" w:sz="4" w:space="0" w:color="auto"/>
              <w:right w:val="nil"/>
            </w:tcBorders>
            <w:shd w:val="clear" w:color="auto" w:fill="auto"/>
            <w:noWrap/>
            <w:vAlign w:val="bottom"/>
            <w:hideMark/>
          </w:tcPr>
          <w:p w:rsidR="00260C62" w:rsidRPr="0037658F" w:rsidRDefault="00260C62" w:rsidP="00260C62">
            <w:pPr>
              <w:ind w:right="213"/>
              <w:jc w:val="right"/>
              <w:rPr>
                <w:color w:val="000000"/>
                <w:sz w:val="20"/>
                <w:szCs w:val="16"/>
              </w:rPr>
            </w:pPr>
            <w:r w:rsidRPr="0037658F">
              <w:rPr>
                <w:color w:val="000000"/>
                <w:sz w:val="20"/>
                <w:szCs w:val="16"/>
              </w:rPr>
              <w:t>3.594.250</w:t>
            </w:r>
          </w:p>
        </w:tc>
        <w:tc>
          <w:tcPr>
            <w:tcW w:w="1560" w:type="dxa"/>
            <w:tcBorders>
              <w:top w:val="nil"/>
              <w:left w:val="nil"/>
              <w:bottom w:val="single" w:sz="4" w:space="0" w:color="auto"/>
              <w:right w:val="nil"/>
            </w:tcBorders>
            <w:vAlign w:val="bottom"/>
          </w:tcPr>
          <w:p w:rsidR="00260C62" w:rsidRPr="00260C62" w:rsidRDefault="00260C62" w:rsidP="00260C62">
            <w:pPr>
              <w:ind w:right="213"/>
              <w:jc w:val="right"/>
              <w:rPr>
                <w:color w:val="000000"/>
                <w:sz w:val="20"/>
                <w:szCs w:val="20"/>
              </w:rPr>
            </w:pPr>
            <w:r w:rsidRPr="00260C62">
              <w:rPr>
                <w:color w:val="000000"/>
                <w:sz w:val="20"/>
                <w:szCs w:val="20"/>
              </w:rPr>
              <w:t>7.632.000</w:t>
            </w:r>
          </w:p>
        </w:tc>
      </w:tr>
      <w:tr w:rsidR="00260C62" w:rsidRPr="0037658F" w:rsidTr="0042091B">
        <w:trPr>
          <w:trHeight w:val="210"/>
          <w:jc w:val="center"/>
        </w:trPr>
        <w:tc>
          <w:tcPr>
            <w:tcW w:w="4960" w:type="dxa"/>
            <w:tcBorders>
              <w:top w:val="single" w:sz="4" w:space="0" w:color="auto"/>
              <w:left w:val="nil"/>
              <w:bottom w:val="single" w:sz="4" w:space="0" w:color="auto"/>
              <w:right w:val="nil"/>
            </w:tcBorders>
            <w:shd w:val="clear" w:color="auto" w:fill="auto"/>
            <w:noWrap/>
            <w:vAlign w:val="bottom"/>
            <w:hideMark/>
          </w:tcPr>
          <w:p w:rsidR="00260C62" w:rsidRPr="0037658F" w:rsidRDefault="00260C62" w:rsidP="00260C62">
            <w:pPr>
              <w:jc w:val="left"/>
              <w:rPr>
                <w:b/>
                <w:bCs/>
                <w:color w:val="000000"/>
                <w:sz w:val="20"/>
                <w:szCs w:val="16"/>
              </w:rPr>
            </w:pPr>
            <w:r w:rsidRPr="0037658F">
              <w:rPr>
                <w:b/>
                <w:bCs/>
                <w:color w:val="000000"/>
                <w:sz w:val="20"/>
                <w:szCs w:val="16"/>
              </w:rPr>
              <w:t>Total</w:t>
            </w:r>
          </w:p>
        </w:tc>
        <w:tc>
          <w:tcPr>
            <w:tcW w:w="1560" w:type="dxa"/>
            <w:tcBorders>
              <w:top w:val="single" w:sz="4" w:space="0" w:color="auto"/>
              <w:left w:val="nil"/>
              <w:bottom w:val="single" w:sz="4" w:space="0" w:color="auto"/>
              <w:right w:val="nil"/>
            </w:tcBorders>
            <w:shd w:val="clear" w:color="auto" w:fill="auto"/>
            <w:noWrap/>
            <w:vAlign w:val="bottom"/>
            <w:hideMark/>
          </w:tcPr>
          <w:p w:rsidR="00260C62" w:rsidRPr="0037658F" w:rsidRDefault="00260C62" w:rsidP="00260C62">
            <w:pPr>
              <w:ind w:right="213"/>
              <w:jc w:val="right"/>
              <w:rPr>
                <w:b/>
                <w:bCs/>
                <w:color w:val="000000"/>
                <w:sz w:val="20"/>
                <w:szCs w:val="16"/>
              </w:rPr>
            </w:pPr>
            <w:r w:rsidRPr="0037658F">
              <w:rPr>
                <w:b/>
                <w:bCs/>
                <w:color w:val="000000"/>
                <w:sz w:val="20"/>
                <w:szCs w:val="16"/>
              </w:rPr>
              <w:t>11.692.900</w:t>
            </w:r>
          </w:p>
        </w:tc>
        <w:tc>
          <w:tcPr>
            <w:tcW w:w="1560" w:type="dxa"/>
            <w:tcBorders>
              <w:top w:val="single" w:sz="4" w:space="0" w:color="auto"/>
              <w:left w:val="nil"/>
              <w:bottom w:val="single" w:sz="4" w:space="0" w:color="auto"/>
              <w:right w:val="nil"/>
            </w:tcBorders>
            <w:vAlign w:val="bottom"/>
          </w:tcPr>
          <w:p w:rsidR="00260C62" w:rsidRPr="00260C62" w:rsidRDefault="00260C62" w:rsidP="00260C62">
            <w:pPr>
              <w:ind w:right="213"/>
              <w:jc w:val="right"/>
              <w:rPr>
                <w:b/>
                <w:bCs/>
                <w:color w:val="000000"/>
                <w:sz w:val="20"/>
                <w:szCs w:val="20"/>
              </w:rPr>
            </w:pPr>
            <w:r w:rsidRPr="00260C62">
              <w:rPr>
                <w:b/>
                <w:bCs/>
                <w:color w:val="000000"/>
                <w:sz w:val="20"/>
                <w:szCs w:val="20"/>
              </w:rPr>
              <w:t>30.528.000</w:t>
            </w:r>
          </w:p>
        </w:tc>
      </w:tr>
    </w:tbl>
    <w:p w:rsidR="00096B03" w:rsidRPr="0053032C" w:rsidRDefault="00096B03" w:rsidP="00260C62">
      <w:pPr>
        <w:pStyle w:val="ListParagraph"/>
        <w:ind w:left="709"/>
        <w:rPr>
          <w:sz w:val="18"/>
        </w:rPr>
      </w:pPr>
      <w:r w:rsidRPr="0053032C">
        <w:rPr>
          <w:sz w:val="18"/>
        </w:rPr>
        <w:t>En dólares</w:t>
      </w:r>
      <w:r w:rsidR="005923A1">
        <w:rPr>
          <w:sz w:val="18"/>
        </w:rPr>
        <w:t xml:space="preserve"> 2014</w:t>
      </w:r>
      <w:r w:rsidRPr="0053032C">
        <w:rPr>
          <w:sz w:val="18"/>
        </w:rPr>
        <w:t>.</w:t>
      </w:r>
    </w:p>
    <w:p w:rsidR="00EC7EE1" w:rsidRPr="0053032C" w:rsidRDefault="00EC7EE1" w:rsidP="00D85F7B">
      <w:pPr>
        <w:pStyle w:val="ListParagraph"/>
        <w:ind w:left="360"/>
      </w:pPr>
    </w:p>
    <w:p w:rsidR="00EC7EE1" w:rsidRPr="0053032C" w:rsidRDefault="00F57387" w:rsidP="00111F00">
      <w:pPr>
        <w:pStyle w:val="Heading2"/>
      </w:pPr>
      <w:bookmarkStart w:id="16" w:name="_Toc395208853"/>
      <w:r w:rsidRPr="0053032C">
        <w:t>Flujos previstos y descontados</w:t>
      </w:r>
      <w:bookmarkEnd w:id="16"/>
    </w:p>
    <w:p w:rsidR="00EC7EE1" w:rsidRPr="0053032C" w:rsidRDefault="00913773" w:rsidP="00260C62">
      <w:pPr>
        <w:pStyle w:val="ListParagraph"/>
        <w:numPr>
          <w:ilvl w:val="0"/>
          <w:numId w:val="14"/>
        </w:numPr>
        <w:spacing w:after="240"/>
        <w:ind w:left="0" w:hanging="567"/>
      </w:pPr>
      <w:r w:rsidRPr="0053032C">
        <w:t xml:space="preserve">En el cuadro </w:t>
      </w:r>
      <w:r w:rsidR="00260C62">
        <w:t xml:space="preserve">7 puede </w:t>
      </w:r>
      <w:r w:rsidRPr="0053032C">
        <w:t>observarse el valor presente neto aplicando una tasa de descuento del 12%</w:t>
      </w:r>
      <w:r w:rsidR="00260C62">
        <w:t xml:space="preserve"> para ambas alternativas:</w:t>
      </w:r>
    </w:p>
    <w:p w:rsidR="00913773" w:rsidRPr="0053032C" w:rsidRDefault="00913773" w:rsidP="00913773">
      <w:pPr>
        <w:pStyle w:val="Caption"/>
        <w:spacing w:after="120"/>
        <w:jc w:val="center"/>
        <w:rPr>
          <w:b w:val="0"/>
        </w:rPr>
      </w:pPr>
      <w:r w:rsidRPr="0053032C">
        <w:t xml:space="preserve">Cuadro </w:t>
      </w:r>
      <w:r w:rsidR="00AE7E80">
        <w:fldChar w:fldCharType="begin"/>
      </w:r>
      <w:r w:rsidR="00AE7E80">
        <w:instrText xml:space="preserve"> SEQ Cuadro \* ARABIC </w:instrText>
      </w:r>
      <w:r w:rsidR="00AE7E80">
        <w:fldChar w:fldCharType="separate"/>
      </w:r>
      <w:r w:rsidR="0065198A" w:rsidRPr="0053032C">
        <w:t>7</w:t>
      </w:r>
      <w:r w:rsidR="00AE7E80">
        <w:fldChar w:fldCharType="end"/>
      </w:r>
      <w:r w:rsidRPr="0053032C">
        <w:t xml:space="preserve">. </w:t>
      </w:r>
      <w:r w:rsidR="00563A75" w:rsidRPr="0053032C">
        <w:t>VPN</w:t>
      </w:r>
      <w:r w:rsidR="00260C62">
        <w:t xml:space="preserve"> (ambas alternativas)</w:t>
      </w:r>
    </w:p>
    <w:tbl>
      <w:tblPr>
        <w:tblW w:w="8152" w:type="dxa"/>
        <w:tblInd w:w="637" w:type="dxa"/>
        <w:tblCellMar>
          <w:left w:w="70" w:type="dxa"/>
          <w:right w:w="70" w:type="dxa"/>
        </w:tblCellMar>
        <w:tblLook w:val="04A0" w:firstRow="1" w:lastRow="0" w:firstColumn="1" w:lastColumn="0" w:noHBand="0" w:noVBand="1"/>
      </w:tblPr>
      <w:tblGrid>
        <w:gridCol w:w="5600"/>
        <w:gridCol w:w="1276"/>
        <w:gridCol w:w="1276"/>
      </w:tblGrid>
      <w:tr w:rsidR="00260C62" w:rsidRPr="0053032C" w:rsidTr="00260C62">
        <w:trPr>
          <w:trHeight w:val="210"/>
        </w:trPr>
        <w:tc>
          <w:tcPr>
            <w:tcW w:w="5600" w:type="dxa"/>
            <w:tcBorders>
              <w:top w:val="single" w:sz="4" w:space="0" w:color="auto"/>
              <w:bottom w:val="single" w:sz="4" w:space="0" w:color="auto"/>
            </w:tcBorders>
            <w:shd w:val="clear" w:color="auto" w:fill="auto"/>
            <w:noWrap/>
            <w:vAlign w:val="bottom"/>
          </w:tcPr>
          <w:p w:rsidR="00260C62" w:rsidRPr="0053032C" w:rsidRDefault="00260C62" w:rsidP="00260C62">
            <w:pPr>
              <w:jc w:val="center"/>
              <w:rPr>
                <w:b/>
                <w:bCs/>
                <w:color w:val="000000"/>
                <w:sz w:val="20"/>
                <w:szCs w:val="16"/>
                <w:lang w:eastAsia="es-ES_tradnl"/>
              </w:rPr>
            </w:pPr>
          </w:p>
        </w:tc>
        <w:tc>
          <w:tcPr>
            <w:tcW w:w="1276" w:type="dxa"/>
            <w:tcBorders>
              <w:top w:val="single" w:sz="4" w:space="0" w:color="auto"/>
              <w:bottom w:val="single" w:sz="4" w:space="0" w:color="auto"/>
            </w:tcBorders>
            <w:shd w:val="clear" w:color="auto" w:fill="auto"/>
            <w:noWrap/>
            <w:vAlign w:val="bottom"/>
          </w:tcPr>
          <w:p w:rsidR="00260C62" w:rsidRPr="0037658F" w:rsidRDefault="00260C62" w:rsidP="00260C62">
            <w:pPr>
              <w:jc w:val="center"/>
              <w:rPr>
                <w:b/>
                <w:bCs/>
                <w:color w:val="000000"/>
                <w:sz w:val="20"/>
                <w:szCs w:val="16"/>
              </w:rPr>
            </w:pPr>
            <w:r>
              <w:rPr>
                <w:b/>
                <w:bCs/>
                <w:color w:val="000000"/>
                <w:sz w:val="20"/>
                <w:szCs w:val="16"/>
              </w:rPr>
              <w:t>SIN</w:t>
            </w:r>
          </w:p>
        </w:tc>
        <w:tc>
          <w:tcPr>
            <w:tcW w:w="1276" w:type="dxa"/>
            <w:tcBorders>
              <w:top w:val="single" w:sz="4" w:space="0" w:color="auto"/>
              <w:bottom w:val="single" w:sz="4" w:space="0" w:color="auto"/>
            </w:tcBorders>
            <w:shd w:val="clear" w:color="auto" w:fill="auto"/>
            <w:noWrap/>
          </w:tcPr>
          <w:p w:rsidR="00260C62" w:rsidRDefault="00260C62" w:rsidP="00260C62">
            <w:pPr>
              <w:jc w:val="center"/>
              <w:rPr>
                <w:b/>
                <w:bCs/>
                <w:color w:val="000000"/>
                <w:sz w:val="20"/>
                <w:szCs w:val="16"/>
              </w:rPr>
            </w:pPr>
            <w:r>
              <w:rPr>
                <w:b/>
                <w:bCs/>
                <w:color w:val="000000"/>
                <w:sz w:val="20"/>
                <w:szCs w:val="16"/>
              </w:rPr>
              <w:t>CON</w:t>
            </w:r>
          </w:p>
        </w:tc>
      </w:tr>
      <w:tr w:rsidR="00260C62" w:rsidRPr="0053032C" w:rsidTr="00260C62">
        <w:trPr>
          <w:trHeight w:val="210"/>
        </w:trPr>
        <w:tc>
          <w:tcPr>
            <w:tcW w:w="5600" w:type="dxa"/>
            <w:tcBorders>
              <w:top w:val="single" w:sz="4" w:space="0" w:color="auto"/>
            </w:tcBorders>
            <w:shd w:val="clear" w:color="auto" w:fill="auto"/>
            <w:noWrap/>
            <w:hideMark/>
          </w:tcPr>
          <w:p w:rsidR="00260C62" w:rsidRPr="00260C62" w:rsidRDefault="00260C62" w:rsidP="00260C62">
            <w:pPr>
              <w:rPr>
                <w:sz w:val="20"/>
              </w:rPr>
            </w:pPr>
            <w:r w:rsidRPr="00260C62">
              <w:rPr>
                <w:sz w:val="20"/>
              </w:rPr>
              <w:t>Servicio Nacional del Consumidor (SERNAC)</w:t>
            </w:r>
          </w:p>
        </w:tc>
        <w:tc>
          <w:tcPr>
            <w:tcW w:w="1276" w:type="dxa"/>
            <w:tcBorders>
              <w:top w:val="single" w:sz="4" w:space="0" w:color="auto"/>
            </w:tcBorders>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2.394.502</w:t>
            </w:r>
          </w:p>
        </w:tc>
        <w:tc>
          <w:tcPr>
            <w:tcW w:w="1276" w:type="dxa"/>
            <w:tcBorders>
              <w:top w:val="single" w:sz="4" w:space="0" w:color="auto"/>
            </w:tcBorders>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5.486.923</w:t>
            </w:r>
          </w:p>
        </w:tc>
      </w:tr>
      <w:tr w:rsidR="00260C62" w:rsidRPr="0053032C" w:rsidTr="00260C62">
        <w:trPr>
          <w:trHeight w:val="210"/>
        </w:trPr>
        <w:tc>
          <w:tcPr>
            <w:tcW w:w="5600" w:type="dxa"/>
            <w:shd w:val="clear" w:color="auto" w:fill="auto"/>
            <w:noWrap/>
          </w:tcPr>
          <w:p w:rsidR="00260C62" w:rsidRPr="00260C62" w:rsidRDefault="00260C62" w:rsidP="00260C62">
            <w:pPr>
              <w:rPr>
                <w:sz w:val="20"/>
              </w:rPr>
            </w:pPr>
            <w:r w:rsidRPr="00260C62">
              <w:rPr>
                <w:sz w:val="20"/>
              </w:rPr>
              <w:t>Instituto Nacional de Estadística (INE)</w:t>
            </w:r>
          </w:p>
        </w:tc>
        <w:tc>
          <w:tcPr>
            <w:tcW w:w="1276" w:type="dxa"/>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1.887.843</w:t>
            </w:r>
          </w:p>
        </w:tc>
        <w:tc>
          <w:tcPr>
            <w:tcW w:w="1276" w:type="dxa"/>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5.486.923</w:t>
            </w:r>
          </w:p>
        </w:tc>
      </w:tr>
      <w:tr w:rsidR="00260C62" w:rsidRPr="0053032C" w:rsidTr="00260C62">
        <w:trPr>
          <w:trHeight w:val="210"/>
        </w:trPr>
        <w:tc>
          <w:tcPr>
            <w:tcW w:w="5600" w:type="dxa"/>
            <w:shd w:val="clear" w:color="auto" w:fill="auto"/>
            <w:noWrap/>
          </w:tcPr>
          <w:p w:rsidR="00260C62" w:rsidRPr="00260C62" w:rsidRDefault="00260C62" w:rsidP="00260C62">
            <w:pPr>
              <w:rPr>
                <w:sz w:val="20"/>
              </w:rPr>
            </w:pPr>
            <w:r w:rsidRPr="00260C62">
              <w:rPr>
                <w:sz w:val="20"/>
              </w:rPr>
              <w:t>Servicio Nacional de Protección del Menor (SPMN)</w:t>
            </w:r>
          </w:p>
        </w:tc>
        <w:tc>
          <w:tcPr>
            <w:tcW w:w="1276" w:type="dxa"/>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2.513.363</w:t>
            </w:r>
          </w:p>
        </w:tc>
        <w:tc>
          <w:tcPr>
            <w:tcW w:w="1276" w:type="dxa"/>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5.486.923</w:t>
            </w:r>
          </w:p>
        </w:tc>
      </w:tr>
      <w:tr w:rsidR="00260C62" w:rsidRPr="0053032C" w:rsidTr="00260C62">
        <w:trPr>
          <w:trHeight w:val="210"/>
        </w:trPr>
        <w:tc>
          <w:tcPr>
            <w:tcW w:w="5600" w:type="dxa"/>
            <w:tcBorders>
              <w:bottom w:val="single" w:sz="4" w:space="0" w:color="auto"/>
            </w:tcBorders>
            <w:shd w:val="clear" w:color="auto" w:fill="auto"/>
            <w:noWrap/>
          </w:tcPr>
          <w:p w:rsidR="00260C62" w:rsidRPr="00260C62" w:rsidRDefault="00260C62" w:rsidP="00260C62">
            <w:pPr>
              <w:rPr>
                <w:sz w:val="20"/>
              </w:rPr>
            </w:pPr>
            <w:r w:rsidRPr="00260C62">
              <w:rPr>
                <w:sz w:val="20"/>
              </w:rPr>
              <w:t>Servicio Nacional de Reinserción del Adolescente (SNRA)</w:t>
            </w:r>
          </w:p>
        </w:tc>
        <w:tc>
          <w:tcPr>
            <w:tcW w:w="1276" w:type="dxa"/>
            <w:tcBorders>
              <w:bottom w:val="single" w:sz="4" w:space="0" w:color="auto"/>
            </w:tcBorders>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3.015.993</w:t>
            </w:r>
          </w:p>
        </w:tc>
        <w:tc>
          <w:tcPr>
            <w:tcW w:w="1276" w:type="dxa"/>
            <w:tcBorders>
              <w:bottom w:val="single" w:sz="4" w:space="0" w:color="auto"/>
            </w:tcBorders>
            <w:shd w:val="clear" w:color="auto" w:fill="auto"/>
            <w:noWrap/>
            <w:vAlign w:val="bottom"/>
          </w:tcPr>
          <w:p w:rsidR="00260C62" w:rsidRPr="00260C62" w:rsidRDefault="00260C62" w:rsidP="00260C62">
            <w:pPr>
              <w:jc w:val="right"/>
              <w:rPr>
                <w:color w:val="000000"/>
                <w:sz w:val="20"/>
                <w:szCs w:val="20"/>
              </w:rPr>
            </w:pPr>
            <w:r w:rsidRPr="00260C62">
              <w:rPr>
                <w:color w:val="000000"/>
                <w:sz w:val="20"/>
                <w:szCs w:val="20"/>
              </w:rPr>
              <w:t>5.486.923</w:t>
            </w:r>
          </w:p>
        </w:tc>
      </w:tr>
      <w:tr w:rsidR="00260C62" w:rsidRPr="0053032C" w:rsidTr="00260C62">
        <w:trPr>
          <w:trHeight w:val="210"/>
        </w:trPr>
        <w:tc>
          <w:tcPr>
            <w:tcW w:w="5600" w:type="dxa"/>
            <w:tcBorders>
              <w:top w:val="single" w:sz="4" w:space="0" w:color="auto"/>
              <w:bottom w:val="single" w:sz="4" w:space="0" w:color="auto"/>
            </w:tcBorders>
            <w:shd w:val="clear" w:color="auto" w:fill="auto"/>
            <w:noWrap/>
            <w:hideMark/>
          </w:tcPr>
          <w:p w:rsidR="00260C62" w:rsidRPr="00260C62" w:rsidRDefault="00260C62" w:rsidP="00260C62">
            <w:pPr>
              <w:rPr>
                <w:b/>
                <w:sz w:val="20"/>
              </w:rPr>
            </w:pPr>
            <w:r w:rsidRPr="00260C62">
              <w:rPr>
                <w:b/>
                <w:sz w:val="20"/>
              </w:rPr>
              <w:t>Total</w:t>
            </w:r>
          </w:p>
        </w:tc>
        <w:tc>
          <w:tcPr>
            <w:tcW w:w="1276" w:type="dxa"/>
            <w:tcBorders>
              <w:top w:val="single" w:sz="4" w:space="0" w:color="auto"/>
              <w:bottom w:val="single" w:sz="4" w:space="0" w:color="auto"/>
            </w:tcBorders>
            <w:shd w:val="clear" w:color="auto" w:fill="auto"/>
            <w:noWrap/>
            <w:vAlign w:val="bottom"/>
          </w:tcPr>
          <w:p w:rsidR="00260C62" w:rsidRPr="00260C62" w:rsidRDefault="00260C62" w:rsidP="00260C62">
            <w:pPr>
              <w:jc w:val="right"/>
              <w:rPr>
                <w:b/>
                <w:bCs/>
                <w:color w:val="000000"/>
                <w:sz w:val="20"/>
                <w:szCs w:val="20"/>
              </w:rPr>
            </w:pPr>
            <w:r w:rsidRPr="00260C62">
              <w:rPr>
                <w:b/>
                <w:bCs/>
                <w:color w:val="000000"/>
                <w:sz w:val="20"/>
                <w:szCs w:val="20"/>
              </w:rPr>
              <w:t>9.811.701</w:t>
            </w:r>
          </w:p>
        </w:tc>
        <w:tc>
          <w:tcPr>
            <w:tcW w:w="1276" w:type="dxa"/>
            <w:tcBorders>
              <w:top w:val="single" w:sz="4" w:space="0" w:color="auto"/>
              <w:bottom w:val="single" w:sz="4" w:space="0" w:color="auto"/>
            </w:tcBorders>
            <w:shd w:val="clear" w:color="auto" w:fill="auto"/>
            <w:noWrap/>
            <w:vAlign w:val="bottom"/>
          </w:tcPr>
          <w:p w:rsidR="00260C62" w:rsidRPr="00260C62" w:rsidRDefault="00260C62" w:rsidP="00260C62">
            <w:pPr>
              <w:jc w:val="right"/>
              <w:rPr>
                <w:b/>
                <w:bCs/>
                <w:color w:val="000000"/>
                <w:sz w:val="20"/>
                <w:szCs w:val="20"/>
              </w:rPr>
            </w:pPr>
            <w:r w:rsidRPr="00260C62">
              <w:rPr>
                <w:b/>
                <w:bCs/>
                <w:color w:val="000000"/>
                <w:sz w:val="20"/>
                <w:szCs w:val="20"/>
              </w:rPr>
              <w:t>21.947.693</w:t>
            </w:r>
          </w:p>
        </w:tc>
      </w:tr>
    </w:tbl>
    <w:p w:rsidR="00053A93" w:rsidRPr="0053032C" w:rsidRDefault="00260C62" w:rsidP="00053A93">
      <w:pPr>
        <w:pStyle w:val="ListParagraph"/>
        <w:ind w:left="709"/>
        <w:rPr>
          <w:sz w:val="18"/>
        </w:rPr>
      </w:pPr>
      <w:r>
        <w:rPr>
          <w:sz w:val="18"/>
        </w:rPr>
        <w:t>En dólares 2014</w:t>
      </w:r>
      <w:r w:rsidR="00053A93" w:rsidRPr="0053032C">
        <w:rPr>
          <w:sz w:val="18"/>
        </w:rPr>
        <w:t>.</w:t>
      </w:r>
    </w:p>
    <w:p w:rsidR="00EC7EE1" w:rsidRPr="0053032C" w:rsidRDefault="00EC7EE1" w:rsidP="00D85F7B">
      <w:pPr>
        <w:pStyle w:val="ListParagraph"/>
        <w:ind w:left="360"/>
      </w:pPr>
    </w:p>
    <w:p w:rsidR="00020F0D" w:rsidRPr="0053032C" w:rsidRDefault="00622438" w:rsidP="00622438">
      <w:pPr>
        <w:pStyle w:val="Heading1"/>
      </w:pPr>
      <w:bookmarkStart w:id="17" w:name="_Toc395208854"/>
      <w:r w:rsidRPr="0053032C">
        <w:t>Evaluación costo-efectividad</w:t>
      </w:r>
      <w:bookmarkEnd w:id="17"/>
    </w:p>
    <w:p w:rsidR="00D13B56" w:rsidRPr="0053032C" w:rsidRDefault="00333C50" w:rsidP="00260C62">
      <w:pPr>
        <w:pStyle w:val="ListParagraph"/>
        <w:numPr>
          <w:ilvl w:val="0"/>
          <w:numId w:val="14"/>
        </w:numPr>
        <w:spacing w:after="240"/>
        <w:ind w:left="0" w:hanging="567"/>
      </w:pPr>
      <w:r w:rsidRPr="0053032C">
        <w:t>De acuerdo con todos los supuestos, y expuestas las distintas alternativas consideradas para el análisis, los resultados del análisis costo</w:t>
      </w:r>
      <w:r w:rsidR="00E3558F" w:rsidRPr="0053032C">
        <w:t xml:space="preserve">-efectividad se presentan en </w:t>
      </w:r>
      <w:r w:rsidR="00973C05">
        <w:t>el</w:t>
      </w:r>
      <w:r w:rsidR="00E3558F" w:rsidRPr="0053032C">
        <w:t xml:space="preserve"> cuadro </w:t>
      </w:r>
      <w:r w:rsidR="00260C62">
        <w:t>8</w:t>
      </w:r>
      <w:r w:rsidR="00E3558F" w:rsidRPr="0053032C">
        <w:t xml:space="preserve">. Con respecto al Índice de </w:t>
      </w:r>
      <w:r w:rsidR="006E059E">
        <w:rPr>
          <w:bCs/>
        </w:rPr>
        <w:t>Global de Capacidad de Gestión</w:t>
      </w:r>
      <w:r w:rsidR="00E3558F" w:rsidRPr="0053032C">
        <w:rPr>
          <w:bCs/>
        </w:rPr>
        <w:t xml:space="preserve"> (</w:t>
      </w:r>
      <w:r w:rsidR="006E059E">
        <w:rPr>
          <w:bCs/>
        </w:rPr>
        <w:t>IGECA</w:t>
      </w:r>
      <w:r w:rsidR="00E3558F" w:rsidRPr="0053032C">
        <w:rPr>
          <w:bCs/>
        </w:rPr>
        <w:t xml:space="preserve">), la solución aportada por la alternativa </w:t>
      </w:r>
      <w:r w:rsidR="000075DE">
        <w:rPr>
          <w:bCs/>
        </w:rPr>
        <w:t>CON</w:t>
      </w:r>
      <w:r w:rsidR="00E3558F" w:rsidRPr="0053032C">
        <w:rPr>
          <w:bCs/>
        </w:rPr>
        <w:t xml:space="preserve"> es 1,</w:t>
      </w:r>
      <w:r w:rsidR="00B20B63">
        <w:rPr>
          <w:bCs/>
        </w:rPr>
        <w:t>67</w:t>
      </w:r>
      <w:r w:rsidR="00E3558F" w:rsidRPr="0053032C">
        <w:rPr>
          <w:bCs/>
        </w:rPr>
        <w:t xml:space="preserve"> veces más costo-efectiva que alternativa </w:t>
      </w:r>
      <w:r w:rsidR="000075DE">
        <w:rPr>
          <w:bCs/>
        </w:rPr>
        <w:t>SIN</w:t>
      </w:r>
      <w:r w:rsidR="00E3558F" w:rsidRPr="0053032C">
        <w:rPr>
          <w:bCs/>
        </w:rPr>
        <w:t xml:space="preserve">. Por tanto, el esfuerzo que representa el Programa BID, por unidad de </w:t>
      </w:r>
      <w:r w:rsidR="000075DE">
        <w:rPr>
          <w:bCs/>
        </w:rPr>
        <w:t>ICAGE</w:t>
      </w:r>
      <w:r w:rsidR="00E3558F" w:rsidRPr="0053032C">
        <w:rPr>
          <w:bCs/>
        </w:rPr>
        <w:t xml:space="preserve"> que logra, es más eficiente que el esfuerzo que se realizaría tratando de subir el índice con los recursos propios presupuestarios.</w:t>
      </w:r>
      <w:r w:rsidR="00527A55">
        <w:rPr>
          <w:rStyle w:val="FootnoteReference"/>
          <w:bCs/>
        </w:rPr>
        <w:footnoteReference w:id="5"/>
      </w:r>
    </w:p>
    <w:p w:rsidR="004E7C0A" w:rsidRPr="0053032C" w:rsidRDefault="004E7C0A" w:rsidP="004E7C0A">
      <w:pPr>
        <w:pStyle w:val="Caption"/>
        <w:spacing w:after="120"/>
        <w:jc w:val="center"/>
        <w:rPr>
          <w:b w:val="0"/>
        </w:rPr>
      </w:pPr>
      <w:r w:rsidRPr="0053032C">
        <w:t xml:space="preserve">Cuadro </w:t>
      </w:r>
      <w:r w:rsidR="006E059E">
        <w:t>8</w:t>
      </w:r>
      <w:r w:rsidRPr="0053032C">
        <w:t xml:space="preserve">. Costo-efectividad relativo al </w:t>
      </w:r>
      <w:r w:rsidR="00260C62">
        <w:t>IGECA</w:t>
      </w:r>
    </w:p>
    <w:tbl>
      <w:tblPr>
        <w:tblW w:w="8931" w:type="dxa"/>
        <w:jc w:val="center"/>
        <w:tblCellMar>
          <w:left w:w="70" w:type="dxa"/>
          <w:right w:w="70" w:type="dxa"/>
        </w:tblCellMar>
        <w:tblLook w:val="04A0" w:firstRow="1" w:lastRow="0" w:firstColumn="1" w:lastColumn="0" w:noHBand="0" w:noVBand="1"/>
      </w:tblPr>
      <w:tblGrid>
        <w:gridCol w:w="2835"/>
        <w:gridCol w:w="709"/>
        <w:gridCol w:w="709"/>
        <w:gridCol w:w="1134"/>
        <w:gridCol w:w="1134"/>
        <w:gridCol w:w="1190"/>
        <w:gridCol w:w="1220"/>
      </w:tblGrid>
      <w:tr w:rsidR="00093D61" w:rsidRPr="0053032C" w:rsidTr="00973C05">
        <w:trPr>
          <w:trHeight w:val="210"/>
          <w:jc w:val="center"/>
        </w:trPr>
        <w:tc>
          <w:tcPr>
            <w:tcW w:w="2835" w:type="dxa"/>
            <w:tcBorders>
              <w:top w:val="single" w:sz="4" w:space="0" w:color="auto"/>
              <w:left w:val="nil"/>
              <w:bottom w:val="single" w:sz="4" w:space="0" w:color="auto"/>
              <w:right w:val="nil"/>
            </w:tcBorders>
            <w:shd w:val="clear" w:color="auto" w:fill="auto"/>
            <w:noWrap/>
            <w:vAlign w:val="bottom"/>
          </w:tcPr>
          <w:p w:rsidR="00093D61" w:rsidRPr="0053032C" w:rsidRDefault="00093D61" w:rsidP="00333C50">
            <w:pPr>
              <w:jc w:val="left"/>
              <w:rPr>
                <w:b/>
                <w:bCs/>
                <w:color w:val="000000"/>
                <w:sz w:val="20"/>
                <w:szCs w:val="16"/>
                <w:lang w:eastAsia="es-ES_tradnl"/>
              </w:rPr>
            </w:pPr>
          </w:p>
        </w:tc>
        <w:tc>
          <w:tcPr>
            <w:tcW w:w="709" w:type="dxa"/>
            <w:tcBorders>
              <w:top w:val="single" w:sz="4" w:space="0" w:color="auto"/>
              <w:left w:val="nil"/>
              <w:bottom w:val="single" w:sz="4" w:space="0" w:color="auto"/>
              <w:right w:val="nil"/>
            </w:tcBorders>
            <w:shd w:val="clear" w:color="auto" w:fill="auto"/>
            <w:noWrap/>
            <w:vAlign w:val="bottom"/>
            <w:hideMark/>
          </w:tcPr>
          <w:p w:rsidR="00093D61" w:rsidRPr="0053032C" w:rsidRDefault="00093D61" w:rsidP="00333C50">
            <w:pPr>
              <w:ind w:left="-70" w:firstLine="70"/>
              <w:jc w:val="right"/>
              <w:rPr>
                <w:b/>
                <w:bCs/>
                <w:color w:val="000000"/>
                <w:sz w:val="20"/>
                <w:szCs w:val="16"/>
                <w:lang w:eastAsia="es-ES_tradnl"/>
              </w:rPr>
            </w:pPr>
            <w:r w:rsidRPr="0053032C">
              <w:rPr>
                <w:b/>
                <w:bCs/>
                <w:color w:val="000000"/>
                <w:sz w:val="20"/>
                <w:szCs w:val="16"/>
                <w:lang w:eastAsia="es-ES_tradnl"/>
              </w:rPr>
              <w:t>t=1</w:t>
            </w:r>
          </w:p>
        </w:tc>
        <w:tc>
          <w:tcPr>
            <w:tcW w:w="709" w:type="dxa"/>
            <w:tcBorders>
              <w:top w:val="single" w:sz="4" w:space="0" w:color="auto"/>
              <w:left w:val="nil"/>
              <w:bottom w:val="single" w:sz="4" w:space="0" w:color="auto"/>
              <w:right w:val="nil"/>
            </w:tcBorders>
            <w:shd w:val="clear" w:color="auto" w:fill="auto"/>
            <w:noWrap/>
            <w:vAlign w:val="bottom"/>
            <w:hideMark/>
          </w:tcPr>
          <w:p w:rsidR="00093D61" w:rsidRPr="0053032C" w:rsidRDefault="006E059E" w:rsidP="00333C50">
            <w:pPr>
              <w:ind w:left="-70" w:firstLine="70"/>
              <w:jc w:val="right"/>
              <w:rPr>
                <w:b/>
                <w:bCs/>
                <w:color w:val="000000"/>
                <w:sz w:val="20"/>
                <w:szCs w:val="16"/>
                <w:lang w:eastAsia="es-ES_tradnl"/>
              </w:rPr>
            </w:pPr>
            <w:r>
              <w:rPr>
                <w:b/>
                <w:bCs/>
                <w:color w:val="000000"/>
                <w:sz w:val="20"/>
                <w:szCs w:val="16"/>
                <w:lang w:eastAsia="es-ES_tradnl"/>
              </w:rPr>
              <w:t>t = 6</w:t>
            </w:r>
          </w:p>
        </w:tc>
        <w:tc>
          <w:tcPr>
            <w:tcW w:w="1134" w:type="dxa"/>
            <w:tcBorders>
              <w:top w:val="single" w:sz="4" w:space="0" w:color="auto"/>
              <w:left w:val="nil"/>
              <w:bottom w:val="single" w:sz="4" w:space="0" w:color="auto"/>
              <w:right w:val="nil"/>
            </w:tcBorders>
            <w:shd w:val="clear" w:color="auto" w:fill="auto"/>
            <w:noWrap/>
            <w:vAlign w:val="bottom"/>
            <w:hideMark/>
          </w:tcPr>
          <w:p w:rsidR="00093D61" w:rsidRPr="0053032C" w:rsidRDefault="00093D61" w:rsidP="00093D61">
            <w:pPr>
              <w:ind w:left="-70" w:firstLine="70"/>
              <w:jc w:val="center"/>
              <w:rPr>
                <w:b/>
                <w:bCs/>
                <w:color w:val="000000"/>
                <w:sz w:val="20"/>
                <w:szCs w:val="16"/>
                <w:vertAlign w:val="superscript"/>
                <w:lang w:eastAsia="es-ES_tradnl"/>
              </w:rPr>
            </w:pPr>
            <w:r w:rsidRPr="0053032C">
              <w:rPr>
                <w:b/>
                <w:bCs/>
                <w:color w:val="000000"/>
                <w:sz w:val="20"/>
                <w:szCs w:val="16"/>
                <w:lang w:eastAsia="es-ES_tradnl"/>
              </w:rPr>
              <w:t>Costo</w:t>
            </w:r>
            <w:r w:rsidRPr="0053032C">
              <w:rPr>
                <w:b/>
                <w:bCs/>
                <w:color w:val="000000"/>
                <w:sz w:val="20"/>
                <w:szCs w:val="16"/>
                <w:vertAlign w:val="superscript"/>
                <w:lang w:eastAsia="es-ES_tradnl"/>
              </w:rPr>
              <w:t>*</w:t>
            </w:r>
          </w:p>
        </w:tc>
        <w:tc>
          <w:tcPr>
            <w:tcW w:w="1134" w:type="dxa"/>
            <w:tcBorders>
              <w:top w:val="single" w:sz="4" w:space="0" w:color="auto"/>
              <w:left w:val="nil"/>
              <w:bottom w:val="single" w:sz="4" w:space="0" w:color="auto"/>
              <w:right w:val="nil"/>
            </w:tcBorders>
            <w:shd w:val="clear" w:color="auto" w:fill="auto"/>
            <w:noWrap/>
            <w:vAlign w:val="bottom"/>
            <w:hideMark/>
          </w:tcPr>
          <w:p w:rsidR="00093D61" w:rsidRPr="0053032C" w:rsidRDefault="00093D61" w:rsidP="00333C50">
            <w:pPr>
              <w:ind w:left="-70" w:firstLine="70"/>
              <w:jc w:val="right"/>
              <w:rPr>
                <w:b/>
                <w:bCs/>
                <w:color w:val="000000"/>
                <w:sz w:val="20"/>
                <w:szCs w:val="16"/>
                <w:lang w:eastAsia="es-ES_tradnl"/>
              </w:rPr>
            </w:pPr>
            <w:r w:rsidRPr="0053032C">
              <w:rPr>
                <w:b/>
                <w:bCs/>
                <w:color w:val="000000"/>
                <w:sz w:val="20"/>
                <w:szCs w:val="16"/>
                <w:lang w:eastAsia="es-ES_tradnl"/>
              </w:rPr>
              <w:t>Incremento</w:t>
            </w:r>
          </w:p>
        </w:tc>
        <w:tc>
          <w:tcPr>
            <w:tcW w:w="1190" w:type="dxa"/>
            <w:tcBorders>
              <w:top w:val="single" w:sz="4" w:space="0" w:color="auto"/>
              <w:left w:val="nil"/>
              <w:bottom w:val="single" w:sz="4" w:space="0" w:color="auto"/>
              <w:right w:val="nil"/>
            </w:tcBorders>
            <w:shd w:val="clear" w:color="auto" w:fill="auto"/>
            <w:noWrap/>
            <w:vAlign w:val="bottom"/>
            <w:hideMark/>
          </w:tcPr>
          <w:p w:rsidR="00093D61" w:rsidRPr="0053032C" w:rsidRDefault="00093D61" w:rsidP="00E3558F">
            <w:pPr>
              <w:jc w:val="center"/>
              <w:rPr>
                <w:b/>
                <w:bCs/>
                <w:color w:val="000000"/>
                <w:sz w:val="20"/>
                <w:szCs w:val="16"/>
                <w:lang w:eastAsia="es-ES_tradnl"/>
              </w:rPr>
            </w:pPr>
            <w:r w:rsidRPr="0053032C">
              <w:rPr>
                <w:b/>
                <w:bCs/>
                <w:color w:val="000000"/>
                <w:sz w:val="20"/>
                <w:szCs w:val="16"/>
                <w:lang w:eastAsia="es-ES_tradnl"/>
              </w:rPr>
              <w:t>C/E</w:t>
            </w:r>
            <w:r w:rsidRPr="0053032C">
              <w:rPr>
                <w:b/>
                <w:bCs/>
                <w:color w:val="000000"/>
                <w:sz w:val="20"/>
                <w:szCs w:val="16"/>
                <w:vertAlign w:val="superscript"/>
                <w:lang w:eastAsia="es-ES_tradnl"/>
              </w:rPr>
              <w:t>*</w:t>
            </w:r>
          </w:p>
        </w:tc>
        <w:tc>
          <w:tcPr>
            <w:tcW w:w="1220" w:type="dxa"/>
            <w:tcBorders>
              <w:top w:val="single" w:sz="4" w:space="0" w:color="auto"/>
              <w:left w:val="nil"/>
              <w:bottom w:val="single" w:sz="4" w:space="0" w:color="auto"/>
              <w:right w:val="nil"/>
            </w:tcBorders>
            <w:shd w:val="clear" w:color="auto" w:fill="auto"/>
            <w:noWrap/>
            <w:vAlign w:val="bottom"/>
            <w:hideMark/>
          </w:tcPr>
          <w:p w:rsidR="00093D61" w:rsidRPr="0053032C" w:rsidRDefault="006E059E" w:rsidP="006E059E">
            <w:pPr>
              <w:jc w:val="right"/>
              <w:rPr>
                <w:b/>
                <w:bCs/>
                <w:color w:val="000000"/>
                <w:sz w:val="20"/>
                <w:szCs w:val="16"/>
                <w:lang w:eastAsia="es-ES_tradnl"/>
              </w:rPr>
            </w:pPr>
            <w:r>
              <w:rPr>
                <w:b/>
                <w:bCs/>
                <w:color w:val="000000"/>
                <w:sz w:val="20"/>
                <w:szCs w:val="16"/>
                <w:lang w:eastAsia="es-ES_tradnl"/>
              </w:rPr>
              <w:t>SIN</w:t>
            </w:r>
            <w:r w:rsidR="00093D61" w:rsidRPr="0053032C">
              <w:rPr>
                <w:b/>
                <w:bCs/>
                <w:color w:val="000000"/>
                <w:sz w:val="20"/>
                <w:szCs w:val="16"/>
                <w:lang w:eastAsia="es-ES_tradnl"/>
              </w:rPr>
              <w:t>/</w:t>
            </w:r>
            <w:r>
              <w:rPr>
                <w:b/>
                <w:bCs/>
                <w:color w:val="000000"/>
                <w:sz w:val="20"/>
                <w:szCs w:val="16"/>
                <w:lang w:eastAsia="es-ES_tradnl"/>
              </w:rPr>
              <w:t>CON</w:t>
            </w:r>
          </w:p>
        </w:tc>
      </w:tr>
      <w:tr w:rsidR="00093D61" w:rsidRPr="0053032C" w:rsidTr="00973C05">
        <w:trPr>
          <w:trHeight w:val="210"/>
          <w:jc w:val="center"/>
        </w:trPr>
        <w:tc>
          <w:tcPr>
            <w:tcW w:w="2835" w:type="dxa"/>
            <w:tcBorders>
              <w:top w:val="single" w:sz="4" w:space="0" w:color="auto"/>
              <w:left w:val="nil"/>
              <w:right w:val="nil"/>
            </w:tcBorders>
            <w:shd w:val="clear" w:color="auto" w:fill="auto"/>
            <w:noWrap/>
            <w:vAlign w:val="bottom"/>
            <w:hideMark/>
          </w:tcPr>
          <w:p w:rsidR="00333C50" w:rsidRPr="0053032C" w:rsidRDefault="00333C50" w:rsidP="006E059E">
            <w:pPr>
              <w:jc w:val="left"/>
              <w:rPr>
                <w:color w:val="000000"/>
                <w:sz w:val="20"/>
                <w:szCs w:val="16"/>
                <w:lang w:eastAsia="es-ES_tradnl"/>
              </w:rPr>
            </w:pPr>
            <w:r w:rsidRPr="0053032C">
              <w:rPr>
                <w:color w:val="000000"/>
                <w:sz w:val="20"/>
                <w:szCs w:val="16"/>
                <w:lang w:eastAsia="es-ES_tradnl"/>
              </w:rPr>
              <w:t xml:space="preserve">Alternativa </w:t>
            </w:r>
            <w:r w:rsidR="006E059E">
              <w:rPr>
                <w:color w:val="000000"/>
                <w:sz w:val="20"/>
                <w:szCs w:val="16"/>
                <w:lang w:eastAsia="es-ES_tradnl"/>
              </w:rPr>
              <w:t>SIN</w:t>
            </w:r>
            <w:r w:rsidRPr="0053032C">
              <w:rPr>
                <w:color w:val="000000"/>
                <w:sz w:val="20"/>
                <w:szCs w:val="16"/>
                <w:lang w:eastAsia="es-ES_tradnl"/>
              </w:rPr>
              <w:t>: recursos propios</w:t>
            </w:r>
          </w:p>
        </w:tc>
        <w:tc>
          <w:tcPr>
            <w:tcW w:w="709" w:type="dxa"/>
            <w:tcBorders>
              <w:top w:val="single" w:sz="4" w:space="0" w:color="auto"/>
              <w:left w:val="nil"/>
              <w:right w:val="nil"/>
            </w:tcBorders>
            <w:shd w:val="clear" w:color="auto" w:fill="auto"/>
            <w:noWrap/>
            <w:vAlign w:val="bottom"/>
            <w:hideMark/>
          </w:tcPr>
          <w:p w:rsidR="00333C50" w:rsidRPr="0053032C" w:rsidRDefault="006E059E" w:rsidP="00333C50">
            <w:pPr>
              <w:ind w:left="-70" w:firstLine="70"/>
              <w:jc w:val="right"/>
              <w:rPr>
                <w:color w:val="000000"/>
                <w:sz w:val="20"/>
                <w:szCs w:val="16"/>
                <w:lang w:eastAsia="es-ES_tradnl"/>
              </w:rPr>
            </w:pPr>
            <w:r w:rsidRPr="006E059E">
              <w:rPr>
                <w:color w:val="000000"/>
                <w:sz w:val="20"/>
                <w:szCs w:val="16"/>
                <w:lang w:eastAsia="es-ES_tradnl"/>
              </w:rPr>
              <w:t>4,95</w:t>
            </w:r>
          </w:p>
        </w:tc>
        <w:tc>
          <w:tcPr>
            <w:tcW w:w="709" w:type="dxa"/>
            <w:tcBorders>
              <w:top w:val="single" w:sz="4" w:space="0" w:color="auto"/>
              <w:left w:val="nil"/>
              <w:right w:val="nil"/>
            </w:tcBorders>
            <w:shd w:val="clear" w:color="auto" w:fill="auto"/>
            <w:noWrap/>
            <w:vAlign w:val="bottom"/>
            <w:hideMark/>
          </w:tcPr>
          <w:p w:rsidR="00333C50" w:rsidRPr="0053032C" w:rsidRDefault="006E059E" w:rsidP="00333C50">
            <w:pPr>
              <w:ind w:left="-70" w:firstLine="70"/>
              <w:jc w:val="right"/>
              <w:rPr>
                <w:color w:val="000000"/>
                <w:sz w:val="20"/>
                <w:szCs w:val="16"/>
                <w:lang w:eastAsia="es-ES_tradnl"/>
              </w:rPr>
            </w:pPr>
            <w:r>
              <w:rPr>
                <w:color w:val="000000"/>
                <w:sz w:val="20"/>
                <w:szCs w:val="16"/>
                <w:lang w:eastAsia="es-ES_tradnl"/>
              </w:rPr>
              <w:t>5,70</w:t>
            </w:r>
          </w:p>
        </w:tc>
        <w:tc>
          <w:tcPr>
            <w:tcW w:w="1134" w:type="dxa"/>
            <w:tcBorders>
              <w:top w:val="single" w:sz="4" w:space="0" w:color="auto"/>
              <w:left w:val="nil"/>
              <w:right w:val="nil"/>
            </w:tcBorders>
            <w:shd w:val="clear" w:color="auto" w:fill="auto"/>
            <w:noWrap/>
            <w:vAlign w:val="bottom"/>
            <w:hideMark/>
          </w:tcPr>
          <w:p w:rsidR="00333C50" w:rsidRPr="0053032C" w:rsidRDefault="006E059E" w:rsidP="00333C50">
            <w:pPr>
              <w:ind w:left="-70" w:firstLine="70"/>
              <w:jc w:val="right"/>
              <w:rPr>
                <w:color w:val="000000"/>
                <w:sz w:val="20"/>
                <w:szCs w:val="16"/>
                <w:lang w:eastAsia="es-ES_tradnl"/>
              </w:rPr>
            </w:pPr>
            <w:r w:rsidRPr="006E059E">
              <w:rPr>
                <w:color w:val="000000"/>
                <w:sz w:val="20"/>
                <w:szCs w:val="16"/>
                <w:lang w:eastAsia="es-ES_tradnl"/>
              </w:rPr>
              <w:t>9.811.701</w:t>
            </w:r>
          </w:p>
        </w:tc>
        <w:tc>
          <w:tcPr>
            <w:tcW w:w="1134" w:type="dxa"/>
            <w:tcBorders>
              <w:top w:val="single" w:sz="4" w:space="0" w:color="auto"/>
              <w:left w:val="nil"/>
              <w:right w:val="nil"/>
            </w:tcBorders>
            <w:shd w:val="clear" w:color="auto" w:fill="auto"/>
            <w:noWrap/>
            <w:vAlign w:val="bottom"/>
            <w:hideMark/>
          </w:tcPr>
          <w:p w:rsidR="00333C50" w:rsidRPr="0053032C" w:rsidRDefault="006E059E" w:rsidP="00093D61">
            <w:pPr>
              <w:ind w:left="-70" w:firstLine="70"/>
              <w:jc w:val="center"/>
              <w:rPr>
                <w:color w:val="000000"/>
                <w:sz w:val="20"/>
                <w:szCs w:val="16"/>
                <w:lang w:eastAsia="es-ES_tradnl"/>
              </w:rPr>
            </w:pPr>
            <w:r>
              <w:rPr>
                <w:color w:val="000000"/>
                <w:sz w:val="20"/>
                <w:szCs w:val="16"/>
                <w:lang w:eastAsia="es-ES_tradnl"/>
              </w:rPr>
              <w:t>2,83</w:t>
            </w:r>
          </w:p>
        </w:tc>
        <w:tc>
          <w:tcPr>
            <w:tcW w:w="1190" w:type="dxa"/>
            <w:tcBorders>
              <w:top w:val="single" w:sz="4" w:space="0" w:color="auto"/>
              <w:left w:val="nil"/>
              <w:right w:val="nil"/>
            </w:tcBorders>
            <w:shd w:val="clear" w:color="auto" w:fill="auto"/>
            <w:noWrap/>
            <w:vAlign w:val="bottom"/>
            <w:hideMark/>
          </w:tcPr>
          <w:p w:rsidR="00333C50" w:rsidRPr="0053032C" w:rsidRDefault="00973C05" w:rsidP="00333C50">
            <w:pPr>
              <w:jc w:val="right"/>
              <w:rPr>
                <w:color w:val="000000"/>
                <w:sz w:val="20"/>
                <w:szCs w:val="16"/>
                <w:lang w:eastAsia="es-ES_tradnl"/>
              </w:rPr>
            </w:pPr>
            <w:r w:rsidRPr="006E059E">
              <w:rPr>
                <w:color w:val="000000"/>
                <w:sz w:val="20"/>
                <w:szCs w:val="16"/>
                <w:lang w:eastAsia="es-ES_tradnl"/>
              </w:rPr>
              <w:t>13.082.268</w:t>
            </w:r>
          </w:p>
        </w:tc>
        <w:tc>
          <w:tcPr>
            <w:tcW w:w="1220" w:type="dxa"/>
            <w:tcBorders>
              <w:top w:val="single" w:sz="4" w:space="0" w:color="auto"/>
              <w:left w:val="nil"/>
              <w:right w:val="nil"/>
            </w:tcBorders>
            <w:shd w:val="clear" w:color="auto" w:fill="auto"/>
            <w:noWrap/>
            <w:vAlign w:val="bottom"/>
            <w:hideMark/>
          </w:tcPr>
          <w:p w:rsidR="00333C50" w:rsidRPr="0053032C" w:rsidRDefault="00973C05" w:rsidP="00093D61">
            <w:pPr>
              <w:jc w:val="center"/>
              <w:rPr>
                <w:color w:val="000000"/>
                <w:sz w:val="20"/>
                <w:szCs w:val="16"/>
                <w:lang w:eastAsia="es-ES_tradnl"/>
              </w:rPr>
            </w:pPr>
            <w:r>
              <w:rPr>
                <w:color w:val="000000"/>
                <w:sz w:val="20"/>
                <w:szCs w:val="16"/>
                <w:lang w:eastAsia="es-ES_tradnl"/>
              </w:rPr>
              <w:t>1,67</w:t>
            </w:r>
          </w:p>
        </w:tc>
      </w:tr>
      <w:tr w:rsidR="00093D61" w:rsidRPr="0053032C" w:rsidTr="006E059E">
        <w:trPr>
          <w:trHeight w:val="210"/>
          <w:jc w:val="center"/>
        </w:trPr>
        <w:tc>
          <w:tcPr>
            <w:tcW w:w="2835" w:type="dxa"/>
            <w:tcBorders>
              <w:top w:val="nil"/>
              <w:left w:val="nil"/>
              <w:bottom w:val="single" w:sz="4" w:space="0" w:color="auto"/>
              <w:right w:val="nil"/>
            </w:tcBorders>
            <w:shd w:val="clear" w:color="auto" w:fill="auto"/>
            <w:noWrap/>
            <w:vAlign w:val="bottom"/>
            <w:hideMark/>
          </w:tcPr>
          <w:p w:rsidR="00333C50" w:rsidRPr="0053032C" w:rsidRDefault="00333C50" w:rsidP="006E059E">
            <w:pPr>
              <w:jc w:val="left"/>
              <w:rPr>
                <w:color w:val="000000"/>
                <w:sz w:val="20"/>
                <w:szCs w:val="16"/>
                <w:lang w:eastAsia="es-ES_tradnl"/>
              </w:rPr>
            </w:pPr>
            <w:r w:rsidRPr="0053032C">
              <w:rPr>
                <w:color w:val="000000"/>
                <w:sz w:val="20"/>
                <w:szCs w:val="16"/>
                <w:lang w:eastAsia="es-ES_tradnl"/>
              </w:rPr>
              <w:t xml:space="preserve">Alternativa </w:t>
            </w:r>
            <w:r w:rsidR="006E059E">
              <w:rPr>
                <w:color w:val="000000"/>
                <w:sz w:val="20"/>
                <w:szCs w:val="16"/>
                <w:lang w:eastAsia="es-ES_tradnl"/>
              </w:rPr>
              <w:t>CON</w:t>
            </w:r>
            <w:r w:rsidRPr="0053032C">
              <w:rPr>
                <w:color w:val="000000"/>
                <w:sz w:val="20"/>
                <w:szCs w:val="16"/>
                <w:lang w:eastAsia="es-ES_tradnl"/>
              </w:rPr>
              <w:t>: programa BID</w:t>
            </w:r>
          </w:p>
        </w:tc>
        <w:tc>
          <w:tcPr>
            <w:tcW w:w="709" w:type="dxa"/>
            <w:tcBorders>
              <w:top w:val="nil"/>
              <w:left w:val="nil"/>
              <w:bottom w:val="single" w:sz="4" w:space="0" w:color="auto"/>
              <w:right w:val="nil"/>
            </w:tcBorders>
            <w:shd w:val="clear" w:color="auto" w:fill="auto"/>
            <w:noWrap/>
            <w:vAlign w:val="bottom"/>
            <w:hideMark/>
          </w:tcPr>
          <w:p w:rsidR="00333C50" w:rsidRPr="0053032C" w:rsidRDefault="006E059E" w:rsidP="00333C50">
            <w:pPr>
              <w:ind w:left="-70" w:firstLine="70"/>
              <w:jc w:val="right"/>
              <w:rPr>
                <w:color w:val="000000"/>
                <w:sz w:val="20"/>
                <w:szCs w:val="16"/>
                <w:lang w:eastAsia="es-ES_tradnl"/>
              </w:rPr>
            </w:pPr>
            <w:r w:rsidRPr="006E059E">
              <w:rPr>
                <w:color w:val="000000"/>
                <w:sz w:val="20"/>
                <w:szCs w:val="16"/>
                <w:lang w:eastAsia="es-ES_tradnl"/>
              </w:rPr>
              <w:t>4,95</w:t>
            </w:r>
          </w:p>
        </w:tc>
        <w:tc>
          <w:tcPr>
            <w:tcW w:w="709" w:type="dxa"/>
            <w:tcBorders>
              <w:top w:val="nil"/>
              <w:left w:val="nil"/>
              <w:bottom w:val="single" w:sz="4" w:space="0" w:color="auto"/>
              <w:right w:val="nil"/>
            </w:tcBorders>
            <w:shd w:val="clear" w:color="auto" w:fill="auto"/>
            <w:noWrap/>
            <w:vAlign w:val="bottom"/>
            <w:hideMark/>
          </w:tcPr>
          <w:p w:rsidR="00333C50" w:rsidRPr="0053032C" w:rsidRDefault="006E059E" w:rsidP="006E059E">
            <w:pPr>
              <w:ind w:left="-70" w:firstLine="70"/>
              <w:jc w:val="right"/>
              <w:rPr>
                <w:color w:val="000000"/>
                <w:sz w:val="20"/>
                <w:szCs w:val="16"/>
                <w:lang w:eastAsia="es-ES_tradnl"/>
              </w:rPr>
            </w:pPr>
            <w:r>
              <w:rPr>
                <w:color w:val="000000"/>
                <w:sz w:val="20"/>
                <w:szCs w:val="16"/>
                <w:lang w:eastAsia="es-ES_tradnl"/>
              </w:rPr>
              <w:t>7</w:t>
            </w:r>
            <w:r w:rsidR="00333C50" w:rsidRPr="0053032C">
              <w:rPr>
                <w:color w:val="000000"/>
                <w:sz w:val="20"/>
                <w:szCs w:val="16"/>
                <w:lang w:eastAsia="es-ES_tradnl"/>
              </w:rPr>
              <w:t>,</w:t>
            </w:r>
            <w:r>
              <w:rPr>
                <w:color w:val="000000"/>
                <w:sz w:val="20"/>
                <w:szCs w:val="16"/>
                <w:lang w:eastAsia="es-ES_tradnl"/>
              </w:rPr>
              <w:t>78</w:t>
            </w:r>
          </w:p>
        </w:tc>
        <w:tc>
          <w:tcPr>
            <w:tcW w:w="1134" w:type="dxa"/>
            <w:tcBorders>
              <w:top w:val="nil"/>
              <w:left w:val="nil"/>
              <w:bottom w:val="single" w:sz="4" w:space="0" w:color="auto"/>
              <w:right w:val="nil"/>
            </w:tcBorders>
            <w:shd w:val="clear" w:color="auto" w:fill="auto"/>
            <w:noWrap/>
            <w:vAlign w:val="bottom"/>
            <w:hideMark/>
          </w:tcPr>
          <w:p w:rsidR="00333C50" w:rsidRPr="0053032C" w:rsidRDefault="006E059E" w:rsidP="00333C50">
            <w:pPr>
              <w:ind w:left="-70" w:firstLine="70"/>
              <w:jc w:val="right"/>
              <w:rPr>
                <w:color w:val="000000"/>
                <w:sz w:val="20"/>
                <w:szCs w:val="16"/>
                <w:lang w:eastAsia="es-ES_tradnl"/>
              </w:rPr>
            </w:pPr>
            <w:r w:rsidRPr="006E059E">
              <w:rPr>
                <w:color w:val="000000"/>
                <w:sz w:val="20"/>
                <w:szCs w:val="16"/>
                <w:lang w:eastAsia="es-ES_tradnl"/>
              </w:rPr>
              <w:t>21.947.693</w:t>
            </w:r>
          </w:p>
        </w:tc>
        <w:tc>
          <w:tcPr>
            <w:tcW w:w="1134" w:type="dxa"/>
            <w:tcBorders>
              <w:top w:val="nil"/>
              <w:left w:val="nil"/>
              <w:bottom w:val="single" w:sz="4" w:space="0" w:color="auto"/>
              <w:right w:val="nil"/>
            </w:tcBorders>
            <w:shd w:val="clear" w:color="auto" w:fill="auto"/>
            <w:noWrap/>
            <w:vAlign w:val="bottom"/>
            <w:hideMark/>
          </w:tcPr>
          <w:p w:rsidR="00333C50" w:rsidRPr="0053032C" w:rsidRDefault="006E059E" w:rsidP="00093D61">
            <w:pPr>
              <w:ind w:left="-70" w:firstLine="70"/>
              <w:jc w:val="center"/>
              <w:rPr>
                <w:color w:val="000000"/>
                <w:sz w:val="20"/>
                <w:szCs w:val="16"/>
                <w:lang w:eastAsia="es-ES_tradnl"/>
              </w:rPr>
            </w:pPr>
            <w:r>
              <w:rPr>
                <w:color w:val="000000"/>
                <w:sz w:val="20"/>
                <w:szCs w:val="16"/>
                <w:lang w:eastAsia="es-ES_tradnl"/>
              </w:rPr>
              <w:t>0,75</w:t>
            </w:r>
          </w:p>
        </w:tc>
        <w:tc>
          <w:tcPr>
            <w:tcW w:w="1190" w:type="dxa"/>
            <w:tcBorders>
              <w:top w:val="nil"/>
              <w:left w:val="nil"/>
              <w:bottom w:val="single" w:sz="4" w:space="0" w:color="auto"/>
              <w:right w:val="nil"/>
            </w:tcBorders>
            <w:shd w:val="clear" w:color="auto" w:fill="auto"/>
            <w:noWrap/>
            <w:vAlign w:val="bottom"/>
            <w:hideMark/>
          </w:tcPr>
          <w:p w:rsidR="00333C50" w:rsidRPr="0053032C" w:rsidRDefault="00973C05" w:rsidP="00333C50">
            <w:pPr>
              <w:jc w:val="right"/>
              <w:rPr>
                <w:color w:val="000000"/>
                <w:sz w:val="20"/>
                <w:szCs w:val="16"/>
                <w:lang w:eastAsia="es-ES_tradnl"/>
              </w:rPr>
            </w:pPr>
            <w:r w:rsidRPr="006E059E">
              <w:rPr>
                <w:color w:val="000000"/>
                <w:sz w:val="20"/>
                <w:szCs w:val="16"/>
                <w:lang w:eastAsia="es-ES_tradnl"/>
              </w:rPr>
              <w:t>7.755.369</w:t>
            </w:r>
          </w:p>
        </w:tc>
        <w:tc>
          <w:tcPr>
            <w:tcW w:w="1220" w:type="dxa"/>
            <w:tcBorders>
              <w:top w:val="nil"/>
              <w:left w:val="nil"/>
              <w:bottom w:val="single" w:sz="4" w:space="0" w:color="auto"/>
              <w:right w:val="nil"/>
            </w:tcBorders>
            <w:shd w:val="clear" w:color="auto" w:fill="auto"/>
            <w:noWrap/>
            <w:vAlign w:val="bottom"/>
            <w:hideMark/>
          </w:tcPr>
          <w:p w:rsidR="00333C50" w:rsidRPr="0053032C" w:rsidRDefault="00973C05" w:rsidP="00B20B63">
            <w:pPr>
              <w:jc w:val="center"/>
              <w:rPr>
                <w:color w:val="000000"/>
                <w:sz w:val="20"/>
                <w:szCs w:val="16"/>
                <w:lang w:eastAsia="es-ES_tradnl"/>
              </w:rPr>
            </w:pPr>
            <w:r w:rsidRPr="0053032C">
              <w:rPr>
                <w:color w:val="000000"/>
                <w:sz w:val="20"/>
                <w:szCs w:val="16"/>
                <w:lang w:eastAsia="es-ES_tradnl"/>
              </w:rPr>
              <w:t>1,00</w:t>
            </w:r>
          </w:p>
        </w:tc>
      </w:tr>
    </w:tbl>
    <w:p w:rsidR="00333C50" w:rsidRPr="0053032C" w:rsidRDefault="009B1D5C" w:rsidP="006E059E">
      <w:pPr>
        <w:ind w:left="284"/>
        <w:rPr>
          <w:sz w:val="18"/>
        </w:rPr>
      </w:pPr>
      <w:r w:rsidRPr="0053032C">
        <w:rPr>
          <w:sz w:val="18"/>
          <w:vertAlign w:val="superscript"/>
        </w:rPr>
        <w:t>*</w:t>
      </w:r>
      <w:r w:rsidRPr="0053032C">
        <w:rPr>
          <w:sz w:val="18"/>
        </w:rPr>
        <w:t xml:space="preserve"> </w:t>
      </w:r>
      <w:r w:rsidR="00323D2D" w:rsidRPr="0053032C">
        <w:rPr>
          <w:sz w:val="18"/>
        </w:rPr>
        <w:t>VPN e</w:t>
      </w:r>
      <w:r w:rsidRPr="0053032C">
        <w:rPr>
          <w:sz w:val="18"/>
        </w:rPr>
        <w:t>n dólares 201</w:t>
      </w:r>
      <w:r w:rsidR="006E059E">
        <w:rPr>
          <w:sz w:val="18"/>
        </w:rPr>
        <w:t>4</w:t>
      </w:r>
      <w:r w:rsidRPr="0053032C">
        <w:rPr>
          <w:sz w:val="18"/>
        </w:rPr>
        <w:t>.</w:t>
      </w:r>
      <w:r w:rsidR="00323D2D" w:rsidRPr="0053032C">
        <w:rPr>
          <w:sz w:val="18"/>
        </w:rPr>
        <w:t xml:space="preserve"> </w:t>
      </w:r>
    </w:p>
    <w:p w:rsidR="00093D61" w:rsidRDefault="00093D61" w:rsidP="00E3558F">
      <w:pPr>
        <w:pStyle w:val="ListParagraph"/>
        <w:ind w:left="360"/>
      </w:pPr>
    </w:p>
    <w:p w:rsidR="00D13B56" w:rsidRPr="0053032C" w:rsidRDefault="004E7C0A" w:rsidP="004E7C0A">
      <w:pPr>
        <w:pStyle w:val="Heading1"/>
      </w:pPr>
      <w:bookmarkStart w:id="18" w:name="_Toc395208855"/>
      <w:r w:rsidRPr="0053032C">
        <w:lastRenderedPageBreak/>
        <w:t>Análisis de sensibilidad</w:t>
      </w:r>
      <w:bookmarkEnd w:id="18"/>
    </w:p>
    <w:p w:rsidR="00D13B56" w:rsidRDefault="00E3558F" w:rsidP="00973C05">
      <w:pPr>
        <w:pStyle w:val="ListParagraph"/>
        <w:numPr>
          <w:ilvl w:val="0"/>
          <w:numId w:val="14"/>
        </w:numPr>
        <w:spacing w:after="240"/>
        <w:ind w:left="0" w:hanging="567"/>
      </w:pPr>
      <w:r w:rsidRPr="0053032C">
        <w:t xml:space="preserve">Para el análisis de sensibilidad se considera un </w:t>
      </w:r>
      <w:r w:rsidR="009C460A" w:rsidRPr="0053032C">
        <w:t xml:space="preserve">eventual </w:t>
      </w:r>
      <w:r w:rsidRPr="0053032C">
        <w:t xml:space="preserve">cambio en la hipótesis principal, es decir, </w:t>
      </w:r>
      <w:r w:rsidR="000075DE">
        <w:t xml:space="preserve">que en ausencia del programa BID cada una de las entidades tendrían eventualmente recursos </w:t>
      </w:r>
      <w:r w:rsidR="00927F74">
        <w:t>presupuestarios del Tesoro</w:t>
      </w:r>
      <w:r w:rsidR="00323D2D" w:rsidRPr="0053032C">
        <w:t xml:space="preserve">. </w:t>
      </w:r>
      <w:r w:rsidR="000E00A9">
        <w:t xml:space="preserve">Como se señalaba en la sección </w:t>
      </w:r>
      <w:r w:rsidR="000E00A9">
        <w:fldChar w:fldCharType="begin"/>
      </w:r>
      <w:r w:rsidR="000E00A9">
        <w:instrText xml:space="preserve"> REF _Ref395205104 \r \h </w:instrText>
      </w:r>
      <w:r w:rsidR="000E00A9">
        <w:fldChar w:fldCharType="separate"/>
      </w:r>
      <w:r w:rsidR="000E00A9">
        <w:t>2</w:t>
      </w:r>
      <w:r w:rsidR="000E00A9">
        <w:fldChar w:fldCharType="end"/>
      </w:r>
      <w:r w:rsidR="000E00A9">
        <w:t xml:space="preserve">, el supuesto básico de que se parte es que las entidades existentes tendrían un presupuesto para inversión, básicamente orientado a la mejora de la gestión con el fin de lograr un desempeño más efectivo y eficiente, que sería del 40% de la inversión prevista en el programa BID. Para aquellas entidades de nueva creación, se prevé que la inversión sea del 50% del programa BID. </w:t>
      </w:r>
    </w:p>
    <w:p w:rsidR="000E00A9" w:rsidRDefault="000E00A9" w:rsidP="00973C05">
      <w:pPr>
        <w:pStyle w:val="ListParagraph"/>
        <w:numPr>
          <w:ilvl w:val="0"/>
          <w:numId w:val="14"/>
        </w:numPr>
        <w:spacing w:after="240"/>
        <w:ind w:left="0" w:hanging="567"/>
      </w:pPr>
      <w:r>
        <w:t xml:space="preserve">Desde un punto de vista de la sensibilidad del programa, cabe esperar que en el caso de que caiga la inversión presupuestaria, </w:t>
      </w:r>
      <w:r w:rsidR="00B57A24">
        <w:t xml:space="preserve">también deberían reducirse las metas en una proporción determinada. Sin embargo, en el contrafactual que se propone en el análisis las metas permanecen invariables, por lo que </w:t>
      </w:r>
      <w:r>
        <w:t xml:space="preserve">el costo efectividad de la opción SIN programa BID </w:t>
      </w:r>
      <w:r w:rsidR="00B57A24">
        <w:t>debe mejorar</w:t>
      </w:r>
      <w:r w:rsidR="00973C05">
        <w:t xml:space="preserve"> simplemente por una reducción de costos</w:t>
      </w:r>
      <w:r>
        <w:t>.</w:t>
      </w:r>
      <w:r w:rsidR="00B57A24">
        <w:t xml:space="preserve"> Es un supuesto fuerte</w:t>
      </w:r>
      <w:r w:rsidR="00973C05">
        <w:t>, pero que es útil para el análisis</w:t>
      </w:r>
      <w:r w:rsidR="00B57A24">
        <w:t>.</w:t>
      </w:r>
    </w:p>
    <w:p w:rsidR="00973C05" w:rsidRPr="0053032C" w:rsidRDefault="00973C05" w:rsidP="00973C05">
      <w:pPr>
        <w:pStyle w:val="Caption"/>
        <w:spacing w:after="120"/>
        <w:jc w:val="center"/>
        <w:rPr>
          <w:b w:val="0"/>
        </w:rPr>
      </w:pPr>
      <w:r w:rsidRPr="0053032C">
        <w:t xml:space="preserve">Cuadro </w:t>
      </w:r>
      <w:r>
        <w:t>9</w:t>
      </w:r>
      <w:r w:rsidRPr="0053032C">
        <w:t xml:space="preserve">. </w:t>
      </w:r>
      <w:r>
        <w:t>Análisis de sensibilidad</w:t>
      </w:r>
      <w:r w:rsidRPr="0053032C">
        <w:rPr>
          <w:b w:val="0"/>
          <w:bCs w:val="0"/>
          <w:color w:val="000000"/>
          <w:szCs w:val="16"/>
          <w:vertAlign w:val="superscript"/>
          <w:lang w:eastAsia="es-ES_tradnl"/>
        </w:rPr>
        <w:t>*</w:t>
      </w:r>
    </w:p>
    <w:tbl>
      <w:tblPr>
        <w:tblW w:w="9214" w:type="dxa"/>
        <w:jc w:val="center"/>
        <w:tblCellMar>
          <w:left w:w="70" w:type="dxa"/>
          <w:right w:w="70" w:type="dxa"/>
        </w:tblCellMar>
        <w:tblLook w:val="04A0" w:firstRow="1" w:lastRow="0" w:firstColumn="1" w:lastColumn="0" w:noHBand="0" w:noVBand="1"/>
      </w:tblPr>
      <w:tblGrid>
        <w:gridCol w:w="3119"/>
        <w:gridCol w:w="1507"/>
        <w:gridCol w:w="1324"/>
        <w:gridCol w:w="1753"/>
        <w:gridCol w:w="1511"/>
      </w:tblGrid>
      <w:tr w:rsidR="00973C05" w:rsidRPr="0053032C" w:rsidTr="00DB6204">
        <w:trPr>
          <w:trHeight w:val="210"/>
          <w:jc w:val="center"/>
        </w:trPr>
        <w:tc>
          <w:tcPr>
            <w:tcW w:w="3119" w:type="dxa"/>
            <w:tcBorders>
              <w:top w:val="single" w:sz="4" w:space="0" w:color="auto"/>
              <w:left w:val="nil"/>
              <w:right w:val="nil"/>
            </w:tcBorders>
            <w:shd w:val="clear" w:color="auto" w:fill="auto"/>
            <w:noWrap/>
            <w:vAlign w:val="bottom"/>
          </w:tcPr>
          <w:p w:rsidR="00973C05" w:rsidRPr="0053032C" w:rsidRDefault="00973C05" w:rsidP="00973C05">
            <w:pPr>
              <w:jc w:val="left"/>
              <w:rPr>
                <w:b/>
                <w:bCs/>
                <w:color w:val="000000"/>
                <w:sz w:val="20"/>
                <w:szCs w:val="16"/>
                <w:lang w:eastAsia="es-ES_tradnl"/>
              </w:rPr>
            </w:pPr>
          </w:p>
        </w:tc>
        <w:tc>
          <w:tcPr>
            <w:tcW w:w="2831" w:type="dxa"/>
            <w:gridSpan w:val="2"/>
            <w:tcBorders>
              <w:top w:val="single" w:sz="4" w:space="0" w:color="auto"/>
              <w:left w:val="nil"/>
              <w:bottom w:val="single" w:sz="4" w:space="0" w:color="auto"/>
              <w:right w:val="nil"/>
            </w:tcBorders>
            <w:shd w:val="clear" w:color="auto" w:fill="auto"/>
            <w:noWrap/>
            <w:vAlign w:val="bottom"/>
          </w:tcPr>
          <w:p w:rsidR="00973C05" w:rsidRPr="0053032C" w:rsidRDefault="00973C05" w:rsidP="00973C05">
            <w:pPr>
              <w:jc w:val="center"/>
              <w:rPr>
                <w:b/>
                <w:bCs/>
                <w:color w:val="000000"/>
                <w:sz w:val="20"/>
                <w:szCs w:val="16"/>
                <w:lang w:eastAsia="es-ES_tradnl"/>
              </w:rPr>
            </w:pPr>
            <w:r>
              <w:rPr>
                <w:b/>
                <w:bCs/>
                <w:color w:val="000000"/>
                <w:sz w:val="20"/>
                <w:szCs w:val="16"/>
                <w:lang w:eastAsia="es-ES_tradnl"/>
              </w:rPr>
              <w:t>Estimado</w:t>
            </w:r>
          </w:p>
        </w:tc>
        <w:tc>
          <w:tcPr>
            <w:tcW w:w="1753" w:type="dxa"/>
            <w:tcBorders>
              <w:top w:val="single" w:sz="4" w:space="0" w:color="auto"/>
              <w:left w:val="nil"/>
              <w:bottom w:val="single" w:sz="4" w:space="0" w:color="auto"/>
              <w:right w:val="nil"/>
            </w:tcBorders>
            <w:shd w:val="clear" w:color="auto" w:fill="auto"/>
            <w:noWrap/>
            <w:vAlign w:val="bottom"/>
          </w:tcPr>
          <w:p w:rsidR="00973C05" w:rsidRPr="0053032C" w:rsidRDefault="00973C05" w:rsidP="00973C05">
            <w:pPr>
              <w:jc w:val="center"/>
              <w:rPr>
                <w:b/>
                <w:bCs/>
                <w:color w:val="000000"/>
                <w:sz w:val="20"/>
                <w:szCs w:val="16"/>
                <w:lang w:eastAsia="es-ES_tradnl"/>
              </w:rPr>
            </w:pPr>
            <w:r>
              <w:rPr>
                <w:b/>
                <w:bCs/>
                <w:color w:val="000000"/>
                <w:sz w:val="20"/>
                <w:szCs w:val="16"/>
                <w:lang w:eastAsia="es-ES_tradnl"/>
              </w:rPr>
              <w:t>Contrafactual</w:t>
            </w:r>
          </w:p>
        </w:tc>
        <w:tc>
          <w:tcPr>
            <w:tcW w:w="1511" w:type="dxa"/>
            <w:tcBorders>
              <w:top w:val="single" w:sz="4" w:space="0" w:color="auto"/>
              <w:left w:val="nil"/>
              <w:bottom w:val="single" w:sz="4" w:space="0" w:color="auto"/>
              <w:right w:val="nil"/>
            </w:tcBorders>
            <w:shd w:val="clear" w:color="auto" w:fill="auto"/>
            <w:noWrap/>
            <w:vAlign w:val="bottom"/>
          </w:tcPr>
          <w:p w:rsidR="00973C05" w:rsidRPr="0053032C" w:rsidRDefault="00973C05" w:rsidP="00973C05">
            <w:pPr>
              <w:ind w:left="-70" w:firstLine="70"/>
              <w:jc w:val="center"/>
              <w:rPr>
                <w:b/>
                <w:bCs/>
                <w:color w:val="000000"/>
                <w:sz w:val="20"/>
                <w:szCs w:val="16"/>
                <w:vertAlign w:val="superscript"/>
                <w:lang w:eastAsia="es-ES_tradnl"/>
              </w:rPr>
            </w:pPr>
          </w:p>
        </w:tc>
      </w:tr>
      <w:tr w:rsidR="00DB6204" w:rsidRPr="0053032C" w:rsidTr="00DB6204">
        <w:trPr>
          <w:trHeight w:val="210"/>
          <w:jc w:val="center"/>
        </w:trPr>
        <w:tc>
          <w:tcPr>
            <w:tcW w:w="3119" w:type="dxa"/>
            <w:tcBorders>
              <w:left w:val="nil"/>
              <w:bottom w:val="single" w:sz="4" w:space="0" w:color="auto"/>
              <w:right w:val="nil"/>
            </w:tcBorders>
            <w:shd w:val="clear" w:color="auto" w:fill="auto"/>
            <w:noWrap/>
            <w:vAlign w:val="bottom"/>
          </w:tcPr>
          <w:p w:rsidR="00DB6204" w:rsidRPr="0053032C" w:rsidRDefault="00DB6204" w:rsidP="00DB6204">
            <w:pPr>
              <w:jc w:val="left"/>
              <w:rPr>
                <w:b/>
                <w:bCs/>
                <w:color w:val="000000"/>
                <w:sz w:val="20"/>
                <w:szCs w:val="16"/>
                <w:lang w:eastAsia="es-ES_tradnl"/>
              </w:rPr>
            </w:pPr>
          </w:p>
        </w:tc>
        <w:tc>
          <w:tcPr>
            <w:tcW w:w="1507" w:type="dxa"/>
            <w:tcBorders>
              <w:top w:val="single" w:sz="4" w:space="0" w:color="auto"/>
              <w:left w:val="nil"/>
              <w:bottom w:val="single" w:sz="4" w:space="0" w:color="auto"/>
              <w:right w:val="nil"/>
            </w:tcBorders>
            <w:shd w:val="clear" w:color="auto" w:fill="auto"/>
            <w:noWrap/>
            <w:vAlign w:val="bottom"/>
          </w:tcPr>
          <w:p w:rsidR="00DB6204" w:rsidRPr="0053032C" w:rsidRDefault="00DB6204" w:rsidP="00DB6204">
            <w:pPr>
              <w:jc w:val="center"/>
              <w:rPr>
                <w:b/>
                <w:bCs/>
                <w:color w:val="000000"/>
                <w:sz w:val="20"/>
                <w:szCs w:val="16"/>
                <w:lang w:eastAsia="es-ES_tradnl"/>
              </w:rPr>
            </w:pPr>
            <w:r w:rsidRPr="0053032C">
              <w:rPr>
                <w:b/>
                <w:bCs/>
                <w:color w:val="000000"/>
                <w:sz w:val="20"/>
                <w:szCs w:val="16"/>
                <w:lang w:eastAsia="es-ES_tradnl"/>
              </w:rPr>
              <w:t>C/E</w:t>
            </w:r>
            <w:r>
              <w:rPr>
                <w:b/>
                <w:bCs/>
                <w:color w:val="000000"/>
                <w:sz w:val="20"/>
                <w:szCs w:val="16"/>
                <w:lang w:eastAsia="es-ES_tradnl"/>
              </w:rPr>
              <w:t xml:space="preserve"> en régimen</w:t>
            </w:r>
          </w:p>
        </w:tc>
        <w:tc>
          <w:tcPr>
            <w:tcW w:w="1324" w:type="dxa"/>
            <w:tcBorders>
              <w:top w:val="single" w:sz="4" w:space="0" w:color="auto"/>
              <w:left w:val="nil"/>
              <w:bottom w:val="single" w:sz="4" w:space="0" w:color="auto"/>
              <w:right w:val="nil"/>
            </w:tcBorders>
            <w:vAlign w:val="bottom"/>
          </w:tcPr>
          <w:p w:rsidR="00DB6204" w:rsidRPr="0053032C" w:rsidRDefault="00DB6204" w:rsidP="00DB6204">
            <w:pPr>
              <w:jc w:val="center"/>
              <w:rPr>
                <w:b/>
                <w:bCs/>
                <w:color w:val="000000"/>
                <w:sz w:val="20"/>
                <w:szCs w:val="16"/>
                <w:lang w:eastAsia="es-ES_tradnl"/>
              </w:rPr>
            </w:pPr>
            <w:r>
              <w:rPr>
                <w:b/>
                <w:bCs/>
                <w:color w:val="000000"/>
                <w:sz w:val="20"/>
                <w:szCs w:val="16"/>
                <w:lang w:eastAsia="es-ES_tradnl"/>
              </w:rPr>
              <w:t>SIN</w:t>
            </w:r>
            <w:r w:rsidRPr="0053032C">
              <w:rPr>
                <w:b/>
                <w:bCs/>
                <w:color w:val="000000"/>
                <w:sz w:val="20"/>
                <w:szCs w:val="16"/>
                <w:lang w:eastAsia="es-ES_tradnl"/>
              </w:rPr>
              <w:t>/</w:t>
            </w:r>
            <w:r>
              <w:rPr>
                <w:b/>
                <w:bCs/>
                <w:color w:val="000000"/>
                <w:sz w:val="20"/>
                <w:szCs w:val="16"/>
                <w:lang w:eastAsia="es-ES_tradnl"/>
              </w:rPr>
              <w:t>CON</w:t>
            </w:r>
          </w:p>
        </w:tc>
        <w:tc>
          <w:tcPr>
            <w:tcW w:w="1753" w:type="dxa"/>
            <w:tcBorders>
              <w:top w:val="single" w:sz="4" w:space="0" w:color="auto"/>
              <w:left w:val="nil"/>
              <w:bottom w:val="single" w:sz="4" w:space="0" w:color="auto"/>
              <w:right w:val="nil"/>
            </w:tcBorders>
            <w:shd w:val="clear" w:color="auto" w:fill="auto"/>
            <w:noWrap/>
            <w:vAlign w:val="bottom"/>
          </w:tcPr>
          <w:p w:rsidR="00DB6204" w:rsidRPr="0053032C" w:rsidRDefault="00DB6204" w:rsidP="00DB6204">
            <w:pPr>
              <w:jc w:val="center"/>
              <w:rPr>
                <w:b/>
                <w:bCs/>
                <w:color w:val="000000"/>
                <w:sz w:val="20"/>
                <w:szCs w:val="16"/>
                <w:lang w:eastAsia="es-ES_tradnl"/>
              </w:rPr>
            </w:pPr>
            <w:r w:rsidRPr="0053032C">
              <w:rPr>
                <w:b/>
                <w:bCs/>
                <w:color w:val="000000"/>
                <w:sz w:val="20"/>
                <w:szCs w:val="16"/>
                <w:lang w:eastAsia="es-ES_tradnl"/>
              </w:rPr>
              <w:t>C/E</w:t>
            </w:r>
            <w:r>
              <w:rPr>
                <w:b/>
                <w:bCs/>
                <w:color w:val="000000"/>
                <w:sz w:val="20"/>
                <w:szCs w:val="16"/>
                <w:lang w:eastAsia="es-ES_tradnl"/>
              </w:rPr>
              <w:t xml:space="preserve"> en régimen</w:t>
            </w:r>
          </w:p>
        </w:tc>
        <w:tc>
          <w:tcPr>
            <w:tcW w:w="1511" w:type="dxa"/>
            <w:tcBorders>
              <w:top w:val="single" w:sz="4" w:space="0" w:color="auto"/>
              <w:left w:val="nil"/>
              <w:bottom w:val="single" w:sz="4" w:space="0" w:color="auto"/>
              <w:right w:val="nil"/>
            </w:tcBorders>
            <w:shd w:val="clear" w:color="auto" w:fill="auto"/>
            <w:noWrap/>
            <w:vAlign w:val="bottom"/>
          </w:tcPr>
          <w:p w:rsidR="00DB6204" w:rsidRPr="0053032C" w:rsidRDefault="00DB6204" w:rsidP="00DB6204">
            <w:pPr>
              <w:jc w:val="center"/>
              <w:rPr>
                <w:b/>
                <w:bCs/>
                <w:color w:val="000000"/>
                <w:sz w:val="20"/>
                <w:szCs w:val="16"/>
                <w:lang w:eastAsia="es-ES_tradnl"/>
              </w:rPr>
            </w:pPr>
            <w:r>
              <w:rPr>
                <w:b/>
                <w:bCs/>
                <w:color w:val="000000"/>
                <w:sz w:val="20"/>
                <w:szCs w:val="16"/>
                <w:lang w:eastAsia="es-ES_tradnl"/>
              </w:rPr>
              <w:t>SIN</w:t>
            </w:r>
            <w:r w:rsidRPr="0053032C">
              <w:rPr>
                <w:b/>
                <w:bCs/>
                <w:color w:val="000000"/>
                <w:sz w:val="20"/>
                <w:szCs w:val="16"/>
                <w:lang w:eastAsia="es-ES_tradnl"/>
              </w:rPr>
              <w:t>/</w:t>
            </w:r>
            <w:r>
              <w:rPr>
                <w:b/>
                <w:bCs/>
                <w:color w:val="000000"/>
                <w:sz w:val="20"/>
                <w:szCs w:val="16"/>
                <w:lang w:eastAsia="es-ES_tradnl"/>
              </w:rPr>
              <w:t>CON</w:t>
            </w:r>
          </w:p>
        </w:tc>
      </w:tr>
      <w:tr w:rsidR="00DB6204" w:rsidRPr="0053032C" w:rsidTr="00DB6204">
        <w:trPr>
          <w:trHeight w:val="210"/>
          <w:jc w:val="center"/>
        </w:trPr>
        <w:tc>
          <w:tcPr>
            <w:tcW w:w="3119" w:type="dxa"/>
            <w:tcBorders>
              <w:top w:val="single" w:sz="4" w:space="0" w:color="auto"/>
              <w:left w:val="nil"/>
              <w:right w:val="nil"/>
            </w:tcBorders>
            <w:shd w:val="clear" w:color="auto" w:fill="auto"/>
            <w:noWrap/>
            <w:vAlign w:val="bottom"/>
            <w:hideMark/>
          </w:tcPr>
          <w:p w:rsidR="00DB6204" w:rsidRPr="0053032C" w:rsidRDefault="00DB6204" w:rsidP="00DB6204">
            <w:pPr>
              <w:jc w:val="left"/>
              <w:rPr>
                <w:color w:val="000000"/>
                <w:sz w:val="20"/>
                <w:szCs w:val="16"/>
                <w:lang w:eastAsia="es-ES_tradnl"/>
              </w:rPr>
            </w:pPr>
            <w:r w:rsidRPr="0053032C">
              <w:rPr>
                <w:color w:val="000000"/>
                <w:sz w:val="20"/>
                <w:szCs w:val="16"/>
                <w:lang w:eastAsia="es-ES_tradnl"/>
              </w:rPr>
              <w:t xml:space="preserve">Alternativa </w:t>
            </w:r>
            <w:r>
              <w:rPr>
                <w:color w:val="000000"/>
                <w:sz w:val="20"/>
                <w:szCs w:val="16"/>
                <w:lang w:eastAsia="es-ES_tradnl"/>
              </w:rPr>
              <w:t>SIN</w:t>
            </w:r>
            <w:r w:rsidRPr="0053032C">
              <w:rPr>
                <w:color w:val="000000"/>
                <w:sz w:val="20"/>
                <w:szCs w:val="16"/>
                <w:lang w:eastAsia="es-ES_tradnl"/>
              </w:rPr>
              <w:t>: recursos propios</w:t>
            </w:r>
          </w:p>
        </w:tc>
        <w:tc>
          <w:tcPr>
            <w:tcW w:w="1507" w:type="dxa"/>
            <w:tcBorders>
              <w:top w:val="single" w:sz="4" w:space="0" w:color="auto"/>
              <w:left w:val="nil"/>
              <w:right w:val="nil"/>
            </w:tcBorders>
            <w:shd w:val="clear" w:color="auto" w:fill="auto"/>
            <w:noWrap/>
            <w:vAlign w:val="bottom"/>
          </w:tcPr>
          <w:p w:rsidR="00DB6204" w:rsidRPr="0053032C" w:rsidRDefault="00DB6204" w:rsidP="00DB6204">
            <w:pPr>
              <w:jc w:val="right"/>
              <w:rPr>
                <w:color w:val="000000"/>
                <w:sz w:val="20"/>
                <w:szCs w:val="16"/>
                <w:lang w:eastAsia="es-ES_tradnl"/>
              </w:rPr>
            </w:pPr>
            <w:r w:rsidRPr="006E059E">
              <w:rPr>
                <w:color w:val="000000"/>
                <w:sz w:val="20"/>
                <w:szCs w:val="16"/>
                <w:lang w:eastAsia="es-ES_tradnl"/>
              </w:rPr>
              <w:t>13.082.268</w:t>
            </w:r>
          </w:p>
        </w:tc>
        <w:tc>
          <w:tcPr>
            <w:tcW w:w="1324" w:type="dxa"/>
            <w:tcBorders>
              <w:top w:val="single" w:sz="4" w:space="0" w:color="auto"/>
              <w:left w:val="nil"/>
              <w:right w:val="nil"/>
            </w:tcBorders>
            <w:vAlign w:val="bottom"/>
          </w:tcPr>
          <w:p w:rsidR="00DB6204" w:rsidRPr="0053032C" w:rsidRDefault="00DB6204" w:rsidP="00DB6204">
            <w:pPr>
              <w:jc w:val="center"/>
              <w:rPr>
                <w:color w:val="000000"/>
                <w:sz w:val="20"/>
                <w:szCs w:val="16"/>
                <w:lang w:eastAsia="es-ES_tradnl"/>
              </w:rPr>
            </w:pPr>
            <w:r>
              <w:rPr>
                <w:color w:val="000000"/>
                <w:sz w:val="20"/>
                <w:szCs w:val="16"/>
                <w:lang w:eastAsia="es-ES_tradnl"/>
              </w:rPr>
              <w:t>1,67</w:t>
            </w:r>
          </w:p>
        </w:tc>
        <w:tc>
          <w:tcPr>
            <w:tcW w:w="1753" w:type="dxa"/>
            <w:tcBorders>
              <w:top w:val="single" w:sz="4" w:space="0" w:color="auto"/>
              <w:left w:val="nil"/>
              <w:right w:val="nil"/>
            </w:tcBorders>
            <w:shd w:val="clear" w:color="auto" w:fill="auto"/>
            <w:noWrap/>
            <w:vAlign w:val="bottom"/>
          </w:tcPr>
          <w:p w:rsidR="00DB6204" w:rsidRPr="0053032C" w:rsidRDefault="00DB6204" w:rsidP="00DB6204">
            <w:pPr>
              <w:ind w:left="-70" w:firstLine="70"/>
              <w:jc w:val="right"/>
              <w:rPr>
                <w:color w:val="000000"/>
                <w:sz w:val="20"/>
                <w:szCs w:val="16"/>
                <w:lang w:eastAsia="es-ES_tradnl"/>
              </w:rPr>
            </w:pPr>
            <w:r w:rsidRPr="00DB6204">
              <w:rPr>
                <w:color w:val="000000"/>
                <w:sz w:val="20"/>
                <w:szCs w:val="16"/>
                <w:lang w:eastAsia="es-ES_tradnl"/>
              </w:rPr>
              <w:t>10.465.814</w:t>
            </w:r>
          </w:p>
        </w:tc>
        <w:tc>
          <w:tcPr>
            <w:tcW w:w="1511" w:type="dxa"/>
            <w:tcBorders>
              <w:top w:val="single" w:sz="4" w:space="0" w:color="auto"/>
              <w:left w:val="nil"/>
              <w:right w:val="nil"/>
            </w:tcBorders>
            <w:shd w:val="clear" w:color="auto" w:fill="auto"/>
            <w:noWrap/>
            <w:vAlign w:val="bottom"/>
          </w:tcPr>
          <w:p w:rsidR="00DB6204" w:rsidRPr="0053032C" w:rsidRDefault="00DB6204" w:rsidP="00DB6204">
            <w:pPr>
              <w:jc w:val="center"/>
              <w:rPr>
                <w:color w:val="000000"/>
                <w:sz w:val="20"/>
                <w:szCs w:val="16"/>
                <w:lang w:eastAsia="es-ES_tradnl"/>
              </w:rPr>
            </w:pPr>
            <w:r>
              <w:rPr>
                <w:color w:val="000000"/>
                <w:sz w:val="20"/>
                <w:szCs w:val="16"/>
                <w:lang w:eastAsia="es-ES_tradnl"/>
              </w:rPr>
              <w:t>1,35</w:t>
            </w:r>
          </w:p>
        </w:tc>
      </w:tr>
      <w:tr w:rsidR="00DB6204" w:rsidRPr="0053032C" w:rsidTr="00DB6204">
        <w:trPr>
          <w:trHeight w:val="210"/>
          <w:jc w:val="center"/>
        </w:trPr>
        <w:tc>
          <w:tcPr>
            <w:tcW w:w="3119" w:type="dxa"/>
            <w:tcBorders>
              <w:top w:val="nil"/>
              <w:left w:val="nil"/>
              <w:bottom w:val="single" w:sz="4" w:space="0" w:color="auto"/>
              <w:right w:val="nil"/>
            </w:tcBorders>
            <w:shd w:val="clear" w:color="auto" w:fill="auto"/>
            <w:noWrap/>
            <w:vAlign w:val="bottom"/>
            <w:hideMark/>
          </w:tcPr>
          <w:p w:rsidR="00DB6204" w:rsidRPr="0053032C" w:rsidRDefault="00DB6204" w:rsidP="00DB6204">
            <w:pPr>
              <w:jc w:val="left"/>
              <w:rPr>
                <w:color w:val="000000"/>
                <w:sz w:val="20"/>
                <w:szCs w:val="16"/>
                <w:lang w:eastAsia="es-ES_tradnl"/>
              </w:rPr>
            </w:pPr>
            <w:r w:rsidRPr="0053032C">
              <w:rPr>
                <w:color w:val="000000"/>
                <w:sz w:val="20"/>
                <w:szCs w:val="16"/>
                <w:lang w:eastAsia="es-ES_tradnl"/>
              </w:rPr>
              <w:t xml:space="preserve">Alternativa </w:t>
            </w:r>
            <w:r>
              <w:rPr>
                <w:color w:val="000000"/>
                <w:sz w:val="20"/>
                <w:szCs w:val="16"/>
                <w:lang w:eastAsia="es-ES_tradnl"/>
              </w:rPr>
              <w:t>CON</w:t>
            </w:r>
            <w:r w:rsidRPr="0053032C">
              <w:rPr>
                <w:color w:val="000000"/>
                <w:sz w:val="20"/>
                <w:szCs w:val="16"/>
                <w:lang w:eastAsia="es-ES_tradnl"/>
              </w:rPr>
              <w:t>: programa BID</w:t>
            </w:r>
          </w:p>
        </w:tc>
        <w:tc>
          <w:tcPr>
            <w:tcW w:w="1507" w:type="dxa"/>
            <w:tcBorders>
              <w:top w:val="nil"/>
              <w:left w:val="nil"/>
              <w:bottom w:val="single" w:sz="4" w:space="0" w:color="auto"/>
              <w:right w:val="nil"/>
            </w:tcBorders>
            <w:shd w:val="clear" w:color="auto" w:fill="auto"/>
            <w:noWrap/>
            <w:vAlign w:val="bottom"/>
          </w:tcPr>
          <w:p w:rsidR="00DB6204" w:rsidRPr="0053032C" w:rsidRDefault="00DB6204" w:rsidP="00DB6204">
            <w:pPr>
              <w:jc w:val="right"/>
              <w:rPr>
                <w:color w:val="000000"/>
                <w:sz w:val="20"/>
                <w:szCs w:val="16"/>
                <w:lang w:eastAsia="es-ES_tradnl"/>
              </w:rPr>
            </w:pPr>
            <w:r w:rsidRPr="006E059E">
              <w:rPr>
                <w:color w:val="000000"/>
                <w:sz w:val="20"/>
                <w:szCs w:val="16"/>
                <w:lang w:eastAsia="es-ES_tradnl"/>
              </w:rPr>
              <w:t>7.755.369</w:t>
            </w:r>
          </w:p>
        </w:tc>
        <w:tc>
          <w:tcPr>
            <w:tcW w:w="1324" w:type="dxa"/>
            <w:tcBorders>
              <w:top w:val="nil"/>
              <w:left w:val="nil"/>
              <w:bottom w:val="single" w:sz="4" w:space="0" w:color="auto"/>
              <w:right w:val="nil"/>
            </w:tcBorders>
            <w:vAlign w:val="bottom"/>
          </w:tcPr>
          <w:p w:rsidR="00DB6204" w:rsidRPr="0053032C" w:rsidRDefault="00DB6204" w:rsidP="00DB6204">
            <w:pPr>
              <w:jc w:val="center"/>
              <w:rPr>
                <w:color w:val="000000"/>
                <w:sz w:val="20"/>
                <w:szCs w:val="16"/>
                <w:lang w:eastAsia="es-ES_tradnl"/>
              </w:rPr>
            </w:pPr>
            <w:r w:rsidRPr="0053032C">
              <w:rPr>
                <w:color w:val="000000"/>
                <w:sz w:val="20"/>
                <w:szCs w:val="16"/>
                <w:lang w:eastAsia="es-ES_tradnl"/>
              </w:rPr>
              <w:t>1,00</w:t>
            </w:r>
          </w:p>
        </w:tc>
        <w:tc>
          <w:tcPr>
            <w:tcW w:w="1753" w:type="dxa"/>
            <w:tcBorders>
              <w:top w:val="nil"/>
              <w:left w:val="nil"/>
              <w:bottom w:val="single" w:sz="4" w:space="0" w:color="auto"/>
              <w:right w:val="nil"/>
            </w:tcBorders>
            <w:shd w:val="clear" w:color="auto" w:fill="auto"/>
            <w:noWrap/>
            <w:vAlign w:val="bottom"/>
          </w:tcPr>
          <w:p w:rsidR="00DB6204" w:rsidRPr="0053032C" w:rsidRDefault="00DB6204" w:rsidP="00DB6204">
            <w:pPr>
              <w:ind w:left="-70" w:firstLine="70"/>
              <w:jc w:val="right"/>
              <w:rPr>
                <w:color w:val="000000"/>
                <w:sz w:val="20"/>
                <w:szCs w:val="16"/>
                <w:lang w:eastAsia="es-ES_tradnl"/>
              </w:rPr>
            </w:pPr>
            <w:r w:rsidRPr="00973C05">
              <w:rPr>
                <w:color w:val="000000"/>
                <w:sz w:val="20"/>
                <w:szCs w:val="16"/>
                <w:lang w:eastAsia="es-ES_tradnl"/>
              </w:rPr>
              <w:t>7.755.369</w:t>
            </w:r>
          </w:p>
        </w:tc>
        <w:tc>
          <w:tcPr>
            <w:tcW w:w="1511" w:type="dxa"/>
            <w:tcBorders>
              <w:top w:val="nil"/>
              <w:left w:val="nil"/>
              <w:bottom w:val="single" w:sz="4" w:space="0" w:color="auto"/>
              <w:right w:val="nil"/>
            </w:tcBorders>
            <w:shd w:val="clear" w:color="auto" w:fill="auto"/>
            <w:noWrap/>
            <w:vAlign w:val="bottom"/>
          </w:tcPr>
          <w:p w:rsidR="00DB6204" w:rsidRPr="0053032C" w:rsidRDefault="00DB6204" w:rsidP="00DB6204">
            <w:pPr>
              <w:jc w:val="center"/>
              <w:rPr>
                <w:color w:val="000000"/>
                <w:sz w:val="20"/>
                <w:szCs w:val="16"/>
                <w:lang w:eastAsia="es-ES_tradnl"/>
              </w:rPr>
            </w:pPr>
            <w:r w:rsidRPr="0053032C">
              <w:rPr>
                <w:color w:val="000000"/>
                <w:sz w:val="20"/>
                <w:szCs w:val="16"/>
                <w:lang w:eastAsia="es-ES_tradnl"/>
              </w:rPr>
              <w:t>1,00</w:t>
            </w:r>
          </w:p>
        </w:tc>
      </w:tr>
    </w:tbl>
    <w:p w:rsidR="00973C05" w:rsidRPr="00973C05" w:rsidRDefault="00973C05" w:rsidP="00973C05">
      <w:pPr>
        <w:ind w:left="1843"/>
        <w:rPr>
          <w:sz w:val="18"/>
        </w:rPr>
      </w:pPr>
      <w:r w:rsidRPr="00973C05">
        <w:rPr>
          <w:sz w:val="18"/>
          <w:vertAlign w:val="superscript"/>
        </w:rPr>
        <w:t>*</w:t>
      </w:r>
      <w:r w:rsidRPr="00973C05">
        <w:rPr>
          <w:sz w:val="18"/>
        </w:rPr>
        <w:t xml:space="preserve"> VPN en dólares 2014. </w:t>
      </w:r>
    </w:p>
    <w:p w:rsidR="00973C05" w:rsidRDefault="00973C05" w:rsidP="00973C05"/>
    <w:p w:rsidR="00973C05" w:rsidRDefault="00DB6204" w:rsidP="00DB6204">
      <w:pPr>
        <w:pStyle w:val="ListParagraph"/>
        <w:numPr>
          <w:ilvl w:val="0"/>
          <w:numId w:val="14"/>
        </w:numPr>
        <w:spacing w:after="240"/>
        <w:ind w:left="0" w:hanging="567"/>
      </w:pPr>
      <w:r>
        <w:t xml:space="preserve">Para ello, se reducen los aportes presupuestarios en un 20%, de tal manera que manteniéndose constantes </w:t>
      </w:r>
      <w:r w:rsidR="0042091B">
        <w:t>las metas</w:t>
      </w:r>
      <w:r>
        <w:t xml:space="preserve"> (supuesto fuerte), el coste-efectividad debería mejorar. </w:t>
      </w:r>
      <w:r w:rsidR="0042091B">
        <w:t>Y en efecto, el coste por unidad de índice se reduce, pero no lo hace lo suficiente como para que desaparezca la ventaja de la opción CON programa BID frente a la opción SIN programa. Es</w:t>
      </w:r>
      <w:r w:rsidR="00527A55">
        <w:t xml:space="preserve"> necesaria una reducción de poco más del 40% para que la alternativa SIN sea favorable.</w:t>
      </w:r>
    </w:p>
    <w:p w:rsidR="00934C93" w:rsidRPr="0053032C" w:rsidRDefault="00934C93" w:rsidP="00934C93">
      <w:pPr>
        <w:pStyle w:val="Heading1"/>
      </w:pPr>
      <w:bookmarkStart w:id="19" w:name="_Toc395208856"/>
      <w:bookmarkStart w:id="20" w:name="_Toc139199306"/>
      <w:bookmarkStart w:id="21" w:name="_Toc179282705"/>
      <w:r w:rsidRPr="0053032C">
        <w:t>Conclusiones</w:t>
      </w:r>
      <w:bookmarkEnd w:id="19"/>
    </w:p>
    <w:p w:rsidR="00E35BBF" w:rsidRPr="0053032C" w:rsidRDefault="00E35BBF" w:rsidP="00527A55">
      <w:pPr>
        <w:pStyle w:val="ListParagraph"/>
        <w:numPr>
          <w:ilvl w:val="0"/>
          <w:numId w:val="14"/>
        </w:numPr>
        <w:spacing w:after="240"/>
        <w:rPr>
          <w:bCs/>
        </w:rPr>
      </w:pPr>
      <w:r w:rsidRPr="0053032C">
        <w:rPr>
          <w:bCs/>
        </w:rPr>
        <w:t xml:space="preserve">Del análisis económico </w:t>
      </w:r>
      <w:r w:rsidRPr="00973C05">
        <w:t>efectuado</w:t>
      </w:r>
      <w:r w:rsidR="00527A55">
        <w:rPr>
          <w:bCs/>
        </w:rPr>
        <w:t xml:space="preserve">, </w:t>
      </w:r>
      <w:r w:rsidRPr="0053032C">
        <w:rPr>
          <w:bCs/>
        </w:rPr>
        <w:t xml:space="preserve">puede deducirse que desde un punto de vista de la eficiencia, el </w:t>
      </w:r>
      <w:r w:rsidR="00BB478C">
        <w:rPr>
          <w:bCs/>
        </w:rPr>
        <w:t>“</w:t>
      </w:r>
      <w:r w:rsidR="00527A55" w:rsidRPr="00527A55">
        <w:rPr>
          <w:bCs/>
        </w:rPr>
        <w:t>Programa de mejora de la gestión pública y de los servicios al ciudadano</w:t>
      </w:r>
      <w:r w:rsidR="00BB478C">
        <w:rPr>
          <w:bCs/>
        </w:rPr>
        <w:t>”</w:t>
      </w:r>
      <w:r w:rsidR="00527A55" w:rsidRPr="00527A55">
        <w:rPr>
          <w:bCs/>
        </w:rPr>
        <w:t xml:space="preserve"> </w:t>
      </w:r>
      <w:r w:rsidR="00BB478C" w:rsidRPr="00BB478C">
        <w:rPr>
          <w:rFonts w:eastAsiaTheme="majorEastAsia"/>
        </w:rPr>
        <w:t>(</w:t>
      </w:r>
      <w:r w:rsidR="00BB478C" w:rsidRPr="00BB478C">
        <w:rPr>
          <w:smallCaps/>
        </w:rPr>
        <w:t>CH-L1085</w:t>
      </w:r>
      <w:r w:rsidR="00BB478C" w:rsidRPr="00BB478C">
        <w:rPr>
          <w:rFonts w:eastAsiaTheme="majorEastAsia"/>
        </w:rPr>
        <w:t>)</w:t>
      </w:r>
      <w:r w:rsidR="00BB478C">
        <w:rPr>
          <w:rFonts w:eastAsiaTheme="majorEastAsia"/>
          <w:b/>
          <w:sz w:val="28"/>
          <w:szCs w:val="44"/>
        </w:rPr>
        <w:t xml:space="preserve"> </w:t>
      </w:r>
      <w:r w:rsidRPr="0053032C">
        <w:rPr>
          <w:bCs/>
        </w:rPr>
        <w:t>es más costo-efectivo que la alternativa considerada</w:t>
      </w:r>
      <w:r w:rsidR="00DD69F1" w:rsidRPr="0053032C">
        <w:rPr>
          <w:bCs/>
        </w:rPr>
        <w:t xml:space="preserve"> con recursos propios</w:t>
      </w:r>
      <w:r w:rsidRPr="0053032C">
        <w:rPr>
          <w:bCs/>
        </w:rPr>
        <w:t xml:space="preserve">. En otros términos, cada mejora en un punto </w:t>
      </w:r>
      <w:r w:rsidR="00527A55">
        <w:rPr>
          <w:bCs/>
        </w:rPr>
        <w:t>del índice que mide la</w:t>
      </w:r>
      <w:r w:rsidRPr="0053032C">
        <w:rPr>
          <w:bCs/>
        </w:rPr>
        <w:t xml:space="preserve"> meta del </w:t>
      </w:r>
      <w:r w:rsidR="00527A55" w:rsidRPr="0053032C">
        <w:rPr>
          <w:bCs/>
        </w:rPr>
        <w:t xml:space="preserve">programa </w:t>
      </w:r>
      <w:r w:rsidR="00DD69F1" w:rsidRPr="0053032C">
        <w:rPr>
          <w:bCs/>
        </w:rPr>
        <w:t>BID</w:t>
      </w:r>
      <w:r w:rsidRPr="0053032C">
        <w:rPr>
          <w:bCs/>
        </w:rPr>
        <w:t xml:space="preserve"> </w:t>
      </w:r>
      <w:r w:rsidR="00527A55">
        <w:rPr>
          <w:bCs/>
        </w:rPr>
        <w:t xml:space="preserve">en términos de gestión (resultados intermedios de la matriz de resultados) </w:t>
      </w:r>
      <w:r w:rsidRPr="0053032C">
        <w:rPr>
          <w:bCs/>
        </w:rPr>
        <w:t>requiere menos recursos que la otra alternativa considerada. Por tanto, es recomendable implementar el mencionado Programa</w:t>
      </w:r>
      <w:r w:rsidR="00DD69F1" w:rsidRPr="0053032C">
        <w:rPr>
          <w:bCs/>
        </w:rPr>
        <w:t xml:space="preserve"> BID.</w:t>
      </w:r>
    </w:p>
    <w:p w:rsidR="00934C93" w:rsidRDefault="00934C93" w:rsidP="00E35BBF">
      <w:pPr>
        <w:spacing w:after="240"/>
        <w:rPr>
          <w:bCs/>
        </w:rPr>
      </w:pPr>
    </w:p>
    <w:p w:rsidR="00843C83" w:rsidRPr="0053032C" w:rsidRDefault="00843C83" w:rsidP="00843C83">
      <w:pPr>
        <w:rPr>
          <w:bCs/>
        </w:rPr>
      </w:pPr>
    </w:p>
    <w:p w:rsidR="00843C83" w:rsidRPr="0053032C" w:rsidRDefault="00843C83" w:rsidP="00843C83">
      <w:pPr>
        <w:rPr>
          <w:bCs/>
        </w:rPr>
        <w:sectPr w:rsidR="00843C83" w:rsidRPr="0053032C" w:rsidSect="00DB6204">
          <w:footerReference w:type="default" r:id="rId12"/>
          <w:pgSz w:w="12240" w:h="15840" w:code="1"/>
          <w:pgMar w:top="1418" w:right="1418" w:bottom="1418" w:left="1701" w:header="709" w:footer="856" w:gutter="0"/>
          <w:pgNumType w:start="1"/>
          <w:cols w:space="708"/>
          <w:docGrid w:linePitch="360"/>
        </w:sectPr>
      </w:pPr>
    </w:p>
    <w:p w:rsidR="00843C83" w:rsidRPr="0053032C" w:rsidRDefault="00843C83" w:rsidP="00843C83">
      <w:pPr>
        <w:rPr>
          <w:b/>
          <w:bCs/>
        </w:rPr>
      </w:pPr>
    </w:p>
    <w:p w:rsidR="00843C83" w:rsidRPr="0053032C" w:rsidRDefault="00843C83" w:rsidP="00843C83">
      <w:pPr>
        <w:rPr>
          <w:b/>
          <w:bCs/>
        </w:rPr>
      </w:pPr>
    </w:p>
    <w:p w:rsidR="00843C83" w:rsidRPr="0053032C" w:rsidRDefault="00843C83" w:rsidP="00843C83">
      <w:pPr>
        <w:rPr>
          <w:b/>
          <w:bCs/>
        </w:rPr>
      </w:pPr>
    </w:p>
    <w:p w:rsidR="00843C83" w:rsidRPr="0053032C" w:rsidRDefault="00843C83" w:rsidP="00DC3FF2">
      <w:pPr>
        <w:pStyle w:val="Anexo"/>
        <w:numPr>
          <w:ilvl w:val="0"/>
          <w:numId w:val="0"/>
        </w:numPr>
      </w:pPr>
      <w:bookmarkStart w:id="22" w:name="_Toc395208857"/>
      <w:r w:rsidRPr="0053032C">
        <w:t>ANEXOS</w:t>
      </w:r>
      <w:bookmarkEnd w:id="22"/>
    </w:p>
    <w:p w:rsidR="00843C83" w:rsidRDefault="00843C83" w:rsidP="00076D66">
      <w:pPr>
        <w:pStyle w:val="ListParagraph"/>
      </w:pPr>
    </w:p>
    <w:p w:rsidR="00076D66" w:rsidRPr="00076D66" w:rsidRDefault="00076D66" w:rsidP="00076D66">
      <w:pPr>
        <w:pStyle w:val="ListParagraph"/>
        <w:sectPr w:rsidR="00076D66" w:rsidRPr="00076D66" w:rsidSect="004222A8">
          <w:pgSz w:w="12240" w:h="15840" w:code="1"/>
          <w:pgMar w:top="1418" w:right="1418" w:bottom="1418" w:left="1418" w:header="709" w:footer="856" w:gutter="0"/>
          <w:cols w:space="708"/>
          <w:docGrid w:linePitch="360"/>
        </w:sectPr>
      </w:pPr>
    </w:p>
    <w:p w:rsidR="00843C83" w:rsidRDefault="00457125" w:rsidP="00076D66">
      <w:pPr>
        <w:pStyle w:val="Anexo"/>
        <w:ind w:left="426" w:firstLine="0"/>
        <w:rPr>
          <w:rStyle w:val="SubtleEmphasis"/>
          <w:i w:val="0"/>
        </w:rPr>
      </w:pPr>
      <w:bookmarkStart w:id="23" w:name="_Toc395208858"/>
      <w:bookmarkEnd w:id="20"/>
      <w:bookmarkEnd w:id="21"/>
      <w:r w:rsidRPr="00076D66">
        <w:rPr>
          <w:rStyle w:val="SubtleEmphasis"/>
          <w:i w:val="0"/>
        </w:rPr>
        <w:lastRenderedPageBreak/>
        <w:t>Lógica vertical del programa</w:t>
      </w:r>
      <w:bookmarkEnd w:id="23"/>
    </w:p>
    <w:p w:rsidR="00076D66" w:rsidRPr="00076D66" w:rsidRDefault="00076D66" w:rsidP="00076D66"/>
    <w:tbl>
      <w:tblPr>
        <w:tblStyle w:val="TableGrid"/>
        <w:tblW w:w="12996" w:type="dxa"/>
        <w:tblInd w:w="421" w:type="dxa"/>
        <w:tblLook w:val="04A0" w:firstRow="1" w:lastRow="0" w:firstColumn="1" w:lastColumn="0" w:noHBand="0" w:noVBand="1"/>
      </w:tblPr>
      <w:tblGrid>
        <w:gridCol w:w="1714"/>
        <w:gridCol w:w="1722"/>
        <w:gridCol w:w="1946"/>
        <w:gridCol w:w="2835"/>
        <w:gridCol w:w="2421"/>
        <w:gridCol w:w="2358"/>
      </w:tblGrid>
      <w:tr w:rsidR="00457125" w:rsidRPr="00076D66" w:rsidTr="00457125">
        <w:trPr>
          <w:trHeight w:val="512"/>
        </w:trPr>
        <w:tc>
          <w:tcPr>
            <w:tcW w:w="1714" w:type="dxa"/>
            <w:shd w:val="clear" w:color="auto" w:fill="BFBFBF" w:themeFill="background1" w:themeFillShade="BF"/>
            <w:vAlign w:val="center"/>
          </w:tcPr>
          <w:p w:rsidR="00457125" w:rsidRPr="00076D66" w:rsidRDefault="00457125" w:rsidP="00076D66">
            <w:pPr>
              <w:rPr>
                <w:b/>
                <w:sz w:val="20"/>
                <w:szCs w:val="18"/>
                <w:lang w:val="es-CL"/>
              </w:rPr>
            </w:pPr>
            <w:r w:rsidRPr="00076D66">
              <w:rPr>
                <w:b/>
                <w:sz w:val="20"/>
                <w:szCs w:val="18"/>
                <w:lang w:val="es-CL"/>
              </w:rPr>
              <w:t>Objetivo general</w:t>
            </w:r>
          </w:p>
        </w:tc>
        <w:tc>
          <w:tcPr>
            <w:tcW w:w="1722" w:type="dxa"/>
            <w:shd w:val="clear" w:color="auto" w:fill="BFBFBF" w:themeFill="background1" w:themeFillShade="BF"/>
            <w:vAlign w:val="center"/>
          </w:tcPr>
          <w:p w:rsidR="00457125" w:rsidRPr="00076D66" w:rsidRDefault="00457125" w:rsidP="00076D66">
            <w:pPr>
              <w:rPr>
                <w:b/>
                <w:sz w:val="20"/>
                <w:szCs w:val="18"/>
              </w:rPr>
            </w:pPr>
            <w:r w:rsidRPr="00076D66">
              <w:rPr>
                <w:b/>
                <w:sz w:val="20"/>
                <w:szCs w:val="18"/>
              </w:rPr>
              <w:t>Objetivo específico</w:t>
            </w:r>
          </w:p>
        </w:tc>
        <w:tc>
          <w:tcPr>
            <w:tcW w:w="1946" w:type="dxa"/>
            <w:shd w:val="clear" w:color="auto" w:fill="BFBFBF" w:themeFill="background1" w:themeFillShade="BF"/>
            <w:vAlign w:val="center"/>
          </w:tcPr>
          <w:p w:rsidR="00457125" w:rsidRPr="00076D66" w:rsidRDefault="00457125" w:rsidP="00076D66">
            <w:pPr>
              <w:rPr>
                <w:b/>
                <w:sz w:val="20"/>
                <w:szCs w:val="18"/>
              </w:rPr>
            </w:pPr>
            <w:r w:rsidRPr="00076D66">
              <w:rPr>
                <w:b/>
                <w:sz w:val="20"/>
                <w:szCs w:val="18"/>
                <w:lang w:val="es-CL"/>
              </w:rPr>
              <w:t>Componentes</w:t>
            </w:r>
          </w:p>
        </w:tc>
        <w:tc>
          <w:tcPr>
            <w:tcW w:w="2835" w:type="dxa"/>
            <w:shd w:val="clear" w:color="auto" w:fill="BFBFBF" w:themeFill="background1" w:themeFillShade="BF"/>
            <w:vAlign w:val="center"/>
          </w:tcPr>
          <w:p w:rsidR="00457125" w:rsidRPr="00076D66" w:rsidRDefault="00457125" w:rsidP="00076D66">
            <w:pPr>
              <w:rPr>
                <w:b/>
                <w:sz w:val="20"/>
                <w:szCs w:val="18"/>
                <w:lang w:val="es-CL"/>
              </w:rPr>
            </w:pPr>
            <w:r w:rsidRPr="00076D66">
              <w:rPr>
                <w:b/>
                <w:sz w:val="20"/>
                <w:szCs w:val="18"/>
                <w:lang w:val="es-CL"/>
              </w:rPr>
              <w:t>Problemas a los que se responde</w:t>
            </w:r>
          </w:p>
        </w:tc>
        <w:tc>
          <w:tcPr>
            <w:tcW w:w="2421" w:type="dxa"/>
            <w:shd w:val="clear" w:color="auto" w:fill="BFBFBF" w:themeFill="background1" w:themeFillShade="BF"/>
            <w:vAlign w:val="center"/>
          </w:tcPr>
          <w:p w:rsidR="00457125" w:rsidRPr="00076D66" w:rsidRDefault="00457125" w:rsidP="00076D66">
            <w:pPr>
              <w:rPr>
                <w:b/>
                <w:sz w:val="20"/>
                <w:szCs w:val="18"/>
              </w:rPr>
            </w:pPr>
            <w:r w:rsidRPr="00076D66">
              <w:rPr>
                <w:b/>
                <w:sz w:val="20"/>
                <w:szCs w:val="18"/>
                <w:lang w:val="es-CL"/>
              </w:rPr>
              <w:t>Intervenciones previstas</w:t>
            </w:r>
          </w:p>
        </w:tc>
        <w:tc>
          <w:tcPr>
            <w:tcW w:w="2358" w:type="dxa"/>
            <w:shd w:val="clear" w:color="auto" w:fill="BFBFBF" w:themeFill="background1" w:themeFillShade="BF"/>
            <w:vAlign w:val="center"/>
          </w:tcPr>
          <w:p w:rsidR="00457125" w:rsidRPr="00076D66" w:rsidRDefault="00457125" w:rsidP="00076D66">
            <w:pPr>
              <w:rPr>
                <w:b/>
                <w:sz w:val="20"/>
                <w:szCs w:val="18"/>
                <w:lang w:val="es-CL"/>
              </w:rPr>
            </w:pPr>
            <w:r w:rsidRPr="00076D66">
              <w:rPr>
                <w:b/>
                <w:sz w:val="20"/>
                <w:szCs w:val="18"/>
                <w:lang w:val="es-CL"/>
              </w:rPr>
              <w:t>Resultados esperados</w:t>
            </w:r>
          </w:p>
          <w:p w:rsidR="00457125" w:rsidRPr="00076D66" w:rsidRDefault="00457125" w:rsidP="00076D66">
            <w:pPr>
              <w:rPr>
                <w:b/>
                <w:sz w:val="20"/>
                <w:szCs w:val="18"/>
              </w:rPr>
            </w:pPr>
          </w:p>
        </w:tc>
      </w:tr>
      <w:tr w:rsidR="00457125" w:rsidRPr="00076D66" w:rsidTr="00457125">
        <w:tc>
          <w:tcPr>
            <w:tcW w:w="1714" w:type="dxa"/>
            <w:vMerge w:val="restart"/>
          </w:tcPr>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r w:rsidRPr="00076D66">
              <w:rPr>
                <w:sz w:val="20"/>
                <w:szCs w:val="18"/>
                <w:lang w:val="es-CL"/>
              </w:rPr>
              <w:t>Colaborar con la mejora de la satisfacción que los ciudadanos tienen con los servicios que ofrece el Estado</w:t>
            </w:r>
          </w:p>
        </w:tc>
        <w:tc>
          <w:tcPr>
            <w:tcW w:w="1722" w:type="dxa"/>
            <w:vMerge w:val="restart"/>
          </w:tcPr>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p>
          <w:p w:rsidR="00457125" w:rsidRPr="00076D66" w:rsidRDefault="00457125" w:rsidP="00076D66">
            <w:pPr>
              <w:rPr>
                <w:sz w:val="20"/>
                <w:szCs w:val="18"/>
                <w:lang w:val="es-CL"/>
              </w:rPr>
            </w:pPr>
            <w:r w:rsidRPr="00076D66">
              <w:rPr>
                <w:sz w:val="20"/>
                <w:szCs w:val="18"/>
                <w:lang w:val="es-CL"/>
              </w:rPr>
              <w:t>Elevar la efectividad y la eficiencia de los servicios que el Estado ofrece a los ciudadanos, mediante una mejora de las capacidades de gestión de las entidades responsables de la rectoría o entrega de servicios</w:t>
            </w:r>
          </w:p>
        </w:tc>
        <w:tc>
          <w:tcPr>
            <w:tcW w:w="1946" w:type="dxa"/>
          </w:tcPr>
          <w:p w:rsidR="00457125" w:rsidRPr="00076D66" w:rsidRDefault="00457125" w:rsidP="00076D66">
            <w:pPr>
              <w:rPr>
                <w:sz w:val="20"/>
                <w:szCs w:val="18"/>
              </w:rPr>
            </w:pPr>
            <w:r w:rsidRPr="00076D66">
              <w:rPr>
                <w:sz w:val="20"/>
                <w:szCs w:val="18"/>
                <w:lang w:val="es-CL"/>
              </w:rPr>
              <w:t>I. Fortalecimiento de entidades responsables de funciones rectoras</w:t>
            </w:r>
          </w:p>
        </w:tc>
        <w:tc>
          <w:tcPr>
            <w:tcW w:w="2835" w:type="dxa"/>
          </w:tcPr>
          <w:p w:rsidR="00457125" w:rsidRPr="00076D66" w:rsidRDefault="00457125" w:rsidP="00076D66">
            <w:pPr>
              <w:rPr>
                <w:sz w:val="20"/>
                <w:szCs w:val="18"/>
                <w:lang w:val="es-CL"/>
              </w:rPr>
            </w:pPr>
            <w:r w:rsidRPr="00076D66">
              <w:rPr>
                <w:sz w:val="20"/>
                <w:szCs w:val="18"/>
                <w:lang w:val="es-CL"/>
              </w:rPr>
              <w:t xml:space="preserve">Debilidades en la gestión de las entidades responsables por la rectoría de servicios: i) limitaciones de alineamiento estratégico, ii) insuficiente capacidad estratégica para dirigir las entidades, iii) debilidades de los procesos de trabajo, iv) deficiencias de los procesos de apoyo </w:t>
            </w:r>
          </w:p>
        </w:tc>
        <w:tc>
          <w:tcPr>
            <w:tcW w:w="2421" w:type="dxa"/>
          </w:tcPr>
          <w:p w:rsidR="00457125" w:rsidRPr="00076D66" w:rsidRDefault="00457125" w:rsidP="00076D66">
            <w:pPr>
              <w:rPr>
                <w:sz w:val="20"/>
                <w:szCs w:val="18"/>
                <w:lang w:val="es-CL"/>
              </w:rPr>
            </w:pPr>
            <w:r w:rsidRPr="00076D66">
              <w:rPr>
                <w:sz w:val="20"/>
                <w:szCs w:val="18"/>
                <w:lang w:val="es-CL"/>
              </w:rPr>
              <w:t>Proyectos P1: mejora de entidades rectoras existentes</w:t>
            </w:r>
          </w:p>
          <w:p w:rsidR="00457125" w:rsidRPr="00076D66" w:rsidRDefault="00457125" w:rsidP="00076D66">
            <w:pPr>
              <w:rPr>
                <w:sz w:val="20"/>
                <w:szCs w:val="18"/>
                <w:lang w:val="es-CL"/>
              </w:rPr>
            </w:pPr>
          </w:p>
          <w:p w:rsidR="00457125" w:rsidRPr="00076D66" w:rsidRDefault="00457125" w:rsidP="00076D66">
            <w:pPr>
              <w:rPr>
                <w:sz w:val="20"/>
                <w:szCs w:val="18"/>
                <w:lang w:val="es-CL"/>
              </w:rPr>
            </w:pPr>
            <w:r w:rsidRPr="00076D66">
              <w:rPr>
                <w:sz w:val="20"/>
                <w:szCs w:val="18"/>
                <w:lang w:val="es-CL"/>
              </w:rPr>
              <w:t>Proyectos P2: apoyo a la implantación de nuevas entidades rectoras</w:t>
            </w:r>
          </w:p>
        </w:tc>
        <w:tc>
          <w:tcPr>
            <w:tcW w:w="2358" w:type="dxa"/>
            <w:vMerge w:val="restart"/>
          </w:tcPr>
          <w:p w:rsidR="00457125" w:rsidRPr="00076D66" w:rsidRDefault="00457125" w:rsidP="00076D66">
            <w:pPr>
              <w:rPr>
                <w:sz w:val="20"/>
                <w:szCs w:val="18"/>
              </w:rPr>
            </w:pPr>
          </w:p>
          <w:p w:rsidR="00457125" w:rsidRPr="00076D66" w:rsidRDefault="00457125" w:rsidP="00076D66">
            <w:pPr>
              <w:rPr>
                <w:sz w:val="20"/>
                <w:szCs w:val="18"/>
              </w:rPr>
            </w:pPr>
          </w:p>
          <w:p w:rsidR="00457125" w:rsidRPr="00076D66" w:rsidRDefault="00457125" w:rsidP="00076D66">
            <w:pPr>
              <w:rPr>
                <w:sz w:val="20"/>
                <w:szCs w:val="18"/>
              </w:rPr>
            </w:pPr>
          </w:p>
          <w:p w:rsidR="00457125" w:rsidRPr="00076D66" w:rsidRDefault="00457125" w:rsidP="00076D66">
            <w:pPr>
              <w:rPr>
                <w:sz w:val="20"/>
                <w:szCs w:val="18"/>
              </w:rPr>
            </w:pPr>
          </w:p>
          <w:p w:rsidR="00457125" w:rsidRPr="00076D66" w:rsidRDefault="00457125" w:rsidP="00076D66">
            <w:pPr>
              <w:rPr>
                <w:sz w:val="20"/>
                <w:szCs w:val="18"/>
              </w:rPr>
            </w:pPr>
            <w:r w:rsidRPr="00076D66">
              <w:rPr>
                <w:sz w:val="20"/>
                <w:szCs w:val="18"/>
              </w:rPr>
              <w:t xml:space="preserve">Final: </w:t>
            </w:r>
          </w:p>
          <w:p w:rsidR="00457125" w:rsidRPr="00076D66" w:rsidRDefault="00457125" w:rsidP="00076D66">
            <w:pPr>
              <w:rPr>
                <w:sz w:val="20"/>
                <w:szCs w:val="18"/>
              </w:rPr>
            </w:pPr>
            <w:r w:rsidRPr="00076D66">
              <w:rPr>
                <w:sz w:val="20"/>
                <w:szCs w:val="18"/>
              </w:rPr>
              <w:t>Mejora en el cumplimiento de los indicadores de efectividad y eficiencia de las entidades</w:t>
            </w:r>
          </w:p>
          <w:p w:rsidR="00457125" w:rsidRPr="00076D66" w:rsidRDefault="00457125" w:rsidP="00076D66">
            <w:pPr>
              <w:rPr>
                <w:sz w:val="20"/>
                <w:szCs w:val="18"/>
              </w:rPr>
            </w:pPr>
          </w:p>
          <w:p w:rsidR="00457125" w:rsidRPr="00076D66" w:rsidRDefault="00457125" w:rsidP="00076D66">
            <w:pPr>
              <w:rPr>
                <w:sz w:val="20"/>
                <w:szCs w:val="18"/>
              </w:rPr>
            </w:pPr>
            <w:r w:rsidRPr="00076D66">
              <w:rPr>
                <w:sz w:val="20"/>
                <w:szCs w:val="18"/>
              </w:rPr>
              <w:t xml:space="preserve">Intermedios: </w:t>
            </w:r>
          </w:p>
          <w:p w:rsidR="00457125" w:rsidRPr="00076D66" w:rsidRDefault="00457125" w:rsidP="00076D66">
            <w:pPr>
              <w:rPr>
                <w:sz w:val="20"/>
                <w:szCs w:val="18"/>
              </w:rPr>
            </w:pPr>
            <w:r w:rsidRPr="00076D66">
              <w:rPr>
                <w:sz w:val="20"/>
                <w:szCs w:val="18"/>
              </w:rPr>
              <w:t>Mejora de las capacidades de gestión a nivel de: i) alineamiento estratégico, ii) gestión estratégica, iii) gestión de procesos de trabajo, iv) gestión de los sistemas de apoyo</w:t>
            </w:r>
          </w:p>
        </w:tc>
      </w:tr>
      <w:tr w:rsidR="00457125" w:rsidRPr="00076D66" w:rsidTr="00457125">
        <w:trPr>
          <w:trHeight w:val="2300"/>
        </w:trPr>
        <w:tc>
          <w:tcPr>
            <w:tcW w:w="1714" w:type="dxa"/>
            <w:vMerge/>
          </w:tcPr>
          <w:p w:rsidR="00457125" w:rsidRPr="00076D66" w:rsidRDefault="00457125" w:rsidP="00076D66">
            <w:pPr>
              <w:rPr>
                <w:sz w:val="20"/>
                <w:szCs w:val="18"/>
                <w:lang w:val="es-CL"/>
              </w:rPr>
            </w:pPr>
          </w:p>
        </w:tc>
        <w:tc>
          <w:tcPr>
            <w:tcW w:w="1722" w:type="dxa"/>
            <w:vMerge/>
          </w:tcPr>
          <w:p w:rsidR="00457125" w:rsidRPr="00076D66" w:rsidRDefault="00457125" w:rsidP="00076D66">
            <w:pPr>
              <w:rPr>
                <w:sz w:val="20"/>
                <w:szCs w:val="18"/>
                <w:lang w:val="es-CL"/>
              </w:rPr>
            </w:pPr>
          </w:p>
        </w:tc>
        <w:tc>
          <w:tcPr>
            <w:tcW w:w="1946" w:type="dxa"/>
          </w:tcPr>
          <w:p w:rsidR="00457125" w:rsidRPr="00076D66" w:rsidRDefault="00457125" w:rsidP="00076D66">
            <w:pPr>
              <w:rPr>
                <w:sz w:val="20"/>
                <w:szCs w:val="18"/>
              </w:rPr>
            </w:pPr>
            <w:r w:rsidRPr="00076D66">
              <w:rPr>
                <w:sz w:val="20"/>
                <w:szCs w:val="18"/>
                <w:lang w:val="es-CL"/>
              </w:rPr>
              <w:t>II. Fortalecimiento de entidades responsables de la entrega de servicios</w:t>
            </w:r>
          </w:p>
        </w:tc>
        <w:tc>
          <w:tcPr>
            <w:tcW w:w="2835" w:type="dxa"/>
          </w:tcPr>
          <w:p w:rsidR="00457125" w:rsidRPr="00076D66" w:rsidRDefault="00457125" w:rsidP="00076D66">
            <w:pPr>
              <w:rPr>
                <w:sz w:val="20"/>
                <w:szCs w:val="18"/>
                <w:lang w:val="es-CL"/>
              </w:rPr>
            </w:pPr>
            <w:r w:rsidRPr="00076D66">
              <w:rPr>
                <w:sz w:val="20"/>
                <w:szCs w:val="18"/>
                <w:lang w:val="es-CL"/>
              </w:rPr>
              <w:t>Debilidades en la gestión de las entidades responsables por la entrega de servicios: i) limitaciones de alineamiento estratégico, ii) insuficiente capacidad estratégica para dirigir las entidades, iii) debilidades de los procesos de trabajo, iv) deficiencias de los procesos de apoyo</w:t>
            </w:r>
          </w:p>
        </w:tc>
        <w:tc>
          <w:tcPr>
            <w:tcW w:w="2421" w:type="dxa"/>
          </w:tcPr>
          <w:p w:rsidR="00457125" w:rsidRPr="00076D66" w:rsidRDefault="00457125" w:rsidP="00076D66">
            <w:pPr>
              <w:rPr>
                <w:sz w:val="20"/>
                <w:szCs w:val="18"/>
                <w:lang w:val="es-CL"/>
              </w:rPr>
            </w:pPr>
            <w:r w:rsidRPr="00076D66">
              <w:rPr>
                <w:sz w:val="20"/>
                <w:szCs w:val="18"/>
                <w:lang w:val="es-CL"/>
              </w:rPr>
              <w:t>Proyectos P3: mejora de entidades de entrega de servicios</w:t>
            </w:r>
          </w:p>
          <w:p w:rsidR="00457125" w:rsidRPr="00076D66" w:rsidRDefault="00457125" w:rsidP="00076D66">
            <w:pPr>
              <w:rPr>
                <w:sz w:val="20"/>
                <w:szCs w:val="18"/>
                <w:lang w:val="es-CL"/>
              </w:rPr>
            </w:pPr>
          </w:p>
          <w:p w:rsidR="00457125" w:rsidRPr="00076D66" w:rsidRDefault="00457125" w:rsidP="00076D66">
            <w:pPr>
              <w:rPr>
                <w:sz w:val="20"/>
                <w:szCs w:val="18"/>
                <w:lang w:val="es-CL"/>
              </w:rPr>
            </w:pPr>
            <w:r w:rsidRPr="00076D66">
              <w:rPr>
                <w:sz w:val="20"/>
                <w:szCs w:val="18"/>
                <w:lang w:val="es-CL"/>
              </w:rPr>
              <w:t>Proyectos P4: apoyo a la implantación de nuevas entidades de entrega de servicios</w:t>
            </w:r>
          </w:p>
        </w:tc>
        <w:tc>
          <w:tcPr>
            <w:tcW w:w="2358" w:type="dxa"/>
            <w:vMerge/>
          </w:tcPr>
          <w:p w:rsidR="00457125" w:rsidRPr="00076D66" w:rsidRDefault="00457125" w:rsidP="00076D66">
            <w:pPr>
              <w:rPr>
                <w:sz w:val="20"/>
                <w:szCs w:val="18"/>
              </w:rPr>
            </w:pPr>
          </w:p>
        </w:tc>
      </w:tr>
      <w:tr w:rsidR="00457125" w:rsidRPr="00076D66" w:rsidTr="00457125">
        <w:tc>
          <w:tcPr>
            <w:tcW w:w="1714" w:type="dxa"/>
            <w:vMerge/>
          </w:tcPr>
          <w:p w:rsidR="00457125" w:rsidRPr="00076D66" w:rsidRDefault="00457125" w:rsidP="00076D66">
            <w:pPr>
              <w:rPr>
                <w:sz w:val="20"/>
                <w:szCs w:val="18"/>
                <w:lang w:val="es-CL"/>
              </w:rPr>
            </w:pPr>
          </w:p>
        </w:tc>
        <w:tc>
          <w:tcPr>
            <w:tcW w:w="1722" w:type="dxa"/>
            <w:vMerge/>
          </w:tcPr>
          <w:p w:rsidR="00457125" w:rsidRPr="00076D66" w:rsidRDefault="00457125" w:rsidP="00076D66">
            <w:pPr>
              <w:rPr>
                <w:sz w:val="20"/>
                <w:szCs w:val="18"/>
                <w:lang w:val="es-CL"/>
              </w:rPr>
            </w:pPr>
          </w:p>
        </w:tc>
        <w:tc>
          <w:tcPr>
            <w:tcW w:w="1946" w:type="dxa"/>
          </w:tcPr>
          <w:p w:rsidR="00457125" w:rsidRPr="00076D66" w:rsidRDefault="00457125" w:rsidP="00076D66">
            <w:pPr>
              <w:rPr>
                <w:sz w:val="20"/>
                <w:szCs w:val="18"/>
              </w:rPr>
            </w:pPr>
            <w:r w:rsidRPr="00076D66">
              <w:rPr>
                <w:sz w:val="20"/>
                <w:szCs w:val="18"/>
                <w:lang w:val="es-CL"/>
              </w:rPr>
              <w:t>III. Desarrollo de instrumentos para la elaboración, seguimiento y evaluación de proyectos de mejora</w:t>
            </w:r>
          </w:p>
        </w:tc>
        <w:tc>
          <w:tcPr>
            <w:tcW w:w="2835" w:type="dxa"/>
          </w:tcPr>
          <w:p w:rsidR="00457125" w:rsidRPr="00076D66" w:rsidRDefault="00457125" w:rsidP="00076D66">
            <w:pPr>
              <w:rPr>
                <w:sz w:val="20"/>
                <w:szCs w:val="18"/>
                <w:lang w:val="es-CL"/>
              </w:rPr>
            </w:pPr>
            <w:r w:rsidRPr="00076D66">
              <w:rPr>
                <w:sz w:val="20"/>
                <w:szCs w:val="18"/>
                <w:lang w:val="es-CL"/>
              </w:rPr>
              <w:t>Debilidades relativas a los instrumentos centrales de planificación, seguimiento y evaluación del desempeño de las entidades.</w:t>
            </w:r>
          </w:p>
        </w:tc>
        <w:tc>
          <w:tcPr>
            <w:tcW w:w="2421" w:type="dxa"/>
          </w:tcPr>
          <w:p w:rsidR="00457125" w:rsidRPr="00076D66" w:rsidRDefault="00457125" w:rsidP="00076D66">
            <w:pPr>
              <w:rPr>
                <w:sz w:val="20"/>
                <w:szCs w:val="18"/>
                <w:lang w:val="es-CL"/>
              </w:rPr>
            </w:pPr>
            <w:r w:rsidRPr="00076D66">
              <w:rPr>
                <w:sz w:val="20"/>
                <w:szCs w:val="18"/>
                <w:lang w:val="es-CL"/>
              </w:rPr>
              <w:t>Acciones para mejorar instrumentos centrales de: i)diagnóstico de servicios, ii) diseño de intervenciones, iii) seguimiento de resultados y iv) evaluación de servicios</w:t>
            </w:r>
          </w:p>
        </w:tc>
        <w:tc>
          <w:tcPr>
            <w:tcW w:w="2358" w:type="dxa"/>
            <w:vMerge/>
          </w:tcPr>
          <w:p w:rsidR="00457125" w:rsidRPr="00076D66" w:rsidRDefault="00457125" w:rsidP="00076D66">
            <w:pPr>
              <w:rPr>
                <w:sz w:val="20"/>
                <w:szCs w:val="18"/>
              </w:rPr>
            </w:pPr>
          </w:p>
        </w:tc>
      </w:tr>
    </w:tbl>
    <w:p w:rsidR="004222A8" w:rsidRDefault="004222A8"/>
    <w:p w:rsidR="00076D66" w:rsidRDefault="00076D66"/>
    <w:p w:rsidR="00076D66" w:rsidRDefault="00076D66"/>
    <w:p w:rsidR="00076D66" w:rsidRPr="0053032C" w:rsidRDefault="00076D66">
      <w:pPr>
        <w:sectPr w:rsidR="00076D66" w:rsidRPr="0053032C" w:rsidSect="00E9146F">
          <w:footerReference w:type="default" r:id="rId13"/>
          <w:pgSz w:w="15840" w:h="12240" w:orient="landscape" w:code="1"/>
          <w:pgMar w:top="1134" w:right="851" w:bottom="1418" w:left="1134" w:header="709" w:footer="856" w:gutter="0"/>
          <w:cols w:space="708"/>
          <w:docGrid w:linePitch="360"/>
        </w:sectPr>
      </w:pPr>
    </w:p>
    <w:p w:rsidR="00843C83" w:rsidRPr="00E9146F" w:rsidRDefault="00E9146F" w:rsidP="00E9146F">
      <w:pPr>
        <w:pStyle w:val="Anexo"/>
        <w:ind w:left="426" w:hanging="426"/>
        <w:rPr>
          <w:rStyle w:val="SubtleEmphasis"/>
          <w:i w:val="0"/>
        </w:rPr>
      </w:pPr>
      <w:bookmarkStart w:id="24" w:name="_Toc395208859"/>
      <w:r w:rsidRPr="00E9146F">
        <w:rPr>
          <w:rStyle w:val="SubtleEmphasis"/>
          <w:i w:val="0"/>
        </w:rPr>
        <w:lastRenderedPageBreak/>
        <w:t xml:space="preserve">Programas de fortalecimiento institucional </w:t>
      </w:r>
      <w:r w:rsidR="008866DE">
        <w:rPr>
          <w:rStyle w:val="SubtleEmphasis"/>
          <w:i w:val="0"/>
        </w:rPr>
        <w:t>y</w:t>
      </w:r>
      <w:r w:rsidRPr="00E9146F">
        <w:rPr>
          <w:rStyle w:val="SubtleEmphasis"/>
          <w:i w:val="0"/>
        </w:rPr>
        <w:t xml:space="preserve"> efectividad</w:t>
      </w:r>
      <w:bookmarkEnd w:id="24"/>
    </w:p>
    <w:p w:rsidR="00E9146F" w:rsidRPr="005508BC" w:rsidRDefault="00E9146F" w:rsidP="009C2EE7">
      <w:pPr>
        <w:pStyle w:val="Heading1"/>
        <w:numPr>
          <w:ilvl w:val="0"/>
          <w:numId w:val="26"/>
        </w:numPr>
        <w:tabs>
          <w:tab w:val="clear" w:pos="851"/>
        </w:tabs>
        <w:spacing w:before="60"/>
      </w:pPr>
      <w:bookmarkStart w:id="25" w:name="_Toc394577151"/>
      <w:bookmarkStart w:id="26" w:name="_Toc395208860"/>
      <w:r w:rsidRPr="005508BC">
        <w:t>Introducción</w:t>
      </w:r>
      <w:bookmarkEnd w:id="25"/>
      <w:bookmarkEnd w:id="26"/>
    </w:p>
    <w:p w:rsidR="00E9146F" w:rsidRPr="00DD381B" w:rsidRDefault="00E9146F" w:rsidP="00E9146F">
      <w:pPr>
        <w:pStyle w:val="ListParagraph"/>
        <w:numPr>
          <w:ilvl w:val="0"/>
          <w:numId w:val="14"/>
        </w:numPr>
        <w:spacing w:before="120" w:after="120" w:line="276" w:lineRule="auto"/>
        <w:ind w:left="0" w:hanging="567"/>
      </w:pPr>
      <w:r w:rsidRPr="00DD381B">
        <w:t xml:space="preserve">En las dos próximas secciones se presentan dos evidencias de la relación entre </w:t>
      </w:r>
      <w:r w:rsidRPr="00DD381B">
        <w:rPr>
          <w:i/>
        </w:rPr>
        <w:t>programas de fortalecimiento institucional</w:t>
      </w:r>
      <w:r w:rsidRPr="00DD381B">
        <w:t xml:space="preserve">, con un fuerte sesgo orientado a la mejora de la gestión, con la </w:t>
      </w:r>
      <w:r w:rsidRPr="00DD381B">
        <w:rPr>
          <w:i/>
        </w:rPr>
        <w:t>mejora de la efectividad</w:t>
      </w:r>
      <w:r w:rsidRPr="00DD381B">
        <w:t xml:space="preserve"> de aquellas instituciones que experimentaron estos programas. Para ello se han seleccionado dos: el primero de ellos es el Programa de Fortalecimiento de la Dirección Nacional de Servicio Civil (CH-L1008), financiado con recursos del Banco; el segundo es </w:t>
      </w:r>
      <w:r>
        <w:t>un</w:t>
      </w:r>
      <w:r w:rsidRPr="00DD381B">
        <w:t xml:space="preserve"> programa de</w:t>
      </w:r>
      <w:r>
        <w:t xml:space="preserve"> fortalecimiento institucional </w:t>
      </w:r>
      <w:r w:rsidRPr="00DD381B">
        <w:t>de los servicios jurídicos de la Alcaldía Mayor de Bogotá</w:t>
      </w:r>
      <w:r>
        <w:t xml:space="preserve">, cuyos resultados tan positivos en términos de mejora de la efectividad sirvieron de marco conceptual para el diseño y el análisis económico del </w:t>
      </w:r>
      <w:r w:rsidRPr="00DD381B">
        <w:t>Programa de fortalecimiento de la defensa jurídica del Estado” (CO-L1097)</w:t>
      </w:r>
      <w:r>
        <w:t xml:space="preserve"> con recursos del BID.</w:t>
      </w:r>
    </w:p>
    <w:p w:rsidR="00E9146F" w:rsidRPr="00CF5D95" w:rsidRDefault="00E9146F" w:rsidP="00E9146F">
      <w:pPr>
        <w:rPr>
          <w:sz w:val="24"/>
        </w:rPr>
      </w:pPr>
    </w:p>
    <w:p w:rsidR="00E9146F" w:rsidRDefault="00E9146F" w:rsidP="00E9146F">
      <w:pPr>
        <w:pStyle w:val="Heading1"/>
        <w:tabs>
          <w:tab w:val="clear" w:pos="851"/>
        </w:tabs>
        <w:spacing w:before="60"/>
        <w:ind w:left="432" w:hanging="432"/>
      </w:pPr>
      <w:bookmarkStart w:id="27" w:name="_Toc394577152"/>
      <w:bookmarkStart w:id="28" w:name="_Toc395208861"/>
      <w:r w:rsidRPr="005E69B9">
        <w:t>Programa d</w:t>
      </w:r>
      <w:r>
        <w:t>e</w:t>
      </w:r>
      <w:r w:rsidRPr="005E69B9">
        <w:t xml:space="preserve"> Fortalecimiento de la Dirección Nacional de Servicio Civil (CH-L</w:t>
      </w:r>
      <w:r>
        <w:t>1</w:t>
      </w:r>
      <w:r w:rsidRPr="005E69B9">
        <w:t>008)</w:t>
      </w:r>
      <w:bookmarkEnd w:id="27"/>
      <w:bookmarkEnd w:id="28"/>
    </w:p>
    <w:p w:rsidR="00E9146F" w:rsidRDefault="00E9146F" w:rsidP="00111F00">
      <w:pPr>
        <w:pStyle w:val="Heading2"/>
      </w:pPr>
      <w:bookmarkStart w:id="29" w:name="_Toc394577153"/>
      <w:bookmarkStart w:id="30" w:name="_Toc395208862"/>
      <w:r>
        <w:t>Breve descripción del programa</w:t>
      </w:r>
      <w:bookmarkEnd w:id="29"/>
      <w:bookmarkEnd w:id="30"/>
    </w:p>
    <w:p w:rsidR="00E9146F" w:rsidRDefault="00E9146F" w:rsidP="00E9146F">
      <w:pPr>
        <w:pStyle w:val="ListParagraph"/>
        <w:numPr>
          <w:ilvl w:val="0"/>
          <w:numId w:val="14"/>
        </w:numPr>
        <w:spacing w:before="120" w:after="120" w:line="276" w:lineRule="auto"/>
        <w:ind w:left="0" w:hanging="567"/>
      </w:pPr>
      <w:r>
        <w:t>E</w:t>
      </w:r>
      <w:r w:rsidRPr="00930A14">
        <w:t xml:space="preserve">n agosto de 2005 se suscribió un contrato de préstamo entre la República de Chile y el Banco Interamericano de Desarrollo (BID), para financiar </w:t>
      </w:r>
      <w:r>
        <w:t>el</w:t>
      </w:r>
      <w:r w:rsidRPr="00930A14">
        <w:t xml:space="preserve"> Programa </w:t>
      </w:r>
      <w:r>
        <w:t xml:space="preserve">CH-L1008 </w:t>
      </w:r>
      <w:r w:rsidRPr="00930A14">
        <w:t xml:space="preserve">que </w:t>
      </w:r>
      <w:r>
        <w:t>tenía por objetivo</w:t>
      </w:r>
      <w:r w:rsidRPr="00930A14">
        <w:t xml:space="preserve"> fortalecer </w:t>
      </w:r>
      <w:r>
        <w:t xml:space="preserve">la política de alta dirección pública impulsada por el Gobierno de Chile </w:t>
      </w:r>
      <w:r w:rsidRPr="003C1DDE">
        <w:rPr>
          <w:i/>
        </w:rPr>
        <w:t>a través</w:t>
      </w:r>
      <w:r>
        <w:t>, entre otros factores, del fortalecimiento de</w:t>
      </w:r>
      <w:r w:rsidRPr="00930A14">
        <w:t xml:space="preserve"> la Dirección Nacional del Servicio Civil</w:t>
      </w:r>
      <w:r>
        <w:t xml:space="preserve"> (DNSC)</w:t>
      </w:r>
      <w:r w:rsidRPr="00930A14">
        <w:t xml:space="preserve">, de forma tal de profundizar </w:t>
      </w:r>
      <w:r>
        <w:t xml:space="preserve">en </w:t>
      </w:r>
      <w:r w:rsidRPr="00930A14">
        <w:t>la modernización y profesionalización de la gestió</w:t>
      </w:r>
      <w:r>
        <w:t xml:space="preserve">n del empleo público en Chile. </w:t>
      </w:r>
    </w:p>
    <w:p w:rsidR="00E9146F" w:rsidRDefault="00E9146F" w:rsidP="00E9146F">
      <w:pPr>
        <w:pStyle w:val="ListParagraph"/>
        <w:numPr>
          <w:ilvl w:val="0"/>
          <w:numId w:val="14"/>
        </w:numPr>
        <w:spacing w:before="120" w:after="120" w:line="276" w:lineRule="auto"/>
        <w:ind w:left="0" w:hanging="567"/>
      </w:pPr>
      <w:r>
        <w:t>Para ello se diseñó un programa articulado en torno a tres componentes: (i)</w:t>
      </w:r>
      <w:r w:rsidRPr="00930A14">
        <w:t xml:space="preserve"> el fortalecimiento de la capacidad de gestión de la DNSC</w:t>
      </w:r>
      <w:r>
        <w:t>;</w:t>
      </w:r>
      <w:r w:rsidRPr="00930A14">
        <w:t xml:space="preserve"> </w:t>
      </w:r>
      <w:r>
        <w:t>(ii</w:t>
      </w:r>
      <w:r w:rsidRPr="00930A14">
        <w:t>) el apoyo a la implantación del Sistema de Alta Dirección Pública</w:t>
      </w:r>
      <w:r>
        <w:t>, (iii</w:t>
      </w:r>
      <w:r w:rsidRPr="00930A14">
        <w:t>) el apoyo a la modernización y profesionalización de la gestión de recursos humanos de la Administración Civil del Estado.</w:t>
      </w:r>
      <w:r>
        <w:t xml:space="preserve"> </w:t>
      </w:r>
    </w:p>
    <w:p w:rsidR="00E9146F" w:rsidRDefault="00E9146F" w:rsidP="00E9146F">
      <w:pPr>
        <w:pStyle w:val="ListParagraph"/>
        <w:numPr>
          <w:ilvl w:val="0"/>
          <w:numId w:val="14"/>
        </w:numPr>
        <w:spacing w:before="120" w:after="120" w:line="276" w:lineRule="auto"/>
        <w:ind w:left="0" w:hanging="567"/>
      </w:pPr>
      <w:r w:rsidRPr="00571157">
        <w:t xml:space="preserve">Con estos tres componentes se sostuvo el desarrollo de tres ámbitos complementarios: </w:t>
      </w:r>
      <w:r>
        <w:t xml:space="preserve">(i) </w:t>
      </w:r>
      <w:r w:rsidRPr="00571157">
        <w:t>el organizacional interno</w:t>
      </w:r>
      <w:r>
        <w:t>; (ii)</w:t>
      </w:r>
      <w:r w:rsidRPr="00571157">
        <w:t xml:space="preserve"> el </w:t>
      </w:r>
      <w:r>
        <w:t>del cumplimiento de la Ley y</w:t>
      </w:r>
      <w:r w:rsidRPr="00571157">
        <w:t xml:space="preserve"> en lo que hace la inmediata implantación de la Alta Dirección Pública</w:t>
      </w:r>
      <w:r>
        <w:t>;</w:t>
      </w:r>
      <w:r w:rsidRPr="00571157">
        <w:t xml:space="preserve"> y </w:t>
      </w:r>
      <w:r>
        <w:t xml:space="preserve">(iii) </w:t>
      </w:r>
      <w:r w:rsidRPr="00571157">
        <w:t>el de mediano plazo en lo que hace la profesionalización de la gestión de los recursos humanos en la Administración</w:t>
      </w:r>
      <w:r>
        <w:t>.</w:t>
      </w:r>
    </w:p>
    <w:p w:rsidR="00E9146F" w:rsidRDefault="00E9146F" w:rsidP="00E9146F">
      <w:pPr>
        <w:pStyle w:val="ListParagraph"/>
        <w:numPr>
          <w:ilvl w:val="0"/>
          <w:numId w:val="14"/>
        </w:numPr>
        <w:spacing w:before="120" w:after="120" w:line="276" w:lineRule="auto"/>
        <w:ind w:left="0" w:hanging="567"/>
      </w:pPr>
      <w:r>
        <w:t xml:space="preserve">Como puede comprobarse, estos componentes tienen asociados un conjunto de actividades enfocadas directamente al fortalecimiento de la capacidad de gestión de la DNSC y del Sistema de Alta Dirección Pública (SADP), incluyendo el Consejo de la Alta Dirección Pública (CADP). Este componente </w:t>
      </w:r>
      <w:r w:rsidRPr="003C1DDE">
        <w:rPr>
          <w:lang w:val="es-AR"/>
        </w:rPr>
        <w:t>tuvo como objetivo desarrollar las capacidades internas que permitan</w:t>
      </w:r>
      <w:r>
        <w:rPr>
          <w:lang w:val="es-AR"/>
        </w:rPr>
        <w:t xml:space="preserve"> al</w:t>
      </w:r>
      <w:r w:rsidRPr="003C1DDE">
        <w:rPr>
          <w:lang w:val="es-AR"/>
        </w:rPr>
        <w:t xml:space="preserve"> </w:t>
      </w:r>
      <w:r>
        <w:rPr>
          <w:lang w:val="es-AR"/>
        </w:rPr>
        <w:t>SADP</w:t>
      </w:r>
      <w:r w:rsidRPr="003C1DDE">
        <w:rPr>
          <w:lang w:val="es-AR"/>
        </w:rPr>
        <w:t xml:space="preserve"> dotarse de los sistemas y subsistemas de gestión imprescindibles para el desempeño de sus funciones</w:t>
      </w:r>
      <w:r>
        <w:rPr>
          <w:lang w:val="es-AR"/>
        </w:rPr>
        <w:t>, para lo cual la DNSC ejerce la función rectora.</w:t>
      </w:r>
    </w:p>
    <w:p w:rsidR="00E9146F" w:rsidRPr="00692B62" w:rsidRDefault="00E9146F" w:rsidP="00E9146F">
      <w:pPr>
        <w:pStyle w:val="ListParagraph"/>
        <w:numPr>
          <w:ilvl w:val="0"/>
          <w:numId w:val="14"/>
        </w:numPr>
        <w:spacing w:before="120" w:after="120" w:line="276" w:lineRule="auto"/>
        <w:ind w:left="0" w:hanging="567"/>
      </w:pPr>
      <w:r w:rsidRPr="00571157">
        <w:rPr>
          <w:lang w:val="es-AR"/>
        </w:rPr>
        <w:t xml:space="preserve">El costo total </w:t>
      </w:r>
      <w:r w:rsidRPr="00C3446E">
        <w:t>del</w:t>
      </w:r>
      <w:r w:rsidRPr="00571157">
        <w:rPr>
          <w:lang w:val="es-AR"/>
        </w:rPr>
        <w:t xml:space="preserve"> programa </w:t>
      </w:r>
      <w:r>
        <w:rPr>
          <w:lang w:val="es-AR"/>
        </w:rPr>
        <w:t xml:space="preserve">fue de USD 5.260.000. </w:t>
      </w:r>
      <w:r w:rsidRPr="00571157">
        <w:rPr>
          <w:lang w:val="es-AR"/>
        </w:rPr>
        <w:t xml:space="preserve">El financiamiento del BID </w:t>
      </w:r>
      <w:r>
        <w:rPr>
          <w:lang w:val="es-AR"/>
        </w:rPr>
        <w:t>fue de USD 3.000.000. El resto hasta la cantidad total se financió con recursos de contraparte.</w:t>
      </w:r>
    </w:p>
    <w:p w:rsidR="00E9146F" w:rsidRPr="00930A14" w:rsidRDefault="00E9146F" w:rsidP="00E9146F">
      <w:pPr>
        <w:pStyle w:val="ListParagraph"/>
        <w:spacing w:before="120" w:after="120" w:line="276" w:lineRule="auto"/>
        <w:ind w:left="502"/>
      </w:pPr>
    </w:p>
    <w:p w:rsidR="00E9146F" w:rsidRDefault="00E9146F" w:rsidP="00111F00">
      <w:pPr>
        <w:pStyle w:val="Heading2"/>
      </w:pPr>
      <w:bookmarkStart w:id="31" w:name="_Toc394577154"/>
      <w:bookmarkStart w:id="32" w:name="_Toc395208863"/>
      <w:r>
        <w:lastRenderedPageBreak/>
        <w:t>Evaluación de los resultados del programa</w:t>
      </w:r>
      <w:bookmarkEnd w:id="31"/>
      <w:bookmarkEnd w:id="32"/>
    </w:p>
    <w:p w:rsidR="00E9146F" w:rsidRDefault="00E9146F" w:rsidP="00E9146F">
      <w:pPr>
        <w:pStyle w:val="ListParagraph"/>
        <w:numPr>
          <w:ilvl w:val="0"/>
          <w:numId w:val="14"/>
        </w:numPr>
        <w:spacing w:before="120" w:after="120" w:line="276" w:lineRule="auto"/>
        <w:ind w:left="0" w:hanging="567"/>
      </w:pPr>
      <w:r w:rsidRPr="005E25CF">
        <w:t>En el año 2009 se realizó la evaluación final del Programa.</w:t>
      </w:r>
      <w:r>
        <w:rPr>
          <w:rStyle w:val="FootnoteReference"/>
        </w:rPr>
        <w:footnoteReference w:id="6"/>
      </w:r>
      <w:r w:rsidRPr="005E25CF">
        <w:t xml:space="preserve"> Esta evaluación tuvo como objetivo general valorar la </w:t>
      </w:r>
      <w:r>
        <w:t>incidencia</w:t>
      </w:r>
      <w:r w:rsidRPr="005E25CF">
        <w:t xml:space="preserve"> que </w:t>
      </w:r>
      <w:r>
        <w:t>las actividades y</w:t>
      </w:r>
      <w:r w:rsidRPr="005E25CF">
        <w:t xml:space="preserve"> productos </w:t>
      </w:r>
      <w:r>
        <w:t>financiados con recursos del Programa</w:t>
      </w:r>
      <w:r w:rsidRPr="005E25CF">
        <w:t xml:space="preserve"> han tenido en términos de mejora de la calidad de las políticas de personal y fortalecimiento de las instituciones del Estado, explicitando los aprendizajes realizados y los desafíos pendientes.</w:t>
      </w:r>
    </w:p>
    <w:p w:rsidR="00E9146F" w:rsidRDefault="00E9146F" w:rsidP="00E9146F">
      <w:pPr>
        <w:pStyle w:val="ListParagraph"/>
        <w:numPr>
          <w:ilvl w:val="0"/>
          <w:numId w:val="14"/>
        </w:numPr>
        <w:spacing w:before="120" w:after="120" w:line="276" w:lineRule="auto"/>
        <w:ind w:left="0" w:hanging="567"/>
      </w:pPr>
      <w:r>
        <w:t xml:space="preserve">Desde un punto de vista metodológico, la evaluación </w:t>
      </w:r>
      <w:r w:rsidRPr="005E25CF">
        <w:t xml:space="preserve">consistió básicamente en un análisis pormenorizado del cumplimiento del Marco Lógico del Programa. </w:t>
      </w:r>
      <w:r>
        <w:t xml:space="preserve">Este marco lógico relacionaba directamente la modernización de la Administración Pública de Chile (fin del Programa en la terminología de marco lógico, o impacto previsto) a través de la profesionalización, desempeño y calificación de sus servidores públicos en los niveles de gerencia. </w:t>
      </w:r>
    </w:p>
    <w:p w:rsidR="00E9146F" w:rsidRPr="005E25CF" w:rsidRDefault="00E9146F" w:rsidP="00E9146F">
      <w:pPr>
        <w:pStyle w:val="ListParagraph"/>
        <w:numPr>
          <w:ilvl w:val="0"/>
          <w:numId w:val="14"/>
        </w:numPr>
        <w:spacing w:before="120" w:after="120" w:line="276" w:lineRule="auto"/>
        <w:ind w:left="0" w:hanging="567"/>
      </w:pPr>
      <w:r>
        <w:t>En la matriz de Marco Lógico se aprecia la coherencia lógica entre fin y propósito con los objetivos y metas del Programa (ver cuadro). Para la línea de base del fin y del propósito contenida en el Marco Lógico se tomó como referencia</w:t>
      </w:r>
      <w:r w:rsidRPr="00124168">
        <w:t xml:space="preserve"> el informe de situación del servicio civil chileno realizado a fin del año 2004</w:t>
      </w:r>
      <w:r>
        <w:t xml:space="preserve"> </w:t>
      </w:r>
      <w:r w:rsidRPr="00124168">
        <w:t>en el marco del Diagnóstico Institucional de Sistemas de Servicio Civil del Diálogo Regional de Política del BID</w:t>
      </w:r>
      <w:r>
        <w:t>.</w:t>
      </w:r>
      <w:r>
        <w:rPr>
          <w:rStyle w:val="FootnoteReference"/>
        </w:rPr>
        <w:footnoteReference w:id="7"/>
      </w:r>
    </w:p>
    <w:p w:rsidR="00E9146F" w:rsidRPr="003C1DDE" w:rsidRDefault="00E9146F" w:rsidP="00E9146F">
      <w:pPr>
        <w:rPr>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2223"/>
        <w:gridCol w:w="2127"/>
        <w:gridCol w:w="1907"/>
      </w:tblGrid>
      <w:tr w:rsidR="00E9146F" w:rsidRPr="00571157" w:rsidTr="007D4E76">
        <w:tc>
          <w:tcPr>
            <w:tcW w:w="2242" w:type="dxa"/>
            <w:tcBorders>
              <w:right w:val="nil"/>
            </w:tcBorders>
            <w:shd w:val="clear" w:color="auto" w:fill="C0C0C0"/>
          </w:tcPr>
          <w:p w:rsidR="00E9146F" w:rsidRPr="00571157" w:rsidRDefault="00E9146F" w:rsidP="007D4E76">
            <w:pPr>
              <w:jc w:val="center"/>
              <w:rPr>
                <w:rFonts w:cs="Arial"/>
                <w:b/>
                <w:sz w:val="20"/>
              </w:rPr>
            </w:pPr>
            <w:r w:rsidRPr="00571157">
              <w:rPr>
                <w:rFonts w:cs="Arial"/>
                <w:b/>
                <w:sz w:val="20"/>
              </w:rPr>
              <w:t>Resumen narrativo</w:t>
            </w:r>
          </w:p>
        </w:tc>
        <w:tc>
          <w:tcPr>
            <w:tcW w:w="2223" w:type="dxa"/>
            <w:tcBorders>
              <w:left w:val="nil"/>
              <w:right w:val="nil"/>
            </w:tcBorders>
            <w:shd w:val="clear" w:color="auto" w:fill="C0C0C0"/>
          </w:tcPr>
          <w:p w:rsidR="00E9146F" w:rsidRPr="00571157" w:rsidRDefault="00E9146F" w:rsidP="007D4E76">
            <w:pPr>
              <w:jc w:val="center"/>
              <w:rPr>
                <w:rFonts w:cs="Arial"/>
                <w:b/>
                <w:sz w:val="20"/>
              </w:rPr>
            </w:pPr>
            <w:r w:rsidRPr="00571157">
              <w:rPr>
                <w:rFonts w:cs="Arial"/>
                <w:b/>
                <w:sz w:val="20"/>
              </w:rPr>
              <w:t>Indicadores</w:t>
            </w:r>
          </w:p>
        </w:tc>
        <w:tc>
          <w:tcPr>
            <w:tcW w:w="2127" w:type="dxa"/>
            <w:tcBorders>
              <w:left w:val="nil"/>
              <w:right w:val="nil"/>
            </w:tcBorders>
            <w:shd w:val="clear" w:color="auto" w:fill="C0C0C0"/>
          </w:tcPr>
          <w:p w:rsidR="00E9146F" w:rsidRPr="00571157" w:rsidRDefault="00E9146F" w:rsidP="007D4E76">
            <w:pPr>
              <w:jc w:val="center"/>
              <w:rPr>
                <w:rFonts w:cs="Arial"/>
                <w:b/>
                <w:sz w:val="20"/>
              </w:rPr>
            </w:pPr>
            <w:r w:rsidRPr="00571157">
              <w:rPr>
                <w:rFonts w:cs="Arial"/>
                <w:b/>
                <w:sz w:val="20"/>
              </w:rPr>
              <w:t>Medios de verificación</w:t>
            </w:r>
          </w:p>
        </w:tc>
        <w:tc>
          <w:tcPr>
            <w:tcW w:w="1907" w:type="dxa"/>
            <w:tcBorders>
              <w:left w:val="nil"/>
            </w:tcBorders>
            <w:shd w:val="clear" w:color="auto" w:fill="C0C0C0"/>
          </w:tcPr>
          <w:p w:rsidR="00E9146F" w:rsidRPr="00571157" w:rsidRDefault="00E9146F" w:rsidP="007D4E76">
            <w:pPr>
              <w:jc w:val="center"/>
              <w:rPr>
                <w:rFonts w:cs="Arial"/>
                <w:b/>
                <w:sz w:val="20"/>
              </w:rPr>
            </w:pPr>
            <w:r w:rsidRPr="00571157">
              <w:rPr>
                <w:rFonts w:cs="Arial"/>
                <w:b/>
                <w:sz w:val="20"/>
              </w:rPr>
              <w:t>Supuestos</w:t>
            </w:r>
          </w:p>
        </w:tc>
      </w:tr>
      <w:tr w:rsidR="00E9146F" w:rsidRPr="00571157" w:rsidTr="007D4E76">
        <w:tc>
          <w:tcPr>
            <w:tcW w:w="8499" w:type="dxa"/>
            <w:gridSpan w:val="4"/>
          </w:tcPr>
          <w:p w:rsidR="00E9146F" w:rsidRPr="00571157" w:rsidRDefault="00E9146F" w:rsidP="007D4E76">
            <w:pPr>
              <w:ind w:left="57"/>
              <w:jc w:val="left"/>
              <w:rPr>
                <w:rFonts w:cs="Arial"/>
                <w:sz w:val="20"/>
              </w:rPr>
            </w:pPr>
            <w:r w:rsidRPr="00571157">
              <w:rPr>
                <w:rFonts w:cs="Arial"/>
                <w:b/>
                <w:sz w:val="20"/>
              </w:rPr>
              <w:t>FIN (impacto)</w:t>
            </w:r>
          </w:p>
        </w:tc>
      </w:tr>
      <w:tr w:rsidR="00E9146F" w:rsidRPr="00571157" w:rsidTr="007D4E76">
        <w:tc>
          <w:tcPr>
            <w:tcW w:w="2242" w:type="dxa"/>
          </w:tcPr>
          <w:p w:rsidR="00E9146F" w:rsidRPr="00571157" w:rsidRDefault="00E9146F" w:rsidP="007D4E76">
            <w:pPr>
              <w:ind w:left="57"/>
              <w:jc w:val="left"/>
              <w:rPr>
                <w:rFonts w:cs="Arial"/>
                <w:sz w:val="20"/>
              </w:rPr>
            </w:pPr>
            <w:r w:rsidRPr="00571157">
              <w:rPr>
                <w:rFonts w:cs="Arial"/>
                <w:sz w:val="20"/>
              </w:rPr>
              <w:t>Contribuir a la modernización de la Administración Civil del Estado de Chile, bajo los referentes de profesionalización, desempeño y calificación</w:t>
            </w:r>
          </w:p>
        </w:tc>
        <w:tc>
          <w:tcPr>
            <w:tcW w:w="2223" w:type="dxa"/>
          </w:tcPr>
          <w:p w:rsidR="00E9146F" w:rsidRPr="00571157" w:rsidRDefault="00E9146F" w:rsidP="007D4E76">
            <w:pPr>
              <w:ind w:left="57"/>
              <w:jc w:val="left"/>
              <w:rPr>
                <w:rFonts w:cs="Arial"/>
                <w:b/>
                <w:sz w:val="20"/>
              </w:rPr>
            </w:pPr>
            <w:r w:rsidRPr="00571157">
              <w:rPr>
                <w:rFonts w:cs="Arial"/>
                <w:b/>
                <w:sz w:val="20"/>
              </w:rPr>
              <w:t xml:space="preserve">Índice promedio de 70% de los indicadores de calidad del Servicio Civil </w:t>
            </w:r>
          </w:p>
          <w:p w:rsidR="00E9146F" w:rsidRPr="00571157" w:rsidRDefault="00E9146F" w:rsidP="007D4E76">
            <w:pPr>
              <w:ind w:left="57"/>
              <w:jc w:val="left"/>
              <w:rPr>
                <w:rFonts w:cs="Arial"/>
                <w:sz w:val="20"/>
              </w:rPr>
            </w:pPr>
            <w:r w:rsidRPr="00571157">
              <w:rPr>
                <w:rFonts w:cs="Arial"/>
                <w:sz w:val="20"/>
              </w:rPr>
              <w:t>(Red de Transparencia y Gestión Pública del BID -  Línea de Base: 58.8%)</w:t>
            </w:r>
          </w:p>
        </w:tc>
        <w:tc>
          <w:tcPr>
            <w:tcW w:w="2127" w:type="dxa"/>
          </w:tcPr>
          <w:p w:rsidR="00E9146F" w:rsidRPr="00571157" w:rsidRDefault="00E9146F" w:rsidP="007D4E76">
            <w:pPr>
              <w:ind w:left="57"/>
              <w:jc w:val="left"/>
              <w:rPr>
                <w:rFonts w:cs="Arial"/>
                <w:sz w:val="20"/>
              </w:rPr>
            </w:pPr>
            <w:r w:rsidRPr="00571157">
              <w:rPr>
                <w:rFonts w:cs="Arial"/>
                <w:sz w:val="20"/>
              </w:rPr>
              <w:t>Actualización del Informe de Diagnóstico del Servicio Civil Chileno, al final del Programa.</w:t>
            </w:r>
          </w:p>
        </w:tc>
        <w:tc>
          <w:tcPr>
            <w:tcW w:w="1907" w:type="dxa"/>
          </w:tcPr>
          <w:p w:rsidR="00E9146F" w:rsidRPr="00571157" w:rsidRDefault="00E9146F" w:rsidP="007D4E76">
            <w:pPr>
              <w:ind w:left="57"/>
              <w:jc w:val="left"/>
              <w:rPr>
                <w:rFonts w:cs="Arial"/>
                <w:sz w:val="20"/>
              </w:rPr>
            </w:pPr>
            <w:r w:rsidRPr="00571157">
              <w:rPr>
                <w:rFonts w:cs="Arial"/>
                <w:sz w:val="20"/>
              </w:rPr>
              <w:t>Compromiso del Estado en avanzar en la modernización del Servicio Civil.</w:t>
            </w:r>
          </w:p>
          <w:p w:rsidR="00E9146F" w:rsidRPr="00571157" w:rsidRDefault="00E9146F" w:rsidP="007D4E76">
            <w:pPr>
              <w:ind w:left="57"/>
              <w:jc w:val="left"/>
              <w:rPr>
                <w:rFonts w:cs="Arial"/>
                <w:sz w:val="20"/>
              </w:rPr>
            </w:pPr>
          </w:p>
          <w:p w:rsidR="00E9146F" w:rsidRPr="00571157" w:rsidRDefault="00E9146F" w:rsidP="007D4E76">
            <w:pPr>
              <w:ind w:left="57"/>
              <w:jc w:val="left"/>
              <w:rPr>
                <w:rFonts w:cs="Arial"/>
                <w:sz w:val="20"/>
              </w:rPr>
            </w:pPr>
            <w:r w:rsidRPr="00571157">
              <w:rPr>
                <w:rFonts w:cs="Arial"/>
                <w:sz w:val="20"/>
              </w:rPr>
              <w:t>Apoyo de la sociedad civil al proceso de reforma de la modernización del Estado.</w:t>
            </w:r>
          </w:p>
        </w:tc>
      </w:tr>
      <w:tr w:rsidR="00E9146F" w:rsidRPr="00571157" w:rsidTr="007D4E76">
        <w:tc>
          <w:tcPr>
            <w:tcW w:w="8499" w:type="dxa"/>
            <w:gridSpan w:val="4"/>
          </w:tcPr>
          <w:p w:rsidR="00E9146F" w:rsidRPr="00571157" w:rsidRDefault="00E9146F" w:rsidP="007D4E76">
            <w:pPr>
              <w:jc w:val="left"/>
              <w:rPr>
                <w:rFonts w:cs="Arial"/>
                <w:sz w:val="20"/>
              </w:rPr>
            </w:pPr>
            <w:r w:rsidRPr="00571157">
              <w:rPr>
                <w:rFonts w:cs="Arial"/>
                <w:b/>
                <w:sz w:val="20"/>
              </w:rPr>
              <w:t>PROPOSITO (Outcomes)</w:t>
            </w:r>
          </w:p>
        </w:tc>
      </w:tr>
      <w:tr w:rsidR="00E9146F" w:rsidRPr="00571157" w:rsidTr="007D4E76">
        <w:tc>
          <w:tcPr>
            <w:tcW w:w="2242" w:type="dxa"/>
          </w:tcPr>
          <w:p w:rsidR="00E9146F" w:rsidRPr="00571157" w:rsidRDefault="00E9146F" w:rsidP="007D4E76">
            <w:pPr>
              <w:ind w:left="57"/>
              <w:jc w:val="left"/>
              <w:rPr>
                <w:rFonts w:cs="Arial"/>
                <w:sz w:val="20"/>
              </w:rPr>
            </w:pPr>
            <w:r w:rsidRPr="00571157">
              <w:rPr>
                <w:rFonts w:cs="Arial"/>
                <w:sz w:val="20"/>
              </w:rPr>
              <w:t>La gestión del empleo público  modernizada y profesionalizada, a través del fortalecimiento de la institucionalidad de la Dirección Nacional del Servicio Civil.</w:t>
            </w:r>
          </w:p>
          <w:p w:rsidR="00E9146F" w:rsidRPr="00571157" w:rsidRDefault="00E9146F" w:rsidP="007D4E76">
            <w:pPr>
              <w:ind w:left="57"/>
              <w:jc w:val="left"/>
              <w:rPr>
                <w:rFonts w:cs="Arial"/>
                <w:sz w:val="20"/>
              </w:rPr>
            </w:pPr>
          </w:p>
          <w:p w:rsidR="00E9146F" w:rsidRPr="00571157" w:rsidRDefault="00E9146F" w:rsidP="007D4E76">
            <w:pPr>
              <w:ind w:left="57"/>
              <w:jc w:val="left"/>
              <w:rPr>
                <w:rFonts w:cs="Arial"/>
                <w:sz w:val="20"/>
              </w:rPr>
            </w:pPr>
          </w:p>
        </w:tc>
        <w:tc>
          <w:tcPr>
            <w:tcW w:w="2223" w:type="dxa"/>
          </w:tcPr>
          <w:p w:rsidR="00E9146F" w:rsidRPr="00571157" w:rsidRDefault="00E9146F" w:rsidP="007D4E76">
            <w:pPr>
              <w:ind w:left="57"/>
              <w:jc w:val="left"/>
              <w:rPr>
                <w:rFonts w:cs="Arial"/>
                <w:b/>
                <w:sz w:val="20"/>
              </w:rPr>
            </w:pPr>
            <w:r w:rsidRPr="00571157">
              <w:rPr>
                <w:rFonts w:cs="Arial"/>
                <w:sz w:val="20"/>
              </w:rPr>
              <w:t xml:space="preserve">Al término del Proyecto </w:t>
            </w:r>
            <w:r w:rsidRPr="00571157">
              <w:rPr>
                <w:rFonts w:cs="Arial"/>
                <w:b/>
                <w:sz w:val="20"/>
              </w:rPr>
              <w:t xml:space="preserve">aumenta el índice de Mérito del Sistema de Servicio Civil de Chile </w:t>
            </w:r>
          </w:p>
          <w:p w:rsidR="00E9146F" w:rsidRPr="00571157" w:rsidRDefault="00E9146F" w:rsidP="007D4E76">
            <w:pPr>
              <w:ind w:left="57"/>
              <w:jc w:val="left"/>
              <w:rPr>
                <w:rFonts w:cs="Arial"/>
                <w:sz w:val="20"/>
              </w:rPr>
            </w:pPr>
            <w:r w:rsidRPr="00571157">
              <w:rPr>
                <w:rFonts w:cs="Arial"/>
                <w:sz w:val="20"/>
              </w:rPr>
              <w:t xml:space="preserve">(Red de Transparencia y Gestión Pública del BID -  Línea de Base: 62%): </w:t>
            </w:r>
          </w:p>
        </w:tc>
        <w:tc>
          <w:tcPr>
            <w:tcW w:w="2127" w:type="dxa"/>
          </w:tcPr>
          <w:p w:rsidR="00E9146F" w:rsidRPr="00571157" w:rsidRDefault="00E9146F" w:rsidP="007D4E76">
            <w:pPr>
              <w:ind w:left="57"/>
              <w:jc w:val="left"/>
              <w:rPr>
                <w:rFonts w:cs="Arial"/>
                <w:sz w:val="20"/>
              </w:rPr>
            </w:pPr>
            <w:r w:rsidRPr="00571157">
              <w:rPr>
                <w:rFonts w:cs="Arial"/>
                <w:sz w:val="20"/>
              </w:rPr>
              <w:t>Actualización del Informe de Diagnóstico del Sistema de Servicio Civil Chileno, al final del Programa.</w:t>
            </w:r>
          </w:p>
        </w:tc>
        <w:tc>
          <w:tcPr>
            <w:tcW w:w="1907" w:type="dxa"/>
          </w:tcPr>
          <w:p w:rsidR="00E9146F" w:rsidRPr="00571157" w:rsidRDefault="00E9146F" w:rsidP="007D4E76">
            <w:pPr>
              <w:ind w:left="57"/>
              <w:jc w:val="left"/>
              <w:rPr>
                <w:rFonts w:cs="Arial"/>
                <w:sz w:val="20"/>
              </w:rPr>
            </w:pPr>
            <w:r w:rsidRPr="00571157">
              <w:rPr>
                <w:rFonts w:cs="Arial"/>
                <w:sz w:val="20"/>
              </w:rPr>
              <w:t>Los Servicios Públicos incorporan en su gestión los lineamientos de la Dirección Nacional del Servicio Civil.</w:t>
            </w:r>
          </w:p>
        </w:tc>
      </w:tr>
    </w:tbl>
    <w:p w:rsidR="00E9146F" w:rsidRPr="00571157" w:rsidRDefault="00E9146F" w:rsidP="00E9146F">
      <w:pPr>
        <w:ind w:left="142"/>
        <w:jc w:val="left"/>
        <w:rPr>
          <w:rFonts w:cs="Arial"/>
          <w:sz w:val="18"/>
        </w:rPr>
      </w:pPr>
      <w:r w:rsidRPr="00571157">
        <w:rPr>
          <w:rFonts w:cs="Arial"/>
          <w:sz w:val="18"/>
        </w:rPr>
        <w:t>Fuente: Marco Lógico (versión actualizada). Programa de Modernización de la DNSC</w:t>
      </w:r>
      <w:r>
        <w:rPr>
          <w:rFonts w:cs="Arial"/>
          <w:sz w:val="18"/>
        </w:rPr>
        <w:t>.</w:t>
      </w:r>
    </w:p>
    <w:p w:rsidR="00E9146F" w:rsidRDefault="00E9146F" w:rsidP="00E9146F">
      <w:pPr>
        <w:rPr>
          <w:sz w:val="24"/>
        </w:rPr>
      </w:pPr>
    </w:p>
    <w:p w:rsidR="00E9146F" w:rsidRPr="00913CD0" w:rsidRDefault="00E9146F" w:rsidP="00E9146F">
      <w:pPr>
        <w:pStyle w:val="ListParagraph"/>
        <w:numPr>
          <w:ilvl w:val="0"/>
          <w:numId w:val="14"/>
        </w:numPr>
        <w:spacing w:before="120" w:after="120" w:line="276" w:lineRule="auto"/>
        <w:ind w:left="0" w:hanging="567"/>
      </w:pPr>
      <w:r w:rsidRPr="00913CD0">
        <w:t xml:space="preserve">En el diagnóstico anterior </w:t>
      </w:r>
      <w:r>
        <w:t>realizado en el año</w:t>
      </w:r>
      <w:r w:rsidRPr="00913CD0">
        <w:t xml:space="preserve"> 2004, </w:t>
      </w:r>
      <w:r>
        <w:t>e</w:t>
      </w:r>
      <w:r w:rsidRPr="00913CD0">
        <w:t xml:space="preserve">l servicio civil chileno </w:t>
      </w:r>
      <w:r>
        <w:t xml:space="preserve">se encontraba </w:t>
      </w:r>
      <w:r w:rsidRPr="00913CD0">
        <w:t>en un momento de transición desde una carrera funciona</w:t>
      </w:r>
      <w:r>
        <w:t xml:space="preserve">ria estancada y marcada por el </w:t>
      </w:r>
      <w:r w:rsidRPr="00913CD0">
        <w:rPr>
          <w:i/>
        </w:rPr>
        <w:t>cuoteo político</w:t>
      </w:r>
      <w:r w:rsidRPr="00913CD0">
        <w:t xml:space="preserve"> de las áreas entre los partidos de la coalición gobernante, hacia un nuevo sistema instaurado por </w:t>
      </w:r>
      <w:r w:rsidRPr="00913CD0">
        <w:lastRenderedPageBreak/>
        <w:t xml:space="preserve">la Ley del Nuevo Trato Laboral </w:t>
      </w:r>
      <w:r>
        <w:t xml:space="preserve">(NLTL) </w:t>
      </w:r>
      <w:r w:rsidRPr="00913CD0">
        <w:t>de junio de 2003, que incluía en su texto además la creación del Sistema de Alta Dirección Pública</w:t>
      </w:r>
      <w:r>
        <w:t xml:space="preserve"> (SADP)</w:t>
      </w:r>
      <w:r w:rsidRPr="00913CD0">
        <w:t xml:space="preserve">. En aquel momento se veían perspectivas favorables de implementación de estas nuevas reglas por el contexto político-institucional y el impulso de modernización ya consolidado en etapas. </w:t>
      </w:r>
    </w:p>
    <w:p w:rsidR="00E9146F" w:rsidRPr="00913CD0" w:rsidRDefault="00E9146F" w:rsidP="00E9146F">
      <w:pPr>
        <w:pStyle w:val="ListParagraph"/>
        <w:numPr>
          <w:ilvl w:val="0"/>
          <w:numId w:val="14"/>
        </w:numPr>
        <w:spacing w:before="120" w:after="120" w:line="276" w:lineRule="auto"/>
        <w:ind w:left="0" w:hanging="567"/>
      </w:pPr>
      <w:r w:rsidRPr="00913CD0">
        <w:t xml:space="preserve">Desde entonces, ha habido un esfuerzo sistemático por implementar las nuevas reglas contenidas en la LNTL, lográndose avances sustantivos en la instrumentación del SADP, y en la concursabilidad de la administración pública en general. Por otro lado, en un corto período de tiempo desde su creación, se han logrado </w:t>
      </w:r>
      <w:r w:rsidRPr="00913CD0">
        <w:rPr>
          <w:i/>
        </w:rPr>
        <w:t>institucionalizar</w:t>
      </w:r>
      <w:r w:rsidRPr="00913CD0">
        <w:t xml:space="preserve"> tanto la DNSC como el Consejo de Alta Dirección Pública, en un diseño organizativo novedoso y no exento de tensiones, pero con potencial para avanzar en la profesionalizac</w:t>
      </w:r>
      <w:r>
        <w:t>ión del servicio civil chileno</w:t>
      </w:r>
      <w:r w:rsidRPr="00913CD0">
        <w:t xml:space="preserve">. </w:t>
      </w:r>
    </w:p>
    <w:p w:rsidR="00E9146F" w:rsidRDefault="00E9146F" w:rsidP="00E9146F">
      <w:pPr>
        <w:pStyle w:val="ListParagraph"/>
        <w:numPr>
          <w:ilvl w:val="0"/>
          <w:numId w:val="14"/>
        </w:numPr>
        <w:spacing w:before="120" w:after="120" w:line="276" w:lineRule="auto"/>
        <w:ind w:left="0" w:hanging="567"/>
      </w:pPr>
      <w:r w:rsidRPr="00913CD0">
        <w:t>Los cinco índices de desarrollo del servicio civil</w:t>
      </w:r>
      <w:r>
        <w:t>,</w:t>
      </w:r>
      <w:r w:rsidRPr="00913CD0">
        <w:t xml:space="preserve"> </w:t>
      </w:r>
      <w:r>
        <w:t xml:space="preserve">que forman parte del sistema de indicadores de calidad del Marco Lógico, </w:t>
      </w:r>
      <w:r w:rsidRPr="00913CD0">
        <w:t>han mejorado desde el diagnóstico anterior. El índice agregado de desarrollo</w:t>
      </w:r>
      <w:r>
        <w:t xml:space="preserve"> burocrático pasó de 58,8% a 68,</w:t>
      </w:r>
      <w:r w:rsidRPr="00913CD0">
        <w:t>4%, lo cual es un avance fuerte sobre una posición que ya era de liderazgo en la región. El nivel de calificación alcanzado prácticamente es el establecido como indicador de cumplimiento del fin del programa, quedando solo un punto porcentual por debajo del 70% que establece el Marco Lógico.</w:t>
      </w:r>
      <w:r>
        <w:rPr>
          <w:rStyle w:val="FootnoteReference"/>
        </w:rPr>
        <w:footnoteReference w:id="8"/>
      </w:r>
      <w:r w:rsidRPr="00913CD0">
        <w:t xml:space="preserve"> </w:t>
      </w: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06"/>
        <w:gridCol w:w="1706"/>
        <w:gridCol w:w="1418"/>
      </w:tblGrid>
      <w:tr w:rsidR="00E9146F" w:rsidRPr="00CD4EEE" w:rsidTr="007D4E76">
        <w:trPr>
          <w:jc w:val="center"/>
        </w:trPr>
        <w:tc>
          <w:tcPr>
            <w:tcW w:w="4106" w:type="dxa"/>
            <w:shd w:val="clear" w:color="auto" w:fill="E6E6E6"/>
            <w:noWrap/>
            <w:tcMar>
              <w:top w:w="13" w:type="dxa"/>
              <w:left w:w="13" w:type="dxa"/>
              <w:bottom w:w="0" w:type="dxa"/>
              <w:right w:w="13" w:type="dxa"/>
            </w:tcMar>
            <w:vAlign w:val="center"/>
          </w:tcPr>
          <w:p w:rsidR="00E9146F" w:rsidRPr="00CD4EEE" w:rsidRDefault="00E9146F" w:rsidP="007D4E76">
            <w:pPr>
              <w:spacing w:before="60" w:after="60"/>
              <w:rPr>
                <w:b/>
                <w:bCs/>
                <w:sz w:val="20"/>
                <w:szCs w:val="20"/>
                <w:lang w:val="es-ES_tradnl"/>
              </w:rPr>
            </w:pPr>
            <w:r w:rsidRPr="00CD4EEE">
              <w:rPr>
                <w:b/>
                <w:bCs/>
                <w:sz w:val="20"/>
                <w:szCs w:val="20"/>
                <w:lang w:val="es-ES_tradnl"/>
              </w:rPr>
              <w:t>Índice</w:t>
            </w:r>
          </w:p>
        </w:tc>
        <w:tc>
          <w:tcPr>
            <w:tcW w:w="1706" w:type="dxa"/>
            <w:shd w:val="clear" w:color="auto" w:fill="E6E6E6"/>
            <w:vAlign w:val="center"/>
          </w:tcPr>
          <w:p w:rsidR="00E9146F" w:rsidRPr="00CD4EEE" w:rsidRDefault="00E9146F" w:rsidP="007D4E76">
            <w:pPr>
              <w:spacing w:before="60" w:after="60"/>
              <w:jc w:val="center"/>
              <w:rPr>
                <w:b/>
                <w:bCs/>
                <w:sz w:val="20"/>
                <w:szCs w:val="20"/>
                <w:lang w:val="es-ES_tradnl"/>
              </w:rPr>
            </w:pPr>
            <w:r w:rsidRPr="00CD4EEE">
              <w:rPr>
                <w:b/>
                <w:bCs/>
                <w:sz w:val="20"/>
                <w:szCs w:val="20"/>
                <w:lang w:val="es-ES_tradnl"/>
              </w:rPr>
              <w:t>2004</w:t>
            </w:r>
          </w:p>
        </w:tc>
        <w:tc>
          <w:tcPr>
            <w:tcW w:w="1418" w:type="dxa"/>
            <w:shd w:val="clear" w:color="auto" w:fill="E6E6E6"/>
            <w:vAlign w:val="center"/>
          </w:tcPr>
          <w:p w:rsidR="00E9146F" w:rsidRPr="00CD4EEE" w:rsidRDefault="00E9146F" w:rsidP="007D4E76">
            <w:pPr>
              <w:spacing w:before="60" w:after="60"/>
              <w:jc w:val="center"/>
              <w:rPr>
                <w:b/>
                <w:bCs/>
                <w:sz w:val="20"/>
                <w:szCs w:val="20"/>
                <w:lang w:val="es-ES_tradnl"/>
              </w:rPr>
            </w:pPr>
            <w:r w:rsidRPr="00CD4EEE">
              <w:rPr>
                <w:b/>
                <w:bCs/>
                <w:sz w:val="20"/>
                <w:szCs w:val="20"/>
                <w:lang w:val="es-ES_tradnl"/>
              </w:rPr>
              <w:t>2009</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7D4E76">
            <w:pPr>
              <w:spacing w:before="60" w:after="60"/>
              <w:rPr>
                <w:bCs/>
                <w:sz w:val="20"/>
                <w:szCs w:val="20"/>
                <w:lang w:val="es-ES_tradnl"/>
              </w:rPr>
            </w:pPr>
            <w:r w:rsidRPr="00CD4EEE">
              <w:rPr>
                <w:bCs/>
                <w:sz w:val="20"/>
                <w:szCs w:val="20"/>
                <w:lang w:val="es-ES_tradnl"/>
              </w:rPr>
              <w:t xml:space="preserve">Eficiencia (E)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59%</w:t>
            </w:r>
          </w:p>
        </w:tc>
        <w:tc>
          <w:tcPr>
            <w:tcW w:w="1418" w:type="dxa"/>
            <w:vAlign w:val="center"/>
          </w:tcPr>
          <w:p w:rsidR="00E9146F" w:rsidRPr="00CD4EEE" w:rsidRDefault="00E9146F" w:rsidP="007D4E76">
            <w:pPr>
              <w:spacing w:before="60" w:after="60"/>
              <w:ind w:right="567"/>
              <w:jc w:val="right"/>
              <w:rPr>
                <w:bCs/>
                <w:sz w:val="20"/>
                <w:szCs w:val="20"/>
                <w:lang w:val="es-ES_tradnl"/>
              </w:rPr>
            </w:pPr>
            <w:r w:rsidRPr="00CD4EEE">
              <w:rPr>
                <w:bCs/>
                <w:sz w:val="20"/>
                <w:szCs w:val="20"/>
                <w:lang w:val="es-ES_tradnl"/>
              </w:rPr>
              <w:t>72%</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7D4E76">
            <w:pPr>
              <w:spacing w:before="60" w:after="60"/>
              <w:rPr>
                <w:bCs/>
                <w:sz w:val="20"/>
                <w:szCs w:val="20"/>
                <w:lang w:val="es-ES_tradnl"/>
              </w:rPr>
            </w:pPr>
            <w:r w:rsidRPr="00CD4EEE">
              <w:rPr>
                <w:bCs/>
                <w:sz w:val="20"/>
                <w:szCs w:val="20"/>
                <w:lang w:val="es-ES_tradnl"/>
              </w:rPr>
              <w:t xml:space="preserve">Mérito (M)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62%</w:t>
            </w:r>
          </w:p>
        </w:tc>
        <w:tc>
          <w:tcPr>
            <w:tcW w:w="1418" w:type="dxa"/>
            <w:vAlign w:val="center"/>
          </w:tcPr>
          <w:p w:rsidR="00E9146F" w:rsidRPr="00CD4EEE" w:rsidRDefault="00E9146F" w:rsidP="007D4E76">
            <w:pPr>
              <w:spacing w:before="60" w:after="60"/>
              <w:ind w:right="567"/>
              <w:jc w:val="right"/>
              <w:rPr>
                <w:bCs/>
                <w:sz w:val="20"/>
                <w:szCs w:val="20"/>
                <w:lang w:val="es-ES_tradnl"/>
              </w:rPr>
            </w:pPr>
            <w:r w:rsidRPr="00CD4EEE">
              <w:rPr>
                <w:bCs/>
                <w:sz w:val="20"/>
                <w:szCs w:val="20"/>
                <w:lang w:val="es-ES_tradnl"/>
              </w:rPr>
              <w:t>78%</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7D4E76">
            <w:pPr>
              <w:spacing w:before="60" w:after="60"/>
              <w:rPr>
                <w:bCs/>
                <w:sz w:val="20"/>
                <w:szCs w:val="20"/>
                <w:lang w:val="es-ES_tradnl"/>
              </w:rPr>
            </w:pPr>
            <w:r w:rsidRPr="00CD4EEE">
              <w:rPr>
                <w:bCs/>
                <w:sz w:val="20"/>
                <w:szCs w:val="20"/>
                <w:lang w:val="es-ES_tradnl"/>
              </w:rPr>
              <w:t xml:space="preserve">Consistencia estructural (CE)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65%</w:t>
            </w:r>
          </w:p>
        </w:tc>
        <w:tc>
          <w:tcPr>
            <w:tcW w:w="1418" w:type="dxa"/>
            <w:vAlign w:val="center"/>
          </w:tcPr>
          <w:p w:rsidR="00E9146F" w:rsidRPr="00CD4EEE" w:rsidRDefault="00E9146F" w:rsidP="007D4E76">
            <w:pPr>
              <w:spacing w:before="60" w:after="60"/>
              <w:ind w:right="567"/>
              <w:jc w:val="right"/>
              <w:rPr>
                <w:bCs/>
                <w:sz w:val="20"/>
                <w:szCs w:val="20"/>
                <w:lang w:val="es-ES_tradnl"/>
              </w:rPr>
            </w:pPr>
            <w:r w:rsidRPr="00CD4EEE">
              <w:rPr>
                <w:bCs/>
                <w:sz w:val="20"/>
                <w:szCs w:val="20"/>
                <w:lang w:val="es-ES_tradnl"/>
              </w:rPr>
              <w:t>69%</w:t>
            </w:r>
          </w:p>
        </w:tc>
      </w:tr>
      <w:tr w:rsidR="00E9146F" w:rsidRPr="00CD4EEE" w:rsidTr="007D4E76">
        <w:trPr>
          <w:jc w:val="center"/>
        </w:trPr>
        <w:tc>
          <w:tcPr>
            <w:tcW w:w="4106" w:type="dxa"/>
            <w:noWrap/>
            <w:tcMar>
              <w:top w:w="13" w:type="dxa"/>
              <w:left w:w="13" w:type="dxa"/>
              <w:bottom w:w="0" w:type="dxa"/>
              <w:right w:w="13" w:type="dxa"/>
            </w:tcMar>
          </w:tcPr>
          <w:p w:rsidR="00E9146F" w:rsidRPr="00CD4EEE" w:rsidRDefault="00E9146F" w:rsidP="009C2EE7">
            <w:pPr>
              <w:pStyle w:val="ListParagraph"/>
              <w:numPr>
                <w:ilvl w:val="0"/>
                <w:numId w:val="25"/>
              </w:numPr>
              <w:spacing w:before="60" w:after="60"/>
              <w:ind w:left="408" w:hanging="284"/>
              <w:contextualSpacing/>
              <w:rPr>
                <w:sz w:val="20"/>
                <w:szCs w:val="20"/>
              </w:rPr>
            </w:pPr>
            <w:r w:rsidRPr="00CD4EEE">
              <w:rPr>
                <w:sz w:val="20"/>
                <w:szCs w:val="20"/>
                <w:lang w:val="es-ES_tradnl"/>
              </w:rPr>
              <w:t>Coherencia estratégica (CES)</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69%</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69%</w:t>
            </w:r>
          </w:p>
        </w:tc>
      </w:tr>
      <w:tr w:rsidR="00E9146F" w:rsidRPr="00CD4EEE" w:rsidTr="007D4E76">
        <w:trPr>
          <w:jc w:val="center"/>
        </w:trPr>
        <w:tc>
          <w:tcPr>
            <w:tcW w:w="4106" w:type="dxa"/>
            <w:noWrap/>
            <w:tcMar>
              <w:top w:w="13" w:type="dxa"/>
              <w:left w:w="13" w:type="dxa"/>
              <w:bottom w:w="0" w:type="dxa"/>
              <w:right w:w="13" w:type="dxa"/>
            </w:tcMar>
          </w:tcPr>
          <w:p w:rsidR="00E9146F" w:rsidRPr="00CD4EEE" w:rsidRDefault="00E9146F" w:rsidP="009C2EE7">
            <w:pPr>
              <w:pStyle w:val="ListParagraph"/>
              <w:numPr>
                <w:ilvl w:val="0"/>
                <w:numId w:val="25"/>
              </w:numPr>
              <w:spacing w:before="60" w:after="60"/>
              <w:ind w:left="408" w:hanging="284"/>
              <w:contextualSpacing/>
              <w:rPr>
                <w:sz w:val="20"/>
                <w:szCs w:val="20"/>
              </w:rPr>
            </w:pPr>
            <w:r w:rsidRPr="00CD4EEE">
              <w:rPr>
                <w:sz w:val="20"/>
                <w:szCs w:val="20"/>
                <w:lang w:val="es-ES_tradnl"/>
              </w:rPr>
              <w:t>Consistencia directiva (CD)</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59%</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64%</w:t>
            </w:r>
          </w:p>
        </w:tc>
      </w:tr>
      <w:tr w:rsidR="00E9146F" w:rsidRPr="00CD4EEE" w:rsidTr="007D4E76">
        <w:trPr>
          <w:jc w:val="center"/>
        </w:trPr>
        <w:tc>
          <w:tcPr>
            <w:tcW w:w="4106" w:type="dxa"/>
            <w:noWrap/>
            <w:tcMar>
              <w:top w:w="13" w:type="dxa"/>
              <w:left w:w="13" w:type="dxa"/>
              <w:bottom w:w="0" w:type="dxa"/>
              <w:right w:w="13" w:type="dxa"/>
            </w:tcMar>
          </w:tcPr>
          <w:p w:rsidR="00E9146F" w:rsidRPr="00CD4EEE" w:rsidRDefault="00E9146F" w:rsidP="009C2EE7">
            <w:pPr>
              <w:pStyle w:val="ListParagraph"/>
              <w:numPr>
                <w:ilvl w:val="0"/>
                <w:numId w:val="25"/>
              </w:numPr>
              <w:spacing w:before="60" w:after="60"/>
              <w:ind w:left="408" w:hanging="284"/>
              <w:contextualSpacing/>
              <w:jc w:val="left"/>
              <w:rPr>
                <w:sz w:val="20"/>
                <w:szCs w:val="20"/>
              </w:rPr>
            </w:pPr>
            <w:r w:rsidRPr="00CD4EEE">
              <w:rPr>
                <w:sz w:val="20"/>
                <w:szCs w:val="20"/>
                <w:lang w:val="es-ES_tradnl"/>
              </w:rPr>
              <w:t>Consistencia procesos (CP)</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66%</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74%</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7D4E76">
            <w:pPr>
              <w:spacing w:before="60" w:after="60"/>
              <w:rPr>
                <w:bCs/>
                <w:sz w:val="20"/>
                <w:szCs w:val="20"/>
                <w:lang w:val="es-ES_tradnl"/>
              </w:rPr>
            </w:pPr>
            <w:r w:rsidRPr="00CD4EEE">
              <w:rPr>
                <w:bCs/>
                <w:sz w:val="20"/>
                <w:szCs w:val="20"/>
                <w:lang w:val="es-ES_tradnl"/>
              </w:rPr>
              <w:t xml:space="preserve">Capacidad funcional (CF)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57%</w:t>
            </w:r>
          </w:p>
        </w:tc>
        <w:tc>
          <w:tcPr>
            <w:tcW w:w="1418" w:type="dxa"/>
            <w:vAlign w:val="center"/>
          </w:tcPr>
          <w:p w:rsidR="00E9146F" w:rsidRPr="00CD4EEE" w:rsidRDefault="00E9146F" w:rsidP="007D4E76">
            <w:pPr>
              <w:spacing w:before="60" w:after="60"/>
              <w:ind w:right="567"/>
              <w:jc w:val="right"/>
              <w:rPr>
                <w:sz w:val="20"/>
                <w:szCs w:val="20"/>
                <w:lang w:val="es-ES_tradnl"/>
              </w:rPr>
            </w:pPr>
            <w:r w:rsidRPr="00CD4EEE">
              <w:rPr>
                <w:sz w:val="20"/>
                <w:szCs w:val="20"/>
                <w:lang w:val="es-ES_tradnl"/>
              </w:rPr>
              <w:t>64%</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9C2EE7">
            <w:pPr>
              <w:pStyle w:val="ListParagraph"/>
              <w:numPr>
                <w:ilvl w:val="0"/>
                <w:numId w:val="25"/>
              </w:numPr>
              <w:spacing w:before="60" w:after="60"/>
              <w:ind w:left="408" w:hanging="284"/>
              <w:contextualSpacing/>
              <w:rPr>
                <w:sz w:val="20"/>
                <w:szCs w:val="20"/>
                <w:lang w:val="es-ES_tradnl"/>
              </w:rPr>
            </w:pPr>
            <w:r w:rsidRPr="00CD4EEE">
              <w:rPr>
                <w:sz w:val="20"/>
                <w:szCs w:val="20"/>
                <w:lang w:val="es-ES_tradnl"/>
              </w:rPr>
              <w:t xml:space="preserve">Competencia (COM)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56%</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68%</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9C2EE7">
            <w:pPr>
              <w:pStyle w:val="ListParagraph"/>
              <w:numPr>
                <w:ilvl w:val="0"/>
                <w:numId w:val="25"/>
              </w:numPr>
              <w:spacing w:before="60" w:after="60"/>
              <w:ind w:left="408" w:hanging="284"/>
              <w:contextualSpacing/>
              <w:rPr>
                <w:sz w:val="20"/>
                <w:szCs w:val="20"/>
                <w:lang w:val="es-ES_tradnl"/>
              </w:rPr>
            </w:pPr>
            <w:r w:rsidRPr="00CD4EEE">
              <w:rPr>
                <w:sz w:val="20"/>
                <w:szCs w:val="20"/>
                <w:lang w:val="es-ES_tradnl"/>
              </w:rPr>
              <w:t xml:space="preserve">Eficacia incentivadora (EI)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66%</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70%</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9C2EE7">
            <w:pPr>
              <w:pStyle w:val="ListParagraph"/>
              <w:numPr>
                <w:ilvl w:val="0"/>
                <w:numId w:val="25"/>
              </w:numPr>
              <w:spacing w:before="60" w:after="60"/>
              <w:ind w:left="408" w:hanging="284"/>
              <w:contextualSpacing/>
              <w:rPr>
                <w:sz w:val="20"/>
                <w:szCs w:val="20"/>
                <w:lang w:val="es-ES_tradnl"/>
              </w:rPr>
            </w:pPr>
            <w:r w:rsidRPr="00CD4EEE">
              <w:rPr>
                <w:sz w:val="20"/>
                <w:szCs w:val="20"/>
                <w:lang w:val="es-ES_tradnl"/>
              </w:rPr>
              <w:t xml:space="preserve">Flexibilidad (FL)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49%</w:t>
            </w:r>
          </w:p>
        </w:tc>
        <w:tc>
          <w:tcPr>
            <w:tcW w:w="1418" w:type="dxa"/>
            <w:vAlign w:val="center"/>
          </w:tcPr>
          <w:p w:rsidR="00E9146F" w:rsidRPr="00CD4EEE" w:rsidRDefault="00E9146F" w:rsidP="007D4E76">
            <w:pPr>
              <w:spacing w:before="60" w:after="60"/>
              <w:ind w:right="567"/>
              <w:jc w:val="right"/>
              <w:rPr>
                <w:sz w:val="20"/>
                <w:szCs w:val="20"/>
              </w:rPr>
            </w:pPr>
            <w:r w:rsidRPr="00CD4EEE">
              <w:rPr>
                <w:sz w:val="20"/>
                <w:szCs w:val="20"/>
              </w:rPr>
              <w:t>55%</w:t>
            </w:r>
          </w:p>
        </w:tc>
      </w:tr>
      <w:tr w:rsidR="00E9146F" w:rsidRPr="00CD4EEE" w:rsidTr="007D4E76">
        <w:trPr>
          <w:jc w:val="center"/>
        </w:trPr>
        <w:tc>
          <w:tcPr>
            <w:tcW w:w="4106" w:type="dxa"/>
            <w:noWrap/>
            <w:tcMar>
              <w:top w:w="13" w:type="dxa"/>
              <w:left w:w="13" w:type="dxa"/>
              <w:bottom w:w="0" w:type="dxa"/>
              <w:right w:w="13" w:type="dxa"/>
            </w:tcMar>
            <w:vAlign w:val="center"/>
          </w:tcPr>
          <w:p w:rsidR="00E9146F" w:rsidRPr="00CD4EEE" w:rsidRDefault="00E9146F" w:rsidP="007D4E76">
            <w:pPr>
              <w:spacing w:before="60" w:after="60"/>
              <w:rPr>
                <w:bCs/>
                <w:sz w:val="20"/>
                <w:szCs w:val="20"/>
                <w:lang w:val="es-ES_tradnl"/>
              </w:rPr>
            </w:pPr>
            <w:r w:rsidRPr="00CD4EEE">
              <w:rPr>
                <w:bCs/>
                <w:sz w:val="20"/>
                <w:szCs w:val="20"/>
                <w:lang w:val="es-ES_tradnl"/>
              </w:rPr>
              <w:t xml:space="preserve">Capacidad integradora (CI) </w:t>
            </w:r>
          </w:p>
        </w:tc>
        <w:tc>
          <w:tcPr>
            <w:tcW w:w="1706" w:type="dxa"/>
            <w:vAlign w:val="center"/>
          </w:tcPr>
          <w:p w:rsidR="00E9146F" w:rsidRPr="00CD4EEE" w:rsidRDefault="00E9146F" w:rsidP="007D4E76">
            <w:pPr>
              <w:spacing w:before="60" w:after="60"/>
              <w:ind w:right="567"/>
              <w:jc w:val="right"/>
              <w:rPr>
                <w:sz w:val="20"/>
                <w:szCs w:val="20"/>
              </w:rPr>
            </w:pPr>
            <w:r w:rsidRPr="00CD4EEE">
              <w:rPr>
                <w:sz w:val="20"/>
                <w:szCs w:val="20"/>
              </w:rPr>
              <w:t>51%</w:t>
            </w:r>
          </w:p>
        </w:tc>
        <w:tc>
          <w:tcPr>
            <w:tcW w:w="1418" w:type="dxa"/>
            <w:vAlign w:val="center"/>
          </w:tcPr>
          <w:p w:rsidR="00E9146F" w:rsidRPr="00CD4EEE" w:rsidRDefault="00E9146F" w:rsidP="007D4E76">
            <w:pPr>
              <w:spacing w:before="60" w:after="60"/>
              <w:ind w:right="567"/>
              <w:jc w:val="right"/>
              <w:rPr>
                <w:sz w:val="20"/>
                <w:szCs w:val="20"/>
                <w:lang w:val="es-ES_tradnl"/>
              </w:rPr>
            </w:pPr>
            <w:r w:rsidRPr="00CD4EEE">
              <w:rPr>
                <w:sz w:val="20"/>
                <w:szCs w:val="20"/>
                <w:lang w:val="es-ES_tradnl"/>
              </w:rPr>
              <w:t>59%</w:t>
            </w:r>
          </w:p>
        </w:tc>
      </w:tr>
      <w:tr w:rsidR="00E9146F" w:rsidRPr="00590EBC" w:rsidTr="007D4E76">
        <w:trPr>
          <w:jc w:val="center"/>
        </w:trPr>
        <w:tc>
          <w:tcPr>
            <w:tcW w:w="4106" w:type="dxa"/>
            <w:noWrap/>
            <w:tcMar>
              <w:top w:w="13" w:type="dxa"/>
              <w:left w:w="13" w:type="dxa"/>
              <w:bottom w:w="0" w:type="dxa"/>
              <w:right w:w="13" w:type="dxa"/>
            </w:tcMar>
            <w:vAlign w:val="center"/>
          </w:tcPr>
          <w:p w:rsidR="00E9146F" w:rsidRPr="00590EBC" w:rsidRDefault="00E9146F" w:rsidP="007D4E76">
            <w:pPr>
              <w:spacing w:before="60" w:after="60"/>
              <w:rPr>
                <w:b/>
                <w:bCs/>
                <w:sz w:val="20"/>
                <w:szCs w:val="20"/>
                <w:lang w:val="es-ES_tradnl"/>
              </w:rPr>
            </w:pPr>
            <w:r w:rsidRPr="00590EBC">
              <w:rPr>
                <w:b/>
                <w:bCs/>
                <w:sz w:val="20"/>
                <w:szCs w:val="20"/>
                <w:lang w:val="es-ES_tradnl"/>
              </w:rPr>
              <w:t>Índice de desarrollo burocrático</w:t>
            </w:r>
          </w:p>
        </w:tc>
        <w:tc>
          <w:tcPr>
            <w:tcW w:w="1706" w:type="dxa"/>
            <w:vAlign w:val="center"/>
          </w:tcPr>
          <w:p w:rsidR="00E9146F" w:rsidRPr="00590EBC" w:rsidRDefault="00E9146F" w:rsidP="007D4E76">
            <w:pPr>
              <w:spacing w:before="60" w:after="60"/>
              <w:ind w:right="567"/>
              <w:jc w:val="right"/>
              <w:rPr>
                <w:b/>
                <w:sz w:val="20"/>
                <w:szCs w:val="20"/>
              </w:rPr>
            </w:pPr>
            <w:r w:rsidRPr="00590EBC">
              <w:rPr>
                <w:b/>
                <w:sz w:val="20"/>
                <w:szCs w:val="20"/>
              </w:rPr>
              <w:t>58.8%</w:t>
            </w:r>
          </w:p>
        </w:tc>
        <w:tc>
          <w:tcPr>
            <w:tcW w:w="1418" w:type="dxa"/>
            <w:vAlign w:val="center"/>
          </w:tcPr>
          <w:p w:rsidR="00E9146F" w:rsidRPr="00590EBC" w:rsidRDefault="00E9146F" w:rsidP="007D4E76">
            <w:pPr>
              <w:spacing w:before="60" w:after="60"/>
              <w:ind w:right="567"/>
              <w:jc w:val="right"/>
              <w:rPr>
                <w:b/>
                <w:sz w:val="20"/>
                <w:szCs w:val="20"/>
                <w:lang w:val="es-ES_tradnl"/>
              </w:rPr>
            </w:pPr>
            <w:r w:rsidRPr="00590EBC">
              <w:rPr>
                <w:b/>
                <w:sz w:val="20"/>
                <w:szCs w:val="20"/>
                <w:lang w:val="es-ES_tradnl"/>
              </w:rPr>
              <w:t>68.4%</w:t>
            </w:r>
          </w:p>
        </w:tc>
      </w:tr>
    </w:tbl>
    <w:p w:rsidR="00E9146F" w:rsidRPr="00E3083D" w:rsidRDefault="00E9146F" w:rsidP="00E9146F">
      <w:pPr>
        <w:pStyle w:val="ListParagraph"/>
        <w:numPr>
          <w:ilvl w:val="0"/>
          <w:numId w:val="14"/>
        </w:numPr>
        <w:spacing w:before="120" w:after="120" w:line="276" w:lineRule="auto"/>
        <w:ind w:left="0" w:hanging="567"/>
      </w:pPr>
      <w:r>
        <w:t>De acuerdo con la evaluación mencionada, e</w:t>
      </w:r>
      <w:r w:rsidRPr="00E3083D">
        <w:t xml:space="preserve">l mayor avance se ha dado en el índice de Mérito, que resulta el mejor valorado con 78%, reflejando la implementación de los concursos, para los cuales el Programa de Modernización de la DNSC resultó central, sobre todo en lo referido al lanzamiento y consolidación del SADP. Esta mejora sustancial en el índice de Mérito resulta en el cumplimiento del indicador de Propósito establecido en el Marco Lógico, que consiste en el aumento de este índice al término del Programa. </w:t>
      </w:r>
    </w:p>
    <w:p w:rsidR="00E9146F" w:rsidRDefault="00E9146F" w:rsidP="00E9146F">
      <w:pPr>
        <w:pStyle w:val="ListParagraph"/>
        <w:numPr>
          <w:ilvl w:val="0"/>
          <w:numId w:val="14"/>
        </w:numPr>
        <w:spacing w:before="120" w:after="120" w:line="276" w:lineRule="auto"/>
        <w:ind w:left="0" w:hanging="567"/>
      </w:pPr>
      <w:r w:rsidRPr="00E3083D">
        <w:t xml:space="preserve">Los otros cuatro índices también aumentaron en este período. </w:t>
      </w:r>
      <w:r>
        <w:t>A</w:t>
      </w:r>
      <w:r w:rsidRPr="00E3083D">
        <w:t xml:space="preserve">l índice de Mérito </w:t>
      </w:r>
      <w:r>
        <w:t xml:space="preserve">le siguen </w:t>
      </w:r>
      <w:r w:rsidRPr="00E3083D">
        <w:t xml:space="preserve">los índices de Eficiencia y Consistencia Estructural, con alrededor del 70%, por la continuada disciplina fiscal y alineación de objetivos de las instituciones a partir de la gestión por resultados y de la profesionalización de la función directiva. Algo por debajo y alrededor del </w:t>
      </w:r>
      <w:r w:rsidRPr="00E3083D">
        <w:lastRenderedPageBreak/>
        <w:t>60% se ubican los índices de Capacidad Funcional y Capacidad Integradora. Con relación al primero, el sistema de seguimiento del rendimiento individual, grupal e institucional empieza a encontrarse con las etapas más desafiantes de su desarrollo, para pasar de las metas formales a una verdadera gestión de los resultados logrados. Con relación al segundo, por un lado se ha desarrollado una política de mejora de la calidad de vida en el trabajo, pero por otro lado se han hecho más conflictivas y enfrentadas las relaciones entre el Estado empleador y las asociacion</w:t>
      </w:r>
      <w:r>
        <w:t>es sindicales</w:t>
      </w:r>
      <w:r w:rsidRPr="00E3083D">
        <w:t>.</w:t>
      </w:r>
    </w:p>
    <w:p w:rsidR="00E9146F" w:rsidRDefault="00E9146F" w:rsidP="00E9146F">
      <w:pPr>
        <w:pStyle w:val="ListParagraph"/>
        <w:spacing w:before="120" w:after="120" w:line="276" w:lineRule="auto"/>
        <w:ind w:left="0"/>
      </w:pPr>
    </w:p>
    <w:p w:rsidR="00E9146F" w:rsidRPr="00E3083D" w:rsidRDefault="00E9146F" w:rsidP="00111F00">
      <w:pPr>
        <w:pStyle w:val="Heading2"/>
      </w:pPr>
      <w:bookmarkStart w:id="33" w:name="_Toc394577155"/>
      <w:bookmarkStart w:id="34" w:name="_Toc395208864"/>
      <w:r>
        <w:t>Conclusiones</w:t>
      </w:r>
      <w:bookmarkEnd w:id="33"/>
      <w:bookmarkEnd w:id="34"/>
    </w:p>
    <w:p w:rsidR="00E9146F" w:rsidRDefault="00E9146F" w:rsidP="00E9146F">
      <w:pPr>
        <w:pStyle w:val="ListParagraph"/>
        <w:numPr>
          <w:ilvl w:val="0"/>
          <w:numId w:val="14"/>
        </w:numPr>
        <w:spacing w:before="120" w:after="120" w:line="276" w:lineRule="auto"/>
        <w:ind w:left="0" w:hanging="567"/>
      </w:pPr>
      <w:r w:rsidRPr="00E3083D">
        <w:t xml:space="preserve">En definitiva, a partir de estos resultados </w:t>
      </w:r>
      <w:r>
        <w:t>puede afirmarse</w:t>
      </w:r>
      <w:r w:rsidRPr="00E3083D">
        <w:t xml:space="preserve"> que ha habido avances sustantivos en el servicio civil chileno en los cuatro años</w:t>
      </w:r>
      <w:r>
        <w:t xml:space="preserve"> de implementación del Programa</w:t>
      </w:r>
      <w:r w:rsidRPr="00E3083D">
        <w:t xml:space="preserve"> de Modernización de la DNSC, cumpliendo de esta manera con su fin y propósito.</w:t>
      </w:r>
      <w:r>
        <w:t xml:space="preserve"> Por lo tanto, puede concluirse que un conjunto de actividades y productos orientados a la </w:t>
      </w:r>
      <w:r w:rsidRPr="00D867F2">
        <w:rPr>
          <w:i/>
        </w:rPr>
        <w:t>mejora de la gestión</w:t>
      </w:r>
      <w:r>
        <w:t xml:space="preserve"> de las políticas relacionadas con el servicio civil generaron </w:t>
      </w:r>
      <w:r w:rsidRPr="00D867F2">
        <w:rPr>
          <w:i/>
        </w:rPr>
        <w:t>efectos positivos</w:t>
      </w:r>
      <w:r>
        <w:t xml:space="preserve"> sobre dichas políticas.</w:t>
      </w:r>
    </w:p>
    <w:p w:rsidR="00E9146F" w:rsidRDefault="00E9146F" w:rsidP="00E9146F">
      <w:pPr>
        <w:pStyle w:val="ListParagraph"/>
        <w:numPr>
          <w:ilvl w:val="0"/>
          <w:numId w:val="14"/>
        </w:numPr>
        <w:spacing w:before="120" w:after="120" w:line="276" w:lineRule="auto"/>
        <w:ind w:left="0" w:hanging="567"/>
      </w:pPr>
      <w:r>
        <w:t xml:space="preserve">Una vez concluido el </w:t>
      </w:r>
      <w:r w:rsidRPr="00CF5D95">
        <w:t xml:space="preserve">Programa, quedaron instaladas </w:t>
      </w:r>
      <w:r>
        <w:t>los procesos de trabajo</w:t>
      </w:r>
      <w:r w:rsidRPr="00CF5D95">
        <w:t xml:space="preserve"> permanente</w:t>
      </w:r>
      <w:r>
        <w:t>s</w:t>
      </w:r>
      <w:r w:rsidRPr="00CF5D95">
        <w:t xml:space="preserve"> de la DNSC a través de la asignación de presupuesto del gobierno nacional. Se refuerzan así los logros del Programa, que efectivamente </w:t>
      </w:r>
      <w:r>
        <w:t>lograr</w:t>
      </w:r>
      <w:r w:rsidRPr="00CF5D95">
        <w:t>o</w:t>
      </w:r>
      <w:r>
        <w:t>n</w:t>
      </w:r>
      <w:r w:rsidRPr="00CF5D95">
        <w:t xml:space="preserve"> construir institucionalidad e instalar nuevas prácticas de gestión en la DNSC.</w:t>
      </w:r>
      <w:r>
        <w:t xml:space="preserve"> </w:t>
      </w:r>
    </w:p>
    <w:p w:rsidR="00E9146F" w:rsidRDefault="00E9146F" w:rsidP="00E9146F">
      <w:pPr>
        <w:pStyle w:val="ListParagraph"/>
        <w:numPr>
          <w:ilvl w:val="0"/>
          <w:numId w:val="14"/>
        </w:numPr>
        <w:spacing w:before="120" w:after="120" w:line="276" w:lineRule="auto"/>
        <w:ind w:left="0" w:hanging="567"/>
      </w:pPr>
      <w:r>
        <w:t xml:space="preserve">Para ello también fue determinante el esquema de ejecución propuesto del Programa, que se instaló enteramente en la DNSC son recurrir a unidades ejecutoras externas. Es decir, el Programa apoyó directamente al proceso de modernización de la DNSC a través de la ejecución de sus propias actividades bajo un esquema de </w:t>
      </w:r>
      <w:r w:rsidRPr="005508BC">
        <w:rPr>
          <w:i/>
        </w:rPr>
        <w:t>learning by doing</w:t>
      </w:r>
      <w:r>
        <w:t xml:space="preserve">. </w:t>
      </w:r>
    </w:p>
    <w:p w:rsidR="0020621E" w:rsidRDefault="0020621E" w:rsidP="00E9146F">
      <w:pPr>
        <w:rPr>
          <w:sz w:val="24"/>
        </w:rPr>
      </w:pPr>
    </w:p>
    <w:p w:rsidR="0020621E" w:rsidRPr="0020621E" w:rsidRDefault="0020621E" w:rsidP="0020621E">
      <w:pPr>
        <w:rPr>
          <w:sz w:val="24"/>
        </w:rPr>
      </w:pPr>
    </w:p>
    <w:p w:rsidR="0020621E" w:rsidRPr="0020621E" w:rsidRDefault="0020621E" w:rsidP="0020621E">
      <w:pPr>
        <w:rPr>
          <w:sz w:val="24"/>
        </w:rPr>
      </w:pPr>
    </w:p>
    <w:p w:rsidR="00E9146F" w:rsidRPr="0020621E" w:rsidRDefault="00E9146F" w:rsidP="0020621E">
      <w:pPr>
        <w:tabs>
          <w:tab w:val="left" w:pos="990"/>
        </w:tabs>
        <w:rPr>
          <w:sz w:val="24"/>
        </w:rPr>
        <w:sectPr w:rsidR="00E9146F" w:rsidRPr="0020621E" w:rsidSect="008866DE">
          <w:footerReference w:type="default" r:id="rId14"/>
          <w:pgSz w:w="11906" w:h="16838"/>
          <w:pgMar w:top="1417" w:right="1701" w:bottom="1417" w:left="1701" w:header="708" w:footer="708" w:gutter="0"/>
          <w:cols w:space="708"/>
          <w:docGrid w:linePitch="360"/>
        </w:sectPr>
      </w:pPr>
    </w:p>
    <w:p w:rsidR="00E9146F" w:rsidRPr="00AD0466" w:rsidRDefault="00E9146F" w:rsidP="00E9146F">
      <w:pPr>
        <w:pStyle w:val="Heading1"/>
        <w:tabs>
          <w:tab w:val="clear" w:pos="851"/>
        </w:tabs>
        <w:spacing w:before="60"/>
        <w:ind w:left="432" w:hanging="432"/>
      </w:pPr>
      <w:bookmarkStart w:id="35" w:name="_Toc394577156"/>
      <w:bookmarkStart w:id="36" w:name="_Toc395208865"/>
      <w:r w:rsidRPr="00AD0466">
        <w:lastRenderedPageBreak/>
        <w:t>Medición del impacto en la efectividad de un programa de fortalecimiento institucional</w:t>
      </w:r>
      <w:r>
        <w:t>: el caso de los servicios jurídicos de la Alcaldía Mayor de Bogotá</w:t>
      </w:r>
      <w:bookmarkEnd w:id="35"/>
      <w:bookmarkEnd w:id="36"/>
    </w:p>
    <w:p w:rsidR="00E9146F" w:rsidRDefault="00E9146F" w:rsidP="00111F00">
      <w:pPr>
        <w:pStyle w:val="Heading2"/>
      </w:pPr>
      <w:bookmarkStart w:id="37" w:name="_Toc394577157"/>
      <w:bookmarkStart w:id="38" w:name="_Toc395208866"/>
      <w:r>
        <w:t>Breve descripción del programa</w:t>
      </w:r>
      <w:bookmarkEnd w:id="37"/>
      <w:bookmarkEnd w:id="38"/>
    </w:p>
    <w:p w:rsidR="00E9146F" w:rsidRDefault="00E9146F" w:rsidP="00E9146F">
      <w:pPr>
        <w:pStyle w:val="ListParagraph"/>
        <w:numPr>
          <w:ilvl w:val="0"/>
          <w:numId w:val="14"/>
        </w:numPr>
        <w:spacing w:before="120" w:after="120" w:line="276" w:lineRule="auto"/>
        <w:ind w:hanging="502"/>
      </w:pPr>
      <w:r>
        <w:t>En el proceso de diseño del “</w:t>
      </w:r>
      <w:r w:rsidRPr="00AD0466">
        <w:t xml:space="preserve">Programa de fortalecimiento </w:t>
      </w:r>
      <w:r>
        <w:t>de</w:t>
      </w:r>
      <w:r w:rsidRPr="00AD0466">
        <w:t xml:space="preserve"> la defensa jurídica del Estado</w:t>
      </w:r>
      <w:r>
        <w:t>” (</w:t>
      </w:r>
      <w:r w:rsidRPr="00AD0466">
        <w:t>CO-L1097)</w:t>
      </w:r>
      <w:r>
        <w:t xml:space="preserve">, actualmente en ejecución, una de las preocupaciones del equipo de proyecto fue tratar de mostrar la relación causal entre las actividades previstas en el Programa de Fortalecimiento, básicamente orientadas a la mejora de la gestión, y las variaciones en los indicadores de efectividad de los resultados del sistema de defensa jurídica del Estado. Estos indicadores aluden a la tasa de éxito de los servicios jurídicos del Estado ante los tribunales. </w:t>
      </w:r>
    </w:p>
    <w:p w:rsidR="00E9146F" w:rsidRDefault="00E9146F" w:rsidP="00E9146F">
      <w:pPr>
        <w:pStyle w:val="ListParagraph"/>
        <w:numPr>
          <w:ilvl w:val="0"/>
          <w:numId w:val="14"/>
        </w:numPr>
        <w:spacing w:before="120" w:after="120" w:line="276" w:lineRule="auto"/>
        <w:ind w:hanging="502"/>
      </w:pPr>
      <w:r>
        <w:t>En los dos anteriores proyectos en los que ha participado de forma activa el BID en materia de defensa jurídica del Estado (Consejo de Defensa de Chile, Advogacia Geral da Unión de Brasil) se contó con dos fuentes básicas de inspiración: la primera de ellas han sido las buenas prácticas implementadas en instituciones similares que tienen una larga trayectoria como entidades de defensa de los intereses jurídicos del Estado. La segunda la constituyen las principales lecciones que pueden extraerse de los procesos de fortalecimiento institucional en instituciones públicas que, aunque no se dediquen a la actividad de defensa jurídica, tienen en común metodologías de trabajo muy similares.</w:t>
      </w:r>
    </w:p>
    <w:p w:rsidR="00E9146F" w:rsidRDefault="00E9146F" w:rsidP="00E9146F">
      <w:pPr>
        <w:pStyle w:val="ListParagraph"/>
        <w:numPr>
          <w:ilvl w:val="0"/>
          <w:numId w:val="14"/>
        </w:numPr>
        <w:spacing w:before="120" w:after="120" w:line="276" w:lineRule="auto"/>
        <w:ind w:hanging="502"/>
      </w:pPr>
      <w:r>
        <w:t xml:space="preserve">Sin embargo, esta aproximación por referencia de mejores prácticas o </w:t>
      </w:r>
      <w:r w:rsidRPr="002E263C">
        <w:rPr>
          <w:i/>
        </w:rPr>
        <w:t>benchmarking</w:t>
      </w:r>
      <w:r>
        <w:t xml:space="preserve"> con otras instituciones no garantiza que las recomendaciones contenidas en los diseños de los proyectos que el Banco impulsó conduzcan con una alta probabilidad a los resultados esperados. Por ello, en el transcurso de los trabajos del Programa </w:t>
      </w:r>
      <w:r w:rsidRPr="00AD0466">
        <w:t>CO-L1097</w:t>
      </w:r>
      <w:r>
        <w:t xml:space="preserve"> se consideró conveniente prestar especial atención al proceso de fortalecimiento de los servicios jurídicos de la Alcaldía Mayor de Bogotá y medir sus eventuales impactos.</w:t>
      </w:r>
      <w:r>
        <w:rPr>
          <w:rStyle w:val="FootnoteReference"/>
        </w:rPr>
        <w:footnoteReference w:id="9"/>
      </w:r>
    </w:p>
    <w:p w:rsidR="00E9146F" w:rsidRDefault="00E9146F" w:rsidP="00E9146F">
      <w:pPr>
        <w:pStyle w:val="ListParagraph"/>
        <w:numPr>
          <w:ilvl w:val="0"/>
          <w:numId w:val="14"/>
        </w:numPr>
        <w:spacing w:before="120" w:after="120" w:line="276" w:lineRule="auto"/>
        <w:ind w:hanging="502"/>
      </w:pPr>
      <w:r>
        <w:t xml:space="preserve">Como es sabido, a inicios de la década de 2000, la Alcaldía Mayor de Bogotá emprendió un profundo proceso de transformación de los servicios jurídicos ante el elevado riesgo y costo por reparaciones e indemnizaciones que tenían soportar por juicios en contra. Este proceso de transformación institucional giró sobre tres ejes principales: </w:t>
      </w:r>
    </w:p>
    <w:p w:rsidR="00E9146F" w:rsidRDefault="00E9146F" w:rsidP="009C2EE7">
      <w:pPr>
        <w:pStyle w:val="ListParagraph"/>
        <w:numPr>
          <w:ilvl w:val="0"/>
          <w:numId w:val="23"/>
        </w:numPr>
        <w:spacing w:after="120" w:line="276" w:lineRule="auto"/>
        <w:ind w:left="1134" w:hanging="567"/>
      </w:pPr>
      <w:r>
        <w:t>En primer lugar, se reformuló todo el modelo de prevención, con el fin de evitar que por razones atribuidas a procesos administrativos mal definidos desde un punto de vista jurídico, o a tomas de decisiones de las autoridades sin suficiente cobertura jurídica, se produjeran demandas contra la municipalidad. En este sentido, se analizaron todos los procedimientos de trabajo y se definieron nuevos manuales y protocolos de obligado cumplimiento. De forma paralela, se implementaron diversos programas de capacitación del personal ubicado en los servicios jurídicos de las entidades.</w:t>
      </w:r>
    </w:p>
    <w:p w:rsidR="00E9146F" w:rsidRDefault="00E9146F" w:rsidP="009C2EE7">
      <w:pPr>
        <w:pStyle w:val="ListParagraph"/>
        <w:numPr>
          <w:ilvl w:val="0"/>
          <w:numId w:val="23"/>
        </w:numPr>
        <w:spacing w:after="120" w:line="276" w:lineRule="auto"/>
        <w:ind w:left="1134" w:hanging="567"/>
      </w:pPr>
      <w:r>
        <w:t xml:space="preserve">En segundo lugar, se realizó una profunda reingeniería de los procesos de trabajo de gestión del caso en los tribunales. Se mejoraron las capacidades técnicas para que los abogados elaboraran mejores estrategias de defensa, y se determinó que en los casos de demandas de alto riesgo los servicios jurídicos centrales pudieran intervenir estableciendo determinados criterios en las acciones judiciales de los servicios jurídicos de las entidades. </w:t>
      </w:r>
    </w:p>
    <w:p w:rsidR="00E9146F" w:rsidRDefault="00E9146F" w:rsidP="009C2EE7">
      <w:pPr>
        <w:pStyle w:val="ListParagraph"/>
        <w:numPr>
          <w:ilvl w:val="0"/>
          <w:numId w:val="23"/>
        </w:numPr>
        <w:spacing w:after="120" w:line="276" w:lineRule="auto"/>
        <w:ind w:left="1134" w:hanging="567"/>
      </w:pPr>
      <w:r>
        <w:lastRenderedPageBreak/>
        <w:t>En tercer y último lugar, se instaló un nuevo sistema de seguimiento de casos (el Sistema de Información de los Procesos Judiciales, SIPROJ) sobre el que deberían volcar sus actividades los abogados y los funcionarios adscritos a los servicios jurídicos. Además, mediante el SIPROJ, el personal responsable de la gestión jurídica puede obtener información estadística de los resultados de su actividad.</w:t>
      </w:r>
    </w:p>
    <w:p w:rsidR="00E9146F" w:rsidRDefault="00E9146F" w:rsidP="00E9146F">
      <w:pPr>
        <w:pStyle w:val="ListParagraph"/>
        <w:numPr>
          <w:ilvl w:val="0"/>
          <w:numId w:val="14"/>
        </w:numPr>
        <w:spacing w:before="120" w:after="120" w:line="276" w:lineRule="auto"/>
        <w:ind w:hanging="502"/>
      </w:pPr>
      <w:r>
        <w:t xml:space="preserve">Como puede observarse, estas acciones, implementadas por la Alcaldía Mayor de Bogotá en el marco del fortalecimiento de sus servicios jurídicos, guardan mucha similitud con los dos proyectos antes mencionados, auspiciados en el marco de las operaciones del BID. </w:t>
      </w:r>
    </w:p>
    <w:p w:rsidR="00E9146F" w:rsidRDefault="00E9146F" w:rsidP="00E9146F">
      <w:pPr>
        <w:pStyle w:val="ListParagraph"/>
        <w:spacing w:before="120" w:after="120" w:line="276" w:lineRule="auto"/>
        <w:ind w:left="360"/>
      </w:pPr>
    </w:p>
    <w:p w:rsidR="00E9146F" w:rsidRDefault="00E9146F" w:rsidP="00111F00">
      <w:pPr>
        <w:pStyle w:val="Heading2"/>
      </w:pPr>
      <w:bookmarkStart w:id="39" w:name="_Toc394577158"/>
      <w:bookmarkStart w:id="40" w:name="_Toc395208867"/>
      <w:r>
        <w:t>Evaluación de los resultados del programa</w:t>
      </w:r>
      <w:bookmarkEnd w:id="39"/>
      <w:bookmarkEnd w:id="40"/>
    </w:p>
    <w:p w:rsidR="00E9146F" w:rsidRDefault="00E9146F" w:rsidP="00E9146F">
      <w:pPr>
        <w:pStyle w:val="ListParagraph"/>
        <w:numPr>
          <w:ilvl w:val="0"/>
          <w:numId w:val="14"/>
        </w:numPr>
        <w:spacing w:before="120" w:after="120" w:line="276" w:lineRule="auto"/>
        <w:ind w:hanging="502"/>
      </w:pPr>
      <w:r>
        <w:t xml:space="preserve">Las acciones de la Alcaldía culminaron en 2005, que fue cuando entró en pleno funcionamiento el nuevo modelo. De esta forma, en el año 2011 se abrió la posibilidad de medir la efectividad de la actividad judicial antes y después de la implementación del programa de mejora. Para ello se contaba con la información proporcionada por el SIPROJ, que entre otras cosas incluía ya la carga de los datos históricos anteriores a 2004. </w:t>
      </w:r>
    </w:p>
    <w:p w:rsidR="00E9146F" w:rsidRDefault="00E9146F" w:rsidP="00E9146F">
      <w:pPr>
        <w:pStyle w:val="ListParagraph"/>
        <w:numPr>
          <w:ilvl w:val="0"/>
          <w:numId w:val="14"/>
        </w:numPr>
        <w:spacing w:before="120" w:after="120" w:line="276" w:lineRule="auto"/>
        <w:ind w:hanging="502"/>
      </w:pPr>
      <w:r>
        <w:t xml:space="preserve">Con estos datos disponibles, juntamente con los técnicos de la Alcaldía Mayor de Bogotá, se procedió a establecer los indicadores que medirían adecuadamente el impacto del programa de mejora. Se consideraron tres indicadores: </w:t>
      </w:r>
    </w:p>
    <w:p w:rsidR="00E9146F" w:rsidRPr="00837A52" w:rsidRDefault="00E9146F" w:rsidP="009C2EE7">
      <w:pPr>
        <w:pStyle w:val="ListParagraph"/>
        <w:numPr>
          <w:ilvl w:val="0"/>
          <w:numId w:val="24"/>
        </w:numPr>
        <w:spacing w:line="276" w:lineRule="auto"/>
        <w:ind w:left="1134" w:hanging="567"/>
      </w:pPr>
      <w:r w:rsidRPr="00837A52">
        <w:t xml:space="preserve">El primero (tipo A) es la tasa de efectividad en aquellos casos que se iniciaron y finalizaron antes de 2004, y se mide como el porcentaje de sentencias favorables sobre total de sentencias definitivas. Con ello se calcularían los resultados que se obtenían en tribunales en el período </w:t>
      </w:r>
      <w:r w:rsidRPr="00837A52">
        <w:rPr>
          <w:i/>
        </w:rPr>
        <w:t>anterior</w:t>
      </w:r>
      <w:r w:rsidRPr="00837A52">
        <w:t xml:space="preserve"> a la implementación de los cambios en el modelo de defensa jurídica.</w:t>
      </w:r>
    </w:p>
    <w:p w:rsidR="00E9146F" w:rsidRDefault="00E9146F" w:rsidP="009C2EE7">
      <w:pPr>
        <w:pStyle w:val="ListParagraph"/>
        <w:numPr>
          <w:ilvl w:val="0"/>
          <w:numId w:val="24"/>
        </w:numPr>
        <w:spacing w:line="276" w:lineRule="auto"/>
        <w:ind w:left="1134" w:hanging="567"/>
      </w:pPr>
      <w:r>
        <w:t xml:space="preserve">El segundo (tipo B) es la tasa de efectividad de aquellos casos que se iniciaron antes de 2004, pero que finalizaron con sentencia después de ese año. De esta forma, se podría tener una aproximación de los eventuales efectos que se produjeron durante el período de </w:t>
      </w:r>
      <w:r w:rsidRPr="00551BE8">
        <w:rPr>
          <w:i/>
        </w:rPr>
        <w:t>transición</w:t>
      </w:r>
      <w:r>
        <w:t xml:space="preserve"> entre el viejo y el nuevo modelo de gestión.</w:t>
      </w:r>
    </w:p>
    <w:p w:rsidR="00E9146F" w:rsidRDefault="00E9146F" w:rsidP="009C2EE7">
      <w:pPr>
        <w:pStyle w:val="ListParagraph"/>
        <w:numPr>
          <w:ilvl w:val="0"/>
          <w:numId w:val="24"/>
        </w:numPr>
        <w:spacing w:line="276" w:lineRule="auto"/>
        <w:ind w:left="1134" w:hanging="567"/>
      </w:pPr>
      <w:r>
        <w:t>Finalmente, el tercer indicador utilizado (tipo C) es la tasa de actividad correspondiente a los casos iniciados y finalizados de forma definitiva después de 2004, es decir: cuando ya el nuevo modelo estaba trabajando en régimen.</w:t>
      </w:r>
    </w:p>
    <w:p w:rsidR="00E9146F" w:rsidRDefault="00E9146F" w:rsidP="00E9146F">
      <w:pPr>
        <w:pStyle w:val="ListParagraph"/>
        <w:spacing w:line="276" w:lineRule="auto"/>
        <w:ind w:left="567"/>
      </w:pPr>
    </w:p>
    <w:p w:rsidR="00E9146F" w:rsidRDefault="00E9146F" w:rsidP="00E9146F">
      <w:pPr>
        <w:pStyle w:val="ListParagraph"/>
        <w:numPr>
          <w:ilvl w:val="0"/>
          <w:numId w:val="14"/>
        </w:numPr>
        <w:spacing w:line="276" w:lineRule="auto"/>
        <w:ind w:left="567" w:hanging="567"/>
      </w:pPr>
      <w:r>
        <w:t xml:space="preserve">Los resultados de estos trabajos pueden encontrarse en el cuadro siguiente. </w:t>
      </w:r>
    </w:p>
    <w:p w:rsidR="00E9146F" w:rsidRDefault="00E9146F" w:rsidP="00E9146F">
      <w:pPr>
        <w:pStyle w:val="ListParagraph"/>
        <w:ind w:left="567"/>
      </w:pPr>
    </w:p>
    <w:p w:rsidR="00E9146F" w:rsidRPr="00E043A4" w:rsidRDefault="00E9146F" w:rsidP="00E9146F">
      <w:pPr>
        <w:jc w:val="center"/>
        <w:rPr>
          <w:b/>
          <w:sz w:val="20"/>
          <w:lang w:val="es-UY"/>
        </w:rPr>
      </w:pPr>
      <w:r>
        <w:rPr>
          <w:b/>
          <w:sz w:val="20"/>
          <w:lang w:val="es-UY"/>
        </w:rPr>
        <w:t>Indicadores de la tasa de éxito de los servicios jurídicos de la Alcaldía Mayor de Bogotá en el Distrito Capital</w:t>
      </w:r>
    </w:p>
    <w:tbl>
      <w:tblPr>
        <w:tblStyle w:val="TableGrid"/>
        <w:tblW w:w="850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8"/>
        <w:gridCol w:w="1553"/>
        <w:gridCol w:w="1414"/>
        <w:gridCol w:w="1460"/>
      </w:tblGrid>
      <w:tr w:rsidR="00E9146F" w:rsidRPr="00EF24AD" w:rsidTr="007D4E76">
        <w:tc>
          <w:tcPr>
            <w:tcW w:w="4078" w:type="dxa"/>
            <w:tcBorders>
              <w:top w:val="single" w:sz="4" w:space="0" w:color="auto"/>
              <w:bottom w:val="single" w:sz="4" w:space="0" w:color="auto"/>
            </w:tcBorders>
          </w:tcPr>
          <w:p w:rsidR="00E9146F" w:rsidRPr="00EF24AD" w:rsidRDefault="00E9146F" w:rsidP="007D4E76">
            <w:pPr>
              <w:jc w:val="center"/>
              <w:rPr>
                <w:b/>
                <w:lang w:val="es-UY"/>
              </w:rPr>
            </w:pPr>
          </w:p>
        </w:tc>
        <w:tc>
          <w:tcPr>
            <w:tcW w:w="1553" w:type="dxa"/>
            <w:tcBorders>
              <w:top w:val="single" w:sz="4" w:space="0" w:color="auto"/>
              <w:bottom w:val="single" w:sz="4" w:space="0" w:color="auto"/>
            </w:tcBorders>
          </w:tcPr>
          <w:p w:rsidR="00E9146F" w:rsidRPr="00EF24AD" w:rsidRDefault="00E9146F" w:rsidP="007D4E76">
            <w:pPr>
              <w:jc w:val="center"/>
              <w:rPr>
                <w:b/>
                <w:lang w:val="es-UY"/>
              </w:rPr>
            </w:pPr>
            <w:r w:rsidRPr="00EF24AD">
              <w:rPr>
                <w:b/>
                <w:lang w:val="es-UY"/>
              </w:rPr>
              <w:t>Sentencias favorables</w:t>
            </w:r>
          </w:p>
        </w:tc>
        <w:tc>
          <w:tcPr>
            <w:tcW w:w="1414" w:type="dxa"/>
            <w:tcBorders>
              <w:top w:val="single" w:sz="4" w:space="0" w:color="auto"/>
              <w:bottom w:val="single" w:sz="4" w:space="0" w:color="auto"/>
            </w:tcBorders>
          </w:tcPr>
          <w:p w:rsidR="00E9146F" w:rsidRPr="00EF24AD" w:rsidRDefault="00E9146F" w:rsidP="007D4E76">
            <w:pPr>
              <w:jc w:val="center"/>
              <w:rPr>
                <w:b/>
                <w:lang w:val="es-UY"/>
              </w:rPr>
            </w:pPr>
            <w:r w:rsidRPr="00EF24AD">
              <w:rPr>
                <w:b/>
                <w:lang w:val="es-UY"/>
              </w:rPr>
              <w:t>Sentencias definitivas</w:t>
            </w:r>
          </w:p>
        </w:tc>
        <w:tc>
          <w:tcPr>
            <w:tcW w:w="1460" w:type="dxa"/>
            <w:tcBorders>
              <w:top w:val="single" w:sz="4" w:space="0" w:color="auto"/>
              <w:bottom w:val="single" w:sz="4" w:space="0" w:color="auto"/>
            </w:tcBorders>
          </w:tcPr>
          <w:p w:rsidR="00E9146F" w:rsidRPr="00EF24AD" w:rsidRDefault="00E9146F" w:rsidP="007D4E76">
            <w:pPr>
              <w:jc w:val="center"/>
              <w:rPr>
                <w:b/>
                <w:lang w:val="es-UY"/>
              </w:rPr>
            </w:pPr>
            <w:r w:rsidRPr="00EF24AD">
              <w:rPr>
                <w:b/>
                <w:lang w:val="es-UY"/>
              </w:rPr>
              <w:t>Tasa de éxito</w:t>
            </w:r>
            <w:r>
              <w:rPr>
                <w:b/>
                <w:lang w:val="es-UY"/>
              </w:rPr>
              <w:t xml:space="preserve"> (porcentaje)</w:t>
            </w:r>
          </w:p>
        </w:tc>
      </w:tr>
      <w:tr w:rsidR="00E9146F" w:rsidRPr="00EF24AD" w:rsidTr="007D4E76">
        <w:tc>
          <w:tcPr>
            <w:tcW w:w="4078" w:type="dxa"/>
            <w:tcBorders>
              <w:top w:val="single" w:sz="4" w:space="0" w:color="auto"/>
            </w:tcBorders>
          </w:tcPr>
          <w:p w:rsidR="00E9146F" w:rsidRPr="00EF24AD" w:rsidRDefault="00E9146F" w:rsidP="007D4E76">
            <w:pPr>
              <w:ind w:left="743" w:hanging="743"/>
              <w:jc w:val="left"/>
              <w:rPr>
                <w:rFonts w:ascii="Calibri" w:hAnsi="Calibri"/>
                <w:b/>
                <w:bCs/>
                <w:i/>
                <w:iCs/>
                <w:lang w:val="es-UY"/>
              </w:rPr>
            </w:pPr>
            <w:r>
              <w:rPr>
                <w:lang w:val="es-UY"/>
              </w:rPr>
              <w:t>Tipo A:</w:t>
            </w:r>
            <w:r>
              <w:rPr>
                <w:lang w:val="es-UY"/>
              </w:rPr>
              <w:tab/>
            </w:r>
            <w:r w:rsidRPr="00EF24AD">
              <w:rPr>
                <w:lang w:val="es-UY"/>
              </w:rPr>
              <w:t xml:space="preserve">Procesos antes de 2004 </w:t>
            </w:r>
          </w:p>
        </w:tc>
        <w:tc>
          <w:tcPr>
            <w:tcW w:w="1553" w:type="dxa"/>
            <w:tcBorders>
              <w:top w:val="single" w:sz="4" w:space="0" w:color="auto"/>
            </w:tcBorders>
          </w:tcPr>
          <w:p w:rsidR="00E9146F" w:rsidRPr="00EF24AD" w:rsidRDefault="00E9146F" w:rsidP="007D4E76">
            <w:pPr>
              <w:ind w:right="317"/>
              <w:jc w:val="right"/>
              <w:rPr>
                <w:lang w:val="es-UY"/>
              </w:rPr>
            </w:pPr>
            <w:r>
              <w:rPr>
                <w:lang w:val="es-UY"/>
              </w:rPr>
              <w:t>6.129</w:t>
            </w:r>
          </w:p>
        </w:tc>
        <w:tc>
          <w:tcPr>
            <w:tcW w:w="1414" w:type="dxa"/>
            <w:tcBorders>
              <w:top w:val="single" w:sz="4" w:space="0" w:color="auto"/>
            </w:tcBorders>
          </w:tcPr>
          <w:p w:rsidR="00E9146F" w:rsidRPr="00EF24AD" w:rsidRDefault="00E9146F" w:rsidP="007D4E76">
            <w:pPr>
              <w:ind w:right="317"/>
              <w:jc w:val="right"/>
              <w:rPr>
                <w:lang w:val="es-UY"/>
              </w:rPr>
            </w:pPr>
            <w:r>
              <w:rPr>
                <w:lang w:val="es-UY"/>
              </w:rPr>
              <w:t>8.626</w:t>
            </w:r>
          </w:p>
        </w:tc>
        <w:tc>
          <w:tcPr>
            <w:tcW w:w="1460" w:type="dxa"/>
            <w:tcBorders>
              <w:top w:val="single" w:sz="4" w:space="0" w:color="auto"/>
            </w:tcBorders>
          </w:tcPr>
          <w:p w:rsidR="00E9146F" w:rsidRPr="00EF24AD" w:rsidRDefault="00E9146F" w:rsidP="007D4E76">
            <w:pPr>
              <w:ind w:right="317"/>
              <w:jc w:val="right"/>
              <w:rPr>
                <w:lang w:val="es-UY"/>
              </w:rPr>
            </w:pPr>
            <w:r>
              <w:rPr>
                <w:lang w:val="es-UY"/>
              </w:rPr>
              <w:t>71</w:t>
            </w:r>
          </w:p>
        </w:tc>
      </w:tr>
      <w:tr w:rsidR="00E9146F" w:rsidRPr="00EF24AD" w:rsidTr="007D4E76">
        <w:tc>
          <w:tcPr>
            <w:tcW w:w="4078" w:type="dxa"/>
          </w:tcPr>
          <w:p w:rsidR="00E9146F" w:rsidRPr="00EF24AD" w:rsidRDefault="00E9146F" w:rsidP="007D4E76">
            <w:pPr>
              <w:ind w:left="743" w:hanging="743"/>
              <w:jc w:val="left"/>
              <w:rPr>
                <w:rFonts w:ascii="Calibri" w:hAnsi="Calibri"/>
                <w:b/>
                <w:bCs/>
                <w:i/>
                <w:iCs/>
                <w:lang w:val="es-UY"/>
              </w:rPr>
            </w:pPr>
            <w:r>
              <w:rPr>
                <w:lang w:val="es-UY"/>
              </w:rPr>
              <w:t>Tipo B:</w:t>
            </w:r>
            <w:r>
              <w:rPr>
                <w:lang w:val="es-UY"/>
              </w:rPr>
              <w:tab/>
              <w:t xml:space="preserve">Procesos iniciados </w:t>
            </w:r>
            <w:r w:rsidRPr="00EF24AD">
              <w:rPr>
                <w:lang w:val="es-UY"/>
              </w:rPr>
              <w:t>antes de 2004</w:t>
            </w:r>
            <w:r>
              <w:rPr>
                <w:lang w:val="es-UY"/>
              </w:rPr>
              <w:t xml:space="preserve"> y finalizados después de 2004</w:t>
            </w:r>
          </w:p>
        </w:tc>
        <w:tc>
          <w:tcPr>
            <w:tcW w:w="1553" w:type="dxa"/>
          </w:tcPr>
          <w:p w:rsidR="00E9146F" w:rsidRPr="00EF24AD" w:rsidRDefault="00E9146F" w:rsidP="007D4E76">
            <w:pPr>
              <w:ind w:right="317"/>
              <w:jc w:val="right"/>
              <w:rPr>
                <w:lang w:val="es-UY"/>
              </w:rPr>
            </w:pPr>
            <w:r>
              <w:rPr>
                <w:lang w:val="es-UY"/>
              </w:rPr>
              <w:t>5.691</w:t>
            </w:r>
          </w:p>
        </w:tc>
        <w:tc>
          <w:tcPr>
            <w:tcW w:w="1414" w:type="dxa"/>
          </w:tcPr>
          <w:p w:rsidR="00E9146F" w:rsidRPr="00EF24AD" w:rsidRDefault="00E9146F" w:rsidP="007D4E76">
            <w:pPr>
              <w:ind w:right="317"/>
              <w:jc w:val="right"/>
              <w:rPr>
                <w:lang w:val="es-UY"/>
              </w:rPr>
            </w:pPr>
            <w:r>
              <w:rPr>
                <w:lang w:val="es-UY"/>
              </w:rPr>
              <w:t>7.389</w:t>
            </w:r>
          </w:p>
        </w:tc>
        <w:tc>
          <w:tcPr>
            <w:tcW w:w="1460" w:type="dxa"/>
          </w:tcPr>
          <w:p w:rsidR="00E9146F" w:rsidRPr="00EF24AD" w:rsidRDefault="00E9146F" w:rsidP="007D4E76">
            <w:pPr>
              <w:ind w:right="317"/>
              <w:jc w:val="right"/>
              <w:rPr>
                <w:lang w:val="es-UY"/>
              </w:rPr>
            </w:pPr>
            <w:r>
              <w:rPr>
                <w:lang w:val="es-UY"/>
              </w:rPr>
              <w:t>77</w:t>
            </w:r>
          </w:p>
        </w:tc>
      </w:tr>
      <w:tr w:rsidR="00E9146F" w:rsidRPr="00EF24AD" w:rsidTr="007D4E76">
        <w:tc>
          <w:tcPr>
            <w:tcW w:w="4078" w:type="dxa"/>
            <w:tcBorders>
              <w:bottom w:val="single" w:sz="4" w:space="0" w:color="auto"/>
            </w:tcBorders>
          </w:tcPr>
          <w:p w:rsidR="00E9146F" w:rsidRPr="00EF24AD" w:rsidRDefault="00E9146F" w:rsidP="007D4E76">
            <w:pPr>
              <w:ind w:left="743" w:hanging="743"/>
              <w:jc w:val="left"/>
              <w:rPr>
                <w:rFonts w:ascii="Calibri" w:hAnsi="Calibri"/>
                <w:b/>
                <w:bCs/>
                <w:i/>
                <w:iCs/>
                <w:lang w:val="es-UY"/>
              </w:rPr>
            </w:pPr>
            <w:r>
              <w:rPr>
                <w:lang w:val="es-UY"/>
              </w:rPr>
              <w:t>Tipo C:</w:t>
            </w:r>
            <w:r>
              <w:rPr>
                <w:lang w:val="es-UY"/>
              </w:rPr>
              <w:tab/>
              <w:t>Procesos iniciados y finalizados después de 2004</w:t>
            </w:r>
          </w:p>
        </w:tc>
        <w:tc>
          <w:tcPr>
            <w:tcW w:w="1553" w:type="dxa"/>
            <w:tcBorders>
              <w:bottom w:val="single" w:sz="4" w:space="0" w:color="auto"/>
            </w:tcBorders>
          </w:tcPr>
          <w:p w:rsidR="00E9146F" w:rsidRPr="00EF24AD" w:rsidRDefault="00E9146F" w:rsidP="007D4E76">
            <w:pPr>
              <w:ind w:right="317"/>
              <w:jc w:val="right"/>
              <w:rPr>
                <w:lang w:val="es-UY"/>
              </w:rPr>
            </w:pPr>
            <w:r>
              <w:rPr>
                <w:lang w:val="es-UY"/>
              </w:rPr>
              <w:t>3.677</w:t>
            </w:r>
          </w:p>
        </w:tc>
        <w:tc>
          <w:tcPr>
            <w:tcW w:w="1414" w:type="dxa"/>
            <w:tcBorders>
              <w:bottom w:val="single" w:sz="4" w:space="0" w:color="auto"/>
            </w:tcBorders>
          </w:tcPr>
          <w:p w:rsidR="00E9146F" w:rsidRPr="00EF24AD" w:rsidRDefault="00E9146F" w:rsidP="007D4E76">
            <w:pPr>
              <w:ind w:right="317"/>
              <w:jc w:val="right"/>
              <w:rPr>
                <w:lang w:val="es-UY"/>
              </w:rPr>
            </w:pPr>
            <w:r>
              <w:rPr>
                <w:lang w:val="es-UY"/>
              </w:rPr>
              <w:t>4.607</w:t>
            </w:r>
          </w:p>
        </w:tc>
        <w:tc>
          <w:tcPr>
            <w:tcW w:w="1460" w:type="dxa"/>
            <w:tcBorders>
              <w:bottom w:val="single" w:sz="4" w:space="0" w:color="auto"/>
            </w:tcBorders>
          </w:tcPr>
          <w:p w:rsidR="00E9146F" w:rsidRPr="00EF24AD" w:rsidRDefault="00E9146F" w:rsidP="007D4E76">
            <w:pPr>
              <w:ind w:right="317"/>
              <w:jc w:val="right"/>
              <w:rPr>
                <w:lang w:val="es-UY"/>
              </w:rPr>
            </w:pPr>
            <w:r>
              <w:rPr>
                <w:lang w:val="es-UY"/>
              </w:rPr>
              <w:t>80</w:t>
            </w:r>
          </w:p>
        </w:tc>
      </w:tr>
    </w:tbl>
    <w:p w:rsidR="00E9146F" w:rsidRDefault="00E9146F" w:rsidP="00E9146F">
      <w:pPr>
        <w:ind w:left="709"/>
        <w:rPr>
          <w:sz w:val="20"/>
          <w:szCs w:val="20"/>
          <w:lang w:val="es-UY"/>
        </w:rPr>
      </w:pPr>
      <w:r w:rsidRPr="007A6642">
        <w:rPr>
          <w:sz w:val="20"/>
          <w:szCs w:val="20"/>
          <w:lang w:val="es-UY"/>
        </w:rPr>
        <w:t>Fuente: Martínez Cuéllar (2011), sobre la base d</w:t>
      </w:r>
      <w:r w:rsidRPr="00EC3C43">
        <w:rPr>
          <w:sz w:val="20"/>
          <w:szCs w:val="20"/>
          <w:lang w:val="es-UY"/>
        </w:rPr>
        <w:t xml:space="preserve">e </w:t>
      </w:r>
      <w:r>
        <w:rPr>
          <w:sz w:val="20"/>
          <w:szCs w:val="20"/>
          <w:lang w:val="es-UY"/>
        </w:rPr>
        <w:t xml:space="preserve">los </w:t>
      </w:r>
      <w:r w:rsidRPr="00EC3C43">
        <w:rPr>
          <w:sz w:val="20"/>
          <w:szCs w:val="20"/>
          <w:lang w:val="es-UY"/>
        </w:rPr>
        <w:t xml:space="preserve">datos </w:t>
      </w:r>
      <w:r>
        <w:rPr>
          <w:sz w:val="20"/>
          <w:szCs w:val="20"/>
          <w:lang w:val="es-UY"/>
        </w:rPr>
        <w:t>proporcionados por</w:t>
      </w:r>
      <w:r w:rsidRPr="00EC3C43">
        <w:rPr>
          <w:sz w:val="20"/>
          <w:szCs w:val="20"/>
          <w:lang w:val="es-UY"/>
        </w:rPr>
        <w:t xml:space="preserve"> la A</w:t>
      </w:r>
      <w:r w:rsidRPr="007A6642">
        <w:rPr>
          <w:sz w:val="20"/>
          <w:szCs w:val="20"/>
          <w:lang w:val="es-UY"/>
        </w:rPr>
        <w:t>lcaldía Mayor de Bogotá.</w:t>
      </w:r>
    </w:p>
    <w:p w:rsidR="00E9146F" w:rsidRPr="007A6642" w:rsidRDefault="00E9146F" w:rsidP="00E9146F">
      <w:pPr>
        <w:ind w:left="709"/>
        <w:rPr>
          <w:sz w:val="20"/>
          <w:szCs w:val="20"/>
          <w:lang w:val="es-UY"/>
        </w:rPr>
      </w:pPr>
    </w:p>
    <w:p w:rsidR="00E9146F" w:rsidRPr="0020621E" w:rsidRDefault="00E9146F" w:rsidP="0020621E">
      <w:pPr>
        <w:pStyle w:val="ListParagraph"/>
        <w:numPr>
          <w:ilvl w:val="0"/>
          <w:numId w:val="14"/>
        </w:numPr>
        <w:spacing w:line="276" w:lineRule="auto"/>
        <w:ind w:left="567" w:hanging="567"/>
        <w:rPr>
          <w:lang w:val="es-UY"/>
        </w:rPr>
      </w:pPr>
      <w:r>
        <w:rPr>
          <w:lang w:val="es-UY"/>
        </w:rPr>
        <w:lastRenderedPageBreak/>
        <w:t xml:space="preserve">Estos datos, proporcionados por el sistema de información SIPROJ, </w:t>
      </w:r>
      <w:r w:rsidRPr="00760E6D">
        <w:t>son</w:t>
      </w:r>
      <w:r>
        <w:rPr>
          <w:lang w:val="es-UY"/>
        </w:rPr>
        <w:t xml:space="preserve"> elocuentes acerca de la notable mejora producida en la tasa de éxito tras la introducción del programa de fortalecimiento de los servicios jurídicos de la Alcaldía Mayor. En efecto, tal y como se observa en el cuadro anterior, la tasa de éxito en sentencias definitivas para aquellas demandas iniciadas y finalizadas antes del año 2004 se situaba en el 71%. Por su parte, los procesos comenzados después del año 2004 tuvieron una tasa de éxito del 80%, es decir: una mejora de 9 puntos porcentuales. </w:t>
      </w:r>
    </w:p>
    <w:p w:rsidR="00E9146F" w:rsidRPr="00C72919" w:rsidRDefault="00E9146F" w:rsidP="0020621E">
      <w:pPr>
        <w:pStyle w:val="ListParagraph"/>
        <w:spacing w:before="120"/>
        <w:ind w:left="562"/>
        <w:jc w:val="center"/>
        <w:rPr>
          <w:sz w:val="20"/>
          <w:lang w:val="es-UY"/>
        </w:rPr>
      </w:pPr>
      <w:r>
        <w:rPr>
          <w:b/>
          <w:sz w:val="20"/>
        </w:rPr>
        <w:t>Pagos por sentencias y conciliaciones en la Alcaldía Mayor de Bogotá</w:t>
      </w:r>
    </w:p>
    <w:p w:rsidR="00E9146F" w:rsidRDefault="00E9146F" w:rsidP="0020621E">
      <w:pPr>
        <w:pStyle w:val="ListParagraph"/>
        <w:ind w:left="562"/>
        <w:rPr>
          <w:lang w:val="es-UY"/>
        </w:rPr>
      </w:pPr>
    </w:p>
    <w:p w:rsidR="00E9146F" w:rsidRDefault="00E9146F" w:rsidP="00E9146F">
      <w:pPr>
        <w:pStyle w:val="ListParagraph"/>
        <w:spacing w:line="276" w:lineRule="auto"/>
        <w:ind w:left="567"/>
        <w:jc w:val="center"/>
        <w:rPr>
          <w:lang w:val="es-UY"/>
        </w:rPr>
      </w:pPr>
      <w:r w:rsidRPr="00211AFB">
        <w:rPr>
          <w:noProof/>
          <w:lang w:val="en-US" w:eastAsia="en-US"/>
        </w:rPr>
        <w:drawing>
          <wp:inline distT="0" distB="0" distL="0" distR="0" wp14:anchorId="216F3D0B" wp14:editId="4385895E">
            <wp:extent cx="3816350" cy="2321560"/>
            <wp:effectExtent l="0" t="0" r="0" b="2540"/>
            <wp:docPr id="1121" name="Imagen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6350" cy="2321560"/>
                    </a:xfrm>
                    <a:prstGeom prst="rect">
                      <a:avLst/>
                    </a:prstGeom>
                    <a:noFill/>
                    <a:ln>
                      <a:noFill/>
                    </a:ln>
                  </pic:spPr>
                </pic:pic>
              </a:graphicData>
            </a:graphic>
          </wp:inline>
        </w:drawing>
      </w:r>
    </w:p>
    <w:p w:rsidR="00E9146F" w:rsidRDefault="00E9146F" w:rsidP="00E9146F">
      <w:pPr>
        <w:spacing w:line="276" w:lineRule="auto"/>
        <w:rPr>
          <w:lang w:val="es-UY"/>
        </w:rPr>
      </w:pPr>
    </w:p>
    <w:p w:rsidR="00E9146F" w:rsidRPr="00DD381B" w:rsidRDefault="00E9146F" w:rsidP="00E9146F">
      <w:pPr>
        <w:pStyle w:val="ListParagraph"/>
        <w:numPr>
          <w:ilvl w:val="0"/>
          <w:numId w:val="14"/>
        </w:numPr>
        <w:spacing w:before="120" w:after="120" w:line="276" w:lineRule="auto"/>
      </w:pPr>
      <w:r w:rsidRPr="00DD381B">
        <w:t xml:space="preserve">Esta mejora en la tasa de éxito de los servicios jurídicos debería impactar en una reducción de los pagos por sentencia definitiva. Una atenta mirada al gráfico anterior permite concluir que, en efecto, luego de 2004 los pagos por sentencias y conciliaciones que realizó la Alcaldía Mayor de Bogotá disminuyeron sensiblemente en relación con los pagos que tuvo que afrontar antes de 2004. Por lo tanto, los datos proporcionados por el SIPROJ sobre las tasas de éxito son elocuentes de cómo una inversión de mejora de la gestión de los servicios jurídicos, en la línea de las estrategias discutidas en la sección anteriores, tienen impactos positivos sobre los riesgos fiscales. </w:t>
      </w:r>
    </w:p>
    <w:p w:rsidR="00E9146F" w:rsidRPr="00DD381B" w:rsidRDefault="00E9146F" w:rsidP="00E9146F">
      <w:pPr>
        <w:pStyle w:val="ListParagraph"/>
        <w:numPr>
          <w:ilvl w:val="0"/>
          <w:numId w:val="14"/>
        </w:numPr>
        <w:spacing w:before="120" w:after="120" w:line="276" w:lineRule="auto"/>
      </w:pPr>
      <w:r w:rsidRPr="00DD381B">
        <w:t xml:space="preserve">Estos resultados contrastan con la evolución de los pagos que el Estado colombiano tuvo que realizar en el mismo período (véase el gráfico </w:t>
      </w:r>
      <w:r>
        <w:t>siguiente</w:t>
      </w:r>
      <w:r w:rsidRPr="00DD381B">
        <w:t xml:space="preserve">). En este caso, la tendencia muestra un comportamiento claramente al alza y, por tanto, los costos fiscales son crecientes. </w:t>
      </w:r>
    </w:p>
    <w:p w:rsidR="00E9146F" w:rsidRPr="00DD381B" w:rsidRDefault="00E9146F" w:rsidP="00E9146F">
      <w:pPr>
        <w:pStyle w:val="ListParagraph"/>
        <w:numPr>
          <w:ilvl w:val="0"/>
          <w:numId w:val="14"/>
        </w:numPr>
        <w:jc w:val="center"/>
        <w:rPr>
          <w:b/>
          <w:sz w:val="20"/>
        </w:rPr>
      </w:pPr>
      <w:r w:rsidRPr="00DD381B">
        <w:rPr>
          <w:b/>
          <w:sz w:val="20"/>
        </w:rPr>
        <w:t>Pagos del Estado de Colombia por sentencias y conciliaciones</w:t>
      </w:r>
    </w:p>
    <w:p w:rsidR="00E9146F" w:rsidRPr="00AE7E80" w:rsidRDefault="0020621E" w:rsidP="00AE7E80">
      <w:pPr>
        <w:rPr>
          <w:b/>
          <w:sz w:val="20"/>
        </w:rPr>
      </w:pPr>
      <w:r>
        <w:rPr>
          <w:noProof/>
          <w:lang w:val="en-US" w:eastAsia="en-US"/>
        </w:rPr>
        <w:drawing>
          <wp:anchor distT="0" distB="0" distL="114300" distR="114300" simplePos="0" relativeHeight="251660288" behindDoc="1" locked="0" layoutInCell="1" allowOverlap="1" wp14:anchorId="74F3A1BA" wp14:editId="419060D2">
            <wp:simplePos x="0" y="0"/>
            <wp:positionH relativeFrom="column">
              <wp:posOffset>1078865</wp:posOffset>
            </wp:positionH>
            <wp:positionV relativeFrom="paragraph">
              <wp:posOffset>59690</wp:posOffset>
            </wp:positionV>
            <wp:extent cx="4087495" cy="1893570"/>
            <wp:effectExtent l="0" t="0" r="8255" b="0"/>
            <wp:wrapThrough wrapText="bothSides">
              <wp:wrapPolygon edited="0">
                <wp:start x="0" y="0"/>
                <wp:lineTo x="0" y="21296"/>
                <wp:lineTo x="21543" y="21296"/>
                <wp:lineTo x="2154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87495" cy="1893570"/>
                    </a:xfrm>
                    <a:prstGeom prst="rect">
                      <a:avLst/>
                    </a:prstGeom>
                    <a:noFill/>
                  </pic:spPr>
                </pic:pic>
              </a:graphicData>
            </a:graphic>
            <wp14:sizeRelH relativeFrom="page">
              <wp14:pctWidth>0</wp14:pctWidth>
            </wp14:sizeRelH>
            <wp14:sizeRelV relativeFrom="page">
              <wp14:pctHeight>0</wp14:pctHeight>
            </wp14:sizeRelV>
          </wp:anchor>
        </w:drawing>
      </w:r>
    </w:p>
    <w:p w:rsidR="00E9146F" w:rsidRPr="00DD381B" w:rsidRDefault="00E9146F" w:rsidP="00E9146F">
      <w:pPr>
        <w:pStyle w:val="ListParagraph"/>
        <w:ind w:left="502"/>
        <w:rPr>
          <w:lang w:val="es-UY"/>
        </w:rPr>
      </w:pPr>
    </w:p>
    <w:p w:rsidR="00E9146F" w:rsidRDefault="00E9146F" w:rsidP="00E9146F">
      <w:pPr>
        <w:jc w:val="center"/>
        <w:rPr>
          <w:b/>
          <w:sz w:val="20"/>
        </w:rPr>
      </w:pPr>
    </w:p>
    <w:p w:rsidR="00E9146F" w:rsidRDefault="00E9146F" w:rsidP="00E9146F">
      <w:pPr>
        <w:jc w:val="center"/>
        <w:rPr>
          <w:b/>
          <w:sz w:val="20"/>
        </w:rPr>
      </w:pPr>
    </w:p>
    <w:p w:rsidR="00E9146F" w:rsidRPr="00E3083D" w:rsidRDefault="00E9146F" w:rsidP="00111F00">
      <w:pPr>
        <w:pStyle w:val="Heading2"/>
      </w:pPr>
      <w:bookmarkStart w:id="41" w:name="_Toc394577159"/>
      <w:bookmarkStart w:id="42" w:name="_Toc395208868"/>
      <w:r>
        <w:lastRenderedPageBreak/>
        <w:t>Conclusiones</w:t>
      </w:r>
      <w:bookmarkEnd w:id="41"/>
      <w:bookmarkEnd w:id="42"/>
    </w:p>
    <w:p w:rsidR="00E9146F" w:rsidRPr="00DD381B" w:rsidRDefault="00E9146F" w:rsidP="00E9146F">
      <w:pPr>
        <w:pStyle w:val="ListParagraph"/>
        <w:numPr>
          <w:ilvl w:val="0"/>
          <w:numId w:val="14"/>
        </w:numPr>
        <w:spacing w:before="120" w:after="120" w:line="276" w:lineRule="auto"/>
      </w:pPr>
      <w:r w:rsidRPr="00DD381B">
        <w:t xml:space="preserve">Como conclusión, hay que destacar que la información que se desprende de la experiencia de la Alcaldía de Bogotá demuestra que una inversión en la mejora de la gestión jurídica permite obtener mejoras notables en la efectividad y en los retornos económicos de forma rápida y con alto impacto. </w:t>
      </w:r>
    </w:p>
    <w:p w:rsidR="00E9146F" w:rsidRPr="00DD381B" w:rsidRDefault="00E9146F" w:rsidP="00E9146F">
      <w:pPr>
        <w:pStyle w:val="ListParagraph"/>
        <w:numPr>
          <w:ilvl w:val="0"/>
          <w:numId w:val="14"/>
        </w:numPr>
        <w:spacing w:before="120" w:after="120" w:line="276" w:lineRule="auto"/>
      </w:pPr>
      <w:r w:rsidRPr="00DD381B">
        <w:t xml:space="preserve">En este sentido, esta experiencia refuerza la convicción de que los lineamientos de los proyectos apoyados por los equipos del </w:t>
      </w:r>
      <w:r>
        <w:t xml:space="preserve">BID </w:t>
      </w:r>
      <w:r w:rsidRPr="00DD381B">
        <w:t xml:space="preserve">y financiados con recursos de préstamo </w:t>
      </w:r>
      <w:r>
        <w:t>están adecuadamente perfilados para lograr que las agencias de defensa jurídica de los países de la región puedan mejorar su efectividad y reducir el impacto económico.</w:t>
      </w:r>
    </w:p>
    <w:p w:rsidR="0042091B" w:rsidRDefault="0042091B" w:rsidP="00E9146F">
      <w:pPr>
        <w:rPr>
          <w:lang w:val="es-UY"/>
        </w:rPr>
        <w:sectPr w:rsidR="0042091B" w:rsidSect="00E9146F">
          <w:pgSz w:w="12240" w:h="15840" w:code="1"/>
          <w:pgMar w:top="1560" w:right="1418" w:bottom="851" w:left="1418" w:header="709" w:footer="856" w:gutter="0"/>
          <w:cols w:space="708"/>
          <w:docGrid w:linePitch="360"/>
        </w:sectPr>
      </w:pPr>
    </w:p>
    <w:p w:rsidR="00E9146F" w:rsidRDefault="00E9146F" w:rsidP="00E9146F">
      <w:pPr>
        <w:rPr>
          <w:lang w:val="es-UY"/>
        </w:rPr>
      </w:pPr>
    </w:p>
    <w:p w:rsidR="0042091B" w:rsidRPr="0042091B" w:rsidRDefault="0042091B" w:rsidP="0042091B">
      <w:pPr>
        <w:pStyle w:val="Anexo"/>
        <w:ind w:left="426" w:hanging="426"/>
        <w:rPr>
          <w:rStyle w:val="SubtleEmphasis"/>
          <w:i w:val="0"/>
        </w:rPr>
      </w:pPr>
      <w:bookmarkStart w:id="43" w:name="_Toc395208869"/>
      <w:r w:rsidRPr="0042091B">
        <w:rPr>
          <w:rStyle w:val="SubtleEmphasis"/>
          <w:i w:val="0"/>
        </w:rPr>
        <w:t>Resultados de análisis costo/efectividad</w:t>
      </w:r>
      <w:bookmarkEnd w:id="43"/>
    </w:p>
    <w:tbl>
      <w:tblPr>
        <w:tblW w:w="13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93"/>
        <w:gridCol w:w="992"/>
        <w:gridCol w:w="992"/>
        <w:gridCol w:w="992"/>
        <w:gridCol w:w="1500"/>
        <w:gridCol w:w="1051"/>
        <w:gridCol w:w="993"/>
        <w:gridCol w:w="992"/>
      </w:tblGrid>
      <w:tr w:rsidR="0042091B" w:rsidRPr="0042091B" w:rsidTr="0042091B">
        <w:trPr>
          <w:trHeight w:val="450"/>
        </w:trPr>
        <w:tc>
          <w:tcPr>
            <w:tcW w:w="4536" w:type="dxa"/>
            <w:shd w:val="clear" w:color="auto" w:fill="auto"/>
            <w:noWrap/>
            <w:vAlign w:val="bottom"/>
            <w:hideMark/>
          </w:tcPr>
          <w:p w:rsidR="0042091B" w:rsidRPr="0042091B" w:rsidRDefault="0042091B" w:rsidP="0042091B">
            <w:pPr>
              <w:jc w:val="left"/>
              <w:rPr>
                <w:b/>
                <w:bCs/>
                <w:color w:val="000000"/>
                <w:sz w:val="18"/>
                <w:szCs w:val="18"/>
              </w:rPr>
            </w:pPr>
            <w:r w:rsidRPr="0042091B">
              <w:rPr>
                <w:b/>
                <w:bCs/>
                <w:color w:val="000000"/>
                <w:sz w:val="18"/>
                <w:szCs w:val="18"/>
              </w:rPr>
              <w:t>CON Programa BID</w:t>
            </w:r>
          </w:p>
        </w:tc>
        <w:tc>
          <w:tcPr>
            <w:tcW w:w="993"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Total inversión (t=10)</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Línea de base (A)</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Meta final (B)</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Diferencial (B-A)</w:t>
            </w:r>
          </w:p>
        </w:tc>
        <w:tc>
          <w:tcPr>
            <w:tcW w:w="1500" w:type="dxa"/>
            <w:shd w:val="clear" w:color="auto" w:fill="auto"/>
            <w:noWrap/>
            <w:vAlign w:val="bottom"/>
            <w:hideMark/>
          </w:tcPr>
          <w:p w:rsidR="0042091B" w:rsidRPr="0042091B" w:rsidRDefault="0042091B" w:rsidP="0042091B">
            <w:pPr>
              <w:jc w:val="center"/>
              <w:rPr>
                <w:b/>
                <w:bCs/>
                <w:color w:val="000000"/>
                <w:sz w:val="18"/>
                <w:szCs w:val="18"/>
              </w:rPr>
            </w:pPr>
            <w:r w:rsidRPr="0042091B">
              <w:rPr>
                <w:b/>
                <w:bCs/>
                <w:color w:val="000000"/>
                <w:sz w:val="18"/>
                <w:szCs w:val="18"/>
              </w:rPr>
              <w:t>VPN</w:t>
            </w:r>
          </w:p>
        </w:tc>
        <w:tc>
          <w:tcPr>
            <w:tcW w:w="1051"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Costo / efectividad</w:t>
            </w:r>
          </w:p>
        </w:tc>
        <w:tc>
          <w:tcPr>
            <w:tcW w:w="993"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Delta CON - SIN</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SIN / CON (%)</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del Consumidor (SERNAC)</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7.982.086</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5,42</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8,00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2,58</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5.486.923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2.126.714</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-2.001.737</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1,941</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Instituto Nacional de Estadística (INE)</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7.982.086</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3,81</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7,50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3,69</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5.486.923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1.486.971</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-99.452</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1,067</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 Protección del Menor (SPMN)</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7.982.086</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4,93</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7,75</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2,82</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5.486.923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1.945.717</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-943.205</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1,485</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 Reinserción del Adolescente (SNRA)</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7.982.086</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5,65</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7,88</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2,23</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5.486.923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2.460.504</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-6.156.620</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3,502</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b/>
                <w:bCs/>
                <w:color w:val="000000"/>
                <w:sz w:val="18"/>
                <w:szCs w:val="18"/>
              </w:rPr>
            </w:pPr>
            <w:r w:rsidRPr="0042091B">
              <w:rPr>
                <w:b/>
                <w:bCs/>
                <w:color w:val="000000"/>
                <w:sz w:val="18"/>
                <w:szCs w:val="18"/>
              </w:rPr>
              <w:t>Total</w:t>
            </w:r>
          </w:p>
        </w:tc>
        <w:tc>
          <w:tcPr>
            <w:tcW w:w="993"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31.928.343</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4,95</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7,78</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2,83</w:t>
            </w:r>
          </w:p>
        </w:tc>
        <w:tc>
          <w:tcPr>
            <w:tcW w:w="1500"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21.947.693</w:t>
            </w:r>
          </w:p>
        </w:tc>
        <w:tc>
          <w:tcPr>
            <w:tcW w:w="1051"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7.755.369</w:t>
            </w:r>
          </w:p>
        </w:tc>
        <w:tc>
          <w:tcPr>
            <w:tcW w:w="993"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-5.326.899</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1,687</w:t>
            </w: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right"/>
              <w:rPr>
                <w:b/>
                <w:bCs/>
                <w:color w:val="000000"/>
                <w:sz w:val="18"/>
                <w:szCs w:val="18"/>
              </w:rPr>
            </w:pPr>
          </w:p>
        </w:tc>
        <w:tc>
          <w:tcPr>
            <w:tcW w:w="993"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1500" w:type="dxa"/>
            <w:shd w:val="clear" w:color="auto" w:fill="auto"/>
            <w:noWrap/>
            <w:vAlign w:val="bottom"/>
            <w:hideMark/>
          </w:tcPr>
          <w:p w:rsidR="0042091B" w:rsidRPr="0042091B" w:rsidRDefault="0042091B" w:rsidP="0042091B">
            <w:pPr>
              <w:jc w:val="left"/>
              <w:rPr>
                <w:sz w:val="18"/>
                <w:szCs w:val="18"/>
              </w:rPr>
            </w:pPr>
          </w:p>
        </w:tc>
        <w:tc>
          <w:tcPr>
            <w:tcW w:w="1051" w:type="dxa"/>
            <w:shd w:val="clear" w:color="auto" w:fill="auto"/>
            <w:noWrap/>
            <w:vAlign w:val="bottom"/>
            <w:hideMark/>
          </w:tcPr>
          <w:p w:rsidR="0042091B" w:rsidRPr="0042091B" w:rsidRDefault="0042091B" w:rsidP="0042091B">
            <w:pPr>
              <w:jc w:val="left"/>
              <w:rPr>
                <w:sz w:val="18"/>
                <w:szCs w:val="18"/>
              </w:rPr>
            </w:pPr>
          </w:p>
        </w:tc>
        <w:tc>
          <w:tcPr>
            <w:tcW w:w="993"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sz w:val="18"/>
                <w:szCs w:val="18"/>
              </w:rPr>
            </w:pPr>
          </w:p>
        </w:tc>
        <w:tc>
          <w:tcPr>
            <w:tcW w:w="993"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c>
          <w:tcPr>
            <w:tcW w:w="1500" w:type="dxa"/>
            <w:shd w:val="clear" w:color="auto" w:fill="auto"/>
            <w:noWrap/>
            <w:vAlign w:val="bottom"/>
            <w:hideMark/>
          </w:tcPr>
          <w:p w:rsidR="0042091B" w:rsidRPr="0042091B" w:rsidRDefault="0042091B" w:rsidP="0042091B">
            <w:pPr>
              <w:jc w:val="left"/>
              <w:rPr>
                <w:sz w:val="18"/>
                <w:szCs w:val="18"/>
              </w:rPr>
            </w:pPr>
          </w:p>
        </w:tc>
        <w:tc>
          <w:tcPr>
            <w:tcW w:w="1051" w:type="dxa"/>
            <w:shd w:val="clear" w:color="auto" w:fill="auto"/>
            <w:noWrap/>
            <w:vAlign w:val="bottom"/>
            <w:hideMark/>
          </w:tcPr>
          <w:p w:rsidR="0042091B" w:rsidRPr="0042091B" w:rsidRDefault="0042091B" w:rsidP="0042091B">
            <w:pPr>
              <w:jc w:val="left"/>
              <w:rPr>
                <w:sz w:val="18"/>
                <w:szCs w:val="18"/>
              </w:rPr>
            </w:pPr>
          </w:p>
        </w:tc>
        <w:tc>
          <w:tcPr>
            <w:tcW w:w="993" w:type="dxa"/>
            <w:shd w:val="clear" w:color="auto" w:fill="auto"/>
            <w:noWrap/>
            <w:vAlign w:val="bottom"/>
            <w:hideMark/>
          </w:tcPr>
          <w:p w:rsidR="0042091B" w:rsidRPr="0042091B" w:rsidRDefault="0042091B" w:rsidP="0042091B">
            <w:pPr>
              <w:jc w:val="left"/>
              <w:rPr>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465"/>
        </w:trPr>
        <w:tc>
          <w:tcPr>
            <w:tcW w:w="4536" w:type="dxa"/>
            <w:shd w:val="clear" w:color="auto" w:fill="auto"/>
            <w:noWrap/>
            <w:vAlign w:val="bottom"/>
            <w:hideMark/>
          </w:tcPr>
          <w:p w:rsidR="0042091B" w:rsidRPr="0042091B" w:rsidRDefault="0042091B" w:rsidP="0042091B">
            <w:pPr>
              <w:jc w:val="left"/>
              <w:rPr>
                <w:b/>
                <w:bCs/>
                <w:color w:val="000000"/>
                <w:sz w:val="18"/>
                <w:szCs w:val="18"/>
              </w:rPr>
            </w:pPr>
            <w:r w:rsidRPr="0042091B">
              <w:rPr>
                <w:b/>
                <w:bCs/>
                <w:color w:val="000000"/>
                <w:sz w:val="18"/>
                <w:szCs w:val="18"/>
              </w:rPr>
              <w:t>SIN Programa</w:t>
            </w:r>
          </w:p>
        </w:tc>
        <w:tc>
          <w:tcPr>
            <w:tcW w:w="993"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Total inversión (t=10)</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Línea de base (A)</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Meta final (B)</w:t>
            </w:r>
          </w:p>
        </w:tc>
        <w:tc>
          <w:tcPr>
            <w:tcW w:w="992"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Diferencial (B-A)</w:t>
            </w:r>
          </w:p>
        </w:tc>
        <w:tc>
          <w:tcPr>
            <w:tcW w:w="1500" w:type="dxa"/>
            <w:shd w:val="clear" w:color="auto" w:fill="auto"/>
            <w:noWrap/>
            <w:vAlign w:val="bottom"/>
            <w:hideMark/>
          </w:tcPr>
          <w:p w:rsidR="0042091B" w:rsidRPr="0042091B" w:rsidRDefault="0042091B" w:rsidP="0042091B">
            <w:pPr>
              <w:jc w:val="center"/>
              <w:rPr>
                <w:b/>
                <w:bCs/>
                <w:color w:val="000000"/>
                <w:sz w:val="18"/>
                <w:szCs w:val="18"/>
              </w:rPr>
            </w:pPr>
            <w:r w:rsidRPr="0042091B">
              <w:rPr>
                <w:b/>
                <w:bCs/>
                <w:color w:val="000000"/>
                <w:sz w:val="18"/>
                <w:szCs w:val="18"/>
              </w:rPr>
              <w:t>VPN</w:t>
            </w:r>
          </w:p>
        </w:tc>
        <w:tc>
          <w:tcPr>
            <w:tcW w:w="1051" w:type="dxa"/>
            <w:shd w:val="clear" w:color="auto" w:fill="auto"/>
            <w:vAlign w:val="bottom"/>
            <w:hideMark/>
          </w:tcPr>
          <w:p w:rsidR="0042091B" w:rsidRPr="0042091B" w:rsidRDefault="0042091B" w:rsidP="0042091B">
            <w:pPr>
              <w:jc w:val="center"/>
              <w:rPr>
                <w:b/>
                <w:bCs/>
                <w:color w:val="000000"/>
                <w:sz w:val="18"/>
                <w:szCs w:val="18"/>
              </w:rPr>
            </w:pPr>
            <w:r w:rsidRPr="0042091B">
              <w:rPr>
                <w:b/>
                <w:bCs/>
                <w:color w:val="000000"/>
                <w:sz w:val="18"/>
                <w:szCs w:val="18"/>
              </w:rPr>
              <w:t>Costo / efectividad</w:t>
            </w:r>
          </w:p>
        </w:tc>
        <w:tc>
          <w:tcPr>
            <w:tcW w:w="993" w:type="dxa"/>
            <w:shd w:val="clear" w:color="auto" w:fill="auto"/>
            <w:vAlign w:val="bottom"/>
            <w:hideMark/>
          </w:tcPr>
          <w:p w:rsidR="0042091B" w:rsidRPr="0042091B" w:rsidRDefault="0042091B" w:rsidP="0042091B">
            <w:pPr>
              <w:jc w:val="center"/>
              <w:rPr>
                <w:b/>
                <w:bCs/>
                <w:color w:val="000000"/>
                <w:sz w:val="18"/>
                <w:szCs w:val="18"/>
              </w:rPr>
            </w:pPr>
          </w:p>
        </w:tc>
        <w:tc>
          <w:tcPr>
            <w:tcW w:w="992" w:type="dxa"/>
            <w:shd w:val="clear" w:color="auto" w:fill="auto"/>
            <w:noWrap/>
            <w:vAlign w:val="bottom"/>
            <w:hideMark/>
          </w:tcPr>
          <w:p w:rsidR="0042091B" w:rsidRPr="0042091B" w:rsidRDefault="0042091B" w:rsidP="0042091B">
            <w:pPr>
              <w:jc w:val="center"/>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del Consumidor (SERNAC)</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3.995.040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5,42</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6,00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0,58</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2.394.502</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4.128.451</w:t>
            </w:r>
          </w:p>
        </w:tc>
        <w:tc>
          <w:tcPr>
            <w:tcW w:w="993" w:type="dxa"/>
            <w:shd w:val="clear" w:color="auto" w:fill="auto"/>
            <w:noWrap/>
            <w:vAlign w:val="bottom"/>
            <w:hideMark/>
          </w:tcPr>
          <w:p w:rsidR="0042091B" w:rsidRPr="0042091B" w:rsidRDefault="0042091B" w:rsidP="0042091B">
            <w:pPr>
              <w:jc w:val="right"/>
              <w:rPr>
                <w:color w:val="000000"/>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Instituto Nacional de Estadística (INE)</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3.149.720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3,81</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5,00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1,19</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1.887.843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1.586.423</w:t>
            </w:r>
          </w:p>
        </w:tc>
        <w:tc>
          <w:tcPr>
            <w:tcW w:w="993" w:type="dxa"/>
            <w:shd w:val="clear" w:color="auto" w:fill="auto"/>
            <w:noWrap/>
            <w:vAlign w:val="bottom"/>
            <w:hideMark/>
          </w:tcPr>
          <w:p w:rsidR="0042091B" w:rsidRPr="0042091B" w:rsidRDefault="0042091B" w:rsidP="0042091B">
            <w:pPr>
              <w:jc w:val="right"/>
              <w:rPr>
                <w:color w:val="000000"/>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 Protección del Menor (SPMN)</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4.193.350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4,93</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5,80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0,87</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2.513.363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2.888.922</w:t>
            </w:r>
          </w:p>
        </w:tc>
        <w:tc>
          <w:tcPr>
            <w:tcW w:w="993" w:type="dxa"/>
            <w:shd w:val="clear" w:color="auto" w:fill="auto"/>
            <w:noWrap/>
            <w:vAlign w:val="bottom"/>
            <w:hideMark/>
          </w:tcPr>
          <w:p w:rsidR="0042091B" w:rsidRPr="0042091B" w:rsidRDefault="0042091B" w:rsidP="0042091B">
            <w:pPr>
              <w:jc w:val="right"/>
              <w:rPr>
                <w:color w:val="000000"/>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color w:val="000000"/>
                <w:sz w:val="18"/>
                <w:szCs w:val="18"/>
              </w:rPr>
            </w:pPr>
            <w:r w:rsidRPr="0042091B">
              <w:rPr>
                <w:color w:val="000000"/>
                <w:sz w:val="18"/>
                <w:szCs w:val="18"/>
              </w:rPr>
              <w:t>Servicio Nacional de Reinserción del Adolescente (SNRA)</w:t>
            </w:r>
          </w:p>
        </w:tc>
        <w:tc>
          <w:tcPr>
            <w:tcW w:w="993"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5.031.950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5,65</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6,00</w:t>
            </w:r>
          </w:p>
        </w:tc>
        <w:tc>
          <w:tcPr>
            <w:tcW w:w="992"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0,35</w:t>
            </w:r>
          </w:p>
        </w:tc>
        <w:tc>
          <w:tcPr>
            <w:tcW w:w="1500"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3.015.993</w:t>
            </w:r>
          </w:p>
        </w:tc>
        <w:tc>
          <w:tcPr>
            <w:tcW w:w="1051" w:type="dxa"/>
            <w:shd w:val="clear" w:color="auto" w:fill="auto"/>
            <w:noWrap/>
            <w:vAlign w:val="bottom"/>
            <w:hideMark/>
          </w:tcPr>
          <w:p w:rsidR="0042091B" w:rsidRPr="0042091B" w:rsidRDefault="0042091B" w:rsidP="0042091B">
            <w:pPr>
              <w:jc w:val="right"/>
              <w:rPr>
                <w:color w:val="000000"/>
                <w:sz w:val="18"/>
                <w:szCs w:val="18"/>
              </w:rPr>
            </w:pPr>
            <w:r w:rsidRPr="0042091B">
              <w:rPr>
                <w:color w:val="000000"/>
                <w:sz w:val="18"/>
                <w:szCs w:val="18"/>
              </w:rPr>
              <w:t>8.617.123</w:t>
            </w:r>
          </w:p>
        </w:tc>
        <w:tc>
          <w:tcPr>
            <w:tcW w:w="993" w:type="dxa"/>
            <w:shd w:val="clear" w:color="auto" w:fill="auto"/>
            <w:noWrap/>
            <w:vAlign w:val="bottom"/>
            <w:hideMark/>
          </w:tcPr>
          <w:p w:rsidR="0042091B" w:rsidRPr="0042091B" w:rsidRDefault="0042091B" w:rsidP="0042091B">
            <w:pPr>
              <w:jc w:val="right"/>
              <w:rPr>
                <w:color w:val="000000"/>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r w:rsidR="0042091B" w:rsidRPr="0042091B" w:rsidTr="0042091B">
        <w:trPr>
          <w:trHeight w:val="210"/>
        </w:trPr>
        <w:tc>
          <w:tcPr>
            <w:tcW w:w="4536" w:type="dxa"/>
            <w:shd w:val="clear" w:color="auto" w:fill="auto"/>
            <w:noWrap/>
            <w:vAlign w:val="bottom"/>
            <w:hideMark/>
          </w:tcPr>
          <w:p w:rsidR="0042091B" w:rsidRPr="0042091B" w:rsidRDefault="0042091B" w:rsidP="0042091B">
            <w:pPr>
              <w:jc w:val="left"/>
              <w:rPr>
                <w:b/>
                <w:bCs/>
                <w:color w:val="000000"/>
                <w:sz w:val="18"/>
                <w:szCs w:val="18"/>
              </w:rPr>
            </w:pPr>
            <w:r w:rsidRPr="0042091B">
              <w:rPr>
                <w:b/>
                <w:bCs/>
                <w:color w:val="000000"/>
                <w:sz w:val="18"/>
                <w:szCs w:val="18"/>
              </w:rPr>
              <w:t>Total</w:t>
            </w:r>
          </w:p>
        </w:tc>
        <w:tc>
          <w:tcPr>
            <w:tcW w:w="993"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16.370.060</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4,95</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5,70</w:t>
            </w:r>
          </w:p>
        </w:tc>
        <w:tc>
          <w:tcPr>
            <w:tcW w:w="992"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0,75</w:t>
            </w:r>
          </w:p>
        </w:tc>
        <w:tc>
          <w:tcPr>
            <w:tcW w:w="1500"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9.811.701</w:t>
            </w:r>
          </w:p>
        </w:tc>
        <w:tc>
          <w:tcPr>
            <w:tcW w:w="1051" w:type="dxa"/>
            <w:shd w:val="clear" w:color="auto" w:fill="auto"/>
            <w:noWrap/>
            <w:vAlign w:val="bottom"/>
            <w:hideMark/>
          </w:tcPr>
          <w:p w:rsidR="0042091B" w:rsidRPr="0042091B" w:rsidRDefault="0042091B" w:rsidP="0042091B">
            <w:pPr>
              <w:jc w:val="right"/>
              <w:rPr>
                <w:b/>
                <w:bCs/>
                <w:color w:val="000000"/>
                <w:sz w:val="18"/>
                <w:szCs w:val="18"/>
              </w:rPr>
            </w:pPr>
            <w:r w:rsidRPr="0042091B">
              <w:rPr>
                <w:b/>
                <w:bCs/>
                <w:color w:val="000000"/>
                <w:sz w:val="18"/>
                <w:szCs w:val="18"/>
              </w:rPr>
              <w:t>13.082.268</w:t>
            </w:r>
          </w:p>
        </w:tc>
        <w:tc>
          <w:tcPr>
            <w:tcW w:w="993" w:type="dxa"/>
            <w:shd w:val="clear" w:color="auto" w:fill="auto"/>
            <w:noWrap/>
            <w:vAlign w:val="bottom"/>
            <w:hideMark/>
          </w:tcPr>
          <w:p w:rsidR="0042091B" w:rsidRPr="0042091B" w:rsidRDefault="0042091B" w:rsidP="0042091B">
            <w:pPr>
              <w:jc w:val="right"/>
              <w:rPr>
                <w:b/>
                <w:bCs/>
                <w:color w:val="000000"/>
                <w:sz w:val="18"/>
                <w:szCs w:val="18"/>
              </w:rPr>
            </w:pPr>
          </w:p>
        </w:tc>
        <w:tc>
          <w:tcPr>
            <w:tcW w:w="992" w:type="dxa"/>
            <w:shd w:val="clear" w:color="auto" w:fill="auto"/>
            <w:noWrap/>
            <w:vAlign w:val="bottom"/>
            <w:hideMark/>
          </w:tcPr>
          <w:p w:rsidR="0042091B" w:rsidRPr="0042091B" w:rsidRDefault="0042091B" w:rsidP="0042091B">
            <w:pPr>
              <w:jc w:val="left"/>
              <w:rPr>
                <w:sz w:val="18"/>
                <w:szCs w:val="18"/>
              </w:rPr>
            </w:pPr>
          </w:p>
        </w:tc>
      </w:tr>
    </w:tbl>
    <w:p w:rsidR="0042091B" w:rsidRPr="00837A52" w:rsidRDefault="0042091B" w:rsidP="00E9146F">
      <w:pPr>
        <w:rPr>
          <w:lang w:val="es-UY"/>
        </w:rPr>
      </w:pPr>
    </w:p>
    <w:p w:rsidR="00E60866" w:rsidRPr="00E9146F" w:rsidRDefault="00E60866">
      <w:pPr>
        <w:rPr>
          <w:lang w:val="es-UY"/>
        </w:rPr>
      </w:pPr>
    </w:p>
    <w:sectPr w:rsidR="00E60866" w:rsidRPr="00E9146F" w:rsidSect="0042091B">
      <w:pgSz w:w="15840" w:h="12240" w:orient="landscape" w:code="1"/>
      <w:pgMar w:top="1418" w:right="851" w:bottom="1418" w:left="1560" w:header="709" w:footer="8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80" w:rsidRDefault="00AE7E80" w:rsidP="00D04EC0">
      <w:r>
        <w:separator/>
      </w:r>
    </w:p>
  </w:endnote>
  <w:endnote w:type="continuationSeparator" w:id="0">
    <w:p w:rsidR="00AE7E80" w:rsidRDefault="00AE7E80"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E80" w:rsidRDefault="00AE7E80" w:rsidP="001A0694">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E80" w:rsidRDefault="00AE7E80" w:rsidP="001A0694">
    <w:pPr>
      <w:pStyle w:val="Footer"/>
      <w:jc w:val="right"/>
    </w:pPr>
    <w:r>
      <w:fldChar w:fldCharType="begin"/>
    </w:r>
    <w:r>
      <w:instrText>PAGE   \* MERGEFORMAT</w:instrText>
    </w:r>
    <w:r>
      <w:fldChar w:fldCharType="separate"/>
    </w:r>
    <w:r w:rsidR="0020621E">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E80" w:rsidRDefault="00AE7E80">
    <w:pPr>
      <w:pStyle w:val="Footer"/>
      <w:jc w:val="right"/>
    </w:pPr>
    <w:r>
      <w:fldChar w:fldCharType="begin"/>
    </w:r>
    <w:r>
      <w:instrText xml:space="preserve"> PAGE   \* MERGEFORMAT </w:instrText>
    </w:r>
    <w:r>
      <w:fldChar w:fldCharType="separate"/>
    </w:r>
    <w:r w:rsidR="0020621E">
      <w:rPr>
        <w:noProof/>
      </w:rPr>
      <w:t>11</w:t>
    </w:r>
    <w:r>
      <w:fldChar w:fldCharType="end"/>
    </w:r>
  </w:p>
  <w:p w:rsidR="00AE7E80" w:rsidRDefault="00AE7E8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185050"/>
      <w:docPartObj>
        <w:docPartGallery w:val="Page Numbers (Bottom of Page)"/>
        <w:docPartUnique/>
      </w:docPartObj>
    </w:sdtPr>
    <w:sdtContent>
      <w:p w:rsidR="00AE7E80" w:rsidRDefault="00AE7E80">
        <w:pPr>
          <w:pStyle w:val="Footer"/>
          <w:jc w:val="right"/>
        </w:pPr>
        <w:r>
          <w:fldChar w:fldCharType="begin"/>
        </w:r>
        <w:r>
          <w:instrText>PAGE   \* MERGEFORMAT</w:instrText>
        </w:r>
        <w:r>
          <w:fldChar w:fldCharType="separate"/>
        </w:r>
        <w:r w:rsidR="0020621E">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80" w:rsidRDefault="00AE7E80" w:rsidP="00D04EC0">
      <w:r>
        <w:separator/>
      </w:r>
    </w:p>
  </w:footnote>
  <w:footnote w:type="continuationSeparator" w:id="0">
    <w:p w:rsidR="00AE7E80" w:rsidRDefault="00AE7E80" w:rsidP="00D04EC0">
      <w:r>
        <w:continuationSeparator/>
      </w:r>
    </w:p>
  </w:footnote>
  <w:footnote w:id="1">
    <w:p w:rsidR="00AE7E80" w:rsidRDefault="00AE7E80">
      <w:pPr>
        <w:pStyle w:val="FootnoteText"/>
      </w:pPr>
      <w:r w:rsidRPr="00B57A24">
        <w:rPr>
          <w:rStyle w:val="FootnoteReference"/>
          <w:rFonts w:ascii="Times New Roman" w:hAnsi="Times New Roman"/>
        </w:rPr>
        <w:footnoteRef/>
      </w:r>
      <w:r>
        <w:t xml:space="preserve"> Para un detalle de la lógica vertical, puede consultarse el anexo A.</w:t>
      </w:r>
    </w:p>
  </w:footnote>
  <w:footnote w:id="2">
    <w:p w:rsidR="00AE7E80" w:rsidRDefault="00AE7E80">
      <w:pPr>
        <w:pStyle w:val="FootnoteText"/>
      </w:pPr>
      <w:r w:rsidRPr="00B57A24">
        <w:rPr>
          <w:rStyle w:val="FootnoteReference"/>
          <w:rFonts w:ascii="Times New Roman" w:hAnsi="Times New Roman"/>
        </w:rPr>
        <w:footnoteRef/>
      </w:r>
      <w:r>
        <w:t xml:space="preserve"> Para más detalle ver Iacovello, Mercedes “Diagnóstico Institucional del Sistema de Servicio Civil – CHILE”. Agosto 2009. También puede consultarse el anexo B del presente informe.</w:t>
      </w:r>
    </w:p>
  </w:footnote>
  <w:footnote w:id="3">
    <w:p w:rsidR="00AE7E80" w:rsidRDefault="00AE7E80">
      <w:pPr>
        <w:pStyle w:val="FootnoteText"/>
      </w:pPr>
      <w:r w:rsidRPr="00B57A24">
        <w:rPr>
          <w:rStyle w:val="FootnoteReference"/>
          <w:rFonts w:ascii="Times New Roman" w:hAnsi="Times New Roman"/>
        </w:rPr>
        <w:footnoteRef/>
      </w:r>
      <w:r>
        <w:t xml:space="preserve"> Para más detalle puede consultarse Strazza, Luciano “</w:t>
      </w:r>
      <w:r w:rsidRPr="004964EA">
        <w:t>Metodología de diagnóstico de entidades públicas</w:t>
      </w:r>
      <w:r>
        <w:t>”. Julio 2014.</w:t>
      </w:r>
    </w:p>
  </w:footnote>
  <w:footnote w:id="4">
    <w:p w:rsidR="00AE7E80" w:rsidRDefault="00AE7E80" w:rsidP="0020621E">
      <w:pPr>
        <w:pStyle w:val="FootnoteText"/>
        <w:ind w:left="180" w:hanging="180"/>
      </w:pPr>
      <w:r w:rsidRPr="00B57A24">
        <w:rPr>
          <w:rStyle w:val="FootnoteReference"/>
          <w:rFonts w:ascii="Times New Roman" w:hAnsi="Times New Roman"/>
        </w:rPr>
        <w:footnoteRef/>
      </w:r>
      <w:r>
        <w:t xml:space="preserve"> Recuérdese que en el caso de la alternativa SIN programa se considera que la duración de la inversión persiste durante 10 años.</w:t>
      </w:r>
    </w:p>
  </w:footnote>
  <w:footnote w:id="5">
    <w:p w:rsidR="00AE7E80" w:rsidRDefault="00AE7E80" w:rsidP="0020621E">
      <w:pPr>
        <w:pStyle w:val="FootnoteText"/>
        <w:ind w:left="180" w:hanging="180"/>
      </w:pPr>
      <w:r w:rsidRPr="00527A55">
        <w:rPr>
          <w:rStyle w:val="FootnoteReference"/>
          <w:rFonts w:ascii="Times New Roman" w:hAnsi="Times New Roman"/>
        </w:rPr>
        <w:footnoteRef/>
      </w:r>
      <w:r>
        <w:t xml:space="preserve"> Para el detalle puede consultarse </w:t>
      </w:r>
      <w:r w:rsidR="0020621E">
        <w:t>A</w:t>
      </w:r>
      <w:r>
        <w:t>nexo C.</w:t>
      </w:r>
    </w:p>
  </w:footnote>
  <w:footnote w:id="6">
    <w:p w:rsidR="00AE7E80" w:rsidRDefault="00AE7E80" w:rsidP="00E9146F">
      <w:pPr>
        <w:pStyle w:val="FootnoteText"/>
      </w:pPr>
      <w:r>
        <w:rPr>
          <w:rStyle w:val="FootnoteReference"/>
        </w:rPr>
        <w:footnoteRef/>
      </w:r>
      <w:r>
        <w:t xml:space="preserve"> Iacovello, Mercedes y Paula Amaya, “Evaluación final del Programa de fortalecimiento de la Dirección Nacional de Servicio Civil (CH-L008)”, noviembre 2009.</w:t>
      </w:r>
    </w:p>
  </w:footnote>
  <w:footnote w:id="7">
    <w:p w:rsidR="00AE7E80" w:rsidRDefault="00AE7E80" w:rsidP="00E9146F">
      <w:pPr>
        <w:pStyle w:val="FootnoteText"/>
      </w:pPr>
      <w:r>
        <w:rPr>
          <w:rStyle w:val="FootnoteReference"/>
        </w:rPr>
        <w:footnoteRef/>
      </w:r>
      <w:r>
        <w:t xml:space="preserve"> A continuación se sigue el informe de evaluación Iacoviello y Amaya (2009).</w:t>
      </w:r>
    </w:p>
  </w:footnote>
  <w:footnote w:id="8">
    <w:p w:rsidR="00AE7E80" w:rsidRDefault="00AE7E80" w:rsidP="00E9146F">
      <w:pPr>
        <w:pStyle w:val="FootnoteText"/>
      </w:pPr>
      <w:r>
        <w:rPr>
          <w:rStyle w:val="FootnoteReference"/>
        </w:rPr>
        <w:footnoteRef/>
      </w:r>
      <w:r>
        <w:t xml:space="preserve"> Para más detalle ver Iacovello, Mercedes “Diagnóstico Institucional del Sistema de Servicio Civil – CHILE”. Agosto 2009.</w:t>
      </w:r>
    </w:p>
  </w:footnote>
  <w:footnote w:id="9">
    <w:p w:rsidR="00AE7E80" w:rsidRDefault="00AE7E80" w:rsidP="00E9146F">
      <w:pPr>
        <w:pStyle w:val="FootnoteText"/>
      </w:pPr>
      <w:r>
        <w:rPr>
          <w:rStyle w:val="FootnoteReference"/>
        </w:rPr>
        <w:footnoteRef/>
      </w:r>
      <w:r>
        <w:t xml:space="preserve"> Este programa se realizó por iniciativa de la Alcaldía Mayor de Bogotá.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512545"/>
    <w:multiLevelType w:val="hybridMultilevel"/>
    <w:tmpl w:val="BDBE95B8"/>
    <w:lvl w:ilvl="0" w:tplc="13E20510">
      <w:start w:val="1"/>
      <w:numFmt w:val="lowerRoman"/>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0D716940"/>
    <w:multiLevelType w:val="multilevel"/>
    <w:tmpl w:val="B55C1FC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nsid w:val="1FE963BD"/>
    <w:multiLevelType w:val="hybridMultilevel"/>
    <w:tmpl w:val="5106AF64"/>
    <w:lvl w:ilvl="0" w:tplc="6C580ED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20C67A1C"/>
    <w:multiLevelType w:val="hybridMultilevel"/>
    <w:tmpl w:val="A68AA13E"/>
    <w:lvl w:ilvl="0" w:tplc="8C6C749E">
      <w:start w:val="1"/>
      <w:numFmt w:val="lowerLetter"/>
      <w:pStyle w:val="Heading3"/>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21FA3F62"/>
    <w:multiLevelType w:val="hybridMultilevel"/>
    <w:tmpl w:val="014072C8"/>
    <w:lvl w:ilvl="0" w:tplc="0A4E8D34">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6">
    <w:nsid w:val="30EA4D51"/>
    <w:multiLevelType w:val="hybridMultilevel"/>
    <w:tmpl w:val="AB6833EA"/>
    <w:lvl w:ilvl="0" w:tplc="2C0A000F">
      <w:start w:val="1"/>
      <w:numFmt w:val="decimal"/>
      <w:lvlText w:val="%1."/>
      <w:lvlJc w:val="left"/>
      <w:pPr>
        <w:ind w:left="754" w:hanging="360"/>
      </w:pPr>
    </w:lvl>
    <w:lvl w:ilvl="1" w:tplc="2C0A0019" w:tentative="1">
      <w:start w:val="1"/>
      <w:numFmt w:val="lowerLetter"/>
      <w:lvlText w:val="%2."/>
      <w:lvlJc w:val="left"/>
      <w:pPr>
        <w:ind w:left="1474" w:hanging="360"/>
      </w:pPr>
    </w:lvl>
    <w:lvl w:ilvl="2" w:tplc="2C0A001B" w:tentative="1">
      <w:start w:val="1"/>
      <w:numFmt w:val="lowerRoman"/>
      <w:lvlText w:val="%3."/>
      <w:lvlJc w:val="right"/>
      <w:pPr>
        <w:ind w:left="2194" w:hanging="180"/>
      </w:pPr>
    </w:lvl>
    <w:lvl w:ilvl="3" w:tplc="2C0A000F" w:tentative="1">
      <w:start w:val="1"/>
      <w:numFmt w:val="decimal"/>
      <w:lvlText w:val="%4."/>
      <w:lvlJc w:val="left"/>
      <w:pPr>
        <w:ind w:left="2914" w:hanging="360"/>
      </w:pPr>
    </w:lvl>
    <w:lvl w:ilvl="4" w:tplc="2C0A0019" w:tentative="1">
      <w:start w:val="1"/>
      <w:numFmt w:val="lowerLetter"/>
      <w:lvlText w:val="%5."/>
      <w:lvlJc w:val="left"/>
      <w:pPr>
        <w:ind w:left="3634" w:hanging="360"/>
      </w:pPr>
    </w:lvl>
    <w:lvl w:ilvl="5" w:tplc="2C0A001B" w:tentative="1">
      <w:start w:val="1"/>
      <w:numFmt w:val="lowerRoman"/>
      <w:lvlText w:val="%6."/>
      <w:lvlJc w:val="right"/>
      <w:pPr>
        <w:ind w:left="4354" w:hanging="180"/>
      </w:pPr>
    </w:lvl>
    <w:lvl w:ilvl="6" w:tplc="2C0A000F" w:tentative="1">
      <w:start w:val="1"/>
      <w:numFmt w:val="decimal"/>
      <w:lvlText w:val="%7."/>
      <w:lvlJc w:val="left"/>
      <w:pPr>
        <w:ind w:left="5074" w:hanging="360"/>
      </w:pPr>
    </w:lvl>
    <w:lvl w:ilvl="7" w:tplc="2C0A0019" w:tentative="1">
      <w:start w:val="1"/>
      <w:numFmt w:val="lowerLetter"/>
      <w:lvlText w:val="%8."/>
      <w:lvlJc w:val="left"/>
      <w:pPr>
        <w:ind w:left="5794" w:hanging="360"/>
      </w:pPr>
    </w:lvl>
    <w:lvl w:ilvl="8" w:tplc="2C0A001B" w:tentative="1">
      <w:start w:val="1"/>
      <w:numFmt w:val="lowerRoman"/>
      <w:lvlText w:val="%9."/>
      <w:lvlJc w:val="right"/>
      <w:pPr>
        <w:ind w:left="6514" w:hanging="180"/>
      </w:pPr>
    </w:lvl>
  </w:abstractNum>
  <w:abstractNum w:abstractNumId="17">
    <w:nsid w:val="328022EB"/>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8">
    <w:nsid w:val="340678D5"/>
    <w:multiLevelType w:val="hybridMultilevel"/>
    <w:tmpl w:val="450C2A2A"/>
    <w:lvl w:ilvl="0" w:tplc="EE88959E">
      <w:start w:val="1"/>
      <w:numFmt w:val="upperLetter"/>
      <w:pStyle w:val="Anexo"/>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9">
    <w:nsid w:val="404847DE"/>
    <w:multiLevelType w:val="hybridMultilevel"/>
    <w:tmpl w:val="8EE68B9A"/>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0">
    <w:nsid w:val="43E018C7"/>
    <w:multiLevelType w:val="hybridMultilevel"/>
    <w:tmpl w:val="668EC10A"/>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1">
    <w:nsid w:val="43E72827"/>
    <w:multiLevelType w:val="hybridMultilevel"/>
    <w:tmpl w:val="AB6833EA"/>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2">
    <w:nsid w:val="51CA75BA"/>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3">
    <w:nsid w:val="5D2D5D97"/>
    <w:multiLevelType w:val="hybridMultilevel"/>
    <w:tmpl w:val="8A6264CC"/>
    <w:lvl w:ilvl="0" w:tplc="13E20510">
      <w:start w:val="1"/>
      <w:numFmt w:val="lowerRoman"/>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5D5D0FA6"/>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5">
    <w:nsid w:val="64E73712"/>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6">
    <w:nsid w:val="730F4514"/>
    <w:multiLevelType w:val="hybridMultilevel"/>
    <w:tmpl w:val="BDBE95B8"/>
    <w:lvl w:ilvl="0" w:tplc="13E20510">
      <w:start w:val="1"/>
      <w:numFmt w:val="lowerRoman"/>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7D225ABE"/>
    <w:multiLevelType w:val="hybridMultilevel"/>
    <w:tmpl w:val="014072C8"/>
    <w:lvl w:ilvl="0" w:tplc="0A4E8D34">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18"/>
  </w:num>
  <w:num w:numId="2">
    <w:abstractNumId w:val="14"/>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1"/>
  </w:num>
  <w:num w:numId="14">
    <w:abstractNumId w:val="19"/>
  </w:num>
  <w:num w:numId="15">
    <w:abstractNumId w:val="12"/>
  </w:num>
  <w:num w:numId="16">
    <w:abstractNumId w:val="24"/>
  </w:num>
  <w:num w:numId="17">
    <w:abstractNumId w:val="20"/>
  </w:num>
  <w:num w:numId="18">
    <w:abstractNumId w:val="25"/>
  </w:num>
  <w:num w:numId="19">
    <w:abstractNumId w:val="17"/>
  </w:num>
  <w:num w:numId="20">
    <w:abstractNumId w:val="22"/>
  </w:num>
  <w:num w:numId="21">
    <w:abstractNumId w:val="16"/>
  </w:num>
  <w:num w:numId="22">
    <w:abstractNumId w:val="21"/>
  </w:num>
  <w:num w:numId="23">
    <w:abstractNumId w:val="27"/>
  </w:num>
  <w:num w:numId="24">
    <w:abstractNumId w:val="15"/>
  </w:num>
  <w:num w:numId="25">
    <w:abstractNumId w:val="13"/>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3"/>
  </w:num>
  <w:num w:numId="29">
    <w:abstractNumId w:val="10"/>
  </w:num>
  <w:num w:numId="3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CL" w:vendorID="64" w:dllVersion="131078" w:nlCheck="1" w:checkStyle="1"/>
  <w:activeWritingStyle w:appName="MSWord" w:lang="pt-BR" w:vendorID="64" w:dllVersion="131078" w:nlCheck="1" w:checkStyle="0"/>
  <w:activeWritingStyle w:appName="MSWord" w:lang="es-UY"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22B3"/>
    <w:rsid w:val="00005482"/>
    <w:rsid w:val="00006638"/>
    <w:rsid w:val="000075DE"/>
    <w:rsid w:val="00011AD3"/>
    <w:rsid w:val="000127F7"/>
    <w:rsid w:val="00012A86"/>
    <w:rsid w:val="00013BED"/>
    <w:rsid w:val="00013EF5"/>
    <w:rsid w:val="00014890"/>
    <w:rsid w:val="00014D73"/>
    <w:rsid w:val="000155D9"/>
    <w:rsid w:val="000167FF"/>
    <w:rsid w:val="0002054C"/>
    <w:rsid w:val="00020E34"/>
    <w:rsid w:val="00020F0D"/>
    <w:rsid w:val="0002292D"/>
    <w:rsid w:val="0002356C"/>
    <w:rsid w:val="00023687"/>
    <w:rsid w:val="00024268"/>
    <w:rsid w:val="0002462A"/>
    <w:rsid w:val="000250AF"/>
    <w:rsid w:val="00025E6B"/>
    <w:rsid w:val="00026E53"/>
    <w:rsid w:val="00027A3A"/>
    <w:rsid w:val="00027E30"/>
    <w:rsid w:val="00032552"/>
    <w:rsid w:val="0003338D"/>
    <w:rsid w:val="000339F4"/>
    <w:rsid w:val="00033B2B"/>
    <w:rsid w:val="00034A69"/>
    <w:rsid w:val="00035899"/>
    <w:rsid w:val="000370C6"/>
    <w:rsid w:val="00037F13"/>
    <w:rsid w:val="00040650"/>
    <w:rsid w:val="0004079A"/>
    <w:rsid w:val="00041026"/>
    <w:rsid w:val="000413EA"/>
    <w:rsid w:val="00041731"/>
    <w:rsid w:val="00042D8B"/>
    <w:rsid w:val="000430A5"/>
    <w:rsid w:val="00043DA2"/>
    <w:rsid w:val="00046021"/>
    <w:rsid w:val="000466A3"/>
    <w:rsid w:val="00046AF0"/>
    <w:rsid w:val="00046FDA"/>
    <w:rsid w:val="000507BD"/>
    <w:rsid w:val="00053A93"/>
    <w:rsid w:val="00053BA0"/>
    <w:rsid w:val="00053D9D"/>
    <w:rsid w:val="00055F90"/>
    <w:rsid w:val="000567C7"/>
    <w:rsid w:val="00056B9C"/>
    <w:rsid w:val="00057E05"/>
    <w:rsid w:val="00060AB7"/>
    <w:rsid w:val="00062D3C"/>
    <w:rsid w:val="00064011"/>
    <w:rsid w:val="000650E7"/>
    <w:rsid w:val="00067B8C"/>
    <w:rsid w:val="000711FF"/>
    <w:rsid w:val="0007174B"/>
    <w:rsid w:val="00072ABA"/>
    <w:rsid w:val="00072EE5"/>
    <w:rsid w:val="00073134"/>
    <w:rsid w:val="00074355"/>
    <w:rsid w:val="00074DCA"/>
    <w:rsid w:val="00076ABE"/>
    <w:rsid w:val="00076BBB"/>
    <w:rsid w:val="00076D66"/>
    <w:rsid w:val="00076E6D"/>
    <w:rsid w:val="00081CD5"/>
    <w:rsid w:val="0008261D"/>
    <w:rsid w:val="00083E24"/>
    <w:rsid w:val="000865EF"/>
    <w:rsid w:val="00086BF0"/>
    <w:rsid w:val="00090970"/>
    <w:rsid w:val="000922FF"/>
    <w:rsid w:val="00093A3A"/>
    <w:rsid w:val="00093D61"/>
    <w:rsid w:val="000944BF"/>
    <w:rsid w:val="000949A3"/>
    <w:rsid w:val="00094F4A"/>
    <w:rsid w:val="00096B03"/>
    <w:rsid w:val="00096F7F"/>
    <w:rsid w:val="000A053D"/>
    <w:rsid w:val="000A06DE"/>
    <w:rsid w:val="000A1628"/>
    <w:rsid w:val="000A1992"/>
    <w:rsid w:val="000A2AB3"/>
    <w:rsid w:val="000A2D1F"/>
    <w:rsid w:val="000A5801"/>
    <w:rsid w:val="000A586A"/>
    <w:rsid w:val="000A5E32"/>
    <w:rsid w:val="000A72A3"/>
    <w:rsid w:val="000B00C1"/>
    <w:rsid w:val="000B0871"/>
    <w:rsid w:val="000B1297"/>
    <w:rsid w:val="000B1D4C"/>
    <w:rsid w:val="000B275B"/>
    <w:rsid w:val="000B28CA"/>
    <w:rsid w:val="000B53D2"/>
    <w:rsid w:val="000B5686"/>
    <w:rsid w:val="000B7263"/>
    <w:rsid w:val="000C0443"/>
    <w:rsid w:val="000C0A77"/>
    <w:rsid w:val="000C17C6"/>
    <w:rsid w:val="000C282F"/>
    <w:rsid w:val="000C2EAD"/>
    <w:rsid w:val="000C3083"/>
    <w:rsid w:val="000C5373"/>
    <w:rsid w:val="000C5972"/>
    <w:rsid w:val="000C7345"/>
    <w:rsid w:val="000C7499"/>
    <w:rsid w:val="000D1C59"/>
    <w:rsid w:val="000D3372"/>
    <w:rsid w:val="000D38FA"/>
    <w:rsid w:val="000D3A88"/>
    <w:rsid w:val="000D44B4"/>
    <w:rsid w:val="000D5429"/>
    <w:rsid w:val="000D61D0"/>
    <w:rsid w:val="000D7913"/>
    <w:rsid w:val="000D7957"/>
    <w:rsid w:val="000E00A9"/>
    <w:rsid w:val="000E0839"/>
    <w:rsid w:val="000E141B"/>
    <w:rsid w:val="000E3828"/>
    <w:rsid w:val="000E55EA"/>
    <w:rsid w:val="000E5EC6"/>
    <w:rsid w:val="000E5F45"/>
    <w:rsid w:val="000E68EF"/>
    <w:rsid w:val="000E697E"/>
    <w:rsid w:val="000E78AC"/>
    <w:rsid w:val="000E7D60"/>
    <w:rsid w:val="000F1A1B"/>
    <w:rsid w:val="000F2057"/>
    <w:rsid w:val="000F5250"/>
    <w:rsid w:val="000F5F9A"/>
    <w:rsid w:val="000F60BB"/>
    <w:rsid w:val="000F615C"/>
    <w:rsid w:val="000F6222"/>
    <w:rsid w:val="000F7FA8"/>
    <w:rsid w:val="001002E2"/>
    <w:rsid w:val="00101772"/>
    <w:rsid w:val="00102B62"/>
    <w:rsid w:val="00103A26"/>
    <w:rsid w:val="00103D3A"/>
    <w:rsid w:val="00104B0E"/>
    <w:rsid w:val="00104E03"/>
    <w:rsid w:val="00105ADE"/>
    <w:rsid w:val="00107412"/>
    <w:rsid w:val="00107D21"/>
    <w:rsid w:val="00110654"/>
    <w:rsid w:val="00110AEA"/>
    <w:rsid w:val="00111F00"/>
    <w:rsid w:val="001121DE"/>
    <w:rsid w:val="001123AE"/>
    <w:rsid w:val="00114ABF"/>
    <w:rsid w:val="001164AA"/>
    <w:rsid w:val="00116EE5"/>
    <w:rsid w:val="00117DC0"/>
    <w:rsid w:val="00122899"/>
    <w:rsid w:val="001228EF"/>
    <w:rsid w:val="001245AB"/>
    <w:rsid w:val="001268DC"/>
    <w:rsid w:val="00126F36"/>
    <w:rsid w:val="0013072C"/>
    <w:rsid w:val="00130C87"/>
    <w:rsid w:val="00133645"/>
    <w:rsid w:val="0013680B"/>
    <w:rsid w:val="00136A0B"/>
    <w:rsid w:val="00136B76"/>
    <w:rsid w:val="00137506"/>
    <w:rsid w:val="0013752D"/>
    <w:rsid w:val="001379BD"/>
    <w:rsid w:val="00143D15"/>
    <w:rsid w:val="00144B37"/>
    <w:rsid w:val="00145179"/>
    <w:rsid w:val="00145871"/>
    <w:rsid w:val="00145B76"/>
    <w:rsid w:val="0014706F"/>
    <w:rsid w:val="00150C0A"/>
    <w:rsid w:val="00152382"/>
    <w:rsid w:val="00152AFA"/>
    <w:rsid w:val="00155C32"/>
    <w:rsid w:val="0015617B"/>
    <w:rsid w:val="001577AB"/>
    <w:rsid w:val="00157A27"/>
    <w:rsid w:val="00160076"/>
    <w:rsid w:val="0016015B"/>
    <w:rsid w:val="00161072"/>
    <w:rsid w:val="0016257E"/>
    <w:rsid w:val="00163252"/>
    <w:rsid w:val="00163DCB"/>
    <w:rsid w:val="00164496"/>
    <w:rsid w:val="001649BE"/>
    <w:rsid w:val="00165D50"/>
    <w:rsid w:val="0016659F"/>
    <w:rsid w:val="00172EF6"/>
    <w:rsid w:val="00173517"/>
    <w:rsid w:val="0017426A"/>
    <w:rsid w:val="001742D0"/>
    <w:rsid w:val="0017454C"/>
    <w:rsid w:val="0017791C"/>
    <w:rsid w:val="00180434"/>
    <w:rsid w:val="00180945"/>
    <w:rsid w:val="0018095D"/>
    <w:rsid w:val="0018272B"/>
    <w:rsid w:val="00184D54"/>
    <w:rsid w:val="00186010"/>
    <w:rsid w:val="00190494"/>
    <w:rsid w:val="00190619"/>
    <w:rsid w:val="00193360"/>
    <w:rsid w:val="001955F0"/>
    <w:rsid w:val="00195625"/>
    <w:rsid w:val="00195E06"/>
    <w:rsid w:val="00197225"/>
    <w:rsid w:val="00197506"/>
    <w:rsid w:val="001A0694"/>
    <w:rsid w:val="001A0C14"/>
    <w:rsid w:val="001A2052"/>
    <w:rsid w:val="001A277F"/>
    <w:rsid w:val="001A2A7E"/>
    <w:rsid w:val="001A40CE"/>
    <w:rsid w:val="001A54B2"/>
    <w:rsid w:val="001A6008"/>
    <w:rsid w:val="001A6501"/>
    <w:rsid w:val="001A7C57"/>
    <w:rsid w:val="001A7E33"/>
    <w:rsid w:val="001B06AB"/>
    <w:rsid w:val="001B4AC4"/>
    <w:rsid w:val="001B62A0"/>
    <w:rsid w:val="001B63C2"/>
    <w:rsid w:val="001B703C"/>
    <w:rsid w:val="001B77CD"/>
    <w:rsid w:val="001C00AE"/>
    <w:rsid w:val="001C0B29"/>
    <w:rsid w:val="001C1249"/>
    <w:rsid w:val="001C16B1"/>
    <w:rsid w:val="001C36AA"/>
    <w:rsid w:val="001C3CF2"/>
    <w:rsid w:val="001C45E9"/>
    <w:rsid w:val="001C4805"/>
    <w:rsid w:val="001C6C4B"/>
    <w:rsid w:val="001D2BBE"/>
    <w:rsid w:val="001D2C4C"/>
    <w:rsid w:val="001D3771"/>
    <w:rsid w:val="001D623B"/>
    <w:rsid w:val="001D7BBA"/>
    <w:rsid w:val="001E07A2"/>
    <w:rsid w:val="001E2E96"/>
    <w:rsid w:val="001E6314"/>
    <w:rsid w:val="001F0C3F"/>
    <w:rsid w:val="001F0EAC"/>
    <w:rsid w:val="001F1594"/>
    <w:rsid w:val="001F30D1"/>
    <w:rsid w:val="001F37E7"/>
    <w:rsid w:val="001F4D8B"/>
    <w:rsid w:val="001F5023"/>
    <w:rsid w:val="001F6CAA"/>
    <w:rsid w:val="001F711D"/>
    <w:rsid w:val="002001E6"/>
    <w:rsid w:val="00200298"/>
    <w:rsid w:val="00200A8D"/>
    <w:rsid w:val="00202F6B"/>
    <w:rsid w:val="00203911"/>
    <w:rsid w:val="002048AD"/>
    <w:rsid w:val="00204BFD"/>
    <w:rsid w:val="002056F5"/>
    <w:rsid w:val="0020621E"/>
    <w:rsid w:val="00206389"/>
    <w:rsid w:val="00210EC2"/>
    <w:rsid w:val="0021151D"/>
    <w:rsid w:val="0021254A"/>
    <w:rsid w:val="00212706"/>
    <w:rsid w:val="002142D6"/>
    <w:rsid w:val="00215726"/>
    <w:rsid w:val="00216907"/>
    <w:rsid w:val="0021696C"/>
    <w:rsid w:val="002177E0"/>
    <w:rsid w:val="00221725"/>
    <w:rsid w:val="00221952"/>
    <w:rsid w:val="0022394C"/>
    <w:rsid w:val="002248BE"/>
    <w:rsid w:val="002249AA"/>
    <w:rsid w:val="002256FC"/>
    <w:rsid w:val="00230EE7"/>
    <w:rsid w:val="00232515"/>
    <w:rsid w:val="00232E0F"/>
    <w:rsid w:val="00235293"/>
    <w:rsid w:val="00235A1A"/>
    <w:rsid w:val="002367B7"/>
    <w:rsid w:val="00236A3B"/>
    <w:rsid w:val="00237248"/>
    <w:rsid w:val="0024089D"/>
    <w:rsid w:val="0024160B"/>
    <w:rsid w:val="00243686"/>
    <w:rsid w:val="002442E2"/>
    <w:rsid w:val="00245614"/>
    <w:rsid w:val="00245E40"/>
    <w:rsid w:val="00246271"/>
    <w:rsid w:val="00250757"/>
    <w:rsid w:val="00250EE0"/>
    <w:rsid w:val="00251AB8"/>
    <w:rsid w:val="00251CAF"/>
    <w:rsid w:val="0025225B"/>
    <w:rsid w:val="0025397E"/>
    <w:rsid w:val="0025420B"/>
    <w:rsid w:val="00254C9C"/>
    <w:rsid w:val="0025503A"/>
    <w:rsid w:val="002550BC"/>
    <w:rsid w:val="002558CE"/>
    <w:rsid w:val="00255FE7"/>
    <w:rsid w:val="00256A2E"/>
    <w:rsid w:val="00256DBA"/>
    <w:rsid w:val="0026058F"/>
    <w:rsid w:val="0026085A"/>
    <w:rsid w:val="00260C62"/>
    <w:rsid w:val="0026101A"/>
    <w:rsid w:val="002616C2"/>
    <w:rsid w:val="00262BA7"/>
    <w:rsid w:val="00263C4B"/>
    <w:rsid w:val="00265161"/>
    <w:rsid w:val="002678CC"/>
    <w:rsid w:val="00267B80"/>
    <w:rsid w:val="00272B60"/>
    <w:rsid w:val="00272C06"/>
    <w:rsid w:val="00274CBA"/>
    <w:rsid w:val="00276DF2"/>
    <w:rsid w:val="0027703D"/>
    <w:rsid w:val="00280D39"/>
    <w:rsid w:val="00281C0D"/>
    <w:rsid w:val="0028206B"/>
    <w:rsid w:val="002820D5"/>
    <w:rsid w:val="002834A1"/>
    <w:rsid w:val="00283D5F"/>
    <w:rsid w:val="0028698C"/>
    <w:rsid w:val="00286A2D"/>
    <w:rsid w:val="0029033E"/>
    <w:rsid w:val="00291C87"/>
    <w:rsid w:val="00292EF0"/>
    <w:rsid w:val="00293217"/>
    <w:rsid w:val="00293329"/>
    <w:rsid w:val="00293365"/>
    <w:rsid w:val="00293DAE"/>
    <w:rsid w:val="002943C0"/>
    <w:rsid w:val="002944B3"/>
    <w:rsid w:val="00295A8C"/>
    <w:rsid w:val="00295C21"/>
    <w:rsid w:val="002961C2"/>
    <w:rsid w:val="002A05FD"/>
    <w:rsid w:val="002A2A19"/>
    <w:rsid w:val="002A48F8"/>
    <w:rsid w:val="002A4E38"/>
    <w:rsid w:val="002A5670"/>
    <w:rsid w:val="002A6F30"/>
    <w:rsid w:val="002A7146"/>
    <w:rsid w:val="002B091E"/>
    <w:rsid w:val="002B0C25"/>
    <w:rsid w:val="002B2484"/>
    <w:rsid w:val="002B2C2C"/>
    <w:rsid w:val="002B2E6D"/>
    <w:rsid w:val="002B3484"/>
    <w:rsid w:val="002B54A4"/>
    <w:rsid w:val="002B5C07"/>
    <w:rsid w:val="002B5EA4"/>
    <w:rsid w:val="002B7072"/>
    <w:rsid w:val="002C0359"/>
    <w:rsid w:val="002C04EF"/>
    <w:rsid w:val="002C0EA1"/>
    <w:rsid w:val="002C11B7"/>
    <w:rsid w:val="002C128B"/>
    <w:rsid w:val="002C208E"/>
    <w:rsid w:val="002C2750"/>
    <w:rsid w:val="002C348C"/>
    <w:rsid w:val="002C515F"/>
    <w:rsid w:val="002C5B77"/>
    <w:rsid w:val="002C5C6E"/>
    <w:rsid w:val="002C6759"/>
    <w:rsid w:val="002D01F5"/>
    <w:rsid w:val="002D17DE"/>
    <w:rsid w:val="002D1856"/>
    <w:rsid w:val="002D19BD"/>
    <w:rsid w:val="002E09DE"/>
    <w:rsid w:val="002E10A6"/>
    <w:rsid w:val="002E23F4"/>
    <w:rsid w:val="002E2A06"/>
    <w:rsid w:val="002E2A1D"/>
    <w:rsid w:val="002E6342"/>
    <w:rsid w:val="002E6F3E"/>
    <w:rsid w:val="002E7624"/>
    <w:rsid w:val="002F0631"/>
    <w:rsid w:val="002F0AD1"/>
    <w:rsid w:val="002F25CD"/>
    <w:rsid w:val="002F2816"/>
    <w:rsid w:val="002F2B02"/>
    <w:rsid w:val="002F4E2C"/>
    <w:rsid w:val="002F5680"/>
    <w:rsid w:val="002F6027"/>
    <w:rsid w:val="002F6744"/>
    <w:rsid w:val="002F6BF4"/>
    <w:rsid w:val="002F6C5C"/>
    <w:rsid w:val="002F6CE6"/>
    <w:rsid w:val="002F6FCE"/>
    <w:rsid w:val="002F74E8"/>
    <w:rsid w:val="003008A8"/>
    <w:rsid w:val="00300B36"/>
    <w:rsid w:val="00301106"/>
    <w:rsid w:val="003021CB"/>
    <w:rsid w:val="00304005"/>
    <w:rsid w:val="0030441C"/>
    <w:rsid w:val="00304A92"/>
    <w:rsid w:val="003052B2"/>
    <w:rsid w:val="00306777"/>
    <w:rsid w:val="00307AF1"/>
    <w:rsid w:val="00307B0B"/>
    <w:rsid w:val="00311E15"/>
    <w:rsid w:val="003129EF"/>
    <w:rsid w:val="00312CA8"/>
    <w:rsid w:val="0031431E"/>
    <w:rsid w:val="00315766"/>
    <w:rsid w:val="00315E86"/>
    <w:rsid w:val="00316EA1"/>
    <w:rsid w:val="00320D77"/>
    <w:rsid w:val="00320F1D"/>
    <w:rsid w:val="003228FB"/>
    <w:rsid w:val="00322F3A"/>
    <w:rsid w:val="00323960"/>
    <w:rsid w:val="00323D2D"/>
    <w:rsid w:val="00324295"/>
    <w:rsid w:val="00326086"/>
    <w:rsid w:val="003263BD"/>
    <w:rsid w:val="00326C4B"/>
    <w:rsid w:val="00327AAA"/>
    <w:rsid w:val="00330608"/>
    <w:rsid w:val="00330BB7"/>
    <w:rsid w:val="00331580"/>
    <w:rsid w:val="003327D1"/>
    <w:rsid w:val="00333C50"/>
    <w:rsid w:val="003344BC"/>
    <w:rsid w:val="00334648"/>
    <w:rsid w:val="00334CE0"/>
    <w:rsid w:val="00335956"/>
    <w:rsid w:val="0033646A"/>
    <w:rsid w:val="003371FF"/>
    <w:rsid w:val="0033729F"/>
    <w:rsid w:val="0033781B"/>
    <w:rsid w:val="0033787D"/>
    <w:rsid w:val="00341B8D"/>
    <w:rsid w:val="00342AF9"/>
    <w:rsid w:val="003447A1"/>
    <w:rsid w:val="00345935"/>
    <w:rsid w:val="00346F70"/>
    <w:rsid w:val="00352E5A"/>
    <w:rsid w:val="003530CD"/>
    <w:rsid w:val="003550FB"/>
    <w:rsid w:val="00355484"/>
    <w:rsid w:val="0035555F"/>
    <w:rsid w:val="003564B8"/>
    <w:rsid w:val="00356CFE"/>
    <w:rsid w:val="00357D8E"/>
    <w:rsid w:val="003629A2"/>
    <w:rsid w:val="00362D98"/>
    <w:rsid w:val="00362E9A"/>
    <w:rsid w:val="00367F0A"/>
    <w:rsid w:val="00370C2F"/>
    <w:rsid w:val="00370DBE"/>
    <w:rsid w:val="00372BF2"/>
    <w:rsid w:val="00373563"/>
    <w:rsid w:val="00374181"/>
    <w:rsid w:val="00375BCB"/>
    <w:rsid w:val="00375CB5"/>
    <w:rsid w:val="0037658F"/>
    <w:rsid w:val="00376613"/>
    <w:rsid w:val="00376D3F"/>
    <w:rsid w:val="003778D6"/>
    <w:rsid w:val="00377C26"/>
    <w:rsid w:val="003813D7"/>
    <w:rsid w:val="00382E56"/>
    <w:rsid w:val="00382F76"/>
    <w:rsid w:val="0038334F"/>
    <w:rsid w:val="00383A39"/>
    <w:rsid w:val="003861F0"/>
    <w:rsid w:val="003901AE"/>
    <w:rsid w:val="00390BBA"/>
    <w:rsid w:val="003926D2"/>
    <w:rsid w:val="00392BC1"/>
    <w:rsid w:val="00393D76"/>
    <w:rsid w:val="00394F42"/>
    <w:rsid w:val="00395F29"/>
    <w:rsid w:val="003979A2"/>
    <w:rsid w:val="003A00AE"/>
    <w:rsid w:val="003A0A1C"/>
    <w:rsid w:val="003A2E86"/>
    <w:rsid w:val="003A37CF"/>
    <w:rsid w:val="003A580D"/>
    <w:rsid w:val="003A7F5E"/>
    <w:rsid w:val="003B18F5"/>
    <w:rsid w:val="003B1BF2"/>
    <w:rsid w:val="003B260D"/>
    <w:rsid w:val="003B28F5"/>
    <w:rsid w:val="003B30D6"/>
    <w:rsid w:val="003B498E"/>
    <w:rsid w:val="003B72CE"/>
    <w:rsid w:val="003B7719"/>
    <w:rsid w:val="003C7DF4"/>
    <w:rsid w:val="003D092E"/>
    <w:rsid w:val="003D0FC8"/>
    <w:rsid w:val="003D1678"/>
    <w:rsid w:val="003D2540"/>
    <w:rsid w:val="003D27B9"/>
    <w:rsid w:val="003D33FD"/>
    <w:rsid w:val="003D4885"/>
    <w:rsid w:val="003D62F8"/>
    <w:rsid w:val="003D6C6E"/>
    <w:rsid w:val="003D6FBA"/>
    <w:rsid w:val="003E0A8C"/>
    <w:rsid w:val="003E295A"/>
    <w:rsid w:val="003E5078"/>
    <w:rsid w:val="003E53A4"/>
    <w:rsid w:val="003E7804"/>
    <w:rsid w:val="003F1025"/>
    <w:rsid w:val="003F1634"/>
    <w:rsid w:val="003F169B"/>
    <w:rsid w:val="003F16A8"/>
    <w:rsid w:val="003F2555"/>
    <w:rsid w:val="003F305A"/>
    <w:rsid w:val="003F3F36"/>
    <w:rsid w:val="003F41B8"/>
    <w:rsid w:val="003F5F7E"/>
    <w:rsid w:val="003F6DCA"/>
    <w:rsid w:val="00401073"/>
    <w:rsid w:val="0040125E"/>
    <w:rsid w:val="00402548"/>
    <w:rsid w:val="00402B52"/>
    <w:rsid w:val="00402C8D"/>
    <w:rsid w:val="0040531C"/>
    <w:rsid w:val="00405580"/>
    <w:rsid w:val="00406543"/>
    <w:rsid w:val="00406F9D"/>
    <w:rsid w:val="00407C62"/>
    <w:rsid w:val="0041195A"/>
    <w:rsid w:val="00412E57"/>
    <w:rsid w:val="00415A19"/>
    <w:rsid w:val="00415F0E"/>
    <w:rsid w:val="0042091B"/>
    <w:rsid w:val="00420C65"/>
    <w:rsid w:val="00421800"/>
    <w:rsid w:val="004221D9"/>
    <w:rsid w:val="004222A8"/>
    <w:rsid w:val="00422F2A"/>
    <w:rsid w:val="00424A2C"/>
    <w:rsid w:val="00425EE1"/>
    <w:rsid w:val="00426676"/>
    <w:rsid w:val="00426D47"/>
    <w:rsid w:val="00427644"/>
    <w:rsid w:val="00432B84"/>
    <w:rsid w:val="0043399F"/>
    <w:rsid w:val="0043483C"/>
    <w:rsid w:val="00434D3D"/>
    <w:rsid w:val="004357A9"/>
    <w:rsid w:val="00435A99"/>
    <w:rsid w:val="00436404"/>
    <w:rsid w:val="004401AD"/>
    <w:rsid w:val="0044098D"/>
    <w:rsid w:val="00440CE4"/>
    <w:rsid w:val="004433C4"/>
    <w:rsid w:val="004466B4"/>
    <w:rsid w:val="0044718C"/>
    <w:rsid w:val="004478BC"/>
    <w:rsid w:val="004479A3"/>
    <w:rsid w:val="00450C42"/>
    <w:rsid w:val="004512B3"/>
    <w:rsid w:val="00451C78"/>
    <w:rsid w:val="00456605"/>
    <w:rsid w:val="00457125"/>
    <w:rsid w:val="00457FD3"/>
    <w:rsid w:val="0046320C"/>
    <w:rsid w:val="00463594"/>
    <w:rsid w:val="00465B38"/>
    <w:rsid w:val="00465DD0"/>
    <w:rsid w:val="0046630D"/>
    <w:rsid w:val="00466C5A"/>
    <w:rsid w:val="0047039A"/>
    <w:rsid w:val="0047119D"/>
    <w:rsid w:val="00471C81"/>
    <w:rsid w:val="004720E2"/>
    <w:rsid w:val="00473E7A"/>
    <w:rsid w:val="00475430"/>
    <w:rsid w:val="0047600A"/>
    <w:rsid w:val="00477438"/>
    <w:rsid w:val="00480256"/>
    <w:rsid w:val="00480D6D"/>
    <w:rsid w:val="00480E20"/>
    <w:rsid w:val="00481A1F"/>
    <w:rsid w:val="00481B35"/>
    <w:rsid w:val="0048345A"/>
    <w:rsid w:val="004834BD"/>
    <w:rsid w:val="004858AF"/>
    <w:rsid w:val="004870FE"/>
    <w:rsid w:val="00487DB2"/>
    <w:rsid w:val="004908FE"/>
    <w:rsid w:val="004909C4"/>
    <w:rsid w:val="00490EC9"/>
    <w:rsid w:val="0049171B"/>
    <w:rsid w:val="0049204D"/>
    <w:rsid w:val="00493168"/>
    <w:rsid w:val="00493222"/>
    <w:rsid w:val="0049380C"/>
    <w:rsid w:val="00494F2A"/>
    <w:rsid w:val="00495EAC"/>
    <w:rsid w:val="004964EA"/>
    <w:rsid w:val="00496680"/>
    <w:rsid w:val="00497056"/>
    <w:rsid w:val="00497543"/>
    <w:rsid w:val="00497E57"/>
    <w:rsid w:val="004A0460"/>
    <w:rsid w:val="004A09CE"/>
    <w:rsid w:val="004A219C"/>
    <w:rsid w:val="004A477C"/>
    <w:rsid w:val="004A52C0"/>
    <w:rsid w:val="004A74E8"/>
    <w:rsid w:val="004A77DF"/>
    <w:rsid w:val="004B198C"/>
    <w:rsid w:val="004B1E92"/>
    <w:rsid w:val="004B1F98"/>
    <w:rsid w:val="004B2440"/>
    <w:rsid w:val="004B2C0E"/>
    <w:rsid w:val="004B3E90"/>
    <w:rsid w:val="004B6105"/>
    <w:rsid w:val="004B6434"/>
    <w:rsid w:val="004C28D7"/>
    <w:rsid w:val="004C3847"/>
    <w:rsid w:val="004C5AFB"/>
    <w:rsid w:val="004C7009"/>
    <w:rsid w:val="004C7BC0"/>
    <w:rsid w:val="004C7F4B"/>
    <w:rsid w:val="004D006B"/>
    <w:rsid w:val="004D21F8"/>
    <w:rsid w:val="004D51ED"/>
    <w:rsid w:val="004D5F25"/>
    <w:rsid w:val="004D7B32"/>
    <w:rsid w:val="004E0672"/>
    <w:rsid w:val="004E0A7B"/>
    <w:rsid w:val="004E0F07"/>
    <w:rsid w:val="004E36D2"/>
    <w:rsid w:val="004E444E"/>
    <w:rsid w:val="004E53FF"/>
    <w:rsid w:val="004E6C47"/>
    <w:rsid w:val="004E6F4E"/>
    <w:rsid w:val="004E7C0A"/>
    <w:rsid w:val="004F004D"/>
    <w:rsid w:val="004F00F8"/>
    <w:rsid w:val="004F11DC"/>
    <w:rsid w:val="004F12AA"/>
    <w:rsid w:val="004F22D6"/>
    <w:rsid w:val="004F45E4"/>
    <w:rsid w:val="004F4EBD"/>
    <w:rsid w:val="004F5066"/>
    <w:rsid w:val="004F683F"/>
    <w:rsid w:val="005028D4"/>
    <w:rsid w:val="00505A30"/>
    <w:rsid w:val="00505AFA"/>
    <w:rsid w:val="00506E22"/>
    <w:rsid w:val="00506F9A"/>
    <w:rsid w:val="00507D80"/>
    <w:rsid w:val="0051150B"/>
    <w:rsid w:val="005116E5"/>
    <w:rsid w:val="0051233A"/>
    <w:rsid w:val="00513319"/>
    <w:rsid w:val="00514766"/>
    <w:rsid w:val="005162B5"/>
    <w:rsid w:val="0051718F"/>
    <w:rsid w:val="005171C2"/>
    <w:rsid w:val="00517832"/>
    <w:rsid w:val="00517FA3"/>
    <w:rsid w:val="005203FF"/>
    <w:rsid w:val="00520E15"/>
    <w:rsid w:val="005217FC"/>
    <w:rsid w:val="00525CD0"/>
    <w:rsid w:val="00525DA9"/>
    <w:rsid w:val="00527527"/>
    <w:rsid w:val="00527A55"/>
    <w:rsid w:val="0053032C"/>
    <w:rsid w:val="00533E95"/>
    <w:rsid w:val="00534D55"/>
    <w:rsid w:val="00534FD6"/>
    <w:rsid w:val="00536125"/>
    <w:rsid w:val="005374C7"/>
    <w:rsid w:val="005379A4"/>
    <w:rsid w:val="00545C4A"/>
    <w:rsid w:val="00545D97"/>
    <w:rsid w:val="005463CC"/>
    <w:rsid w:val="00550370"/>
    <w:rsid w:val="00550727"/>
    <w:rsid w:val="00551FF9"/>
    <w:rsid w:val="00552102"/>
    <w:rsid w:val="00552B28"/>
    <w:rsid w:val="005542AD"/>
    <w:rsid w:val="00555B55"/>
    <w:rsid w:val="005561E9"/>
    <w:rsid w:val="005608D5"/>
    <w:rsid w:val="00561C67"/>
    <w:rsid w:val="005624B7"/>
    <w:rsid w:val="00562D56"/>
    <w:rsid w:val="00562F01"/>
    <w:rsid w:val="00563A75"/>
    <w:rsid w:val="00563B92"/>
    <w:rsid w:val="00564391"/>
    <w:rsid w:val="0056455D"/>
    <w:rsid w:val="00565C7A"/>
    <w:rsid w:val="00565E45"/>
    <w:rsid w:val="005671DF"/>
    <w:rsid w:val="0057085A"/>
    <w:rsid w:val="0057132F"/>
    <w:rsid w:val="00571599"/>
    <w:rsid w:val="00572143"/>
    <w:rsid w:val="0057353F"/>
    <w:rsid w:val="005751AE"/>
    <w:rsid w:val="005759CA"/>
    <w:rsid w:val="00575E67"/>
    <w:rsid w:val="00577265"/>
    <w:rsid w:val="005813A9"/>
    <w:rsid w:val="00581E27"/>
    <w:rsid w:val="00582018"/>
    <w:rsid w:val="005840C3"/>
    <w:rsid w:val="0058579A"/>
    <w:rsid w:val="005861A4"/>
    <w:rsid w:val="00590687"/>
    <w:rsid w:val="00591B53"/>
    <w:rsid w:val="005923A1"/>
    <w:rsid w:val="00592BB1"/>
    <w:rsid w:val="0059368A"/>
    <w:rsid w:val="00593C7F"/>
    <w:rsid w:val="00593CB9"/>
    <w:rsid w:val="00594201"/>
    <w:rsid w:val="00594DAB"/>
    <w:rsid w:val="00596718"/>
    <w:rsid w:val="005A0B2E"/>
    <w:rsid w:val="005A132C"/>
    <w:rsid w:val="005A1514"/>
    <w:rsid w:val="005A19F3"/>
    <w:rsid w:val="005A26D3"/>
    <w:rsid w:val="005A3742"/>
    <w:rsid w:val="005A37F9"/>
    <w:rsid w:val="005A474B"/>
    <w:rsid w:val="005A4C63"/>
    <w:rsid w:val="005A61D0"/>
    <w:rsid w:val="005A6A95"/>
    <w:rsid w:val="005A6C74"/>
    <w:rsid w:val="005A75FD"/>
    <w:rsid w:val="005A7F3C"/>
    <w:rsid w:val="005B06C3"/>
    <w:rsid w:val="005B11AB"/>
    <w:rsid w:val="005B4A68"/>
    <w:rsid w:val="005B52DA"/>
    <w:rsid w:val="005B5557"/>
    <w:rsid w:val="005B7618"/>
    <w:rsid w:val="005B7BE9"/>
    <w:rsid w:val="005C15BC"/>
    <w:rsid w:val="005C35B3"/>
    <w:rsid w:val="005C5525"/>
    <w:rsid w:val="005C5B55"/>
    <w:rsid w:val="005C62D4"/>
    <w:rsid w:val="005C6A56"/>
    <w:rsid w:val="005C7AA0"/>
    <w:rsid w:val="005C7C26"/>
    <w:rsid w:val="005D035B"/>
    <w:rsid w:val="005D1291"/>
    <w:rsid w:val="005D1934"/>
    <w:rsid w:val="005D21C0"/>
    <w:rsid w:val="005D2BFE"/>
    <w:rsid w:val="005D3B9C"/>
    <w:rsid w:val="005D3C12"/>
    <w:rsid w:val="005D3FC3"/>
    <w:rsid w:val="005D60C0"/>
    <w:rsid w:val="005D656D"/>
    <w:rsid w:val="005E05E9"/>
    <w:rsid w:val="005E1485"/>
    <w:rsid w:val="005E18EC"/>
    <w:rsid w:val="005E2255"/>
    <w:rsid w:val="005E2418"/>
    <w:rsid w:val="005E348D"/>
    <w:rsid w:val="005E391F"/>
    <w:rsid w:val="005E3F44"/>
    <w:rsid w:val="005E4729"/>
    <w:rsid w:val="005E4865"/>
    <w:rsid w:val="005E691A"/>
    <w:rsid w:val="005F155A"/>
    <w:rsid w:val="005F1638"/>
    <w:rsid w:val="005F2A27"/>
    <w:rsid w:val="005F4251"/>
    <w:rsid w:val="005F6511"/>
    <w:rsid w:val="005F660C"/>
    <w:rsid w:val="00600563"/>
    <w:rsid w:val="00600A78"/>
    <w:rsid w:val="00600D7E"/>
    <w:rsid w:val="006010DC"/>
    <w:rsid w:val="00601C9F"/>
    <w:rsid w:val="00602146"/>
    <w:rsid w:val="0060307A"/>
    <w:rsid w:val="006039B6"/>
    <w:rsid w:val="00603B68"/>
    <w:rsid w:val="006040DB"/>
    <w:rsid w:val="00605B42"/>
    <w:rsid w:val="00606251"/>
    <w:rsid w:val="0060678B"/>
    <w:rsid w:val="006079CE"/>
    <w:rsid w:val="00610337"/>
    <w:rsid w:val="006108C4"/>
    <w:rsid w:val="0061171B"/>
    <w:rsid w:val="00612C45"/>
    <w:rsid w:val="00614735"/>
    <w:rsid w:val="0061653C"/>
    <w:rsid w:val="00620B96"/>
    <w:rsid w:val="00622438"/>
    <w:rsid w:val="00622528"/>
    <w:rsid w:val="006238D4"/>
    <w:rsid w:val="006249D9"/>
    <w:rsid w:val="00625272"/>
    <w:rsid w:val="00626CB2"/>
    <w:rsid w:val="00630708"/>
    <w:rsid w:val="0063495F"/>
    <w:rsid w:val="00636775"/>
    <w:rsid w:val="00636A58"/>
    <w:rsid w:val="00636C78"/>
    <w:rsid w:val="006428C3"/>
    <w:rsid w:val="00643361"/>
    <w:rsid w:val="0064346B"/>
    <w:rsid w:val="0064481F"/>
    <w:rsid w:val="00645257"/>
    <w:rsid w:val="00645294"/>
    <w:rsid w:val="006458EC"/>
    <w:rsid w:val="00645A13"/>
    <w:rsid w:val="0064778D"/>
    <w:rsid w:val="00650929"/>
    <w:rsid w:val="00651851"/>
    <w:rsid w:val="0065198A"/>
    <w:rsid w:val="00652599"/>
    <w:rsid w:val="006611BB"/>
    <w:rsid w:val="006615A5"/>
    <w:rsid w:val="00661854"/>
    <w:rsid w:val="00661992"/>
    <w:rsid w:val="00662E96"/>
    <w:rsid w:val="0066551F"/>
    <w:rsid w:val="00666E74"/>
    <w:rsid w:val="006745FF"/>
    <w:rsid w:val="00674D80"/>
    <w:rsid w:val="00674EDF"/>
    <w:rsid w:val="00676F79"/>
    <w:rsid w:val="0067709C"/>
    <w:rsid w:val="0068136D"/>
    <w:rsid w:val="00682BAC"/>
    <w:rsid w:val="00685B60"/>
    <w:rsid w:val="00690C36"/>
    <w:rsid w:val="006913A5"/>
    <w:rsid w:val="00691982"/>
    <w:rsid w:val="00691D07"/>
    <w:rsid w:val="00694BEB"/>
    <w:rsid w:val="006950AD"/>
    <w:rsid w:val="006979A4"/>
    <w:rsid w:val="006A0CE7"/>
    <w:rsid w:val="006A148E"/>
    <w:rsid w:val="006A3719"/>
    <w:rsid w:val="006A4CCC"/>
    <w:rsid w:val="006A686E"/>
    <w:rsid w:val="006A7B2D"/>
    <w:rsid w:val="006A7CD9"/>
    <w:rsid w:val="006B14AD"/>
    <w:rsid w:val="006B1938"/>
    <w:rsid w:val="006B1FF8"/>
    <w:rsid w:val="006B4116"/>
    <w:rsid w:val="006B448D"/>
    <w:rsid w:val="006B77C6"/>
    <w:rsid w:val="006C21DB"/>
    <w:rsid w:val="006C3E55"/>
    <w:rsid w:val="006C4010"/>
    <w:rsid w:val="006C53BA"/>
    <w:rsid w:val="006C5B2A"/>
    <w:rsid w:val="006C7042"/>
    <w:rsid w:val="006C7498"/>
    <w:rsid w:val="006D0053"/>
    <w:rsid w:val="006D13D9"/>
    <w:rsid w:val="006D1EAF"/>
    <w:rsid w:val="006D22B2"/>
    <w:rsid w:val="006D28F6"/>
    <w:rsid w:val="006D4C1A"/>
    <w:rsid w:val="006D5597"/>
    <w:rsid w:val="006D5DB1"/>
    <w:rsid w:val="006E03BA"/>
    <w:rsid w:val="006E059E"/>
    <w:rsid w:val="006E235B"/>
    <w:rsid w:val="006E2ADB"/>
    <w:rsid w:val="006E32D1"/>
    <w:rsid w:val="006E3AD2"/>
    <w:rsid w:val="006E5002"/>
    <w:rsid w:val="006E7048"/>
    <w:rsid w:val="006F0205"/>
    <w:rsid w:val="006F0819"/>
    <w:rsid w:val="006F2ADC"/>
    <w:rsid w:val="006F6E33"/>
    <w:rsid w:val="006F6E60"/>
    <w:rsid w:val="00700189"/>
    <w:rsid w:val="00702983"/>
    <w:rsid w:val="00702FE0"/>
    <w:rsid w:val="00703D81"/>
    <w:rsid w:val="00704007"/>
    <w:rsid w:val="007066D9"/>
    <w:rsid w:val="00706B26"/>
    <w:rsid w:val="00706E05"/>
    <w:rsid w:val="00707AC7"/>
    <w:rsid w:val="00710376"/>
    <w:rsid w:val="0071198D"/>
    <w:rsid w:val="00712B52"/>
    <w:rsid w:val="00713977"/>
    <w:rsid w:val="00713E1D"/>
    <w:rsid w:val="00713F93"/>
    <w:rsid w:val="007141E8"/>
    <w:rsid w:val="0071452C"/>
    <w:rsid w:val="0071728B"/>
    <w:rsid w:val="007203BA"/>
    <w:rsid w:val="0072126A"/>
    <w:rsid w:val="00721A56"/>
    <w:rsid w:val="00721E18"/>
    <w:rsid w:val="00723B96"/>
    <w:rsid w:val="007244F0"/>
    <w:rsid w:val="00724B41"/>
    <w:rsid w:val="007260D0"/>
    <w:rsid w:val="007262A9"/>
    <w:rsid w:val="007262BA"/>
    <w:rsid w:val="00727787"/>
    <w:rsid w:val="00732527"/>
    <w:rsid w:val="00735090"/>
    <w:rsid w:val="007352F9"/>
    <w:rsid w:val="00735E76"/>
    <w:rsid w:val="00740F47"/>
    <w:rsid w:val="007414A8"/>
    <w:rsid w:val="0074435A"/>
    <w:rsid w:val="00744FAA"/>
    <w:rsid w:val="00745F93"/>
    <w:rsid w:val="00746B42"/>
    <w:rsid w:val="0074728C"/>
    <w:rsid w:val="00747B63"/>
    <w:rsid w:val="00747C66"/>
    <w:rsid w:val="007519E3"/>
    <w:rsid w:val="007524B7"/>
    <w:rsid w:val="00755C7B"/>
    <w:rsid w:val="007570D1"/>
    <w:rsid w:val="00757DA7"/>
    <w:rsid w:val="00757F92"/>
    <w:rsid w:val="00760A83"/>
    <w:rsid w:val="00760F77"/>
    <w:rsid w:val="007614EF"/>
    <w:rsid w:val="00762ADB"/>
    <w:rsid w:val="00762C02"/>
    <w:rsid w:val="00764CCE"/>
    <w:rsid w:val="00765111"/>
    <w:rsid w:val="0076537E"/>
    <w:rsid w:val="00771C58"/>
    <w:rsid w:val="00773688"/>
    <w:rsid w:val="00775D80"/>
    <w:rsid w:val="00777211"/>
    <w:rsid w:val="00777231"/>
    <w:rsid w:val="00777C93"/>
    <w:rsid w:val="00780364"/>
    <w:rsid w:val="0078256B"/>
    <w:rsid w:val="00782699"/>
    <w:rsid w:val="00783631"/>
    <w:rsid w:val="00783F51"/>
    <w:rsid w:val="00787D71"/>
    <w:rsid w:val="00790ABD"/>
    <w:rsid w:val="00791A9B"/>
    <w:rsid w:val="00792335"/>
    <w:rsid w:val="0079406E"/>
    <w:rsid w:val="00797F5C"/>
    <w:rsid w:val="007A1F3A"/>
    <w:rsid w:val="007A2275"/>
    <w:rsid w:val="007A40A5"/>
    <w:rsid w:val="007A4EFB"/>
    <w:rsid w:val="007A6E5E"/>
    <w:rsid w:val="007B08C9"/>
    <w:rsid w:val="007B185C"/>
    <w:rsid w:val="007B1DD9"/>
    <w:rsid w:val="007B25BA"/>
    <w:rsid w:val="007B26E3"/>
    <w:rsid w:val="007B48C4"/>
    <w:rsid w:val="007B761E"/>
    <w:rsid w:val="007C096B"/>
    <w:rsid w:val="007C0B1F"/>
    <w:rsid w:val="007C165F"/>
    <w:rsid w:val="007C37B5"/>
    <w:rsid w:val="007C39BE"/>
    <w:rsid w:val="007C3B46"/>
    <w:rsid w:val="007C74ED"/>
    <w:rsid w:val="007C7A28"/>
    <w:rsid w:val="007C7D56"/>
    <w:rsid w:val="007C7DD8"/>
    <w:rsid w:val="007D19DA"/>
    <w:rsid w:val="007D1C52"/>
    <w:rsid w:val="007D23CC"/>
    <w:rsid w:val="007D4952"/>
    <w:rsid w:val="007D49FD"/>
    <w:rsid w:val="007D4E76"/>
    <w:rsid w:val="007D568F"/>
    <w:rsid w:val="007D5828"/>
    <w:rsid w:val="007D5CEF"/>
    <w:rsid w:val="007D6B7E"/>
    <w:rsid w:val="007E0EE5"/>
    <w:rsid w:val="007E165A"/>
    <w:rsid w:val="007E343C"/>
    <w:rsid w:val="007E36CC"/>
    <w:rsid w:val="007E7B70"/>
    <w:rsid w:val="007F16A1"/>
    <w:rsid w:val="007F26A1"/>
    <w:rsid w:val="007F2832"/>
    <w:rsid w:val="007F2F80"/>
    <w:rsid w:val="007F3A46"/>
    <w:rsid w:val="007F442B"/>
    <w:rsid w:val="007F4BD4"/>
    <w:rsid w:val="007F4EED"/>
    <w:rsid w:val="007F530F"/>
    <w:rsid w:val="007F5CD0"/>
    <w:rsid w:val="007F6A0C"/>
    <w:rsid w:val="007F707A"/>
    <w:rsid w:val="007F7562"/>
    <w:rsid w:val="007F78A3"/>
    <w:rsid w:val="007F7913"/>
    <w:rsid w:val="008001BE"/>
    <w:rsid w:val="00801883"/>
    <w:rsid w:val="008039F3"/>
    <w:rsid w:val="00804A7B"/>
    <w:rsid w:val="00804CDE"/>
    <w:rsid w:val="00804F1B"/>
    <w:rsid w:val="00806201"/>
    <w:rsid w:val="0080632B"/>
    <w:rsid w:val="008064AB"/>
    <w:rsid w:val="00807D28"/>
    <w:rsid w:val="00810D70"/>
    <w:rsid w:val="00811320"/>
    <w:rsid w:val="0081231B"/>
    <w:rsid w:val="008124D0"/>
    <w:rsid w:val="00820DA9"/>
    <w:rsid w:val="00821591"/>
    <w:rsid w:val="008227A9"/>
    <w:rsid w:val="00823012"/>
    <w:rsid w:val="00823AF0"/>
    <w:rsid w:val="00824F1E"/>
    <w:rsid w:val="0082613D"/>
    <w:rsid w:val="008263A9"/>
    <w:rsid w:val="008268E8"/>
    <w:rsid w:val="008275C7"/>
    <w:rsid w:val="00827A79"/>
    <w:rsid w:val="00827EA3"/>
    <w:rsid w:val="00830065"/>
    <w:rsid w:val="00830B84"/>
    <w:rsid w:val="00831714"/>
    <w:rsid w:val="00833CA8"/>
    <w:rsid w:val="00834DBE"/>
    <w:rsid w:val="00836BBB"/>
    <w:rsid w:val="00836BE4"/>
    <w:rsid w:val="00837D2E"/>
    <w:rsid w:val="00840298"/>
    <w:rsid w:val="0084112C"/>
    <w:rsid w:val="00843678"/>
    <w:rsid w:val="00843C83"/>
    <w:rsid w:val="0084425B"/>
    <w:rsid w:val="008446FC"/>
    <w:rsid w:val="00844FC7"/>
    <w:rsid w:val="00845F0C"/>
    <w:rsid w:val="008476B4"/>
    <w:rsid w:val="00847A5A"/>
    <w:rsid w:val="00850030"/>
    <w:rsid w:val="00850DAE"/>
    <w:rsid w:val="00850E6F"/>
    <w:rsid w:val="00851DD2"/>
    <w:rsid w:val="00851E3B"/>
    <w:rsid w:val="008528A7"/>
    <w:rsid w:val="00853D0B"/>
    <w:rsid w:val="00855867"/>
    <w:rsid w:val="00855E20"/>
    <w:rsid w:val="00855F77"/>
    <w:rsid w:val="00856DBE"/>
    <w:rsid w:val="00857FBC"/>
    <w:rsid w:val="00860581"/>
    <w:rsid w:val="0086117A"/>
    <w:rsid w:val="00861432"/>
    <w:rsid w:val="008614B9"/>
    <w:rsid w:val="00861A3E"/>
    <w:rsid w:val="008623A4"/>
    <w:rsid w:val="008641BC"/>
    <w:rsid w:val="008673F8"/>
    <w:rsid w:val="00867DE6"/>
    <w:rsid w:val="00870BB2"/>
    <w:rsid w:val="00870C0A"/>
    <w:rsid w:val="0087137A"/>
    <w:rsid w:val="008718D9"/>
    <w:rsid w:val="00872959"/>
    <w:rsid w:val="008741D2"/>
    <w:rsid w:val="00875AAD"/>
    <w:rsid w:val="00875E41"/>
    <w:rsid w:val="00875F26"/>
    <w:rsid w:val="00875F6A"/>
    <w:rsid w:val="00876BF3"/>
    <w:rsid w:val="00877464"/>
    <w:rsid w:val="00877A3E"/>
    <w:rsid w:val="00877B0C"/>
    <w:rsid w:val="00880309"/>
    <w:rsid w:val="00881C02"/>
    <w:rsid w:val="00881F44"/>
    <w:rsid w:val="008833BF"/>
    <w:rsid w:val="00884E4D"/>
    <w:rsid w:val="00885AA5"/>
    <w:rsid w:val="0088656B"/>
    <w:rsid w:val="008866DE"/>
    <w:rsid w:val="00887A07"/>
    <w:rsid w:val="008914A0"/>
    <w:rsid w:val="00891691"/>
    <w:rsid w:val="008927E2"/>
    <w:rsid w:val="008936D2"/>
    <w:rsid w:val="00894569"/>
    <w:rsid w:val="008959B6"/>
    <w:rsid w:val="008968D9"/>
    <w:rsid w:val="008A0027"/>
    <w:rsid w:val="008A1072"/>
    <w:rsid w:val="008A1A32"/>
    <w:rsid w:val="008A1C28"/>
    <w:rsid w:val="008A2F37"/>
    <w:rsid w:val="008A41CF"/>
    <w:rsid w:val="008A4F7D"/>
    <w:rsid w:val="008A5931"/>
    <w:rsid w:val="008A5AA9"/>
    <w:rsid w:val="008A6923"/>
    <w:rsid w:val="008A7D5F"/>
    <w:rsid w:val="008B006F"/>
    <w:rsid w:val="008B0C3E"/>
    <w:rsid w:val="008B108D"/>
    <w:rsid w:val="008B229A"/>
    <w:rsid w:val="008B2E3D"/>
    <w:rsid w:val="008B3253"/>
    <w:rsid w:val="008B32AE"/>
    <w:rsid w:val="008B45A8"/>
    <w:rsid w:val="008B4D4C"/>
    <w:rsid w:val="008B5A68"/>
    <w:rsid w:val="008B71D0"/>
    <w:rsid w:val="008B730E"/>
    <w:rsid w:val="008C0899"/>
    <w:rsid w:val="008C212F"/>
    <w:rsid w:val="008C25F2"/>
    <w:rsid w:val="008C3AA7"/>
    <w:rsid w:val="008C443F"/>
    <w:rsid w:val="008C4F0D"/>
    <w:rsid w:val="008C74C3"/>
    <w:rsid w:val="008D1C81"/>
    <w:rsid w:val="008D20F7"/>
    <w:rsid w:val="008D39FF"/>
    <w:rsid w:val="008D49CB"/>
    <w:rsid w:val="008D5898"/>
    <w:rsid w:val="008D59A4"/>
    <w:rsid w:val="008D6148"/>
    <w:rsid w:val="008E1995"/>
    <w:rsid w:val="008E1F5C"/>
    <w:rsid w:val="008E3038"/>
    <w:rsid w:val="008E321B"/>
    <w:rsid w:val="008E3E37"/>
    <w:rsid w:val="008E7ED5"/>
    <w:rsid w:val="008F2953"/>
    <w:rsid w:val="008F2C8F"/>
    <w:rsid w:val="008F3126"/>
    <w:rsid w:val="008F3911"/>
    <w:rsid w:val="008F4A52"/>
    <w:rsid w:val="008F4A85"/>
    <w:rsid w:val="008F7370"/>
    <w:rsid w:val="009008C5"/>
    <w:rsid w:val="009022C8"/>
    <w:rsid w:val="00902BB4"/>
    <w:rsid w:val="009030F8"/>
    <w:rsid w:val="0090376D"/>
    <w:rsid w:val="009062D2"/>
    <w:rsid w:val="00907065"/>
    <w:rsid w:val="00910510"/>
    <w:rsid w:val="00910585"/>
    <w:rsid w:val="00911E93"/>
    <w:rsid w:val="0091216B"/>
    <w:rsid w:val="009123C4"/>
    <w:rsid w:val="009128FC"/>
    <w:rsid w:val="00913085"/>
    <w:rsid w:val="00913773"/>
    <w:rsid w:val="00913D94"/>
    <w:rsid w:val="00914CAC"/>
    <w:rsid w:val="00914D57"/>
    <w:rsid w:val="00916076"/>
    <w:rsid w:val="00916618"/>
    <w:rsid w:val="009176CD"/>
    <w:rsid w:val="00917D93"/>
    <w:rsid w:val="00920056"/>
    <w:rsid w:val="009208A9"/>
    <w:rsid w:val="00920CBC"/>
    <w:rsid w:val="00921535"/>
    <w:rsid w:val="00921AF2"/>
    <w:rsid w:val="00921D24"/>
    <w:rsid w:val="00924ABC"/>
    <w:rsid w:val="00924DC3"/>
    <w:rsid w:val="00925125"/>
    <w:rsid w:val="009266F9"/>
    <w:rsid w:val="009273DD"/>
    <w:rsid w:val="00927821"/>
    <w:rsid w:val="00927F74"/>
    <w:rsid w:val="00930FD9"/>
    <w:rsid w:val="00931332"/>
    <w:rsid w:val="009319D8"/>
    <w:rsid w:val="0093233F"/>
    <w:rsid w:val="009324D7"/>
    <w:rsid w:val="00932653"/>
    <w:rsid w:val="00932BA8"/>
    <w:rsid w:val="00932CA3"/>
    <w:rsid w:val="009335A1"/>
    <w:rsid w:val="009336DC"/>
    <w:rsid w:val="00934176"/>
    <w:rsid w:val="0093446E"/>
    <w:rsid w:val="00934C93"/>
    <w:rsid w:val="0094279A"/>
    <w:rsid w:val="009427E5"/>
    <w:rsid w:val="009430D8"/>
    <w:rsid w:val="00943872"/>
    <w:rsid w:val="00943A1D"/>
    <w:rsid w:val="00950DBD"/>
    <w:rsid w:val="0095126A"/>
    <w:rsid w:val="00952717"/>
    <w:rsid w:val="00953168"/>
    <w:rsid w:val="0095332C"/>
    <w:rsid w:val="00953C19"/>
    <w:rsid w:val="00953CEF"/>
    <w:rsid w:val="00953E93"/>
    <w:rsid w:val="0095432C"/>
    <w:rsid w:val="009548C3"/>
    <w:rsid w:val="00954CB8"/>
    <w:rsid w:val="0095547C"/>
    <w:rsid w:val="00955E79"/>
    <w:rsid w:val="00957844"/>
    <w:rsid w:val="0096179F"/>
    <w:rsid w:val="009624E6"/>
    <w:rsid w:val="00963FC8"/>
    <w:rsid w:val="009644A8"/>
    <w:rsid w:val="00965442"/>
    <w:rsid w:val="00965E83"/>
    <w:rsid w:val="0096624F"/>
    <w:rsid w:val="00966E7C"/>
    <w:rsid w:val="00966F4C"/>
    <w:rsid w:val="0096786C"/>
    <w:rsid w:val="00967D93"/>
    <w:rsid w:val="0097161A"/>
    <w:rsid w:val="00971D32"/>
    <w:rsid w:val="0097237E"/>
    <w:rsid w:val="0097366C"/>
    <w:rsid w:val="00973C05"/>
    <w:rsid w:val="00974492"/>
    <w:rsid w:val="00975553"/>
    <w:rsid w:val="00975E65"/>
    <w:rsid w:val="00976892"/>
    <w:rsid w:val="0098090B"/>
    <w:rsid w:val="00981502"/>
    <w:rsid w:val="0098189D"/>
    <w:rsid w:val="00984280"/>
    <w:rsid w:val="00984560"/>
    <w:rsid w:val="009847BF"/>
    <w:rsid w:val="00985789"/>
    <w:rsid w:val="00985848"/>
    <w:rsid w:val="00985AF9"/>
    <w:rsid w:val="00990254"/>
    <w:rsid w:val="0099034A"/>
    <w:rsid w:val="00992E3C"/>
    <w:rsid w:val="00993391"/>
    <w:rsid w:val="00993417"/>
    <w:rsid w:val="009940BE"/>
    <w:rsid w:val="00994B8A"/>
    <w:rsid w:val="00994D2F"/>
    <w:rsid w:val="00997A12"/>
    <w:rsid w:val="00997DDA"/>
    <w:rsid w:val="009A0DCA"/>
    <w:rsid w:val="009A1210"/>
    <w:rsid w:val="009A142E"/>
    <w:rsid w:val="009A32EC"/>
    <w:rsid w:val="009A3C12"/>
    <w:rsid w:val="009A4CC4"/>
    <w:rsid w:val="009A54E0"/>
    <w:rsid w:val="009A7E1C"/>
    <w:rsid w:val="009B0780"/>
    <w:rsid w:val="009B0EBD"/>
    <w:rsid w:val="009B0F91"/>
    <w:rsid w:val="009B12FF"/>
    <w:rsid w:val="009B1D5C"/>
    <w:rsid w:val="009B4E7A"/>
    <w:rsid w:val="009B5023"/>
    <w:rsid w:val="009B51AB"/>
    <w:rsid w:val="009B5A3A"/>
    <w:rsid w:val="009B6C4A"/>
    <w:rsid w:val="009B6DAA"/>
    <w:rsid w:val="009B75B4"/>
    <w:rsid w:val="009B7788"/>
    <w:rsid w:val="009B77A2"/>
    <w:rsid w:val="009B7860"/>
    <w:rsid w:val="009C06E2"/>
    <w:rsid w:val="009C2EE7"/>
    <w:rsid w:val="009C3FD6"/>
    <w:rsid w:val="009C460A"/>
    <w:rsid w:val="009C521B"/>
    <w:rsid w:val="009C572D"/>
    <w:rsid w:val="009C7DAC"/>
    <w:rsid w:val="009D131A"/>
    <w:rsid w:val="009D5DBA"/>
    <w:rsid w:val="009D645C"/>
    <w:rsid w:val="009D7888"/>
    <w:rsid w:val="009D7FBF"/>
    <w:rsid w:val="009E000C"/>
    <w:rsid w:val="009E4ABC"/>
    <w:rsid w:val="009E50F8"/>
    <w:rsid w:val="009E5810"/>
    <w:rsid w:val="009E71FE"/>
    <w:rsid w:val="009E799F"/>
    <w:rsid w:val="009E7F7F"/>
    <w:rsid w:val="009F0167"/>
    <w:rsid w:val="009F35F2"/>
    <w:rsid w:val="009F3B5B"/>
    <w:rsid w:val="009F3BB4"/>
    <w:rsid w:val="009F4429"/>
    <w:rsid w:val="009F4AC4"/>
    <w:rsid w:val="009F65A0"/>
    <w:rsid w:val="009F724B"/>
    <w:rsid w:val="00A01E60"/>
    <w:rsid w:val="00A0272A"/>
    <w:rsid w:val="00A03DD1"/>
    <w:rsid w:val="00A03E5D"/>
    <w:rsid w:val="00A050B2"/>
    <w:rsid w:val="00A052F4"/>
    <w:rsid w:val="00A057A6"/>
    <w:rsid w:val="00A0735B"/>
    <w:rsid w:val="00A07409"/>
    <w:rsid w:val="00A07C49"/>
    <w:rsid w:val="00A1051F"/>
    <w:rsid w:val="00A108C6"/>
    <w:rsid w:val="00A12EBF"/>
    <w:rsid w:val="00A14A67"/>
    <w:rsid w:val="00A1557C"/>
    <w:rsid w:val="00A1694D"/>
    <w:rsid w:val="00A17150"/>
    <w:rsid w:val="00A178DD"/>
    <w:rsid w:val="00A202FC"/>
    <w:rsid w:val="00A22188"/>
    <w:rsid w:val="00A265D7"/>
    <w:rsid w:val="00A27375"/>
    <w:rsid w:val="00A30923"/>
    <w:rsid w:val="00A30AF1"/>
    <w:rsid w:val="00A30C5A"/>
    <w:rsid w:val="00A31311"/>
    <w:rsid w:val="00A33A99"/>
    <w:rsid w:val="00A35F06"/>
    <w:rsid w:val="00A36AEB"/>
    <w:rsid w:val="00A36B8C"/>
    <w:rsid w:val="00A40004"/>
    <w:rsid w:val="00A40157"/>
    <w:rsid w:val="00A41ED2"/>
    <w:rsid w:val="00A4282D"/>
    <w:rsid w:val="00A43D09"/>
    <w:rsid w:val="00A43D45"/>
    <w:rsid w:val="00A445DC"/>
    <w:rsid w:val="00A47BB2"/>
    <w:rsid w:val="00A51E69"/>
    <w:rsid w:val="00A52642"/>
    <w:rsid w:val="00A52E68"/>
    <w:rsid w:val="00A55018"/>
    <w:rsid w:val="00A56BC2"/>
    <w:rsid w:val="00A6010F"/>
    <w:rsid w:val="00A61F18"/>
    <w:rsid w:val="00A62816"/>
    <w:rsid w:val="00A63116"/>
    <w:rsid w:val="00A63365"/>
    <w:rsid w:val="00A64067"/>
    <w:rsid w:val="00A641E9"/>
    <w:rsid w:val="00A65812"/>
    <w:rsid w:val="00A659A5"/>
    <w:rsid w:val="00A665C2"/>
    <w:rsid w:val="00A672F1"/>
    <w:rsid w:val="00A67D3E"/>
    <w:rsid w:val="00A721C1"/>
    <w:rsid w:val="00A7286A"/>
    <w:rsid w:val="00A729D3"/>
    <w:rsid w:val="00A73D40"/>
    <w:rsid w:val="00A741F0"/>
    <w:rsid w:val="00A75578"/>
    <w:rsid w:val="00A75B02"/>
    <w:rsid w:val="00A77B8D"/>
    <w:rsid w:val="00A803B4"/>
    <w:rsid w:val="00A81C09"/>
    <w:rsid w:val="00A81FAE"/>
    <w:rsid w:val="00A858CD"/>
    <w:rsid w:val="00A86F10"/>
    <w:rsid w:val="00A9099C"/>
    <w:rsid w:val="00A90E9D"/>
    <w:rsid w:val="00A929EB"/>
    <w:rsid w:val="00A9571B"/>
    <w:rsid w:val="00A95FCF"/>
    <w:rsid w:val="00A97C5A"/>
    <w:rsid w:val="00AA1CC6"/>
    <w:rsid w:val="00AA2A9C"/>
    <w:rsid w:val="00AA3573"/>
    <w:rsid w:val="00AA3B49"/>
    <w:rsid w:val="00AA3F66"/>
    <w:rsid w:val="00AA3FE5"/>
    <w:rsid w:val="00AA672B"/>
    <w:rsid w:val="00AA6BC7"/>
    <w:rsid w:val="00AA7EAC"/>
    <w:rsid w:val="00AB0D30"/>
    <w:rsid w:val="00AB3191"/>
    <w:rsid w:val="00AB403B"/>
    <w:rsid w:val="00AB4056"/>
    <w:rsid w:val="00AB581A"/>
    <w:rsid w:val="00AC0726"/>
    <w:rsid w:val="00AC09C8"/>
    <w:rsid w:val="00AC34D2"/>
    <w:rsid w:val="00AC3E44"/>
    <w:rsid w:val="00AC4E6A"/>
    <w:rsid w:val="00AC5507"/>
    <w:rsid w:val="00AC5B7D"/>
    <w:rsid w:val="00AC6BDE"/>
    <w:rsid w:val="00AD0EA1"/>
    <w:rsid w:val="00AD1BB0"/>
    <w:rsid w:val="00AD2CB9"/>
    <w:rsid w:val="00AD323D"/>
    <w:rsid w:val="00AD7F79"/>
    <w:rsid w:val="00AE3B3B"/>
    <w:rsid w:val="00AE488A"/>
    <w:rsid w:val="00AE5E6D"/>
    <w:rsid w:val="00AE7E80"/>
    <w:rsid w:val="00AF0320"/>
    <w:rsid w:val="00AF13B4"/>
    <w:rsid w:val="00AF1CB2"/>
    <w:rsid w:val="00AF2394"/>
    <w:rsid w:val="00AF6FB5"/>
    <w:rsid w:val="00B00310"/>
    <w:rsid w:val="00B01AC4"/>
    <w:rsid w:val="00B01EB9"/>
    <w:rsid w:val="00B024A7"/>
    <w:rsid w:val="00B04E0A"/>
    <w:rsid w:val="00B04E28"/>
    <w:rsid w:val="00B0503B"/>
    <w:rsid w:val="00B06D4B"/>
    <w:rsid w:val="00B06DB8"/>
    <w:rsid w:val="00B07409"/>
    <w:rsid w:val="00B074EE"/>
    <w:rsid w:val="00B10387"/>
    <w:rsid w:val="00B11521"/>
    <w:rsid w:val="00B1515B"/>
    <w:rsid w:val="00B200C3"/>
    <w:rsid w:val="00B208ED"/>
    <w:rsid w:val="00B20B63"/>
    <w:rsid w:val="00B2333A"/>
    <w:rsid w:val="00B23C50"/>
    <w:rsid w:val="00B261E8"/>
    <w:rsid w:val="00B2644C"/>
    <w:rsid w:val="00B270DD"/>
    <w:rsid w:val="00B30CD5"/>
    <w:rsid w:val="00B36AD7"/>
    <w:rsid w:val="00B40647"/>
    <w:rsid w:val="00B412B2"/>
    <w:rsid w:val="00B423D1"/>
    <w:rsid w:val="00B428AA"/>
    <w:rsid w:val="00B42F37"/>
    <w:rsid w:val="00B4326D"/>
    <w:rsid w:val="00B4395F"/>
    <w:rsid w:val="00B477F9"/>
    <w:rsid w:val="00B51165"/>
    <w:rsid w:val="00B5180F"/>
    <w:rsid w:val="00B51F9F"/>
    <w:rsid w:val="00B52F04"/>
    <w:rsid w:val="00B53942"/>
    <w:rsid w:val="00B53B8D"/>
    <w:rsid w:val="00B54049"/>
    <w:rsid w:val="00B54136"/>
    <w:rsid w:val="00B562EB"/>
    <w:rsid w:val="00B566AB"/>
    <w:rsid w:val="00B56EA7"/>
    <w:rsid w:val="00B573E0"/>
    <w:rsid w:val="00B57A24"/>
    <w:rsid w:val="00B57A7F"/>
    <w:rsid w:val="00B57C0A"/>
    <w:rsid w:val="00B6262A"/>
    <w:rsid w:val="00B627FB"/>
    <w:rsid w:val="00B638F5"/>
    <w:rsid w:val="00B649CD"/>
    <w:rsid w:val="00B64CE7"/>
    <w:rsid w:val="00B6564A"/>
    <w:rsid w:val="00B70AE8"/>
    <w:rsid w:val="00B7192A"/>
    <w:rsid w:val="00B73425"/>
    <w:rsid w:val="00B73A56"/>
    <w:rsid w:val="00B748C9"/>
    <w:rsid w:val="00B756EA"/>
    <w:rsid w:val="00B75F2C"/>
    <w:rsid w:val="00B766E2"/>
    <w:rsid w:val="00B7696C"/>
    <w:rsid w:val="00B77702"/>
    <w:rsid w:val="00B80410"/>
    <w:rsid w:val="00B804B8"/>
    <w:rsid w:val="00B80F8D"/>
    <w:rsid w:val="00B83CD3"/>
    <w:rsid w:val="00B857F6"/>
    <w:rsid w:val="00B86955"/>
    <w:rsid w:val="00B87ECB"/>
    <w:rsid w:val="00B90440"/>
    <w:rsid w:val="00B90A08"/>
    <w:rsid w:val="00B91603"/>
    <w:rsid w:val="00B92655"/>
    <w:rsid w:val="00B92C35"/>
    <w:rsid w:val="00B93258"/>
    <w:rsid w:val="00B9345E"/>
    <w:rsid w:val="00B93983"/>
    <w:rsid w:val="00B9489D"/>
    <w:rsid w:val="00B95BC7"/>
    <w:rsid w:val="00B973DE"/>
    <w:rsid w:val="00B974DC"/>
    <w:rsid w:val="00BA018C"/>
    <w:rsid w:val="00BA1E7E"/>
    <w:rsid w:val="00BA2047"/>
    <w:rsid w:val="00BA2A17"/>
    <w:rsid w:val="00BA3DB6"/>
    <w:rsid w:val="00BA46B2"/>
    <w:rsid w:val="00BA5831"/>
    <w:rsid w:val="00BA59F9"/>
    <w:rsid w:val="00BA5EB1"/>
    <w:rsid w:val="00BA6660"/>
    <w:rsid w:val="00BA6E57"/>
    <w:rsid w:val="00BA6E8C"/>
    <w:rsid w:val="00BA7828"/>
    <w:rsid w:val="00BB15AE"/>
    <w:rsid w:val="00BB28CF"/>
    <w:rsid w:val="00BB478C"/>
    <w:rsid w:val="00BC03FF"/>
    <w:rsid w:val="00BC05FB"/>
    <w:rsid w:val="00BC201F"/>
    <w:rsid w:val="00BC3862"/>
    <w:rsid w:val="00BC3EF0"/>
    <w:rsid w:val="00BC447C"/>
    <w:rsid w:val="00BC46B1"/>
    <w:rsid w:val="00BC4C5C"/>
    <w:rsid w:val="00BC70E3"/>
    <w:rsid w:val="00BD1681"/>
    <w:rsid w:val="00BD1DE4"/>
    <w:rsid w:val="00BD2A7B"/>
    <w:rsid w:val="00BD4057"/>
    <w:rsid w:val="00BD6C5C"/>
    <w:rsid w:val="00BE070F"/>
    <w:rsid w:val="00BE08F4"/>
    <w:rsid w:val="00BE099B"/>
    <w:rsid w:val="00BE4554"/>
    <w:rsid w:val="00BE49C8"/>
    <w:rsid w:val="00BE4CE0"/>
    <w:rsid w:val="00BE5B96"/>
    <w:rsid w:val="00BE752A"/>
    <w:rsid w:val="00BF17E3"/>
    <w:rsid w:val="00BF1B4D"/>
    <w:rsid w:val="00BF2C56"/>
    <w:rsid w:val="00BF3B81"/>
    <w:rsid w:val="00C006AB"/>
    <w:rsid w:val="00C00C39"/>
    <w:rsid w:val="00C01F27"/>
    <w:rsid w:val="00C0214D"/>
    <w:rsid w:val="00C036FE"/>
    <w:rsid w:val="00C03FA8"/>
    <w:rsid w:val="00C0426C"/>
    <w:rsid w:val="00C05801"/>
    <w:rsid w:val="00C063A2"/>
    <w:rsid w:val="00C06498"/>
    <w:rsid w:val="00C104C8"/>
    <w:rsid w:val="00C104D5"/>
    <w:rsid w:val="00C11DA7"/>
    <w:rsid w:val="00C147D7"/>
    <w:rsid w:val="00C14E89"/>
    <w:rsid w:val="00C15348"/>
    <w:rsid w:val="00C201C2"/>
    <w:rsid w:val="00C2134C"/>
    <w:rsid w:val="00C21703"/>
    <w:rsid w:val="00C2324A"/>
    <w:rsid w:val="00C23C36"/>
    <w:rsid w:val="00C2406C"/>
    <w:rsid w:val="00C24E92"/>
    <w:rsid w:val="00C25299"/>
    <w:rsid w:val="00C256F4"/>
    <w:rsid w:val="00C265C9"/>
    <w:rsid w:val="00C26C06"/>
    <w:rsid w:val="00C27433"/>
    <w:rsid w:val="00C3025E"/>
    <w:rsid w:val="00C3074C"/>
    <w:rsid w:val="00C32A70"/>
    <w:rsid w:val="00C33462"/>
    <w:rsid w:val="00C336C8"/>
    <w:rsid w:val="00C349DD"/>
    <w:rsid w:val="00C3582E"/>
    <w:rsid w:val="00C3797B"/>
    <w:rsid w:val="00C40963"/>
    <w:rsid w:val="00C40C58"/>
    <w:rsid w:val="00C41871"/>
    <w:rsid w:val="00C42EB7"/>
    <w:rsid w:val="00C503A8"/>
    <w:rsid w:val="00C51F0E"/>
    <w:rsid w:val="00C525B6"/>
    <w:rsid w:val="00C529D6"/>
    <w:rsid w:val="00C531E6"/>
    <w:rsid w:val="00C53CF5"/>
    <w:rsid w:val="00C54276"/>
    <w:rsid w:val="00C54286"/>
    <w:rsid w:val="00C54352"/>
    <w:rsid w:val="00C54D8A"/>
    <w:rsid w:val="00C568CE"/>
    <w:rsid w:val="00C60C2D"/>
    <w:rsid w:val="00C61076"/>
    <w:rsid w:val="00C61381"/>
    <w:rsid w:val="00C6160E"/>
    <w:rsid w:val="00C617CE"/>
    <w:rsid w:val="00C622FE"/>
    <w:rsid w:val="00C626E2"/>
    <w:rsid w:val="00C64D56"/>
    <w:rsid w:val="00C65FB5"/>
    <w:rsid w:val="00C66162"/>
    <w:rsid w:val="00C6665C"/>
    <w:rsid w:val="00C6693B"/>
    <w:rsid w:val="00C70435"/>
    <w:rsid w:val="00C70DCB"/>
    <w:rsid w:val="00C70FBF"/>
    <w:rsid w:val="00C71309"/>
    <w:rsid w:val="00C71F15"/>
    <w:rsid w:val="00C7218B"/>
    <w:rsid w:val="00C73089"/>
    <w:rsid w:val="00C75960"/>
    <w:rsid w:val="00C76BA0"/>
    <w:rsid w:val="00C76DDD"/>
    <w:rsid w:val="00C77235"/>
    <w:rsid w:val="00C77E29"/>
    <w:rsid w:val="00C80578"/>
    <w:rsid w:val="00C80C43"/>
    <w:rsid w:val="00C81802"/>
    <w:rsid w:val="00C821A2"/>
    <w:rsid w:val="00C83003"/>
    <w:rsid w:val="00C8315E"/>
    <w:rsid w:val="00C83A16"/>
    <w:rsid w:val="00C8653A"/>
    <w:rsid w:val="00C869EF"/>
    <w:rsid w:val="00C86C57"/>
    <w:rsid w:val="00C875BF"/>
    <w:rsid w:val="00C90F85"/>
    <w:rsid w:val="00C92E08"/>
    <w:rsid w:val="00C93243"/>
    <w:rsid w:val="00C94D54"/>
    <w:rsid w:val="00C96D66"/>
    <w:rsid w:val="00C97E4B"/>
    <w:rsid w:val="00CA064A"/>
    <w:rsid w:val="00CA22EB"/>
    <w:rsid w:val="00CA3AC2"/>
    <w:rsid w:val="00CA3C59"/>
    <w:rsid w:val="00CA4217"/>
    <w:rsid w:val="00CA507D"/>
    <w:rsid w:val="00CB0122"/>
    <w:rsid w:val="00CB0150"/>
    <w:rsid w:val="00CB0B1D"/>
    <w:rsid w:val="00CB3920"/>
    <w:rsid w:val="00CB5AC7"/>
    <w:rsid w:val="00CB77F7"/>
    <w:rsid w:val="00CC01AB"/>
    <w:rsid w:val="00CC0BDE"/>
    <w:rsid w:val="00CC1360"/>
    <w:rsid w:val="00CC1B97"/>
    <w:rsid w:val="00CC2772"/>
    <w:rsid w:val="00CC2F34"/>
    <w:rsid w:val="00CC4311"/>
    <w:rsid w:val="00CC4E72"/>
    <w:rsid w:val="00CC5DB6"/>
    <w:rsid w:val="00CD06F8"/>
    <w:rsid w:val="00CD35E9"/>
    <w:rsid w:val="00CD3CBB"/>
    <w:rsid w:val="00CD59D0"/>
    <w:rsid w:val="00CD7072"/>
    <w:rsid w:val="00CD79A5"/>
    <w:rsid w:val="00CD7C63"/>
    <w:rsid w:val="00CE0681"/>
    <w:rsid w:val="00CE0C26"/>
    <w:rsid w:val="00CE1781"/>
    <w:rsid w:val="00CE378E"/>
    <w:rsid w:val="00CE648E"/>
    <w:rsid w:val="00CE6E65"/>
    <w:rsid w:val="00CE6F8E"/>
    <w:rsid w:val="00CF002C"/>
    <w:rsid w:val="00CF0886"/>
    <w:rsid w:val="00CF1F94"/>
    <w:rsid w:val="00CF2BD6"/>
    <w:rsid w:val="00CF3980"/>
    <w:rsid w:val="00CF3CF1"/>
    <w:rsid w:val="00CF4A60"/>
    <w:rsid w:val="00CF67B2"/>
    <w:rsid w:val="00CF7116"/>
    <w:rsid w:val="00D000AC"/>
    <w:rsid w:val="00D006D8"/>
    <w:rsid w:val="00D0076D"/>
    <w:rsid w:val="00D04EC0"/>
    <w:rsid w:val="00D0502F"/>
    <w:rsid w:val="00D0581E"/>
    <w:rsid w:val="00D05A6E"/>
    <w:rsid w:val="00D06824"/>
    <w:rsid w:val="00D06F1B"/>
    <w:rsid w:val="00D070C2"/>
    <w:rsid w:val="00D1080D"/>
    <w:rsid w:val="00D12703"/>
    <w:rsid w:val="00D128AD"/>
    <w:rsid w:val="00D13B56"/>
    <w:rsid w:val="00D15824"/>
    <w:rsid w:val="00D1593E"/>
    <w:rsid w:val="00D160BE"/>
    <w:rsid w:val="00D16D29"/>
    <w:rsid w:val="00D16DC5"/>
    <w:rsid w:val="00D177C1"/>
    <w:rsid w:val="00D17BE5"/>
    <w:rsid w:val="00D206EE"/>
    <w:rsid w:val="00D213E9"/>
    <w:rsid w:val="00D222EE"/>
    <w:rsid w:val="00D2244D"/>
    <w:rsid w:val="00D22A04"/>
    <w:rsid w:val="00D232DF"/>
    <w:rsid w:val="00D25C78"/>
    <w:rsid w:val="00D26AD2"/>
    <w:rsid w:val="00D26BA7"/>
    <w:rsid w:val="00D27839"/>
    <w:rsid w:val="00D279FE"/>
    <w:rsid w:val="00D31EB0"/>
    <w:rsid w:val="00D33120"/>
    <w:rsid w:val="00D34426"/>
    <w:rsid w:val="00D346E7"/>
    <w:rsid w:val="00D34F25"/>
    <w:rsid w:val="00D35D10"/>
    <w:rsid w:val="00D37865"/>
    <w:rsid w:val="00D413D2"/>
    <w:rsid w:val="00D41462"/>
    <w:rsid w:val="00D44A71"/>
    <w:rsid w:val="00D45041"/>
    <w:rsid w:val="00D45D4B"/>
    <w:rsid w:val="00D45DF2"/>
    <w:rsid w:val="00D46D88"/>
    <w:rsid w:val="00D4793E"/>
    <w:rsid w:val="00D50418"/>
    <w:rsid w:val="00D50E65"/>
    <w:rsid w:val="00D526D2"/>
    <w:rsid w:val="00D52E63"/>
    <w:rsid w:val="00D54D08"/>
    <w:rsid w:val="00D5637F"/>
    <w:rsid w:val="00D568B0"/>
    <w:rsid w:val="00D57E7F"/>
    <w:rsid w:val="00D6087B"/>
    <w:rsid w:val="00D608FC"/>
    <w:rsid w:val="00D60D81"/>
    <w:rsid w:val="00D611E5"/>
    <w:rsid w:val="00D6263A"/>
    <w:rsid w:val="00D67122"/>
    <w:rsid w:val="00D70E6C"/>
    <w:rsid w:val="00D711E6"/>
    <w:rsid w:val="00D72795"/>
    <w:rsid w:val="00D72825"/>
    <w:rsid w:val="00D739FB"/>
    <w:rsid w:val="00D76335"/>
    <w:rsid w:val="00D81354"/>
    <w:rsid w:val="00D820A5"/>
    <w:rsid w:val="00D82310"/>
    <w:rsid w:val="00D85B2E"/>
    <w:rsid w:val="00D85C94"/>
    <w:rsid w:val="00D85F7B"/>
    <w:rsid w:val="00D866AE"/>
    <w:rsid w:val="00D87201"/>
    <w:rsid w:val="00D901F6"/>
    <w:rsid w:val="00D90758"/>
    <w:rsid w:val="00D9141E"/>
    <w:rsid w:val="00D914EE"/>
    <w:rsid w:val="00D91A03"/>
    <w:rsid w:val="00D932AE"/>
    <w:rsid w:val="00D9551A"/>
    <w:rsid w:val="00D958DC"/>
    <w:rsid w:val="00D959D5"/>
    <w:rsid w:val="00D96242"/>
    <w:rsid w:val="00D97E1F"/>
    <w:rsid w:val="00DA0565"/>
    <w:rsid w:val="00DA0B46"/>
    <w:rsid w:val="00DA0C5D"/>
    <w:rsid w:val="00DA1FAB"/>
    <w:rsid w:val="00DA2156"/>
    <w:rsid w:val="00DA30DC"/>
    <w:rsid w:val="00DA3ABC"/>
    <w:rsid w:val="00DA60C8"/>
    <w:rsid w:val="00DA61F1"/>
    <w:rsid w:val="00DA6296"/>
    <w:rsid w:val="00DA7EAD"/>
    <w:rsid w:val="00DB053D"/>
    <w:rsid w:val="00DB0908"/>
    <w:rsid w:val="00DB1BC3"/>
    <w:rsid w:val="00DB2105"/>
    <w:rsid w:val="00DB2916"/>
    <w:rsid w:val="00DB29EC"/>
    <w:rsid w:val="00DB2B75"/>
    <w:rsid w:val="00DB37E3"/>
    <w:rsid w:val="00DB41A4"/>
    <w:rsid w:val="00DB4771"/>
    <w:rsid w:val="00DB4A75"/>
    <w:rsid w:val="00DB4B8E"/>
    <w:rsid w:val="00DB6204"/>
    <w:rsid w:val="00DB67E2"/>
    <w:rsid w:val="00DB6AC6"/>
    <w:rsid w:val="00DB6D9F"/>
    <w:rsid w:val="00DB7014"/>
    <w:rsid w:val="00DB7208"/>
    <w:rsid w:val="00DC2806"/>
    <w:rsid w:val="00DC2B3D"/>
    <w:rsid w:val="00DC3371"/>
    <w:rsid w:val="00DC3FF2"/>
    <w:rsid w:val="00DC4279"/>
    <w:rsid w:val="00DC44EB"/>
    <w:rsid w:val="00DC4F28"/>
    <w:rsid w:val="00DC4FD3"/>
    <w:rsid w:val="00DC55E1"/>
    <w:rsid w:val="00DC5E39"/>
    <w:rsid w:val="00DC612B"/>
    <w:rsid w:val="00DC7BD8"/>
    <w:rsid w:val="00DD0623"/>
    <w:rsid w:val="00DD1FBA"/>
    <w:rsid w:val="00DD21D2"/>
    <w:rsid w:val="00DD2BBF"/>
    <w:rsid w:val="00DD3185"/>
    <w:rsid w:val="00DD3BAB"/>
    <w:rsid w:val="00DD4562"/>
    <w:rsid w:val="00DD4EDA"/>
    <w:rsid w:val="00DD5684"/>
    <w:rsid w:val="00DD5714"/>
    <w:rsid w:val="00DD5C98"/>
    <w:rsid w:val="00DD69F1"/>
    <w:rsid w:val="00DD6A93"/>
    <w:rsid w:val="00DD7297"/>
    <w:rsid w:val="00DD764E"/>
    <w:rsid w:val="00DE50C0"/>
    <w:rsid w:val="00DE5AB5"/>
    <w:rsid w:val="00DF0563"/>
    <w:rsid w:val="00DF1573"/>
    <w:rsid w:val="00DF1F28"/>
    <w:rsid w:val="00DF34E7"/>
    <w:rsid w:val="00DF3737"/>
    <w:rsid w:val="00DF49C1"/>
    <w:rsid w:val="00DF6235"/>
    <w:rsid w:val="00DF6713"/>
    <w:rsid w:val="00DF6BA7"/>
    <w:rsid w:val="00E000B8"/>
    <w:rsid w:val="00E0015D"/>
    <w:rsid w:val="00E018F1"/>
    <w:rsid w:val="00E04617"/>
    <w:rsid w:val="00E051C6"/>
    <w:rsid w:val="00E06949"/>
    <w:rsid w:val="00E06FC3"/>
    <w:rsid w:val="00E07523"/>
    <w:rsid w:val="00E07647"/>
    <w:rsid w:val="00E11DA9"/>
    <w:rsid w:val="00E120C8"/>
    <w:rsid w:val="00E12E7F"/>
    <w:rsid w:val="00E1307E"/>
    <w:rsid w:val="00E13D73"/>
    <w:rsid w:val="00E15EA7"/>
    <w:rsid w:val="00E169C2"/>
    <w:rsid w:val="00E16B6A"/>
    <w:rsid w:val="00E17523"/>
    <w:rsid w:val="00E176EF"/>
    <w:rsid w:val="00E17E94"/>
    <w:rsid w:val="00E2058E"/>
    <w:rsid w:val="00E206BC"/>
    <w:rsid w:val="00E21F93"/>
    <w:rsid w:val="00E2274C"/>
    <w:rsid w:val="00E23279"/>
    <w:rsid w:val="00E252DF"/>
    <w:rsid w:val="00E27727"/>
    <w:rsid w:val="00E278B9"/>
    <w:rsid w:val="00E2790C"/>
    <w:rsid w:val="00E30412"/>
    <w:rsid w:val="00E32636"/>
    <w:rsid w:val="00E34272"/>
    <w:rsid w:val="00E34B90"/>
    <w:rsid w:val="00E3558F"/>
    <w:rsid w:val="00E35BBF"/>
    <w:rsid w:val="00E35D1C"/>
    <w:rsid w:val="00E360E3"/>
    <w:rsid w:val="00E369F1"/>
    <w:rsid w:val="00E36CB8"/>
    <w:rsid w:val="00E36FEB"/>
    <w:rsid w:val="00E37377"/>
    <w:rsid w:val="00E40A0F"/>
    <w:rsid w:val="00E40FB0"/>
    <w:rsid w:val="00E42877"/>
    <w:rsid w:val="00E435C8"/>
    <w:rsid w:val="00E43642"/>
    <w:rsid w:val="00E44D92"/>
    <w:rsid w:val="00E450EE"/>
    <w:rsid w:val="00E45F3E"/>
    <w:rsid w:val="00E46CCF"/>
    <w:rsid w:val="00E46F5B"/>
    <w:rsid w:val="00E47F42"/>
    <w:rsid w:val="00E50692"/>
    <w:rsid w:val="00E51457"/>
    <w:rsid w:val="00E52B9B"/>
    <w:rsid w:val="00E53A2A"/>
    <w:rsid w:val="00E559D2"/>
    <w:rsid w:val="00E571C4"/>
    <w:rsid w:val="00E573FD"/>
    <w:rsid w:val="00E606F3"/>
    <w:rsid w:val="00E60866"/>
    <w:rsid w:val="00E6298B"/>
    <w:rsid w:val="00E63FC1"/>
    <w:rsid w:val="00E645C4"/>
    <w:rsid w:val="00E65C5A"/>
    <w:rsid w:val="00E66853"/>
    <w:rsid w:val="00E678C8"/>
    <w:rsid w:val="00E67FAD"/>
    <w:rsid w:val="00E70EF9"/>
    <w:rsid w:val="00E71643"/>
    <w:rsid w:val="00E71675"/>
    <w:rsid w:val="00E717AB"/>
    <w:rsid w:val="00E71BA4"/>
    <w:rsid w:val="00E73167"/>
    <w:rsid w:val="00E76098"/>
    <w:rsid w:val="00E7749D"/>
    <w:rsid w:val="00E77993"/>
    <w:rsid w:val="00E80005"/>
    <w:rsid w:val="00E809B5"/>
    <w:rsid w:val="00E80ECA"/>
    <w:rsid w:val="00E80FDB"/>
    <w:rsid w:val="00E855B1"/>
    <w:rsid w:val="00E87DF1"/>
    <w:rsid w:val="00E9146F"/>
    <w:rsid w:val="00E91927"/>
    <w:rsid w:val="00E91B99"/>
    <w:rsid w:val="00E93D67"/>
    <w:rsid w:val="00E93E1D"/>
    <w:rsid w:val="00E94B89"/>
    <w:rsid w:val="00E95A58"/>
    <w:rsid w:val="00E96228"/>
    <w:rsid w:val="00EA0BDA"/>
    <w:rsid w:val="00EA0E8E"/>
    <w:rsid w:val="00EA1612"/>
    <w:rsid w:val="00EA2968"/>
    <w:rsid w:val="00EA2E2B"/>
    <w:rsid w:val="00EA3D2C"/>
    <w:rsid w:val="00EA4BFA"/>
    <w:rsid w:val="00EA55AE"/>
    <w:rsid w:val="00EA5627"/>
    <w:rsid w:val="00EA6328"/>
    <w:rsid w:val="00EA7B14"/>
    <w:rsid w:val="00EB25FB"/>
    <w:rsid w:val="00EB4A06"/>
    <w:rsid w:val="00EB6E41"/>
    <w:rsid w:val="00EB711E"/>
    <w:rsid w:val="00EB749D"/>
    <w:rsid w:val="00EC29E4"/>
    <w:rsid w:val="00EC2AD9"/>
    <w:rsid w:val="00EC4199"/>
    <w:rsid w:val="00EC621C"/>
    <w:rsid w:val="00EC67AE"/>
    <w:rsid w:val="00EC6EDC"/>
    <w:rsid w:val="00EC7EE1"/>
    <w:rsid w:val="00ED0B82"/>
    <w:rsid w:val="00ED26A8"/>
    <w:rsid w:val="00ED295F"/>
    <w:rsid w:val="00ED523F"/>
    <w:rsid w:val="00ED587E"/>
    <w:rsid w:val="00ED6AD2"/>
    <w:rsid w:val="00ED7546"/>
    <w:rsid w:val="00ED7F3A"/>
    <w:rsid w:val="00EE0B47"/>
    <w:rsid w:val="00EE0BB1"/>
    <w:rsid w:val="00EE284E"/>
    <w:rsid w:val="00EE2ED7"/>
    <w:rsid w:val="00EE4A3A"/>
    <w:rsid w:val="00EE5E4C"/>
    <w:rsid w:val="00EE6E60"/>
    <w:rsid w:val="00EE706F"/>
    <w:rsid w:val="00EF04A8"/>
    <w:rsid w:val="00EF0D6A"/>
    <w:rsid w:val="00EF0DC1"/>
    <w:rsid w:val="00EF234B"/>
    <w:rsid w:val="00EF2401"/>
    <w:rsid w:val="00EF4D3E"/>
    <w:rsid w:val="00EF540F"/>
    <w:rsid w:val="00EF54BB"/>
    <w:rsid w:val="00EF5DAD"/>
    <w:rsid w:val="00EF725A"/>
    <w:rsid w:val="00F0163E"/>
    <w:rsid w:val="00F0246C"/>
    <w:rsid w:val="00F034F2"/>
    <w:rsid w:val="00F04280"/>
    <w:rsid w:val="00F0450D"/>
    <w:rsid w:val="00F0557F"/>
    <w:rsid w:val="00F0639E"/>
    <w:rsid w:val="00F07EA3"/>
    <w:rsid w:val="00F104BA"/>
    <w:rsid w:val="00F131F7"/>
    <w:rsid w:val="00F135AC"/>
    <w:rsid w:val="00F139F7"/>
    <w:rsid w:val="00F1457E"/>
    <w:rsid w:val="00F150E4"/>
    <w:rsid w:val="00F155C8"/>
    <w:rsid w:val="00F15CE6"/>
    <w:rsid w:val="00F17FB3"/>
    <w:rsid w:val="00F2050D"/>
    <w:rsid w:val="00F20F0E"/>
    <w:rsid w:val="00F20FFD"/>
    <w:rsid w:val="00F2424D"/>
    <w:rsid w:val="00F35013"/>
    <w:rsid w:val="00F35378"/>
    <w:rsid w:val="00F35527"/>
    <w:rsid w:val="00F4124B"/>
    <w:rsid w:val="00F4264C"/>
    <w:rsid w:val="00F42813"/>
    <w:rsid w:val="00F42F51"/>
    <w:rsid w:val="00F44D03"/>
    <w:rsid w:val="00F510B6"/>
    <w:rsid w:val="00F523A5"/>
    <w:rsid w:val="00F52BFC"/>
    <w:rsid w:val="00F542BE"/>
    <w:rsid w:val="00F54530"/>
    <w:rsid w:val="00F54537"/>
    <w:rsid w:val="00F54561"/>
    <w:rsid w:val="00F55174"/>
    <w:rsid w:val="00F56C20"/>
    <w:rsid w:val="00F56D50"/>
    <w:rsid w:val="00F56ECF"/>
    <w:rsid w:val="00F57387"/>
    <w:rsid w:val="00F575ED"/>
    <w:rsid w:val="00F57E89"/>
    <w:rsid w:val="00F6059C"/>
    <w:rsid w:val="00F60B96"/>
    <w:rsid w:val="00F62063"/>
    <w:rsid w:val="00F63B05"/>
    <w:rsid w:val="00F6430A"/>
    <w:rsid w:val="00F645DA"/>
    <w:rsid w:val="00F65387"/>
    <w:rsid w:val="00F65633"/>
    <w:rsid w:val="00F66D9E"/>
    <w:rsid w:val="00F70192"/>
    <w:rsid w:val="00F7065C"/>
    <w:rsid w:val="00F70E69"/>
    <w:rsid w:val="00F729A9"/>
    <w:rsid w:val="00F72AEB"/>
    <w:rsid w:val="00F72EA1"/>
    <w:rsid w:val="00F730A8"/>
    <w:rsid w:val="00F7364E"/>
    <w:rsid w:val="00F8026E"/>
    <w:rsid w:val="00F808FE"/>
    <w:rsid w:val="00F81019"/>
    <w:rsid w:val="00F81619"/>
    <w:rsid w:val="00F83925"/>
    <w:rsid w:val="00F844BE"/>
    <w:rsid w:val="00F8492B"/>
    <w:rsid w:val="00F84B20"/>
    <w:rsid w:val="00F85A95"/>
    <w:rsid w:val="00F90421"/>
    <w:rsid w:val="00F91D36"/>
    <w:rsid w:val="00F91FBF"/>
    <w:rsid w:val="00F9289A"/>
    <w:rsid w:val="00F92E69"/>
    <w:rsid w:val="00F93E85"/>
    <w:rsid w:val="00F958E0"/>
    <w:rsid w:val="00F95913"/>
    <w:rsid w:val="00F96BD9"/>
    <w:rsid w:val="00F96EEC"/>
    <w:rsid w:val="00F97D1D"/>
    <w:rsid w:val="00FA00CA"/>
    <w:rsid w:val="00FA04BE"/>
    <w:rsid w:val="00FA23FF"/>
    <w:rsid w:val="00FA31A5"/>
    <w:rsid w:val="00FA5164"/>
    <w:rsid w:val="00FA57B6"/>
    <w:rsid w:val="00FA644E"/>
    <w:rsid w:val="00FA7F86"/>
    <w:rsid w:val="00FB06AC"/>
    <w:rsid w:val="00FB1483"/>
    <w:rsid w:val="00FB17AD"/>
    <w:rsid w:val="00FB1C92"/>
    <w:rsid w:val="00FB1D57"/>
    <w:rsid w:val="00FB2CC7"/>
    <w:rsid w:val="00FB3FE6"/>
    <w:rsid w:val="00FB4DDC"/>
    <w:rsid w:val="00FB6663"/>
    <w:rsid w:val="00FB6D63"/>
    <w:rsid w:val="00FB6FC0"/>
    <w:rsid w:val="00FC00D5"/>
    <w:rsid w:val="00FC51B3"/>
    <w:rsid w:val="00FC66D7"/>
    <w:rsid w:val="00FC769E"/>
    <w:rsid w:val="00FD23FF"/>
    <w:rsid w:val="00FD5C35"/>
    <w:rsid w:val="00FD6D5C"/>
    <w:rsid w:val="00FD7434"/>
    <w:rsid w:val="00FE0047"/>
    <w:rsid w:val="00FE0492"/>
    <w:rsid w:val="00FE058F"/>
    <w:rsid w:val="00FE127B"/>
    <w:rsid w:val="00FE35E5"/>
    <w:rsid w:val="00FE47F4"/>
    <w:rsid w:val="00FE5FF8"/>
    <w:rsid w:val="00FE6245"/>
    <w:rsid w:val="00FE7AD7"/>
    <w:rsid w:val="00FF14BE"/>
    <w:rsid w:val="00FF3A81"/>
    <w:rsid w:val="00FF6B4A"/>
    <w:rsid w:val="00FF73F1"/>
    <w:rsid w:val="00FF74A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uiPriority="9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C0"/>
    <w:pPr>
      <w:jc w:val="both"/>
    </w:pPr>
    <w:rPr>
      <w:sz w:val="22"/>
      <w:szCs w:val="22"/>
    </w:rPr>
  </w:style>
  <w:style w:type="paragraph" w:styleId="Heading1">
    <w:name w:val="heading 1"/>
    <w:basedOn w:val="Normal"/>
    <w:next w:val="Normal"/>
    <w:uiPriority w:val="99"/>
    <w:qFormat/>
    <w:rsid w:val="00083E24"/>
    <w:pPr>
      <w:keepNext/>
      <w:numPr>
        <w:numId w:val="13"/>
      </w:numPr>
      <w:shd w:val="clear" w:color="auto" w:fill="F2F2F2"/>
      <w:tabs>
        <w:tab w:val="left" w:pos="567"/>
      </w:tabs>
      <w:spacing w:before="120" w:after="240" w:line="276" w:lineRule="auto"/>
      <w:outlineLvl w:val="0"/>
    </w:pPr>
    <w:rPr>
      <w:b/>
      <w:bCs/>
      <w:kern w:val="32"/>
      <w:sz w:val="24"/>
      <w:szCs w:val="24"/>
    </w:rPr>
  </w:style>
  <w:style w:type="paragraph" w:styleId="Heading2">
    <w:name w:val="heading 2"/>
    <w:basedOn w:val="Normal"/>
    <w:next w:val="Normal"/>
    <w:uiPriority w:val="99"/>
    <w:qFormat/>
    <w:rsid w:val="00111F00"/>
    <w:pPr>
      <w:keepNext/>
      <w:numPr>
        <w:ilvl w:val="1"/>
        <w:numId w:val="13"/>
      </w:numPr>
      <w:shd w:val="clear" w:color="auto" w:fill="F2F2F2" w:themeFill="background1" w:themeFillShade="F2"/>
      <w:tabs>
        <w:tab w:val="left" w:pos="567"/>
      </w:tabs>
      <w:spacing w:before="60" w:after="240"/>
      <w:outlineLvl w:val="1"/>
    </w:pPr>
    <w:rPr>
      <w:b/>
      <w:bCs/>
      <w:iCs/>
      <w:szCs w:val="24"/>
    </w:rPr>
  </w:style>
  <w:style w:type="paragraph" w:styleId="Heading3">
    <w:name w:val="heading 3"/>
    <w:basedOn w:val="Normal"/>
    <w:next w:val="Normal"/>
    <w:link w:val="Heading3Char"/>
    <w:uiPriority w:val="99"/>
    <w:qFormat/>
    <w:rsid w:val="001A40CE"/>
    <w:pPr>
      <w:keepNext/>
      <w:numPr>
        <w:numId w:val="2"/>
      </w:numPr>
      <w:tabs>
        <w:tab w:val="left" w:pos="720"/>
      </w:tabs>
      <w:spacing w:before="60" w:after="240"/>
      <w:outlineLvl w:val="2"/>
    </w:pPr>
    <w:rPr>
      <w:rFonts w:cs="Arial"/>
      <w:b/>
      <w:bCs/>
      <w:szCs w:val="26"/>
    </w:rPr>
  </w:style>
  <w:style w:type="paragraph" w:styleId="Heading4">
    <w:name w:val="heading 4"/>
    <w:basedOn w:val="Normal"/>
    <w:next w:val="Normal"/>
    <w:link w:val="Heading4Char"/>
    <w:uiPriority w:val="99"/>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BA59F9"/>
    <w:rPr>
      <w:rFonts w:ascii="Verdana" w:hAnsi="Verdana"/>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link w:val="ListParagraphChar"/>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105ADE"/>
    <w:pPr>
      <w:tabs>
        <w:tab w:val="left" w:pos="1100"/>
        <w:tab w:val="right" w:leader="dot" w:pos="13041"/>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uiPriority w:val="99"/>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link w:val="ChapterChar"/>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character" w:customStyle="1" w:styleId="ParagraphChar">
    <w:name w:val="Paragraph Char"/>
    <w:link w:val="Paragraph"/>
    <w:locked/>
    <w:rsid w:val="00710376"/>
    <w:rPr>
      <w:sz w:val="24"/>
      <w:lang w:eastAsia="en-US"/>
    </w:rPr>
  </w:style>
  <w:style w:type="character" w:customStyle="1" w:styleId="FootnoteTextChar">
    <w:name w:val="Footnote Text Char"/>
    <w:basedOn w:val="DefaultParagraphFont"/>
    <w:link w:val="FootnoteText"/>
    <w:uiPriority w:val="99"/>
    <w:semiHidden/>
    <w:rsid w:val="002558CE"/>
  </w:style>
  <w:style w:type="character" w:customStyle="1" w:styleId="FooterChar">
    <w:name w:val="Footer Char"/>
    <w:link w:val="Footer"/>
    <w:uiPriority w:val="99"/>
    <w:rsid w:val="00D17BE5"/>
    <w:rPr>
      <w:sz w:val="22"/>
      <w:szCs w:val="22"/>
    </w:rPr>
  </w:style>
  <w:style w:type="character" w:customStyle="1" w:styleId="longtext">
    <w:name w:val="long_text"/>
    <w:basedOn w:val="DefaultParagraphFont"/>
    <w:rsid w:val="00D17BE5"/>
  </w:style>
  <w:style w:type="character" w:customStyle="1" w:styleId="ChapterChar">
    <w:name w:val="Chapter Char"/>
    <w:basedOn w:val="DefaultParagraphFont"/>
    <w:link w:val="Chapter"/>
    <w:rsid w:val="00D17BE5"/>
    <w:rPr>
      <w:b/>
      <w:smallCaps/>
      <w:sz w:val="24"/>
      <w:lang w:eastAsia="en-US"/>
    </w:rPr>
  </w:style>
  <w:style w:type="table" w:customStyle="1" w:styleId="Tablanormal21">
    <w:name w:val="Tabla normal 21"/>
    <w:basedOn w:val="TableNormal"/>
    <w:uiPriority w:val="42"/>
    <w:rsid w:val="00976892"/>
    <w:rPr>
      <w:rFonts w:asciiTheme="minorHAnsi" w:eastAsiaTheme="minorHAnsi" w:hAnsiTheme="minorHAnsi" w:cstheme="minorBidi"/>
      <w:sz w:val="22"/>
      <w:szCs w:val="22"/>
      <w:lang w:val="es-CL"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ubtleEmphasis">
    <w:name w:val="Subtle Emphasis"/>
    <w:basedOn w:val="DefaultParagraphFont"/>
    <w:uiPriority w:val="19"/>
    <w:qFormat/>
    <w:rsid w:val="00076D66"/>
    <w:rPr>
      <w:i/>
      <w:iCs/>
      <w:color w:val="404040" w:themeColor="text1" w:themeTint="BF"/>
    </w:rPr>
  </w:style>
  <w:style w:type="character" w:customStyle="1" w:styleId="ListParagraphChar">
    <w:name w:val="List Paragraph Char"/>
    <w:basedOn w:val="DefaultParagraphFont"/>
    <w:link w:val="ListParagraph"/>
    <w:uiPriority w:val="34"/>
    <w:locked/>
    <w:rsid w:val="00E9146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uiPriority="9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C0"/>
    <w:pPr>
      <w:jc w:val="both"/>
    </w:pPr>
    <w:rPr>
      <w:sz w:val="22"/>
      <w:szCs w:val="22"/>
    </w:rPr>
  </w:style>
  <w:style w:type="paragraph" w:styleId="Heading1">
    <w:name w:val="heading 1"/>
    <w:basedOn w:val="Normal"/>
    <w:next w:val="Normal"/>
    <w:uiPriority w:val="99"/>
    <w:qFormat/>
    <w:rsid w:val="00083E24"/>
    <w:pPr>
      <w:keepNext/>
      <w:numPr>
        <w:numId w:val="13"/>
      </w:numPr>
      <w:shd w:val="clear" w:color="auto" w:fill="F2F2F2"/>
      <w:tabs>
        <w:tab w:val="left" w:pos="567"/>
      </w:tabs>
      <w:spacing w:before="120" w:after="240" w:line="276" w:lineRule="auto"/>
      <w:outlineLvl w:val="0"/>
    </w:pPr>
    <w:rPr>
      <w:b/>
      <w:bCs/>
      <w:kern w:val="32"/>
      <w:sz w:val="24"/>
      <w:szCs w:val="24"/>
    </w:rPr>
  </w:style>
  <w:style w:type="paragraph" w:styleId="Heading2">
    <w:name w:val="heading 2"/>
    <w:basedOn w:val="Normal"/>
    <w:next w:val="Normal"/>
    <w:uiPriority w:val="99"/>
    <w:qFormat/>
    <w:rsid w:val="00111F00"/>
    <w:pPr>
      <w:keepNext/>
      <w:numPr>
        <w:ilvl w:val="1"/>
        <w:numId w:val="13"/>
      </w:numPr>
      <w:shd w:val="clear" w:color="auto" w:fill="F2F2F2" w:themeFill="background1" w:themeFillShade="F2"/>
      <w:tabs>
        <w:tab w:val="left" w:pos="567"/>
      </w:tabs>
      <w:spacing w:before="60" w:after="240"/>
      <w:outlineLvl w:val="1"/>
    </w:pPr>
    <w:rPr>
      <w:b/>
      <w:bCs/>
      <w:iCs/>
      <w:szCs w:val="24"/>
    </w:rPr>
  </w:style>
  <w:style w:type="paragraph" w:styleId="Heading3">
    <w:name w:val="heading 3"/>
    <w:basedOn w:val="Normal"/>
    <w:next w:val="Normal"/>
    <w:link w:val="Heading3Char"/>
    <w:uiPriority w:val="99"/>
    <w:qFormat/>
    <w:rsid w:val="001A40CE"/>
    <w:pPr>
      <w:keepNext/>
      <w:numPr>
        <w:numId w:val="2"/>
      </w:numPr>
      <w:tabs>
        <w:tab w:val="left" w:pos="720"/>
      </w:tabs>
      <w:spacing w:before="60" w:after="240"/>
      <w:outlineLvl w:val="2"/>
    </w:pPr>
    <w:rPr>
      <w:rFonts w:cs="Arial"/>
      <w:b/>
      <w:bCs/>
      <w:szCs w:val="26"/>
    </w:rPr>
  </w:style>
  <w:style w:type="paragraph" w:styleId="Heading4">
    <w:name w:val="heading 4"/>
    <w:basedOn w:val="Normal"/>
    <w:next w:val="Normal"/>
    <w:link w:val="Heading4Char"/>
    <w:uiPriority w:val="99"/>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BA59F9"/>
    <w:rPr>
      <w:rFonts w:ascii="Verdana" w:hAnsi="Verdana"/>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link w:val="ListParagraphChar"/>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105ADE"/>
    <w:pPr>
      <w:tabs>
        <w:tab w:val="left" w:pos="1100"/>
        <w:tab w:val="right" w:leader="dot" w:pos="13041"/>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uiPriority w:val="99"/>
    <w:rsid w:val="005A132C"/>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link w:val="ChapterChar"/>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character" w:customStyle="1" w:styleId="ParagraphChar">
    <w:name w:val="Paragraph Char"/>
    <w:link w:val="Paragraph"/>
    <w:locked/>
    <w:rsid w:val="00710376"/>
    <w:rPr>
      <w:sz w:val="24"/>
      <w:lang w:eastAsia="en-US"/>
    </w:rPr>
  </w:style>
  <w:style w:type="character" w:customStyle="1" w:styleId="FootnoteTextChar">
    <w:name w:val="Footnote Text Char"/>
    <w:basedOn w:val="DefaultParagraphFont"/>
    <w:link w:val="FootnoteText"/>
    <w:uiPriority w:val="99"/>
    <w:semiHidden/>
    <w:rsid w:val="002558CE"/>
  </w:style>
  <w:style w:type="character" w:customStyle="1" w:styleId="FooterChar">
    <w:name w:val="Footer Char"/>
    <w:link w:val="Footer"/>
    <w:uiPriority w:val="99"/>
    <w:rsid w:val="00D17BE5"/>
    <w:rPr>
      <w:sz w:val="22"/>
      <w:szCs w:val="22"/>
    </w:rPr>
  </w:style>
  <w:style w:type="character" w:customStyle="1" w:styleId="longtext">
    <w:name w:val="long_text"/>
    <w:basedOn w:val="DefaultParagraphFont"/>
    <w:rsid w:val="00D17BE5"/>
  </w:style>
  <w:style w:type="character" w:customStyle="1" w:styleId="ChapterChar">
    <w:name w:val="Chapter Char"/>
    <w:basedOn w:val="DefaultParagraphFont"/>
    <w:link w:val="Chapter"/>
    <w:rsid w:val="00D17BE5"/>
    <w:rPr>
      <w:b/>
      <w:smallCaps/>
      <w:sz w:val="24"/>
      <w:lang w:eastAsia="en-US"/>
    </w:rPr>
  </w:style>
  <w:style w:type="table" w:customStyle="1" w:styleId="Tablanormal21">
    <w:name w:val="Tabla normal 21"/>
    <w:basedOn w:val="TableNormal"/>
    <w:uiPriority w:val="42"/>
    <w:rsid w:val="00976892"/>
    <w:rPr>
      <w:rFonts w:asciiTheme="minorHAnsi" w:eastAsiaTheme="minorHAnsi" w:hAnsiTheme="minorHAnsi" w:cstheme="minorBidi"/>
      <w:sz w:val="22"/>
      <w:szCs w:val="22"/>
      <w:lang w:val="es-CL"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ubtleEmphasis">
    <w:name w:val="Subtle Emphasis"/>
    <w:basedOn w:val="DefaultParagraphFont"/>
    <w:uiPriority w:val="19"/>
    <w:qFormat/>
    <w:rsid w:val="00076D66"/>
    <w:rPr>
      <w:i/>
      <w:iCs/>
      <w:color w:val="404040" w:themeColor="text1" w:themeTint="BF"/>
    </w:rPr>
  </w:style>
  <w:style w:type="character" w:customStyle="1" w:styleId="ListParagraphChar">
    <w:name w:val="List Paragraph Char"/>
    <w:basedOn w:val="DefaultParagraphFont"/>
    <w:link w:val="ListParagraph"/>
    <w:uiPriority w:val="34"/>
    <w:locked/>
    <w:rsid w:val="00E9146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21134538">
      <w:bodyDiv w:val="1"/>
      <w:marLeft w:val="0"/>
      <w:marRight w:val="0"/>
      <w:marTop w:val="0"/>
      <w:marBottom w:val="0"/>
      <w:divBdr>
        <w:top w:val="none" w:sz="0" w:space="0" w:color="auto"/>
        <w:left w:val="none" w:sz="0" w:space="0" w:color="auto"/>
        <w:bottom w:val="none" w:sz="0" w:space="0" w:color="auto"/>
        <w:right w:val="none" w:sz="0" w:space="0" w:color="auto"/>
      </w:divBdr>
    </w:div>
    <w:div w:id="28074579">
      <w:bodyDiv w:val="1"/>
      <w:marLeft w:val="0"/>
      <w:marRight w:val="0"/>
      <w:marTop w:val="0"/>
      <w:marBottom w:val="0"/>
      <w:divBdr>
        <w:top w:val="none" w:sz="0" w:space="0" w:color="auto"/>
        <w:left w:val="none" w:sz="0" w:space="0" w:color="auto"/>
        <w:bottom w:val="none" w:sz="0" w:space="0" w:color="auto"/>
        <w:right w:val="none" w:sz="0" w:space="0" w:color="auto"/>
      </w:divBdr>
    </w:div>
    <w:div w:id="46148509">
      <w:bodyDiv w:val="1"/>
      <w:marLeft w:val="0"/>
      <w:marRight w:val="0"/>
      <w:marTop w:val="0"/>
      <w:marBottom w:val="0"/>
      <w:divBdr>
        <w:top w:val="none" w:sz="0" w:space="0" w:color="auto"/>
        <w:left w:val="none" w:sz="0" w:space="0" w:color="auto"/>
        <w:bottom w:val="none" w:sz="0" w:space="0" w:color="auto"/>
        <w:right w:val="none" w:sz="0" w:space="0" w:color="auto"/>
      </w:divBdr>
    </w:div>
    <w:div w:id="92216096">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81826861">
      <w:bodyDiv w:val="1"/>
      <w:marLeft w:val="0"/>
      <w:marRight w:val="0"/>
      <w:marTop w:val="0"/>
      <w:marBottom w:val="0"/>
      <w:divBdr>
        <w:top w:val="none" w:sz="0" w:space="0" w:color="auto"/>
        <w:left w:val="none" w:sz="0" w:space="0" w:color="auto"/>
        <w:bottom w:val="none" w:sz="0" w:space="0" w:color="auto"/>
        <w:right w:val="none" w:sz="0" w:space="0" w:color="auto"/>
      </w:divBdr>
    </w:div>
    <w:div w:id="234634726">
      <w:bodyDiv w:val="1"/>
      <w:marLeft w:val="0"/>
      <w:marRight w:val="0"/>
      <w:marTop w:val="0"/>
      <w:marBottom w:val="0"/>
      <w:divBdr>
        <w:top w:val="none" w:sz="0" w:space="0" w:color="auto"/>
        <w:left w:val="none" w:sz="0" w:space="0" w:color="auto"/>
        <w:bottom w:val="none" w:sz="0" w:space="0" w:color="auto"/>
        <w:right w:val="none" w:sz="0" w:space="0" w:color="auto"/>
      </w:divBdr>
    </w:div>
    <w:div w:id="244075971">
      <w:bodyDiv w:val="1"/>
      <w:marLeft w:val="0"/>
      <w:marRight w:val="0"/>
      <w:marTop w:val="0"/>
      <w:marBottom w:val="0"/>
      <w:divBdr>
        <w:top w:val="none" w:sz="0" w:space="0" w:color="auto"/>
        <w:left w:val="none" w:sz="0" w:space="0" w:color="auto"/>
        <w:bottom w:val="none" w:sz="0" w:space="0" w:color="auto"/>
        <w:right w:val="none" w:sz="0" w:space="0" w:color="auto"/>
      </w:divBdr>
    </w:div>
    <w:div w:id="245725788">
      <w:bodyDiv w:val="1"/>
      <w:marLeft w:val="0"/>
      <w:marRight w:val="0"/>
      <w:marTop w:val="0"/>
      <w:marBottom w:val="0"/>
      <w:divBdr>
        <w:top w:val="none" w:sz="0" w:space="0" w:color="auto"/>
        <w:left w:val="none" w:sz="0" w:space="0" w:color="auto"/>
        <w:bottom w:val="none" w:sz="0" w:space="0" w:color="auto"/>
        <w:right w:val="none" w:sz="0" w:space="0" w:color="auto"/>
      </w:divBdr>
    </w:div>
    <w:div w:id="349071900">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26137711">
      <w:bodyDiv w:val="1"/>
      <w:marLeft w:val="0"/>
      <w:marRight w:val="0"/>
      <w:marTop w:val="0"/>
      <w:marBottom w:val="0"/>
      <w:divBdr>
        <w:top w:val="none" w:sz="0" w:space="0" w:color="auto"/>
        <w:left w:val="none" w:sz="0" w:space="0" w:color="auto"/>
        <w:bottom w:val="none" w:sz="0" w:space="0" w:color="auto"/>
        <w:right w:val="none" w:sz="0" w:space="0" w:color="auto"/>
      </w:divBdr>
    </w:div>
    <w:div w:id="530845423">
      <w:bodyDiv w:val="1"/>
      <w:marLeft w:val="0"/>
      <w:marRight w:val="0"/>
      <w:marTop w:val="0"/>
      <w:marBottom w:val="0"/>
      <w:divBdr>
        <w:top w:val="none" w:sz="0" w:space="0" w:color="auto"/>
        <w:left w:val="none" w:sz="0" w:space="0" w:color="auto"/>
        <w:bottom w:val="none" w:sz="0" w:space="0" w:color="auto"/>
        <w:right w:val="none" w:sz="0" w:space="0" w:color="auto"/>
      </w:divBdr>
    </w:div>
    <w:div w:id="65668803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33891829">
      <w:bodyDiv w:val="1"/>
      <w:marLeft w:val="0"/>
      <w:marRight w:val="0"/>
      <w:marTop w:val="0"/>
      <w:marBottom w:val="0"/>
      <w:divBdr>
        <w:top w:val="none" w:sz="0" w:space="0" w:color="auto"/>
        <w:left w:val="none" w:sz="0" w:space="0" w:color="auto"/>
        <w:bottom w:val="none" w:sz="0" w:space="0" w:color="auto"/>
        <w:right w:val="none" w:sz="0" w:space="0" w:color="auto"/>
      </w:divBdr>
    </w:div>
    <w:div w:id="811672299">
      <w:bodyDiv w:val="1"/>
      <w:marLeft w:val="0"/>
      <w:marRight w:val="0"/>
      <w:marTop w:val="0"/>
      <w:marBottom w:val="0"/>
      <w:divBdr>
        <w:top w:val="none" w:sz="0" w:space="0" w:color="auto"/>
        <w:left w:val="none" w:sz="0" w:space="0" w:color="auto"/>
        <w:bottom w:val="none" w:sz="0" w:space="0" w:color="auto"/>
        <w:right w:val="none" w:sz="0" w:space="0" w:color="auto"/>
      </w:divBdr>
    </w:div>
    <w:div w:id="928201985">
      <w:bodyDiv w:val="1"/>
      <w:marLeft w:val="0"/>
      <w:marRight w:val="0"/>
      <w:marTop w:val="0"/>
      <w:marBottom w:val="0"/>
      <w:divBdr>
        <w:top w:val="none" w:sz="0" w:space="0" w:color="auto"/>
        <w:left w:val="none" w:sz="0" w:space="0" w:color="auto"/>
        <w:bottom w:val="none" w:sz="0" w:space="0" w:color="auto"/>
        <w:right w:val="none" w:sz="0" w:space="0" w:color="auto"/>
      </w:divBdr>
    </w:div>
    <w:div w:id="952129749">
      <w:bodyDiv w:val="1"/>
      <w:marLeft w:val="0"/>
      <w:marRight w:val="0"/>
      <w:marTop w:val="0"/>
      <w:marBottom w:val="0"/>
      <w:divBdr>
        <w:top w:val="none" w:sz="0" w:space="0" w:color="auto"/>
        <w:left w:val="none" w:sz="0" w:space="0" w:color="auto"/>
        <w:bottom w:val="none" w:sz="0" w:space="0" w:color="auto"/>
        <w:right w:val="none" w:sz="0" w:space="0" w:color="auto"/>
      </w:divBdr>
    </w:div>
    <w:div w:id="982539449">
      <w:bodyDiv w:val="1"/>
      <w:marLeft w:val="0"/>
      <w:marRight w:val="0"/>
      <w:marTop w:val="0"/>
      <w:marBottom w:val="0"/>
      <w:divBdr>
        <w:top w:val="none" w:sz="0" w:space="0" w:color="auto"/>
        <w:left w:val="none" w:sz="0" w:space="0" w:color="auto"/>
        <w:bottom w:val="none" w:sz="0" w:space="0" w:color="auto"/>
        <w:right w:val="none" w:sz="0" w:space="0" w:color="auto"/>
      </w:divBdr>
    </w:div>
    <w:div w:id="982546627">
      <w:bodyDiv w:val="1"/>
      <w:marLeft w:val="0"/>
      <w:marRight w:val="0"/>
      <w:marTop w:val="0"/>
      <w:marBottom w:val="0"/>
      <w:divBdr>
        <w:top w:val="none" w:sz="0" w:space="0" w:color="auto"/>
        <w:left w:val="none" w:sz="0" w:space="0" w:color="auto"/>
        <w:bottom w:val="none" w:sz="0" w:space="0" w:color="auto"/>
        <w:right w:val="none" w:sz="0" w:space="0" w:color="auto"/>
      </w:divBdr>
    </w:div>
    <w:div w:id="986083581">
      <w:bodyDiv w:val="1"/>
      <w:marLeft w:val="0"/>
      <w:marRight w:val="0"/>
      <w:marTop w:val="0"/>
      <w:marBottom w:val="0"/>
      <w:divBdr>
        <w:top w:val="none" w:sz="0" w:space="0" w:color="auto"/>
        <w:left w:val="none" w:sz="0" w:space="0" w:color="auto"/>
        <w:bottom w:val="none" w:sz="0" w:space="0" w:color="auto"/>
        <w:right w:val="none" w:sz="0" w:space="0" w:color="auto"/>
      </w:divBdr>
    </w:div>
    <w:div w:id="992413701">
      <w:bodyDiv w:val="1"/>
      <w:marLeft w:val="0"/>
      <w:marRight w:val="0"/>
      <w:marTop w:val="0"/>
      <w:marBottom w:val="0"/>
      <w:divBdr>
        <w:top w:val="none" w:sz="0" w:space="0" w:color="auto"/>
        <w:left w:val="none" w:sz="0" w:space="0" w:color="auto"/>
        <w:bottom w:val="none" w:sz="0" w:space="0" w:color="auto"/>
        <w:right w:val="none" w:sz="0" w:space="0" w:color="auto"/>
      </w:divBdr>
    </w:div>
    <w:div w:id="1003363582">
      <w:bodyDiv w:val="1"/>
      <w:marLeft w:val="0"/>
      <w:marRight w:val="0"/>
      <w:marTop w:val="0"/>
      <w:marBottom w:val="0"/>
      <w:divBdr>
        <w:top w:val="none" w:sz="0" w:space="0" w:color="auto"/>
        <w:left w:val="none" w:sz="0" w:space="0" w:color="auto"/>
        <w:bottom w:val="none" w:sz="0" w:space="0" w:color="auto"/>
        <w:right w:val="none" w:sz="0" w:space="0" w:color="auto"/>
      </w:divBdr>
    </w:div>
    <w:div w:id="1027482252">
      <w:bodyDiv w:val="1"/>
      <w:marLeft w:val="0"/>
      <w:marRight w:val="0"/>
      <w:marTop w:val="0"/>
      <w:marBottom w:val="0"/>
      <w:divBdr>
        <w:top w:val="none" w:sz="0" w:space="0" w:color="auto"/>
        <w:left w:val="none" w:sz="0" w:space="0" w:color="auto"/>
        <w:bottom w:val="none" w:sz="0" w:space="0" w:color="auto"/>
        <w:right w:val="none" w:sz="0" w:space="0" w:color="auto"/>
      </w:divBdr>
    </w:div>
    <w:div w:id="1200774457">
      <w:bodyDiv w:val="1"/>
      <w:marLeft w:val="0"/>
      <w:marRight w:val="0"/>
      <w:marTop w:val="0"/>
      <w:marBottom w:val="0"/>
      <w:divBdr>
        <w:top w:val="none" w:sz="0" w:space="0" w:color="auto"/>
        <w:left w:val="none" w:sz="0" w:space="0" w:color="auto"/>
        <w:bottom w:val="none" w:sz="0" w:space="0" w:color="auto"/>
        <w:right w:val="none" w:sz="0" w:space="0" w:color="auto"/>
      </w:divBdr>
    </w:div>
    <w:div w:id="1230505080">
      <w:bodyDiv w:val="1"/>
      <w:marLeft w:val="0"/>
      <w:marRight w:val="0"/>
      <w:marTop w:val="0"/>
      <w:marBottom w:val="0"/>
      <w:divBdr>
        <w:top w:val="none" w:sz="0" w:space="0" w:color="auto"/>
        <w:left w:val="none" w:sz="0" w:space="0" w:color="auto"/>
        <w:bottom w:val="none" w:sz="0" w:space="0" w:color="auto"/>
        <w:right w:val="none" w:sz="0" w:space="0" w:color="auto"/>
      </w:divBdr>
    </w:div>
    <w:div w:id="1245186419">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03462805">
      <w:bodyDiv w:val="1"/>
      <w:marLeft w:val="0"/>
      <w:marRight w:val="0"/>
      <w:marTop w:val="0"/>
      <w:marBottom w:val="0"/>
      <w:divBdr>
        <w:top w:val="none" w:sz="0" w:space="0" w:color="auto"/>
        <w:left w:val="none" w:sz="0" w:space="0" w:color="auto"/>
        <w:bottom w:val="none" w:sz="0" w:space="0" w:color="auto"/>
        <w:right w:val="none" w:sz="0" w:space="0" w:color="auto"/>
      </w:divBdr>
    </w:div>
    <w:div w:id="1310407199">
      <w:bodyDiv w:val="1"/>
      <w:marLeft w:val="0"/>
      <w:marRight w:val="0"/>
      <w:marTop w:val="0"/>
      <w:marBottom w:val="0"/>
      <w:divBdr>
        <w:top w:val="none" w:sz="0" w:space="0" w:color="auto"/>
        <w:left w:val="none" w:sz="0" w:space="0" w:color="auto"/>
        <w:bottom w:val="none" w:sz="0" w:space="0" w:color="auto"/>
        <w:right w:val="none" w:sz="0" w:space="0" w:color="auto"/>
      </w:divBdr>
    </w:div>
    <w:div w:id="1325010474">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334724781">
      <w:bodyDiv w:val="1"/>
      <w:marLeft w:val="0"/>
      <w:marRight w:val="0"/>
      <w:marTop w:val="0"/>
      <w:marBottom w:val="0"/>
      <w:divBdr>
        <w:top w:val="none" w:sz="0" w:space="0" w:color="auto"/>
        <w:left w:val="none" w:sz="0" w:space="0" w:color="auto"/>
        <w:bottom w:val="none" w:sz="0" w:space="0" w:color="auto"/>
        <w:right w:val="none" w:sz="0" w:space="0" w:color="auto"/>
      </w:divBdr>
    </w:div>
    <w:div w:id="1356881252">
      <w:bodyDiv w:val="1"/>
      <w:marLeft w:val="0"/>
      <w:marRight w:val="0"/>
      <w:marTop w:val="0"/>
      <w:marBottom w:val="0"/>
      <w:divBdr>
        <w:top w:val="none" w:sz="0" w:space="0" w:color="auto"/>
        <w:left w:val="none" w:sz="0" w:space="0" w:color="auto"/>
        <w:bottom w:val="none" w:sz="0" w:space="0" w:color="auto"/>
        <w:right w:val="none" w:sz="0" w:space="0" w:color="auto"/>
      </w:divBdr>
    </w:div>
    <w:div w:id="1361784754">
      <w:bodyDiv w:val="1"/>
      <w:marLeft w:val="0"/>
      <w:marRight w:val="0"/>
      <w:marTop w:val="0"/>
      <w:marBottom w:val="0"/>
      <w:divBdr>
        <w:top w:val="none" w:sz="0" w:space="0" w:color="auto"/>
        <w:left w:val="none" w:sz="0" w:space="0" w:color="auto"/>
        <w:bottom w:val="none" w:sz="0" w:space="0" w:color="auto"/>
        <w:right w:val="none" w:sz="0" w:space="0" w:color="auto"/>
      </w:divBdr>
    </w:div>
    <w:div w:id="1401292306">
      <w:bodyDiv w:val="1"/>
      <w:marLeft w:val="0"/>
      <w:marRight w:val="0"/>
      <w:marTop w:val="0"/>
      <w:marBottom w:val="0"/>
      <w:divBdr>
        <w:top w:val="none" w:sz="0" w:space="0" w:color="auto"/>
        <w:left w:val="none" w:sz="0" w:space="0" w:color="auto"/>
        <w:bottom w:val="none" w:sz="0" w:space="0" w:color="auto"/>
        <w:right w:val="none" w:sz="0" w:space="0" w:color="auto"/>
      </w:divBdr>
    </w:div>
    <w:div w:id="1402942981">
      <w:bodyDiv w:val="1"/>
      <w:marLeft w:val="0"/>
      <w:marRight w:val="0"/>
      <w:marTop w:val="0"/>
      <w:marBottom w:val="0"/>
      <w:divBdr>
        <w:top w:val="none" w:sz="0" w:space="0" w:color="auto"/>
        <w:left w:val="none" w:sz="0" w:space="0" w:color="auto"/>
        <w:bottom w:val="none" w:sz="0" w:space="0" w:color="auto"/>
        <w:right w:val="none" w:sz="0" w:space="0" w:color="auto"/>
      </w:divBdr>
    </w:div>
    <w:div w:id="1445543407">
      <w:bodyDiv w:val="1"/>
      <w:marLeft w:val="0"/>
      <w:marRight w:val="0"/>
      <w:marTop w:val="0"/>
      <w:marBottom w:val="0"/>
      <w:divBdr>
        <w:top w:val="none" w:sz="0" w:space="0" w:color="auto"/>
        <w:left w:val="none" w:sz="0" w:space="0" w:color="auto"/>
        <w:bottom w:val="none" w:sz="0" w:space="0" w:color="auto"/>
        <w:right w:val="none" w:sz="0" w:space="0" w:color="auto"/>
      </w:divBdr>
    </w:div>
    <w:div w:id="1449465772">
      <w:bodyDiv w:val="1"/>
      <w:marLeft w:val="0"/>
      <w:marRight w:val="0"/>
      <w:marTop w:val="0"/>
      <w:marBottom w:val="0"/>
      <w:divBdr>
        <w:top w:val="none" w:sz="0" w:space="0" w:color="auto"/>
        <w:left w:val="none" w:sz="0" w:space="0" w:color="auto"/>
        <w:bottom w:val="none" w:sz="0" w:space="0" w:color="auto"/>
        <w:right w:val="none" w:sz="0" w:space="0" w:color="auto"/>
      </w:divBdr>
    </w:div>
    <w:div w:id="1510411875">
      <w:bodyDiv w:val="1"/>
      <w:marLeft w:val="0"/>
      <w:marRight w:val="0"/>
      <w:marTop w:val="0"/>
      <w:marBottom w:val="0"/>
      <w:divBdr>
        <w:top w:val="none" w:sz="0" w:space="0" w:color="auto"/>
        <w:left w:val="none" w:sz="0" w:space="0" w:color="auto"/>
        <w:bottom w:val="none" w:sz="0" w:space="0" w:color="auto"/>
        <w:right w:val="none" w:sz="0" w:space="0" w:color="auto"/>
      </w:divBdr>
    </w:div>
    <w:div w:id="1565293609">
      <w:bodyDiv w:val="1"/>
      <w:marLeft w:val="0"/>
      <w:marRight w:val="0"/>
      <w:marTop w:val="0"/>
      <w:marBottom w:val="0"/>
      <w:divBdr>
        <w:top w:val="none" w:sz="0" w:space="0" w:color="auto"/>
        <w:left w:val="none" w:sz="0" w:space="0" w:color="auto"/>
        <w:bottom w:val="none" w:sz="0" w:space="0" w:color="auto"/>
        <w:right w:val="none" w:sz="0" w:space="0" w:color="auto"/>
      </w:divBdr>
    </w:div>
    <w:div w:id="1646083364">
      <w:bodyDiv w:val="1"/>
      <w:marLeft w:val="0"/>
      <w:marRight w:val="0"/>
      <w:marTop w:val="0"/>
      <w:marBottom w:val="0"/>
      <w:divBdr>
        <w:top w:val="none" w:sz="0" w:space="0" w:color="auto"/>
        <w:left w:val="none" w:sz="0" w:space="0" w:color="auto"/>
        <w:bottom w:val="none" w:sz="0" w:space="0" w:color="auto"/>
        <w:right w:val="none" w:sz="0" w:space="0" w:color="auto"/>
      </w:divBdr>
    </w:div>
    <w:div w:id="1656958496">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701861748">
      <w:bodyDiv w:val="1"/>
      <w:marLeft w:val="0"/>
      <w:marRight w:val="0"/>
      <w:marTop w:val="0"/>
      <w:marBottom w:val="0"/>
      <w:divBdr>
        <w:top w:val="none" w:sz="0" w:space="0" w:color="auto"/>
        <w:left w:val="none" w:sz="0" w:space="0" w:color="auto"/>
        <w:bottom w:val="none" w:sz="0" w:space="0" w:color="auto"/>
        <w:right w:val="none" w:sz="0" w:space="0" w:color="auto"/>
      </w:divBdr>
    </w:div>
    <w:div w:id="1749768675">
      <w:bodyDiv w:val="1"/>
      <w:marLeft w:val="0"/>
      <w:marRight w:val="0"/>
      <w:marTop w:val="0"/>
      <w:marBottom w:val="0"/>
      <w:divBdr>
        <w:top w:val="none" w:sz="0" w:space="0" w:color="auto"/>
        <w:left w:val="none" w:sz="0" w:space="0" w:color="auto"/>
        <w:bottom w:val="none" w:sz="0" w:space="0" w:color="auto"/>
        <w:right w:val="none" w:sz="0" w:space="0" w:color="auto"/>
      </w:divBdr>
    </w:div>
    <w:div w:id="1773744711">
      <w:bodyDiv w:val="1"/>
      <w:marLeft w:val="0"/>
      <w:marRight w:val="0"/>
      <w:marTop w:val="0"/>
      <w:marBottom w:val="0"/>
      <w:divBdr>
        <w:top w:val="none" w:sz="0" w:space="0" w:color="auto"/>
        <w:left w:val="none" w:sz="0" w:space="0" w:color="auto"/>
        <w:bottom w:val="none" w:sz="0" w:space="0" w:color="auto"/>
        <w:right w:val="none" w:sz="0" w:space="0" w:color="auto"/>
      </w:divBdr>
    </w:div>
    <w:div w:id="1774399291">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882546620">
      <w:bodyDiv w:val="1"/>
      <w:marLeft w:val="0"/>
      <w:marRight w:val="0"/>
      <w:marTop w:val="0"/>
      <w:marBottom w:val="0"/>
      <w:divBdr>
        <w:top w:val="none" w:sz="0" w:space="0" w:color="auto"/>
        <w:left w:val="none" w:sz="0" w:space="0" w:color="auto"/>
        <w:bottom w:val="none" w:sz="0" w:space="0" w:color="auto"/>
        <w:right w:val="none" w:sz="0" w:space="0" w:color="auto"/>
      </w:divBdr>
    </w:div>
    <w:div w:id="1911185861">
      <w:bodyDiv w:val="1"/>
      <w:marLeft w:val="0"/>
      <w:marRight w:val="0"/>
      <w:marTop w:val="0"/>
      <w:marBottom w:val="0"/>
      <w:divBdr>
        <w:top w:val="none" w:sz="0" w:space="0" w:color="auto"/>
        <w:left w:val="none" w:sz="0" w:space="0" w:color="auto"/>
        <w:bottom w:val="none" w:sz="0" w:space="0" w:color="auto"/>
        <w:right w:val="none" w:sz="0" w:space="0" w:color="auto"/>
      </w:divBdr>
    </w:div>
    <w:div w:id="1953895598">
      <w:bodyDiv w:val="1"/>
      <w:marLeft w:val="0"/>
      <w:marRight w:val="0"/>
      <w:marTop w:val="0"/>
      <w:marBottom w:val="0"/>
      <w:divBdr>
        <w:top w:val="none" w:sz="0" w:space="0" w:color="auto"/>
        <w:left w:val="none" w:sz="0" w:space="0" w:color="auto"/>
        <w:bottom w:val="none" w:sz="0" w:space="0" w:color="auto"/>
        <w:right w:val="none" w:sz="0" w:space="0" w:color="auto"/>
      </w:divBdr>
    </w:div>
    <w:div w:id="196229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overPageProperties xmlns="http://schemas.microsoft.com/office/2006/coverPageProps">
  <PublishDate>2014-08-04T00:00:00</PublishDate>
  <Abstract/>
  <CompanyAddress/>
  <CompanyPhone/>
  <CompanyFax/>
  <CompanyEmail/>
</CoverPageProperti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38977562</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Proposal&lt;/USER_STAGE&gt;&lt;PD_OBJ_TYPE&gt;0&lt;/PD_OBJ_TYPE&gt;&lt;MAKERECORD&gt;N&lt;/MAKERECORD&gt;&lt;PD_FILEPT_NO&gt;PO-CH-L1085-Anl&lt;/PD_FILEPT_NO&gt;&lt;/Data&gt;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0202B58-E5E8-4A41-8C2A-ADCF9E3CAF10}"/>
</file>

<file path=customXml/itemProps2.xml><?xml version="1.0" encoding="utf-8"?>
<ds:datastoreItem xmlns:ds="http://schemas.openxmlformats.org/officeDocument/2006/customXml" ds:itemID="{AC3C49F4-BE74-4099-9EC2-7F321F91DCD6}"/>
</file>

<file path=customXml/itemProps3.xml><?xml version="1.0" encoding="utf-8"?>
<ds:datastoreItem xmlns:ds="http://schemas.openxmlformats.org/officeDocument/2006/customXml" ds:itemID="{70A45674-485E-4107-BAB5-0A38F5975D7B}"/>
</file>

<file path=customXml/itemProps4.xml><?xml version="1.0" encoding="utf-8"?>
<ds:datastoreItem xmlns:ds="http://schemas.openxmlformats.org/officeDocument/2006/customXml" ds:itemID="{07415301-CBB2-473E-AABD-120365563B1C}"/>
</file>

<file path=customXml/itemProps5.xml><?xml version="1.0" encoding="utf-8"?>
<ds:datastoreItem xmlns:ds="http://schemas.openxmlformats.org/officeDocument/2006/customXml" ds:itemID="{AC71BCD6-4D52-4856-8DA5-0880FF1FFAF5}"/>
</file>

<file path=customXml/itemProps6.xml><?xml version="1.0" encoding="utf-8"?>
<ds:datastoreItem xmlns:ds="http://schemas.openxmlformats.org/officeDocument/2006/customXml" ds:itemID="{55AF091B-3C7A-41E3-B477-F2FDAA23CFDA}"/>
</file>

<file path=customXml/itemProps7.xml><?xml version="1.0" encoding="utf-8"?>
<ds:datastoreItem xmlns:ds="http://schemas.openxmlformats.org/officeDocument/2006/customXml" ds:itemID="{35581918-4A56-432E-851E-6FF194A7FC55}"/>
</file>

<file path=docProps/app.xml><?xml version="1.0" encoding="utf-8"?>
<Properties xmlns="http://schemas.openxmlformats.org/officeDocument/2006/extended-properties" xmlns:vt="http://schemas.openxmlformats.org/officeDocument/2006/docPropsVTypes">
  <Template>Normal Informe TNR A4.dotm</Template>
  <TotalTime>2</TotalTime>
  <Pages>22</Pages>
  <Words>7897</Words>
  <Characters>44341</Characters>
  <Application>Microsoft Office Word</Application>
  <DocSecurity>4</DocSecurity>
  <Lines>369</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MEJORA DE LA GESTIÓN PÚBLICA Y DE LOS SERVICIOS AL CIUDADANO</vt:lpstr>
      <vt:lpstr>PROGRAMA DE MEJORA DE LA GESTIÓN PÚBLICA Y DE LOS SERVICIOS AL CIUDADANO</vt:lpstr>
    </vt:vector>
  </TitlesOfParts>
  <Company/>
  <LinksUpToDate>false</LinksUpToDate>
  <CharactersWithSpaces>52134</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1 - Análisis Economico</dc:title>
  <dc:subject>Versión borrador</dc:subject>
  <dc:creator>Fernando Grafe</dc:creator>
  <cp:keywords/>
  <dc:description/>
  <cp:lastModifiedBy>IADB</cp:lastModifiedBy>
  <cp:revision>2</cp:revision>
  <cp:lastPrinted>2011-07-09T18:08:00Z</cp:lastPrinted>
  <dcterms:created xsi:type="dcterms:W3CDTF">2014-09-02T18:15:00Z</dcterms:created>
  <dcterms:modified xsi:type="dcterms:W3CDTF">2014-09-02T18:15:00Z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0x01010046CF21643EE8D14686A648AA6DAD089200B79A232E787A1147AED3627E1FB59D1E</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