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DA" w:rsidRDefault="006408DA">
      <w:bookmarkStart w:id="0" w:name="_GoBack"/>
      <w:bookmarkEnd w:id="0"/>
    </w:p>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67268C" w:rsidTr="00693929">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7268C" w:rsidRDefault="0067268C" w:rsidP="00693929">
            <w:pPr>
              <w:spacing w:after="240"/>
              <w:rPr>
                <w:rFonts w:ascii="Arial" w:eastAsia="Times New Roman" w:hAnsi="Arial" w:cs="Arial"/>
                <w:sz w:val="20"/>
                <w:szCs w:val="20"/>
              </w:rPr>
            </w:pPr>
            <w:r>
              <w:rPr>
                <w:rFonts w:ascii="Arial" w:eastAsia="Times New Roman" w:hAnsi="Arial" w:cs="Arial"/>
                <w:b/>
                <w:bCs/>
                <w:sz w:val="28"/>
                <w:szCs w:val="28"/>
              </w:rPr>
              <w:br/>
            </w:r>
            <w:r>
              <w:rPr>
                <w:rFonts w:ascii="Arial" w:eastAsia="Times New Roman" w:hAnsi="Arial" w:cs="Arial"/>
                <w:b/>
                <w:bCs/>
                <w:sz w:val="28"/>
                <w:szCs w:val="28"/>
              </w:rPr>
              <w:br/>
              <w:t>SAFEGUARD POLICY FILTER REPORT</w:t>
            </w:r>
            <w:r>
              <w:rPr>
                <w:rFonts w:ascii="Arial" w:eastAsia="Times New Roman" w:hAnsi="Arial" w:cs="Arial"/>
                <w:sz w:val="20"/>
                <w:szCs w:val="20"/>
              </w:rPr>
              <w:br/>
            </w:r>
          </w:p>
          <w:p w:rsidR="0067268C" w:rsidRDefault="0067268C" w:rsidP="00693929">
            <w:pPr>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p w:rsidR="0067268C" w:rsidRDefault="0067268C" w:rsidP="00693929">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63"/>
              <w:gridCol w:w="2972"/>
              <w:gridCol w:w="4665"/>
            </w:tblGrid>
            <w:tr w:rsidR="0067268C" w:rsidTr="00B57E77">
              <w:tc>
                <w:tcPr>
                  <w:tcW w:w="142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294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IDB Sector</w:t>
                  </w:r>
                </w:p>
              </w:tc>
              <w:tc>
                <w:tcPr>
                  <w:tcW w:w="46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SCIENCE AND TECHNOLOGY-ADVANCED HUMAN CAPITAL</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Investment Loan</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Generic Checklist</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93929">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93929">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Science and Technology Scholarships - Program BEC.AR</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AR-L1156</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93929">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93929">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2013-05-08</w:t>
                  </w:r>
                </w:p>
              </w:tc>
            </w:tr>
            <w:tr w:rsidR="0067268C" w:rsidTr="00693929">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sz w:val="20"/>
                      <w:szCs w:val="20"/>
                    </w:rPr>
                  </w:pPr>
                </w:p>
              </w:tc>
            </w:tr>
          </w:tbl>
          <w:p w:rsidR="0067268C" w:rsidRDefault="0067268C" w:rsidP="00693929">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1"/>
              <w:gridCol w:w="2257"/>
              <w:gridCol w:w="4082"/>
              <w:gridCol w:w="1170"/>
            </w:tblGrid>
            <w:tr w:rsidR="0067268C" w:rsidTr="00693929">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Loan Operation</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Does this project offer opportunities to promote gender equality or women's empowerment through its project components?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OP-270</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7268C" w:rsidRDefault="0067268C" w:rsidP="00693929">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p>
              </w:tc>
            </w:tr>
            <w:tr w:rsid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r>
                </w:p>
              </w:tc>
            </w:tr>
            <w:tr w:rsidR="0067268C" w:rsidTr="00693929">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sz w:val="20"/>
                      <w:szCs w:val="20"/>
                    </w:rPr>
                  </w:pPr>
                </w:p>
              </w:tc>
            </w:tr>
          </w:tbl>
          <w:p w:rsidR="0067268C" w:rsidRDefault="0067268C" w:rsidP="00693929">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8"/>
              <w:gridCol w:w="2384"/>
              <w:gridCol w:w="5178"/>
            </w:tblGrid>
            <w:tr w:rsidR="0067268C" w:rsidRPr="00B57E77" w:rsidTr="00693929">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93929">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93929">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p>
              </w:tc>
            </w:tr>
            <w:tr w:rsid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Default="0067268C" w:rsidP="0069392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Default="0067268C" w:rsidP="00693929">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Default="0067268C" w:rsidP="00693929">
                  <w:pPr>
                    <w:rPr>
                      <w:rFonts w:ascii="Arial" w:eastAsia="Times New Roman" w:hAnsi="Arial" w:cs="Arial"/>
                      <w:sz w:val="20"/>
                      <w:szCs w:val="20"/>
                    </w:rPr>
                  </w:pPr>
                  <w:r>
                    <w:rPr>
                      <w:rFonts w:ascii="Arial" w:eastAsia="Times New Roman" w:hAnsi="Arial" w:cs="Arial"/>
                      <w:sz w:val="20"/>
                      <w:szCs w:val="20"/>
                    </w:rPr>
                    <w:t>2013-05-08</w:t>
                  </w:r>
                </w:p>
              </w:tc>
            </w:tr>
          </w:tbl>
          <w:p w:rsidR="0067268C" w:rsidRDefault="0067268C" w:rsidP="00693929">
            <w:pPr>
              <w:rPr>
                <w:rFonts w:ascii="Arial" w:eastAsia="Times New Roman" w:hAnsi="Arial" w:cs="Arial"/>
                <w:sz w:val="20"/>
                <w:szCs w:val="20"/>
              </w:rPr>
            </w:pPr>
            <w:r>
              <w:rPr>
                <w:rFonts w:ascii="Arial" w:eastAsia="Times New Roman" w:hAnsi="Arial" w:cs="Arial"/>
                <w:sz w:val="20"/>
                <w:szCs w:val="20"/>
              </w:rPr>
              <w:br/>
              <w:t> </w:t>
            </w:r>
          </w:p>
        </w:tc>
      </w:tr>
    </w:tbl>
    <w:p w:rsidR="0067268C" w:rsidRDefault="0067268C"/>
    <w:p w:rsidR="0067268C" w:rsidRDefault="0067268C"/>
    <w:p w:rsidR="0067268C" w:rsidRDefault="0067268C"/>
    <w:p w:rsidR="0067268C" w:rsidRDefault="0067268C"/>
    <w:p w:rsidR="0067268C" w:rsidRDefault="0067268C"/>
    <w:p w:rsidR="00B57E77" w:rsidRDefault="00B57E77"/>
    <w:p w:rsidR="0067268C" w:rsidRDefault="0067268C"/>
    <w:p w:rsidR="0067268C" w:rsidRDefault="0067268C"/>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67268C" w:rsidRPr="0067268C" w:rsidTr="00693929">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7268C" w:rsidRPr="0067268C" w:rsidRDefault="0067268C" w:rsidP="0067268C">
            <w:pPr>
              <w:spacing w:after="240"/>
              <w:rPr>
                <w:rFonts w:ascii="Arial" w:eastAsia="Times New Roman" w:hAnsi="Arial" w:cs="Arial"/>
                <w:sz w:val="20"/>
                <w:szCs w:val="20"/>
              </w:rPr>
            </w:pPr>
            <w:r w:rsidRPr="0067268C">
              <w:rPr>
                <w:rFonts w:ascii="Arial" w:eastAsia="Times New Roman" w:hAnsi="Arial" w:cs="Arial"/>
                <w:b/>
                <w:bCs/>
                <w:sz w:val="28"/>
                <w:szCs w:val="28"/>
              </w:rPr>
              <w:br/>
            </w:r>
            <w:r w:rsidRPr="0067268C">
              <w:rPr>
                <w:rFonts w:ascii="Arial" w:eastAsia="Times New Roman" w:hAnsi="Arial" w:cs="Arial"/>
                <w:b/>
                <w:bCs/>
                <w:sz w:val="28"/>
                <w:szCs w:val="28"/>
              </w:rPr>
              <w:br/>
            </w:r>
            <w:r w:rsidRPr="0067268C">
              <w:rPr>
                <w:rFonts w:ascii="Arial" w:eastAsia="Times New Roman" w:hAnsi="Arial" w:cs="Arial"/>
                <w:b/>
                <w:bCs/>
                <w:sz w:val="28"/>
                <w:szCs w:val="28"/>
              </w:rPr>
              <w:lastRenderedPageBreak/>
              <w:t>SAFEGUARD SCREENING FORM</w:t>
            </w:r>
            <w:r w:rsidRPr="0067268C">
              <w:rPr>
                <w:rFonts w:ascii="Arial" w:eastAsia="Times New Roman" w:hAnsi="Arial" w:cs="Arial"/>
                <w:sz w:val="20"/>
                <w:szCs w:val="20"/>
              </w:rPr>
              <w:br/>
            </w:r>
          </w:p>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67268C" w:rsidRPr="0067268C" w:rsidRDefault="0067268C" w:rsidP="0067268C">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63"/>
              <w:gridCol w:w="2972"/>
              <w:gridCol w:w="4665"/>
            </w:tblGrid>
            <w:tr w:rsidR="0067268C" w:rsidRPr="0067268C" w:rsidTr="00B57E77">
              <w:tc>
                <w:tcPr>
                  <w:tcW w:w="142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PROJECT DETAILS</w:t>
                  </w:r>
                </w:p>
              </w:tc>
              <w:tc>
                <w:tcPr>
                  <w:tcW w:w="294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IDB Sector</w:t>
                  </w:r>
                </w:p>
              </w:tc>
              <w:tc>
                <w:tcPr>
                  <w:tcW w:w="46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SCIENCE AND TECHNOLOGY-ADVANCED HUMAN CAPITAL</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Investment Loan</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ARGENTINA</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Generic Checklist</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Science and Technology Scholarships - Program BEC.AR</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AR-L1156</w:t>
                  </w:r>
                </w:p>
              </w:tc>
            </w:tr>
            <w:tr w:rsidR="0067268C" w:rsidRPr="00B57E77"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2013-05-08</w:t>
                  </w:r>
                </w:p>
              </w:tc>
            </w:tr>
            <w:tr w:rsidR="0067268C" w:rsidRPr="0067268C" w:rsidTr="00693929">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sz w:val="20"/>
                      <w:szCs w:val="20"/>
                    </w:rPr>
                  </w:pPr>
                </w:p>
              </w:tc>
            </w:tr>
          </w:tbl>
          <w:p w:rsidR="0067268C" w:rsidRPr="0067268C" w:rsidRDefault="0067268C" w:rsidP="0067268C">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498"/>
              <w:gridCol w:w="3614"/>
            </w:tblGrid>
            <w:tr w:rsidR="0067268C" w:rsidRPr="0067268C" w:rsidTr="00693929">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Project Category:</w:t>
                  </w:r>
                  <w:r w:rsidRPr="0067268C">
                    <w:rPr>
                      <w:rFonts w:ascii="Arial" w:eastAsia="Times New Roman" w:hAnsi="Arial" w:cs="Arial"/>
                      <w:b/>
                      <w:bCs/>
                      <w:sz w:val="20"/>
                      <w:szCs w:val="20"/>
                    </w:rPr>
                    <w:br/>
                  </w:r>
                  <w:r w:rsidRPr="0067268C">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Override Justification:</w:t>
                  </w:r>
                </w:p>
              </w:tc>
            </w:tr>
            <w:tr w:rsidR="0067268C" w:rsidRPr="0067268C" w:rsidTr="00693929">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Comments:</w:t>
                  </w:r>
                </w:p>
              </w:tc>
            </w:tr>
            <w:tr w:rsidR="0067268C" w:rsidRPr="0067268C" w:rsidTr="006939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Conditions/</w:t>
                  </w:r>
                  <w:r w:rsidRPr="0067268C">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spacing w:after="240"/>
                    <w:rPr>
                      <w:rFonts w:ascii="Arial" w:eastAsia="Times New Roman" w:hAnsi="Arial" w:cs="Arial"/>
                      <w:sz w:val="20"/>
                      <w:szCs w:val="20"/>
                    </w:rPr>
                  </w:pPr>
                  <w:r w:rsidRPr="0067268C">
                    <w:rPr>
                      <w:rFonts w:ascii="Arial" w:eastAsia="Times New Roman" w:hAnsi="Symbol" w:cs="Arial"/>
                      <w:sz w:val="20"/>
                      <w:szCs w:val="20"/>
                    </w:rPr>
                    <w:t></w:t>
                  </w:r>
                  <w:r w:rsidRPr="0067268C">
                    <w:rPr>
                      <w:rFonts w:ascii="Arial" w:eastAsia="Times New Roman" w:hAnsi="Arial" w:cs="Arial"/>
                      <w:sz w:val="20"/>
                      <w:szCs w:val="20"/>
                    </w:rPr>
                    <w:t xml:space="preserve">  No environmental assessment studies or consultations are required for Category "C" operations.</w:t>
                  </w:r>
                </w:p>
                <w:p w:rsidR="0067268C" w:rsidRPr="0067268C" w:rsidRDefault="0067268C" w:rsidP="0067268C">
                  <w:pPr>
                    <w:spacing w:after="240"/>
                    <w:rPr>
                      <w:rFonts w:ascii="Arial" w:eastAsia="Times New Roman" w:hAnsi="Arial" w:cs="Arial"/>
                      <w:sz w:val="20"/>
                      <w:szCs w:val="20"/>
                    </w:rPr>
                  </w:pPr>
                  <w:r w:rsidRPr="0067268C">
                    <w:rPr>
                      <w:rFonts w:ascii="Arial" w:eastAsia="Times New Roman" w:hAnsi="Symbol" w:cs="Arial"/>
                      <w:sz w:val="20"/>
                      <w:szCs w:val="20"/>
                    </w:rPr>
                    <w:t></w:t>
                  </w:r>
                  <w:r w:rsidRPr="0067268C">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67268C" w:rsidRPr="0067268C" w:rsidRDefault="0067268C" w:rsidP="0067268C">
                  <w:pPr>
                    <w:spacing w:after="240"/>
                    <w:rPr>
                      <w:rFonts w:ascii="Arial" w:eastAsia="Times New Roman" w:hAnsi="Arial" w:cs="Arial"/>
                      <w:sz w:val="20"/>
                      <w:szCs w:val="20"/>
                    </w:rPr>
                  </w:pPr>
                  <w:r w:rsidRPr="0067268C">
                    <w:rPr>
                      <w:rFonts w:ascii="Arial" w:eastAsia="Times New Roman" w:hAnsi="Symbol" w:cs="Arial"/>
                      <w:sz w:val="20"/>
                      <w:szCs w:val="20"/>
                    </w:rPr>
                    <w:t></w:t>
                  </w:r>
                  <w:r w:rsidRPr="0067268C">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67268C" w:rsidRPr="0067268C" w:rsidRDefault="0067268C" w:rsidP="0067268C">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3993"/>
              <w:gridCol w:w="3230"/>
            </w:tblGrid>
            <w:tr w:rsidR="0067268C" w:rsidRPr="0067268C" w:rsidTr="00693929">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Potential Solutions</w:t>
                  </w:r>
                </w:p>
              </w:tc>
            </w:tr>
          </w:tbl>
          <w:p w:rsidR="0067268C" w:rsidRPr="0067268C" w:rsidRDefault="0067268C" w:rsidP="0067268C">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8"/>
              <w:gridCol w:w="2384"/>
              <w:gridCol w:w="5178"/>
            </w:tblGrid>
            <w:tr w:rsidR="0067268C" w:rsidRPr="00B57E77" w:rsidTr="00693929">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jc w:val="center"/>
                    <w:rPr>
                      <w:rFonts w:ascii="Arial" w:eastAsia="Times New Roman" w:hAnsi="Arial" w:cs="Arial"/>
                      <w:b/>
                      <w:bCs/>
                      <w:sz w:val="20"/>
                      <w:szCs w:val="20"/>
                    </w:rPr>
                  </w:pPr>
                  <w:r w:rsidRPr="0067268C">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lang w:val="es-ES_tradnl"/>
                    </w:rPr>
                  </w:pPr>
                  <w:r w:rsidRPr="0067268C">
                    <w:rPr>
                      <w:rFonts w:ascii="Arial" w:eastAsia="Times New Roman" w:hAnsi="Arial" w:cs="Arial"/>
                      <w:sz w:val="20"/>
                      <w:szCs w:val="20"/>
                      <w:lang w:val="es-ES_tradnl"/>
                    </w:rPr>
                    <w:t>Angelelli, Pablo Javier (PABLOAN@iadb.org)</w:t>
                  </w:r>
                </w:p>
              </w:tc>
            </w:tr>
            <w:tr w:rsidR="0067268C" w:rsidRP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p>
              </w:tc>
            </w:tr>
            <w:tr w:rsidR="0067268C" w:rsidRPr="0067268C" w:rsidTr="0069392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7268C" w:rsidRPr="0067268C" w:rsidRDefault="0067268C" w:rsidP="0067268C">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7268C" w:rsidRPr="0067268C" w:rsidRDefault="0067268C" w:rsidP="0067268C">
                  <w:pPr>
                    <w:rPr>
                      <w:rFonts w:ascii="Arial" w:eastAsia="Times New Roman" w:hAnsi="Arial" w:cs="Arial"/>
                      <w:b/>
                      <w:bCs/>
                      <w:sz w:val="20"/>
                      <w:szCs w:val="20"/>
                    </w:rPr>
                  </w:pPr>
                  <w:r w:rsidRPr="0067268C">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t>2013-05-08</w:t>
                  </w:r>
                </w:p>
              </w:tc>
            </w:tr>
          </w:tbl>
          <w:p w:rsidR="0067268C" w:rsidRPr="0067268C" w:rsidRDefault="0067268C" w:rsidP="0067268C">
            <w:pPr>
              <w:rPr>
                <w:rFonts w:ascii="Arial" w:eastAsia="Times New Roman" w:hAnsi="Arial" w:cs="Arial"/>
                <w:sz w:val="20"/>
                <w:szCs w:val="20"/>
              </w:rPr>
            </w:pPr>
            <w:r w:rsidRPr="0067268C">
              <w:rPr>
                <w:rFonts w:ascii="Arial" w:eastAsia="Times New Roman" w:hAnsi="Arial" w:cs="Arial"/>
                <w:sz w:val="20"/>
                <w:szCs w:val="20"/>
              </w:rPr>
              <w:br/>
              <w:t> </w:t>
            </w:r>
          </w:p>
        </w:tc>
      </w:tr>
    </w:tbl>
    <w:p w:rsidR="0067268C" w:rsidRPr="0067268C" w:rsidRDefault="0067268C" w:rsidP="0067268C">
      <w:pPr>
        <w:rPr>
          <w:rFonts w:eastAsia="Times New Roman"/>
        </w:rPr>
      </w:pPr>
    </w:p>
    <w:p w:rsidR="0067268C" w:rsidRDefault="0067268C"/>
    <w:sectPr w:rsidR="0067268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873" w:rsidRDefault="00082873" w:rsidP="00082873">
      <w:r>
        <w:separator/>
      </w:r>
    </w:p>
  </w:endnote>
  <w:endnote w:type="continuationSeparator" w:id="0">
    <w:p w:rsidR="00082873" w:rsidRDefault="00082873" w:rsidP="0008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873" w:rsidRDefault="00082873" w:rsidP="00082873">
      <w:r>
        <w:separator/>
      </w:r>
    </w:p>
  </w:footnote>
  <w:footnote w:type="continuationSeparator" w:id="0">
    <w:p w:rsidR="00082873" w:rsidRDefault="00082873" w:rsidP="00082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082873" w:rsidRPr="00082873" w:rsidRDefault="00082873" w:rsidP="00082873">
        <w:pPr>
          <w:pStyle w:val="Header"/>
          <w:jc w:val="right"/>
          <w:rPr>
            <w:lang w:val="pt-BR"/>
          </w:rPr>
        </w:pPr>
        <w:r w:rsidRPr="005B6A20">
          <w:rPr>
            <w:b/>
            <w:lang w:val="pt-BR"/>
          </w:rPr>
          <w:t>Anexo I</w:t>
        </w:r>
        <w:r w:rsidR="005B6A20" w:rsidRPr="005B6A20">
          <w:rPr>
            <w:b/>
            <w:lang w:val="pt-BR"/>
          </w:rPr>
          <w:t>V</w:t>
        </w:r>
        <w:r w:rsidRPr="005B6A20">
          <w:rPr>
            <w:b/>
            <w:lang w:val="pt-BR"/>
          </w:rPr>
          <w:t xml:space="preserve"> – AR – L1156</w:t>
        </w:r>
      </w:p>
      <w:p w:rsidR="00082873" w:rsidRPr="00082873" w:rsidRDefault="00082873" w:rsidP="00082873">
        <w:pPr>
          <w:pStyle w:val="Header"/>
          <w:jc w:val="right"/>
          <w:rPr>
            <w:lang w:val="pt-BR"/>
          </w:rPr>
        </w:pPr>
        <w:r w:rsidRPr="00082873">
          <w:rPr>
            <w:lang w:val="pt-BR"/>
          </w:rPr>
          <w:t>P</w:t>
        </w:r>
        <w:r>
          <w:rPr>
            <w:lang w:val="pt-BR"/>
          </w:rPr>
          <w:t>ágina</w:t>
        </w:r>
        <w:r w:rsidRPr="00082873">
          <w:rPr>
            <w:lang w:val="pt-BR"/>
          </w:rPr>
          <w:t xml:space="preserve"> </w:t>
        </w:r>
        <w:r>
          <w:rPr>
            <w:b/>
            <w:bCs/>
          </w:rPr>
          <w:fldChar w:fldCharType="begin"/>
        </w:r>
        <w:r w:rsidRPr="00082873">
          <w:rPr>
            <w:b/>
            <w:bCs/>
            <w:lang w:val="pt-BR"/>
          </w:rPr>
          <w:instrText xml:space="preserve"> PAGE </w:instrText>
        </w:r>
        <w:r>
          <w:rPr>
            <w:b/>
            <w:bCs/>
          </w:rPr>
          <w:fldChar w:fldCharType="separate"/>
        </w:r>
        <w:r w:rsidR="004834EC">
          <w:rPr>
            <w:b/>
            <w:bCs/>
            <w:noProof/>
            <w:lang w:val="pt-BR"/>
          </w:rPr>
          <w:t>1</w:t>
        </w:r>
        <w:r>
          <w:rPr>
            <w:b/>
            <w:bCs/>
          </w:rPr>
          <w:fldChar w:fldCharType="end"/>
        </w:r>
        <w:r w:rsidRPr="00082873">
          <w:rPr>
            <w:lang w:val="pt-BR"/>
          </w:rPr>
          <w:t xml:space="preserve"> </w:t>
        </w:r>
        <w:r w:rsidR="005B6A20">
          <w:rPr>
            <w:lang w:val="pt-BR"/>
          </w:rPr>
          <w:t>de</w:t>
        </w:r>
        <w:r w:rsidRPr="00082873">
          <w:rPr>
            <w:lang w:val="pt-BR"/>
          </w:rPr>
          <w:t xml:space="preserve"> </w:t>
        </w:r>
        <w:r>
          <w:rPr>
            <w:b/>
            <w:bCs/>
          </w:rPr>
          <w:fldChar w:fldCharType="begin"/>
        </w:r>
        <w:r w:rsidRPr="00082873">
          <w:rPr>
            <w:b/>
            <w:bCs/>
            <w:lang w:val="pt-BR"/>
          </w:rPr>
          <w:instrText xml:space="preserve"> NUMPAGES  </w:instrText>
        </w:r>
        <w:r>
          <w:rPr>
            <w:b/>
            <w:bCs/>
          </w:rPr>
          <w:fldChar w:fldCharType="separate"/>
        </w:r>
        <w:r w:rsidR="004834EC">
          <w:rPr>
            <w:b/>
            <w:bCs/>
            <w:noProof/>
            <w:lang w:val="pt-BR"/>
          </w:rPr>
          <w:t>4</w:t>
        </w:r>
        <w:r>
          <w:rPr>
            <w:b/>
            <w:bCs/>
          </w:rPr>
          <w:fldChar w:fldCharType="end"/>
        </w:r>
      </w:p>
    </w:sdtContent>
  </w:sdt>
  <w:p w:rsidR="00082873" w:rsidRPr="00082873" w:rsidRDefault="00082873">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73" w:rsidRDefault="000828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68C"/>
    <w:rsid w:val="00082873"/>
    <w:rsid w:val="004834EC"/>
    <w:rsid w:val="005B6A20"/>
    <w:rsid w:val="006408DA"/>
    <w:rsid w:val="0067268C"/>
    <w:rsid w:val="007353CC"/>
    <w:rsid w:val="00B57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8C"/>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873"/>
    <w:pPr>
      <w:tabs>
        <w:tab w:val="center" w:pos="4680"/>
        <w:tab w:val="right" w:pos="9360"/>
      </w:tabs>
    </w:pPr>
  </w:style>
  <w:style w:type="character" w:customStyle="1" w:styleId="HeaderChar">
    <w:name w:val="Header Char"/>
    <w:basedOn w:val="DefaultParagraphFont"/>
    <w:link w:val="Header"/>
    <w:uiPriority w:val="99"/>
    <w:rsid w:val="00082873"/>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2873"/>
    <w:pPr>
      <w:tabs>
        <w:tab w:val="center" w:pos="4680"/>
        <w:tab w:val="right" w:pos="9360"/>
      </w:tabs>
    </w:pPr>
  </w:style>
  <w:style w:type="character" w:customStyle="1" w:styleId="FooterChar">
    <w:name w:val="Footer Char"/>
    <w:basedOn w:val="DefaultParagraphFont"/>
    <w:link w:val="Footer"/>
    <w:uiPriority w:val="99"/>
    <w:rsid w:val="00082873"/>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8C"/>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873"/>
    <w:pPr>
      <w:tabs>
        <w:tab w:val="center" w:pos="4680"/>
        <w:tab w:val="right" w:pos="9360"/>
      </w:tabs>
    </w:pPr>
  </w:style>
  <w:style w:type="character" w:customStyle="1" w:styleId="HeaderChar">
    <w:name w:val="Header Char"/>
    <w:basedOn w:val="DefaultParagraphFont"/>
    <w:link w:val="Header"/>
    <w:uiPriority w:val="99"/>
    <w:rsid w:val="00082873"/>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2873"/>
    <w:pPr>
      <w:tabs>
        <w:tab w:val="center" w:pos="4680"/>
        <w:tab w:val="right" w:pos="9360"/>
      </w:tabs>
    </w:pPr>
  </w:style>
  <w:style w:type="character" w:customStyle="1" w:styleId="FooterChar">
    <w:name w:val="Footer Char"/>
    <w:basedOn w:val="DefaultParagraphFont"/>
    <w:link w:val="Footer"/>
    <w:uiPriority w:val="99"/>
    <w:rsid w:val="00082873"/>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AABCE24B16514EAC4C94D39B959528" ma:contentTypeVersion="0" ma:contentTypeDescription="A content type to manage public (operations) IDB documents" ma:contentTypeScope="" ma:versionID="56f662bdf18ffd50948f7985e9d04e4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38220557</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Whole&lt;/APPROVAL_DESC&gt;&lt;PD_OBJ_TYPE&gt;0&lt;/PD_OBJ_TYPE&gt;&lt;MAKERECORD&gt;N&lt;/MAKERECORD&gt;&lt;PD_FILEPT_NO&gt;PO-AR-L1156-Plan&lt;/PD_FILEPT_NO&gt;&lt;/Data&gt;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6A85AF01-A197-4FFB-82E7-4E5A8B4B3EC2}"/>
</file>

<file path=customXml/itemProps2.xml><?xml version="1.0" encoding="utf-8"?>
<ds:datastoreItem xmlns:ds="http://schemas.openxmlformats.org/officeDocument/2006/customXml" ds:itemID="{5B40EC5A-545B-4165-A29B-61DFC663D026}"/>
</file>

<file path=customXml/itemProps3.xml><?xml version="1.0" encoding="utf-8"?>
<ds:datastoreItem xmlns:ds="http://schemas.openxmlformats.org/officeDocument/2006/customXml" ds:itemID="{97D30E34-95B1-4B81-8DA9-939A4624FA54}"/>
</file>

<file path=customXml/itemProps4.xml><?xml version="1.0" encoding="utf-8"?>
<ds:datastoreItem xmlns:ds="http://schemas.openxmlformats.org/officeDocument/2006/customXml" ds:itemID="{9BFF6049-DE35-4872-B26F-51EC978AB563}"/>
</file>

<file path=customXml/itemProps5.xml><?xml version="1.0" encoding="utf-8"?>
<ds:datastoreItem xmlns:ds="http://schemas.openxmlformats.org/officeDocument/2006/customXml" ds:itemID="{40672448-3B9D-4D00-90DB-03292374A6A5}"/>
</file>

<file path=docProps/app.xml><?xml version="1.0" encoding="utf-8"?>
<Properties xmlns="http://schemas.openxmlformats.org/officeDocument/2006/extended-properties" xmlns:vt="http://schemas.openxmlformats.org/officeDocument/2006/docPropsVTypes">
  <Template>Normal.dotm</Template>
  <TotalTime>3</TotalTime>
  <Pages>4</Pages>
  <Words>616</Words>
  <Characters>3513</Characters>
  <Application>Microsoft Office Word</Application>
  <DocSecurity>0</DocSecurity>
  <Lines>29</Lines>
  <Paragraphs>8</Paragraphs>
  <ScaleCrop>false</ScaleCrop>
  <Company>Inter-American Development Bank</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Elect_ Opc_ 10 - Filtros Salvaguardias (SPF) y Formulario de clasificación (SSF)</dc:title>
  <dc:creator>Inter-American Development Bank</dc:creator>
  <cp:lastModifiedBy>Inter-American Development Bank</cp:lastModifiedBy>
  <cp:revision>2</cp:revision>
  <dcterms:created xsi:type="dcterms:W3CDTF">2013-11-08T17:18:00Z</dcterms:created>
  <dcterms:modified xsi:type="dcterms:W3CDTF">2013-11-08T17:18:00Z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0x01010046CF21643EE8D14686A648AA6DAD08920098AABCE24B16514EAC4C94D39B959528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