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09" w:rsidRPr="0092311A" w:rsidRDefault="00BD77A6" w:rsidP="00ED1109">
      <w:pPr>
        <w:pStyle w:val="Inter-Ametitle"/>
        <w:jc w:val="right"/>
      </w:pPr>
      <w:bookmarkStart w:id="0" w:name="Dropdown"/>
      <w:bookmarkStart w:id="1" w:name="_GoBack"/>
      <w:bookmarkEnd w:id="1"/>
      <w:r w:rsidRPr="0092311A">
        <w:t>Público</w:t>
      </w:r>
    </w:p>
    <w:bookmarkEnd w:id="0"/>
    <w:p w:rsidR="004F75FE" w:rsidRPr="0092311A" w:rsidRDefault="004F75FE" w:rsidP="00ED1109">
      <w:pPr>
        <w:pStyle w:val="Inter-Ametitle"/>
        <w:spacing w:before="240"/>
      </w:pPr>
      <w:r w:rsidRPr="0092311A">
        <w:t>Document</w:t>
      </w:r>
      <w:r w:rsidR="00595B5F" w:rsidRPr="0092311A">
        <w:t>o</w:t>
      </w:r>
      <w:r w:rsidRPr="0092311A">
        <w:t xml:space="preserve"> </w:t>
      </w:r>
      <w:r w:rsidR="00595B5F" w:rsidRPr="0092311A">
        <w:t>del Banco Intera</w:t>
      </w:r>
      <w:r w:rsidRPr="0092311A">
        <w:t>merican</w:t>
      </w:r>
      <w:r w:rsidR="00595B5F" w:rsidRPr="0092311A">
        <w:t>o</w:t>
      </w:r>
      <w:r w:rsidRPr="0092311A">
        <w:t xml:space="preserve"> </w:t>
      </w:r>
      <w:r w:rsidR="00595B5F" w:rsidRPr="0092311A">
        <w:t xml:space="preserve">de </w:t>
      </w:r>
      <w:r w:rsidRPr="0092311A">
        <w:t>De</w:t>
      </w:r>
      <w:r w:rsidR="00595B5F" w:rsidRPr="0092311A">
        <w:t>sarrollo</w:t>
      </w:r>
      <w:r w:rsidRPr="0092311A">
        <w:t xml:space="preserve"> </w:t>
      </w:r>
      <w:r w:rsidRPr="0092311A">
        <w:br/>
      </w:r>
      <w:r w:rsidR="008E0FA8" w:rsidRPr="0092311A">
        <w:t>Fondo Multilateral de Inversiones</w:t>
      </w:r>
    </w:p>
    <w:p w:rsidR="004F75FE" w:rsidRPr="0092311A" w:rsidRDefault="004F75FE"/>
    <w:p w:rsidR="004F75FE" w:rsidRPr="0092311A" w:rsidRDefault="004F75FE"/>
    <w:p w:rsidR="004F75FE" w:rsidRPr="0092311A" w:rsidRDefault="004F75FE"/>
    <w:p w:rsidR="004F75FE" w:rsidRPr="0092311A" w:rsidRDefault="00155175" w:rsidP="00155175">
      <w:pPr>
        <w:pStyle w:val="CountryName"/>
      </w:pPr>
      <w:bookmarkStart w:id="2" w:name="CountryName"/>
      <w:r w:rsidRPr="0092311A">
        <w:t>Costa Rica</w:t>
      </w:r>
      <w:bookmarkEnd w:id="2"/>
    </w:p>
    <w:p w:rsidR="004F75FE" w:rsidRPr="0092311A" w:rsidRDefault="004F75FE"/>
    <w:bookmarkStart w:id="3" w:name="ProjectName"/>
    <w:p w:rsidR="004F75FE" w:rsidRPr="0092311A" w:rsidRDefault="00B613DC">
      <w:pPr>
        <w:pStyle w:val="ProjectTitle"/>
        <w:rPr>
          <w:noProof w:val="0"/>
          <w:lang w:val="es-ES"/>
        </w:rPr>
      </w:pPr>
      <w:r w:rsidRPr="0092311A">
        <w:rPr>
          <w:noProof w:val="0"/>
          <w:lang w:val="es-ES"/>
        </w:rPr>
        <w:fldChar w:fldCharType="begin"/>
      </w:r>
      <w:r w:rsidR="004F75FE" w:rsidRPr="0092311A">
        <w:rPr>
          <w:noProof w:val="0"/>
          <w:lang w:val="es-ES"/>
        </w:rPr>
        <w:instrText xml:space="preserve"> FILLIN "Insert project name (title case)" \* MERGEFORMAT </w:instrText>
      </w:r>
      <w:r w:rsidRPr="0092311A">
        <w:rPr>
          <w:noProof w:val="0"/>
          <w:lang w:val="es-ES"/>
        </w:rPr>
        <w:fldChar w:fldCharType="separate"/>
      </w:r>
      <w:r w:rsidR="00BD77A6" w:rsidRPr="0092311A">
        <w:rPr>
          <w:noProof w:val="0"/>
          <w:lang w:val="es-ES"/>
        </w:rPr>
        <w:t xml:space="preserve"> </w:t>
      </w:r>
      <w:r w:rsidR="00155175" w:rsidRPr="0092311A">
        <w:rPr>
          <w:noProof w:val="0"/>
          <w:lang w:val="es-ES"/>
        </w:rPr>
        <w:t xml:space="preserve">Fortalecimiento de la competitividad y desempeño bajo </w:t>
      </w:r>
      <w:r w:rsidR="00D4621D" w:rsidRPr="0092311A">
        <w:rPr>
          <w:noProof w:val="0"/>
          <w:lang w:val="es-ES"/>
        </w:rPr>
        <w:t xml:space="preserve">en </w:t>
      </w:r>
      <w:r w:rsidR="00155175" w:rsidRPr="0092311A">
        <w:rPr>
          <w:noProof w:val="0"/>
          <w:lang w:val="es-ES"/>
        </w:rPr>
        <w:t xml:space="preserve">carbono del sector café en Costa Rica </w:t>
      </w:r>
      <w:r w:rsidRPr="0092311A">
        <w:rPr>
          <w:noProof w:val="0"/>
          <w:lang w:val="es-ES"/>
        </w:rPr>
        <w:fldChar w:fldCharType="end"/>
      </w:r>
      <w:bookmarkEnd w:id="3"/>
    </w:p>
    <w:p w:rsidR="004F75FE" w:rsidRPr="0092311A" w:rsidRDefault="004F75FE">
      <w:pPr>
        <w:pStyle w:val="ProjectNumber"/>
        <w:rPr>
          <w:rStyle w:val="StyleProjectNumberBoldChar"/>
          <w:lang w:val="es-ES"/>
        </w:rPr>
      </w:pPr>
      <w:r w:rsidRPr="0092311A">
        <w:rPr>
          <w:rStyle w:val="StyleProjectNumberBoldChar"/>
          <w:lang w:val="es-ES"/>
        </w:rPr>
        <w:t>(</w:t>
      </w:r>
      <w:bookmarkStart w:id="4" w:name="ProjectNumber"/>
      <w:r w:rsidR="00155175" w:rsidRPr="0092311A">
        <w:rPr>
          <w:rStyle w:val="StyleProjectNumberBoldChar"/>
          <w:lang w:val="es-ES"/>
        </w:rPr>
        <w:t>CR-M1020</w:t>
      </w:r>
      <w:bookmarkEnd w:id="4"/>
      <w:r w:rsidRPr="0092311A">
        <w:rPr>
          <w:rStyle w:val="StyleProjectNumberBoldChar"/>
          <w:lang w:val="es-ES"/>
        </w:rPr>
        <w:t>)</w:t>
      </w:r>
    </w:p>
    <w:p w:rsidR="004F75FE" w:rsidRPr="0092311A" w:rsidRDefault="008E0FA8">
      <w:pPr>
        <w:pStyle w:val="LoanProposal"/>
        <w:rPr>
          <w:noProof w:val="0"/>
          <w:lang w:val="es-ES"/>
        </w:rPr>
      </w:pPr>
      <w:r w:rsidRPr="0092311A">
        <w:rPr>
          <w:noProof w:val="0"/>
          <w:lang w:val="es-ES"/>
        </w:rPr>
        <w:t>Memorando a los Donantes</w:t>
      </w:r>
      <w:r w:rsidR="004F75FE" w:rsidRPr="0092311A">
        <w:rPr>
          <w:noProof w:val="0"/>
          <w:lang w:val="es-ES"/>
        </w:rPr>
        <w:br/>
      </w:r>
      <w:r w:rsidR="004F75FE" w:rsidRPr="0092311A">
        <w:rPr>
          <w:noProof w:val="0"/>
          <w:lang w:val="es-ES"/>
        </w:rPr>
        <w:br/>
      </w:r>
      <w:r w:rsidR="004F75FE" w:rsidRPr="0092311A">
        <w:rPr>
          <w:noProof w:val="0"/>
          <w:lang w:val="es-ES"/>
        </w:rPr>
        <w:br/>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4F75FE" w:rsidRPr="0092311A">
        <w:tc>
          <w:tcPr>
            <w:tcW w:w="8370" w:type="dxa"/>
          </w:tcPr>
          <w:p w:rsidR="004F75FE" w:rsidRPr="0092311A" w:rsidRDefault="0067306A" w:rsidP="00630A2C">
            <w:pPr>
              <w:spacing w:before="120" w:after="120"/>
              <w:jc w:val="both"/>
              <w:rPr>
                <w:szCs w:val="24"/>
              </w:rPr>
            </w:pPr>
            <w:r w:rsidRPr="0092311A">
              <w:rPr>
                <w:szCs w:val="24"/>
              </w:rPr>
              <w:t>Este documento fue preparado por el equipo de proyecto integrado por</w:t>
            </w:r>
            <w:r w:rsidR="00AF782E" w:rsidRPr="0092311A">
              <w:rPr>
                <w:szCs w:val="24"/>
              </w:rPr>
              <w:t>:</w:t>
            </w:r>
            <w:r w:rsidR="00A715C5" w:rsidRPr="0092311A">
              <w:rPr>
                <w:szCs w:val="24"/>
              </w:rPr>
              <w:t xml:space="preserve"> </w:t>
            </w:r>
            <w:r w:rsidR="005011B2" w:rsidRPr="0092311A">
              <w:rPr>
                <w:szCs w:val="24"/>
              </w:rPr>
              <w:t>Lorena Mejicanos Rios (FOMIN/A</w:t>
            </w:r>
            <w:r w:rsidR="000C08EC" w:rsidRPr="0092311A">
              <w:rPr>
                <w:szCs w:val="24"/>
              </w:rPr>
              <w:t>BG</w:t>
            </w:r>
            <w:r w:rsidR="005011B2" w:rsidRPr="0092311A">
              <w:rPr>
                <w:szCs w:val="24"/>
              </w:rPr>
              <w:t xml:space="preserve">), </w:t>
            </w:r>
            <w:r w:rsidR="005242A5" w:rsidRPr="0092311A">
              <w:rPr>
                <w:szCs w:val="24"/>
              </w:rPr>
              <w:t>Jefe de Equipo</w:t>
            </w:r>
            <w:r w:rsidR="005011B2" w:rsidRPr="0092311A">
              <w:rPr>
                <w:szCs w:val="24"/>
              </w:rPr>
              <w:t>, Betsy Murray (FOMIN/CCR), Ruben Doboin (FOMIN/DEU), George Neumann (FOMIN/KSC), Alejandro Escobar (FOMIN/A</w:t>
            </w:r>
            <w:r w:rsidR="000C08EC" w:rsidRPr="0092311A">
              <w:rPr>
                <w:szCs w:val="24"/>
              </w:rPr>
              <w:t>B</w:t>
            </w:r>
            <w:r w:rsidR="005011B2" w:rsidRPr="0092311A">
              <w:rPr>
                <w:szCs w:val="24"/>
              </w:rPr>
              <w:t xml:space="preserve">M), Omar Samayoa (CGU/CCS), William Ernest (FOMIN/CCR), </w:t>
            </w:r>
            <w:r w:rsidR="00EA1154" w:rsidRPr="0092311A">
              <w:rPr>
                <w:szCs w:val="24"/>
              </w:rPr>
              <w:t xml:space="preserve">Carolyn Robert (INT/TIU), </w:t>
            </w:r>
            <w:r w:rsidR="005011B2" w:rsidRPr="0092311A">
              <w:rPr>
                <w:szCs w:val="24"/>
              </w:rPr>
              <w:t>Anne Marie Lauschus (LEG/NSG) e Isabel Auge (FOMIN/A</w:t>
            </w:r>
            <w:r w:rsidR="000C08EC" w:rsidRPr="0092311A">
              <w:rPr>
                <w:szCs w:val="24"/>
              </w:rPr>
              <w:t>BG</w:t>
            </w:r>
            <w:r w:rsidR="005011B2" w:rsidRPr="0092311A">
              <w:rPr>
                <w:szCs w:val="24"/>
              </w:rPr>
              <w:t xml:space="preserve">). </w:t>
            </w:r>
            <w:r w:rsidR="00630A2C">
              <w:rPr>
                <w:szCs w:val="24"/>
              </w:rPr>
              <w:t>Revisores</w:t>
            </w:r>
            <w:r w:rsidR="005C7D66" w:rsidRPr="0092311A">
              <w:rPr>
                <w:szCs w:val="24"/>
              </w:rPr>
              <w:t>: Carlos Ludeña y Sandra Enríquez (CCS).</w:t>
            </w:r>
            <w:r w:rsidR="00B613DC" w:rsidRPr="0092311A">
              <w:rPr>
                <w:szCs w:val="24"/>
              </w:rPr>
              <w:fldChar w:fldCharType="begin"/>
            </w:r>
            <w:r w:rsidRPr="0092311A">
              <w:rPr>
                <w:szCs w:val="24"/>
              </w:rPr>
              <w:instrText xml:space="preserve"> FILLIN "Insert project team names and departments as per original text" \* MERGEFORMAT </w:instrText>
            </w:r>
            <w:r w:rsidR="00B613DC" w:rsidRPr="0092311A">
              <w:rPr>
                <w:szCs w:val="24"/>
              </w:rPr>
              <w:fldChar w:fldCharType="end"/>
            </w:r>
          </w:p>
        </w:tc>
      </w:tr>
    </w:tbl>
    <w:p w:rsidR="003E74A8" w:rsidRPr="0092311A" w:rsidRDefault="003E74A8">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tblGrid>
      <w:tr w:rsidR="003E74A8" w:rsidRPr="0092311A" w:rsidTr="00BD77A6">
        <w:trPr>
          <w:jc w:val="center"/>
        </w:trPr>
        <w:tc>
          <w:tcPr>
            <w:tcW w:w="8370" w:type="dxa"/>
            <w:shd w:val="clear" w:color="auto" w:fill="auto"/>
          </w:tcPr>
          <w:p w:rsidR="003E74A8" w:rsidRPr="0092311A" w:rsidRDefault="00BD77A6" w:rsidP="00BD77A6">
            <w:pPr>
              <w:spacing w:before="120" w:after="120"/>
              <w:jc w:val="both"/>
              <w:rPr>
                <w:spacing w:val="0"/>
                <w:sz w:val="20"/>
              </w:rPr>
            </w:pPr>
            <w:r w:rsidRPr="0092311A">
              <w:rPr>
                <w:spacing w:val="0"/>
                <w:sz w:val="20"/>
              </w:rPr>
              <w:t>De conformidad con la Política de Acceso a Información, el presente documento está sujeto a divulgación pública.</w:t>
            </w:r>
          </w:p>
        </w:tc>
      </w:tr>
    </w:tbl>
    <w:p w:rsidR="004F75FE" w:rsidRPr="0092311A" w:rsidRDefault="004F75FE">
      <w:pPr>
        <w:sectPr w:rsidR="004F75FE" w:rsidRPr="0092311A" w:rsidSect="00DD19FE">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1440" w:gutter="0"/>
          <w:cols w:space="720"/>
          <w:vAlign w:val="both"/>
          <w:noEndnote/>
          <w:docGrid w:linePitch="326"/>
        </w:sectPr>
      </w:pPr>
      <w:r w:rsidRPr="0092311A">
        <w:br/>
      </w:r>
    </w:p>
    <w:p w:rsidR="004F75FE" w:rsidRPr="0092311A" w:rsidRDefault="004A24F0">
      <w:pPr>
        <w:pStyle w:val="TableContentsTitle"/>
        <w:rPr>
          <w:noProof w:val="0"/>
        </w:rPr>
      </w:pPr>
      <w:r w:rsidRPr="0092311A">
        <w:rPr>
          <w:noProof w:val="0"/>
        </w:rPr>
        <w:lastRenderedPageBreak/>
        <w:t>Índice</w:t>
      </w:r>
    </w:p>
    <w:p w:rsidR="00D60C1F" w:rsidRPr="0092311A" w:rsidRDefault="00B613DC">
      <w:pPr>
        <w:pStyle w:val="TOC1"/>
        <w:rPr>
          <w:rFonts w:asciiTheme="minorHAnsi" w:eastAsiaTheme="minorEastAsia" w:hAnsiTheme="minorHAnsi" w:cstheme="minorBidi"/>
          <w:smallCaps w:val="0"/>
          <w:spacing w:val="0"/>
          <w:sz w:val="22"/>
          <w:szCs w:val="22"/>
        </w:rPr>
      </w:pPr>
      <w:r w:rsidRPr="0092311A">
        <w:rPr>
          <w:rFonts w:ascii="Times New Roman Bold" w:hAnsi="Times New Roman Bold"/>
          <w:b/>
          <w:smallCaps w:val="0"/>
        </w:rPr>
        <w:fldChar w:fldCharType="begin"/>
      </w:r>
      <w:r w:rsidR="004F75FE" w:rsidRPr="0092311A">
        <w:rPr>
          <w:rFonts w:ascii="Times New Roman Bold" w:hAnsi="Times New Roman Bold"/>
          <w:b/>
          <w:smallCaps w:val="0"/>
        </w:rPr>
        <w:instrText xml:space="preserve"> TOC \o "1-3" </w:instrText>
      </w:r>
      <w:r w:rsidRPr="0092311A">
        <w:rPr>
          <w:rFonts w:ascii="Times New Roman Bold" w:hAnsi="Times New Roman Bold"/>
          <w:b/>
          <w:smallCaps w:val="0"/>
        </w:rPr>
        <w:fldChar w:fldCharType="separate"/>
      </w:r>
      <w:r w:rsidR="00D60C1F" w:rsidRPr="0092311A">
        <w:t>I.</w:t>
      </w:r>
      <w:r w:rsidR="00D60C1F" w:rsidRPr="0092311A">
        <w:rPr>
          <w:rFonts w:asciiTheme="minorHAnsi" w:eastAsiaTheme="minorEastAsia" w:hAnsiTheme="minorHAnsi" w:cstheme="minorBidi"/>
          <w:smallCaps w:val="0"/>
          <w:spacing w:val="0"/>
          <w:sz w:val="22"/>
          <w:szCs w:val="22"/>
        </w:rPr>
        <w:tab/>
      </w:r>
      <w:r w:rsidR="00D60C1F" w:rsidRPr="0092311A">
        <w:t>Resumen Ejecutivo</w:t>
      </w:r>
      <w:r w:rsidR="00D60C1F" w:rsidRPr="0092311A">
        <w:tab/>
      </w:r>
      <w:r w:rsidR="00D60C1F" w:rsidRPr="0092311A">
        <w:fldChar w:fldCharType="begin"/>
      </w:r>
      <w:r w:rsidR="00D60C1F" w:rsidRPr="0092311A">
        <w:instrText xml:space="preserve"> PAGEREF _Toc363224973 \h </w:instrText>
      </w:r>
      <w:r w:rsidR="00D60C1F" w:rsidRPr="0092311A">
        <w:fldChar w:fldCharType="separate"/>
      </w:r>
      <w:r w:rsidR="002A24CA">
        <w:t>2</w:t>
      </w:r>
      <w:r w:rsidR="00D60C1F" w:rsidRPr="0092311A">
        <w:fldChar w:fldCharType="end"/>
      </w:r>
    </w:p>
    <w:p w:rsidR="00D60C1F" w:rsidRPr="0092311A" w:rsidRDefault="00D60C1F">
      <w:pPr>
        <w:pStyle w:val="TOC1"/>
        <w:rPr>
          <w:rFonts w:asciiTheme="minorHAnsi" w:eastAsiaTheme="minorEastAsia" w:hAnsiTheme="minorHAnsi" w:cstheme="minorBidi"/>
          <w:smallCaps w:val="0"/>
          <w:spacing w:val="0"/>
          <w:sz w:val="22"/>
          <w:szCs w:val="22"/>
        </w:rPr>
      </w:pPr>
      <w:r w:rsidRPr="0092311A">
        <w:t>II.</w:t>
      </w:r>
      <w:r w:rsidRPr="0092311A">
        <w:rPr>
          <w:rFonts w:asciiTheme="minorHAnsi" w:eastAsiaTheme="minorEastAsia" w:hAnsiTheme="minorHAnsi" w:cstheme="minorBidi"/>
          <w:smallCaps w:val="0"/>
          <w:spacing w:val="0"/>
          <w:sz w:val="22"/>
          <w:szCs w:val="22"/>
        </w:rPr>
        <w:tab/>
      </w:r>
      <w:r w:rsidRPr="0092311A">
        <w:t>Antecedentes y Justificacion</w:t>
      </w:r>
      <w:r w:rsidRPr="0092311A">
        <w:tab/>
      </w:r>
      <w:r w:rsidRPr="0092311A">
        <w:fldChar w:fldCharType="begin"/>
      </w:r>
      <w:r w:rsidRPr="0092311A">
        <w:instrText xml:space="preserve"> PAGEREF _Toc363224974 \h </w:instrText>
      </w:r>
      <w:r w:rsidRPr="0092311A">
        <w:fldChar w:fldCharType="separate"/>
      </w:r>
      <w:r w:rsidR="002A24CA">
        <w:t>4</w:t>
      </w:r>
      <w:r w:rsidRPr="0092311A">
        <w:fldChar w:fldCharType="end"/>
      </w:r>
    </w:p>
    <w:p w:rsidR="00D60C1F" w:rsidRPr="0092311A" w:rsidRDefault="00D60C1F">
      <w:pPr>
        <w:pStyle w:val="TOC1"/>
        <w:rPr>
          <w:rFonts w:asciiTheme="minorHAnsi" w:eastAsiaTheme="minorEastAsia" w:hAnsiTheme="minorHAnsi" w:cstheme="minorBidi"/>
          <w:smallCaps w:val="0"/>
          <w:spacing w:val="0"/>
          <w:sz w:val="22"/>
          <w:szCs w:val="22"/>
        </w:rPr>
      </w:pPr>
      <w:r w:rsidRPr="0092311A">
        <w:t>III.</w:t>
      </w:r>
      <w:r w:rsidRPr="0092311A">
        <w:rPr>
          <w:rFonts w:asciiTheme="minorHAnsi" w:eastAsiaTheme="minorEastAsia" w:hAnsiTheme="minorHAnsi" w:cstheme="minorBidi"/>
          <w:smallCaps w:val="0"/>
          <w:spacing w:val="0"/>
          <w:sz w:val="22"/>
          <w:szCs w:val="22"/>
        </w:rPr>
        <w:tab/>
      </w:r>
      <w:r w:rsidRPr="0092311A">
        <w:t>Objetivos y Componentes del Proyecto</w:t>
      </w:r>
      <w:r w:rsidRPr="0092311A">
        <w:tab/>
      </w:r>
      <w:r w:rsidRPr="0092311A">
        <w:fldChar w:fldCharType="begin"/>
      </w:r>
      <w:r w:rsidRPr="0092311A">
        <w:instrText xml:space="preserve"> PAGEREF _Toc363224978 \h </w:instrText>
      </w:r>
      <w:r w:rsidRPr="0092311A">
        <w:fldChar w:fldCharType="separate"/>
      </w:r>
      <w:r w:rsidR="002A24CA">
        <w:t>7</w:t>
      </w:r>
      <w:r w:rsidRPr="0092311A">
        <w:fldChar w:fldCharType="end"/>
      </w:r>
    </w:p>
    <w:p w:rsidR="00D60C1F" w:rsidRPr="0092311A" w:rsidRDefault="00D60C1F">
      <w:pPr>
        <w:pStyle w:val="TOC1"/>
        <w:rPr>
          <w:rFonts w:asciiTheme="minorHAnsi" w:eastAsiaTheme="minorEastAsia" w:hAnsiTheme="minorHAnsi" w:cstheme="minorBidi"/>
          <w:smallCaps w:val="0"/>
          <w:spacing w:val="0"/>
          <w:sz w:val="22"/>
          <w:szCs w:val="22"/>
        </w:rPr>
      </w:pPr>
      <w:r w:rsidRPr="0092311A">
        <w:t>IV.</w:t>
      </w:r>
      <w:r w:rsidRPr="0092311A">
        <w:rPr>
          <w:rFonts w:asciiTheme="minorHAnsi" w:eastAsiaTheme="minorEastAsia" w:hAnsiTheme="minorHAnsi" w:cstheme="minorBidi"/>
          <w:smallCaps w:val="0"/>
          <w:spacing w:val="0"/>
          <w:sz w:val="22"/>
          <w:szCs w:val="22"/>
        </w:rPr>
        <w:tab/>
      </w:r>
      <w:r w:rsidRPr="0092311A">
        <w:rPr>
          <w:szCs w:val="24"/>
        </w:rPr>
        <w:t>E</w:t>
      </w:r>
      <w:r w:rsidR="00D25310" w:rsidRPr="0092311A">
        <w:rPr>
          <w:szCs w:val="24"/>
        </w:rPr>
        <w:t>stra</w:t>
      </w:r>
      <w:r w:rsidR="0092311A">
        <w:rPr>
          <w:szCs w:val="24"/>
        </w:rPr>
        <w:t>te</w:t>
      </w:r>
      <w:r w:rsidR="00D25310" w:rsidRPr="0092311A">
        <w:rPr>
          <w:szCs w:val="24"/>
        </w:rPr>
        <w:t>gia de Seguimiento y Evaluación</w:t>
      </w:r>
      <w:r w:rsidRPr="0092311A">
        <w:tab/>
      </w:r>
      <w:r w:rsidRPr="0092311A">
        <w:fldChar w:fldCharType="begin"/>
      </w:r>
      <w:r w:rsidRPr="0092311A">
        <w:instrText xml:space="preserve"> PAGEREF _Toc363224981 \h </w:instrText>
      </w:r>
      <w:r w:rsidRPr="0092311A">
        <w:fldChar w:fldCharType="separate"/>
      </w:r>
      <w:r w:rsidR="002A24CA">
        <w:t>17</w:t>
      </w:r>
      <w:r w:rsidRPr="0092311A">
        <w:fldChar w:fldCharType="end"/>
      </w:r>
    </w:p>
    <w:p w:rsidR="00D60C1F" w:rsidRPr="0092311A" w:rsidRDefault="00D60C1F">
      <w:pPr>
        <w:pStyle w:val="TOC1"/>
        <w:rPr>
          <w:rFonts w:asciiTheme="minorHAnsi" w:eastAsiaTheme="minorEastAsia" w:hAnsiTheme="minorHAnsi" w:cstheme="minorBidi"/>
          <w:smallCaps w:val="0"/>
          <w:spacing w:val="0"/>
          <w:sz w:val="22"/>
          <w:szCs w:val="22"/>
        </w:rPr>
      </w:pPr>
      <w:r w:rsidRPr="0092311A">
        <w:t>V.</w:t>
      </w:r>
      <w:r w:rsidRPr="0092311A">
        <w:rPr>
          <w:rFonts w:asciiTheme="minorHAnsi" w:eastAsiaTheme="minorEastAsia" w:hAnsiTheme="minorHAnsi" w:cstheme="minorBidi"/>
          <w:smallCaps w:val="0"/>
          <w:spacing w:val="0"/>
          <w:sz w:val="22"/>
          <w:szCs w:val="22"/>
        </w:rPr>
        <w:tab/>
      </w:r>
      <w:r w:rsidRPr="0092311A">
        <w:t>C</w:t>
      </w:r>
      <w:r w:rsidR="00D25310" w:rsidRPr="0092311A">
        <w:t xml:space="preserve">osto y financiamiento </w:t>
      </w:r>
      <w:r w:rsidRPr="0092311A">
        <w:tab/>
      </w:r>
      <w:r w:rsidRPr="0092311A">
        <w:fldChar w:fldCharType="begin"/>
      </w:r>
      <w:r w:rsidRPr="0092311A">
        <w:instrText xml:space="preserve"> PAGEREF _Toc363224982 \h </w:instrText>
      </w:r>
      <w:r w:rsidRPr="0092311A">
        <w:fldChar w:fldCharType="separate"/>
      </w:r>
      <w:r w:rsidR="002A24CA">
        <w:t>19</w:t>
      </w:r>
      <w:r w:rsidRPr="0092311A">
        <w:fldChar w:fldCharType="end"/>
      </w:r>
    </w:p>
    <w:p w:rsidR="00D60C1F" w:rsidRPr="0092311A" w:rsidRDefault="00D60C1F">
      <w:pPr>
        <w:pStyle w:val="TOC2"/>
        <w:rPr>
          <w:rFonts w:asciiTheme="minorHAnsi" w:eastAsiaTheme="minorEastAsia" w:hAnsiTheme="minorHAnsi" w:cstheme="minorBidi"/>
          <w:spacing w:val="0"/>
          <w:sz w:val="22"/>
          <w:szCs w:val="22"/>
        </w:rPr>
      </w:pPr>
      <w:r w:rsidRPr="0092311A">
        <w:t>VI.</w:t>
      </w:r>
      <w:r w:rsidRPr="0092311A">
        <w:rPr>
          <w:rFonts w:asciiTheme="minorHAnsi" w:eastAsiaTheme="minorEastAsia" w:hAnsiTheme="minorHAnsi" w:cstheme="minorBidi"/>
          <w:spacing w:val="0"/>
          <w:sz w:val="22"/>
          <w:szCs w:val="22"/>
        </w:rPr>
        <w:tab/>
      </w:r>
      <w:r w:rsidRPr="0092311A">
        <w:t>AGENCIA EJECUTORA</w:t>
      </w:r>
      <w:r w:rsidRPr="0092311A">
        <w:tab/>
      </w:r>
      <w:r w:rsidRPr="0092311A">
        <w:fldChar w:fldCharType="begin"/>
      </w:r>
      <w:r w:rsidRPr="0092311A">
        <w:instrText xml:space="preserve"> PAGEREF _Toc363224983 \h </w:instrText>
      </w:r>
      <w:r w:rsidRPr="0092311A">
        <w:fldChar w:fldCharType="separate"/>
      </w:r>
      <w:r w:rsidR="002A24CA">
        <w:t>19</w:t>
      </w:r>
      <w:r w:rsidRPr="0092311A">
        <w:fldChar w:fldCharType="end"/>
      </w:r>
    </w:p>
    <w:p w:rsidR="00D60C1F" w:rsidRPr="0092311A" w:rsidRDefault="00D60C1F">
      <w:pPr>
        <w:pStyle w:val="TOC2"/>
        <w:rPr>
          <w:rFonts w:asciiTheme="minorHAnsi" w:eastAsiaTheme="minorEastAsia" w:hAnsiTheme="minorHAnsi" w:cstheme="minorBidi"/>
          <w:spacing w:val="0"/>
          <w:sz w:val="22"/>
          <w:szCs w:val="22"/>
        </w:rPr>
      </w:pPr>
      <w:r w:rsidRPr="0092311A">
        <w:t>VII.</w:t>
      </w:r>
      <w:r w:rsidRPr="0092311A">
        <w:rPr>
          <w:rFonts w:asciiTheme="minorHAnsi" w:eastAsiaTheme="minorEastAsia" w:hAnsiTheme="minorHAnsi" w:cstheme="minorBidi"/>
          <w:spacing w:val="0"/>
          <w:sz w:val="22"/>
          <w:szCs w:val="22"/>
        </w:rPr>
        <w:tab/>
      </w:r>
      <w:r w:rsidRPr="0092311A">
        <w:t>RIESGOS DEL PROYECTO</w:t>
      </w:r>
      <w:r w:rsidRPr="0092311A">
        <w:tab/>
      </w:r>
      <w:r w:rsidRPr="0092311A">
        <w:fldChar w:fldCharType="begin"/>
      </w:r>
      <w:r w:rsidRPr="0092311A">
        <w:instrText xml:space="preserve"> PAGEREF _Toc363224984 \h </w:instrText>
      </w:r>
      <w:r w:rsidRPr="0092311A">
        <w:fldChar w:fldCharType="separate"/>
      </w:r>
      <w:r w:rsidR="002A24CA">
        <w:t>20</w:t>
      </w:r>
      <w:r w:rsidRPr="0092311A">
        <w:fldChar w:fldCharType="end"/>
      </w:r>
    </w:p>
    <w:p w:rsidR="00D60C1F" w:rsidRPr="0092311A" w:rsidRDefault="00D60C1F">
      <w:pPr>
        <w:pStyle w:val="TOC2"/>
        <w:rPr>
          <w:rFonts w:asciiTheme="minorHAnsi" w:eastAsiaTheme="minorEastAsia" w:hAnsiTheme="minorHAnsi" w:cstheme="minorBidi"/>
          <w:spacing w:val="0"/>
          <w:sz w:val="22"/>
          <w:szCs w:val="22"/>
        </w:rPr>
      </w:pPr>
      <w:r w:rsidRPr="0092311A">
        <w:t>VIII.</w:t>
      </w:r>
      <w:r w:rsidRPr="0092311A">
        <w:rPr>
          <w:rFonts w:asciiTheme="minorHAnsi" w:eastAsiaTheme="minorEastAsia" w:hAnsiTheme="minorHAnsi" w:cstheme="minorBidi"/>
          <w:spacing w:val="0"/>
          <w:sz w:val="22"/>
          <w:szCs w:val="22"/>
        </w:rPr>
        <w:tab/>
      </w:r>
      <w:r w:rsidRPr="0092311A">
        <w:t>EFECTOS AMBIENTALES Y SOCIALES</w:t>
      </w:r>
      <w:r w:rsidRPr="0092311A">
        <w:tab/>
      </w:r>
      <w:r w:rsidRPr="0092311A">
        <w:fldChar w:fldCharType="begin"/>
      </w:r>
      <w:r w:rsidRPr="0092311A">
        <w:instrText xml:space="preserve"> PAGEREF _Toc363224985 \h </w:instrText>
      </w:r>
      <w:r w:rsidRPr="0092311A">
        <w:fldChar w:fldCharType="separate"/>
      </w:r>
      <w:r w:rsidR="002A24CA">
        <w:t>21</w:t>
      </w:r>
      <w:r w:rsidRPr="0092311A">
        <w:fldChar w:fldCharType="end"/>
      </w:r>
    </w:p>
    <w:p w:rsidR="00D60C1F" w:rsidRPr="0092311A" w:rsidRDefault="00D60C1F">
      <w:pPr>
        <w:pStyle w:val="TOC2"/>
        <w:rPr>
          <w:rFonts w:asciiTheme="minorHAnsi" w:eastAsiaTheme="minorEastAsia" w:hAnsiTheme="minorHAnsi" w:cstheme="minorBidi"/>
          <w:spacing w:val="0"/>
          <w:sz w:val="22"/>
          <w:szCs w:val="22"/>
        </w:rPr>
      </w:pPr>
      <w:r w:rsidRPr="0092311A">
        <w:rPr>
          <w:rFonts w:eastAsia="Cambria"/>
        </w:rPr>
        <w:t>IX.</w:t>
      </w:r>
      <w:r w:rsidRPr="0092311A">
        <w:rPr>
          <w:rFonts w:asciiTheme="minorHAnsi" w:eastAsiaTheme="minorEastAsia" w:hAnsiTheme="minorHAnsi" w:cstheme="minorBidi"/>
          <w:spacing w:val="0"/>
          <w:sz w:val="22"/>
          <w:szCs w:val="22"/>
        </w:rPr>
        <w:tab/>
      </w:r>
      <w:r w:rsidRPr="0092311A">
        <w:t>CUMPLIMIENTO CON HITOS Y ARREGLOS FIDUCIARIOS</w:t>
      </w:r>
      <w:r w:rsidRPr="0092311A">
        <w:rPr>
          <w:rFonts w:eastAsia="Cambria"/>
        </w:rPr>
        <w:t xml:space="preserve"> ESPECIALES</w:t>
      </w:r>
      <w:r w:rsidRPr="0092311A">
        <w:tab/>
      </w:r>
      <w:r w:rsidRPr="0092311A">
        <w:fldChar w:fldCharType="begin"/>
      </w:r>
      <w:r w:rsidRPr="0092311A">
        <w:instrText xml:space="preserve"> PAGEREF _Toc363224986 \h </w:instrText>
      </w:r>
      <w:r w:rsidRPr="0092311A">
        <w:fldChar w:fldCharType="separate"/>
      </w:r>
      <w:r w:rsidR="002A24CA">
        <w:t>21</w:t>
      </w:r>
      <w:r w:rsidRPr="0092311A">
        <w:fldChar w:fldCharType="end"/>
      </w:r>
    </w:p>
    <w:p w:rsidR="00D60C1F" w:rsidRPr="0092311A" w:rsidRDefault="00D60C1F">
      <w:pPr>
        <w:pStyle w:val="TOC2"/>
        <w:rPr>
          <w:rFonts w:asciiTheme="minorHAnsi" w:eastAsiaTheme="minorEastAsia" w:hAnsiTheme="minorHAnsi" w:cstheme="minorBidi"/>
          <w:spacing w:val="0"/>
          <w:sz w:val="22"/>
          <w:szCs w:val="22"/>
        </w:rPr>
      </w:pPr>
      <w:r w:rsidRPr="0092311A">
        <w:t>X.</w:t>
      </w:r>
      <w:r w:rsidRPr="0092311A">
        <w:rPr>
          <w:rFonts w:asciiTheme="minorHAnsi" w:eastAsiaTheme="minorEastAsia" w:hAnsiTheme="minorHAnsi" w:cstheme="minorBidi"/>
          <w:spacing w:val="0"/>
          <w:sz w:val="22"/>
          <w:szCs w:val="22"/>
        </w:rPr>
        <w:tab/>
      </w:r>
      <w:r w:rsidRPr="0092311A">
        <w:t>ACCESO A LA INFORMACION Y PROPIEDAD INTELECTUAL</w:t>
      </w:r>
      <w:r w:rsidRPr="0092311A">
        <w:tab/>
      </w:r>
      <w:r w:rsidRPr="0092311A">
        <w:fldChar w:fldCharType="begin"/>
      </w:r>
      <w:r w:rsidRPr="0092311A">
        <w:instrText xml:space="preserve"> PAGEREF _Toc363224987 \h </w:instrText>
      </w:r>
      <w:r w:rsidRPr="0092311A">
        <w:fldChar w:fldCharType="separate"/>
      </w:r>
      <w:r w:rsidR="002A24CA">
        <w:t>21</w:t>
      </w:r>
      <w:r w:rsidRPr="0092311A">
        <w:fldChar w:fldCharType="end"/>
      </w:r>
    </w:p>
    <w:p w:rsidR="004F75FE" w:rsidRPr="0092311A" w:rsidRDefault="00B613DC" w:rsidP="00D60C1F">
      <w:pPr>
        <w:tabs>
          <w:tab w:val="left" w:pos="0"/>
        </w:tabs>
        <w:rPr>
          <w:rFonts w:ascii="Times New Roman Bold" w:hAnsi="Times New Roman Bold"/>
          <w:b/>
          <w:smallCaps/>
        </w:rPr>
      </w:pPr>
      <w:r w:rsidRPr="0092311A">
        <w:rPr>
          <w:rFonts w:ascii="Times New Roman Bold" w:hAnsi="Times New Roman Bold"/>
          <w:b/>
          <w:smallCaps/>
        </w:rPr>
        <w:fldChar w:fldCharType="end"/>
      </w:r>
    </w:p>
    <w:p w:rsidR="004F75FE" w:rsidRPr="0092311A" w:rsidRDefault="004F75FE" w:rsidP="00C56290"/>
    <w:p w:rsidR="00D71EE4" w:rsidRPr="0092311A" w:rsidRDefault="004F75FE">
      <w:pPr>
        <w:pStyle w:val="Listabbreviations"/>
      </w:pPr>
      <w:r w:rsidRPr="0092311A">
        <w:br w:type="page"/>
      </w:r>
    </w:p>
    <w:p w:rsidR="00D71EE4" w:rsidRPr="00657FF7" w:rsidRDefault="00676BB6" w:rsidP="00676BB6">
      <w:pPr>
        <w:pStyle w:val="heading-b24"/>
        <w:rPr>
          <w:lang w:val="pt-BR"/>
        </w:rPr>
      </w:pPr>
      <w:r w:rsidRPr="00657FF7">
        <w:rPr>
          <w:lang w:val="pt-BR"/>
        </w:rPr>
        <w:lastRenderedPageBreak/>
        <w:t>Anexos</w:t>
      </w:r>
    </w:p>
    <w:p w:rsidR="00676BB6" w:rsidRPr="00657FF7" w:rsidRDefault="00676BB6" w:rsidP="00676BB6">
      <w:pPr>
        <w:pStyle w:val="Listabbreviations"/>
        <w:rPr>
          <w:lang w:val="pt-BR"/>
        </w:rPr>
      </w:pPr>
      <w:r w:rsidRPr="00657FF7">
        <w:rPr>
          <w:lang w:val="pt-BR"/>
        </w:rPr>
        <w:t>Anexo I</w:t>
      </w:r>
      <w:r w:rsidRPr="00657FF7">
        <w:rPr>
          <w:lang w:val="pt-BR"/>
        </w:rPr>
        <w:tab/>
      </w:r>
      <w:r w:rsidR="00A715C5" w:rsidRPr="00657FF7">
        <w:rPr>
          <w:sz w:val="22"/>
          <w:szCs w:val="22"/>
          <w:lang w:val="pt-BR"/>
        </w:rPr>
        <w:t>Marco lógico resumido</w:t>
      </w:r>
      <w:r w:rsidR="00462092" w:rsidRPr="00657FF7">
        <w:rPr>
          <w:sz w:val="22"/>
          <w:szCs w:val="22"/>
          <w:lang w:val="pt-BR"/>
        </w:rPr>
        <w:t xml:space="preserve"> </w:t>
      </w:r>
      <w:hyperlink r:id="rId15" w:history="1">
        <w:r w:rsidR="000318FE" w:rsidRPr="00657FF7">
          <w:rPr>
            <w:rStyle w:val="Hyperlink"/>
            <w:lang w:val="pt-BR"/>
          </w:rPr>
          <w:t>IDBDOCS-#37860542-CR-M1020 Marco Logico</w:t>
        </w:r>
      </w:hyperlink>
    </w:p>
    <w:p w:rsidR="00A715C5" w:rsidRPr="0092311A" w:rsidRDefault="00A715C5" w:rsidP="00A715C5">
      <w:pPr>
        <w:pStyle w:val="Listabbreviations"/>
        <w:rPr>
          <w:sz w:val="22"/>
          <w:szCs w:val="22"/>
        </w:rPr>
      </w:pPr>
      <w:r w:rsidRPr="0092311A">
        <w:rPr>
          <w:sz w:val="22"/>
          <w:szCs w:val="22"/>
        </w:rPr>
        <w:t>Anexo II</w:t>
      </w:r>
      <w:r w:rsidRPr="0092311A">
        <w:rPr>
          <w:sz w:val="22"/>
          <w:szCs w:val="22"/>
        </w:rPr>
        <w:tab/>
        <w:t>Presupuesto detallado</w:t>
      </w:r>
      <w:r w:rsidR="000318FE" w:rsidRPr="0092311A">
        <w:rPr>
          <w:sz w:val="22"/>
          <w:szCs w:val="22"/>
        </w:rPr>
        <w:t xml:space="preserve"> </w:t>
      </w:r>
      <w:hyperlink r:id="rId16" w:history="1">
        <w:r w:rsidR="000318FE" w:rsidRPr="0092311A">
          <w:rPr>
            <w:rStyle w:val="Hyperlink"/>
          </w:rPr>
          <w:t>IDBDOCS-#37774569-CR-M1020 Presupuesto detallado</w:t>
        </w:r>
      </w:hyperlink>
    </w:p>
    <w:p w:rsidR="00A715C5" w:rsidRPr="0092311A" w:rsidRDefault="00A715C5" w:rsidP="00A715C5">
      <w:pPr>
        <w:pStyle w:val="Listabbreviations"/>
        <w:rPr>
          <w:sz w:val="22"/>
          <w:szCs w:val="22"/>
        </w:rPr>
      </w:pPr>
      <w:r w:rsidRPr="0092311A">
        <w:rPr>
          <w:sz w:val="22"/>
          <w:szCs w:val="22"/>
        </w:rPr>
        <w:t>Anexo III</w:t>
      </w:r>
      <w:r w:rsidRPr="0092311A">
        <w:rPr>
          <w:sz w:val="22"/>
          <w:szCs w:val="22"/>
        </w:rPr>
        <w:tab/>
      </w:r>
      <w:r w:rsidR="00D92FDB" w:rsidRPr="0092311A">
        <w:rPr>
          <w:sz w:val="22"/>
          <w:szCs w:val="22"/>
        </w:rPr>
        <w:t xml:space="preserve">Matriz de </w:t>
      </w:r>
      <w:r w:rsidRPr="0092311A">
        <w:rPr>
          <w:sz w:val="22"/>
          <w:szCs w:val="22"/>
        </w:rPr>
        <w:t>Calidad para la Efectividad en el Desarrollo (QED)</w:t>
      </w:r>
      <w:r w:rsidR="000318FE" w:rsidRPr="0092311A">
        <w:rPr>
          <w:sz w:val="22"/>
          <w:szCs w:val="22"/>
        </w:rPr>
        <w:t xml:space="preserve"> </w:t>
      </w:r>
      <w:hyperlink r:id="rId17" w:history="1">
        <w:r w:rsidR="000318FE" w:rsidRPr="0092311A">
          <w:rPr>
            <w:rStyle w:val="Hyperlink"/>
          </w:rPr>
          <w:t>IDBDOCS-#37568832-QED CR-M1020</w:t>
        </w:r>
      </w:hyperlink>
    </w:p>
    <w:p w:rsidR="00676BB6" w:rsidRPr="0092311A" w:rsidRDefault="00676BB6" w:rsidP="00E147AB"/>
    <w:p w:rsidR="00676BB6" w:rsidRPr="0092311A" w:rsidRDefault="00676BB6" w:rsidP="00676BB6"/>
    <w:p w:rsidR="004F75FE" w:rsidRPr="0092311A" w:rsidRDefault="004F75FE">
      <w:pPr>
        <w:pStyle w:val="heading-b24"/>
      </w:pPr>
      <w:r w:rsidRPr="0092311A">
        <w:br w:type="page"/>
      </w:r>
      <w:r w:rsidR="00443658" w:rsidRPr="0092311A">
        <w:t>Información Disponible en los Archivos Técnicos</w:t>
      </w:r>
      <w:r w:rsidR="0067306A" w:rsidRPr="0092311A">
        <w:t xml:space="preserve"> del Proyecto</w:t>
      </w:r>
    </w:p>
    <w:tbl>
      <w:tblPr>
        <w:tblW w:w="8971" w:type="dxa"/>
        <w:tblLayout w:type="fixed"/>
        <w:tblLook w:val="0000" w:firstRow="0" w:lastRow="0" w:firstColumn="0" w:lastColumn="0" w:noHBand="0" w:noVBand="0"/>
      </w:tblPr>
      <w:tblGrid>
        <w:gridCol w:w="1843"/>
        <w:gridCol w:w="7128"/>
      </w:tblGrid>
      <w:tr w:rsidR="00EC0CF1" w:rsidRPr="0092311A" w:rsidTr="006D755B">
        <w:trPr>
          <w:trHeight w:val="403"/>
        </w:trPr>
        <w:tc>
          <w:tcPr>
            <w:tcW w:w="1843" w:type="dxa"/>
            <w:vAlign w:val="center"/>
          </w:tcPr>
          <w:p w:rsidR="00EC0CF1" w:rsidRPr="0092311A" w:rsidRDefault="00EC0CF1" w:rsidP="00EF0E62">
            <w:pPr>
              <w:pStyle w:val="AbbrDesc"/>
              <w:jc w:val="left"/>
            </w:pPr>
            <w:r w:rsidRPr="0092311A">
              <w:t xml:space="preserve">ANEXO </w:t>
            </w:r>
            <w:r w:rsidR="00553725" w:rsidRPr="0092311A">
              <w:t>I</w:t>
            </w:r>
            <w:r w:rsidRPr="0092311A">
              <w:t>V</w:t>
            </w:r>
          </w:p>
        </w:tc>
        <w:tc>
          <w:tcPr>
            <w:tcW w:w="7128" w:type="dxa"/>
            <w:vAlign w:val="center"/>
          </w:tcPr>
          <w:p w:rsidR="00E878C0" w:rsidRPr="0092311A" w:rsidRDefault="00EC0CF1" w:rsidP="00EF0E62">
            <w:pPr>
              <w:pStyle w:val="AbbrDesc"/>
              <w:jc w:val="left"/>
            </w:pPr>
            <w:r w:rsidRPr="0092311A">
              <w:t>Lista Preliminar de Hitos</w:t>
            </w:r>
          </w:p>
          <w:p w:rsidR="00E878C0" w:rsidRPr="0092311A" w:rsidRDefault="00E10A3C" w:rsidP="00054D8D">
            <w:pPr>
              <w:pStyle w:val="AbbrDesc"/>
              <w:jc w:val="left"/>
            </w:pPr>
            <w:hyperlink r:id="rId18" w:history="1">
              <w:r w:rsidR="00E878C0" w:rsidRPr="0092311A">
                <w:rPr>
                  <w:rStyle w:val="Hyperlink"/>
                  <w:spacing w:val="-3"/>
                </w:rPr>
                <w:t>IDBDOCS-#38033393-CR-M1020 Hitos</w:t>
              </w:r>
            </w:hyperlink>
          </w:p>
        </w:tc>
      </w:tr>
      <w:tr w:rsidR="00EC0CF1" w:rsidRPr="0092311A" w:rsidTr="006D755B">
        <w:trPr>
          <w:trHeight w:val="403"/>
        </w:trPr>
        <w:tc>
          <w:tcPr>
            <w:tcW w:w="1843" w:type="dxa"/>
            <w:vAlign w:val="center"/>
          </w:tcPr>
          <w:p w:rsidR="00EC0CF1" w:rsidRPr="0092311A" w:rsidRDefault="00EC0CF1" w:rsidP="00553725">
            <w:pPr>
              <w:pStyle w:val="AbbrDesc"/>
              <w:jc w:val="left"/>
            </w:pPr>
            <w:r w:rsidRPr="0092311A">
              <w:t>ANEXO V</w:t>
            </w:r>
          </w:p>
        </w:tc>
        <w:tc>
          <w:tcPr>
            <w:tcW w:w="7128" w:type="dxa"/>
            <w:vAlign w:val="center"/>
          </w:tcPr>
          <w:p w:rsidR="00EC0CF1" w:rsidRPr="0092311A" w:rsidRDefault="00EC0CF1" w:rsidP="00EF0E62">
            <w:pPr>
              <w:pStyle w:val="AbbrDesc"/>
              <w:jc w:val="left"/>
            </w:pPr>
            <w:r w:rsidRPr="0092311A">
              <w:t>Diagnóstico de las Necesidades de la Agencia Ejecutora (DNA)</w:t>
            </w:r>
          </w:p>
        </w:tc>
      </w:tr>
      <w:tr w:rsidR="00EC0CF1" w:rsidRPr="0092311A" w:rsidTr="006D755B">
        <w:trPr>
          <w:trHeight w:val="403"/>
        </w:trPr>
        <w:tc>
          <w:tcPr>
            <w:tcW w:w="1843" w:type="dxa"/>
            <w:vAlign w:val="center"/>
          </w:tcPr>
          <w:p w:rsidR="00EC0CF1" w:rsidRPr="0092311A" w:rsidRDefault="00EC0CF1" w:rsidP="00553725">
            <w:pPr>
              <w:pStyle w:val="AbbrDesc"/>
              <w:jc w:val="left"/>
            </w:pPr>
            <w:r w:rsidRPr="0092311A">
              <w:t>ANEXO VI</w:t>
            </w:r>
          </w:p>
        </w:tc>
        <w:tc>
          <w:tcPr>
            <w:tcW w:w="7128" w:type="dxa"/>
            <w:vAlign w:val="center"/>
          </w:tcPr>
          <w:p w:rsidR="00EC0CF1" w:rsidRPr="0092311A" w:rsidRDefault="00EC0CF1" w:rsidP="00EF0E62">
            <w:pPr>
              <w:pStyle w:val="AbbrDesc"/>
              <w:jc w:val="left"/>
            </w:pPr>
            <w:r w:rsidRPr="0092311A">
              <w:t>Informes de Avance (PSR), Cumplimiento con Hitos, Acuerdos Fiduciarios e Integridad Institucional</w:t>
            </w:r>
          </w:p>
        </w:tc>
      </w:tr>
      <w:tr w:rsidR="00EC0CF1" w:rsidRPr="0092311A" w:rsidTr="006D755B">
        <w:trPr>
          <w:trHeight w:val="403"/>
        </w:trPr>
        <w:tc>
          <w:tcPr>
            <w:tcW w:w="1843" w:type="dxa"/>
            <w:vAlign w:val="center"/>
          </w:tcPr>
          <w:p w:rsidR="00EC0CF1" w:rsidRPr="0092311A" w:rsidRDefault="00EC0CF1" w:rsidP="00553725">
            <w:pPr>
              <w:pStyle w:val="AbbrDesc"/>
              <w:jc w:val="left"/>
            </w:pPr>
            <w:r w:rsidRPr="0092311A">
              <w:t>ANEXO VI</w:t>
            </w:r>
            <w:r w:rsidR="00553725" w:rsidRPr="0092311A">
              <w:t>I</w:t>
            </w:r>
          </w:p>
        </w:tc>
        <w:tc>
          <w:tcPr>
            <w:tcW w:w="7128" w:type="dxa"/>
            <w:vAlign w:val="center"/>
          </w:tcPr>
          <w:p w:rsidR="00EC0CF1" w:rsidRPr="0092311A" w:rsidRDefault="00EC0CF1" w:rsidP="00EF0E62">
            <w:pPr>
              <w:pStyle w:val="AbbrDesc"/>
              <w:jc w:val="left"/>
            </w:pPr>
            <w:r w:rsidRPr="0092311A">
              <w:t>Plan de Adquisiciones y Contrataciones</w:t>
            </w:r>
          </w:p>
        </w:tc>
      </w:tr>
      <w:tr w:rsidR="00EC0CF1" w:rsidRPr="004C5207" w:rsidTr="006D755B">
        <w:trPr>
          <w:trHeight w:val="403"/>
        </w:trPr>
        <w:tc>
          <w:tcPr>
            <w:tcW w:w="1843" w:type="dxa"/>
            <w:vAlign w:val="center"/>
          </w:tcPr>
          <w:p w:rsidR="00EC0CF1" w:rsidRPr="0092311A" w:rsidRDefault="00EC0CF1" w:rsidP="00553725">
            <w:pPr>
              <w:pStyle w:val="Annex"/>
            </w:pPr>
            <w:r w:rsidRPr="0092311A">
              <w:t xml:space="preserve">Anexo </w:t>
            </w:r>
            <w:r w:rsidR="00553725" w:rsidRPr="0092311A">
              <w:t>VII</w:t>
            </w:r>
          </w:p>
        </w:tc>
        <w:tc>
          <w:tcPr>
            <w:tcW w:w="7128" w:type="dxa"/>
            <w:vAlign w:val="center"/>
          </w:tcPr>
          <w:p w:rsidR="000318FE" w:rsidRPr="00657FF7" w:rsidRDefault="00EC0CF1" w:rsidP="00EC0CF1">
            <w:pPr>
              <w:pStyle w:val="Listabbreviations"/>
              <w:rPr>
                <w:lang w:val="pt-BR"/>
              </w:rPr>
            </w:pPr>
            <w:r w:rsidRPr="00657FF7">
              <w:rPr>
                <w:lang w:val="pt-BR"/>
              </w:rPr>
              <w:t xml:space="preserve">Cronograma de Actividades </w:t>
            </w:r>
          </w:p>
          <w:p w:rsidR="00EC0CF1" w:rsidRPr="00657FF7" w:rsidRDefault="004C5207" w:rsidP="00054D8D">
            <w:pPr>
              <w:pStyle w:val="Listabbreviations"/>
              <w:rPr>
                <w:lang w:val="pt-BR"/>
              </w:rPr>
            </w:pPr>
            <w:hyperlink r:id="rId19" w:history="1">
              <w:r w:rsidR="00EC0CF1" w:rsidRPr="00657FF7">
                <w:rPr>
                  <w:rStyle w:val="Hyperlink"/>
                  <w:lang w:val="pt-BR"/>
                </w:rPr>
                <w:t>IDBDOCS-#37852382-CR-M1020 Cronograma</w:t>
              </w:r>
            </w:hyperlink>
          </w:p>
        </w:tc>
      </w:tr>
      <w:tr w:rsidR="00EC0CF1" w:rsidRPr="0092311A" w:rsidTr="006D755B">
        <w:trPr>
          <w:trHeight w:val="403"/>
        </w:trPr>
        <w:tc>
          <w:tcPr>
            <w:tcW w:w="1843" w:type="dxa"/>
            <w:vAlign w:val="center"/>
          </w:tcPr>
          <w:p w:rsidR="00EC0CF1" w:rsidRPr="0092311A" w:rsidRDefault="00EC0CF1" w:rsidP="00303844">
            <w:pPr>
              <w:pStyle w:val="Annex"/>
            </w:pPr>
            <w:r w:rsidRPr="0092311A">
              <w:t xml:space="preserve">Anexo </w:t>
            </w:r>
            <w:r w:rsidR="00303844" w:rsidRPr="0092311A">
              <w:t>VIII</w:t>
            </w:r>
          </w:p>
        </w:tc>
        <w:tc>
          <w:tcPr>
            <w:tcW w:w="7128" w:type="dxa"/>
            <w:vAlign w:val="center"/>
          </w:tcPr>
          <w:p w:rsidR="000318FE" w:rsidRPr="0092311A" w:rsidRDefault="00EC0CF1" w:rsidP="00EC0CF1">
            <w:pPr>
              <w:pStyle w:val="AbbrDesc"/>
              <w:jc w:val="left"/>
            </w:pPr>
            <w:r w:rsidRPr="0092311A">
              <w:t xml:space="preserve">Reglamento Operativo </w:t>
            </w:r>
          </w:p>
          <w:p w:rsidR="00EC0CF1" w:rsidRPr="0092311A" w:rsidRDefault="00E10A3C" w:rsidP="00EC0CF1">
            <w:pPr>
              <w:pStyle w:val="AbbrDesc"/>
              <w:jc w:val="left"/>
            </w:pPr>
            <w:hyperlink r:id="rId20" w:history="1">
              <w:r w:rsidR="00EC0CF1" w:rsidRPr="0092311A">
                <w:rPr>
                  <w:rStyle w:val="Hyperlink"/>
                </w:rPr>
                <w:t>IDBDOCS-#37852355-CR-M1020 Reglamento Operativo</w:t>
              </w:r>
            </w:hyperlink>
          </w:p>
          <w:p w:rsidR="00EC0CF1" w:rsidRPr="0092311A" w:rsidRDefault="00EC0CF1" w:rsidP="00EF0E62">
            <w:pPr>
              <w:pStyle w:val="AbbrDesc"/>
              <w:jc w:val="left"/>
            </w:pPr>
          </w:p>
        </w:tc>
      </w:tr>
      <w:tr w:rsidR="00EC0CF1" w:rsidRPr="0092311A" w:rsidTr="006D755B">
        <w:trPr>
          <w:trHeight w:val="374"/>
        </w:trPr>
        <w:tc>
          <w:tcPr>
            <w:tcW w:w="1843" w:type="dxa"/>
            <w:vAlign w:val="center"/>
          </w:tcPr>
          <w:p w:rsidR="00EC0CF1" w:rsidRPr="0092311A" w:rsidRDefault="00EC0CF1" w:rsidP="00EF0E62">
            <w:pPr>
              <w:pStyle w:val="Annex"/>
            </w:pPr>
          </w:p>
        </w:tc>
        <w:tc>
          <w:tcPr>
            <w:tcW w:w="7128" w:type="dxa"/>
            <w:vAlign w:val="center"/>
          </w:tcPr>
          <w:p w:rsidR="00EC0CF1" w:rsidRPr="0092311A" w:rsidRDefault="00EC0CF1" w:rsidP="00EF0E62">
            <w:pPr>
              <w:pStyle w:val="AbbrDesc"/>
              <w:jc w:val="left"/>
            </w:pPr>
          </w:p>
        </w:tc>
      </w:tr>
      <w:tr w:rsidR="00EC0CF1" w:rsidRPr="0092311A" w:rsidTr="006D755B">
        <w:trPr>
          <w:trHeight w:val="373"/>
        </w:trPr>
        <w:tc>
          <w:tcPr>
            <w:tcW w:w="1843" w:type="dxa"/>
            <w:vAlign w:val="center"/>
          </w:tcPr>
          <w:p w:rsidR="00EC0CF1" w:rsidRPr="0092311A" w:rsidRDefault="00EC0CF1" w:rsidP="00553725">
            <w:pPr>
              <w:pStyle w:val="Annex"/>
            </w:pPr>
          </w:p>
        </w:tc>
        <w:tc>
          <w:tcPr>
            <w:tcW w:w="7128" w:type="dxa"/>
            <w:vAlign w:val="center"/>
          </w:tcPr>
          <w:p w:rsidR="00EC0CF1" w:rsidRPr="0092311A" w:rsidRDefault="00EC0CF1" w:rsidP="00EF0E62">
            <w:pPr>
              <w:pStyle w:val="AbbrDesc"/>
              <w:jc w:val="left"/>
            </w:pPr>
          </w:p>
        </w:tc>
      </w:tr>
    </w:tbl>
    <w:p w:rsidR="00075D60" w:rsidRPr="0092311A" w:rsidRDefault="004F75FE" w:rsidP="00054D8D">
      <w:pPr>
        <w:pStyle w:val="heading-b24"/>
      </w:pPr>
      <w:r w:rsidRPr="0092311A">
        <w:br w:type="page"/>
      </w:r>
      <w:r w:rsidR="00443658" w:rsidRPr="0092311A">
        <w:t>Siglas y Abreviaturas</w:t>
      </w:r>
    </w:p>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0A0" w:firstRow="1" w:lastRow="0" w:firstColumn="1" w:lastColumn="0" w:noHBand="0" w:noVBand="0"/>
      </w:tblPr>
      <w:tblGrid>
        <w:gridCol w:w="2000"/>
        <w:gridCol w:w="7402"/>
      </w:tblGrid>
      <w:tr w:rsidR="00075D60" w:rsidRPr="0092311A" w:rsidTr="00C63AD0">
        <w:trPr>
          <w:tblHeader/>
        </w:trPr>
        <w:tc>
          <w:tcPr>
            <w:tcW w:w="2000" w:type="dxa"/>
            <w:shd w:val="clear" w:color="auto" w:fill="000000"/>
          </w:tcPr>
          <w:p w:rsidR="00075D60" w:rsidRPr="0092311A" w:rsidRDefault="00075D60" w:rsidP="00C63AD0">
            <w:pPr>
              <w:ind w:left="720" w:hanging="720"/>
              <w:jc w:val="center"/>
              <w:rPr>
                <w:b/>
                <w:szCs w:val="24"/>
                <w:lang w:eastAsia="en-GB"/>
              </w:rPr>
            </w:pPr>
            <w:r w:rsidRPr="0092311A">
              <w:rPr>
                <w:b/>
                <w:szCs w:val="24"/>
                <w:lang w:eastAsia="en-GB"/>
              </w:rPr>
              <w:t>Término</w:t>
            </w:r>
          </w:p>
        </w:tc>
        <w:tc>
          <w:tcPr>
            <w:tcW w:w="7402" w:type="dxa"/>
            <w:shd w:val="clear" w:color="auto" w:fill="000000"/>
          </w:tcPr>
          <w:p w:rsidR="00075D60" w:rsidRPr="0092311A" w:rsidRDefault="00075D60" w:rsidP="00C63AD0">
            <w:pPr>
              <w:ind w:left="720" w:hanging="720"/>
              <w:jc w:val="center"/>
              <w:rPr>
                <w:b/>
                <w:szCs w:val="24"/>
                <w:lang w:eastAsia="en-GB"/>
              </w:rPr>
            </w:pPr>
            <w:r w:rsidRPr="0092311A">
              <w:rPr>
                <w:b/>
                <w:szCs w:val="24"/>
                <w:lang w:eastAsia="en-GB"/>
              </w:rPr>
              <w:t>Significado</w:t>
            </w:r>
          </w:p>
        </w:tc>
      </w:tr>
      <w:tr w:rsidR="00E4336F" w:rsidRPr="0092311A" w:rsidTr="00C63AD0">
        <w:tc>
          <w:tcPr>
            <w:tcW w:w="2000" w:type="dxa"/>
          </w:tcPr>
          <w:p w:rsidR="00E4336F" w:rsidRPr="0092311A" w:rsidRDefault="00E4336F" w:rsidP="00C63AD0">
            <w:pPr>
              <w:ind w:left="720" w:hanging="720"/>
              <w:rPr>
                <w:b/>
                <w:lang w:eastAsia="en-GB"/>
              </w:rPr>
            </w:pPr>
            <w:r w:rsidRPr="0092311A">
              <w:rPr>
                <w:b/>
              </w:rPr>
              <w:t>AE</w:t>
            </w:r>
          </w:p>
        </w:tc>
        <w:tc>
          <w:tcPr>
            <w:tcW w:w="7402" w:type="dxa"/>
          </w:tcPr>
          <w:p w:rsidR="00E4336F" w:rsidRPr="0092311A" w:rsidRDefault="00E4336F" w:rsidP="00C63AD0">
            <w:pPr>
              <w:spacing w:before="100" w:beforeAutospacing="1" w:after="100" w:afterAutospacing="1" w:line="240" w:lineRule="atLeast"/>
              <w:ind w:left="720" w:hanging="720"/>
              <w:rPr>
                <w:lang w:eastAsia="en-GB"/>
              </w:rPr>
            </w:pPr>
            <w:r w:rsidRPr="0092311A">
              <w:t>Agencia Ejecutora</w:t>
            </w:r>
          </w:p>
        </w:tc>
      </w:tr>
      <w:tr w:rsidR="00E4336F" w:rsidRPr="0092311A" w:rsidTr="00C63AD0">
        <w:tc>
          <w:tcPr>
            <w:tcW w:w="2000" w:type="dxa"/>
          </w:tcPr>
          <w:p w:rsidR="00E4336F" w:rsidRPr="0092311A" w:rsidRDefault="00E4336F" w:rsidP="00C63AD0">
            <w:pPr>
              <w:ind w:left="720" w:hanging="720"/>
              <w:rPr>
                <w:b/>
                <w:color w:val="000000"/>
              </w:rPr>
            </w:pPr>
            <w:r w:rsidRPr="0092311A">
              <w:rPr>
                <w:b/>
              </w:rPr>
              <w:t>ALC</w:t>
            </w:r>
          </w:p>
        </w:tc>
        <w:tc>
          <w:tcPr>
            <w:tcW w:w="7402" w:type="dxa"/>
          </w:tcPr>
          <w:p w:rsidR="00E4336F" w:rsidRPr="0092311A" w:rsidRDefault="00E4336F" w:rsidP="00C63AD0">
            <w:pPr>
              <w:ind w:left="720" w:hanging="720"/>
            </w:pPr>
            <w:r w:rsidRPr="0092311A">
              <w:t>América Latina y el Caribe</w:t>
            </w:r>
          </w:p>
        </w:tc>
      </w:tr>
      <w:tr w:rsidR="00E4336F" w:rsidRPr="0092311A" w:rsidTr="00C63AD0">
        <w:tc>
          <w:tcPr>
            <w:tcW w:w="2000" w:type="dxa"/>
          </w:tcPr>
          <w:p w:rsidR="00E4336F" w:rsidRPr="0092311A" w:rsidRDefault="00E4336F" w:rsidP="00C63AD0">
            <w:pPr>
              <w:ind w:left="720" w:hanging="720"/>
              <w:rPr>
                <w:b/>
                <w:lang w:eastAsia="en-GB"/>
              </w:rPr>
            </w:pPr>
            <w:r w:rsidRPr="0092311A">
              <w:rPr>
                <w:b/>
                <w:lang w:eastAsia="en-GB"/>
              </w:rPr>
              <w:t>BID</w:t>
            </w:r>
          </w:p>
        </w:tc>
        <w:tc>
          <w:tcPr>
            <w:tcW w:w="7402" w:type="dxa"/>
          </w:tcPr>
          <w:p w:rsidR="00E4336F" w:rsidRPr="0092311A" w:rsidRDefault="00E4336F" w:rsidP="00C63AD0">
            <w:pPr>
              <w:ind w:left="720" w:hanging="720"/>
              <w:rPr>
                <w:lang w:eastAsia="en-GB"/>
              </w:rPr>
            </w:pPr>
            <w:r w:rsidRPr="0092311A">
              <w:rPr>
                <w:lang w:eastAsia="en-GB"/>
              </w:rPr>
              <w:t>Banco Interamericano de Desarrollo</w:t>
            </w:r>
          </w:p>
        </w:tc>
      </w:tr>
      <w:tr w:rsidR="00E4336F" w:rsidRPr="0092311A" w:rsidTr="00C63AD0">
        <w:tc>
          <w:tcPr>
            <w:tcW w:w="2000" w:type="dxa"/>
          </w:tcPr>
          <w:p w:rsidR="00E4336F" w:rsidRPr="0092311A" w:rsidRDefault="00E4336F" w:rsidP="00080C50">
            <w:pPr>
              <w:rPr>
                <w:b/>
                <w:lang w:eastAsia="en-GB"/>
              </w:rPr>
            </w:pPr>
            <w:r w:rsidRPr="0092311A">
              <w:rPr>
                <w:b/>
                <w:lang w:eastAsia="en-GB"/>
              </w:rPr>
              <w:t>CMNUCC</w:t>
            </w:r>
          </w:p>
        </w:tc>
        <w:tc>
          <w:tcPr>
            <w:tcW w:w="7402" w:type="dxa"/>
          </w:tcPr>
          <w:p w:rsidR="00E4336F" w:rsidRPr="0092311A" w:rsidRDefault="00E4336F" w:rsidP="00C63AD0">
            <w:pPr>
              <w:ind w:left="720" w:hanging="720"/>
              <w:rPr>
                <w:lang w:eastAsia="en-GB"/>
              </w:rPr>
            </w:pPr>
            <w:r w:rsidRPr="0092311A">
              <w:rPr>
                <w:lang w:eastAsia="en-GB"/>
              </w:rPr>
              <w:t>Convención Marco de las Naciones Unidas sobre el Cambio Climático</w:t>
            </w:r>
          </w:p>
        </w:tc>
      </w:tr>
      <w:tr w:rsidR="00E4336F" w:rsidRPr="0092311A" w:rsidTr="00C63AD0">
        <w:tc>
          <w:tcPr>
            <w:tcW w:w="2000" w:type="dxa"/>
          </w:tcPr>
          <w:p w:rsidR="00E4336F" w:rsidRPr="0092311A" w:rsidRDefault="00E4336F" w:rsidP="00C63AD0">
            <w:pPr>
              <w:ind w:left="720" w:hanging="720"/>
              <w:rPr>
                <w:b/>
                <w:lang w:eastAsia="en-GB"/>
              </w:rPr>
            </w:pPr>
            <w:r w:rsidRPr="0092311A">
              <w:rPr>
                <w:b/>
                <w:lang w:eastAsia="en-GB"/>
              </w:rPr>
              <w:t>C-Neutral</w:t>
            </w:r>
          </w:p>
        </w:tc>
        <w:tc>
          <w:tcPr>
            <w:tcW w:w="7402" w:type="dxa"/>
          </w:tcPr>
          <w:p w:rsidR="00E4336F" w:rsidRPr="0092311A" w:rsidRDefault="00E4336F" w:rsidP="00C63AD0">
            <w:pPr>
              <w:ind w:left="720" w:hanging="720"/>
              <w:rPr>
                <w:lang w:eastAsia="en-GB"/>
              </w:rPr>
            </w:pPr>
            <w:r w:rsidRPr="0092311A">
              <w:rPr>
                <w:lang w:eastAsia="en-GB"/>
              </w:rPr>
              <w:t>Carbono Neutral</w:t>
            </w:r>
          </w:p>
        </w:tc>
      </w:tr>
      <w:tr w:rsidR="00E4336F" w:rsidRPr="0092311A" w:rsidTr="00C63AD0">
        <w:tc>
          <w:tcPr>
            <w:tcW w:w="2000" w:type="dxa"/>
          </w:tcPr>
          <w:p w:rsidR="00E4336F" w:rsidRPr="0092311A" w:rsidRDefault="00E4336F" w:rsidP="00C63AD0">
            <w:pPr>
              <w:pStyle w:val="Default"/>
              <w:ind w:left="720" w:hanging="720"/>
              <w:rPr>
                <w:b/>
                <w:spacing w:val="-3"/>
                <w:lang w:val="es-ES" w:eastAsia="en-GB"/>
              </w:rPr>
            </w:pPr>
            <w:r w:rsidRPr="0092311A">
              <w:rPr>
                <w:b/>
                <w:lang w:val="es-ES"/>
              </w:rPr>
              <w:t>DNA</w:t>
            </w:r>
            <w:r w:rsidRPr="0092311A">
              <w:rPr>
                <w:b/>
                <w:spacing w:val="-3"/>
                <w:lang w:val="es-ES" w:eastAsia="en-GB"/>
              </w:rPr>
              <w:t xml:space="preserve"> </w:t>
            </w:r>
          </w:p>
        </w:tc>
        <w:tc>
          <w:tcPr>
            <w:tcW w:w="7402" w:type="dxa"/>
          </w:tcPr>
          <w:p w:rsidR="00E4336F" w:rsidRPr="0092311A" w:rsidRDefault="00E4336F" w:rsidP="00C63AD0">
            <w:pPr>
              <w:pStyle w:val="Default"/>
              <w:ind w:left="720" w:hanging="720"/>
              <w:rPr>
                <w:spacing w:val="-3"/>
                <w:lang w:val="es-ES" w:eastAsia="en-GB"/>
              </w:rPr>
            </w:pPr>
            <w:r w:rsidRPr="0092311A">
              <w:rPr>
                <w:lang w:val="es-ES"/>
              </w:rPr>
              <w:t xml:space="preserve">Diagnóstico de necesidades del comité de auditoría y evaluación </w:t>
            </w:r>
          </w:p>
        </w:tc>
      </w:tr>
      <w:tr w:rsidR="00E4336F" w:rsidRPr="0092311A" w:rsidTr="00C63AD0">
        <w:tc>
          <w:tcPr>
            <w:tcW w:w="2000" w:type="dxa"/>
          </w:tcPr>
          <w:p w:rsidR="00E4336F" w:rsidRPr="0092311A" w:rsidRDefault="00E4336F" w:rsidP="00C63AD0">
            <w:pPr>
              <w:ind w:left="720" w:hanging="720"/>
              <w:rPr>
                <w:b/>
                <w:lang w:eastAsia="en-GB"/>
              </w:rPr>
            </w:pPr>
            <w:r w:rsidRPr="0092311A">
              <w:rPr>
                <w:b/>
                <w:lang w:eastAsia="en-GB"/>
              </w:rPr>
              <w:t>ESR</w:t>
            </w:r>
          </w:p>
        </w:tc>
        <w:tc>
          <w:tcPr>
            <w:tcW w:w="7402" w:type="dxa"/>
          </w:tcPr>
          <w:p w:rsidR="00E4336F" w:rsidRPr="0092311A" w:rsidRDefault="00E4336F" w:rsidP="00C63AD0">
            <w:pPr>
              <w:ind w:left="720" w:hanging="720"/>
              <w:rPr>
                <w:lang w:eastAsia="en-GB"/>
              </w:rPr>
            </w:pPr>
            <w:r w:rsidRPr="0092311A">
              <w:rPr>
                <w:lang w:eastAsia="en-GB"/>
              </w:rPr>
              <w:t>Environmental Safeguard Review</w:t>
            </w:r>
          </w:p>
        </w:tc>
      </w:tr>
      <w:tr w:rsidR="00E4336F" w:rsidRPr="0092311A" w:rsidTr="00C63AD0">
        <w:tc>
          <w:tcPr>
            <w:tcW w:w="2000" w:type="dxa"/>
          </w:tcPr>
          <w:p w:rsidR="00E4336F" w:rsidRPr="0092311A" w:rsidRDefault="00E4336F" w:rsidP="00C63AD0">
            <w:pPr>
              <w:ind w:left="720" w:hanging="720"/>
              <w:rPr>
                <w:b/>
                <w:color w:val="000000"/>
              </w:rPr>
            </w:pPr>
            <w:r w:rsidRPr="0092311A">
              <w:rPr>
                <w:b/>
              </w:rPr>
              <w:t>FC</w:t>
            </w:r>
          </w:p>
        </w:tc>
        <w:tc>
          <w:tcPr>
            <w:tcW w:w="7402" w:type="dxa"/>
          </w:tcPr>
          <w:p w:rsidR="00E4336F" w:rsidRPr="0092311A" w:rsidRDefault="00E4336F" w:rsidP="008E1A84">
            <w:pPr>
              <w:ind w:left="720" w:hanging="720"/>
            </w:pPr>
            <w:r w:rsidRPr="0092311A">
              <w:t xml:space="preserve">Fundación Fundecooperación para el </w:t>
            </w:r>
            <w:r w:rsidR="008E1A84" w:rsidRPr="0092311A">
              <w:t>D</w:t>
            </w:r>
            <w:r w:rsidRPr="0092311A">
              <w:t xml:space="preserve">esarrollo </w:t>
            </w:r>
            <w:r w:rsidR="008E1A84" w:rsidRPr="0092311A">
              <w:t>S</w:t>
            </w:r>
            <w:r w:rsidRPr="0092311A">
              <w:t>ostenible</w:t>
            </w:r>
          </w:p>
        </w:tc>
      </w:tr>
      <w:tr w:rsidR="00E12B01" w:rsidRPr="0092311A" w:rsidTr="00C63AD0">
        <w:tc>
          <w:tcPr>
            <w:tcW w:w="2000" w:type="dxa"/>
          </w:tcPr>
          <w:p w:rsidR="00E12B01" w:rsidRPr="0092311A" w:rsidRDefault="00E12B01" w:rsidP="00E12B01">
            <w:pPr>
              <w:ind w:left="720" w:hanging="720"/>
              <w:rPr>
                <w:b/>
                <w:lang w:eastAsia="en-GB"/>
              </w:rPr>
            </w:pPr>
            <w:r w:rsidRPr="0092311A">
              <w:rPr>
                <w:b/>
                <w:lang w:eastAsia="en-GB"/>
              </w:rPr>
              <w:t>FITTACORI</w:t>
            </w:r>
          </w:p>
        </w:tc>
        <w:tc>
          <w:tcPr>
            <w:tcW w:w="7402" w:type="dxa"/>
          </w:tcPr>
          <w:p w:rsidR="00E12B01" w:rsidRPr="0092311A" w:rsidRDefault="00E12B01" w:rsidP="00E12B01">
            <w:pPr>
              <w:rPr>
                <w:lang w:eastAsia="en-GB"/>
              </w:rPr>
            </w:pPr>
            <w:r w:rsidRPr="0092311A">
              <w:rPr>
                <w:lang w:eastAsia="en-GB"/>
              </w:rPr>
              <w:t>Fundación para el Fomento y Promoción de la Investigación y Transferencia de Tecnología Agropecuaria de Costa Rica</w:t>
            </w:r>
          </w:p>
        </w:tc>
      </w:tr>
      <w:tr w:rsidR="00E4336F" w:rsidRPr="0092311A" w:rsidTr="00C63AD0">
        <w:tc>
          <w:tcPr>
            <w:tcW w:w="2000" w:type="dxa"/>
          </w:tcPr>
          <w:p w:rsidR="00E4336F" w:rsidRPr="0092311A" w:rsidRDefault="00E4336F" w:rsidP="00C63AD0">
            <w:pPr>
              <w:ind w:left="720" w:hanging="720"/>
              <w:rPr>
                <w:b/>
                <w:lang w:eastAsia="en-GB"/>
              </w:rPr>
            </w:pPr>
            <w:r w:rsidRPr="0092311A">
              <w:rPr>
                <w:b/>
                <w:lang w:eastAsia="en-GB"/>
              </w:rPr>
              <w:t xml:space="preserve">FOMIN </w:t>
            </w:r>
          </w:p>
        </w:tc>
        <w:tc>
          <w:tcPr>
            <w:tcW w:w="7402" w:type="dxa"/>
          </w:tcPr>
          <w:p w:rsidR="00E4336F" w:rsidRPr="0092311A" w:rsidRDefault="00E4336F" w:rsidP="00C63AD0">
            <w:pPr>
              <w:ind w:left="720" w:hanging="720"/>
              <w:rPr>
                <w:lang w:eastAsia="en-GB"/>
              </w:rPr>
            </w:pPr>
            <w:r w:rsidRPr="0092311A">
              <w:rPr>
                <w:lang w:eastAsia="en-GB"/>
              </w:rPr>
              <w:t>Fondo Multilateral de Inversiones</w:t>
            </w:r>
          </w:p>
        </w:tc>
      </w:tr>
      <w:tr w:rsidR="00E4336F" w:rsidRPr="0092311A" w:rsidTr="00C63AD0">
        <w:tc>
          <w:tcPr>
            <w:tcW w:w="2000" w:type="dxa"/>
          </w:tcPr>
          <w:p w:rsidR="00E4336F" w:rsidRPr="0092311A" w:rsidRDefault="00E4336F" w:rsidP="00C63AD0">
            <w:pPr>
              <w:ind w:left="720" w:hanging="720"/>
              <w:rPr>
                <w:b/>
              </w:rPr>
            </w:pPr>
            <w:r w:rsidRPr="0092311A">
              <w:rPr>
                <w:b/>
              </w:rPr>
              <w:t>GEI</w:t>
            </w:r>
          </w:p>
        </w:tc>
        <w:tc>
          <w:tcPr>
            <w:tcW w:w="7402" w:type="dxa"/>
          </w:tcPr>
          <w:p w:rsidR="00E4336F" w:rsidRPr="0092311A" w:rsidRDefault="00E4336F" w:rsidP="00C63AD0">
            <w:pPr>
              <w:ind w:left="720" w:hanging="720"/>
            </w:pPr>
            <w:r w:rsidRPr="0092311A">
              <w:t>Gases de Efecto Invernadero</w:t>
            </w:r>
          </w:p>
        </w:tc>
      </w:tr>
      <w:tr w:rsidR="00E4336F" w:rsidRPr="0092311A" w:rsidTr="00C63AD0">
        <w:tc>
          <w:tcPr>
            <w:tcW w:w="2000" w:type="dxa"/>
          </w:tcPr>
          <w:p w:rsidR="00E4336F" w:rsidRPr="0092311A" w:rsidRDefault="00E4336F" w:rsidP="00C63AD0">
            <w:pPr>
              <w:ind w:left="720" w:hanging="720"/>
              <w:rPr>
                <w:b/>
                <w:lang w:eastAsia="en-GB"/>
              </w:rPr>
            </w:pPr>
            <w:r w:rsidRPr="0092311A">
              <w:rPr>
                <w:b/>
                <w:lang w:eastAsia="en-GB"/>
              </w:rPr>
              <w:t>GIZ</w:t>
            </w:r>
          </w:p>
        </w:tc>
        <w:tc>
          <w:tcPr>
            <w:tcW w:w="7402" w:type="dxa"/>
          </w:tcPr>
          <w:p w:rsidR="00E4336F" w:rsidRPr="0092311A" w:rsidRDefault="00E4336F" w:rsidP="00727D31">
            <w:pPr>
              <w:ind w:left="720" w:hanging="720"/>
              <w:rPr>
                <w:lang w:eastAsia="en-GB"/>
              </w:rPr>
            </w:pPr>
            <w:r w:rsidRPr="0092311A">
              <w:rPr>
                <w:lang w:eastAsia="en-GB"/>
              </w:rPr>
              <w:t>Agencia Alemana de Cooperación Internacional</w:t>
            </w:r>
          </w:p>
        </w:tc>
      </w:tr>
      <w:tr w:rsidR="00E4336F" w:rsidRPr="0092311A" w:rsidTr="00C63AD0">
        <w:tc>
          <w:tcPr>
            <w:tcW w:w="2000" w:type="dxa"/>
          </w:tcPr>
          <w:p w:rsidR="00E4336F" w:rsidRPr="0092311A" w:rsidRDefault="00E4336F" w:rsidP="00C63AD0">
            <w:pPr>
              <w:ind w:left="720" w:hanging="720"/>
              <w:rPr>
                <w:b/>
                <w:lang w:eastAsia="en-GB"/>
              </w:rPr>
            </w:pPr>
            <w:r w:rsidRPr="0092311A">
              <w:rPr>
                <w:b/>
              </w:rPr>
              <w:t>Has</w:t>
            </w:r>
          </w:p>
        </w:tc>
        <w:tc>
          <w:tcPr>
            <w:tcW w:w="7402" w:type="dxa"/>
          </w:tcPr>
          <w:p w:rsidR="00E4336F" w:rsidRPr="0092311A" w:rsidRDefault="00E4336F" w:rsidP="00C63AD0">
            <w:pPr>
              <w:ind w:left="720" w:hanging="720"/>
              <w:rPr>
                <w:lang w:eastAsia="en-GB"/>
              </w:rPr>
            </w:pPr>
            <w:r w:rsidRPr="0092311A">
              <w:t>Hectáreas</w:t>
            </w:r>
          </w:p>
        </w:tc>
      </w:tr>
      <w:tr w:rsidR="00E4336F" w:rsidRPr="0092311A" w:rsidTr="00C63AD0">
        <w:tc>
          <w:tcPr>
            <w:tcW w:w="2000" w:type="dxa"/>
          </w:tcPr>
          <w:p w:rsidR="00E4336F" w:rsidRPr="0092311A" w:rsidRDefault="00E4336F" w:rsidP="00C63AD0">
            <w:pPr>
              <w:ind w:left="720" w:hanging="720"/>
              <w:rPr>
                <w:b/>
                <w:lang w:eastAsia="en-GB"/>
              </w:rPr>
            </w:pPr>
            <w:r w:rsidRPr="0092311A">
              <w:rPr>
                <w:b/>
                <w:szCs w:val="24"/>
              </w:rPr>
              <w:t>ICAFE</w:t>
            </w:r>
          </w:p>
        </w:tc>
        <w:tc>
          <w:tcPr>
            <w:tcW w:w="7402" w:type="dxa"/>
          </w:tcPr>
          <w:p w:rsidR="00E4336F" w:rsidRPr="0092311A" w:rsidRDefault="00E4336F" w:rsidP="00C63AD0">
            <w:pPr>
              <w:ind w:left="720" w:hanging="720"/>
              <w:rPr>
                <w:lang w:eastAsia="en-GB"/>
              </w:rPr>
            </w:pPr>
            <w:r w:rsidRPr="0092311A">
              <w:rPr>
                <w:szCs w:val="24"/>
              </w:rPr>
              <w:t>Instituto del Café de Costa Rica</w:t>
            </w:r>
          </w:p>
        </w:tc>
      </w:tr>
      <w:tr w:rsidR="002911F2" w:rsidRPr="0092311A" w:rsidTr="00C63AD0">
        <w:tc>
          <w:tcPr>
            <w:tcW w:w="2000" w:type="dxa"/>
          </w:tcPr>
          <w:p w:rsidR="002911F2" w:rsidRPr="0092311A" w:rsidRDefault="002911F2" w:rsidP="00CF0396">
            <w:pPr>
              <w:pStyle w:val="Default"/>
              <w:ind w:left="720" w:hanging="720"/>
              <w:rPr>
                <w:b/>
                <w:bCs/>
                <w:lang w:val="es-ES"/>
              </w:rPr>
            </w:pPr>
            <w:r w:rsidRPr="0092311A">
              <w:rPr>
                <w:b/>
                <w:bCs/>
                <w:lang w:val="es-ES"/>
              </w:rPr>
              <w:t>IICA</w:t>
            </w:r>
          </w:p>
        </w:tc>
        <w:tc>
          <w:tcPr>
            <w:tcW w:w="7402" w:type="dxa"/>
          </w:tcPr>
          <w:p w:rsidR="002911F2" w:rsidRPr="0092311A" w:rsidRDefault="002911F2" w:rsidP="001F11F1">
            <w:pPr>
              <w:pStyle w:val="Default"/>
              <w:rPr>
                <w:bCs/>
                <w:lang w:val="es-ES"/>
              </w:rPr>
            </w:pPr>
            <w:r w:rsidRPr="0092311A">
              <w:rPr>
                <w:bCs/>
                <w:lang w:val="es-ES"/>
              </w:rPr>
              <w:t>Instituto Interamericano de Cooperación para la Agricultura</w:t>
            </w:r>
          </w:p>
        </w:tc>
      </w:tr>
      <w:tr w:rsidR="008E1A84" w:rsidRPr="0092311A" w:rsidTr="00C63AD0">
        <w:tc>
          <w:tcPr>
            <w:tcW w:w="2000" w:type="dxa"/>
          </w:tcPr>
          <w:p w:rsidR="008E1A84" w:rsidRPr="0092311A" w:rsidRDefault="008E1A84" w:rsidP="008E1A84">
            <w:pPr>
              <w:pStyle w:val="Default"/>
              <w:ind w:left="720" w:hanging="720"/>
              <w:rPr>
                <w:b/>
                <w:bCs/>
                <w:lang w:val="es-ES"/>
              </w:rPr>
            </w:pPr>
            <w:r w:rsidRPr="0092311A">
              <w:rPr>
                <w:b/>
                <w:bCs/>
                <w:lang w:val="es-ES"/>
              </w:rPr>
              <w:t>INTA</w:t>
            </w:r>
          </w:p>
        </w:tc>
        <w:tc>
          <w:tcPr>
            <w:tcW w:w="7402" w:type="dxa"/>
          </w:tcPr>
          <w:p w:rsidR="008E1A84" w:rsidRPr="0092311A" w:rsidRDefault="008E1A84" w:rsidP="00323F9E">
            <w:pPr>
              <w:pStyle w:val="Default"/>
              <w:rPr>
                <w:lang w:val="es-ES"/>
              </w:rPr>
            </w:pPr>
            <w:r w:rsidRPr="0092311A">
              <w:rPr>
                <w:bCs/>
                <w:lang w:val="es-ES"/>
              </w:rPr>
              <w:t>Instituto de Innovación y Transferencia de Tecnología Agropecuaria</w:t>
            </w:r>
          </w:p>
        </w:tc>
      </w:tr>
      <w:tr w:rsidR="008E1A84" w:rsidRPr="0092311A" w:rsidTr="00C63AD0">
        <w:tc>
          <w:tcPr>
            <w:tcW w:w="2000" w:type="dxa"/>
          </w:tcPr>
          <w:p w:rsidR="008E1A84" w:rsidRPr="0092311A" w:rsidRDefault="008E1A84" w:rsidP="00C63AD0">
            <w:pPr>
              <w:pStyle w:val="Default"/>
              <w:ind w:left="720" w:hanging="720"/>
              <w:rPr>
                <w:b/>
                <w:bCs/>
                <w:lang w:val="es-ES"/>
              </w:rPr>
            </w:pPr>
            <w:r w:rsidRPr="0092311A">
              <w:rPr>
                <w:b/>
                <w:bCs/>
                <w:lang w:val="es-ES"/>
              </w:rPr>
              <w:t>IMF</w:t>
            </w:r>
          </w:p>
        </w:tc>
        <w:tc>
          <w:tcPr>
            <w:tcW w:w="7402" w:type="dxa"/>
          </w:tcPr>
          <w:p w:rsidR="008E1A84" w:rsidRPr="0092311A" w:rsidRDefault="008E1A84" w:rsidP="001F11F1">
            <w:pPr>
              <w:pStyle w:val="Default"/>
              <w:rPr>
                <w:lang w:val="es-ES"/>
              </w:rPr>
            </w:pPr>
            <w:r w:rsidRPr="0092311A">
              <w:rPr>
                <w:lang w:val="es-ES"/>
              </w:rPr>
              <w:t>Instituciones de Micro Finanzas</w:t>
            </w:r>
          </w:p>
        </w:tc>
      </w:tr>
      <w:tr w:rsidR="008E1A84" w:rsidRPr="00E10A3C" w:rsidTr="00C63AD0">
        <w:tc>
          <w:tcPr>
            <w:tcW w:w="2000" w:type="dxa"/>
          </w:tcPr>
          <w:p w:rsidR="008E1A84" w:rsidRPr="0092311A" w:rsidRDefault="008E1A84" w:rsidP="00C63AD0">
            <w:pPr>
              <w:pStyle w:val="Default"/>
              <w:ind w:left="720" w:hanging="720"/>
              <w:rPr>
                <w:b/>
                <w:lang w:val="es-ES"/>
              </w:rPr>
            </w:pPr>
            <w:r w:rsidRPr="0092311A">
              <w:rPr>
                <w:b/>
                <w:bCs/>
                <w:lang w:val="es-ES"/>
              </w:rPr>
              <w:t>INFOCOOP</w:t>
            </w:r>
          </w:p>
        </w:tc>
        <w:tc>
          <w:tcPr>
            <w:tcW w:w="7402" w:type="dxa"/>
          </w:tcPr>
          <w:p w:rsidR="008E1A84" w:rsidRPr="00657FF7" w:rsidRDefault="008E1A84" w:rsidP="001F11F1">
            <w:pPr>
              <w:pStyle w:val="Default"/>
              <w:rPr>
                <w:lang w:val="pt-BR"/>
              </w:rPr>
            </w:pPr>
            <w:r w:rsidRPr="00657FF7">
              <w:rPr>
                <w:lang w:val="pt-BR"/>
              </w:rPr>
              <w:t>Instituto Nacional de Fomento Cooperativo</w:t>
            </w:r>
          </w:p>
        </w:tc>
      </w:tr>
      <w:tr w:rsidR="008E1A84" w:rsidRPr="0092311A" w:rsidTr="00C63AD0">
        <w:tc>
          <w:tcPr>
            <w:tcW w:w="2000" w:type="dxa"/>
          </w:tcPr>
          <w:p w:rsidR="008E1A84" w:rsidRPr="0092311A" w:rsidRDefault="008E1A84" w:rsidP="00555DC2">
            <w:pPr>
              <w:ind w:left="720" w:hanging="720"/>
              <w:jc w:val="both"/>
              <w:rPr>
                <w:b/>
                <w:szCs w:val="24"/>
              </w:rPr>
            </w:pPr>
            <w:r w:rsidRPr="0092311A">
              <w:rPr>
                <w:b/>
                <w:szCs w:val="24"/>
              </w:rPr>
              <w:t>LCDS</w:t>
            </w:r>
          </w:p>
        </w:tc>
        <w:tc>
          <w:tcPr>
            <w:tcW w:w="7402" w:type="dxa"/>
          </w:tcPr>
          <w:p w:rsidR="008E1A84" w:rsidRPr="0092311A" w:rsidRDefault="008E1A84" w:rsidP="00555DC2">
            <w:pPr>
              <w:ind w:left="720" w:hanging="720"/>
              <w:rPr>
                <w:szCs w:val="24"/>
              </w:rPr>
            </w:pPr>
            <w:r w:rsidRPr="0092311A">
              <w:rPr>
                <w:szCs w:val="24"/>
              </w:rPr>
              <w:t>Estrategias de Desarrollo de Bajo Carbono (por sus siglas en inglés)</w:t>
            </w:r>
          </w:p>
        </w:tc>
      </w:tr>
      <w:tr w:rsidR="008E1A84" w:rsidRPr="0092311A" w:rsidTr="00C63AD0">
        <w:tc>
          <w:tcPr>
            <w:tcW w:w="2000" w:type="dxa"/>
          </w:tcPr>
          <w:p w:rsidR="008E1A84" w:rsidRPr="0092311A" w:rsidRDefault="008E1A84" w:rsidP="00C63AD0">
            <w:pPr>
              <w:ind w:left="720" w:hanging="720"/>
              <w:rPr>
                <w:b/>
                <w:lang w:eastAsia="en-GB"/>
              </w:rPr>
            </w:pPr>
            <w:r w:rsidRPr="0092311A">
              <w:rPr>
                <w:b/>
                <w:szCs w:val="24"/>
              </w:rPr>
              <w:t>MAG</w:t>
            </w:r>
          </w:p>
        </w:tc>
        <w:tc>
          <w:tcPr>
            <w:tcW w:w="7402" w:type="dxa"/>
          </w:tcPr>
          <w:p w:rsidR="008E1A84" w:rsidRPr="0092311A" w:rsidRDefault="008E1A84" w:rsidP="00075D60">
            <w:pPr>
              <w:ind w:left="720" w:hanging="720"/>
              <w:rPr>
                <w:lang w:eastAsia="en-GB"/>
              </w:rPr>
            </w:pPr>
            <w:r w:rsidRPr="0092311A">
              <w:rPr>
                <w:szCs w:val="24"/>
              </w:rPr>
              <w:t xml:space="preserve">Ministerio de Agricultura y Ganadería </w:t>
            </w:r>
          </w:p>
        </w:tc>
      </w:tr>
      <w:tr w:rsidR="008E1A84" w:rsidRPr="0092311A" w:rsidTr="00C63AD0">
        <w:tc>
          <w:tcPr>
            <w:tcW w:w="2000" w:type="dxa"/>
          </w:tcPr>
          <w:p w:rsidR="008E1A84" w:rsidRPr="0092311A" w:rsidRDefault="008E1A84" w:rsidP="00C63AD0">
            <w:pPr>
              <w:ind w:left="720" w:hanging="720"/>
              <w:rPr>
                <w:b/>
              </w:rPr>
            </w:pPr>
            <w:r w:rsidRPr="0092311A">
              <w:rPr>
                <w:b/>
                <w:szCs w:val="24"/>
              </w:rPr>
              <w:t>MINAE</w:t>
            </w:r>
          </w:p>
        </w:tc>
        <w:tc>
          <w:tcPr>
            <w:tcW w:w="7402" w:type="dxa"/>
          </w:tcPr>
          <w:p w:rsidR="008E1A84" w:rsidRPr="0092311A" w:rsidRDefault="008E1A84" w:rsidP="00C63AD0">
            <w:pPr>
              <w:ind w:left="720" w:hanging="720"/>
            </w:pPr>
            <w:r w:rsidRPr="0092311A">
              <w:rPr>
                <w:szCs w:val="24"/>
              </w:rPr>
              <w:t>Ministerio de Ambiente y Energía</w:t>
            </w:r>
          </w:p>
        </w:tc>
      </w:tr>
      <w:tr w:rsidR="008E1A84" w:rsidRPr="0092311A" w:rsidTr="00C63AD0">
        <w:tc>
          <w:tcPr>
            <w:tcW w:w="2000" w:type="dxa"/>
          </w:tcPr>
          <w:p w:rsidR="008E1A84" w:rsidRPr="0092311A" w:rsidRDefault="008E1A84" w:rsidP="00C63AD0">
            <w:pPr>
              <w:ind w:left="720" w:hanging="720"/>
              <w:rPr>
                <w:b/>
                <w:lang w:eastAsia="en-GB"/>
              </w:rPr>
            </w:pPr>
            <w:r w:rsidRPr="0092311A">
              <w:rPr>
                <w:b/>
              </w:rPr>
              <w:t>ML</w:t>
            </w:r>
          </w:p>
        </w:tc>
        <w:tc>
          <w:tcPr>
            <w:tcW w:w="7402" w:type="dxa"/>
          </w:tcPr>
          <w:p w:rsidR="008E1A84" w:rsidRPr="0092311A" w:rsidRDefault="008E1A84" w:rsidP="00C63AD0">
            <w:pPr>
              <w:ind w:left="720" w:hanging="720"/>
              <w:rPr>
                <w:lang w:eastAsia="en-GB"/>
              </w:rPr>
            </w:pPr>
            <w:r w:rsidRPr="0092311A">
              <w:t>Marco Lógico</w:t>
            </w:r>
          </w:p>
        </w:tc>
      </w:tr>
      <w:tr w:rsidR="008E1A84" w:rsidRPr="0092311A" w:rsidTr="00C63AD0">
        <w:tc>
          <w:tcPr>
            <w:tcW w:w="2000" w:type="dxa"/>
          </w:tcPr>
          <w:p w:rsidR="008E1A84" w:rsidRPr="0092311A" w:rsidRDefault="008E1A84" w:rsidP="00323F9E">
            <w:pPr>
              <w:ind w:left="720" w:hanging="720"/>
              <w:rPr>
                <w:b/>
                <w:lang w:eastAsia="en-GB"/>
              </w:rPr>
            </w:pPr>
            <w:r w:rsidRPr="0092311A">
              <w:rPr>
                <w:b/>
                <w:lang w:eastAsia="en-GB"/>
              </w:rPr>
              <w:t>MRV</w:t>
            </w:r>
          </w:p>
        </w:tc>
        <w:tc>
          <w:tcPr>
            <w:tcW w:w="7402" w:type="dxa"/>
          </w:tcPr>
          <w:p w:rsidR="008E1A84" w:rsidRPr="0092311A" w:rsidRDefault="008E1A84" w:rsidP="00323F9E">
            <w:pPr>
              <w:rPr>
                <w:lang w:eastAsia="en-GB"/>
              </w:rPr>
            </w:pPr>
            <w:r w:rsidRPr="0092311A">
              <w:rPr>
                <w:lang w:eastAsia="en-GB"/>
              </w:rPr>
              <w:t>Sistema de monitoreo, reporte y verificación</w:t>
            </w:r>
          </w:p>
        </w:tc>
      </w:tr>
      <w:tr w:rsidR="008E1A84" w:rsidRPr="0092311A" w:rsidTr="00C63AD0">
        <w:tc>
          <w:tcPr>
            <w:tcW w:w="2000" w:type="dxa"/>
          </w:tcPr>
          <w:p w:rsidR="008E1A84" w:rsidRPr="0092311A" w:rsidRDefault="008E1A84" w:rsidP="00C63AD0">
            <w:pPr>
              <w:ind w:left="720" w:hanging="720"/>
              <w:rPr>
                <w:b/>
                <w:lang w:eastAsia="en-GB"/>
              </w:rPr>
            </w:pPr>
            <w:r w:rsidRPr="0092311A">
              <w:rPr>
                <w:b/>
                <w:lang w:eastAsia="en-GB"/>
              </w:rPr>
              <w:t>NAMA</w:t>
            </w:r>
          </w:p>
        </w:tc>
        <w:tc>
          <w:tcPr>
            <w:tcW w:w="7402" w:type="dxa"/>
          </w:tcPr>
          <w:p w:rsidR="008E1A84" w:rsidRPr="0092311A" w:rsidRDefault="008E1A84" w:rsidP="00B875D2">
            <w:pPr>
              <w:rPr>
                <w:lang w:eastAsia="en-GB"/>
              </w:rPr>
            </w:pPr>
            <w:r w:rsidRPr="0092311A">
              <w:rPr>
                <w:lang w:eastAsia="en-GB"/>
              </w:rPr>
              <w:t xml:space="preserve">National Appropiate Mitigation Action en sus siglas en inglés, en español, Acciones de Mitigación Apropiadas al Contexto Nacional </w:t>
            </w:r>
          </w:p>
        </w:tc>
      </w:tr>
      <w:tr w:rsidR="008E1A84" w:rsidRPr="0092311A" w:rsidTr="00C63AD0">
        <w:tc>
          <w:tcPr>
            <w:tcW w:w="2000" w:type="dxa"/>
          </w:tcPr>
          <w:p w:rsidR="008E1A84" w:rsidRPr="0092311A" w:rsidRDefault="008E1A84" w:rsidP="00C63AD0">
            <w:pPr>
              <w:ind w:left="720" w:hanging="720"/>
              <w:rPr>
                <w:b/>
              </w:rPr>
            </w:pPr>
            <w:r w:rsidRPr="0092311A">
              <w:rPr>
                <w:b/>
              </w:rPr>
              <w:t>OIC</w:t>
            </w:r>
          </w:p>
        </w:tc>
        <w:tc>
          <w:tcPr>
            <w:tcW w:w="7402" w:type="dxa"/>
          </w:tcPr>
          <w:p w:rsidR="008E1A84" w:rsidRPr="0092311A" w:rsidRDefault="008E1A84" w:rsidP="00C63AD0">
            <w:pPr>
              <w:ind w:left="720" w:hanging="720"/>
            </w:pPr>
            <w:r w:rsidRPr="0092311A">
              <w:t>Organización Internacional del Café</w:t>
            </w:r>
          </w:p>
        </w:tc>
      </w:tr>
      <w:tr w:rsidR="008E1A84" w:rsidRPr="0092311A" w:rsidTr="00C63AD0">
        <w:tc>
          <w:tcPr>
            <w:tcW w:w="2000" w:type="dxa"/>
          </w:tcPr>
          <w:p w:rsidR="008E1A84" w:rsidRPr="0092311A" w:rsidRDefault="008E1A84" w:rsidP="00C63AD0">
            <w:pPr>
              <w:ind w:left="720" w:hanging="720"/>
              <w:rPr>
                <w:b/>
                <w:lang w:eastAsia="en-GB"/>
              </w:rPr>
            </w:pPr>
            <w:r w:rsidRPr="0092311A">
              <w:rPr>
                <w:b/>
              </w:rPr>
              <w:t>PEP</w:t>
            </w:r>
          </w:p>
        </w:tc>
        <w:tc>
          <w:tcPr>
            <w:tcW w:w="7402" w:type="dxa"/>
          </w:tcPr>
          <w:p w:rsidR="008E1A84" w:rsidRPr="0092311A" w:rsidRDefault="008E1A84" w:rsidP="00C63AD0">
            <w:pPr>
              <w:ind w:left="720" w:hanging="720"/>
              <w:rPr>
                <w:lang w:eastAsia="en-GB"/>
              </w:rPr>
            </w:pPr>
            <w:r w:rsidRPr="0092311A">
              <w:t>Plan de Ejecución del Proyecto</w:t>
            </w:r>
          </w:p>
        </w:tc>
      </w:tr>
      <w:tr w:rsidR="008E1A84" w:rsidRPr="0092311A" w:rsidTr="00C63AD0">
        <w:tc>
          <w:tcPr>
            <w:tcW w:w="2000" w:type="dxa"/>
          </w:tcPr>
          <w:p w:rsidR="008E1A84" w:rsidRPr="0092311A" w:rsidRDefault="008E1A84" w:rsidP="00C63AD0">
            <w:pPr>
              <w:ind w:left="720" w:hanging="720"/>
              <w:rPr>
                <w:b/>
              </w:rPr>
            </w:pPr>
            <w:r w:rsidRPr="0092311A">
              <w:rPr>
                <w:b/>
              </w:rPr>
              <w:t>PNUMA</w:t>
            </w:r>
          </w:p>
        </w:tc>
        <w:tc>
          <w:tcPr>
            <w:tcW w:w="7402" w:type="dxa"/>
          </w:tcPr>
          <w:p w:rsidR="008E1A84" w:rsidRPr="0092311A" w:rsidRDefault="008E1A84" w:rsidP="002D32DE">
            <w:pPr>
              <w:ind w:left="4" w:hanging="4"/>
            </w:pPr>
            <w:r w:rsidRPr="0092311A">
              <w:t>Programa de Naciones Unidas para el Medio Ambiente</w:t>
            </w:r>
          </w:p>
        </w:tc>
      </w:tr>
      <w:tr w:rsidR="008E1A84" w:rsidRPr="0092311A" w:rsidTr="00C63AD0">
        <w:tc>
          <w:tcPr>
            <w:tcW w:w="2000" w:type="dxa"/>
          </w:tcPr>
          <w:p w:rsidR="008E1A84" w:rsidRPr="0092311A" w:rsidRDefault="008E1A84" w:rsidP="00C63AD0">
            <w:pPr>
              <w:ind w:left="720" w:hanging="720"/>
              <w:rPr>
                <w:b/>
              </w:rPr>
            </w:pPr>
            <w:r w:rsidRPr="0092311A">
              <w:rPr>
                <w:b/>
              </w:rPr>
              <w:t>PROMECAFE</w:t>
            </w:r>
          </w:p>
        </w:tc>
        <w:tc>
          <w:tcPr>
            <w:tcW w:w="7402" w:type="dxa"/>
          </w:tcPr>
          <w:p w:rsidR="008E1A84" w:rsidRPr="0092311A" w:rsidRDefault="008E1A84" w:rsidP="00E4336F">
            <w:pPr>
              <w:ind w:left="4" w:hanging="4"/>
            </w:pPr>
            <w:r w:rsidRPr="0092311A">
              <w:t>Programa Cooperativo Regional para el Desarrollo Tecnológico y Modernización de la Caficultura</w:t>
            </w:r>
          </w:p>
        </w:tc>
      </w:tr>
      <w:tr w:rsidR="008E1A84" w:rsidRPr="0092311A" w:rsidTr="00C63AD0">
        <w:tc>
          <w:tcPr>
            <w:tcW w:w="2000" w:type="dxa"/>
          </w:tcPr>
          <w:p w:rsidR="008E1A84" w:rsidRPr="0092311A" w:rsidRDefault="008E1A84" w:rsidP="00C63AD0">
            <w:pPr>
              <w:ind w:left="720" w:hanging="720"/>
              <w:rPr>
                <w:b/>
                <w:lang w:eastAsia="en-GB"/>
              </w:rPr>
            </w:pPr>
            <w:r w:rsidRPr="0092311A">
              <w:rPr>
                <w:b/>
              </w:rPr>
              <w:t>PSR</w:t>
            </w:r>
          </w:p>
        </w:tc>
        <w:tc>
          <w:tcPr>
            <w:tcW w:w="7402" w:type="dxa"/>
          </w:tcPr>
          <w:p w:rsidR="008E1A84" w:rsidRPr="0092311A" w:rsidRDefault="008E1A84" w:rsidP="00C63AD0">
            <w:pPr>
              <w:ind w:left="720" w:hanging="720"/>
              <w:rPr>
                <w:lang w:eastAsia="en-GB"/>
              </w:rPr>
            </w:pPr>
            <w:r w:rsidRPr="0092311A">
              <w:t>Informe de terminación de proyecto, por sus siglas en inglés</w:t>
            </w:r>
          </w:p>
        </w:tc>
      </w:tr>
      <w:tr w:rsidR="008E1A84" w:rsidRPr="0092311A" w:rsidTr="00C63AD0">
        <w:tc>
          <w:tcPr>
            <w:tcW w:w="2000" w:type="dxa"/>
          </w:tcPr>
          <w:p w:rsidR="008E1A84" w:rsidRPr="0092311A" w:rsidRDefault="008E1A84" w:rsidP="00C63AD0">
            <w:pPr>
              <w:ind w:left="720" w:hanging="720"/>
              <w:rPr>
                <w:b/>
              </w:rPr>
            </w:pPr>
            <w:r w:rsidRPr="0092311A">
              <w:rPr>
                <w:b/>
                <w:bCs/>
              </w:rPr>
              <w:t>QED</w:t>
            </w:r>
          </w:p>
        </w:tc>
        <w:tc>
          <w:tcPr>
            <w:tcW w:w="7402" w:type="dxa"/>
          </w:tcPr>
          <w:p w:rsidR="008E1A84" w:rsidRPr="0092311A" w:rsidRDefault="008E1A84" w:rsidP="00C63AD0">
            <w:pPr>
              <w:ind w:left="720" w:hanging="720"/>
            </w:pPr>
            <w:r w:rsidRPr="0092311A">
              <w:t>Matriz de Calidad para la Efectividad en el Desarrollo</w:t>
            </w:r>
          </w:p>
        </w:tc>
      </w:tr>
      <w:tr w:rsidR="008E1A84" w:rsidRPr="0092311A" w:rsidTr="00C63AD0">
        <w:tc>
          <w:tcPr>
            <w:tcW w:w="2000" w:type="dxa"/>
          </w:tcPr>
          <w:p w:rsidR="008E1A84" w:rsidRPr="0092311A" w:rsidRDefault="008E1A84" w:rsidP="00C63AD0">
            <w:pPr>
              <w:ind w:left="720" w:hanging="720"/>
              <w:rPr>
                <w:b/>
              </w:rPr>
            </w:pPr>
            <w:r w:rsidRPr="0092311A">
              <w:rPr>
                <w:b/>
              </w:rPr>
              <w:t>qq</w:t>
            </w:r>
          </w:p>
        </w:tc>
        <w:tc>
          <w:tcPr>
            <w:tcW w:w="7402" w:type="dxa"/>
          </w:tcPr>
          <w:p w:rsidR="008E1A84" w:rsidRPr="0092311A" w:rsidRDefault="008E1A84" w:rsidP="00C63AD0">
            <w:pPr>
              <w:ind w:left="720" w:hanging="720"/>
            </w:pPr>
            <w:r w:rsidRPr="0092311A">
              <w:t xml:space="preserve">Quintales </w:t>
            </w:r>
          </w:p>
        </w:tc>
      </w:tr>
      <w:tr w:rsidR="008E1A84" w:rsidRPr="0092311A" w:rsidTr="00C63AD0">
        <w:tc>
          <w:tcPr>
            <w:tcW w:w="2000" w:type="dxa"/>
          </w:tcPr>
          <w:p w:rsidR="008E1A84" w:rsidRPr="0092311A" w:rsidRDefault="008E1A84" w:rsidP="00C63AD0">
            <w:pPr>
              <w:ind w:left="720" w:hanging="720"/>
              <w:rPr>
                <w:b/>
              </w:rPr>
            </w:pPr>
            <w:r w:rsidRPr="0092311A">
              <w:rPr>
                <w:b/>
                <w:szCs w:val="24"/>
              </w:rPr>
              <w:t>REDD +</w:t>
            </w:r>
          </w:p>
        </w:tc>
        <w:tc>
          <w:tcPr>
            <w:tcW w:w="7402" w:type="dxa"/>
          </w:tcPr>
          <w:p w:rsidR="008E1A84" w:rsidRPr="0092311A" w:rsidRDefault="008E1A84" w:rsidP="00B16D7E">
            <w:pPr>
              <w:ind w:left="4" w:hanging="4"/>
            </w:pPr>
            <w:r w:rsidRPr="0092311A">
              <w:t xml:space="preserve">Reducción de emisiones por deforestación evitada y degradación de bosques </w:t>
            </w:r>
          </w:p>
        </w:tc>
      </w:tr>
      <w:tr w:rsidR="008E1A84" w:rsidRPr="0092311A" w:rsidTr="00C63AD0">
        <w:tc>
          <w:tcPr>
            <w:tcW w:w="2000" w:type="dxa"/>
          </w:tcPr>
          <w:p w:rsidR="008E1A84" w:rsidRPr="0092311A" w:rsidRDefault="008E1A84" w:rsidP="00C63AD0">
            <w:pPr>
              <w:ind w:left="720" w:hanging="720"/>
              <w:rPr>
                <w:b/>
                <w:lang w:eastAsia="en-GB"/>
              </w:rPr>
            </w:pPr>
            <w:r w:rsidRPr="0092311A">
              <w:rPr>
                <w:b/>
              </w:rPr>
              <w:t>RO</w:t>
            </w:r>
          </w:p>
        </w:tc>
        <w:tc>
          <w:tcPr>
            <w:tcW w:w="7402" w:type="dxa"/>
          </w:tcPr>
          <w:p w:rsidR="008E1A84" w:rsidRPr="0092311A" w:rsidRDefault="008E1A84" w:rsidP="00C63AD0">
            <w:pPr>
              <w:ind w:left="720" w:hanging="720"/>
              <w:rPr>
                <w:lang w:eastAsia="en-GB"/>
              </w:rPr>
            </w:pPr>
            <w:r w:rsidRPr="0092311A">
              <w:t>Reglamento Operativo</w:t>
            </w:r>
          </w:p>
        </w:tc>
      </w:tr>
      <w:tr w:rsidR="008E1A84" w:rsidRPr="0092311A" w:rsidTr="00C63AD0">
        <w:tc>
          <w:tcPr>
            <w:tcW w:w="2000" w:type="dxa"/>
          </w:tcPr>
          <w:p w:rsidR="008E1A84" w:rsidRPr="0092311A" w:rsidRDefault="008E1A84" w:rsidP="00C63AD0">
            <w:pPr>
              <w:ind w:left="720" w:hanging="720"/>
              <w:rPr>
                <w:b/>
                <w:lang w:eastAsia="en-GB"/>
              </w:rPr>
            </w:pPr>
            <w:r w:rsidRPr="0092311A">
              <w:rPr>
                <w:b/>
              </w:rPr>
              <w:t>SAF</w:t>
            </w:r>
          </w:p>
        </w:tc>
        <w:tc>
          <w:tcPr>
            <w:tcW w:w="7402" w:type="dxa"/>
          </w:tcPr>
          <w:p w:rsidR="008E1A84" w:rsidRPr="0092311A" w:rsidRDefault="008E1A84" w:rsidP="00C63AD0">
            <w:pPr>
              <w:ind w:left="720" w:hanging="720"/>
              <w:rPr>
                <w:lang w:eastAsia="en-GB"/>
              </w:rPr>
            </w:pPr>
            <w:r w:rsidRPr="0092311A">
              <w:t>Sistemas Agroforestales</w:t>
            </w:r>
          </w:p>
        </w:tc>
      </w:tr>
      <w:tr w:rsidR="008E1A84" w:rsidRPr="0092311A" w:rsidTr="00C63AD0">
        <w:tc>
          <w:tcPr>
            <w:tcW w:w="2000" w:type="dxa"/>
          </w:tcPr>
          <w:p w:rsidR="008E1A84" w:rsidRPr="0092311A" w:rsidRDefault="008E1A84" w:rsidP="00C63AD0">
            <w:pPr>
              <w:ind w:left="720" w:hanging="720"/>
              <w:rPr>
                <w:b/>
              </w:rPr>
            </w:pPr>
            <w:r w:rsidRPr="0092311A">
              <w:rPr>
                <w:b/>
              </w:rPr>
              <w:t xml:space="preserve">SICA   </w:t>
            </w:r>
          </w:p>
        </w:tc>
        <w:tc>
          <w:tcPr>
            <w:tcW w:w="7402" w:type="dxa"/>
          </w:tcPr>
          <w:p w:rsidR="008E1A84" w:rsidRPr="0092311A" w:rsidRDefault="008E1A84" w:rsidP="00C63AD0">
            <w:pPr>
              <w:ind w:left="720" w:hanging="720"/>
            </w:pPr>
            <w:r w:rsidRPr="0092311A">
              <w:t>Sistema Integrado de Centro América</w:t>
            </w:r>
          </w:p>
        </w:tc>
      </w:tr>
      <w:tr w:rsidR="008E1A84" w:rsidRPr="0092311A" w:rsidTr="00C63AD0">
        <w:tc>
          <w:tcPr>
            <w:tcW w:w="2000" w:type="dxa"/>
          </w:tcPr>
          <w:p w:rsidR="008E1A84" w:rsidRPr="0092311A" w:rsidRDefault="008E1A84" w:rsidP="00C63AD0">
            <w:pPr>
              <w:ind w:left="720" w:hanging="720"/>
              <w:rPr>
                <w:b/>
              </w:rPr>
            </w:pPr>
            <w:r w:rsidRPr="0092311A">
              <w:rPr>
                <w:b/>
              </w:rPr>
              <w:t>tCO</w:t>
            </w:r>
            <w:r w:rsidRPr="0092311A">
              <w:rPr>
                <w:b/>
                <w:vertAlign w:val="subscript"/>
              </w:rPr>
              <w:t>2</w:t>
            </w:r>
            <w:r w:rsidRPr="0092311A">
              <w:rPr>
                <w:b/>
              </w:rPr>
              <w:t>e</w:t>
            </w:r>
          </w:p>
        </w:tc>
        <w:tc>
          <w:tcPr>
            <w:tcW w:w="7402" w:type="dxa"/>
          </w:tcPr>
          <w:p w:rsidR="008E1A84" w:rsidRPr="0092311A" w:rsidRDefault="008E1A84" w:rsidP="008E1A84">
            <w:pPr>
              <w:ind w:left="720" w:hanging="720"/>
            </w:pPr>
            <w:r w:rsidRPr="0092311A">
              <w:t xml:space="preserve">Toneladas equivalente de dióxido de carbono </w:t>
            </w:r>
          </w:p>
        </w:tc>
      </w:tr>
      <w:tr w:rsidR="008E1A84" w:rsidRPr="0092311A" w:rsidTr="00AA3375">
        <w:tc>
          <w:tcPr>
            <w:tcW w:w="2000" w:type="dxa"/>
            <w:vAlign w:val="center"/>
          </w:tcPr>
          <w:p w:rsidR="008E1A84" w:rsidRPr="0092311A" w:rsidRDefault="008E1A84" w:rsidP="00AA3375">
            <w:pPr>
              <w:rPr>
                <w:rFonts w:eastAsia="Arial Unicode MS"/>
                <w:b/>
                <w:bCs/>
              </w:rPr>
            </w:pPr>
            <w:r w:rsidRPr="0092311A">
              <w:rPr>
                <w:b/>
                <w:bCs/>
              </w:rPr>
              <w:t>TdR</w:t>
            </w:r>
          </w:p>
        </w:tc>
        <w:tc>
          <w:tcPr>
            <w:tcW w:w="7402" w:type="dxa"/>
            <w:vAlign w:val="center"/>
          </w:tcPr>
          <w:p w:rsidR="008E1A84" w:rsidRPr="0092311A" w:rsidRDefault="008E1A84" w:rsidP="00AA3375">
            <w:pPr>
              <w:rPr>
                <w:rFonts w:eastAsia="Arial Unicode MS"/>
              </w:rPr>
            </w:pPr>
            <w:r w:rsidRPr="0092311A">
              <w:t>Términos de Referencia</w:t>
            </w:r>
          </w:p>
        </w:tc>
      </w:tr>
      <w:tr w:rsidR="008E1A84" w:rsidRPr="0092311A" w:rsidTr="00C63AD0">
        <w:tc>
          <w:tcPr>
            <w:tcW w:w="2000" w:type="dxa"/>
          </w:tcPr>
          <w:p w:rsidR="008E1A84" w:rsidRPr="0092311A" w:rsidRDefault="008E1A84" w:rsidP="00C63AD0">
            <w:pPr>
              <w:ind w:left="720" w:hanging="720"/>
              <w:rPr>
                <w:b/>
              </w:rPr>
            </w:pPr>
            <w:r w:rsidRPr="0092311A">
              <w:rPr>
                <w:b/>
              </w:rPr>
              <w:t>UE</w:t>
            </w:r>
          </w:p>
        </w:tc>
        <w:tc>
          <w:tcPr>
            <w:tcW w:w="7402" w:type="dxa"/>
          </w:tcPr>
          <w:p w:rsidR="008E1A84" w:rsidRPr="0092311A" w:rsidRDefault="008E1A84" w:rsidP="00C63AD0">
            <w:pPr>
              <w:ind w:left="720" w:hanging="720"/>
            </w:pPr>
            <w:r w:rsidRPr="0092311A">
              <w:t>Unidad Ejecutora</w:t>
            </w:r>
          </w:p>
        </w:tc>
      </w:tr>
      <w:tr w:rsidR="008E1A84" w:rsidRPr="00E10A3C" w:rsidTr="00C63AD0">
        <w:tc>
          <w:tcPr>
            <w:tcW w:w="2000" w:type="dxa"/>
          </w:tcPr>
          <w:p w:rsidR="008E1A84" w:rsidRPr="0092311A" w:rsidRDefault="008E1A84" w:rsidP="00C63AD0">
            <w:pPr>
              <w:ind w:left="720" w:hanging="720"/>
              <w:rPr>
                <w:b/>
                <w:lang w:eastAsia="en-GB"/>
              </w:rPr>
            </w:pPr>
            <w:r w:rsidRPr="0092311A">
              <w:rPr>
                <w:b/>
                <w:lang w:eastAsia="en-GB"/>
              </w:rPr>
              <w:t>WBCSD</w:t>
            </w:r>
          </w:p>
        </w:tc>
        <w:tc>
          <w:tcPr>
            <w:tcW w:w="7402" w:type="dxa"/>
          </w:tcPr>
          <w:p w:rsidR="008E1A84" w:rsidRPr="00657FF7" w:rsidRDefault="008E1A84" w:rsidP="00AC2DB0">
            <w:pPr>
              <w:ind w:left="4" w:hanging="4"/>
              <w:rPr>
                <w:lang w:val="en-US" w:eastAsia="en-GB"/>
              </w:rPr>
            </w:pPr>
            <w:r w:rsidRPr="00657FF7">
              <w:rPr>
                <w:lang w:val="en-US" w:eastAsia="en-GB"/>
              </w:rPr>
              <w:t>World Business Council for Sustainable Development, por sus siglas en inglés</w:t>
            </w:r>
          </w:p>
        </w:tc>
      </w:tr>
      <w:tr w:rsidR="008E1A84" w:rsidRPr="0092311A" w:rsidTr="00C63AD0">
        <w:tc>
          <w:tcPr>
            <w:tcW w:w="2000" w:type="dxa"/>
          </w:tcPr>
          <w:p w:rsidR="008E1A84" w:rsidRPr="0092311A" w:rsidRDefault="008E1A84" w:rsidP="001F11F1">
            <w:pPr>
              <w:ind w:left="720" w:hanging="720"/>
              <w:rPr>
                <w:b/>
                <w:lang w:eastAsia="en-GB"/>
              </w:rPr>
            </w:pPr>
            <w:r w:rsidRPr="0092311A">
              <w:rPr>
                <w:b/>
                <w:lang w:eastAsia="en-GB"/>
              </w:rPr>
              <w:t>WRI</w:t>
            </w:r>
          </w:p>
        </w:tc>
        <w:tc>
          <w:tcPr>
            <w:tcW w:w="7402" w:type="dxa"/>
          </w:tcPr>
          <w:p w:rsidR="008E1A84" w:rsidRPr="0092311A" w:rsidRDefault="008E1A84" w:rsidP="00C63AD0">
            <w:pPr>
              <w:ind w:left="720" w:hanging="720"/>
              <w:rPr>
                <w:lang w:eastAsia="en-GB"/>
              </w:rPr>
            </w:pPr>
            <w:r w:rsidRPr="0092311A">
              <w:rPr>
                <w:lang w:eastAsia="en-GB"/>
              </w:rPr>
              <w:t>World Resources Institute, en sus siglas en inglés</w:t>
            </w:r>
          </w:p>
        </w:tc>
      </w:tr>
    </w:tbl>
    <w:p w:rsidR="00A715C5" w:rsidRPr="0092311A" w:rsidRDefault="00A715C5">
      <w:pPr>
        <w:pStyle w:val="Listabbreviations"/>
        <w:sectPr w:rsidR="00A715C5" w:rsidRPr="0092311A" w:rsidSect="00DD19FE">
          <w:headerReference w:type="even" r:id="rId21"/>
          <w:headerReference w:type="default" r:id="rId22"/>
          <w:headerReference w:type="first" r:id="rId23"/>
          <w:type w:val="oddPage"/>
          <w:pgSz w:w="12240" w:h="15840" w:code="1"/>
          <w:pgMar w:top="1440" w:right="1800" w:bottom="1440" w:left="1800" w:header="1008" w:footer="1440" w:gutter="0"/>
          <w:pgNumType w:fmt="lowerRoman" w:start="1"/>
          <w:cols w:space="720"/>
          <w:noEndnote/>
          <w:titlePg/>
          <w:docGrid w:linePitch="326"/>
        </w:sectPr>
      </w:pPr>
    </w:p>
    <w:p w:rsidR="00A715C5" w:rsidRPr="0092311A" w:rsidRDefault="00A715C5" w:rsidP="00A715C5">
      <w:pPr>
        <w:pStyle w:val="heading-b24"/>
      </w:pPr>
      <w:r w:rsidRPr="0092311A">
        <w:t>Descripción del Proyecto</w:t>
      </w:r>
    </w:p>
    <w:p w:rsidR="00834515" w:rsidRPr="0092311A" w:rsidRDefault="00834515" w:rsidP="00C12D08">
      <w:pPr>
        <w:pStyle w:val="Listabbreviations"/>
        <w:ind w:left="0" w:firstLine="0"/>
        <w:jc w:val="both"/>
      </w:pPr>
      <w:r w:rsidRPr="0092311A">
        <w:t>En Costa Rica, el cultivo de café es una actividad dinámica y su importancia se refleja en que representa el 25% de las emisiones de gases invernadero (GEI) del sector agropecuario y el 9% del total de emisiones generadas en el país. En el 2007, el gobierno anunció su política de mitigación al cambio climático, comprometiéndose a lograr su carbono neutralidad en el 2021.</w:t>
      </w:r>
    </w:p>
    <w:p w:rsidR="00834515" w:rsidRPr="0092311A" w:rsidRDefault="00834515" w:rsidP="00C12D08">
      <w:pPr>
        <w:pStyle w:val="Listabbreviations"/>
        <w:ind w:left="0" w:firstLine="0"/>
        <w:jc w:val="both"/>
      </w:pPr>
    </w:p>
    <w:p w:rsidR="00834515" w:rsidRPr="0092311A" w:rsidRDefault="00834515" w:rsidP="00C12D08">
      <w:pPr>
        <w:pStyle w:val="Listabbreviations"/>
        <w:ind w:left="0" w:firstLine="0"/>
        <w:jc w:val="both"/>
      </w:pPr>
      <w:r w:rsidRPr="0092311A">
        <w:t xml:space="preserve">Este proyecto contribuirá a la reducción de los impactos de los fertilizantes (generador del 90% de los GEI del sector), </w:t>
      </w:r>
      <w:r w:rsidR="00E0595B" w:rsidRPr="0092311A">
        <w:t xml:space="preserve">residuos derivados </w:t>
      </w:r>
      <w:r w:rsidRPr="0092311A">
        <w:rPr>
          <w:szCs w:val="24"/>
        </w:rPr>
        <w:t xml:space="preserve">del procesamiento del café y </w:t>
      </w:r>
      <w:r w:rsidR="00CA20C1" w:rsidRPr="0092311A">
        <w:rPr>
          <w:szCs w:val="24"/>
        </w:rPr>
        <w:t xml:space="preserve">de las </w:t>
      </w:r>
      <w:r w:rsidRPr="0092311A">
        <w:rPr>
          <w:szCs w:val="24"/>
        </w:rPr>
        <w:t>emisiones de gases de efecto invernadero (GEI)</w:t>
      </w:r>
      <w:r w:rsidR="00CA20C1" w:rsidRPr="0092311A">
        <w:rPr>
          <w:szCs w:val="24"/>
        </w:rPr>
        <w:t xml:space="preserve"> generadas en todo el ciclo de producción</w:t>
      </w:r>
      <w:r w:rsidRPr="0092311A">
        <w:t xml:space="preserve">,  contribuirá al uso más sostenible del suelo y fuentes de agua, como también de recursos naturales que sirven </w:t>
      </w:r>
      <w:r w:rsidR="002A24CA">
        <w:t>como</w:t>
      </w:r>
      <w:r w:rsidRPr="0092311A">
        <w:t xml:space="preserve"> combustible. Mediante el uso más sostenible de estos recursos se prevé un ahorro en </w:t>
      </w:r>
      <w:r w:rsidR="002A24CA">
        <w:t xml:space="preserve">los costos de </w:t>
      </w:r>
      <w:r w:rsidRPr="0092311A">
        <w:t xml:space="preserve">siembra y procesamiento del café, generando mayores ganancias tanto </w:t>
      </w:r>
      <w:r w:rsidR="00CA20C1" w:rsidRPr="0092311A">
        <w:t xml:space="preserve">para los productores de café como </w:t>
      </w:r>
      <w:r w:rsidRPr="0092311A">
        <w:t>para las plantas procesadoras</w:t>
      </w:r>
      <w:r w:rsidR="00CA20C1" w:rsidRPr="0092311A">
        <w:t>.</w:t>
      </w:r>
      <w:r w:rsidRPr="0092311A">
        <w:t xml:space="preserve"> </w:t>
      </w:r>
    </w:p>
    <w:p w:rsidR="00834515" w:rsidRPr="0092311A" w:rsidRDefault="00834515" w:rsidP="00C12D08">
      <w:pPr>
        <w:pStyle w:val="Listabbreviations"/>
        <w:ind w:left="0" w:firstLine="0"/>
        <w:jc w:val="both"/>
      </w:pPr>
    </w:p>
    <w:p w:rsidR="00834515" w:rsidRPr="0092311A" w:rsidRDefault="00834515" w:rsidP="00C12D08">
      <w:pPr>
        <w:pStyle w:val="AutoNumpara"/>
        <w:numPr>
          <w:ilvl w:val="0"/>
          <w:numId w:val="0"/>
        </w:numPr>
        <w:spacing w:before="0" w:after="0"/>
      </w:pPr>
      <w:r w:rsidRPr="0092311A">
        <w:t xml:space="preserve">Este proyecto apoyará a definir un nuevo modelo de desarrollo en el cual el sector cafetalero de Costa Rica establece, de acuerdo a sus condiciones, prácticas y entorno en el que opera, las nuevas tecnologías que podrán adoptarse a nivel nacional para </w:t>
      </w:r>
      <w:r w:rsidRPr="0092311A">
        <w:rPr>
          <w:i/>
        </w:rPr>
        <w:t>mitigar</w:t>
      </w:r>
      <w:r w:rsidRPr="0092311A">
        <w:t xml:space="preserve"> emisiones de GEI y su impacto al cambio climático. Para ello, el proyecto pondrá a prueba un conjunto de tecnologías (paquete tecnológico), a nivel de productor y plantas procesadoras, que introducirá prácticas de producción sostenible y cuya valoración en términos de beneficios ambientales (de reducción de GEI) y económicos (costos y ahorros) tendrán que ser medidos, además de mostrar su efectividad técnica.</w:t>
      </w:r>
    </w:p>
    <w:p w:rsidR="00C12D08" w:rsidRPr="0092311A" w:rsidRDefault="00C12D08" w:rsidP="00C12D08">
      <w:pPr>
        <w:pStyle w:val="AutoNumpara"/>
        <w:numPr>
          <w:ilvl w:val="0"/>
          <w:numId w:val="0"/>
        </w:numPr>
        <w:spacing w:before="0" w:after="0"/>
      </w:pPr>
    </w:p>
    <w:p w:rsidR="00C12D08" w:rsidRPr="0092311A" w:rsidRDefault="00834515" w:rsidP="00C12D08">
      <w:pPr>
        <w:pStyle w:val="AutoNumpara"/>
        <w:numPr>
          <w:ilvl w:val="0"/>
          <w:numId w:val="0"/>
        </w:numPr>
        <w:spacing w:before="0" w:after="0"/>
      </w:pPr>
      <w:r w:rsidRPr="0092311A">
        <w:t xml:space="preserve">Una vez se validen los resultados del paquete tecnológico, </w:t>
      </w:r>
      <w:r w:rsidR="009A6043" w:rsidRPr="0092311A">
        <w:t>los resultados de</w:t>
      </w:r>
      <w:r w:rsidRPr="0092311A">
        <w:t>l proyecto propondrá</w:t>
      </w:r>
      <w:r w:rsidR="00CA20C1" w:rsidRPr="0092311A">
        <w:t>n</w:t>
      </w:r>
      <w:r w:rsidRPr="0092311A">
        <w:t xml:space="preserve"> al gobierno, el conjunto de políticas y medidas que podría impulsar a nivel nacional para su adopción y puesta en marcha. En base a ello, el Gobierno de Costa Rica definirá la Acción de Mitigación Apropiada al Contexto Nacional (NAMA), un modelo de mitigación climática, que impulsar</w:t>
      </w:r>
      <w:r w:rsidR="00E0595B" w:rsidRPr="0092311A">
        <w:t>á</w:t>
      </w:r>
      <w:r w:rsidRPr="0092311A">
        <w:t xml:space="preserve"> de manera voluntaria para reducir la huella de carbono (emisiones GEI) en el sector café. Este NAMA es el primero que se desarrolla a nivel internacional para un producto agrícola y su alcance comprende desde la siembra hasta el secado del café oro. </w:t>
      </w:r>
    </w:p>
    <w:p w:rsidR="009A6043" w:rsidRPr="0092311A" w:rsidRDefault="009A6043" w:rsidP="00C12D08">
      <w:pPr>
        <w:pStyle w:val="AutoNumpara"/>
        <w:numPr>
          <w:ilvl w:val="0"/>
          <w:numId w:val="0"/>
        </w:numPr>
        <w:spacing w:before="0" w:after="0"/>
      </w:pPr>
    </w:p>
    <w:p w:rsidR="00C12D08" w:rsidRPr="0092311A" w:rsidRDefault="00BA6D93" w:rsidP="008A5689">
      <w:pPr>
        <w:pStyle w:val="AutoNumpara"/>
        <w:numPr>
          <w:ilvl w:val="0"/>
          <w:numId w:val="0"/>
        </w:numPr>
        <w:spacing w:before="0" w:after="0"/>
        <w:rPr>
          <w:szCs w:val="24"/>
        </w:rPr>
      </w:pPr>
      <w:r w:rsidRPr="0092311A">
        <w:t xml:space="preserve">El total de la </w:t>
      </w:r>
      <w:r w:rsidR="00DA4725" w:rsidRPr="0092311A">
        <w:rPr>
          <w:szCs w:val="24"/>
        </w:rPr>
        <w:t>FOMIN será de US$</w:t>
      </w:r>
      <w:r w:rsidR="00E25E94" w:rsidRPr="0092311A">
        <w:rPr>
          <w:bCs/>
          <w:szCs w:val="24"/>
        </w:rPr>
        <w:t>1.2</w:t>
      </w:r>
      <w:r w:rsidR="0026315C" w:rsidRPr="0092311A">
        <w:rPr>
          <w:bCs/>
          <w:szCs w:val="24"/>
        </w:rPr>
        <w:t>74</w:t>
      </w:r>
      <w:r w:rsidR="00E25E94" w:rsidRPr="0092311A">
        <w:rPr>
          <w:bCs/>
          <w:szCs w:val="24"/>
        </w:rPr>
        <w:t>.</w:t>
      </w:r>
      <w:r w:rsidR="0026315C" w:rsidRPr="0092311A">
        <w:rPr>
          <w:bCs/>
          <w:szCs w:val="24"/>
        </w:rPr>
        <w:t>438</w:t>
      </w:r>
      <w:r w:rsidR="00DA4725" w:rsidRPr="0092311A">
        <w:rPr>
          <w:szCs w:val="24"/>
        </w:rPr>
        <w:t xml:space="preserve">. </w:t>
      </w:r>
      <w:r w:rsidR="00C12D08" w:rsidRPr="0092311A">
        <w:rPr>
          <w:szCs w:val="24"/>
        </w:rPr>
        <w:t>El proyecto contará</w:t>
      </w:r>
      <w:r w:rsidR="00C12D08" w:rsidRPr="0092311A">
        <w:t xml:space="preserve"> con el apoyo de un socio estratégico de conocimiento, como es el Instituto Mundial de Recursos (WRI por sus siglas en inglés) que ha desarrollado los protocolos de medición de GEI para productos agrícolas y el protocolo de políticas y estándares. Este último, se validará en el marco de esta operación previo a ser lanzado como estándar internacional. </w:t>
      </w:r>
      <w:r w:rsidR="002879E1" w:rsidRPr="0092311A">
        <w:t>Se</w:t>
      </w:r>
      <w:r w:rsidR="008A5689" w:rsidRPr="0092311A">
        <w:t xml:space="preserve"> tendrá el apoyo de GIZ con fondos de contrapartida y </w:t>
      </w:r>
      <w:r w:rsidR="002879E1" w:rsidRPr="0092311A">
        <w:t xml:space="preserve">en </w:t>
      </w:r>
      <w:r w:rsidR="008A5689" w:rsidRPr="0092311A">
        <w:t xml:space="preserve">la gestión de fondos ante la Facilidad del NAMA para la implementación del NAMA café. </w:t>
      </w:r>
    </w:p>
    <w:p w:rsidR="004F75FE" w:rsidRPr="0092311A" w:rsidRDefault="004F75FE" w:rsidP="00C12D08">
      <w:pPr>
        <w:pStyle w:val="AutoNumpara"/>
        <w:numPr>
          <w:ilvl w:val="0"/>
          <w:numId w:val="0"/>
        </w:numPr>
        <w:ind w:left="720" w:hanging="720"/>
      </w:pPr>
    </w:p>
    <w:p w:rsidR="009A6043" w:rsidRPr="0092311A" w:rsidRDefault="009A6043" w:rsidP="00C12D08">
      <w:pPr>
        <w:pStyle w:val="AutoNumpara"/>
        <w:numPr>
          <w:ilvl w:val="0"/>
          <w:numId w:val="0"/>
        </w:numPr>
        <w:ind w:left="720" w:hanging="720"/>
      </w:pPr>
    </w:p>
    <w:tbl>
      <w:tblPr>
        <w:tblW w:w="9165" w:type="dxa"/>
        <w:jc w:val="center"/>
        <w:tblInd w:w="-448" w:type="dxa"/>
        <w:tblLayout w:type="fixed"/>
        <w:tblCellMar>
          <w:left w:w="0" w:type="dxa"/>
          <w:right w:w="0" w:type="dxa"/>
        </w:tblCellMar>
        <w:tblLook w:val="0000" w:firstRow="0" w:lastRow="0" w:firstColumn="0" w:lastColumn="0" w:noHBand="0" w:noVBand="0"/>
      </w:tblPr>
      <w:tblGrid>
        <w:gridCol w:w="9165"/>
      </w:tblGrid>
      <w:tr w:rsidR="00E147AB" w:rsidRPr="0092311A" w:rsidTr="002A6ED6">
        <w:trPr>
          <w:trHeight w:val="315"/>
          <w:jc w:val="center"/>
        </w:trPr>
        <w:tc>
          <w:tcPr>
            <w:tcW w:w="9165" w:type="dxa"/>
            <w:tcBorders>
              <w:top w:val="nil"/>
              <w:left w:val="nil"/>
              <w:right w:val="nil"/>
            </w:tcBorders>
            <w:vAlign w:val="bottom"/>
          </w:tcPr>
          <w:p w:rsidR="003B1A01" w:rsidRPr="0092311A" w:rsidRDefault="003B1A01" w:rsidP="009972D2">
            <w:pPr>
              <w:pStyle w:val="ProjecName"/>
              <w:rPr>
                <w:rFonts w:eastAsia="Arial Unicode MS"/>
              </w:rPr>
            </w:pPr>
            <w:r w:rsidRPr="0092311A">
              <w:fldChar w:fldCharType="begin"/>
            </w:r>
            <w:r w:rsidRPr="0092311A">
              <w:rPr>
                <w:rFonts w:eastAsia="Arial Unicode MS"/>
              </w:rPr>
              <w:instrText xml:space="preserve"> REF CountryName \h </w:instrText>
            </w:r>
            <w:r w:rsidRPr="0092311A">
              <w:instrText xml:space="preserve"> \* MERGEFORMAT </w:instrText>
            </w:r>
            <w:r w:rsidRPr="0092311A">
              <w:fldChar w:fldCharType="separate"/>
            </w:r>
            <w:r w:rsidR="002A24CA" w:rsidRPr="0092311A">
              <w:t>Costa Rica</w:t>
            </w:r>
            <w:r w:rsidRPr="0092311A">
              <w:fldChar w:fldCharType="end"/>
            </w:r>
          </w:p>
        </w:tc>
      </w:tr>
      <w:tr w:rsidR="00E147AB" w:rsidRPr="0092311A" w:rsidTr="002A6ED6">
        <w:trPr>
          <w:trHeight w:val="315"/>
          <w:jc w:val="center"/>
        </w:trPr>
        <w:tc>
          <w:tcPr>
            <w:tcW w:w="9165" w:type="dxa"/>
            <w:tcBorders>
              <w:top w:val="nil"/>
              <w:left w:val="nil"/>
              <w:right w:val="nil"/>
            </w:tcBorders>
            <w:vAlign w:val="bottom"/>
          </w:tcPr>
          <w:p w:rsidR="003B1A01" w:rsidRPr="0092311A" w:rsidRDefault="003B1A01" w:rsidP="002A6ED6">
            <w:pPr>
              <w:pStyle w:val="ProjecName"/>
            </w:pPr>
            <w:r w:rsidRPr="0092311A">
              <w:fldChar w:fldCharType="begin"/>
            </w:r>
            <w:r w:rsidRPr="0092311A">
              <w:instrText xml:space="preserve"> REF ProjectName \h  \* MERGEFORMAT </w:instrText>
            </w:r>
            <w:r w:rsidRPr="0092311A">
              <w:fldChar w:fldCharType="separate"/>
            </w:r>
            <w:r w:rsidR="002A24CA" w:rsidRPr="0092311A">
              <w:t xml:space="preserve"> Fortalecimiento de la competitividad y desempeño bajo en carbono del sector café en Costa Rica </w:t>
            </w:r>
            <w:r w:rsidRPr="0092311A">
              <w:fldChar w:fldCharType="end"/>
            </w:r>
          </w:p>
          <w:p w:rsidR="003B1A01" w:rsidRPr="0092311A" w:rsidRDefault="003B1A01" w:rsidP="009972D2">
            <w:pPr>
              <w:pStyle w:val="StyleTimesNewRomanBoldBoldAllcapsCentered"/>
              <w:spacing w:after="240"/>
              <w:rPr>
                <w:rFonts w:eastAsia="Arial Unicode MS"/>
              </w:rPr>
            </w:pPr>
            <w:r w:rsidRPr="0092311A">
              <w:t>(</w:t>
            </w:r>
            <w:r w:rsidRPr="0092311A">
              <w:fldChar w:fldCharType="begin"/>
            </w:r>
            <w:r w:rsidRPr="0092311A">
              <w:instrText xml:space="preserve"> REF ProjectNumber \h  \* MERGEFORMAT </w:instrText>
            </w:r>
            <w:r w:rsidRPr="0092311A">
              <w:fldChar w:fldCharType="separate"/>
            </w:r>
            <w:r w:rsidR="002A24CA" w:rsidRPr="002A24CA">
              <w:t>CR-M1020</w:t>
            </w:r>
            <w:r w:rsidRPr="0092311A">
              <w:fldChar w:fldCharType="end"/>
            </w:r>
            <w:r w:rsidRPr="0092311A">
              <w:t>)</w:t>
            </w:r>
          </w:p>
        </w:tc>
      </w:tr>
    </w:tbl>
    <w:p w:rsidR="003B1A01" w:rsidRPr="0092311A" w:rsidRDefault="009B082B" w:rsidP="00E147AB">
      <w:pPr>
        <w:pStyle w:val="Heading1"/>
        <w:rPr>
          <w:lang w:val="es-ES"/>
        </w:rPr>
      </w:pPr>
      <w:bookmarkStart w:id="5" w:name="_Toc363224973"/>
      <w:r w:rsidRPr="0092311A">
        <w:rPr>
          <w:lang w:val="es-ES"/>
        </w:rPr>
        <w:t>Resumen Ejecutivo</w:t>
      </w:r>
      <w:bookmarkEnd w:id="5"/>
    </w:p>
    <w:tbl>
      <w:tblPr>
        <w:tblW w:w="8901" w:type="dxa"/>
        <w:jc w:val="center"/>
        <w:tblLayout w:type="fixed"/>
        <w:tblCellMar>
          <w:left w:w="0" w:type="dxa"/>
          <w:right w:w="0" w:type="dxa"/>
        </w:tblCellMar>
        <w:tblLook w:val="0000" w:firstRow="0" w:lastRow="0" w:firstColumn="0" w:lastColumn="0" w:noHBand="0" w:noVBand="0"/>
      </w:tblPr>
      <w:tblGrid>
        <w:gridCol w:w="120"/>
        <w:gridCol w:w="1920"/>
        <w:gridCol w:w="125"/>
        <w:gridCol w:w="265"/>
        <w:gridCol w:w="95"/>
        <w:gridCol w:w="3173"/>
        <w:gridCol w:w="9"/>
        <w:gridCol w:w="3023"/>
        <w:gridCol w:w="171"/>
      </w:tblGrid>
      <w:tr w:rsidR="003B1A01" w:rsidRPr="0092311A" w:rsidTr="00661F89">
        <w:trPr>
          <w:gridBefore w:val="1"/>
          <w:wBefore w:w="120" w:type="dxa"/>
          <w:jc w:val="center"/>
        </w:trPr>
        <w:tc>
          <w:tcPr>
            <w:tcW w:w="2045" w:type="dxa"/>
            <w:gridSpan w:val="2"/>
          </w:tcPr>
          <w:p w:rsidR="003B1A01" w:rsidRPr="0092311A" w:rsidRDefault="003B1A01" w:rsidP="003C58EF">
            <w:pPr>
              <w:pStyle w:val="ExSumSubTitles"/>
            </w:pPr>
            <w:r w:rsidRPr="0092311A">
              <w:t>País:</w:t>
            </w:r>
          </w:p>
        </w:tc>
        <w:tc>
          <w:tcPr>
            <w:tcW w:w="360" w:type="dxa"/>
            <w:gridSpan w:val="2"/>
          </w:tcPr>
          <w:p w:rsidR="003B1A01" w:rsidRPr="0092311A" w:rsidRDefault="003B1A01" w:rsidP="002A6ED6">
            <w:pPr>
              <w:pStyle w:val="EXSUMPARAGR"/>
            </w:pPr>
          </w:p>
        </w:tc>
        <w:tc>
          <w:tcPr>
            <w:tcW w:w="6376" w:type="dxa"/>
            <w:gridSpan w:val="4"/>
          </w:tcPr>
          <w:p w:rsidR="003B1A01" w:rsidRPr="0092311A" w:rsidRDefault="009972D2" w:rsidP="009972D2">
            <w:pPr>
              <w:pStyle w:val="EXSUMPARAGR"/>
            </w:pPr>
            <w:r w:rsidRPr="0092311A">
              <w:t>Costa Rica</w:t>
            </w:r>
          </w:p>
        </w:tc>
      </w:tr>
      <w:tr w:rsidR="003B1A01" w:rsidRPr="0092311A" w:rsidTr="009033F1">
        <w:trPr>
          <w:gridBefore w:val="1"/>
          <w:wBefore w:w="120" w:type="dxa"/>
          <w:trHeight w:val="783"/>
          <w:jc w:val="center"/>
        </w:trPr>
        <w:tc>
          <w:tcPr>
            <w:tcW w:w="2045" w:type="dxa"/>
            <w:gridSpan w:val="2"/>
          </w:tcPr>
          <w:p w:rsidR="00B72E6B" w:rsidRPr="0092311A" w:rsidRDefault="003B1A01" w:rsidP="009033F1">
            <w:pPr>
              <w:pStyle w:val="ExSumSubTitles"/>
              <w:spacing w:before="0" w:after="0"/>
            </w:pPr>
            <w:r w:rsidRPr="0092311A">
              <w:t>Organismo ejecutor:</w:t>
            </w:r>
          </w:p>
        </w:tc>
        <w:tc>
          <w:tcPr>
            <w:tcW w:w="360" w:type="dxa"/>
            <w:gridSpan w:val="2"/>
          </w:tcPr>
          <w:p w:rsidR="003B1A01" w:rsidRPr="0092311A" w:rsidRDefault="003B1A01" w:rsidP="002A6ED6">
            <w:pPr>
              <w:pStyle w:val="EXSUMPARAGR"/>
            </w:pPr>
          </w:p>
        </w:tc>
        <w:tc>
          <w:tcPr>
            <w:tcW w:w="6376" w:type="dxa"/>
            <w:gridSpan w:val="4"/>
          </w:tcPr>
          <w:p w:rsidR="009B082B" w:rsidRPr="0092311A" w:rsidRDefault="009972D2" w:rsidP="00DD077D">
            <w:pPr>
              <w:pStyle w:val="EXSUMPARAGR"/>
              <w:rPr>
                <w:szCs w:val="24"/>
              </w:rPr>
            </w:pPr>
            <w:r w:rsidRPr="0092311A">
              <w:rPr>
                <w:szCs w:val="24"/>
              </w:rPr>
              <w:t xml:space="preserve">Fundación </w:t>
            </w:r>
            <w:r w:rsidR="00AA517C" w:rsidRPr="0092311A">
              <w:rPr>
                <w:szCs w:val="24"/>
              </w:rPr>
              <w:t xml:space="preserve">Fundecooperación </w:t>
            </w:r>
            <w:r w:rsidRPr="0092311A">
              <w:rPr>
                <w:szCs w:val="24"/>
              </w:rPr>
              <w:t xml:space="preserve">para el </w:t>
            </w:r>
            <w:r w:rsidR="00DD077D" w:rsidRPr="0092311A">
              <w:rPr>
                <w:szCs w:val="24"/>
              </w:rPr>
              <w:t>D</w:t>
            </w:r>
            <w:r w:rsidRPr="0092311A">
              <w:rPr>
                <w:szCs w:val="24"/>
              </w:rPr>
              <w:t>esarrollo</w:t>
            </w:r>
            <w:r w:rsidR="00AA517C" w:rsidRPr="0092311A">
              <w:rPr>
                <w:szCs w:val="24"/>
              </w:rPr>
              <w:t xml:space="preserve"> </w:t>
            </w:r>
            <w:r w:rsidR="00DD077D" w:rsidRPr="0092311A">
              <w:rPr>
                <w:szCs w:val="24"/>
              </w:rPr>
              <w:t>S</w:t>
            </w:r>
            <w:r w:rsidR="00AA517C" w:rsidRPr="0092311A">
              <w:rPr>
                <w:szCs w:val="24"/>
              </w:rPr>
              <w:t>ostenible</w:t>
            </w:r>
            <w:r w:rsidRPr="0092311A">
              <w:rPr>
                <w:szCs w:val="24"/>
              </w:rPr>
              <w:t>, (FC)</w:t>
            </w:r>
            <w:r w:rsidR="00BE4A54" w:rsidRPr="0092311A">
              <w:rPr>
                <w:rStyle w:val="FootnoteReference"/>
                <w:szCs w:val="24"/>
              </w:rPr>
              <w:footnoteReference w:id="1"/>
            </w:r>
          </w:p>
        </w:tc>
      </w:tr>
      <w:tr w:rsidR="00B72E6B" w:rsidRPr="0092311A" w:rsidTr="009033F1">
        <w:trPr>
          <w:gridBefore w:val="1"/>
          <w:wBefore w:w="120" w:type="dxa"/>
          <w:trHeight w:val="585"/>
          <w:jc w:val="center"/>
        </w:trPr>
        <w:tc>
          <w:tcPr>
            <w:tcW w:w="2045" w:type="dxa"/>
            <w:gridSpan w:val="2"/>
          </w:tcPr>
          <w:p w:rsidR="00B72E6B" w:rsidRPr="0092311A" w:rsidRDefault="00B72E6B" w:rsidP="00CC5FC2">
            <w:pPr>
              <w:pStyle w:val="ExSumSubTitles"/>
              <w:spacing w:before="0" w:after="0"/>
              <w:rPr>
                <w:spacing w:val="-3"/>
              </w:rPr>
            </w:pPr>
            <w:r w:rsidRPr="0092311A">
              <w:rPr>
                <w:spacing w:val="-3"/>
              </w:rPr>
              <w:t>Área de Acceso:</w:t>
            </w:r>
          </w:p>
          <w:p w:rsidR="00CC5FC2" w:rsidRPr="0092311A" w:rsidRDefault="00CC5FC2" w:rsidP="00CC5FC2">
            <w:pPr>
              <w:pStyle w:val="ExSumSubTitles"/>
              <w:spacing w:before="0" w:after="0"/>
              <w:rPr>
                <w:spacing w:val="-3"/>
              </w:rPr>
            </w:pPr>
          </w:p>
          <w:p w:rsidR="00B72E6B" w:rsidRPr="0092311A" w:rsidRDefault="00B72E6B" w:rsidP="00CC5FC2">
            <w:pPr>
              <w:pStyle w:val="ExSumSubTitles"/>
              <w:spacing w:before="0" w:after="0"/>
              <w:rPr>
                <w:spacing w:val="-3"/>
              </w:rPr>
            </w:pPr>
            <w:r w:rsidRPr="0092311A">
              <w:rPr>
                <w:spacing w:val="-3"/>
              </w:rPr>
              <w:t xml:space="preserve">Agenda: </w:t>
            </w:r>
          </w:p>
        </w:tc>
        <w:tc>
          <w:tcPr>
            <w:tcW w:w="360" w:type="dxa"/>
            <w:gridSpan w:val="2"/>
          </w:tcPr>
          <w:p w:rsidR="00B72E6B" w:rsidRPr="0092311A" w:rsidRDefault="00B72E6B" w:rsidP="00CC5FC2">
            <w:pPr>
              <w:pStyle w:val="EXSUMPARAGR"/>
              <w:keepNext/>
              <w:spacing w:before="0" w:after="0"/>
            </w:pPr>
          </w:p>
        </w:tc>
        <w:tc>
          <w:tcPr>
            <w:tcW w:w="6376" w:type="dxa"/>
            <w:gridSpan w:val="4"/>
          </w:tcPr>
          <w:p w:rsidR="00B72E6B" w:rsidRPr="0092311A" w:rsidRDefault="00B72E6B" w:rsidP="00CC5FC2">
            <w:pPr>
              <w:pStyle w:val="EXSUMPARAGR"/>
              <w:spacing w:before="0" w:after="0"/>
              <w:rPr>
                <w:szCs w:val="24"/>
                <w:lang w:eastAsia="x-none" w:bidi="en-US"/>
              </w:rPr>
            </w:pPr>
            <w:r w:rsidRPr="0092311A">
              <w:rPr>
                <w:szCs w:val="24"/>
                <w:lang w:eastAsia="x-none" w:bidi="en-US"/>
              </w:rPr>
              <w:t>Servicios Básicos y Crecimiento Verde</w:t>
            </w:r>
          </w:p>
          <w:p w:rsidR="00CC5FC2" w:rsidRPr="0092311A" w:rsidRDefault="00CC5FC2" w:rsidP="00CC5FC2">
            <w:pPr>
              <w:pStyle w:val="EXSUMPARAGR"/>
              <w:spacing w:before="0" w:after="0"/>
              <w:rPr>
                <w:szCs w:val="24"/>
                <w:lang w:eastAsia="x-none" w:bidi="en-US"/>
              </w:rPr>
            </w:pPr>
          </w:p>
          <w:p w:rsidR="00B72E6B" w:rsidRPr="0092311A" w:rsidRDefault="00B72E6B" w:rsidP="00CC5FC2">
            <w:pPr>
              <w:pStyle w:val="EXSUMPARAGR"/>
              <w:spacing w:before="0" w:after="0"/>
              <w:rPr>
                <w:szCs w:val="24"/>
                <w:lang w:eastAsia="x-none" w:bidi="en-US"/>
              </w:rPr>
            </w:pPr>
            <w:r w:rsidRPr="0092311A">
              <w:rPr>
                <w:szCs w:val="24"/>
                <w:lang w:eastAsia="x-none" w:bidi="en-US"/>
              </w:rPr>
              <w:t>Capital Natural</w:t>
            </w:r>
            <w:r w:rsidR="00825A3D" w:rsidRPr="0092311A">
              <w:rPr>
                <w:szCs w:val="24"/>
                <w:lang w:eastAsia="x-none" w:bidi="en-US"/>
              </w:rPr>
              <w:t xml:space="preserve"> y de Eficiencia Energética y Energía Renovable</w:t>
            </w:r>
          </w:p>
        </w:tc>
      </w:tr>
      <w:tr w:rsidR="00B72E6B" w:rsidRPr="0092311A" w:rsidTr="00C64CB9">
        <w:trPr>
          <w:gridBefore w:val="1"/>
          <w:wBefore w:w="120" w:type="dxa"/>
          <w:trHeight w:val="1530"/>
          <w:jc w:val="center"/>
        </w:trPr>
        <w:tc>
          <w:tcPr>
            <w:tcW w:w="2045" w:type="dxa"/>
            <w:gridSpan w:val="2"/>
          </w:tcPr>
          <w:p w:rsidR="00B72E6B" w:rsidRPr="0092311A" w:rsidRDefault="00B72E6B" w:rsidP="0058469F">
            <w:pPr>
              <w:pStyle w:val="ExSumSubTitles"/>
              <w:rPr>
                <w:spacing w:val="-3"/>
              </w:rPr>
            </w:pPr>
            <w:r w:rsidRPr="0092311A">
              <w:rPr>
                <w:spacing w:val="-3"/>
              </w:rPr>
              <w:t>Coordinación con otr</w:t>
            </w:r>
            <w:r w:rsidR="0058469F" w:rsidRPr="0092311A">
              <w:rPr>
                <w:spacing w:val="-3"/>
              </w:rPr>
              <w:t>os donantes / Operaciones del Banco</w:t>
            </w:r>
            <w:r w:rsidRPr="0092311A">
              <w:rPr>
                <w:spacing w:val="-3"/>
              </w:rPr>
              <w:t>:</w:t>
            </w:r>
          </w:p>
        </w:tc>
        <w:tc>
          <w:tcPr>
            <w:tcW w:w="360" w:type="dxa"/>
            <w:gridSpan w:val="2"/>
          </w:tcPr>
          <w:p w:rsidR="00B72E6B" w:rsidRPr="0092311A" w:rsidRDefault="00B72E6B" w:rsidP="00EF0E62">
            <w:pPr>
              <w:pStyle w:val="EXSUMPARAGR"/>
              <w:keepNext/>
            </w:pPr>
          </w:p>
        </w:tc>
        <w:tc>
          <w:tcPr>
            <w:tcW w:w="6376" w:type="dxa"/>
            <w:gridSpan w:val="4"/>
          </w:tcPr>
          <w:p w:rsidR="00B72E6B" w:rsidRPr="0092311A" w:rsidRDefault="00B72E6B" w:rsidP="00EA6A92">
            <w:pPr>
              <w:pStyle w:val="EXSUMPARAGR"/>
              <w:rPr>
                <w:szCs w:val="24"/>
                <w:lang w:eastAsia="x-none" w:bidi="en-US"/>
              </w:rPr>
            </w:pPr>
            <w:r w:rsidRPr="0092311A">
              <w:rPr>
                <w:szCs w:val="24"/>
                <w:lang w:eastAsia="x-none" w:bidi="en-US"/>
              </w:rPr>
              <w:t>En la preparación de esta operación se contó con el apoyo de GIZ</w:t>
            </w:r>
            <w:r w:rsidR="008E1A84" w:rsidRPr="0092311A">
              <w:rPr>
                <w:szCs w:val="24"/>
                <w:lang w:eastAsia="x-none" w:bidi="en-US"/>
              </w:rPr>
              <w:t>-BMU</w:t>
            </w:r>
            <w:r w:rsidRPr="0092311A">
              <w:rPr>
                <w:rStyle w:val="FootnoteReference"/>
                <w:szCs w:val="24"/>
                <w:lang w:eastAsia="x-none" w:bidi="en-US"/>
              </w:rPr>
              <w:footnoteReference w:id="2"/>
            </w:r>
            <w:r w:rsidRPr="0092311A">
              <w:rPr>
                <w:szCs w:val="24"/>
                <w:lang w:eastAsia="x-none" w:bidi="en-US"/>
              </w:rPr>
              <w:t>, apoyo que se extenderá en su ejecución, mediante el aporte de contrapartida</w:t>
            </w:r>
            <w:r w:rsidR="003163FA" w:rsidRPr="0092311A">
              <w:rPr>
                <w:szCs w:val="24"/>
                <w:lang w:eastAsia="x-none" w:bidi="en-US"/>
              </w:rPr>
              <w:t xml:space="preserve"> y la gestión de fondos ante </w:t>
            </w:r>
            <w:r w:rsidR="00B613CA" w:rsidRPr="0092311A">
              <w:rPr>
                <w:szCs w:val="24"/>
                <w:lang w:eastAsia="x-none" w:bidi="en-US"/>
              </w:rPr>
              <w:t xml:space="preserve">la Facilidad del </w:t>
            </w:r>
            <w:r w:rsidR="003163FA" w:rsidRPr="0092311A">
              <w:rPr>
                <w:szCs w:val="24"/>
                <w:lang w:eastAsia="x-none" w:bidi="en-US"/>
              </w:rPr>
              <w:t>NAMA</w:t>
            </w:r>
            <w:r w:rsidR="00B613CA" w:rsidRPr="0092311A">
              <w:rPr>
                <w:rStyle w:val="FootnoteReference"/>
                <w:szCs w:val="24"/>
                <w:lang w:eastAsia="x-none" w:bidi="en-US"/>
              </w:rPr>
              <w:footnoteReference w:id="3"/>
            </w:r>
            <w:r w:rsidR="003163FA" w:rsidRPr="0092311A">
              <w:rPr>
                <w:szCs w:val="24"/>
                <w:lang w:eastAsia="x-none" w:bidi="en-US"/>
              </w:rPr>
              <w:t xml:space="preserve"> para su implementación. </w:t>
            </w:r>
            <w:r w:rsidR="0058469F" w:rsidRPr="0092311A">
              <w:rPr>
                <w:szCs w:val="24"/>
                <w:lang w:eastAsia="x-none" w:bidi="en-US"/>
              </w:rPr>
              <w:t>El Departamento de Integración del Banco (INT) financiar</w:t>
            </w:r>
            <w:r w:rsidR="00191665" w:rsidRPr="0092311A">
              <w:rPr>
                <w:szCs w:val="24"/>
                <w:lang w:eastAsia="x-none" w:bidi="en-US"/>
              </w:rPr>
              <w:t>á</w:t>
            </w:r>
            <w:r w:rsidR="0058469F" w:rsidRPr="0092311A">
              <w:rPr>
                <w:szCs w:val="24"/>
                <w:lang w:eastAsia="x-none" w:bidi="en-US"/>
              </w:rPr>
              <w:t xml:space="preserve"> un estudio de mercado</w:t>
            </w:r>
            <w:r w:rsidR="00191665" w:rsidRPr="0092311A">
              <w:rPr>
                <w:szCs w:val="24"/>
                <w:lang w:eastAsia="x-none" w:bidi="en-US"/>
              </w:rPr>
              <w:t xml:space="preserve"> que ayudará a ésta y otras operaciones que el FOMIN tiene en preparación</w:t>
            </w:r>
            <w:r w:rsidR="002D4B72" w:rsidRPr="0092311A">
              <w:rPr>
                <w:szCs w:val="24"/>
                <w:lang w:eastAsia="x-none" w:bidi="en-US"/>
              </w:rPr>
              <w:t>,</w:t>
            </w:r>
            <w:r w:rsidR="00191665" w:rsidRPr="0092311A">
              <w:rPr>
                <w:szCs w:val="24"/>
                <w:lang w:eastAsia="x-none" w:bidi="en-US"/>
              </w:rPr>
              <w:t xml:space="preserve"> a </w:t>
            </w:r>
            <w:r w:rsidR="0058469F" w:rsidRPr="0092311A">
              <w:rPr>
                <w:szCs w:val="24"/>
                <w:lang w:eastAsia="x-none" w:bidi="en-US"/>
              </w:rPr>
              <w:t>identifica</w:t>
            </w:r>
            <w:r w:rsidR="00191665" w:rsidRPr="0092311A">
              <w:rPr>
                <w:szCs w:val="24"/>
                <w:lang w:eastAsia="x-none" w:bidi="en-US"/>
              </w:rPr>
              <w:t>r</w:t>
            </w:r>
            <w:r w:rsidR="0058469F" w:rsidRPr="0092311A">
              <w:rPr>
                <w:szCs w:val="24"/>
                <w:lang w:eastAsia="x-none" w:bidi="en-US"/>
              </w:rPr>
              <w:t xml:space="preserve"> </w:t>
            </w:r>
            <w:r w:rsidR="00EF0E62" w:rsidRPr="0092311A">
              <w:rPr>
                <w:szCs w:val="24"/>
                <w:lang w:eastAsia="x-none" w:bidi="en-US"/>
              </w:rPr>
              <w:t xml:space="preserve">mejores </w:t>
            </w:r>
            <w:r w:rsidR="0058469F" w:rsidRPr="0092311A">
              <w:rPr>
                <w:szCs w:val="24"/>
                <w:lang w:eastAsia="x-none" w:bidi="en-US"/>
              </w:rPr>
              <w:t xml:space="preserve">mercados para productos bajos en carbono. </w:t>
            </w:r>
            <w:r w:rsidR="00EA6A92" w:rsidRPr="0092311A">
              <w:rPr>
                <w:szCs w:val="24"/>
                <w:lang w:eastAsia="x-none" w:bidi="en-US"/>
              </w:rPr>
              <w:t xml:space="preserve">El proyecto de cooperación técnica que financiará el estudio de mercado está aprobado (RG-T2107). INT y FOMIN coordinarán la elaboración de los términos de referencia, así como la contratación y supervisión de la consultoría. </w:t>
            </w:r>
            <w:r w:rsidR="008A4953" w:rsidRPr="0092311A">
              <w:rPr>
                <w:szCs w:val="24"/>
                <w:lang w:eastAsia="x-none" w:bidi="en-US"/>
              </w:rPr>
              <w:t>Se complementará</w:t>
            </w:r>
            <w:r w:rsidR="00D93DE8" w:rsidRPr="0092311A">
              <w:rPr>
                <w:szCs w:val="24"/>
                <w:lang w:eastAsia="x-none" w:bidi="en-US"/>
              </w:rPr>
              <w:t>n</w:t>
            </w:r>
            <w:r w:rsidR="008A4953" w:rsidRPr="0092311A">
              <w:rPr>
                <w:szCs w:val="24"/>
                <w:lang w:eastAsia="x-none" w:bidi="en-US"/>
              </w:rPr>
              <w:t xml:space="preserve"> esfuerzos </w:t>
            </w:r>
            <w:r w:rsidR="00D93DE8" w:rsidRPr="0092311A">
              <w:rPr>
                <w:szCs w:val="24"/>
                <w:lang w:eastAsia="x-none" w:bidi="en-US"/>
              </w:rPr>
              <w:t xml:space="preserve">con </w:t>
            </w:r>
            <w:r w:rsidR="008A4953" w:rsidRPr="0092311A">
              <w:rPr>
                <w:szCs w:val="24"/>
                <w:lang w:eastAsia="x-none" w:bidi="en-US"/>
              </w:rPr>
              <w:t>PNU</w:t>
            </w:r>
            <w:r w:rsidR="002D32DE" w:rsidRPr="0092311A">
              <w:rPr>
                <w:szCs w:val="24"/>
                <w:lang w:eastAsia="x-none" w:bidi="en-US"/>
              </w:rPr>
              <w:t>MA</w:t>
            </w:r>
            <w:r w:rsidR="008A4953" w:rsidRPr="0092311A">
              <w:rPr>
                <w:szCs w:val="24"/>
                <w:lang w:eastAsia="x-none" w:bidi="en-US"/>
              </w:rPr>
              <w:t xml:space="preserve"> </w:t>
            </w:r>
            <w:r w:rsidR="002279ED" w:rsidRPr="0092311A">
              <w:rPr>
                <w:szCs w:val="24"/>
                <w:lang w:eastAsia="x-none" w:bidi="en-US"/>
              </w:rPr>
              <w:t>para la adquisición de equipo (</w:t>
            </w:r>
            <w:r w:rsidR="00B41D32" w:rsidRPr="0092311A">
              <w:rPr>
                <w:szCs w:val="24"/>
                <w:lang w:eastAsia="x-none" w:bidi="en-US"/>
              </w:rPr>
              <w:t>ver párrafo 3.7 literal d)</w:t>
            </w:r>
            <w:r w:rsidR="00D93DE8" w:rsidRPr="0092311A">
              <w:rPr>
                <w:szCs w:val="24"/>
                <w:lang w:eastAsia="x-none" w:bidi="en-US"/>
              </w:rPr>
              <w:t xml:space="preserve">. </w:t>
            </w:r>
          </w:p>
        </w:tc>
      </w:tr>
      <w:tr w:rsidR="001F2375" w:rsidRPr="0092311A" w:rsidTr="003103BD">
        <w:trPr>
          <w:gridBefore w:val="1"/>
          <w:wBefore w:w="120" w:type="dxa"/>
          <w:trHeight w:val="1260"/>
          <w:jc w:val="center"/>
        </w:trPr>
        <w:tc>
          <w:tcPr>
            <w:tcW w:w="2045" w:type="dxa"/>
            <w:gridSpan w:val="2"/>
          </w:tcPr>
          <w:p w:rsidR="001F2375" w:rsidRPr="0092311A" w:rsidRDefault="001F2375" w:rsidP="00EF0E62">
            <w:pPr>
              <w:pStyle w:val="ExSumSubTitles"/>
              <w:rPr>
                <w:spacing w:val="-3"/>
              </w:rPr>
            </w:pPr>
            <w:r w:rsidRPr="0092311A">
              <w:rPr>
                <w:spacing w:val="-3"/>
              </w:rPr>
              <w:t xml:space="preserve">Beneficiarios directos: </w:t>
            </w:r>
          </w:p>
        </w:tc>
        <w:tc>
          <w:tcPr>
            <w:tcW w:w="360" w:type="dxa"/>
            <w:gridSpan w:val="2"/>
          </w:tcPr>
          <w:p w:rsidR="001F2375" w:rsidRPr="0092311A" w:rsidRDefault="001F2375" w:rsidP="00EF0E62">
            <w:pPr>
              <w:pStyle w:val="EXSUMPARAGR"/>
              <w:keepNext/>
            </w:pPr>
          </w:p>
        </w:tc>
        <w:tc>
          <w:tcPr>
            <w:tcW w:w="6376" w:type="dxa"/>
            <w:gridSpan w:val="4"/>
          </w:tcPr>
          <w:p w:rsidR="001F2375" w:rsidRPr="002A24CA" w:rsidRDefault="006C6641" w:rsidP="007F7341">
            <w:pPr>
              <w:pStyle w:val="Heading5"/>
              <w:tabs>
                <w:tab w:val="clear" w:pos="2088"/>
                <w:tab w:val="num" w:pos="666"/>
              </w:tabs>
              <w:spacing w:before="0" w:after="0"/>
              <w:ind w:hanging="1602"/>
              <w:rPr>
                <w:rFonts w:ascii="Times New Roman" w:hAnsi="Times New Roman"/>
                <w:b w:val="0"/>
                <w:color w:val="000000" w:themeColor="text1"/>
                <w:lang w:val="es-ES" w:bidi="en-US"/>
              </w:rPr>
            </w:pPr>
            <w:r w:rsidRPr="0092311A">
              <w:rPr>
                <w:rFonts w:ascii="Times New Roman" w:hAnsi="Times New Roman"/>
                <w:b w:val="0"/>
                <w:color w:val="000000" w:themeColor="text1"/>
                <w:lang w:val="es-ES" w:bidi="en-US"/>
              </w:rPr>
              <w:t xml:space="preserve">3,000 </w:t>
            </w:r>
            <w:r w:rsidR="001F2375" w:rsidRPr="0092311A">
              <w:rPr>
                <w:rFonts w:ascii="Times New Roman" w:hAnsi="Times New Roman"/>
                <w:b w:val="0"/>
                <w:color w:val="000000" w:themeColor="text1"/>
                <w:lang w:val="es-ES" w:bidi="en-US"/>
              </w:rPr>
              <w:t>pequeños productores de café,</w:t>
            </w:r>
          </w:p>
          <w:p w:rsidR="007F7341" w:rsidRPr="002A24CA" w:rsidRDefault="008E1A84" w:rsidP="007F7341">
            <w:pPr>
              <w:pStyle w:val="Heading5"/>
              <w:tabs>
                <w:tab w:val="clear" w:pos="2088"/>
                <w:tab w:val="num" w:pos="666"/>
              </w:tabs>
              <w:spacing w:before="0" w:after="0"/>
              <w:ind w:left="666" w:hanging="180"/>
              <w:rPr>
                <w:rFonts w:ascii="Times New Roman" w:hAnsi="Times New Roman"/>
                <w:b w:val="0"/>
                <w:color w:val="000000" w:themeColor="text1"/>
                <w:szCs w:val="24"/>
                <w:lang w:val="es-ES" w:eastAsia="x-none" w:bidi="en-US"/>
              </w:rPr>
            </w:pPr>
            <w:r w:rsidRPr="0092311A">
              <w:rPr>
                <w:rFonts w:ascii="Times New Roman" w:hAnsi="Times New Roman"/>
                <w:b w:val="0"/>
                <w:color w:val="000000" w:themeColor="text1"/>
                <w:szCs w:val="24"/>
                <w:lang w:val="es-ES" w:eastAsia="x-none" w:bidi="en-US"/>
              </w:rPr>
              <w:t>a</w:t>
            </w:r>
            <w:r w:rsidR="006C6641" w:rsidRPr="0092311A">
              <w:rPr>
                <w:rFonts w:ascii="Times New Roman" w:hAnsi="Times New Roman"/>
                <w:b w:val="0"/>
                <w:color w:val="000000" w:themeColor="text1"/>
                <w:szCs w:val="24"/>
                <w:lang w:val="es-ES" w:eastAsia="x-none" w:bidi="en-US"/>
              </w:rPr>
              <w:t xml:space="preserve">l menos </w:t>
            </w:r>
            <w:r w:rsidR="009428A9" w:rsidRPr="0092311A">
              <w:rPr>
                <w:rFonts w:ascii="Times New Roman" w:hAnsi="Times New Roman"/>
                <w:b w:val="0"/>
                <w:color w:val="000000" w:themeColor="text1"/>
                <w:szCs w:val="24"/>
                <w:lang w:val="es-ES" w:eastAsia="x-none" w:bidi="en-US"/>
              </w:rPr>
              <w:t xml:space="preserve">3 </w:t>
            </w:r>
            <w:r w:rsidR="0066791D" w:rsidRPr="0092311A">
              <w:rPr>
                <w:rFonts w:ascii="Times New Roman" w:hAnsi="Times New Roman"/>
                <w:b w:val="0"/>
                <w:color w:val="000000" w:themeColor="text1"/>
                <w:szCs w:val="24"/>
                <w:lang w:val="es-ES" w:eastAsia="x-none" w:bidi="en-US"/>
              </w:rPr>
              <w:t xml:space="preserve">procesadoras de café </w:t>
            </w:r>
            <w:r w:rsidR="001F2375" w:rsidRPr="0092311A">
              <w:rPr>
                <w:rFonts w:ascii="Times New Roman" w:hAnsi="Times New Roman"/>
                <w:b w:val="0"/>
                <w:color w:val="000000" w:themeColor="text1"/>
                <w:szCs w:val="24"/>
                <w:lang w:val="es-ES" w:eastAsia="x-none" w:bidi="en-US"/>
              </w:rPr>
              <w:t>(</w:t>
            </w:r>
            <w:r w:rsidR="006C6641" w:rsidRPr="0092311A">
              <w:rPr>
                <w:rFonts w:ascii="Times New Roman" w:hAnsi="Times New Roman"/>
                <w:b w:val="0"/>
                <w:color w:val="000000" w:themeColor="text1"/>
                <w:szCs w:val="24"/>
                <w:lang w:val="es-ES" w:eastAsia="x-none" w:bidi="en-US"/>
              </w:rPr>
              <w:t xml:space="preserve">también llamados </w:t>
            </w:r>
            <w:r w:rsidR="001F2375" w:rsidRPr="0092311A">
              <w:rPr>
                <w:rFonts w:ascii="Times New Roman" w:hAnsi="Times New Roman"/>
                <w:b w:val="0"/>
                <w:color w:val="000000" w:themeColor="text1"/>
                <w:szCs w:val="24"/>
                <w:lang w:val="es-ES" w:eastAsia="x-none" w:bidi="en-US"/>
              </w:rPr>
              <w:t>beneficios húmedos y seco</w:t>
            </w:r>
            <w:r w:rsidR="0066791D" w:rsidRPr="0092311A">
              <w:rPr>
                <w:rFonts w:ascii="Times New Roman" w:hAnsi="Times New Roman"/>
                <w:b w:val="0"/>
                <w:color w:val="000000" w:themeColor="text1"/>
                <w:szCs w:val="24"/>
                <w:lang w:val="es-ES" w:eastAsia="x-none" w:bidi="en-US"/>
              </w:rPr>
              <w:t>s)</w:t>
            </w:r>
            <w:r w:rsidR="001F2375" w:rsidRPr="0092311A">
              <w:rPr>
                <w:rFonts w:ascii="Times New Roman" w:hAnsi="Times New Roman"/>
                <w:b w:val="0"/>
                <w:color w:val="000000" w:themeColor="text1"/>
                <w:szCs w:val="24"/>
                <w:lang w:val="es-ES" w:eastAsia="x-none" w:bidi="en-US"/>
              </w:rPr>
              <w:t xml:space="preserve"> propiedad de cooperativas o asociaciones de pequeños productores de café, y </w:t>
            </w:r>
          </w:p>
          <w:p w:rsidR="001F2375" w:rsidRPr="002A24CA" w:rsidRDefault="001F2375" w:rsidP="007F7341">
            <w:pPr>
              <w:pStyle w:val="Heading5"/>
              <w:tabs>
                <w:tab w:val="clear" w:pos="2088"/>
                <w:tab w:val="num" w:pos="666"/>
              </w:tabs>
              <w:spacing w:before="0" w:after="0"/>
              <w:ind w:left="486" w:firstLine="0"/>
              <w:rPr>
                <w:rFonts w:ascii="Times New Roman" w:hAnsi="Times New Roman"/>
                <w:b w:val="0"/>
                <w:color w:val="000000" w:themeColor="text1"/>
                <w:szCs w:val="24"/>
                <w:lang w:val="es-ES" w:eastAsia="x-none" w:bidi="en-US"/>
              </w:rPr>
            </w:pPr>
            <w:r w:rsidRPr="0092311A">
              <w:rPr>
                <w:rFonts w:ascii="Times New Roman" w:hAnsi="Times New Roman"/>
                <w:b w:val="0"/>
                <w:color w:val="000000" w:themeColor="text1"/>
                <w:szCs w:val="24"/>
                <w:lang w:val="es-ES" w:eastAsia="x-none" w:bidi="en-US"/>
              </w:rPr>
              <w:t>el ambiente.</w:t>
            </w:r>
          </w:p>
          <w:p w:rsidR="007F7341" w:rsidRPr="0092311A" w:rsidRDefault="007F7341" w:rsidP="007F7341">
            <w:pPr>
              <w:rPr>
                <w:lang w:eastAsia="x-none" w:bidi="en-US"/>
              </w:rPr>
            </w:pPr>
          </w:p>
        </w:tc>
      </w:tr>
      <w:tr w:rsidR="001F2375" w:rsidRPr="0092311A" w:rsidTr="003103BD">
        <w:trPr>
          <w:gridBefore w:val="1"/>
          <w:wBefore w:w="120" w:type="dxa"/>
          <w:trHeight w:val="603"/>
          <w:jc w:val="center"/>
        </w:trPr>
        <w:tc>
          <w:tcPr>
            <w:tcW w:w="2045" w:type="dxa"/>
            <w:gridSpan w:val="2"/>
          </w:tcPr>
          <w:p w:rsidR="001F2375" w:rsidRPr="0092311A" w:rsidRDefault="001F2375" w:rsidP="003103BD">
            <w:pPr>
              <w:pStyle w:val="ExSumSubTitles"/>
              <w:spacing w:before="0" w:after="0"/>
              <w:rPr>
                <w:spacing w:val="-3"/>
              </w:rPr>
            </w:pPr>
            <w:r w:rsidRPr="0092311A">
              <w:rPr>
                <w:spacing w:val="-3"/>
              </w:rPr>
              <w:t>Beneficiarios</w:t>
            </w:r>
          </w:p>
          <w:p w:rsidR="001F2375" w:rsidRPr="0092311A" w:rsidRDefault="001F2375" w:rsidP="003103BD">
            <w:pPr>
              <w:pStyle w:val="ExSumSubTitles"/>
              <w:spacing w:before="0" w:after="0"/>
              <w:rPr>
                <w:spacing w:val="-3"/>
              </w:rPr>
            </w:pPr>
            <w:r w:rsidRPr="0092311A">
              <w:rPr>
                <w:spacing w:val="-3"/>
              </w:rPr>
              <w:t>indirectos</w:t>
            </w:r>
          </w:p>
        </w:tc>
        <w:tc>
          <w:tcPr>
            <w:tcW w:w="360" w:type="dxa"/>
            <w:gridSpan w:val="2"/>
          </w:tcPr>
          <w:p w:rsidR="001F2375" w:rsidRPr="0092311A" w:rsidRDefault="001F2375" w:rsidP="00EF0E62">
            <w:pPr>
              <w:pStyle w:val="EXSUMPARAGR"/>
              <w:keepNext/>
            </w:pPr>
          </w:p>
        </w:tc>
        <w:tc>
          <w:tcPr>
            <w:tcW w:w="6376" w:type="dxa"/>
            <w:gridSpan w:val="4"/>
          </w:tcPr>
          <w:p w:rsidR="001F2375" w:rsidRPr="0092311A" w:rsidRDefault="009033F1" w:rsidP="002D4B72">
            <w:pPr>
              <w:pStyle w:val="EXSUMPARAGR"/>
              <w:spacing w:before="0" w:after="0"/>
              <w:rPr>
                <w:szCs w:val="24"/>
                <w:highlight w:val="yellow"/>
                <w:lang w:eastAsia="x-none" w:bidi="en-US"/>
              </w:rPr>
            </w:pPr>
            <w:r w:rsidRPr="0092311A">
              <w:rPr>
                <w:szCs w:val="24"/>
                <w:lang w:eastAsia="x-none" w:bidi="en-US"/>
              </w:rPr>
              <w:t>A</w:t>
            </w:r>
            <w:r w:rsidR="001F2375" w:rsidRPr="0092311A">
              <w:rPr>
                <w:szCs w:val="24"/>
                <w:lang w:eastAsia="x-none" w:bidi="en-US"/>
              </w:rPr>
              <w:t>gencias gubernamentales vinculadas al tema del café</w:t>
            </w:r>
            <w:r w:rsidR="002D4B72" w:rsidRPr="0092311A">
              <w:rPr>
                <w:szCs w:val="24"/>
                <w:lang w:eastAsia="x-none" w:bidi="en-US"/>
              </w:rPr>
              <w:t xml:space="preserve">: </w:t>
            </w:r>
            <w:r w:rsidR="004D0250" w:rsidRPr="0092311A">
              <w:rPr>
                <w:szCs w:val="24"/>
                <w:lang w:eastAsia="x-none" w:bidi="en-US"/>
              </w:rPr>
              <w:t xml:space="preserve">Ministerio de Agricultura y Ganadería </w:t>
            </w:r>
            <w:r w:rsidR="002D4B72" w:rsidRPr="0092311A">
              <w:rPr>
                <w:szCs w:val="24"/>
                <w:lang w:eastAsia="x-none" w:bidi="en-US"/>
              </w:rPr>
              <w:t>(</w:t>
            </w:r>
            <w:r w:rsidR="004D0250" w:rsidRPr="0092311A">
              <w:rPr>
                <w:szCs w:val="24"/>
                <w:lang w:eastAsia="x-none" w:bidi="en-US"/>
              </w:rPr>
              <w:t>MAG</w:t>
            </w:r>
            <w:r w:rsidR="002D4B72" w:rsidRPr="0092311A">
              <w:rPr>
                <w:szCs w:val="24"/>
                <w:lang w:eastAsia="x-none" w:bidi="en-US"/>
              </w:rPr>
              <w:t>)</w:t>
            </w:r>
            <w:r w:rsidR="004D0250" w:rsidRPr="0092311A">
              <w:rPr>
                <w:szCs w:val="24"/>
                <w:lang w:eastAsia="x-none" w:bidi="en-US"/>
              </w:rPr>
              <w:t>, Ministerio de Ambiente y Energía</w:t>
            </w:r>
            <w:r w:rsidR="002D4B72" w:rsidRPr="0092311A">
              <w:rPr>
                <w:szCs w:val="24"/>
                <w:lang w:eastAsia="x-none" w:bidi="en-US"/>
              </w:rPr>
              <w:t xml:space="preserve"> (</w:t>
            </w:r>
            <w:r w:rsidR="004D0250" w:rsidRPr="0092311A">
              <w:rPr>
                <w:szCs w:val="24"/>
                <w:lang w:eastAsia="x-none" w:bidi="en-US"/>
              </w:rPr>
              <w:t>MINAE</w:t>
            </w:r>
            <w:r w:rsidR="002D4B72" w:rsidRPr="0092311A">
              <w:rPr>
                <w:szCs w:val="24"/>
                <w:lang w:eastAsia="x-none" w:bidi="en-US"/>
              </w:rPr>
              <w:t>)</w:t>
            </w:r>
            <w:r w:rsidR="004D0250" w:rsidRPr="0092311A">
              <w:rPr>
                <w:szCs w:val="24"/>
                <w:lang w:eastAsia="x-none" w:bidi="en-US"/>
              </w:rPr>
              <w:t xml:space="preserve">, </w:t>
            </w:r>
            <w:r w:rsidR="00451BCE" w:rsidRPr="0092311A">
              <w:rPr>
                <w:szCs w:val="24"/>
                <w:lang w:eastAsia="x-none" w:bidi="en-US"/>
              </w:rPr>
              <w:t>e</w:t>
            </w:r>
            <w:r w:rsidR="001F2375" w:rsidRPr="0092311A">
              <w:rPr>
                <w:szCs w:val="24"/>
                <w:lang w:eastAsia="x-none" w:bidi="en-US"/>
              </w:rPr>
              <w:t xml:space="preserve"> </w:t>
            </w:r>
            <w:r w:rsidR="004D0250" w:rsidRPr="0092311A">
              <w:rPr>
                <w:szCs w:val="24"/>
                <w:lang w:eastAsia="x-none" w:bidi="en-US"/>
              </w:rPr>
              <w:t>Instituto del Café de Costa Rica</w:t>
            </w:r>
            <w:r w:rsidR="002D4B72" w:rsidRPr="0092311A">
              <w:rPr>
                <w:szCs w:val="24"/>
                <w:lang w:eastAsia="x-none" w:bidi="en-US"/>
              </w:rPr>
              <w:t xml:space="preserve"> (</w:t>
            </w:r>
            <w:r w:rsidR="004D0250" w:rsidRPr="0092311A">
              <w:rPr>
                <w:szCs w:val="24"/>
                <w:lang w:eastAsia="x-none" w:bidi="en-US"/>
              </w:rPr>
              <w:t>ICAFE</w:t>
            </w:r>
            <w:r w:rsidR="001F2375" w:rsidRPr="0092311A">
              <w:rPr>
                <w:szCs w:val="24"/>
                <w:lang w:eastAsia="x-none" w:bidi="en-US"/>
              </w:rPr>
              <w:t>)</w:t>
            </w:r>
            <w:r w:rsidR="007917C4" w:rsidRPr="0092311A">
              <w:rPr>
                <w:szCs w:val="24"/>
                <w:lang w:eastAsia="x-none" w:bidi="en-US"/>
              </w:rPr>
              <w:t>, y</w:t>
            </w:r>
            <w:r w:rsidR="002D4B72" w:rsidRPr="0092311A">
              <w:rPr>
                <w:szCs w:val="24"/>
                <w:lang w:eastAsia="x-none" w:bidi="en-US"/>
              </w:rPr>
              <w:t xml:space="preserve"> el sector cafetalero en general</w:t>
            </w:r>
            <w:r w:rsidR="004D0250" w:rsidRPr="0092311A">
              <w:rPr>
                <w:szCs w:val="24"/>
                <w:lang w:eastAsia="x-none" w:bidi="en-US"/>
              </w:rPr>
              <w:t>.</w:t>
            </w:r>
          </w:p>
        </w:tc>
      </w:tr>
      <w:tr w:rsidR="00B72E6B" w:rsidRPr="0092311A" w:rsidTr="002A24CA">
        <w:tblPrEx>
          <w:jc w:val="left"/>
        </w:tblPrEx>
        <w:trPr>
          <w:gridAfter w:val="1"/>
          <w:wAfter w:w="171" w:type="dxa"/>
          <w:cantSplit/>
        </w:trPr>
        <w:tc>
          <w:tcPr>
            <w:tcW w:w="2040" w:type="dxa"/>
            <w:gridSpan w:val="2"/>
          </w:tcPr>
          <w:p w:rsidR="00B72E6B" w:rsidRPr="0092311A" w:rsidRDefault="00B72E6B" w:rsidP="003C58EF">
            <w:pPr>
              <w:pStyle w:val="ExSumSubTitles"/>
            </w:pPr>
            <w:r w:rsidRPr="0092311A">
              <w:t>Financiamiento:</w:t>
            </w:r>
          </w:p>
        </w:tc>
        <w:tc>
          <w:tcPr>
            <w:tcW w:w="390" w:type="dxa"/>
            <w:gridSpan w:val="2"/>
          </w:tcPr>
          <w:p w:rsidR="00B72E6B" w:rsidRPr="0092311A" w:rsidRDefault="00B72E6B" w:rsidP="003C58EF">
            <w:pPr>
              <w:pStyle w:val="ExSumSubTitles"/>
            </w:pPr>
          </w:p>
        </w:tc>
        <w:tc>
          <w:tcPr>
            <w:tcW w:w="3268" w:type="dxa"/>
            <w:gridSpan w:val="2"/>
          </w:tcPr>
          <w:p w:rsidR="00B72E6B" w:rsidRPr="002A24CA" w:rsidRDefault="00B72E6B" w:rsidP="00D25310">
            <w:pPr>
              <w:pStyle w:val="ExSumLeftIndent"/>
              <w:rPr>
                <w:lang w:val="es-ES"/>
              </w:rPr>
            </w:pPr>
            <w:r w:rsidRPr="0092311A">
              <w:rPr>
                <w:lang w:val="es-ES"/>
              </w:rPr>
              <w:t>FOMIN</w:t>
            </w:r>
            <w:r w:rsidR="001F2375" w:rsidRPr="0092311A">
              <w:rPr>
                <w:lang w:val="es-ES"/>
              </w:rPr>
              <w:t xml:space="preserve"> (Cooperación Técnica)</w:t>
            </w:r>
            <w:r w:rsidRPr="0092311A">
              <w:rPr>
                <w:lang w:val="es-ES"/>
              </w:rPr>
              <w:t>:</w:t>
            </w:r>
            <w:r w:rsidRPr="0092311A">
              <w:rPr>
                <w:lang w:val="es-ES"/>
              </w:rPr>
              <w:br/>
            </w:r>
            <w:r w:rsidRPr="0092311A">
              <w:rPr>
                <w:sz w:val="22"/>
                <w:szCs w:val="22"/>
                <w:lang w:val="es-ES"/>
              </w:rPr>
              <w:t>Contrapartida</w:t>
            </w:r>
            <w:r w:rsidRPr="0092311A">
              <w:rPr>
                <w:lang w:val="es-ES"/>
              </w:rPr>
              <w:t>:</w:t>
            </w:r>
            <w:r w:rsidRPr="0092311A">
              <w:rPr>
                <w:lang w:val="es-ES"/>
              </w:rPr>
              <w:br/>
            </w:r>
            <w:r w:rsidR="00D25310" w:rsidRPr="0092311A">
              <w:rPr>
                <w:b/>
                <w:lang w:val="es-ES"/>
              </w:rPr>
              <w:t>Presupuesto Total Proyecto</w:t>
            </w:r>
            <w:r w:rsidRPr="0092311A">
              <w:rPr>
                <w:b/>
                <w:lang w:val="es-ES"/>
              </w:rPr>
              <w:t>:</w:t>
            </w:r>
          </w:p>
        </w:tc>
        <w:tc>
          <w:tcPr>
            <w:tcW w:w="3032" w:type="dxa"/>
            <w:gridSpan w:val="2"/>
          </w:tcPr>
          <w:p w:rsidR="00B72E6B" w:rsidRPr="002A24CA" w:rsidRDefault="00B72E6B" w:rsidP="0026315C">
            <w:pPr>
              <w:pStyle w:val="ExSumLeftIndent"/>
              <w:rPr>
                <w:lang w:val="es-ES"/>
              </w:rPr>
            </w:pPr>
            <w:r w:rsidRPr="0092311A">
              <w:rPr>
                <w:lang w:val="es-ES"/>
              </w:rPr>
              <w:t>US$1.</w:t>
            </w:r>
            <w:r w:rsidR="00AD6D51" w:rsidRPr="0092311A">
              <w:rPr>
                <w:lang w:val="es-ES"/>
              </w:rPr>
              <w:t>2</w:t>
            </w:r>
            <w:r w:rsidR="0026315C" w:rsidRPr="0092311A">
              <w:rPr>
                <w:lang w:val="es-ES"/>
              </w:rPr>
              <w:t>74</w:t>
            </w:r>
            <w:r w:rsidRPr="0092311A">
              <w:rPr>
                <w:lang w:val="es-ES"/>
              </w:rPr>
              <w:t>.</w:t>
            </w:r>
            <w:r w:rsidR="0026315C" w:rsidRPr="0092311A">
              <w:rPr>
                <w:lang w:val="es-ES"/>
              </w:rPr>
              <w:t>4</w:t>
            </w:r>
            <w:r w:rsidR="00AD6D51" w:rsidRPr="0092311A">
              <w:rPr>
                <w:lang w:val="es-ES"/>
              </w:rPr>
              <w:t>38</w:t>
            </w:r>
            <w:r w:rsidR="00C0433D" w:rsidRPr="0092311A">
              <w:rPr>
                <w:lang w:val="es-ES"/>
              </w:rPr>
              <w:t xml:space="preserve">      5</w:t>
            </w:r>
            <w:r w:rsidR="00972ADD" w:rsidRPr="0092311A">
              <w:rPr>
                <w:lang w:val="es-ES"/>
              </w:rPr>
              <w:t>6.</w:t>
            </w:r>
            <w:r w:rsidR="0026315C" w:rsidRPr="0092311A">
              <w:rPr>
                <w:lang w:val="es-ES"/>
              </w:rPr>
              <w:t>89</w:t>
            </w:r>
            <w:r w:rsidR="00C0433D" w:rsidRPr="0092311A">
              <w:rPr>
                <w:lang w:val="es-ES"/>
              </w:rPr>
              <w:t>%</w:t>
            </w:r>
            <w:r w:rsidRPr="0092311A">
              <w:rPr>
                <w:lang w:val="es-ES"/>
              </w:rPr>
              <w:br/>
              <w:t>US$</w:t>
            </w:r>
            <w:r w:rsidR="00C0433D" w:rsidRPr="0092311A">
              <w:rPr>
                <w:lang w:val="es-ES"/>
              </w:rPr>
              <w:t xml:space="preserve">   965.650      4</w:t>
            </w:r>
            <w:r w:rsidR="00972ADD" w:rsidRPr="0092311A">
              <w:rPr>
                <w:lang w:val="es-ES"/>
              </w:rPr>
              <w:t>3.</w:t>
            </w:r>
            <w:r w:rsidR="0026315C" w:rsidRPr="0092311A">
              <w:rPr>
                <w:lang w:val="es-ES"/>
              </w:rPr>
              <w:t>1</w:t>
            </w:r>
            <w:r w:rsidR="00972ADD" w:rsidRPr="0092311A">
              <w:rPr>
                <w:lang w:val="es-ES"/>
              </w:rPr>
              <w:t>1</w:t>
            </w:r>
            <w:r w:rsidR="00C0433D" w:rsidRPr="0092311A">
              <w:rPr>
                <w:lang w:val="es-ES"/>
              </w:rPr>
              <w:t>%</w:t>
            </w:r>
            <w:r w:rsidRPr="0092311A">
              <w:rPr>
                <w:lang w:val="es-ES"/>
              </w:rPr>
              <w:br/>
            </w:r>
            <w:r w:rsidRPr="0092311A">
              <w:rPr>
                <w:b/>
                <w:lang w:val="es-ES"/>
              </w:rPr>
              <w:t>US$</w:t>
            </w:r>
            <w:r w:rsidR="00C0433D" w:rsidRPr="0092311A">
              <w:rPr>
                <w:b/>
                <w:lang w:val="es-ES"/>
              </w:rPr>
              <w:t>2.</w:t>
            </w:r>
            <w:r w:rsidR="00972ADD" w:rsidRPr="0092311A">
              <w:rPr>
                <w:b/>
                <w:lang w:val="es-ES"/>
              </w:rPr>
              <w:t>2</w:t>
            </w:r>
            <w:r w:rsidR="0026315C" w:rsidRPr="0092311A">
              <w:rPr>
                <w:b/>
                <w:lang w:val="es-ES"/>
              </w:rPr>
              <w:t>40</w:t>
            </w:r>
            <w:r w:rsidR="00C0433D" w:rsidRPr="0092311A">
              <w:rPr>
                <w:b/>
                <w:lang w:val="es-ES"/>
              </w:rPr>
              <w:t>.</w:t>
            </w:r>
            <w:r w:rsidR="0026315C" w:rsidRPr="0092311A">
              <w:rPr>
                <w:b/>
                <w:lang w:val="es-ES"/>
              </w:rPr>
              <w:t>0</w:t>
            </w:r>
            <w:r w:rsidR="00972ADD" w:rsidRPr="0092311A">
              <w:rPr>
                <w:b/>
                <w:lang w:val="es-ES"/>
              </w:rPr>
              <w:t>8</w:t>
            </w:r>
            <w:r w:rsidR="001C3FCE" w:rsidRPr="0092311A">
              <w:rPr>
                <w:b/>
                <w:lang w:val="es-ES"/>
              </w:rPr>
              <w:t>8</w:t>
            </w:r>
            <w:r w:rsidR="00C0433D" w:rsidRPr="0092311A">
              <w:rPr>
                <w:b/>
                <w:lang w:val="es-ES"/>
              </w:rPr>
              <w:t xml:space="preserve">     100.00%</w:t>
            </w:r>
          </w:p>
        </w:tc>
      </w:tr>
      <w:tr w:rsidR="00B72E6B" w:rsidRPr="0092311A" w:rsidTr="004B1143">
        <w:trPr>
          <w:gridBefore w:val="1"/>
          <w:wBefore w:w="120" w:type="dxa"/>
          <w:jc w:val="center"/>
        </w:trPr>
        <w:tc>
          <w:tcPr>
            <w:tcW w:w="2045" w:type="dxa"/>
            <w:gridSpan w:val="2"/>
          </w:tcPr>
          <w:p w:rsidR="00B72E6B" w:rsidRPr="0092311A" w:rsidRDefault="00D25310" w:rsidP="00D25310">
            <w:pPr>
              <w:pStyle w:val="ExSumSubTitles"/>
            </w:pPr>
            <w:r w:rsidRPr="0092311A">
              <w:t>Per</w:t>
            </w:r>
            <w:r w:rsidRPr="0092311A">
              <w:rPr>
                <w:rFonts w:hint="eastAsia"/>
              </w:rPr>
              <w:t>í</w:t>
            </w:r>
            <w:r w:rsidRPr="0092311A">
              <w:t>odo de ejecuci</w:t>
            </w:r>
            <w:r w:rsidRPr="0092311A">
              <w:rPr>
                <w:rFonts w:hint="eastAsia"/>
              </w:rPr>
              <w:t>ó</w:t>
            </w:r>
            <w:r w:rsidRPr="0092311A">
              <w:t>n y desembolso</w:t>
            </w:r>
          </w:p>
        </w:tc>
        <w:tc>
          <w:tcPr>
            <w:tcW w:w="360" w:type="dxa"/>
            <w:gridSpan w:val="2"/>
          </w:tcPr>
          <w:p w:rsidR="00B72E6B" w:rsidRPr="0092311A" w:rsidRDefault="00B72E6B" w:rsidP="002A6ED6">
            <w:pPr>
              <w:pStyle w:val="EXSUMPARAGR"/>
            </w:pPr>
          </w:p>
        </w:tc>
        <w:tc>
          <w:tcPr>
            <w:tcW w:w="3182" w:type="dxa"/>
            <w:gridSpan w:val="2"/>
          </w:tcPr>
          <w:p w:rsidR="00B72E6B" w:rsidRPr="0092311A" w:rsidRDefault="00B72E6B" w:rsidP="002A6ED6">
            <w:pPr>
              <w:pStyle w:val="EXSUMPARAGR"/>
              <w:jc w:val="left"/>
            </w:pPr>
            <w:r w:rsidRPr="0092311A">
              <w:t>Periodo de ejecución:</w:t>
            </w:r>
            <w:r w:rsidRPr="0092311A">
              <w:br/>
              <w:t xml:space="preserve">Periodo de desembolso: </w:t>
            </w:r>
          </w:p>
        </w:tc>
        <w:tc>
          <w:tcPr>
            <w:tcW w:w="3194" w:type="dxa"/>
            <w:gridSpan w:val="2"/>
            <w:shd w:val="clear" w:color="auto" w:fill="auto"/>
          </w:tcPr>
          <w:p w:rsidR="00B72E6B" w:rsidRPr="0092311A" w:rsidRDefault="00B72E6B" w:rsidP="002A6ED6">
            <w:pPr>
              <w:pStyle w:val="EXSUMPARAGR"/>
              <w:jc w:val="left"/>
            </w:pPr>
            <w:r w:rsidRPr="0092311A">
              <w:t>36 meses</w:t>
            </w:r>
            <w:r w:rsidRPr="0092311A">
              <w:br/>
              <w:t>42 meses</w:t>
            </w:r>
          </w:p>
        </w:tc>
      </w:tr>
      <w:tr w:rsidR="00B72E6B" w:rsidRPr="0092311A" w:rsidTr="00661F89">
        <w:trPr>
          <w:gridBefore w:val="1"/>
          <w:wBefore w:w="120" w:type="dxa"/>
          <w:jc w:val="center"/>
        </w:trPr>
        <w:tc>
          <w:tcPr>
            <w:tcW w:w="2045" w:type="dxa"/>
            <w:gridSpan w:val="2"/>
          </w:tcPr>
          <w:p w:rsidR="00B72E6B" w:rsidRPr="0092311A" w:rsidRDefault="009033F1" w:rsidP="003C58EF">
            <w:pPr>
              <w:pStyle w:val="ExSumSubTitles"/>
            </w:pPr>
            <w:r w:rsidRPr="0092311A">
              <w:t xml:space="preserve">Condiciones </w:t>
            </w:r>
            <w:r w:rsidR="00B72E6B" w:rsidRPr="0092311A">
              <w:t>contractuales especiales:</w:t>
            </w:r>
          </w:p>
        </w:tc>
        <w:tc>
          <w:tcPr>
            <w:tcW w:w="360" w:type="dxa"/>
            <w:gridSpan w:val="2"/>
          </w:tcPr>
          <w:p w:rsidR="00B72E6B" w:rsidRPr="0092311A" w:rsidRDefault="00B72E6B" w:rsidP="002A6ED6">
            <w:pPr>
              <w:pStyle w:val="EXSUMPARAGR"/>
              <w:rPr>
                <w:szCs w:val="24"/>
                <w:lang w:eastAsia="x-none" w:bidi="en-US"/>
              </w:rPr>
            </w:pPr>
          </w:p>
        </w:tc>
        <w:tc>
          <w:tcPr>
            <w:tcW w:w="6376" w:type="dxa"/>
            <w:gridSpan w:val="4"/>
          </w:tcPr>
          <w:p w:rsidR="00B72E6B" w:rsidRPr="0092311A" w:rsidRDefault="009033F1" w:rsidP="00595825">
            <w:pPr>
              <w:pStyle w:val="EXSUMPARAGR"/>
              <w:rPr>
                <w:szCs w:val="24"/>
                <w:lang w:eastAsia="x-none" w:bidi="en-US"/>
              </w:rPr>
            </w:pPr>
            <w:r w:rsidRPr="0092311A">
              <w:rPr>
                <w:szCs w:val="24"/>
                <w:lang w:eastAsia="x-none" w:bidi="en-US"/>
              </w:rPr>
              <w:t xml:space="preserve">Serán </w:t>
            </w:r>
            <w:r w:rsidR="00B72E6B" w:rsidRPr="0092311A">
              <w:rPr>
                <w:szCs w:val="24"/>
                <w:lang w:eastAsia="x-none" w:bidi="en-US"/>
              </w:rPr>
              <w:t>condiciones al primer desembolso</w:t>
            </w:r>
            <w:r w:rsidRPr="0092311A">
              <w:rPr>
                <w:szCs w:val="24"/>
                <w:lang w:eastAsia="x-none" w:bidi="en-US"/>
              </w:rPr>
              <w:t xml:space="preserve">: </w:t>
            </w:r>
            <w:r w:rsidR="00B72E6B" w:rsidRPr="0092311A">
              <w:rPr>
                <w:szCs w:val="24"/>
                <w:lang w:eastAsia="x-none" w:bidi="en-US"/>
              </w:rPr>
              <w:t>(i) el acuerdo interinstitucional suscrito entre FC y las instituciones que conforman el Grupo de Trabajo (GT) para la ejecución del proyecto</w:t>
            </w:r>
            <w:r w:rsidR="007D11C7" w:rsidRPr="0092311A">
              <w:rPr>
                <w:szCs w:val="24"/>
                <w:lang w:eastAsia="x-none" w:bidi="en-US"/>
              </w:rPr>
              <w:t xml:space="preserve"> indicando los roles, responsabilidades y </w:t>
            </w:r>
            <w:r w:rsidR="00E13F55" w:rsidRPr="0092311A">
              <w:rPr>
                <w:szCs w:val="24"/>
                <w:lang w:eastAsia="x-none" w:bidi="en-US"/>
              </w:rPr>
              <w:t xml:space="preserve">designación de </w:t>
            </w:r>
            <w:r w:rsidR="007D11C7" w:rsidRPr="0092311A">
              <w:rPr>
                <w:szCs w:val="24"/>
                <w:lang w:eastAsia="x-none" w:bidi="en-US"/>
              </w:rPr>
              <w:t xml:space="preserve">enlaces </w:t>
            </w:r>
            <w:r w:rsidR="005A67AA" w:rsidRPr="0092311A">
              <w:rPr>
                <w:szCs w:val="24"/>
                <w:lang w:eastAsia="x-none" w:bidi="en-US"/>
              </w:rPr>
              <w:t>para el proyecto</w:t>
            </w:r>
            <w:r w:rsidR="00B72E6B" w:rsidRPr="0092311A">
              <w:rPr>
                <w:szCs w:val="24"/>
                <w:lang w:eastAsia="x-none" w:bidi="en-US"/>
              </w:rPr>
              <w:t>; (ii) carta convenio entre FC y WRI</w:t>
            </w:r>
            <w:r w:rsidR="00CA20C1" w:rsidRPr="0092311A">
              <w:rPr>
                <w:szCs w:val="24"/>
                <w:lang w:eastAsia="x-none" w:bidi="en-US"/>
              </w:rPr>
              <w:t xml:space="preserve"> que defina roles y </w:t>
            </w:r>
            <w:r w:rsidR="00595825" w:rsidRPr="0092311A">
              <w:rPr>
                <w:szCs w:val="24"/>
                <w:lang w:eastAsia="x-none" w:bidi="en-US"/>
              </w:rPr>
              <w:t>compromisos</w:t>
            </w:r>
            <w:r w:rsidR="00B72E6B" w:rsidRPr="0092311A">
              <w:rPr>
                <w:szCs w:val="24"/>
                <w:lang w:eastAsia="x-none" w:bidi="en-US"/>
              </w:rPr>
              <w:t xml:space="preserve">; (iii) </w:t>
            </w:r>
            <w:r w:rsidR="00336F79" w:rsidRPr="0092311A">
              <w:rPr>
                <w:szCs w:val="24"/>
                <w:lang w:eastAsia="x-none" w:bidi="en-US"/>
              </w:rPr>
              <w:t xml:space="preserve">evidencia de </w:t>
            </w:r>
            <w:r w:rsidR="00B72E6B" w:rsidRPr="0092311A">
              <w:rPr>
                <w:szCs w:val="24"/>
                <w:lang w:eastAsia="x-none" w:bidi="en-US"/>
              </w:rPr>
              <w:t xml:space="preserve">la puesta en vigencia del Reglamento Operativo por parte del GT; y (iv) la selección del coordinador del proyecto de acuerdo a procedimientos </w:t>
            </w:r>
            <w:r w:rsidRPr="0092311A">
              <w:rPr>
                <w:szCs w:val="24"/>
                <w:lang w:eastAsia="x-none" w:bidi="en-US"/>
              </w:rPr>
              <w:t>aceptables por e</w:t>
            </w:r>
            <w:r w:rsidR="00B72E6B" w:rsidRPr="0092311A">
              <w:rPr>
                <w:szCs w:val="24"/>
                <w:lang w:eastAsia="x-none" w:bidi="en-US"/>
              </w:rPr>
              <w:t xml:space="preserve">l Banco. </w:t>
            </w:r>
          </w:p>
        </w:tc>
      </w:tr>
      <w:tr w:rsidR="00B72E6B" w:rsidRPr="0092311A" w:rsidTr="006631B8">
        <w:trPr>
          <w:gridBefore w:val="1"/>
          <w:wBefore w:w="120" w:type="dxa"/>
          <w:trHeight w:val="1404"/>
          <w:jc w:val="center"/>
        </w:trPr>
        <w:tc>
          <w:tcPr>
            <w:tcW w:w="2045" w:type="dxa"/>
            <w:gridSpan w:val="2"/>
          </w:tcPr>
          <w:p w:rsidR="00B72E6B" w:rsidRPr="0092311A" w:rsidRDefault="00B72E6B" w:rsidP="003C58EF">
            <w:pPr>
              <w:pStyle w:val="ExSumSubTitles"/>
            </w:pPr>
            <w:r w:rsidRPr="0092311A">
              <w:t>Revisi</w:t>
            </w:r>
            <w:r w:rsidRPr="0092311A">
              <w:rPr>
                <w:rFonts w:hint="eastAsia"/>
              </w:rPr>
              <w:t>ó</w:t>
            </w:r>
            <w:r w:rsidRPr="0092311A">
              <w:t xml:space="preserve">n ambiental </w:t>
            </w:r>
            <w:r w:rsidRPr="0092311A">
              <w:br/>
              <w:t>y social:</w:t>
            </w:r>
          </w:p>
        </w:tc>
        <w:tc>
          <w:tcPr>
            <w:tcW w:w="360" w:type="dxa"/>
            <w:gridSpan w:val="2"/>
          </w:tcPr>
          <w:p w:rsidR="00B72E6B" w:rsidRPr="0092311A" w:rsidRDefault="00B72E6B" w:rsidP="002A6ED6">
            <w:pPr>
              <w:pStyle w:val="EXSUMPARAGR"/>
            </w:pPr>
          </w:p>
        </w:tc>
        <w:tc>
          <w:tcPr>
            <w:tcW w:w="6376" w:type="dxa"/>
            <w:gridSpan w:val="4"/>
          </w:tcPr>
          <w:p w:rsidR="006631B8" w:rsidRPr="0092311A" w:rsidRDefault="00B72E6B" w:rsidP="006631B8">
            <w:pPr>
              <w:pStyle w:val="EXSUMPARAGR"/>
            </w:pPr>
            <w:r w:rsidRPr="0092311A">
              <w:t>Esta operación fue sometida al proceso de revisión establecido por el ESR, aprobada el 6 de abril del 2013 y clasificada como categoría “C”, de acuerdo con los requisitos de la Política de Medio Ambiente y Cumplimiento de Salvaguardias (OP-703) del BID.</w:t>
            </w:r>
          </w:p>
        </w:tc>
      </w:tr>
      <w:tr w:rsidR="006631B8" w:rsidRPr="0092311A" w:rsidTr="00EF0E62">
        <w:trPr>
          <w:gridBefore w:val="1"/>
          <w:wBefore w:w="120" w:type="dxa"/>
          <w:trHeight w:val="1188"/>
          <w:jc w:val="center"/>
        </w:trPr>
        <w:tc>
          <w:tcPr>
            <w:tcW w:w="2045" w:type="dxa"/>
            <w:gridSpan w:val="2"/>
          </w:tcPr>
          <w:p w:rsidR="00EC74F8" w:rsidRPr="0092311A" w:rsidRDefault="006631B8" w:rsidP="00EF0E62">
            <w:pPr>
              <w:pStyle w:val="ExSumSubTitles"/>
            </w:pPr>
            <w:r w:rsidRPr="0092311A">
              <w:t>Unidad con Responsabilidad de Desembolsar</w:t>
            </w:r>
          </w:p>
        </w:tc>
        <w:tc>
          <w:tcPr>
            <w:tcW w:w="360" w:type="dxa"/>
            <w:gridSpan w:val="2"/>
          </w:tcPr>
          <w:p w:rsidR="006631B8" w:rsidRPr="0092311A" w:rsidRDefault="006631B8" w:rsidP="002A6ED6">
            <w:pPr>
              <w:pStyle w:val="EXSUMPARAGR"/>
            </w:pPr>
          </w:p>
        </w:tc>
        <w:tc>
          <w:tcPr>
            <w:tcW w:w="6376" w:type="dxa"/>
            <w:gridSpan w:val="4"/>
          </w:tcPr>
          <w:p w:rsidR="006631B8" w:rsidRPr="0092311A" w:rsidRDefault="006631B8" w:rsidP="0047037A">
            <w:pPr>
              <w:pStyle w:val="EXSUMPARAGR"/>
            </w:pPr>
            <w:r w:rsidRPr="0092311A">
              <w:t>El FOMIN en la Representación del Banco en Costa Rica.</w:t>
            </w:r>
          </w:p>
        </w:tc>
      </w:tr>
    </w:tbl>
    <w:p w:rsidR="00775C78" w:rsidRPr="0092311A" w:rsidRDefault="00775C78" w:rsidP="00775C78">
      <w:pPr>
        <w:pStyle w:val="Heading1"/>
        <w:numPr>
          <w:ilvl w:val="0"/>
          <w:numId w:val="0"/>
        </w:numPr>
        <w:ind w:left="288"/>
        <w:jc w:val="left"/>
        <w:rPr>
          <w:lang w:val="es-ES"/>
        </w:rPr>
      </w:pPr>
      <w:bookmarkStart w:id="6" w:name="_Toc238465826"/>
      <w:bookmarkStart w:id="7" w:name="_Toc354490270"/>
    </w:p>
    <w:p w:rsidR="00775C78" w:rsidRPr="0092311A" w:rsidRDefault="00775C78">
      <w:pPr>
        <w:rPr>
          <w:rFonts w:ascii="Times New Roman Bold" w:hAnsi="Times New Roman Bold"/>
          <w:b/>
          <w:smallCaps/>
          <w:spacing w:val="0"/>
          <w:sz w:val="28"/>
        </w:rPr>
      </w:pPr>
      <w:r w:rsidRPr="0092311A">
        <w:br w:type="page"/>
      </w:r>
    </w:p>
    <w:p w:rsidR="00871BB3" w:rsidRPr="0092311A" w:rsidRDefault="00EC74F8" w:rsidP="00E147AB">
      <w:pPr>
        <w:pStyle w:val="Heading1"/>
        <w:rPr>
          <w:lang w:val="es-ES"/>
        </w:rPr>
      </w:pPr>
      <w:r w:rsidRPr="0092311A">
        <w:rPr>
          <w:lang w:val="es-ES"/>
        </w:rPr>
        <w:t xml:space="preserve">  </w:t>
      </w:r>
      <w:bookmarkStart w:id="8" w:name="_Toc363224974"/>
      <w:r w:rsidR="0047037A" w:rsidRPr="0092311A">
        <w:rPr>
          <w:lang w:val="es-ES"/>
        </w:rPr>
        <w:t>Antecedentes y Justificacion</w:t>
      </w:r>
      <w:bookmarkEnd w:id="8"/>
      <w:r w:rsidR="0047037A" w:rsidRPr="0092311A">
        <w:rPr>
          <w:lang w:val="es-ES"/>
        </w:rPr>
        <w:t xml:space="preserve"> </w:t>
      </w:r>
      <w:r w:rsidR="0087453E" w:rsidRPr="0092311A">
        <w:rPr>
          <w:lang w:val="es-ES"/>
        </w:rPr>
        <w:t xml:space="preserve"> </w:t>
      </w:r>
      <w:bookmarkEnd w:id="6"/>
      <w:bookmarkEnd w:id="7"/>
    </w:p>
    <w:p w:rsidR="0087453E" w:rsidRPr="0092311A" w:rsidRDefault="0047037A" w:rsidP="00E147AB">
      <w:pPr>
        <w:pStyle w:val="Heading2"/>
        <w:rPr>
          <w:lang w:val="es-ES"/>
        </w:rPr>
      </w:pPr>
      <w:bookmarkStart w:id="9" w:name="_Toc363224840"/>
      <w:bookmarkStart w:id="10" w:name="_Toc363224975"/>
      <w:bookmarkStart w:id="11" w:name="_Toc354490271"/>
      <w:bookmarkStart w:id="12" w:name="_Toc355691038"/>
      <w:r w:rsidRPr="0092311A">
        <w:rPr>
          <w:lang w:val="es-ES"/>
        </w:rPr>
        <w:t>Díagn</w:t>
      </w:r>
      <w:r w:rsidR="00D25310" w:rsidRPr="0092311A">
        <w:rPr>
          <w:lang w:val="es-ES"/>
        </w:rPr>
        <w:t>ó</w:t>
      </w:r>
      <w:r w:rsidRPr="0092311A">
        <w:rPr>
          <w:lang w:val="es-ES"/>
        </w:rPr>
        <w:t>stico del problema a ser atendido por el proyecto</w:t>
      </w:r>
      <w:bookmarkEnd w:id="9"/>
      <w:bookmarkEnd w:id="10"/>
    </w:p>
    <w:p w:rsidR="003044CE" w:rsidRPr="0092311A" w:rsidRDefault="00792680" w:rsidP="0015517F">
      <w:pPr>
        <w:pStyle w:val="AutoNumpara"/>
      </w:pPr>
      <w:r w:rsidRPr="0092311A">
        <w:rPr>
          <w:lang w:val="en-US"/>
        </w:rPr>
        <w:drawing>
          <wp:anchor distT="0" distB="0" distL="114300" distR="114300" simplePos="0" relativeHeight="251658240" behindDoc="0" locked="0" layoutInCell="1" allowOverlap="1" wp14:anchorId="2E1B028E" wp14:editId="5D3DD461">
            <wp:simplePos x="0" y="0"/>
            <wp:positionH relativeFrom="column">
              <wp:posOffset>505460</wp:posOffset>
            </wp:positionH>
            <wp:positionV relativeFrom="paragraph">
              <wp:posOffset>760095</wp:posOffset>
            </wp:positionV>
            <wp:extent cx="3208655" cy="16484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08655" cy="1648460"/>
                    </a:xfrm>
                    <a:prstGeom prst="rect">
                      <a:avLst/>
                    </a:prstGeom>
                    <a:noFill/>
                  </pic:spPr>
                </pic:pic>
              </a:graphicData>
            </a:graphic>
            <wp14:sizeRelH relativeFrom="page">
              <wp14:pctWidth>0</wp14:pctWidth>
            </wp14:sizeRelH>
            <wp14:sizeRelV relativeFrom="page">
              <wp14:pctHeight>0</wp14:pctHeight>
            </wp14:sizeRelV>
          </wp:anchor>
        </w:drawing>
      </w:r>
      <w:r w:rsidR="00F51B6C" w:rsidRPr="0092311A">
        <w:t>En Costa Rica, e</w:t>
      </w:r>
      <w:r w:rsidR="0047037A" w:rsidRPr="0092311A">
        <w:t xml:space="preserve">l cultivo de café es una actividad dinámica y </w:t>
      </w:r>
      <w:r w:rsidR="00323F9E" w:rsidRPr="0092311A">
        <w:t>relevante, la cual g</w:t>
      </w:r>
      <w:r w:rsidR="00B3588F" w:rsidRPr="0092311A">
        <w:t>e</w:t>
      </w:r>
      <w:r w:rsidR="00323F9E" w:rsidRPr="0092311A">
        <w:t>nera</w:t>
      </w:r>
      <w:r w:rsidR="0047037A" w:rsidRPr="0092311A">
        <w:t xml:space="preserve"> el 25% de las emisiones de gases invernadero (GEI) del sector agropecuario y el 9% del total de emisiones generadas en el país</w:t>
      </w:r>
      <w:r w:rsidR="0015517F">
        <w:rPr>
          <w:rStyle w:val="FootnoteReference"/>
        </w:rPr>
        <w:footnoteReference w:id="4"/>
      </w:r>
      <w:r w:rsidR="0047037A" w:rsidRPr="0092311A">
        <w:t xml:space="preserve">. </w:t>
      </w:r>
      <w:r w:rsidR="00F51B6C" w:rsidRPr="0092311A">
        <w:t xml:space="preserve">En el 2007, </w:t>
      </w:r>
      <w:r w:rsidR="002448DA" w:rsidRPr="0092311A">
        <w:t>el gobie</w:t>
      </w:r>
      <w:r w:rsidR="008164FB" w:rsidRPr="0092311A">
        <w:t>rno</w:t>
      </w:r>
      <w:r w:rsidR="002448DA" w:rsidRPr="0092311A">
        <w:t xml:space="preserve"> </w:t>
      </w:r>
      <w:r w:rsidR="0047037A" w:rsidRPr="0092311A">
        <w:t xml:space="preserve">anunció su política de mitigación al cambio climático, comprometiéndose a lograr su carbono neutralidad </w:t>
      </w:r>
      <w:r w:rsidR="00652B86" w:rsidRPr="0092311A">
        <w:t xml:space="preserve">(C-Neutralidad) </w:t>
      </w:r>
      <w:r w:rsidR="0047037A" w:rsidRPr="0092311A">
        <w:t>en el 2021</w:t>
      </w:r>
      <w:r w:rsidR="00AB7D60" w:rsidRPr="0092311A">
        <w:rPr>
          <w:rStyle w:val="FootnoteReference"/>
        </w:rPr>
        <w:footnoteReference w:id="5"/>
      </w:r>
      <w:r w:rsidR="003044CE" w:rsidRPr="0092311A">
        <w:t xml:space="preserve">. Esto </w:t>
      </w:r>
      <w:r w:rsidR="00AB7D60" w:rsidRPr="0092311A">
        <w:t xml:space="preserve">implica </w:t>
      </w:r>
      <w:r w:rsidR="003044CE" w:rsidRPr="0092311A">
        <w:t xml:space="preserve">lograr que la huella neta de emisiones </w:t>
      </w:r>
      <w:r w:rsidR="002C011C" w:rsidRPr="0092311A">
        <w:t>sean iguales a la de sus sumideros o bancos de carbono</w:t>
      </w:r>
      <w:r w:rsidR="00735EEC" w:rsidRPr="0092311A">
        <w:rPr>
          <w:rStyle w:val="FootnoteReference"/>
        </w:rPr>
        <w:footnoteReference w:id="6"/>
      </w:r>
      <w:r w:rsidR="003044CE" w:rsidRPr="0092311A">
        <w:t>, es decir, lograr cero emisiones de C</w:t>
      </w:r>
      <w:r w:rsidR="0018353F" w:rsidRPr="0092311A">
        <w:t>O</w:t>
      </w:r>
      <w:r w:rsidR="003044CE" w:rsidRPr="0015517F">
        <w:rPr>
          <w:vertAlign w:val="subscript"/>
        </w:rPr>
        <w:t>2</w:t>
      </w:r>
      <w:r w:rsidR="003044CE" w:rsidRPr="0092311A">
        <w:t>e.</w:t>
      </w:r>
      <w:r w:rsidR="0018353F" w:rsidRPr="0092311A">
        <w:t xml:space="preserve"> </w:t>
      </w:r>
      <w:r w:rsidR="00451BCE" w:rsidRPr="0092311A">
        <w:t>De allí que el sector público y privado se han comprometido a introducir mejoras que permitan la adopción de sistemas de producción más eficientes y sostenibles que reduzcan las emisiones de GEI.</w:t>
      </w:r>
      <w:r w:rsidR="00A715CE" w:rsidRPr="0092311A">
        <w:t xml:space="preserve"> </w:t>
      </w:r>
    </w:p>
    <w:p w:rsidR="00FD71DE" w:rsidRPr="0092311A" w:rsidRDefault="0047037A" w:rsidP="0047037A">
      <w:pPr>
        <w:pStyle w:val="AutoNumpara"/>
      </w:pPr>
      <w:r w:rsidRPr="0092311A">
        <w:t>La reducción de emisiones se ha convertido en un eje estratégico para promover un mejor desempeño ambiental</w:t>
      </w:r>
      <w:r w:rsidR="00323F9E" w:rsidRPr="0092311A">
        <w:t xml:space="preserve"> y </w:t>
      </w:r>
      <w:r w:rsidRPr="0092311A">
        <w:t xml:space="preserve">mayor diferenciación en el mercado </w:t>
      </w:r>
      <w:r w:rsidR="00A715CE" w:rsidRPr="0092311A">
        <w:t>que contribuya a una m</w:t>
      </w:r>
      <w:r w:rsidRPr="0092311A">
        <w:t>ayor competitividad</w:t>
      </w:r>
      <w:r w:rsidR="007B4F74" w:rsidRPr="0092311A">
        <w:rPr>
          <w:rStyle w:val="FootnoteReference"/>
        </w:rPr>
        <w:footnoteReference w:id="7"/>
      </w:r>
      <w:r w:rsidR="003A39CC">
        <w:t xml:space="preserve"> y valor agregado</w:t>
      </w:r>
      <w:r w:rsidRPr="0092311A">
        <w:t xml:space="preserve">. En el caso de Costa Rica, es una iniciativa </w:t>
      </w:r>
      <w:r w:rsidRPr="0092311A">
        <w:rPr>
          <w:i/>
        </w:rPr>
        <w:t>voluntaria</w:t>
      </w:r>
      <w:r w:rsidRPr="0092311A">
        <w:t xml:space="preserve">, </w:t>
      </w:r>
      <w:r w:rsidR="00850884" w:rsidRPr="0092311A">
        <w:t xml:space="preserve">impulsada por </w:t>
      </w:r>
      <w:r w:rsidR="00CD1DB0" w:rsidRPr="0092311A">
        <w:t xml:space="preserve">el gobierno y </w:t>
      </w:r>
      <w:r w:rsidR="002879E1" w:rsidRPr="0092311A">
        <w:t>un sector productivo conformado mayormente por pequeños productores</w:t>
      </w:r>
      <w:r w:rsidR="00652B86" w:rsidRPr="0092311A">
        <w:t xml:space="preserve"> que se propone</w:t>
      </w:r>
      <w:r w:rsidR="00FD71DE" w:rsidRPr="0092311A">
        <w:t>n</w:t>
      </w:r>
      <w:r w:rsidR="00652B86" w:rsidRPr="0092311A">
        <w:t xml:space="preserve"> liderar el desarrollo de una economía </w:t>
      </w:r>
      <w:r w:rsidR="00FD71DE" w:rsidRPr="0092311A">
        <w:t xml:space="preserve">baja en carbono </w:t>
      </w:r>
      <w:r w:rsidR="00652B86" w:rsidRPr="0092311A">
        <w:t xml:space="preserve">y </w:t>
      </w:r>
      <w:r w:rsidR="00FD71DE" w:rsidRPr="0092311A">
        <w:t xml:space="preserve">contribuir </w:t>
      </w:r>
      <w:r w:rsidR="00652B86" w:rsidRPr="0092311A">
        <w:t xml:space="preserve">con la meta </w:t>
      </w:r>
      <w:r w:rsidR="00FD71DE" w:rsidRPr="0092311A">
        <w:t xml:space="preserve">nacional </w:t>
      </w:r>
      <w:r w:rsidR="00652B86" w:rsidRPr="0092311A">
        <w:t xml:space="preserve">de C-Neutralidad, a pesar </w:t>
      </w:r>
      <w:r w:rsidR="00FD71DE" w:rsidRPr="0092311A">
        <w:t xml:space="preserve">que el café presenta una crisis en términos de </w:t>
      </w:r>
      <w:r w:rsidR="002879E1" w:rsidRPr="0092311A">
        <w:t xml:space="preserve">bajos precios </w:t>
      </w:r>
      <w:r w:rsidR="00E25E94" w:rsidRPr="0092311A">
        <w:t xml:space="preserve">en el mercado internacional y </w:t>
      </w:r>
      <w:r w:rsidR="00652B86" w:rsidRPr="0092311A">
        <w:t>ha sido afectado por la roya.</w:t>
      </w:r>
      <w:r w:rsidR="00FD71DE" w:rsidRPr="0092311A">
        <w:t xml:space="preserve"> </w:t>
      </w:r>
      <w:r w:rsidR="00AF0E48" w:rsidRPr="0092311A">
        <w:t xml:space="preserve">Esta iniciativa es una muestra del liderazgo que Costa Rica tiene y prevé mantener en el desarrollo económico sostenible. </w:t>
      </w:r>
    </w:p>
    <w:p w:rsidR="009A6043" w:rsidRPr="0092311A" w:rsidRDefault="0047037A" w:rsidP="0047037A">
      <w:pPr>
        <w:pStyle w:val="AutoNumpara"/>
      </w:pPr>
      <w:r w:rsidRPr="0092311A">
        <w:rPr>
          <w:b/>
        </w:rPr>
        <w:t>Cadena de valor del café.</w:t>
      </w:r>
      <w:r w:rsidRPr="0092311A">
        <w:t xml:space="preserve"> </w:t>
      </w:r>
      <w:r w:rsidR="00EF0E62" w:rsidRPr="0092311A">
        <w:t>L</w:t>
      </w:r>
      <w:r w:rsidRPr="0092311A">
        <w:t xml:space="preserve">a industria del café de Costa Rica está regulada por el Instituto del Café de Costa Rica (ICAFE) donde están representados todos los </w:t>
      </w:r>
      <w:r w:rsidR="00006E76" w:rsidRPr="0092311A">
        <w:t xml:space="preserve">sectores </w:t>
      </w:r>
      <w:r w:rsidRPr="0092311A">
        <w:t>que intervienen en la cadena, como son los</w:t>
      </w:r>
      <w:r w:rsidRPr="0092311A">
        <w:rPr>
          <w:rStyle w:val="FootnoteReference"/>
        </w:rPr>
        <w:footnoteReference w:id="8"/>
      </w:r>
      <w:r w:rsidRPr="0092311A">
        <w:t>: (i) productores (52,800); (ii) beneficiadores</w:t>
      </w:r>
      <w:r w:rsidRPr="0092311A">
        <w:rPr>
          <w:rStyle w:val="FootnoteReference"/>
        </w:rPr>
        <w:footnoteReference w:id="9"/>
      </w:r>
      <w:r w:rsidRPr="0092311A">
        <w:t xml:space="preserve"> (o plantas procesadoras, 184); (iii) exportadores (56); y (iv) torrefactores (34)</w:t>
      </w:r>
      <w:r w:rsidRPr="0092311A">
        <w:rPr>
          <w:rStyle w:val="FootnoteReference"/>
        </w:rPr>
        <w:footnoteReference w:id="10"/>
      </w:r>
      <w:r w:rsidRPr="0092311A">
        <w:t xml:space="preserve">. ICAFE es el órgano encargado de fijar en primera instancia el </w:t>
      </w:r>
      <w:r w:rsidRPr="0092311A">
        <w:rPr>
          <w:i/>
        </w:rPr>
        <w:t>precio definitivo</w:t>
      </w:r>
      <w:r w:rsidRPr="0092311A">
        <w:t xml:space="preserve"> que </w:t>
      </w:r>
      <w:r w:rsidR="00687A80" w:rsidRPr="0092311A">
        <w:t xml:space="preserve">la planta procesadora </w:t>
      </w:r>
      <w:r w:rsidRPr="0092311A">
        <w:t>deberá pagar al productor. En la cosecha del 2012, los productores lograron aproximadamente el 80% del precio total de venta del producto</w:t>
      </w:r>
      <w:r w:rsidRPr="0092311A">
        <w:rPr>
          <w:rStyle w:val="FootnoteReference"/>
        </w:rPr>
        <w:footnoteReference w:id="11"/>
      </w:r>
      <w:r w:rsidR="00E17B3B" w:rsidRPr="0092311A">
        <w:t xml:space="preserve"> y por ello se </w:t>
      </w:r>
      <w:r w:rsidRPr="0092311A">
        <w:t>considera que este cultivo</w:t>
      </w:r>
      <w:r w:rsidR="00323F9E" w:rsidRPr="0092311A">
        <w:t>, a diferencia de otros,</w:t>
      </w:r>
      <w:r w:rsidRPr="0092311A">
        <w:t xml:space="preserve"> tiene el mejor efecto distributivo de ingresos </w:t>
      </w:r>
      <w:r w:rsidR="00E17B3B" w:rsidRPr="0092311A">
        <w:t xml:space="preserve">entre </w:t>
      </w:r>
      <w:r w:rsidRPr="0092311A">
        <w:t>los productores</w:t>
      </w:r>
      <w:r w:rsidR="00687A80" w:rsidRPr="0092311A">
        <w:t xml:space="preserve">. </w:t>
      </w:r>
    </w:p>
    <w:p w:rsidR="0047037A" w:rsidRPr="0092311A" w:rsidRDefault="0047037A" w:rsidP="0047037A">
      <w:pPr>
        <w:pStyle w:val="AutoNumpara"/>
      </w:pPr>
      <w:r w:rsidRPr="0092311A">
        <w:t>Las regiones cafetaleras en Costa Rica son 8 que presentan diferencias climáticas, agroecológicas</w:t>
      </w:r>
      <w:r w:rsidRPr="0092311A">
        <w:rPr>
          <w:rStyle w:val="FootnoteReference"/>
        </w:rPr>
        <w:footnoteReference w:id="12"/>
      </w:r>
      <w:r w:rsidRPr="0092311A">
        <w:t xml:space="preserve"> y de perfil de productores</w:t>
      </w:r>
      <w:r w:rsidRPr="0092311A">
        <w:rPr>
          <w:rStyle w:val="FootnoteReference"/>
        </w:rPr>
        <w:footnoteReference w:id="13"/>
      </w:r>
      <w:r w:rsidRPr="0092311A">
        <w:t xml:space="preserve">. </w:t>
      </w:r>
    </w:p>
    <w:p w:rsidR="0047037A" w:rsidRPr="0092311A" w:rsidRDefault="0047037A" w:rsidP="0047037A">
      <w:pPr>
        <w:pStyle w:val="AutoNumpara"/>
        <w:numPr>
          <w:ilvl w:val="0"/>
          <w:numId w:val="0"/>
        </w:numPr>
        <w:ind w:left="720"/>
      </w:pPr>
      <w:r w:rsidRPr="0092311A">
        <w:rPr>
          <w:b/>
        </w:rPr>
        <w:t>Problemas que presenta la siembra y procesamiento del café</w:t>
      </w:r>
      <w:r w:rsidRPr="0092311A">
        <w:t>.</w:t>
      </w:r>
    </w:p>
    <w:p w:rsidR="0047037A" w:rsidRPr="0092311A" w:rsidRDefault="0047037A" w:rsidP="0047037A">
      <w:pPr>
        <w:pStyle w:val="AutoNumpara"/>
      </w:pPr>
      <w:r w:rsidRPr="0092311A">
        <w:t xml:space="preserve">En la </w:t>
      </w:r>
      <w:r w:rsidRPr="0092311A">
        <w:rPr>
          <w:b/>
        </w:rPr>
        <w:t xml:space="preserve">siembra </w:t>
      </w:r>
      <w:r w:rsidRPr="0092311A">
        <w:t xml:space="preserve">del café, se genera del 80 al 92% de las emisiones de gases de efecto invernadero del sector, debido al: (i) uso de fertilizantes </w:t>
      </w:r>
      <w:r w:rsidR="00006E76" w:rsidRPr="0092311A">
        <w:t xml:space="preserve">convencionales sintéticos </w:t>
      </w:r>
      <w:r w:rsidRPr="0092311A">
        <w:t>que se caracterizan por su alto contenido de nitrógeno (N</w:t>
      </w:r>
      <w:r w:rsidRPr="0092311A">
        <w:rPr>
          <w:vertAlign w:val="subscript"/>
        </w:rPr>
        <w:t>2</w:t>
      </w:r>
      <w:r w:rsidRPr="0092311A">
        <w:t>O)</w:t>
      </w:r>
      <w:r w:rsidR="00006E76" w:rsidRPr="0092311A">
        <w:t xml:space="preserve">, a su </w:t>
      </w:r>
      <w:r w:rsidR="009A6043" w:rsidRPr="0092311A">
        <w:t>aplicación inadecuada</w:t>
      </w:r>
      <w:r w:rsidRPr="0092311A">
        <w:t xml:space="preserve">; (ii) </w:t>
      </w:r>
      <w:r w:rsidR="00687A80" w:rsidRPr="0092311A">
        <w:t>falta de planes de aplicación y control</w:t>
      </w:r>
      <w:r w:rsidRPr="0092311A">
        <w:t xml:space="preserve">; y (iii) </w:t>
      </w:r>
      <w:r w:rsidR="00687A80" w:rsidRPr="0092311A">
        <w:t xml:space="preserve">desconocimiento </w:t>
      </w:r>
      <w:r w:rsidR="00323F9E" w:rsidRPr="0092311A">
        <w:t xml:space="preserve">de prácticas más sustentables y sus efectos al ambiente. </w:t>
      </w:r>
      <w:r w:rsidR="002C011C" w:rsidRPr="0092311A">
        <w:t>Dado que se da un proceso natural de liberación y</w:t>
      </w:r>
      <w:r w:rsidRPr="0092311A">
        <w:t xml:space="preserve"> </w:t>
      </w:r>
      <w:r w:rsidR="001F5E60" w:rsidRPr="0092311A">
        <w:t xml:space="preserve">el </w:t>
      </w:r>
      <w:r w:rsidRPr="0092311A">
        <w:t>cafetal no tiene capacidad de absorber completamente los fertilizantes, éstos se liberan en emisiones de GEI</w:t>
      </w:r>
      <w:r w:rsidR="002C011C" w:rsidRPr="0092311A">
        <w:t xml:space="preserve">. </w:t>
      </w:r>
      <w:r w:rsidRPr="0092311A">
        <w:t xml:space="preserve">Existen fertilizantes de liberación controlada </w:t>
      </w:r>
      <w:r w:rsidR="001F5E60" w:rsidRPr="0092311A">
        <w:t xml:space="preserve">y mejores prácticas </w:t>
      </w:r>
      <w:r w:rsidRPr="0092311A">
        <w:t xml:space="preserve">que </w:t>
      </w:r>
      <w:r w:rsidR="002C011C" w:rsidRPr="0092311A">
        <w:t xml:space="preserve">juntos </w:t>
      </w:r>
      <w:r w:rsidRPr="0092311A">
        <w:t>extienden y distribuyen de mejor manera la disponibilidad de los nutrientes en el tiempo</w:t>
      </w:r>
      <w:r w:rsidR="00006E76" w:rsidRPr="0092311A">
        <w:t xml:space="preserve">, pero </w:t>
      </w:r>
      <w:r w:rsidRPr="0092311A">
        <w:t>su</w:t>
      </w:r>
      <w:r w:rsidR="002C011C" w:rsidRPr="0092311A">
        <w:t>s usos y</w:t>
      </w:r>
      <w:r w:rsidRPr="0092311A">
        <w:t xml:space="preserve"> disponibilidad en el mercado </w:t>
      </w:r>
      <w:r w:rsidR="002C011C" w:rsidRPr="0092311A">
        <w:t xml:space="preserve">son </w:t>
      </w:r>
      <w:r w:rsidRPr="0092311A">
        <w:t>limitada</w:t>
      </w:r>
      <w:r w:rsidR="002C011C" w:rsidRPr="0092311A">
        <w:t>s</w:t>
      </w:r>
      <w:r w:rsidR="00006E76" w:rsidRPr="0092311A">
        <w:t xml:space="preserve"> y </w:t>
      </w:r>
      <w:r w:rsidR="005C29C1" w:rsidRPr="0092311A">
        <w:t>su costo es mayor.</w:t>
      </w:r>
      <w:r w:rsidRPr="0092311A">
        <w:t xml:space="preserve"> </w:t>
      </w:r>
    </w:p>
    <w:p w:rsidR="0047037A" w:rsidRPr="0092311A" w:rsidRDefault="0047037A" w:rsidP="0047037A">
      <w:pPr>
        <w:pStyle w:val="AutoNumpara"/>
      </w:pPr>
      <w:r w:rsidRPr="0092311A">
        <w:t xml:space="preserve">En el </w:t>
      </w:r>
      <w:r w:rsidRPr="0092311A">
        <w:rPr>
          <w:b/>
        </w:rPr>
        <w:t>beneficiado húmedo</w:t>
      </w:r>
      <w:r w:rsidRPr="0092311A">
        <w:t xml:space="preserve"> se separa</w:t>
      </w:r>
      <w:r w:rsidR="001617ED" w:rsidRPr="0092311A">
        <w:t>n</w:t>
      </w:r>
      <w:r w:rsidRPr="0092311A">
        <w:t xml:space="preserve"> la pu</w:t>
      </w:r>
      <w:r w:rsidR="005C29C1" w:rsidRPr="0092311A">
        <w:t xml:space="preserve">lpa </w:t>
      </w:r>
      <w:r w:rsidR="001617ED" w:rsidRPr="0092311A">
        <w:t xml:space="preserve">y mucílago del </w:t>
      </w:r>
      <w:r w:rsidR="005C29C1" w:rsidRPr="0092311A">
        <w:t>grano de café</w:t>
      </w:r>
      <w:r w:rsidR="00EE72A6" w:rsidRPr="0092311A">
        <w:t xml:space="preserve"> (café cereza)</w:t>
      </w:r>
      <w:r w:rsidR="005C29C1" w:rsidRPr="0092311A">
        <w:t xml:space="preserve">, </w:t>
      </w:r>
      <w:r w:rsidR="001617ED" w:rsidRPr="0092311A">
        <w:t xml:space="preserve">que constituyen el 50% del fruto. En este proceso se </w:t>
      </w:r>
      <w:r w:rsidR="005C29C1" w:rsidRPr="0092311A">
        <w:t>g</w:t>
      </w:r>
      <w:r w:rsidRPr="0092311A">
        <w:t>enera gran volúmen de residuos</w:t>
      </w:r>
      <w:r w:rsidR="001617ED" w:rsidRPr="0092311A">
        <w:t xml:space="preserve"> y de </w:t>
      </w:r>
      <w:r w:rsidRPr="0092311A">
        <w:rPr>
          <w:i/>
        </w:rPr>
        <w:t xml:space="preserve">aguas mieles </w:t>
      </w:r>
      <w:r w:rsidRPr="0092311A">
        <w:t xml:space="preserve">que resultan del despulpado, desmucílago, fermentación y procesamiento del café. Estas aguas </w:t>
      </w:r>
      <w:r w:rsidR="00E365E1" w:rsidRPr="0092311A">
        <w:t xml:space="preserve">residuales </w:t>
      </w:r>
      <w:r w:rsidRPr="0092311A">
        <w:t>son tratadas previo a ser dispuestas en los ríos</w:t>
      </w:r>
      <w:r w:rsidR="001F5E60" w:rsidRPr="0092311A">
        <w:t>, en muchos casos</w:t>
      </w:r>
      <w:r w:rsidRPr="0092311A">
        <w:t xml:space="preserve"> mediante el uso de lagunas de oxidación</w:t>
      </w:r>
      <w:r w:rsidRPr="0092311A">
        <w:rPr>
          <w:rStyle w:val="FootnoteReference"/>
        </w:rPr>
        <w:footnoteReference w:id="14"/>
      </w:r>
      <w:r w:rsidRPr="0092311A">
        <w:t xml:space="preserve"> (a</w:t>
      </w:r>
      <w:r w:rsidR="001F5E60" w:rsidRPr="0092311A">
        <w:t>na</w:t>
      </w:r>
      <w:r w:rsidRPr="0092311A">
        <w:t>eróbicas) que han resultado costosas, complejas de operar</w:t>
      </w:r>
      <w:r w:rsidR="00E365E1" w:rsidRPr="0092311A">
        <w:t xml:space="preserve">, </w:t>
      </w:r>
      <w:r w:rsidRPr="0092311A">
        <w:t xml:space="preserve">generadoras de </w:t>
      </w:r>
      <w:r w:rsidR="00E365E1" w:rsidRPr="0092311A">
        <w:t xml:space="preserve">malos olores y de </w:t>
      </w:r>
      <w:r w:rsidRPr="0092311A">
        <w:t>metano. A partir de la Ley de Conservación de la Vida Silvestre</w:t>
      </w:r>
      <w:r w:rsidRPr="0092311A">
        <w:rPr>
          <w:rStyle w:val="FootnoteReference"/>
        </w:rPr>
        <w:footnoteReference w:id="15"/>
      </w:r>
      <w:r w:rsidRPr="0092311A">
        <w:t xml:space="preserve"> </w:t>
      </w:r>
      <w:r w:rsidR="009A6043" w:rsidRPr="0092311A">
        <w:t>requiere</w:t>
      </w:r>
      <w:r w:rsidRPr="0092311A">
        <w:t xml:space="preserve"> la instalación y adecuado funcionamiento de los sistemas de tratamiento de aguas mieles antes de disponerlas en los ríos o suelos. Ante potenciales sanciones y cierres de instalaciones por parte del Ministerio de Salud, el sector cafetalero mejoró significativamente el manejo y disposición de aguas. </w:t>
      </w:r>
      <w:r w:rsidR="00687A80" w:rsidRPr="0092311A">
        <w:t xml:space="preserve">No obstante, ahora </w:t>
      </w:r>
      <w:r w:rsidR="00E365E1" w:rsidRPr="0092311A">
        <w:t xml:space="preserve">se </w:t>
      </w:r>
      <w:r w:rsidR="00687A80" w:rsidRPr="0092311A">
        <w:t xml:space="preserve">requiere </w:t>
      </w:r>
      <w:r w:rsidR="006D13F9" w:rsidRPr="0092311A">
        <w:t xml:space="preserve">adoptar </w:t>
      </w:r>
      <w:r w:rsidRPr="0092311A">
        <w:t xml:space="preserve">alternativas tecnológicas más eficientes y menos costosas. </w:t>
      </w:r>
    </w:p>
    <w:p w:rsidR="0047037A" w:rsidRPr="0092311A" w:rsidRDefault="0047037A" w:rsidP="0047037A">
      <w:pPr>
        <w:pStyle w:val="AutoNumpara"/>
      </w:pPr>
      <w:r w:rsidRPr="0092311A">
        <w:t xml:space="preserve">En el </w:t>
      </w:r>
      <w:r w:rsidRPr="0092311A">
        <w:rPr>
          <w:b/>
        </w:rPr>
        <w:t>beneficiado seco</w:t>
      </w:r>
      <w:r w:rsidRPr="0092311A">
        <w:t xml:space="preserve"> se consume leña </w:t>
      </w:r>
      <w:r w:rsidR="00D7788B" w:rsidRPr="0092311A">
        <w:t xml:space="preserve">y cascarilla de café </w:t>
      </w:r>
      <w:r w:rsidRPr="0092311A">
        <w:t xml:space="preserve">para secar el grano. </w:t>
      </w:r>
      <w:r w:rsidR="00CE2185" w:rsidRPr="0092311A">
        <w:t xml:space="preserve">En esta </w:t>
      </w:r>
      <w:r w:rsidRPr="0092311A">
        <w:t xml:space="preserve">fase, se </w:t>
      </w:r>
      <w:r w:rsidR="00D7788B" w:rsidRPr="0092311A">
        <w:t xml:space="preserve">trilla el café y se </w:t>
      </w:r>
      <w:r w:rsidRPr="0092311A">
        <w:t xml:space="preserve">separa </w:t>
      </w:r>
      <w:r w:rsidR="00D7788B" w:rsidRPr="0092311A">
        <w:t xml:space="preserve">la </w:t>
      </w:r>
      <w:r w:rsidRPr="0092311A">
        <w:t xml:space="preserve">cascarilla </w:t>
      </w:r>
      <w:r w:rsidR="00687A80" w:rsidRPr="0092311A">
        <w:t xml:space="preserve">del </w:t>
      </w:r>
      <w:r w:rsidRPr="0092311A">
        <w:t xml:space="preserve">grano (llamado pergamino), que también tiene potencial para usarse como biomasa </w:t>
      </w:r>
      <w:r w:rsidR="00D7788B" w:rsidRPr="0092311A">
        <w:t>energética junto a la</w:t>
      </w:r>
      <w:r w:rsidRPr="0092311A">
        <w:t xml:space="preserve"> leña </w:t>
      </w:r>
      <w:r w:rsidR="00CE2185" w:rsidRPr="0092311A">
        <w:t>que</w:t>
      </w:r>
      <w:r w:rsidRPr="0092311A">
        <w:t xml:space="preserve"> cada vez es más </w:t>
      </w:r>
      <w:r w:rsidR="00687A80" w:rsidRPr="0092311A">
        <w:t>cara y e</w:t>
      </w:r>
      <w:r w:rsidRPr="0092311A">
        <w:t>scasa</w:t>
      </w:r>
      <w:r w:rsidR="00687A80" w:rsidRPr="0092311A">
        <w:t>.</w:t>
      </w:r>
      <w:r w:rsidRPr="0092311A">
        <w:t xml:space="preserve"> </w:t>
      </w:r>
    </w:p>
    <w:p w:rsidR="0047037A" w:rsidRPr="0092311A" w:rsidRDefault="0047037A" w:rsidP="0047037A">
      <w:pPr>
        <w:pStyle w:val="AutoNumpara"/>
      </w:pPr>
      <w:r w:rsidRPr="0092311A">
        <w:t xml:space="preserve">Al final, el grano de café </w:t>
      </w:r>
      <w:r w:rsidR="00EE72A6" w:rsidRPr="0092311A">
        <w:t xml:space="preserve">oro </w:t>
      </w:r>
      <w:r w:rsidRPr="0092311A">
        <w:t xml:space="preserve">que se consume representa </w:t>
      </w:r>
      <w:r w:rsidRPr="0092311A">
        <w:rPr>
          <w:i/>
        </w:rPr>
        <w:t>sólo el 20% del peso del fruto</w:t>
      </w:r>
      <w:r w:rsidRPr="0092311A">
        <w:t>, el resto son residuos (líquidos y sólidos)</w:t>
      </w:r>
      <w:r w:rsidR="00D7788B" w:rsidRPr="0092311A">
        <w:t xml:space="preserve">, </w:t>
      </w:r>
      <w:r w:rsidRPr="0092311A">
        <w:t xml:space="preserve">con potencial de ser aprovechables y que a la fecha son </w:t>
      </w:r>
      <w:r w:rsidR="00D7788B" w:rsidRPr="0092311A">
        <w:t xml:space="preserve">costosos de manejar, </w:t>
      </w:r>
      <w:r w:rsidRPr="0092311A">
        <w:t>desperdiciados</w:t>
      </w:r>
      <w:r w:rsidR="00D7788B" w:rsidRPr="0092311A">
        <w:t xml:space="preserve"> </w:t>
      </w:r>
      <w:r w:rsidRPr="0092311A">
        <w:t xml:space="preserve">y fuente de contaminación. </w:t>
      </w:r>
    </w:p>
    <w:p w:rsidR="0047037A" w:rsidRPr="0092311A" w:rsidRDefault="0047037A" w:rsidP="0047037A">
      <w:pPr>
        <w:pStyle w:val="AutoNumpara"/>
      </w:pPr>
      <w:r w:rsidRPr="0092311A">
        <w:rPr>
          <w:b/>
        </w:rPr>
        <w:t>Plagas, bacterias y enfermedades</w:t>
      </w:r>
      <w:r w:rsidRPr="0092311A">
        <w:t xml:space="preserve">. Las plantaciones de café también se ven afectadas por la variabilidad climática, a través de ataques de plagas, como es el caso de la roya que después de más de 30 años de ausencia </w:t>
      </w:r>
      <w:r w:rsidR="00D7788B" w:rsidRPr="0092311A">
        <w:t xml:space="preserve">como epidemia </w:t>
      </w:r>
      <w:r w:rsidRPr="0092311A">
        <w:t>en la región de Centro América, se presentó a mediados del 2012, a causa de una variabilidad en precipitaciones y temperatura</w:t>
      </w:r>
      <w:r w:rsidRPr="0092311A">
        <w:rPr>
          <w:rStyle w:val="FootnoteReference"/>
        </w:rPr>
        <w:footnoteReference w:id="16"/>
      </w:r>
      <w:r w:rsidRPr="0092311A">
        <w:t>. Lo anterior, se sumó a la inexperiencia y poca familiaridad de la nueva generación de productores con la roya, al poco mantenimiento de los cafetales dado el bajo precio en el mercado internacional; a la falta de sombra y a la antigüedad de las plantaciones. En Costa Rica se estima una reducción de hasta un 50% en la cosecha para el período 2013- 2014.</w:t>
      </w:r>
      <w:r w:rsidRPr="0092311A">
        <w:rPr>
          <w:rStyle w:val="FootnoteReference"/>
        </w:rPr>
        <w:footnoteReference w:id="17"/>
      </w:r>
      <w:r w:rsidRPr="0092311A">
        <w:t xml:space="preserve"> </w:t>
      </w:r>
    </w:p>
    <w:p w:rsidR="0047037A" w:rsidRPr="0092311A" w:rsidRDefault="0047037A" w:rsidP="0047037A">
      <w:pPr>
        <w:pStyle w:val="AutoNumpara"/>
        <w:rPr>
          <w:szCs w:val="24"/>
        </w:rPr>
      </w:pPr>
      <w:r w:rsidRPr="0092311A">
        <w:rPr>
          <w:b/>
          <w:szCs w:val="24"/>
        </w:rPr>
        <w:t>Mercados.</w:t>
      </w:r>
      <w:r w:rsidRPr="0092311A">
        <w:rPr>
          <w:szCs w:val="24"/>
        </w:rPr>
        <w:t xml:space="preserve"> El principal destino de las exportaciones de café costarricense son los Estados Unidos de América (53.8%) y los países de la Unión Europea (26%). </w:t>
      </w:r>
      <w:r w:rsidR="00323F9E" w:rsidRPr="0092311A">
        <w:rPr>
          <w:szCs w:val="24"/>
        </w:rPr>
        <w:t>S</w:t>
      </w:r>
      <w:r w:rsidRPr="0092311A">
        <w:rPr>
          <w:szCs w:val="24"/>
        </w:rPr>
        <w:t xml:space="preserve">e desconocen los mercados que demandan y </w:t>
      </w:r>
      <w:r w:rsidR="00332FCA" w:rsidRPr="0092311A">
        <w:rPr>
          <w:szCs w:val="24"/>
        </w:rPr>
        <w:t xml:space="preserve">premian </w:t>
      </w:r>
      <w:r w:rsidRPr="0092311A">
        <w:rPr>
          <w:szCs w:val="24"/>
        </w:rPr>
        <w:t>con mejores precios productos agrícolas más limpios y bajos en carbono, como el café que propone producir Costa Rica.</w:t>
      </w:r>
    </w:p>
    <w:p w:rsidR="00871BB3" w:rsidRPr="0092311A" w:rsidRDefault="0047037A" w:rsidP="00E147AB">
      <w:pPr>
        <w:pStyle w:val="Heading2"/>
        <w:rPr>
          <w:lang w:val="es-ES"/>
        </w:rPr>
      </w:pPr>
      <w:bookmarkStart w:id="13" w:name="_Toc363224841"/>
      <w:bookmarkStart w:id="14" w:name="_Toc363224976"/>
      <w:r w:rsidRPr="0092311A">
        <w:rPr>
          <w:rFonts w:ascii="Times New Roman" w:hAnsi="Times New Roman"/>
          <w:szCs w:val="24"/>
          <w:lang w:val="es-ES"/>
        </w:rPr>
        <w:t>Beneficiarios del proyecto</w:t>
      </w:r>
      <w:bookmarkEnd w:id="13"/>
      <w:bookmarkEnd w:id="14"/>
      <w:r w:rsidRPr="0092311A">
        <w:rPr>
          <w:rFonts w:ascii="Times New Roman" w:hAnsi="Times New Roman"/>
          <w:szCs w:val="24"/>
          <w:lang w:val="es-ES"/>
        </w:rPr>
        <w:t xml:space="preserve"> </w:t>
      </w:r>
      <w:bookmarkEnd w:id="11"/>
      <w:bookmarkEnd w:id="12"/>
    </w:p>
    <w:p w:rsidR="0047037A" w:rsidRPr="0092311A" w:rsidRDefault="00390C89" w:rsidP="009033F1">
      <w:pPr>
        <w:pStyle w:val="AutoNumpara"/>
      </w:pPr>
      <w:r w:rsidRPr="0092311A">
        <w:t xml:space="preserve">Los beneficiarios </w:t>
      </w:r>
      <w:r w:rsidR="00727E7B" w:rsidRPr="0092311A">
        <w:t xml:space="preserve">de los proyectos piloto </w:t>
      </w:r>
      <w:r w:rsidRPr="0092311A">
        <w:t xml:space="preserve">son: (i) </w:t>
      </w:r>
      <w:r w:rsidR="00D7788B" w:rsidRPr="0092311A">
        <w:t>al menos 3</w:t>
      </w:r>
      <w:r w:rsidR="00721C38" w:rsidRPr="0092311A">
        <w:t xml:space="preserve"> </w:t>
      </w:r>
      <w:r w:rsidR="004809F1" w:rsidRPr="0092311A">
        <w:t xml:space="preserve">plantas procesadoras de </w:t>
      </w:r>
      <w:r w:rsidR="0047037A" w:rsidRPr="0092311A">
        <w:t xml:space="preserve">café </w:t>
      </w:r>
      <w:r w:rsidR="004809F1" w:rsidRPr="0092311A">
        <w:t>(ó beneficios</w:t>
      </w:r>
      <w:r w:rsidR="00197509" w:rsidRPr="0092311A">
        <w:t xml:space="preserve"> húmedos y secos</w:t>
      </w:r>
      <w:r w:rsidR="004809F1" w:rsidRPr="0092311A">
        <w:t>)</w:t>
      </w:r>
      <w:r w:rsidRPr="0092311A">
        <w:t xml:space="preserve">; (ii) </w:t>
      </w:r>
      <w:r w:rsidR="00323F9E" w:rsidRPr="0092311A">
        <w:t xml:space="preserve">3,000 </w:t>
      </w:r>
      <w:r w:rsidRPr="0092311A">
        <w:t>pequeños productores de café</w:t>
      </w:r>
      <w:r w:rsidR="00323F9E" w:rsidRPr="0092311A">
        <w:rPr>
          <w:rStyle w:val="FootnoteReference"/>
        </w:rPr>
        <w:footnoteReference w:id="18"/>
      </w:r>
      <w:r w:rsidRPr="0092311A">
        <w:t>; y (iii) el ambiente. Las plantas procesadoras</w:t>
      </w:r>
      <w:r w:rsidR="004809F1" w:rsidRPr="0092311A">
        <w:t xml:space="preserve"> </w:t>
      </w:r>
      <w:r w:rsidR="0047037A" w:rsidRPr="0092311A">
        <w:t xml:space="preserve">que serán elegibles para participar serán únicamente los de propiedad </w:t>
      </w:r>
      <w:r w:rsidR="00D7788B" w:rsidRPr="0092311A">
        <w:rPr>
          <w:szCs w:val="24"/>
        </w:rPr>
        <w:t>asociativa</w:t>
      </w:r>
      <w:r w:rsidR="009A6043" w:rsidRPr="0092311A">
        <w:rPr>
          <w:rStyle w:val="FootnoteReference"/>
          <w:szCs w:val="24"/>
        </w:rPr>
        <w:footnoteReference w:id="19"/>
      </w:r>
      <w:r w:rsidR="00427B38" w:rsidRPr="0092311A">
        <w:rPr>
          <w:szCs w:val="24"/>
        </w:rPr>
        <w:t xml:space="preserve">, que tienen </w:t>
      </w:r>
      <w:r w:rsidR="00D7788B" w:rsidRPr="0092311A">
        <w:rPr>
          <w:szCs w:val="24"/>
        </w:rPr>
        <w:t>el café</w:t>
      </w:r>
      <w:r w:rsidR="00D7788B" w:rsidRPr="0092311A">
        <w:t xml:space="preserve"> </w:t>
      </w:r>
      <w:r w:rsidR="00427B38" w:rsidRPr="0092311A">
        <w:t xml:space="preserve">como una de sus </w:t>
      </w:r>
      <w:r w:rsidR="00D7788B" w:rsidRPr="0092311A">
        <w:t xml:space="preserve">principales </w:t>
      </w:r>
      <w:r w:rsidR="0047037A" w:rsidRPr="0092311A">
        <w:rPr>
          <w:szCs w:val="24"/>
        </w:rPr>
        <w:t>actividad</w:t>
      </w:r>
      <w:r w:rsidR="00D7788B" w:rsidRPr="0092311A">
        <w:rPr>
          <w:szCs w:val="24"/>
        </w:rPr>
        <w:t xml:space="preserve">es, </w:t>
      </w:r>
      <w:r w:rsidR="0047037A" w:rsidRPr="0092311A">
        <w:t>y que intervienen en todos los eslabones de la cadena, desde su siembra, procesamiento de beneficiado húmedo y seco, hasta su comercialización, ya sea para mercado internacional o local</w:t>
      </w:r>
      <w:r w:rsidR="00B04810" w:rsidRPr="0092311A">
        <w:t xml:space="preserve"> y con salud financiera</w:t>
      </w:r>
      <w:r w:rsidR="00B04810" w:rsidRPr="0092311A">
        <w:rPr>
          <w:rStyle w:val="FootnoteReference"/>
        </w:rPr>
        <w:footnoteReference w:id="20"/>
      </w:r>
      <w:r w:rsidR="0047037A" w:rsidRPr="0092311A">
        <w:t xml:space="preserve">. Los productores elegibles serán aquellos propietarios de una extensión </w:t>
      </w:r>
      <w:r w:rsidR="009855E0" w:rsidRPr="0092311A">
        <w:t xml:space="preserve">de tierra </w:t>
      </w:r>
      <w:r w:rsidR="0047037A" w:rsidRPr="0092311A">
        <w:t xml:space="preserve">menor a </w:t>
      </w:r>
      <w:r w:rsidR="0047037A" w:rsidRPr="0092311A">
        <w:rPr>
          <w:szCs w:val="24"/>
        </w:rPr>
        <w:t>15 Has</w:t>
      </w:r>
      <w:r w:rsidR="00323F9E" w:rsidRPr="0092311A">
        <w:rPr>
          <w:rStyle w:val="FootnoteReference"/>
          <w:szCs w:val="24"/>
        </w:rPr>
        <w:footnoteReference w:id="21"/>
      </w:r>
      <w:r w:rsidR="0047037A" w:rsidRPr="0092311A">
        <w:rPr>
          <w:szCs w:val="24"/>
        </w:rPr>
        <w:t xml:space="preserve">. </w:t>
      </w:r>
    </w:p>
    <w:p w:rsidR="0047037A" w:rsidRPr="0092311A" w:rsidRDefault="0047037A" w:rsidP="0047037A">
      <w:pPr>
        <w:pStyle w:val="AutoNumpara"/>
      </w:pPr>
      <w:r w:rsidRPr="0092311A">
        <w:rPr>
          <w:szCs w:val="24"/>
        </w:rPr>
        <w:t xml:space="preserve">Para lograr mayor impacto en los resultados y eficiencia en el manejo de los recursos de la operación (técnico y financiero), se prevé </w:t>
      </w:r>
      <w:r w:rsidR="00614C7D" w:rsidRPr="0092311A">
        <w:rPr>
          <w:szCs w:val="24"/>
        </w:rPr>
        <w:t xml:space="preserve">poder </w:t>
      </w:r>
      <w:r w:rsidRPr="0092311A">
        <w:rPr>
          <w:szCs w:val="24"/>
        </w:rPr>
        <w:t>trabajar</w:t>
      </w:r>
      <w:r w:rsidR="00614C7D" w:rsidRPr="0092311A">
        <w:rPr>
          <w:szCs w:val="24"/>
        </w:rPr>
        <w:t>: (i)</w:t>
      </w:r>
      <w:r w:rsidRPr="0092311A">
        <w:rPr>
          <w:szCs w:val="24"/>
        </w:rPr>
        <w:t xml:space="preserve"> </w:t>
      </w:r>
      <w:r w:rsidR="00614C7D" w:rsidRPr="0092311A">
        <w:rPr>
          <w:szCs w:val="24"/>
        </w:rPr>
        <w:t>más de una tecnología por planta procesadora</w:t>
      </w:r>
      <w:r w:rsidR="008C4BF5" w:rsidRPr="0092311A">
        <w:rPr>
          <w:rStyle w:val="FootnoteReference"/>
          <w:szCs w:val="24"/>
        </w:rPr>
        <w:footnoteReference w:id="22"/>
      </w:r>
      <w:r w:rsidR="00614C7D" w:rsidRPr="0092311A">
        <w:rPr>
          <w:szCs w:val="24"/>
        </w:rPr>
        <w:t xml:space="preserve">; y (ii) con los </w:t>
      </w:r>
      <w:r w:rsidRPr="0092311A">
        <w:rPr>
          <w:szCs w:val="24"/>
        </w:rPr>
        <w:t xml:space="preserve">productores vinculados a </w:t>
      </w:r>
      <w:r w:rsidR="004809F1" w:rsidRPr="0092311A">
        <w:rPr>
          <w:szCs w:val="24"/>
        </w:rPr>
        <w:t xml:space="preserve">las plantas procesadoras </w:t>
      </w:r>
      <w:r w:rsidRPr="0092311A">
        <w:rPr>
          <w:szCs w:val="24"/>
        </w:rPr>
        <w:t>que hayan sido seleccionados</w:t>
      </w:r>
      <w:r w:rsidR="00427B38" w:rsidRPr="0092311A">
        <w:rPr>
          <w:rStyle w:val="FootnoteReference"/>
          <w:szCs w:val="24"/>
        </w:rPr>
        <w:footnoteReference w:id="23"/>
      </w:r>
      <w:r w:rsidRPr="0092311A">
        <w:rPr>
          <w:szCs w:val="24"/>
        </w:rPr>
        <w:t>.</w:t>
      </w:r>
    </w:p>
    <w:p w:rsidR="00CC5FC2" w:rsidRPr="0092311A" w:rsidRDefault="00CC5FC2" w:rsidP="00B775C3">
      <w:pPr>
        <w:pStyle w:val="Heading2"/>
        <w:rPr>
          <w:lang w:val="es-ES"/>
        </w:rPr>
      </w:pPr>
      <w:bookmarkStart w:id="15" w:name="_Toc363224842"/>
      <w:bookmarkStart w:id="16" w:name="_Toc363224977"/>
      <w:bookmarkStart w:id="17" w:name="_Toc354490272"/>
      <w:bookmarkStart w:id="18" w:name="_Toc355691039"/>
      <w:r w:rsidRPr="0092311A">
        <w:rPr>
          <w:lang w:val="es-ES"/>
        </w:rPr>
        <w:t>Contribución al Mandato FOMIN, Marco de Acceso y Estrategia BID</w:t>
      </w:r>
      <w:bookmarkEnd w:id="15"/>
      <w:bookmarkEnd w:id="16"/>
    </w:p>
    <w:p w:rsidR="00CC5FC2" w:rsidRPr="0092311A" w:rsidRDefault="00CC5FC2" w:rsidP="00CC5FC2">
      <w:pPr>
        <w:pStyle w:val="AutoNumpara"/>
        <w:rPr>
          <w:szCs w:val="24"/>
        </w:rPr>
      </w:pPr>
      <w:r w:rsidRPr="0092311A">
        <w:rPr>
          <w:b/>
          <w:szCs w:val="24"/>
        </w:rPr>
        <w:t>El desarrollo del sector privado</w:t>
      </w:r>
      <w:r w:rsidRPr="0092311A">
        <w:rPr>
          <w:szCs w:val="24"/>
        </w:rPr>
        <w:t>. El café es el tercer producto agrícola objeto de comercio internacional de Costa Rica (en valor y cantidad)</w:t>
      </w:r>
      <w:r w:rsidR="00E04176">
        <w:rPr>
          <w:rStyle w:val="FootnoteReference"/>
          <w:szCs w:val="24"/>
        </w:rPr>
        <w:footnoteReference w:id="24"/>
      </w:r>
      <w:r w:rsidRPr="0092311A">
        <w:rPr>
          <w:szCs w:val="24"/>
        </w:rPr>
        <w:t xml:space="preserve"> y es una fuente importante de ingresos y puestos de trabajo, emplea el 8% de la fuerza laboral</w:t>
      </w:r>
      <w:r w:rsidR="003A39CC">
        <w:rPr>
          <w:rStyle w:val="FootnoteReference"/>
          <w:szCs w:val="24"/>
        </w:rPr>
        <w:footnoteReference w:id="25"/>
      </w:r>
      <w:r w:rsidRPr="0092311A">
        <w:rPr>
          <w:szCs w:val="24"/>
        </w:rPr>
        <w:t xml:space="preserve">. Se prestará apoyo al sector cafetero para mejorar sus prácticas que mejorarán su </w:t>
      </w:r>
      <w:r w:rsidR="008C4BF5" w:rsidRPr="0092311A">
        <w:rPr>
          <w:szCs w:val="24"/>
        </w:rPr>
        <w:t xml:space="preserve">desempeño ambiental, </w:t>
      </w:r>
      <w:r w:rsidRPr="0092311A">
        <w:rPr>
          <w:szCs w:val="24"/>
        </w:rPr>
        <w:t>posicionamiento y competitividad.</w:t>
      </w:r>
    </w:p>
    <w:p w:rsidR="00CC5FC2" w:rsidRPr="0092311A" w:rsidRDefault="00CC5FC2" w:rsidP="00CC5FC2">
      <w:pPr>
        <w:pStyle w:val="AutoNumpara"/>
        <w:rPr>
          <w:szCs w:val="24"/>
        </w:rPr>
      </w:pPr>
      <w:r w:rsidRPr="0092311A">
        <w:rPr>
          <w:b/>
          <w:szCs w:val="24"/>
        </w:rPr>
        <w:t>Reducción de la Pobreza</w:t>
      </w:r>
      <w:r w:rsidRPr="0092311A">
        <w:rPr>
          <w:szCs w:val="24"/>
        </w:rPr>
        <w:t>. El proyecto se centrará en las principales regiones productoras de café donde los pequeños agricultores dependen de la cosecha como su única o principal fuente de ingresos</w:t>
      </w:r>
      <w:r w:rsidRPr="0092311A">
        <w:rPr>
          <w:rStyle w:val="FootnoteReference"/>
          <w:szCs w:val="24"/>
        </w:rPr>
        <w:footnoteReference w:id="26"/>
      </w:r>
      <w:r w:rsidRPr="0092311A">
        <w:rPr>
          <w:szCs w:val="24"/>
        </w:rPr>
        <w:t xml:space="preserve">. La estacionalidad de la cosecha impacta en la seguridad alimentaria de estas familias e impulsa la migración. </w:t>
      </w:r>
      <w:r w:rsidR="00825A3D" w:rsidRPr="0092311A">
        <w:rPr>
          <w:szCs w:val="24"/>
        </w:rPr>
        <w:t xml:space="preserve">Las poblaciones ubicadas en las </w:t>
      </w:r>
      <w:r w:rsidRPr="0092311A">
        <w:rPr>
          <w:szCs w:val="24"/>
        </w:rPr>
        <w:t xml:space="preserve">zonas rurales de estas regiones </w:t>
      </w:r>
      <w:r w:rsidR="00825A3D" w:rsidRPr="0092311A">
        <w:rPr>
          <w:szCs w:val="24"/>
        </w:rPr>
        <w:t xml:space="preserve">presentan una </w:t>
      </w:r>
      <w:r w:rsidR="00813B4E" w:rsidRPr="0092311A">
        <w:rPr>
          <w:szCs w:val="24"/>
        </w:rPr>
        <w:t xml:space="preserve">incidencia </w:t>
      </w:r>
      <w:r w:rsidR="00825A3D" w:rsidRPr="0092311A">
        <w:rPr>
          <w:szCs w:val="24"/>
        </w:rPr>
        <w:t xml:space="preserve">del </w:t>
      </w:r>
      <w:r w:rsidRPr="0092311A">
        <w:rPr>
          <w:szCs w:val="24"/>
        </w:rPr>
        <w:t xml:space="preserve">19% </w:t>
      </w:r>
      <w:r w:rsidR="00825A3D" w:rsidRPr="0092311A">
        <w:rPr>
          <w:szCs w:val="24"/>
        </w:rPr>
        <w:t xml:space="preserve">al </w:t>
      </w:r>
      <w:r w:rsidRPr="0092311A">
        <w:rPr>
          <w:szCs w:val="24"/>
        </w:rPr>
        <w:t>40%</w:t>
      </w:r>
      <w:r w:rsidR="00813B4E" w:rsidRPr="0092311A">
        <w:rPr>
          <w:szCs w:val="24"/>
        </w:rPr>
        <w:t xml:space="preserve"> de pobreza.</w:t>
      </w:r>
    </w:p>
    <w:p w:rsidR="008747A6" w:rsidRPr="0092311A" w:rsidRDefault="00CC5FC2" w:rsidP="00197509">
      <w:pPr>
        <w:pStyle w:val="AutoNumpara"/>
      </w:pPr>
      <w:r w:rsidRPr="0092311A">
        <w:t>Este proyecto contribuirá a la Agenda de Capital Natural, mediante la reducción de los impactos de los fertilizantes</w:t>
      </w:r>
      <w:r w:rsidR="007C3DBD" w:rsidRPr="0092311A">
        <w:t xml:space="preserve">, </w:t>
      </w:r>
      <w:r w:rsidRPr="0092311A">
        <w:rPr>
          <w:szCs w:val="24"/>
        </w:rPr>
        <w:t>desechos del procesamiento del café</w:t>
      </w:r>
      <w:r w:rsidR="007C3DBD" w:rsidRPr="0092311A">
        <w:rPr>
          <w:szCs w:val="24"/>
        </w:rPr>
        <w:t xml:space="preserve"> y </w:t>
      </w:r>
      <w:r w:rsidRPr="0092311A">
        <w:rPr>
          <w:szCs w:val="24"/>
        </w:rPr>
        <w:t>emisiones de GEI</w:t>
      </w:r>
      <w:r w:rsidRPr="0092311A">
        <w:t xml:space="preserve">, </w:t>
      </w:r>
      <w:r w:rsidR="00197509" w:rsidRPr="0092311A">
        <w:t xml:space="preserve">y </w:t>
      </w:r>
      <w:r w:rsidR="007C3DBD" w:rsidRPr="0092311A">
        <w:t xml:space="preserve">contribuirá </w:t>
      </w:r>
      <w:r w:rsidR="00197509" w:rsidRPr="0092311A">
        <w:t xml:space="preserve">al uso más sostenible del </w:t>
      </w:r>
      <w:r w:rsidRPr="0092311A">
        <w:t xml:space="preserve">suelo y fuentes de agua, como también de recursos naturales que sirven de combustible. </w:t>
      </w:r>
      <w:r w:rsidR="001045D1" w:rsidRPr="0092311A">
        <w:t xml:space="preserve">El proyecto también contribuirá a la Agenda de Eficiencia </w:t>
      </w:r>
      <w:r w:rsidR="00825A3D" w:rsidRPr="0092311A">
        <w:t>E</w:t>
      </w:r>
      <w:r w:rsidR="001045D1" w:rsidRPr="0092311A">
        <w:t xml:space="preserve">nérgética y </w:t>
      </w:r>
      <w:r w:rsidR="00825A3D" w:rsidRPr="0092311A">
        <w:t>E</w:t>
      </w:r>
      <w:r w:rsidR="001045D1" w:rsidRPr="0092311A">
        <w:t xml:space="preserve">nergía </w:t>
      </w:r>
      <w:r w:rsidR="00825A3D" w:rsidRPr="0092311A">
        <w:t>Renovables mediante la generación con residuos</w:t>
      </w:r>
      <w:r w:rsidR="000D1539" w:rsidRPr="0092311A">
        <w:rPr>
          <w:rStyle w:val="FootnoteReference"/>
        </w:rPr>
        <w:footnoteReference w:id="27"/>
      </w:r>
      <w:r w:rsidR="00825A3D" w:rsidRPr="0092311A">
        <w:t xml:space="preserve">. </w:t>
      </w:r>
    </w:p>
    <w:p w:rsidR="00CC5FC2" w:rsidRPr="0092311A" w:rsidRDefault="001C544A" w:rsidP="008747A6">
      <w:pPr>
        <w:pStyle w:val="AutoNumpara"/>
      </w:pPr>
      <w:r w:rsidRPr="0092311A">
        <w:rPr>
          <w:b/>
        </w:rPr>
        <w:t>Colaboración con el Grupo BID.</w:t>
      </w:r>
      <w:r w:rsidRPr="0092311A">
        <w:t xml:space="preserve"> </w:t>
      </w:r>
      <w:r w:rsidR="008747A6" w:rsidRPr="0092311A">
        <w:t>La Cooperación Técnica complement</w:t>
      </w:r>
      <w:r w:rsidR="003117EE" w:rsidRPr="0092311A">
        <w:t xml:space="preserve">ará </w:t>
      </w:r>
      <w:r w:rsidR="008747A6" w:rsidRPr="0092311A">
        <w:t xml:space="preserve">la Estrategia de País de Costa Rica (2011-2014) </w:t>
      </w:r>
      <w:r w:rsidR="00D25310" w:rsidRPr="0092311A">
        <w:t>en un área de gran innovación como es reducir la huella de carbono del sector cafetalero</w:t>
      </w:r>
      <w:r w:rsidR="008E7EFB" w:rsidRPr="0092311A">
        <w:t xml:space="preserve"> a través </w:t>
      </w:r>
      <w:r w:rsidR="00D22205" w:rsidRPr="0092311A">
        <w:t xml:space="preserve">del </w:t>
      </w:r>
      <w:r w:rsidR="00D22205" w:rsidRPr="0092311A">
        <w:rPr>
          <w:i/>
        </w:rPr>
        <w:t>primer NAMA agroalimentario a nivel internacional,</w:t>
      </w:r>
      <w:r w:rsidR="00D22205" w:rsidRPr="0092311A">
        <w:t xml:space="preserve"> </w:t>
      </w:r>
      <w:r w:rsidR="003A39CC">
        <w:t xml:space="preserve">que servirá como laboratorio, para </w:t>
      </w:r>
      <w:r w:rsidR="00D22205" w:rsidRPr="0092311A">
        <w:t xml:space="preserve">generar conocimiento </w:t>
      </w:r>
      <w:r w:rsidR="003A39CC">
        <w:t xml:space="preserve">en </w:t>
      </w:r>
      <w:r w:rsidR="00D22205" w:rsidRPr="0092311A">
        <w:t xml:space="preserve">el país y </w:t>
      </w:r>
      <w:r w:rsidR="003A39CC">
        <w:t xml:space="preserve">en </w:t>
      </w:r>
      <w:r w:rsidR="00D22205" w:rsidRPr="0092311A">
        <w:t xml:space="preserve">el </w:t>
      </w:r>
      <w:r w:rsidR="00A90821" w:rsidRPr="0092311A">
        <w:t>BID/</w:t>
      </w:r>
      <w:r w:rsidR="00D22205" w:rsidRPr="0092311A">
        <w:t xml:space="preserve">FOMIN, para </w:t>
      </w:r>
      <w:r w:rsidR="00A90821" w:rsidRPr="0092311A">
        <w:t xml:space="preserve">impulsarlo </w:t>
      </w:r>
      <w:r w:rsidR="00D22205" w:rsidRPr="0092311A">
        <w:t xml:space="preserve">en otras regiones y productos. </w:t>
      </w:r>
    </w:p>
    <w:p w:rsidR="00871BB3" w:rsidRPr="0092311A" w:rsidRDefault="00B775C3" w:rsidP="00657FF7">
      <w:pPr>
        <w:pStyle w:val="Heading1"/>
        <w:spacing w:after="120"/>
        <w:rPr>
          <w:szCs w:val="28"/>
          <w:lang w:val="es-ES"/>
        </w:rPr>
      </w:pPr>
      <w:bookmarkStart w:id="19" w:name="_Toc235532211"/>
      <w:bookmarkStart w:id="20" w:name="_Toc238465827"/>
      <w:bookmarkStart w:id="21" w:name="_Toc354490274"/>
      <w:bookmarkStart w:id="22" w:name="_Toc363224978"/>
      <w:bookmarkEnd w:id="17"/>
      <w:bookmarkEnd w:id="18"/>
      <w:r w:rsidRPr="0092311A">
        <w:rPr>
          <w:szCs w:val="28"/>
          <w:lang w:val="es-ES"/>
        </w:rPr>
        <w:t>Objetivos y Componentes</w:t>
      </w:r>
      <w:bookmarkEnd w:id="19"/>
      <w:bookmarkEnd w:id="20"/>
      <w:bookmarkEnd w:id="21"/>
      <w:r w:rsidR="001C544A" w:rsidRPr="0092311A">
        <w:rPr>
          <w:szCs w:val="28"/>
          <w:lang w:val="es-ES"/>
        </w:rPr>
        <w:t xml:space="preserve"> del Proyecto</w:t>
      </w:r>
      <w:bookmarkEnd w:id="22"/>
    </w:p>
    <w:p w:rsidR="00871BB3" w:rsidRPr="0092311A" w:rsidRDefault="00871BB3" w:rsidP="00775C78">
      <w:pPr>
        <w:pStyle w:val="IndentedParagr"/>
        <w:numPr>
          <w:ilvl w:val="0"/>
          <w:numId w:val="10"/>
        </w:numPr>
        <w:rPr>
          <w:b/>
        </w:rPr>
      </w:pPr>
      <w:bookmarkStart w:id="23" w:name="_Toc354490275"/>
      <w:r w:rsidRPr="0092311A">
        <w:rPr>
          <w:b/>
        </w:rPr>
        <w:t>Objetivos</w:t>
      </w:r>
      <w:bookmarkEnd w:id="23"/>
    </w:p>
    <w:p w:rsidR="007256E9" w:rsidRPr="0092311A" w:rsidRDefault="007256E9" w:rsidP="007256E9">
      <w:pPr>
        <w:pStyle w:val="AutoNumpara"/>
      </w:pPr>
      <w:bookmarkStart w:id="24" w:name="_Toc238466128"/>
      <w:r w:rsidRPr="0092311A">
        <w:t xml:space="preserve">El </w:t>
      </w:r>
      <w:r w:rsidRPr="0092311A">
        <w:rPr>
          <w:i/>
        </w:rPr>
        <w:t>impacto</w:t>
      </w:r>
      <w:r w:rsidRPr="0092311A">
        <w:t xml:space="preserve"> esperado del proyecto es el de </w:t>
      </w:r>
      <w:r w:rsidR="00903420" w:rsidRPr="0092311A">
        <w:t xml:space="preserve">reducir los daños al medio ambiente causados en la producción de café y </w:t>
      </w:r>
      <w:r w:rsidRPr="0092311A">
        <w:t>aumentar la eficiencia de pequeños productores y de plantas procesadoras de café en Costa Rica</w:t>
      </w:r>
      <w:r w:rsidR="00903420" w:rsidRPr="0092311A">
        <w:t>.</w:t>
      </w:r>
      <w:r w:rsidR="00E0770B" w:rsidRPr="0092311A">
        <w:t xml:space="preserve"> </w:t>
      </w:r>
      <w:r w:rsidRPr="0092311A">
        <w:t xml:space="preserve">El </w:t>
      </w:r>
      <w:r w:rsidRPr="0092311A">
        <w:rPr>
          <w:i/>
        </w:rPr>
        <w:t>resultado</w:t>
      </w:r>
      <w:r w:rsidRPr="0092311A">
        <w:t xml:space="preserve"> esperado por el proyecto es la adopción de nuevas tecnologías y mejores prácticas de producción por productores y plantas procesadoras de café.</w:t>
      </w:r>
    </w:p>
    <w:p w:rsidR="001C544A" w:rsidRPr="0092311A" w:rsidRDefault="001C544A" w:rsidP="00775C78">
      <w:pPr>
        <w:pStyle w:val="Heading2"/>
        <w:numPr>
          <w:ilvl w:val="0"/>
          <w:numId w:val="10"/>
        </w:numPr>
        <w:rPr>
          <w:lang w:val="es-ES"/>
        </w:rPr>
      </w:pPr>
      <w:bookmarkStart w:id="25" w:name="_Toc363224844"/>
      <w:bookmarkStart w:id="26" w:name="_Toc363224979"/>
      <w:r w:rsidRPr="0092311A">
        <w:rPr>
          <w:lang w:val="es-ES"/>
        </w:rPr>
        <w:t>El modelo de intervención</w:t>
      </w:r>
      <w:bookmarkEnd w:id="25"/>
      <w:bookmarkEnd w:id="26"/>
    </w:p>
    <w:p w:rsidR="00DF2E3E" w:rsidRPr="0092311A" w:rsidRDefault="001C544A" w:rsidP="00775C78">
      <w:pPr>
        <w:pStyle w:val="AutoNumpara"/>
        <w:numPr>
          <w:ilvl w:val="1"/>
          <w:numId w:val="11"/>
        </w:numPr>
      </w:pPr>
      <w:r w:rsidRPr="0092311A">
        <w:t xml:space="preserve">Este proyecto apoyará a definir un nuevo modelo de desarrollo en el cual el sector cafetalero de Costa Rica establece, de acuerdo a sus condiciones, prácticas y entorno en el que opera, las nuevas tecnologías que podrán adoptarse a nivel nacional para </w:t>
      </w:r>
      <w:r w:rsidRPr="0092311A">
        <w:rPr>
          <w:i/>
        </w:rPr>
        <w:t>mitigar</w:t>
      </w:r>
      <w:r w:rsidRPr="0092311A">
        <w:t xml:space="preserve"> emisiones de GEI y su impacto al cambio climático. </w:t>
      </w:r>
      <w:r w:rsidR="00DF2E3E" w:rsidRPr="0092311A">
        <w:t>Para ello, el proyecto pondrá a prueba un conjunto de tecnologías (paquete tecnológico</w:t>
      </w:r>
      <w:r w:rsidR="00F668EB" w:rsidRPr="0092311A">
        <w:t>, ver párrafo 3.6</w:t>
      </w:r>
      <w:r w:rsidR="00DF2E3E" w:rsidRPr="0092311A">
        <w:t>), a nivel de productor y plantas procesadoras, que introducirá prácticas de producción sostenible y cuya valoración en términos de beneficios ambientales (de reducción de GEI) y económicos (costos y ahorros) tendrán que ser medidos, además de mostrar su efectividad técnica.</w:t>
      </w:r>
    </w:p>
    <w:p w:rsidR="007F11F0" w:rsidRPr="0092311A" w:rsidRDefault="00DF2E3E" w:rsidP="00B64A59">
      <w:pPr>
        <w:pStyle w:val="AutoNumpara"/>
        <w:numPr>
          <w:ilvl w:val="1"/>
          <w:numId w:val="11"/>
        </w:numPr>
      </w:pPr>
      <w:r w:rsidRPr="0092311A">
        <w:t xml:space="preserve">Una vez se </w:t>
      </w:r>
      <w:r w:rsidR="00D4621D" w:rsidRPr="0092311A">
        <w:t xml:space="preserve">validen </w:t>
      </w:r>
      <w:r w:rsidR="00BF5DF9" w:rsidRPr="0092311A">
        <w:t xml:space="preserve">los resultados del paquete tecnológico </w:t>
      </w:r>
      <w:r w:rsidR="00F97FB5" w:rsidRPr="0092311A">
        <w:t xml:space="preserve">y sean </w:t>
      </w:r>
      <w:r w:rsidR="00BF5DF9" w:rsidRPr="0092311A">
        <w:t xml:space="preserve">ajustados a cada región, el proyecto propondrá </w:t>
      </w:r>
      <w:r w:rsidR="00B64A59" w:rsidRPr="0092311A">
        <w:t xml:space="preserve">sus resultados como insumo a la definición de </w:t>
      </w:r>
      <w:r w:rsidR="00A458CC" w:rsidRPr="0092311A">
        <w:t>la Acci</w:t>
      </w:r>
      <w:r w:rsidR="0000141D" w:rsidRPr="0092311A">
        <w:t>ón</w:t>
      </w:r>
      <w:r w:rsidR="00A458CC" w:rsidRPr="0092311A">
        <w:t xml:space="preserve"> </w:t>
      </w:r>
      <w:r w:rsidR="0000141D" w:rsidRPr="0092311A">
        <w:t xml:space="preserve">de Mitigación Apropiada al Contexto Nacional </w:t>
      </w:r>
      <w:r w:rsidR="00A458CC" w:rsidRPr="0092311A">
        <w:t>(NAMA</w:t>
      </w:r>
      <w:r w:rsidR="003117EE" w:rsidRPr="0092311A">
        <w:t xml:space="preserve"> por sus siglas en inglés</w:t>
      </w:r>
      <w:r w:rsidR="00A458CC" w:rsidRPr="0092311A">
        <w:t>)</w:t>
      </w:r>
      <w:r w:rsidR="00EE72A6" w:rsidRPr="0092311A">
        <w:t>, un modelo de mitigación climática,</w:t>
      </w:r>
      <w:r w:rsidR="00A458CC" w:rsidRPr="0092311A">
        <w:t xml:space="preserve"> </w:t>
      </w:r>
      <w:r w:rsidR="00BF5DF9" w:rsidRPr="0092311A">
        <w:t>que impulsar</w:t>
      </w:r>
      <w:r w:rsidR="00D46C44" w:rsidRPr="0092311A">
        <w:t>á</w:t>
      </w:r>
      <w:r w:rsidR="00BF5DF9" w:rsidRPr="0092311A">
        <w:t xml:space="preserve"> </w:t>
      </w:r>
      <w:r w:rsidR="00D46C44" w:rsidRPr="0092311A">
        <w:t xml:space="preserve">el Gobierno de Costa Rica, </w:t>
      </w:r>
      <w:r w:rsidR="0000141D" w:rsidRPr="0092311A">
        <w:t>de manera voluntaria</w:t>
      </w:r>
      <w:r w:rsidR="00D46C44" w:rsidRPr="0092311A">
        <w:t>,</w:t>
      </w:r>
      <w:r w:rsidR="0000141D" w:rsidRPr="0092311A">
        <w:t xml:space="preserve"> </w:t>
      </w:r>
      <w:r w:rsidR="00BF5DF9" w:rsidRPr="0092311A">
        <w:t>para reducir la huella de carbono</w:t>
      </w:r>
      <w:r w:rsidR="00D4621D" w:rsidRPr="0092311A">
        <w:t xml:space="preserve"> (emisiones GEI) </w:t>
      </w:r>
      <w:r w:rsidR="00F97FB5" w:rsidRPr="0092311A">
        <w:t xml:space="preserve">en el </w:t>
      </w:r>
      <w:r w:rsidR="00BF5DF9" w:rsidRPr="0092311A">
        <w:t>sector café</w:t>
      </w:r>
      <w:r w:rsidR="00471175" w:rsidRPr="0092311A">
        <w:t xml:space="preserve">. </w:t>
      </w:r>
      <w:r w:rsidR="007F11F0" w:rsidRPr="0092311A">
        <w:t xml:space="preserve">Este NAMA es el primero que se desarrolla </w:t>
      </w:r>
      <w:r w:rsidR="001F3518" w:rsidRPr="0092311A">
        <w:t xml:space="preserve">a nivel internacional </w:t>
      </w:r>
      <w:r w:rsidR="007F11F0" w:rsidRPr="0092311A">
        <w:t>para un producto agrícola y su alcance comprende desde la siembra hasta el secado del café</w:t>
      </w:r>
      <w:r w:rsidR="00EE72A6" w:rsidRPr="0092311A">
        <w:t xml:space="preserve"> oro</w:t>
      </w:r>
      <w:r w:rsidR="007F11F0" w:rsidRPr="0092311A">
        <w:t xml:space="preserve">. El proyecto también identificará potenciales fuentes de financiamiento para su implementación. </w:t>
      </w:r>
    </w:p>
    <w:p w:rsidR="001C544A" w:rsidRPr="0092311A" w:rsidRDefault="001C544A" w:rsidP="003117EE">
      <w:pPr>
        <w:pStyle w:val="AutoNumpara"/>
        <w:numPr>
          <w:ilvl w:val="1"/>
          <w:numId w:val="11"/>
        </w:numPr>
      </w:pPr>
      <w:r w:rsidRPr="0092311A">
        <w:t>L</w:t>
      </w:r>
      <w:r w:rsidR="00471175" w:rsidRPr="0092311A">
        <w:t xml:space="preserve">as </w:t>
      </w:r>
      <w:r w:rsidR="00A458CC" w:rsidRPr="0092311A">
        <w:t xml:space="preserve">reducciones de </w:t>
      </w:r>
      <w:r w:rsidRPr="0092311A">
        <w:t xml:space="preserve">GEI se miden y verifican por medio de un Sistema de Monitoreo, Reporte y Verificación (MRV) que debe implementarse en base a principios </w:t>
      </w:r>
      <w:r w:rsidR="003117EE" w:rsidRPr="0092311A">
        <w:t xml:space="preserve">confiables </w:t>
      </w:r>
      <w:r w:rsidRPr="0092311A">
        <w:t xml:space="preserve">para generar información transparente y comparable entre países, </w:t>
      </w:r>
      <w:r w:rsidR="00E71FB0" w:rsidRPr="0092311A">
        <w:t xml:space="preserve">que evidencie </w:t>
      </w:r>
      <w:r w:rsidR="00DF2E3E" w:rsidRPr="0092311A">
        <w:t>que</w:t>
      </w:r>
      <w:r w:rsidRPr="0092311A">
        <w:t xml:space="preserve"> el país está realizando un aporte real y neto para alcanzar los objetivos relacionados con las metas globales de reducci</w:t>
      </w:r>
      <w:r w:rsidR="00E71FB0" w:rsidRPr="0092311A">
        <w:t>ó</w:t>
      </w:r>
      <w:r w:rsidRPr="0092311A">
        <w:t>n de emisiones de GEI, entre otros. La creación e implemantación del MRV es esencial para comprobar la veracidad del NAMA</w:t>
      </w:r>
      <w:r w:rsidR="00477BC5" w:rsidRPr="0092311A">
        <w:t xml:space="preserve"> y para obtener apoyo </w:t>
      </w:r>
      <w:r w:rsidR="003117EE" w:rsidRPr="0092311A">
        <w:t xml:space="preserve">financiero a nivel </w:t>
      </w:r>
      <w:r w:rsidR="00477BC5" w:rsidRPr="0092311A">
        <w:t>internacional</w:t>
      </w:r>
      <w:r w:rsidR="005C3284">
        <w:rPr>
          <w:rStyle w:val="FootnoteReference"/>
        </w:rPr>
        <w:footnoteReference w:id="28"/>
      </w:r>
      <w:r w:rsidR="00477BC5" w:rsidRPr="0092311A">
        <w:t>.</w:t>
      </w:r>
      <w:r w:rsidRPr="0092311A">
        <w:t xml:space="preserve"> </w:t>
      </w:r>
    </w:p>
    <w:p w:rsidR="007F3A9A" w:rsidRPr="0092311A" w:rsidRDefault="001C544A" w:rsidP="007F3A9A">
      <w:pPr>
        <w:pStyle w:val="AutoNumpara"/>
      </w:pPr>
      <w:r w:rsidRPr="0092311A">
        <w:t>Para la definición de las métricas ambientales</w:t>
      </w:r>
      <w:r w:rsidR="0000141D" w:rsidRPr="0092311A">
        <w:t xml:space="preserve"> (GEI)</w:t>
      </w:r>
      <w:r w:rsidRPr="0092311A">
        <w:t xml:space="preserve">, se contará con el acompañamiento de </w:t>
      </w:r>
      <w:r w:rsidR="00B64A59" w:rsidRPr="0092311A">
        <w:t>un socio estrategico del proyecto ,</w:t>
      </w:r>
      <w:r w:rsidRPr="0092311A">
        <w:t>WRI</w:t>
      </w:r>
      <w:r w:rsidR="00957B45" w:rsidRPr="0092311A">
        <w:rPr>
          <w:rStyle w:val="FootnoteReference"/>
        </w:rPr>
        <w:footnoteReference w:id="29"/>
      </w:r>
      <w:r w:rsidR="00A458CC" w:rsidRPr="0092311A">
        <w:t>,</w:t>
      </w:r>
      <w:r w:rsidRPr="0092311A">
        <w:t xml:space="preserve"> para adoptar su protocolo de medici</w:t>
      </w:r>
      <w:r w:rsidR="00A458CC" w:rsidRPr="0092311A">
        <w:t>ó</w:t>
      </w:r>
      <w:r w:rsidRPr="0092311A">
        <w:t xml:space="preserve">n </w:t>
      </w:r>
      <w:r w:rsidR="00A458CC" w:rsidRPr="0092311A">
        <w:t xml:space="preserve">en </w:t>
      </w:r>
      <w:r w:rsidRPr="0092311A">
        <w:t>productos agrícolas</w:t>
      </w:r>
      <w:r w:rsidRPr="0092311A">
        <w:rPr>
          <w:rStyle w:val="FootnoteReference"/>
        </w:rPr>
        <w:footnoteReference w:id="30"/>
      </w:r>
      <w:r w:rsidRPr="0092311A">
        <w:t xml:space="preserve"> y </w:t>
      </w:r>
      <w:r w:rsidR="00471175" w:rsidRPr="0092311A">
        <w:t>su propuesta de Políticas y Acciones</w:t>
      </w:r>
      <w:r w:rsidR="00471175" w:rsidRPr="0092311A">
        <w:rPr>
          <w:rStyle w:val="FootnoteReference"/>
        </w:rPr>
        <w:footnoteReference w:id="31"/>
      </w:r>
      <w:r w:rsidR="00957B45" w:rsidRPr="0092311A">
        <w:t xml:space="preserve"> (MRV)</w:t>
      </w:r>
      <w:r w:rsidRPr="0092311A">
        <w:t xml:space="preserve">, que será validado y afinado en el marco de la operación. </w:t>
      </w:r>
    </w:p>
    <w:p w:rsidR="001C544A" w:rsidRPr="0092311A" w:rsidRDefault="005C13E5" w:rsidP="002C5F5A">
      <w:pPr>
        <w:pStyle w:val="AutoNumpara"/>
        <w:rPr>
          <w:szCs w:val="24"/>
        </w:rPr>
      </w:pPr>
      <w:r w:rsidRPr="0092311A">
        <w:rPr>
          <w:szCs w:val="24"/>
        </w:rPr>
        <w:t xml:space="preserve">El paquete tecnológico está conformado por </w:t>
      </w:r>
      <w:r w:rsidR="00083E92" w:rsidRPr="0092311A">
        <w:rPr>
          <w:szCs w:val="24"/>
        </w:rPr>
        <w:t>cuatro (4</w:t>
      </w:r>
      <w:r w:rsidR="00E96BB8" w:rsidRPr="0092311A">
        <w:rPr>
          <w:szCs w:val="24"/>
        </w:rPr>
        <w:t>) tecnologías</w:t>
      </w:r>
      <w:r w:rsidR="00083E92" w:rsidRPr="0092311A">
        <w:rPr>
          <w:szCs w:val="24"/>
        </w:rPr>
        <w:t xml:space="preserve"> de mitigación</w:t>
      </w:r>
      <w:r w:rsidR="00E96BB8" w:rsidRPr="0092311A">
        <w:rPr>
          <w:szCs w:val="24"/>
        </w:rPr>
        <w:t xml:space="preserve"> </w:t>
      </w:r>
      <w:r w:rsidR="00CF60BF" w:rsidRPr="0092311A">
        <w:rPr>
          <w:szCs w:val="24"/>
        </w:rPr>
        <w:t xml:space="preserve">climática </w:t>
      </w:r>
      <w:r w:rsidRPr="0092311A">
        <w:rPr>
          <w:szCs w:val="24"/>
        </w:rPr>
        <w:t xml:space="preserve">que se pondrán a prueba en </w:t>
      </w:r>
      <w:r w:rsidR="00083E92" w:rsidRPr="0092311A">
        <w:rPr>
          <w:szCs w:val="24"/>
        </w:rPr>
        <w:t xml:space="preserve">cinco </w:t>
      </w:r>
      <w:r w:rsidRPr="0092311A">
        <w:rPr>
          <w:szCs w:val="24"/>
        </w:rPr>
        <w:t>(</w:t>
      </w:r>
      <w:r w:rsidR="00083E92" w:rsidRPr="0092311A">
        <w:rPr>
          <w:szCs w:val="24"/>
        </w:rPr>
        <w:t>5</w:t>
      </w:r>
      <w:r w:rsidRPr="0092311A">
        <w:rPr>
          <w:szCs w:val="24"/>
        </w:rPr>
        <w:t xml:space="preserve">) </w:t>
      </w:r>
      <w:r w:rsidR="00E96BB8" w:rsidRPr="0092311A">
        <w:rPr>
          <w:szCs w:val="24"/>
        </w:rPr>
        <w:t xml:space="preserve">proyectos </w:t>
      </w:r>
      <w:r w:rsidRPr="0092311A">
        <w:rPr>
          <w:szCs w:val="24"/>
        </w:rPr>
        <w:t>pilotos distribuidos en las distintas zonas cafetaleras</w:t>
      </w:r>
      <w:r w:rsidR="00E96BB8" w:rsidRPr="0092311A">
        <w:rPr>
          <w:szCs w:val="24"/>
        </w:rPr>
        <w:t>. Las tecnologías que se probarán son</w:t>
      </w:r>
      <w:r w:rsidRPr="0092311A">
        <w:rPr>
          <w:szCs w:val="24"/>
        </w:rPr>
        <w:t>: (i) eficiencia en la aplicación de fertilizantes (un piloto); (ii) adopción de sistemas agroforestales (</w:t>
      </w:r>
      <w:r w:rsidR="0061723A" w:rsidRPr="0092311A">
        <w:rPr>
          <w:szCs w:val="24"/>
        </w:rPr>
        <w:t>un piloto</w:t>
      </w:r>
      <w:r w:rsidRPr="0092311A">
        <w:rPr>
          <w:szCs w:val="24"/>
        </w:rPr>
        <w:t>); (iii) sistemas de aspersión (</w:t>
      </w:r>
      <w:r w:rsidR="00D816DA" w:rsidRPr="0092311A">
        <w:rPr>
          <w:szCs w:val="24"/>
        </w:rPr>
        <w:t xml:space="preserve">dos </w:t>
      </w:r>
      <w:r w:rsidRPr="0092311A">
        <w:rPr>
          <w:szCs w:val="24"/>
        </w:rPr>
        <w:t>pilotos)</w:t>
      </w:r>
      <w:r w:rsidR="00CF60BF" w:rsidRPr="0092311A">
        <w:rPr>
          <w:szCs w:val="24"/>
        </w:rPr>
        <w:t xml:space="preserve">; y </w:t>
      </w:r>
      <w:r w:rsidRPr="0092311A">
        <w:rPr>
          <w:szCs w:val="24"/>
        </w:rPr>
        <w:t>(iv) energía renovable mediante el uso de gasificadores operados con pulpa (</w:t>
      </w:r>
      <w:r w:rsidR="00D816DA" w:rsidRPr="0092311A">
        <w:rPr>
          <w:szCs w:val="24"/>
        </w:rPr>
        <w:t xml:space="preserve">un </w:t>
      </w:r>
      <w:r w:rsidRPr="0092311A">
        <w:rPr>
          <w:szCs w:val="24"/>
        </w:rPr>
        <w:t>piloto)</w:t>
      </w:r>
      <w:r w:rsidR="00CF60BF" w:rsidRPr="0092311A">
        <w:rPr>
          <w:szCs w:val="24"/>
        </w:rPr>
        <w:t xml:space="preserve">. </w:t>
      </w:r>
      <w:r w:rsidR="00083E92" w:rsidRPr="0092311A">
        <w:rPr>
          <w:szCs w:val="24"/>
        </w:rPr>
        <w:t>En adición, se incluirá una tecnología de adaptación climática</w:t>
      </w:r>
      <w:r w:rsidR="00CF60BF" w:rsidRPr="0092311A">
        <w:rPr>
          <w:szCs w:val="24"/>
        </w:rPr>
        <w:t>, para un total de cinco (5) tecnologías y seis (6) proyectos piloto</w:t>
      </w:r>
      <w:r w:rsidR="00083E92" w:rsidRPr="0092311A">
        <w:rPr>
          <w:szCs w:val="24"/>
        </w:rPr>
        <w:t xml:space="preserve">. </w:t>
      </w:r>
    </w:p>
    <w:p w:rsidR="00737D55" w:rsidRPr="0092311A" w:rsidRDefault="00063DC9" w:rsidP="00737D55">
      <w:pPr>
        <w:pStyle w:val="AutoNumpara"/>
      </w:pPr>
      <w:r w:rsidRPr="0092311A">
        <w:t xml:space="preserve">Algunas de estas tecnologías se han probado en experimentos aislados y han resultado </w:t>
      </w:r>
      <w:r w:rsidR="00083E92" w:rsidRPr="0092311A">
        <w:t>convenientes.</w:t>
      </w:r>
      <w:r w:rsidRPr="0092311A">
        <w:t xml:space="preserve"> Sin embargo, </w:t>
      </w:r>
      <w:r w:rsidR="00083E92" w:rsidRPr="0092311A">
        <w:t xml:space="preserve">a pesar de las evidencias se </w:t>
      </w:r>
      <w:r w:rsidRPr="0092311A">
        <w:t xml:space="preserve">carece de </w:t>
      </w:r>
      <w:r w:rsidR="00083E92" w:rsidRPr="0092311A">
        <w:t>sistematización</w:t>
      </w:r>
      <w:r w:rsidRPr="0092311A">
        <w:t xml:space="preserve"> que respalde su costo / beneficio o costo / efectividad para el productor y las plantas procesadoras, así como su impacto en la reducci</w:t>
      </w:r>
      <w:r w:rsidR="00083E92" w:rsidRPr="0092311A">
        <w:t>ó</w:t>
      </w:r>
      <w:r w:rsidRPr="0092311A">
        <w:t xml:space="preserve">n de emisiones de GEI. </w:t>
      </w:r>
      <w:r w:rsidRPr="0092311A">
        <w:rPr>
          <w:szCs w:val="24"/>
        </w:rPr>
        <w:t>Las tecnologías se describen a continuación</w:t>
      </w:r>
      <w:r w:rsidR="00737D55">
        <w:rPr>
          <w:szCs w:val="24"/>
        </w:rPr>
        <w:t xml:space="preserve"> y se implementarán a nivel de fincas cafetaleras de los socios de las plantas procesadoras y en las plantas procesadoras (c y d)</w:t>
      </w:r>
      <w:r w:rsidR="006C6641" w:rsidRPr="0092311A">
        <w:rPr>
          <w:szCs w:val="24"/>
        </w:rPr>
        <w:t>:</w:t>
      </w:r>
      <w:r w:rsidR="00737D55">
        <w:t xml:space="preserve"> </w:t>
      </w:r>
    </w:p>
    <w:p w:rsidR="001C544A" w:rsidRPr="0092311A" w:rsidRDefault="001C544A" w:rsidP="00775C78">
      <w:pPr>
        <w:pStyle w:val="AutoNumpara"/>
        <w:numPr>
          <w:ilvl w:val="0"/>
          <w:numId w:val="8"/>
        </w:numPr>
      </w:pPr>
      <w:r w:rsidRPr="0092311A">
        <w:rPr>
          <w:b/>
        </w:rPr>
        <w:t>Eficiencia en la aplicación de fertilizantes</w:t>
      </w:r>
      <w:r w:rsidRPr="0092311A">
        <w:t xml:space="preserve">. </w:t>
      </w:r>
      <w:r w:rsidR="00D4621D" w:rsidRPr="0092311A">
        <w:t xml:space="preserve">El café demanda una alta cantidad de nitrógeno. </w:t>
      </w:r>
      <w:r w:rsidRPr="0092311A">
        <w:t>El proyecto persigue capacitar en el uso controlado de fertilizantes y en la adopción de planes adecuados de fertilización</w:t>
      </w:r>
      <w:r w:rsidR="00B64A59" w:rsidRPr="0092311A">
        <w:rPr>
          <w:rStyle w:val="FootnoteReference"/>
        </w:rPr>
        <w:footnoteReference w:id="32"/>
      </w:r>
      <w:r w:rsidRPr="0092311A">
        <w:t xml:space="preserve">. </w:t>
      </w:r>
    </w:p>
    <w:p w:rsidR="001C544A" w:rsidRPr="0092311A" w:rsidRDefault="001C544A" w:rsidP="00775C78">
      <w:pPr>
        <w:pStyle w:val="AutoNumpara"/>
        <w:numPr>
          <w:ilvl w:val="0"/>
          <w:numId w:val="8"/>
        </w:numPr>
      </w:pPr>
      <w:r w:rsidRPr="0092311A">
        <w:rPr>
          <w:b/>
        </w:rPr>
        <w:t xml:space="preserve">Adopción de sistemas agroforestales más densos. </w:t>
      </w:r>
      <w:r w:rsidR="00D4621D" w:rsidRPr="0092311A">
        <w:t xml:space="preserve">La introducción de especies de árboles </w:t>
      </w:r>
      <w:r w:rsidR="006D516B" w:rsidRPr="0092311A">
        <w:t xml:space="preserve">más ricas en </w:t>
      </w:r>
      <w:r w:rsidR="00CF60BF" w:rsidRPr="0092311A">
        <w:t xml:space="preserve">fijación de </w:t>
      </w:r>
      <w:r w:rsidR="006D516B" w:rsidRPr="0092311A">
        <w:t xml:space="preserve">nitrógeno </w:t>
      </w:r>
      <w:r w:rsidR="00E06028" w:rsidRPr="0092311A">
        <w:t>o el incremento de la sombra</w:t>
      </w:r>
      <w:r w:rsidR="00D4621D" w:rsidRPr="0092311A">
        <w:t>, ayuda a captar carbono del aire y fijarlo en la biomasa. Adicionalmente generan otros beneficios como la sombra, protección a la floración y al control del cambio de temperaturas dentro de las plantaciones, lo cual puede incidir en la reducción del uso de insumos, de las emisiones de GEI que conlleva su uso</w:t>
      </w:r>
      <w:r w:rsidR="006D516B" w:rsidRPr="0092311A">
        <w:t xml:space="preserve">, y a compensar las emisiones generados por el sistema. </w:t>
      </w:r>
    </w:p>
    <w:p w:rsidR="006D516B" w:rsidRPr="0092311A" w:rsidRDefault="001C544A" w:rsidP="006D516B">
      <w:pPr>
        <w:pStyle w:val="ListParagraph"/>
        <w:numPr>
          <w:ilvl w:val="0"/>
          <w:numId w:val="8"/>
        </w:numPr>
        <w:spacing w:line="240" w:lineRule="auto"/>
        <w:jc w:val="both"/>
        <w:rPr>
          <w:rFonts w:ascii="Times New Roman" w:hAnsi="Times New Roman"/>
          <w:sz w:val="24"/>
          <w:szCs w:val="24"/>
          <w:lang w:val="es-ES"/>
        </w:rPr>
      </w:pPr>
      <w:r w:rsidRPr="0092311A">
        <w:rPr>
          <w:rFonts w:ascii="Times New Roman" w:hAnsi="Times New Roman"/>
          <w:b/>
          <w:sz w:val="24"/>
          <w:szCs w:val="24"/>
          <w:lang w:val="es-ES"/>
        </w:rPr>
        <w:t>Sistemas de aspersión.</w:t>
      </w:r>
      <w:r w:rsidRPr="0092311A">
        <w:rPr>
          <w:rFonts w:ascii="Times New Roman" w:hAnsi="Times New Roman"/>
          <w:sz w:val="24"/>
          <w:szCs w:val="24"/>
          <w:lang w:val="es-ES"/>
        </w:rPr>
        <w:t xml:space="preserve"> Se substituirán las lagunas de tratamiento de agua residuales por sistemas biológicos que utilizan terrenos sembrados con pastizales tipo estrella como filtro para disponer y tratar las aguas utilizadas en el procesamiento del café. </w:t>
      </w:r>
      <w:r w:rsidR="006D516B" w:rsidRPr="0092311A">
        <w:rPr>
          <w:rFonts w:ascii="Times New Roman" w:hAnsi="Times New Roman"/>
          <w:sz w:val="24"/>
          <w:szCs w:val="24"/>
          <w:lang w:val="es-ES"/>
        </w:rPr>
        <w:t xml:space="preserve">Con ello, se espera reducir la emisiones de metano generados por la </w:t>
      </w:r>
      <w:r w:rsidR="00C141D9" w:rsidRPr="0092311A">
        <w:rPr>
          <w:rFonts w:ascii="Times New Roman" w:hAnsi="Times New Roman"/>
          <w:sz w:val="24"/>
          <w:szCs w:val="24"/>
          <w:lang w:val="es-ES"/>
        </w:rPr>
        <w:t xml:space="preserve">descomposición </w:t>
      </w:r>
      <w:r w:rsidR="006D516B" w:rsidRPr="0092311A">
        <w:rPr>
          <w:rFonts w:ascii="Times New Roman" w:hAnsi="Times New Roman"/>
          <w:sz w:val="24"/>
          <w:szCs w:val="24"/>
          <w:lang w:val="es-ES"/>
        </w:rPr>
        <w:t xml:space="preserve">anaeróbica de los residuos </w:t>
      </w:r>
      <w:r w:rsidR="00CF60BF" w:rsidRPr="0092311A">
        <w:rPr>
          <w:rFonts w:ascii="Times New Roman" w:hAnsi="Times New Roman"/>
          <w:sz w:val="24"/>
          <w:szCs w:val="24"/>
          <w:lang w:val="es-ES"/>
        </w:rPr>
        <w:t xml:space="preserve">líquidos </w:t>
      </w:r>
      <w:r w:rsidR="006D516B" w:rsidRPr="0092311A">
        <w:rPr>
          <w:rFonts w:ascii="Times New Roman" w:hAnsi="Times New Roman"/>
          <w:sz w:val="24"/>
          <w:szCs w:val="24"/>
          <w:lang w:val="es-ES"/>
        </w:rPr>
        <w:t>del beneficiado.</w:t>
      </w:r>
    </w:p>
    <w:p w:rsidR="001C544A" w:rsidRPr="0092311A" w:rsidRDefault="001C544A" w:rsidP="00775C78">
      <w:pPr>
        <w:pStyle w:val="AutoNumpara"/>
        <w:numPr>
          <w:ilvl w:val="0"/>
          <w:numId w:val="8"/>
        </w:numPr>
      </w:pPr>
      <w:r w:rsidRPr="0092311A">
        <w:rPr>
          <w:b/>
        </w:rPr>
        <w:t>Uso de pulpa como fuente de energía para el secado del café mediante la técnica de gasificación</w:t>
      </w:r>
      <w:r w:rsidRPr="0092311A">
        <w:t>. Se trabajará con gasificadores</w:t>
      </w:r>
      <w:r w:rsidRPr="0092311A">
        <w:rPr>
          <w:rStyle w:val="FootnoteReference"/>
        </w:rPr>
        <w:footnoteReference w:id="33"/>
      </w:r>
      <w:r w:rsidRPr="0092311A">
        <w:t xml:space="preserve"> de última tecnología que utilizan pulpa seca de café para la generación de energía (syngas) que servirá para operar las secadoras de café. El syngas substituiría el uso de leña</w:t>
      </w:r>
      <w:r w:rsidRPr="0092311A">
        <w:rPr>
          <w:rStyle w:val="FootnoteReference"/>
        </w:rPr>
        <w:footnoteReference w:id="34"/>
      </w:r>
      <w:r w:rsidRPr="0092311A">
        <w:t xml:space="preserve"> como combustible. </w:t>
      </w:r>
      <w:r w:rsidR="00154E47" w:rsidRPr="0092311A">
        <w:rPr>
          <w:rStyle w:val="FootnoteReference"/>
        </w:rPr>
        <w:footnoteReference w:id="35"/>
      </w:r>
      <w:r w:rsidRPr="0092311A">
        <w:t xml:space="preserve"> </w:t>
      </w:r>
    </w:p>
    <w:p w:rsidR="00725E32" w:rsidRPr="0092311A" w:rsidRDefault="009D6D1A" w:rsidP="00927F20">
      <w:pPr>
        <w:pStyle w:val="AutoNumpara"/>
        <w:numPr>
          <w:ilvl w:val="0"/>
          <w:numId w:val="8"/>
        </w:numPr>
      </w:pPr>
      <w:r w:rsidRPr="0092311A">
        <w:rPr>
          <w:b/>
        </w:rPr>
        <w:t>Actividades de adaptación climática</w:t>
      </w:r>
      <w:r w:rsidRPr="0092311A">
        <w:t xml:space="preserve">: </w:t>
      </w:r>
      <w:r w:rsidR="00D551E2" w:rsidRPr="0092311A">
        <w:t xml:space="preserve">dado </w:t>
      </w:r>
      <w:r w:rsidR="00927F20" w:rsidRPr="0092311A">
        <w:t xml:space="preserve">los efectos percibidos por el cambio climático y </w:t>
      </w:r>
      <w:r w:rsidR="00D551E2" w:rsidRPr="0092311A">
        <w:t>el problema de la roya</w:t>
      </w:r>
      <w:r w:rsidR="00927F20" w:rsidRPr="0092311A">
        <w:t>,</w:t>
      </w:r>
      <w:r w:rsidR="00D551E2" w:rsidRPr="0092311A">
        <w:t xml:space="preserve"> </w:t>
      </w:r>
      <w:r w:rsidRPr="0092311A">
        <w:t xml:space="preserve">se ha previsto </w:t>
      </w:r>
      <w:r w:rsidR="00D551E2" w:rsidRPr="0092311A">
        <w:t>incluir actividades vinculada</w:t>
      </w:r>
      <w:r w:rsidR="008B700D" w:rsidRPr="0092311A">
        <w:t>s</w:t>
      </w:r>
      <w:r w:rsidR="00D551E2" w:rsidRPr="0092311A">
        <w:t xml:space="preserve"> a </w:t>
      </w:r>
      <w:r w:rsidR="00C141D9" w:rsidRPr="0092311A">
        <w:t xml:space="preserve">adaptación, </w:t>
      </w:r>
      <w:r w:rsidRPr="0092311A">
        <w:t>tales como</w:t>
      </w:r>
      <w:r w:rsidR="00725E32" w:rsidRPr="0092311A">
        <w:t xml:space="preserve">: introducción de variedades de café adaptadas al cambio climático, aumento de la cobertura boscosa, </w:t>
      </w:r>
      <w:r w:rsidR="00D551E2" w:rsidRPr="0092311A">
        <w:t>prácticas de conservación de suelos</w:t>
      </w:r>
      <w:r w:rsidR="00725E32" w:rsidRPr="0092311A">
        <w:t xml:space="preserve">, entre otras. </w:t>
      </w:r>
    </w:p>
    <w:p w:rsidR="00871BB3" w:rsidRPr="0092311A" w:rsidRDefault="00871BB3" w:rsidP="00DF2173">
      <w:pPr>
        <w:pStyle w:val="AutoNumpara"/>
        <w:numPr>
          <w:ilvl w:val="0"/>
          <w:numId w:val="0"/>
        </w:numPr>
        <w:rPr>
          <w:b/>
        </w:rPr>
      </w:pPr>
      <w:bookmarkStart w:id="27" w:name="_Toc354490276"/>
      <w:r w:rsidRPr="0092311A">
        <w:rPr>
          <w:b/>
        </w:rPr>
        <w:t>Componentes:</w:t>
      </w:r>
      <w:bookmarkEnd w:id="27"/>
    </w:p>
    <w:p w:rsidR="00871BB3" w:rsidRPr="0092311A" w:rsidRDefault="00871BB3" w:rsidP="00B775C3">
      <w:pPr>
        <w:pStyle w:val="IndentedParagr"/>
        <w:ind w:left="0"/>
        <w:rPr>
          <w:rFonts w:eastAsia="Cambria"/>
          <w:b/>
          <w:szCs w:val="24"/>
        </w:rPr>
      </w:pPr>
      <w:r w:rsidRPr="0092311A">
        <w:rPr>
          <w:rFonts w:eastAsia="Cambria"/>
          <w:b/>
          <w:szCs w:val="24"/>
        </w:rPr>
        <w:t xml:space="preserve">Componente </w:t>
      </w:r>
      <w:r w:rsidR="006A72A3" w:rsidRPr="0092311A">
        <w:rPr>
          <w:rFonts w:eastAsia="Cambria"/>
          <w:b/>
          <w:szCs w:val="24"/>
        </w:rPr>
        <w:t>I</w:t>
      </w:r>
      <w:r w:rsidRPr="0092311A">
        <w:rPr>
          <w:rFonts w:eastAsia="Cambria"/>
          <w:b/>
          <w:szCs w:val="24"/>
        </w:rPr>
        <w:t xml:space="preserve">: </w:t>
      </w:r>
      <w:r w:rsidR="00223726" w:rsidRPr="0092311A">
        <w:rPr>
          <w:rFonts w:eastAsia="Cambria"/>
          <w:b/>
          <w:szCs w:val="24"/>
        </w:rPr>
        <w:t xml:space="preserve">Validación de Paquete Tecnológico </w:t>
      </w:r>
      <w:r w:rsidRPr="0092311A">
        <w:rPr>
          <w:rFonts w:eastAsia="Cambria"/>
          <w:b/>
          <w:szCs w:val="24"/>
        </w:rPr>
        <w:t>(FOMIN: US$</w:t>
      </w:r>
      <w:r w:rsidR="00E50931" w:rsidRPr="0092311A">
        <w:rPr>
          <w:rFonts w:eastAsia="Cambria"/>
          <w:b/>
          <w:szCs w:val="24"/>
        </w:rPr>
        <w:t>507</w:t>
      </w:r>
      <w:r w:rsidRPr="0092311A">
        <w:rPr>
          <w:rFonts w:eastAsia="Cambria"/>
          <w:b/>
          <w:szCs w:val="24"/>
        </w:rPr>
        <w:t>.</w:t>
      </w:r>
      <w:r w:rsidR="00E50931" w:rsidRPr="0092311A">
        <w:rPr>
          <w:rFonts w:eastAsia="Cambria"/>
          <w:b/>
          <w:szCs w:val="24"/>
        </w:rPr>
        <w:t>150</w:t>
      </w:r>
      <w:r w:rsidRPr="0092311A">
        <w:rPr>
          <w:rFonts w:eastAsia="Cambria"/>
          <w:b/>
          <w:szCs w:val="24"/>
        </w:rPr>
        <w:t>; contrapartida: US$</w:t>
      </w:r>
      <w:r w:rsidR="00980A48" w:rsidRPr="0092311A">
        <w:rPr>
          <w:rFonts w:eastAsia="Cambria"/>
          <w:b/>
          <w:szCs w:val="24"/>
        </w:rPr>
        <w:t>777</w:t>
      </w:r>
      <w:r w:rsidRPr="0092311A">
        <w:rPr>
          <w:rFonts w:eastAsia="Cambria"/>
          <w:b/>
          <w:szCs w:val="24"/>
        </w:rPr>
        <w:t>.</w:t>
      </w:r>
      <w:r w:rsidR="00E50931" w:rsidRPr="0092311A">
        <w:rPr>
          <w:rFonts w:eastAsia="Cambria"/>
          <w:b/>
          <w:szCs w:val="24"/>
        </w:rPr>
        <w:t>600</w:t>
      </w:r>
      <w:r w:rsidRPr="0092311A">
        <w:rPr>
          <w:rFonts w:eastAsia="Cambria"/>
          <w:b/>
          <w:szCs w:val="24"/>
        </w:rPr>
        <w:t>)</w:t>
      </w:r>
    </w:p>
    <w:p w:rsidR="0031090B" w:rsidRPr="0092311A" w:rsidRDefault="00223726" w:rsidP="002C5F5A">
      <w:pPr>
        <w:pStyle w:val="AutoNumpara"/>
      </w:pPr>
      <w:r w:rsidRPr="0092311A">
        <w:t>El objetivo es</w:t>
      </w:r>
      <w:r w:rsidR="0031090B" w:rsidRPr="0092311A">
        <w:t xml:space="preserve"> probar </w:t>
      </w:r>
      <w:r w:rsidR="000A0ADE" w:rsidRPr="0092311A">
        <w:t xml:space="preserve">y </w:t>
      </w:r>
      <w:r w:rsidR="00F56EB5" w:rsidRPr="0092311A">
        <w:t xml:space="preserve">mostrar </w:t>
      </w:r>
      <w:r w:rsidR="00DE71E9" w:rsidRPr="0092311A">
        <w:t xml:space="preserve">los beneficios </w:t>
      </w:r>
      <w:r w:rsidR="00A20E16" w:rsidRPr="0092311A">
        <w:t xml:space="preserve">económicos </w:t>
      </w:r>
      <w:r w:rsidR="0031090B" w:rsidRPr="0092311A">
        <w:t xml:space="preserve">y eficiencia </w:t>
      </w:r>
      <w:r w:rsidR="00DE71E9" w:rsidRPr="0092311A">
        <w:t xml:space="preserve">ambiental </w:t>
      </w:r>
      <w:r w:rsidR="00E41085" w:rsidRPr="0092311A">
        <w:t>d</w:t>
      </w:r>
      <w:r w:rsidR="00DE71E9" w:rsidRPr="0092311A">
        <w:t xml:space="preserve">el </w:t>
      </w:r>
      <w:r w:rsidR="0031090B" w:rsidRPr="0092311A">
        <w:t>paquete tecnol</w:t>
      </w:r>
      <w:r w:rsidR="00DE71E9" w:rsidRPr="0092311A">
        <w:t>ó</w:t>
      </w:r>
      <w:r w:rsidR="0031090B" w:rsidRPr="0092311A">
        <w:t>gico</w:t>
      </w:r>
      <w:r w:rsidR="00DE71E9" w:rsidRPr="0092311A">
        <w:t xml:space="preserve"> propuesto</w:t>
      </w:r>
      <w:r w:rsidR="00F56EB5" w:rsidRPr="0092311A">
        <w:t xml:space="preserve">, el cual </w:t>
      </w:r>
      <w:r w:rsidR="00E41085" w:rsidRPr="0092311A">
        <w:t>prevé ser más eficiente y menos intensivo en carbono.</w:t>
      </w:r>
      <w:r w:rsidR="00F56EB5" w:rsidRPr="0092311A">
        <w:t xml:space="preserve"> </w:t>
      </w:r>
      <w:r w:rsidR="00885742" w:rsidRPr="0092311A">
        <w:t xml:space="preserve">Como condición de ejecución, se suscribirán cartas de entendimiento entre </w:t>
      </w:r>
      <w:r w:rsidR="00171D2B">
        <w:t xml:space="preserve">la </w:t>
      </w:r>
      <w:r w:rsidR="00885742" w:rsidRPr="0092311A">
        <w:t xml:space="preserve">FC y las </w:t>
      </w:r>
      <w:r w:rsidR="00171D2B">
        <w:t xml:space="preserve">plantas procesadoras </w:t>
      </w:r>
      <w:r w:rsidR="00885742" w:rsidRPr="0092311A">
        <w:t xml:space="preserve">seleccionadas </w:t>
      </w:r>
      <w:r w:rsidR="00E841D4">
        <w:t xml:space="preserve">en donde se definirán los </w:t>
      </w:r>
      <w:r w:rsidR="00885742" w:rsidRPr="0092311A">
        <w:t>roles y compromisos</w:t>
      </w:r>
      <w:r w:rsidR="00BF6FE8" w:rsidRPr="0092311A">
        <w:t xml:space="preserve"> entre las partes</w:t>
      </w:r>
      <w:r w:rsidR="00885742" w:rsidRPr="0092311A">
        <w:t xml:space="preserve">. </w:t>
      </w:r>
    </w:p>
    <w:p w:rsidR="00D9545A" w:rsidRPr="0092311A" w:rsidRDefault="00147A15" w:rsidP="00FD43AE">
      <w:pPr>
        <w:pStyle w:val="AutoNumpara"/>
      </w:pPr>
      <w:r w:rsidRPr="0092311A">
        <w:t>Las a</w:t>
      </w:r>
      <w:r w:rsidR="00F212A4" w:rsidRPr="0092311A">
        <w:t>ctividades</w:t>
      </w:r>
      <w:r w:rsidRPr="0092311A">
        <w:t xml:space="preserve"> que se prevén realizar</w:t>
      </w:r>
      <w:r w:rsidR="004D6D69" w:rsidRPr="0092311A">
        <w:t xml:space="preserve"> son</w:t>
      </w:r>
      <w:r w:rsidR="00F212A4" w:rsidRPr="0092311A">
        <w:t xml:space="preserve">: (i) </w:t>
      </w:r>
      <w:r w:rsidRPr="0092311A">
        <w:t>desarrollo de estudios de factibilidad para las cooperativas seleccionadas, sobre la base de su impacto en la</w:t>
      </w:r>
      <w:r w:rsidR="00AF786E" w:rsidRPr="0092311A">
        <w:t xml:space="preserve"> reducción de </w:t>
      </w:r>
      <w:r w:rsidRPr="0092311A">
        <w:t>emisiones de GEI y potencial de mitigación en base a las condiciones de las regiones seleccionadas (incluye estudios de cobertura de las plantaciones, potencial de captura de CO</w:t>
      </w:r>
      <w:r w:rsidRPr="0092311A">
        <w:rPr>
          <w:vertAlign w:val="subscript"/>
        </w:rPr>
        <w:t>2</w:t>
      </w:r>
      <w:r w:rsidRPr="0092311A">
        <w:t xml:space="preserve">, </w:t>
      </w:r>
      <w:r w:rsidR="00AF786E" w:rsidRPr="0092311A">
        <w:t>reducci</w:t>
      </w:r>
      <w:r w:rsidR="00E06028" w:rsidRPr="0092311A">
        <w:t>ó</w:t>
      </w:r>
      <w:r w:rsidR="00AF786E" w:rsidRPr="0092311A">
        <w:t xml:space="preserve">n de </w:t>
      </w:r>
      <w:r w:rsidRPr="0092311A">
        <w:t xml:space="preserve">emisiones de GEI en las plantaciones y en el procesamiento, análisis económico de los cambios tecnológicos en función de su impacto en la reducción de GEI, </w:t>
      </w:r>
      <w:r w:rsidR="001A5B99" w:rsidRPr="0092311A">
        <w:t>estudios de suelo</w:t>
      </w:r>
      <w:r w:rsidR="00E66EE1" w:rsidRPr="0092311A">
        <w:t xml:space="preserve">, </w:t>
      </w:r>
      <w:r w:rsidR="00AA54B1" w:rsidRPr="0092311A">
        <w:t xml:space="preserve">análisis de muestras, </w:t>
      </w:r>
      <w:r w:rsidR="001A5B99" w:rsidRPr="0092311A">
        <w:t>equipamiento</w:t>
      </w:r>
      <w:r w:rsidR="00DC4DBA" w:rsidRPr="0092311A">
        <w:t xml:space="preserve"> y obtención de </w:t>
      </w:r>
      <w:r w:rsidR="00E71EDF" w:rsidRPr="0092311A">
        <w:t>permisos</w:t>
      </w:r>
      <w:r w:rsidR="001A5B99" w:rsidRPr="0092311A">
        <w:t>);</w:t>
      </w:r>
      <w:r w:rsidR="00FD378F" w:rsidRPr="0092311A">
        <w:t xml:space="preserve"> </w:t>
      </w:r>
      <w:r w:rsidR="00F212A4" w:rsidRPr="0092311A">
        <w:t xml:space="preserve">(ii) diseño y ejecución de proyectos piloto </w:t>
      </w:r>
      <w:r w:rsidR="00AF786E" w:rsidRPr="0092311A">
        <w:t xml:space="preserve">para la reducción de emisiones </w:t>
      </w:r>
      <w:r w:rsidR="007217F2" w:rsidRPr="0092311A">
        <w:t xml:space="preserve">en </w:t>
      </w:r>
      <w:r w:rsidR="00F212A4" w:rsidRPr="0092311A">
        <w:t xml:space="preserve">las cooperativas </w:t>
      </w:r>
      <w:r w:rsidR="007217F2" w:rsidRPr="0092311A">
        <w:t xml:space="preserve">y plantas procesadoras </w:t>
      </w:r>
      <w:r w:rsidR="00F212A4" w:rsidRPr="0092311A">
        <w:t>seleccionadas</w:t>
      </w:r>
      <w:r w:rsidR="00FB14EB" w:rsidRPr="0092311A">
        <w:t>, y una tecnología de adaptación</w:t>
      </w:r>
      <w:r w:rsidR="00E66EE1" w:rsidRPr="0092311A">
        <w:t xml:space="preserve">; y (iii) </w:t>
      </w:r>
      <w:r w:rsidR="00846ACB" w:rsidRPr="0092311A">
        <w:t xml:space="preserve">talleres de </w:t>
      </w:r>
      <w:r w:rsidR="00E66EE1" w:rsidRPr="0092311A">
        <w:t>validación en campo</w:t>
      </w:r>
      <w:r w:rsidR="00FD378F" w:rsidRPr="0092311A">
        <w:t>.</w:t>
      </w:r>
      <w:r w:rsidR="00147A8B" w:rsidRPr="0092311A">
        <w:t xml:space="preserve"> </w:t>
      </w:r>
      <w:r w:rsidR="00A7150E" w:rsidRPr="0092311A">
        <w:t xml:space="preserve">Los recursos del FOMIN serán destinados </w:t>
      </w:r>
      <w:r w:rsidR="003464BB" w:rsidRPr="0092311A">
        <w:t xml:space="preserve">a la contratación de firmas consultoras que se encargarán de la </w:t>
      </w:r>
      <w:r w:rsidR="00FD43AE" w:rsidRPr="0092311A">
        <w:t xml:space="preserve">coordinación e implementación </w:t>
      </w:r>
      <w:r w:rsidR="003464BB" w:rsidRPr="0092311A">
        <w:t xml:space="preserve">de los proyectos piloto </w:t>
      </w:r>
      <w:r w:rsidR="00FD43AE" w:rsidRPr="0092311A">
        <w:t xml:space="preserve">por un periodo de 36 meses, incluyendo </w:t>
      </w:r>
      <w:r w:rsidR="003464BB" w:rsidRPr="0092311A">
        <w:t xml:space="preserve">su </w:t>
      </w:r>
      <w:r w:rsidR="00FD43AE" w:rsidRPr="0092311A">
        <w:t>monitoreo y documentación</w:t>
      </w:r>
      <w:r w:rsidR="003464BB" w:rsidRPr="0092311A">
        <w:t xml:space="preserve">. Asi también en la </w:t>
      </w:r>
      <w:r w:rsidR="00FD43AE" w:rsidRPr="0092311A">
        <w:t xml:space="preserve">contratación de </w:t>
      </w:r>
      <w:r w:rsidR="003464BB" w:rsidRPr="0092311A">
        <w:t>consultores especializados en los temas a desarrollar, que capacitarán y realizarán monitoreo y recolecci</w:t>
      </w:r>
      <w:r w:rsidR="00E23D4F" w:rsidRPr="0092311A">
        <w:t>ó</w:t>
      </w:r>
      <w:r w:rsidR="003464BB" w:rsidRPr="0092311A">
        <w:t>n de datos de acuerdo al protocolo y metodología diseñada de MRV</w:t>
      </w:r>
      <w:r w:rsidR="006E18A9" w:rsidRPr="0092311A">
        <w:t>; y compra de equipo menor</w:t>
      </w:r>
      <w:r w:rsidR="003464BB" w:rsidRPr="0092311A">
        <w:t>.</w:t>
      </w:r>
    </w:p>
    <w:p w:rsidR="00F212A4" w:rsidRPr="0092311A" w:rsidRDefault="00D9545A" w:rsidP="00DE1D90">
      <w:pPr>
        <w:pStyle w:val="AutoNumpara"/>
      </w:pPr>
      <w:r w:rsidRPr="0092311A">
        <w:t xml:space="preserve">Los </w:t>
      </w:r>
      <w:r w:rsidR="00165718" w:rsidRPr="0092311A">
        <w:t xml:space="preserve">productos </w:t>
      </w:r>
      <w:r w:rsidRPr="0092311A">
        <w:t>previstos son</w:t>
      </w:r>
      <w:r w:rsidR="00F212A4" w:rsidRPr="0092311A">
        <w:t xml:space="preserve">: (i) </w:t>
      </w:r>
      <w:r w:rsidR="00147A15" w:rsidRPr="0092311A">
        <w:t xml:space="preserve">por lo menos 4 tecnologías de mitigación </w:t>
      </w:r>
      <w:r w:rsidR="00DE1D90" w:rsidRPr="0092311A">
        <w:t xml:space="preserve">y una de adaptación </w:t>
      </w:r>
      <w:r w:rsidR="00147A15" w:rsidRPr="0092311A">
        <w:t xml:space="preserve">evaluadas ex ante; (ii) </w:t>
      </w:r>
      <w:r w:rsidR="008D6F74" w:rsidRPr="0092311A">
        <w:t xml:space="preserve">6 proyectos pilotos implementados; (iii) </w:t>
      </w:r>
      <w:r w:rsidR="00AA0BF1" w:rsidRPr="0092311A">
        <w:rPr>
          <w:szCs w:val="24"/>
        </w:rPr>
        <w:t xml:space="preserve">documento resumen de valoración y viabilidad de las </w:t>
      </w:r>
      <w:r w:rsidR="00024F1A" w:rsidRPr="0092311A">
        <w:rPr>
          <w:szCs w:val="24"/>
        </w:rPr>
        <w:t>5</w:t>
      </w:r>
      <w:r w:rsidR="00AA0BF1" w:rsidRPr="0092311A">
        <w:rPr>
          <w:szCs w:val="24"/>
        </w:rPr>
        <w:t xml:space="preserve"> tecnologías</w:t>
      </w:r>
      <w:r w:rsidR="00AA0BF1" w:rsidRPr="0092311A">
        <w:t xml:space="preserve"> </w:t>
      </w:r>
      <w:r w:rsidR="00FD378F" w:rsidRPr="0092311A">
        <w:t>desarrollad</w:t>
      </w:r>
      <w:r w:rsidR="00AA0BF1" w:rsidRPr="0092311A">
        <w:t xml:space="preserve">as </w:t>
      </w:r>
      <w:r w:rsidR="00FD378F" w:rsidRPr="0092311A">
        <w:t xml:space="preserve">con evidencias métricas </w:t>
      </w:r>
      <w:r w:rsidR="00A947A5" w:rsidRPr="0092311A">
        <w:t xml:space="preserve">en </w:t>
      </w:r>
      <w:r w:rsidR="00FD378F" w:rsidRPr="0092311A">
        <w:t>costos y beneficios ambientales</w:t>
      </w:r>
      <w:r w:rsidR="00DE1D90" w:rsidRPr="0092311A">
        <w:t>; (i</w:t>
      </w:r>
      <w:r w:rsidR="008D6F74" w:rsidRPr="0092311A">
        <w:t>v</w:t>
      </w:r>
      <w:r w:rsidR="00DE1D90" w:rsidRPr="0092311A">
        <w:t xml:space="preserve">) 3 </w:t>
      </w:r>
      <w:r w:rsidR="00024F1A" w:rsidRPr="0092311A">
        <w:t xml:space="preserve">proyectos pilotos son desarrollados en </w:t>
      </w:r>
      <w:r w:rsidR="00DE1D90" w:rsidRPr="0092311A">
        <w:t xml:space="preserve">plantas procesadoras; (v) al menos 800 productores participan en los </w:t>
      </w:r>
      <w:r w:rsidR="00DE1D90" w:rsidRPr="0092311A">
        <w:rPr>
          <w:szCs w:val="24"/>
        </w:rPr>
        <w:t>proyectos piloto</w:t>
      </w:r>
      <w:r w:rsidR="000D02F4" w:rsidRPr="0092311A">
        <w:rPr>
          <w:szCs w:val="24"/>
        </w:rPr>
        <w:t xml:space="preserve"> (desagregado por sexo)</w:t>
      </w:r>
      <w:r w:rsidR="00024F1A" w:rsidRPr="0092311A">
        <w:rPr>
          <w:szCs w:val="24"/>
        </w:rPr>
        <w:t>; (v</w:t>
      </w:r>
      <w:r w:rsidR="00900031">
        <w:rPr>
          <w:szCs w:val="24"/>
        </w:rPr>
        <w:t>i</w:t>
      </w:r>
      <w:r w:rsidR="00024F1A" w:rsidRPr="0092311A">
        <w:rPr>
          <w:szCs w:val="24"/>
        </w:rPr>
        <w:t xml:space="preserve">) al menos </w:t>
      </w:r>
      <w:r w:rsidR="005E77EA" w:rsidRPr="0092311A">
        <w:rPr>
          <w:szCs w:val="24"/>
        </w:rPr>
        <w:t>18</w:t>
      </w:r>
      <w:r w:rsidR="008D6F74" w:rsidRPr="0092311A">
        <w:rPr>
          <w:szCs w:val="24"/>
        </w:rPr>
        <w:t xml:space="preserve"> técnicos institucionales </w:t>
      </w:r>
      <w:r w:rsidR="005E77EA" w:rsidRPr="0092311A">
        <w:rPr>
          <w:szCs w:val="24"/>
        </w:rPr>
        <w:t xml:space="preserve">capacitados en nuevas tecnologías </w:t>
      </w:r>
      <w:r w:rsidR="008D6F74" w:rsidRPr="0092311A">
        <w:rPr>
          <w:szCs w:val="24"/>
        </w:rPr>
        <w:t>(ICAFE y MAG)</w:t>
      </w:r>
      <w:r w:rsidR="00DE1D90" w:rsidRPr="0092311A">
        <w:rPr>
          <w:szCs w:val="24"/>
        </w:rPr>
        <w:t>.</w:t>
      </w:r>
    </w:p>
    <w:p w:rsidR="00871BB3" w:rsidRPr="0092311A" w:rsidRDefault="00871BB3" w:rsidP="00B775C3">
      <w:pPr>
        <w:pStyle w:val="IndentedParagr"/>
        <w:ind w:left="0"/>
        <w:rPr>
          <w:rFonts w:eastAsia="Cambria"/>
          <w:b/>
          <w:szCs w:val="24"/>
        </w:rPr>
      </w:pPr>
      <w:r w:rsidRPr="0092311A">
        <w:rPr>
          <w:rFonts w:eastAsia="Cambria"/>
          <w:b/>
          <w:szCs w:val="24"/>
        </w:rPr>
        <w:t xml:space="preserve">Componente II: </w:t>
      </w:r>
      <w:r w:rsidR="00223726" w:rsidRPr="0092311A">
        <w:rPr>
          <w:rFonts w:eastAsia="Cambria"/>
          <w:b/>
          <w:szCs w:val="24"/>
        </w:rPr>
        <w:t xml:space="preserve">Diseño y validación del </w:t>
      </w:r>
      <w:r w:rsidR="00442FDF" w:rsidRPr="0092311A">
        <w:rPr>
          <w:rFonts w:eastAsia="Cambria"/>
          <w:b/>
          <w:szCs w:val="24"/>
        </w:rPr>
        <w:t xml:space="preserve">Sistema de </w:t>
      </w:r>
      <w:r w:rsidR="00F70821" w:rsidRPr="0092311A">
        <w:rPr>
          <w:rFonts w:eastAsia="Cambria"/>
          <w:b/>
          <w:szCs w:val="24"/>
        </w:rPr>
        <w:t>Medición, R</w:t>
      </w:r>
      <w:r w:rsidR="00442FDF" w:rsidRPr="0092311A">
        <w:rPr>
          <w:rFonts w:eastAsia="Cambria"/>
          <w:b/>
          <w:szCs w:val="24"/>
        </w:rPr>
        <w:t xml:space="preserve">eporte y </w:t>
      </w:r>
      <w:r w:rsidR="00F70821" w:rsidRPr="0092311A">
        <w:rPr>
          <w:rFonts w:eastAsia="Cambria"/>
          <w:b/>
          <w:szCs w:val="24"/>
        </w:rPr>
        <w:t>V</w:t>
      </w:r>
      <w:r w:rsidR="00442FDF" w:rsidRPr="0092311A">
        <w:rPr>
          <w:rFonts w:eastAsia="Cambria"/>
          <w:b/>
          <w:szCs w:val="24"/>
        </w:rPr>
        <w:t xml:space="preserve">erificación (MRV) </w:t>
      </w:r>
      <w:r w:rsidRPr="0092311A">
        <w:rPr>
          <w:rFonts w:eastAsia="Cambria"/>
          <w:b/>
          <w:szCs w:val="24"/>
        </w:rPr>
        <w:t>(FOMIN: US$</w:t>
      </w:r>
      <w:r w:rsidR="00E50931" w:rsidRPr="0092311A">
        <w:rPr>
          <w:rFonts w:eastAsia="Cambria"/>
          <w:b/>
          <w:szCs w:val="24"/>
        </w:rPr>
        <w:t>71</w:t>
      </w:r>
      <w:r w:rsidRPr="0092311A">
        <w:rPr>
          <w:rFonts w:eastAsia="Cambria"/>
          <w:b/>
          <w:szCs w:val="24"/>
        </w:rPr>
        <w:t>.</w:t>
      </w:r>
      <w:r w:rsidR="00E50931" w:rsidRPr="0092311A">
        <w:rPr>
          <w:rFonts w:eastAsia="Cambria"/>
          <w:b/>
          <w:szCs w:val="24"/>
        </w:rPr>
        <w:t>200</w:t>
      </w:r>
      <w:r w:rsidRPr="0092311A">
        <w:rPr>
          <w:rFonts w:eastAsia="Cambria"/>
          <w:b/>
          <w:szCs w:val="24"/>
        </w:rPr>
        <w:t>; contrapartida: US$</w:t>
      </w:r>
      <w:r w:rsidR="00E50931" w:rsidRPr="0092311A">
        <w:rPr>
          <w:rFonts w:eastAsia="Cambria"/>
          <w:b/>
          <w:szCs w:val="24"/>
        </w:rPr>
        <w:t>64</w:t>
      </w:r>
      <w:r w:rsidRPr="0092311A">
        <w:rPr>
          <w:rFonts w:eastAsia="Cambria"/>
          <w:b/>
          <w:szCs w:val="24"/>
        </w:rPr>
        <w:t>.0</w:t>
      </w:r>
      <w:r w:rsidR="00E50931" w:rsidRPr="0092311A">
        <w:rPr>
          <w:rFonts w:eastAsia="Cambria"/>
          <w:b/>
          <w:szCs w:val="24"/>
        </w:rPr>
        <w:t>50</w:t>
      </w:r>
      <w:r w:rsidRPr="0092311A">
        <w:rPr>
          <w:rFonts w:eastAsia="Cambria"/>
          <w:b/>
          <w:szCs w:val="24"/>
        </w:rPr>
        <w:t xml:space="preserve">) </w:t>
      </w:r>
    </w:p>
    <w:p w:rsidR="00272135" w:rsidRPr="0092311A" w:rsidRDefault="00893786" w:rsidP="00F212A4">
      <w:pPr>
        <w:pStyle w:val="AutoNumpara"/>
        <w:rPr>
          <w:szCs w:val="24"/>
        </w:rPr>
      </w:pPr>
      <w:r w:rsidRPr="0092311A">
        <w:t>El objetivo es diseñar</w:t>
      </w:r>
      <w:r w:rsidR="00CF6BD6" w:rsidRPr="0092311A">
        <w:t xml:space="preserve"> y validar</w:t>
      </w:r>
      <w:r w:rsidRPr="0092311A">
        <w:t xml:space="preserve"> un </w:t>
      </w:r>
      <w:r w:rsidR="00AF786E" w:rsidRPr="0092311A">
        <w:t>s</w:t>
      </w:r>
      <w:r w:rsidR="00FD7DC0" w:rsidRPr="0092311A">
        <w:t>i</w:t>
      </w:r>
      <w:r w:rsidR="00AF786E" w:rsidRPr="0092311A">
        <w:t xml:space="preserve">stema de </w:t>
      </w:r>
      <w:r w:rsidR="003375D9" w:rsidRPr="0092311A">
        <w:t xml:space="preserve">MRV </w:t>
      </w:r>
      <w:r w:rsidRPr="0092311A">
        <w:t xml:space="preserve">para </w:t>
      </w:r>
      <w:r w:rsidR="00F212A4" w:rsidRPr="0092311A">
        <w:t xml:space="preserve">cada tecnología </w:t>
      </w:r>
      <w:r w:rsidRPr="0092311A">
        <w:t>que se pondrá a prueba</w:t>
      </w:r>
      <w:r w:rsidR="000C5B7A" w:rsidRPr="0092311A">
        <w:t xml:space="preserve"> en el Componente I</w:t>
      </w:r>
      <w:r w:rsidR="009540E7" w:rsidRPr="0092311A">
        <w:t xml:space="preserve">. Este sistema </w:t>
      </w:r>
      <w:r w:rsidR="004357B8" w:rsidRPr="0092311A">
        <w:t xml:space="preserve">será desarrollado </w:t>
      </w:r>
      <w:r w:rsidR="00AF786E" w:rsidRPr="0092311A">
        <w:t xml:space="preserve">e implementado </w:t>
      </w:r>
      <w:r w:rsidR="004357B8" w:rsidRPr="0092311A">
        <w:t xml:space="preserve">paralelamente </w:t>
      </w:r>
      <w:r w:rsidRPr="0092311A">
        <w:t xml:space="preserve">durante la implementación del </w:t>
      </w:r>
      <w:r w:rsidR="00F212A4" w:rsidRPr="0092311A">
        <w:t xml:space="preserve">proyecto piloto. </w:t>
      </w:r>
      <w:r w:rsidR="002D541B" w:rsidRPr="0092311A">
        <w:t xml:space="preserve">WRI </w:t>
      </w:r>
      <w:r w:rsidR="008A6C26" w:rsidRPr="0092311A">
        <w:t>acompañará en el diseño y desarrollo de la l</w:t>
      </w:r>
      <w:r w:rsidR="0079749C" w:rsidRPr="0092311A">
        <w:t>í</w:t>
      </w:r>
      <w:r w:rsidR="008A6C26" w:rsidRPr="0092311A">
        <w:t>nea base</w:t>
      </w:r>
      <w:r w:rsidR="0079749C" w:rsidRPr="0092311A">
        <w:t xml:space="preserve">, asistirá al equipo de proyecto en el desarrollo y puesta </w:t>
      </w:r>
      <w:r w:rsidR="00F212A4" w:rsidRPr="0092311A">
        <w:t xml:space="preserve">en práctica </w:t>
      </w:r>
      <w:r w:rsidR="0079749C" w:rsidRPr="0092311A">
        <w:t xml:space="preserve">de </w:t>
      </w:r>
      <w:r w:rsidR="009540E7" w:rsidRPr="0092311A">
        <w:t xml:space="preserve">la </w:t>
      </w:r>
      <w:r w:rsidR="00F212A4" w:rsidRPr="0092311A">
        <w:t>herramienta</w:t>
      </w:r>
      <w:r w:rsidR="00272135" w:rsidRPr="0092311A">
        <w:t xml:space="preserve">, a fin de fortalecer la </w:t>
      </w:r>
      <w:r w:rsidR="00272135" w:rsidRPr="0092311A">
        <w:rPr>
          <w:szCs w:val="24"/>
        </w:rPr>
        <w:t xml:space="preserve">capacidad técnica local. </w:t>
      </w:r>
    </w:p>
    <w:p w:rsidR="00F212A4" w:rsidRPr="0092311A" w:rsidRDefault="002D541B" w:rsidP="00F212A4">
      <w:pPr>
        <w:pStyle w:val="AutoNumpara"/>
        <w:rPr>
          <w:szCs w:val="24"/>
        </w:rPr>
      </w:pPr>
      <w:r w:rsidRPr="0092311A">
        <w:t>Las actividades específicas incluyen</w:t>
      </w:r>
      <w:r w:rsidR="006233B7" w:rsidRPr="0092311A">
        <w:t xml:space="preserve"> la contratación de consultorías para</w:t>
      </w:r>
      <w:r w:rsidR="00F212A4" w:rsidRPr="0092311A">
        <w:t xml:space="preserve">: (i) </w:t>
      </w:r>
      <w:r w:rsidR="000D6BC1" w:rsidRPr="0092311A">
        <w:t xml:space="preserve">análisis comparativo </w:t>
      </w:r>
      <w:r w:rsidR="00F212A4" w:rsidRPr="0092311A">
        <w:t xml:space="preserve">de los protocolos internacionales vigentes </w:t>
      </w:r>
      <w:r w:rsidR="009F01CC" w:rsidRPr="0092311A">
        <w:t xml:space="preserve">con potencial de ser </w:t>
      </w:r>
      <w:r w:rsidR="00F212A4" w:rsidRPr="0092311A">
        <w:t>aplicad</w:t>
      </w:r>
      <w:r w:rsidRPr="0092311A">
        <w:t xml:space="preserve">os </w:t>
      </w:r>
      <w:r w:rsidR="00F212A4" w:rsidRPr="0092311A">
        <w:t>al sector agroalimentario</w:t>
      </w:r>
      <w:r w:rsidR="0043202B" w:rsidRPr="0092311A">
        <w:t xml:space="preserve"> y </w:t>
      </w:r>
      <w:r w:rsidR="00392FF2" w:rsidRPr="0092311A">
        <w:t>recomenda</w:t>
      </w:r>
      <w:r w:rsidR="00FA5BF6" w:rsidRPr="0092311A">
        <w:t>ción</w:t>
      </w:r>
      <w:r w:rsidR="00392FF2" w:rsidRPr="0092311A">
        <w:t xml:space="preserve"> </w:t>
      </w:r>
      <w:r w:rsidR="00FA5BF6" w:rsidRPr="0092311A">
        <w:t>d</w:t>
      </w:r>
      <w:r w:rsidR="00392FF2" w:rsidRPr="0092311A">
        <w:t xml:space="preserve">el </w:t>
      </w:r>
      <w:r w:rsidR="000D6BC1" w:rsidRPr="0092311A">
        <w:t>más adecuado</w:t>
      </w:r>
      <w:r w:rsidRPr="0092311A">
        <w:t>;</w:t>
      </w:r>
      <w:r w:rsidR="00F212A4" w:rsidRPr="0092311A">
        <w:t xml:space="preserve"> (ii)</w:t>
      </w:r>
      <w:r w:rsidR="006233B7" w:rsidRPr="0092311A">
        <w:t xml:space="preserve"> d</w:t>
      </w:r>
      <w:r w:rsidR="006233B7" w:rsidRPr="0092311A">
        <w:rPr>
          <w:szCs w:val="24"/>
        </w:rPr>
        <w:t>iseño del sistema MRV</w:t>
      </w:r>
      <w:r w:rsidR="00727E7B" w:rsidRPr="0092311A">
        <w:rPr>
          <w:szCs w:val="24"/>
        </w:rPr>
        <w:t>, sistema de recolección de datos</w:t>
      </w:r>
      <w:r w:rsidR="00AF786E" w:rsidRPr="0092311A">
        <w:rPr>
          <w:szCs w:val="24"/>
        </w:rPr>
        <w:t xml:space="preserve"> y generación de primeros reportes</w:t>
      </w:r>
      <w:r w:rsidR="006233B7" w:rsidRPr="0092311A">
        <w:rPr>
          <w:szCs w:val="24"/>
        </w:rPr>
        <w:t xml:space="preserve">; </w:t>
      </w:r>
      <w:r w:rsidRPr="0092311A">
        <w:rPr>
          <w:szCs w:val="24"/>
        </w:rPr>
        <w:t xml:space="preserve">(iii) realización de </w:t>
      </w:r>
      <w:r w:rsidR="00F212A4" w:rsidRPr="0092311A">
        <w:rPr>
          <w:szCs w:val="24"/>
        </w:rPr>
        <w:t>talleres, seminarios y grupos de enfoque para el diseño de la MRV</w:t>
      </w:r>
      <w:r w:rsidR="00727E7B" w:rsidRPr="0092311A">
        <w:rPr>
          <w:szCs w:val="24"/>
        </w:rPr>
        <w:t>, en la medida de lo posible promoviendo la participación de la mujer</w:t>
      </w:r>
      <w:r w:rsidRPr="0092311A">
        <w:rPr>
          <w:szCs w:val="24"/>
        </w:rPr>
        <w:t xml:space="preserve">; </w:t>
      </w:r>
      <w:r w:rsidR="001257CC" w:rsidRPr="0092311A">
        <w:rPr>
          <w:szCs w:val="24"/>
        </w:rPr>
        <w:t xml:space="preserve">(iv) diseño de </w:t>
      </w:r>
      <w:r w:rsidR="00927F20" w:rsidRPr="0092311A">
        <w:rPr>
          <w:szCs w:val="24"/>
        </w:rPr>
        <w:t xml:space="preserve">mecanismos de monitoreo </w:t>
      </w:r>
      <w:r w:rsidR="001257CC" w:rsidRPr="0092311A">
        <w:rPr>
          <w:szCs w:val="24"/>
        </w:rPr>
        <w:t xml:space="preserve">a nivel de productores y plantas procesadoras; </w:t>
      </w:r>
      <w:r w:rsidRPr="0092311A">
        <w:rPr>
          <w:szCs w:val="24"/>
        </w:rPr>
        <w:t>y (v) traducción de material</w:t>
      </w:r>
      <w:r w:rsidR="00650C87" w:rsidRPr="0092311A">
        <w:rPr>
          <w:szCs w:val="24"/>
        </w:rPr>
        <w:t>es</w:t>
      </w:r>
      <w:r w:rsidRPr="0092311A">
        <w:rPr>
          <w:szCs w:val="24"/>
        </w:rPr>
        <w:t xml:space="preserve">. </w:t>
      </w:r>
    </w:p>
    <w:p w:rsidR="00871BB3" w:rsidRPr="0092311A" w:rsidRDefault="000779F4" w:rsidP="00F212A4">
      <w:pPr>
        <w:pStyle w:val="AutoNumpara"/>
        <w:rPr>
          <w:szCs w:val="24"/>
        </w:rPr>
      </w:pPr>
      <w:r w:rsidRPr="0092311A">
        <w:rPr>
          <w:szCs w:val="24"/>
        </w:rPr>
        <w:t>Los productos previstos de este componente son</w:t>
      </w:r>
      <w:r w:rsidR="00F212A4" w:rsidRPr="0092311A">
        <w:rPr>
          <w:szCs w:val="24"/>
        </w:rPr>
        <w:t>: (i)</w:t>
      </w:r>
      <w:r w:rsidRPr="0092311A">
        <w:rPr>
          <w:szCs w:val="24"/>
        </w:rPr>
        <w:t xml:space="preserve"> un documento </w:t>
      </w:r>
      <w:r w:rsidR="00A31DB8" w:rsidRPr="0092311A">
        <w:rPr>
          <w:szCs w:val="24"/>
        </w:rPr>
        <w:t xml:space="preserve">sobre </w:t>
      </w:r>
      <w:r w:rsidRPr="0092311A">
        <w:rPr>
          <w:szCs w:val="24"/>
        </w:rPr>
        <w:t>las mejores prácticas internacionale</w:t>
      </w:r>
      <w:r w:rsidR="0037351B" w:rsidRPr="0092311A">
        <w:rPr>
          <w:szCs w:val="24"/>
        </w:rPr>
        <w:t>s</w:t>
      </w:r>
      <w:r w:rsidRPr="0092311A">
        <w:rPr>
          <w:szCs w:val="24"/>
        </w:rPr>
        <w:t xml:space="preserve"> de </w:t>
      </w:r>
      <w:r w:rsidR="000E5E6C" w:rsidRPr="0092311A">
        <w:rPr>
          <w:szCs w:val="24"/>
        </w:rPr>
        <w:t xml:space="preserve">MRV </w:t>
      </w:r>
      <w:r w:rsidR="00FB14EB" w:rsidRPr="0092311A">
        <w:rPr>
          <w:szCs w:val="24"/>
        </w:rPr>
        <w:t xml:space="preserve">con potencial de ser </w:t>
      </w:r>
      <w:r w:rsidRPr="0092311A">
        <w:rPr>
          <w:szCs w:val="24"/>
        </w:rPr>
        <w:t xml:space="preserve">utilizadas en la </w:t>
      </w:r>
      <w:r w:rsidR="00F212A4" w:rsidRPr="0092311A">
        <w:rPr>
          <w:szCs w:val="24"/>
        </w:rPr>
        <w:t>industria agroalimentaria</w:t>
      </w:r>
      <w:r w:rsidRPr="0092311A">
        <w:rPr>
          <w:szCs w:val="24"/>
        </w:rPr>
        <w:t xml:space="preserve">; (ii) </w:t>
      </w:r>
      <w:r w:rsidR="00733D36" w:rsidRPr="0092311A">
        <w:rPr>
          <w:szCs w:val="24"/>
        </w:rPr>
        <w:t xml:space="preserve">un </w:t>
      </w:r>
      <w:r w:rsidR="00A31DB8" w:rsidRPr="0092311A">
        <w:rPr>
          <w:szCs w:val="24"/>
        </w:rPr>
        <w:t xml:space="preserve">documento de </w:t>
      </w:r>
      <w:r w:rsidR="003375D9" w:rsidRPr="0092311A">
        <w:rPr>
          <w:szCs w:val="24"/>
        </w:rPr>
        <w:t xml:space="preserve">protocolo </w:t>
      </w:r>
      <w:r w:rsidR="00733D36" w:rsidRPr="0092311A">
        <w:rPr>
          <w:szCs w:val="24"/>
        </w:rPr>
        <w:t>MRV</w:t>
      </w:r>
      <w:r w:rsidR="00F212A4" w:rsidRPr="0092311A">
        <w:rPr>
          <w:szCs w:val="24"/>
        </w:rPr>
        <w:t xml:space="preserve"> </w:t>
      </w:r>
      <w:r w:rsidR="00733D36" w:rsidRPr="0092311A">
        <w:rPr>
          <w:szCs w:val="24"/>
        </w:rPr>
        <w:t xml:space="preserve">diseñado y probado </w:t>
      </w:r>
      <w:r w:rsidRPr="0092311A">
        <w:rPr>
          <w:szCs w:val="24"/>
        </w:rPr>
        <w:t xml:space="preserve">para cada tecnología </w:t>
      </w:r>
      <w:r w:rsidR="00F155D1" w:rsidRPr="0092311A">
        <w:rPr>
          <w:szCs w:val="24"/>
        </w:rPr>
        <w:t>evaluada</w:t>
      </w:r>
      <w:r w:rsidRPr="0092311A">
        <w:rPr>
          <w:szCs w:val="24"/>
        </w:rPr>
        <w:t xml:space="preserve"> en el </w:t>
      </w:r>
      <w:r w:rsidR="007B2698" w:rsidRPr="0092311A">
        <w:rPr>
          <w:szCs w:val="24"/>
        </w:rPr>
        <w:t>C</w:t>
      </w:r>
      <w:r w:rsidRPr="0092311A">
        <w:rPr>
          <w:szCs w:val="24"/>
        </w:rPr>
        <w:t xml:space="preserve">omponente </w:t>
      </w:r>
      <w:r w:rsidR="00DD661A" w:rsidRPr="0092311A">
        <w:rPr>
          <w:szCs w:val="24"/>
        </w:rPr>
        <w:t>I</w:t>
      </w:r>
      <w:r w:rsidR="00354A34" w:rsidRPr="0092311A">
        <w:rPr>
          <w:szCs w:val="24"/>
        </w:rPr>
        <w:t>; y (iii) propuesta de entidad que deba hacerse cargo de su implementación</w:t>
      </w:r>
      <w:r w:rsidR="00707107" w:rsidRPr="0092311A">
        <w:rPr>
          <w:szCs w:val="24"/>
        </w:rPr>
        <w:t xml:space="preserve">. </w:t>
      </w:r>
    </w:p>
    <w:p w:rsidR="00871BB3" w:rsidRPr="0092311A" w:rsidRDefault="00871BB3" w:rsidP="00B775C3">
      <w:pPr>
        <w:pStyle w:val="IndentedParagr"/>
        <w:ind w:left="0"/>
        <w:rPr>
          <w:rFonts w:eastAsia="Cambria"/>
          <w:b/>
          <w:szCs w:val="24"/>
        </w:rPr>
      </w:pPr>
      <w:r w:rsidRPr="0092311A">
        <w:rPr>
          <w:rFonts w:eastAsia="Cambria"/>
          <w:b/>
          <w:szCs w:val="24"/>
        </w:rPr>
        <w:t xml:space="preserve">Componente III. </w:t>
      </w:r>
      <w:r w:rsidR="00223726" w:rsidRPr="0092311A">
        <w:rPr>
          <w:rFonts w:eastAsia="Cambria"/>
          <w:b/>
          <w:szCs w:val="24"/>
        </w:rPr>
        <w:t xml:space="preserve">Diseño del </w:t>
      </w:r>
      <w:r w:rsidR="00442FDF" w:rsidRPr="0092311A">
        <w:rPr>
          <w:rFonts w:eastAsia="Cambria"/>
          <w:b/>
          <w:szCs w:val="24"/>
        </w:rPr>
        <w:t xml:space="preserve">NAMA para el sector café </w:t>
      </w:r>
      <w:r w:rsidRPr="0092311A">
        <w:rPr>
          <w:rFonts w:eastAsia="Cambria"/>
          <w:b/>
          <w:szCs w:val="24"/>
        </w:rPr>
        <w:t>(FOMIN: US$</w:t>
      </w:r>
      <w:r w:rsidR="00F34174" w:rsidRPr="0092311A">
        <w:rPr>
          <w:rFonts w:eastAsia="Cambria"/>
          <w:b/>
          <w:szCs w:val="24"/>
        </w:rPr>
        <w:t>80</w:t>
      </w:r>
      <w:r w:rsidRPr="0092311A">
        <w:rPr>
          <w:rFonts w:eastAsia="Cambria"/>
          <w:b/>
          <w:szCs w:val="24"/>
        </w:rPr>
        <w:t>.</w:t>
      </w:r>
      <w:r w:rsidR="00E50931" w:rsidRPr="0092311A">
        <w:rPr>
          <w:rFonts w:eastAsia="Cambria"/>
          <w:b/>
          <w:szCs w:val="24"/>
        </w:rPr>
        <w:t>000</w:t>
      </w:r>
      <w:r w:rsidRPr="0092311A">
        <w:rPr>
          <w:rFonts w:eastAsia="Cambria"/>
          <w:b/>
          <w:szCs w:val="24"/>
        </w:rPr>
        <w:t>; contrapartida: US$</w:t>
      </w:r>
      <w:r w:rsidR="00E50931" w:rsidRPr="0092311A">
        <w:rPr>
          <w:rFonts w:eastAsia="Cambria"/>
          <w:b/>
          <w:szCs w:val="24"/>
        </w:rPr>
        <w:t>24</w:t>
      </w:r>
      <w:r w:rsidRPr="0092311A">
        <w:rPr>
          <w:rFonts w:eastAsia="Cambria"/>
          <w:b/>
          <w:szCs w:val="24"/>
        </w:rPr>
        <w:t>.0</w:t>
      </w:r>
      <w:r w:rsidR="00E50931" w:rsidRPr="0092311A">
        <w:rPr>
          <w:rFonts w:eastAsia="Cambria"/>
          <w:b/>
          <w:szCs w:val="24"/>
        </w:rPr>
        <w:t>00</w:t>
      </w:r>
      <w:r w:rsidRPr="0092311A">
        <w:rPr>
          <w:rFonts w:eastAsia="Cambria"/>
          <w:b/>
          <w:szCs w:val="24"/>
        </w:rPr>
        <w:t>)</w:t>
      </w:r>
    </w:p>
    <w:p w:rsidR="00871BB3" w:rsidRPr="0092311A" w:rsidRDefault="00532579" w:rsidP="00F212A4">
      <w:pPr>
        <w:pStyle w:val="AutoNumpara"/>
        <w:rPr>
          <w:szCs w:val="24"/>
        </w:rPr>
      </w:pPr>
      <w:r w:rsidRPr="0092311A">
        <w:rPr>
          <w:szCs w:val="24"/>
        </w:rPr>
        <w:t xml:space="preserve">El objetivo es determinar el impacto social, económico y de mitigación que tendrá el NAMA en el sector cafetalero y sus implicaciones. </w:t>
      </w:r>
      <w:r w:rsidR="00577E05" w:rsidRPr="0092311A">
        <w:rPr>
          <w:szCs w:val="24"/>
        </w:rPr>
        <w:t xml:space="preserve">Para ello, se </w:t>
      </w:r>
      <w:r w:rsidR="00F212A4" w:rsidRPr="0092311A">
        <w:rPr>
          <w:szCs w:val="24"/>
        </w:rPr>
        <w:t>utilizará</w:t>
      </w:r>
      <w:r w:rsidR="00577E05" w:rsidRPr="0092311A">
        <w:rPr>
          <w:szCs w:val="24"/>
        </w:rPr>
        <w:t>n</w:t>
      </w:r>
      <w:r w:rsidR="00F212A4" w:rsidRPr="0092311A">
        <w:rPr>
          <w:szCs w:val="24"/>
        </w:rPr>
        <w:t xml:space="preserve"> los resultados </w:t>
      </w:r>
      <w:r w:rsidR="0037351B" w:rsidRPr="0092311A">
        <w:rPr>
          <w:szCs w:val="24"/>
        </w:rPr>
        <w:t xml:space="preserve">generados en </w:t>
      </w:r>
      <w:r w:rsidR="00F212A4" w:rsidRPr="0092311A">
        <w:rPr>
          <w:szCs w:val="24"/>
        </w:rPr>
        <w:t xml:space="preserve">los </w:t>
      </w:r>
      <w:r w:rsidR="0037351B" w:rsidRPr="0092311A">
        <w:rPr>
          <w:szCs w:val="24"/>
        </w:rPr>
        <w:t xml:space="preserve">proyectos </w:t>
      </w:r>
      <w:r w:rsidR="00F212A4" w:rsidRPr="0092311A">
        <w:rPr>
          <w:szCs w:val="24"/>
        </w:rPr>
        <w:t>pilotos de</w:t>
      </w:r>
      <w:r w:rsidR="001C3760" w:rsidRPr="0092311A">
        <w:rPr>
          <w:szCs w:val="24"/>
        </w:rPr>
        <w:t>l paquete tecnológico del C</w:t>
      </w:r>
      <w:r w:rsidR="00F212A4" w:rsidRPr="0092311A">
        <w:rPr>
          <w:szCs w:val="24"/>
        </w:rPr>
        <w:t xml:space="preserve">omponente </w:t>
      </w:r>
      <w:r w:rsidR="001C3760" w:rsidRPr="0092311A">
        <w:rPr>
          <w:szCs w:val="24"/>
        </w:rPr>
        <w:t>I</w:t>
      </w:r>
      <w:r w:rsidR="00F212A4" w:rsidRPr="0092311A">
        <w:rPr>
          <w:szCs w:val="24"/>
        </w:rPr>
        <w:t xml:space="preserve"> y </w:t>
      </w:r>
      <w:r w:rsidR="005C7CD3" w:rsidRPr="0092311A">
        <w:rPr>
          <w:szCs w:val="24"/>
        </w:rPr>
        <w:t xml:space="preserve">la validación de </w:t>
      </w:r>
      <w:r w:rsidR="00577E05" w:rsidRPr="0092311A">
        <w:rPr>
          <w:szCs w:val="24"/>
        </w:rPr>
        <w:t xml:space="preserve">las </w:t>
      </w:r>
      <w:r w:rsidR="005C7CD3" w:rsidRPr="0092311A">
        <w:rPr>
          <w:szCs w:val="24"/>
        </w:rPr>
        <w:t xml:space="preserve">métricas resultantes del </w:t>
      </w:r>
      <w:r w:rsidR="001C3760" w:rsidRPr="0092311A">
        <w:rPr>
          <w:szCs w:val="24"/>
        </w:rPr>
        <w:t>C</w:t>
      </w:r>
      <w:r w:rsidR="00F212A4" w:rsidRPr="0092311A">
        <w:rPr>
          <w:szCs w:val="24"/>
        </w:rPr>
        <w:t xml:space="preserve">omponente </w:t>
      </w:r>
      <w:r w:rsidR="001C3760" w:rsidRPr="0092311A">
        <w:rPr>
          <w:szCs w:val="24"/>
        </w:rPr>
        <w:t>II</w:t>
      </w:r>
      <w:r w:rsidR="005C7CD3" w:rsidRPr="0092311A">
        <w:rPr>
          <w:szCs w:val="24"/>
        </w:rPr>
        <w:t xml:space="preserve">, </w:t>
      </w:r>
      <w:r w:rsidR="0037351B" w:rsidRPr="0092311A">
        <w:rPr>
          <w:szCs w:val="24"/>
        </w:rPr>
        <w:t>como insumos pa</w:t>
      </w:r>
      <w:r w:rsidR="00F212A4" w:rsidRPr="0092311A">
        <w:rPr>
          <w:szCs w:val="24"/>
        </w:rPr>
        <w:t xml:space="preserve">ra diseñar </w:t>
      </w:r>
      <w:r w:rsidR="005C7CD3" w:rsidRPr="0092311A">
        <w:rPr>
          <w:szCs w:val="24"/>
        </w:rPr>
        <w:t xml:space="preserve">la </w:t>
      </w:r>
      <w:r w:rsidR="0037351B" w:rsidRPr="0092311A">
        <w:rPr>
          <w:szCs w:val="24"/>
        </w:rPr>
        <w:t xml:space="preserve">propuesta de </w:t>
      </w:r>
      <w:r w:rsidR="00F212A4" w:rsidRPr="0092311A">
        <w:rPr>
          <w:szCs w:val="24"/>
        </w:rPr>
        <w:t xml:space="preserve">medidas de mitigación de GEI </w:t>
      </w:r>
      <w:r w:rsidR="0037351B" w:rsidRPr="0092311A">
        <w:rPr>
          <w:szCs w:val="24"/>
        </w:rPr>
        <w:t xml:space="preserve">que debe adoptar </w:t>
      </w:r>
      <w:r w:rsidR="00F212A4" w:rsidRPr="0092311A">
        <w:rPr>
          <w:szCs w:val="24"/>
        </w:rPr>
        <w:t>el sector del café en Costa Rica</w:t>
      </w:r>
      <w:r w:rsidR="001C3760" w:rsidRPr="0092311A">
        <w:rPr>
          <w:szCs w:val="24"/>
        </w:rPr>
        <w:t>, el NAMA</w:t>
      </w:r>
      <w:r w:rsidR="00F212A4" w:rsidRPr="0092311A">
        <w:rPr>
          <w:szCs w:val="24"/>
        </w:rPr>
        <w:t xml:space="preserve">. </w:t>
      </w:r>
      <w:r w:rsidR="001C3760" w:rsidRPr="0092311A">
        <w:rPr>
          <w:szCs w:val="24"/>
        </w:rPr>
        <w:t xml:space="preserve">Esta </w:t>
      </w:r>
      <w:r w:rsidR="00F212A4" w:rsidRPr="0092311A">
        <w:rPr>
          <w:szCs w:val="24"/>
        </w:rPr>
        <w:t xml:space="preserve">propuesta contendrá </w:t>
      </w:r>
      <w:r w:rsidR="0037351B" w:rsidRPr="0092311A">
        <w:rPr>
          <w:szCs w:val="24"/>
        </w:rPr>
        <w:t xml:space="preserve">como mínimo: </w:t>
      </w:r>
      <w:r w:rsidR="005C7CD3" w:rsidRPr="0092311A">
        <w:rPr>
          <w:szCs w:val="24"/>
        </w:rPr>
        <w:t>objetivo</w:t>
      </w:r>
      <w:r w:rsidR="00577E05" w:rsidRPr="0092311A">
        <w:rPr>
          <w:szCs w:val="24"/>
        </w:rPr>
        <w:t xml:space="preserve"> bien definido</w:t>
      </w:r>
      <w:r w:rsidR="00F155D1" w:rsidRPr="0092311A">
        <w:rPr>
          <w:szCs w:val="24"/>
        </w:rPr>
        <w:t xml:space="preserve">, actividades a las que aplica, </w:t>
      </w:r>
      <w:r w:rsidR="00577E05" w:rsidRPr="0092311A">
        <w:rPr>
          <w:szCs w:val="24"/>
        </w:rPr>
        <w:t>gases</w:t>
      </w:r>
      <w:r w:rsidR="00F212A4" w:rsidRPr="0092311A">
        <w:rPr>
          <w:szCs w:val="24"/>
        </w:rPr>
        <w:t xml:space="preserve"> afectad</w:t>
      </w:r>
      <w:r w:rsidR="001C3760" w:rsidRPr="0092311A">
        <w:rPr>
          <w:szCs w:val="24"/>
        </w:rPr>
        <w:t>o</w:t>
      </w:r>
      <w:r w:rsidR="00577E05" w:rsidRPr="0092311A">
        <w:rPr>
          <w:szCs w:val="24"/>
        </w:rPr>
        <w:t>s</w:t>
      </w:r>
      <w:r w:rsidR="00F212A4" w:rsidRPr="0092311A">
        <w:rPr>
          <w:szCs w:val="24"/>
        </w:rPr>
        <w:t>, tipo de política o medida</w:t>
      </w:r>
      <w:r w:rsidR="00F1003A" w:rsidRPr="0092311A">
        <w:rPr>
          <w:szCs w:val="24"/>
        </w:rPr>
        <w:t>s</w:t>
      </w:r>
      <w:r w:rsidR="00F212A4" w:rsidRPr="0092311A">
        <w:rPr>
          <w:szCs w:val="24"/>
        </w:rPr>
        <w:t xml:space="preserve"> (económico, fiscal o normativo)</w:t>
      </w:r>
      <w:r w:rsidR="001C3760" w:rsidRPr="0092311A">
        <w:rPr>
          <w:szCs w:val="24"/>
        </w:rPr>
        <w:t xml:space="preserve"> que se propone</w:t>
      </w:r>
      <w:r w:rsidR="00F1003A" w:rsidRPr="0092311A">
        <w:rPr>
          <w:szCs w:val="24"/>
        </w:rPr>
        <w:t>n</w:t>
      </w:r>
      <w:r w:rsidR="00F212A4" w:rsidRPr="0092311A">
        <w:rPr>
          <w:szCs w:val="24"/>
        </w:rPr>
        <w:t xml:space="preserve">, estado </w:t>
      </w:r>
      <w:r w:rsidR="001C3760" w:rsidRPr="0092311A">
        <w:rPr>
          <w:szCs w:val="24"/>
        </w:rPr>
        <w:t xml:space="preserve">de </w:t>
      </w:r>
      <w:r w:rsidR="005C7CD3" w:rsidRPr="0092311A">
        <w:rPr>
          <w:szCs w:val="24"/>
        </w:rPr>
        <w:t xml:space="preserve">su </w:t>
      </w:r>
      <w:r w:rsidR="001C3760" w:rsidRPr="0092311A">
        <w:rPr>
          <w:szCs w:val="24"/>
        </w:rPr>
        <w:t xml:space="preserve">aplicación, entidad encargada de </w:t>
      </w:r>
      <w:r w:rsidR="00F1003A" w:rsidRPr="0092311A">
        <w:rPr>
          <w:szCs w:val="24"/>
        </w:rPr>
        <w:t xml:space="preserve">su </w:t>
      </w:r>
      <w:r w:rsidR="00F212A4" w:rsidRPr="0092311A">
        <w:rPr>
          <w:szCs w:val="24"/>
        </w:rPr>
        <w:t>ejecución, cr</w:t>
      </w:r>
      <w:r w:rsidR="0037351B" w:rsidRPr="0092311A">
        <w:rPr>
          <w:szCs w:val="24"/>
        </w:rPr>
        <w:t xml:space="preserve">onograma para </w:t>
      </w:r>
      <w:r w:rsidR="00577E05" w:rsidRPr="0092311A">
        <w:rPr>
          <w:szCs w:val="24"/>
        </w:rPr>
        <w:t xml:space="preserve">su </w:t>
      </w:r>
      <w:r w:rsidR="0037351B" w:rsidRPr="0092311A">
        <w:rPr>
          <w:szCs w:val="24"/>
        </w:rPr>
        <w:t xml:space="preserve"> implementación,</w:t>
      </w:r>
      <w:r w:rsidR="00F212A4" w:rsidRPr="0092311A">
        <w:rPr>
          <w:szCs w:val="24"/>
        </w:rPr>
        <w:t xml:space="preserve"> potencial </w:t>
      </w:r>
      <w:r w:rsidR="001C3760" w:rsidRPr="0092311A">
        <w:rPr>
          <w:szCs w:val="24"/>
        </w:rPr>
        <w:t>estimado de mitigación,</w:t>
      </w:r>
      <w:r w:rsidR="00F212A4" w:rsidRPr="0092311A">
        <w:rPr>
          <w:szCs w:val="24"/>
        </w:rPr>
        <w:t xml:space="preserve"> </w:t>
      </w:r>
      <w:r w:rsidR="001C3760" w:rsidRPr="0092311A">
        <w:rPr>
          <w:szCs w:val="24"/>
        </w:rPr>
        <w:t xml:space="preserve">entre otros. </w:t>
      </w:r>
    </w:p>
    <w:p w:rsidR="00FD378F" w:rsidRPr="0092311A" w:rsidRDefault="00871BB3" w:rsidP="008546DC">
      <w:pPr>
        <w:pStyle w:val="AutoNumpara"/>
        <w:rPr>
          <w:szCs w:val="24"/>
        </w:rPr>
      </w:pPr>
      <w:r w:rsidRPr="0092311A">
        <w:t xml:space="preserve">Las actividades de este componente son: </w:t>
      </w:r>
      <w:r w:rsidR="00F212A4" w:rsidRPr="0092311A">
        <w:t xml:space="preserve">(i) </w:t>
      </w:r>
      <w:r w:rsidR="00AC764B" w:rsidRPr="0092311A">
        <w:t>talleres de coordinación y participación entre los involucrados;</w:t>
      </w:r>
      <w:r w:rsidR="00F212A4" w:rsidRPr="0092311A">
        <w:t xml:space="preserve"> (ii) </w:t>
      </w:r>
      <w:r w:rsidR="00727D19" w:rsidRPr="0092311A">
        <w:t>revisión de metodologías y datos de línea base</w:t>
      </w:r>
      <w:r w:rsidR="00176377" w:rsidRPr="0092311A">
        <w:t xml:space="preserve"> y estimación de mitigación</w:t>
      </w:r>
      <w:r w:rsidR="00727D19" w:rsidRPr="0092311A">
        <w:t xml:space="preserve">; (iii) </w:t>
      </w:r>
      <w:r w:rsidR="00176377" w:rsidRPr="0092311A">
        <w:t xml:space="preserve">recolección y documentación de la información relevante para la propuesta de </w:t>
      </w:r>
      <w:r w:rsidR="002D348E" w:rsidRPr="0092311A">
        <w:t xml:space="preserve">MRV y </w:t>
      </w:r>
      <w:r w:rsidR="00176377" w:rsidRPr="0092311A">
        <w:t xml:space="preserve">NAMA; (iv) </w:t>
      </w:r>
      <w:r w:rsidR="005A6723" w:rsidRPr="0092311A">
        <w:t xml:space="preserve">identificación </w:t>
      </w:r>
      <w:r w:rsidR="008546DC" w:rsidRPr="0092311A">
        <w:t>de barreras (</w:t>
      </w:r>
      <w:r w:rsidR="00844CEC" w:rsidRPr="0092311A">
        <w:t xml:space="preserve">técnicas, </w:t>
      </w:r>
      <w:r w:rsidR="008546DC" w:rsidRPr="0092311A">
        <w:t>financiera</w:t>
      </w:r>
      <w:r w:rsidR="002D348E" w:rsidRPr="0092311A">
        <w:t>s</w:t>
      </w:r>
      <w:r w:rsidR="00844CEC" w:rsidRPr="0092311A">
        <w:t>, políticas y sociales</w:t>
      </w:r>
      <w:r w:rsidR="008546DC" w:rsidRPr="0092311A">
        <w:t xml:space="preserve">) y propuesta para subsanarlas; </w:t>
      </w:r>
      <w:r w:rsidR="00727D19" w:rsidRPr="0092311A">
        <w:t>(v</w:t>
      </w:r>
      <w:r w:rsidR="00F212A4" w:rsidRPr="0092311A">
        <w:t>)</w:t>
      </w:r>
      <w:r w:rsidR="00854991" w:rsidRPr="0092311A">
        <w:t xml:space="preserve"> </w:t>
      </w:r>
      <w:r w:rsidR="005A6723" w:rsidRPr="0092311A">
        <w:t xml:space="preserve">alineación de la metodología propuesta con </w:t>
      </w:r>
      <w:r w:rsidR="00176377" w:rsidRPr="0092311A">
        <w:t xml:space="preserve">la del </w:t>
      </w:r>
      <w:r w:rsidR="005A6723" w:rsidRPr="0092311A">
        <w:t xml:space="preserve">protocolo agrícola </w:t>
      </w:r>
      <w:r w:rsidR="003375D9" w:rsidRPr="0092311A">
        <w:t xml:space="preserve">y </w:t>
      </w:r>
      <w:r w:rsidR="005A6723" w:rsidRPr="0092311A">
        <w:t xml:space="preserve">de </w:t>
      </w:r>
      <w:r w:rsidR="003375D9" w:rsidRPr="0092311A">
        <w:t xml:space="preserve">NAMA </w:t>
      </w:r>
      <w:r w:rsidR="005A6723" w:rsidRPr="0092311A">
        <w:t>de WRI; (v</w:t>
      </w:r>
      <w:r w:rsidR="006E2715" w:rsidRPr="0092311A">
        <w:t>i</w:t>
      </w:r>
      <w:r w:rsidR="005A6723" w:rsidRPr="0092311A">
        <w:t>)</w:t>
      </w:r>
      <w:r w:rsidR="00176377" w:rsidRPr="0092311A">
        <w:t xml:space="preserve"> </w:t>
      </w:r>
      <w:r w:rsidR="00F212A4" w:rsidRPr="0092311A">
        <w:t xml:space="preserve">desarrollo de propuesta </w:t>
      </w:r>
      <w:r w:rsidR="002C2F51" w:rsidRPr="0092311A">
        <w:t xml:space="preserve">y plan de implementación </w:t>
      </w:r>
      <w:r w:rsidR="00F212A4" w:rsidRPr="0092311A">
        <w:t>de NAMA</w:t>
      </w:r>
      <w:r w:rsidR="00FD378F" w:rsidRPr="0092311A">
        <w:rPr>
          <w:szCs w:val="24"/>
        </w:rPr>
        <w:t>; (</w:t>
      </w:r>
      <w:r w:rsidR="00961736" w:rsidRPr="0092311A">
        <w:rPr>
          <w:szCs w:val="24"/>
        </w:rPr>
        <w:t>v</w:t>
      </w:r>
      <w:r w:rsidR="006E2715" w:rsidRPr="0092311A">
        <w:rPr>
          <w:szCs w:val="24"/>
        </w:rPr>
        <w:t>i</w:t>
      </w:r>
      <w:r w:rsidR="00854991" w:rsidRPr="0092311A">
        <w:rPr>
          <w:szCs w:val="24"/>
        </w:rPr>
        <w:t>i</w:t>
      </w:r>
      <w:r w:rsidR="00FD378F" w:rsidRPr="0092311A">
        <w:rPr>
          <w:szCs w:val="24"/>
        </w:rPr>
        <w:t xml:space="preserve">) </w:t>
      </w:r>
      <w:r w:rsidR="00A20168" w:rsidRPr="0092311A">
        <w:rPr>
          <w:szCs w:val="24"/>
        </w:rPr>
        <w:t xml:space="preserve">talleres de capacitación para la </w:t>
      </w:r>
      <w:r w:rsidR="00F155D1" w:rsidRPr="0092311A">
        <w:rPr>
          <w:szCs w:val="24"/>
        </w:rPr>
        <w:t xml:space="preserve">implementación </w:t>
      </w:r>
      <w:r w:rsidR="00A20168" w:rsidRPr="0092311A">
        <w:rPr>
          <w:szCs w:val="24"/>
        </w:rPr>
        <w:t>de</w:t>
      </w:r>
      <w:r w:rsidR="002D348E" w:rsidRPr="0092311A">
        <w:rPr>
          <w:szCs w:val="24"/>
        </w:rPr>
        <w:t xml:space="preserve">l </w:t>
      </w:r>
      <w:r w:rsidR="00A20168" w:rsidRPr="0092311A">
        <w:rPr>
          <w:szCs w:val="24"/>
        </w:rPr>
        <w:t>NAMA</w:t>
      </w:r>
      <w:r w:rsidR="00F155D1" w:rsidRPr="0092311A">
        <w:rPr>
          <w:szCs w:val="24"/>
        </w:rPr>
        <w:t xml:space="preserve">. </w:t>
      </w:r>
    </w:p>
    <w:p w:rsidR="00F212A4" w:rsidRPr="0092311A" w:rsidRDefault="00871BB3" w:rsidP="00FD378F">
      <w:pPr>
        <w:pStyle w:val="AutoNumpara"/>
      </w:pPr>
      <w:r w:rsidRPr="0092311A">
        <w:t xml:space="preserve">Los productos previstos son: </w:t>
      </w:r>
      <w:r w:rsidR="00F212A4" w:rsidRPr="0092311A">
        <w:t xml:space="preserve">(i) </w:t>
      </w:r>
      <w:r w:rsidR="00882E64" w:rsidRPr="0092311A">
        <w:t>una</w:t>
      </w:r>
      <w:r w:rsidR="00F212A4" w:rsidRPr="0092311A">
        <w:t xml:space="preserve"> propuesta NAMA elaborad</w:t>
      </w:r>
      <w:r w:rsidR="00882E64" w:rsidRPr="0092311A">
        <w:t>a</w:t>
      </w:r>
      <w:r w:rsidR="00F212A4" w:rsidRPr="0092311A">
        <w:t xml:space="preserve"> y aprobad</w:t>
      </w:r>
      <w:r w:rsidR="00882E64" w:rsidRPr="0092311A">
        <w:t>a</w:t>
      </w:r>
      <w:r w:rsidR="00F212A4" w:rsidRPr="0092311A">
        <w:t xml:space="preserve"> por </w:t>
      </w:r>
      <w:r w:rsidR="00882E64" w:rsidRPr="0092311A">
        <w:t>el Grupo de Trabajo;</w:t>
      </w:r>
      <w:r w:rsidR="00F212A4" w:rsidRPr="0092311A">
        <w:t xml:space="preserve"> </w:t>
      </w:r>
      <w:r w:rsidR="009D49E0" w:rsidRPr="0092311A">
        <w:rPr>
          <w:szCs w:val="24"/>
        </w:rPr>
        <w:t>(ii</w:t>
      </w:r>
      <w:r w:rsidR="00882E64" w:rsidRPr="0092311A">
        <w:rPr>
          <w:szCs w:val="24"/>
        </w:rPr>
        <w:t xml:space="preserve">) al menos </w:t>
      </w:r>
      <w:r w:rsidR="005C13E5" w:rsidRPr="0092311A">
        <w:rPr>
          <w:szCs w:val="24"/>
        </w:rPr>
        <w:t xml:space="preserve">18 </w:t>
      </w:r>
      <w:r w:rsidR="00882E64" w:rsidRPr="0092311A">
        <w:rPr>
          <w:szCs w:val="24"/>
        </w:rPr>
        <w:t xml:space="preserve">técnicos del MAG e </w:t>
      </w:r>
      <w:r w:rsidR="00F212A4" w:rsidRPr="0092311A">
        <w:t xml:space="preserve">ICAFE </w:t>
      </w:r>
      <w:r w:rsidR="00A31DB8" w:rsidRPr="0092311A">
        <w:t xml:space="preserve">capacitados </w:t>
      </w:r>
      <w:r w:rsidR="00F212A4" w:rsidRPr="0092311A">
        <w:t xml:space="preserve">en </w:t>
      </w:r>
      <w:r w:rsidR="00882E64" w:rsidRPr="0092311A">
        <w:t xml:space="preserve">la </w:t>
      </w:r>
      <w:r w:rsidR="00F212A4" w:rsidRPr="0092311A">
        <w:t xml:space="preserve">preparación </w:t>
      </w:r>
      <w:r w:rsidR="00F155D1" w:rsidRPr="0092311A">
        <w:t xml:space="preserve">e implementación de </w:t>
      </w:r>
      <w:r w:rsidR="00F212A4" w:rsidRPr="0092311A">
        <w:t>NAMA</w:t>
      </w:r>
      <w:r w:rsidR="002D348E" w:rsidRPr="0092311A">
        <w:t>s</w:t>
      </w:r>
      <w:r w:rsidR="00727E7B" w:rsidRPr="0092311A">
        <w:t xml:space="preserve"> (desagregados por sexo)</w:t>
      </w:r>
      <w:r w:rsidR="00882E64" w:rsidRPr="0092311A">
        <w:t>;</w:t>
      </w:r>
      <w:r w:rsidR="00F212A4" w:rsidRPr="0092311A">
        <w:t xml:space="preserve"> (i</w:t>
      </w:r>
      <w:r w:rsidR="009D49E0" w:rsidRPr="0092311A">
        <w:t>ii</w:t>
      </w:r>
      <w:r w:rsidR="00F212A4" w:rsidRPr="0092311A">
        <w:t>) propuesta de políticas</w:t>
      </w:r>
      <w:r w:rsidR="00820745" w:rsidRPr="0092311A">
        <w:t xml:space="preserve"> y mecanismo financiero </w:t>
      </w:r>
      <w:r w:rsidR="002D348E" w:rsidRPr="0092311A">
        <w:t>elaborad</w:t>
      </w:r>
      <w:r w:rsidR="00820745" w:rsidRPr="0092311A">
        <w:t xml:space="preserve">o </w:t>
      </w:r>
      <w:r w:rsidR="002D348E" w:rsidRPr="0092311A">
        <w:t>y consensuad</w:t>
      </w:r>
      <w:r w:rsidR="00820745" w:rsidRPr="0092311A">
        <w:t>o</w:t>
      </w:r>
      <w:r w:rsidR="00F212A4" w:rsidRPr="0092311A">
        <w:t>.</w:t>
      </w:r>
      <w:r w:rsidR="00FD378F" w:rsidRPr="0092311A">
        <w:t xml:space="preserve"> </w:t>
      </w:r>
    </w:p>
    <w:p w:rsidR="00871BB3" w:rsidRPr="0092311A" w:rsidRDefault="00871BB3" w:rsidP="00B775C3">
      <w:pPr>
        <w:pStyle w:val="IndentedParagr"/>
        <w:ind w:left="0"/>
        <w:rPr>
          <w:rFonts w:eastAsia="Cambria"/>
          <w:b/>
          <w:szCs w:val="24"/>
        </w:rPr>
      </w:pPr>
      <w:r w:rsidRPr="0092311A">
        <w:rPr>
          <w:rFonts w:eastAsia="Cambria"/>
          <w:b/>
          <w:szCs w:val="24"/>
        </w:rPr>
        <w:t xml:space="preserve">Componente IV. </w:t>
      </w:r>
      <w:r w:rsidR="00C36D91" w:rsidRPr="0092311A">
        <w:rPr>
          <w:rFonts w:eastAsia="Cambria"/>
          <w:b/>
          <w:szCs w:val="24"/>
        </w:rPr>
        <w:t xml:space="preserve">Capacitación </w:t>
      </w:r>
      <w:r w:rsidR="00AB6A07" w:rsidRPr="0092311A">
        <w:rPr>
          <w:rFonts w:eastAsia="Cambria"/>
          <w:b/>
          <w:szCs w:val="24"/>
        </w:rPr>
        <w:t xml:space="preserve">y </w:t>
      </w:r>
      <w:r w:rsidR="003163FA" w:rsidRPr="0092311A">
        <w:rPr>
          <w:rFonts w:eastAsia="Cambria"/>
          <w:b/>
          <w:szCs w:val="24"/>
        </w:rPr>
        <w:t>p</w:t>
      </w:r>
      <w:r w:rsidR="008D5298" w:rsidRPr="0092311A">
        <w:rPr>
          <w:rFonts w:eastAsia="Cambria"/>
          <w:b/>
          <w:szCs w:val="24"/>
        </w:rPr>
        <w:t xml:space="preserve">romoción en mercados nicho </w:t>
      </w:r>
      <w:r w:rsidRPr="0092311A">
        <w:rPr>
          <w:rFonts w:eastAsia="Cambria"/>
          <w:b/>
          <w:szCs w:val="24"/>
        </w:rPr>
        <w:t>(FOMIN: US$1</w:t>
      </w:r>
      <w:r w:rsidR="00F34174" w:rsidRPr="0092311A">
        <w:rPr>
          <w:rFonts w:eastAsia="Cambria"/>
          <w:b/>
          <w:szCs w:val="24"/>
        </w:rPr>
        <w:t>34</w:t>
      </w:r>
      <w:r w:rsidRPr="0092311A">
        <w:rPr>
          <w:rFonts w:eastAsia="Cambria"/>
          <w:b/>
          <w:szCs w:val="24"/>
        </w:rPr>
        <w:t>.000</w:t>
      </w:r>
      <w:r w:rsidR="00A904D0" w:rsidRPr="0092311A">
        <w:rPr>
          <w:rFonts w:eastAsia="Cambria"/>
          <w:b/>
          <w:szCs w:val="24"/>
        </w:rPr>
        <w:t xml:space="preserve">). </w:t>
      </w:r>
    </w:p>
    <w:p w:rsidR="00E021C5" w:rsidRPr="0092311A" w:rsidRDefault="00B43482" w:rsidP="00E021C5">
      <w:pPr>
        <w:pStyle w:val="AutoNumpara"/>
        <w:rPr>
          <w:rStyle w:val="hps"/>
        </w:rPr>
      </w:pPr>
      <w:r w:rsidRPr="0092311A">
        <w:rPr>
          <w:rStyle w:val="hps"/>
        </w:rPr>
        <w:t xml:space="preserve">El objetivo es </w:t>
      </w:r>
      <w:r w:rsidR="00C36D91" w:rsidRPr="0092311A">
        <w:rPr>
          <w:rStyle w:val="hps"/>
        </w:rPr>
        <w:t>fortalecer la oferta de servicios de asistencia a</w:t>
      </w:r>
      <w:r w:rsidR="00927F20" w:rsidRPr="0092311A">
        <w:rPr>
          <w:rStyle w:val="hps"/>
        </w:rPr>
        <w:t xml:space="preserve"> las plantas procesadoras de café (y sus socios) </w:t>
      </w:r>
      <w:r w:rsidRPr="0092311A">
        <w:rPr>
          <w:rStyle w:val="hps"/>
        </w:rPr>
        <w:t xml:space="preserve">y </w:t>
      </w:r>
      <w:r w:rsidR="0098658C" w:rsidRPr="0092311A">
        <w:rPr>
          <w:rStyle w:val="hps"/>
        </w:rPr>
        <w:t xml:space="preserve">facilitar el acercamiento de las </w:t>
      </w:r>
      <w:r w:rsidRPr="0092311A">
        <w:rPr>
          <w:rStyle w:val="hps"/>
        </w:rPr>
        <w:t xml:space="preserve">organizaciones cafetaleras </w:t>
      </w:r>
      <w:r w:rsidR="0098658C" w:rsidRPr="0092311A">
        <w:rPr>
          <w:rStyle w:val="hps"/>
        </w:rPr>
        <w:t xml:space="preserve">a </w:t>
      </w:r>
      <w:r w:rsidR="00A43ABB" w:rsidRPr="0092311A">
        <w:rPr>
          <w:rStyle w:val="hps"/>
        </w:rPr>
        <w:t xml:space="preserve">mercados y </w:t>
      </w:r>
      <w:r w:rsidR="008D5298" w:rsidRPr="0092311A">
        <w:rPr>
          <w:rStyle w:val="hps"/>
        </w:rPr>
        <w:t xml:space="preserve">compradores </w:t>
      </w:r>
      <w:r w:rsidR="0098658C" w:rsidRPr="0092311A">
        <w:rPr>
          <w:rStyle w:val="hps"/>
        </w:rPr>
        <w:t xml:space="preserve">interesados por productos </w:t>
      </w:r>
      <w:r w:rsidR="00F155D1" w:rsidRPr="0092311A">
        <w:rPr>
          <w:rStyle w:val="hps"/>
        </w:rPr>
        <w:t xml:space="preserve">con menor huella de carbono. </w:t>
      </w:r>
    </w:p>
    <w:p w:rsidR="00B43482" w:rsidRPr="0092311A" w:rsidRDefault="00AA6B59" w:rsidP="00E021C5">
      <w:pPr>
        <w:pStyle w:val="AutoNumpara"/>
        <w:rPr>
          <w:rStyle w:val="hps"/>
        </w:rPr>
      </w:pPr>
      <w:r w:rsidRPr="0092311A">
        <w:rPr>
          <w:rStyle w:val="hps"/>
        </w:rPr>
        <w:t>El proyecto se apoyará en un estudio de mercado</w:t>
      </w:r>
      <w:r w:rsidR="00C36D91" w:rsidRPr="0092311A">
        <w:rPr>
          <w:rStyle w:val="hps"/>
        </w:rPr>
        <w:t>,</w:t>
      </w:r>
      <w:r w:rsidRPr="0092311A">
        <w:rPr>
          <w:rStyle w:val="hps"/>
        </w:rPr>
        <w:t xml:space="preserve"> a financiar por la </w:t>
      </w:r>
      <w:r w:rsidR="00DF772C" w:rsidRPr="0092311A">
        <w:rPr>
          <w:szCs w:val="24"/>
        </w:rPr>
        <w:t>D</w:t>
      </w:r>
      <w:r w:rsidR="00EF0E62" w:rsidRPr="0092311A">
        <w:rPr>
          <w:szCs w:val="24"/>
        </w:rPr>
        <w:t xml:space="preserve">ivisión de Integración del Banco (INT) </w:t>
      </w:r>
      <w:r w:rsidR="00777008" w:rsidRPr="0092311A">
        <w:rPr>
          <w:szCs w:val="24"/>
        </w:rPr>
        <w:t>fuera del marco de esta operación, para identificar los mercados nicho en donde deba</w:t>
      </w:r>
      <w:r w:rsidRPr="0092311A">
        <w:rPr>
          <w:szCs w:val="24"/>
        </w:rPr>
        <w:t>n</w:t>
      </w:r>
      <w:r w:rsidR="00777008" w:rsidRPr="0092311A">
        <w:rPr>
          <w:szCs w:val="24"/>
        </w:rPr>
        <w:t xml:space="preserve"> focalizarse los esfuerzos de promoción y de participación en ferias.</w:t>
      </w:r>
    </w:p>
    <w:p w:rsidR="00D752BD" w:rsidRPr="0092311A" w:rsidRDefault="00B43482" w:rsidP="0089008F">
      <w:pPr>
        <w:pStyle w:val="AutoNumpara"/>
      </w:pPr>
      <w:r w:rsidRPr="0092311A">
        <w:rPr>
          <w:rStyle w:val="hps"/>
        </w:rPr>
        <w:t xml:space="preserve">Las actividades </w:t>
      </w:r>
      <w:r w:rsidR="0089008F" w:rsidRPr="0092311A">
        <w:rPr>
          <w:rStyle w:val="hps"/>
        </w:rPr>
        <w:t xml:space="preserve">y productos </w:t>
      </w:r>
      <w:r w:rsidRPr="0092311A">
        <w:rPr>
          <w:rStyle w:val="hps"/>
        </w:rPr>
        <w:t xml:space="preserve">que se tienen previstas son: (i) </w:t>
      </w:r>
      <w:r w:rsidR="0089008F" w:rsidRPr="0092311A">
        <w:rPr>
          <w:rStyle w:val="hps"/>
        </w:rPr>
        <w:t xml:space="preserve">diseñar </w:t>
      </w:r>
      <w:r w:rsidR="009D49E0" w:rsidRPr="0092311A">
        <w:rPr>
          <w:rStyle w:val="hps"/>
        </w:rPr>
        <w:t>programa de extensión en alianza con socios del sector público y privado para lograr el escalamiento de esta iniciativa</w:t>
      </w:r>
      <w:r w:rsidR="0089008F" w:rsidRPr="0092311A">
        <w:rPr>
          <w:rStyle w:val="hps"/>
        </w:rPr>
        <w:t xml:space="preserve"> (5 guías para el productor y 5 para los funcionarios de extensión)</w:t>
      </w:r>
      <w:r w:rsidR="009D49E0" w:rsidRPr="0092311A">
        <w:rPr>
          <w:rStyle w:val="hps"/>
        </w:rPr>
        <w:t xml:space="preserve">; (ii) </w:t>
      </w:r>
      <w:r w:rsidRPr="0092311A">
        <w:rPr>
          <w:rStyle w:val="hps"/>
        </w:rPr>
        <w:t>elaboración de material para formación y difusión; (i</w:t>
      </w:r>
      <w:r w:rsidR="00BB704C" w:rsidRPr="0092311A">
        <w:rPr>
          <w:rStyle w:val="hps"/>
        </w:rPr>
        <w:t>i</w:t>
      </w:r>
      <w:r w:rsidRPr="0092311A">
        <w:rPr>
          <w:rStyle w:val="hps"/>
        </w:rPr>
        <w:t xml:space="preserve">i) formación de capacitadores </w:t>
      </w:r>
      <w:r w:rsidR="00354A34" w:rsidRPr="0092311A">
        <w:rPr>
          <w:rStyle w:val="hps"/>
        </w:rPr>
        <w:t>extensionistas</w:t>
      </w:r>
      <w:r w:rsidR="0089008F" w:rsidRPr="0092311A">
        <w:rPr>
          <w:rStyle w:val="hps"/>
        </w:rPr>
        <w:t xml:space="preserve"> (18, desagregados por sexo)</w:t>
      </w:r>
      <w:r w:rsidR="00D752BD" w:rsidRPr="0092311A">
        <w:rPr>
          <w:rStyle w:val="hps"/>
        </w:rPr>
        <w:t>; (iv</w:t>
      </w:r>
      <w:r w:rsidR="00D752BD" w:rsidRPr="0092311A">
        <w:t xml:space="preserve">) </w:t>
      </w:r>
      <w:r w:rsidR="00354A34" w:rsidRPr="0092311A">
        <w:t xml:space="preserve">sensibilización y </w:t>
      </w:r>
      <w:r w:rsidR="00224C43" w:rsidRPr="0092311A">
        <w:t>capacitación de productores</w:t>
      </w:r>
      <w:r w:rsidR="0089008F" w:rsidRPr="0092311A">
        <w:t xml:space="preserve"> (3,000, desagregados por sexo)</w:t>
      </w:r>
      <w:r w:rsidR="00224C43" w:rsidRPr="0092311A">
        <w:t xml:space="preserve">; (v) </w:t>
      </w:r>
      <w:r w:rsidR="00D752BD" w:rsidRPr="0092311A">
        <w:rPr>
          <w:rStyle w:val="hps"/>
        </w:rPr>
        <w:t>presentaciones y talleres</w:t>
      </w:r>
      <w:r w:rsidR="00D752BD" w:rsidRPr="0092311A">
        <w:t xml:space="preserve"> </w:t>
      </w:r>
      <w:r w:rsidR="00D752BD" w:rsidRPr="0092311A">
        <w:rPr>
          <w:rStyle w:val="hps"/>
        </w:rPr>
        <w:t>a nivel nacional,</w:t>
      </w:r>
      <w:r w:rsidR="00D752BD" w:rsidRPr="0092311A">
        <w:t xml:space="preserve"> </w:t>
      </w:r>
      <w:r w:rsidR="00D752BD" w:rsidRPr="0092311A">
        <w:rPr>
          <w:rStyle w:val="hps"/>
        </w:rPr>
        <w:t>regional</w:t>
      </w:r>
      <w:r w:rsidR="00D752BD" w:rsidRPr="0092311A">
        <w:t xml:space="preserve"> e internacional; </w:t>
      </w:r>
      <w:r w:rsidR="00D752BD" w:rsidRPr="0092311A">
        <w:rPr>
          <w:rStyle w:val="atn"/>
        </w:rPr>
        <w:t>(v</w:t>
      </w:r>
      <w:r w:rsidR="00614C7D" w:rsidRPr="0092311A">
        <w:rPr>
          <w:rStyle w:val="atn"/>
        </w:rPr>
        <w:t>i</w:t>
      </w:r>
      <w:r w:rsidR="00D752BD" w:rsidRPr="0092311A">
        <w:t xml:space="preserve">) capacitación </w:t>
      </w:r>
      <w:r w:rsidR="00E365E1" w:rsidRPr="0092311A">
        <w:t xml:space="preserve">de cooperativas </w:t>
      </w:r>
      <w:r w:rsidR="00D752BD" w:rsidRPr="0092311A">
        <w:rPr>
          <w:rStyle w:val="hps"/>
        </w:rPr>
        <w:t>en</w:t>
      </w:r>
      <w:r w:rsidR="00D752BD" w:rsidRPr="0092311A">
        <w:t xml:space="preserve"> </w:t>
      </w:r>
      <w:r w:rsidR="00D752BD" w:rsidRPr="0092311A">
        <w:rPr>
          <w:rStyle w:val="hps"/>
        </w:rPr>
        <w:t>comercialización; y (vi</w:t>
      </w:r>
      <w:r w:rsidR="00224C43" w:rsidRPr="0092311A">
        <w:rPr>
          <w:rStyle w:val="hps"/>
        </w:rPr>
        <w:t>i</w:t>
      </w:r>
      <w:r w:rsidR="00D752BD" w:rsidRPr="0092311A">
        <w:rPr>
          <w:rStyle w:val="hps"/>
        </w:rPr>
        <w:t>) participación en ferias</w:t>
      </w:r>
      <w:r w:rsidR="0089008F" w:rsidRPr="0092311A">
        <w:rPr>
          <w:rStyle w:val="hps"/>
        </w:rPr>
        <w:t xml:space="preserve"> internacionales del café (de al menos 3 cooperativas)</w:t>
      </w:r>
      <w:r w:rsidR="00D752BD" w:rsidRPr="0092311A">
        <w:rPr>
          <w:rStyle w:val="hps"/>
        </w:rPr>
        <w:t>.</w:t>
      </w:r>
      <w:r w:rsidR="00D752BD" w:rsidRPr="0092311A">
        <w:t xml:space="preserve"> </w:t>
      </w:r>
      <w:r w:rsidR="00343261" w:rsidRPr="0092311A">
        <w:t>En las actividades de sensibilización, capacitación y formación se tratará</w:t>
      </w:r>
      <w:r w:rsidR="00957017" w:rsidRPr="0092311A">
        <w:t>,</w:t>
      </w:r>
      <w:r w:rsidR="00343261" w:rsidRPr="0092311A">
        <w:t xml:space="preserve"> en la medida de lo </w:t>
      </w:r>
      <w:r w:rsidR="00343261" w:rsidRPr="0092311A">
        <w:rPr>
          <w:rStyle w:val="hps"/>
        </w:rPr>
        <w:t>posible</w:t>
      </w:r>
      <w:r w:rsidR="00957017" w:rsidRPr="0092311A">
        <w:rPr>
          <w:rStyle w:val="hps"/>
        </w:rPr>
        <w:t>,</w:t>
      </w:r>
      <w:r w:rsidR="00343261" w:rsidRPr="0092311A">
        <w:rPr>
          <w:rStyle w:val="hps"/>
        </w:rPr>
        <w:t xml:space="preserve"> </w:t>
      </w:r>
      <w:r w:rsidR="00957017" w:rsidRPr="0092311A">
        <w:rPr>
          <w:rStyle w:val="hps"/>
        </w:rPr>
        <w:t xml:space="preserve">de </w:t>
      </w:r>
      <w:r w:rsidR="00343261" w:rsidRPr="0092311A">
        <w:rPr>
          <w:rStyle w:val="hps"/>
        </w:rPr>
        <w:t>promover la participación de la mujer.</w:t>
      </w:r>
    </w:p>
    <w:p w:rsidR="00DA4725" w:rsidRPr="0092311A" w:rsidRDefault="0089008F" w:rsidP="00DA4725">
      <w:pPr>
        <w:pStyle w:val="AutoNumpara"/>
        <w:rPr>
          <w:rStyle w:val="hps"/>
        </w:rPr>
      </w:pPr>
      <w:r w:rsidRPr="0092311A">
        <w:t>Algunos productos q</w:t>
      </w:r>
      <w:r w:rsidR="00D752BD" w:rsidRPr="0092311A">
        <w:t>ue se generarán son</w:t>
      </w:r>
      <w:r w:rsidR="00D752BD" w:rsidRPr="0092311A">
        <w:rPr>
          <w:rStyle w:val="hps"/>
        </w:rPr>
        <w:t>:</w:t>
      </w:r>
      <w:r w:rsidR="00D752BD" w:rsidRPr="0092311A">
        <w:t xml:space="preserve"> </w:t>
      </w:r>
      <w:r w:rsidR="00D752BD" w:rsidRPr="0092311A">
        <w:rPr>
          <w:rStyle w:val="hps"/>
        </w:rPr>
        <w:t>(</w:t>
      </w:r>
      <w:r w:rsidR="00D752BD" w:rsidRPr="0092311A">
        <w:t xml:space="preserve">i) </w:t>
      </w:r>
      <w:r w:rsidR="00A70E6F" w:rsidRPr="0092311A">
        <w:rPr>
          <w:rStyle w:val="hps"/>
        </w:rPr>
        <w:t>un programa de extensión agrícola establecido para la formación de formadores públicos y privados;</w:t>
      </w:r>
      <w:r w:rsidR="00D752BD" w:rsidRPr="0092311A">
        <w:t xml:space="preserve"> (ii) </w:t>
      </w:r>
      <w:r w:rsidR="00A70E6F" w:rsidRPr="0092311A">
        <w:t xml:space="preserve">al menos </w:t>
      </w:r>
      <w:r w:rsidR="00C74305" w:rsidRPr="0092311A">
        <w:rPr>
          <w:rStyle w:val="hps"/>
        </w:rPr>
        <w:t xml:space="preserve">18 </w:t>
      </w:r>
      <w:r w:rsidR="00A70E6F" w:rsidRPr="0092311A">
        <w:rPr>
          <w:rStyle w:val="hps"/>
        </w:rPr>
        <w:t xml:space="preserve">formadores </w:t>
      </w:r>
      <w:r w:rsidR="003D7874" w:rsidRPr="0092311A">
        <w:rPr>
          <w:rStyle w:val="hps"/>
        </w:rPr>
        <w:t xml:space="preserve">extensionistas </w:t>
      </w:r>
      <w:r w:rsidR="00A70E6F" w:rsidRPr="0092311A">
        <w:rPr>
          <w:rStyle w:val="hps"/>
        </w:rPr>
        <w:t>del ICAFE y el MAG capacitados</w:t>
      </w:r>
      <w:r w:rsidR="00501775" w:rsidRPr="0092311A">
        <w:rPr>
          <w:rStyle w:val="hps"/>
        </w:rPr>
        <w:t xml:space="preserve"> (desagregados por sexo)</w:t>
      </w:r>
      <w:r w:rsidR="00A70E6F" w:rsidRPr="0092311A">
        <w:rPr>
          <w:rStyle w:val="hps"/>
        </w:rPr>
        <w:t>;</w:t>
      </w:r>
      <w:r w:rsidR="00D752BD" w:rsidRPr="0092311A">
        <w:t xml:space="preserve"> (iii) </w:t>
      </w:r>
      <w:r w:rsidR="0045188B" w:rsidRPr="0092311A">
        <w:rPr>
          <w:rStyle w:val="hps"/>
        </w:rPr>
        <w:t xml:space="preserve">al menos </w:t>
      </w:r>
      <w:r w:rsidR="006B6A74" w:rsidRPr="0092311A">
        <w:rPr>
          <w:rStyle w:val="hps"/>
        </w:rPr>
        <w:t>800</w:t>
      </w:r>
      <w:r w:rsidR="0045188B" w:rsidRPr="0092311A">
        <w:rPr>
          <w:rStyle w:val="hps"/>
        </w:rPr>
        <w:t xml:space="preserve"> productores capacitados</w:t>
      </w:r>
      <w:r w:rsidR="00501775" w:rsidRPr="0092311A">
        <w:rPr>
          <w:rStyle w:val="hps"/>
        </w:rPr>
        <w:t xml:space="preserve"> (desagregados por sexo)</w:t>
      </w:r>
      <w:r w:rsidR="00E04474" w:rsidRPr="0092311A">
        <w:rPr>
          <w:rStyle w:val="hps"/>
        </w:rPr>
        <w:t>;</w:t>
      </w:r>
      <w:r w:rsidR="00614C7D" w:rsidRPr="0092311A">
        <w:rPr>
          <w:rStyle w:val="hps"/>
        </w:rPr>
        <w:t xml:space="preserve"> </w:t>
      </w:r>
      <w:r w:rsidR="00E04474" w:rsidRPr="0092311A">
        <w:rPr>
          <w:rStyle w:val="hps"/>
        </w:rPr>
        <w:t xml:space="preserve">(iv) </w:t>
      </w:r>
      <w:r w:rsidR="003D7874" w:rsidRPr="0092311A">
        <w:rPr>
          <w:rStyle w:val="hps"/>
        </w:rPr>
        <w:t xml:space="preserve">al menos </w:t>
      </w:r>
      <w:r w:rsidR="00614C7D" w:rsidRPr="0092311A">
        <w:rPr>
          <w:rStyle w:val="hps"/>
        </w:rPr>
        <w:t xml:space="preserve">3000 </w:t>
      </w:r>
      <w:r w:rsidR="00E04474" w:rsidRPr="0092311A">
        <w:rPr>
          <w:rStyle w:val="hps"/>
        </w:rPr>
        <w:t xml:space="preserve">productores </w:t>
      </w:r>
      <w:r w:rsidR="00614C7D" w:rsidRPr="0092311A">
        <w:rPr>
          <w:rStyle w:val="hps"/>
        </w:rPr>
        <w:t>sensibilizados</w:t>
      </w:r>
      <w:r w:rsidR="00501775" w:rsidRPr="0092311A">
        <w:rPr>
          <w:rStyle w:val="hps"/>
        </w:rPr>
        <w:t xml:space="preserve"> (desagregados por sexo)</w:t>
      </w:r>
      <w:r w:rsidR="0045188B" w:rsidRPr="0092311A">
        <w:rPr>
          <w:rStyle w:val="hps"/>
        </w:rPr>
        <w:t xml:space="preserve">; (v) </w:t>
      </w:r>
      <w:r w:rsidR="00C7215F" w:rsidRPr="0092311A">
        <w:rPr>
          <w:rStyle w:val="hps"/>
        </w:rPr>
        <w:t xml:space="preserve">al menos 3 </w:t>
      </w:r>
      <w:r w:rsidR="00760FF8" w:rsidRPr="0092311A">
        <w:rPr>
          <w:rStyle w:val="hps"/>
        </w:rPr>
        <w:t xml:space="preserve"> </w:t>
      </w:r>
      <w:r w:rsidR="00D752BD" w:rsidRPr="0092311A">
        <w:rPr>
          <w:rStyle w:val="hps"/>
        </w:rPr>
        <w:t>cooperativas</w:t>
      </w:r>
      <w:r w:rsidR="00D752BD" w:rsidRPr="0092311A">
        <w:t xml:space="preserve"> </w:t>
      </w:r>
      <w:r w:rsidR="00760FF8" w:rsidRPr="0092311A">
        <w:t xml:space="preserve">participan </w:t>
      </w:r>
      <w:r w:rsidR="00D752BD" w:rsidRPr="0092311A">
        <w:rPr>
          <w:rStyle w:val="hps"/>
        </w:rPr>
        <w:t>en ferias</w:t>
      </w:r>
      <w:r w:rsidR="00900031">
        <w:rPr>
          <w:rStyle w:val="hps"/>
        </w:rPr>
        <w:t>.</w:t>
      </w:r>
      <w:r w:rsidR="00D752BD" w:rsidRPr="0092311A">
        <w:t xml:space="preserve"> </w:t>
      </w:r>
    </w:p>
    <w:p w:rsidR="00162982" w:rsidRPr="0092311A" w:rsidRDefault="00162982" w:rsidP="00162982">
      <w:pPr>
        <w:pStyle w:val="AutoNumpara"/>
        <w:numPr>
          <w:ilvl w:val="0"/>
          <w:numId w:val="0"/>
        </w:numPr>
        <w:rPr>
          <w:rStyle w:val="hps"/>
          <w:b/>
        </w:rPr>
      </w:pPr>
      <w:r w:rsidRPr="0092311A">
        <w:rPr>
          <w:rStyle w:val="hps"/>
          <w:b/>
        </w:rPr>
        <w:t>Componente V. Gestión del conocimiento (FOMIN: US$</w:t>
      </w:r>
      <w:r w:rsidR="00F34174" w:rsidRPr="0092311A">
        <w:rPr>
          <w:rStyle w:val="hps"/>
          <w:b/>
        </w:rPr>
        <w:t>51</w:t>
      </w:r>
      <w:r w:rsidRPr="0092311A">
        <w:rPr>
          <w:rStyle w:val="hps"/>
          <w:b/>
        </w:rPr>
        <w:t>.000).</w:t>
      </w:r>
    </w:p>
    <w:p w:rsidR="008B700D" w:rsidRPr="0092311A" w:rsidRDefault="00E864B9" w:rsidP="00C36D91">
      <w:pPr>
        <w:pStyle w:val="AutoNumpara"/>
        <w:rPr>
          <w:rStyle w:val="hps"/>
        </w:rPr>
      </w:pPr>
      <w:r w:rsidRPr="0092311A">
        <w:rPr>
          <w:rStyle w:val="hps"/>
        </w:rPr>
        <w:t xml:space="preserve">En el sector cafetalero de Costa Rica existe una falta de conocimiento acerca de la adopción de sistemas de producción más eficientes y sostenibles que reduzcan las emisiones de GEI. </w:t>
      </w:r>
      <w:r w:rsidR="00162982" w:rsidRPr="0092311A">
        <w:rPr>
          <w:rStyle w:val="hps"/>
        </w:rPr>
        <w:t xml:space="preserve">El proyecto busca conocer la combinación óptima de </w:t>
      </w:r>
      <w:r w:rsidRPr="0092311A">
        <w:rPr>
          <w:rStyle w:val="hps"/>
        </w:rPr>
        <w:t xml:space="preserve">estas </w:t>
      </w:r>
      <w:r w:rsidR="00162982" w:rsidRPr="0092311A">
        <w:rPr>
          <w:rStyle w:val="hps"/>
        </w:rPr>
        <w:t>tecnologías de producción y beneficiado de café</w:t>
      </w:r>
      <w:r w:rsidRPr="0092311A">
        <w:rPr>
          <w:rStyle w:val="hps"/>
        </w:rPr>
        <w:t xml:space="preserve">. Como identificado en el Componente II, el proyecto busca </w:t>
      </w:r>
      <w:r w:rsidR="00B72BFA" w:rsidRPr="0092311A">
        <w:rPr>
          <w:rStyle w:val="hps"/>
        </w:rPr>
        <w:t xml:space="preserve">establecer </w:t>
      </w:r>
      <w:r w:rsidR="00162982" w:rsidRPr="0092311A">
        <w:rPr>
          <w:rStyle w:val="hps"/>
        </w:rPr>
        <w:t xml:space="preserve">un protocolo de medición que dé transparencia y confianza, y de acceso a pequeñas cooperativas de productores. </w:t>
      </w:r>
    </w:p>
    <w:p w:rsidR="00E864B9" w:rsidRPr="0092311A" w:rsidRDefault="00E864B9" w:rsidP="00E864B9">
      <w:pPr>
        <w:pStyle w:val="AutoNumpara"/>
        <w:rPr>
          <w:rStyle w:val="hps"/>
        </w:rPr>
      </w:pPr>
      <w:r w:rsidRPr="0092311A">
        <w:rPr>
          <w:rStyle w:val="hps"/>
        </w:rPr>
        <w:t xml:space="preserve">Para la elaboración y promoción del conocimiento se establecerá una alianza con WRI como socio de conocimiento en el desarrollo de tanto el modelo de MRV, como las experiencias prácticas. Adicionalmente, la difusión de este conocimiento se </w:t>
      </w:r>
      <w:r w:rsidR="00B72BFA" w:rsidRPr="0092311A">
        <w:rPr>
          <w:rStyle w:val="hps"/>
        </w:rPr>
        <w:t xml:space="preserve">realizará </w:t>
      </w:r>
      <w:r w:rsidRPr="0092311A">
        <w:rPr>
          <w:rStyle w:val="hps"/>
        </w:rPr>
        <w:t xml:space="preserve">sobre una plataforma virtual a cargo del MAG e INTA que actualmente es utilizada por los productores para intercambiar sus conocimientos y experiencias, lo que facilitará llegar a esta audiencia. </w:t>
      </w:r>
    </w:p>
    <w:p w:rsidR="00DA6BD4" w:rsidRPr="0092311A" w:rsidRDefault="00DA6BD4" w:rsidP="00DA6BD4">
      <w:pPr>
        <w:pStyle w:val="AutoNumpara"/>
        <w:rPr>
          <w:rStyle w:val="hps"/>
        </w:rPr>
      </w:pPr>
      <w:r w:rsidRPr="0092311A">
        <w:rPr>
          <w:rStyle w:val="hps"/>
        </w:rPr>
        <w:t>Las audiencias claves de los productos de conocimiento serán los productores y las plantas procesadoras de café que se benficiarán de las lecciones aprendidas, como también el sector de café y sus distintos actores públicos y privados, a nivel local, nacional, regional e internacional.</w:t>
      </w:r>
    </w:p>
    <w:p w:rsidR="008B700D" w:rsidRPr="0092311A" w:rsidRDefault="0043727F" w:rsidP="004A00D1">
      <w:pPr>
        <w:pStyle w:val="AutoNumpara"/>
        <w:rPr>
          <w:rStyle w:val="hps"/>
        </w:rPr>
      </w:pPr>
      <w:r w:rsidRPr="0092311A">
        <w:rPr>
          <w:rStyle w:val="hps"/>
        </w:rPr>
        <w:t xml:space="preserve">Los productos específicos de conocimiento son: </w:t>
      </w:r>
      <w:r w:rsidR="00C5525B" w:rsidRPr="0092311A">
        <w:rPr>
          <w:rStyle w:val="hps"/>
        </w:rPr>
        <w:t xml:space="preserve">(i) </w:t>
      </w:r>
      <w:r w:rsidR="00B33B2A" w:rsidRPr="0092311A">
        <w:rPr>
          <w:rStyle w:val="hps"/>
        </w:rPr>
        <w:t xml:space="preserve">estudio caso sobre </w:t>
      </w:r>
      <w:r w:rsidR="00146B91" w:rsidRPr="0092311A">
        <w:t xml:space="preserve">“Mejores prácticas sobre MRV </w:t>
      </w:r>
      <w:r w:rsidR="00844CEC" w:rsidRPr="0092311A">
        <w:t xml:space="preserve">de GEI </w:t>
      </w:r>
      <w:r w:rsidR="00146B91" w:rsidRPr="0092311A">
        <w:t>en el sector agro-alimentario” elaborado</w:t>
      </w:r>
      <w:r w:rsidR="00C5525B" w:rsidRPr="0092311A">
        <w:t xml:space="preserve">, </w:t>
      </w:r>
      <w:r w:rsidRPr="0092311A">
        <w:rPr>
          <w:rStyle w:val="hps"/>
        </w:rPr>
        <w:t>que evalúa las lecciones aprendidas de la ejecución de los proyectos piloto, las posibilidades de ampliación de las tecnologías aplicadas, y las oportunidades para alcanzar precios más elevados en el mercado internacional</w:t>
      </w:r>
      <w:r w:rsidR="00B33B2A" w:rsidRPr="0092311A">
        <w:rPr>
          <w:rStyle w:val="hps"/>
        </w:rPr>
        <w:t>;</w:t>
      </w:r>
      <w:r w:rsidRPr="0092311A">
        <w:rPr>
          <w:rStyle w:val="hps"/>
        </w:rPr>
        <w:t xml:space="preserve"> (ii) una gu</w:t>
      </w:r>
      <w:r w:rsidR="0000319B" w:rsidRPr="0092311A">
        <w:rPr>
          <w:rStyle w:val="hps"/>
        </w:rPr>
        <w:t>í</w:t>
      </w:r>
      <w:r w:rsidRPr="0092311A">
        <w:rPr>
          <w:rStyle w:val="hps"/>
        </w:rPr>
        <w:t>a para orientar en la consecución de café bajo en carbono y la metodología de cómo medirlo (MRV)</w:t>
      </w:r>
      <w:r w:rsidR="00B33B2A" w:rsidRPr="0092311A">
        <w:rPr>
          <w:rStyle w:val="hps"/>
        </w:rPr>
        <w:t>, elaborado en el Componente II</w:t>
      </w:r>
      <w:r w:rsidR="00FB04F5" w:rsidRPr="0092311A">
        <w:rPr>
          <w:rStyle w:val="hps"/>
        </w:rPr>
        <w:t>;</w:t>
      </w:r>
      <w:r w:rsidR="00162982" w:rsidRPr="0092311A">
        <w:rPr>
          <w:rStyle w:val="hps"/>
        </w:rPr>
        <w:t xml:space="preserve"> y (iii) </w:t>
      </w:r>
      <w:r w:rsidR="004A00D1" w:rsidRPr="0092311A">
        <w:rPr>
          <w:rStyle w:val="hps"/>
        </w:rPr>
        <w:t xml:space="preserve">infografía y análisis </w:t>
      </w:r>
      <w:r w:rsidR="00162982" w:rsidRPr="0092311A">
        <w:rPr>
          <w:rStyle w:val="hps"/>
        </w:rPr>
        <w:t>de costo-beneficio de las diferentes opciones tecnológicas probadas en los proyectos pilotos para optimizar las combinaciones tecnológicas que permitan alcanzar la producción de café bajo en carbono, asi como la metodología para su monitoreo, reporte y verificación.</w:t>
      </w:r>
      <w:r w:rsidRPr="0092311A">
        <w:rPr>
          <w:rStyle w:val="hps"/>
        </w:rPr>
        <w:t xml:space="preserve"> </w:t>
      </w:r>
    </w:p>
    <w:p w:rsidR="00162982" w:rsidRPr="0092311A" w:rsidRDefault="00E864B9" w:rsidP="00E864B9">
      <w:pPr>
        <w:pStyle w:val="AutoNumpara"/>
        <w:rPr>
          <w:rStyle w:val="hps"/>
        </w:rPr>
      </w:pPr>
      <w:r w:rsidRPr="0092311A">
        <w:rPr>
          <w:rStyle w:val="hps"/>
        </w:rPr>
        <w:t xml:space="preserve">Como parte de la difusión de los productos de conocimiento, el </w:t>
      </w:r>
      <w:r w:rsidR="008B700D" w:rsidRPr="0092311A">
        <w:rPr>
          <w:rStyle w:val="hps"/>
        </w:rPr>
        <w:t xml:space="preserve">componente </w:t>
      </w:r>
      <w:r w:rsidR="00957017" w:rsidRPr="0092311A">
        <w:rPr>
          <w:rStyle w:val="hps"/>
        </w:rPr>
        <w:t>incluye:</w:t>
      </w:r>
      <w:r w:rsidR="008B700D" w:rsidRPr="0092311A">
        <w:rPr>
          <w:rStyle w:val="hps"/>
        </w:rPr>
        <w:t xml:space="preserve"> (i) presentación de las experiencias y lecciones del proyecto en eventos nacionales, regionales e internacionales; (ii) </w:t>
      </w:r>
      <w:r w:rsidR="00B72BFA" w:rsidRPr="0092311A">
        <w:rPr>
          <w:rStyle w:val="hps"/>
        </w:rPr>
        <w:t xml:space="preserve">una estrategia de medios; (iii) </w:t>
      </w:r>
      <w:r w:rsidR="008B700D" w:rsidRPr="0092311A">
        <w:rPr>
          <w:rStyle w:val="hps"/>
        </w:rPr>
        <w:t xml:space="preserve">difusión de la experiencia y materiales en </w:t>
      </w:r>
      <w:r w:rsidRPr="0092311A">
        <w:rPr>
          <w:rStyle w:val="hps"/>
        </w:rPr>
        <w:t>los sitios web más importantes a nivel nacional y regional</w:t>
      </w:r>
      <w:r w:rsidRPr="0092311A">
        <w:rPr>
          <w:rStyle w:val="FootnoteReference"/>
        </w:rPr>
        <w:footnoteReference w:id="36"/>
      </w:r>
      <w:r w:rsidRPr="0092311A">
        <w:rPr>
          <w:rStyle w:val="hps"/>
        </w:rPr>
        <w:t xml:space="preserve">, </w:t>
      </w:r>
      <w:r w:rsidR="008B700D" w:rsidRPr="0092311A">
        <w:rPr>
          <w:rStyle w:val="hps"/>
        </w:rPr>
        <w:t>Fundecooperación</w:t>
      </w:r>
      <w:r w:rsidR="00957017" w:rsidRPr="0092311A">
        <w:rPr>
          <w:rStyle w:val="hps"/>
        </w:rPr>
        <w:t xml:space="preserve">, </w:t>
      </w:r>
      <w:r w:rsidR="008B700D" w:rsidRPr="0092311A">
        <w:rPr>
          <w:rStyle w:val="hps"/>
        </w:rPr>
        <w:t>ICAFE</w:t>
      </w:r>
      <w:r w:rsidR="00957017" w:rsidRPr="0092311A">
        <w:rPr>
          <w:rStyle w:val="hps"/>
        </w:rPr>
        <w:t xml:space="preserve"> y</w:t>
      </w:r>
      <w:r w:rsidRPr="0092311A">
        <w:rPr>
          <w:rStyle w:val="hps"/>
        </w:rPr>
        <w:t xml:space="preserve"> otros</w:t>
      </w:r>
      <w:r w:rsidR="008B700D" w:rsidRPr="0092311A">
        <w:rPr>
          <w:rStyle w:val="hps"/>
        </w:rPr>
        <w:t xml:space="preserve">. </w:t>
      </w:r>
      <w:r w:rsidRPr="0092311A">
        <w:rPr>
          <w:rStyle w:val="hps"/>
        </w:rPr>
        <w:t xml:space="preserve">Adicionalmente y fuera del alcance de esta </w:t>
      </w:r>
      <w:r w:rsidR="00DA6BD4" w:rsidRPr="0092311A">
        <w:rPr>
          <w:rStyle w:val="hps"/>
        </w:rPr>
        <w:t xml:space="preserve">operación, </w:t>
      </w:r>
      <w:r w:rsidRPr="0092311A">
        <w:rPr>
          <w:rStyle w:val="hps"/>
        </w:rPr>
        <w:t>WRI publica</w:t>
      </w:r>
      <w:r w:rsidR="00DA6BD4" w:rsidRPr="0092311A">
        <w:rPr>
          <w:rStyle w:val="hps"/>
        </w:rPr>
        <w:t xml:space="preserve">rá </w:t>
      </w:r>
      <w:r w:rsidRPr="0092311A">
        <w:rPr>
          <w:rStyle w:val="hps"/>
        </w:rPr>
        <w:t>los proyectos pilotos que realizó para la validación de su modelo de MRV y de protocolo agrícola, entre los cuales se incluirá la experiencia adquirida en esta operación.</w:t>
      </w:r>
      <w:r w:rsidR="00DA6BD4" w:rsidRPr="0092311A">
        <w:rPr>
          <w:rStyle w:val="hps"/>
        </w:rPr>
        <w:t xml:space="preserve"> </w:t>
      </w:r>
    </w:p>
    <w:p w:rsidR="00F226AF" w:rsidRPr="0092311A" w:rsidRDefault="00F226AF" w:rsidP="00F226AF">
      <w:pPr>
        <w:pStyle w:val="AutoNumpara"/>
        <w:numPr>
          <w:ilvl w:val="0"/>
          <w:numId w:val="0"/>
        </w:numPr>
        <w:rPr>
          <w:rStyle w:val="hps"/>
        </w:rPr>
      </w:pPr>
      <w:r w:rsidRPr="0092311A">
        <w:rPr>
          <w:rStyle w:val="hps"/>
          <w:b/>
        </w:rPr>
        <w:t>D.</w:t>
      </w:r>
      <w:r w:rsidRPr="0092311A">
        <w:rPr>
          <w:rStyle w:val="hps"/>
          <w:b/>
        </w:rPr>
        <w:tab/>
        <w:t>Gobernanza del Proyecto y Mecanismo de ejecución</w:t>
      </w:r>
    </w:p>
    <w:p w:rsidR="006D43BE" w:rsidRPr="0092311A" w:rsidRDefault="006D43BE" w:rsidP="002E3AB7">
      <w:pPr>
        <w:pStyle w:val="AutoNumpara"/>
        <w:rPr>
          <w:rStyle w:val="hps"/>
        </w:rPr>
      </w:pPr>
      <w:r w:rsidRPr="0092311A">
        <w:rPr>
          <w:rStyle w:val="hps"/>
        </w:rPr>
        <w:t xml:space="preserve">Desde </w:t>
      </w:r>
      <w:r w:rsidR="00C44EAF" w:rsidRPr="0092311A">
        <w:rPr>
          <w:rStyle w:val="hps"/>
        </w:rPr>
        <w:t xml:space="preserve">la formulación del proyecto </w:t>
      </w:r>
      <w:r w:rsidRPr="0092311A">
        <w:rPr>
          <w:rStyle w:val="hps"/>
        </w:rPr>
        <w:t xml:space="preserve">se creó un Grupo de Trabajo (GT) conformado por </w:t>
      </w:r>
      <w:r w:rsidR="004F75D8" w:rsidRPr="0092311A">
        <w:rPr>
          <w:rStyle w:val="hps"/>
        </w:rPr>
        <w:t xml:space="preserve">un delegado de cada una de las siguientes instituciones: </w:t>
      </w:r>
      <w:r w:rsidRPr="0092311A">
        <w:rPr>
          <w:rStyle w:val="hps"/>
        </w:rPr>
        <w:t>MAG, MINAE, ICAFE y FC</w:t>
      </w:r>
      <w:r w:rsidR="002E3AB7" w:rsidRPr="0092311A">
        <w:rPr>
          <w:rStyle w:val="hps"/>
        </w:rPr>
        <w:t xml:space="preserve">. </w:t>
      </w:r>
      <w:r w:rsidR="007F3A9A" w:rsidRPr="0092311A">
        <w:rPr>
          <w:rStyle w:val="hps"/>
        </w:rPr>
        <w:t xml:space="preserve">MAG preside la coordinación del GT y la </w:t>
      </w:r>
      <w:r w:rsidR="002E3AB7" w:rsidRPr="0092311A">
        <w:rPr>
          <w:rStyle w:val="hps"/>
        </w:rPr>
        <w:t>FC actúa como integradora y catalizadora de los esfuerzos que lidera el gobierno y a la cual el GT le ha delegado la ejecución del proyecto.</w:t>
      </w:r>
      <w:r w:rsidR="004F75D8" w:rsidRPr="0092311A">
        <w:rPr>
          <w:rStyle w:val="FootnoteReference"/>
        </w:rPr>
        <w:footnoteReference w:id="37"/>
      </w:r>
      <w:r w:rsidRPr="0092311A">
        <w:rPr>
          <w:rStyle w:val="hps"/>
        </w:rPr>
        <w:t xml:space="preserve"> </w:t>
      </w:r>
    </w:p>
    <w:p w:rsidR="00471F3A" w:rsidRPr="0092311A" w:rsidRDefault="00D77051" w:rsidP="00844CEC">
      <w:pPr>
        <w:pStyle w:val="AutoNumpara"/>
        <w:rPr>
          <w:rStyle w:val="hps"/>
        </w:rPr>
      </w:pPr>
      <w:r w:rsidRPr="0092311A">
        <w:rPr>
          <w:rStyle w:val="hps"/>
        </w:rPr>
        <w:t>La unidad ejecu</w:t>
      </w:r>
      <w:r w:rsidR="00471F3A" w:rsidRPr="0092311A">
        <w:rPr>
          <w:rStyle w:val="hps"/>
        </w:rPr>
        <w:t xml:space="preserve">tora </w:t>
      </w:r>
      <w:r w:rsidR="00EE1AD1" w:rsidRPr="0092311A">
        <w:rPr>
          <w:rStyle w:val="hps"/>
        </w:rPr>
        <w:t xml:space="preserve">(UE) </w:t>
      </w:r>
      <w:r w:rsidRPr="0092311A">
        <w:rPr>
          <w:rStyle w:val="hps"/>
        </w:rPr>
        <w:t xml:space="preserve">del proyecto </w:t>
      </w:r>
      <w:r w:rsidR="000932EE" w:rsidRPr="0092311A">
        <w:rPr>
          <w:rStyle w:val="hps"/>
        </w:rPr>
        <w:t>será liderada por el Director General de Fundecooperación, contará con el apoyo estratégico de su Junta Administrativa y contará con un coordinador de proyecto que fungirá como el Secretario Técnico del GT</w:t>
      </w:r>
      <w:r w:rsidR="00BD253D" w:rsidRPr="0092311A">
        <w:rPr>
          <w:rStyle w:val="hps"/>
        </w:rPr>
        <w:t xml:space="preserve"> y estar</w:t>
      </w:r>
      <w:r w:rsidR="002E3AB7" w:rsidRPr="0092311A">
        <w:rPr>
          <w:rStyle w:val="hps"/>
        </w:rPr>
        <w:t>á ubicada en las oficinas de FC</w:t>
      </w:r>
      <w:r w:rsidR="00BD253D" w:rsidRPr="0092311A">
        <w:rPr>
          <w:rStyle w:val="hps"/>
        </w:rPr>
        <w:t>.</w:t>
      </w:r>
      <w:r w:rsidR="002E3AB7" w:rsidRPr="0092311A">
        <w:rPr>
          <w:rStyle w:val="hps"/>
        </w:rPr>
        <w:t xml:space="preserve"> </w:t>
      </w:r>
      <w:r w:rsidRPr="0092311A">
        <w:rPr>
          <w:rStyle w:val="hps"/>
        </w:rPr>
        <w:t xml:space="preserve">El </w:t>
      </w:r>
      <w:r w:rsidR="006B6A74" w:rsidRPr="0092311A">
        <w:rPr>
          <w:rStyle w:val="hps"/>
        </w:rPr>
        <w:t>G</w:t>
      </w:r>
      <w:r w:rsidR="003B7C2A" w:rsidRPr="0092311A">
        <w:rPr>
          <w:rStyle w:val="hps"/>
        </w:rPr>
        <w:t xml:space="preserve">T </w:t>
      </w:r>
      <w:r w:rsidRPr="0092311A">
        <w:rPr>
          <w:rStyle w:val="hps"/>
        </w:rPr>
        <w:t>será responsable de</w:t>
      </w:r>
      <w:r w:rsidR="00EE1AD1" w:rsidRPr="0092311A">
        <w:rPr>
          <w:rStyle w:val="hps"/>
        </w:rPr>
        <w:t>:</w:t>
      </w:r>
      <w:r w:rsidRPr="0092311A">
        <w:rPr>
          <w:rStyle w:val="hps"/>
        </w:rPr>
        <w:t xml:space="preserve"> </w:t>
      </w:r>
      <w:r w:rsidR="00EE1AD1" w:rsidRPr="0092311A">
        <w:rPr>
          <w:rStyle w:val="hps"/>
        </w:rPr>
        <w:t xml:space="preserve">(i) </w:t>
      </w:r>
      <w:r w:rsidRPr="0092311A">
        <w:rPr>
          <w:rStyle w:val="hps"/>
        </w:rPr>
        <w:t xml:space="preserve">orientar a la </w:t>
      </w:r>
      <w:r w:rsidR="00EE1AD1" w:rsidRPr="0092311A">
        <w:rPr>
          <w:rStyle w:val="hps"/>
        </w:rPr>
        <w:t>UE; (ii)</w:t>
      </w:r>
      <w:r w:rsidR="00A12961" w:rsidRPr="0092311A">
        <w:rPr>
          <w:rStyle w:val="hps"/>
        </w:rPr>
        <w:t xml:space="preserve"> aprobar el plan </w:t>
      </w:r>
      <w:r w:rsidR="00BD253D" w:rsidRPr="0092311A">
        <w:rPr>
          <w:rStyle w:val="hps"/>
        </w:rPr>
        <w:t xml:space="preserve">operativo anual (POA) </w:t>
      </w:r>
      <w:r w:rsidR="00EE1AD1" w:rsidRPr="0092311A">
        <w:rPr>
          <w:rStyle w:val="hps"/>
        </w:rPr>
        <w:t xml:space="preserve">y dar </w:t>
      </w:r>
      <w:r w:rsidR="00A12961" w:rsidRPr="0092311A">
        <w:rPr>
          <w:rStyle w:val="hps"/>
        </w:rPr>
        <w:t>estrecho seguimiento para su cumplimiento</w:t>
      </w:r>
      <w:r w:rsidRPr="0092311A">
        <w:rPr>
          <w:rStyle w:val="hps"/>
        </w:rPr>
        <w:t xml:space="preserve"> </w:t>
      </w:r>
      <w:r w:rsidR="00A12961" w:rsidRPr="0092311A">
        <w:rPr>
          <w:rStyle w:val="hps"/>
        </w:rPr>
        <w:t xml:space="preserve">y para que </w:t>
      </w:r>
      <w:r w:rsidR="00516B68" w:rsidRPr="0092311A">
        <w:rPr>
          <w:rStyle w:val="hps"/>
        </w:rPr>
        <w:t xml:space="preserve">contribuya </w:t>
      </w:r>
      <w:r w:rsidRPr="0092311A">
        <w:rPr>
          <w:rStyle w:val="hps"/>
        </w:rPr>
        <w:t>a alca</w:t>
      </w:r>
      <w:r w:rsidR="009503DE" w:rsidRPr="0092311A">
        <w:rPr>
          <w:rStyle w:val="hps"/>
        </w:rPr>
        <w:t>nzar los objetivos del proyecto</w:t>
      </w:r>
      <w:r w:rsidR="00EE1AD1" w:rsidRPr="0092311A">
        <w:rPr>
          <w:rStyle w:val="hps"/>
        </w:rPr>
        <w:t xml:space="preserve">; (iii) </w:t>
      </w:r>
      <w:r w:rsidR="000932EE" w:rsidRPr="0092311A">
        <w:rPr>
          <w:rStyle w:val="hps"/>
        </w:rPr>
        <w:t>aprobar el contenido de las consultorías más relevantes (Anexo I</w:t>
      </w:r>
      <w:r w:rsidR="00927F20" w:rsidRPr="0092311A">
        <w:rPr>
          <w:rStyle w:val="hps"/>
        </w:rPr>
        <w:t>V</w:t>
      </w:r>
      <w:r w:rsidR="000932EE" w:rsidRPr="0092311A">
        <w:rPr>
          <w:rStyle w:val="hps"/>
        </w:rPr>
        <w:t>)</w:t>
      </w:r>
      <w:r w:rsidR="00927F20" w:rsidRPr="0092311A">
        <w:rPr>
          <w:rStyle w:val="hps"/>
        </w:rPr>
        <w:t xml:space="preserve">; y </w:t>
      </w:r>
      <w:r w:rsidR="00927F20" w:rsidRPr="0092311A">
        <w:t>(iv) brindar apoyo técnico para la implementación del proyecto mediante la asignación de personal de dichas organizaciones</w:t>
      </w:r>
      <w:r w:rsidR="00927F20" w:rsidRPr="0092311A">
        <w:rPr>
          <w:rStyle w:val="hps"/>
        </w:rPr>
        <w:t xml:space="preserve">. </w:t>
      </w:r>
      <w:r w:rsidR="00C44EAF" w:rsidRPr="0092311A">
        <w:rPr>
          <w:rStyle w:val="hps"/>
        </w:rPr>
        <w:t>Los socios del GT tienen roles específicos: (i) MAG</w:t>
      </w:r>
      <w:r w:rsidR="00C44EAF" w:rsidRPr="0092311A">
        <w:rPr>
          <w:rStyle w:val="FootnoteReference"/>
        </w:rPr>
        <w:footnoteReference w:id="38"/>
      </w:r>
      <w:r w:rsidR="00C44EAF" w:rsidRPr="0092311A">
        <w:rPr>
          <w:rStyle w:val="hps"/>
        </w:rPr>
        <w:t xml:space="preserve"> lidera la coordinación del GT; (ii) ICAFE, </w:t>
      </w:r>
      <w:r w:rsidR="00F9146E" w:rsidRPr="0092311A">
        <w:rPr>
          <w:rStyle w:val="hps"/>
        </w:rPr>
        <w:t>llevará a cabo todas las actividades de capacitación y difusión hacia los productores nacionales y de la cadena de suministro, será responsable de difundir en la región la experiencia y las lecciones aprendidas, a través de PROMECAFE</w:t>
      </w:r>
      <w:r w:rsidR="00C44EAF" w:rsidRPr="0092311A">
        <w:rPr>
          <w:rStyle w:val="hps"/>
        </w:rPr>
        <w:t>; y (iii) MINAE</w:t>
      </w:r>
      <w:r w:rsidR="00C44EAF" w:rsidRPr="0092311A">
        <w:rPr>
          <w:rStyle w:val="FootnoteReference"/>
        </w:rPr>
        <w:footnoteReference w:id="39"/>
      </w:r>
      <w:r w:rsidR="00C44EAF" w:rsidRPr="0092311A">
        <w:rPr>
          <w:rStyle w:val="hps"/>
        </w:rPr>
        <w:t xml:space="preserve">, como </w:t>
      </w:r>
      <w:r w:rsidR="00844CEC" w:rsidRPr="0092311A">
        <w:rPr>
          <w:rStyle w:val="hps"/>
        </w:rPr>
        <w:t xml:space="preserve">Autoridad Nacional Designada, </w:t>
      </w:r>
      <w:r w:rsidR="00C44EAF" w:rsidRPr="0092311A">
        <w:rPr>
          <w:rStyle w:val="hps"/>
        </w:rPr>
        <w:t>DNA</w:t>
      </w:r>
      <w:r w:rsidR="00BD253D" w:rsidRPr="0092311A">
        <w:rPr>
          <w:rStyle w:val="hps"/>
        </w:rPr>
        <w:t>,</w:t>
      </w:r>
      <w:r w:rsidR="00C44EAF" w:rsidRPr="0092311A">
        <w:rPr>
          <w:rStyle w:val="hps"/>
        </w:rPr>
        <w:t xml:space="preserve"> le corresponde la gestión y manejo de comunicaciones con las entidades nacionales e internacionales vinculadas al tema de cambio climático (</w:t>
      </w:r>
      <w:r w:rsidR="00BD253D" w:rsidRPr="0092311A">
        <w:rPr>
          <w:rStyle w:val="hps"/>
        </w:rPr>
        <w:t>CMNUCC</w:t>
      </w:r>
      <w:r w:rsidR="00C44EAF" w:rsidRPr="0092311A">
        <w:rPr>
          <w:rStyle w:val="hps"/>
        </w:rPr>
        <w:t xml:space="preserve">). El GT se </w:t>
      </w:r>
      <w:r w:rsidR="000932EE" w:rsidRPr="0092311A">
        <w:rPr>
          <w:rStyle w:val="hps"/>
        </w:rPr>
        <w:t xml:space="preserve">reunirá </w:t>
      </w:r>
      <w:r w:rsidR="003C24F9" w:rsidRPr="0092311A">
        <w:rPr>
          <w:rStyle w:val="hps"/>
        </w:rPr>
        <w:t xml:space="preserve">inicialmente </w:t>
      </w:r>
      <w:r w:rsidR="000932EE" w:rsidRPr="0092311A">
        <w:rPr>
          <w:rStyle w:val="hps"/>
        </w:rPr>
        <w:t xml:space="preserve">cada </w:t>
      </w:r>
      <w:r w:rsidR="003C24F9" w:rsidRPr="0092311A">
        <w:rPr>
          <w:rStyle w:val="hps"/>
        </w:rPr>
        <w:t>mes</w:t>
      </w:r>
      <w:r w:rsidR="000932EE" w:rsidRPr="0092311A">
        <w:rPr>
          <w:rStyle w:val="hps"/>
        </w:rPr>
        <w:t xml:space="preserve">, para </w:t>
      </w:r>
      <w:r w:rsidR="00594763" w:rsidRPr="0092311A">
        <w:rPr>
          <w:rStyle w:val="hps"/>
        </w:rPr>
        <w:t xml:space="preserve">dar seguimiento a los </w:t>
      </w:r>
      <w:r w:rsidR="000932EE" w:rsidRPr="0092311A">
        <w:rPr>
          <w:rStyle w:val="hps"/>
        </w:rPr>
        <w:t>avances de la operación.</w:t>
      </w:r>
    </w:p>
    <w:p w:rsidR="00471F3A" w:rsidRPr="0092311A" w:rsidRDefault="00471F3A" w:rsidP="00B06C12">
      <w:pPr>
        <w:pStyle w:val="AutoNumpara"/>
        <w:rPr>
          <w:rStyle w:val="hps"/>
        </w:rPr>
      </w:pPr>
      <w:r w:rsidRPr="0092311A">
        <w:rPr>
          <w:rStyle w:val="hps"/>
        </w:rPr>
        <w:t xml:space="preserve">Cada institución miembro del GT designará un delegado enlace al proyecto, que apoyará a la unidad ejecutora, en los temas y actividades que le competan y sean asignados. </w:t>
      </w:r>
      <w:r w:rsidR="000932EE" w:rsidRPr="0092311A">
        <w:rPr>
          <w:rStyle w:val="hps"/>
        </w:rPr>
        <w:t>El coordinador de proyecto reportará directamente a</w:t>
      </w:r>
      <w:r w:rsidR="00EE25F1" w:rsidRPr="0092311A">
        <w:rPr>
          <w:rStyle w:val="hps"/>
        </w:rPr>
        <w:t xml:space="preserve"> la Dirección de FC</w:t>
      </w:r>
      <w:r w:rsidR="000F62BE" w:rsidRPr="0092311A">
        <w:rPr>
          <w:rStyle w:val="hps"/>
        </w:rPr>
        <w:t xml:space="preserve">, </w:t>
      </w:r>
      <w:r w:rsidR="000932EE" w:rsidRPr="0092311A">
        <w:rPr>
          <w:rStyle w:val="hps"/>
        </w:rPr>
        <w:t xml:space="preserve">se apoyará en un </w:t>
      </w:r>
      <w:r w:rsidR="00F653F6" w:rsidRPr="0092311A">
        <w:rPr>
          <w:rStyle w:val="hps"/>
        </w:rPr>
        <w:t>Oficial de Proyectos</w:t>
      </w:r>
      <w:r w:rsidR="000932EE" w:rsidRPr="0092311A">
        <w:rPr>
          <w:rStyle w:val="hps"/>
        </w:rPr>
        <w:t xml:space="preserve"> que tendrá a su cargo la coordinación con los delegados enlace</w:t>
      </w:r>
      <w:r w:rsidR="00F653F6" w:rsidRPr="0092311A">
        <w:rPr>
          <w:rStyle w:val="hps"/>
        </w:rPr>
        <w:t xml:space="preserve"> y </w:t>
      </w:r>
      <w:r w:rsidR="000932EE" w:rsidRPr="0092311A">
        <w:rPr>
          <w:rStyle w:val="hps"/>
        </w:rPr>
        <w:t>un asistente financiero-administrativo</w:t>
      </w:r>
      <w:r w:rsidR="000F62BE" w:rsidRPr="0092311A">
        <w:rPr>
          <w:rStyle w:val="hps"/>
        </w:rPr>
        <w:t xml:space="preserve">, y </w:t>
      </w:r>
      <w:r w:rsidR="00B1034A" w:rsidRPr="0092311A">
        <w:rPr>
          <w:rStyle w:val="hps"/>
        </w:rPr>
        <w:t>será el responsable de dar cumplimiento al POA</w:t>
      </w:r>
      <w:r w:rsidR="00F653F6" w:rsidRPr="0092311A">
        <w:rPr>
          <w:rStyle w:val="hps"/>
        </w:rPr>
        <w:t xml:space="preserve">. </w:t>
      </w:r>
      <w:r w:rsidR="00B06C12" w:rsidRPr="0092311A">
        <w:rPr>
          <w:rStyle w:val="hps"/>
        </w:rPr>
        <w:t xml:space="preserve">Los detalles de la estructura de la UE se encuentran en el Anexo </w:t>
      </w:r>
      <w:r w:rsidR="00340E08">
        <w:rPr>
          <w:rStyle w:val="hps"/>
        </w:rPr>
        <w:t>VIII</w:t>
      </w:r>
      <w:r w:rsidR="00B06C12" w:rsidRPr="0092311A">
        <w:rPr>
          <w:rStyle w:val="hps"/>
        </w:rPr>
        <w:t xml:space="preserve">. </w:t>
      </w:r>
    </w:p>
    <w:p w:rsidR="00EA568F" w:rsidRPr="0092311A" w:rsidRDefault="00391924" w:rsidP="00D77051">
      <w:pPr>
        <w:pStyle w:val="AutoNumpara"/>
      </w:pPr>
      <w:r w:rsidRPr="0092311A">
        <w:rPr>
          <w:szCs w:val="24"/>
        </w:rPr>
        <w:t xml:space="preserve">Para aprender de esta experiencia, </w:t>
      </w:r>
      <w:r w:rsidR="00EA568F" w:rsidRPr="0092311A">
        <w:rPr>
          <w:szCs w:val="24"/>
        </w:rPr>
        <w:t>se acordó que el GT invitará al BID/FOMIN a presenciar las reuniones más estratégicas que se sostengan en la presentación y discusión de los productos derivados de la operación, tales como el análisis de las metodologías a nivel internacional y la recomen</w:t>
      </w:r>
      <w:r w:rsidR="004814C5" w:rsidRPr="0092311A">
        <w:rPr>
          <w:szCs w:val="24"/>
        </w:rPr>
        <w:t>da</w:t>
      </w:r>
      <w:r w:rsidR="00EA568F" w:rsidRPr="0092311A">
        <w:rPr>
          <w:szCs w:val="24"/>
        </w:rPr>
        <w:t xml:space="preserve">ción para adoptar </w:t>
      </w:r>
      <w:r w:rsidR="004814C5" w:rsidRPr="0092311A">
        <w:rPr>
          <w:szCs w:val="24"/>
        </w:rPr>
        <w:t xml:space="preserve">los </w:t>
      </w:r>
      <w:r w:rsidR="00EA568F" w:rsidRPr="0092311A">
        <w:rPr>
          <w:szCs w:val="24"/>
        </w:rPr>
        <w:t>resultados de los proyectos pilotos en medidas de pol</w:t>
      </w:r>
      <w:r w:rsidR="00F653F6" w:rsidRPr="0092311A">
        <w:rPr>
          <w:szCs w:val="24"/>
        </w:rPr>
        <w:t>í</w:t>
      </w:r>
      <w:r w:rsidR="00EA568F" w:rsidRPr="0092311A">
        <w:rPr>
          <w:szCs w:val="24"/>
        </w:rPr>
        <w:t>tica y normativa para su implementación, entre otros</w:t>
      </w:r>
      <w:r w:rsidRPr="0092311A">
        <w:rPr>
          <w:szCs w:val="24"/>
        </w:rPr>
        <w:t xml:space="preserve">. La participación del BID/FOMIN </w:t>
      </w:r>
      <w:r w:rsidR="00A90821" w:rsidRPr="0092311A">
        <w:rPr>
          <w:szCs w:val="24"/>
        </w:rPr>
        <w:t xml:space="preserve">en estas actividades se </w:t>
      </w:r>
      <w:r w:rsidRPr="0092311A">
        <w:rPr>
          <w:szCs w:val="24"/>
        </w:rPr>
        <w:t>constituirá</w:t>
      </w:r>
      <w:r w:rsidR="00A90821" w:rsidRPr="0092311A">
        <w:rPr>
          <w:szCs w:val="24"/>
        </w:rPr>
        <w:t>n en hitos</w:t>
      </w:r>
      <w:r w:rsidR="00EA568F" w:rsidRPr="0092311A">
        <w:rPr>
          <w:szCs w:val="24"/>
        </w:rPr>
        <w:t xml:space="preserve"> (</w:t>
      </w:r>
      <w:r w:rsidR="008B27FC" w:rsidRPr="0092311A">
        <w:rPr>
          <w:szCs w:val="24"/>
        </w:rPr>
        <w:t>Anexo IV)</w:t>
      </w:r>
      <w:r w:rsidR="00572576" w:rsidRPr="0092311A">
        <w:rPr>
          <w:szCs w:val="24"/>
        </w:rPr>
        <w:t xml:space="preserve"> y se financiará con fondos del FOMIN</w:t>
      </w:r>
      <w:r w:rsidR="00EA568F" w:rsidRPr="0092311A">
        <w:rPr>
          <w:szCs w:val="24"/>
        </w:rPr>
        <w:t>.</w:t>
      </w:r>
    </w:p>
    <w:p w:rsidR="00D77051" w:rsidRPr="0092311A" w:rsidRDefault="00D77051" w:rsidP="00D77051">
      <w:pPr>
        <w:pStyle w:val="AutoNumpara"/>
        <w:numPr>
          <w:ilvl w:val="0"/>
          <w:numId w:val="0"/>
        </w:numPr>
        <w:ind w:left="720" w:hanging="720"/>
        <w:rPr>
          <w:rStyle w:val="hps"/>
          <w:b/>
        </w:rPr>
      </w:pPr>
      <w:r w:rsidRPr="0092311A">
        <w:rPr>
          <w:rStyle w:val="hps"/>
          <w:b/>
        </w:rPr>
        <w:t>E.</w:t>
      </w:r>
      <w:r w:rsidRPr="0092311A">
        <w:rPr>
          <w:rStyle w:val="hps"/>
          <w:b/>
        </w:rPr>
        <w:tab/>
        <w:t>Sostenibilidad</w:t>
      </w:r>
    </w:p>
    <w:p w:rsidR="004D0C07" w:rsidRPr="0092311A" w:rsidRDefault="00F226AF" w:rsidP="00FB7757">
      <w:pPr>
        <w:pStyle w:val="AutoNumpara"/>
        <w:rPr>
          <w:rStyle w:val="hps"/>
        </w:rPr>
      </w:pPr>
      <w:r w:rsidRPr="0092311A">
        <w:rPr>
          <w:rStyle w:val="hps"/>
        </w:rPr>
        <w:t>El proyecto prevé la identificación de recursos financieros que permitan su puesta en marcha. A través de</w:t>
      </w:r>
      <w:r w:rsidR="00F653F6" w:rsidRPr="0092311A">
        <w:rPr>
          <w:rStyle w:val="hps"/>
        </w:rPr>
        <w:t xml:space="preserve"> la promoción del </w:t>
      </w:r>
      <w:r w:rsidRPr="0092311A">
        <w:rPr>
          <w:rStyle w:val="hps"/>
        </w:rPr>
        <w:t>NAMA</w:t>
      </w:r>
      <w:r w:rsidR="00084667" w:rsidRPr="0092311A">
        <w:rPr>
          <w:rStyle w:val="hps"/>
        </w:rPr>
        <w:t>,</w:t>
      </w:r>
      <w:r w:rsidRPr="0092311A">
        <w:rPr>
          <w:rStyle w:val="hps"/>
        </w:rPr>
        <w:t xml:space="preserve"> se prevé la atracción de fondos de la comunidad y el mercado internacional</w:t>
      </w:r>
      <w:r w:rsidR="00F653F6" w:rsidRPr="0092311A">
        <w:rPr>
          <w:rStyle w:val="hps"/>
        </w:rPr>
        <w:t xml:space="preserve"> como </w:t>
      </w:r>
      <w:r w:rsidR="00CF3DF6" w:rsidRPr="0092311A">
        <w:rPr>
          <w:rStyle w:val="hps"/>
        </w:rPr>
        <w:t xml:space="preserve">es </w:t>
      </w:r>
      <w:r w:rsidR="00F653F6" w:rsidRPr="0092311A">
        <w:rPr>
          <w:rStyle w:val="hps"/>
        </w:rPr>
        <w:t xml:space="preserve">la </w:t>
      </w:r>
      <w:r w:rsidR="00927F20" w:rsidRPr="0092311A">
        <w:rPr>
          <w:rStyle w:val="hps"/>
        </w:rPr>
        <w:t>“</w:t>
      </w:r>
      <w:r w:rsidR="00F653F6" w:rsidRPr="0092311A">
        <w:rPr>
          <w:rStyle w:val="hps"/>
        </w:rPr>
        <w:t>Facilidad del NAMA</w:t>
      </w:r>
      <w:r w:rsidR="00927F20" w:rsidRPr="0092311A">
        <w:rPr>
          <w:rStyle w:val="hps"/>
        </w:rPr>
        <w:t>”</w:t>
      </w:r>
      <w:r w:rsidR="00927F20" w:rsidRPr="0092311A">
        <w:rPr>
          <w:rStyle w:val="FootnoteReference"/>
        </w:rPr>
        <w:footnoteReference w:id="40"/>
      </w:r>
      <w:r w:rsidRPr="0092311A">
        <w:rPr>
          <w:rStyle w:val="hps"/>
        </w:rPr>
        <w:t xml:space="preserve">. </w:t>
      </w:r>
      <w:r w:rsidR="00084667" w:rsidRPr="0092311A">
        <w:rPr>
          <w:rStyle w:val="hps"/>
        </w:rPr>
        <w:t xml:space="preserve">Con </w:t>
      </w:r>
      <w:r w:rsidRPr="0092311A">
        <w:rPr>
          <w:rStyle w:val="hps"/>
        </w:rPr>
        <w:t>el desarrollo de un MRV que de transparencia y confianza a la iniciativa, aumenta la posibilidad de atra</w:t>
      </w:r>
      <w:r w:rsidR="00084667" w:rsidRPr="0092311A">
        <w:rPr>
          <w:rStyle w:val="hps"/>
        </w:rPr>
        <w:t xml:space="preserve">er </w:t>
      </w:r>
      <w:r w:rsidRPr="0092311A">
        <w:rPr>
          <w:rStyle w:val="hps"/>
        </w:rPr>
        <w:t>fondos</w:t>
      </w:r>
      <w:r w:rsidR="00CF3DF6" w:rsidRPr="0092311A">
        <w:rPr>
          <w:rStyle w:val="hps"/>
        </w:rPr>
        <w:t xml:space="preserve"> y de </w:t>
      </w:r>
      <w:r w:rsidR="00F653F6" w:rsidRPr="0092311A">
        <w:rPr>
          <w:rStyle w:val="hps"/>
        </w:rPr>
        <w:t>cumplir la meta del paí</w:t>
      </w:r>
      <w:r w:rsidR="00F653F6" w:rsidRPr="00AF739F">
        <w:rPr>
          <w:rStyle w:val="hps"/>
        </w:rPr>
        <w:t>s</w:t>
      </w:r>
      <w:r w:rsidRPr="00657FF7">
        <w:rPr>
          <w:rStyle w:val="hps"/>
        </w:rPr>
        <w:t>.</w:t>
      </w:r>
      <w:r w:rsidR="004D0C07" w:rsidRPr="0092311A">
        <w:rPr>
          <w:rStyle w:val="hps"/>
          <w:b/>
        </w:rPr>
        <w:t xml:space="preserve"> </w:t>
      </w:r>
      <w:r w:rsidR="00572576" w:rsidRPr="0092311A">
        <w:rPr>
          <w:rStyle w:val="hps"/>
        </w:rPr>
        <w:t>Una vez el paquete tecnológico demuestre beneficios económicos y ambientales a los productores, se fortalecerá el sistema de extensión y la plataforma de conocimiento</w:t>
      </w:r>
      <w:r w:rsidR="00D551E2" w:rsidRPr="0092311A">
        <w:rPr>
          <w:rStyle w:val="hps"/>
        </w:rPr>
        <w:t xml:space="preserve"> para llegar a mas productores</w:t>
      </w:r>
      <w:r w:rsidR="00572576" w:rsidRPr="0092311A">
        <w:rPr>
          <w:rStyle w:val="hps"/>
        </w:rPr>
        <w:t>.</w:t>
      </w:r>
      <w:r w:rsidR="00572576" w:rsidRPr="0092311A">
        <w:rPr>
          <w:rStyle w:val="hps"/>
          <w:b/>
        </w:rPr>
        <w:t xml:space="preserve"> </w:t>
      </w:r>
      <w:r w:rsidR="002E5D84" w:rsidRPr="0092311A">
        <w:rPr>
          <w:rStyle w:val="hps"/>
        </w:rPr>
        <w:t>En el tema de formación de capacidades, du</w:t>
      </w:r>
      <w:r w:rsidR="00CB53E1" w:rsidRPr="0092311A">
        <w:rPr>
          <w:rStyle w:val="hps"/>
        </w:rPr>
        <w:t>rante la preparación de esta operación,</w:t>
      </w:r>
      <w:r w:rsidR="002E5D84" w:rsidRPr="0092311A">
        <w:rPr>
          <w:rStyle w:val="hps"/>
        </w:rPr>
        <w:t xml:space="preserve"> </w:t>
      </w:r>
      <w:r w:rsidR="00CB53E1" w:rsidRPr="0092311A">
        <w:rPr>
          <w:rStyle w:val="hps"/>
        </w:rPr>
        <w:t xml:space="preserve">varias plantas procesadoras </w:t>
      </w:r>
      <w:r w:rsidR="002E5D84" w:rsidRPr="0092311A">
        <w:rPr>
          <w:rStyle w:val="hps"/>
        </w:rPr>
        <w:t xml:space="preserve">de café anunciaron </w:t>
      </w:r>
      <w:r w:rsidR="00CB53E1" w:rsidRPr="0092311A">
        <w:rPr>
          <w:rStyle w:val="hps"/>
        </w:rPr>
        <w:t>que implementarán sistemas de gestión para alcanzar su C-Neutralidad, lo cual contribuirá a crear una masa crítica con experiencia en el tema</w:t>
      </w:r>
      <w:r w:rsidR="002E5D84" w:rsidRPr="0092311A">
        <w:rPr>
          <w:rStyle w:val="hps"/>
        </w:rPr>
        <w:t xml:space="preserve"> y a darle </w:t>
      </w:r>
      <w:r w:rsidR="00CB53E1" w:rsidRPr="0092311A">
        <w:rPr>
          <w:rStyle w:val="hps"/>
        </w:rPr>
        <w:t>mayor dinámica</w:t>
      </w:r>
      <w:r w:rsidR="002E5D84" w:rsidRPr="0092311A">
        <w:rPr>
          <w:rStyle w:val="hps"/>
        </w:rPr>
        <w:t xml:space="preserve"> al proyecto.</w:t>
      </w:r>
    </w:p>
    <w:p w:rsidR="00F226AF" w:rsidRPr="0092311A" w:rsidRDefault="00F226AF" w:rsidP="00FB7757">
      <w:pPr>
        <w:pStyle w:val="AutoNumpara"/>
      </w:pPr>
      <w:r w:rsidRPr="0092311A">
        <w:rPr>
          <w:szCs w:val="24"/>
        </w:rPr>
        <w:t xml:space="preserve">Un año antes de finalizar la ejecución se realizará un </w:t>
      </w:r>
      <w:r w:rsidRPr="0092311A">
        <w:rPr>
          <w:b/>
          <w:szCs w:val="24"/>
        </w:rPr>
        <w:t>Taller de Sostenibilidad</w:t>
      </w:r>
      <w:r w:rsidRPr="0092311A">
        <w:rPr>
          <w:szCs w:val="24"/>
        </w:rPr>
        <w:t xml:space="preserve"> con todos los entes involucrados para identificar las medidas necesarias para asegurar la continuidad de las acciones del proyecto una vez terminados los fondos.</w:t>
      </w:r>
    </w:p>
    <w:p w:rsidR="00F226AF" w:rsidRPr="0092311A" w:rsidRDefault="00F226AF" w:rsidP="00F226AF">
      <w:pPr>
        <w:pStyle w:val="Heading2"/>
        <w:numPr>
          <w:ilvl w:val="0"/>
          <w:numId w:val="0"/>
        </w:numPr>
        <w:ind w:left="720" w:hanging="720"/>
        <w:rPr>
          <w:lang w:val="es-ES"/>
        </w:rPr>
      </w:pPr>
      <w:bookmarkStart w:id="28" w:name="_Toc363224845"/>
      <w:bookmarkStart w:id="29" w:name="_Toc363224980"/>
      <w:r w:rsidRPr="0092311A">
        <w:rPr>
          <w:lang w:val="es-ES"/>
        </w:rPr>
        <w:t xml:space="preserve">F. </w:t>
      </w:r>
      <w:r w:rsidRPr="0092311A">
        <w:rPr>
          <w:lang w:val="es-ES"/>
        </w:rPr>
        <w:tab/>
        <w:t>Lecciones aprendidas del FOMIN u otras instituciones en el diseño del proyecto</w:t>
      </w:r>
      <w:bookmarkEnd w:id="28"/>
      <w:bookmarkEnd w:id="29"/>
      <w:r w:rsidRPr="0092311A">
        <w:rPr>
          <w:lang w:val="es-ES"/>
        </w:rPr>
        <w:t xml:space="preserve"> </w:t>
      </w:r>
    </w:p>
    <w:p w:rsidR="00F226AF" w:rsidRPr="0092311A" w:rsidRDefault="00F226AF" w:rsidP="00775C78">
      <w:pPr>
        <w:pStyle w:val="AutoNumpara"/>
        <w:rPr>
          <w:szCs w:val="24"/>
        </w:rPr>
      </w:pPr>
      <w:r w:rsidRPr="0092311A">
        <w:rPr>
          <w:szCs w:val="24"/>
        </w:rPr>
        <w:t>FOMIN ha apoyado ampliamente al sector cafetalero de ALC, financiando la certificación de los productores en varios sellos ambientales y sociales</w:t>
      </w:r>
      <w:r w:rsidR="00A62645" w:rsidRPr="0092311A">
        <w:rPr>
          <w:rStyle w:val="FootnoteReference"/>
          <w:szCs w:val="24"/>
        </w:rPr>
        <w:footnoteReference w:id="41"/>
      </w:r>
      <w:r w:rsidRPr="0092311A">
        <w:rPr>
          <w:szCs w:val="24"/>
        </w:rPr>
        <w:t>, con la intención de facilitarles acceso a mejores mercados. Ninguna de estas certificaciones incluye los temas de valoración de la reducción de gases de efecto invernadero, como parte de sus criterios. Con esta operación, se aborda el tema de mitigación de GEI</w:t>
      </w:r>
      <w:r w:rsidR="005B130E" w:rsidRPr="0092311A">
        <w:rPr>
          <w:szCs w:val="24"/>
        </w:rPr>
        <w:t xml:space="preserve"> en el sector</w:t>
      </w:r>
      <w:r w:rsidRPr="0092311A">
        <w:rPr>
          <w:szCs w:val="24"/>
        </w:rPr>
        <w:t xml:space="preserve"> para que reduzca su huella de carbono</w:t>
      </w:r>
      <w:r w:rsidR="005B130E" w:rsidRPr="0092311A">
        <w:rPr>
          <w:szCs w:val="24"/>
        </w:rPr>
        <w:t xml:space="preserve"> y </w:t>
      </w:r>
      <w:r w:rsidRPr="0092311A">
        <w:rPr>
          <w:szCs w:val="24"/>
        </w:rPr>
        <w:t xml:space="preserve">aumente su eficiencia, principalmente ante los bajos precios que presenta el mercado internacional. </w:t>
      </w:r>
      <w:r w:rsidR="00B64A59" w:rsidRPr="0092311A">
        <w:t xml:space="preserve">En el marco de este proyecto se ayudará a los productores y a las plantas procesadoras de café a alcanzar el doble objetivo de la mitigación y la competitividad. </w:t>
      </w:r>
      <w:r w:rsidR="00B64A59" w:rsidRPr="0092311A">
        <w:rPr>
          <w:szCs w:val="24"/>
        </w:rPr>
        <w:t>Así también, se incluyeron lecciones de otros proyectos</w:t>
      </w:r>
      <w:r w:rsidR="00B64A59" w:rsidRPr="0092311A">
        <w:rPr>
          <w:rStyle w:val="FootnoteReference"/>
          <w:szCs w:val="24"/>
        </w:rPr>
        <w:footnoteReference w:id="42"/>
      </w:r>
      <w:r w:rsidRPr="0092311A">
        <w:rPr>
          <w:szCs w:val="24"/>
        </w:rPr>
        <w:t xml:space="preserve">. </w:t>
      </w:r>
    </w:p>
    <w:p w:rsidR="00957B45" w:rsidRPr="0092311A" w:rsidRDefault="00957B45" w:rsidP="00775C78">
      <w:pPr>
        <w:pStyle w:val="AutoNumpara"/>
      </w:pPr>
      <w:r w:rsidRPr="0092311A">
        <w:t xml:space="preserve">WRI recién desarrolló el protocolo para la medición de emisiones de GEI para productos agrícolas y una metodología piloto para el desarrollo de sistemas de </w:t>
      </w:r>
      <w:r w:rsidR="008626F4" w:rsidRPr="0092311A">
        <w:t xml:space="preserve">MRV, el Protocolo de Políticas y Estándares, </w:t>
      </w:r>
      <w:r w:rsidRPr="0092311A">
        <w:t>los cuales serán puestos a disposición de esta operación</w:t>
      </w:r>
      <w:r w:rsidR="008626F4" w:rsidRPr="0092311A">
        <w:t xml:space="preserve">, para su </w:t>
      </w:r>
      <w:r w:rsidRPr="0092311A">
        <w:t>valida</w:t>
      </w:r>
      <w:r w:rsidR="008626F4" w:rsidRPr="0092311A">
        <w:t xml:space="preserve">ción y afinamiento </w:t>
      </w:r>
      <w:r w:rsidRPr="0092311A">
        <w:t xml:space="preserve">previo a ser lanzadas internacionalmente como propuesta de estándar internacional. Para adoptar estas directrices o normas, es importante ponerlas a prueba y validarlas, así como respaldarlas con estudios de casos que ilustren su aplicación y mejores prácticas. El NAMA café de Costa Rica será uno de los proyectos piloto y estudio de caso que se aprovechará para demostrar la validez del modelo propuesto </w:t>
      </w:r>
      <w:r w:rsidR="008626F4" w:rsidRPr="0092311A">
        <w:t xml:space="preserve">tanto por el Gobierno de Costa Rica como por </w:t>
      </w:r>
      <w:r w:rsidRPr="0092311A">
        <w:t xml:space="preserve">WRI. </w:t>
      </w:r>
    </w:p>
    <w:p w:rsidR="00F226AF" w:rsidRPr="0092311A" w:rsidRDefault="00F226AF" w:rsidP="00775C78">
      <w:pPr>
        <w:pStyle w:val="AutoNumpara"/>
        <w:rPr>
          <w:szCs w:val="24"/>
        </w:rPr>
      </w:pPr>
      <w:r w:rsidRPr="0092311A">
        <w:rPr>
          <w:b/>
        </w:rPr>
        <w:t>Análisis de buenas prácticas</w:t>
      </w:r>
      <w:r w:rsidRPr="0092311A">
        <w:t>. FOMIN financió un estudio de caso con la finalidad de aprender y conocer las experiencias generadas por la única organización cafetalera certificada carbono neutral (C-Neutral) en el mundo, COOPEDOTA</w:t>
      </w:r>
      <w:r w:rsidR="00D012A2" w:rsidRPr="0092311A">
        <w:rPr>
          <w:rStyle w:val="FootnoteReference"/>
        </w:rPr>
        <w:footnoteReference w:id="43"/>
      </w:r>
      <w:r w:rsidRPr="0092311A">
        <w:t xml:space="preserve">, ubicada en Costa Rica. </w:t>
      </w:r>
      <w:r w:rsidR="00B50F01" w:rsidRPr="0092311A">
        <w:t xml:space="preserve">El estudio </w:t>
      </w:r>
      <w:r w:rsidRPr="0092311A">
        <w:t>mostró que la adopción de nuevas tecnologías y buenas prácticas de eficiencia energética pueden reducir costos, mejorar la eficiencia</w:t>
      </w:r>
      <w:r w:rsidR="007D3FA3" w:rsidRPr="0092311A">
        <w:t xml:space="preserve"> y calidad</w:t>
      </w:r>
      <w:r w:rsidRPr="0092311A">
        <w:t xml:space="preserve"> y reducir las emisiones de carbono, y que el incremento del precio del café carbono neutral potencialmente</w:t>
      </w:r>
      <w:r w:rsidR="00C20EE0" w:rsidRPr="0092311A">
        <w:rPr>
          <w:rStyle w:val="FootnoteReference"/>
        </w:rPr>
        <w:footnoteReference w:id="44"/>
      </w:r>
      <w:r w:rsidRPr="0092311A">
        <w:t xml:space="preserve"> puede crear una demanda de mercado más sostenible. COOPEDOTA implementó las siguientes iniciativas</w:t>
      </w:r>
      <w:r w:rsidR="00B50F01" w:rsidRPr="0092311A">
        <w:t xml:space="preserve"> que aumentaron su eficiencia</w:t>
      </w:r>
      <w:r w:rsidRPr="0092311A">
        <w:t xml:space="preserve">: (i) en el secado redujo el consumo de leña y la substituyó </w:t>
      </w:r>
      <w:r w:rsidR="003E5E2B" w:rsidRPr="0092311A">
        <w:t xml:space="preserve">en un 95% </w:t>
      </w:r>
      <w:r w:rsidRPr="0092311A">
        <w:t>por la cascarilla (pergamino)</w:t>
      </w:r>
      <w:r w:rsidR="007D3FA3" w:rsidRPr="0092311A">
        <w:t xml:space="preserve"> y broza</w:t>
      </w:r>
      <w:r w:rsidRPr="0092311A">
        <w:t xml:space="preserve">, logrando aumentar su eficiencia </w:t>
      </w:r>
      <w:r w:rsidR="008A4953" w:rsidRPr="0092311A">
        <w:t xml:space="preserve">hasta un </w:t>
      </w:r>
      <w:r w:rsidRPr="0092311A">
        <w:t xml:space="preserve">90%; (ii) </w:t>
      </w:r>
      <w:r w:rsidR="007D3FA3" w:rsidRPr="0092311A">
        <w:t xml:space="preserve">redujo en un 50% el consumo energético </w:t>
      </w:r>
      <w:r w:rsidR="001F79FE" w:rsidRPr="0092311A">
        <w:t xml:space="preserve">comprando equipo más eficiente y cambiando </w:t>
      </w:r>
      <w:r w:rsidR="00FA1F5C" w:rsidRPr="0092311A">
        <w:t xml:space="preserve">sus </w:t>
      </w:r>
      <w:r w:rsidR="001F79FE" w:rsidRPr="0092311A">
        <w:t>horarios de operación para aplicar a mejores tarifas eléct</w:t>
      </w:r>
      <w:r w:rsidR="00FA1F5C" w:rsidRPr="0092311A">
        <w:t>ricas</w:t>
      </w:r>
      <w:r w:rsidR="001F79FE" w:rsidRPr="0092311A">
        <w:t xml:space="preserve">; (iii) </w:t>
      </w:r>
      <w:r w:rsidRPr="0092311A">
        <w:rPr>
          <w:noProof w:val="0"/>
        </w:rPr>
        <w:t>substituyó</w:t>
      </w:r>
      <w:r w:rsidRPr="0092311A">
        <w:t xml:space="preserve"> la laguna de tratamiento por un sistema de riego para pastos tipo estrella, eliminando al 100% los vertidos y malos olores; (i</w:t>
      </w:r>
      <w:r w:rsidR="001F79FE" w:rsidRPr="0092311A">
        <w:t>v</w:t>
      </w:r>
      <w:r w:rsidRPr="0092311A">
        <w:t xml:space="preserve">) redujo el consumo de fertilizantes nitrogenados mediante la producción y consumo de fertilizantes biológicos; </w:t>
      </w:r>
      <w:r w:rsidR="009503DE" w:rsidRPr="0092311A">
        <w:t xml:space="preserve">y </w:t>
      </w:r>
      <w:r w:rsidRPr="0092311A">
        <w:t>(v) experimenta con un gasificador la generación de energ</w:t>
      </w:r>
      <w:r w:rsidR="00DD57FC" w:rsidRPr="0092311A">
        <w:t>í</w:t>
      </w:r>
      <w:r w:rsidRPr="0092311A">
        <w:t>a para su micro beneficio</w:t>
      </w:r>
      <w:r w:rsidR="001F79FE" w:rsidRPr="0092311A">
        <w:t xml:space="preserve"> y la producción de etanol</w:t>
      </w:r>
      <w:r w:rsidRPr="0092311A">
        <w:t>. Este estudio de caso es la base para probar que la combinación de ciertas tecnologías pueden reducir costos, generar mayores ingresos y la adopción de prácticas productivas más sostenibles para las organizaciones cafetaleres.</w:t>
      </w:r>
      <w:r w:rsidR="00A62645" w:rsidRPr="0092311A">
        <w:rPr>
          <w:szCs w:val="24"/>
        </w:rPr>
        <w:t xml:space="preserve"> </w:t>
      </w:r>
    </w:p>
    <w:p w:rsidR="00F226AF" w:rsidRPr="0092311A" w:rsidRDefault="0003621D" w:rsidP="0003621D">
      <w:pPr>
        <w:pStyle w:val="AutoNumpara"/>
        <w:numPr>
          <w:ilvl w:val="0"/>
          <w:numId w:val="0"/>
        </w:numPr>
        <w:rPr>
          <w:b/>
          <w:szCs w:val="24"/>
        </w:rPr>
      </w:pPr>
      <w:r w:rsidRPr="0092311A">
        <w:rPr>
          <w:b/>
          <w:szCs w:val="24"/>
        </w:rPr>
        <w:t>G.</w:t>
      </w:r>
      <w:r w:rsidRPr="0092311A">
        <w:rPr>
          <w:b/>
          <w:szCs w:val="24"/>
        </w:rPr>
        <w:tab/>
        <w:t>Adicionalidad del FOMIN</w:t>
      </w:r>
    </w:p>
    <w:p w:rsidR="00F226AF" w:rsidRPr="0092311A" w:rsidRDefault="0003621D" w:rsidP="00775C78">
      <w:pPr>
        <w:pStyle w:val="AutoNumpara"/>
        <w:rPr>
          <w:szCs w:val="24"/>
        </w:rPr>
      </w:pPr>
      <w:r w:rsidRPr="0092311A">
        <w:rPr>
          <w:szCs w:val="24"/>
        </w:rPr>
        <w:t>FOMIN aporta credibilidad</w:t>
      </w:r>
      <w:r w:rsidR="00BF7DEE" w:rsidRPr="0092311A">
        <w:rPr>
          <w:szCs w:val="24"/>
        </w:rPr>
        <w:t>,</w:t>
      </w:r>
      <w:r w:rsidRPr="0092311A">
        <w:rPr>
          <w:szCs w:val="24"/>
        </w:rPr>
        <w:t xml:space="preserve"> experiencia técnica y alianzas que permitirán asegurar mejores resultados e impacto</w:t>
      </w:r>
      <w:r w:rsidR="00BF7DEE" w:rsidRPr="0092311A">
        <w:rPr>
          <w:szCs w:val="24"/>
        </w:rPr>
        <w:t xml:space="preserve"> del proyecto</w:t>
      </w:r>
      <w:r w:rsidR="00C7632F" w:rsidRPr="0092311A">
        <w:rPr>
          <w:szCs w:val="24"/>
        </w:rPr>
        <w:t xml:space="preserve"> y apalancar </w:t>
      </w:r>
      <w:r w:rsidR="00026057" w:rsidRPr="0092311A">
        <w:rPr>
          <w:szCs w:val="24"/>
        </w:rPr>
        <w:t xml:space="preserve">otros </w:t>
      </w:r>
      <w:r w:rsidR="00C7632F" w:rsidRPr="0092311A">
        <w:rPr>
          <w:szCs w:val="24"/>
        </w:rPr>
        <w:t>fondos</w:t>
      </w:r>
      <w:r w:rsidR="00BF7DEE" w:rsidRPr="0092311A">
        <w:rPr>
          <w:szCs w:val="24"/>
        </w:rPr>
        <w:t xml:space="preserve">. </w:t>
      </w:r>
      <w:r w:rsidRPr="0092311A">
        <w:rPr>
          <w:szCs w:val="24"/>
        </w:rPr>
        <w:t>Incorpora la participación estratégica de WRI, qu</w:t>
      </w:r>
      <w:r w:rsidR="00BF7DEE" w:rsidRPr="0092311A">
        <w:rPr>
          <w:szCs w:val="24"/>
        </w:rPr>
        <w:t xml:space="preserve">ien </w:t>
      </w:r>
      <w:r w:rsidRPr="0092311A">
        <w:rPr>
          <w:szCs w:val="24"/>
        </w:rPr>
        <w:t xml:space="preserve">apoyó en la formulación de la operación y que acompañará el proceso. FOMIN también contribuirá </w:t>
      </w:r>
      <w:r w:rsidR="009A6A62" w:rsidRPr="0092311A">
        <w:rPr>
          <w:szCs w:val="24"/>
        </w:rPr>
        <w:t xml:space="preserve">a </w:t>
      </w:r>
      <w:r w:rsidRPr="0092311A">
        <w:rPr>
          <w:szCs w:val="24"/>
        </w:rPr>
        <w:t xml:space="preserve">contratar a expertos y apoyar un proceso participativo entre los productores </w:t>
      </w:r>
      <w:r w:rsidR="009A6A62" w:rsidRPr="0092311A">
        <w:rPr>
          <w:szCs w:val="24"/>
        </w:rPr>
        <w:t xml:space="preserve">y procesadores </w:t>
      </w:r>
      <w:r w:rsidRPr="0092311A">
        <w:rPr>
          <w:szCs w:val="24"/>
        </w:rPr>
        <w:t>de café, para la evaluación de la tecnología, la preparación y definición del NAMA</w:t>
      </w:r>
      <w:r w:rsidR="009A6A62" w:rsidRPr="0092311A">
        <w:rPr>
          <w:szCs w:val="24"/>
        </w:rPr>
        <w:t xml:space="preserve">, lo cual dará </w:t>
      </w:r>
      <w:r w:rsidR="00BF7DEE" w:rsidRPr="0092311A">
        <w:rPr>
          <w:szCs w:val="24"/>
        </w:rPr>
        <w:t xml:space="preserve">solidez y credibilidad a la iniciativa. </w:t>
      </w:r>
    </w:p>
    <w:p w:rsidR="00E9420A" w:rsidRPr="0092311A" w:rsidRDefault="00E9420A" w:rsidP="00E9420A">
      <w:pPr>
        <w:pStyle w:val="AutoNumpara"/>
        <w:numPr>
          <w:ilvl w:val="0"/>
          <w:numId w:val="0"/>
        </w:numPr>
        <w:rPr>
          <w:szCs w:val="24"/>
        </w:rPr>
      </w:pPr>
      <w:r w:rsidRPr="0092311A">
        <w:rPr>
          <w:b/>
          <w:szCs w:val="24"/>
        </w:rPr>
        <w:t xml:space="preserve">H. </w:t>
      </w:r>
      <w:r w:rsidRPr="0092311A">
        <w:rPr>
          <w:b/>
          <w:szCs w:val="24"/>
        </w:rPr>
        <w:tab/>
        <w:t>Resultados del Proyecto</w:t>
      </w:r>
    </w:p>
    <w:p w:rsidR="00E9420A" w:rsidRPr="0092311A" w:rsidRDefault="00E9420A" w:rsidP="00844CEC">
      <w:pPr>
        <w:pStyle w:val="AutoNumpara"/>
      </w:pPr>
      <w:r w:rsidRPr="0092311A">
        <w:t>Los resultados esperados</w:t>
      </w:r>
      <w:r w:rsidR="00BF7D5A" w:rsidRPr="0092311A">
        <w:rPr>
          <w:rStyle w:val="FootnoteReference"/>
          <w:szCs w:val="24"/>
        </w:rPr>
        <w:footnoteReference w:id="45"/>
      </w:r>
      <w:r w:rsidRPr="0092311A">
        <w:t xml:space="preserve"> son: </w:t>
      </w:r>
      <w:r w:rsidR="006B61D4" w:rsidRPr="0092311A">
        <w:t xml:space="preserve">(i) </w:t>
      </w:r>
      <w:r w:rsidR="00265E37" w:rsidRPr="0092311A">
        <w:t xml:space="preserve">al menos </w:t>
      </w:r>
      <w:r w:rsidR="005D6E7D" w:rsidRPr="0092311A">
        <w:t xml:space="preserve">3 </w:t>
      </w:r>
      <w:r w:rsidR="002319C4" w:rsidRPr="0092311A">
        <w:t xml:space="preserve">plantas procesadoras </w:t>
      </w:r>
      <w:r w:rsidR="00287E53" w:rsidRPr="0092311A">
        <w:t xml:space="preserve">adoptan tecnologías </w:t>
      </w:r>
      <w:r w:rsidR="005D6E7D" w:rsidRPr="0092311A">
        <w:t>de producción más sostenibles; (i</w:t>
      </w:r>
      <w:r w:rsidR="00BB7581" w:rsidRPr="0092311A">
        <w:t>i</w:t>
      </w:r>
      <w:r w:rsidR="005D6E7D" w:rsidRPr="0092311A">
        <w:t xml:space="preserve">) </w:t>
      </w:r>
      <w:r w:rsidR="00265E37" w:rsidRPr="0092311A">
        <w:t>800</w:t>
      </w:r>
      <w:r w:rsidR="00711C99" w:rsidRPr="0092311A">
        <w:t xml:space="preserve"> productores han incorporado </w:t>
      </w:r>
      <w:r w:rsidR="00287E53" w:rsidRPr="0092311A">
        <w:t xml:space="preserve">tecnologías </w:t>
      </w:r>
      <w:r w:rsidR="00711C99" w:rsidRPr="0092311A">
        <w:t xml:space="preserve">de producción más sostenibles (desagregado por sexo) </w:t>
      </w:r>
      <w:r w:rsidR="006B61D4" w:rsidRPr="0092311A">
        <w:t>durante la fase de prueba y escalamiento de las tecnologías</w:t>
      </w:r>
      <w:r w:rsidR="00AF739F">
        <w:t>;</w:t>
      </w:r>
      <w:r w:rsidR="006B61D4" w:rsidRPr="0092311A">
        <w:t xml:space="preserve"> </w:t>
      </w:r>
      <w:r w:rsidR="009D089B" w:rsidRPr="0092311A">
        <w:t>en l</w:t>
      </w:r>
      <w:r w:rsidR="00214FEB" w:rsidRPr="0092311A">
        <w:t xml:space="preserve">as </w:t>
      </w:r>
      <w:r w:rsidR="00265E37" w:rsidRPr="0092311A">
        <w:t>plantas procesadoras</w:t>
      </w:r>
      <w:r w:rsidR="00844CEC" w:rsidRPr="0092311A">
        <w:t>,</w:t>
      </w:r>
      <w:r w:rsidR="00265E37" w:rsidRPr="0092311A">
        <w:t xml:space="preserve"> </w:t>
      </w:r>
      <w:r w:rsidR="00214FEB" w:rsidRPr="0092311A">
        <w:t>(</w:t>
      </w:r>
      <w:r w:rsidR="00BB7581" w:rsidRPr="0092311A">
        <w:t>iii</w:t>
      </w:r>
      <w:r w:rsidR="00214FEB" w:rsidRPr="0092311A">
        <w:t xml:space="preserve">) </w:t>
      </w:r>
      <w:r w:rsidR="006B61D4" w:rsidRPr="0092311A">
        <w:t xml:space="preserve">energía renovable generada </w:t>
      </w:r>
      <w:r w:rsidR="001B48D2" w:rsidRPr="0092311A">
        <w:t>(MWh)</w:t>
      </w:r>
      <w:r w:rsidR="00C32993">
        <w:t>;</w:t>
      </w:r>
      <w:r w:rsidR="001B48D2" w:rsidRPr="0092311A">
        <w:t xml:space="preserve"> (iv) reducción en el consumo de fertilizantes nitrogenados (hasta un promedio del 10% por qq producido); y (v) aumento en el rendimiento promedio de café (qq/Ha).</w:t>
      </w:r>
      <w:r w:rsidR="00214FEB" w:rsidRPr="0092311A">
        <w:t xml:space="preserve"> </w:t>
      </w:r>
    </w:p>
    <w:p w:rsidR="00E9420A" w:rsidRPr="0092311A" w:rsidRDefault="00E9420A" w:rsidP="00775C78">
      <w:pPr>
        <w:pStyle w:val="AutoNumpara"/>
        <w:numPr>
          <w:ilvl w:val="0"/>
          <w:numId w:val="12"/>
        </w:numPr>
        <w:rPr>
          <w:b/>
          <w:szCs w:val="24"/>
        </w:rPr>
      </w:pPr>
      <w:r w:rsidRPr="0092311A">
        <w:rPr>
          <w:b/>
          <w:szCs w:val="24"/>
        </w:rPr>
        <w:t>Impacto del Proyecto</w:t>
      </w:r>
    </w:p>
    <w:p w:rsidR="006B61D4" w:rsidRPr="0092311A" w:rsidRDefault="00E9420A" w:rsidP="000E608B">
      <w:pPr>
        <w:pStyle w:val="AutoNumpara"/>
      </w:pPr>
      <w:r w:rsidRPr="0092311A">
        <w:t>El impacto esperado es:</w:t>
      </w:r>
      <w:r w:rsidRPr="0092311A">
        <w:rPr>
          <w:b/>
        </w:rPr>
        <w:t xml:space="preserve"> </w:t>
      </w:r>
      <w:r w:rsidR="006B61D4" w:rsidRPr="0092311A">
        <w:t xml:space="preserve">(i) </w:t>
      </w:r>
      <w:r w:rsidR="000E608B" w:rsidRPr="0092311A">
        <w:t>reducción de costos de las plantas procesadoras (%  costo/qq</w:t>
      </w:r>
      <w:r w:rsidR="001B48D2" w:rsidRPr="0092311A">
        <w:t xml:space="preserve"> </w:t>
      </w:r>
      <w:r w:rsidR="00CF3DF6" w:rsidRPr="0092311A">
        <w:t xml:space="preserve">a </w:t>
      </w:r>
      <w:r w:rsidR="001B48D2" w:rsidRPr="0092311A">
        <w:t>precios constantes</w:t>
      </w:r>
      <w:r w:rsidR="000E608B" w:rsidRPr="0092311A">
        <w:t>)</w:t>
      </w:r>
      <w:r w:rsidR="006B61D4" w:rsidRPr="0092311A">
        <w:t>;</w:t>
      </w:r>
      <w:r w:rsidR="00DA71F1" w:rsidRPr="0092311A">
        <w:t xml:space="preserve"> (ii) </w:t>
      </w:r>
      <w:r w:rsidR="000E608B" w:rsidRPr="0092311A">
        <w:t>reducción de costos de fertilización de los productores (%</w:t>
      </w:r>
      <w:r w:rsidR="001B48D2" w:rsidRPr="0092311A">
        <w:t xml:space="preserve"> </w:t>
      </w:r>
      <w:r w:rsidR="000E608B" w:rsidRPr="0092311A">
        <w:t>costo/</w:t>
      </w:r>
      <w:r w:rsidR="001B48D2" w:rsidRPr="0092311A">
        <w:t>qq oro, a precios constantes</w:t>
      </w:r>
      <w:r w:rsidR="000E608B" w:rsidRPr="0092311A">
        <w:t>)</w:t>
      </w:r>
      <w:r w:rsidR="000A188F" w:rsidRPr="0092311A">
        <w:t>; (iii)</w:t>
      </w:r>
      <w:r w:rsidR="00EC353C" w:rsidRPr="0092311A">
        <w:t xml:space="preserve"> </w:t>
      </w:r>
      <w:r w:rsidR="000E608B" w:rsidRPr="0092311A">
        <w:t xml:space="preserve">total reducción / fijación de al menos </w:t>
      </w:r>
      <w:r w:rsidR="001B48D2" w:rsidRPr="0092311A">
        <w:t xml:space="preserve">6,450 tons </w:t>
      </w:r>
      <w:r w:rsidR="000E608B" w:rsidRPr="0092311A">
        <w:t>CO</w:t>
      </w:r>
      <w:r w:rsidR="000E608B" w:rsidRPr="0092311A">
        <w:rPr>
          <w:vertAlign w:val="subscript"/>
        </w:rPr>
        <w:t>2</w:t>
      </w:r>
      <w:r w:rsidR="000E608B" w:rsidRPr="0092311A">
        <w:t>e al final del proyecto</w:t>
      </w:r>
      <w:r w:rsidR="000E608B" w:rsidRPr="0092311A">
        <w:rPr>
          <w:szCs w:val="24"/>
        </w:rPr>
        <w:t xml:space="preserve"> </w:t>
      </w:r>
      <w:r w:rsidR="009B2F37" w:rsidRPr="0092311A">
        <w:t>derivado de la fase de prueba de los proyectos piloto</w:t>
      </w:r>
      <w:r w:rsidR="00572D72" w:rsidRPr="0092311A">
        <w:rPr>
          <w:rStyle w:val="FootnoteReference"/>
          <w:szCs w:val="24"/>
        </w:rPr>
        <w:footnoteReference w:id="46"/>
      </w:r>
      <w:r w:rsidR="00AF739F">
        <w:t>;</w:t>
      </w:r>
      <w:r w:rsidR="009B2F37" w:rsidRPr="0092311A">
        <w:t xml:space="preserve"> </w:t>
      </w:r>
      <w:r w:rsidR="00176677" w:rsidRPr="0092311A">
        <w:t>en las plantas procesadoras</w:t>
      </w:r>
      <w:r w:rsidR="00AF739F">
        <w:t>:</w:t>
      </w:r>
      <w:r w:rsidR="00176677" w:rsidRPr="0092311A">
        <w:t xml:space="preserve"> </w:t>
      </w:r>
      <w:r w:rsidR="000A188F" w:rsidRPr="0092311A">
        <w:t>(</w:t>
      </w:r>
      <w:r w:rsidR="0019745F" w:rsidRPr="0092311A">
        <w:t>i</w:t>
      </w:r>
      <w:r w:rsidR="000A188F" w:rsidRPr="0092311A">
        <w:t xml:space="preserve">v) </w:t>
      </w:r>
      <w:r w:rsidR="00D17592" w:rsidRPr="0092311A">
        <w:t xml:space="preserve">ahorro </w:t>
      </w:r>
      <w:r w:rsidR="000E608B" w:rsidRPr="0092311A">
        <w:t xml:space="preserve">costos </w:t>
      </w:r>
      <w:r w:rsidR="00D17592" w:rsidRPr="0092311A">
        <w:t xml:space="preserve">por consumo de energía renovable </w:t>
      </w:r>
      <w:r w:rsidR="00214FEB" w:rsidRPr="0092311A">
        <w:t>(US$</w:t>
      </w:r>
      <w:r w:rsidR="001B48D2" w:rsidRPr="0092311A">
        <w:t>/qq oro</w:t>
      </w:r>
      <w:r w:rsidR="00214FEB" w:rsidRPr="0092311A">
        <w:t>)</w:t>
      </w:r>
      <w:r w:rsidR="00C32993">
        <w:t>;</w:t>
      </w:r>
      <w:r w:rsidR="00214FEB" w:rsidRPr="0092311A">
        <w:t xml:space="preserve"> </w:t>
      </w:r>
      <w:r w:rsidR="000A188F" w:rsidRPr="0092311A">
        <w:t xml:space="preserve">(v) </w:t>
      </w:r>
      <w:r w:rsidR="00781E55" w:rsidRPr="0092311A">
        <w:t xml:space="preserve">reducción </w:t>
      </w:r>
      <w:r w:rsidR="000E608B" w:rsidRPr="0092311A">
        <w:t xml:space="preserve">volumen </w:t>
      </w:r>
      <w:r w:rsidR="00E83E39" w:rsidRPr="0092311A">
        <w:t xml:space="preserve">de </w:t>
      </w:r>
      <w:r w:rsidR="00781E55" w:rsidRPr="0092311A">
        <w:t xml:space="preserve">aguas </w:t>
      </w:r>
      <w:r w:rsidR="00E83E39" w:rsidRPr="0092311A">
        <w:t xml:space="preserve">residuales tratadas </w:t>
      </w:r>
      <w:r w:rsidR="000E608B" w:rsidRPr="0092311A">
        <w:t xml:space="preserve">dispuestas </w:t>
      </w:r>
      <w:r w:rsidR="00781E55" w:rsidRPr="0092311A">
        <w:t>a fuentes hídricas (</w:t>
      </w:r>
      <w:r w:rsidR="001B48D2" w:rsidRPr="0092311A">
        <w:t>50%</w:t>
      </w:r>
      <w:r w:rsidR="00781E55" w:rsidRPr="0092311A">
        <w:t xml:space="preserve">); </w:t>
      </w:r>
      <w:r w:rsidR="000A188F" w:rsidRPr="0092311A">
        <w:t xml:space="preserve">(vi) </w:t>
      </w:r>
      <w:r w:rsidR="009B2F37" w:rsidRPr="0092311A">
        <w:t>aumento de hectáreas</w:t>
      </w:r>
      <w:r w:rsidR="00781E55" w:rsidRPr="0092311A">
        <w:t xml:space="preserve"> </w:t>
      </w:r>
      <w:r w:rsidR="00176677" w:rsidRPr="0092311A">
        <w:t xml:space="preserve">sembradas con especies </w:t>
      </w:r>
      <w:r w:rsidR="001B48D2" w:rsidRPr="0092311A">
        <w:t xml:space="preserve">de </w:t>
      </w:r>
      <w:r w:rsidR="00176677" w:rsidRPr="0092311A">
        <w:t xml:space="preserve">mayor </w:t>
      </w:r>
      <w:r w:rsidR="001B48D2" w:rsidRPr="0092311A">
        <w:t xml:space="preserve">valor </w:t>
      </w:r>
      <w:r w:rsidR="00781E55" w:rsidRPr="0092311A">
        <w:t>(Has)</w:t>
      </w:r>
      <w:r w:rsidR="00781E55" w:rsidRPr="0092311A">
        <w:rPr>
          <w:rStyle w:val="FootnoteReference"/>
          <w:sz w:val="24"/>
          <w:szCs w:val="24"/>
        </w:rPr>
        <w:footnoteReference w:id="47"/>
      </w:r>
      <w:r w:rsidR="00781E55" w:rsidRPr="0092311A">
        <w:t>;</w:t>
      </w:r>
      <w:r w:rsidR="00214FEB" w:rsidRPr="0092311A">
        <w:t xml:space="preserve"> </w:t>
      </w:r>
      <w:r w:rsidR="000A188F" w:rsidRPr="0092311A">
        <w:t xml:space="preserve">(vii) </w:t>
      </w:r>
      <w:r w:rsidR="00781E55" w:rsidRPr="0092311A">
        <w:t xml:space="preserve">reducción de </w:t>
      </w:r>
      <w:r w:rsidR="003552CA" w:rsidRPr="0092311A">
        <w:t xml:space="preserve">consumo de </w:t>
      </w:r>
      <w:r w:rsidR="00781E55" w:rsidRPr="0092311A">
        <w:t>biomasa (</w:t>
      </w:r>
      <w:r w:rsidR="001B48D2" w:rsidRPr="0092311A">
        <w:t>m</w:t>
      </w:r>
      <w:r w:rsidR="001B48D2" w:rsidRPr="0092311A">
        <w:rPr>
          <w:vertAlign w:val="superscript"/>
        </w:rPr>
        <w:t>3</w:t>
      </w:r>
      <w:r w:rsidR="001B48D2" w:rsidRPr="0092311A">
        <w:t xml:space="preserve"> leña / qq oro</w:t>
      </w:r>
      <w:r w:rsidR="00781E55" w:rsidRPr="0092311A">
        <w:t>)</w:t>
      </w:r>
      <w:r w:rsidR="009B2F37" w:rsidRPr="0092311A">
        <w:t xml:space="preserve">; </w:t>
      </w:r>
      <w:r w:rsidR="000A34CB" w:rsidRPr="0092311A">
        <w:t xml:space="preserve">y </w:t>
      </w:r>
      <w:r w:rsidR="000A188F" w:rsidRPr="0092311A">
        <w:t xml:space="preserve">(viii) </w:t>
      </w:r>
      <w:r w:rsidR="009B2F37" w:rsidRPr="0092311A">
        <w:t xml:space="preserve">reducción de residuos </w:t>
      </w:r>
      <w:r w:rsidR="00AE0F61" w:rsidRPr="0092311A">
        <w:t xml:space="preserve">sólidos </w:t>
      </w:r>
      <w:r w:rsidR="009B2F37" w:rsidRPr="0092311A">
        <w:t>dispuestos al medio ambiente (</w:t>
      </w:r>
      <w:r w:rsidR="001B48D2" w:rsidRPr="0092311A">
        <w:t>% tons/cosecha</w:t>
      </w:r>
      <w:r w:rsidR="009B2F37" w:rsidRPr="0092311A">
        <w:t>)</w:t>
      </w:r>
      <w:r w:rsidR="000A34CB" w:rsidRPr="0092311A">
        <w:t xml:space="preserve">. </w:t>
      </w:r>
    </w:p>
    <w:p w:rsidR="00E9420A" w:rsidRPr="0092311A" w:rsidRDefault="00E9420A" w:rsidP="00E9420A">
      <w:pPr>
        <w:pStyle w:val="AutoNumpara"/>
        <w:numPr>
          <w:ilvl w:val="0"/>
          <w:numId w:val="0"/>
        </w:numPr>
        <w:rPr>
          <w:b/>
          <w:szCs w:val="24"/>
        </w:rPr>
      </w:pPr>
      <w:r w:rsidRPr="0092311A">
        <w:rPr>
          <w:b/>
          <w:szCs w:val="24"/>
        </w:rPr>
        <w:t xml:space="preserve">J. </w:t>
      </w:r>
      <w:r w:rsidRPr="0092311A">
        <w:rPr>
          <w:b/>
          <w:szCs w:val="24"/>
        </w:rPr>
        <w:tab/>
        <w:t>Impacto Sistémico</w:t>
      </w:r>
    </w:p>
    <w:p w:rsidR="00E9420A" w:rsidRPr="0092311A" w:rsidRDefault="00E9420A" w:rsidP="00775C78">
      <w:pPr>
        <w:pStyle w:val="AutoNumpara"/>
        <w:rPr>
          <w:szCs w:val="24"/>
        </w:rPr>
      </w:pPr>
      <w:r w:rsidRPr="0092311A">
        <w:rPr>
          <w:szCs w:val="24"/>
        </w:rPr>
        <w:t xml:space="preserve">La definición y puesta en práctica de esta NAMA tendrá influencia en la política pública (legal, reglamentaria y de políticas), que a la larga contribuirá a mejorar la competitividad del sector agropecuario de Costa Rica y a reducir su huella de carbono, que representa al 37% de la las emisiones nacionales de GEI. </w:t>
      </w:r>
      <w:r w:rsidR="00481D12" w:rsidRPr="0092311A">
        <w:rPr>
          <w:szCs w:val="24"/>
        </w:rPr>
        <w:t>El Gobierno de Costa Rica prevé que esta experiencia servirá para impulsar el desarrollo de otros NAMAs sectoriales</w:t>
      </w:r>
      <w:r w:rsidR="006C645A" w:rsidRPr="0092311A">
        <w:rPr>
          <w:szCs w:val="24"/>
        </w:rPr>
        <w:t xml:space="preserve"> que </w:t>
      </w:r>
      <w:r w:rsidR="00481D12" w:rsidRPr="0092311A">
        <w:rPr>
          <w:szCs w:val="24"/>
        </w:rPr>
        <w:t>tiene planificado desarrollar</w:t>
      </w:r>
      <w:r w:rsidR="006C645A" w:rsidRPr="0092311A">
        <w:rPr>
          <w:szCs w:val="24"/>
        </w:rPr>
        <w:t xml:space="preserve">, como son el de </w:t>
      </w:r>
      <w:r w:rsidRPr="0092311A">
        <w:rPr>
          <w:szCs w:val="24"/>
        </w:rPr>
        <w:t xml:space="preserve">caña de azúcar, piña y </w:t>
      </w:r>
      <w:r w:rsidR="006C645A" w:rsidRPr="0092311A">
        <w:rPr>
          <w:szCs w:val="24"/>
        </w:rPr>
        <w:t>d</w:t>
      </w:r>
      <w:r w:rsidRPr="0092311A">
        <w:rPr>
          <w:szCs w:val="24"/>
        </w:rPr>
        <w:t>el sector ganadero</w:t>
      </w:r>
      <w:r w:rsidR="00481D12" w:rsidRPr="0092311A">
        <w:rPr>
          <w:szCs w:val="24"/>
        </w:rPr>
        <w:t xml:space="preserve">. </w:t>
      </w:r>
      <w:r w:rsidR="009B14E9" w:rsidRPr="0092311A">
        <w:rPr>
          <w:szCs w:val="24"/>
        </w:rPr>
        <w:t xml:space="preserve">Para ello, en el marco de esta operación se estarán capacitando funcionarios de las dependencias públicas que tendrán </w:t>
      </w:r>
      <w:r w:rsidR="009F3D0E" w:rsidRPr="0092311A">
        <w:rPr>
          <w:szCs w:val="24"/>
        </w:rPr>
        <w:t xml:space="preserve">a cargo </w:t>
      </w:r>
      <w:r w:rsidR="00CF3DF6" w:rsidRPr="0092311A">
        <w:rPr>
          <w:szCs w:val="24"/>
        </w:rPr>
        <w:t xml:space="preserve">su </w:t>
      </w:r>
      <w:r w:rsidR="009B14E9" w:rsidRPr="0092311A">
        <w:rPr>
          <w:szCs w:val="24"/>
        </w:rPr>
        <w:t>preparación.</w:t>
      </w:r>
    </w:p>
    <w:p w:rsidR="00E9420A" w:rsidRPr="0092311A" w:rsidRDefault="0017537C" w:rsidP="00CD26CB">
      <w:pPr>
        <w:pStyle w:val="Heading1"/>
        <w:rPr>
          <w:lang w:val="es-ES"/>
        </w:rPr>
      </w:pPr>
      <w:bookmarkStart w:id="30" w:name="_Toc363224981"/>
      <w:r w:rsidRPr="0092311A">
        <w:rPr>
          <w:lang w:val="es-ES"/>
        </w:rPr>
        <w:t>E</w:t>
      </w:r>
      <w:r w:rsidR="00CD26CB" w:rsidRPr="0092311A">
        <w:rPr>
          <w:lang w:val="es-ES"/>
        </w:rPr>
        <w:t>strategia de seguimiento y evaluación</w:t>
      </w:r>
      <w:bookmarkEnd w:id="30"/>
    </w:p>
    <w:p w:rsidR="00847EA9" w:rsidRPr="0092311A" w:rsidRDefault="009513D7" w:rsidP="00775C78">
      <w:pPr>
        <w:pStyle w:val="AutoNumpara"/>
        <w:rPr>
          <w:szCs w:val="24"/>
        </w:rPr>
      </w:pPr>
      <w:r w:rsidRPr="0092311A">
        <w:rPr>
          <w:b/>
          <w:szCs w:val="24"/>
        </w:rPr>
        <w:t xml:space="preserve">Línea de Base. </w:t>
      </w:r>
      <w:r w:rsidR="00711C99" w:rsidRPr="0092311A">
        <w:rPr>
          <w:szCs w:val="24"/>
        </w:rPr>
        <w:t xml:space="preserve">La metodología del MRV </w:t>
      </w:r>
      <w:r w:rsidR="00847EA9" w:rsidRPr="0092311A">
        <w:rPr>
          <w:szCs w:val="24"/>
        </w:rPr>
        <w:t xml:space="preserve">establece como obligatorio la toma de información básica para cada </w:t>
      </w:r>
      <w:r w:rsidR="00711C99" w:rsidRPr="0092311A">
        <w:rPr>
          <w:szCs w:val="24"/>
        </w:rPr>
        <w:t xml:space="preserve">beneficiario (productor y planta procesadora). Esta información se recopilará e incluirá </w:t>
      </w:r>
      <w:r w:rsidR="000835F1" w:rsidRPr="0092311A">
        <w:rPr>
          <w:szCs w:val="24"/>
        </w:rPr>
        <w:t>la</w:t>
      </w:r>
      <w:r w:rsidR="00711C99" w:rsidRPr="0092311A">
        <w:rPr>
          <w:szCs w:val="24"/>
        </w:rPr>
        <w:t xml:space="preserve">s </w:t>
      </w:r>
      <w:r w:rsidR="00847EA9" w:rsidRPr="0092311A">
        <w:rPr>
          <w:szCs w:val="24"/>
        </w:rPr>
        <w:t xml:space="preserve">siguientes </w:t>
      </w:r>
      <w:r w:rsidR="000835F1" w:rsidRPr="0092311A">
        <w:rPr>
          <w:szCs w:val="24"/>
        </w:rPr>
        <w:t>métricas</w:t>
      </w:r>
      <w:r w:rsidR="00847EA9" w:rsidRPr="0092311A">
        <w:rPr>
          <w:b/>
          <w:szCs w:val="24"/>
        </w:rPr>
        <w:t>:</w:t>
      </w:r>
      <w:r w:rsidR="00711C99" w:rsidRPr="0092311A">
        <w:rPr>
          <w:b/>
          <w:szCs w:val="24"/>
        </w:rPr>
        <w:t xml:space="preserve"> </w:t>
      </w:r>
      <w:r w:rsidR="000835F1" w:rsidRPr="0092311A">
        <w:rPr>
          <w:szCs w:val="24"/>
        </w:rPr>
        <w:t>(i)</w:t>
      </w:r>
      <w:r w:rsidR="00847EA9" w:rsidRPr="0092311A">
        <w:rPr>
          <w:b/>
          <w:szCs w:val="24"/>
        </w:rPr>
        <w:t xml:space="preserve"> </w:t>
      </w:r>
      <w:r w:rsidR="00711C99" w:rsidRPr="0092311A">
        <w:rPr>
          <w:szCs w:val="24"/>
        </w:rPr>
        <w:t>Productores</w:t>
      </w:r>
      <w:r w:rsidR="00847EA9" w:rsidRPr="0092311A">
        <w:rPr>
          <w:szCs w:val="24"/>
        </w:rPr>
        <w:t xml:space="preserve">: sexo, </w:t>
      </w:r>
      <w:r w:rsidR="000835F1" w:rsidRPr="0092311A">
        <w:rPr>
          <w:szCs w:val="24"/>
        </w:rPr>
        <w:t xml:space="preserve">número de Has., </w:t>
      </w:r>
      <w:r w:rsidR="00587B22" w:rsidRPr="0092311A">
        <w:rPr>
          <w:szCs w:val="24"/>
        </w:rPr>
        <w:t xml:space="preserve">rendimiento por </w:t>
      </w:r>
      <w:r w:rsidR="000835F1" w:rsidRPr="0092311A">
        <w:rPr>
          <w:szCs w:val="24"/>
        </w:rPr>
        <w:t xml:space="preserve">Has., </w:t>
      </w:r>
      <w:r w:rsidR="00587B22" w:rsidRPr="0092311A">
        <w:rPr>
          <w:szCs w:val="24"/>
        </w:rPr>
        <w:t>producci</w:t>
      </w:r>
      <w:r w:rsidR="000835F1" w:rsidRPr="0092311A">
        <w:rPr>
          <w:szCs w:val="24"/>
        </w:rPr>
        <w:t>ó</w:t>
      </w:r>
      <w:r w:rsidR="00587B22" w:rsidRPr="0092311A">
        <w:rPr>
          <w:szCs w:val="24"/>
        </w:rPr>
        <w:t>n anual, ingresos anuales derivados del café, costos aprox de produccion, para calcular las ganancias anuales derivadas del café</w:t>
      </w:r>
      <w:r w:rsidR="000835F1" w:rsidRPr="0092311A">
        <w:rPr>
          <w:szCs w:val="24"/>
        </w:rPr>
        <w:t xml:space="preserve">; (ii) </w:t>
      </w:r>
      <w:r w:rsidR="00711C99" w:rsidRPr="0092311A">
        <w:rPr>
          <w:szCs w:val="24"/>
        </w:rPr>
        <w:t>Planta procesadora</w:t>
      </w:r>
      <w:r w:rsidR="00847EA9" w:rsidRPr="0092311A">
        <w:rPr>
          <w:szCs w:val="24"/>
        </w:rPr>
        <w:t xml:space="preserve">: gastos </w:t>
      </w:r>
      <w:r w:rsidR="00AA3375" w:rsidRPr="0092311A">
        <w:rPr>
          <w:szCs w:val="24"/>
        </w:rPr>
        <w:t>y volumen de consumos de recuros (agua, electricidad, leña)</w:t>
      </w:r>
      <w:r w:rsidR="00587B22" w:rsidRPr="0092311A">
        <w:rPr>
          <w:szCs w:val="24"/>
        </w:rPr>
        <w:t>, etc</w:t>
      </w:r>
      <w:r w:rsidR="00AA3375" w:rsidRPr="0092311A">
        <w:rPr>
          <w:szCs w:val="24"/>
        </w:rPr>
        <w:t>.</w:t>
      </w:r>
    </w:p>
    <w:p w:rsidR="00847EA9" w:rsidRPr="0092311A" w:rsidRDefault="000835F1" w:rsidP="00775C78">
      <w:pPr>
        <w:pStyle w:val="AutoNumpara"/>
        <w:rPr>
          <w:szCs w:val="24"/>
        </w:rPr>
      </w:pPr>
      <w:r w:rsidRPr="0092311A">
        <w:t>Esta información de línea de base y de valoración se realizará al inicio de la operación (cuando se caracteriza y selecciona a los participantes) y cada año después de cada cosecha, mediante encuesta.</w:t>
      </w:r>
      <w:r w:rsidR="00C812FE" w:rsidRPr="0092311A">
        <w:t xml:space="preserve"> </w:t>
      </w:r>
      <w:r w:rsidR="00844CEC" w:rsidRPr="0092311A">
        <w:t>El proyecto por su naturaleza tendr</w:t>
      </w:r>
      <w:r w:rsidR="00C812FE" w:rsidRPr="0092311A">
        <w:t>á</w:t>
      </w:r>
      <w:r w:rsidR="00844CEC" w:rsidRPr="0092311A">
        <w:t xml:space="preserve"> también una línea de base de emisiones, la cual será realizada como parte del sistema MRV</w:t>
      </w:r>
      <w:r w:rsidR="00C812FE" w:rsidRPr="0092311A">
        <w:t xml:space="preserve">. </w:t>
      </w:r>
      <w:r w:rsidR="00844CEC" w:rsidRPr="0092311A">
        <w:t>Ésta sirve como referencia para determinar la reducción de emisiones y el impacto que tendrán las acciones en el marco de las NAMA.</w:t>
      </w:r>
      <w:r w:rsidR="00120371" w:rsidRPr="0092311A">
        <w:t xml:space="preserve"> </w:t>
      </w:r>
      <w:r w:rsidR="00847EA9" w:rsidRPr="0092311A">
        <w:rPr>
          <w:szCs w:val="24"/>
        </w:rPr>
        <w:t>Al final del proceso</w:t>
      </w:r>
      <w:r w:rsidRPr="0092311A">
        <w:rPr>
          <w:szCs w:val="24"/>
        </w:rPr>
        <w:t xml:space="preserve"> o en el momento en que se requiera hacer valoración,</w:t>
      </w:r>
      <w:r w:rsidR="00847EA9" w:rsidRPr="0092311A">
        <w:rPr>
          <w:szCs w:val="24"/>
        </w:rPr>
        <w:t xml:space="preserve"> estos datos se vuelven a medir contra los datos que se recogieron al principio. </w:t>
      </w:r>
      <w:r w:rsidR="00120371" w:rsidRPr="0092311A">
        <w:rPr>
          <w:szCs w:val="24"/>
        </w:rPr>
        <w:t xml:space="preserve">El MRV constituye en un buen sistema de monitoreo y se prevé usarlo para todo el proyecto.  </w:t>
      </w:r>
    </w:p>
    <w:p w:rsidR="00C42A9D" w:rsidRPr="0092311A" w:rsidRDefault="00C42A9D" w:rsidP="00155AEF">
      <w:pPr>
        <w:pStyle w:val="AutoNumpara"/>
      </w:pPr>
      <w:r w:rsidRPr="0092311A">
        <w:rPr>
          <w:b/>
        </w:rPr>
        <w:t xml:space="preserve">Seguimiento. </w:t>
      </w:r>
      <w:r w:rsidRPr="0092311A">
        <w:t xml:space="preserve">La agencia ejecutora será responsable </w:t>
      </w:r>
      <w:r w:rsidR="000835F1" w:rsidRPr="0092311A">
        <w:t xml:space="preserve">de </w:t>
      </w:r>
      <w:r w:rsidRPr="0092311A">
        <w:t>la preparación y reporte al Banco del Informe de Avance del proyecto, a través del Sistema de Reporte de Estado de Proyectos (PSR por sus siglas en inglés), dentro de los 30 días siguientes al vencimiento de cada semestre o con mayor frecuencia, y en las fechas en que el FOMIN determine, informándole a la AE con por lo menos 60 días de anticipación. El PSR reportará el avance en cuanto a la ejecución del proyecto, cumplimiento de hitos, los resultados obtenidos y su contribución al logro de los objetivos del proyecto, en función a lo indicado en el marco lógico y a otros instrumentos de planificación operativa. Dentro de los 90 (noventa) días después del fin del plazo de ejecución, la A</w:t>
      </w:r>
      <w:r w:rsidR="00433377" w:rsidRPr="0092311A">
        <w:t>E</w:t>
      </w:r>
      <w:r w:rsidRPr="0092311A">
        <w:t xml:space="preserve"> presentará al FOMIN un Informe de Avance del Proyecto Final (PSR Final) en el que se priorizará los resultados alcanzados, el plan de sostenibilidad, hallazgos de la evaluación final, y las lecciones aprendidas. </w:t>
      </w:r>
    </w:p>
    <w:p w:rsidR="00FA1F71" w:rsidRPr="0092311A" w:rsidRDefault="00C42A9D" w:rsidP="00885CDE">
      <w:pPr>
        <w:pStyle w:val="AutoNumpara"/>
      </w:pPr>
      <w:r w:rsidRPr="0092311A">
        <w:rPr>
          <w:b/>
        </w:rPr>
        <w:t xml:space="preserve">Evaluación. </w:t>
      </w:r>
      <w:r w:rsidRPr="0092311A">
        <w:t xml:space="preserve">Se prevé desarrollar dos evaluaciones </w:t>
      </w:r>
      <w:r w:rsidR="00433377" w:rsidRPr="0092311A">
        <w:t>con recursos de la contribución</w:t>
      </w:r>
      <w:r w:rsidRPr="0092311A">
        <w:t>: una intermedia y otra final que serán contratadas directamente por el FOMIN. La evaluación intermedia se realizará a los 18 meses del primer desembolso o cuando se haya desembolsado el 50% de los recursos comprometidos, lo que ocurra primero, y deberá contemplar entre otros aspectos: (a) la pertinencia de los componentes y actividades del Proyecto para el logro de los objetivos definidos; (b) una apreciación de los avances experimentados durante la ejecución del Proyecto en función de los indicadores establecidos en el Marco Lógico, Hitos de Desembolso y Reglamento Operativo; (c) los resultados alcanzados en la ejecución de los componentes; (d) las desviaciones en el proceso de ejecución del Proyecto; (e) las lecciones aprendidas durante la ejecución del Proyecto; y (f) las</w:t>
      </w:r>
      <w:r w:rsidR="00433377" w:rsidRPr="0092311A">
        <w:t xml:space="preserve"> </w:t>
      </w:r>
      <w:r w:rsidRPr="0092311A">
        <w:t>recomendaciones que, eventualmente, considere necesarias para adecuar la ejecución del Proyecto para alcanzar sus metas</w:t>
      </w:r>
      <w:r w:rsidR="003B09BE" w:rsidRPr="0092311A">
        <w:t>.</w:t>
      </w:r>
      <w:r w:rsidRPr="0092311A">
        <w:t xml:space="preserve"> </w:t>
      </w:r>
      <w:r w:rsidR="00FA1F71" w:rsidRPr="0092311A">
        <w:t xml:space="preserve">Algunas de las preguntas para las evaluaciones son las siguientes: Sobre las tecnologías ¿hasta qué punto éstas han logrado mejorar los rendimientos en la producción?; </w:t>
      </w:r>
      <w:r w:rsidR="00C32993" w:rsidRPr="0092311A">
        <w:t>¿</w:t>
      </w:r>
      <w:r w:rsidR="00FA1F71" w:rsidRPr="0092311A">
        <w:t xml:space="preserve">Qué aceptación han tenido por parte de los beneficiarios?; </w:t>
      </w:r>
      <w:r w:rsidR="00C32993" w:rsidRPr="0092311A">
        <w:t>¿</w:t>
      </w:r>
      <w:r w:rsidR="00FA1F71" w:rsidRPr="0092311A">
        <w:t xml:space="preserve">En qué medida contribuyeron a reducir costos a los beneficiarios?; Sobre los proveedores, </w:t>
      </w:r>
      <w:r w:rsidR="00C32993" w:rsidRPr="0092311A">
        <w:t>¿</w:t>
      </w:r>
      <w:r w:rsidR="00FA1F71" w:rsidRPr="0092311A">
        <w:t xml:space="preserve">Qué capacidad han demostrado para asistir a los beneficiarios?; </w:t>
      </w:r>
      <w:r w:rsidR="00C32993" w:rsidRPr="0092311A">
        <w:t>¿</w:t>
      </w:r>
      <w:r w:rsidR="00FA1F71" w:rsidRPr="0092311A">
        <w:t xml:space="preserve">Qué áreas deben mejorar?; Sobre el GT, </w:t>
      </w:r>
      <w:r w:rsidR="00C32993" w:rsidRPr="0092311A">
        <w:t>¿</w:t>
      </w:r>
      <w:r w:rsidR="00FA1F71" w:rsidRPr="0092311A">
        <w:t>Qué tan eficaz resultó el trabajo del GT</w:t>
      </w:r>
      <w:r w:rsidR="004B2914" w:rsidRPr="0092311A">
        <w:t xml:space="preserve"> en la </w:t>
      </w:r>
      <w:r w:rsidR="00885CDE" w:rsidRPr="0092311A">
        <w:t xml:space="preserve">coordinación y toma de decisiones </w:t>
      </w:r>
      <w:r w:rsidR="00FA1F71" w:rsidRPr="0092311A">
        <w:t xml:space="preserve">para agilizar la ejecución?; </w:t>
      </w:r>
      <w:r w:rsidR="00C32993" w:rsidRPr="0092311A">
        <w:t>¿</w:t>
      </w:r>
      <w:r w:rsidR="004B2914" w:rsidRPr="0092311A">
        <w:t xml:space="preserve">Que tan involucrados están los equipos técnicos del GT </w:t>
      </w:r>
      <w:r w:rsidR="002929B2" w:rsidRPr="0092311A">
        <w:t xml:space="preserve">para asegurar la debida implementación del modelo y su replicabilidad en otros sectores?; </w:t>
      </w:r>
      <w:r w:rsidR="00C32993" w:rsidRPr="0092311A">
        <w:t>¿</w:t>
      </w:r>
      <w:r w:rsidR="00885CDE" w:rsidRPr="0092311A">
        <w:t xml:space="preserve">Qué elementos pueden ser sujetos de mejora en el GT para otro ejercicio similar?; </w:t>
      </w:r>
      <w:r w:rsidR="00FA1F71" w:rsidRPr="0092311A">
        <w:t xml:space="preserve">Sobre el modelo de ejecución, </w:t>
      </w:r>
      <w:r w:rsidR="00C32993" w:rsidRPr="0092311A">
        <w:t>¿</w:t>
      </w:r>
      <w:r w:rsidR="00FA1F71" w:rsidRPr="0092311A">
        <w:t xml:space="preserve">Qué tan eficaz resultó el modelo de </w:t>
      </w:r>
      <w:r w:rsidR="00CF409D" w:rsidRPr="0092311A">
        <w:t xml:space="preserve">delegación de </w:t>
      </w:r>
      <w:r w:rsidR="00FA1F71" w:rsidRPr="0092311A">
        <w:t xml:space="preserve">ejecución en una ONG, en lugar de una institución de gobierno?; Sobre los beneficiarios; </w:t>
      </w:r>
      <w:r w:rsidR="00C32993" w:rsidRPr="0092311A">
        <w:t>¿</w:t>
      </w:r>
      <w:r w:rsidR="00FA1F71" w:rsidRPr="0092311A">
        <w:t xml:space="preserve">Que tan </w:t>
      </w:r>
      <w:r w:rsidR="00CF409D" w:rsidRPr="0092311A">
        <w:t>pertinentes fueron los criterios de selección?</w:t>
      </w:r>
      <w:r w:rsidR="00C32993">
        <w:t xml:space="preserve">, </w:t>
      </w:r>
      <w:r w:rsidR="00C32993" w:rsidRPr="0092311A">
        <w:t>¿</w:t>
      </w:r>
      <w:r w:rsidR="00CF409D" w:rsidRPr="0092311A">
        <w:t xml:space="preserve">Qué tan acertado fue el </w:t>
      </w:r>
      <w:r w:rsidR="00FA1F71" w:rsidRPr="0092311A">
        <w:t>proceso de selección de los beneficiarios? Y de los proyectos piloto</w:t>
      </w:r>
      <w:r w:rsidR="00C32993">
        <w:t xml:space="preserve">, </w:t>
      </w:r>
      <w:r w:rsidR="00C32993" w:rsidRPr="0092311A">
        <w:t>¿</w:t>
      </w:r>
      <w:r w:rsidR="005006D8" w:rsidRPr="0092311A">
        <w:t>Qué co beneficios se han generado?</w:t>
      </w:r>
      <w:r w:rsidR="00C32993">
        <w:t>.</w:t>
      </w:r>
    </w:p>
    <w:p w:rsidR="00C42A9D" w:rsidRPr="0092311A" w:rsidRDefault="00C42A9D" w:rsidP="00C42A9D">
      <w:pPr>
        <w:pStyle w:val="AutoNumpara"/>
      </w:pPr>
      <w:r w:rsidRPr="0092311A">
        <w:t xml:space="preserve">Sobre la base de los informes de progreso y de la evaluación intermedia, </w:t>
      </w:r>
      <w:r w:rsidR="00433377" w:rsidRPr="0092311A">
        <w:t xml:space="preserve">FC </w:t>
      </w:r>
      <w:r w:rsidRPr="0092311A">
        <w:t>y el equipo del Proyecto</w:t>
      </w:r>
      <w:r w:rsidR="00433377" w:rsidRPr="0092311A">
        <w:t xml:space="preserve"> del BID/FOMIN</w:t>
      </w:r>
      <w:r w:rsidRPr="0092311A">
        <w:t xml:space="preserve"> determinará si el Proyecto debe continuar, ser ajustado, reestructurado o, eventualmente, cancelado en forma parcial o total.</w:t>
      </w:r>
    </w:p>
    <w:p w:rsidR="00433377" w:rsidRPr="0092311A" w:rsidRDefault="00C42A9D" w:rsidP="00C42A9D">
      <w:pPr>
        <w:pStyle w:val="AutoNumpara"/>
        <w:rPr>
          <w:szCs w:val="24"/>
        </w:rPr>
      </w:pPr>
      <w:r w:rsidRPr="0092311A">
        <w:t xml:space="preserve">La evaluación final del proyecto será realizada </w:t>
      </w:r>
      <w:r w:rsidR="00C3730B" w:rsidRPr="0092311A">
        <w:t>tres meses antes de finalizar su ejecución (</w:t>
      </w:r>
      <w:r w:rsidRPr="0092311A">
        <w:t>a los 3</w:t>
      </w:r>
      <w:r w:rsidR="00FA1F71" w:rsidRPr="0092311A">
        <w:t>3</w:t>
      </w:r>
      <w:r w:rsidRPr="0092311A">
        <w:t xml:space="preserve"> meses</w:t>
      </w:r>
      <w:r w:rsidR="00C3730B" w:rsidRPr="0092311A">
        <w:t>)</w:t>
      </w:r>
      <w:r w:rsidRPr="0092311A">
        <w:t xml:space="preserve"> o una vez que se haya desembolsado el 90% de los recursos del FOMIN, lo que ocurra primero. Además de responder a temas relacionados con el desempeño operacional del proyecto, también proveerá lecciones aprendidas y recomendaciones para futuras implementaciones</w:t>
      </w:r>
      <w:r w:rsidR="00C3730B" w:rsidRPr="0092311A">
        <w:t xml:space="preserve">, </w:t>
      </w:r>
      <w:r w:rsidRPr="0092311A">
        <w:t xml:space="preserve">que se diseminarán a un público </w:t>
      </w:r>
      <w:r w:rsidR="00433377" w:rsidRPr="0092311A">
        <w:t xml:space="preserve">meta </w:t>
      </w:r>
      <w:r w:rsidRPr="0092311A">
        <w:t>para beneficio de todos los interesados. El Proyecto no contempla la realización de una evaluación de impacto</w:t>
      </w:r>
      <w:r w:rsidRPr="0092311A">
        <w:rPr>
          <w:b/>
        </w:rPr>
        <w:t>.</w:t>
      </w:r>
    </w:p>
    <w:p w:rsidR="00C42A9D" w:rsidRPr="0092311A" w:rsidRDefault="00C42A9D" w:rsidP="00C42A9D">
      <w:pPr>
        <w:pStyle w:val="AutoNumpara"/>
        <w:rPr>
          <w:szCs w:val="24"/>
        </w:rPr>
      </w:pPr>
      <w:r w:rsidRPr="0092311A">
        <w:rPr>
          <w:szCs w:val="24"/>
        </w:rPr>
        <w:t xml:space="preserve">Oportunamente, la AE organizará un Taller de Cierre con el objetivo de evaluar en forma conjunta con otros ente involucrados los resultados alcanzados, identificar las tareas adicionales para garantizar la sostenibilidad de las acciones iniciadas por el proyecto e identificar y diseminar las lecciones aprendidas y mejores prácticas. </w:t>
      </w:r>
    </w:p>
    <w:p w:rsidR="00F226AF" w:rsidRPr="0092311A" w:rsidRDefault="00CD26CB" w:rsidP="00D60C1F">
      <w:pPr>
        <w:pStyle w:val="Heading1"/>
        <w:rPr>
          <w:lang w:val="es-ES"/>
        </w:rPr>
      </w:pPr>
      <w:bookmarkStart w:id="31" w:name="_Toc363224982"/>
      <w:r w:rsidRPr="0092311A">
        <w:rPr>
          <w:lang w:val="es-ES"/>
        </w:rPr>
        <w:t>Costo y Financiamiento</w:t>
      </w:r>
      <w:bookmarkEnd w:id="31"/>
    </w:p>
    <w:bookmarkEnd w:id="24"/>
    <w:p w:rsidR="00DC5F6C" w:rsidRPr="0092311A" w:rsidRDefault="00196B2B" w:rsidP="00DC5F6C">
      <w:pPr>
        <w:pStyle w:val="AutoNumpara"/>
        <w:numPr>
          <w:ilvl w:val="0"/>
          <w:numId w:val="0"/>
        </w:numPr>
        <w:ind w:left="720"/>
      </w:pPr>
      <w:r w:rsidRPr="0092311A">
        <w:rPr>
          <w:rFonts w:eastAsia="Cambria"/>
        </w:rPr>
        <w:t>El costo total del proyecto ascenderá a US$2.</w:t>
      </w:r>
      <w:r w:rsidR="00F36129" w:rsidRPr="0092311A">
        <w:rPr>
          <w:rFonts w:eastAsia="Cambria"/>
        </w:rPr>
        <w:t>2</w:t>
      </w:r>
      <w:r w:rsidR="001D4941" w:rsidRPr="0092311A">
        <w:rPr>
          <w:rFonts w:eastAsia="Cambria"/>
        </w:rPr>
        <w:t>40</w:t>
      </w:r>
      <w:r w:rsidR="00F36129" w:rsidRPr="0092311A">
        <w:rPr>
          <w:rFonts w:eastAsia="Cambria"/>
        </w:rPr>
        <w:t>.</w:t>
      </w:r>
      <w:r w:rsidR="001D4941" w:rsidRPr="0092311A">
        <w:rPr>
          <w:rFonts w:eastAsia="Cambria"/>
        </w:rPr>
        <w:t>0</w:t>
      </w:r>
      <w:r w:rsidR="00F36129" w:rsidRPr="0092311A">
        <w:rPr>
          <w:rFonts w:eastAsia="Cambria"/>
        </w:rPr>
        <w:t>88</w:t>
      </w:r>
      <w:r w:rsidRPr="0092311A">
        <w:rPr>
          <w:rFonts w:eastAsia="Cambria"/>
        </w:rPr>
        <w:t>. El FOMIN aportará US$1.</w:t>
      </w:r>
      <w:r w:rsidR="00F36129" w:rsidRPr="0092311A">
        <w:rPr>
          <w:rFonts w:eastAsia="Cambria"/>
        </w:rPr>
        <w:t>2</w:t>
      </w:r>
      <w:r w:rsidR="001D4941" w:rsidRPr="0092311A">
        <w:rPr>
          <w:rFonts w:eastAsia="Cambria"/>
        </w:rPr>
        <w:t>74</w:t>
      </w:r>
      <w:r w:rsidR="00F36129" w:rsidRPr="0092311A">
        <w:rPr>
          <w:rFonts w:eastAsia="Cambria"/>
        </w:rPr>
        <w:t>.</w:t>
      </w:r>
      <w:r w:rsidR="001D4941" w:rsidRPr="0092311A">
        <w:rPr>
          <w:rFonts w:eastAsia="Cambria"/>
        </w:rPr>
        <w:t>4</w:t>
      </w:r>
      <w:r w:rsidR="00F36129" w:rsidRPr="0092311A">
        <w:rPr>
          <w:rFonts w:eastAsia="Cambria"/>
        </w:rPr>
        <w:t>38</w:t>
      </w:r>
      <w:r w:rsidRPr="0092311A">
        <w:rPr>
          <w:rFonts w:eastAsia="Cambria"/>
        </w:rPr>
        <w:t xml:space="preserve"> mediante una operación de cooperación técnica y FC US$965.650 como fondos de contrapartida.</w:t>
      </w:r>
      <w:r w:rsidR="00F226AF" w:rsidRPr="0092311A">
        <w:rPr>
          <w:rFonts w:eastAsia="Cambria"/>
        </w:rPr>
        <w:t xml:space="preserve"> El periodo de ejecución del proyecto será de 36 meses con un periodo de desembolso de 42 meses.</w:t>
      </w:r>
    </w:p>
    <w:tbl>
      <w:tblPr>
        <w:tblW w:w="9441" w:type="dxa"/>
        <w:jc w:val="center"/>
        <w:tblInd w:w="-954" w:type="dxa"/>
        <w:tblLook w:val="04A0" w:firstRow="1" w:lastRow="0" w:firstColumn="1" w:lastColumn="0" w:noHBand="0" w:noVBand="1"/>
      </w:tblPr>
      <w:tblGrid>
        <w:gridCol w:w="5531"/>
        <w:gridCol w:w="1260"/>
        <w:gridCol w:w="1530"/>
        <w:gridCol w:w="1120"/>
      </w:tblGrid>
      <w:tr w:rsidR="00C37DC5" w:rsidRPr="0092311A" w:rsidTr="008879F2">
        <w:trPr>
          <w:trHeight w:val="375"/>
          <w:jc w:val="center"/>
        </w:trPr>
        <w:tc>
          <w:tcPr>
            <w:tcW w:w="5531" w:type="dxa"/>
            <w:tcBorders>
              <w:top w:val="single" w:sz="4" w:space="0" w:color="auto"/>
              <w:left w:val="single" w:sz="4" w:space="0" w:color="auto"/>
              <w:bottom w:val="single" w:sz="4" w:space="0" w:color="auto"/>
              <w:right w:val="single" w:sz="4" w:space="0" w:color="auto"/>
            </w:tcBorders>
            <w:shd w:val="clear" w:color="000000" w:fill="C0C0C0"/>
            <w:vAlign w:val="center"/>
          </w:tcPr>
          <w:p w:rsidR="00871BB3" w:rsidRPr="0092311A" w:rsidRDefault="00871BB3" w:rsidP="003C58EF">
            <w:pPr>
              <w:spacing w:before="20" w:after="20"/>
              <w:jc w:val="center"/>
              <w:rPr>
                <w:b/>
                <w:bCs/>
                <w:spacing w:val="0"/>
                <w:sz w:val="20"/>
              </w:rPr>
            </w:pPr>
            <w:r w:rsidRPr="0092311A">
              <w:rPr>
                <w:b/>
                <w:bCs/>
                <w:spacing w:val="0"/>
                <w:sz w:val="20"/>
              </w:rPr>
              <w:t>Componentes</w:t>
            </w:r>
          </w:p>
        </w:tc>
        <w:tc>
          <w:tcPr>
            <w:tcW w:w="1260" w:type="dxa"/>
            <w:tcBorders>
              <w:top w:val="single" w:sz="4" w:space="0" w:color="auto"/>
              <w:left w:val="nil"/>
              <w:bottom w:val="single" w:sz="4" w:space="0" w:color="auto"/>
              <w:right w:val="single" w:sz="4" w:space="0" w:color="auto"/>
            </w:tcBorders>
            <w:shd w:val="clear" w:color="000000" w:fill="C0C0C0"/>
            <w:vAlign w:val="center"/>
          </w:tcPr>
          <w:p w:rsidR="00871BB3" w:rsidRPr="0092311A" w:rsidRDefault="00871BB3" w:rsidP="003C58EF">
            <w:pPr>
              <w:spacing w:before="20" w:after="20"/>
              <w:jc w:val="center"/>
              <w:rPr>
                <w:b/>
                <w:bCs/>
                <w:spacing w:val="0"/>
                <w:sz w:val="20"/>
              </w:rPr>
            </w:pPr>
            <w:r w:rsidRPr="0092311A">
              <w:rPr>
                <w:b/>
                <w:bCs/>
                <w:spacing w:val="0"/>
                <w:sz w:val="20"/>
              </w:rPr>
              <w:t>FOMIN</w:t>
            </w:r>
          </w:p>
        </w:tc>
        <w:tc>
          <w:tcPr>
            <w:tcW w:w="1530" w:type="dxa"/>
            <w:tcBorders>
              <w:top w:val="single" w:sz="4" w:space="0" w:color="auto"/>
              <w:left w:val="nil"/>
              <w:bottom w:val="single" w:sz="4" w:space="0" w:color="auto"/>
              <w:right w:val="single" w:sz="4" w:space="0" w:color="auto"/>
            </w:tcBorders>
            <w:shd w:val="clear" w:color="000000" w:fill="C0C0C0"/>
            <w:vAlign w:val="center"/>
          </w:tcPr>
          <w:p w:rsidR="00EF04A9" w:rsidRPr="0092311A" w:rsidRDefault="00871BB3" w:rsidP="003C58EF">
            <w:pPr>
              <w:spacing w:before="20" w:after="20"/>
              <w:jc w:val="center"/>
              <w:rPr>
                <w:b/>
                <w:bCs/>
                <w:spacing w:val="0"/>
                <w:sz w:val="20"/>
              </w:rPr>
            </w:pPr>
            <w:r w:rsidRPr="0092311A">
              <w:rPr>
                <w:b/>
                <w:bCs/>
                <w:spacing w:val="0"/>
                <w:sz w:val="20"/>
              </w:rPr>
              <w:t>CONTRA</w:t>
            </w:r>
          </w:p>
          <w:p w:rsidR="00871BB3" w:rsidRPr="0092311A" w:rsidRDefault="00871BB3" w:rsidP="003C58EF">
            <w:pPr>
              <w:spacing w:before="20" w:after="20"/>
              <w:jc w:val="center"/>
              <w:rPr>
                <w:b/>
                <w:bCs/>
                <w:spacing w:val="0"/>
                <w:sz w:val="20"/>
              </w:rPr>
            </w:pPr>
            <w:r w:rsidRPr="0092311A">
              <w:rPr>
                <w:b/>
                <w:bCs/>
                <w:spacing w:val="0"/>
                <w:sz w:val="20"/>
              </w:rPr>
              <w:t>PARTIDA</w:t>
            </w:r>
          </w:p>
        </w:tc>
        <w:tc>
          <w:tcPr>
            <w:tcW w:w="1120" w:type="dxa"/>
            <w:tcBorders>
              <w:top w:val="single" w:sz="4" w:space="0" w:color="auto"/>
              <w:left w:val="nil"/>
              <w:bottom w:val="single" w:sz="4" w:space="0" w:color="auto"/>
              <w:right w:val="single" w:sz="4" w:space="0" w:color="auto"/>
            </w:tcBorders>
            <w:shd w:val="clear" w:color="000000" w:fill="C0C0C0"/>
            <w:vAlign w:val="center"/>
          </w:tcPr>
          <w:p w:rsidR="00871BB3" w:rsidRPr="0092311A" w:rsidRDefault="00871BB3" w:rsidP="003C58EF">
            <w:pPr>
              <w:spacing w:before="20" w:after="20"/>
              <w:jc w:val="center"/>
              <w:rPr>
                <w:b/>
                <w:bCs/>
                <w:spacing w:val="0"/>
                <w:sz w:val="20"/>
              </w:rPr>
            </w:pPr>
            <w:r w:rsidRPr="0092311A">
              <w:rPr>
                <w:b/>
                <w:bCs/>
                <w:spacing w:val="0"/>
                <w:sz w:val="20"/>
              </w:rPr>
              <w:t>TOTAL</w:t>
            </w:r>
          </w:p>
        </w:tc>
      </w:tr>
      <w:tr w:rsidR="00C37DC5" w:rsidRPr="0092311A" w:rsidTr="008879F2">
        <w:trPr>
          <w:trHeight w:val="480"/>
          <w:jc w:val="center"/>
        </w:trPr>
        <w:tc>
          <w:tcPr>
            <w:tcW w:w="5531" w:type="dxa"/>
            <w:tcBorders>
              <w:top w:val="nil"/>
              <w:left w:val="single" w:sz="4" w:space="0" w:color="auto"/>
              <w:bottom w:val="single" w:sz="4" w:space="0" w:color="auto"/>
              <w:right w:val="single" w:sz="4" w:space="0" w:color="auto"/>
            </w:tcBorders>
            <w:shd w:val="clear" w:color="auto" w:fill="auto"/>
          </w:tcPr>
          <w:p w:rsidR="00871BB3" w:rsidRPr="00657FF7" w:rsidRDefault="00871BB3" w:rsidP="003D5B72">
            <w:pPr>
              <w:spacing w:before="20" w:after="20"/>
              <w:rPr>
                <w:b/>
                <w:bCs/>
                <w:spacing w:val="0"/>
                <w:sz w:val="20"/>
                <w:lang w:val="pt-BR"/>
              </w:rPr>
            </w:pPr>
            <w:r w:rsidRPr="00657FF7">
              <w:rPr>
                <w:b/>
                <w:bCs/>
                <w:spacing w:val="0"/>
                <w:sz w:val="20"/>
                <w:lang w:val="pt-BR"/>
              </w:rPr>
              <w:t xml:space="preserve">Componente I: </w:t>
            </w:r>
            <w:r w:rsidR="003D5B72" w:rsidRPr="00657FF7">
              <w:rPr>
                <w:b/>
                <w:bCs/>
                <w:spacing w:val="0"/>
                <w:sz w:val="20"/>
                <w:lang w:val="pt-BR"/>
              </w:rPr>
              <w:t>Paquete Tecnológico Valorado</w:t>
            </w:r>
          </w:p>
        </w:tc>
        <w:tc>
          <w:tcPr>
            <w:tcW w:w="1260" w:type="dxa"/>
            <w:tcBorders>
              <w:top w:val="nil"/>
              <w:left w:val="nil"/>
              <w:bottom w:val="single" w:sz="4" w:space="0" w:color="auto"/>
              <w:right w:val="single" w:sz="4" w:space="0" w:color="auto"/>
            </w:tcBorders>
            <w:shd w:val="clear" w:color="auto" w:fill="auto"/>
          </w:tcPr>
          <w:p w:rsidR="00871BB3" w:rsidRPr="0092311A" w:rsidRDefault="00E50931" w:rsidP="00C37DC5">
            <w:pPr>
              <w:spacing w:before="20" w:after="20"/>
              <w:jc w:val="right"/>
              <w:rPr>
                <w:spacing w:val="0"/>
                <w:sz w:val="20"/>
              </w:rPr>
            </w:pPr>
            <w:r w:rsidRPr="0092311A">
              <w:rPr>
                <w:spacing w:val="0"/>
                <w:sz w:val="20"/>
              </w:rPr>
              <w:t>507.150</w:t>
            </w:r>
          </w:p>
        </w:tc>
        <w:tc>
          <w:tcPr>
            <w:tcW w:w="1530" w:type="dxa"/>
            <w:tcBorders>
              <w:top w:val="nil"/>
              <w:left w:val="nil"/>
              <w:bottom w:val="single" w:sz="4" w:space="0" w:color="auto"/>
              <w:right w:val="single" w:sz="4" w:space="0" w:color="auto"/>
            </w:tcBorders>
            <w:shd w:val="clear" w:color="auto" w:fill="auto"/>
          </w:tcPr>
          <w:p w:rsidR="00871BB3" w:rsidRPr="0092311A" w:rsidRDefault="00356D3D" w:rsidP="00A22C5C">
            <w:pPr>
              <w:spacing w:before="20" w:after="20"/>
              <w:ind w:right="360"/>
              <w:jc w:val="right"/>
              <w:rPr>
                <w:spacing w:val="0"/>
                <w:sz w:val="20"/>
              </w:rPr>
            </w:pPr>
            <w:r w:rsidRPr="0092311A">
              <w:rPr>
                <w:spacing w:val="0"/>
                <w:sz w:val="20"/>
              </w:rPr>
              <w:t>777.600</w:t>
            </w:r>
          </w:p>
        </w:tc>
        <w:tc>
          <w:tcPr>
            <w:tcW w:w="1120" w:type="dxa"/>
            <w:tcBorders>
              <w:top w:val="nil"/>
              <w:left w:val="nil"/>
              <w:bottom w:val="single" w:sz="4" w:space="0" w:color="auto"/>
              <w:right w:val="single" w:sz="4" w:space="0" w:color="auto"/>
            </w:tcBorders>
            <w:shd w:val="clear" w:color="auto" w:fill="auto"/>
          </w:tcPr>
          <w:p w:rsidR="00871BB3" w:rsidRPr="0092311A" w:rsidRDefault="00356D3D" w:rsidP="00C37DC5">
            <w:pPr>
              <w:spacing w:before="20" w:after="20"/>
              <w:jc w:val="right"/>
              <w:rPr>
                <w:spacing w:val="0"/>
                <w:sz w:val="20"/>
              </w:rPr>
            </w:pPr>
            <w:r w:rsidRPr="0092311A">
              <w:rPr>
                <w:spacing w:val="0"/>
                <w:sz w:val="20"/>
              </w:rPr>
              <w:t>1.284.750</w:t>
            </w:r>
          </w:p>
        </w:tc>
      </w:tr>
      <w:tr w:rsidR="00C37DC5" w:rsidRPr="0092311A" w:rsidTr="008879F2">
        <w:trPr>
          <w:trHeight w:val="480"/>
          <w:jc w:val="center"/>
        </w:trPr>
        <w:tc>
          <w:tcPr>
            <w:tcW w:w="5531" w:type="dxa"/>
            <w:tcBorders>
              <w:top w:val="nil"/>
              <w:left w:val="single" w:sz="4" w:space="0" w:color="auto"/>
              <w:bottom w:val="single" w:sz="4" w:space="0" w:color="auto"/>
              <w:right w:val="single" w:sz="4" w:space="0" w:color="auto"/>
            </w:tcBorders>
            <w:shd w:val="clear" w:color="auto" w:fill="auto"/>
          </w:tcPr>
          <w:p w:rsidR="00871BB3" w:rsidRPr="0092311A" w:rsidRDefault="00871BB3" w:rsidP="00CB7A42">
            <w:pPr>
              <w:spacing w:before="20" w:after="20"/>
              <w:rPr>
                <w:b/>
                <w:bCs/>
                <w:spacing w:val="0"/>
                <w:sz w:val="20"/>
              </w:rPr>
            </w:pPr>
            <w:r w:rsidRPr="0092311A">
              <w:rPr>
                <w:b/>
                <w:bCs/>
                <w:spacing w:val="0"/>
                <w:sz w:val="20"/>
              </w:rPr>
              <w:t xml:space="preserve">Componente II: </w:t>
            </w:r>
            <w:r w:rsidR="003D5B72" w:rsidRPr="0092311A">
              <w:rPr>
                <w:b/>
                <w:bCs/>
                <w:spacing w:val="0"/>
                <w:sz w:val="20"/>
              </w:rPr>
              <w:t>Sistema de medición, reporte y verificación (MRV) diseñado y validado</w:t>
            </w:r>
          </w:p>
        </w:tc>
        <w:tc>
          <w:tcPr>
            <w:tcW w:w="1260" w:type="dxa"/>
            <w:tcBorders>
              <w:top w:val="nil"/>
              <w:left w:val="nil"/>
              <w:bottom w:val="single" w:sz="4" w:space="0" w:color="auto"/>
              <w:right w:val="single" w:sz="4" w:space="0" w:color="auto"/>
            </w:tcBorders>
            <w:shd w:val="clear" w:color="auto" w:fill="auto"/>
          </w:tcPr>
          <w:p w:rsidR="00871BB3" w:rsidRPr="0092311A" w:rsidRDefault="00E50931" w:rsidP="00C37DC5">
            <w:pPr>
              <w:spacing w:before="20" w:after="20"/>
              <w:jc w:val="right"/>
              <w:rPr>
                <w:spacing w:val="0"/>
                <w:sz w:val="20"/>
              </w:rPr>
            </w:pPr>
            <w:r w:rsidRPr="0092311A">
              <w:rPr>
                <w:spacing w:val="0"/>
                <w:sz w:val="20"/>
              </w:rPr>
              <w:t>71.200</w:t>
            </w:r>
          </w:p>
        </w:tc>
        <w:tc>
          <w:tcPr>
            <w:tcW w:w="1530" w:type="dxa"/>
            <w:tcBorders>
              <w:top w:val="nil"/>
              <w:left w:val="nil"/>
              <w:bottom w:val="single" w:sz="4" w:space="0" w:color="auto"/>
              <w:right w:val="single" w:sz="4" w:space="0" w:color="auto"/>
            </w:tcBorders>
            <w:shd w:val="clear" w:color="auto" w:fill="auto"/>
          </w:tcPr>
          <w:p w:rsidR="00871BB3" w:rsidRPr="0092311A" w:rsidRDefault="00E50931" w:rsidP="00A22C5C">
            <w:pPr>
              <w:spacing w:before="20" w:after="20"/>
              <w:ind w:right="360"/>
              <w:jc w:val="right"/>
              <w:rPr>
                <w:spacing w:val="0"/>
                <w:sz w:val="20"/>
              </w:rPr>
            </w:pPr>
            <w:r w:rsidRPr="0092311A">
              <w:rPr>
                <w:spacing w:val="0"/>
                <w:sz w:val="20"/>
              </w:rPr>
              <w:t>64.050</w:t>
            </w:r>
          </w:p>
        </w:tc>
        <w:tc>
          <w:tcPr>
            <w:tcW w:w="1120" w:type="dxa"/>
            <w:tcBorders>
              <w:top w:val="nil"/>
              <w:left w:val="nil"/>
              <w:bottom w:val="single" w:sz="4" w:space="0" w:color="auto"/>
              <w:right w:val="single" w:sz="4" w:space="0" w:color="auto"/>
            </w:tcBorders>
            <w:shd w:val="clear" w:color="auto" w:fill="auto"/>
          </w:tcPr>
          <w:p w:rsidR="00871BB3" w:rsidRPr="0092311A" w:rsidRDefault="00E50931" w:rsidP="00C37DC5">
            <w:pPr>
              <w:spacing w:before="20" w:after="20"/>
              <w:jc w:val="right"/>
              <w:rPr>
                <w:spacing w:val="0"/>
                <w:sz w:val="20"/>
              </w:rPr>
            </w:pPr>
            <w:r w:rsidRPr="0092311A">
              <w:rPr>
                <w:spacing w:val="0"/>
                <w:sz w:val="20"/>
              </w:rPr>
              <w:t>135.250</w:t>
            </w:r>
          </w:p>
        </w:tc>
      </w:tr>
      <w:tr w:rsidR="00C37DC5" w:rsidRPr="0092311A" w:rsidTr="008879F2">
        <w:trPr>
          <w:trHeight w:val="315"/>
          <w:jc w:val="center"/>
        </w:trPr>
        <w:tc>
          <w:tcPr>
            <w:tcW w:w="5531" w:type="dxa"/>
            <w:tcBorders>
              <w:top w:val="nil"/>
              <w:left w:val="single" w:sz="4" w:space="0" w:color="auto"/>
              <w:bottom w:val="single" w:sz="4" w:space="0" w:color="auto"/>
              <w:right w:val="single" w:sz="4" w:space="0" w:color="auto"/>
            </w:tcBorders>
            <w:shd w:val="clear" w:color="auto" w:fill="auto"/>
          </w:tcPr>
          <w:p w:rsidR="00871BB3" w:rsidRPr="0092311A" w:rsidRDefault="00871BB3" w:rsidP="00362572">
            <w:pPr>
              <w:spacing w:before="20" w:after="20"/>
              <w:rPr>
                <w:b/>
                <w:bCs/>
                <w:spacing w:val="0"/>
                <w:sz w:val="20"/>
              </w:rPr>
            </w:pPr>
            <w:r w:rsidRPr="0092311A">
              <w:rPr>
                <w:b/>
                <w:bCs/>
                <w:spacing w:val="0"/>
                <w:sz w:val="20"/>
              </w:rPr>
              <w:t xml:space="preserve">Componente III: </w:t>
            </w:r>
            <w:r w:rsidR="003D5B72" w:rsidRPr="0092311A">
              <w:rPr>
                <w:b/>
                <w:bCs/>
                <w:spacing w:val="0"/>
                <w:sz w:val="20"/>
              </w:rPr>
              <w:t xml:space="preserve">NAMA para el sector café diseñado </w:t>
            </w:r>
          </w:p>
        </w:tc>
        <w:tc>
          <w:tcPr>
            <w:tcW w:w="1260" w:type="dxa"/>
            <w:tcBorders>
              <w:top w:val="nil"/>
              <w:left w:val="nil"/>
              <w:bottom w:val="single" w:sz="4" w:space="0" w:color="auto"/>
              <w:right w:val="single" w:sz="4" w:space="0" w:color="auto"/>
            </w:tcBorders>
            <w:shd w:val="clear" w:color="auto" w:fill="auto"/>
          </w:tcPr>
          <w:p w:rsidR="00871BB3" w:rsidRPr="0092311A" w:rsidRDefault="00656A6D" w:rsidP="00C37DC5">
            <w:pPr>
              <w:spacing w:before="20" w:after="20"/>
              <w:jc w:val="right"/>
              <w:rPr>
                <w:spacing w:val="0"/>
                <w:sz w:val="20"/>
              </w:rPr>
            </w:pPr>
            <w:r w:rsidRPr="0092311A">
              <w:rPr>
                <w:spacing w:val="0"/>
                <w:sz w:val="20"/>
              </w:rPr>
              <w:t>80</w:t>
            </w:r>
            <w:r w:rsidR="00E50931" w:rsidRPr="0092311A">
              <w:rPr>
                <w:spacing w:val="0"/>
                <w:sz w:val="20"/>
              </w:rPr>
              <w:t>.000</w:t>
            </w:r>
          </w:p>
        </w:tc>
        <w:tc>
          <w:tcPr>
            <w:tcW w:w="1530" w:type="dxa"/>
            <w:tcBorders>
              <w:top w:val="nil"/>
              <w:left w:val="nil"/>
              <w:bottom w:val="single" w:sz="4" w:space="0" w:color="auto"/>
              <w:right w:val="single" w:sz="4" w:space="0" w:color="auto"/>
            </w:tcBorders>
            <w:shd w:val="clear" w:color="auto" w:fill="auto"/>
          </w:tcPr>
          <w:p w:rsidR="00871BB3" w:rsidRPr="0092311A" w:rsidRDefault="00E50931" w:rsidP="001D4941">
            <w:pPr>
              <w:spacing w:before="20" w:after="20"/>
              <w:ind w:right="360"/>
              <w:jc w:val="right"/>
              <w:rPr>
                <w:spacing w:val="0"/>
                <w:sz w:val="20"/>
              </w:rPr>
            </w:pPr>
            <w:r w:rsidRPr="0092311A">
              <w:rPr>
                <w:spacing w:val="0"/>
                <w:sz w:val="20"/>
              </w:rPr>
              <w:t>2</w:t>
            </w:r>
            <w:r w:rsidR="001D4941" w:rsidRPr="0092311A">
              <w:rPr>
                <w:spacing w:val="0"/>
                <w:sz w:val="20"/>
              </w:rPr>
              <w:t>4</w:t>
            </w:r>
            <w:r w:rsidRPr="0092311A">
              <w:rPr>
                <w:spacing w:val="0"/>
                <w:sz w:val="20"/>
              </w:rPr>
              <w:t>.000</w:t>
            </w:r>
          </w:p>
        </w:tc>
        <w:tc>
          <w:tcPr>
            <w:tcW w:w="1120" w:type="dxa"/>
            <w:tcBorders>
              <w:top w:val="nil"/>
              <w:left w:val="nil"/>
              <w:bottom w:val="single" w:sz="4" w:space="0" w:color="auto"/>
              <w:right w:val="single" w:sz="4" w:space="0" w:color="auto"/>
            </w:tcBorders>
            <w:shd w:val="clear" w:color="auto" w:fill="auto"/>
          </w:tcPr>
          <w:p w:rsidR="00871BB3" w:rsidRPr="0092311A" w:rsidRDefault="00656A6D" w:rsidP="00656A6D">
            <w:pPr>
              <w:spacing w:before="20" w:after="20"/>
              <w:jc w:val="right"/>
              <w:rPr>
                <w:spacing w:val="0"/>
                <w:sz w:val="20"/>
              </w:rPr>
            </w:pPr>
            <w:r w:rsidRPr="0092311A">
              <w:rPr>
                <w:spacing w:val="0"/>
                <w:sz w:val="20"/>
              </w:rPr>
              <w:t>104</w:t>
            </w:r>
            <w:r w:rsidR="00E50931" w:rsidRPr="0092311A">
              <w:rPr>
                <w:spacing w:val="0"/>
                <w:sz w:val="20"/>
              </w:rPr>
              <w:t>.000</w:t>
            </w:r>
          </w:p>
        </w:tc>
      </w:tr>
      <w:tr w:rsidR="00C37DC5" w:rsidRPr="0092311A" w:rsidTr="008879F2">
        <w:trPr>
          <w:trHeight w:val="480"/>
          <w:jc w:val="center"/>
        </w:trPr>
        <w:tc>
          <w:tcPr>
            <w:tcW w:w="5531" w:type="dxa"/>
            <w:tcBorders>
              <w:top w:val="nil"/>
              <w:left w:val="single" w:sz="4" w:space="0" w:color="auto"/>
              <w:bottom w:val="single" w:sz="4" w:space="0" w:color="auto"/>
              <w:right w:val="single" w:sz="4" w:space="0" w:color="auto"/>
            </w:tcBorders>
            <w:shd w:val="clear" w:color="auto" w:fill="auto"/>
          </w:tcPr>
          <w:p w:rsidR="00871BB3" w:rsidRPr="0092311A" w:rsidRDefault="00871BB3" w:rsidP="00BB263D">
            <w:pPr>
              <w:spacing w:before="20" w:after="20"/>
              <w:rPr>
                <w:b/>
                <w:bCs/>
                <w:spacing w:val="0"/>
                <w:sz w:val="20"/>
              </w:rPr>
            </w:pPr>
            <w:r w:rsidRPr="0092311A">
              <w:rPr>
                <w:b/>
                <w:bCs/>
                <w:spacing w:val="0"/>
                <w:sz w:val="20"/>
              </w:rPr>
              <w:t xml:space="preserve">Componente IV: </w:t>
            </w:r>
            <w:r w:rsidR="00BB263D" w:rsidRPr="0092311A">
              <w:rPr>
                <w:b/>
                <w:bCs/>
                <w:spacing w:val="0"/>
                <w:sz w:val="20"/>
              </w:rPr>
              <w:t xml:space="preserve">Capacitación y </w:t>
            </w:r>
            <w:r w:rsidR="00A866ED" w:rsidRPr="0092311A">
              <w:rPr>
                <w:b/>
                <w:bCs/>
                <w:spacing w:val="0"/>
                <w:sz w:val="20"/>
              </w:rPr>
              <w:t>p</w:t>
            </w:r>
            <w:r w:rsidR="00A43ABB" w:rsidRPr="0092311A">
              <w:rPr>
                <w:b/>
                <w:bCs/>
                <w:spacing w:val="0"/>
                <w:sz w:val="20"/>
              </w:rPr>
              <w:t>romoción en mercados nicho</w:t>
            </w:r>
          </w:p>
        </w:tc>
        <w:tc>
          <w:tcPr>
            <w:tcW w:w="1260" w:type="dxa"/>
            <w:tcBorders>
              <w:top w:val="nil"/>
              <w:left w:val="nil"/>
              <w:bottom w:val="single" w:sz="4" w:space="0" w:color="auto"/>
              <w:right w:val="single" w:sz="4" w:space="0" w:color="auto"/>
            </w:tcBorders>
            <w:shd w:val="clear" w:color="auto" w:fill="auto"/>
          </w:tcPr>
          <w:p w:rsidR="00871BB3" w:rsidRPr="0092311A" w:rsidRDefault="00E50931" w:rsidP="00F34174">
            <w:pPr>
              <w:spacing w:before="20" w:after="20"/>
              <w:jc w:val="right"/>
              <w:rPr>
                <w:spacing w:val="0"/>
                <w:sz w:val="20"/>
              </w:rPr>
            </w:pPr>
            <w:r w:rsidRPr="0092311A">
              <w:rPr>
                <w:spacing w:val="0"/>
                <w:sz w:val="20"/>
              </w:rPr>
              <w:t>1</w:t>
            </w:r>
            <w:r w:rsidR="00F34174" w:rsidRPr="0092311A">
              <w:rPr>
                <w:spacing w:val="0"/>
                <w:sz w:val="20"/>
              </w:rPr>
              <w:t>34</w:t>
            </w:r>
            <w:r w:rsidRPr="0092311A">
              <w:rPr>
                <w:spacing w:val="0"/>
                <w:sz w:val="20"/>
              </w:rPr>
              <w:t>.000</w:t>
            </w:r>
          </w:p>
        </w:tc>
        <w:tc>
          <w:tcPr>
            <w:tcW w:w="1530" w:type="dxa"/>
            <w:tcBorders>
              <w:top w:val="nil"/>
              <w:left w:val="nil"/>
              <w:bottom w:val="single" w:sz="4" w:space="0" w:color="auto"/>
              <w:right w:val="single" w:sz="4" w:space="0" w:color="auto"/>
            </w:tcBorders>
            <w:shd w:val="clear" w:color="auto" w:fill="auto"/>
          </w:tcPr>
          <w:p w:rsidR="00871BB3" w:rsidRPr="0092311A" w:rsidRDefault="00E50931" w:rsidP="00A22C5C">
            <w:pPr>
              <w:spacing w:before="20" w:after="20"/>
              <w:ind w:right="360"/>
              <w:jc w:val="right"/>
              <w:rPr>
                <w:spacing w:val="0"/>
                <w:sz w:val="20"/>
              </w:rPr>
            </w:pPr>
            <w:r w:rsidRPr="0092311A">
              <w:rPr>
                <w:spacing w:val="0"/>
                <w:sz w:val="20"/>
              </w:rPr>
              <w:t>0.000</w:t>
            </w:r>
          </w:p>
        </w:tc>
        <w:tc>
          <w:tcPr>
            <w:tcW w:w="1120" w:type="dxa"/>
            <w:tcBorders>
              <w:top w:val="nil"/>
              <w:left w:val="nil"/>
              <w:bottom w:val="single" w:sz="4" w:space="0" w:color="auto"/>
              <w:right w:val="single" w:sz="4" w:space="0" w:color="auto"/>
            </w:tcBorders>
            <w:shd w:val="clear" w:color="auto" w:fill="auto"/>
          </w:tcPr>
          <w:p w:rsidR="00871BB3" w:rsidRPr="0092311A" w:rsidRDefault="00E50931" w:rsidP="00F34174">
            <w:pPr>
              <w:spacing w:before="20" w:after="20"/>
              <w:jc w:val="right"/>
              <w:rPr>
                <w:spacing w:val="0"/>
                <w:sz w:val="20"/>
              </w:rPr>
            </w:pPr>
            <w:r w:rsidRPr="0092311A">
              <w:rPr>
                <w:spacing w:val="0"/>
                <w:sz w:val="20"/>
              </w:rPr>
              <w:t>1</w:t>
            </w:r>
            <w:r w:rsidR="00F34174" w:rsidRPr="0092311A">
              <w:rPr>
                <w:spacing w:val="0"/>
                <w:sz w:val="20"/>
              </w:rPr>
              <w:t>34</w:t>
            </w:r>
            <w:r w:rsidRPr="0092311A">
              <w:rPr>
                <w:spacing w:val="0"/>
                <w:sz w:val="20"/>
              </w:rPr>
              <w:t>.000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BB263D">
            <w:pPr>
              <w:spacing w:before="20" w:after="20"/>
              <w:rPr>
                <w:b/>
                <w:bCs/>
                <w:spacing w:val="0"/>
                <w:sz w:val="20"/>
              </w:rPr>
            </w:pPr>
            <w:r w:rsidRPr="0092311A">
              <w:rPr>
                <w:b/>
                <w:bCs/>
                <w:spacing w:val="0"/>
                <w:sz w:val="20"/>
              </w:rPr>
              <w:t xml:space="preserve">Componente V: Gestión del conocimiento </w:t>
            </w:r>
          </w:p>
        </w:tc>
        <w:tc>
          <w:tcPr>
            <w:tcW w:w="1260" w:type="dxa"/>
            <w:tcBorders>
              <w:top w:val="nil"/>
              <w:left w:val="nil"/>
              <w:bottom w:val="single" w:sz="4" w:space="0" w:color="auto"/>
              <w:right w:val="single" w:sz="4" w:space="0" w:color="auto"/>
            </w:tcBorders>
            <w:shd w:val="clear" w:color="auto" w:fill="auto"/>
          </w:tcPr>
          <w:p w:rsidR="00ED3E48" w:rsidRPr="0092311A" w:rsidRDefault="00F34174" w:rsidP="00E25E94">
            <w:pPr>
              <w:spacing w:before="20" w:after="20"/>
              <w:jc w:val="right"/>
              <w:rPr>
                <w:spacing w:val="0"/>
                <w:sz w:val="20"/>
              </w:rPr>
            </w:pPr>
            <w:r w:rsidRPr="0092311A">
              <w:rPr>
                <w:spacing w:val="0"/>
                <w:sz w:val="20"/>
              </w:rPr>
              <w:t>51</w:t>
            </w:r>
            <w:r w:rsidR="00ED3E48" w:rsidRPr="0092311A">
              <w:rPr>
                <w:spacing w:val="0"/>
                <w:sz w:val="20"/>
              </w:rPr>
              <w:t>.000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E25E94">
            <w:pPr>
              <w:spacing w:before="20" w:after="20"/>
              <w:ind w:right="360"/>
              <w:jc w:val="right"/>
              <w:rPr>
                <w:spacing w:val="0"/>
                <w:sz w:val="20"/>
              </w:rPr>
            </w:pPr>
            <w:r w:rsidRPr="0092311A">
              <w:rPr>
                <w:spacing w:val="0"/>
                <w:sz w:val="20"/>
              </w:rPr>
              <w:t>0.000</w:t>
            </w:r>
          </w:p>
        </w:tc>
        <w:tc>
          <w:tcPr>
            <w:tcW w:w="1120" w:type="dxa"/>
            <w:tcBorders>
              <w:top w:val="nil"/>
              <w:left w:val="nil"/>
              <w:bottom w:val="single" w:sz="4" w:space="0" w:color="auto"/>
              <w:right w:val="single" w:sz="4" w:space="0" w:color="auto"/>
            </w:tcBorders>
            <w:shd w:val="clear" w:color="auto" w:fill="auto"/>
          </w:tcPr>
          <w:p w:rsidR="00ED3E48" w:rsidRPr="0092311A" w:rsidRDefault="00F34174" w:rsidP="00E25E94">
            <w:pPr>
              <w:spacing w:before="20" w:after="20"/>
              <w:jc w:val="right"/>
              <w:rPr>
                <w:spacing w:val="0"/>
                <w:sz w:val="20"/>
              </w:rPr>
            </w:pPr>
            <w:r w:rsidRPr="0092311A">
              <w:rPr>
                <w:spacing w:val="0"/>
                <w:sz w:val="20"/>
              </w:rPr>
              <w:t>51</w:t>
            </w:r>
            <w:r w:rsidR="00ED3E48" w:rsidRPr="0092311A">
              <w:rPr>
                <w:spacing w:val="0"/>
                <w:sz w:val="20"/>
              </w:rPr>
              <w:t>.000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3D5B72">
            <w:pPr>
              <w:spacing w:before="20" w:after="20"/>
              <w:rPr>
                <w:spacing w:val="0"/>
                <w:sz w:val="20"/>
              </w:rPr>
            </w:pPr>
            <w:r w:rsidRPr="0092311A">
              <w:rPr>
                <w:spacing w:val="0"/>
                <w:sz w:val="20"/>
              </w:rPr>
              <w:t xml:space="preserve">Unidad ejecutora </w:t>
            </w:r>
          </w:p>
        </w:tc>
        <w:tc>
          <w:tcPr>
            <w:tcW w:w="126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r w:rsidRPr="0092311A">
              <w:rPr>
                <w:spacing w:val="0"/>
                <w:sz w:val="20"/>
              </w:rPr>
              <w:t>245.400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spacing w:val="0"/>
                <w:sz w:val="20"/>
              </w:rPr>
            </w:pPr>
            <w:r w:rsidRPr="0092311A">
              <w:rPr>
                <w:spacing w:val="0"/>
                <w:sz w:val="20"/>
              </w:rPr>
              <w:t>100.000</w:t>
            </w:r>
          </w:p>
        </w:tc>
        <w:tc>
          <w:tcPr>
            <w:tcW w:w="112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r w:rsidRPr="0092311A">
              <w:rPr>
                <w:spacing w:val="0"/>
                <w:sz w:val="20"/>
              </w:rPr>
              <w:t>345.400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rPr>
                <w:spacing w:val="0"/>
                <w:sz w:val="20"/>
              </w:rPr>
            </w:pPr>
            <w:r w:rsidRPr="0092311A">
              <w:rPr>
                <w:spacing w:val="0"/>
                <w:sz w:val="20"/>
              </w:rPr>
              <w:t>Revisiones ex post</w:t>
            </w:r>
          </w:p>
        </w:tc>
        <w:tc>
          <w:tcPr>
            <w:tcW w:w="126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r w:rsidRPr="0092311A">
              <w:rPr>
                <w:spacing w:val="0"/>
                <w:sz w:val="20"/>
              </w:rPr>
              <w:t>15.000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spacing w:val="0"/>
                <w:sz w:val="20"/>
              </w:rPr>
            </w:pPr>
          </w:p>
        </w:tc>
        <w:tc>
          <w:tcPr>
            <w:tcW w:w="112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r w:rsidRPr="0092311A">
              <w:rPr>
                <w:spacing w:val="0"/>
                <w:sz w:val="20"/>
              </w:rPr>
              <w:t>15.000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666F97">
            <w:pPr>
              <w:spacing w:before="20" w:after="20"/>
              <w:rPr>
                <w:spacing w:val="0"/>
                <w:sz w:val="20"/>
              </w:rPr>
            </w:pPr>
            <w:r w:rsidRPr="0092311A">
              <w:rPr>
                <w:spacing w:val="0"/>
                <w:sz w:val="20"/>
              </w:rPr>
              <w:t>Línea de Base</w:t>
            </w:r>
            <w:r w:rsidRPr="0092311A">
              <w:rPr>
                <w:rStyle w:val="FootnoteReference"/>
                <w:spacing w:val="0"/>
              </w:rPr>
              <w:footnoteReference w:id="48"/>
            </w:r>
            <w:r w:rsidRPr="0092311A">
              <w:rPr>
                <w:spacing w:val="0"/>
                <w:sz w:val="20"/>
              </w:rPr>
              <w:t>, seguimiento y evaluación</w:t>
            </w:r>
          </w:p>
        </w:tc>
        <w:tc>
          <w:tcPr>
            <w:tcW w:w="1260" w:type="dxa"/>
            <w:tcBorders>
              <w:top w:val="nil"/>
              <w:left w:val="nil"/>
              <w:bottom w:val="single" w:sz="4" w:space="0" w:color="auto"/>
              <w:right w:val="single" w:sz="4" w:space="0" w:color="auto"/>
            </w:tcBorders>
            <w:shd w:val="clear" w:color="auto" w:fill="auto"/>
          </w:tcPr>
          <w:p w:rsidR="00ED3E48" w:rsidRPr="0092311A" w:rsidRDefault="00656A6D" w:rsidP="00656A6D">
            <w:pPr>
              <w:spacing w:before="20" w:after="20"/>
              <w:jc w:val="right"/>
              <w:rPr>
                <w:spacing w:val="0"/>
                <w:sz w:val="20"/>
              </w:rPr>
            </w:pPr>
            <w:r w:rsidRPr="0092311A">
              <w:rPr>
                <w:spacing w:val="0"/>
                <w:sz w:val="20"/>
              </w:rPr>
              <w:t>4</w:t>
            </w:r>
            <w:r w:rsidR="00ED3E48" w:rsidRPr="0092311A">
              <w:rPr>
                <w:spacing w:val="0"/>
                <w:sz w:val="20"/>
              </w:rPr>
              <w:t>0.000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spacing w:val="0"/>
                <w:sz w:val="20"/>
              </w:rPr>
            </w:pPr>
          </w:p>
        </w:tc>
        <w:tc>
          <w:tcPr>
            <w:tcW w:w="1120" w:type="dxa"/>
            <w:tcBorders>
              <w:top w:val="nil"/>
              <w:left w:val="nil"/>
              <w:bottom w:val="single" w:sz="4" w:space="0" w:color="auto"/>
              <w:right w:val="single" w:sz="4" w:space="0" w:color="auto"/>
            </w:tcBorders>
            <w:shd w:val="clear" w:color="auto" w:fill="auto"/>
          </w:tcPr>
          <w:p w:rsidR="00ED3E48" w:rsidRPr="0092311A" w:rsidRDefault="00907784" w:rsidP="00907784">
            <w:pPr>
              <w:spacing w:before="20" w:after="20"/>
              <w:jc w:val="right"/>
              <w:rPr>
                <w:spacing w:val="0"/>
                <w:sz w:val="20"/>
              </w:rPr>
            </w:pPr>
            <w:r>
              <w:rPr>
                <w:spacing w:val="0"/>
                <w:sz w:val="20"/>
              </w:rPr>
              <w:t>4</w:t>
            </w:r>
            <w:r w:rsidR="00ED3E48" w:rsidRPr="0092311A">
              <w:rPr>
                <w:spacing w:val="0"/>
                <w:sz w:val="20"/>
              </w:rPr>
              <w:t>0.000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rPr>
                <w:spacing w:val="0"/>
                <w:sz w:val="20"/>
              </w:rPr>
            </w:pPr>
            <w:r w:rsidRPr="0092311A">
              <w:rPr>
                <w:spacing w:val="0"/>
                <w:sz w:val="20"/>
              </w:rPr>
              <w:t>Imprevistos</w:t>
            </w:r>
          </w:p>
        </w:tc>
        <w:tc>
          <w:tcPr>
            <w:tcW w:w="1260" w:type="dxa"/>
            <w:tcBorders>
              <w:top w:val="nil"/>
              <w:left w:val="nil"/>
              <w:bottom w:val="single" w:sz="4" w:space="0" w:color="auto"/>
              <w:right w:val="single" w:sz="4" w:space="0" w:color="auto"/>
            </w:tcBorders>
            <w:shd w:val="clear" w:color="auto" w:fill="auto"/>
          </w:tcPr>
          <w:p w:rsidR="00ED3E48" w:rsidRPr="0092311A" w:rsidRDefault="00F34174" w:rsidP="00F34174">
            <w:pPr>
              <w:spacing w:before="20" w:after="20"/>
              <w:jc w:val="right"/>
              <w:rPr>
                <w:spacing w:val="0"/>
                <w:sz w:val="20"/>
              </w:rPr>
            </w:pPr>
            <w:r w:rsidRPr="0092311A">
              <w:rPr>
                <w:spacing w:val="0"/>
                <w:sz w:val="20"/>
              </w:rPr>
              <w:t>3</w:t>
            </w:r>
            <w:r w:rsidR="00ED3E48" w:rsidRPr="0092311A">
              <w:rPr>
                <w:spacing w:val="0"/>
                <w:sz w:val="20"/>
              </w:rPr>
              <w:t>0.000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spacing w:val="0"/>
                <w:sz w:val="20"/>
              </w:rPr>
            </w:pPr>
            <w:r w:rsidRPr="0092311A">
              <w:rPr>
                <w:spacing w:val="0"/>
                <w:sz w:val="20"/>
              </w:rPr>
              <w:t>0.000</w:t>
            </w:r>
          </w:p>
        </w:tc>
        <w:tc>
          <w:tcPr>
            <w:tcW w:w="1120" w:type="dxa"/>
            <w:tcBorders>
              <w:top w:val="nil"/>
              <w:left w:val="nil"/>
              <w:bottom w:val="single" w:sz="4" w:space="0" w:color="auto"/>
              <w:right w:val="single" w:sz="4" w:space="0" w:color="auto"/>
            </w:tcBorders>
            <w:shd w:val="clear" w:color="auto" w:fill="auto"/>
          </w:tcPr>
          <w:p w:rsidR="00ED3E48" w:rsidRPr="0092311A" w:rsidRDefault="00F34174" w:rsidP="00F34174">
            <w:pPr>
              <w:spacing w:before="20" w:after="20"/>
              <w:jc w:val="right"/>
              <w:rPr>
                <w:spacing w:val="0"/>
                <w:sz w:val="20"/>
              </w:rPr>
            </w:pPr>
            <w:r w:rsidRPr="0092311A">
              <w:rPr>
                <w:spacing w:val="0"/>
                <w:sz w:val="20"/>
              </w:rPr>
              <w:t>3</w:t>
            </w:r>
            <w:r w:rsidR="00ED3E48" w:rsidRPr="0092311A">
              <w:rPr>
                <w:spacing w:val="0"/>
                <w:sz w:val="20"/>
              </w:rPr>
              <w:t>0.000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000000" w:fill="FFFFFF"/>
            <w:vAlign w:val="center"/>
          </w:tcPr>
          <w:p w:rsidR="00ED3E48" w:rsidRPr="0092311A" w:rsidRDefault="00ED3E48" w:rsidP="00C37DC5">
            <w:pPr>
              <w:spacing w:before="20" w:after="20"/>
              <w:jc w:val="right"/>
              <w:rPr>
                <w:b/>
                <w:bCs/>
                <w:spacing w:val="0"/>
                <w:sz w:val="20"/>
              </w:rPr>
            </w:pPr>
            <w:r w:rsidRPr="0092311A">
              <w:rPr>
                <w:b/>
                <w:bCs/>
                <w:spacing w:val="0"/>
                <w:sz w:val="20"/>
              </w:rPr>
              <w:t>Subtotal</w:t>
            </w:r>
          </w:p>
        </w:tc>
        <w:tc>
          <w:tcPr>
            <w:tcW w:w="1260" w:type="dxa"/>
            <w:tcBorders>
              <w:top w:val="nil"/>
              <w:left w:val="nil"/>
              <w:bottom w:val="single" w:sz="4" w:space="0" w:color="auto"/>
              <w:right w:val="single" w:sz="4" w:space="0" w:color="auto"/>
            </w:tcBorders>
            <w:shd w:val="clear" w:color="auto" w:fill="auto"/>
          </w:tcPr>
          <w:p w:rsidR="00ED3E48" w:rsidRPr="0092311A" w:rsidRDefault="00ED3E48" w:rsidP="00656A6D">
            <w:pPr>
              <w:spacing w:before="20" w:after="20"/>
              <w:jc w:val="right"/>
              <w:rPr>
                <w:b/>
                <w:bCs/>
                <w:spacing w:val="0"/>
                <w:sz w:val="20"/>
              </w:rPr>
            </w:pPr>
            <w:r w:rsidRPr="0092311A">
              <w:rPr>
                <w:b/>
                <w:bCs/>
                <w:spacing w:val="0"/>
                <w:sz w:val="20"/>
              </w:rPr>
              <w:t>1.</w:t>
            </w:r>
            <w:r w:rsidR="00F34174" w:rsidRPr="0092311A">
              <w:rPr>
                <w:b/>
                <w:bCs/>
                <w:spacing w:val="0"/>
                <w:sz w:val="20"/>
              </w:rPr>
              <w:t>1</w:t>
            </w:r>
            <w:r w:rsidR="00656A6D" w:rsidRPr="0092311A">
              <w:rPr>
                <w:b/>
                <w:bCs/>
                <w:spacing w:val="0"/>
                <w:sz w:val="20"/>
              </w:rPr>
              <w:t>7</w:t>
            </w:r>
            <w:r w:rsidR="00F34174" w:rsidRPr="0092311A">
              <w:rPr>
                <w:b/>
                <w:bCs/>
                <w:spacing w:val="0"/>
                <w:sz w:val="20"/>
              </w:rPr>
              <w:t>3</w:t>
            </w:r>
            <w:r w:rsidRPr="0092311A">
              <w:rPr>
                <w:b/>
                <w:bCs/>
                <w:spacing w:val="0"/>
                <w:sz w:val="20"/>
              </w:rPr>
              <w:t>.750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b/>
                <w:bCs/>
                <w:spacing w:val="0"/>
                <w:sz w:val="20"/>
              </w:rPr>
            </w:pPr>
            <w:r w:rsidRPr="0092311A">
              <w:rPr>
                <w:b/>
                <w:bCs/>
                <w:spacing w:val="0"/>
                <w:sz w:val="20"/>
              </w:rPr>
              <w:t>965.650</w:t>
            </w:r>
          </w:p>
        </w:tc>
        <w:tc>
          <w:tcPr>
            <w:tcW w:w="1120" w:type="dxa"/>
            <w:tcBorders>
              <w:top w:val="nil"/>
              <w:left w:val="nil"/>
              <w:bottom w:val="single" w:sz="4" w:space="0" w:color="auto"/>
              <w:right w:val="single" w:sz="4" w:space="0" w:color="auto"/>
            </w:tcBorders>
            <w:shd w:val="clear" w:color="auto" w:fill="auto"/>
          </w:tcPr>
          <w:p w:rsidR="00ED3E48" w:rsidRPr="0092311A" w:rsidRDefault="00ED3E48" w:rsidP="001D4941">
            <w:pPr>
              <w:spacing w:before="20" w:after="20"/>
              <w:jc w:val="right"/>
              <w:rPr>
                <w:b/>
                <w:bCs/>
                <w:spacing w:val="0"/>
                <w:sz w:val="20"/>
              </w:rPr>
            </w:pPr>
            <w:r w:rsidRPr="0092311A">
              <w:rPr>
                <w:b/>
                <w:bCs/>
                <w:spacing w:val="0"/>
                <w:sz w:val="20"/>
              </w:rPr>
              <w:t>2.</w:t>
            </w:r>
            <w:r w:rsidR="00F34174" w:rsidRPr="0092311A">
              <w:rPr>
                <w:b/>
                <w:bCs/>
                <w:spacing w:val="0"/>
                <w:sz w:val="20"/>
              </w:rPr>
              <w:t>1</w:t>
            </w:r>
            <w:r w:rsidR="001D4941" w:rsidRPr="0092311A">
              <w:rPr>
                <w:b/>
                <w:bCs/>
                <w:spacing w:val="0"/>
                <w:sz w:val="20"/>
              </w:rPr>
              <w:t>3</w:t>
            </w:r>
            <w:r w:rsidR="00F34174" w:rsidRPr="0092311A">
              <w:rPr>
                <w:b/>
                <w:bCs/>
                <w:spacing w:val="0"/>
                <w:sz w:val="20"/>
              </w:rPr>
              <w:t>9</w:t>
            </w:r>
            <w:r w:rsidRPr="0092311A">
              <w:rPr>
                <w:b/>
                <w:bCs/>
                <w:spacing w:val="0"/>
                <w:sz w:val="20"/>
              </w:rPr>
              <w:t>.400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r w:rsidRPr="0092311A">
              <w:rPr>
                <w:spacing w:val="0"/>
                <w:sz w:val="20"/>
              </w:rPr>
              <w:t>Porcentaje de financiamiento</w:t>
            </w:r>
          </w:p>
        </w:tc>
        <w:tc>
          <w:tcPr>
            <w:tcW w:w="1260" w:type="dxa"/>
            <w:tcBorders>
              <w:top w:val="nil"/>
              <w:left w:val="nil"/>
              <w:bottom w:val="single" w:sz="4" w:space="0" w:color="auto"/>
              <w:right w:val="single" w:sz="4" w:space="0" w:color="auto"/>
            </w:tcBorders>
            <w:shd w:val="clear" w:color="auto" w:fill="auto"/>
          </w:tcPr>
          <w:p w:rsidR="00ED3E48" w:rsidRPr="0092311A" w:rsidRDefault="00ED3E48" w:rsidP="001D4941">
            <w:pPr>
              <w:spacing w:before="20" w:after="20"/>
              <w:jc w:val="right"/>
              <w:rPr>
                <w:spacing w:val="0"/>
                <w:sz w:val="20"/>
              </w:rPr>
            </w:pPr>
            <w:r w:rsidRPr="0092311A">
              <w:rPr>
                <w:spacing w:val="0"/>
                <w:sz w:val="20"/>
              </w:rPr>
              <w:t>54.</w:t>
            </w:r>
            <w:r w:rsidR="001D4941" w:rsidRPr="0092311A">
              <w:rPr>
                <w:spacing w:val="0"/>
                <w:sz w:val="20"/>
              </w:rPr>
              <w:t>86</w:t>
            </w:r>
            <w:r w:rsidRPr="0092311A">
              <w:rPr>
                <w:spacing w:val="0"/>
                <w:sz w:val="20"/>
              </w:rPr>
              <w:t>%</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1D4941">
            <w:pPr>
              <w:spacing w:before="20" w:after="20"/>
              <w:ind w:right="360"/>
              <w:jc w:val="right"/>
              <w:rPr>
                <w:spacing w:val="0"/>
                <w:sz w:val="20"/>
              </w:rPr>
            </w:pPr>
            <w:r w:rsidRPr="0092311A">
              <w:rPr>
                <w:spacing w:val="0"/>
                <w:sz w:val="20"/>
              </w:rPr>
              <w:t>4</w:t>
            </w:r>
            <w:r w:rsidR="001D4941" w:rsidRPr="0092311A">
              <w:rPr>
                <w:spacing w:val="0"/>
                <w:sz w:val="20"/>
              </w:rPr>
              <w:t>5</w:t>
            </w:r>
            <w:r w:rsidRPr="0092311A">
              <w:rPr>
                <w:spacing w:val="0"/>
                <w:sz w:val="20"/>
              </w:rPr>
              <w:t>.</w:t>
            </w:r>
            <w:r w:rsidR="001D4941" w:rsidRPr="0092311A">
              <w:rPr>
                <w:spacing w:val="0"/>
                <w:sz w:val="20"/>
              </w:rPr>
              <w:t>13</w:t>
            </w:r>
            <w:r w:rsidRPr="0092311A">
              <w:rPr>
                <w:spacing w:val="0"/>
                <w:sz w:val="20"/>
              </w:rPr>
              <w:t>%</w:t>
            </w:r>
          </w:p>
        </w:tc>
        <w:tc>
          <w:tcPr>
            <w:tcW w:w="112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rPr>
                <w:spacing w:val="0"/>
                <w:sz w:val="20"/>
              </w:rPr>
            </w:pPr>
            <w:r w:rsidRPr="0092311A">
              <w:rPr>
                <w:spacing w:val="0"/>
                <w:sz w:val="20"/>
              </w:rPr>
              <w:t xml:space="preserve">Fortalecimiento institucional </w:t>
            </w:r>
          </w:p>
        </w:tc>
        <w:tc>
          <w:tcPr>
            <w:tcW w:w="1260" w:type="dxa"/>
            <w:tcBorders>
              <w:top w:val="nil"/>
              <w:left w:val="nil"/>
              <w:bottom w:val="single" w:sz="4" w:space="0" w:color="auto"/>
              <w:right w:val="single" w:sz="4" w:space="0" w:color="auto"/>
            </w:tcBorders>
            <w:shd w:val="clear" w:color="auto" w:fill="auto"/>
          </w:tcPr>
          <w:p w:rsidR="00ED3E48" w:rsidRPr="0092311A" w:rsidRDefault="00F34174" w:rsidP="00F34174">
            <w:pPr>
              <w:spacing w:before="20" w:after="20"/>
              <w:jc w:val="right"/>
              <w:rPr>
                <w:spacing w:val="0"/>
                <w:sz w:val="20"/>
              </w:rPr>
            </w:pPr>
            <w:r w:rsidRPr="0092311A">
              <w:rPr>
                <w:spacing w:val="0"/>
                <w:sz w:val="20"/>
              </w:rPr>
              <w:t>12</w:t>
            </w:r>
            <w:r w:rsidR="00ED3E48" w:rsidRPr="0092311A">
              <w:rPr>
                <w:spacing w:val="0"/>
                <w:sz w:val="20"/>
              </w:rPr>
              <w:t>.000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spacing w:val="0"/>
                <w:sz w:val="20"/>
              </w:rPr>
            </w:pPr>
          </w:p>
        </w:tc>
        <w:tc>
          <w:tcPr>
            <w:tcW w:w="1120" w:type="dxa"/>
            <w:tcBorders>
              <w:top w:val="nil"/>
              <w:left w:val="nil"/>
              <w:bottom w:val="single" w:sz="4" w:space="0" w:color="auto"/>
              <w:right w:val="single" w:sz="4" w:space="0" w:color="auto"/>
            </w:tcBorders>
            <w:shd w:val="clear" w:color="auto" w:fill="auto"/>
          </w:tcPr>
          <w:p w:rsidR="00ED3E48" w:rsidRPr="0092311A" w:rsidRDefault="00F34174" w:rsidP="00F34174">
            <w:pPr>
              <w:spacing w:before="20" w:after="20"/>
              <w:jc w:val="right"/>
              <w:rPr>
                <w:spacing w:val="0"/>
                <w:sz w:val="20"/>
              </w:rPr>
            </w:pPr>
            <w:r w:rsidRPr="0092311A">
              <w:rPr>
                <w:spacing w:val="0"/>
                <w:sz w:val="20"/>
              </w:rPr>
              <w:t>12</w:t>
            </w:r>
            <w:r w:rsidR="00ED3E48" w:rsidRPr="0092311A">
              <w:rPr>
                <w:spacing w:val="0"/>
                <w:sz w:val="20"/>
              </w:rPr>
              <w:t>.000</w:t>
            </w:r>
          </w:p>
        </w:tc>
      </w:tr>
      <w:tr w:rsidR="00ED3E48" w:rsidRPr="0092311A" w:rsidTr="008879F2">
        <w:trPr>
          <w:trHeight w:val="28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rPr>
                <w:spacing w:val="0"/>
                <w:sz w:val="20"/>
              </w:rPr>
            </w:pPr>
            <w:r w:rsidRPr="0092311A">
              <w:rPr>
                <w:spacing w:val="0"/>
                <w:sz w:val="20"/>
              </w:rPr>
              <w:t>Cuenta de evaluación de impacto (5%)</w:t>
            </w:r>
          </w:p>
        </w:tc>
        <w:tc>
          <w:tcPr>
            <w:tcW w:w="1260" w:type="dxa"/>
            <w:tcBorders>
              <w:top w:val="nil"/>
              <w:left w:val="nil"/>
              <w:bottom w:val="single" w:sz="4" w:space="0" w:color="auto"/>
              <w:right w:val="single" w:sz="4" w:space="0" w:color="auto"/>
            </w:tcBorders>
            <w:shd w:val="clear" w:color="auto" w:fill="auto"/>
          </w:tcPr>
          <w:p w:rsidR="00ED3E48" w:rsidRPr="0092311A" w:rsidRDefault="00F34174" w:rsidP="001D4941">
            <w:pPr>
              <w:spacing w:before="20" w:after="20"/>
              <w:jc w:val="right"/>
              <w:rPr>
                <w:spacing w:val="0"/>
                <w:sz w:val="20"/>
              </w:rPr>
            </w:pPr>
            <w:r w:rsidRPr="0092311A">
              <w:rPr>
                <w:spacing w:val="0"/>
                <w:sz w:val="20"/>
              </w:rPr>
              <w:t>58</w:t>
            </w:r>
            <w:r w:rsidR="00ED3E48" w:rsidRPr="0092311A">
              <w:rPr>
                <w:spacing w:val="0"/>
                <w:sz w:val="20"/>
              </w:rPr>
              <w:t>.</w:t>
            </w:r>
            <w:r w:rsidR="001D4941" w:rsidRPr="0092311A">
              <w:rPr>
                <w:spacing w:val="0"/>
                <w:sz w:val="20"/>
              </w:rPr>
              <w:t>6</w:t>
            </w:r>
            <w:r w:rsidRPr="0092311A">
              <w:rPr>
                <w:spacing w:val="0"/>
                <w:sz w:val="20"/>
              </w:rPr>
              <w:t>88</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p>
        </w:tc>
        <w:tc>
          <w:tcPr>
            <w:tcW w:w="1120" w:type="dxa"/>
            <w:tcBorders>
              <w:top w:val="nil"/>
              <w:left w:val="nil"/>
              <w:bottom w:val="single" w:sz="4" w:space="0" w:color="auto"/>
              <w:right w:val="single" w:sz="4" w:space="0" w:color="auto"/>
            </w:tcBorders>
            <w:shd w:val="clear" w:color="auto" w:fill="auto"/>
          </w:tcPr>
          <w:p w:rsidR="00ED3E48" w:rsidRPr="0092311A" w:rsidRDefault="00F34174" w:rsidP="001D4941">
            <w:pPr>
              <w:spacing w:before="20" w:after="20"/>
              <w:jc w:val="right"/>
              <w:rPr>
                <w:spacing w:val="0"/>
                <w:sz w:val="20"/>
              </w:rPr>
            </w:pPr>
            <w:r w:rsidRPr="0092311A">
              <w:rPr>
                <w:spacing w:val="0"/>
                <w:sz w:val="20"/>
              </w:rPr>
              <w:t>58.</w:t>
            </w:r>
            <w:r w:rsidR="001D4941" w:rsidRPr="0092311A">
              <w:rPr>
                <w:spacing w:val="0"/>
                <w:sz w:val="20"/>
              </w:rPr>
              <w:t>6</w:t>
            </w:r>
            <w:r w:rsidRPr="0092311A">
              <w:rPr>
                <w:spacing w:val="0"/>
                <w:sz w:val="20"/>
              </w:rPr>
              <w:t>88</w:t>
            </w:r>
          </w:p>
        </w:tc>
      </w:tr>
      <w:tr w:rsidR="00ED3E48" w:rsidRPr="0092311A" w:rsidTr="008879F2">
        <w:trPr>
          <w:trHeight w:val="285"/>
          <w:jc w:val="center"/>
        </w:trPr>
        <w:tc>
          <w:tcPr>
            <w:tcW w:w="5531" w:type="dxa"/>
            <w:tcBorders>
              <w:top w:val="nil"/>
              <w:left w:val="single" w:sz="4" w:space="0" w:color="auto"/>
              <w:bottom w:val="single" w:sz="4" w:space="0" w:color="auto"/>
              <w:right w:val="single" w:sz="4" w:space="0" w:color="auto"/>
            </w:tcBorders>
            <w:shd w:val="clear" w:color="auto" w:fill="auto"/>
          </w:tcPr>
          <w:p w:rsidR="00ED3E48" w:rsidRPr="0092311A" w:rsidRDefault="00ED3E48" w:rsidP="00C37DC5">
            <w:pPr>
              <w:spacing w:before="20" w:after="20"/>
              <w:rPr>
                <w:spacing w:val="0"/>
                <w:sz w:val="20"/>
              </w:rPr>
            </w:pPr>
            <w:r w:rsidRPr="0092311A">
              <w:rPr>
                <w:spacing w:val="0"/>
                <w:sz w:val="20"/>
              </w:rPr>
              <w:t>Agendas</w:t>
            </w:r>
          </w:p>
        </w:tc>
        <w:tc>
          <w:tcPr>
            <w:tcW w:w="1260" w:type="dxa"/>
            <w:tcBorders>
              <w:top w:val="nil"/>
              <w:left w:val="nil"/>
              <w:bottom w:val="single" w:sz="4" w:space="0" w:color="auto"/>
              <w:right w:val="single" w:sz="4" w:space="0" w:color="auto"/>
            </w:tcBorders>
            <w:shd w:val="clear" w:color="auto" w:fill="auto"/>
          </w:tcPr>
          <w:p w:rsidR="00ED3E48" w:rsidRPr="0092311A" w:rsidRDefault="00F34174" w:rsidP="00F34174">
            <w:pPr>
              <w:spacing w:before="20" w:after="20"/>
              <w:jc w:val="right"/>
              <w:rPr>
                <w:spacing w:val="0"/>
                <w:sz w:val="20"/>
              </w:rPr>
            </w:pPr>
            <w:r w:rsidRPr="0092311A">
              <w:rPr>
                <w:spacing w:val="0"/>
                <w:sz w:val="20"/>
              </w:rPr>
              <w:t>3</w:t>
            </w:r>
            <w:r w:rsidR="00ED3E48" w:rsidRPr="0092311A">
              <w:rPr>
                <w:spacing w:val="0"/>
                <w:sz w:val="20"/>
              </w:rPr>
              <w:t>0.000</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C37DC5">
            <w:pPr>
              <w:spacing w:before="20" w:after="20"/>
              <w:jc w:val="right"/>
              <w:rPr>
                <w:spacing w:val="0"/>
                <w:sz w:val="20"/>
              </w:rPr>
            </w:pPr>
          </w:p>
        </w:tc>
        <w:tc>
          <w:tcPr>
            <w:tcW w:w="1120" w:type="dxa"/>
            <w:tcBorders>
              <w:top w:val="nil"/>
              <w:left w:val="nil"/>
              <w:bottom w:val="single" w:sz="4" w:space="0" w:color="auto"/>
              <w:right w:val="single" w:sz="4" w:space="0" w:color="auto"/>
            </w:tcBorders>
            <w:shd w:val="clear" w:color="auto" w:fill="auto"/>
          </w:tcPr>
          <w:p w:rsidR="00ED3E48" w:rsidRPr="0092311A" w:rsidRDefault="001D4941" w:rsidP="00C37DC5">
            <w:pPr>
              <w:spacing w:before="20" w:after="20"/>
              <w:jc w:val="right"/>
              <w:rPr>
                <w:spacing w:val="0"/>
                <w:sz w:val="20"/>
              </w:rPr>
            </w:pPr>
            <w:r w:rsidRPr="0092311A">
              <w:rPr>
                <w:spacing w:val="0"/>
                <w:sz w:val="20"/>
              </w:rPr>
              <w:t>30.000</w:t>
            </w:r>
          </w:p>
        </w:tc>
      </w:tr>
      <w:tr w:rsidR="00ED3E48" w:rsidRPr="0092311A" w:rsidTr="008879F2">
        <w:trPr>
          <w:trHeight w:val="255"/>
          <w:jc w:val="center"/>
        </w:trPr>
        <w:tc>
          <w:tcPr>
            <w:tcW w:w="5531" w:type="dxa"/>
            <w:tcBorders>
              <w:top w:val="nil"/>
              <w:left w:val="single" w:sz="4" w:space="0" w:color="auto"/>
              <w:bottom w:val="single" w:sz="4" w:space="0" w:color="auto"/>
              <w:right w:val="single" w:sz="4" w:space="0" w:color="auto"/>
            </w:tcBorders>
            <w:shd w:val="clear" w:color="000000" w:fill="FFFFFF"/>
            <w:vAlign w:val="center"/>
          </w:tcPr>
          <w:p w:rsidR="00ED3E48" w:rsidRPr="0092311A" w:rsidRDefault="00ED3E48" w:rsidP="00A0248A">
            <w:pPr>
              <w:spacing w:before="20" w:after="20"/>
              <w:jc w:val="right"/>
              <w:rPr>
                <w:b/>
                <w:bCs/>
                <w:spacing w:val="0"/>
                <w:sz w:val="20"/>
              </w:rPr>
            </w:pPr>
            <w:r w:rsidRPr="0092311A">
              <w:rPr>
                <w:b/>
                <w:bCs/>
                <w:spacing w:val="0"/>
                <w:sz w:val="20"/>
              </w:rPr>
              <w:t>Total</w:t>
            </w:r>
          </w:p>
        </w:tc>
        <w:tc>
          <w:tcPr>
            <w:tcW w:w="1260" w:type="dxa"/>
            <w:tcBorders>
              <w:top w:val="nil"/>
              <w:left w:val="nil"/>
              <w:bottom w:val="single" w:sz="4" w:space="0" w:color="auto"/>
              <w:right w:val="single" w:sz="4" w:space="0" w:color="auto"/>
            </w:tcBorders>
            <w:shd w:val="clear" w:color="auto" w:fill="auto"/>
          </w:tcPr>
          <w:p w:rsidR="00ED3E48" w:rsidRPr="0092311A" w:rsidRDefault="00ED3E48" w:rsidP="00656A6D">
            <w:pPr>
              <w:spacing w:before="20" w:after="20"/>
              <w:jc w:val="right"/>
              <w:rPr>
                <w:b/>
                <w:bCs/>
                <w:spacing w:val="0"/>
                <w:sz w:val="20"/>
              </w:rPr>
            </w:pPr>
            <w:r w:rsidRPr="0092311A">
              <w:rPr>
                <w:b/>
                <w:bCs/>
                <w:spacing w:val="0"/>
                <w:sz w:val="20"/>
              </w:rPr>
              <w:t>1.</w:t>
            </w:r>
            <w:r w:rsidR="00F34174" w:rsidRPr="0092311A">
              <w:rPr>
                <w:b/>
                <w:bCs/>
                <w:spacing w:val="0"/>
                <w:sz w:val="20"/>
              </w:rPr>
              <w:t>2</w:t>
            </w:r>
            <w:r w:rsidR="00656A6D" w:rsidRPr="0092311A">
              <w:rPr>
                <w:b/>
                <w:bCs/>
                <w:spacing w:val="0"/>
                <w:sz w:val="20"/>
              </w:rPr>
              <w:t>74</w:t>
            </w:r>
            <w:r w:rsidRPr="0092311A">
              <w:rPr>
                <w:b/>
                <w:bCs/>
                <w:spacing w:val="0"/>
                <w:sz w:val="20"/>
              </w:rPr>
              <w:t>.</w:t>
            </w:r>
            <w:r w:rsidR="00656A6D" w:rsidRPr="0092311A">
              <w:rPr>
                <w:b/>
                <w:bCs/>
                <w:spacing w:val="0"/>
                <w:sz w:val="20"/>
              </w:rPr>
              <w:t>438</w:t>
            </w:r>
          </w:p>
        </w:tc>
        <w:tc>
          <w:tcPr>
            <w:tcW w:w="1530" w:type="dxa"/>
            <w:tcBorders>
              <w:top w:val="nil"/>
              <w:left w:val="nil"/>
              <w:bottom w:val="single" w:sz="4" w:space="0" w:color="auto"/>
              <w:right w:val="single" w:sz="4" w:space="0" w:color="auto"/>
            </w:tcBorders>
            <w:shd w:val="clear" w:color="auto" w:fill="auto"/>
          </w:tcPr>
          <w:p w:rsidR="00ED3E48" w:rsidRPr="0092311A" w:rsidRDefault="00ED3E48" w:rsidP="00A22C5C">
            <w:pPr>
              <w:spacing w:before="20" w:after="20"/>
              <w:ind w:right="360"/>
              <w:jc w:val="right"/>
              <w:rPr>
                <w:b/>
                <w:bCs/>
                <w:spacing w:val="0"/>
                <w:sz w:val="20"/>
              </w:rPr>
            </w:pPr>
            <w:r w:rsidRPr="0092311A">
              <w:rPr>
                <w:b/>
                <w:bCs/>
                <w:spacing w:val="0"/>
                <w:sz w:val="20"/>
              </w:rPr>
              <w:t>965.650</w:t>
            </w:r>
          </w:p>
        </w:tc>
        <w:tc>
          <w:tcPr>
            <w:tcW w:w="1120" w:type="dxa"/>
            <w:tcBorders>
              <w:top w:val="nil"/>
              <w:left w:val="nil"/>
              <w:bottom w:val="single" w:sz="4" w:space="0" w:color="auto"/>
              <w:right w:val="single" w:sz="4" w:space="0" w:color="auto"/>
            </w:tcBorders>
            <w:shd w:val="clear" w:color="auto" w:fill="auto"/>
          </w:tcPr>
          <w:p w:rsidR="00ED3E48" w:rsidRPr="0092311A" w:rsidRDefault="00ED3E48" w:rsidP="001D4941">
            <w:pPr>
              <w:spacing w:before="20" w:after="20"/>
              <w:jc w:val="right"/>
              <w:rPr>
                <w:b/>
                <w:bCs/>
                <w:spacing w:val="0"/>
                <w:sz w:val="20"/>
              </w:rPr>
            </w:pPr>
            <w:r w:rsidRPr="0092311A">
              <w:rPr>
                <w:b/>
                <w:bCs/>
                <w:spacing w:val="0"/>
                <w:sz w:val="20"/>
              </w:rPr>
              <w:t>2.</w:t>
            </w:r>
            <w:r w:rsidR="00F34174" w:rsidRPr="0092311A">
              <w:rPr>
                <w:b/>
                <w:bCs/>
                <w:spacing w:val="0"/>
                <w:sz w:val="20"/>
              </w:rPr>
              <w:t>2</w:t>
            </w:r>
            <w:r w:rsidR="001D4941" w:rsidRPr="0092311A">
              <w:rPr>
                <w:b/>
                <w:bCs/>
                <w:spacing w:val="0"/>
                <w:sz w:val="20"/>
              </w:rPr>
              <w:t>40</w:t>
            </w:r>
            <w:r w:rsidRPr="0092311A">
              <w:rPr>
                <w:b/>
                <w:bCs/>
                <w:spacing w:val="0"/>
                <w:sz w:val="20"/>
              </w:rPr>
              <w:t>.</w:t>
            </w:r>
            <w:r w:rsidR="001D4941" w:rsidRPr="0092311A">
              <w:rPr>
                <w:b/>
                <w:bCs/>
                <w:spacing w:val="0"/>
                <w:sz w:val="20"/>
              </w:rPr>
              <w:t>0</w:t>
            </w:r>
            <w:r w:rsidR="00F34174" w:rsidRPr="0092311A">
              <w:rPr>
                <w:b/>
                <w:bCs/>
                <w:spacing w:val="0"/>
                <w:sz w:val="20"/>
              </w:rPr>
              <w:t>88</w:t>
            </w:r>
          </w:p>
        </w:tc>
      </w:tr>
    </w:tbl>
    <w:p w:rsidR="00871BB3" w:rsidRPr="0092311A" w:rsidRDefault="00871BB3" w:rsidP="00B775C3"/>
    <w:p w:rsidR="00871BB3" w:rsidRPr="0092311A" w:rsidRDefault="00CD26CB" w:rsidP="00775C78">
      <w:pPr>
        <w:pStyle w:val="Heading1"/>
        <w:rPr>
          <w:lang w:val="es-ES"/>
        </w:rPr>
      </w:pPr>
      <w:bookmarkStart w:id="32" w:name="_Toc235532214"/>
      <w:bookmarkStart w:id="33" w:name="_Toc238465829"/>
      <w:bookmarkStart w:id="34" w:name="_Toc354490278"/>
      <w:bookmarkStart w:id="35" w:name="_Toc363224983"/>
      <w:r w:rsidRPr="0092311A">
        <w:rPr>
          <w:lang w:val="es-ES"/>
        </w:rPr>
        <w:t>Agencia Ejecutora</w:t>
      </w:r>
      <w:bookmarkEnd w:id="32"/>
      <w:bookmarkEnd w:id="33"/>
      <w:bookmarkEnd w:id="34"/>
      <w:bookmarkEnd w:id="35"/>
    </w:p>
    <w:p w:rsidR="00480BD2" w:rsidRPr="0092311A" w:rsidRDefault="00871BB3" w:rsidP="00775C78">
      <w:pPr>
        <w:pStyle w:val="AutoNumpara"/>
        <w:rPr>
          <w:rFonts w:eastAsia="Cambria"/>
        </w:rPr>
      </w:pPr>
      <w:r w:rsidRPr="0092311A">
        <w:rPr>
          <w:rFonts w:eastAsia="Cambria"/>
        </w:rPr>
        <w:t xml:space="preserve">El organismo ejecutor será </w:t>
      </w:r>
      <w:r w:rsidR="0019394F" w:rsidRPr="0092311A">
        <w:rPr>
          <w:rFonts w:eastAsia="Cambria"/>
        </w:rPr>
        <w:t xml:space="preserve">Fundecooperación, una organización no gubernamental </w:t>
      </w:r>
      <w:r w:rsidR="009333F5" w:rsidRPr="0092311A">
        <w:rPr>
          <w:rFonts w:eastAsia="Cambria"/>
        </w:rPr>
        <w:t>costarricense</w:t>
      </w:r>
      <w:r w:rsidR="0019394F" w:rsidRPr="0092311A">
        <w:rPr>
          <w:rFonts w:eastAsia="Cambria"/>
        </w:rPr>
        <w:t>, representada por cinco sectores clave de la sociedad costarricense</w:t>
      </w:r>
      <w:r w:rsidR="002C3D12" w:rsidRPr="0092311A">
        <w:rPr>
          <w:rFonts w:eastAsia="Cambria"/>
        </w:rPr>
        <w:t xml:space="preserve">: </w:t>
      </w:r>
      <w:r w:rsidR="0019394F" w:rsidRPr="0092311A">
        <w:rPr>
          <w:rFonts w:eastAsia="Cambria"/>
        </w:rPr>
        <w:t>ONG</w:t>
      </w:r>
      <w:r w:rsidR="002C3D12" w:rsidRPr="0092311A">
        <w:rPr>
          <w:rFonts w:eastAsia="Cambria"/>
        </w:rPr>
        <w:t>s</w:t>
      </w:r>
      <w:r w:rsidR="0019394F" w:rsidRPr="0092311A">
        <w:rPr>
          <w:rFonts w:eastAsia="Cambria"/>
        </w:rPr>
        <w:t>, sociedad civil, gobierno (nacional y local), sector privado y academia.</w:t>
      </w:r>
      <w:r w:rsidR="00BE277C" w:rsidRPr="0092311A">
        <w:rPr>
          <w:rFonts w:eastAsia="Cambria"/>
        </w:rPr>
        <w:t xml:space="preserve"> </w:t>
      </w:r>
      <w:r w:rsidR="0091422A" w:rsidRPr="0092311A">
        <w:rPr>
          <w:rFonts w:eastAsia="Cambria"/>
        </w:rPr>
        <w:t>P</w:t>
      </w:r>
      <w:r w:rsidR="0019394F" w:rsidRPr="0092311A">
        <w:rPr>
          <w:rFonts w:eastAsia="Cambria"/>
        </w:rPr>
        <w:t xml:space="preserve">roporciona asistencia técnica y tiene un programa de crédito para financiar iniciativas verdes (cartera de </w:t>
      </w:r>
      <w:r w:rsidR="00A91CCD" w:rsidRPr="0092311A">
        <w:rPr>
          <w:rFonts w:eastAsia="Cambria"/>
        </w:rPr>
        <w:t>US</w:t>
      </w:r>
      <w:r w:rsidR="0019394F" w:rsidRPr="0092311A">
        <w:rPr>
          <w:rFonts w:eastAsia="Cambria"/>
        </w:rPr>
        <w:t xml:space="preserve">$ 6 millones). </w:t>
      </w:r>
      <w:r w:rsidR="0091422A" w:rsidRPr="0092311A">
        <w:rPr>
          <w:rFonts w:eastAsia="Cambria"/>
        </w:rPr>
        <w:t xml:space="preserve">Ha </w:t>
      </w:r>
      <w:r w:rsidR="0019394F" w:rsidRPr="0092311A">
        <w:rPr>
          <w:rFonts w:eastAsia="Cambria"/>
        </w:rPr>
        <w:t>manejado proyectos a nivel nacional e internacional y tiene experiencia en la cooperación Sur-Sur</w:t>
      </w:r>
      <w:r w:rsidR="0091422A" w:rsidRPr="0092311A">
        <w:rPr>
          <w:rStyle w:val="FootnoteReference"/>
          <w:rFonts w:eastAsia="Cambria"/>
        </w:rPr>
        <w:footnoteReference w:id="49"/>
      </w:r>
      <w:r w:rsidR="002C3D12" w:rsidRPr="0092311A">
        <w:rPr>
          <w:rFonts w:eastAsia="Cambria"/>
        </w:rPr>
        <w:t>, e</w:t>
      </w:r>
      <w:r w:rsidR="0019394F" w:rsidRPr="0092311A">
        <w:rPr>
          <w:rFonts w:eastAsia="Cambria"/>
        </w:rPr>
        <w:t xml:space="preserve">n desarrollo sostenible y cambio climático, </w:t>
      </w:r>
      <w:r w:rsidR="002C3D12" w:rsidRPr="0092311A">
        <w:rPr>
          <w:rFonts w:eastAsia="Cambria"/>
        </w:rPr>
        <w:t xml:space="preserve">entre otros. </w:t>
      </w:r>
      <w:r w:rsidR="0019394F" w:rsidRPr="0092311A">
        <w:rPr>
          <w:rFonts w:eastAsia="Cambria"/>
        </w:rPr>
        <w:t xml:space="preserve">Recientemente, obtuvo la acreditación del Fondo de Adaptación, lo que significa que es la organización nacional responsable de la administración de los fondos para los proyectos de adaptación en Costa Rica. No se encontró ningún problema de integridad. </w:t>
      </w:r>
    </w:p>
    <w:p w:rsidR="00480BD2" w:rsidRPr="0092311A" w:rsidRDefault="00480BD2" w:rsidP="00775C78">
      <w:pPr>
        <w:pStyle w:val="AutoNumpara"/>
        <w:rPr>
          <w:rFonts w:eastAsia="Cambria"/>
        </w:rPr>
      </w:pPr>
      <w:r w:rsidRPr="0092311A">
        <w:t xml:space="preserve">Fundecooperación establecerá una Unidad Ejecutora y la estructura necesaria para que efectiva y eficientemente ejecute las actividades y gestione los recursos del proyecto. Fundecooperación también se responsabilizará por someter informes de avance acerca de la implementación del proyecto. Los detalles de la estructura de la Unidad Ejecutora y los requerimientos de los informes de avance se encuentran en el </w:t>
      </w:r>
      <w:r w:rsidR="00F717BA" w:rsidRPr="0092311A">
        <w:t xml:space="preserve">Reglamento Operativo. </w:t>
      </w:r>
    </w:p>
    <w:p w:rsidR="00480BD2" w:rsidRPr="0092311A" w:rsidRDefault="00CD26CB" w:rsidP="00775C78">
      <w:pPr>
        <w:pStyle w:val="Heading1"/>
        <w:rPr>
          <w:lang w:val="es-ES"/>
        </w:rPr>
      </w:pPr>
      <w:bookmarkStart w:id="36" w:name="_Toc363224984"/>
      <w:r w:rsidRPr="0092311A">
        <w:rPr>
          <w:lang w:val="es-ES"/>
        </w:rPr>
        <w:t>Riesgos del Proyecto</w:t>
      </w:r>
      <w:bookmarkEnd w:id="36"/>
    </w:p>
    <w:p w:rsidR="00871BB3" w:rsidRPr="0092311A" w:rsidRDefault="00480BD2" w:rsidP="00775C78">
      <w:pPr>
        <w:pStyle w:val="AutoNumpara"/>
        <w:rPr>
          <w:rFonts w:eastAsia="Cambria"/>
          <w:szCs w:val="24"/>
        </w:rPr>
      </w:pPr>
      <w:r w:rsidRPr="0092311A">
        <w:rPr>
          <w:rFonts w:eastAsia="Cambria"/>
          <w:szCs w:val="24"/>
        </w:rPr>
        <w:t>Los riesgos identificados son los siguientes: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5598"/>
      </w:tblGrid>
      <w:tr w:rsidR="00480BD2" w:rsidRPr="0092311A" w:rsidTr="00EF0E62">
        <w:tc>
          <w:tcPr>
            <w:tcW w:w="2538" w:type="dxa"/>
            <w:shd w:val="clear" w:color="auto" w:fill="D6E3BC"/>
          </w:tcPr>
          <w:p w:rsidR="00480BD2" w:rsidRPr="0092311A" w:rsidRDefault="00480BD2" w:rsidP="00480BD2">
            <w:pPr>
              <w:keepNext/>
              <w:ind w:left="720" w:hanging="720"/>
              <w:jc w:val="center"/>
              <w:outlineLvl w:val="1"/>
              <w:rPr>
                <w:rFonts w:eastAsia="Calibri"/>
                <w:b/>
                <w:bCs/>
                <w:spacing w:val="0"/>
                <w:sz w:val="22"/>
                <w:szCs w:val="22"/>
              </w:rPr>
            </w:pPr>
            <w:r w:rsidRPr="0092311A">
              <w:rPr>
                <w:rFonts w:eastAsia="Calibri"/>
                <w:b/>
                <w:bCs/>
                <w:spacing w:val="0"/>
                <w:sz w:val="22"/>
                <w:szCs w:val="22"/>
              </w:rPr>
              <w:t>Riesgo</w:t>
            </w:r>
          </w:p>
        </w:tc>
        <w:tc>
          <w:tcPr>
            <w:tcW w:w="5598" w:type="dxa"/>
            <w:shd w:val="clear" w:color="auto" w:fill="D6E3BC"/>
          </w:tcPr>
          <w:p w:rsidR="00480BD2" w:rsidRPr="0092311A" w:rsidRDefault="00480BD2" w:rsidP="00480BD2">
            <w:pPr>
              <w:ind w:left="720" w:hanging="720"/>
              <w:jc w:val="center"/>
              <w:outlineLvl w:val="1"/>
              <w:rPr>
                <w:rFonts w:eastAsia="Calibri"/>
                <w:b/>
                <w:bCs/>
                <w:spacing w:val="0"/>
                <w:sz w:val="20"/>
              </w:rPr>
            </w:pPr>
            <w:r w:rsidRPr="0092311A">
              <w:rPr>
                <w:rFonts w:eastAsia="Calibri"/>
                <w:b/>
                <w:bCs/>
                <w:spacing w:val="0"/>
                <w:sz w:val="20"/>
              </w:rPr>
              <w:t>Medidas de mitigación y control</w:t>
            </w:r>
          </w:p>
        </w:tc>
      </w:tr>
      <w:tr w:rsidR="00480BD2" w:rsidRPr="0092311A" w:rsidTr="00EF0E62">
        <w:tc>
          <w:tcPr>
            <w:tcW w:w="2538" w:type="dxa"/>
          </w:tcPr>
          <w:p w:rsidR="00480BD2" w:rsidRPr="0092311A" w:rsidRDefault="000C4508" w:rsidP="00480BD2">
            <w:pPr>
              <w:jc w:val="both"/>
              <w:outlineLvl w:val="1"/>
              <w:rPr>
                <w:rFonts w:eastAsia="Calibri"/>
                <w:b/>
                <w:bCs/>
                <w:spacing w:val="0"/>
                <w:sz w:val="18"/>
                <w:szCs w:val="18"/>
              </w:rPr>
            </w:pPr>
            <w:r w:rsidRPr="0092311A">
              <w:rPr>
                <w:rFonts w:eastAsia="Calibri"/>
                <w:b/>
                <w:bCs/>
                <w:spacing w:val="0"/>
                <w:sz w:val="18"/>
                <w:szCs w:val="18"/>
              </w:rPr>
              <w:t>Coordinación entre un g</w:t>
            </w:r>
            <w:r w:rsidR="00047E47" w:rsidRPr="0092311A">
              <w:rPr>
                <w:rFonts w:eastAsia="Calibri"/>
                <w:b/>
                <w:bCs/>
                <w:spacing w:val="0"/>
                <w:sz w:val="18"/>
                <w:szCs w:val="18"/>
              </w:rPr>
              <w:t xml:space="preserve">ran </w:t>
            </w:r>
            <w:r w:rsidR="00480BD2" w:rsidRPr="0092311A">
              <w:rPr>
                <w:rFonts w:eastAsia="Calibri"/>
                <w:b/>
                <w:bCs/>
                <w:spacing w:val="0"/>
                <w:sz w:val="18"/>
                <w:szCs w:val="18"/>
              </w:rPr>
              <w:t xml:space="preserve">número de instituciones públicas involucradas. </w:t>
            </w:r>
          </w:p>
          <w:p w:rsidR="00480BD2" w:rsidRPr="0092311A" w:rsidRDefault="00480BD2" w:rsidP="00480BD2">
            <w:pPr>
              <w:jc w:val="both"/>
              <w:outlineLvl w:val="1"/>
              <w:rPr>
                <w:rFonts w:eastAsia="Calibri"/>
                <w:b/>
                <w:bCs/>
                <w:spacing w:val="0"/>
                <w:sz w:val="18"/>
                <w:szCs w:val="18"/>
              </w:rPr>
            </w:pPr>
          </w:p>
          <w:p w:rsidR="00480BD2" w:rsidRPr="0092311A" w:rsidRDefault="00480BD2" w:rsidP="00480BD2">
            <w:pPr>
              <w:jc w:val="both"/>
              <w:outlineLvl w:val="1"/>
              <w:rPr>
                <w:rFonts w:eastAsia="Calibri"/>
                <w:b/>
                <w:bCs/>
                <w:spacing w:val="0"/>
                <w:sz w:val="18"/>
                <w:szCs w:val="18"/>
              </w:rPr>
            </w:pPr>
          </w:p>
          <w:p w:rsidR="00480BD2" w:rsidRPr="0092311A" w:rsidRDefault="00480BD2" w:rsidP="00480BD2">
            <w:pPr>
              <w:jc w:val="both"/>
              <w:outlineLvl w:val="1"/>
              <w:rPr>
                <w:rFonts w:eastAsia="Calibri"/>
                <w:bCs/>
                <w:spacing w:val="0"/>
                <w:sz w:val="18"/>
                <w:szCs w:val="18"/>
              </w:rPr>
            </w:pPr>
          </w:p>
        </w:tc>
        <w:tc>
          <w:tcPr>
            <w:tcW w:w="5598" w:type="dxa"/>
          </w:tcPr>
          <w:p w:rsidR="00480BD2" w:rsidRPr="0092311A" w:rsidRDefault="00480BD2" w:rsidP="00C812FE">
            <w:pPr>
              <w:jc w:val="both"/>
              <w:outlineLvl w:val="1"/>
              <w:rPr>
                <w:rFonts w:eastAsia="Calibri"/>
                <w:bCs/>
                <w:spacing w:val="0"/>
                <w:sz w:val="18"/>
                <w:szCs w:val="18"/>
              </w:rPr>
            </w:pPr>
            <w:r w:rsidRPr="0092311A">
              <w:rPr>
                <w:rFonts w:eastAsia="Calibri"/>
                <w:bCs/>
                <w:spacing w:val="0"/>
                <w:sz w:val="18"/>
                <w:szCs w:val="18"/>
              </w:rPr>
              <w:t>Durante la preparación de</w:t>
            </w:r>
            <w:r w:rsidR="00704D62" w:rsidRPr="0092311A">
              <w:rPr>
                <w:rFonts w:eastAsia="Calibri"/>
                <w:bCs/>
                <w:spacing w:val="0"/>
                <w:sz w:val="18"/>
                <w:szCs w:val="18"/>
              </w:rPr>
              <w:t xml:space="preserve">l proyecto </w:t>
            </w:r>
            <w:r w:rsidRPr="0092311A">
              <w:rPr>
                <w:rFonts w:eastAsia="Calibri"/>
                <w:bCs/>
                <w:spacing w:val="0"/>
                <w:sz w:val="18"/>
                <w:szCs w:val="18"/>
              </w:rPr>
              <w:t>se convino entre las instituciones participantes que el liderazgo de la iniciativa estará a cargo del MAG, apoyado por las demás. Para agilizar la ejecución se acordó entre el GT y el FOMIN el contenido del R</w:t>
            </w:r>
            <w:r w:rsidR="00704D62" w:rsidRPr="0092311A">
              <w:rPr>
                <w:rFonts w:eastAsia="Calibri"/>
                <w:bCs/>
                <w:spacing w:val="0"/>
                <w:sz w:val="18"/>
                <w:szCs w:val="18"/>
              </w:rPr>
              <w:t>O</w:t>
            </w:r>
            <w:r w:rsidRPr="0092311A">
              <w:rPr>
                <w:rFonts w:eastAsia="Calibri"/>
                <w:bCs/>
                <w:spacing w:val="0"/>
                <w:sz w:val="18"/>
                <w:szCs w:val="18"/>
              </w:rPr>
              <w:t>, que describe las actividades a realizar</w:t>
            </w:r>
            <w:r w:rsidR="00C812FE" w:rsidRPr="0092311A">
              <w:rPr>
                <w:rFonts w:eastAsia="Calibri"/>
                <w:bCs/>
                <w:spacing w:val="0"/>
                <w:sz w:val="18"/>
                <w:szCs w:val="18"/>
              </w:rPr>
              <w:t>, q</w:t>
            </w:r>
            <w:r w:rsidRPr="0092311A">
              <w:rPr>
                <w:rFonts w:eastAsia="Calibri"/>
                <w:bCs/>
                <w:spacing w:val="0"/>
                <w:sz w:val="18"/>
                <w:szCs w:val="18"/>
              </w:rPr>
              <w:t>ue ya no requieren de consulta sino de ejecución. Así también</w:t>
            </w:r>
            <w:r w:rsidR="00AD0A65" w:rsidRPr="0092311A">
              <w:rPr>
                <w:rFonts w:eastAsia="Calibri"/>
                <w:bCs/>
                <w:spacing w:val="0"/>
                <w:sz w:val="18"/>
                <w:szCs w:val="18"/>
              </w:rPr>
              <w:t>,</w:t>
            </w:r>
            <w:r w:rsidRPr="0092311A">
              <w:rPr>
                <w:rFonts w:eastAsia="Calibri"/>
                <w:bCs/>
                <w:spacing w:val="0"/>
                <w:sz w:val="18"/>
                <w:szCs w:val="18"/>
              </w:rPr>
              <w:t xml:space="preserve"> para la estructura organizacional de la unidad ejecutora se tomaron aspectos que se espera </w:t>
            </w:r>
            <w:r w:rsidR="00EF04A9" w:rsidRPr="0092311A">
              <w:rPr>
                <w:rFonts w:eastAsia="Calibri"/>
                <w:bCs/>
                <w:spacing w:val="0"/>
                <w:sz w:val="18"/>
                <w:szCs w:val="18"/>
              </w:rPr>
              <w:t xml:space="preserve">agilicen y eficienten la ejecución. </w:t>
            </w:r>
          </w:p>
        </w:tc>
      </w:tr>
      <w:tr w:rsidR="00480BD2" w:rsidRPr="0092311A" w:rsidTr="00EF0E62">
        <w:tc>
          <w:tcPr>
            <w:tcW w:w="2538" w:type="dxa"/>
          </w:tcPr>
          <w:p w:rsidR="00480BD2" w:rsidRPr="0092311A" w:rsidRDefault="00480BD2" w:rsidP="00480BD2">
            <w:pPr>
              <w:jc w:val="both"/>
              <w:outlineLvl w:val="1"/>
              <w:rPr>
                <w:rFonts w:eastAsia="Calibri"/>
                <w:b/>
                <w:bCs/>
                <w:spacing w:val="0"/>
                <w:sz w:val="18"/>
                <w:szCs w:val="18"/>
              </w:rPr>
            </w:pPr>
            <w:r w:rsidRPr="0092311A">
              <w:rPr>
                <w:rFonts w:eastAsia="Calibri"/>
                <w:b/>
                <w:bCs/>
                <w:spacing w:val="0"/>
                <w:sz w:val="18"/>
                <w:szCs w:val="18"/>
              </w:rPr>
              <w:t>Sostenibilidad financiera para la puesta en marcha del NAMA.</w:t>
            </w:r>
          </w:p>
        </w:tc>
        <w:tc>
          <w:tcPr>
            <w:tcW w:w="5598" w:type="dxa"/>
          </w:tcPr>
          <w:p w:rsidR="00480BD2" w:rsidRPr="0092311A" w:rsidRDefault="00480BD2" w:rsidP="000835F1">
            <w:pPr>
              <w:jc w:val="both"/>
              <w:outlineLvl w:val="1"/>
              <w:rPr>
                <w:rFonts w:eastAsia="Calibri"/>
                <w:bCs/>
                <w:spacing w:val="0"/>
                <w:sz w:val="18"/>
                <w:szCs w:val="18"/>
              </w:rPr>
            </w:pPr>
            <w:r w:rsidRPr="0092311A">
              <w:rPr>
                <w:rFonts w:eastAsia="Calibri"/>
                <w:bCs/>
                <w:spacing w:val="0"/>
                <w:sz w:val="18"/>
                <w:szCs w:val="18"/>
              </w:rPr>
              <w:t>El proyecto prevé la identificación de potenciales fuentes financieras para la puesta en marcha del NAMA</w:t>
            </w:r>
            <w:r w:rsidR="000835F1" w:rsidRPr="0092311A">
              <w:rPr>
                <w:rFonts w:eastAsia="Calibri"/>
                <w:bCs/>
                <w:spacing w:val="0"/>
                <w:sz w:val="18"/>
                <w:szCs w:val="18"/>
              </w:rPr>
              <w:t xml:space="preserve"> y la inclusión del MRV lo hará más atractivo. </w:t>
            </w:r>
            <w:r w:rsidR="00560D91" w:rsidRPr="0092311A">
              <w:rPr>
                <w:rFonts w:eastAsia="Calibri"/>
                <w:bCs/>
                <w:spacing w:val="0"/>
                <w:sz w:val="18"/>
                <w:szCs w:val="18"/>
              </w:rPr>
              <w:t>S</w:t>
            </w:r>
            <w:r w:rsidRPr="0092311A">
              <w:rPr>
                <w:rFonts w:eastAsia="Calibri"/>
                <w:bCs/>
                <w:spacing w:val="0"/>
                <w:sz w:val="18"/>
                <w:szCs w:val="18"/>
              </w:rPr>
              <w:t xml:space="preserve">e apoyará el acercamiento y presentaciones con potenciales fuentes de financiamiento. Después de la ejecución del proyecto y una vez el NAMA esté aprobado por el gobierno, se </w:t>
            </w:r>
            <w:r w:rsidR="000835F1" w:rsidRPr="0092311A">
              <w:rPr>
                <w:rFonts w:eastAsia="Calibri"/>
                <w:bCs/>
                <w:spacing w:val="0"/>
                <w:sz w:val="18"/>
                <w:szCs w:val="18"/>
              </w:rPr>
              <w:t xml:space="preserve">podrá </w:t>
            </w:r>
            <w:r w:rsidRPr="0092311A">
              <w:rPr>
                <w:rFonts w:eastAsia="Calibri"/>
                <w:bCs/>
                <w:spacing w:val="0"/>
                <w:sz w:val="18"/>
                <w:szCs w:val="18"/>
              </w:rPr>
              <w:t xml:space="preserve">registrar el NAMA ante la </w:t>
            </w:r>
            <w:r w:rsidR="00560D91" w:rsidRPr="0092311A">
              <w:rPr>
                <w:rFonts w:eastAsia="Calibri"/>
                <w:bCs/>
                <w:spacing w:val="0"/>
                <w:sz w:val="18"/>
                <w:szCs w:val="18"/>
              </w:rPr>
              <w:t>CMNUCC</w:t>
            </w:r>
            <w:r w:rsidRPr="0092311A">
              <w:rPr>
                <w:rFonts w:eastAsia="Calibri"/>
                <w:bCs/>
                <w:spacing w:val="0"/>
                <w:sz w:val="18"/>
                <w:szCs w:val="18"/>
              </w:rPr>
              <w:t xml:space="preserve">, lo cual abrirá </w:t>
            </w:r>
            <w:r w:rsidR="000835F1" w:rsidRPr="0092311A">
              <w:rPr>
                <w:rFonts w:eastAsia="Calibri"/>
                <w:bCs/>
                <w:spacing w:val="0"/>
                <w:sz w:val="18"/>
                <w:szCs w:val="18"/>
              </w:rPr>
              <w:t xml:space="preserve">mayores </w:t>
            </w:r>
            <w:r w:rsidRPr="0092311A">
              <w:rPr>
                <w:rFonts w:eastAsia="Calibri"/>
                <w:bCs/>
                <w:spacing w:val="0"/>
                <w:sz w:val="18"/>
                <w:szCs w:val="18"/>
              </w:rPr>
              <w:t xml:space="preserve">posibilidades de conseguir fondos a nivel internacional. </w:t>
            </w:r>
            <w:r w:rsidR="00AD0A65" w:rsidRPr="0092311A">
              <w:rPr>
                <w:rFonts w:eastAsia="Calibri"/>
                <w:bCs/>
                <w:spacing w:val="0"/>
                <w:sz w:val="18"/>
                <w:szCs w:val="18"/>
              </w:rPr>
              <w:t>Durante la preparación de la operación, ya se iniciaba la gestión de fondos ante la Facilidad de NAMA</w:t>
            </w:r>
            <w:r w:rsidR="000835F1" w:rsidRPr="0092311A">
              <w:rPr>
                <w:rFonts w:eastAsia="Calibri"/>
                <w:bCs/>
                <w:spacing w:val="0"/>
                <w:sz w:val="18"/>
                <w:szCs w:val="18"/>
              </w:rPr>
              <w:t>, entre otros</w:t>
            </w:r>
            <w:r w:rsidR="00AD0A65" w:rsidRPr="0092311A">
              <w:rPr>
                <w:rFonts w:eastAsia="Calibri"/>
                <w:bCs/>
                <w:spacing w:val="0"/>
                <w:sz w:val="18"/>
                <w:szCs w:val="18"/>
              </w:rPr>
              <w:t>.</w:t>
            </w:r>
          </w:p>
        </w:tc>
      </w:tr>
      <w:tr w:rsidR="00480BD2" w:rsidRPr="0092311A" w:rsidTr="00EF0E62">
        <w:tc>
          <w:tcPr>
            <w:tcW w:w="2538" w:type="dxa"/>
          </w:tcPr>
          <w:p w:rsidR="00480BD2" w:rsidRPr="0092311A" w:rsidRDefault="00480BD2" w:rsidP="003A6EB2">
            <w:pPr>
              <w:jc w:val="both"/>
              <w:outlineLvl w:val="1"/>
              <w:rPr>
                <w:rFonts w:eastAsia="Calibri"/>
                <w:bCs/>
                <w:spacing w:val="0"/>
                <w:sz w:val="18"/>
                <w:szCs w:val="18"/>
              </w:rPr>
            </w:pPr>
            <w:r w:rsidRPr="0092311A">
              <w:rPr>
                <w:rFonts w:eastAsia="Calibri"/>
                <w:b/>
                <w:bCs/>
                <w:spacing w:val="0"/>
                <w:sz w:val="18"/>
                <w:szCs w:val="18"/>
              </w:rPr>
              <w:t>Falta de</w:t>
            </w:r>
            <w:r w:rsidR="003A6EB2" w:rsidRPr="0092311A">
              <w:rPr>
                <w:rFonts w:eastAsia="Calibri"/>
                <w:b/>
                <w:bCs/>
                <w:spacing w:val="0"/>
                <w:sz w:val="18"/>
                <w:szCs w:val="18"/>
              </w:rPr>
              <w:t xml:space="preserve"> recursos para el pago de premios</w:t>
            </w:r>
            <w:r w:rsidRPr="0092311A">
              <w:rPr>
                <w:rFonts w:eastAsia="Calibri"/>
                <w:bCs/>
                <w:spacing w:val="0"/>
                <w:sz w:val="18"/>
                <w:szCs w:val="18"/>
              </w:rPr>
              <w:t xml:space="preserve"> </w:t>
            </w:r>
            <w:r w:rsidR="00E11179" w:rsidRPr="0092311A">
              <w:rPr>
                <w:rFonts w:eastAsia="Calibri"/>
                <w:b/>
                <w:bCs/>
                <w:spacing w:val="0"/>
                <w:sz w:val="18"/>
                <w:szCs w:val="18"/>
              </w:rPr>
              <w:t>ambientales</w:t>
            </w:r>
            <w:r w:rsidR="00E11179" w:rsidRPr="0092311A">
              <w:rPr>
                <w:rFonts w:eastAsia="Calibri"/>
                <w:bCs/>
                <w:spacing w:val="0"/>
                <w:sz w:val="18"/>
                <w:szCs w:val="18"/>
              </w:rPr>
              <w:t xml:space="preserve"> </w:t>
            </w:r>
            <w:r w:rsidRPr="0092311A">
              <w:rPr>
                <w:rFonts w:eastAsia="Calibri"/>
                <w:bCs/>
                <w:spacing w:val="0"/>
                <w:sz w:val="18"/>
                <w:szCs w:val="18"/>
              </w:rPr>
              <w:t xml:space="preserve">por parte del mercado </w:t>
            </w:r>
            <w:r w:rsidR="003A6EB2" w:rsidRPr="0092311A">
              <w:rPr>
                <w:rFonts w:eastAsia="Calibri"/>
                <w:bCs/>
                <w:spacing w:val="0"/>
                <w:sz w:val="18"/>
                <w:szCs w:val="18"/>
              </w:rPr>
              <w:t xml:space="preserve">o </w:t>
            </w:r>
            <w:r w:rsidRPr="0092311A">
              <w:rPr>
                <w:rFonts w:eastAsia="Calibri"/>
                <w:bCs/>
                <w:spacing w:val="0"/>
                <w:sz w:val="18"/>
                <w:szCs w:val="18"/>
              </w:rPr>
              <w:t xml:space="preserve">del gobierno. </w:t>
            </w:r>
          </w:p>
        </w:tc>
        <w:tc>
          <w:tcPr>
            <w:tcW w:w="5598" w:type="dxa"/>
          </w:tcPr>
          <w:p w:rsidR="00480BD2" w:rsidRPr="0092311A" w:rsidRDefault="00480BD2" w:rsidP="000835F1">
            <w:pPr>
              <w:jc w:val="both"/>
              <w:outlineLvl w:val="1"/>
              <w:rPr>
                <w:rFonts w:eastAsia="Calibri"/>
                <w:bCs/>
                <w:spacing w:val="0"/>
                <w:sz w:val="18"/>
                <w:szCs w:val="18"/>
              </w:rPr>
            </w:pPr>
            <w:r w:rsidRPr="0092311A">
              <w:rPr>
                <w:rFonts w:eastAsia="Calibri"/>
                <w:bCs/>
                <w:spacing w:val="0"/>
                <w:sz w:val="18"/>
                <w:szCs w:val="18"/>
              </w:rPr>
              <w:t>La fuente de recursos para el pago de</w:t>
            </w:r>
            <w:r w:rsidR="003A6EB2" w:rsidRPr="0092311A">
              <w:rPr>
                <w:rFonts w:eastAsia="Calibri"/>
                <w:bCs/>
                <w:spacing w:val="0"/>
                <w:sz w:val="18"/>
                <w:szCs w:val="18"/>
              </w:rPr>
              <w:t xml:space="preserve">l reconocimiento </w:t>
            </w:r>
            <w:r w:rsidR="000835F1" w:rsidRPr="0092311A">
              <w:rPr>
                <w:rFonts w:eastAsia="Calibri"/>
                <w:bCs/>
                <w:spacing w:val="0"/>
                <w:sz w:val="18"/>
                <w:szCs w:val="18"/>
              </w:rPr>
              <w:t xml:space="preserve">por beneficios </w:t>
            </w:r>
            <w:r w:rsidR="003A6EB2" w:rsidRPr="0092311A">
              <w:rPr>
                <w:rFonts w:eastAsia="Calibri"/>
                <w:bCs/>
                <w:spacing w:val="0"/>
                <w:sz w:val="18"/>
                <w:szCs w:val="18"/>
              </w:rPr>
              <w:t>ambiental</w:t>
            </w:r>
            <w:r w:rsidR="000835F1" w:rsidRPr="0092311A">
              <w:rPr>
                <w:rFonts w:eastAsia="Calibri"/>
                <w:bCs/>
                <w:spacing w:val="0"/>
                <w:sz w:val="18"/>
                <w:szCs w:val="18"/>
              </w:rPr>
              <w:t>es</w:t>
            </w:r>
            <w:r w:rsidR="003A6EB2" w:rsidRPr="0092311A">
              <w:rPr>
                <w:rFonts w:eastAsia="Calibri"/>
                <w:bCs/>
                <w:spacing w:val="0"/>
                <w:sz w:val="18"/>
                <w:szCs w:val="18"/>
              </w:rPr>
              <w:t xml:space="preserve"> </w:t>
            </w:r>
            <w:r w:rsidRPr="0092311A">
              <w:rPr>
                <w:rFonts w:eastAsia="Calibri"/>
                <w:bCs/>
                <w:spacing w:val="0"/>
                <w:sz w:val="18"/>
                <w:szCs w:val="18"/>
              </w:rPr>
              <w:t xml:space="preserve"> provendrá de</w:t>
            </w:r>
            <w:r w:rsidR="00E11179" w:rsidRPr="0092311A">
              <w:rPr>
                <w:rFonts w:eastAsia="Calibri"/>
                <w:bCs/>
                <w:spacing w:val="0"/>
                <w:sz w:val="18"/>
                <w:szCs w:val="18"/>
              </w:rPr>
              <w:t>l MAG</w:t>
            </w:r>
            <w:r w:rsidRPr="0092311A">
              <w:rPr>
                <w:rFonts w:eastAsia="Calibri"/>
                <w:bCs/>
                <w:spacing w:val="0"/>
                <w:sz w:val="18"/>
                <w:szCs w:val="18"/>
              </w:rPr>
              <w:t xml:space="preserve"> que se ha comprometido en aportar anualmente los recursos de acuerdo al alcance e indicadores de resultados del marco lógico (Anexo </w:t>
            </w:r>
            <w:r w:rsidR="000835F1" w:rsidRPr="0092311A">
              <w:rPr>
                <w:rFonts w:eastAsia="Calibri"/>
                <w:bCs/>
                <w:spacing w:val="0"/>
                <w:sz w:val="18"/>
                <w:szCs w:val="18"/>
              </w:rPr>
              <w:t>I</w:t>
            </w:r>
            <w:r w:rsidRPr="0092311A">
              <w:rPr>
                <w:rFonts w:eastAsia="Calibri"/>
                <w:bCs/>
                <w:spacing w:val="0"/>
                <w:sz w:val="18"/>
                <w:szCs w:val="18"/>
              </w:rPr>
              <w:t xml:space="preserve">). </w:t>
            </w:r>
          </w:p>
        </w:tc>
      </w:tr>
      <w:tr w:rsidR="00480BD2" w:rsidRPr="0092311A" w:rsidTr="00EF0E62">
        <w:tc>
          <w:tcPr>
            <w:tcW w:w="2538" w:type="dxa"/>
          </w:tcPr>
          <w:p w:rsidR="00480BD2" w:rsidRPr="0092311A" w:rsidRDefault="00480BD2" w:rsidP="00480BD2">
            <w:pPr>
              <w:jc w:val="both"/>
              <w:outlineLvl w:val="1"/>
              <w:rPr>
                <w:rFonts w:eastAsia="Calibri"/>
                <w:b/>
                <w:bCs/>
                <w:spacing w:val="0"/>
                <w:sz w:val="18"/>
                <w:szCs w:val="18"/>
              </w:rPr>
            </w:pPr>
            <w:r w:rsidRPr="0092311A">
              <w:rPr>
                <w:rFonts w:eastAsia="Calibri"/>
                <w:b/>
                <w:bCs/>
                <w:spacing w:val="0"/>
                <w:sz w:val="18"/>
                <w:szCs w:val="18"/>
              </w:rPr>
              <w:t xml:space="preserve">Incertidumbre en la demanda </w:t>
            </w:r>
          </w:p>
        </w:tc>
        <w:tc>
          <w:tcPr>
            <w:tcW w:w="5598" w:type="dxa"/>
          </w:tcPr>
          <w:p w:rsidR="00480BD2" w:rsidRPr="0092311A" w:rsidRDefault="00480BD2" w:rsidP="007B10BC">
            <w:pPr>
              <w:jc w:val="both"/>
              <w:outlineLvl w:val="1"/>
              <w:rPr>
                <w:rFonts w:eastAsia="Calibri"/>
                <w:bCs/>
                <w:spacing w:val="0"/>
                <w:sz w:val="18"/>
                <w:szCs w:val="18"/>
              </w:rPr>
            </w:pPr>
            <w:r w:rsidRPr="0092311A">
              <w:rPr>
                <w:rFonts w:eastAsia="Calibri"/>
                <w:bCs/>
                <w:spacing w:val="0"/>
                <w:sz w:val="18"/>
                <w:szCs w:val="18"/>
              </w:rPr>
              <w:t xml:space="preserve">INT </w:t>
            </w:r>
            <w:r w:rsidR="00690EC6" w:rsidRPr="0092311A">
              <w:rPr>
                <w:rFonts w:eastAsia="Calibri"/>
                <w:bCs/>
                <w:spacing w:val="0"/>
                <w:sz w:val="18"/>
                <w:szCs w:val="18"/>
              </w:rPr>
              <w:t xml:space="preserve">financiará </w:t>
            </w:r>
            <w:r w:rsidRPr="0092311A">
              <w:rPr>
                <w:rFonts w:eastAsia="Calibri"/>
                <w:bCs/>
                <w:spacing w:val="0"/>
                <w:sz w:val="18"/>
                <w:szCs w:val="18"/>
              </w:rPr>
              <w:t>una consultoria para identificar los mercados nichos</w:t>
            </w:r>
            <w:r w:rsidR="00564422" w:rsidRPr="0092311A">
              <w:rPr>
                <w:rFonts w:eastAsia="Calibri"/>
                <w:bCs/>
                <w:spacing w:val="0"/>
                <w:sz w:val="18"/>
                <w:szCs w:val="18"/>
              </w:rPr>
              <w:t xml:space="preserve">. </w:t>
            </w:r>
            <w:r w:rsidR="00690EC6" w:rsidRPr="0092311A">
              <w:rPr>
                <w:rFonts w:eastAsia="Calibri"/>
                <w:bCs/>
                <w:spacing w:val="0"/>
                <w:sz w:val="18"/>
                <w:szCs w:val="18"/>
              </w:rPr>
              <w:t xml:space="preserve">Esta consultoría servirá para </w:t>
            </w:r>
            <w:r w:rsidR="007B10BC" w:rsidRPr="0092311A">
              <w:rPr>
                <w:rFonts w:eastAsia="Calibri"/>
                <w:bCs/>
                <w:spacing w:val="0"/>
                <w:sz w:val="18"/>
                <w:szCs w:val="18"/>
              </w:rPr>
              <w:t>é</w:t>
            </w:r>
            <w:r w:rsidR="00690EC6" w:rsidRPr="0092311A">
              <w:rPr>
                <w:rFonts w:eastAsia="Calibri"/>
                <w:bCs/>
                <w:spacing w:val="0"/>
                <w:sz w:val="18"/>
                <w:szCs w:val="18"/>
              </w:rPr>
              <w:t xml:space="preserve">sta y otras operaciones que el FOMIN tiene en preparación. </w:t>
            </w:r>
            <w:r w:rsidRPr="0092311A">
              <w:rPr>
                <w:rFonts w:eastAsia="Calibri"/>
                <w:bCs/>
                <w:spacing w:val="0"/>
                <w:sz w:val="18"/>
                <w:szCs w:val="18"/>
              </w:rPr>
              <w:t>En adición, en el Componente IV se incluye la participacion de los productores en ferias para la promo</w:t>
            </w:r>
            <w:r w:rsidR="00690EC6" w:rsidRPr="0092311A">
              <w:rPr>
                <w:rFonts w:eastAsia="Calibri"/>
                <w:bCs/>
                <w:spacing w:val="0"/>
                <w:sz w:val="18"/>
                <w:szCs w:val="18"/>
              </w:rPr>
              <w:t xml:space="preserve">ver su producto en mejores mercados. </w:t>
            </w:r>
          </w:p>
        </w:tc>
      </w:tr>
      <w:tr w:rsidR="00480BD2" w:rsidRPr="0092311A" w:rsidTr="00EF0E62">
        <w:tc>
          <w:tcPr>
            <w:tcW w:w="2538" w:type="dxa"/>
          </w:tcPr>
          <w:p w:rsidR="00480BD2" w:rsidRPr="0092311A" w:rsidRDefault="00480BD2" w:rsidP="00170338">
            <w:pPr>
              <w:jc w:val="both"/>
              <w:outlineLvl w:val="1"/>
              <w:rPr>
                <w:rFonts w:eastAsia="Calibri"/>
                <w:bCs/>
                <w:spacing w:val="0"/>
                <w:sz w:val="18"/>
                <w:szCs w:val="18"/>
              </w:rPr>
            </w:pPr>
            <w:r w:rsidRPr="0092311A">
              <w:rPr>
                <w:rFonts w:eastAsia="Calibri"/>
                <w:b/>
                <w:bCs/>
                <w:spacing w:val="0"/>
                <w:sz w:val="18"/>
                <w:szCs w:val="18"/>
              </w:rPr>
              <w:t xml:space="preserve">Profundización del deterioro </w:t>
            </w:r>
            <w:r w:rsidR="00170338" w:rsidRPr="0092311A">
              <w:rPr>
                <w:rFonts w:eastAsia="Calibri"/>
                <w:b/>
                <w:bCs/>
                <w:spacing w:val="0"/>
                <w:sz w:val="18"/>
                <w:szCs w:val="18"/>
              </w:rPr>
              <w:t>de l</w:t>
            </w:r>
            <w:r w:rsidRPr="0092311A">
              <w:rPr>
                <w:rFonts w:eastAsia="Calibri"/>
                <w:b/>
                <w:bCs/>
                <w:spacing w:val="0"/>
                <w:sz w:val="18"/>
                <w:szCs w:val="18"/>
              </w:rPr>
              <w:t>as condiciones de los productores y sus plantaciones por la roya.</w:t>
            </w:r>
          </w:p>
        </w:tc>
        <w:tc>
          <w:tcPr>
            <w:tcW w:w="5598" w:type="dxa"/>
          </w:tcPr>
          <w:p w:rsidR="00480BD2" w:rsidRPr="0092311A" w:rsidRDefault="00170338" w:rsidP="00170338">
            <w:pPr>
              <w:jc w:val="both"/>
              <w:outlineLvl w:val="1"/>
              <w:rPr>
                <w:rFonts w:eastAsia="Calibri"/>
                <w:bCs/>
                <w:spacing w:val="0"/>
                <w:sz w:val="18"/>
                <w:szCs w:val="18"/>
              </w:rPr>
            </w:pPr>
            <w:r w:rsidRPr="0092311A">
              <w:rPr>
                <w:rFonts w:eastAsia="Calibri"/>
                <w:bCs/>
                <w:spacing w:val="0"/>
                <w:sz w:val="18"/>
                <w:szCs w:val="18"/>
              </w:rPr>
              <w:t>Se han pre-identificado organizaciones con interés de participar. E</w:t>
            </w:r>
            <w:r w:rsidR="00480BD2" w:rsidRPr="0092311A">
              <w:rPr>
                <w:rFonts w:eastAsia="Calibri"/>
                <w:bCs/>
                <w:spacing w:val="0"/>
                <w:sz w:val="18"/>
                <w:szCs w:val="18"/>
              </w:rPr>
              <w:t xml:space="preserve">l proyecto tiene previsto apoyar en actividades que permitan </w:t>
            </w:r>
            <w:r w:rsidRPr="0092311A">
              <w:rPr>
                <w:rFonts w:eastAsia="Calibri"/>
                <w:bCs/>
                <w:spacing w:val="0"/>
                <w:sz w:val="18"/>
                <w:szCs w:val="18"/>
              </w:rPr>
              <w:t xml:space="preserve">mejorar la resiliencia de los productores, </w:t>
            </w:r>
            <w:r w:rsidR="00480BD2" w:rsidRPr="0092311A">
              <w:rPr>
                <w:rFonts w:eastAsia="Calibri"/>
                <w:bCs/>
                <w:spacing w:val="0"/>
                <w:sz w:val="18"/>
                <w:szCs w:val="18"/>
              </w:rPr>
              <w:t>identificando prácticas de adaptaci</w:t>
            </w:r>
            <w:r w:rsidRPr="0092311A">
              <w:rPr>
                <w:rFonts w:eastAsia="Calibri"/>
                <w:bCs/>
                <w:spacing w:val="0"/>
                <w:sz w:val="18"/>
                <w:szCs w:val="18"/>
              </w:rPr>
              <w:t>ó</w:t>
            </w:r>
            <w:r w:rsidR="00480BD2" w:rsidRPr="0092311A">
              <w:rPr>
                <w:rFonts w:eastAsia="Calibri"/>
                <w:bCs/>
                <w:spacing w:val="0"/>
                <w:sz w:val="18"/>
                <w:szCs w:val="18"/>
              </w:rPr>
              <w:t xml:space="preserve">n climática que </w:t>
            </w:r>
            <w:r w:rsidR="00564422" w:rsidRPr="0092311A">
              <w:rPr>
                <w:rFonts w:eastAsia="Calibri"/>
                <w:bCs/>
                <w:spacing w:val="0"/>
                <w:sz w:val="18"/>
                <w:szCs w:val="18"/>
              </w:rPr>
              <w:t xml:space="preserve">el GT </w:t>
            </w:r>
            <w:r w:rsidR="00480BD2" w:rsidRPr="0092311A">
              <w:rPr>
                <w:rFonts w:eastAsia="Calibri"/>
                <w:bCs/>
                <w:spacing w:val="0"/>
                <w:sz w:val="18"/>
                <w:szCs w:val="18"/>
              </w:rPr>
              <w:t xml:space="preserve">considere convenientes. </w:t>
            </w:r>
          </w:p>
        </w:tc>
      </w:tr>
    </w:tbl>
    <w:p w:rsidR="00F717BA" w:rsidRPr="0092311A" w:rsidRDefault="006F7979" w:rsidP="00775C78">
      <w:pPr>
        <w:pStyle w:val="Heading1"/>
        <w:rPr>
          <w:lang w:val="es-ES"/>
        </w:rPr>
      </w:pPr>
      <w:bookmarkStart w:id="37" w:name="_Toc363224985"/>
      <w:bookmarkStart w:id="38" w:name="_Toc235532217"/>
      <w:bookmarkStart w:id="39" w:name="_Toc238465830"/>
      <w:bookmarkStart w:id="40" w:name="_Toc354490279"/>
      <w:r>
        <w:rPr>
          <w:lang w:val="es-ES"/>
        </w:rPr>
        <w:t xml:space="preserve">  </w:t>
      </w:r>
      <w:r w:rsidR="00CD26CB" w:rsidRPr="0092311A">
        <w:rPr>
          <w:lang w:val="es-ES"/>
        </w:rPr>
        <w:t>Efectos Ambientales y Sociales</w:t>
      </w:r>
      <w:bookmarkEnd w:id="37"/>
    </w:p>
    <w:bookmarkEnd w:id="38"/>
    <w:bookmarkEnd w:id="39"/>
    <w:bookmarkEnd w:id="40"/>
    <w:p w:rsidR="00F717BA" w:rsidRPr="0092311A" w:rsidRDefault="00F717BA" w:rsidP="00775C78">
      <w:pPr>
        <w:pStyle w:val="AutoNumpara"/>
        <w:rPr>
          <w:rFonts w:eastAsia="Cambria"/>
          <w:szCs w:val="24"/>
        </w:rPr>
      </w:pPr>
      <w:r w:rsidRPr="0092311A">
        <w:rPr>
          <w:rFonts w:eastAsia="Cambria"/>
          <w:szCs w:val="24"/>
        </w:rPr>
        <w:t xml:space="preserve">El proyecto prevé beneficios ambientales, económicos y sociales. Entre los beneficios ambientales está la disminución de emisiones de GEI, la conservación del ecosistema del cual depende la industria cafetalera, </w:t>
      </w:r>
      <w:r w:rsidR="007B10BC" w:rsidRPr="0092311A">
        <w:rPr>
          <w:rFonts w:eastAsia="Cambria"/>
          <w:szCs w:val="24"/>
        </w:rPr>
        <w:t xml:space="preserve">el </w:t>
      </w:r>
      <w:r w:rsidRPr="0092311A">
        <w:rPr>
          <w:rFonts w:eastAsia="Cambria"/>
          <w:szCs w:val="24"/>
        </w:rPr>
        <w:t xml:space="preserve">aumento de la diversidad forestal en las plantaciones que prevé mejorar la calidad de los suelos y la expansión de variedades de café más resistentes a enfermedades y hongos. </w:t>
      </w:r>
    </w:p>
    <w:p w:rsidR="00F717BA" w:rsidRPr="0092311A" w:rsidRDefault="00F717BA" w:rsidP="00775C78">
      <w:pPr>
        <w:pStyle w:val="AutoNumpara"/>
        <w:rPr>
          <w:rFonts w:eastAsia="Cambria"/>
          <w:szCs w:val="24"/>
        </w:rPr>
      </w:pPr>
      <w:r w:rsidRPr="0092311A">
        <w:rPr>
          <w:rFonts w:eastAsia="Cambria"/>
          <w:szCs w:val="24"/>
        </w:rPr>
        <w:t xml:space="preserve">El beneficio económico estará dado por la reducción de costos de producción y procesamiento del café, que se logrará mediante la adopción del paquete tecnológico que se impulsará. Así también por la potencial vinculación de los productores a </w:t>
      </w:r>
      <w:r w:rsidR="001018D5" w:rsidRPr="0092311A">
        <w:rPr>
          <w:rFonts w:eastAsia="Cambria"/>
          <w:szCs w:val="24"/>
        </w:rPr>
        <w:t>mejores mercados</w:t>
      </w:r>
      <w:r w:rsidRPr="0092311A">
        <w:rPr>
          <w:rFonts w:eastAsia="Cambria"/>
          <w:szCs w:val="24"/>
        </w:rPr>
        <w:t xml:space="preserve">, que generan nichos para café bajo en carbono. </w:t>
      </w:r>
      <w:r w:rsidR="007B10BC" w:rsidRPr="0092311A">
        <w:rPr>
          <w:rFonts w:eastAsia="Cambria"/>
          <w:szCs w:val="24"/>
        </w:rPr>
        <w:t>Entre los e</w:t>
      </w:r>
      <w:r w:rsidRPr="0092311A">
        <w:rPr>
          <w:rFonts w:eastAsia="Cambria"/>
          <w:szCs w:val="24"/>
        </w:rPr>
        <w:t>fectos sociales</w:t>
      </w:r>
      <w:r w:rsidR="007B10BC" w:rsidRPr="0092311A">
        <w:rPr>
          <w:rFonts w:eastAsia="Cambria"/>
          <w:szCs w:val="24"/>
        </w:rPr>
        <w:t xml:space="preserve"> está i</w:t>
      </w:r>
      <w:r w:rsidRPr="0092311A">
        <w:rPr>
          <w:rFonts w:eastAsia="Cambria"/>
          <w:szCs w:val="24"/>
        </w:rPr>
        <w:t xml:space="preserve">nsertar </w:t>
      </w:r>
      <w:r w:rsidR="007B10BC" w:rsidRPr="0092311A">
        <w:rPr>
          <w:rFonts w:eastAsia="Cambria"/>
          <w:szCs w:val="24"/>
        </w:rPr>
        <w:t xml:space="preserve">a </w:t>
      </w:r>
      <w:r w:rsidRPr="0092311A">
        <w:rPr>
          <w:rFonts w:eastAsia="Cambria"/>
          <w:szCs w:val="24"/>
        </w:rPr>
        <w:t xml:space="preserve">pequeños productores en la estrategia sectorial y nacional sobre el cambio climático, aumentar sus conocimientos y habilidades en </w:t>
      </w:r>
      <w:r w:rsidR="007B10BC" w:rsidRPr="0092311A">
        <w:rPr>
          <w:rFonts w:eastAsia="Cambria"/>
          <w:szCs w:val="24"/>
        </w:rPr>
        <w:t xml:space="preserve">este tema </w:t>
      </w:r>
      <w:r w:rsidRPr="0092311A">
        <w:rPr>
          <w:rFonts w:eastAsia="Cambria"/>
          <w:szCs w:val="24"/>
        </w:rPr>
        <w:t>que les afectan directamente</w:t>
      </w:r>
      <w:r w:rsidR="007B10BC" w:rsidRPr="0092311A">
        <w:rPr>
          <w:rFonts w:eastAsia="Cambria"/>
          <w:szCs w:val="24"/>
        </w:rPr>
        <w:t xml:space="preserve"> y particularmente del que dependen para </w:t>
      </w:r>
      <w:r w:rsidRPr="0092311A">
        <w:rPr>
          <w:rFonts w:eastAsia="Cambria"/>
          <w:szCs w:val="24"/>
        </w:rPr>
        <w:t xml:space="preserve">asegurar una </w:t>
      </w:r>
      <w:r w:rsidR="007B10BC" w:rsidRPr="0092311A">
        <w:rPr>
          <w:rFonts w:eastAsia="Cambria"/>
          <w:szCs w:val="24"/>
        </w:rPr>
        <w:t xml:space="preserve">vida digna a sus </w:t>
      </w:r>
      <w:r w:rsidRPr="0092311A">
        <w:rPr>
          <w:rFonts w:eastAsia="Cambria"/>
          <w:szCs w:val="24"/>
        </w:rPr>
        <w:t>familias</w:t>
      </w:r>
      <w:r w:rsidR="00C812FE" w:rsidRPr="0092311A">
        <w:rPr>
          <w:rFonts w:eastAsia="Cambria"/>
          <w:szCs w:val="24"/>
        </w:rPr>
        <w:t xml:space="preserve">. </w:t>
      </w:r>
      <w:r w:rsidR="000D1539" w:rsidRPr="0092311A">
        <w:t>Esta operación fue sometida al proceso de revisión establecido por el ESR, aprobada el 6 de abril del 2013 y clasificada como categoría “C”.</w:t>
      </w:r>
    </w:p>
    <w:p w:rsidR="00EC0CF1" w:rsidRPr="0092311A" w:rsidRDefault="00CD26CB" w:rsidP="00775C78">
      <w:pPr>
        <w:pStyle w:val="Heading1"/>
        <w:rPr>
          <w:lang w:val="es-ES"/>
        </w:rPr>
      </w:pPr>
      <w:bookmarkStart w:id="41" w:name="_Toc363224986"/>
      <w:r w:rsidRPr="0092311A">
        <w:rPr>
          <w:lang w:val="es-ES"/>
        </w:rPr>
        <w:t xml:space="preserve">Cumplimiento con hitos y arreglos fiduciarios especiales </w:t>
      </w:r>
      <w:bookmarkEnd w:id="41"/>
    </w:p>
    <w:p w:rsidR="0062255D" w:rsidRPr="0092311A" w:rsidRDefault="00EC0CF1" w:rsidP="00C42A9D">
      <w:pPr>
        <w:pStyle w:val="AutoNumpara"/>
        <w:rPr>
          <w:color w:val="A6A6A6" w:themeColor="background1" w:themeShade="A6"/>
        </w:rPr>
      </w:pPr>
      <w:r w:rsidRPr="0092311A">
        <w:rPr>
          <w:b/>
        </w:rPr>
        <w:t>Desembolsos por Resultados y Arreglos Fiduciarios</w:t>
      </w:r>
      <w:r w:rsidRPr="0092311A">
        <w:t xml:space="preserve">. La Agencia Ejecutora se comprometerá a los arreglos estándar del FOMIN referentes a desembolsos por resultados, adquisiciones, y gestión financiera especificados en el Anexo </w:t>
      </w:r>
      <w:r w:rsidR="00303844" w:rsidRPr="0092311A">
        <w:t>I</w:t>
      </w:r>
      <w:r w:rsidR="00650CF0" w:rsidRPr="0092311A">
        <w:t>V</w:t>
      </w:r>
      <w:r w:rsidRPr="0092311A">
        <w:t xml:space="preserve">. </w:t>
      </w:r>
    </w:p>
    <w:p w:rsidR="0062255D" w:rsidRPr="0092311A" w:rsidRDefault="00B870E0" w:rsidP="00775C78">
      <w:pPr>
        <w:pStyle w:val="Heading1"/>
        <w:rPr>
          <w:lang w:val="es-ES"/>
        </w:rPr>
      </w:pPr>
      <w:bookmarkStart w:id="42" w:name="_Toc363224987"/>
      <w:r w:rsidRPr="0092311A">
        <w:rPr>
          <w:lang w:val="es-ES"/>
        </w:rPr>
        <w:t>A</w:t>
      </w:r>
      <w:r w:rsidR="00CD26CB" w:rsidRPr="0092311A">
        <w:rPr>
          <w:lang w:val="es-ES"/>
        </w:rPr>
        <w:t xml:space="preserve">cceso a la información y propiedad Intelectual </w:t>
      </w:r>
      <w:bookmarkEnd w:id="42"/>
    </w:p>
    <w:p w:rsidR="0062255D" w:rsidRDefault="0062255D" w:rsidP="00775C78">
      <w:pPr>
        <w:pStyle w:val="AutoNumpara"/>
      </w:pPr>
      <w:r w:rsidRPr="0092311A">
        <w:rPr>
          <w:rFonts w:eastAsia="Cambria"/>
          <w:szCs w:val="24"/>
        </w:rPr>
        <w:t xml:space="preserve">Acceso a la información. </w:t>
      </w:r>
      <w:r w:rsidR="001925B3" w:rsidRPr="0092311A">
        <w:rPr>
          <w:rFonts w:eastAsia="Cambria"/>
          <w:szCs w:val="24"/>
        </w:rPr>
        <w:t xml:space="preserve">La informacion del </w:t>
      </w:r>
      <w:r w:rsidRPr="0092311A">
        <w:rPr>
          <w:rFonts w:eastAsia="Cambria"/>
          <w:szCs w:val="24"/>
        </w:rPr>
        <w:t xml:space="preserve">proyecto se considera </w:t>
      </w:r>
      <w:r w:rsidR="001925B3" w:rsidRPr="0092311A">
        <w:rPr>
          <w:rFonts w:eastAsia="Cambria"/>
          <w:szCs w:val="24"/>
        </w:rPr>
        <w:t xml:space="preserve">pública </w:t>
      </w:r>
      <w:r w:rsidRPr="0092311A">
        <w:rPr>
          <w:rFonts w:eastAsia="Cambria"/>
          <w:szCs w:val="24"/>
        </w:rPr>
        <w:t>de</w:t>
      </w:r>
      <w:r w:rsidRPr="0092311A">
        <w:t xml:space="preserve"> acuerdo a la Política de Acceso a Información del Banco</w:t>
      </w:r>
      <w:r w:rsidR="004C5207">
        <w:t>.</w:t>
      </w:r>
      <w:r w:rsidR="001925B3" w:rsidRPr="0092311A">
        <w:t xml:space="preserve"> </w:t>
      </w:r>
    </w:p>
    <w:p w:rsidR="00630A2C" w:rsidRPr="00630A2C" w:rsidRDefault="00630A2C" w:rsidP="00630A2C">
      <w:pPr>
        <w:pStyle w:val="AutoNumpara"/>
      </w:pPr>
      <w:r w:rsidRPr="00630A2C">
        <w:t>Debido a que el NAMA café es un producto desarrollado específicamente para el negocio de café en Costa Rica, el FOMIN no tendrá propiedad intelectual sobre él. No obstante, para asegurar la diseminación del conocimiento adquirido durante su preparación, la operación incluye la elaboración de guías que permitirán al FOMIN replicar el conocimiento que se adquiere con este financiamiento.</w:t>
      </w:r>
    </w:p>
    <w:p w:rsidR="00630A2C" w:rsidRPr="0092311A" w:rsidRDefault="00630A2C" w:rsidP="00E10A3C">
      <w:pPr>
        <w:pStyle w:val="AutoNumpara"/>
        <w:numPr>
          <w:ilvl w:val="0"/>
          <w:numId w:val="0"/>
        </w:numPr>
        <w:ind w:left="720"/>
      </w:pPr>
    </w:p>
    <w:p w:rsidR="00B870E0" w:rsidRPr="0092311A" w:rsidRDefault="00B870E0" w:rsidP="00B870E0">
      <w:pPr>
        <w:pStyle w:val="AutoNumpara"/>
        <w:numPr>
          <w:ilvl w:val="0"/>
          <w:numId w:val="0"/>
        </w:numPr>
        <w:ind w:left="720" w:hanging="720"/>
        <w:rPr>
          <w:szCs w:val="24"/>
        </w:rPr>
      </w:pPr>
    </w:p>
    <w:sectPr w:rsidR="00B870E0" w:rsidRPr="0092311A" w:rsidSect="00EC74F8">
      <w:headerReference w:type="even" r:id="rId25"/>
      <w:headerReference w:type="default" r:id="rId26"/>
      <w:headerReference w:type="first" r:id="rId27"/>
      <w:pgSz w:w="12240" w:h="15840" w:code="1"/>
      <w:pgMar w:top="1440" w:right="1800" w:bottom="1530" w:left="1800" w:header="1008" w:footer="706"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9F" w:rsidRDefault="00AF739F">
      <w:r>
        <w:separator/>
      </w:r>
    </w:p>
  </w:endnote>
  <w:endnote w:type="continuationSeparator" w:id="0">
    <w:p w:rsidR="00AF739F" w:rsidRDefault="00AF7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9F" w:rsidRDefault="00AF739F">
      <w:r>
        <w:separator/>
      </w:r>
    </w:p>
  </w:footnote>
  <w:footnote w:type="continuationSeparator" w:id="0">
    <w:p w:rsidR="00AF739F" w:rsidRDefault="00AF739F">
      <w:r>
        <w:continuationSeparator/>
      </w:r>
    </w:p>
  </w:footnote>
  <w:footnote w:id="1">
    <w:p w:rsidR="00AF739F" w:rsidRPr="008A4953" w:rsidRDefault="00AF739F" w:rsidP="008A4953">
      <w:pPr>
        <w:pStyle w:val="FootnoteText"/>
        <w:spacing w:after="0"/>
      </w:pPr>
      <w:r w:rsidRPr="008A4953">
        <w:rPr>
          <w:rStyle w:val="FootnoteReference"/>
        </w:rPr>
        <w:footnoteRef/>
      </w:r>
      <w:r w:rsidRPr="008A4953">
        <w:t xml:space="preserve"> </w:t>
      </w:r>
      <w:r w:rsidRPr="008A4953">
        <w:rPr>
          <w:i/>
          <w:sz w:val="18"/>
          <w:szCs w:val="18"/>
        </w:rPr>
        <w:t>http://fundecooperacion.org/?lang=en</w:t>
      </w:r>
    </w:p>
  </w:footnote>
  <w:footnote w:id="2">
    <w:p w:rsidR="00AF739F" w:rsidRPr="008A4953" w:rsidRDefault="00AF739F" w:rsidP="00600BC1">
      <w:pPr>
        <w:pStyle w:val="FootnoteText"/>
        <w:spacing w:after="0"/>
        <w:ind w:left="0" w:firstLine="0"/>
      </w:pPr>
      <w:r w:rsidRPr="008A4953">
        <w:rPr>
          <w:rStyle w:val="FootnoteReference"/>
        </w:rPr>
        <w:footnoteRef/>
      </w:r>
      <w:r w:rsidRPr="008A4953">
        <w:t xml:space="preserve"> Agencia Alemana de Cooperación Internacional</w:t>
      </w:r>
      <w:r>
        <w:t xml:space="preserve"> y su Programa Acción Clima</w:t>
      </w:r>
      <w:r w:rsidRPr="008A4953">
        <w:t>. Alemania, Corea del Sur y Sud África lanzaron la Alianza Internacional para la Mitigación y MRV en el Diálogo Climático en San Petesburgo, Mayo del 2010. Este grupo tiene el propósito de interactuar y transferir conocimiento entre países desarrollados y no desarrollados de las Estrategias de Desarrollo de Bajo Carbono (LCDS, por sus siglas en inglés), de Acciones de Mitigación apropiadas al contexto Nacional (NAMAs) y la puesta en marcha de Sistema de Medición, Reporte y Verificación (MRV) de las acciones de mitigación. En la preparación de este proyecto, se tomaron en cuenta las lecciones y mejores prácticas que sugiere este grupo http://pdf.wri.org/working_papers/international_partnership_on_mitigation_and_mrv.pdf</w:t>
      </w:r>
    </w:p>
  </w:footnote>
  <w:footnote w:id="3">
    <w:p w:rsidR="00AF739F" w:rsidRPr="008A4953" w:rsidRDefault="00AF739F" w:rsidP="00600BC1">
      <w:pPr>
        <w:pStyle w:val="FootnoteText"/>
        <w:spacing w:after="0"/>
        <w:ind w:left="0" w:firstLine="0"/>
      </w:pPr>
      <w:r w:rsidRPr="008A4953">
        <w:rPr>
          <w:rStyle w:val="FootnoteReference"/>
        </w:rPr>
        <w:footnoteRef/>
      </w:r>
      <w:r>
        <w:t xml:space="preserve"> </w:t>
      </w:r>
      <w:r w:rsidRPr="008A4953">
        <w:t>Facilidad financiada por el gobierno de Inglaterra y Alemania htttp://www.international-climate-initiative.com/en/issues/nama-facility/</w:t>
      </w:r>
    </w:p>
  </w:footnote>
  <w:footnote w:id="4">
    <w:p w:rsidR="00AF739F" w:rsidRPr="00657FF7" w:rsidRDefault="00AF739F" w:rsidP="00657FF7">
      <w:pPr>
        <w:pStyle w:val="FootnoteText"/>
        <w:spacing w:after="0"/>
        <w:ind w:left="0" w:firstLine="0"/>
        <w:rPr>
          <w:lang w:val="es-ES_tradnl"/>
        </w:rPr>
      </w:pPr>
      <w:r>
        <w:rPr>
          <w:rStyle w:val="FootnoteReference"/>
        </w:rPr>
        <w:footnoteRef/>
      </w:r>
      <w:r>
        <w:t xml:space="preserve"> </w:t>
      </w:r>
      <w:r w:rsidRPr="0015517F">
        <w:t xml:space="preserve">Grafica, Fuente: Inventario Nacional de GEI, 2009, Instituto </w:t>
      </w:r>
      <w:r>
        <w:t>N</w:t>
      </w:r>
      <w:r w:rsidRPr="0015517F">
        <w:t>acional Metereológico, Ministerio de Agricultura y Ganadería, 2009).</w:t>
      </w:r>
    </w:p>
  </w:footnote>
  <w:footnote w:id="5">
    <w:p w:rsidR="00AF739F" w:rsidRPr="007B4F74" w:rsidRDefault="00AF739F" w:rsidP="0015517F">
      <w:pPr>
        <w:pStyle w:val="FootnoteText"/>
        <w:spacing w:after="0"/>
      </w:pPr>
      <w:r w:rsidRPr="007B4F74">
        <w:rPr>
          <w:rStyle w:val="FootnoteReference"/>
        </w:rPr>
        <w:footnoteRef/>
      </w:r>
      <w:r w:rsidRPr="007B4F74">
        <w:t xml:space="preserve"> E</w:t>
      </w:r>
      <w:r w:rsidRPr="007B4F74">
        <w:rPr>
          <w:lang w:val="es-CR"/>
        </w:rPr>
        <w:t>n conmemoración del bicentenario de la Independencia.</w:t>
      </w:r>
    </w:p>
  </w:footnote>
  <w:footnote w:id="6">
    <w:p w:rsidR="00AF739F" w:rsidRPr="007B4F74" w:rsidRDefault="00AF739F" w:rsidP="007B4F74">
      <w:pPr>
        <w:autoSpaceDE w:val="0"/>
        <w:autoSpaceDN w:val="0"/>
        <w:adjustRightInd w:val="0"/>
        <w:jc w:val="both"/>
        <w:rPr>
          <w:sz w:val="20"/>
          <w:lang w:val="es-ES_tradnl"/>
        </w:rPr>
      </w:pPr>
      <w:r w:rsidRPr="007B4F74">
        <w:rPr>
          <w:rStyle w:val="FootnoteReference"/>
        </w:rPr>
        <w:footnoteRef/>
      </w:r>
      <w:r w:rsidRPr="007B4F74">
        <w:rPr>
          <w:sz w:val="20"/>
        </w:rPr>
        <w:t xml:space="preserve"> </w:t>
      </w:r>
      <w:r w:rsidRPr="007B4F74">
        <w:rPr>
          <w:noProof w:val="0"/>
          <w:spacing w:val="0"/>
          <w:sz w:val="20"/>
          <w:lang w:val="es-ES_tradnl" w:eastAsia="es-ES"/>
        </w:rPr>
        <w:t>En el ámbito del Protocolo de Kioto, la definición se limita a determinadas actividades de uso del suelo, cambio de uso del suelo y selvicultura (creación de nuevos bosques, gestión forestal y gestión de tierras agrícolas, entre otras) que se traducen en una captura del CO</w:t>
      </w:r>
      <w:r w:rsidRPr="007B4F74">
        <w:rPr>
          <w:noProof w:val="0"/>
          <w:spacing w:val="0"/>
          <w:sz w:val="20"/>
          <w:vertAlign w:val="subscript"/>
          <w:lang w:val="es-ES_tradnl" w:eastAsia="es-ES"/>
        </w:rPr>
        <w:t>2</w:t>
      </w:r>
      <w:r w:rsidRPr="007B4F74">
        <w:rPr>
          <w:noProof w:val="0"/>
          <w:spacing w:val="0"/>
          <w:sz w:val="20"/>
          <w:lang w:val="es-ES_tradnl" w:eastAsia="es-ES"/>
        </w:rPr>
        <w:t xml:space="preserve"> presente en la atmósfera y su almacenamiento en forma de materia vegetal. Esta captura de CO</w:t>
      </w:r>
      <w:r w:rsidRPr="007B4F74">
        <w:rPr>
          <w:noProof w:val="0"/>
          <w:spacing w:val="0"/>
          <w:sz w:val="20"/>
          <w:vertAlign w:val="subscript"/>
          <w:lang w:val="es-ES_tradnl" w:eastAsia="es-ES"/>
        </w:rPr>
        <w:t>2</w:t>
      </w:r>
      <w:r w:rsidRPr="007B4F74">
        <w:rPr>
          <w:noProof w:val="0"/>
          <w:spacing w:val="0"/>
          <w:sz w:val="20"/>
          <w:lang w:val="es-ES_tradnl" w:eastAsia="es-ES"/>
        </w:rPr>
        <w:t xml:space="preserve"> reduc</w:t>
      </w:r>
      <w:r>
        <w:rPr>
          <w:noProof w:val="0"/>
          <w:spacing w:val="0"/>
          <w:sz w:val="20"/>
          <w:lang w:val="es-ES_tradnl" w:eastAsia="es-ES"/>
        </w:rPr>
        <w:t xml:space="preserve">e </w:t>
      </w:r>
      <w:r w:rsidRPr="007B4F74">
        <w:rPr>
          <w:noProof w:val="0"/>
          <w:spacing w:val="0"/>
          <w:sz w:val="20"/>
          <w:lang w:val="es-ES_tradnl" w:eastAsia="es-ES"/>
        </w:rPr>
        <w:t xml:space="preserve">la concentración de </w:t>
      </w:r>
      <w:r>
        <w:rPr>
          <w:noProof w:val="0"/>
          <w:spacing w:val="0"/>
          <w:sz w:val="20"/>
          <w:lang w:val="es-ES_tradnl" w:eastAsia="es-ES"/>
        </w:rPr>
        <w:t>GEI.</w:t>
      </w:r>
      <w:r w:rsidRPr="007B4F74">
        <w:rPr>
          <w:noProof w:val="0"/>
          <w:spacing w:val="0"/>
          <w:sz w:val="20"/>
          <w:lang w:val="es-ES_tradnl" w:eastAsia="es-ES"/>
        </w:rPr>
        <w:t xml:space="preserve"> </w:t>
      </w:r>
    </w:p>
  </w:footnote>
  <w:footnote w:id="7">
    <w:p w:rsidR="00AF739F" w:rsidRPr="007B4F74" w:rsidRDefault="00AF739F" w:rsidP="00600BC1">
      <w:pPr>
        <w:pStyle w:val="FootnoteText"/>
        <w:spacing w:after="0"/>
        <w:ind w:left="0" w:firstLine="0"/>
      </w:pPr>
      <w:r w:rsidRPr="007B4F74">
        <w:rPr>
          <w:rStyle w:val="FootnoteReference"/>
        </w:rPr>
        <w:footnoteRef/>
      </w:r>
      <w:r w:rsidRPr="007B4F74">
        <w:t xml:space="preserve"> El gobierno desarrolló la Norma Nacional de C-Neutralidad </w:t>
      </w:r>
      <w:r>
        <w:rPr>
          <w:rStyle w:val="hps"/>
        </w:rPr>
        <w:t>Norma</w:t>
      </w:r>
      <w:r w:rsidRPr="00F5340B">
        <w:rPr>
          <w:rStyle w:val="hps"/>
        </w:rPr>
        <w:t xml:space="preserve"> </w:t>
      </w:r>
      <w:r w:rsidRPr="00F5340B">
        <w:rPr>
          <w:rStyle w:val="hps"/>
          <w:b/>
          <w:bCs/>
        </w:rPr>
        <w:t>INTE</w:t>
      </w:r>
      <w:r w:rsidRPr="00F5340B">
        <w:rPr>
          <w:rStyle w:val="hps"/>
        </w:rPr>
        <w:t xml:space="preserve"> 12-01-06</w:t>
      </w:r>
      <w:r>
        <w:rPr>
          <w:rStyle w:val="hps"/>
        </w:rPr>
        <w:t xml:space="preserve">: </w:t>
      </w:r>
      <w:r w:rsidRPr="00F5340B">
        <w:rPr>
          <w:rStyle w:val="hps"/>
        </w:rPr>
        <w:t>2011</w:t>
      </w:r>
      <w:r>
        <w:rPr>
          <w:rStyle w:val="hps"/>
        </w:rPr>
        <w:t xml:space="preserve"> </w:t>
      </w:r>
      <w:r w:rsidRPr="007B4F74">
        <w:t>bajo la cual cualquier entidad gestiona su carbono neutralidad, teniendo que haber medido su huella de carbono, reducido sus emisiones y compensado las emisiones residuales.</w:t>
      </w:r>
    </w:p>
  </w:footnote>
  <w:footnote w:id="8">
    <w:p w:rsidR="00AF739F" w:rsidRPr="009D7571" w:rsidRDefault="00AF739F" w:rsidP="007917C4">
      <w:pPr>
        <w:pStyle w:val="FootnoteText"/>
        <w:spacing w:after="0"/>
      </w:pPr>
      <w:r>
        <w:rPr>
          <w:rStyle w:val="FootnoteReference"/>
        </w:rPr>
        <w:footnoteRef/>
      </w:r>
      <w:r>
        <w:t xml:space="preserve"> Datos a diciembre del 2012.</w:t>
      </w:r>
    </w:p>
  </w:footnote>
  <w:footnote w:id="9">
    <w:p w:rsidR="00AF739F" w:rsidRDefault="00AF739F" w:rsidP="0047037A">
      <w:pPr>
        <w:pStyle w:val="FootnoteText"/>
        <w:spacing w:after="0"/>
      </w:pPr>
      <w:r>
        <w:rPr>
          <w:rStyle w:val="FootnoteReference"/>
        </w:rPr>
        <w:footnoteRef/>
      </w:r>
      <w:r>
        <w:t xml:space="preserve"> Las empresas beneficiadoras pueden ser del sector cooperativo, exportador o de productores independientes.</w:t>
      </w:r>
    </w:p>
  </w:footnote>
  <w:footnote w:id="10">
    <w:p w:rsidR="00AF739F" w:rsidRPr="00EC15C9" w:rsidRDefault="00AF739F" w:rsidP="00600BC1">
      <w:pPr>
        <w:pStyle w:val="FootnoteText"/>
        <w:spacing w:after="0"/>
        <w:ind w:left="0" w:firstLine="0"/>
        <w:rPr>
          <w:lang w:val="es-US"/>
        </w:rPr>
      </w:pPr>
      <w:r>
        <w:rPr>
          <w:rStyle w:val="FootnoteReference"/>
        </w:rPr>
        <w:footnoteRef/>
      </w:r>
      <w:r>
        <w:t xml:space="preserve"> </w:t>
      </w:r>
      <w:r>
        <w:rPr>
          <w:lang w:val="es-US"/>
        </w:rPr>
        <w:t>Torrefactor es la persona física o de establecimientos dedicados al tostado, molido o cualquier otro proceso industrial del grano, así como su comercialización en el ámbito nacional.</w:t>
      </w:r>
    </w:p>
  </w:footnote>
  <w:footnote w:id="11">
    <w:p w:rsidR="00AF739F" w:rsidRPr="004D115C" w:rsidRDefault="00AF739F" w:rsidP="0047037A">
      <w:pPr>
        <w:pStyle w:val="FootnoteText"/>
        <w:spacing w:after="0"/>
      </w:pPr>
      <w:r>
        <w:rPr>
          <w:rStyle w:val="FootnoteReference"/>
        </w:rPr>
        <w:footnoteRef/>
      </w:r>
      <w:r>
        <w:t xml:space="preserve"> </w:t>
      </w:r>
      <w:r w:rsidRPr="000B388F">
        <w:t>http://www.icafe.go.cr/sector_cafetalero/liquidaciones/</w:t>
      </w:r>
      <w:r>
        <w:t xml:space="preserve"> </w:t>
      </w:r>
    </w:p>
  </w:footnote>
  <w:footnote w:id="12">
    <w:p w:rsidR="00AF739F" w:rsidRDefault="00AF739F" w:rsidP="0047037A">
      <w:pPr>
        <w:pStyle w:val="FootnoteText"/>
        <w:spacing w:after="0"/>
      </w:pPr>
      <w:r>
        <w:rPr>
          <w:rStyle w:val="FootnoteReference"/>
        </w:rPr>
        <w:footnoteRef/>
      </w:r>
      <w:r>
        <w:t xml:space="preserve"> alturas, pluviosidad, temperaturas, sombra y tipo de suelos.</w:t>
      </w:r>
    </w:p>
  </w:footnote>
  <w:footnote w:id="13">
    <w:p w:rsidR="00AF739F" w:rsidRPr="008A2C35" w:rsidRDefault="00AF739F" w:rsidP="00600BC1">
      <w:pPr>
        <w:pStyle w:val="FootnoteText"/>
        <w:spacing w:after="0"/>
        <w:ind w:left="0" w:firstLine="0"/>
      </w:pPr>
      <w:r>
        <w:rPr>
          <w:rStyle w:val="FootnoteReference"/>
        </w:rPr>
        <w:footnoteRef/>
      </w:r>
      <w:r>
        <w:t xml:space="preserve"> En ocasiones e</w:t>
      </w:r>
      <w:r w:rsidRPr="008A2C35">
        <w:t xml:space="preserve">l tipo de cliente es distinto, la mayoría son pequeños con distintas disposiciones de tecnología, </w:t>
      </w:r>
      <w:r>
        <w:t>con organizaciones de dis</w:t>
      </w:r>
      <w:r w:rsidRPr="008A2C35">
        <w:t>t</w:t>
      </w:r>
      <w:r>
        <w:t xml:space="preserve">intos </w:t>
      </w:r>
      <w:r w:rsidRPr="008A2C35">
        <w:t>tamaños</w:t>
      </w:r>
      <w:r>
        <w:t xml:space="preserve">, </w:t>
      </w:r>
      <w:r w:rsidRPr="008A2C35">
        <w:t>unos más conservadores</w:t>
      </w:r>
      <w:r>
        <w:t xml:space="preserve"> y otros con mejor comprensión en el tema. </w:t>
      </w:r>
    </w:p>
  </w:footnote>
  <w:footnote w:id="14">
    <w:p w:rsidR="00AF739F" w:rsidRPr="002004C6" w:rsidRDefault="00AF739F" w:rsidP="002004C6">
      <w:pPr>
        <w:pStyle w:val="FootnoteText"/>
        <w:spacing w:after="0"/>
        <w:rPr>
          <w:lang w:val="es-US"/>
        </w:rPr>
      </w:pPr>
      <w:r>
        <w:rPr>
          <w:rStyle w:val="FootnoteReference"/>
        </w:rPr>
        <w:footnoteRef/>
      </w:r>
      <w:r w:rsidRPr="00ED4123">
        <w:rPr>
          <w:lang w:val="es-US"/>
        </w:rPr>
        <w:t xml:space="preserve"> </w:t>
      </w:r>
      <w:r w:rsidRPr="002004C6">
        <w:rPr>
          <w:lang w:val="es-US"/>
        </w:rPr>
        <w:t>Las lagunas de estabilización, también llamadas lagunas de oxidación, son depósitos de agua de</w:t>
      </w:r>
    </w:p>
    <w:p w:rsidR="00AF739F" w:rsidRPr="002004C6" w:rsidRDefault="00AF739F" w:rsidP="00600BC1">
      <w:pPr>
        <w:pStyle w:val="FootnoteText"/>
        <w:spacing w:after="0"/>
        <w:ind w:left="0" w:firstLine="0"/>
        <w:rPr>
          <w:lang w:val="es-US"/>
        </w:rPr>
      </w:pPr>
      <w:r w:rsidRPr="002004C6">
        <w:rPr>
          <w:lang w:val="es-US"/>
        </w:rPr>
        <w:t>profundidad y tienen como finalidad estabilizar la materia orgánica presente en las aguas residuales. Una vez tratada el agua ésta retorna a los sistemas naturales.</w:t>
      </w:r>
    </w:p>
  </w:footnote>
  <w:footnote w:id="15">
    <w:p w:rsidR="00AF739F" w:rsidRPr="00153F5E" w:rsidRDefault="00AF739F" w:rsidP="0047037A">
      <w:pPr>
        <w:pStyle w:val="FootnoteText"/>
        <w:spacing w:after="0"/>
        <w:rPr>
          <w:lang w:val="es-US"/>
        </w:rPr>
      </w:pPr>
      <w:r>
        <w:rPr>
          <w:rStyle w:val="FootnoteReference"/>
        </w:rPr>
        <w:footnoteRef/>
      </w:r>
      <w:r w:rsidRPr="00153F5E">
        <w:rPr>
          <w:lang w:val="es-US"/>
        </w:rPr>
        <w:t xml:space="preserve"> No. 7317 del 30 de octubre del 1992</w:t>
      </w:r>
      <w:r>
        <w:rPr>
          <w:lang w:val="es-US"/>
        </w:rPr>
        <w:t>.</w:t>
      </w:r>
    </w:p>
  </w:footnote>
  <w:footnote w:id="16">
    <w:p w:rsidR="00AF739F" w:rsidRDefault="00AF739F" w:rsidP="009A6043">
      <w:pPr>
        <w:pStyle w:val="FootnoteText"/>
        <w:spacing w:after="0"/>
        <w:ind w:left="0" w:firstLine="0"/>
      </w:pPr>
      <w:r>
        <w:rPr>
          <w:rStyle w:val="FootnoteReference"/>
        </w:rPr>
        <w:footnoteRef/>
      </w:r>
      <w:hyperlink r:id="rId1" w:history="1">
        <w:r w:rsidRPr="00BA1DBB">
          <w:rPr>
            <w:rStyle w:val="Hyperlink"/>
            <w:sz w:val="20"/>
          </w:rPr>
          <w:t>http://www.icafe.go.cr/icafe/anuncios/roya_del_cafe/Situación%20Roya%202012%20(presentación%20CENECOOP).pdf</w:t>
        </w:r>
      </w:hyperlink>
    </w:p>
  </w:footnote>
  <w:footnote w:id="17">
    <w:p w:rsidR="00AF739F" w:rsidRDefault="00AF739F" w:rsidP="009A6043">
      <w:pPr>
        <w:pStyle w:val="FootnoteText"/>
        <w:spacing w:after="0"/>
      </w:pPr>
      <w:r>
        <w:rPr>
          <w:rStyle w:val="FootnoteReference"/>
        </w:rPr>
        <w:footnoteRef/>
      </w:r>
      <w:r>
        <w:t xml:space="preserve"> </w:t>
      </w:r>
      <w:r w:rsidRPr="00033E07">
        <w:t>http://www.icafe.go.cr/icafe/anuncios/roya_del_cafe/Decreto%20emergencia%20Roya.pdf</w:t>
      </w:r>
    </w:p>
  </w:footnote>
  <w:footnote w:id="18">
    <w:p w:rsidR="00AF739F" w:rsidRPr="00323F9E" w:rsidRDefault="00AF739F" w:rsidP="009A6043">
      <w:pPr>
        <w:pStyle w:val="FootnoteText"/>
        <w:spacing w:after="0"/>
        <w:ind w:left="0" w:firstLine="0"/>
      </w:pPr>
      <w:r>
        <w:rPr>
          <w:rStyle w:val="FootnoteReference"/>
        </w:rPr>
        <w:footnoteRef/>
      </w:r>
      <w:r>
        <w:t xml:space="preserve"> Este número representa únicamente los socios de las cooperativas que participarán en el proyecto, 3000 sensibilizados y 800 serán capacitados. </w:t>
      </w:r>
    </w:p>
  </w:footnote>
  <w:footnote w:id="19">
    <w:p w:rsidR="00AF739F" w:rsidRPr="009A6043" w:rsidRDefault="00AF739F" w:rsidP="00657FF7">
      <w:pPr>
        <w:pStyle w:val="FootnoteText"/>
        <w:spacing w:after="0"/>
        <w:ind w:left="0" w:firstLine="0"/>
      </w:pPr>
      <w:r>
        <w:rPr>
          <w:rStyle w:val="FootnoteReference"/>
        </w:rPr>
        <w:footnoteRef/>
      </w:r>
      <w:r>
        <w:t xml:space="preserve"> </w:t>
      </w:r>
      <w:r w:rsidRPr="007F6041">
        <w:t xml:space="preserve">En la cosecha 2011-2012, los beneficios </w:t>
      </w:r>
      <w:r>
        <w:t xml:space="preserve">de propiedad </w:t>
      </w:r>
      <w:r w:rsidRPr="007F6041">
        <w:t>cooperativ</w:t>
      </w:r>
      <w:r>
        <w:t>a</w:t>
      </w:r>
      <w:r w:rsidRPr="007F6041">
        <w:t xml:space="preserve"> acumularon el mayor porcentaje de café beneficiado de la producción nacional (38.1%).</w:t>
      </w:r>
    </w:p>
  </w:footnote>
  <w:footnote w:id="20">
    <w:p w:rsidR="00AF739F" w:rsidRPr="00B04810" w:rsidRDefault="00AF739F" w:rsidP="00E04176">
      <w:pPr>
        <w:pStyle w:val="FootnoteText"/>
        <w:spacing w:after="0"/>
      </w:pPr>
      <w:r>
        <w:rPr>
          <w:rStyle w:val="FootnoteReference"/>
        </w:rPr>
        <w:footnoteRef/>
      </w:r>
      <w:r>
        <w:t xml:space="preserve"> INFOCOOP supervisa al sistema cooperativo en el país.</w:t>
      </w:r>
    </w:p>
  </w:footnote>
  <w:footnote w:id="21">
    <w:p w:rsidR="00AF739F" w:rsidRPr="00323F9E" w:rsidRDefault="00AF739F" w:rsidP="00E04176">
      <w:pPr>
        <w:pStyle w:val="FootnoteText"/>
        <w:spacing w:after="0"/>
      </w:pPr>
      <w:r>
        <w:rPr>
          <w:rStyle w:val="FootnoteReference"/>
        </w:rPr>
        <w:footnoteRef/>
      </w:r>
      <w:r>
        <w:t xml:space="preserve"> Promedio de tenencia de tierra del pequeño productor de café. </w:t>
      </w:r>
    </w:p>
  </w:footnote>
  <w:footnote w:id="22">
    <w:p w:rsidR="00AF739F" w:rsidRPr="008C4BF5" w:rsidRDefault="00AF739F" w:rsidP="005C3284">
      <w:pPr>
        <w:pStyle w:val="FootnoteText"/>
        <w:spacing w:after="0"/>
        <w:ind w:left="0" w:firstLine="0"/>
      </w:pPr>
      <w:r>
        <w:rPr>
          <w:rStyle w:val="FootnoteReference"/>
        </w:rPr>
        <w:footnoteRef/>
      </w:r>
      <w:r>
        <w:t xml:space="preserve"> Se prevé atender un total de 6 beneficios pero puede existir la oportunidad de probar dos tecnologías en cada uno, reduciendo la atención a sólo 3 beneficios.  </w:t>
      </w:r>
    </w:p>
  </w:footnote>
  <w:footnote w:id="23">
    <w:p w:rsidR="00AF739F" w:rsidRPr="00427B38" w:rsidRDefault="00AF739F" w:rsidP="003C7F34">
      <w:pPr>
        <w:pStyle w:val="FootnoteText"/>
        <w:spacing w:after="0"/>
        <w:ind w:left="0" w:firstLine="0"/>
      </w:pPr>
      <w:r>
        <w:rPr>
          <w:rStyle w:val="FootnoteReference"/>
        </w:rPr>
        <w:footnoteRef/>
      </w:r>
      <w:r>
        <w:t xml:space="preserve"> Se estima un total de 3,000 productores socios de las cooperativas, de los cuales 800 serán capacitados directamente en las nuevas tecnologías. </w:t>
      </w:r>
    </w:p>
  </w:footnote>
  <w:footnote w:id="24">
    <w:p w:rsidR="00AF739F" w:rsidRPr="00657FF7" w:rsidRDefault="00AF739F" w:rsidP="00657FF7">
      <w:pPr>
        <w:pStyle w:val="FootnoteText"/>
        <w:spacing w:after="0"/>
        <w:rPr>
          <w:lang w:val="es-ES_tradnl"/>
        </w:rPr>
      </w:pPr>
      <w:r>
        <w:rPr>
          <w:rStyle w:val="FootnoteReference"/>
        </w:rPr>
        <w:footnoteRef/>
      </w:r>
      <w:r>
        <w:t xml:space="preserve"> </w:t>
      </w:r>
      <w:r>
        <w:rPr>
          <w:lang w:val="es-ES_tradnl"/>
        </w:rPr>
        <w:t xml:space="preserve">Representa el 9.2% de las exportaciones nacionales y sector del cual dependen alrededor de 400,000 personas </w:t>
      </w:r>
    </w:p>
  </w:footnote>
  <w:footnote w:id="25">
    <w:p w:rsidR="00AF739F" w:rsidRPr="00657FF7" w:rsidRDefault="00AF739F" w:rsidP="00657FF7">
      <w:pPr>
        <w:pStyle w:val="FootnoteText"/>
        <w:spacing w:after="0"/>
        <w:ind w:left="0" w:firstLine="0"/>
        <w:rPr>
          <w:lang w:val="es-ES_tradnl"/>
        </w:rPr>
      </w:pPr>
      <w:r>
        <w:rPr>
          <w:rStyle w:val="FootnoteReference"/>
        </w:rPr>
        <w:footnoteRef/>
      </w:r>
      <w:r>
        <w:t xml:space="preserve"> Más de </w:t>
      </w:r>
      <w:r w:rsidRPr="003A39CC">
        <w:t xml:space="preserve">50,000 </w:t>
      </w:r>
      <w:r>
        <w:t xml:space="preserve">familias de manera directa y alrededor de 150,000 puestos de trabajo durante la época de cosecha. </w:t>
      </w:r>
    </w:p>
  </w:footnote>
  <w:footnote w:id="26">
    <w:p w:rsidR="00AF739F" w:rsidRPr="00D578BD" w:rsidRDefault="00AF739F" w:rsidP="00E04176">
      <w:pPr>
        <w:pStyle w:val="FootnoteText"/>
        <w:spacing w:after="0"/>
        <w:ind w:left="0" w:firstLine="0"/>
        <w:rPr>
          <w:rFonts w:ascii="Calibri" w:hAnsi="Calibri"/>
          <w:i/>
          <w:sz w:val="18"/>
          <w:szCs w:val="18"/>
        </w:rPr>
      </w:pPr>
      <w:r>
        <w:rPr>
          <w:rStyle w:val="FootnoteReference"/>
        </w:rPr>
        <w:footnoteRef/>
      </w:r>
      <w:r w:rsidRPr="007315FB">
        <w:rPr>
          <w:sz w:val="18"/>
          <w:szCs w:val="18"/>
        </w:rPr>
        <w:t xml:space="preserve">La linea nacional de pobreza en el área rural es de US$1776 anuales) Al cambio de Mayo 2013 (504c x US$). </w:t>
      </w:r>
      <w:hyperlink r:id="rId2" w:history="1">
        <w:r w:rsidRPr="00BA1DBB">
          <w:rPr>
            <w:rStyle w:val="Hyperlink"/>
            <w:sz w:val="18"/>
            <w:szCs w:val="18"/>
          </w:rPr>
          <w:t>http://www.inec.go.cr/A/MS/Encuestas/Encuesta%20Nacional%20de%20Hogares/Publicaciones/C0/2012/01.%20Resultados%20generales%20ENAHO%202012.pdf</w:t>
        </w:r>
      </w:hyperlink>
      <w:r w:rsidRPr="007315FB">
        <w:rPr>
          <w:sz w:val="18"/>
          <w:szCs w:val="18"/>
        </w:rPr>
        <w:t>, página 19.</w:t>
      </w:r>
      <w:r w:rsidRPr="00D578BD">
        <w:rPr>
          <w:rFonts w:ascii="Calibri" w:hAnsi="Calibri"/>
          <w:i/>
          <w:sz w:val="18"/>
          <w:szCs w:val="18"/>
        </w:rPr>
        <w:t xml:space="preserve"> </w:t>
      </w:r>
    </w:p>
  </w:footnote>
  <w:footnote w:id="27">
    <w:p w:rsidR="00AF739F" w:rsidRPr="003427CB" w:rsidRDefault="00AF739F" w:rsidP="00657FF7">
      <w:pPr>
        <w:pStyle w:val="FootnoteText"/>
        <w:spacing w:after="0"/>
        <w:ind w:left="0" w:firstLine="0"/>
        <w:rPr>
          <w:sz w:val="18"/>
          <w:szCs w:val="18"/>
        </w:rPr>
      </w:pPr>
      <w:r>
        <w:rPr>
          <w:rStyle w:val="FootnoteReference"/>
        </w:rPr>
        <w:footnoteRef/>
      </w:r>
      <w:r>
        <w:t xml:space="preserve"> </w:t>
      </w:r>
      <w:r w:rsidRPr="003427CB">
        <w:rPr>
          <w:sz w:val="18"/>
          <w:szCs w:val="18"/>
        </w:rPr>
        <w:t>De acuerdo al Climascopio 2012, Costa Rica es el mercado más grande de Centroaméric</w:t>
      </w:r>
      <w:r>
        <w:rPr>
          <w:sz w:val="18"/>
          <w:szCs w:val="18"/>
        </w:rPr>
        <w:t>a</w:t>
      </w:r>
      <w:r w:rsidRPr="003427CB">
        <w:rPr>
          <w:sz w:val="18"/>
          <w:szCs w:val="18"/>
        </w:rPr>
        <w:t xml:space="preserve"> en términos de capacidad energética instalada</w:t>
      </w:r>
      <w:r>
        <w:rPr>
          <w:sz w:val="18"/>
          <w:szCs w:val="18"/>
        </w:rPr>
        <w:t xml:space="preserve"> y </w:t>
      </w:r>
      <w:r w:rsidRPr="003427CB">
        <w:rPr>
          <w:sz w:val="18"/>
          <w:szCs w:val="18"/>
        </w:rPr>
        <w:t xml:space="preserve">casi un 25% </w:t>
      </w:r>
      <w:r>
        <w:rPr>
          <w:sz w:val="18"/>
          <w:szCs w:val="18"/>
        </w:rPr>
        <w:t xml:space="preserve">es </w:t>
      </w:r>
      <w:r w:rsidRPr="003427CB">
        <w:rPr>
          <w:sz w:val="18"/>
          <w:szCs w:val="18"/>
        </w:rPr>
        <w:t xml:space="preserve">renovable. </w:t>
      </w:r>
      <w:r w:rsidRPr="00225DA4">
        <w:rPr>
          <w:sz w:val="18"/>
          <w:szCs w:val="18"/>
        </w:rPr>
        <w:t>http://www5.iadb.org/mif/climatescope/2012/</w:t>
      </w:r>
    </w:p>
  </w:footnote>
  <w:footnote w:id="28">
    <w:p w:rsidR="00AF739F" w:rsidRPr="00657FF7" w:rsidRDefault="00AF739F">
      <w:pPr>
        <w:pStyle w:val="FootnoteText"/>
        <w:rPr>
          <w:lang w:val="es-ES_tradnl"/>
        </w:rPr>
      </w:pPr>
      <w:r>
        <w:rPr>
          <w:rStyle w:val="FootnoteReference"/>
        </w:rPr>
        <w:footnoteRef/>
      </w:r>
      <w:r>
        <w:t xml:space="preserve"> Con la implementación del NAMA se prevé una reducción de alrededor 30</w:t>
      </w:r>
      <w:r w:rsidRPr="005C3284">
        <w:t>,000 Ton CO</w:t>
      </w:r>
      <w:r w:rsidRPr="00657FF7">
        <w:rPr>
          <w:vertAlign w:val="subscript"/>
        </w:rPr>
        <w:t>2</w:t>
      </w:r>
      <w:r w:rsidRPr="005C3284">
        <w:t>e/</w:t>
      </w:r>
      <w:r>
        <w:t>año.</w:t>
      </w:r>
    </w:p>
  </w:footnote>
  <w:footnote w:id="29">
    <w:p w:rsidR="00AF739F" w:rsidRPr="00957B45" w:rsidRDefault="00AF739F" w:rsidP="00600BC1">
      <w:pPr>
        <w:pStyle w:val="FootnoteText"/>
        <w:spacing w:after="0"/>
        <w:ind w:left="0" w:firstLine="0"/>
      </w:pPr>
      <w:r>
        <w:rPr>
          <w:rStyle w:val="FootnoteReference"/>
        </w:rPr>
        <w:footnoteRef/>
      </w:r>
      <w:r w:rsidRPr="00957B45">
        <w:t xml:space="preserve"> El Instituto Mundial de Recursos (WRI por sus siglas en inglés) y el Consejo Empresarial Mundial para el Desarrollo Sostenible (WBCSD por sus siglas en inglés) desarrollaron el primer protocolo para la medición de gases de efecto invernadero a nivel corporativo.</w:t>
      </w:r>
    </w:p>
  </w:footnote>
  <w:footnote w:id="30">
    <w:p w:rsidR="00AF739F" w:rsidRPr="00775C78" w:rsidRDefault="00AF739F" w:rsidP="00957B45">
      <w:pPr>
        <w:pStyle w:val="FootnoteText"/>
        <w:spacing w:after="0"/>
      </w:pPr>
      <w:r w:rsidRPr="0023298C">
        <w:rPr>
          <w:rStyle w:val="FootnoteReference"/>
        </w:rPr>
        <w:footnoteRef/>
      </w:r>
      <w:hyperlink r:id="rId3" w:history="1">
        <w:r w:rsidRPr="00775C78">
          <w:rPr>
            <w:rStyle w:val="Hyperlink"/>
            <w:sz w:val="20"/>
          </w:rPr>
          <w:t>http://www.ghgprotocol.org/files/ghgp/Agriculture-Guidance-Second-draft-%28March_19th_2013%29.pdf</w:t>
        </w:r>
      </w:hyperlink>
    </w:p>
  </w:footnote>
  <w:footnote w:id="31">
    <w:p w:rsidR="00AF739F" w:rsidRPr="00775C78" w:rsidRDefault="00AF739F" w:rsidP="00600BC1">
      <w:pPr>
        <w:pStyle w:val="FootnoteText"/>
        <w:spacing w:after="0"/>
        <w:ind w:left="0" w:firstLine="0"/>
      </w:pPr>
      <w:r w:rsidRPr="0023298C">
        <w:rPr>
          <w:rStyle w:val="FootnoteReference"/>
        </w:rPr>
        <w:footnoteRef/>
      </w:r>
      <w:hyperlink r:id="rId4" w:history="1">
        <w:r w:rsidRPr="00BA1DBB">
          <w:rPr>
            <w:rStyle w:val="Hyperlink"/>
            <w:sz w:val="20"/>
          </w:rPr>
          <w:t>http://www.ghgprotocol.org/files/ghgp/GHG%20Protocol%20Policies%20and%20Actions%20Standard%20-%20Draft%20for%20Review%20Group%20-%20November%202012.pdf</w:t>
        </w:r>
      </w:hyperlink>
    </w:p>
  </w:footnote>
  <w:footnote w:id="32">
    <w:p w:rsidR="00AF739F" w:rsidRPr="00B64A59" w:rsidRDefault="00AF739F" w:rsidP="00B64A59">
      <w:pPr>
        <w:pStyle w:val="FootnoteText"/>
        <w:spacing w:after="0"/>
      </w:pPr>
      <w:r>
        <w:rPr>
          <w:rStyle w:val="FootnoteReference"/>
        </w:rPr>
        <w:footnoteRef/>
      </w:r>
      <w:r>
        <w:t xml:space="preserve"> S</w:t>
      </w:r>
      <w:r w:rsidRPr="007F6041">
        <w:t>e necesitará hacer estudios de suelo en las zonas cafetaleras en donde se intervendrá</w:t>
      </w:r>
      <w:r>
        <w:t>.</w:t>
      </w:r>
      <w:r w:rsidRPr="007F6041">
        <w:rPr>
          <w:rStyle w:val="FootnoteReference"/>
        </w:rPr>
        <w:footnoteRef/>
      </w:r>
    </w:p>
  </w:footnote>
  <w:footnote w:id="33">
    <w:p w:rsidR="00AF739F" w:rsidRDefault="00AF739F" w:rsidP="00B64A59">
      <w:pPr>
        <w:pStyle w:val="FootnoteText"/>
        <w:spacing w:after="0"/>
        <w:ind w:left="0" w:firstLine="0"/>
      </w:pPr>
      <w:r>
        <w:rPr>
          <w:rStyle w:val="FootnoteReference"/>
        </w:rPr>
        <w:footnoteRef/>
      </w:r>
      <w:r>
        <w:t xml:space="preserve"> La gasificación </w:t>
      </w:r>
      <w:r w:rsidRPr="00777BA9">
        <w:t xml:space="preserve">es utilizada para obtener energía eléctrica y/o térmica, con un rango de potencia de 30 kW y 40 MW [EPA, 2007]. Es un tipo de </w:t>
      </w:r>
      <w:r>
        <w:t>pirolisis, descomposición química de materia orgánica causada por el calentamiento en ausencia de oxígeno,</w:t>
      </w:r>
      <w:r w:rsidRPr="00777BA9">
        <w:t xml:space="preserve"> en la que se utiliza una mayor proporción de</w:t>
      </w:r>
      <w:r>
        <w:t xml:space="preserve"> oxígeno a mayores temperaturas</w:t>
      </w:r>
      <w:r w:rsidRPr="00777BA9">
        <w:t xml:space="preserve"> con el objetivo de optimizar la producción del llamado “gas pobre” o “syngas”</w:t>
      </w:r>
      <w:r>
        <w:t>. Este gas está</w:t>
      </w:r>
      <w:r w:rsidRPr="00777BA9">
        <w:t xml:space="preserve"> constituido por una mezcla de monóxido de carbono, hidrógeno y metano, con proporciones menores de</w:t>
      </w:r>
      <w:r>
        <w:t xml:space="preserve"> dióxido de carbono y nitrógeno, que puede usarse </w:t>
      </w:r>
      <w:r w:rsidRPr="00777BA9">
        <w:t>en equipos convencionales</w:t>
      </w:r>
      <w:r>
        <w:t xml:space="preserve">. </w:t>
      </w:r>
    </w:p>
  </w:footnote>
  <w:footnote w:id="34">
    <w:p w:rsidR="00AF739F" w:rsidRPr="006E5CDA" w:rsidRDefault="00AF739F" w:rsidP="00600BC1">
      <w:pPr>
        <w:pStyle w:val="FootnoteText"/>
        <w:spacing w:after="0"/>
        <w:ind w:left="0" w:firstLine="0"/>
      </w:pPr>
      <w:r>
        <w:rPr>
          <w:rStyle w:val="FootnoteReference"/>
        </w:rPr>
        <w:footnoteRef/>
      </w:r>
      <w:r w:rsidRPr="006E5CDA">
        <w:t xml:space="preserve"> </w:t>
      </w:r>
      <w:r>
        <w:t>El consumo y disponibilidad de leña ha ido disminuyendo, pero su precio ha aumentado considerablemente. Actualmente se</w:t>
      </w:r>
      <w:r w:rsidRPr="006E5CDA">
        <w:t xml:space="preserve"> consum</w:t>
      </w:r>
      <w:r>
        <w:t xml:space="preserve">e </w:t>
      </w:r>
      <w:r w:rsidRPr="006E5CDA">
        <w:t xml:space="preserve">.6mts3 </w:t>
      </w:r>
      <w:r>
        <w:t xml:space="preserve">de leña </w:t>
      </w:r>
      <w:r w:rsidRPr="006E5CDA">
        <w:t>por cada fanega de oro (100 libras, antes de ser tostado)</w:t>
      </w:r>
      <w:r>
        <w:t xml:space="preserve">. </w:t>
      </w:r>
      <w:r w:rsidRPr="006E5CDA">
        <w:t xml:space="preserve">La pulpa también es utilizada para la producción de fertilizantes orgánicos </w:t>
      </w:r>
      <w:r>
        <w:t xml:space="preserve">a través de la </w:t>
      </w:r>
      <w:r w:rsidRPr="006E5CDA">
        <w:t>lombricultura</w:t>
      </w:r>
      <w:r w:rsidRPr="006E5CDA">
        <w:rPr>
          <w:b/>
        </w:rPr>
        <w:t xml:space="preserve">. </w:t>
      </w:r>
    </w:p>
  </w:footnote>
  <w:footnote w:id="35">
    <w:p w:rsidR="00AF739F" w:rsidRPr="00154E47" w:rsidRDefault="00AF739F" w:rsidP="00600BC1">
      <w:pPr>
        <w:pStyle w:val="FootnoteText"/>
        <w:spacing w:after="0"/>
        <w:ind w:left="0" w:firstLine="0"/>
      </w:pPr>
      <w:r>
        <w:rPr>
          <w:rStyle w:val="FootnoteReference"/>
        </w:rPr>
        <w:footnoteRef/>
      </w:r>
      <w:r>
        <w:t xml:space="preserve"> Complementará esfuerzos con el proyecto a cargo de FITTACORI, con fondos de PNUMA y del gobierno de Japón, para la compra de un gasificador. </w:t>
      </w:r>
    </w:p>
  </w:footnote>
  <w:footnote w:id="36">
    <w:p w:rsidR="00AF739F" w:rsidRPr="00146B91" w:rsidRDefault="00AF739F" w:rsidP="00E864B9">
      <w:pPr>
        <w:pStyle w:val="FootnoteText"/>
        <w:spacing w:after="0"/>
      </w:pPr>
      <w:r>
        <w:rPr>
          <w:rStyle w:val="FootnoteReference"/>
        </w:rPr>
        <w:footnoteRef/>
      </w:r>
      <w:r>
        <w:t xml:space="preserve"> </w:t>
      </w:r>
      <w:r w:rsidRPr="007F6041">
        <w:rPr>
          <w:rStyle w:val="hps"/>
        </w:rPr>
        <w:t>PROMECAFE, OIC</w:t>
      </w:r>
      <w:r>
        <w:rPr>
          <w:rStyle w:val="hps"/>
        </w:rPr>
        <w:t>, IICA y CATIE.</w:t>
      </w:r>
    </w:p>
  </w:footnote>
  <w:footnote w:id="37">
    <w:p w:rsidR="00AF739F" w:rsidRDefault="00AF739F" w:rsidP="00600BC1">
      <w:pPr>
        <w:pStyle w:val="FootnoteText"/>
        <w:spacing w:after="0"/>
        <w:ind w:left="0" w:firstLine="0"/>
      </w:pPr>
      <w:r>
        <w:rPr>
          <w:rStyle w:val="FootnoteReference"/>
        </w:rPr>
        <w:footnoteRef/>
      </w:r>
      <w:r>
        <w:t xml:space="preserve"> Exite una carta entendimiento en proceso de suscripción y como condición previa al primer desembolso de esta operación, se suscribirá un acuerdo específico. </w:t>
      </w:r>
    </w:p>
  </w:footnote>
  <w:footnote w:id="38">
    <w:p w:rsidR="00AF739F" w:rsidRPr="00C44EAF" w:rsidRDefault="00AF739F" w:rsidP="00600BC1">
      <w:pPr>
        <w:pStyle w:val="FootnoteText"/>
        <w:spacing w:after="0"/>
        <w:ind w:left="0" w:firstLine="0"/>
      </w:pPr>
      <w:r>
        <w:rPr>
          <w:rStyle w:val="FootnoteReference"/>
        </w:rPr>
        <w:footnoteRef/>
      </w:r>
      <w:r>
        <w:t xml:space="preserve"> A </w:t>
      </w:r>
      <w:r w:rsidRPr="00C44EAF">
        <w:t>cargo de las políticas relacionadas con la producción agrícola, la extensión y la innovación, definió una Política de Estado para el Sector Agrícola y el Desarrollo Rural de Costa Rica para 2010-2021, que incluye el cambio climático y la gestión del medio ambiente en el agro.</w:t>
      </w:r>
    </w:p>
  </w:footnote>
  <w:footnote w:id="39">
    <w:p w:rsidR="00AF739F" w:rsidRPr="00C44EAF" w:rsidRDefault="00AF739F" w:rsidP="00600BC1">
      <w:pPr>
        <w:pStyle w:val="FootnoteText"/>
        <w:spacing w:after="0"/>
        <w:ind w:left="0" w:firstLine="0"/>
      </w:pPr>
      <w:r>
        <w:rPr>
          <w:rStyle w:val="FootnoteReference"/>
        </w:rPr>
        <w:footnoteRef/>
      </w:r>
      <w:r>
        <w:t>L</w:t>
      </w:r>
      <w:r w:rsidRPr="007F6041">
        <w:rPr>
          <w:rStyle w:val="hps"/>
        </w:rPr>
        <w:t>idera la Estrategia Nacional de Cambio Climático y coordina su ejecución en colaboración con los demás ministerios sectoriales</w:t>
      </w:r>
      <w:r>
        <w:rPr>
          <w:rStyle w:val="hps"/>
        </w:rPr>
        <w:t>.</w:t>
      </w:r>
    </w:p>
  </w:footnote>
  <w:footnote w:id="40">
    <w:p w:rsidR="00AF739F" w:rsidRPr="00927F20" w:rsidRDefault="00AF739F" w:rsidP="00657FF7">
      <w:pPr>
        <w:pStyle w:val="FootnoteText"/>
        <w:spacing w:after="0"/>
        <w:ind w:left="0" w:firstLine="0"/>
      </w:pPr>
      <w:r>
        <w:rPr>
          <w:rStyle w:val="FootnoteReference"/>
        </w:rPr>
        <w:footnoteRef/>
      </w:r>
      <w:r>
        <w:t xml:space="preserve"> NAMA Facitity, </w:t>
      </w:r>
      <w:r w:rsidRPr="003C7F34">
        <w:t>fondo que dispone de 7</w:t>
      </w:r>
      <w:r>
        <w:t>0</w:t>
      </w:r>
      <w:r w:rsidRPr="003C7F34">
        <w:t xml:space="preserve"> millones de euros</w:t>
      </w:r>
      <w:r>
        <w:t xml:space="preserve">, que </w:t>
      </w:r>
      <w:r w:rsidRPr="003C7F34">
        <w:t xml:space="preserve">cuenta con varios instrumentos de financiamiento (préstamos concesionales, garantías y donaciones) y al cual se aplica cuando </w:t>
      </w:r>
      <w:r>
        <w:t>abren co</w:t>
      </w:r>
      <w:r w:rsidRPr="003C7F34">
        <w:t>nvocatorias.</w:t>
      </w:r>
    </w:p>
  </w:footnote>
  <w:footnote w:id="41">
    <w:p w:rsidR="00AF739F" w:rsidRPr="00A62645" w:rsidRDefault="00AF739F" w:rsidP="00927F20">
      <w:pPr>
        <w:pStyle w:val="FootnoteText"/>
        <w:spacing w:after="0"/>
      </w:pPr>
      <w:r>
        <w:rPr>
          <w:rStyle w:val="FootnoteReference"/>
        </w:rPr>
        <w:footnoteRef/>
      </w:r>
      <w:r>
        <w:t xml:space="preserve"> </w:t>
      </w:r>
      <w:r w:rsidRPr="00A62645">
        <w:t>Orgánica</w:t>
      </w:r>
      <w:r>
        <w:t xml:space="preserve">, </w:t>
      </w:r>
      <w:r w:rsidRPr="00A62645">
        <w:t>denominación de origen</w:t>
      </w:r>
      <w:r>
        <w:t xml:space="preserve">, </w:t>
      </w:r>
      <w:r w:rsidRPr="00A62645">
        <w:t>comercio justo</w:t>
      </w:r>
      <w:r>
        <w:t>,</w:t>
      </w:r>
      <w:r w:rsidRPr="00A62645">
        <w:t xml:space="preserve"> Rainforest Alliance, entre otros</w:t>
      </w:r>
      <w:r>
        <w:t>.</w:t>
      </w:r>
    </w:p>
  </w:footnote>
  <w:footnote w:id="42">
    <w:p w:rsidR="00AF739F" w:rsidRPr="00A62645" w:rsidRDefault="00AF739F" w:rsidP="00B64A59">
      <w:pPr>
        <w:pStyle w:val="FootnoteText"/>
        <w:spacing w:after="0"/>
        <w:ind w:left="0" w:firstLine="0"/>
      </w:pPr>
      <w:r>
        <w:rPr>
          <w:rStyle w:val="FootnoteReference"/>
        </w:rPr>
        <w:footnoteRef/>
      </w:r>
      <w:r>
        <w:t xml:space="preserve"> </w:t>
      </w:r>
      <w:r w:rsidRPr="00F92016">
        <w:t>ATN/ME-10610-GU</w:t>
      </w:r>
      <w:r>
        <w:t xml:space="preserve"> E</w:t>
      </w:r>
      <w:r w:rsidRPr="00A62645">
        <w:t xml:space="preserve">l primer proyecto piloto de REDD+ </w:t>
      </w:r>
      <w:r>
        <w:t xml:space="preserve">que evidenció el </w:t>
      </w:r>
      <w:r w:rsidRPr="00A62645">
        <w:t xml:space="preserve">tiempo </w:t>
      </w:r>
      <w:r>
        <w:t xml:space="preserve">que requiere </w:t>
      </w:r>
      <w:r w:rsidRPr="00A62645">
        <w:t xml:space="preserve">desarrollar y probar un MRV </w:t>
      </w:r>
      <w:r>
        <w:t xml:space="preserve">por lo particular de cada modelo. </w:t>
      </w:r>
    </w:p>
  </w:footnote>
  <w:footnote w:id="43">
    <w:p w:rsidR="00AF739F" w:rsidRDefault="00AF739F" w:rsidP="00600BC1">
      <w:pPr>
        <w:pStyle w:val="FootnoteText"/>
        <w:spacing w:after="0"/>
        <w:ind w:left="0" w:firstLine="0"/>
      </w:pPr>
      <w:r>
        <w:rPr>
          <w:rStyle w:val="FootnoteReference"/>
        </w:rPr>
        <w:footnoteRef/>
      </w:r>
      <w:r>
        <w:t xml:space="preserve"> </w:t>
      </w:r>
      <w:r w:rsidRPr="00D012A2">
        <w:t>http://www5.iadb.org/mif/HOME/FOMINblog/Blogs/tabid/628/entryid/608/Sostenibilidad-en-el-negocio-del-cafe-COOPEDOTA-y-el-camino-hacia-la-carbono-neutralidad.aspx</w:t>
      </w:r>
    </w:p>
  </w:footnote>
  <w:footnote w:id="44">
    <w:p w:rsidR="00AF739F" w:rsidRPr="00C20EE0" w:rsidRDefault="00AF739F" w:rsidP="00C20EE0">
      <w:pPr>
        <w:pStyle w:val="FootnoteText"/>
        <w:spacing w:after="0"/>
      </w:pPr>
      <w:r>
        <w:rPr>
          <w:rStyle w:val="FootnoteReference"/>
        </w:rPr>
        <w:footnoteRef/>
      </w:r>
      <w:r>
        <w:t xml:space="preserve"> Lograron un premio en el precio del 5%</w:t>
      </w:r>
    </w:p>
  </w:footnote>
  <w:footnote w:id="45">
    <w:p w:rsidR="00AF739F" w:rsidRPr="00BF7D5A" w:rsidRDefault="00AF739F" w:rsidP="008D15B2">
      <w:pPr>
        <w:pStyle w:val="FootnoteText"/>
        <w:spacing w:after="0"/>
      </w:pPr>
      <w:r>
        <w:rPr>
          <w:rStyle w:val="FootnoteReference"/>
        </w:rPr>
        <w:footnoteRef/>
      </w:r>
      <w:r>
        <w:t xml:space="preserve"> El valor de algunos indicadores será determinado una vez se levante la línea base. </w:t>
      </w:r>
    </w:p>
  </w:footnote>
  <w:footnote w:id="46">
    <w:p w:rsidR="00AF739F" w:rsidRDefault="00AF739F" w:rsidP="008D15B2">
      <w:pPr>
        <w:pStyle w:val="FootnoteText"/>
        <w:spacing w:after="0"/>
        <w:ind w:left="0" w:firstLine="0"/>
      </w:pPr>
      <w:r>
        <w:rPr>
          <w:rStyle w:val="FootnoteReference"/>
        </w:rPr>
        <w:footnoteRef/>
      </w:r>
      <w:r>
        <w:t xml:space="preserve"> Cada proyecto piloto llevará control de manera independiente de los indicadores correspondientes a nivel de resultado e impacto.</w:t>
      </w:r>
    </w:p>
  </w:footnote>
  <w:footnote w:id="47">
    <w:p w:rsidR="00AF739F" w:rsidRDefault="00AF739F" w:rsidP="008D15B2">
      <w:pPr>
        <w:pStyle w:val="FootnoteText"/>
        <w:spacing w:after="0"/>
      </w:pPr>
      <w:r>
        <w:rPr>
          <w:rStyle w:val="FootnoteReference"/>
        </w:rPr>
        <w:footnoteRef/>
      </w:r>
      <w:r>
        <w:t xml:space="preserve"> En base a un promedio de 25 árboles por Ha. </w:t>
      </w:r>
    </w:p>
  </w:footnote>
  <w:footnote w:id="48">
    <w:p w:rsidR="00AF739F" w:rsidRDefault="00AF739F" w:rsidP="00725D99">
      <w:pPr>
        <w:pStyle w:val="FootnoteText"/>
        <w:spacing w:after="0"/>
        <w:ind w:left="0" w:firstLine="0"/>
      </w:pPr>
      <w:r>
        <w:rPr>
          <w:rStyle w:val="FootnoteReference"/>
        </w:rPr>
        <w:footnoteRef/>
      </w:r>
      <w:r>
        <w:t xml:space="preserve"> Tentativamente será sólo una línea base la que se desarrollará para dar seguimiento a los indicadores de la operación, emisiones GEI y co-beneficios. </w:t>
      </w:r>
    </w:p>
  </w:footnote>
  <w:footnote w:id="49">
    <w:p w:rsidR="00AF739F" w:rsidRDefault="00AF739F" w:rsidP="00E50931">
      <w:pPr>
        <w:pStyle w:val="FootnoteText"/>
        <w:spacing w:after="0"/>
        <w:rPr>
          <w:rFonts w:eastAsia="Cambria"/>
        </w:rPr>
      </w:pPr>
      <w:r>
        <w:rPr>
          <w:rStyle w:val="FootnoteReference"/>
        </w:rPr>
        <w:footnoteRef/>
      </w:r>
      <w:r>
        <w:t xml:space="preserve"> </w:t>
      </w:r>
      <w:r w:rsidRPr="0019394F">
        <w:rPr>
          <w:rFonts w:eastAsia="Cambria"/>
        </w:rPr>
        <w:t>43 proyectos en Benin</w:t>
      </w:r>
      <w:r>
        <w:rPr>
          <w:rFonts w:eastAsia="Cambria"/>
        </w:rPr>
        <w:t xml:space="preserve"> (</w:t>
      </w:r>
      <w:r w:rsidRPr="0019394F">
        <w:rPr>
          <w:rFonts w:eastAsia="Cambria"/>
        </w:rPr>
        <w:t>África</w:t>
      </w:r>
      <w:r>
        <w:rPr>
          <w:rFonts w:eastAsia="Cambria"/>
        </w:rPr>
        <w:t>)</w:t>
      </w:r>
      <w:r w:rsidRPr="0019394F">
        <w:rPr>
          <w:rFonts w:eastAsia="Cambria"/>
        </w:rPr>
        <w:t xml:space="preserve"> y Bhután</w:t>
      </w:r>
      <w:r>
        <w:rPr>
          <w:rFonts w:eastAsia="Cambria"/>
        </w:rPr>
        <w:t xml:space="preserve"> (</w:t>
      </w:r>
      <w:r w:rsidRPr="0019394F">
        <w:rPr>
          <w:rFonts w:eastAsia="Cambria"/>
        </w:rPr>
        <w:t>Asia</w:t>
      </w:r>
      <w:r>
        <w:rPr>
          <w:rFonts w:eastAsia="Cambria"/>
        </w:rPr>
        <w:t>) con fondos del Gobierno de Holanda</w:t>
      </w:r>
    </w:p>
    <w:p w:rsidR="00AF739F" w:rsidRPr="00657FF7" w:rsidRDefault="00AF739F" w:rsidP="006C3C68">
      <w:pPr>
        <w:pStyle w:val="FootnoteText"/>
        <w:spacing w:after="0"/>
      </w:pPr>
      <w:r w:rsidRPr="00657FF7">
        <w:rPr>
          <w:rFonts w:eastAsia="Cambria"/>
        </w:rPr>
        <w:t>http://sustainabledevelopment.un.org/index.php?page=view&amp;type=1006&amp;menu=1348&amp;nr=1634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2</w:t>
    </w:r>
    <w:r>
      <w:rPr>
        <w:snapToGrid w:val="0"/>
      </w:rPr>
      <w:fldChar w:fldCharType="end"/>
    </w:r>
    <w:r>
      <w:rPr>
        <w:snapToGrid w:val="0"/>
      </w:rPr>
      <w:t xml:space="preserve"> -</w:t>
    </w:r>
  </w:p>
  <w:p w:rsidR="00AF739F" w:rsidRDefault="00AF739F">
    <w:pPr>
      <w:pStyle w:val="Header"/>
      <w:rPr>
        <w:snapToGrid w:val="0"/>
      </w:rPr>
    </w:pPr>
  </w:p>
  <w:p w:rsidR="00AF739F" w:rsidRDefault="00AF73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ii</w:t>
    </w:r>
    <w:r>
      <w:rPr>
        <w:snapToGrid w:val="0"/>
      </w:rPr>
      <w:fldChar w:fldCharType="end"/>
    </w:r>
    <w:r>
      <w:rPr>
        <w:snapToGrid w:val="0"/>
      </w:rPr>
      <w:t xml:space="preserve"> -</w:t>
    </w:r>
  </w:p>
  <w:p w:rsidR="00AF739F" w:rsidRDefault="00AF739F">
    <w:pPr>
      <w:pStyle w:val="Header"/>
      <w:rPr>
        <w:snapToGrid w:val="0"/>
      </w:rPr>
    </w:pPr>
  </w:p>
  <w:p w:rsidR="00AF739F" w:rsidRDefault="00AF739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E10A3C">
      <w:rPr>
        <w:snapToGrid w:val="0"/>
      </w:rPr>
      <w:t>v</w:t>
    </w:r>
    <w:r>
      <w:rPr>
        <w:snapToGrid w:val="0"/>
      </w:rPr>
      <w:fldChar w:fldCharType="end"/>
    </w:r>
    <w:r>
      <w:rPr>
        <w:snapToGrid w:val="0"/>
      </w:rPr>
      <w:t xml:space="preserve"> -</w:t>
    </w:r>
  </w:p>
  <w:p w:rsidR="00AF739F" w:rsidRDefault="00AF739F">
    <w:pPr>
      <w:pStyle w:val="Header"/>
    </w:pPr>
  </w:p>
  <w:p w:rsidR="00AF739F" w:rsidRDefault="00AF739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2</w:t>
    </w:r>
    <w:r>
      <w:rPr>
        <w:snapToGrid w:val="0"/>
      </w:rPr>
      <w:fldChar w:fldCharType="end"/>
    </w:r>
    <w:r>
      <w:rPr>
        <w:snapToGrid w:val="0"/>
      </w:rPr>
      <w:t xml:space="preserve"> -</w:t>
    </w:r>
  </w:p>
  <w:p w:rsidR="00AF739F" w:rsidRDefault="00AF739F">
    <w:pPr>
      <w:pStyle w:val="Header"/>
      <w:rPr>
        <w:snapToGrid w:val="0"/>
      </w:rPr>
    </w:pPr>
  </w:p>
  <w:p w:rsidR="00AF739F" w:rsidRDefault="00AF739F">
    <w:pPr>
      <w:pStyle w:val="Header"/>
    </w:pPr>
  </w:p>
  <w:p w:rsidR="00AF739F" w:rsidRDefault="00AF739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E10A3C">
      <w:rPr>
        <w:snapToGrid w:val="0"/>
      </w:rPr>
      <w:t>22</w:t>
    </w:r>
    <w:r>
      <w:rPr>
        <w:snapToGrid w:val="0"/>
      </w:rPr>
      <w:fldChar w:fldCharType="end"/>
    </w:r>
    <w:r>
      <w:rPr>
        <w:snapToGrid w:val="0"/>
      </w:rPr>
      <w:t xml:space="preserve"> -</w:t>
    </w:r>
  </w:p>
  <w:p w:rsidR="00AF739F" w:rsidRDefault="00AF739F">
    <w:pPr>
      <w:pStyle w:val="Header"/>
    </w:pPr>
  </w:p>
  <w:p w:rsidR="00AF739F" w:rsidRDefault="00AF739F">
    <w:pPr>
      <w:pStyle w:val="Header"/>
    </w:pPr>
  </w:p>
  <w:p w:rsidR="00AF739F" w:rsidRDefault="00AF739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9F" w:rsidRDefault="00AF739F">
    <w:pPr>
      <w:pStyle w:val="Header"/>
      <w:ind w:left="4185"/>
      <w:rPr>
        <w:snapToGrid w:val="0"/>
      </w:rPr>
    </w:pPr>
  </w:p>
  <w:p w:rsidR="00AF739F" w:rsidRDefault="00AF739F">
    <w:pPr>
      <w:pStyle w:val="Header"/>
      <w:ind w:left="418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F468052"/>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720"/>
        </w:tabs>
        <w:ind w:left="720" w:hanging="720"/>
      </w:pPr>
      <w:rPr>
        <w:b w:val="0"/>
        <w:i w:val="0"/>
        <w:color w:val="auto"/>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nsid w:val="2C4339DE"/>
    <w:multiLevelType w:val="singleLevel"/>
    <w:tmpl w:val="40463422"/>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4">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5">
    <w:nsid w:val="3C6E07F4"/>
    <w:multiLevelType w:val="multilevel"/>
    <w:tmpl w:val="B1A0DF54"/>
    <w:lvl w:ilvl="0">
      <w:start w:val="5"/>
      <w:numFmt w:val="upperLetter"/>
      <w:pStyle w:val="Heading2"/>
      <w:lvlText w:val="%1."/>
      <w:lvlJc w:val="left"/>
      <w:pPr>
        <w:tabs>
          <w:tab w:val="num" w:pos="720"/>
        </w:tabs>
        <w:ind w:left="720" w:hanging="720"/>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42922356"/>
    <w:multiLevelType w:val="hybridMultilevel"/>
    <w:tmpl w:val="8E3E8A98"/>
    <w:lvl w:ilvl="0" w:tplc="E2509876">
      <w:start w:val="1"/>
      <w:numFmt w:val="lowerLetter"/>
      <w:lvlText w:val="%1)"/>
      <w:lvlJc w:val="left"/>
      <w:pPr>
        <w:ind w:left="1110" w:hanging="39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4F386756"/>
    <w:multiLevelType w:val="hybridMultilevel"/>
    <w:tmpl w:val="1FCE6DC8"/>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5B644A24"/>
    <w:multiLevelType w:val="hybridMultilevel"/>
    <w:tmpl w:val="57A49EC6"/>
    <w:lvl w:ilvl="0" w:tplc="DA3CBE2C">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609923C8"/>
    <w:multiLevelType w:val="multilevel"/>
    <w:tmpl w:val="B62EA1FA"/>
    <w:lvl w:ilvl="0">
      <w:start w:val="1"/>
      <w:numFmt w:val="upperRoman"/>
      <w:pStyle w:val="Heading1"/>
      <w:lvlText w:val="%1."/>
      <w:lvlJc w:val="center"/>
      <w:pPr>
        <w:tabs>
          <w:tab w:val="num" w:pos="360"/>
        </w:tabs>
        <w:ind w:left="288" w:hanging="288"/>
      </w:pPr>
      <w:rPr>
        <w:rFonts w:ascii="Times New Roman Bold" w:hAnsi="Times New Roman Bold" w:hint="default"/>
        <w:b/>
        <w:i w:val="0"/>
        <w:sz w:val="24"/>
        <w:szCs w:val="24"/>
      </w:rPr>
    </w:lvl>
    <w:lvl w:ilvl="1">
      <w:start w:val="1"/>
      <w:numFmt w:val="decimal"/>
      <w:pStyle w:val="AutoNumpara"/>
      <w:isLgl/>
      <w:lvlText w:val="%1.%2"/>
      <w:lvlJc w:val="left"/>
      <w:pPr>
        <w:tabs>
          <w:tab w:val="num" w:pos="720"/>
        </w:tabs>
        <w:ind w:left="720" w:hanging="720"/>
      </w:pPr>
      <w:rPr>
        <w:rFonts w:hint="default"/>
        <w:color w:val="auto"/>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w:hAnsi="Times New Roman"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num w:numId="1">
    <w:abstractNumId w:val="3"/>
  </w:num>
  <w:num w:numId="2">
    <w:abstractNumId w:val="10"/>
  </w:num>
  <w:num w:numId="3">
    <w:abstractNumId w:val="1"/>
  </w:num>
  <w:num w:numId="4">
    <w:abstractNumId w:val="4"/>
  </w:num>
  <w:num w:numId="5">
    <w:abstractNumId w:val="5"/>
  </w:num>
  <w:num w:numId="6">
    <w:abstractNumId w:val="2"/>
  </w:num>
  <w:num w:numId="7">
    <w:abstractNumId w:val="9"/>
  </w:num>
  <w:num w:numId="8">
    <w:abstractNumId w:val="6"/>
  </w:num>
  <w:num w:numId="9">
    <w:abstractNumId w:val="0"/>
  </w:num>
  <w:num w:numId="10">
    <w:abstractNumId w:val="7"/>
  </w:num>
  <w:num w:numId="11">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drawingGridHorizontalSpacing w:val="237"/>
  <w:drawingGridVerticalSpacing w:val="163"/>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A6"/>
    <w:rsid w:val="0000141D"/>
    <w:rsid w:val="0000319B"/>
    <w:rsid w:val="000033A1"/>
    <w:rsid w:val="000036F1"/>
    <w:rsid w:val="000048E2"/>
    <w:rsid w:val="00004EC8"/>
    <w:rsid w:val="00006E76"/>
    <w:rsid w:val="00007456"/>
    <w:rsid w:val="00007E32"/>
    <w:rsid w:val="000102C5"/>
    <w:rsid w:val="0001245C"/>
    <w:rsid w:val="00012867"/>
    <w:rsid w:val="00012984"/>
    <w:rsid w:val="0001469D"/>
    <w:rsid w:val="00015228"/>
    <w:rsid w:val="000172B7"/>
    <w:rsid w:val="00017529"/>
    <w:rsid w:val="0001797C"/>
    <w:rsid w:val="00020D80"/>
    <w:rsid w:val="00021D16"/>
    <w:rsid w:val="00023543"/>
    <w:rsid w:val="00024F1A"/>
    <w:rsid w:val="00025C96"/>
    <w:rsid w:val="00026057"/>
    <w:rsid w:val="000311C1"/>
    <w:rsid w:val="000318FE"/>
    <w:rsid w:val="00033E07"/>
    <w:rsid w:val="0003621D"/>
    <w:rsid w:val="00036467"/>
    <w:rsid w:val="0004329A"/>
    <w:rsid w:val="0004368E"/>
    <w:rsid w:val="000442DA"/>
    <w:rsid w:val="00047E47"/>
    <w:rsid w:val="0005007D"/>
    <w:rsid w:val="000518C6"/>
    <w:rsid w:val="00053737"/>
    <w:rsid w:val="00054D8D"/>
    <w:rsid w:val="000567B1"/>
    <w:rsid w:val="00056B40"/>
    <w:rsid w:val="000623B6"/>
    <w:rsid w:val="000637B6"/>
    <w:rsid w:val="00063DC9"/>
    <w:rsid w:val="00063E6B"/>
    <w:rsid w:val="00066E6C"/>
    <w:rsid w:val="00070196"/>
    <w:rsid w:val="0007057D"/>
    <w:rsid w:val="000722E9"/>
    <w:rsid w:val="00075D60"/>
    <w:rsid w:val="00077295"/>
    <w:rsid w:val="000779F4"/>
    <w:rsid w:val="00077DFE"/>
    <w:rsid w:val="00080786"/>
    <w:rsid w:val="00080B6E"/>
    <w:rsid w:val="00080C50"/>
    <w:rsid w:val="00081AA5"/>
    <w:rsid w:val="00081F79"/>
    <w:rsid w:val="00082439"/>
    <w:rsid w:val="00082A68"/>
    <w:rsid w:val="00082C3A"/>
    <w:rsid w:val="00082E17"/>
    <w:rsid w:val="0008332A"/>
    <w:rsid w:val="000835F1"/>
    <w:rsid w:val="00083E92"/>
    <w:rsid w:val="000845E2"/>
    <w:rsid w:val="00084667"/>
    <w:rsid w:val="00086D37"/>
    <w:rsid w:val="00086DA7"/>
    <w:rsid w:val="000901B0"/>
    <w:rsid w:val="00090787"/>
    <w:rsid w:val="000932EE"/>
    <w:rsid w:val="0009359B"/>
    <w:rsid w:val="00094AD3"/>
    <w:rsid w:val="000950E6"/>
    <w:rsid w:val="000954C9"/>
    <w:rsid w:val="00095775"/>
    <w:rsid w:val="000973BC"/>
    <w:rsid w:val="00097C81"/>
    <w:rsid w:val="000A0668"/>
    <w:rsid w:val="000A0991"/>
    <w:rsid w:val="000A0ADE"/>
    <w:rsid w:val="000A188F"/>
    <w:rsid w:val="000A34CB"/>
    <w:rsid w:val="000A3D74"/>
    <w:rsid w:val="000A4A32"/>
    <w:rsid w:val="000A4CB9"/>
    <w:rsid w:val="000A52B7"/>
    <w:rsid w:val="000A5B88"/>
    <w:rsid w:val="000A7FE5"/>
    <w:rsid w:val="000B068C"/>
    <w:rsid w:val="000B0B91"/>
    <w:rsid w:val="000B19A4"/>
    <w:rsid w:val="000B2662"/>
    <w:rsid w:val="000B2DF5"/>
    <w:rsid w:val="000B388F"/>
    <w:rsid w:val="000B6AC2"/>
    <w:rsid w:val="000B769F"/>
    <w:rsid w:val="000B7A8E"/>
    <w:rsid w:val="000C08EC"/>
    <w:rsid w:val="000C4508"/>
    <w:rsid w:val="000C5B7A"/>
    <w:rsid w:val="000D02F4"/>
    <w:rsid w:val="000D1539"/>
    <w:rsid w:val="000D1E43"/>
    <w:rsid w:val="000D27F6"/>
    <w:rsid w:val="000D52FC"/>
    <w:rsid w:val="000D5ED4"/>
    <w:rsid w:val="000D642A"/>
    <w:rsid w:val="000D6BC1"/>
    <w:rsid w:val="000D6F8D"/>
    <w:rsid w:val="000E016B"/>
    <w:rsid w:val="000E0F26"/>
    <w:rsid w:val="000E1112"/>
    <w:rsid w:val="000E35E0"/>
    <w:rsid w:val="000E3F59"/>
    <w:rsid w:val="000E45AC"/>
    <w:rsid w:val="000E51AF"/>
    <w:rsid w:val="000E5E6C"/>
    <w:rsid w:val="000E608B"/>
    <w:rsid w:val="000E6181"/>
    <w:rsid w:val="000F0309"/>
    <w:rsid w:val="000F2D99"/>
    <w:rsid w:val="000F2F42"/>
    <w:rsid w:val="000F34A5"/>
    <w:rsid w:val="000F3BBC"/>
    <w:rsid w:val="000F40D9"/>
    <w:rsid w:val="000F62BE"/>
    <w:rsid w:val="000F6734"/>
    <w:rsid w:val="001018D5"/>
    <w:rsid w:val="00102F13"/>
    <w:rsid w:val="0010328A"/>
    <w:rsid w:val="001045D1"/>
    <w:rsid w:val="001049B6"/>
    <w:rsid w:val="00105709"/>
    <w:rsid w:val="00106518"/>
    <w:rsid w:val="00106EAA"/>
    <w:rsid w:val="00107DFC"/>
    <w:rsid w:val="0011127A"/>
    <w:rsid w:val="00111330"/>
    <w:rsid w:val="001144BB"/>
    <w:rsid w:val="00120371"/>
    <w:rsid w:val="00122062"/>
    <w:rsid w:val="001257CC"/>
    <w:rsid w:val="001265AF"/>
    <w:rsid w:val="00126B82"/>
    <w:rsid w:val="0013119D"/>
    <w:rsid w:val="00131371"/>
    <w:rsid w:val="00131644"/>
    <w:rsid w:val="0013282F"/>
    <w:rsid w:val="001329F0"/>
    <w:rsid w:val="00134127"/>
    <w:rsid w:val="0014002F"/>
    <w:rsid w:val="00142AFB"/>
    <w:rsid w:val="00143D85"/>
    <w:rsid w:val="00144763"/>
    <w:rsid w:val="00146B91"/>
    <w:rsid w:val="00147A15"/>
    <w:rsid w:val="00147A8B"/>
    <w:rsid w:val="00153C20"/>
    <w:rsid w:val="00153F5E"/>
    <w:rsid w:val="00154DD3"/>
    <w:rsid w:val="00154E47"/>
    <w:rsid w:val="0015504C"/>
    <w:rsid w:val="00155175"/>
    <w:rsid w:val="0015517F"/>
    <w:rsid w:val="00155AEF"/>
    <w:rsid w:val="001572B5"/>
    <w:rsid w:val="00157327"/>
    <w:rsid w:val="001575AC"/>
    <w:rsid w:val="001577F5"/>
    <w:rsid w:val="00160E4E"/>
    <w:rsid w:val="0016143F"/>
    <w:rsid w:val="0016145E"/>
    <w:rsid w:val="001617ED"/>
    <w:rsid w:val="0016260D"/>
    <w:rsid w:val="00162982"/>
    <w:rsid w:val="00164B4F"/>
    <w:rsid w:val="00165718"/>
    <w:rsid w:val="00165FF0"/>
    <w:rsid w:val="00170338"/>
    <w:rsid w:val="00171D2B"/>
    <w:rsid w:val="001725D9"/>
    <w:rsid w:val="001725FD"/>
    <w:rsid w:val="0017537C"/>
    <w:rsid w:val="00176377"/>
    <w:rsid w:val="00176677"/>
    <w:rsid w:val="001819DC"/>
    <w:rsid w:val="0018353F"/>
    <w:rsid w:val="00184B46"/>
    <w:rsid w:val="00186E00"/>
    <w:rsid w:val="00187FDB"/>
    <w:rsid w:val="00190CF5"/>
    <w:rsid w:val="00191665"/>
    <w:rsid w:val="001925B3"/>
    <w:rsid w:val="0019394F"/>
    <w:rsid w:val="001955B6"/>
    <w:rsid w:val="00195AED"/>
    <w:rsid w:val="00195B31"/>
    <w:rsid w:val="001964E5"/>
    <w:rsid w:val="00196B2B"/>
    <w:rsid w:val="0019745F"/>
    <w:rsid w:val="00197509"/>
    <w:rsid w:val="00197DCB"/>
    <w:rsid w:val="00197E5C"/>
    <w:rsid w:val="001A0FED"/>
    <w:rsid w:val="001A10C2"/>
    <w:rsid w:val="001A12BF"/>
    <w:rsid w:val="001A14B6"/>
    <w:rsid w:val="001A2011"/>
    <w:rsid w:val="001A2F11"/>
    <w:rsid w:val="001A5B99"/>
    <w:rsid w:val="001A6AD6"/>
    <w:rsid w:val="001A6B0E"/>
    <w:rsid w:val="001B1908"/>
    <w:rsid w:val="001B48D2"/>
    <w:rsid w:val="001B6E36"/>
    <w:rsid w:val="001C04A8"/>
    <w:rsid w:val="001C0656"/>
    <w:rsid w:val="001C10E9"/>
    <w:rsid w:val="001C1F02"/>
    <w:rsid w:val="001C1F50"/>
    <w:rsid w:val="001C2D49"/>
    <w:rsid w:val="001C3760"/>
    <w:rsid w:val="001C3FCE"/>
    <w:rsid w:val="001C453D"/>
    <w:rsid w:val="001C544A"/>
    <w:rsid w:val="001C757A"/>
    <w:rsid w:val="001C7A52"/>
    <w:rsid w:val="001D07A2"/>
    <w:rsid w:val="001D2B3E"/>
    <w:rsid w:val="001D4941"/>
    <w:rsid w:val="001E12F7"/>
    <w:rsid w:val="001E19B7"/>
    <w:rsid w:val="001E26C1"/>
    <w:rsid w:val="001E2DD0"/>
    <w:rsid w:val="001E320F"/>
    <w:rsid w:val="001E3A9F"/>
    <w:rsid w:val="001E3B11"/>
    <w:rsid w:val="001E46DB"/>
    <w:rsid w:val="001E47EC"/>
    <w:rsid w:val="001E4D72"/>
    <w:rsid w:val="001E52D4"/>
    <w:rsid w:val="001E5822"/>
    <w:rsid w:val="001E65F2"/>
    <w:rsid w:val="001F0336"/>
    <w:rsid w:val="001F11F1"/>
    <w:rsid w:val="001F2375"/>
    <w:rsid w:val="001F3518"/>
    <w:rsid w:val="001F49DF"/>
    <w:rsid w:val="001F4A45"/>
    <w:rsid w:val="001F5C6F"/>
    <w:rsid w:val="001F5E60"/>
    <w:rsid w:val="001F6DEE"/>
    <w:rsid w:val="001F7678"/>
    <w:rsid w:val="001F79FE"/>
    <w:rsid w:val="002003F4"/>
    <w:rsid w:val="002004C6"/>
    <w:rsid w:val="00200710"/>
    <w:rsid w:val="00201442"/>
    <w:rsid w:val="002027B0"/>
    <w:rsid w:val="002027E0"/>
    <w:rsid w:val="002032A2"/>
    <w:rsid w:val="0020368C"/>
    <w:rsid w:val="00204CF2"/>
    <w:rsid w:val="00205048"/>
    <w:rsid w:val="00205250"/>
    <w:rsid w:val="002068EC"/>
    <w:rsid w:val="00207B41"/>
    <w:rsid w:val="00207CCB"/>
    <w:rsid w:val="00212DAB"/>
    <w:rsid w:val="00214FEB"/>
    <w:rsid w:val="00216DD6"/>
    <w:rsid w:val="00221B2B"/>
    <w:rsid w:val="00222DE5"/>
    <w:rsid w:val="00223726"/>
    <w:rsid w:val="00223FBC"/>
    <w:rsid w:val="002240D8"/>
    <w:rsid w:val="00224C43"/>
    <w:rsid w:val="00225DA4"/>
    <w:rsid w:val="002279ED"/>
    <w:rsid w:val="00227C7B"/>
    <w:rsid w:val="00227CA3"/>
    <w:rsid w:val="002308C2"/>
    <w:rsid w:val="002319C4"/>
    <w:rsid w:val="00232536"/>
    <w:rsid w:val="0023298C"/>
    <w:rsid w:val="0023306E"/>
    <w:rsid w:val="00236260"/>
    <w:rsid w:val="00237797"/>
    <w:rsid w:val="002405C0"/>
    <w:rsid w:val="0024190D"/>
    <w:rsid w:val="00242C34"/>
    <w:rsid w:val="00242E42"/>
    <w:rsid w:val="002442F4"/>
    <w:rsid w:val="002448DA"/>
    <w:rsid w:val="0025077B"/>
    <w:rsid w:val="00250CC9"/>
    <w:rsid w:val="002528FF"/>
    <w:rsid w:val="00252CEF"/>
    <w:rsid w:val="00253608"/>
    <w:rsid w:val="00255E91"/>
    <w:rsid w:val="00256A3F"/>
    <w:rsid w:val="00256E97"/>
    <w:rsid w:val="0025712B"/>
    <w:rsid w:val="002604C4"/>
    <w:rsid w:val="0026315C"/>
    <w:rsid w:val="00263CD8"/>
    <w:rsid w:val="00265E37"/>
    <w:rsid w:val="00265EA4"/>
    <w:rsid w:val="00266A5C"/>
    <w:rsid w:val="00270833"/>
    <w:rsid w:val="00272135"/>
    <w:rsid w:val="00273849"/>
    <w:rsid w:val="0027579B"/>
    <w:rsid w:val="00276984"/>
    <w:rsid w:val="00280164"/>
    <w:rsid w:val="00281D6C"/>
    <w:rsid w:val="002824EE"/>
    <w:rsid w:val="00282559"/>
    <w:rsid w:val="00286C71"/>
    <w:rsid w:val="002879E1"/>
    <w:rsid w:val="00287E53"/>
    <w:rsid w:val="002911F2"/>
    <w:rsid w:val="002929B2"/>
    <w:rsid w:val="0029329B"/>
    <w:rsid w:val="00293F44"/>
    <w:rsid w:val="00294905"/>
    <w:rsid w:val="00294D80"/>
    <w:rsid w:val="002A24CA"/>
    <w:rsid w:val="002A4372"/>
    <w:rsid w:val="002A5BA7"/>
    <w:rsid w:val="002A604F"/>
    <w:rsid w:val="002A61B3"/>
    <w:rsid w:val="002A6BF6"/>
    <w:rsid w:val="002A6ED6"/>
    <w:rsid w:val="002B1DE4"/>
    <w:rsid w:val="002B1F5C"/>
    <w:rsid w:val="002B2827"/>
    <w:rsid w:val="002B36DC"/>
    <w:rsid w:val="002B4C79"/>
    <w:rsid w:val="002B65AD"/>
    <w:rsid w:val="002C011C"/>
    <w:rsid w:val="002C2F51"/>
    <w:rsid w:val="002C31CB"/>
    <w:rsid w:val="002C3D12"/>
    <w:rsid w:val="002C4C94"/>
    <w:rsid w:val="002C5AA8"/>
    <w:rsid w:val="002C5E7E"/>
    <w:rsid w:val="002C5F5A"/>
    <w:rsid w:val="002C64C2"/>
    <w:rsid w:val="002C6640"/>
    <w:rsid w:val="002C7D07"/>
    <w:rsid w:val="002D32DE"/>
    <w:rsid w:val="002D348E"/>
    <w:rsid w:val="002D4B72"/>
    <w:rsid w:val="002D541B"/>
    <w:rsid w:val="002D63CF"/>
    <w:rsid w:val="002D722B"/>
    <w:rsid w:val="002E165F"/>
    <w:rsid w:val="002E2920"/>
    <w:rsid w:val="002E3AB7"/>
    <w:rsid w:val="002E543B"/>
    <w:rsid w:val="002E5D84"/>
    <w:rsid w:val="002E61EC"/>
    <w:rsid w:val="002E6245"/>
    <w:rsid w:val="002E698A"/>
    <w:rsid w:val="002F0A73"/>
    <w:rsid w:val="002F2024"/>
    <w:rsid w:val="002F2C6A"/>
    <w:rsid w:val="002F37A0"/>
    <w:rsid w:val="002F4760"/>
    <w:rsid w:val="002F6E55"/>
    <w:rsid w:val="002F6EF7"/>
    <w:rsid w:val="00301022"/>
    <w:rsid w:val="003021CB"/>
    <w:rsid w:val="00303844"/>
    <w:rsid w:val="00303F0E"/>
    <w:rsid w:val="003044CE"/>
    <w:rsid w:val="003046C5"/>
    <w:rsid w:val="00305920"/>
    <w:rsid w:val="00305D1F"/>
    <w:rsid w:val="00305DDA"/>
    <w:rsid w:val="0030776C"/>
    <w:rsid w:val="00307B49"/>
    <w:rsid w:val="003100BE"/>
    <w:rsid w:val="003103BD"/>
    <w:rsid w:val="0031090B"/>
    <w:rsid w:val="003117EE"/>
    <w:rsid w:val="0031360A"/>
    <w:rsid w:val="00314A23"/>
    <w:rsid w:val="00315CC4"/>
    <w:rsid w:val="003163FA"/>
    <w:rsid w:val="00321048"/>
    <w:rsid w:val="00323F9E"/>
    <w:rsid w:val="00324043"/>
    <w:rsid w:val="003241D1"/>
    <w:rsid w:val="00324835"/>
    <w:rsid w:val="003248AD"/>
    <w:rsid w:val="003248CF"/>
    <w:rsid w:val="0032518A"/>
    <w:rsid w:val="00325E19"/>
    <w:rsid w:val="00331436"/>
    <w:rsid w:val="00331B0A"/>
    <w:rsid w:val="003322A5"/>
    <w:rsid w:val="00332FCA"/>
    <w:rsid w:val="00334753"/>
    <w:rsid w:val="003356C0"/>
    <w:rsid w:val="00336F79"/>
    <w:rsid w:val="003373A9"/>
    <w:rsid w:val="003375D9"/>
    <w:rsid w:val="00340E08"/>
    <w:rsid w:val="00340E51"/>
    <w:rsid w:val="00340FA5"/>
    <w:rsid w:val="00341ECA"/>
    <w:rsid w:val="003427CB"/>
    <w:rsid w:val="00342822"/>
    <w:rsid w:val="00343261"/>
    <w:rsid w:val="00344219"/>
    <w:rsid w:val="00344918"/>
    <w:rsid w:val="003457AA"/>
    <w:rsid w:val="003464BB"/>
    <w:rsid w:val="00346B34"/>
    <w:rsid w:val="00347655"/>
    <w:rsid w:val="0034785E"/>
    <w:rsid w:val="003502A2"/>
    <w:rsid w:val="003509B6"/>
    <w:rsid w:val="00352715"/>
    <w:rsid w:val="00353B27"/>
    <w:rsid w:val="0035462E"/>
    <w:rsid w:val="00354A34"/>
    <w:rsid w:val="00354CC1"/>
    <w:rsid w:val="003552CA"/>
    <w:rsid w:val="00356D3D"/>
    <w:rsid w:val="00361C8A"/>
    <w:rsid w:val="00362479"/>
    <w:rsid w:val="00362572"/>
    <w:rsid w:val="00363DC8"/>
    <w:rsid w:val="00365D3A"/>
    <w:rsid w:val="003660C7"/>
    <w:rsid w:val="00371EE6"/>
    <w:rsid w:val="00372202"/>
    <w:rsid w:val="0037234C"/>
    <w:rsid w:val="0037351B"/>
    <w:rsid w:val="00374054"/>
    <w:rsid w:val="00376271"/>
    <w:rsid w:val="00377754"/>
    <w:rsid w:val="003779F0"/>
    <w:rsid w:val="00377D96"/>
    <w:rsid w:val="00381BFC"/>
    <w:rsid w:val="003830D3"/>
    <w:rsid w:val="003834F7"/>
    <w:rsid w:val="0038375D"/>
    <w:rsid w:val="0038407B"/>
    <w:rsid w:val="003876AA"/>
    <w:rsid w:val="0039023A"/>
    <w:rsid w:val="00390B89"/>
    <w:rsid w:val="00390C89"/>
    <w:rsid w:val="00391924"/>
    <w:rsid w:val="00391F1E"/>
    <w:rsid w:val="00392398"/>
    <w:rsid w:val="00392FF2"/>
    <w:rsid w:val="00394090"/>
    <w:rsid w:val="00394554"/>
    <w:rsid w:val="00395B9B"/>
    <w:rsid w:val="00395C66"/>
    <w:rsid w:val="00396026"/>
    <w:rsid w:val="0039750B"/>
    <w:rsid w:val="003A093A"/>
    <w:rsid w:val="003A21E0"/>
    <w:rsid w:val="003A2741"/>
    <w:rsid w:val="003A39CC"/>
    <w:rsid w:val="003A4B5E"/>
    <w:rsid w:val="003A68F2"/>
    <w:rsid w:val="003A6B25"/>
    <w:rsid w:val="003A6EB2"/>
    <w:rsid w:val="003B09BE"/>
    <w:rsid w:val="003B1A01"/>
    <w:rsid w:val="003B20EB"/>
    <w:rsid w:val="003B3706"/>
    <w:rsid w:val="003B376D"/>
    <w:rsid w:val="003B4786"/>
    <w:rsid w:val="003B490E"/>
    <w:rsid w:val="003B5FB4"/>
    <w:rsid w:val="003B6923"/>
    <w:rsid w:val="003B6D8C"/>
    <w:rsid w:val="003B7C2A"/>
    <w:rsid w:val="003C0148"/>
    <w:rsid w:val="003C154C"/>
    <w:rsid w:val="003C1A44"/>
    <w:rsid w:val="003C24B6"/>
    <w:rsid w:val="003C24F9"/>
    <w:rsid w:val="003C58EF"/>
    <w:rsid w:val="003C5D15"/>
    <w:rsid w:val="003C5FAF"/>
    <w:rsid w:val="003C68E6"/>
    <w:rsid w:val="003C7F34"/>
    <w:rsid w:val="003D0BE8"/>
    <w:rsid w:val="003D2CBD"/>
    <w:rsid w:val="003D33E1"/>
    <w:rsid w:val="003D50D9"/>
    <w:rsid w:val="003D5B72"/>
    <w:rsid w:val="003D6DB5"/>
    <w:rsid w:val="003D6F58"/>
    <w:rsid w:val="003D7874"/>
    <w:rsid w:val="003D7EC8"/>
    <w:rsid w:val="003E0868"/>
    <w:rsid w:val="003E3F88"/>
    <w:rsid w:val="003E469A"/>
    <w:rsid w:val="003E4C18"/>
    <w:rsid w:val="003E5E2B"/>
    <w:rsid w:val="003E6BCA"/>
    <w:rsid w:val="003E74A8"/>
    <w:rsid w:val="003F1881"/>
    <w:rsid w:val="003F2616"/>
    <w:rsid w:val="003F262D"/>
    <w:rsid w:val="003F3696"/>
    <w:rsid w:val="003F437F"/>
    <w:rsid w:val="003F5E83"/>
    <w:rsid w:val="003F6FCD"/>
    <w:rsid w:val="003F7BCD"/>
    <w:rsid w:val="004005C1"/>
    <w:rsid w:val="00401043"/>
    <w:rsid w:val="0040108B"/>
    <w:rsid w:val="0040193A"/>
    <w:rsid w:val="00403255"/>
    <w:rsid w:val="00404A76"/>
    <w:rsid w:val="004052F5"/>
    <w:rsid w:val="004061C0"/>
    <w:rsid w:val="0040622C"/>
    <w:rsid w:val="00410196"/>
    <w:rsid w:val="004110AB"/>
    <w:rsid w:val="00412F7B"/>
    <w:rsid w:val="00415737"/>
    <w:rsid w:val="00416ED3"/>
    <w:rsid w:val="0041774A"/>
    <w:rsid w:val="0042017A"/>
    <w:rsid w:val="004215BB"/>
    <w:rsid w:val="00426179"/>
    <w:rsid w:val="00427B38"/>
    <w:rsid w:val="00427C08"/>
    <w:rsid w:val="00427D63"/>
    <w:rsid w:val="00427D89"/>
    <w:rsid w:val="004304CD"/>
    <w:rsid w:val="004306DE"/>
    <w:rsid w:val="00430DED"/>
    <w:rsid w:val="00430F37"/>
    <w:rsid w:val="0043202B"/>
    <w:rsid w:val="00433377"/>
    <w:rsid w:val="00433D0F"/>
    <w:rsid w:val="0043486E"/>
    <w:rsid w:val="0043544D"/>
    <w:rsid w:val="004357B8"/>
    <w:rsid w:val="0043727F"/>
    <w:rsid w:val="004375FB"/>
    <w:rsid w:val="00442FDF"/>
    <w:rsid w:val="00443658"/>
    <w:rsid w:val="00443A8C"/>
    <w:rsid w:val="00444E84"/>
    <w:rsid w:val="00451251"/>
    <w:rsid w:val="0045188B"/>
    <w:rsid w:val="00451BCE"/>
    <w:rsid w:val="0045385B"/>
    <w:rsid w:val="00454021"/>
    <w:rsid w:val="004554B4"/>
    <w:rsid w:val="00455944"/>
    <w:rsid w:val="004569A7"/>
    <w:rsid w:val="00462092"/>
    <w:rsid w:val="00463632"/>
    <w:rsid w:val="00463F1C"/>
    <w:rsid w:val="0046419D"/>
    <w:rsid w:val="00466ECC"/>
    <w:rsid w:val="00467521"/>
    <w:rsid w:val="0046772A"/>
    <w:rsid w:val="0047037A"/>
    <w:rsid w:val="00471175"/>
    <w:rsid w:val="00471F3A"/>
    <w:rsid w:val="00473257"/>
    <w:rsid w:val="00475AAD"/>
    <w:rsid w:val="004763FD"/>
    <w:rsid w:val="00477BC5"/>
    <w:rsid w:val="004809F1"/>
    <w:rsid w:val="00480AB4"/>
    <w:rsid w:val="00480BD2"/>
    <w:rsid w:val="0048112C"/>
    <w:rsid w:val="004814C5"/>
    <w:rsid w:val="00481D12"/>
    <w:rsid w:val="0048221F"/>
    <w:rsid w:val="00483846"/>
    <w:rsid w:val="00483F84"/>
    <w:rsid w:val="00484133"/>
    <w:rsid w:val="004854F8"/>
    <w:rsid w:val="00486AB3"/>
    <w:rsid w:val="00487D7C"/>
    <w:rsid w:val="00490A25"/>
    <w:rsid w:val="00490B82"/>
    <w:rsid w:val="00490D8A"/>
    <w:rsid w:val="00491F07"/>
    <w:rsid w:val="00496D5B"/>
    <w:rsid w:val="00497DCC"/>
    <w:rsid w:val="004A00D1"/>
    <w:rsid w:val="004A04D4"/>
    <w:rsid w:val="004A0C02"/>
    <w:rsid w:val="004A24F0"/>
    <w:rsid w:val="004A677D"/>
    <w:rsid w:val="004A7468"/>
    <w:rsid w:val="004A790C"/>
    <w:rsid w:val="004B017C"/>
    <w:rsid w:val="004B1143"/>
    <w:rsid w:val="004B2914"/>
    <w:rsid w:val="004B44B3"/>
    <w:rsid w:val="004B72DE"/>
    <w:rsid w:val="004C022B"/>
    <w:rsid w:val="004C5207"/>
    <w:rsid w:val="004C74EB"/>
    <w:rsid w:val="004C7F95"/>
    <w:rsid w:val="004D0250"/>
    <w:rsid w:val="004D0C07"/>
    <w:rsid w:val="004D115C"/>
    <w:rsid w:val="004D361F"/>
    <w:rsid w:val="004D4020"/>
    <w:rsid w:val="004D4759"/>
    <w:rsid w:val="004D5B92"/>
    <w:rsid w:val="004D5BDA"/>
    <w:rsid w:val="004D692F"/>
    <w:rsid w:val="004D6D69"/>
    <w:rsid w:val="004D7509"/>
    <w:rsid w:val="004E0DFF"/>
    <w:rsid w:val="004E5165"/>
    <w:rsid w:val="004E6771"/>
    <w:rsid w:val="004E7661"/>
    <w:rsid w:val="004F032C"/>
    <w:rsid w:val="004F14F1"/>
    <w:rsid w:val="004F2A11"/>
    <w:rsid w:val="004F3F92"/>
    <w:rsid w:val="004F462E"/>
    <w:rsid w:val="004F482F"/>
    <w:rsid w:val="004F55DE"/>
    <w:rsid w:val="004F6679"/>
    <w:rsid w:val="004F75D8"/>
    <w:rsid w:val="004F75FE"/>
    <w:rsid w:val="005006D8"/>
    <w:rsid w:val="005011B2"/>
    <w:rsid w:val="00501775"/>
    <w:rsid w:val="00504B38"/>
    <w:rsid w:val="00505B0A"/>
    <w:rsid w:val="0050621B"/>
    <w:rsid w:val="00506FF7"/>
    <w:rsid w:val="005141BE"/>
    <w:rsid w:val="00515732"/>
    <w:rsid w:val="00516B68"/>
    <w:rsid w:val="00517E32"/>
    <w:rsid w:val="00520E22"/>
    <w:rsid w:val="0052165C"/>
    <w:rsid w:val="00523049"/>
    <w:rsid w:val="00523DDC"/>
    <w:rsid w:val="005242A5"/>
    <w:rsid w:val="0053157F"/>
    <w:rsid w:val="00532579"/>
    <w:rsid w:val="00533E55"/>
    <w:rsid w:val="00534942"/>
    <w:rsid w:val="005406D2"/>
    <w:rsid w:val="005409F5"/>
    <w:rsid w:val="0054104A"/>
    <w:rsid w:val="00541D45"/>
    <w:rsid w:val="00550C60"/>
    <w:rsid w:val="00553725"/>
    <w:rsid w:val="00554119"/>
    <w:rsid w:val="005554DD"/>
    <w:rsid w:val="00555DC2"/>
    <w:rsid w:val="00556EE7"/>
    <w:rsid w:val="005579B0"/>
    <w:rsid w:val="00560A05"/>
    <w:rsid w:val="00560D91"/>
    <w:rsid w:val="0056189D"/>
    <w:rsid w:val="005641B4"/>
    <w:rsid w:val="00564422"/>
    <w:rsid w:val="0056452A"/>
    <w:rsid w:val="00565271"/>
    <w:rsid w:val="00567F49"/>
    <w:rsid w:val="00572576"/>
    <w:rsid w:val="00572782"/>
    <w:rsid w:val="00572D72"/>
    <w:rsid w:val="00572EDD"/>
    <w:rsid w:val="005737FC"/>
    <w:rsid w:val="00573E9D"/>
    <w:rsid w:val="00577E05"/>
    <w:rsid w:val="00582529"/>
    <w:rsid w:val="0058294F"/>
    <w:rsid w:val="00583E62"/>
    <w:rsid w:val="00583ED1"/>
    <w:rsid w:val="0058469F"/>
    <w:rsid w:val="0058572F"/>
    <w:rsid w:val="00587B22"/>
    <w:rsid w:val="005926AF"/>
    <w:rsid w:val="00594763"/>
    <w:rsid w:val="00595825"/>
    <w:rsid w:val="00595B5F"/>
    <w:rsid w:val="005A0806"/>
    <w:rsid w:val="005A1A5B"/>
    <w:rsid w:val="005A3969"/>
    <w:rsid w:val="005A3AAC"/>
    <w:rsid w:val="005A6723"/>
    <w:rsid w:val="005A67AA"/>
    <w:rsid w:val="005A79BC"/>
    <w:rsid w:val="005A7AE4"/>
    <w:rsid w:val="005B0736"/>
    <w:rsid w:val="005B1114"/>
    <w:rsid w:val="005B130E"/>
    <w:rsid w:val="005B2534"/>
    <w:rsid w:val="005B2E4E"/>
    <w:rsid w:val="005B7A2C"/>
    <w:rsid w:val="005B7B94"/>
    <w:rsid w:val="005C0539"/>
    <w:rsid w:val="005C13E5"/>
    <w:rsid w:val="005C1BD1"/>
    <w:rsid w:val="005C29C1"/>
    <w:rsid w:val="005C305F"/>
    <w:rsid w:val="005C3284"/>
    <w:rsid w:val="005C3CBF"/>
    <w:rsid w:val="005C4C5F"/>
    <w:rsid w:val="005C5576"/>
    <w:rsid w:val="005C5C45"/>
    <w:rsid w:val="005C6EE5"/>
    <w:rsid w:val="005C7CD3"/>
    <w:rsid w:val="005C7D66"/>
    <w:rsid w:val="005C7D8E"/>
    <w:rsid w:val="005D2CAD"/>
    <w:rsid w:val="005D4294"/>
    <w:rsid w:val="005D49F7"/>
    <w:rsid w:val="005D6A89"/>
    <w:rsid w:val="005D6E7D"/>
    <w:rsid w:val="005D7E7F"/>
    <w:rsid w:val="005E1FE5"/>
    <w:rsid w:val="005E2632"/>
    <w:rsid w:val="005E3887"/>
    <w:rsid w:val="005E41FE"/>
    <w:rsid w:val="005E440D"/>
    <w:rsid w:val="005E5418"/>
    <w:rsid w:val="005E566A"/>
    <w:rsid w:val="005E752D"/>
    <w:rsid w:val="005E77EA"/>
    <w:rsid w:val="005F2E04"/>
    <w:rsid w:val="005F3257"/>
    <w:rsid w:val="005F3D57"/>
    <w:rsid w:val="005F5050"/>
    <w:rsid w:val="005F687E"/>
    <w:rsid w:val="005F6A87"/>
    <w:rsid w:val="00600BC1"/>
    <w:rsid w:val="006016B5"/>
    <w:rsid w:val="00603FE9"/>
    <w:rsid w:val="006074CE"/>
    <w:rsid w:val="00614C7D"/>
    <w:rsid w:val="0061723A"/>
    <w:rsid w:val="006179E3"/>
    <w:rsid w:val="0062025B"/>
    <w:rsid w:val="0062255D"/>
    <w:rsid w:val="006233B7"/>
    <w:rsid w:val="0062687B"/>
    <w:rsid w:val="00630028"/>
    <w:rsid w:val="006301F5"/>
    <w:rsid w:val="00630A2C"/>
    <w:rsid w:val="00632EA9"/>
    <w:rsid w:val="006362F0"/>
    <w:rsid w:val="00640736"/>
    <w:rsid w:val="006408F2"/>
    <w:rsid w:val="0064091A"/>
    <w:rsid w:val="00640922"/>
    <w:rsid w:val="0064152C"/>
    <w:rsid w:val="00641F30"/>
    <w:rsid w:val="00643291"/>
    <w:rsid w:val="006445C7"/>
    <w:rsid w:val="00646FD9"/>
    <w:rsid w:val="006509BB"/>
    <w:rsid w:val="00650C87"/>
    <w:rsid w:val="00650CF0"/>
    <w:rsid w:val="00652B86"/>
    <w:rsid w:val="00653C2F"/>
    <w:rsid w:val="00654385"/>
    <w:rsid w:val="00654B6D"/>
    <w:rsid w:val="00656A6D"/>
    <w:rsid w:val="006573CD"/>
    <w:rsid w:val="00657529"/>
    <w:rsid w:val="0065769F"/>
    <w:rsid w:val="006576E8"/>
    <w:rsid w:val="006578F6"/>
    <w:rsid w:val="00657B43"/>
    <w:rsid w:val="00657FF7"/>
    <w:rsid w:val="00660618"/>
    <w:rsid w:val="0066137C"/>
    <w:rsid w:val="00661DDF"/>
    <w:rsid w:val="00661F89"/>
    <w:rsid w:val="006629F8"/>
    <w:rsid w:val="006631B8"/>
    <w:rsid w:val="00666F76"/>
    <w:rsid w:val="00666F97"/>
    <w:rsid w:val="0066791D"/>
    <w:rsid w:val="0067160F"/>
    <w:rsid w:val="00672286"/>
    <w:rsid w:val="0067306A"/>
    <w:rsid w:val="00673815"/>
    <w:rsid w:val="006747F8"/>
    <w:rsid w:val="006750AA"/>
    <w:rsid w:val="00676598"/>
    <w:rsid w:val="00676BB6"/>
    <w:rsid w:val="00677EE8"/>
    <w:rsid w:val="00681254"/>
    <w:rsid w:val="00681EDB"/>
    <w:rsid w:val="0068509D"/>
    <w:rsid w:val="00687A80"/>
    <w:rsid w:val="0069064A"/>
    <w:rsid w:val="00690EC6"/>
    <w:rsid w:val="00691E68"/>
    <w:rsid w:val="00692FAC"/>
    <w:rsid w:val="006945C2"/>
    <w:rsid w:val="00695F56"/>
    <w:rsid w:val="00697EE8"/>
    <w:rsid w:val="006A15D9"/>
    <w:rsid w:val="006A2835"/>
    <w:rsid w:val="006A3FD8"/>
    <w:rsid w:val="006A4884"/>
    <w:rsid w:val="006A6281"/>
    <w:rsid w:val="006A71FD"/>
    <w:rsid w:val="006A72A3"/>
    <w:rsid w:val="006A7599"/>
    <w:rsid w:val="006B25CF"/>
    <w:rsid w:val="006B49EC"/>
    <w:rsid w:val="006B4F9B"/>
    <w:rsid w:val="006B61D4"/>
    <w:rsid w:val="006B6A74"/>
    <w:rsid w:val="006B6B0B"/>
    <w:rsid w:val="006B6DA3"/>
    <w:rsid w:val="006B7687"/>
    <w:rsid w:val="006B77E2"/>
    <w:rsid w:val="006C1ECE"/>
    <w:rsid w:val="006C2B8B"/>
    <w:rsid w:val="006C36EB"/>
    <w:rsid w:val="006C3C68"/>
    <w:rsid w:val="006C4E13"/>
    <w:rsid w:val="006C645A"/>
    <w:rsid w:val="006C6532"/>
    <w:rsid w:val="006C6641"/>
    <w:rsid w:val="006C6942"/>
    <w:rsid w:val="006C6A86"/>
    <w:rsid w:val="006D13F9"/>
    <w:rsid w:val="006D43BE"/>
    <w:rsid w:val="006D516B"/>
    <w:rsid w:val="006D6B61"/>
    <w:rsid w:val="006D74CB"/>
    <w:rsid w:val="006D755B"/>
    <w:rsid w:val="006E10E2"/>
    <w:rsid w:val="006E17AD"/>
    <w:rsid w:val="006E18A9"/>
    <w:rsid w:val="006E2715"/>
    <w:rsid w:val="006E2828"/>
    <w:rsid w:val="006E2D18"/>
    <w:rsid w:val="006E3318"/>
    <w:rsid w:val="006E4C43"/>
    <w:rsid w:val="006E565B"/>
    <w:rsid w:val="006E5CDA"/>
    <w:rsid w:val="006E60FF"/>
    <w:rsid w:val="006E6BA3"/>
    <w:rsid w:val="006F011D"/>
    <w:rsid w:val="006F120C"/>
    <w:rsid w:val="006F17F8"/>
    <w:rsid w:val="006F19BC"/>
    <w:rsid w:val="006F1CCB"/>
    <w:rsid w:val="006F375E"/>
    <w:rsid w:val="006F3E7C"/>
    <w:rsid w:val="006F6FCC"/>
    <w:rsid w:val="006F7979"/>
    <w:rsid w:val="006F7E5D"/>
    <w:rsid w:val="00701665"/>
    <w:rsid w:val="007025AF"/>
    <w:rsid w:val="007029E3"/>
    <w:rsid w:val="00704D62"/>
    <w:rsid w:val="00705D34"/>
    <w:rsid w:val="00706943"/>
    <w:rsid w:val="00707107"/>
    <w:rsid w:val="00711C99"/>
    <w:rsid w:val="00712C56"/>
    <w:rsid w:val="0072025E"/>
    <w:rsid w:val="007217F2"/>
    <w:rsid w:val="00721C38"/>
    <w:rsid w:val="00722CF0"/>
    <w:rsid w:val="00724031"/>
    <w:rsid w:val="00724B69"/>
    <w:rsid w:val="007256E9"/>
    <w:rsid w:val="00725A19"/>
    <w:rsid w:val="00725D99"/>
    <w:rsid w:val="00725E32"/>
    <w:rsid w:val="007261A5"/>
    <w:rsid w:val="00727D19"/>
    <w:rsid w:val="00727D31"/>
    <w:rsid w:val="00727E7B"/>
    <w:rsid w:val="0073126A"/>
    <w:rsid w:val="007315FB"/>
    <w:rsid w:val="00732B5A"/>
    <w:rsid w:val="00733D36"/>
    <w:rsid w:val="007342F0"/>
    <w:rsid w:val="007349F9"/>
    <w:rsid w:val="00735EEC"/>
    <w:rsid w:val="00736399"/>
    <w:rsid w:val="00737D55"/>
    <w:rsid w:val="0074062D"/>
    <w:rsid w:val="00740CD0"/>
    <w:rsid w:val="00745B0F"/>
    <w:rsid w:val="0074691E"/>
    <w:rsid w:val="00750B8C"/>
    <w:rsid w:val="00751418"/>
    <w:rsid w:val="00754A61"/>
    <w:rsid w:val="00754C7B"/>
    <w:rsid w:val="00756B40"/>
    <w:rsid w:val="00756CF8"/>
    <w:rsid w:val="007600F8"/>
    <w:rsid w:val="00760FF8"/>
    <w:rsid w:val="00762884"/>
    <w:rsid w:val="00762AD1"/>
    <w:rsid w:val="00763B6F"/>
    <w:rsid w:val="00763BCB"/>
    <w:rsid w:val="00764999"/>
    <w:rsid w:val="00767104"/>
    <w:rsid w:val="00770637"/>
    <w:rsid w:val="00771CF2"/>
    <w:rsid w:val="00772212"/>
    <w:rsid w:val="0077233E"/>
    <w:rsid w:val="00772EC9"/>
    <w:rsid w:val="007739B2"/>
    <w:rsid w:val="00775C78"/>
    <w:rsid w:val="007760B2"/>
    <w:rsid w:val="00777008"/>
    <w:rsid w:val="007779A7"/>
    <w:rsid w:val="00777BA9"/>
    <w:rsid w:val="00781C3F"/>
    <w:rsid w:val="00781E55"/>
    <w:rsid w:val="00782BD0"/>
    <w:rsid w:val="00782D81"/>
    <w:rsid w:val="00783A26"/>
    <w:rsid w:val="00783F89"/>
    <w:rsid w:val="00787F15"/>
    <w:rsid w:val="00790FC8"/>
    <w:rsid w:val="007917C4"/>
    <w:rsid w:val="00792680"/>
    <w:rsid w:val="00795B93"/>
    <w:rsid w:val="0079749C"/>
    <w:rsid w:val="007A0120"/>
    <w:rsid w:val="007A05A7"/>
    <w:rsid w:val="007A23A3"/>
    <w:rsid w:val="007A32F2"/>
    <w:rsid w:val="007A5749"/>
    <w:rsid w:val="007A615A"/>
    <w:rsid w:val="007B06CC"/>
    <w:rsid w:val="007B10BC"/>
    <w:rsid w:val="007B152C"/>
    <w:rsid w:val="007B2698"/>
    <w:rsid w:val="007B4F74"/>
    <w:rsid w:val="007C10F3"/>
    <w:rsid w:val="007C3565"/>
    <w:rsid w:val="007C3C15"/>
    <w:rsid w:val="007C3DBD"/>
    <w:rsid w:val="007C4B93"/>
    <w:rsid w:val="007C4E0B"/>
    <w:rsid w:val="007C5DC9"/>
    <w:rsid w:val="007C619E"/>
    <w:rsid w:val="007C6B45"/>
    <w:rsid w:val="007D11C7"/>
    <w:rsid w:val="007D2706"/>
    <w:rsid w:val="007D3FA3"/>
    <w:rsid w:val="007D4108"/>
    <w:rsid w:val="007D45ED"/>
    <w:rsid w:val="007D4DD8"/>
    <w:rsid w:val="007D6AFC"/>
    <w:rsid w:val="007D7A78"/>
    <w:rsid w:val="007E0FE6"/>
    <w:rsid w:val="007E2716"/>
    <w:rsid w:val="007E33D0"/>
    <w:rsid w:val="007E5B0C"/>
    <w:rsid w:val="007F0010"/>
    <w:rsid w:val="007F11F0"/>
    <w:rsid w:val="007F2225"/>
    <w:rsid w:val="007F3A9A"/>
    <w:rsid w:val="007F3D65"/>
    <w:rsid w:val="007F4BE5"/>
    <w:rsid w:val="007F6041"/>
    <w:rsid w:val="007F7341"/>
    <w:rsid w:val="00801EF7"/>
    <w:rsid w:val="00802638"/>
    <w:rsid w:val="00804F0A"/>
    <w:rsid w:val="00813B4E"/>
    <w:rsid w:val="008164DF"/>
    <w:rsid w:val="008164FB"/>
    <w:rsid w:val="00820745"/>
    <w:rsid w:val="00820B6E"/>
    <w:rsid w:val="00823A33"/>
    <w:rsid w:val="008254EB"/>
    <w:rsid w:val="00825A3D"/>
    <w:rsid w:val="00826883"/>
    <w:rsid w:val="00826F70"/>
    <w:rsid w:val="00833C8A"/>
    <w:rsid w:val="00834515"/>
    <w:rsid w:val="00834743"/>
    <w:rsid w:val="00836428"/>
    <w:rsid w:val="00837D04"/>
    <w:rsid w:val="00840057"/>
    <w:rsid w:val="0084044F"/>
    <w:rsid w:val="00840B75"/>
    <w:rsid w:val="00844CEC"/>
    <w:rsid w:val="00845783"/>
    <w:rsid w:val="00846ACB"/>
    <w:rsid w:val="00847EA9"/>
    <w:rsid w:val="00850884"/>
    <w:rsid w:val="0085092B"/>
    <w:rsid w:val="008546DC"/>
    <w:rsid w:val="00854915"/>
    <w:rsid w:val="00854991"/>
    <w:rsid w:val="00854E45"/>
    <w:rsid w:val="00855024"/>
    <w:rsid w:val="00856A3A"/>
    <w:rsid w:val="008626F4"/>
    <w:rsid w:val="008632E8"/>
    <w:rsid w:val="00864166"/>
    <w:rsid w:val="008647FD"/>
    <w:rsid w:val="00865CBD"/>
    <w:rsid w:val="00865E1C"/>
    <w:rsid w:val="00865F17"/>
    <w:rsid w:val="0086676D"/>
    <w:rsid w:val="00867A81"/>
    <w:rsid w:val="00867F73"/>
    <w:rsid w:val="008705F6"/>
    <w:rsid w:val="00871A9C"/>
    <w:rsid w:val="00871BB3"/>
    <w:rsid w:val="00871EF0"/>
    <w:rsid w:val="0087453E"/>
    <w:rsid w:val="008747A6"/>
    <w:rsid w:val="008770AE"/>
    <w:rsid w:val="00882E64"/>
    <w:rsid w:val="00883CD8"/>
    <w:rsid w:val="0088415B"/>
    <w:rsid w:val="00885742"/>
    <w:rsid w:val="00885CDE"/>
    <w:rsid w:val="008879F2"/>
    <w:rsid w:val="00887A54"/>
    <w:rsid w:val="00887ACB"/>
    <w:rsid w:val="0089008F"/>
    <w:rsid w:val="008900AF"/>
    <w:rsid w:val="00890CE7"/>
    <w:rsid w:val="00891A21"/>
    <w:rsid w:val="00892A78"/>
    <w:rsid w:val="00893786"/>
    <w:rsid w:val="00896A44"/>
    <w:rsid w:val="00897043"/>
    <w:rsid w:val="008A06B6"/>
    <w:rsid w:val="008A0D6D"/>
    <w:rsid w:val="008A2360"/>
    <w:rsid w:val="008A2552"/>
    <w:rsid w:val="008A2C35"/>
    <w:rsid w:val="008A3EB7"/>
    <w:rsid w:val="008A4082"/>
    <w:rsid w:val="008A4269"/>
    <w:rsid w:val="008A4953"/>
    <w:rsid w:val="008A5689"/>
    <w:rsid w:val="008A5EEA"/>
    <w:rsid w:val="008A6B78"/>
    <w:rsid w:val="008A6C26"/>
    <w:rsid w:val="008B0462"/>
    <w:rsid w:val="008B1A5D"/>
    <w:rsid w:val="008B2650"/>
    <w:rsid w:val="008B27FC"/>
    <w:rsid w:val="008B3B3C"/>
    <w:rsid w:val="008B6003"/>
    <w:rsid w:val="008B640A"/>
    <w:rsid w:val="008B6717"/>
    <w:rsid w:val="008B700D"/>
    <w:rsid w:val="008B70B2"/>
    <w:rsid w:val="008C01C6"/>
    <w:rsid w:val="008C0E40"/>
    <w:rsid w:val="008C38D7"/>
    <w:rsid w:val="008C4BF5"/>
    <w:rsid w:val="008C6C9C"/>
    <w:rsid w:val="008C7D59"/>
    <w:rsid w:val="008D1578"/>
    <w:rsid w:val="008D15B2"/>
    <w:rsid w:val="008D2995"/>
    <w:rsid w:val="008D3D93"/>
    <w:rsid w:val="008D43CC"/>
    <w:rsid w:val="008D4FFB"/>
    <w:rsid w:val="008D5298"/>
    <w:rsid w:val="008D53CC"/>
    <w:rsid w:val="008D577A"/>
    <w:rsid w:val="008D6F74"/>
    <w:rsid w:val="008D7350"/>
    <w:rsid w:val="008E0FA8"/>
    <w:rsid w:val="008E1A84"/>
    <w:rsid w:val="008E25C8"/>
    <w:rsid w:val="008E3193"/>
    <w:rsid w:val="008E3C83"/>
    <w:rsid w:val="008E5170"/>
    <w:rsid w:val="008E66D5"/>
    <w:rsid w:val="008E7EFB"/>
    <w:rsid w:val="008F1BC0"/>
    <w:rsid w:val="008F29BF"/>
    <w:rsid w:val="008F51C5"/>
    <w:rsid w:val="008F670E"/>
    <w:rsid w:val="00900031"/>
    <w:rsid w:val="009033F1"/>
    <w:rsid w:val="00903420"/>
    <w:rsid w:val="00903DFE"/>
    <w:rsid w:val="0090495E"/>
    <w:rsid w:val="00907784"/>
    <w:rsid w:val="0091125E"/>
    <w:rsid w:val="009113F6"/>
    <w:rsid w:val="0091422A"/>
    <w:rsid w:val="009157F0"/>
    <w:rsid w:val="009162C0"/>
    <w:rsid w:val="00920093"/>
    <w:rsid w:val="00920D92"/>
    <w:rsid w:val="0092311A"/>
    <w:rsid w:val="00923882"/>
    <w:rsid w:val="009251C9"/>
    <w:rsid w:val="00925767"/>
    <w:rsid w:val="00925E0D"/>
    <w:rsid w:val="009275C3"/>
    <w:rsid w:val="00927F20"/>
    <w:rsid w:val="009313BB"/>
    <w:rsid w:val="009323F0"/>
    <w:rsid w:val="009333F5"/>
    <w:rsid w:val="00936802"/>
    <w:rsid w:val="00936B45"/>
    <w:rsid w:val="00936E12"/>
    <w:rsid w:val="009379EF"/>
    <w:rsid w:val="00937E50"/>
    <w:rsid w:val="00940C45"/>
    <w:rsid w:val="009428A9"/>
    <w:rsid w:val="0094379F"/>
    <w:rsid w:val="00945AF3"/>
    <w:rsid w:val="0094719F"/>
    <w:rsid w:val="00947C69"/>
    <w:rsid w:val="009503DE"/>
    <w:rsid w:val="00950D46"/>
    <w:rsid w:val="009513D7"/>
    <w:rsid w:val="00951C13"/>
    <w:rsid w:val="009523A9"/>
    <w:rsid w:val="009540E7"/>
    <w:rsid w:val="009563A3"/>
    <w:rsid w:val="00957017"/>
    <w:rsid w:val="00957B45"/>
    <w:rsid w:val="00960BB8"/>
    <w:rsid w:val="00961736"/>
    <w:rsid w:val="009626C0"/>
    <w:rsid w:val="009632ED"/>
    <w:rsid w:val="009655D6"/>
    <w:rsid w:val="0096562D"/>
    <w:rsid w:val="00965739"/>
    <w:rsid w:val="00965744"/>
    <w:rsid w:val="0097172C"/>
    <w:rsid w:val="00971D6D"/>
    <w:rsid w:val="00971F1C"/>
    <w:rsid w:val="00972ADD"/>
    <w:rsid w:val="00973A0F"/>
    <w:rsid w:val="00980934"/>
    <w:rsid w:val="00980A48"/>
    <w:rsid w:val="00980A5C"/>
    <w:rsid w:val="00982EEC"/>
    <w:rsid w:val="00984655"/>
    <w:rsid w:val="009855E0"/>
    <w:rsid w:val="00985B6C"/>
    <w:rsid w:val="0098658C"/>
    <w:rsid w:val="00987B6D"/>
    <w:rsid w:val="00987F87"/>
    <w:rsid w:val="009920ED"/>
    <w:rsid w:val="00992E13"/>
    <w:rsid w:val="0099376C"/>
    <w:rsid w:val="009961F2"/>
    <w:rsid w:val="009972D2"/>
    <w:rsid w:val="00997480"/>
    <w:rsid w:val="009977DA"/>
    <w:rsid w:val="009A014B"/>
    <w:rsid w:val="009A6043"/>
    <w:rsid w:val="009A6A62"/>
    <w:rsid w:val="009B082B"/>
    <w:rsid w:val="009B14E9"/>
    <w:rsid w:val="009B17FD"/>
    <w:rsid w:val="009B2F37"/>
    <w:rsid w:val="009B4150"/>
    <w:rsid w:val="009B461E"/>
    <w:rsid w:val="009B4E33"/>
    <w:rsid w:val="009B630E"/>
    <w:rsid w:val="009B6473"/>
    <w:rsid w:val="009B683D"/>
    <w:rsid w:val="009C146C"/>
    <w:rsid w:val="009C1FD5"/>
    <w:rsid w:val="009C5DC6"/>
    <w:rsid w:val="009C76F2"/>
    <w:rsid w:val="009D089B"/>
    <w:rsid w:val="009D1B91"/>
    <w:rsid w:val="009D3E55"/>
    <w:rsid w:val="009D49E0"/>
    <w:rsid w:val="009D5A18"/>
    <w:rsid w:val="009D621F"/>
    <w:rsid w:val="009D6D1A"/>
    <w:rsid w:val="009D7571"/>
    <w:rsid w:val="009E077B"/>
    <w:rsid w:val="009E2075"/>
    <w:rsid w:val="009E31BA"/>
    <w:rsid w:val="009E3AEC"/>
    <w:rsid w:val="009E44E7"/>
    <w:rsid w:val="009E5B2C"/>
    <w:rsid w:val="009F01CC"/>
    <w:rsid w:val="009F059C"/>
    <w:rsid w:val="009F0D47"/>
    <w:rsid w:val="009F223D"/>
    <w:rsid w:val="009F2FF9"/>
    <w:rsid w:val="009F3592"/>
    <w:rsid w:val="009F3C6F"/>
    <w:rsid w:val="009F3D0E"/>
    <w:rsid w:val="009F4C0B"/>
    <w:rsid w:val="009F637F"/>
    <w:rsid w:val="009F6E5E"/>
    <w:rsid w:val="009F73B9"/>
    <w:rsid w:val="00A01163"/>
    <w:rsid w:val="00A0248A"/>
    <w:rsid w:val="00A02675"/>
    <w:rsid w:val="00A049E9"/>
    <w:rsid w:val="00A04E45"/>
    <w:rsid w:val="00A04FCF"/>
    <w:rsid w:val="00A05E76"/>
    <w:rsid w:val="00A11B54"/>
    <w:rsid w:val="00A12961"/>
    <w:rsid w:val="00A156EA"/>
    <w:rsid w:val="00A20168"/>
    <w:rsid w:val="00A2057B"/>
    <w:rsid w:val="00A20E16"/>
    <w:rsid w:val="00A22C5C"/>
    <w:rsid w:val="00A24A64"/>
    <w:rsid w:val="00A24DFF"/>
    <w:rsid w:val="00A25E43"/>
    <w:rsid w:val="00A262DC"/>
    <w:rsid w:val="00A26555"/>
    <w:rsid w:val="00A26A21"/>
    <w:rsid w:val="00A26D9A"/>
    <w:rsid w:val="00A276BA"/>
    <w:rsid w:val="00A31277"/>
    <w:rsid w:val="00A31369"/>
    <w:rsid w:val="00A31DB8"/>
    <w:rsid w:val="00A3261C"/>
    <w:rsid w:val="00A35F1F"/>
    <w:rsid w:val="00A4362E"/>
    <w:rsid w:val="00A43ABB"/>
    <w:rsid w:val="00A44774"/>
    <w:rsid w:val="00A458CC"/>
    <w:rsid w:val="00A510CE"/>
    <w:rsid w:val="00A52215"/>
    <w:rsid w:val="00A55D17"/>
    <w:rsid w:val="00A55E58"/>
    <w:rsid w:val="00A5632E"/>
    <w:rsid w:val="00A57D61"/>
    <w:rsid w:val="00A62645"/>
    <w:rsid w:val="00A62C90"/>
    <w:rsid w:val="00A64116"/>
    <w:rsid w:val="00A6486D"/>
    <w:rsid w:val="00A66B00"/>
    <w:rsid w:val="00A70799"/>
    <w:rsid w:val="00A70BC8"/>
    <w:rsid w:val="00A70E6F"/>
    <w:rsid w:val="00A7150E"/>
    <w:rsid w:val="00A715C5"/>
    <w:rsid w:val="00A715CE"/>
    <w:rsid w:val="00A728A6"/>
    <w:rsid w:val="00A73507"/>
    <w:rsid w:val="00A74737"/>
    <w:rsid w:val="00A7500B"/>
    <w:rsid w:val="00A75C40"/>
    <w:rsid w:val="00A81468"/>
    <w:rsid w:val="00A84166"/>
    <w:rsid w:val="00A85693"/>
    <w:rsid w:val="00A866ED"/>
    <w:rsid w:val="00A86F5E"/>
    <w:rsid w:val="00A8711A"/>
    <w:rsid w:val="00A904D0"/>
    <w:rsid w:val="00A90821"/>
    <w:rsid w:val="00A916E5"/>
    <w:rsid w:val="00A91CCD"/>
    <w:rsid w:val="00A91D1A"/>
    <w:rsid w:val="00A947A5"/>
    <w:rsid w:val="00A947C3"/>
    <w:rsid w:val="00A957D7"/>
    <w:rsid w:val="00A95922"/>
    <w:rsid w:val="00A96FD2"/>
    <w:rsid w:val="00A970AF"/>
    <w:rsid w:val="00AA0BF1"/>
    <w:rsid w:val="00AA139F"/>
    <w:rsid w:val="00AA1723"/>
    <w:rsid w:val="00AA3044"/>
    <w:rsid w:val="00AA3375"/>
    <w:rsid w:val="00AA3B51"/>
    <w:rsid w:val="00AA4AEB"/>
    <w:rsid w:val="00AA517C"/>
    <w:rsid w:val="00AA54B1"/>
    <w:rsid w:val="00AA6B59"/>
    <w:rsid w:val="00AB17F0"/>
    <w:rsid w:val="00AB5389"/>
    <w:rsid w:val="00AB5E95"/>
    <w:rsid w:val="00AB6A07"/>
    <w:rsid w:val="00AB7D60"/>
    <w:rsid w:val="00AC2DB0"/>
    <w:rsid w:val="00AC34A9"/>
    <w:rsid w:val="00AC3CAC"/>
    <w:rsid w:val="00AC4013"/>
    <w:rsid w:val="00AC6B93"/>
    <w:rsid w:val="00AC6D74"/>
    <w:rsid w:val="00AC764B"/>
    <w:rsid w:val="00AD0A65"/>
    <w:rsid w:val="00AD2017"/>
    <w:rsid w:val="00AD2E61"/>
    <w:rsid w:val="00AD34B0"/>
    <w:rsid w:val="00AD535D"/>
    <w:rsid w:val="00AD6D51"/>
    <w:rsid w:val="00AD6ED8"/>
    <w:rsid w:val="00AD7D78"/>
    <w:rsid w:val="00AD7DD8"/>
    <w:rsid w:val="00AE0F61"/>
    <w:rsid w:val="00AF06CB"/>
    <w:rsid w:val="00AF0E48"/>
    <w:rsid w:val="00AF2351"/>
    <w:rsid w:val="00AF3665"/>
    <w:rsid w:val="00AF36B9"/>
    <w:rsid w:val="00AF45A2"/>
    <w:rsid w:val="00AF5D9B"/>
    <w:rsid w:val="00AF739F"/>
    <w:rsid w:val="00AF782E"/>
    <w:rsid w:val="00AF786E"/>
    <w:rsid w:val="00B01374"/>
    <w:rsid w:val="00B04810"/>
    <w:rsid w:val="00B0608A"/>
    <w:rsid w:val="00B06C12"/>
    <w:rsid w:val="00B07C3E"/>
    <w:rsid w:val="00B07F50"/>
    <w:rsid w:val="00B1034A"/>
    <w:rsid w:val="00B14237"/>
    <w:rsid w:val="00B14EF7"/>
    <w:rsid w:val="00B168B9"/>
    <w:rsid w:val="00B16D7E"/>
    <w:rsid w:val="00B21BC9"/>
    <w:rsid w:val="00B22A9C"/>
    <w:rsid w:val="00B23B2A"/>
    <w:rsid w:val="00B24CAE"/>
    <w:rsid w:val="00B26784"/>
    <w:rsid w:val="00B2796C"/>
    <w:rsid w:val="00B31A8A"/>
    <w:rsid w:val="00B328FE"/>
    <w:rsid w:val="00B32B19"/>
    <w:rsid w:val="00B33B2A"/>
    <w:rsid w:val="00B35568"/>
    <w:rsid w:val="00B3588F"/>
    <w:rsid w:val="00B35983"/>
    <w:rsid w:val="00B36502"/>
    <w:rsid w:val="00B36AE8"/>
    <w:rsid w:val="00B36F8B"/>
    <w:rsid w:val="00B37280"/>
    <w:rsid w:val="00B3734D"/>
    <w:rsid w:val="00B40FA4"/>
    <w:rsid w:val="00B41D32"/>
    <w:rsid w:val="00B41DFE"/>
    <w:rsid w:val="00B42A0D"/>
    <w:rsid w:val="00B43482"/>
    <w:rsid w:val="00B43602"/>
    <w:rsid w:val="00B44F38"/>
    <w:rsid w:val="00B46CE6"/>
    <w:rsid w:val="00B50941"/>
    <w:rsid w:val="00B50F01"/>
    <w:rsid w:val="00B51A15"/>
    <w:rsid w:val="00B520B5"/>
    <w:rsid w:val="00B524AA"/>
    <w:rsid w:val="00B52909"/>
    <w:rsid w:val="00B542EE"/>
    <w:rsid w:val="00B54568"/>
    <w:rsid w:val="00B54F7F"/>
    <w:rsid w:val="00B5650E"/>
    <w:rsid w:val="00B56664"/>
    <w:rsid w:val="00B57AC1"/>
    <w:rsid w:val="00B613CA"/>
    <w:rsid w:val="00B613DC"/>
    <w:rsid w:val="00B640EE"/>
    <w:rsid w:val="00B64385"/>
    <w:rsid w:val="00B64A59"/>
    <w:rsid w:val="00B663DB"/>
    <w:rsid w:val="00B67958"/>
    <w:rsid w:val="00B71853"/>
    <w:rsid w:val="00B72491"/>
    <w:rsid w:val="00B72BFA"/>
    <w:rsid w:val="00B72E6B"/>
    <w:rsid w:val="00B732D9"/>
    <w:rsid w:val="00B763F1"/>
    <w:rsid w:val="00B775C3"/>
    <w:rsid w:val="00B82055"/>
    <w:rsid w:val="00B826FC"/>
    <w:rsid w:val="00B82C49"/>
    <w:rsid w:val="00B82F4B"/>
    <w:rsid w:val="00B849E9"/>
    <w:rsid w:val="00B866C7"/>
    <w:rsid w:val="00B870E0"/>
    <w:rsid w:val="00B875D2"/>
    <w:rsid w:val="00B91BC6"/>
    <w:rsid w:val="00B94936"/>
    <w:rsid w:val="00B962F0"/>
    <w:rsid w:val="00B96543"/>
    <w:rsid w:val="00B974D2"/>
    <w:rsid w:val="00BA14BA"/>
    <w:rsid w:val="00BA4067"/>
    <w:rsid w:val="00BA457B"/>
    <w:rsid w:val="00BA4659"/>
    <w:rsid w:val="00BA563D"/>
    <w:rsid w:val="00BA56D1"/>
    <w:rsid w:val="00BA6CFC"/>
    <w:rsid w:val="00BA6D93"/>
    <w:rsid w:val="00BB02AF"/>
    <w:rsid w:val="00BB0810"/>
    <w:rsid w:val="00BB1332"/>
    <w:rsid w:val="00BB263D"/>
    <w:rsid w:val="00BB3FDC"/>
    <w:rsid w:val="00BB704C"/>
    <w:rsid w:val="00BB7581"/>
    <w:rsid w:val="00BC0727"/>
    <w:rsid w:val="00BD110D"/>
    <w:rsid w:val="00BD1F4F"/>
    <w:rsid w:val="00BD253D"/>
    <w:rsid w:val="00BD5F8D"/>
    <w:rsid w:val="00BD77A6"/>
    <w:rsid w:val="00BE1336"/>
    <w:rsid w:val="00BE277C"/>
    <w:rsid w:val="00BE39FC"/>
    <w:rsid w:val="00BE4A54"/>
    <w:rsid w:val="00BE6317"/>
    <w:rsid w:val="00BE7E1E"/>
    <w:rsid w:val="00BF1247"/>
    <w:rsid w:val="00BF164B"/>
    <w:rsid w:val="00BF2013"/>
    <w:rsid w:val="00BF3AE3"/>
    <w:rsid w:val="00BF5DF9"/>
    <w:rsid w:val="00BF6FE8"/>
    <w:rsid w:val="00BF781F"/>
    <w:rsid w:val="00BF7D5A"/>
    <w:rsid w:val="00BF7DEE"/>
    <w:rsid w:val="00C00A56"/>
    <w:rsid w:val="00C01281"/>
    <w:rsid w:val="00C0258A"/>
    <w:rsid w:val="00C02E5B"/>
    <w:rsid w:val="00C0433D"/>
    <w:rsid w:val="00C126D2"/>
    <w:rsid w:val="00C12D08"/>
    <w:rsid w:val="00C13A6F"/>
    <w:rsid w:val="00C141D9"/>
    <w:rsid w:val="00C145F4"/>
    <w:rsid w:val="00C151C9"/>
    <w:rsid w:val="00C1593E"/>
    <w:rsid w:val="00C1667E"/>
    <w:rsid w:val="00C17B20"/>
    <w:rsid w:val="00C17C7C"/>
    <w:rsid w:val="00C17D08"/>
    <w:rsid w:val="00C17E31"/>
    <w:rsid w:val="00C20EE0"/>
    <w:rsid w:val="00C24403"/>
    <w:rsid w:val="00C24ACC"/>
    <w:rsid w:val="00C25BEE"/>
    <w:rsid w:val="00C2738A"/>
    <w:rsid w:val="00C305B4"/>
    <w:rsid w:val="00C320BD"/>
    <w:rsid w:val="00C32993"/>
    <w:rsid w:val="00C33C52"/>
    <w:rsid w:val="00C35162"/>
    <w:rsid w:val="00C35591"/>
    <w:rsid w:val="00C35FE6"/>
    <w:rsid w:val="00C36D91"/>
    <w:rsid w:val="00C3730B"/>
    <w:rsid w:val="00C37DC5"/>
    <w:rsid w:val="00C4009B"/>
    <w:rsid w:val="00C408AF"/>
    <w:rsid w:val="00C40CD1"/>
    <w:rsid w:val="00C42A9D"/>
    <w:rsid w:val="00C44C64"/>
    <w:rsid w:val="00C44EAF"/>
    <w:rsid w:val="00C45E5A"/>
    <w:rsid w:val="00C467D1"/>
    <w:rsid w:val="00C501DB"/>
    <w:rsid w:val="00C530AA"/>
    <w:rsid w:val="00C53CEE"/>
    <w:rsid w:val="00C5525B"/>
    <w:rsid w:val="00C56290"/>
    <w:rsid w:val="00C602FB"/>
    <w:rsid w:val="00C6145F"/>
    <w:rsid w:val="00C61844"/>
    <w:rsid w:val="00C624EE"/>
    <w:rsid w:val="00C634AF"/>
    <w:rsid w:val="00C63824"/>
    <w:rsid w:val="00C6384F"/>
    <w:rsid w:val="00C63AD0"/>
    <w:rsid w:val="00C64874"/>
    <w:rsid w:val="00C64A06"/>
    <w:rsid w:val="00C64CB9"/>
    <w:rsid w:val="00C65DD0"/>
    <w:rsid w:val="00C70575"/>
    <w:rsid w:val="00C7215F"/>
    <w:rsid w:val="00C74305"/>
    <w:rsid w:val="00C752B4"/>
    <w:rsid w:val="00C7632F"/>
    <w:rsid w:val="00C77A32"/>
    <w:rsid w:val="00C80234"/>
    <w:rsid w:val="00C811F3"/>
    <w:rsid w:val="00C812FE"/>
    <w:rsid w:val="00C8159E"/>
    <w:rsid w:val="00C833EF"/>
    <w:rsid w:val="00C84E16"/>
    <w:rsid w:val="00C8680E"/>
    <w:rsid w:val="00C90078"/>
    <w:rsid w:val="00C92580"/>
    <w:rsid w:val="00C941FF"/>
    <w:rsid w:val="00C94E61"/>
    <w:rsid w:val="00C95DD9"/>
    <w:rsid w:val="00C96B0F"/>
    <w:rsid w:val="00C973A6"/>
    <w:rsid w:val="00CA0141"/>
    <w:rsid w:val="00CA20C1"/>
    <w:rsid w:val="00CA4606"/>
    <w:rsid w:val="00CA6915"/>
    <w:rsid w:val="00CB12A5"/>
    <w:rsid w:val="00CB23F0"/>
    <w:rsid w:val="00CB3A1A"/>
    <w:rsid w:val="00CB53E1"/>
    <w:rsid w:val="00CB545C"/>
    <w:rsid w:val="00CB675D"/>
    <w:rsid w:val="00CB7900"/>
    <w:rsid w:val="00CB7A42"/>
    <w:rsid w:val="00CC042E"/>
    <w:rsid w:val="00CC0D1C"/>
    <w:rsid w:val="00CC10CB"/>
    <w:rsid w:val="00CC3AA7"/>
    <w:rsid w:val="00CC5FC2"/>
    <w:rsid w:val="00CD034C"/>
    <w:rsid w:val="00CD1480"/>
    <w:rsid w:val="00CD1921"/>
    <w:rsid w:val="00CD1DB0"/>
    <w:rsid w:val="00CD26CB"/>
    <w:rsid w:val="00CD42BA"/>
    <w:rsid w:val="00CD532E"/>
    <w:rsid w:val="00CD5469"/>
    <w:rsid w:val="00CE0502"/>
    <w:rsid w:val="00CE2185"/>
    <w:rsid w:val="00CE2D87"/>
    <w:rsid w:val="00CE4578"/>
    <w:rsid w:val="00CE4B79"/>
    <w:rsid w:val="00CE4E8E"/>
    <w:rsid w:val="00CF0396"/>
    <w:rsid w:val="00CF13DA"/>
    <w:rsid w:val="00CF1A3F"/>
    <w:rsid w:val="00CF338F"/>
    <w:rsid w:val="00CF34EE"/>
    <w:rsid w:val="00CF3DF6"/>
    <w:rsid w:val="00CF409D"/>
    <w:rsid w:val="00CF5A3D"/>
    <w:rsid w:val="00CF60BF"/>
    <w:rsid w:val="00CF637B"/>
    <w:rsid w:val="00CF6BD6"/>
    <w:rsid w:val="00D00C11"/>
    <w:rsid w:val="00D012A2"/>
    <w:rsid w:val="00D01574"/>
    <w:rsid w:val="00D019AB"/>
    <w:rsid w:val="00D02FC8"/>
    <w:rsid w:val="00D13CC4"/>
    <w:rsid w:val="00D15695"/>
    <w:rsid w:val="00D1710D"/>
    <w:rsid w:val="00D17592"/>
    <w:rsid w:val="00D200AA"/>
    <w:rsid w:val="00D22205"/>
    <w:rsid w:val="00D22B46"/>
    <w:rsid w:val="00D22D2C"/>
    <w:rsid w:val="00D23BFD"/>
    <w:rsid w:val="00D2442A"/>
    <w:rsid w:val="00D25310"/>
    <w:rsid w:val="00D2713A"/>
    <w:rsid w:val="00D31244"/>
    <w:rsid w:val="00D3140F"/>
    <w:rsid w:val="00D31526"/>
    <w:rsid w:val="00D32BC7"/>
    <w:rsid w:val="00D33DF1"/>
    <w:rsid w:val="00D34846"/>
    <w:rsid w:val="00D3730E"/>
    <w:rsid w:val="00D40BCC"/>
    <w:rsid w:val="00D4158E"/>
    <w:rsid w:val="00D41D93"/>
    <w:rsid w:val="00D421AD"/>
    <w:rsid w:val="00D428EB"/>
    <w:rsid w:val="00D43761"/>
    <w:rsid w:val="00D437D4"/>
    <w:rsid w:val="00D4512D"/>
    <w:rsid w:val="00D4621D"/>
    <w:rsid w:val="00D468C6"/>
    <w:rsid w:val="00D46C44"/>
    <w:rsid w:val="00D50BC4"/>
    <w:rsid w:val="00D513C1"/>
    <w:rsid w:val="00D51452"/>
    <w:rsid w:val="00D52220"/>
    <w:rsid w:val="00D52F14"/>
    <w:rsid w:val="00D54BE4"/>
    <w:rsid w:val="00D551E2"/>
    <w:rsid w:val="00D55445"/>
    <w:rsid w:val="00D55CCF"/>
    <w:rsid w:val="00D57585"/>
    <w:rsid w:val="00D578BD"/>
    <w:rsid w:val="00D604A6"/>
    <w:rsid w:val="00D60C1F"/>
    <w:rsid w:val="00D618F1"/>
    <w:rsid w:val="00D61AB3"/>
    <w:rsid w:val="00D633B2"/>
    <w:rsid w:val="00D6490E"/>
    <w:rsid w:val="00D64BC0"/>
    <w:rsid w:val="00D6585C"/>
    <w:rsid w:val="00D65E19"/>
    <w:rsid w:val="00D705A6"/>
    <w:rsid w:val="00D71EE4"/>
    <w:rsid w:val="00D729B9"/>
    <w:rsid w:val="00D72C00"/>
    <w:rsid w:val="00D74558"/>
    <w:rsid w:val="00D752BD"/>
    <w:rsid w:val="00D7626D"/>
    <w:rsid w:val="00D76412"/>
    <w:rsid w:val="00D77051"/>
    <w:rsid w:val="00D775CA"/>
    <w:rsid w:val="00D7788B"/>
    <w:rsid w:val="00D81583"/>
    <w:rsid w:val="00D816DA"/>
    <w:rsid w:val="00D83E66"/>
    <w:rsid w:val="00D8553F"/>
    <w:rsid w:val="00D85803"/>
    <w:rsid w:val="00D85AA3"/>
    <w:rsid w:val="00D9012F"/>
    <w:rsid w:val="00D92FDB"/>
    <w:rsid w:val="00D93044"/>
    <w:rsid w:val="00D93B58"/>
    <w:rsid w:val="00D93DE8"/>
    <w:rsid w:val="00D94E60"/>
    <w:rsid w:val="00D95208"/>
    <w:rsid w:val="00D9545A"/>
    <w:rsid w:val="00D9606A"/>
    <w:rsid w:val="00DA04DD"/>
    <w:rsid w:val="00DA058A"/>
    <w:rsid w:val="00DA0C00"/>
    <w:rsid w:val="00DA234B"/>
    <w:rsid w:val="00DA4725"/>
    <w:rsid w:val="00DA5804"/>
    <w:rsid w:val="00DA6BD4"/>
    <w:rsid w:val="00DA71F1"/>
    <w:rsid w:val="00DB2479"/>
    <w:rsid w:val="00DB40F3"/>
    <w:rsid w:val="00DB56B0"/>
    <w:rsid w:val="00DB6C46"/>
    <w:rsid w:val="00DB7673"/>
    <w:rsid w:val="00DB787C"/>
    <w:rsid w:val="00DC0DC3"/>
    <w:rsid w:val="00DC10CD"/>
    <w:rsid w:val="00DC4219"/>
    <w:rsid w:val="00DC4DBA"/>
    <w:rsid w:val="00DC5F6C"/>
    <w:rsid w:val="00DC6EC4"/>
    <w:rsid w:val="00DC7B06"/>
    <w:rsid w:val="00DD0331"/>
    <w:rsid w:val="00DD077D"/>
    <w:rsid w:val="00DD19FE"/>
    <w:rsid w:val="00DD370E"/>
    <w:rsid w:val="00DD4112"/>
    <w:rsid w:val="00DD520E"/>
    <w:rsid w:val="00DD57FC"/>
    <w:rsid w:val="00DD661A"/>
    <w:rsid w:val="00DD7C8A"/>
    <w:rsid w:val="00DE1D90"/>
    <w:rsid w:val="00DE515D"/>
    <w:rsid w:val="00DE71E9"/>
    <w:rsid w:val="00DF0CBD"/>
    <w:rsid w:val="00DF0D9A"/>
    <w:rsid w:val="00DF1E95"/>
    <w:rsid w:val="00DF2173"/>
    <w:rsid w:val="00DF2E3E"/>
    <w:rsid w:val="00DF381D"/>
    <w:rsid w:val="00DF4633"/>
    <w:rsid w:val="00DF4635"/>
    <w:rsid w:val="00DF46C1"/>
    <w:rsid w:val="00DF4DB5"/>
    <w:rsid w:val="00DF772C"/>
    <w:rsid w:val="00E005B5"/>
    <w:rsid w:val="00E00FA3"/>
    <w:rsid w:val="00E021C5"/>
    <w:rsid w:val="00E04044"/>
    <w:rsid w:val="00E04176"/>
    <w:rsid w:val="00E04345"/>
    <w:rsid w:val="00E04474"/>
    <w:rsid w:val="00E0595B"/>
    <w:rsid w:val="00E05E5F"/>
    <w:rsid w:val="00E06028"/>
    <w:rsid w:val="00E06345"/>
    <w:rsid w:val="00E06511"/>
    <w:rsid w:val="00E0770B"/>
    <w:rsid w:val="00E07A01"/>
    <w:rsid w:val="00E10A3C"/>
    <w:rsid w:val="00E1102A"/>
    <w:rsid w:val="00E11179"/>
    <w:rsid w:val="00E11FAD"/>
    <w:rsid w:val="00E12B01"/>
    <w:rsid w:val="00E1318F"/>
    <w:rsid w:val="00E13B85"/>
    <w:rsid w:val="00E13F55"/>
    <w:rsid w:val="00E147AB"/>
    <w:rsid w:val="00E1518A"/>
    <w:rsid w:val="00E15E77"/>
    <w:rsid w:val="00E17B3B"/>
    <w:rsid w:val="00E17FBC"/>
    <w:rsid w:val="00E206B5"/>
    <w:rsid w:val="00E20BE3"/>
    <w:rsid w:val="00E21FA1"/>
    <w:rsid w:val="00E23D4F"/>
    <w:rsid w:val="00E24048"/>
    <w:rsid w:val="00E24C94"/>
    <w:rsid w:val="00E25E94"/>
    <w:rsid w:val="00E260EF"/>
    <w:rsid w:val="00E26852"/>
    <w:rsid w:val="00E26F3D"/>
    <w:rsid w:val="00E27661"/>
    <w:rsid w:val="00E27F9E"/>
    <w:rsid w:val="00E3168B"/>
    <w:rsid w:val="00E32334"/>
    <w:rsid w:val="00E35C9D"/>
    <w:rsid w:val="00E365E1"/>
    <w:rsid w:val="00E41085"/>
    <w:rsid w:val="00E4336F"/>
    <w:rsid w:val="00E44B29"/>
    <w:rsid w:val="00E476BA"/>
    <w:rsid w:val="00E500B5"/>
    <w:rsid w:val="00E5068D"/>
    <w:rsid w:val="00E50931"/>
    <w:rsid w:val="00E55E3E"/>
    <w:rsid w:val="00E5620F"/>
    <w:rsid w:val="00E60BEB"/>
    <w:rsid w:val="00E64D32"/>
    <w:rsid w:val="00E66EE1"/>
    <w:rsid w:val="00E71EDF"/>
    <w:rsid w:val="00E71FB0"/>
    <w:rsid w:val="00E73AA4"/>
    <w:rsid w:val="00E74A5F"/>
    <w:rsid w:val="00E75C63"/>
    <w:rsid w:val="00E80C15"/>
    <w:rsid w:val="00E81BCD"/>
    <w:rsid w:val="00E831B9"/>
    <w:rsid w:val="00E836E5"/>
    <w:rsid w:val="00E83E39"/>
    <w:rsid w:val="00E841D4"/>
    <w:rsid w:val="00E85366"/>
    <w:rsid w:val="00E864B9"/>
    <w:rsid w:val="00E878C0"/>
    <w:rsid w:val="00E901AF"/>
    <w:rsid w:val="00E9099A"/>
    <w:rsid w:val="00E90F30"/>
    <w:rsid w:val="00E93540"/>
    <w:rsid w:val="00E93888"/>
    <w:rsid w:val="00E9420A"/>
    <w:rsid w:val="00E949D6"/>
    <w:rsid w:val="00E95EF9"/>
    <w:rsid w:val="00E96BB8"/>
    <w:rsid w:val="00E97E1D"/>
    <w:rsid w:val="00EA1154"/>
    <w:rsid w:val="00EA1545"/>
    <w:rsid w:val="00EA1EC0"/>
    <w:rsid w:val="00EA34B6"/>
    <w:rsid w:val="00EA445C"/>
    <w:rsid w:val="00EA4A88"/>
    <w:rsid w:val="00EA4EF2"/>
    <w:rsid w:val="00EA568F"/>
    <w:rsid w:val="00EA6A92"/>
    <w:rsid w:val="00EA6B8B"/>
    <w:rsid w:val="00EA6BD4"/>
    <w:rsid w:val="00EB0925"/>
    <w:rsid w:val="00EB0A9F"/>
    <w:rsid w:val="00EB467B"/>
    <w:rsid w:val="00EB53DE"/>
    <w:rsid w:val="00EB7F0F"/>
    <w:rsid w:val="00EC0CF1"/>
    <w:rsid w:val="00EC15C9"/>
    <w:rsid w:val="00EC20B7"/>
    <w:rsid w:val="00EC353C"/>
    <w:rsid w:val="00EC5C7B"/>
    <w:rsid w:val="00EC63AD"/>
    <w:rsid w:val="00EC6778"/>
    <w:rsid w:val="00EC74F8"/>
    <w:rsid w:val="00ED1109"/>
    <w:rsid w:val="00ED3BD3"/>
    <w:rsid w:val="00ED3E48"/>
    <w:rsid w:val="00ED4123"/>
    <w:rsid w:val="00ED63A5"/>
    <w:rsid w:val="00ED69D5"/>
    <w:rsid w:val="00ED71EB"/>
    <w:rsid w:val="00EE1880"/>
    <w:rsid w:val="00EE1AD1"/>
    <w:rsid w:val="00EE1EAC"/>
    <w:rsid w:val="00EE25F1"/>
    <w:rsid w:val="00EE3D53"/>
    <w:rsid w:val="00EE4F21"/>
    <w:rsid w:val="00EE6AC2"/>
    <w:rsid w:val="00EE6E18"/>
    <w:rsid w:val="00EE72A6"/>
    <w:rsid w:val="00EF0245"/>
    <w:rsid w:val="00EF04A9"/>
    <w:rsid w:val="00EF0E62"/>
    <w:rsid w:val="00EF177F"/>
    <w:rsid w:val="00EF223D"/>
    <w:rsid w:val="00EF26FA"/>
    <w:rsid w:val="00EF61FA"/>
    <w:rsid w:val="00EF6FC8"/>
    <w:rsid w:val="00EF7125"/>
    <w:rsid w:val="00F01EBA"/>
    <w:rsid w:val="00F043DB"/>
    <w:rsid w:val="00F04BB0"/>
    <w:rsid w:val="00F04D61"/>
    <w:rsid w:val="00F0512A"/>
    <w:rsid w:val="00F05FF2"/>
    <w:rsid w:val="00F0645B"/>
    <w:rsid w:val="00F06EC5"/>
    <w:rsid w:val="00F1003A"/>
    <w:rsid w:val="00F10EB9"/>
    <w:rsid w:val="00F11044"/>
    <w:rsid w:val="00F11FF5"/>
    <w:rsid w:val="00F145D0"/>
    <w:rsid w:val="00F1555F"/>
    <w:rsid w:val="00F155D1"/>
    <w:rsid w:val="00F15BCD"/>
    <w:rsid w:val="00F17034"/>
    <w:rsid w:val="00F17792"/>
    <w:rsid w:val="00F20A13"/>
    <w:rsid w:val="00F20AA5"/>
    <w:rsid w:val="00F212A4"/>
    <w:rsid w:val="00F226AF"/>
    <w:rsid w:val="00F23D91"/>
    <w:rsid w:val="00F26BB8"/>
    <w:rsid w:val="00F307C7"/>
    <w:rsid w:val="00F30CA5"/>
    <w:rsid w:val="00F3347F"/>
    <w:rsid w:val="00F339A1"/>
    <w:rsid w:val="00F34174"/>
    <w:rsid w:val="00F352DA"/>
    <w:rsid w:val="00F35B1A"/>
    <w:rsid w:val="00F35C64"/>
    <w:rsid w:val="00F36129"/>
    <w:rsid w:val="00F3705E"/>
    <w:rsid w:val="00F410F4"/>
    <w:rsid w:val="00F44018"/>
    <w:rsid w:val="00F465B2"/>
    <w:rsid w:val="00F47E66"/>
    <w:rsid w:val="00F50D83"/>
    <w:rsid w:val="00F51B6C"/>
    <w:rsid w:val="00F52D42"/>
    <w:rsid w:val="00F53185"/>
    <w:rsid w:val="00F54738"/>
    <w:rsid w:val="00F5581E"/>
    <w:rsid w:val="00F55E5E"/>
    <w:rsid w:val="00F563D3"/>
    <w:rsid w:val="00F5675C"/>
    <w:rsid w:val="00F568CC"/>
    <w:rsid w:val="00F56EB5"/>
    <w:rsid w:val="00F57718"/>
    <w:rsid w:val="00F6073B"/>
    <w:rsid w:val="00F607B9"/>
    <w:rsid w:val="00F62AEA"/>
    <w:rsid w:val="00F64030"/>
    <w:rsid w:val="00F64BFB"/>
    <w:rsid w:val="00F653F6"/>
    <w:rsid w:val="00F65A4F"/>
    <w:rsid w:val="00F668EB"/>
    <w:rsid w:val="00F70821"/>
    <w:rsid w:val="00F717BA"/>
    <w:rsid w:val="00F72058"/>
    <w:rsid w:val="00F72520"/>
    <w:rsid w:val="00F73283"/>
    <w:rsid w:val="00F80866"/>
    <w:rsid w:val="00F808D0"/>
    <w:rsid w:val="00F80D5D"/>
    <w:rsid w:val="00F82456"/>
    <w:rsid w:val="00F83514"/>
    <w:rsid w:val="00F85AC0"/>
    <w:rsid w:val="00F85EB2"/>
    <w:rsid w:val="00F85F6F"/>
    <w:rsid w:val="00F86721"/>
    <w:rsid w:val="00F9146E"/>
    <w:rsid w:val="00F92016"/>
    <w:rsid w:val="00F923CC"/>
    <w:rsid w:val="00F9482A"/>
    <w:rsid w:val="00F96FD8"/>
    <w:rsid w:val="00F97E00"/>
    <w:rsid w:val="00F97FB5"/>
    <w:rsid w:val="00FA0396"/>
    <w:rsid w:val="00FA075C"/>
    <w:rsid w:val="00FA1F5C"/>
    <w:rsid w:val="00FA1F71"/>
    <w:rsid w:val="00FA22C5"/>
    <w:rsid w:val="00FA22DD"/>
    <w:rsid w:val="00FA2D7C"/>
    <w:rsid w:val="00FA2F58"/>
    <w:rsid w:val="00FA4FAA"/>
    <w:rsid w:val="00FA5BF6"/>
    <w:rsid w:val="00FB04F5"/>
    <w:rsid w:val="00FB0C83"/>
    <w:rsid w:val="00FB126E"/>
    <w:rsid w:val="00FB14EB"/>
    <w:rsid w:val="00FB580F"/>
    <w:rsid w:val="00FB6E8C"/>
    <w:rsid w:val="00FB7757"/>
    <w:rsid w:val="00FC11E1"/>
    <w:rsid w:val="00FC328F"/>
    <w:rsid w:val="00FC4F5A"/>
    <w:rsid w:val="00FC6A7E"/>
    <w:rsid w:val="00FC7127"/>
    <w:rsid w:val="00FC770E"/>
    <w:rsid w:val="00FD04CE"/>
    <w:rsid w:val="00FD0603"/>
    <w:rsid w:val="00FD15BE"/>
    <w:rsid w:val="00FD1625"/>
    <w:rsid w:val="00FD1901"/>
    <w:rsid w:val="00FD1A89"/>
    <w:rsid w:val="00FD1E03"/>
    <w:rsid w:val="00FD378F"/>
    <w:rsid w:val="00FD43AE"/>
    <w:rsid w:val="00FD53CB"/>
    <w:rsid w:val="00FD5EF1"/>
    <w:rsid w:val="00FD6487"/>
    <w:rsid w:val="00FD67A4"/>
    <w:rsid w:val="00FD71DE"/>
    <w:rsid w:val="00FD7BFB"/>
    <w:rsid w:val="00FD7DC0"/>
    <w:rsid w:val="00FE0E45"/>
    <w:rsid w:val="00FE2699"/>
    <w:rsid w:val="00FE2C58"/>
    <w:rsid w:val="00FE5BB9"/>
    <w:rsid w:val="00FE5CA4"/>
    <w:rsid w:val="00FE5F5C"/>
    <w:rsid w:val="00FE748F"/>
    <w:rsid w:val="00FF012F"/>
    <w:rsid w:val="00FF08CB"/>
    <w:rsid w:val="00FF4A92"/>
    <w:rsid w:val="00FF4AD1"/>
    <w:rsid w:val="00FF51DB"/>
    <w:rsid w:val="00FF5CB7"/>
    <w:rsid w:val="00FF67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362E"/>
    <w:rPr>
      <w:noProof/>
      <w:spacing w:val="-3"/>
      <w:sz w:val="24"/>
      <w:lang w:eastAsia="en-US"/>
    </w:rPr>
  </w:style>
  <w:style w:type="paragraph" w:styleId="Heading1">
    <w:name w:val="heading 1"/>
    <w:next w:val="Normal"/>
    <w:qFormat/>
    <w:rsid w:val="00E147AB"/>
    <w:pPr>
      <w:keepNext/>
      <w:numPr>
        <w:numId w:val="7"/>
      </w:numPr>
      <w:spacing w:before="240" w:after="240"/>
      <w:jc w:val="center"/>
      <w:outlineLvl w:val="0"/>
    </w:pPr>
    <w:rPr>
      <w:rFonts w:ascii="Times New Roman Bold" w:hAnsi="Times New Roman Bold"/>
      <w:b/>
      <w:smallCaps/>
      <w:noProof/>
      <w:sz w:val="28"/>
      <w:lang w:val="en-US" w:eastAsia="en-US"/>
    </w:rPr>
  </w:style>
  <w:style w:type="paragraph" w:styleId="Heading2">
    <w:name w:val="heading 2"/>
    <w:next w:val="Normal"/>
    <w:qFormat/>
    <w:rsid w:val="00E147AB"/>
    <w:pPr>
      <w:keepNext/>
      <w:numPr>
        <w:numId w:val="5"/>
      </w:numPr>
      <w:spacing w:before="120" w:after="120"/>
      <w:jc w:val="both"/>
      <w:outlineLvl w:val="1"/>
    </w:pPr>
    <w:rPr>
      <w:rFonts w:ascii="Times New Roman Bold" w:hAnsi="Times New Roman Bold"/>
      <w:b/>
      <w:noProof/>
      <w:sz w:val="24"/>
      <w:lang w:val="en-US" w:eastAsia="en-US"/>
    </w:rPr>
  </w:style>
  <w:style w:type="paragraph" w:styleId="Heading3">
    <w:name w:val="heading 3"/>
    <w:next w:val="Normal"/>
    <w:qFormat/>
    <w:rsid w:val="00E147AB"/>
    <w:pPr>
      <w:keepNext/>
      <w:numPr>
        <w:numId w:val="6"/>
      </w:numPr>
      <w:spacing w:before="120" w:after="120"/>
      <w:jc w:val="both"/>
      <w:outlineLvl w:val="2"/>
    </w:pPr>
    <w:rPr>
      <w:rFonts w:ascii="Times New Roman Bold" w:hAnsi="Times New Roman Bold"/>
      <w:b/>
      <w:noProof/>
      <w:sz w:val="24"/>
      <w:lang w:val="en-US" w:eastAsia="en-US"/>
    </w:rPr>
  </w:style>
  <w:style w:type="paragraph" w:styleId="Heading4">
    <w:name w:val="heading 4"/>
    <w:next w:val="Normal"/>
    <w:qFormat/>
    <w:rsid w:val="00E147AB"/>
    <w:pPr>
      <w:keepNext/>
      <w:numPr>
        <w:ilvl w:val="2"/>
        <w:numId w:val="7"/>
      </w:numPr>
      <w:tabs>
        <w:tab w:val="left" w:pos="1440"/>
      </w:tabs>
      <w:spacing w:before="120" w:after="120"/>
      <w:jc w:val="both"/>
      <w:outlineLvl w:val="3"/>
    </w:pPr>
    <w:rPr>
      <w:rFonts w:ascii="Times New Roman Bold" w:hAnsi="Times New Roman Bold"/>
      <w:b/>
      <w:noProof/>
      <w:sz w:val="24"/>
      <w:lang w:val="en-US" w:eastAsia="en-US"/>
    </w:rPr>
  </w:style>
  <w:style w:type="paragraph" w:styleId="Heading5">
    <w:name w:val="heading 5"/>
    <w:next w:val="Normal"/>
    <w:qFormat/>
    <w:rsid w:val="00E147AB"/>
    <w:pPr>
      <w:keepNext/>
      <w:numPr>
        <w:ilvl w:val="3"/>
        <w:numId w:val="7"/>
      </w:numPr>
      <w:spacing w:before="120" w:after="120"/>
      <w:jc w:val="both"/>
      <w:outlineLvl w:val="4"/>
    </w:pPr>
    <w:rPr>
      <w:rFonts w:ascii="Times New Roman Bold" w:hAnsi="Times New Roman Bold"/>
      <w:b/>
      <w:noProof/>
      <w:sz w:val="24"/>
      <w:lang w:val="en-US" w:eastAsia="en-US"/>
    </w:rPr>
  </w:style>
  <w:style w:type="paragraph" w:styleId="Heading6">
    <w:name w:val="heading 6"/>
    <w:basedOn w:val="Normal"/>
    <w:next w:val="Normal"/>
    <w:qFormat/>
    <w:rsid w:val="00A35F1F"/>
    <w:pPr>
      <w:keepNext/>
      <w:jc w:val="center"/>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rsid w:val="00B14237"/>
    <w:pPr>
      <w:numPr>
        <w:numId w:val="1"/>
      </w:numPr>
      <w:tabs>
        <w:tab w:val="clear" w:pos="1296"/>
        <w:tab w:val="num" w:pos="1080"/>
      </w:tabs>
      <w:spacing w:before="120" w:after="120"/>
      <w:ind w:left="1080" w:hanging="360"/>
      <w:jc w:val="both"/>
    </w:pPr>
    <w:rPr>
      <w:spacing w:val="-2"/>
      <w:sz w:val="24"/>
      <w:lang w:val="en-US" w:eastAsia="en-US"/>
    </w:rPr>
  </w:style>
  <w:style w:type="paragraph" w:customStyle="1" w:styleId="AutoNumpara">
    <w:name w:val="AutoNumpara"/>
    <w:basedOn w:val="BodyTextIndent"/>
    <w:qFormat/>
    <w:rsid w:val="00646FD9"/>
    <w:pPr>
      <w:numPr>
        <w:ilvl w:val="1"/>
        <w:numId w:val="7"/>
      </w:numPr>
      <w:spacing w:before="120"/>
      <w:jc w:val="both"/>
    </w:pPr>
    <w:rPr>
      <w:spacing w:val="0"/>
    </w:rPr>
  </w:style>
  <w:style w:type="paragraph" w:styleId="BodyTextIndent">
    <w:name w:val="Body Text Indent"/>
    <w:basedOn w:val="Normal"/>
    <w:rsid w:val="00A35F1F"/>
    <w:pPr>
      <w:spacing w:after="120"/>
      <w:ind w:left="360"/>
    </w:pPr>
  </w:style>
  <w:style w:type="paragraph" w:customStyle="1" w:styleId="Paragraph1">
    <w:name w:val="Paragraph1"/>
    <w:rsid w:val="00A35F1F"/>
    <w:pPr>
      <w:numPr>
        <w:numId w:val="3"/>
      </w:numPr>
      <w:spacing w:before="120" w:after="120"/>
      <w:jc w:val="both"/>
    </w:pPr>
    <w:rPr>
      <w:noProof/>
      <w:sz w:val="24"/>
      <w:lang w:val="en-US" w:eastAsia="en-US"/>
    </w:rPr>
  </w:style>
  <w:style w:type="paragraph" w:customStyle="1" w:styleId="Paragrapha">
    <w:name w:val="Paragraph a"/>
    <w:rsid w:val="00A35F1F"/>
    <w:pPr>
      <w:numPr>
        <w:numId w:val="2"/>
      </w:numPr>
      <w:spacing w:before="120" w:after="120"/>
      <w:jc w:val="both"/>
    </w:pPr>
    <w:rPr>
      <w:noProof/>
      <w:sz w:val="24"/>
      <w:lang w:val="en-US" w:eastAsia="en-US"/>
    </w:rPr>
  </w:style>
  <w:style w:type="paragraph" w:customStyle="1" w:styleId="Inter-Ametitle">
    <w:name w:val="Inter-Ametitle"/>
    <w:basedOn w:val="Normal"/>
    <w:rsid w:val="00A35F1F"/>
    <w:pPr>
      <w:jc w:val="center"/>
    </w:pPr>
    <w:rPr>
      <w:smallCaps/>
    </w:rPr>
  </w:style>
  <w:style w:type="paragraph" w:customStyle="1" w:styleId="CountryName">
    <w:name w:val="CountryName"/>
    <w:basedOn w:val="Normal"/>
    <w:rsid w:val="00A35F1F"/>
    <w:pPr>
      <w:jc w:val="center"/>
    </w:pPr>
    <w:rPr>
      <w:rFonts w:ascii="Times New Roman Bold" w:hAnsi="Times New Roman Bold"/>
      <w:b/>
      <w:smallCaps/>
      <w:sz w:val="32"/>
    </w:rPr>
  </w:style>
  <w:style w:type="paragraph" w:customStyle="1" w:styleId="ProjectTitle">
    <w:name w:val="ProjectTitle"/>
    <w:rsid w:val="00A35F1F"/>
    <w:pPr>
      <w:jc w:val="center"/>
    </w:pPr>
    <w:rPr>
      <w:rFonts w:ascii="Times New Roman Bold" w:hAnsi="Times New Roman Bold"/>
      <w:b/>
      <w:smallCaps/>
      <w:noProof/>
      <w:sz w:val="32"/>
      <w:lang w:val="en-US" w:eastAsia="en-US"/>
    </w:rPr>
  </w:style>
  <w:style w:type="paragraph" w:customStyle="1" w:styleId="ProjectNumber">
    <w:name w:val="ProjectNumber"/>
    <w:basedOn w:val="Normal"/>
    <w:link w:val="ProjectNumberChar"/>
    <w:rsid w:val="0074062D"/>
    <w:pPr>
      <w:spacing w:before="960" w:after="720"/>
      <w:jc w:val="center"/>
    </w:pPr>
    <w:rPr>
      <w:rFonts w:ascii="Times New Roman Bold" w:hAnsi="Times New Roman Bold"/>
      <w:smallCaps/>
    </w:rPr>
  </w:style>
  <w:style w:type="paragraph" w:customStyle="1" w:styleId="LoanProposal">
    <w:name w:val="LoanProposal"/>
    <w:rsid w:val="00A35F1F"/>
    <w:pPr>
      <w:spacing w:after="480"/>
      <w:jc w:val="center"/>
    </w:pPr>
    <w:rPr>
      <w:rFonts w:ascii="Times New Roman Bold" w:hAnsi="Times New Roman Bold"/>
      <w:b/>
      <w:smallCaps/>
      <w:noProof/>
      <w:sz w:val="28"/>
      <w:lang w:val="en-US" w:eastAsia="en-US"/>
    </w:rPr>
  </w:style>
  <w:style w:type="paragraph" w:customStyle="1" w:styleId="TableContentsTitle">
    <w:name w:val="TableContentsTitle"/>
    <w:basedOn w:val="Normal"/>
    <w:rsid w:val="00A35F1F"/>
    <w:pPr>
      <w:spacing w:after="720"/>
      <w:jc w:val="center"/>
    </w:pPr>
    <w:rPr>
      <w:smallCaps/>
      <w:spacing w:val="0"/>
    </w:rPr>
  </w:style>
  <w:style w:type="paragraph" w:customStyle="1" w:styleId="heading-b24">
    <w:name w:val="heading-b24"/>
    <w:basedOn w:val="Normal"/>
    <w:next w:val="Normal"/>
    <w:rsid w:val="00E147AB"/>
    <w:pPr>
      <w:spacing w:after="600"/>
      <w:jc w:val="center"/>
    </w:pPr>
    <w:rPr>
      <w:rFonts w:ascii="Times New Roman Bold" w:hAnsi="Times New Roman Bold"/>
      <w:b/>
      <w:smallCaps/>
    </w:rPr>
  </w:style>
  <w:style w:type="paragraph" w:customStyle="1" w:styleId="Listabbreviations">
    <w:name w:val="List abbreviations"/>
    <w:basedOn w:val="Normal"/>
    <w:rsid w:val="00A35F1F"/>
    <w:pPr>
      <w:tabs>
        <w:tab w:val="left" w:pos="1620"/>
      </w:tabs>
      <w:ind w:left="1627" w:hanging="1627"/>
    </w:pPr>
  </w:style>
  <w:style w:type="paragraph" w:customStyle="1" w:styleId="Regtable">
    <w:name w:val="Regtable"/>
    <w:rsid w:val="00A35F1F"/>
    <w:pPr>
      <w:keepLines/>
      <w:spacing w:before="20" w:after="20"/>
    </w:pPr>
    <w:rPr>
      <w:noProof/>
      <w:lang w:val="en-US" w:eastAsia="en-US"/>
    </w:rPr>
  </w:style>
  <w:style w:type="character" w:styleId="Hyperlink">
    <w:name w:val="Hyperlink"/>
    <w:rsid w:val="00E147AB"/>
    <w:rPr>
      <w:rFonts w:ascii="Times New Roman" w:hAnsi="Times New Roman"/>
      <w:color w:val="0000FF"/>
      <w:sz w:val="24"/>
      <w:u w:val="single"/>
    </w:rPr>
  </w:style>
  <w:style w:type="paragraph" w:customStyle="1" w:styleId="ProjecName">
    <w:name w:val="ProjecName"/>
    <w:basedOn w:val="Normal"/>
    <w:rsid w:val="00A35F1F"/>
    <w:pPr>
      <w:jc w:val="center"/>
    </w:pPr>
    <w:rPr>
      <w:rFonts w:ascii="Times New Roman Bold" w:hAnsi="Times New Roman Bold"/>
      <w:b/>
      <w:smallCaps/>
    </w:rPr>
  </w:style>
  <w:style w:type="paragraph" w:styleId="TOC3">
    <w:name w:val="toc 3"/>
    <w:basedOn w:val="Normal"/>
    <w:next w:val="Normal"/>
    <w:autoRedefine/>
    <w:semiHidden/>
    <w:rsid w:val="00A35F1F"/>
    <w:pPr>
      <w:tabs>
        <w:tab w:val="left" w:pos="1627"/>
        <w:tab w:val="right" w:leader="dot" w:pos="8630"/>
      </w:tabs>
      <w:ind w:left="1713" w:hanging="547"/>
    </w:pPr>
  </w:style>
  <w:style w:type="paragraph" w:styleId="Header">
    <w:name w:val="header"/>
    <w:basedOn w:val="Normal"/>
    <w:rsid w:val="00A35F1F"/>
    <w:pPr>
      <w:tabs>
        <w:tab w:val="center" w:pos="4320"/>
        <w:tab w:val="right" w:pos="8640"/>
      </w:tabs>
    </w:pPr>
    <w:rPr>
      <w:sz w:val="20"/>
    </w:rPr>
  </w:style>
  <w:style w:type="paragraph" w:customStyle="1" w:styleId="IndentedParagr">
    <w:name w:val="IndentedParagr"/>
    <w:basedOn w:val="Normal"/>
    <w:rsid w:val="00A35F1F"/>
    <w:pPr>
      <w:spacing w:before="120" w:after="120"/>
      <w:ind w:left="720"/>
      <w:jc w:val="both"/>
    </w:pPr>
    <w:rPr>
      <w:spacing w:val="0"/>
    </w:rPr>
  </w:style>
  <w:style w:type="paragraph" w:styleId="Caption">
    <w:name w:val="caption"/>
    <w:basedOn w:val="Normal"/>
    <w:next w:val="Normal"/>
    <w:qFormat/>
    <w:rsid w:val="00A35F1F"/>
    <w:pPr>
      <w:widowControl w:val="0"/>
    </w:pPr>
  </w:style>
  <w:style w:type="paragraph" w:styleId="Footer">
    <w:name w:val="footer"/>
    <w:basedOn w:val="Normal"/>
    <w:rsid w:val="00A35F1F"/>
    <w:pPr>
      <w:tabs>
        <w:tab w:val="center" w:pos="4320"/>
        <w:tab w:val="right" w:pos="8640"/>
      </w:tabs>
    </w:pPr>
    <w:rPr>
      <w:sz w:val="20"/>
    </w:rPr>
  </w:style>
  <w:style w:type="character" w:styleId="FootnoteReference">
    <w:name w:val="footnote reference"/>
    <w:semiHidden/>
    <w:rsid w:val="00A35F1F"/>
    <w:rPr>
      <w:rFonts w:ascii="Times New Roman" w:hAnsi="Times New Roman"/>
      <w:sz w:val="20"/>
      <w:vertAlign w:val="superscript"/>
    </w:rPr>
  </w:style>
  <w:style w:type="paragraph" w:styleId="FootnoteText">
    <w:name w:val="footnote text"/>
    <w:basedOn w:val="Normal"/>
    <w:link w:val="FootnoteTextChar"/>
    <w:uiPriority w:val="99"/>
    <w:semiHidden/>
    <w:rsid w:val="001C453D"/>
    <w:pPr>
      <w:keepNext/>
      <w:keepLines/>
      <w:spacing w:after="120"/>
      <w:ind w:left="288" w:hanging="288"/>
      <w:jc w:val="both"/>
    </w:pPr>
    <w:rPr>
      <w:sz w:val="20"/>
    </w:rPr>
  </w:style>
  <w:style w:type="character" w:styleId="PageNumber">
    <w:name w:val="page number"/>
    <w:basedOn w:val="DefaultParagraphFont"/>
    <w:uiPriority w:val="99"/>
    <w:rsid w:val="00A35F1F"/>
  </w:style>
  <w:style w:type="paragraph" w:customStyle="1" w:styleId="RomanParagraph">
    <w:name w:val="RomanParagraph"/>
    <w:rsid w:val="007C10F3"/>
    <w:pPr>
      <w:numPr>
        <w:numId w:val="4"/>
      </w:numPr>
      <w:spacing w:before="120" w:after="120"/>
      <w:jc w:val="both"/>
    </w:pPr>
    <w:rPr>
      <w:noProof/>
      <w:sz w:val="24"/>
      <w:lang w:val="en-US" w:eastAsia="en-US"/>
    </w:rPr>
  </w:style>
  <w:style w:type="paragraph" w:customStyle="1" w:styleId="TableTitle">
    <w:name w:val="TableTitle"/>
    <w:basedOn w:val="Normal"/>
    <w:rsid w:val="00705D34"/>
    <w:pPr>
      <w:keepNext/>
      <w:spacing w:before="20" w:after="20"/>
      <w:jc w:val="center"/>
    </w:pPr>
    <w:rPr>
      <w:rFonts w:ascii="Times New Roman Bold" w:hAnsi="Times New Roman Bold"/>
      <w:b/>
      <w:sz w:val="20"/>
    </w:rPr>
  </w:style>
  <w:style w:type="paragraph" w:styleId="TOC1">
    <w:name w:val="toc 1"/>
    <w:basedOn w:val="Normal"/>
    <w:next w:val="Normal"/>
    <w:autoRedefine/>
    <w:uiPriority w:val="39"/>
    <w:rsid w:val="00A35F1F"/>
    <w:pPr>
      <w:tabs>
        <w:tab w:val="left" w:pos="634"/>
        <w:tab w:val="right" w:leader="dot" w:pos="8630"/>
      </w:tabs>
      <w:spacing w:before="240" w:after="240"/>
      <w:ind w:left="634" w:hanging="634"/>
      <w:outlineLvl w:val="0"/>
    </w:pPr>
    <w:rPr>
      <w:smallCaps/>
    </w:rPr>
  </w:style>
  <w:style w:type="paragraph" w:styleId="TOC2">
    <w:name w:val="toc 2"/>
    <w:basedOn w:val="Normal"/>
    <w:next w:val="Normal"/>
    <w:autoRedefine/>
    <w:uiPriority w:val="39"/>
    <w:rsid w:val="00D60C1F"/>
    <w:pPr>
      <w:tabs>
        <w:tab w:val="left" w:pos="0"/>
        <w:tab w:val="right" w:leader="dot" w:pos="8630"/>
      </w:tabs>
      <w:spacing w:after="240"/>
      <w:ind w:left="634" w:hanging="634"/>
    </w:pPr>
  </w:style>
  <w:style w:type="paragraph" w:customStyle="1" w:styleId="StyleProjectNumberBold">
    <w:name w:val="Style ProjectNumber + Bold"/>
    <w:basedOn w:val="ProjectNumber"/>
    <w:link w:val="StyleProjectNumberBoldChar"/>
    <w:rsid w:val="0074062D"/>
    <w:rPr>
      <w:b/>
      <w:bCs/>
    </w:rPr>
  </w:style>
  <w:style w:type="character" w:customStyle="1" w:styleId="ProjectNumberChar">
    <w:name w:val="ProjectNumber Char"/>
    <w:link w:val="ProjectNumber"/>
    <w:rsid w:val="0074062D"/>
    <w:rPr>
      <w:rFonts w:ascii="Times New Roman Bold" w:hAnsi="Times New Roman Bold"/>
      <w:smallCaps/>
      <w:spacing w:val="-3"/>
      <w:sz w:val="24"/>
      <w:lang w:val="es-ES_tradnl" w:eastAsia="en-US" w:bidi="ar-SA"/>
    </w:rPr>
  </w:style>
  <w:style w:type="character" w:customStyle="1" w:styleId="StyleProjectNumberBoldChar">
    <w:name w:val="Style ProjectNumber + Bold Char"/>
    <w:link w:val="StyleProjectNumberBold"/>
    <w:rsid w:val="0074062D"/>
    <w:rPr>
      <w:rFonts w:ascii="Times New Roman Bold" w:hAnsi="Times New Roman Bold"/>
      <w:b/>
      <w:bCs/>
      <w:smallCaps/>
      <w:spacing w:val="-3"/>
      <w:sz w:val="24"/>
      <w:lang w:val="es-ES_tradnl" w:eastAsia="en-US" w:bidi="ar-SA"/>
    </w:rPr>
  </w:style>
  <w:style w:type="paragraph" w:customStyle="1" w:styleId="StyleTimesNewRomanBoldBoldAllcapsCentered">
    <w:name w:val="Style Times New Roman Bold Bold All caps Centered"/>
    <w:basedOn w:val="Normal"/>
    <w:rsid w:val="0074062D"/>
    <w:pPr>
      <w:jc w:val="center"/>
    </w:pPr>
    <w:rPr>
      <w:rFonts w:ascii="Times New Roman Bold" w:hAnsi="Times New Roman Bold"/>
      <w:b/>
      <w:bCs/>
      <w:caps/>
    </w:rPr>
  </w:style>
  <w:style w:type="paragraph" w:customStyle="1" w:styleId="ExSumSubTitles">
    <w:name w:val="ExSumSubTitles"/>
    <w:basedOn w:val="Normal"/>
    <w:rsid w:val="008E0FA8"/>
    <w:pPr>
      <w:keepLines/>
      <w:tabs>
        <w:tab w:val="left" w:pos="1195"/>
        <w:tab w:val="left" w:pos="2880"/>
        <w:tab w:val="left" w:pos="3360"/>
      </w:tabs>
      <w:suppressAutoHyphens/>
      <w:spacing w:before="120" w:after="120"/>
    </w:pPr>
    <w:rPr>
      <w:rFonts w:ascii="Times New Roman Bold" w:hAnsi="Times New Roman Bold"/>
      <w:b/>
      <w:spacing w:val="-2"/>
    </w:rPr>
  </w:style>
  <w:style w:type="paragraph" w:customStyle="1" w:styleId="EXSUMPARAGR">
    <w:name w:val="EXSUMPARAGR"/>
    <w:basedOn w:val="Normal"/>
    <w:rsid w:val="008E0FA8"/>
    <w:pPr>
      <w:widowControl w:val="0"/>
      <w:tabs>
        <w:tab w:val="left" w:pos="-1205"/>
        <w:tab w:val="left" w:pos="480"/>
        <w:tab w:val="left" w:pos="960"/>
        <w:tab w:val="left" w:pos="3480"/>
        <w:tab w:val="right" w:pos="6360"/>
      </w:tabs>
      <w:suppressAutoHyphens/>
      <w:spacing w:before="120" w:after="120"/>
      <w:jc w:val="both"/>
    </w:pPr>
    <w:rPr>
      <w:snapToGrid w:val="0"/>
      <w:spacing w:val="-2"/>
    </w:rPr>
  </w:style>
  <w:style w:type="paragraph" w:customStyle="1" w:styleId="ExSumLeftIndent">
    <w:name w:val="ExSumLeftIndent"/>
    <w:rsid w:val="008E0FA8"/>
    <w:pPr>
      <w:tabs>
        <w:tab w:val="left" w:pos="4020"/>
      </w:tabs>
      <w:spacing w:before="120" w:after="120"/>
    </w:pPr>
    <w:rPr>
      <w:sz w:val="24"/>
      <w:lang w:val="es-ES_tradnl" w:eastAsia="en-US"/>
    </w:rPr>
  </w:style>
  <w:style w:type="paragraph" w:customStyle="1" w:styleId="Footnotestyle">
    <w:name w:val="Footnote style"/>
    <w:basedOn w:val="Normal"/>
    <w:qFormat/>
    <w:rsid w:val="009F637F"/>
    <w:pPr>
      <w:keepLines/>
      <w:tabs>
        <w:tab w:val="left" w:pos="240"/>
      </w:tabs>
      <w:spacing w:after="60"/>
      <w:ind w:left="240" w:hanging="240"/>
      <w:jc w:val="both"/>
    </w:pPr>
    <w:rPr>
      <w:sz w:val="20"/>
      <w:lang w:val="en-US"/>
    </w:rPr>
  </w:style>
  <w:style w:type="table" w:styleId="TableGrid">
    <w:name w:val="Table Grid"/>
    <w:basedOn w:val="TableNormal"/>
    <w:rsid w:val="003E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uiPriority w:val="99"/>
    <w:semiHidden/>
    <w:rsid w:val="005D7E7F"/>
    <w:rPr>
      <w:spacing w:val="-3"/>
      <w:lang w:val="es-ES_tradnl"/>
    </w:rPr>
  </w:style>
  <w:style w:type="character" w:styleId="FollowedHyperlink">
    <w:name w:val="FollowedHyperlink"/>
    <w:rsid w:val="00D15695"/>
    <w:rPr>
      <w:color w:val="800080"/>
      <w:u w:val="single"/>
    </w:rPr>
  </w:style>
  <w:style w:type="character" w:styleId="CommentReference">
    <w:name w:val="annotation reference"/>
    <w:rsid w:val="00673815"/>
    <w:rPr>
      <w:sz w:val="16"/>
      <w:szCs w:val="16"/>
    </w:rPr>
  </w:style>
  <w:style w:type="paragraph" w:styleId="CommentText">
    <w:name w:val="annotation text"/>
    <w:basedOn w:val="Normal"/>
    <w:link w:val="CommentTextChar"/>
    <w:rsid w:val="00673815"/>
    <w:rPr>
      <w:sz w:val="20"/>
    </w:rPr>
  </w:style>
  <w:style w:type="character" w:customStyle="1" w:styleId="CommentTextChar">
    <w:name w:val="Comment Text Char"/>
    <w:link w:val="CommentText"/>
    <w:rsid w:val="00673815"/>
    <w:rPr>
      <w:spacing w:val="-3"/>
      <w:lang w:val="es-ES_tradnl"/>
    </w:rPr>
  </w:style>
  <w:style w:type="paragraph" w:styleId="CommentSubject">
    <w:name w:val="annotation subject"/>
    <w:basedOn w:val="CommentText"/>
    <w:next w:val="CommentText"/>
    <w:link w:val="CommentSubjectChar"/>
    <w:rsid w:val="00673815"/>
    <w:rPr>
      <w:b/>
      <w:bCs/>
    </w:rPr>
  </w:style>
  <w:style w:type="character" w:customStyle="1" w:styleId="CommentSubjectChar">
    <w:name w:val="Comment Subject Char"/>
    <w:link w:val="CommentSubject"/>
    <w:rsid w:val="00673815"/>
    <w:rPr>
      <w:b/>
      <w:bCs/>
      <w:spacing w:val="-3"/>
      <w:lang w:val="es-ES_tradnl"/>
    </w:rPr>
  </w:style>
  <w:style w:type="paragraph" w:styleId="Revision">
    <w:name w:val="Revision"/>
    <w:hidden/>
    <w:uiPriority w:val="99"/>
    <w:semiHidden/>
    <w:rsid w:val="00673815"/>
    <w:rPr>
      <w:spacing w:val="-3"/>
      <w:sz w:val="24"/>
      <w:lang w:val="es-ES_tradnl" w:eastAsia="en-US"/>
    </w:rPr>
  </w:style>
  <w:style w:type="paragraph" w:styleId="BalloonText">
    <w:name w:val="Balloon Text"/>
    <w:basedOn w:val="Normal"/>
    <w:link w:val="BalloonTextChar"/>
    <w:rsid w:val="00673815"/>
    <w:rPr>
      <w:rFonts w:ascii="Tahoma" w:hAnsi="Tahoma" w:cs="Tahoma"/>
      <w:sz w:val="16"/>
      <w:szCs w:val="16"/>
    </w:rPr>
  </w:style>
  <w:style w:type="character" w:customStyle="1" w:styleId="BalloonTextChar">
    <w:name w:val="Balloon Text Char"/>
    <w:link w:val="BalloonText"/>
    <w:rsid w:val="00673815"/>
    <w:rPr>
      <w:rFonts w:ascii="Tahoma" w:hAnsi="Tahoma" w:cs="Tahoma"/>
      <w:spacing w:val="-3"/>
      <w:sz w:val="16"/>
      <w:szCs w:val="16"/>
      <w:lang w:val="es-ES_tradnl"/>
    </w:rPr>
  </w:style>
  <w:style w:type="paragraph" w:styleId="BodyText">
    <w:name w:val="Body Text"/>
    <w:basedOn w:val="Normal"/>
    <w:link w:val="BodyTextChar"/>
    <w:rsid w:val="00155175"/>
    <w:pPr>
      <w:spacing w:after="120"/>
    </w:pPr>
  </w:style>
  <w:style w:type="character" w:customStyle="1" w:styleId="BodyTextChar">
    <w:name w:val="Body Text Char"/>
    <w:link w:val="BodyText"/>
    <w:rsid w:val="00155175"/>
    <w:rPr>
      <w:spacing w:val="-3"/>
      <w:sz w:val="24"/>
      <w:lang w:val="es-ES_tradnl" w:eastAsia="en-US"/>
    </w:rPr>
  </w:style>
  <w:style w:type="paragraph" w:customStyle="1" w:styleId="Default">
    <w:name w:val="Default"/>
    <w:rsid w:val="00075D60"/>
    <w:pPr>
      <w:autoSpaceDE w:val="0"/>
      <w:autoSpaceDN w:val="0"/>
      <w:adjustRightInd w:val="0"/>
    </w:pPr>
    <w:rPr>
      <w:rFonts w:eastAsia="Calibri"/>
      <w:color w:val="000000"/>
      <w:sz w:val="24"/>
      <w:szCs w:val="24"/>
      <w:lang w:val="en-US" w:eastAsia="en-US"/>
    </w:rPr>
  </w:style>
  <w:style w:type="character" w:customStyle="1" w:styleId="st1">
    <w:name w:val="st1"/>
    <w:uiPriority w:val="99"/>
    <w:rsid w:val="00075D60"/>
    <w:rPr>
      <w:rFonts w:cs="Times New Roman"/>
    </w:rPr>
  </w:style>
  <w:style w:type="character" w:customStyle="1" w:styleId="hps">
    <w:name w:val="hps"/>
    <w:rsid w:val="003C68E6"/>
  </w:style>
  <w:style w:type="character" w:customStyle="1" w:styleId="atn">
    <w:name w:val="atn"/>
    <w:rsid w:val="003C68E6"/>
  </w:style>
  <w:style w:type="paragraph" w:styleId="ListParagraph">
    <w:name w:val="List Paragraph"/>
    <w:basedOn w:val="Normal"/>
    <w:link w:val="ListParagraphChar"/>
    <w:uiPriority w:val="34"/>
    <w:qFormat/>
    <w:rsid w:val="0019394F"/>
    <w:pPr>
      <w:spacing w:after="200" w:line="276" w:lineRule="auto"/>
      <w:ind w:left="720"/>
      <w:contextualSpacing/>
    </w:pPr>
    <w:rPr>
      <w:rFonts w:ascii="Calibri" w:hAnsi="Calibri"/>
      <w:spacing w:val="0"/>
      <w:sz w:val="22"/>
      <w:szCs w:val="22"/>
      <w:lang w:val="en-US"/>
    </w:rPr>
  </w:style>
  <w:style w:type="character" w:customStyle="1" w:styleId="ListParagraphChar">
    <w:name w:val="List Paragraph Char"/>
    <w:link w:val="ListParagraph"/>
    <w:uiPriority w:val="34"/>
    <w:locked/>
    <w:rsid w:val="0019394F"/>
    <w:rPr>
      <w:rFonts w:ascii="Calibri" w:hAnsi="Calibri"/>
      <w:sz w:val="22"/>
      <w:szCs w:val="22"/>
      <w:lang w:val="en-US" w:eastAsia="en-US"/>
    </w:rPr>
  </w:style>
  <w:style w:type="paragraph" w:customStyle="1" w:styleId="Chapter">
    <w:name w:val="Chapter"/>
    <w:basedOn w:val="Normal"/>
    <w:next w:val="Normal"/>
    <w:rsid w:val="000F34A5"/>
    <w:pPr>
      <w:numPr>
        <w:numId w:val="9"/>
      </w:numPr>
      <w:tabs>
        <w:tab w:val="left" w:pos="1440"/>
      </w:tabs>
      <w:spacing w:after="240"/>
      <w:jc w:val="center"/>
    </w:pPr>
    <w:rPr>
      <w:b/>
      <w:smallCaps/>
      <w:spacing w:val="0"/>
    </w:rPr>
  </w:style>
  <w:style w:type="paragraph" w:customStyle="1" w:styleId="Paragraph">
    <w:name w:val="Paragraph"/>
    <w:basedOn w:val="BodyTextIndent"/>
    <w:link w:val="ParagraphChar"/>
    <w:rsid w:val="000F34A5"/>
    <w:pPr>
      <w:numPr>
        <w:ilvl w:val="1"/>
        <w:numId w:val="9"/>
      </w:numPr>
      <w:spacing w:before="120"/>
      <w:jc w:val="both"/>
      <w:outlineLvl w:val="1"/>
    </w:pPr>
    <w:rPr>
      <w:spacing w:val="0"/>
    </w:rPr>
  </w:style>
  <w:style w:type="paragraph" w:customStyle="1" w:styleId="subpar">
    <w:name w:val="subpar"/>
    <w:basedOn w:val="BodyTextIndent3"/>
    <w:rsid w:val="000F34A5"/>
    <w:pPr>
      <w:numPr>
        <w:ilvl w:val="2"/>
        <w:numId w:val="9"/>
      </w:numPr>
      <w:spacing w:before="120"/>
      <w:jc w:val="both"/>
      <w:outlineLvl w:val="2"/>
    </w:pPr>
    <w:rPr>
      <w:spacing w:val="0"/>
      <w:sz w:val="24"/>
      <w:szCs w:val="20"/>
    </w:rPr>
  </w:style>
  <w:style w:type="paragraph" w:customStyle="1" w:styleId="SubSubPar">
    <w:name w:val="SubSubPar"/>
    <w:basedOn w:val="subpar"/>
    <w:rsid w:val="000F34A5"/>
    <w:pPr>
      <w:numPr>
        <w:ilvl w:val="3"/>
      </w:numPr>
      <w:tabs>
        <w:tab w:val="left" w:pos="0"/>
      </w:tabs>
    </w:pPr>
  </w:style>
  <w:style w:type="character" w:customStyle="1" w:styleId="ParagraphChar">
    <w:name w:val="Paragraph Char"/>
    <w:link w:val="Paragraph"/>
    <w:locked/>
    <w:rsid w:val="000F34A5"/>
    <w:rPr>
      <w:noProof/>
      <w:sz w:val="24"/>
      <w:lang w:eastAsia="en-US"/>
    </w:rPr>
  </w:style>
  <w:style w:type="paragraph" w:styleId="BodyTextIndent3">
    <w:name w:val="Body Text Indent 3"/>
    <w:basedOn w:val="Normal"/>
    <w:link w:val="BodyTextIndent3Char"/>
    <w:rsid w:val="000F34A5"/>
    <w:pPr>
      <w:spacing w:after="120"/>
      <w:ind w:left="360"/>
    </w:pPr>
    <w:rPr>
      <w:sz w:val="16"/>
      <w:szCs w:val="16"/>
    </w:rPr>
  </w:style>
  <w:style w:type="character" w:customStyle="1" w:styleId="BodyTextIndent3Char">
    <w:name w:val="Body Text Indent 3 Char"/>
    <w:basedOn w:val="DefaultParagraphFont"/>
    <w:link w:val="BodyTextIndent3"/>
    <w:rsid w:val="000F34A5"/>
    <w:rPr>
      <w:spacing w:val="-3"/>
      <w:sz w:val="16"/>
      <w:szCs w:val="16"/>
      <w:lang w:val="es-ES_tradnl" w:eastAsia="en-US"/>
    </w:rPr>
  </w:style>
  <w:style w:type="paragraph" w:customStyle="1" w:styleId="Annex">
    <w:name w:val="Annex"/>
    <w:basedOn w:val="Normal"/>
    <w:rsid w:val="00EC0CF1"/>
    <w:rPr>
      <w:caps/>
      <w:spacing w:val="0"/>
    </w:rPr>
  </w:style>
  <w:style w:type="paragraph" w:customStyle="1" w:styleId="AbbrDesc">
    <w:name w:val="AbbrDesc"/>
    <w:basedOn w:val="Normal"/>
    <w:rsid w:val="00EC0CF1"/>
    <w:pPr>
      <w:tabs>
        <w:tab w:val="left" w:pos="3060"/>
      </w:tabs>
      <w:jc w:val="both"/>
    </w:pPr>
    <w:rPr>
      <w:spacing w:val="0"/>
    </w:rPr>
  </w:style>
  <w:style w:type="paragraph" w:customStyle="1" w:styleId="TableContents">
    <w:name w:val="Table Contents"/>
    <w:basedOn w:val="BodyText"/>
    <w:rsid w:val="00C74305"/>
    <w:pPr>
      <w:widowControl w:val="0"/>
      <w:suppressAutoHyphens/>
      <w:spacing w:after="0"/>
    </w:pPr>
    <w:rPr>
      <w:spacing w:val="0"/>
      <w:szCs w:val="24"/>
      <w:lang w:val="es-CO" w:eastAsia="es-CO"/>
    </w:rPr>
  </w:style>
  <w:style w:type="character" w:customStyle="1" w:styleId="ctl00treeview101">
    <w:name w:val="ctl00_treeview1_01"/>
    <w:basedOn w:val="DefaultParagraphFont"/>
    <w:rsid w:val="008B640A"/>
    <w:rPr>
      <w:strike w:val="0"/>
      <w:dstrike w:val="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362E"/>
    <w:rPr>
      <w:noProof/>
      <w:spacing w:val="-3"/>
      <w:sz w:val="24"/>
      <w:lang w:eastAsia="en-US"/>
    </w:rPr>
  </w:style>
  <w:style w:type="paragraph" w:styleId="Heading1">
    <w:name w:val="heading 1"/>
    <w:next w:val="Normal"/>
    <w:qFormat/>
    <w:rsid w:val="00E147AB"/>
    <w:pPr>
      <w:keepNext/>
      <w:numPr>
        <w:numId w:val="7"/>
      </w:numPr>
      <w:spacing w:before="240" w:after="240"/>
      <w:jc w:val="center"/>
      <w:outlineLvl w:val="0"/>
    </w:pPr>
    <w:rPr>
      <w:rFonts w:ascii="Times New Roman Bold" w:hAnsi="Times New Roman Bold"/>
      <w:b/>
      <w:smallCaps/>
      <w:noProof/>
      <w:sz w:val="28"/>
      <w:lang w:val="en-US" w:eastAsia="en-US"/>
    </w:rPr>
  </w:style>
  <w:style w:type="paragraph" w:styleId="Heading2">
    <w:name w:val="heading 2"/>
    <w:next w:val="Normal"/>
    <w:qFormat/>
    <w:rsid w:val="00E147AB"/>
    <w:pPr>
      <w:keepNext/>
      <w:numPr>
        <w:numId w:val="5"/>
      </w:numPr>
      <w:spacing w:before="120" w:after="120"/>
      <w:jc w:val="both"/>
      <w:outlineLvl w:val="1"/>
    </w:pPr>
    <w:rPr>
      <w:rFonts w:ascii="Times New Roman Bold" w:hAnsi="Times New Roman Bold"/>
      <w:b/>
      <w:noProof/>
      <w:sz w:val="24"/>
      <w:lang w:val="en-US" w:eastAsia="en-US"/>
    </w:rPr>
  </w:style>
  <w:style w:type="paragraph" w:styleId="Heading3">
    <w:name w:val="heading 3"/>
    <w:next w:val="Normal"/>
    <w:qFormat/>
    <w:rsid w:val="00E147AB"/>
    <w:pPr>
      <w:keepNext/>
      <w:numPr>
        <w:numId w:val="6"/>
      </w:numPr>
      <w:spacing w:before="120" w:after="120"/>
      <w:jc w:val="both"/>
      <w:outlineLvl w:val="2"/>
    </w:pPr>
    <w:rPr>
      <w:rFonts w:ascii="Times New Roman Bold" w:hAnsi="Times New Roman Bold"/>
      <w:b/>
      <w:noProof/>
      <w:sz w:val="24"/>
      <w:lang w:val="en-US" w:eastAsia="en-US"/>
    </w:rPr>
  </w:style>
  <w:style w:type="paragraph" w:styleId="Heading4">
    <w:name w:val="heading 4"/>
    <w:next w:val="Normal"/>
    <w:qFormat/>
    <w:rsid w:val="00E147AB"/>
    <w:pPr>
      <w:keepNext/>
      <w:numPr>
        <w:ilvl w:val="2"/>
        <w:numId w:val="7"/>
      </w:numPr>
      <w:tabs>
        <w:tab w:val="left" w:pos="1440"/>
      </w:tabs>
      <w:spacing w:before="120" w:after="120"/>
      <w:jc w:val="both"/>
      <w:outlineLvl w:val="3"/>
    </w:pPr>
    <w:rPr>
      <w:rFonts w:ascii="Times New Roman Bold" w:hAnsi="Times New Roman Bold"/>
      <w:b/>
      <w:noProof/>
      <w:sz w:val="24"/>
      <w:lang w:val="en-US" w:eastAsia="en-US"/>
    </w:rPr>
  </w:style>
  <w:style w:type="paragraph" w:styleId="Heading5">
    <w:name w:val="heading 5"/>
    <w:next w:val="Normal"/>
    <w:qFormat/>
    <w:rsid w:val="00E147AB"/>
    <w:pPr>
      <w:keepNext/>
      <w:numPr>
        <w:ilvl w:val="3"/>
        <w:numId w:val="7"/>
      </w:numPr>
      <w:spacing w:before="120" w:after="120"/>
      <w:jc w:val="both"/>
      <w:outlineLvl w:val="4"/>
    </w:pPr>
    <w:rPr>
      <w:rFonts w:ascii="Times New Roman Bold" w:hAnsi="Times New Roman Bold"/>
      <w:b/>
      <w:noProof/>
      <w:sz w:val="24"/>
      <w:lang w:val="en-US" w:eastAsia="en-US"/>
    </w:rPr>
  </w:style>
  <w:style w:type="paragraph" w:styleId="Heading6">
    <w:name w:val="heading 6"/>
    <w:basedOn w:val="Normal"/>
    <w:next w:val="Normal"/>
    <w:qFormat/>
    <w:rsid w:val="00A35F1F"/>
    <w:pPr>
      <w:keepNext/>
      <w:jc w:val="center"/>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rsid w:val="00B14237"/>
    <w:pPr>
      <w:numPr>
        <w:numId w:val="1"/>
      </w:numPr>
      <w:tabs>
        <w:tab w:val="clear" w:pos="1296"/>
        <w:tab w:val="num" w:pos="1080"/>
      </w:tabs>
      <w:spacing w:before="120" w:after="120"/>
      <w:ind w:left="1080" w:hanging="360"/>
      <w:jc w:val="both"/>
    </w:pPr>
    <w:rPr>
      <w:spacing w:val="-2"/>
      <w:sz w:val="24"/>
      <w:lang w:val="en-US" w:eastAsia="en-US"/>
    </w:rPr>
  </w:style>
  <w:style w:type="paragraph" w:customStyle="1" w:styleId="AutoNumpara">
    <w:name w:val="AutoNumpara"/>
    <w:basedOn w:val="BodyTextIndent"/>
    <w:qFormat/>
    <w:rsid w:val="00646FD9"/>
    <w:pPr>
      <w:numPr>
        <w:ilvl w:val="1"/>
        <w:numId w:val="7"/>
      </w:numPr>
      <w:spacing w:before="120"/>
      <w:jc w:val="both"/>
    </w:pPr>
    <w:rPr>
      <w:spacing w:val="0"/>
    </w:rPr>
  </w:style>
  <w:style w:type="paragraph" w:styleId="BodyTextIndent">
    <w:name w:val="Body Text Indent"/>
    <w:basedOn w:val="Normal"/>
    <w:rsid w:val="00A35F1F"/>
    <w:pPr>
      <w:spacing w:after="120"/>
      <w:ind w:left="360"/>
    </w:pPr>
  </w:style>
  <w:style w:type="paragraph" w:customStyle="1" w:styleId="Paragraph1">
    <w:name w:val="Paragraph1"/>
    <w:rsid w:val="00A35F1F"/>
    <w:pPr>
      <w:numPr>
        <w:numId w:val="3"/>
      </w:numPr>
      <w:spacing w:before="120" w:after="120"/>
      <w:jc w:val="both"/>
    </w:pPr>
    <w:rPr>
      <w:noProof/>
      <w:sz w:val="24"/>
      <w:lang w:val="en-US" w:eastAsia="en-US"/>
    </w:rPr>
  </w:style>
  <w:style w:type="paragraph" w:customStyle="1" w:styleId="Paragrapha">
    <w:name w:val="Paragraph a"/>
    <w:rsid w:val="00A35F1F"/>
    <w:pPr>
      <w:numPr>
        <w:numId w:val="2"/>
      </w:numPr>
      <w:spacing w:before="120" w:after="120"/>
      <w:jc w:val="both"/>
    </w:pPr>
    <w:rPr>
      <w:noProof/>
      <w:sz w:val="24"/>
      <w:lang w:val="en-US" w:eastAsia="en-US"/>
    </w:rPr>
  </w:style>
  <w:style w:type="paragraph" w:customStyle="1" w:styleId="Inter-Ametitle">
    <w:name w:val="Inter-Ametitle"/>
    <w:basedOn w:val="Normal"/>
    <w:rsid w:val="00A35F1F"/>
    <w:pPr>
      <w:jc w:val="center"/>
    </w:pPr>
    <w:rPr>
      <w:smallCaps/>
    </w:rPr>
  </w:style>
  <w:style w:type="paragraph" w:customStyle="1" w:styleId="CountryName">
    <w:name w:val="CountryName"/>
    <w:basedOn w:val="Normal"/>
    <w:rsid w:val="00A35F1F"/>
    <w:pPr>
      <w:jc w:val="center"/>
    </w:pPr>
    <w:rPr>
      <w:rFonts w:ascii="Times New Roman Bold" w:hAnsi="Times New Roman Bold"/>
      <w:b/>
      <w:smallCaps/>
      <w:sz w:val="32"/>
    </w:rPr>
  </w:style>
  <w:style w:type="paragraph" w:customStyle="1" w:styleId="ProjectTitle">
    <w:name w:val="ProjectTitle"/>
    <w:rsid w:val="00A35F1F"/>
    <w:pPr>
      <w:jc w:val="center"/>
    </w:pPr>
    <w:rPr>
      <w:rFonts w:ascii="Times New Roman Bold" w:hAnsi="Times New Roman Bold"/>
      <w:b/>
      <w:smallCaps/>
      <w:noProof/>
      <w:sz w:val="32"/>
      <w:lang w:val="en-US" w:eastAsia="en-US"/>
    </w:rPr>
  </w:style>
  <w:style w:type="paragraph" w:customStyle="1" w:styleId="ProjectNumber">
    <w:name w:val="ProjectNumber"/>
    <w:basedOn w:val="Normal"/>
    <w:link w:val="ProjectNumberChar"/>
    <w:rsid w:val="0074062D"/>
    <w:pPr>
      <w:spacing w:before="960" w:after="720"/>
      <w:jc w:val="center"/>
    </w:pPr>
    <w:rPr>
      <w:rFonts w:ascii="Times New Roman Bold" w:hAnsi="Times New Roman Bold"/>
      <w:smallCaps/>
    </w:rPr>
  </w:style>
  <w:style w:type="paragraph" w:customStyle="1" w:styleId="LoanProposal">
    <w:name w:val="LoanProposal"/>
    <w:rsid w:val="00A35F1F"/>
    <w:pPr>
      <w:spacing w:after="480"/>
      <w:jc w:val="center"/>
    </w:pPr>
    <w:rPr>
      <w:rFonts w:ascii="Times New Roman Bold" w:hAnsi="Times New Roman Bold"/>
      <w:b/>
      <w:smallCaps/>
      <w:noProof/>
      <w:sz w:val="28"/>
      <w:lang w:val="en-US" w:eastAsia="en-US"/>
    </w:rPr>
  </w:style>
  <w:style w:type="paragraph" w:customStyle="1" w:styleId="TableContentsTitle">
    <w:name w:val="TableContentsTitle"/>
    <w:basedOn w:val="Normal"/>
    <w:rsid w:val="00A35F1F"/>
    <w:pPr>
      <w:spacing w:after="720"/>
      <w:jc w:val="center"/>
    </w:pPr>
    <w:rPr>
      <w:smallCaps/>
      <w:spacing w:val="0"/>
    </w:rPr>
  </w:style>
  <w:style w:type="paragraph" w:customStyle="1" w:styleId="heading-b24">
    <w:name w:val="heading-b24"/>
    <w:basedOn w:val="Normal"/>
    <w:next w:val="Normal"/>
    <w:rsid w:val="00E147AB"/>
    <w:pPr>
      <w:spacing w:after="600"/>
      <w:jc w:val="center"/>
    </w:pPr>
    <w:rPr>
      <w:rFonts w:ascii="Times New Roman Bold" w:hAnsi="Times New Roman Bold"/>
      <w:b/>
      <w:smallCaps/>
    </w:rPr>
  </w:style>
  <w:style w:type="paragraph" w:customStyle="1" w:styleId="Listabbreviations">
    <w:name w:val="List abbreviations"/>
    <w:basedOn w:val="Normal"/>
    <w:rsid w:val="00A35F1F"/>
    <w:pPr>
      <w:tabs>
        <w:tab w:val="left" w:pos="1620"/>
      </w:tabs>
      <w:ind w:left="1627" w:hanging="1627"/>
    </w:pPr>
  </w:style>
  <w:style w:type="paragraph" w:customStyle="1" w:styleId="Regtable">
    <w:name w:val="Regtable"/>
    <w:rsid w:val="00A35F1F"/>
    <w:pPr>
      <w:keepLines/>
      <w:spacing w:before="20" w:after="20"/>
    </w:pPr>
    <w:rPr>
      <w:noProof/>
      <w:lang w:val="en-US" w:eastAsia="en-US"/>
    </w:rPr>
  </w:style>
  <w:style w:type="character" w:styleId="Hyperlink">
    <w:name w:val="Hyperlink"/>
    <w:rsid w:val="00E147AB"/>
    <w:rPr>
      <w:rFonts w:ascii="Times New Roman" w:hAnsi="Times New Roman"/>
      <w:color w:val="0000FF"/>
      <w:sz w:val="24"/>
      <w:u w:val="single"/>
    </w:rPr>
  </w:style>
  <w:style w:type="paragraph" w:customStyle="1" w:styleId="ProjecName">
    <w:name w:val="ProjecName"/>
    <w:basedOn w:val="Normal"/>
    <w:rsid w:val="00A35F1F"/>
    <w:pPr>
      <w:jc w:val="center"/>
    </w:pPr>
    <w:rPr>
      <w:rFonts w:ascii="Times New Roman Bold" w:hAnsi="Times New Roman Bold"/>
      <w:b/>
      <w:smallCaps/>
    </w:rPr>
  </w:style>
  <w:style w:type="paragraph" w:styleId="TOC3">
    <w:name w:val="toc 3"/>
    <w:basedOn w:val="Normal"/>
    <w:next w:val="Normal"/>
    <w:autoRedefine/>
    <w:semiHidden/>
    <w:rsid w:val="00A35F1F"/>
    <w:pPr>
      <w:tabs>
        <w:tab w:val="left" w:pos="1627"/>
        <w:tab w:val="right" w:leader="dot" w:pos="8630"/>
      </w:tabs>
      <w:ind w:left="1713" w:hanging="547"/>
    </w:pPr>
  </w:style>
  <w:style w:type="paragraph" w:styleId="Header">
    <w:name w:val="header"/>
    <w:basedOn w:val="Normal"/>
    <w:rsid w:val="00A35F1F"/>
    <w:pPr>
      <w:tabs>
        <w:tab w:val="center" w:pos="4320"/>
        <w:tab w:val="right" w:pos="8640"/>
      </w:tabs>
    </w:pPr>
    <w:rPr>
      <w:sz w:val="20"/>
    </w:rPr>
  </w:style>
  <w:style w:type="paragraph" w:customStyle="1" w:styleId="IndentedParagr">
    <w:name w:val="IndentedParagr"/>
    <w:basedOn w:val="Normal"/>
    <w:rsid w:val="00A35F1F"/>
    <w:pPr>
      <w:spacing w:before="120" w:after="120"/>
      <w:ind w:left="720"/>
      <w:jc w:val="both"/>
    </w:pPr>
    <w:rPr>
      <w:spacing w:val="0"/>
    </w:rPr>
  </w:style>
  <w:style w:type="paragraph" w:styleId="Caption">
    <w:name w:val="caption"/>
    <w:basedOn w:val="Normal"/>
    <w:next w:val="Normal"/>
    <w:qFormat/>
    <w:rsid w:val="00A35F1F"/>
    <w:pPr>
      <w:widowControl w:val="0"/>
    </w:pPr>
  </w:style>
  <w:style w:type="paragraph" w:styleId="Footer">
    <w:name w:val="footer"/>
    <w:basedOn w:val="Normal"/>
    <w:rsid w:val="00A35F1F"/>
    <w:pPr>
      <w:tabs>
        <w:tab w:val="center" w:pos="4320"/>
        <w:tab w:val="right" w:pos="8640"/>
      </w:tabs>
    </w:pPr>
    <w:rPr>
      <w:sz w:val="20"/>
    </w:rPr>
  </w:style>
  <w:style w:type="character" w:styleId="FootnoteReference">
    <w:name w:val="footnote reference"/>
    <w:semiHidden/>
    <w:rsid w:val="00A35F1F"/>
    <w:rPr>
      <w:rFonts w:ascii="Times New Roman" w:hAnsi="Times New Roman"/>
      <w:sz w:val="20"/>
      <w:vertAlign w:val="superscript"/>
    </w:rPr>
  </w:style>
  <w:style w:type="paragraph" w:styleId="FootnoteText">
    <w:name w:val="footnote text"/>
    <w:basedOn w:val="Normal"/>
    <w:link w:val="FootnoteTextChar"/>
    <w:uiPriority w:val="99"/>
    <w:semiHidden/>
    <w:rsid w:val="001C453D"/>
    <w:pPr>
      <w:keepNext/>
      <w:keepLines/>
      <w:spacing w:after="120"/>
      <w:ind w:left="288" w:hanging="288"/>
      <w:jc w:val="both"/>
    </w:pPr>
    <w:rPr>
      <w:sz w:val="20"/>
    </w:rPr>
  </w:style>
  <w:style w:type="character" w:styleId="PageNumber">
    <w:name w:val="page number"/>
    <w:basedOn w:val="DefaultParagraphFont"/>
    <w:uiPriority w:val="99"/>
    <w:rsid w:val="00A35F1F"/>
  </w:style>
  <w:style w:type="paragraph" w:customStyle="1" w:styleId="RomanParagraph">
    <w:name w:val="RomanParagraph"/>
    <w:rsid w:val="007C10F3"/>
    <w:pPr>
      <w:numPr>
        <w:numId w:val="4"/>
      </w:numPr>
      <w:spacing w:before="120" w:after="120"/>
      <w:jc w:val="both"/>
    </w:pPr>
    <w:rPr>
      <w:noProof/>
      <w:sz w:val="24"/>
      <w:lang w:val="en-US" w:eastAsia="en-US"/>
    </w:rPr>
  </w:style>
  <w:style w:type="paragraph" w:customStyle="1" w:styleId="TableTitle">
    <w:name w:val="TableTitle"/>
    <w:basedOn w:val="Normal"/>
    <w:rsid w:val="00705D34"/>
    <w:pPr>
      <w:keepNext/>
      <w:spacing w:before="20" w:after="20"/>
      <w:jc w:val="center"/>
    </w:pPr>
    <w:rPr>
      <w:rFonts w:ascii="Times New Roman Bold" w:hAnsi="Times New Roman Bold"/>
      <w:b/>
      <w:sz w:val="20"/>
    </w:rPr>
  </w:style>
  <w:style w:type="paragraph" w:styleId="TOC1">
    <w:name w:val="toc 1"/>
    <w:basedOn w:val="Normal"/>
    <w:next w:val="Normal"/>
    <w:autoRedefine/>
    <w:uiPriority w:val="39"/>
    <w:rsid w:val="00A35F1F"/>
    <w:pPr>
      <w:tabs>
        <w:tab w:val="left" w:pos="634"/>
        <w:tab w:val="right" w:leader="dot" w:pos="8630"/>
      </w:tabs>
      <w:spacing w:before="240" w:after="240"/>
      <w:ind w:left="634" w:hanging="634"/>
      <w:outlineLvl w:val="0"/>
    </w:pPr>
    <w:rPr>
      <w:smallCaps/>
    </w:rPr>
  </w:style>
  <w:style w:type="paragraph" w:styleId="TOC2">
    <w:name w:val="toc 2"/>
    <w:basedOn w:val="Normal"/>
    <w:next w:val="Normal"/>
    <w:autoRedefine/>
    <w:uiPriority w:val="39"/>
    <w:rsid w:val="00D60C1F"/>
    <w:pPr>
      <w:tabs>
        <w:tab w:val="left" w:pos="0"/>
        <w:tab w:val="right" w:leader="dot" w:pos="8630"/>
      </w:tabs>
      <w:spacing w:after="240"/>
      <w:ind w:left="634" w:hanging="634"/>
    </w:pPr>
  </w:style>
  <w:style w:type="paragraph" w:customStyle="1" w:styleId="StyleProjectNumberBold">
    <w:name w:val="Style ProjectNumber + Bold"/>
    <w:basedOn w:val="ProjectNumber"/>
    <w:link w:val="StyleProjectNumberBoldChar"/>
    <w:rsid w:val="0074062D"/>
    <w:rPr>
      <w:b/>
      <w:bCs/>
    </w:rPr>
  </w:style>
  <w:style w:type="character" w:customStyle="1" w:styleId="ProjectNumberChar">
    <w:name w:val="ProjectNumber Char"/>
    <w:link w:val="ProjectNumber"/>
    <w:rsid w:val="0074062D"/>
    <w:rPr>
      <w:rFonts w:ascii="Times New Roman Bold" w:hAnsi="Times New Roman Bold"/>
      <w:smallCaps/>
      <w:spacing w:val="-3"/>
      <w:sz w:val="24"/>
      <w:lang w:val="es-ES_tradnl" w:eastAsia="en-US" w:bidi="ar-SA"/>
    </w:rPr>
  </w:style>
  <w:style w:type="character" w:customStyle="1" w:styleId="StyleProjectNumberBoldChar">
    <w:name w:val="Style ProjectNumber + Bold Char"/>
    <w:link w:val="StyleProjectNumberBold"/>
    <w:rsid w:val="0074062D"/>
    <w:rPr>
      <w:rFonts w:ascii="Times New Roman Bold" w:hAnsi="Times New Roman Bold"/>
      <w:b/>
      <w:bCs/>
      <w:smallCaps/>
      <w:spacing w:val="-3"/>
      <w:sz w:val="24"/>
      <w:lang w:val="es-ES_tradnl" w:eastAsia="en-US" w:bidi="ar-SA"/>
    </w:rPr>
  </w:style>
  <w:style w:type="paragraph" w:customStyle="1" w:styleId="StyleTimesNewRomanBoldBoldAllcapsCentered">
    <w:name w:val="Style Times New Roman Bold Bold All caps Centered"/>
    <w:basedOn w:val="Normal"/>
    <w:rsid w:val="0074062D"/>
    <w:pPr>
      <w:jc w:val="center"/>
    </w:pPr>
    <w:rPr>
      <w:rFonts w:ascii="Times New Roman Bold" w:hAnsi="Times New Roman Bold"/>
      <w:b/>
      <w:bCs/>
      <w:caps/>
    </w:rPr>
  </w:style>
  <w:style w:type="paragraph" w:customStyle="1" w:styleId="ExSumSubTitles">
    <w:name w:val="ExSumSubTitles"/>
    <w:basedOn w:val="Normal"/>
    <w:rsid w:val="008E0FA8"/>
    <w:pPr>
      <w:keepLines/>
      <w:tabs>
        <w:tab w:val="left" w:pos="1195"/>
        <w:tab w:val="left" w:pos="2880"/>
        <w:tab w:val="left" w:pos="3360"/>
      </w:tabs>
      <w:suppressAutoHyphens/>
      <w:spacing w:before="120" w:after="120"/>
    </w:pPr>
    <w:rPr>
      <w:rFonts w:ascii="Times New Roman Bold" w:hAnsi="Times New Roman Bold"/>
      <w:b/>
      <w:spacing w:val="-2"/>
    </w:rPr>
  </w:style>
  <w:style w:type="paragraph" w:customStyle="1" w:styleId="EXSUMPARAGR">
    <w:name w:val="EXSUMPARAGR"/>
    <w:basedOn w:val="Normal"/>
    <w:rsid w:val="008E0FA8"/>
    <w:pPr>
      <w:widowControl w:val="0"/>
      <w:tabs>
        <w:tab w:val="left" w:pos="-1205"/>
        <w:tab w:val="left" w:pos="480"/>
        <w:tab w:val="left" w:pos="960"/>
        <w:tab w:val="left" w:pos="3480"/>
        <w:tab w:val="right" w:pos="6360"/>
      </w:tabs>
      <w:suppressAutoHyphens/>
      <w:spacing w:before="120" w:after="120"/>
      <w:jc w:val="both"/>
    </w:pPr>
    <w:rPr>
      <w:snapToGrid w:val="0"/>
      <w:spacing w:val="-2"/>
    </w:rPr>
  </w:style>
  <w:style w:type="paragraph" w:customStyle="1" w:styleId="ExSumLeftIndent">
    <w:name w:val="ExSumLeftIndent"/>
    <w:rsid w:val="008E0FA8"/>
    <w:pPr>
      <w:tabs>
        <w:tab w:val="left" w:pos="4020"/>
      </w:tabs>
      <w:spacing w:before="120" w:after="120"/>
    </w:pPr>
    <w:rPr>
      <w:sz w:val="24"/>
      <w:lang w:val="es-ES_tradnl" w:eastAsia="en-US"/>
    </w:rPr>
  </w:style>
  <w:style w:type="paragraph" w:customStyle="1" w:styleId="Footnotestyle">
    <w:name w:val="Footnote style"/>
    <w:basedOn w:val="Normal"/>
    <w:qFormat/>
    <w:rsid w:val="009F637F"/>
    <w:pPr>
      <w:keepLines/>
      <w:tabs>
        <w:tab w:val="left" w:pos="240"/>
      </w:tabs>
      <w:spacing w:after="60"/>
      <w:ind w:left="240" w:hanging="240"/>
      <w:jc w:val="both"/>
    </w:pPr>
    <w:rPr>
      <w:sz w:val="20"/>
      <w:lang w:val="en-US"/>
    </w:rPr>
  </w:style>
  <w:style w:type="table" w:styleId="TableGrid">
    <w:name w:val="Table Grid"/>
    <w:basedOn w:val="TableNormal"/>
    <w:rsid w:val="003E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uiPriority w:val="99"/>
    <w:semiHidden/>
    <w:rsid w:val="005D7E7F"/>
    <w:rPr>
      <w:spacing w:val="-3"/>
      <w:lang w:val="es-ES_tradnl"/>
    </w:rPr>
  </w:style>
  <w:style w:type="character" w:styleId="FollowedHyperlink">
    <w:name w:val="FollowedHyperlink"/>
    <w:rsid w:val="00D15695"/>
    <w:rPr>
      <w:color w:val="800080"/>
      <w:u w:val="single"/>
    </w:rPr>
  </w:style>
  <w:style w:type="character" w:styleId="CommentReference">
    <w:name w:val="annotation reference"/>
    <w:rsid w:val="00673815"/>
    <w:rPr>
      <w:sz w:val="16"/>
      <w:szCs w:val="16"/>
    </w:rPr>
  </w:style>
  <w:style w:type="paragraph" w:styleId="CommentText">
    <w:name w:val="annotation text"/>
    <w:basedOn w:val="Normal"/>
    <w:link w:val="CommentTextChar"/>
    <w:rsid w:val="00673815"/>
    <w:rPr>
      <w:sz w:val="20"/>
    </w:rPr>
  </w:style>
  <w:style w:type="character" w:customStyle="1" w:styleId="CommentTextChar">
    <w:name w:val="Comment Text Char"/>
    <w:link w:val="CommentText"/>
    <w:rsid w:val="00673815"/>
    <w:rPr>
      <w:spacing w:val="-3"/>
      <w:lang w:val="es-ES_tradnl"/>
    </w:rPr>
  </w:style>
  <w:style w:type="paragraph" w:styleId="CommentSubject">
    <w:name w:val="annotation subject"/>
    <w:basedOn w:val="CommentText"/>
    <w:next w:val="CommentText"/>
    <w:link w:val="CommentSubjectChar"/>
    <w:rsid w:val="00673815"/>
    <w:rPr>
      <w:b/>
      <w:bCs/>
    </w:rPr>
  </w:style>
  <w:style w:type="character" w:customStyle="1" w:styleId="CommentSubjectChar">
    <w:name w:val="Comment Subject Char"/>
    <w:link w:val="CommentSubject"/>
    <w:rsid w:val="00673815"/>
    <w:rPr>
      <w:b/>
      <w:bCs/>
      <w:spacing w:val="-3"/>
      <w:lang w:val="es-ES_tradnl"/>
    </w:rPr>
  </w:style>
  <w:style w:type="paragraph" w:styleId="Revision">
    <w:name w:val="Revision"/>
    <w:hidden/>
    <w:uiPriority w:val="99"/>
    <w:semiHidden/>
    <w:rsid w:val="00673815"/>
    <w:rPr>
      <w:spacing w:val="-3"/>
      <w:sz w:val="24"/>
      <w:lang w:val="es-ES_tradnl" w:eastAsia="en-US"/>
    </w:rPr>
  </w:style>
  <w:style w:type="paragraph" w:styleId="BalloonText">
    <w:name w:val="Balloon Text"/>
    <w:basedOn w:val="Normal"/>
    <w:link w:val="BalloonTextChar"/>
    <w:rsid w:val="00673815"/>
    <w:rPr>
      <w:rFonts w:ascii="Tahoma" w:hAnsi="Tahoma" w:cs="Tahoma"/>
      <w:sz w:val="16"/>
      <w:szCs w:val="16"/>
    </w:rPr>
  </w:style>
  <w:style w:type="character" w:customStyle="1" w:styleId="BalloonTextChar">
    <w:name w:val="Balloon Text Char"/>
    <w:link w:val="BalloonText"/>
    <w:rsid w:val="00673815"/>
    <w:rPr>
      <w:rFonts w:ascii="Tahoma" w:hAnsi="Tahoma" w:cs="Tahoma"/>
      <w:spacing w:val="-3"/>
      <w:sz w:val="16"/>
      <w:szCs w:val="16"/>
      <w:lang w:val="es-ES_tradnl"/>
    </w:rPr>
  </w:style>
  <w:style w:type="paragraph" w:styleId="BodyText">
    <w:name w:val="Body Text"/>
    <w:basedOn w:val="Normal"/>
    <w:link w:val="BodyTextChar"/>
    <w:rsid w:val="00155175"/>
    <w:pPr>
      <w:spacing w:after="120"/>
    </w:pPr>
  </w:style>
  <w:style w:type="character" w:customStyle="1" w:styleId="BodyTextChar">
    <w:name w:val="Body Text Char"/>
    <w:link w:val="BodyText"/>
    <w:rsid w:val="00155175"/>
    <w:rPr>
      <w:spacing w:val="-3"/>
      <w:sz w:val="24"/>
      <w:lang w:val="es-ES_tradnl" w:eastAsia="en-US"/>
    </w:rPr>
  </w:style>
  <w:style w:type="paragraph" w:customStyle="1" w:styleId="Default">
    <w:name w:val="Default"/>
    <w:rsid w:val="00075D60"/>
    <w:pPr>
      <w:autoSpaceDE w:val="0"/>
      <w:autoSpaceDN w:val="0"/>
      <w:adjustRightInd w:val="0"/>
    </w:pPr>
    <w:rPr>
      <w:rFonts w:eastAsia="Calibri"/>
      <w:color w:val="000000"/>
      <w:sz w:val="24"/>
      <w:szCs w:val="24"/>
      <w:lang w:val="en-US" w:eastAsia="en-US"/>
    </w:rPr>
  </w:style>
  <w:style w:type="character" w:customStyle="1" w:styleId="st1">
    <w:name w:val="st1"/>
    <w:uiPriority w:val="99"/>
    <w:rsid w:val="00075D60"/>
    <w:rPr>
      <w:rFonts w:cs="Times New Roman"/>
    </w:rPr>
  </w:style>
  <w:style w:type="character" w:customStyle="1" w:styleId="hps">
    <w:name w:val="hps"/>
    <w:rsid w:val="003C68E6"/>
  </w:style>
  <w:style w:type="character" w:customStyle="1" w:styleId="atn">
    <w:name w:val="atn"/>
    <w:rsid w:val="003C68E6"/>
  </w:style>
  <w:style w:type="paragraph" w:styleId="ListParagraph">
    <w:name w:val="List Paragraph"/>
    <w:basedOn w:val="Normal"/>
    <w:link w:val="ListParagraphChar"/>
    <w:uiPriority w:val="34"/>
    <w:qFormat/>
    <w:rsid w:val="0019394F"/>
    <w:pPr>
      <w:spacing w:after="200" w:line="276" w:lineRule="auto"/>
      <w:ind w:left="720"/>
      <w:contextualSpacing/>
    </w:pPr>
    <w:rPr>
      <w:rFonts w:ascii="Calibri" w:hAnsi="Calibri"/>
      <w:spacing w:val="0"/>
      <w:sz w:val="22"/>
      <w:szCs w:val="22"/>
      <w:lang w:val="en-US"/>
    </w:rPr>
  </w:style>
  <w:style w:type="character" w:customStyle="1" w:styleId="ListParagraphChar">
    <w:name w:val="List Paragraph Char"/>
    <w:link w:val="ListParagraph"/>
    <w:uiPriority w:val="34"/>
    <w:locked/>
    <w:rsid w:val="0019394F"/>
    <w:rPr>
      <w:rFonts w:ascii="Calibri" w:hAnsi="Calibri"/>
      <w:sz w:val="22"/>
      <w:szCs w:val="22"/>
      <w:lang w:val="en-US" w:eastAsia="en-US"/>
    </w:rPr>
  </w:style>
  <w:style w:type="paragraph" w:customStyle="1" w:styleId="Chapter">
    <w:name w:val="Chapter"/>
    <w:basedOn w:val="Normal"/>
    <w:next w:val="Normal"/>
    <w:rsid w:val="000F34A5"/>
    <w:pPr>
      <w:numPr>
        <w:numId w:val="9"/>
      </w:numPr>
      <w:tabs>
        <w:tab w:val="left" w:pos="1440"/>
      </w:tabs>
      <w:spacing w:after="240"/>
      <w:jc w:val="center"/>
    </w:pPr>
    <w:rPr>
      <w:b/>
      <w:smallCaps/>
      <w:spacing w:val="0"/>
    </w:rPr>
  </w:style>
  <w:style w:type="paragraph" w:customStyle="1" w:styleId="Paragraph">
    <w:name w:val="Paragraph"/>
    <w:basedOn w:val="BodyTextIndent"/>
    <w:link w:val="ParagraphChar"/>
    <w:rsid w:val="000F34A5"/>
    <w:pPr>
      <w:numPr>
        <w:ilvl w:val="1"/>
        <w:numId w:val="9"/>
      </w:numPr>
      <w:spacing w:before="120"/>
      <w:jc w:val="both"/>
      <w:outlineLvl w:val="1"/>
    </w:pPr>
    <w:rPr>
      <w:spacing w:val="0"/>
    </w:rPr>
  </w:style>
  <w:style w:type="paragraph" w:customStyle="1" w:styleId="subpar">
    <w:name w:val="subpar"/>
    <w:basedOn w:val="BodyTextIndent3"/>
    <w:rsid w:val="000F34A5"/>
    <w:pPr>
      <w:numPr>
        <w:ilvl w:val="2"/>
        <w:numId w:val="9"/>
      </w:numPr>
      <w:spacing w:before="120"/>
      <w:jc w:val="both"/>
      <w:outlineLvl w:val="2"/>
    </w:pPr>
    <w:rPr>
      <w:spacing w:val="0"/>
      <w:sz w:val="24"/>
      <w:szCs w:val="20"/>
    </w:rPr>
  </w:style>
  <w:style w:type="paragraph" w:customStyle="1" w:styleId="SubSubPar">
    <w:name w:val="SubSubPar"/>
    <w:basedOn w:val="subpar"/>
    <w:rsid w:val="000F34A5"/>
    <w:pPr>
      <w:numPr>
        <w:ilvl w:val="3"/>
      </w:numPr>
      <w:tabs>
        <w:tab w:val="left" w:pos="0"/>
      </w:tabs>
    </w:pPr>
  </w:style>
  <w:style w:type="character" w:customStyle="1" w:styleId="ParagraphChar">
    <w:name w:val="Paragraph Char"/>
    <w:link w:val="Paragraph"/>
    <w:locked/>
    <w:rsid w:val="000F34A5"/>
    <w:rPr>
      <w:noProof/>
      <w:sz w:val="24"/>
      <w:lang w:eastAsia="en-US"/>
    </w:rPr>
  </w:style>
  <w:style w:type="paragraph" w:styleId="BodyTextIndent3">
    <w:name w:val="Body Text Indent 3"/>
    <w:basedOn w:val="Normal"/>
    <w:link w:val="BodyTextIndent3Char"/>
    <w:rsid w:val="000F34A5"/>
    <w:pPr>
      <w:spacing w:after="120"/>
      <w:ind w:left="360"/>
    </w:pPr>
    <w:rPr>
      <w:sz w:val="16"/>
      <w:szCs w:val="16"/>
    </w:rPr>
  </w:style>
  <w:style w:type="character" w:customStyle="1" w:styleId="BodyTextIndent3Char">
    <w:name w:val="Body Text Indent 3 Char"/>
    <w:basedOn w:val="DefaultParagraphFont"/>
    <w:link w:val="BodyTextIndent3"/>
    <w:rsid w:val="000F34A5"/>
    <w:rPr>
      <w:spacing w:val="-3"/>
      <w:sz w:val="16"/>
      <w:szCs w:val="16"/>
      <w:lang w:val="es-ES_tradnl" w:eastAsia="en-US"/>
    </w:rPr>
  </w:style>
  <w:style w:type="paragraph" w:customStyle="1" w:styleId="Annex">
    <w:name w:val="Annex"/>
    <w:basedOn w:val="Normal"/>
    <w:rsid w:val="00EC0CF1"/>
    <w:rPr>
      <w:caps/>
      <w:spacing w:val="0"/>
    </w:rPr>
  </w:style>
  <w:style w:type="paragraph" w:customStyle="1" w:styleId="AbbrDesc">
    <w:name w:val="AbbrDesc"/>
    <w:basedOn w:val="Normal"/>
    <w:rsid w:val="00EC0CF1"/>
    <w:pPr>
      <w:tabs>
        <w:tab w:val="left" w:pos="3060"/>
      </w:tabs>
      <w:jc w:val="both"/>
    </w:pPr>
    <w:rPr>
      <w:spacing w:val="0"/>
    </w:rPr>
  </w:style>
  <w:style w:type="paragraph" w:customStyle="1" w:styleId="TableContents">
    <w:name w:val="Table Contents"/>
    <w:basedOn w:val="BodyText"/>
    <w:rsid w:val="00C74305"/>
    <w:pPr>
      <w:widowControl w:val="0"/>
      <w:suppressAutoHyphens/>
      <w:spacing w:after="0"/>
    </w:pPr>
    <w:rPr>
      <w:spacing w:val="0"/>
      <w:szCs w:val="24"/>
      <w:lang w:val="es-CO" w:eastAsia="es-CO"/>
    </w:rPr>
  </w:style>
  <w:style w:type="character" w:customStyle="1" w:styleId="ctl00treeview101">
    <w:name w:val="ctl00_treeview1_01"/>
    <w:basedOn w:val="DefaultParagraphFont"/>
    <w:rsid w:val="008B640A"/>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2586">
      <w:bodyDiv w:val="1"/>
      <w:marLeft w:val="0"/>
      <w:marRight w:val="0"/>
      <w:marTop w:val="0"/>
      <w:marBottom w:val="0"/>
      <w:divBdr>
        <w:top w:val="none" w:sz="0" w:space="0" w:color="auto"/>
        <w:left w:val="none" w:sz="0" w:space="0" w:color="auto"/>
        <w:bottom w:val="none" w:sz="0" w:space="0" w:color="auto"/>
        <w:right w:val="none" w:sz="0" w:space="0" w:color="auto"/>
      </w:divBdr>
    </w:div>
    <w:div w:id="679086233">
      <w:bodyDiv w:val="1"/>
      <w:marLeft w:val="0"/>
      <w:marRight w:val="0"/>
      <w:marTop w:val="0"/>
      <w:marBottom w:val="0"/>
      <w:divBdr>
        <w:top w:val="none" w:sz="0" w:space="0" w:color="auto"/>
        <w:left w:val="none" w:sz="0" w:space="0" w:color="auto"/>
        <w:bottom w:val="none" w:sz="0" w:space="0" w:color="auto"/>
        <w:right w:val="none" w:sz="0" w:space="0" w:color="auto"/>
      </w:divBdr>
    </w:div>
    <w:div w:id="106706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PCDOCS://IDBDOCS/38033393/R"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PCDOCS://IDBDOCS/37568832/R" TargetMode="External"/><Relationship Id="rId25" Type="http://schemas.openxmlformats.org/officeDocument/2006/relationships/header" Target="header7.xml"/><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PCDOCS://IDBDOCS/37774569/R" TargetMode="External"/><Relationship Id="rId20" Type="http://schemas.openxmlformats.org/officeDocument/2006/relationships/hyperlink" Target="PCDOCS://IDBDOCS/37852355/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png"/><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PCDOCS://IDBDOCS/37860542/R" TargetMode="Externa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PCDOCS://IDBDOCS/37852382/1" TargetMode="External"/><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customXml" Target="../customXml/item2.xml"/><Relationship Id="rId35" Type="http://schemas.openxmlformats.org/officeDocument/2006/relationships/customXml" Target="../customXml/item7.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ghgprotocol.org/files/ghgp/Agriculture-Guidance-Second-draft-%28March_19th_2013%29.pdf" TargetMode="External"/><Relationship Id="rId2" Type="http://schemas.openxmlformats.org/officeDocument/2006/relationships/hyperlink" Target="http://www.inec.go.cr/A/MS/Encuestas/Encuesta%20Nacional%20de%20Hogares/Publicaciones/C0/2012/01.%20Resultados%20generales%20ENAHO%202012.pdf" TargetMode="External"/><Relationship Id="rId1" Type="http://schemas.openxmlformats.org/officeDocument/2006/relationships/hyperlink" Target="http://www.icafe.go.cr/icafe/anuncios/roya_del_cafe/Situaci&#243;n%20Roya%202012%20(presentaci&#243;n%20CENECOOP).pdf" TargetMode="External"/><Relationship Id="rId4" Type="http://schemas.openxmlformats.org/officeDocument/2006/relationships/hyperlink" Target="http://www.ghgprotocol.org/files/ghgp/GHG%20Protocol%20Policies%20and%20Actions%20Standard%20-%20Draft%20for%20Review%20Group%20-%20November%20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MIF%20TC\PropuestaMI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Donors Memorandum</Disclosure_x0020_Activity>
    <Region xmlns="cdc7663a-08f0-4737-9e8c-148ce897a09c" xsi:nil="true"/>
    <Division_x0020_or_x0020_Unit xmlns="cdc7663a-08f0-4737-9e8c-148ce897a09c">MIF/ATB</Division_x0020_or_x0020_Unit>
    <Other_x0020_Author xmlns="cdc7663a-08f0-4737-9e8c-148ce897a09c" xsi:nil="true"/>
    <Key_x0020_Document xmlns="cdc7663a-08f0-4737-9e8c-148ce897a09c">false</Key_x0020_Document>
    <IDBDocs_x0020_Number xmlns="cdc7663a-08f0-4737-9e8c-148ce897a09c">37713442</IDBDocs_x0020_Number>
    <Publication_x0020_Type xmlns="cdc7663a-08f0-4737-9e8c-148ce897a09c" xsi:nil="true"/>
    <Document_x0020_Author xmlns="cdc7663a-08f0-4737-9e8c-148ce897a09c">Mejicanos Rios, Lorena E</Document_x0020_Author>
    <Operation_x0020_Type xmlns="cdc7663a-08f0-4737-9e8c-148ce897a09c" xsi:nil="true"/>
    <TaxCatchAll xmlns="cdc7663a-08f0-4737-9e8c-148ce897a09c">
      <Value>30</Value>
      <Value>81</Value>
    </TaxCatchAll>
    <Issue_x0020_Date xmlns="cdc7663a-08f0-4737-9e8c-148ce897a09c" xsi:nil="true"/>
    <Fiscal_x0020_Year_x0020_IDB xmlns="cdc7663a-08f0-4737-9e8c-148ce897a09c">2013</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WORD&lt;/APPLICATION&gt;&lt;STAGE_CODE&gt;DM&lt;/STAGE_CODE&gt;&lt;USER_STAGE&gt;Donors Memorandum&lt;/USER_STAGE&gt;&lt;PD_OBJ_TYPE&gt;0&lt;/PD_OBJ_TYPE&gt;&lt;MAKERECORD&gt;N&lt;/MAKERECORD&gt;&lt;/Data&gt;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Energy;Climate Change;Natural Resource Management and Conservation;Forestry;Forestry</Webtopic>
    <Publishing_x0020_House xmlns="cdc7663a-08f0-4737-9e8c-148ce897a09c" xsi:nil="true"/>
    <Identifier xmlns="cdc7663a-08f0-4737-9e8c-148ce897a09c"> MAIN DOC</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9547BA-AFF1-410F-8FD9-C907A53147C0}"/>
</file>

<file path=customXml/itemProps2.xml><?xml version="1.0" encoding="utf-8"?>
<ds:datastoreItem xmlns:ds="http://schemas.openxmlformats.org/officeDocument/2006/customXml" ds:itemID="{1B44D081-8F5F-4EFB-A9C4-FB7CF5DCA75D}"/>
</file>

<file path=customXml/itemProps3.xml><?xml version="1.0" encoding="utf-8"?>
<ds:datastoreItem xmlns:ds="http://schemas.openxmlformats.org/officeDocument/2006/customXml" ds:itemID="{BA828C7E-5384-4FC0-B21E-B22FB90EB200}"/>
</file>

<file path=customXml/itemProps4.xml><?xml version="1.0" encoding="utf-8"?>
<ds:datastoreItem xmlns:ds="http://schemas.openxmlformats.org/officeDocument/2006/customXml" ds:itemID="{D9B4E14A-D836-4D3B-8582-90E0F7A0F6B8}"/>
</file>

<file path=customXml/itemProps5.xml><?xml version="1.0" encoding="utf-8"?>
<ds:datastoreItem xmlns:ds="http://schemas.openxmlformats.org/officeDocument/2006/customXml" ds:itemID="{2AFD3185-C85D-4954-872A-146433D27269}"/>
</file>

<file path=customXml/itemProps6.xml><?xml version="1.0" encoding="utf-8"?>
<ds:datastoreItem xmlns:ds="http://schemas.openxmlformats.org/officeDocument/2006/customXml" ds:itemID="{049D51D4-1831-4EB4-A9D6-6966224A8894}"/>
</file>

<file path=customXml/itemProps7.xml><?xml version="1.0" encoding="utf-8"?>
<ds:datastoreItem xmlns:ds="http://schemas.openxmlformats.org/officeDocument/2006/customXml" ds:itemID="{1E9AE283-B76F-4E6A-B288-743A4ABA249D}"/>
</file>

<file path=docProps/app.xml><?xml version="1.0" encoding="utf-8"?>
<Properties xmlns="http://schemas.openxmlformats.org/officeDocument/2006/extended-properties" xmlns:vt="http://schemas.openxmlformats.org/officeDocument/2006/docPropsVTypes">
  <Template>PropuestaMIF.dotm</Template>
  <TotalTime>1</TotalTime>
  <Pages>28</Pages>
  <Words>8671</Words>
  <Characters>48004</Characters>
  <Application>Microsoft Office Word</Application>
  <DocSecurity>0</DocSecurity>
  <Lines>400</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56562</CharactersWithSpaces>
  <SharedDoc>false</SharedDoc>
  <HLinks>
    <vt:vector size="24" baseType="variant">
      <vt:variant>
        <vt:i4>2818095</vt:i4>
      </vt:variant>
      <vt:variant>
        <vt:i4>9</vt:i4>
      </vt:variant>
      <vt:variant>
        <vt:i4>0</vt:i4>
      </vt:variant>
      <vt:variant>
        <vt:i4>5</vt:i4>
      </vt:variant>
      <vt:variant>
        <vt:lpwstr>http://www.inec.go.cr/A/MS/Encuestas/Encuesta Nacional de Hogares/Publicaciones/C0/2012/01. Resultados generales ENAHO 2012.pdf</vt:lpwstr>
      </vt:variant>
      <vt:variant>
        <vt:lpwstr/>
      </vt:variant>
      <vt:variant>
        <vt:i4>5177427</vt:i4>
      </vt:variant>
      <vt:variant>
        <vt:i4>6</vt:i4>
      </vt:variant>
      <vt:variant>
        <vt:i4>0</vt:i4>
      </vt:variant>
      <vt:variant>
        <vt:i4>5</vt:i4>
      </vt:variant>
      <vt:variant>
        <vt:lpwstr>http://www.ghgprotocol.org/files/ghgp/GHG Protocol Policies and Actions Standard - Draft for Review Group - November 2012.pdf</vt:lpwstr>
      </vt:variant>
      <vt:variant>
        <vt:lpwstr/>
      </vt:variant>
      <vt:variant>
        <vt:i4>7864355</vt:i4>
      </vt:variant>
      <vt:variant>
        <vt:i4>3</vt:i4>
      </vt:variant>
      <vt:variant>
        <vt:i4>0</vt:i4>
      </vt:variant>
      <vt:variant>
        <vt:i4>5</vt:i4>
      </vt:variant>
      <vt:variant>
        <vt:lpwstr>http://www.ghgprotocol.org/files/ghgp/Agriculture-Guidance-Second-draft-%28March_19th_2013%29.pdf</vt:lpwstr>
      </vt:variant>
      <vt:variant>
        <vt:lpwstr/>
      </vt:variant>
      <vt:variant>
        <vt:i4>7012403</vt:i4>
      </vt:variant>
      <vt:variant>
        <vt:i4>0</vt:i4>
      </vt:variant>
      <vt:variant>
        <vt:i4>0</vt:i4>
      </vt:variant>
      <vt:variant>
        <vt:i4>5</vt:i4>
      </vt:variant>
      <vt:variant>
        <vt:lpwstr>http://www.icafe.go.cr/icafe/anuncios/roya_del_cafe/Situación Roya 2012 (presentación CENECOOP).pdf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CR-M1020  Fortalecimiento de la competitividad y desempeño bajo en carbono del sector café en Costa Rica</dc:title>
  <dc:creator>María Amparo Cabezas</dc:creator>
  <cp:keywords/>
  <cp:lastModifiedBy>Inter-American Development Bank</cp:lastModifiedBy>
  <cp:revision>3</cp:revision>
  <cp:lastPrinted>2013-09-17T14:07:00Z</cp:lastPrinted>
  <dcterms:created xsi:type="dcterms:W3CDTF">2013-09-26T19:31:00Z</dcterms:created>
  <dcterms:modified xsi:type="dcterms:W3CDTF">2013-09-26T19:32:00Z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30;#Costa Rica|70401352-ba64-401d-af16-55c448a66295</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