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BE5FFB" w14:textId="77777777" w:rsidR="00733E6D" w:rsidRPr="00881752" w:rsidRDefault="00733E6D">
      <w:pPr>
        <w:pStyle w:val="BodyText"/>
        <w:spacing w:before="3"/>
        <w:rPr>
          <w:sz w:val="15"/>
          <w:lang w:val="es-ES_tradnl"/>
        </w:rPr>
      </w:pPr>
    </w:p>
    <w:p w14:paraId="76751CF0" w14:textId="77777777" w:rsidR="00733E6D" w:rsidRPr="00881752" w:rsidRDefault="009E4D55">
      <w:pPr>
        <w:spacing w:before="94"/>
        <w:ind w:left="2805"/>
        <w:rPr>
          <w:b/>
          <w:sz w:val="18"/>
          <w:lang w:val="es-ES_tradnl"/>
        </w:rPr>
      </w:pPr>
      <w:r w:rsidRPr="00881752">
        <w:rPr>
          <w:b/>
          <w:lang w:val="es-ES_tradnl"/>
        </w:rPr>
        <w:t>P</w:t>
      </w:r>
      <w:r w:rsidRPr="00881752">
        <w:rPr>
          <w:b/>
          <w:sz w:val="18"/>
          <w:lang w:val="es-ES_tradnl"/>
        </w:rPr>
        <w:t xml:space="preserve">LAN DE </w:t>
      </w:r>
      <w:r w:rsidRPr="00881752">
        <w:rPr>
          <w:b/>
          <w:lang w:val="es-ES_tradnl"/>
        </w:rPr>
        <w:t>S</w:t>
      </w:r>
      <w:r w:rsidRPr="00881752">
        <w:rPr>
          <w:b/>
          <w:sz w:val="18"/>
          <w:lang w:val="es-ES_tradnl"/>
        </w:rPr>
        <w:t xml:space="preserve">EGUIMIENTO Y </w:t>
      </w:r>
      <w:r w:rsidRPr="00881752">
        <w:rPr>
          <w:b/>
          <w:lang w:val="es-ES_tradnl"/>
        </w:rPr>
        <w:t>E</w:t>
      </w:r>
      <w:r w:rsidRPr="00881752">
        <w:rPr>
          <w:b/>
          <w:sz w:val="18"/>
          <w:lang w:val="es-ES_tradnl"/>
        </w:rPr>
        <w:t>VALUACIÓN</w:t>
      </w:r>
    </w:p>
    <w:p w14:paraId="05E40D97" w14:textId="77777777" w:rsidR="00733E6D" w:rsidRPr="00881752" w:rsidRDefault="00733E6D">
      <w:pPr>
        <w:pStyle w:val="BodyText"/>
        <w:spacing w:before="11"/>
        <w:rPr>
          <w:b/>
          <w:sz w:val="20"/>
          <w:lang w:val="es-ES_tradnl"/>
        </w:rPr>
      </w:pPr>
    </w:p>
    <w:p w14:paraId="18EA0AA3" w14:textId="77777777" w:rsidR="00733E6D" w:rsidRPr="00881752" w:rsidRDefault="009E4D55">
      <w:pPr>
        <w:pStyle w:val="ListParagraph"/>
        <w:numPr>
          <w:ilvl w:val="0"/>
          <w:numId w:val="6"/>
        </w:numPr>
        <w:tabs>
          <w:tab w:val="left" w:pos="4255"/>
          <w:tab w:val="left" w:pos="4256"/>
        </w:tabs>
        <w:spacing w:before="0"/>
        <w:ind w:hanging="492"/>
        <w:jc w:val="left"/>
        <w:rPr>
          <w:b/>
          <w:sz w:val="18"/>
          <w:lang w:val="es-ES_tradnl"/>
        </w:rPr>
      </w:pPr>
      <w:r w:rsidRPr="00881752">
        <w:rPr>
          <w:b/>
          <w:lang w:val="es-ES_tradnl"/>
        </w:rPr>
        <w:t>I</w:t>
      </w:r>
      <w:r w:rsidRPr="00881752">
        <w:rPr>
          <w:b/>
          <w:sz w:val="18"/>
          <w:lang w:val="es-ES_tradnl"/>
        </w:rPr>
        <w:t>NTRODUCCIÓN</w:t>
      </w:r>
    </w:p>
    <w:p w14:paraId="65A6CC34" w14:textId="77777777" w:rsidR="00733E6D" w:rsidRPr="00881752" w:rsidRDefault="00733E6D">
      <w:pPr>
        <w:pStyle w:val="BodyText"/>
        <w:spacing w:before="9"/>
        <w:rPr>
          <w:b/>
          <w:sz w:val="20"/>
          <w:lang w:val="es-ES_tradnl"/>
        </w:rPr>
      </w:pPr>
    </w:p>
    <w:p w14:paraId="4AF4E18C" w14:textId="7AAB15EF" w:rsidR="00733E6D" w:rsidRPr="00747B87" w:rsidRDefault="009E4D55">
      <w:pPr>
        <w:pStyle w:val="ListParagraph"/>
        <w:numPr>
          <w:ilvl w:val="1"/>
          <w:numId w:val="5"/>
        </w:numPr>
        <w:tabs>
          <w:tab w:val="left" w:pos="1001"/>
        </w:tabs>
        <w:spacing w:before="0"/>
        <w:ind w:right="213"/>
        <w:rPr>
          <w:lang w:val="es-ES_tradnl"/>
        </w:rPr>
      </w:pPr>
      <w:r w:rsidRPr="00881752">
        <w:rPr>
          <w:lang w:val="es-ES_tradnl"/>
        </w:rPr>
        <w:t xml:space="preserve">Este documento presenta los arreglos para el </w:t>
      </w:r>
      <w:r w:rsidR="00AE6D31">
        <w:rPr>
          <w:lang w:val="es-ES_tradnl"/>
        </w:rPr>
        <w:t>seguimiento</w:t>
      </w:r>
      <w:r w:rsidRPr="00881752">
        <w:rPr>
          <w:lang w:val="es-ES_tradnl"/>
        </w:rPr>
        <w:t xml:space="preserve"> y el plan de evaluación para la </w:t>
      </w:r>
      <w:r w:rsidR="00CC6A1E" w:rsidRPr="00881752">
        <w:rPr>
          <w:lang w:val="es-ES_tradnl"/>
        </w:rPr>
        <w:t xml:space="preserve">serie Programática en Apoyo </w:t>
      </w:r>
      <w:r w:rsidR="00470289">
        <w:rPr>
          <w:lang w:val="es-ES_tradnl"/>
        </w:rPr>
        <w:t>de</w:t>
      </w:r>
      <w:r w:rsidR="00CC6A1E" w:rsidRPr="00881752">
        <w:rPr>
          <w:lang w:val="es-ES_tradnl"/>
        </w:rPr>
        <w:t xml:space="preserve"> Reformas de Política (PBP)</w:t>
      </w:r>
      <w:r w:rsidRPr="00881752">
        <w:rPr>
          <w:lang w:val="es-ES_tradnl"/>
        </w:rPr>
        <w:t xml:space="preserve"> “</w:t>
      </w:r>
      <w:r w:rsidR="00C0633D" w:rsidRPr="00881752">
        <w:rPr>
          <w:lang w:val="es-ES_tradnl"/>
        </w:rPr>
        <w:t>Programa de apoyo a la equidad social y sostenibilidad fiscal</w:t>
      </w:r>
      <w:r w:rsidRPr="00881752">
        <w:rPr>
          <w:lang w:val="es-ES_tradnl"/>
        </w:rPr>
        <w:t xml:space="preserve">”. </w:t>
      </w:r>
      <w:r w:rsidR="00941088" w:rsidRPr="00881752">
        <w:rPr>
          <w:lang w:val="es-ES_tradnl"/>
        </w:rPr>
        <w:t>La primera</w:t>
      </w:r>
      <w:r w:rsidR="003D4D8B" w:rsidRPr="00C87597">
        <w:rPr>
          <w:lang w:val="es-ES_tradnl"/>
        </w:rPr>
        <w:t xml:space="preserve"> </w:t>
      </w:r>
      <w:r w:rsidRPr="00747B87">
        <w:rPr>
          <w:lang w:val="es-ES_tradnl"/>
        </w:rPr>
        <w:t>operación de la serie (</w:t>
      </w:r>
      <w:r w:rsidR="00114180" w:rsidRPr="00747B87">
        <w:rPr>
          <w:lang w:val="es-ES_tradnl"/>
        </w:rPr>
        <w:t>CH-L1149</w:t>
      </w:r>
      <w:r w:rsidRPr="00747B87">
        <w:rPr>
          <w:lang w:val="es-ES_tradnl"/>
        </w:rPr>
        <w:t>) es por un monto de US$</w:t>
      </w:r>
      <w:r w:rsidR="003D4D8B" w:rsidRPr="00747B87">
        <w:rPr>
          <w:lang w:val="es-ES_tradnl"/>
        </w:rPr>
        <w:t>300</w:t>
      </w:r>
      <w:r w:rsidRPr="00747B87">
        <w:rPr>
          <w:lang w:val="es-ES_tradnl"/>
        </w:rPr>
        <w:t xml:space="preserve"> millones y será ejecutada por</w:t>
      </w:r>
      <w:r w:rsidR="00C0633D" w:rsidRPr="00747B87">
        <w:rPr>
          <w:lang w:val="es-ES_tradnl"/>
        </w:rPr>
        <w:t xml:space="preserve"> </w:t>
      </w:r>
      <w:r w:rsidR="00C11D6B" w:rsidRPr="00747B87">
        <w:rPr>
          <w:lang w:val="es-ES_tradnl"/>
        </w:rPr>
        <w:t xml:space="preserve">la República de Chile </w:t>
      </w:r>
      <w:r w:rsidR="00470289">
        <w:rPr>
          <w:lang w:val="es-ES_tradnl"/>
        </w:rPr>
        <w:t>por intermedio del</w:t>
      </w:r>
      <w:r w:rsidR="00C0633D" w:rsidRPr="00747B87">
        <w:rPr>
          <w:lang w:val="es-ES_tradnl"/>
        </w:rPr>
        <w:t xml:space="preserve"> Ministerio de Hacienda</w:t>
      </w:r>
      <w:r w:rsidR="00470289">
        <w:rPr>
          <w:lang w:val="es-ES_tradnl"/>
        </w:rPr>
        <w:t xml:space="preserve"> a través de la Dirección de Presupuestos (DIPRES)</w:t>
      </w:r>
      <w:r w:rsidRPr="00747B87">
        <w:rPr>
          <w:lang w:val="es-ES_tradnl"/>
        </w:rPr>
        <w:t>.</w:t>
      </w:r>
    </w:p>
    <w:p w14:paraId="2F7D9EF6" w14:textId="57E3394D" w:rsidR="00733E6D" w:rsidRPr="00747B87" w:rsidRDefault="009E4D55">
      <w:pPr>
        <w:pStyle w:val="ListParagraph"/>
        <w:numPr>
          <w:ilvl w:val="1"/>
          <w:numId w:val="5"/>
        </w:numPr>
        <w:tabs>
          <w:tab w:val="left" w:pos="1001"/>
        </w:tabs>
        <w:spacing w:before="120"/>
        <w:ind w:right="215"/>
        <w:rPr>
          <w:lang w:val="es-ES_tradnl"/>
        </w:rPr>
      </w:pPr>
      <w:r w:rsidRPr="00747B87">
        <w:rPr>
          <w:b/>
          <w:lang w:val="es-ES_tradnl"/>
        </w:rPr>
        <w:t>Objetivo del programa</w:t>
      </w:r>
      <w:r w:rsidRPr="00747B87">
        <w:rPr>
          <w:lang w:val="es-ES_tradnl"/>
        </w:rPr>
        <w:t xml:space="preserve">. </w:t>
      </w:r>
      <w:r w:rsidR="00C0633D" w:rsidRPr="00747B87">
        <w:rPr>
          <w:lang w:val="es-ES_tradnl"/>
        </w:rPr>
        <w:t xml:space="preserve">El objetivo general es mejorar la equidad social </w:t>
      </w:r>
      <w:r w:rsidR="000D0350">
        <w:rPr>
          <w:lang w:val="es-ES_tradnl"/>
        </w:rPr>
        <w:t>con</w:t>
      </w:r>
      <w:r w:rsidR="00C0633D" w:rsidRPr="00747B87">
        <w:rPr>
          <w:lang w:val="es-ES_tradnl"/>
        </w:rPr>
        <w:t xml:space="preserve"> sostenibilidad fiscal en Chile. Los objetivos específicos son: (a) mejorar los ingresos de las personas más vulnerables; (b) mejorar la suficiencia de</w:t>
      </w:r>
      <w:r w:rsidR="00F664D0">
        <w:rPr>
          <w:lang w:val="es-ES_tradnl"/>
        </w:rPr>
        <w:t xml:space="preserve"> </w:t>
      </w:r>
      <w:r w:rsidR="00C0633D" w:rsidRPr="00747B87">
        <w:rPr>
          <w:lang w:val="es-ES_tradnl"/>
        </w:rPr>
        <w:t>l</w:t>
      </w:r>
      <w:r w:rsidR="00F664D0">
        <w:rPr>
          <w:lang w:val="es-ES_tradnl"/>
        </w:rPr>
        <w:t>os</w:t>
      </w:r>
      <w:r w:rsidR="00C0633D" w:rsidRPr="00747B87">
        <w:rPr>
          <w:lang w:val="es-ES_tradnl"/>
        </w:rPr>
        <w:t xml:space="preserve"> sistema</w:t>
      </w:r>
      <w:r w:rsidR="00F664D0">
        <w:rPr>
          <w:lang w:val="es-ES_tradnl"/>
        </w:rPr>
        <w:t>s</w:t>
      </w:r>
      <w:r w:rsidR="00C0633D" w:rsidRPr="00747B87">
        <w:rPr>
          <w:lang w:val="es-ES_tradnl"/>
        </w:rPr>
        <w:t xml:space="preserve"> de pensiones</w:t>
      </w:r>
      <w:r w:rsidR="00F664D0">
        <w:rPr>
          <w:lang w:val="es-ES_tradnl"/>
        </w:rPr>
        <w:t xml:space="preserve"> </w:t>
      </w:r>
      <w:r w:rsidR="00F664D0" w:rsidRPr="00F664D0">
        <w:rPr>
          <w:lang w:val="es-ES_tradnl"/>
        </w:rPr>
        <w:t>solidarias de la Ley N° 20.255 y de pensiones contributivas del Decreto Ley N° 3.500</w:t>
      </w:r>
      <w:r w:rsidR="00C0633D" w:rsidRPr="00747B87">
        <w:rPr>
          <w:lang w:val="es-ES_tradnl"/>
        </w:rPr>
        <w:t xml:space="preserve">; (c) mejorar </w:t>
      </w:r>
      <w:r w:rsidR="000D0350">
        <w:rPr>
          <w:lang w:val="es-ES_tradnl"/>
        </w:rPr>
        <w:t>la disponibilidad de</w:t>
      </w:r>
      <w:r w:rsidR="00C0633D" w:rsidRPr="00747B87">
        <w:rPr>
          <w:lang w:val="es-ES_tradnl"/>
        </w:rPr>
        <w:t xml:space="preserve"> </w:t>
      </w:r>
      <w:r w:rsidR="00963F32" w:rsidRPr="00747B87">
        <w:rPr>
          <w:lang w:val="es-ES_tradnl"/>
        </w:rPr>
        <w:t>medicamentos de menor costo</w:t>
      </w:r>
      <w:r w:rsidR="00C0633D" w:rsidRPr="00747B87">
        <w:rPr>
          <w:lang w:val="es-ES_tradnl"/>
        </w:rPr>
        <w:t>; y (d) mejorar la eficiencia del gasto público y la calidad del proceso de formulación presupuestaria.</w:t>
      </w:r>
    </w:p>
    <w:p w14:paraId="01481AD0" w14:textId="649A61C8" w:rsidR="00733E6D" w:rsidRPr="00747B87" w:rsidRDefault="009E4D55" w:rsidP="6AAC1521">
      <w:pPr>
        <w:pStyle w:val="ListParagraph"/>
        <w:numPr>
          <w:ilvl w:val="1"/>
          <w:numId w:val="5"/>
        </w:numPr>
        <w:ind w:right="230"/>
        <w:rPr>
          <w:lang w:val="es-ES"/>
        </w:rPr>
      </w:pPr>
      <w:r w:rsidRPr="6AAC1521">
        <w:rPr>
          <w:b/>
          <w:bCs/>
          <w:lang w:val="es-ES"/>
        </w:rPr>
        <w:t xml:space="preserve">Contexto </w:t>
      </w:r>
      <w:r w:rsidR="00C0633D" w:rsidRPr="6AAC1521">
        <w:rPr>
          <w:b/>
          <w:bCs/>
          <w:lang w:val="es-ES"/>
        </w:rPr>
        <w:t>socioeconómico</w:t>
      </w:r>
      <w:r w:rsidRPr="6AAC1521">
        <w:rPr>
          <w:lang w:val="es-ES"/>
        </w:rPr>
        <w:t xml:space="preserve">. </w:t>
      </w:r>
      <w:r w:rsidR="00F44C76" w:rsidRPr="6AAC1521">
        <w:rPr>
          <w:lang w:val="es-ES"/>
        </w:rPr>
        <w:t xml:space="preserve">Como respuesta a la crisis social, el Gobierno de Chile (GdCH) se ha comprometido a elevar el gasto público en un </w:t>
      </w:r>
      <w:r w:rsidR="00AE6D31" w:rsidRPr="6AAC1521">
        <w:rPr>
          <w:lang w:val="es-ES"/>
        </w:rPr>
        <w:t>10</w:t>
      </w:r>
      <w:r w:rsidR="002E1885" w:rsidRPr="6AAC1521">
        <w:rPr>
          <w:lang w:val="es-ES"/>
        </w:rPr>
        <w:t>,5</w:t>
      </w:r>
      <w:r w:rsidR="00F44C76" w:rsidRPr="6AAC1521">
        <w:rPr>
          <w:lang w:val="es-ES"/>
        </w:rPr>
        <w:t>% real durante 2020</w:t>
      </w:r>
      <w:r w:rsidR="00AE6D31" w:rsidRPr="00050AA6">
        <w:rPr>
          <w:rStyle w:val="FootnoteReference"/>
        </w:rPr>
        <w:footnoteReference w:id="2"/>
      </w:r>
      <w:r w:rsidR="00F44C76" w:rsidRPr="6AAC1521">
        <w:rPr>
          <w:lang w:val="es-ES"/>
        </w:rPr>
        <w:t>, el mayor aumento desde la crisis financiera global de 2007-2009. Este mayor gasto combinado con un menor crecimiento económico</w:t>
      </w:r>
      <w:r w:rsidR="00F44C76" w:rsidRPr="6AAC1521">
        <w:rPr>
          <w:rStyle w:val="FootnoteReference"/>
          <w:lang w:val="es-ES"/>
        </w:rPr>
        <w:footnoteReference w:id="3"/>
      </w:r>
      <w:r w:rsidR="00F44C76" w:rsidRPr="6AAC1521">
        <w:rPr>
          <w:lang w:val="es-ES"/>
        </w:rPr>
        <w:t>, genera un desafío de sostenibilidad de largo plazo. Para ello el GdCH ya ha aprobado una reforma tributaria que recaudaría un 0,6% del PIB en régimen, y en el corto plazo ha anunciado su intención de aceptar mayor deuda pública y a la vez liquidar parte de los fondos soberanos. Sin embargo, se requiere un aumento en la eficiencia del gasto y nuevas fuentes de financiamiento a mediano plazo, para financiar los aumentos esperados de gasto público, y asegurar su sostenibilidad fiscal.</w:t>
      </w:r>
      <w:r w:rsidR="00CC6A1E" w:rsidRPr="6AAC1521">
        <w:rPr>
          <w:lang w:val="es-ES"/>
        </w:rPr>
        <w:t xml:space="preserve"> Finalmente, la reciente pandemia del COVID-19 ha generado un impacto adicional importante a la economía chilena, reflejado en una caída en el precio del cobre de más de 25% y se espera que el crecimiento económico caiga del 1,2% previsto antes de la pandemia y se ubique en torno a </w:t>
      </w:r>
      <w:r w:rsidR="2226E5FF" w:rsidRPr="6AAC1521">
        <w:rPr>
          <w:lang w:val="es-ES"/>
        </w:rPr>
        <w:t>-2</w:t>
      </w:r>
      <w:r w:rsidR="00CC6A1E" w:rsidRPr="6AAC1521">
        <w:rPr>
          <w:lang w:val="es-ES"/>
        </w:rPr>
        <w:t>%.</w:t>
      </w:r>
    </w:p>
    <w:p w14:paraId="46395010" w14:textId="435605EB" w:rsidR="00733E6D" w:rsidRPr="00747B87" w:rsidRDefault="00E166D1">
      <w:pPr>
        <w:pStyle w:val="ListParagraph"/>
        <w:numPr>
          <w:ilvl w:val="1"/>
          <w:numId w:val="5"/>
        </w:numPr>
        <w:tabs>
          <w:tab w:val="left" w:pos="1001"/>
        </w:tabs>
        <w:spacing w:before="120"/>
        <w:ind w:right="213"/>
        <w:rPr>
          <w:lang w:val="es-ES_tradnl"/>
        </w:rPr>
      </w:pPr>
      <w:r w:rsidRPr="00747B87">
        <w:rPr>
          <w:b/>
          <w:bCs/>
          <w:lang w:val="es-ES_tradnl"/>
        </w:rPr>
        <w:t xml:space="preserve">Desafíos de Política. </w:t>
      </w:r>
      <w:r w:rsidR="00F44C76" w:rsidRPr="005366BA">
        <w:rPr>
          <w:lang w:val="es-ES_tradnl"/>
        </w:rPr>
        <w:t>El principal problema identificado es la alta inequidad, entendida como la brecha de ingresos y de acceso a servicios básicos de la</w:t>
      </w:r>
      <w:r w:rsidR="00F44C76" w:rsidRPr="00C87597">
        <w:rPr>
          <w:lang w:val="es-ES_tradnl"/>
        </w:rPr>
        <w:t xml:space="preserve"> población vulnerable</w:t>
      </w:r>
      <w:r w:rsidR="00F44C76" w:rsidRPr="00747B87">
        <w:rPr>
          <w:rStyle w:val="FootnoteReference"/>
          <w:lang w:val="es-ES_tradnl"/>
        </w:rPr>
        <w:footnoteReference w:id="4"/>
      </w:r>
      <w:r w:rsidR="00F44C76" w:rsidRPr="005366BA">
        <w:rPr>
          <w:lang w:val="es-ES_tradnl"/>
        </w:rPr>
        <w:t xml:space="preserve"> del país. Si bien Chile ha reducido sus niveles de desigualdad de ingresos (el índice de Gini pasó de 57,2 en 1990 a 46,6 en 2017), esta sigue siendo la segunda más alta entre países de la OCDE (promedio 33,1)</w:t>
      </w:r>
      <w:r w:rsidR="00F44C76" w:rsidRPr="00747B87">
        <w:rPr>
          <w:rStyle w:val="FootnoteReference"/>
          <w:lang w:val="es-ES_tradnl"/>
        </w:rPr>
        <w:footnoteReference w:id="5"/>
      </w:r>
      <w:r w:rsidR="00F44C76" w:rsidRPr="005366BA">
        <w:rPr>
          <w:lang w:val="es-ES_tradnl"/>
        </w:rPr>
        <w:t>. El sistema redistribu</w:t>
      </w:r>
      <w:r w:rsidR="00F44C76" w:rsidRPr="00C87597">
        <w:rPr>
          <w:lang w:val="es-ES_tradnl"/>
        </w:rPr>
        <w:t xml:space="preserve">tivo chileno además no logra corregir eficientemente </w:t>
      </w:r>
      <w:r w:rsidR="00F44C76" w:rsidRPr="00747B87">
        <w:rPr>
          <w:lang w:val="es-ES_tradnl"/>
        </w:rPr>
        <w:t xml:space="preserve">la inequidad de ingresos en cuanto solo la reduce en 3 puntos versus 14 puntos en </w:t>
      </w:r>
      <w:r w:rsidR="00F44C76" w:rsidRPr="00747B87">
        <w:rPr>
          <w:lang w:val="es-ES_tradnl"/>
        </w:rPr>
        <w:lastRenderedPageBreak/>
        <w:t>promedio de países OCDE sin Europa Continental</w:t>
      </w:r>
      <w:r w:rsidR="00F44C76" w:rsidRPr="00747B87">
        <w:rPr>
          <w:rStyle w:val="FootnoteReference"/>
          <w:lang w:val="es-ES_tradnl"/>
        </w:rPr>
        <w:footnoteReference w:id="6"/>
      </w:r>
      <w:r w:rsidR="00F44C76" w:rsidRPr="005366BA">
        <w:rPr>
          <w:lang w:val="es-ES_tradnl"/>
        </w:rPr>
        <w:t xml:space="preserve">. Los problemas específicos son: </w:t>
      </w:r>
      <w:r w:rsidR="003E72BD" w:rsidRPr="00747B87">
        <w:rPr>
          <w:lang w:val="es-ES_tradnl"/>
        </w:rPr>
        <w:t>bajos salarios para trabajadores vulnerables, bajas pensiones</w:t>
      </w:r>
      <w:r w:rsidR="00F44C76" w:rsidRPr="00747B87">
        <w:rPr>
          <w:lang w:val="es-ES_tradnl"/>
        </w:rPr>
        <w:t>, alto gasto de bolsillo en salud y baja eficiencia del gasto público y de los procesos de formulación presupuestaria.</w:t>
      </w:r>
    </w:p>
    <w:p w14:paraId="1FC15FFD" w14:textId="1FBAC9BB" w:rsidR="00733E6D" w:rsidRPr="00747B87" w:rsidRDefault="00F44C76">
      <w:pPr>
        <w:pStyle w:val="ListParagraph"/>
        <w:numPr>
          <w:ilvl w:val="1"/>
          <w:numId w:val="5"/>
        </w:numPr>
        <w:tabs>
          <w:tab w:val="left" w:pos="1001"/>
        </w:tabs>
        <w:spacing w:before="120"/>
        <w:ind w:right="213"/>
        <w:rPr>
          <w:lang w:val="es-ES_tradnl"/>
        </w:rPr>
      </w:pPr>
      <w:r w:rsidRPr="00747B87">
        <w:rPr>
          <w:lang w:val="es-ES_tradnl"/>
        </w:rPr>
        <w:t xml:space="preserve">El mercado de trabajo chileno genera ingresos inadecuados para una parte importante de la población. Chile está entre el tercio más bajo de los países de la OCDE en seis de las nueve categorías de resultados del mercado de trabajo, entre las que se </w:t>
      </w:r>
      <w:r w:rsidRPr="00A22285">
        <w:rPr>
          <w:lang w:val="es-ES_tradnl"/>
        </w:rPr>
        <w:t xml:space="preserve">destaca la tasa de pobreza después de impuestos (14,2% vs. 10% promedio OCDE). </w:t>
      </w:r>
      <w:r w:rsidR="00944DE9" w:rsidRPr="00FD3E39">
        <w:rPr>
          <w:lang w:val="es-ES_tradnl"/>
        </w:rPr>
        <w:t>Los mecanismos tradicionales para garantizar un salario suficiente son débiles. El salario mínimo de Chile representa la mitad del salario mínimo promedio de la OCDE</w:t>
      </w:r>
      <w:r w:rsidR="00944DE9" w:rsidRPr="00FD3E39">
        <w:rPr>
          <w:rStyle w:val="FootnoteReference"/>
          <w:lang w:val="es-ES_tradnl"/>
        </w:rPr>
        <w:footnoteReference w:id="7"/>
      </w:r>
      <w:r w:rsidR="00944DE9" w:rsidRPr="00FD3E39">
        <w:rPr>
          <w:lang w:val="es-ES_tradnl"/>
        </w:rPr>
        <w:t xml:space="preserve">. </w:t>
      </w:r>
      <w:r w:rsidRPr="00A22285">
        <w:rPr>
          <w:lang w:val="es-ES_tradnl"/>
        </w:rPr>
        <w:t xml:space="preserve">De acuerdo con la encuesta de hogares, el 54% de los trabajadores ocupados </w:t>
      </w:r>
      <w:r w:rsidR="00307049" w:rsidRPr="00A22285">
        <w:rPr>
          <w:lang w:val="es-ES_tradnl"/>
        </w:rPr>
        <w:t>pertenecientes</w:t>
      </w:r>
      <w:r w:rsidR="00307049" w:rsidRPr="00747B87">
        <w:rPr>
          <w:lang w:val="es-ES_tradnl"/>
        </w:rPr>
        <w:t xml:space="preserve"> al 60% </w:t>
      </w:r>
      <w:r w:rsidR="00777D71" w:rsidRPr="00747B87">
        <w:rPr>
          <w:lang w:val="es-ES_tradnl"/>
        </w:rPr>
        <w:t xml:space="preserve">de familias de menor ingreso </w:t>
      </w:r>
      <w:r w:rsidRPr="00747B87">
        <w:rPr>
          <w:lang w:val="es-ES_tradnl"/>
        </w:rPr>
        <w:t>devengan salarios por hora menores al mínimo legal (BID-SIMS, 2019).</w:t>
      </w:r>
    </w:p>
    <w:p w14:paraId="6225DC80" w14:textId="068EE583" w:rsidR="00733E6D" w:rsidRPr="00747B87" w:rsidRDefault="00F44C76" w:rsidP="00747B87">
      <w:pPr>
        <w:pStyle w:val="ListParagraph"/>
        <w:numPr>
          <w:ilvl w:val="1"/>
          <w:numId w:val="5"/>
        </w:numPr>
        <w:tabs>
          <w:tab w:val="left" w:pos="1001"/>
        </w:tabs>
        <w:spacing w:before="120"/>
        <w:ind w:right="213"/>
        <w:rPr>
          <w:lang w:val="es-ES_tradnl"/>
        </w:rPr>
      </w:pPr>
      <w:r w:rsidRPr="00747B87">
        <w:rPr>
          <w:lang w:val="es-ES_tradnl"/>
        </w:rPr>
        <w:t>El sistema de pensiones chileno genera bajas pensiones. A casi 40 años de la reforma del sistema de pensiones, Chile enfrenta desafíos relevantes en términos de suficiencia presente y futura. Las pensiones actuales son bajas en relación con la expectativa de los chilenos, y con una marcada brecha de género. En términos relativos, la pensión del trabajador mediano entre 2007 y 2017 representó el 44% de su último salario (56% para los hombres y 31% para las mujeres). Asimismo, 78% de las mujeres y 55% de los hombres reciben pensiones por debajo de la línea de pobreza.</w:t>
      </w:r>
    </w:p>
    <w:p w14:paraId="2CC3231B" w14:textId="0FB9DC4E" w:rsidR="00F44C76" w:rsidRPr="00747B87" w:rsidRDefault="00F44C76">
      <w:pPr>
        <w:pStyle w:val="ListParagraph"/>
        <w:numPr>
          <w:ilvl w:val="1"/>
          <w:numId w:val="5"/>
        </w:numPr>
        <w:tabs>
          <w:tab w:val="left" w:pos="1001"/>
        </w:tabs>
        <w:ind w:right="219"/>
        <w:rPr>
          <w:lang w:val="es-ES_tradnl"/>
        </w:rPr>
      </w:pPr>
      <w:r w:rsidRPr="00747B87">
        <w:rPr>
          <w:lang w:val="es-ES_tradnl"/>
        </w:rPr>
        <w:t xml:space="preserve">Alto gasto de bolsillo en salud. En Chile, los pagos directos provenientes de las personas en el momento que utilizan alguna prestación de salud o “gasto de bolsillo” representan una proporción muy elevada del gasto total en salud. </w:t>
      </w:r>
      <w:r w:rsidR="00AE6D31" w:rsidRPr="00AE6D31">
        <w:rPr>
          <w:lang w:val="es-ES_tradnl"/>
        </w:rPr>
        <w:t>El gasto en salud fue el segundo ítem que más creció desde 2012, y las compras de medicamentos representan la mayor parte de esa alza: cada hogar destina CH$25.700 mensuales en promedio a este rubro, cerca de CH$10.000 más que en 2012 (INE, 2017). Desde el punto de vista de la equidad, el gasto de bolsillo en salud es altamente regresivo, afectando a la población más vulnerable. La prevalencia de uso de medicamentos es mayor en los grupos de menor nivel educativo (asociado con menor nivel de ingreso), y consistente con la mayor prevalencia de enfermedades en este grupo</w:t>
      </w:r>
      <w:r w:rsidRPr="00747B87">
        <w:rPr>
          <w:lang w:val="es-ES_tradnl"/>
        </w:rPr>
        <w:t>.</w:t>
      </w:r>
    </w:p>
    <w:p w14:paraId="6B30BA9E" w14:textId="4964DABD" w:rsidR="00F44C76" w:rsidRPr="00747B87" w:rsidRDefault="00F44C76">
      <w:pPr>
        <w:pStyle w:val="ListParagraph"/>
        <w:numPr>
          <w:ilvl w:val="1"/>
          <w:numId w:val="5"/>
        </w:numPr>
        <w:tabs>
          <w:tab w:val="left" w:pos="1001"/>
        </w:tabs>
        <w:spacing w:before="118"/>
        <w:ind w:right="211"/>
        <w:rPr>
          <w:lang w:val="es-ES_tradnl"/>
        </w:rPr>
      </w:pPr>
      <w:r w:rsidRPr="00747B87">
        <w:rPr>
          <w:lang w:val="es-ES_tradnl"/>
        </w:rPr>
        <w:t xml:space="preserve">Baja eficiencia del gasto público y procesos de formulación presupuestaria desligados de las evaluaciones de gasto. Chile reporta un nivel de gasto público con relación al PIB de alrededor del 23,4% durante el periodo 2015 2018 (FMI, 2018), por debajo de la media de los países OCDE y países con niveles similares de ingresos. El gasto social en el país representó en 2018 alrededor del 10,9% del PIB (OCDE, 2019), un nivel similar al de la década de 1990 y el segundo más bajo de los países OCDE. Para lograr un aumento del gasto social, se requieren nuevas fuentes de financiación y, a corto plazo, lograr aumentos en la eficacia del gasto existente que permita redirigir recursos a un nuevo gasto social. Existe margen de mejora. La DIPRES evalúa el desempeño de los programas financiados con gasto público. Entre 2016 y 2018 se evaluaron un promedio de 650 programas por año. Estas evaluaciones representan en promedio el 44% del presupuesto público, y de </w:t>
      </w:r>
      <w:r w:rsidRPr="00747B87">
        <w:rPr>
          <w:lang w:val="es-ES_tradnl"/>
        </w:rPr>
        <w:lastRenderedPageBreak/>
        <w:t>este monto, un 60% aproximadamente recibieron clasificación insuficiente (DIPRES, 2020).</w:t>
      </w:r>
    </w:p>
    <w:p w14:paraId="3BEEAB2B" w14:textId="65D2A111" w:rsidR="007A677F" w:rsidRDefault="007A677F" w:rsidP="007A677F">
      <w:pPr>
        <w:pStyle w:val="ListParagraph"/>
        <w:numPr>
          <w:ilvl w:val="1"/>
          <w:numId w:val="5"/>
        </w:numPr>
        <w:tabs>
          <w:tab w:val="left" w:pos="1001"/>
        </w:tabs>
        <w:ind w:right="213"/>
        <w:rPr>
          <w:lang w:val="es-ES_tradnl"/>
        </w:rPr>
      </w:pPr>
      <w:r w:rsidRPr="00C87597">
        <w:rPr>
          <w:b/>
          <w:bCs/>
          <w:lang w:val="es-ES_tradnl"/>
        </w:rPr>
        <w:t>Los principales procesos descritos en este plan son</w:t>
      </w:r>
      <w:r w:rsidRPr="00C87597">
        <w:rPr>
          <w:lang w:val="es-ES_tradnl"/>
        </w:rPr>
        <w:t>: (i)</w:t>
      </w:r>
      <w:r w:rsidR="00A54194">
        <w:rPr>
          <w:lang w:val="es-ES_tradnl"/>
        </w:rPr>
        <w:t> </w:t>
      </w:r>
      <w:r w:rsidRPr="00C87597">
        <w:rPr>
          <w:lang w:val="es-ES_tradnl"/>
        </w:rPr>
        <w:t xml:space="preserve">en cuanto a </w:t>
      </w:r>
      <w:r w:rsidR="00AE6D31">
        <w:rPr>
          <w:lang w:val="es-ES_tradnl"/>
        </w:rPr>
        <w:t>seguimiento</w:t>
      </w:r>
      <w:r w:rsidRPr="00C87597">
        <w:rPr>
          <w:lang w:val="es-ES_tradnl"/>
        </w:rPr>
        <w:t>, los mecanismos internos de las instituciones de Gobierno y las acciones de monitor</w:t>
      </w:r>
      <w:r w:rsidRPr="00747B87">
        <w:rPr>
          <w:lang w:val="es-ES_tradnl"/>
        </w:rPr>
        <w:t>eo del cumplimiento de condiciones del proyecto llevadas a cabo por el Banco; y (ii)</w:t>
      </w:r>
      <w:r w:rsidR="00A54194">
        <w:rPr>
          <w:lang w:val="es-ES_tradnl"/>
        </w:rPr>
        <w:t> </w:t>
      </w:r>
      <w:r w:rsidRPr="00747B87">
        <w:rPr>
          <w:lang w:val="es-ES_tradnl"/>
        </w:rPr>
        <w:t xml:space="preserve">en cuanto a evaluación, el objetivo es de documentar el logro de los indicadores de resultado de la Matriz de Resultados. </w:t>
      </w:r>
    </w:p>
    <w:p w14:paraId="58D88BAD" w14:textId="77777777" w:rsidR="00BB1DC7" w:rsidRPr="00747B87" w:rsidRDefault="00BB1DC7" w:rsidP="00747B87">
      <w:pPr>
        <w:pStyle w:val="ListParagraph"/>
        <w:tabs>
          <w:tab w:val="left" w:pos="1001"/>
        </w:tabs>
        <w:ind w:right="213" w:firstLine="0"/>
        <w:rPr>
          <w:lang w:val="es-ES_tradnl"/>
        </w:rPr>
      </w:pPr>
    </w:p>
    <w:p w14:paraId="1225948C" w14:textId="4705255F" w:rsidR="00121473" w:rsidRPr="00747B87" w:rsidRDefault="00AE6D31" w:rsidP="00121473">
      <w:pPr>
        <w:pStyle w:val="Chapter"/>
        <w:keepNext w:val="0"/>
        <w:widowControl w:val="0"/>
        <w:numPr>
          <w:ilvl w:val="0"/>
          <w:numId w:val="6"/>
        </w:numPr>
        <w:tabs>
          <w:tab w:val="clear" w:pos="1440"/>
        </w:tabs>
        <w:jc w:val="left"/>
        <w:rPr>
          <w:rFonts w:ascii="Arial" w:hAnsi="Arial" w:cs="Arial"/>
          <w:szCs w:val="22"/>
          <w:lang w:val="es-ES_tradnl"/>
        </w:rPr>
      </w:pPr>
      <w:bookmarkStart w:id="0" w:name="_Toc508105575"/>
      <w:r>
        <w:rPr>
          <w:rFonts w:ascii="Arial" w:hAnsi="Arial" w:cs="Arial"/>
          <w:szCs w:val="22"/>
          <w:lang w:val="es-ES_tradnl"/>
        </w:rPr>
        <w:t>Seguimiento</w:t>
      </w:r>
      <w:bookmarkEnd w:id="0"/>
    </w:p>
    <w:p w14:paraId="3722BC5A" w14:textId="73875D05" w:rsidR="00E603DE" w:rsidRDefault="00E603DE" w:rsidP="007F1B15">
      <w:pPr>
        <w:pStyle w:val="ListParagraph"/>
        <w:numPr>
          <w:ilvl w:val="1"/>
          <w:numId w:val="3"/>
        </w:numPr>
        <w:rPr>
          <w:lang w:val="es-ES_tradnl"/>
        </w:rPr>
      </w:pPr>
      <w:r w:rsidRPr="00747B87">
        <w:rPr>
          <w:lang w:val="es-ES_tradnl"/>
        </w:rPr>
        <w:t xml:space="preserve">El </w:t>
      </w:r>
      <w:r w:rsidR="00AE6D31">
        <w:rPr>
          <w:lang w:val="es-ES_tradnl"/>
        </w:rPr>
        <w:t>seguimiento</w:t>
      </w:r>
      <w:r w:rsidRPr="00747B87">
        <w:rPr>
          <w:lang w:val="es-ES_tradnl"/>
        </w:rPr>
        <w:t xml:space="preserve"> del programa está definido por la verificación de las medidas de política acordadas como condiciones de desembolso y descritas en la Matriz de Resultados y en la Matriz de Medios de Verificación. También se dará seguimiento a los resultados de las reformas a través de los indicadores señalados en la Matriz de Resultados.</w:t>
      </w:r>
      <w:r w:rsidR="00783DC6" w:rsidRPr="00747B87">
        <w:rPr>
          <w:lang w:val="es-ES_tradnl"/>
        </w:rPr>
        <w:t xml:space="preserve"> Ésta presenta valores de los indicadores de línea de base para los resultados e impactos</w:t>
      </w:r>
      <w:r w:rsidR="00F602EA" w:rsidRPr="00747B87">
        <w:rPr>
          <w:lang w:val="es-ES_tradnl"/>
        </w:rPr>
        <w:t>,</w:t>
      </w:r>
      <w:r w:rsidR="00783DC6" w:rsidRPr="00747B87">
        <w:rPr>
          <w:lang w:val="es-ES_tradnl"/>
        </w:rPr>
        <w:t xml:space="preserve"> y valores para resultados e impactos esperados al fin del programa.</w:t>
      </w:r>
    </w:p>
    <w:p w14:paraId="2B0889FF" w14:textId="77777777" w:rsidR="00477398" w:rsidRPr="005366BA" w:rsidRDefault="00477398" w:rsidP="00EB0786">
      <w:pPr>
        <w:pStyle w:val="ListParagraph"/>
        <w:ind w:firstLine="0"/>
        <w:rPr>
          <w:lang w:val="es-ES_tradnl"/>
        </w:rPr>
      </w:pPr>
    </w:p>
    <w:p w14:paraId="462B77C2" w14:textId="6408380E" w:rsidR="00AD3FAA" w:rsidRPr="00C87597" w:rsidRDefault="009E4D55" w:rsidP="00AD3FAA">
      <w:pPr>
        <w:pStyle w:val="Heading1"/>
        <w:numPr>
          <w:ilvl w:val="0"/>
          <w:numId w:val="4"/>
        </w:numPr>
        <w:tabs>
          <w:tab w:val="left" w:pos="1000"/>
          <w:tab w:val="left" w:pos="1001"/>
        </w:tabs>
        <w:jc w:val="left"/>
        <w:rPr>
          <w:lang w:val="es-ES_tradnl"/>
        </w:rPr>
      </w:pPr>
      <w:r w:rsidRPr="00C87597">
        <w:rPr>
          <w:lang w:val="es-ES_tradnl"/>
        </w:rPr>
        <w:t>Indicadores</w:t>
      </w:r>
    </w:p>
    <w:p w14:paraId="67B20C86" w14:textId="3C9BBFFC" w:rsidR="00152FD7" w:rsidRPr="00747B87" w:rsidRDefault="00152FD7" w:rsidP="00152FD7">
      <w:pPr>
        <w:pStyle w:val="ListParagraph"/>
        <w:numPr>
          <w:ilvl w:val="1"/>
          <w:numId w:val="3"/>
        </w:numPr>
        <w:rPr>
          <w:lang w:val="es-ES_tradnl"/>
        </w:rPr>
      </w:pPr>
      <w:r w:rsidRPr="00747B87">
        <w:rPr>
          <w:lang w:val="es-ES_tradnl"/>
        </w:rPr>
        <w:t xml:space="preserve">El cumplimiento de los indicadores de producto se comprobará con la información detallada en la Matriz de Medios de Verificación. Esta contiene todas las acciones a ser implementadas en el programa, las entidades responsables para lograr dichas acciones y la información específica que permitirá al Banco verificar su cumplimiento. El seguimiento a los resultados de los cambios de políticas impulsados se llevará a cabo a través de la información del logro de dichos indicadores generada por informes institucionales o sistemas administrativos de </w:t>
      </w:r>
      <w:r w:rsidR="003C25D6" w:rsidRPr="00747B87">
        <w:rPr>
          <w:lang w:val="es-ES_tradnl"/>
        </w:rPr>
        <w:t>la</w:t>
      </w:r>
      <w:r w:rsidR="0093529D" w:rsidRPr="00747B87">
        <w:rPr>
          <w:lang w:val="es-ES_tradnl"/>
        </w:rPr>
        <w:t xml:space="preserve">s entidades responsables de acuerdo </w:t>
      </w:r>
      <w:r w:rsidR="00AE6D31">
        <w:rPr>
          <w:lang w:val="es-ES_tradnl"/>
        </w:rPr>
        <w:t>con</w:t>
      </w:r>
      <w:r w:rsidR="0093529D" w:rsidRPr="00747B87">
        <w:rPr>
          <w:lang w:val="es-ES_tradnl"/>
        </w:rPr>
        <w:t xml:space="preserve"> lo detallado en la</w:t>
      </w:r>
      <w:r w:rsidR="00731EC8" w:rsidRPr="00747B87">
        <w:rPr>
          <w:lang w:val="es-ES_tradnl"/>
        </w:rPr>
        <w:t xml:space="preserve"> Matriz de Resultados</w:t>
      </w:r>
      <w:r w:rsidR="00E34665" w:rsidRPr="00747B87">
        <w:rPr>
          <w:lang w:val="es-ES_tradnl"/>
        </w:rPr>
        <w:t>.</w:t>
      </w:r>
    </w:p>
    <w:p w14:paraId="4163431F" w14:textId="0B28818D" w:rsidR="00733E6D" w:rsidRPr="00747B87" w:rsidRDefault="009E4D55" w:rsidP="00EB0786">
      <w:pPr>
        <w:pStyle w:val="ListParagraph"/>
        <w:numPr>
          <w:ilvl w:val="1"/>
          <w:numId w:val="3"/>
        </w:numPr>
        <w:rPr>
          <w:lang w:val="es-ES_tradnl"/>
        </w:rPr>
      </w:pPr>
      <w:r w:rsidRPr="00747B87">
        <w:rPr>
          <w:lang w:val="es-ES_tradnl"/>
        </w:rPr>
        <w:t xml:space="preserve">El seguimiento de los resultados del préstamo programático será ejecutado por el Banco en coordinación con </w:t>
      </w:r>
      <w:r w:rsidR="004231DE" w:rsidRPr="00747B87">
        <w:rPr>
          <w:lang w:val="es-ES_tradnl"/>
        </w:rPr>
        <w:t>el Ministerio de Hacienda</w:t>
      </w:r>
      <w:r w:rsidR="0066358C" w:rsidRPr="00747B87">
        <w:rPr>
          <w:lang w:val="es-ES_tradnl"/>
        </w:rPr>
        <w:t>. Éste será responsable de coordinar con otros organismos involucrados en el programa y reportar el cumplimiento de los compromisos programáticos.</w:t>
      </w:r>
      <w:r w:rsidR="00141CD5" w:rsidRPr="00747B87">
        <w:rPr>
          <w:lang w:val="es-ES_tradnl"/>
        </w:rPr>
        <w:t xml:space="preserve"> </w:t>
      </w:r>
    </w:p>
    <w:p w14:paraId="35FE9405" w14:textId="77777777" w:rsidR="00E34665" w:rsidRPr="00747B87" w:rsidRDefault="00E34665" w:rsidP="00E34665">
      <w:pPr>
        <w:pStyle w:val="ListParagraph"/>
        <w:tabs>
          <w:tab w:val="left" w:pos="1001"/>
        </w:tabs>
        <w:spacing w:before="122"/>
        <w:ind w:right="214" w:firstLine="0"/>
        <w:rPr>
          <w:lang w:val="es-ES_tradnl"/>
        </w:rPr>
      </w:pPr>
    </w:p>
    <w:p w14:paraId="1812D222" w14:textId="77777777" w:rsidR="00733E6D" w:rsidRPr="00747B87" w:rsidRDefault="009E4D55" w:rsidP="00747B87">
      <w:pPr>
        <w:pStyle w:val="Heading1"/>
        <w:numPr>
          <w:ilvl w:val="0"/>
          <w:numId w:val="4"/>
        </w:numPr>
        <w:tabs>
          <w:tab w:val="left" w:pos="1000"/>
          <w:tab w:val="left" w:pos="1001"/>
        </w:tabs>
        <w:jc w:val="left"/>
        <w:rPr>
          <w:lang w:val="es-ES_tradnl"/>
        </w:rPr>
      </w:pPr>
      <w:r w:rsidRPr="00747B87">
        <w:rPr>
          <w:lang w:val="es-ES_tradnl"/>
        </w:rPr>
        <w:t>Recopilación de datos e</w:t>
      </w:r>
      <w:r w:rsidRPr="00747B87">
        <w:rPr>
          <w:spacing w:val="-11"/>
          <w:lang w:val="es-ES_tradnl"/>
        </w:rPr>
        <w:t xml:space="preserve"> </w:t>
      </w:r>
      <w:r w:rsidRPr="00747B87">
        <w:rPr>
          <w:lang w:val="es-ES_tradnl"/>
        </w:rPr>
        <w:t>instrumentos</w:t>
      </w:r>
    </w:p>
    <w:p w14:paraId="41C52D17" w14:textId="2AD8D521" w:rsidR="006A1A79" w:rsidRPr="00747B87" w:rsidRDefault="009E4D55" w:rsidP="00EB0786">
      <w:pPr>
        <w:pStyle w:val="ListParagraph"/>
        <w:numPr>
          <w:ilvl w:val="1"/>
          <w:numId w:val="3"/>
        </w:numPr>
        <w:rPr>
          <w:lang w:val="es-ES_tradnl"/>
        </w:rPr>
      </w:pPr>
      <w:r w:rsidRPr="00747B87">
        <w:rPr>
          <w:lang w:val="es-ES_tradnl"/>
        </w:rPr>
        <w:t xml:space="preserve">Las fuentes de información que se usarán para el seguimiento de cada indicador se detallan en la Matriz de Medios de Verificación, y </w:t>
      </w:r>
      <w:r w:rsidR="00E34665" w:rsidRPr="00747B87">
        <w:rPr>
          <w:lang w:val="es-ES_tradnl"/>
        </w:rPr>
        <w:t>el Ministerio de Hacienda</w:t>
      </w:r>
      <w:r w:rsidRPr="00747B87">
        <w:rPr>
          <w:lang w:val="es-ES_tradnl"/>
        </w:rPr>
        <w:t xml:space="preserve"> será la entidad encargada de la recopilación de la información requerida para la supervisión del programa. La implementación de los distintos compromisos está a cargo </w:t>
      </w:r>
      <w:r w:rsidR="003D6455" w:rsidRPr="00747B87">
        <w:rPr>
          <w:lang w:val="es-ES_tradnl"/>
        </w:rPr>
        <w:t>del Ministerio de Hacienda</w:t>
      </w:r>
      <w:r w:rsidR="002C3F45" w:rsidRPr="00747B87">
        <w:rPr>
          <w:lang w:val="es-ES_tradnl"/>
        </w:rPr>
        <w:t xml:space="preserve">, en coordinación con </w:t>
      </w:r>
      <w:r w:rsidR="006A1A79" w:rsidRPr="00747B87">
        <w:rPr>
          <w:lang w:val="es-ES_tradnl"/>
        </w:rPr>
        <w:t>otros organismos involucrados</w:t>
      </w:r>
      <w:r w:rsidRPr="00747B87">
        <w:rPr>
          <w:lang w:val="es-ES_tradnl"/>
        </w:rPr>
        <w:t>, según se especifica en la Matriz de Políticas y de Medios de</w:t>
      </w:r>
      <w:r w:rsidRPr="00747B87">
        <w:rPr>
          <w:spacing w:val="-15"/>
          <w:lang w:val="es-ES_tradnl"/>
        </w:rPr>
        <w:t xml:space="preserve"> </w:t>
      </w:r>
      <w:r w:rsidRPr="00747B87">
        <w:rPr>
          <w:lang w:val="es-ES_tradnl"/>
        </w:rPr>
        <w:t>Verificación.</w:t>
      </w:r>
    </w:p>
    <w:p w14:paraId="3CCCF95E" w14:textId="59C7FFA4" w:rsidR="00733E6D" w:rsidRPr="00747B87" w:rsidRDefault="00B15778" w:rsidP="00EB0786">
      <w:pPr>
        <w:pStyle w:val="ListParagraph"/>
        <w:numPr>
          <w:ilvl w:val="1"/>
          <w:numId w:val="3"/>
        </w:numPr>
        <w:rPr>
          <w:lang w:val="es-ES_tradnl"/>
        </w:rPr>
      </w:pPr>
      <w:r w:rsidRPr="00747B87">
        <w:rPr>
          <w:lang w:val="es-ES_tradnl"/>
        </w:rPr>
        <w:t>Los indicadores de producto</w:t>
      </w:r>
      <w:r w:rsidR="009E4D55" w:rsidRPr="00747B87">
        <w:rPr>
          <w:lang w:val="es-ES_tradnl"/>
        </w:rPr>
        <w:t xml:space="preserve"> incluidos en la Matriz de Resultados son específicos a cada producto, son medibles, cuentan con una línea de base, se pueden alcanzar en los plazos previstos, son relevantes, y tienen un periodo</w:t>
      </w:r>
      <w:r w:rsidR="009E4D55" w:rsidRPr="00747B87">
        <w:rPr>
          <w:spacing w:val="-17"/>
          <w:lang w:val="es-ES_tradnl"/>
        </w:rPr>
        <w:t xml:space="preserve"> </w:t>
      </w:r>
      <w:r w:rsidR="009E4D55" w:rsidRPr="00747B87">
        <w:rPr>
          <w:lang w:val="es-ES_tradnl"/>
        </w:rPr>
        <w:t>definido.</w:t>
      </w:r>
    </w:p>
    <w:p w14:paraId="1E876909" w14:textId="1E79D93A" w:rsidR="00733E6D" w:rsidRPr="00747B87" w:rsidRDefault="009E4D55" w:rsidP="00EB0786">
      <w:pPr>
        <w:pStyle w:val="ListParagraph"/>
        <w:numPr>
          <w:ilvl w:val="1"/>
          <w:numId w:val="3"/>
        </w:numPr>
        <w:rPr>
          <w:lang w:val="es-ES_tradnl"/>
        </w:rPr>
      </w:pPr>
      <w:r w:rsidRPr="00747B87">
        <w:rPr>
          <w:lang w:val="es-ES_tradnl"/>
        </w:rPr>
        <w:t>Del mismo modo, en la Matriz de Resultados se especifica</w:t>
      </w:r>
      <w:r w:rsidR="00606F11" w:rsidRPr="00747B87">
        <w:rPr>
          <w:lang w:val="es-ES_tradnl"/>
        </w:rPr>
        <w:t>n</w:t>
      </w:r>
      <w:r w:rsidRPr="00747B87">
        <w:rPr>
          <w:lang w:val="es-ES_tradnl"/>
        </w:rPr>
        <w:t xml:space="preserve"> los indicadores de resultados e impactos de mediano plazo que se espera alcanzar después de finalizada de la serie programática, con las fuentes de información que permitirán </w:t>
      </w:r>
      <w:r w:rsidRPr="00747B87">
        <w:rPr>
          <w:lang w:val="es-ES_tradnl"/>
        </w:rPr>
        <w:lastRenderedPageBreak/>
        <w:t>medir dichos resultados e</w:t>
      </w:r>
      <w:r w:rsidRPr="00747B87">
        <w:rPr>
          <w:spacing w:val="-9"/>
          <w:lang w:val="es-ES_tradnl"/>
        </w:rPr>
        <w:t xml:space="preserve"> </w:t>
      </w:r>
      <w:r w:rsidRPr="00747B87">
        <w:rPr>
          <w:lang w:val="es-ES_tradnl"/>
        </w:rPr>
        <w:t>impactos.</w:t>
      </w:r>
    </w:p>
    <w:p w14:paraId="4BD54899" w14:textId="5C79F5D2" w:rsidR="00733E6D" w:rsidRPr="00747B87" w:rsidRDefault="009E4D55" w:rsidP="00EB0786">
      <w:pPr>
        <w:pStyle w:val="ListParagraph"/>
        <w:numPr>
          <w:ilvl w:val="1"/>
          <w:numId w:val="3"/>
        </w:numPr>
        <w:rPr>
          <w:lang w:val="es-ES_tradnl"/>
        </w:rPr>
      </w:pPr>
      <w:r w:rsidRPr="00747B87">
        <w:rPr>
          <w:lang w:val="es-ES_tradnl"/>
        </w:rPr>
        <w:t xml:space="preserve">En su carácter de organismo ejecutor, </w:t>
      </w:r>
      <w:r w:rsidR="00414306" w:rsidRPr="00747B87">
        <w:rPr>
          <w:lang w:val="es-ES_tradnl"/>
        </w:rPr>
        <w:t xml:space="preserve">el Ministerio de Hacienda </w:t>
      </w:r>
      <w:r w:rsidRPr="00747B87">
        <w:rPr>
          <w:lang w:val="es-ES_tradnl"/>
        </w:rPr>
        <w:t>designará un funcionario como responsable de, entre otras tareas: (i)</w:t>
      </w:r>
      <w:r w:rsidR="00A54194">
        <w:rPr>
          <w:lang w:val="es-ES_tradnl"/>
        </w:rPr>
        <w:t> </w:t>
      </w:r>
      <w:r w:rsidRPr="00747B87">
        <w:rPr>
          <w:lang w:val="es-ES_tradnl"/>
        </w:rPr>
        <w:t>mantener la comunicación oficial con el Banco y entregar informes y evidencia del cumplimiento de las condiciones de la operación, y todo otro informe que el Banco pueda requerir en los plazos y condiciones acordadas; (ii) impulsar las acciones tendientes al logro de los objetivos de política definidos en el programa, y en particular aquellas incluidas como mecanismos activadores para la segunda</w:t>
      </w:r>
      <w:r w:rsidR="00F15A39" w:rsidRPr="00747B87">
        <w:rPr>
          <w:lang w:val="es-ES_tradnl"/>
        </w:rPr>
        <w:t xml:space="preserve"> operación de la serie programática</w:t>
      </w:r>
      <w:r w:rsidRPr="00747B87">
        <w:rPr>
          <w:lang w:val="es-ES_tradnl"/>
        </w:rPr>
        <w:t>; y (iii)</w:t>
      </w:r>
      <w:r w:rsidR="00F70C09">
        <w:rPr>
          <w:lang w:val="es-ES_tradnl"/>
        </w:rPr>
        <w:t> </w:t>
      </w:r>
      <w:r w:rsidRPr="00747B87">
        <w:rPr>
          <w:lang w:val="es-ES_tradnl"/>
        </w:rPr>
        <w:t>reunir, archivar y entregar al Banco toda la información, indicadores y parámetros que contribuyan a que el Banco pueda dar seguimiento, medir y evaluar los resultados del</w:t>
      </w:r>
      <w:r w:rsidRPr="00747B87">
        <w:rPr>
          <w:spacing w:val="-12"/>
          <w:lang w:val="es-ES_tradnl"/>
        </w:rPr>
        <w:t xml:space="preserve"> </w:t>
      </w:r>
      <w:r w:rsidRPr="00747B87">
        <w:rPr>
          <w:lang w:val="es-ES_tradnl"/>
        </w:rPr>
        <w:t>programa.</w:t>
      </w:r>
    </w:p>
    <w:p w14:paraId="504EF69D" w14:textId="77777777" w:rsidR="00733E6D" w:rsidRPr="00747B87" w:rsidRDefault="009E4D55" w:rsidP="00EB0786">
      <w:pPr>
        <w:pStyle w:val="ListParagraph"/>
        <w:numPr>
          <w:ilvl w:val="1"/>
          <w:numId w:val="3"/>
        </w:numPr>
        <w:rPr>
          <w:lang w:val="es-ES_tradnl"/>
        </w:rPr>
      </w:pPr>
      <w:r w:rsidRPr="00747B87">
        <w:rPr>
          <w:lang w:val="es-ES_tradnl"/>
        </w:rPr>
        <w:t>La Tabla II.A resume el monitoreo de condiciones, y para cada condición provee de información sobre las fuentes de información y medios de</w:t>
      </w:r>
      <w:r w:rsidRPr="00747B87">
        <w:rPr>
          <w:spacing w:val="-13"/>
          <w:lang w:val="es-ES_tradnl"/>
        </w:rPr>
        <w:t xml:space="preserve"> </w:t>
      </w:r>
      <w:r w:rsidRPr="00747B87">
        <w:rPr>
          <w:lang w:val="es-ES_tradnl"/>
        </w:rPr>
        <w:t>verificación.</w:t>
      </w:r>
    </w:p>
    <w:p w14:paraId="0057C77F" w14:textId="4746B029" w:rsidR="00733E6D" w:rsidRPr="00747B87" w:rsidRDefault="009E4D55" w:rsidP="00EB0786">
      <w:pPr>
        <w:pStyle w:val="ListParagraph"/>
        <w:numPr>
          <w:ilvl w:val="1"/>
          <w:numId w:val="3"/>
        </w:numPr>
        <w:rPr>
          <w:lang w:val="es-ES_tradnl"/>
        </w:rPr>
      </w:pPr>
      <w:r w:rsidRPr="00747B87">
        <w:rPr>
          <w:lang w:val="es-ES_tradnl"/>
        </w:rPr>
        <w:t>No se prevén costos adicionales para la implementación del Plan de Monitoreo, tales como levantar información primaria, pues la información necesaria para dar seguimiento a los indicadores de la matriz de resultados estará disponible, ya sea como resultado de las actividades contempladas en esta</w:t>
      </w:r>
      <w:r w:rsidRPr="00747B87">
        <w:rPr>
          <w:spacing w:val="-11"/>
          <w:lang w:val="es-ES_tradnl"/>
        </w:rPr>
        <w:t xml:space="preserve"> </w:t>
      </w:r>
      <w:r w:rsidRPr="00747B87">
        <w:rPr>
          <w:lang w:val="es-ES_tradnl"/>
        </w:rPr>
        <w:t>operación</w:t>
      </w:r>
      <w:r w:rsidR="00F73BC1" w:rsidRPr="00747B87">
        <w:rPr>
          <w:lang w:val="es-ES_tradnl"/>
        </w:rPr>
        <w:t xml:space="preserve"> o debido a la generación periódica de fuentes estadísticas oficiales</w:t>
      </w:r>
      <w:r w:rsidRPr="00747B87">
        <w:rPr>
          <w:lang w:val="es-ES_tradnl"/>
        </w:rPr>
        <w:t>.</w:t>
      </w:r>
    </w:p>
    <w:p w14:paraId="73B4EAB9" w14:textId="2F8C358C" w:rsidR="00F02D12" w:rsidRPr="00747B87" w:rsidRDefault="009E4D55" w:rsidP="00EB0786">
      <w:pPr>
        <w:pStyle w:val="ListParagraph"/>
        <w:numPr>
          <w:ilvl w:val="1"/>
          <w:numId w:val="3"/>
        </w:numPr>
        <w:rPr>
          <w:lang w:val="es-ES_tradnl"/>
        </w:rPr>
      </w:pPr>
      <w:r w:rsidRPr="00747B87">
        <w:rPr>
          <w:lang w:val="es-ES_tradnl"/>
        </w:rPr>
        <w:t xml:space="preserve">Por parte del BID, el equipo de SCL/LMK dará seguimiento mediante un plan que incluye: (i) monitoreo del cumplimiento de los compromisos; (ii) misión de monitoreo y de potencial determinación </w:t>
      </w:r>
      <w:r w:rsidR="000E6B49" w:rsidRPr="00747B87">
        <w:rPr>
          <w:lang w:val="es-ES_tradnl"/>
        </w:rPr>
        <w:t xml:space="preserve">de </w:t>
      </w:r>
      <w:r w:rsidRPr="00747B87">
        <w:rPr>
          <w:lang w:val="es-ES_tradnl"/>
        </w:rPr>
        <w:t>planes alternativos que permitan garantizar el cumplimiento de los compromisos. El cronograma de estas actividades con su respectivo costo y financiamiento se detallan en la Tabla</w:t>
      </w:r>
      <w:r w:rsidRPr="00747B87">
        <w:rPr>
          <w:spacing w:val="-19"/>
          <w:lang w:val="es-ES_tradnl"/>
        </w:rPr>
        <w:t xml:space="preserve"> </w:t>
      </w:r>
      <w:r w:rsidRPr="00747B87">
        <w:rPr>
          <w:lang w:val="es-ES_tradnl"/>
        </w:rPr>
        <w:t>II.B.</w:t>
      </w:r>
    </w:p>
    <w:p w14:paraId="7E9D9DF6" w14:textId="77777777" w:rsidR="00F02D12" w:rsidRPr="00747B87" w:rsidRDefault="00F02D12" w:rsidP="00F02D12">
      <w:pPr>
        <w:jc w:val="both"/>
        <w:rPr>
          <w:lang w:val="es-ES_tradnl"/>
        </w:rPr>
        <w:sectPr w:rsidR="00F02D12" w:rsidRPr="00747B87" w:rsidSect="00747B87">
          <w:headerReference w:type="default" r:id="rId11"/>
          <w:pgSz w:w="12240" w:h="15840"/>
          <w:pgMar w:top="1440" w:right="1440" w:bottom="1440" w:left="1440" w:header="725" w:footer="0" w:gutter="0"/>
          <w:cols w:space="720"/>
          <w:docGrid w:linePitch="299"/>
        </w:sectPr>
      </w:pPr>
    </w:p>
    <w:p w14:paraId="7FC1CFCA" w14:textId="77777777" w:rsidR="00F02D12" w:rsidRPr="00747B87" w:rsidRDefault="00F02D12" w:rsidP="00F02D12">
      <w:pPr>
        <w:pStyle w:val="BodyText"/>
        <w:spacing w:before="7" w:after="1"/>
        <w:rPr>
          <w:rFonts w:ascii="Times New Roman"/>
          <w:sz w:val="19"/>
          <w:lang w:val="es-ES_tradnl"/>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38"/>
        <w:gridCol w:w="900"/>
        <w:gridCol w:w="990"/>
        <w:gridCol w:w="6253"/>
      </w:tblGrid>
      <w:tr w:rsidR="00F02D12" w:rsidRPr="00F70C09" w14:paraId="399F80B1" w14:textId="77777777" w:rsidTr="6AAC1521">
        <w:trPr>
          <w:trHeight w:val="582"/>
        </w:trPr>
        <w:tc>
          <w:tcPr>
            <w:tcW w:w="12981" w:type="dxa"/>
            <w:gridSpan w:val="4"/>
            <w:vAlign w:val="center"/>
          </w:tcPr>
          <w:p w14:paraId="494D681A" w14:textId="77777777" w:rsidR="00F02D12" w:rsidRPr="00747B87" w:rsidRDefault="00F02D12" w:rsidP="00374431">
            <w:pPr>
              <w:pStyle w:val="TableParagraph"/>
              <w:spacing w:before="146"/>
              <w:jc w:val="center"/>
              <w:rPr>
                <w:b/>
                <w:lang w:val="es-ES_tradnl"/>
              </w:rPr>
            </w:pPr>
            <w:r w:rsidRPr="00747B87">
              <w:rPr>
                <w:b/>
                <w:lang w:val="es-ES_tradnl"/>
              </w:rPr>
              <w:t>Tabla II.A Resumen monitoreo de condiciones, primera operación</w:t>
            </w:r>
          </w:p>
        </w:tc>
      </w:tr>
      <w:tr w:rsidR="00F02D12" w:rsidRPr="00747B87" w14:paraId="218626C8" w14:textId="77777777" w:rsidTr="6AAC1521">
        <w:trPr>
          <w:trHeight w:val="717"/>
        </w:trPr>
        <w:tc>
          <w:tcPr>
            <w:tcW w:w="4838" w:type="dxa"/>
            <w:shd w:val="clear" w:color="auto" w:fill="8DB3E1"/>
            <w:vAlign w:val="center"/>
          </w:tcPr>
          <w:p w14:paraId="4F3943D0" w14:textId="77777777" w:rsidR="00F02D12" w:rsidRPr="00747B87" w:rsidRDefault="00F02D12" w:rsidP="00FD3E39">
            <w:pPr>
              <w:pStyle w:val="TableParagraph"/>
              <w:ind w:left="1247"/>
              <w:jc w:val="center"/>
              <w:rPr>
                <w:b/>
                <w:sz w:val="18"/>
                <w:lang w:val="es-ES_tradnl"/>
              </w:rPr>
            </w:pPr>
            <w:r w:rsidRPr="00747B87">
              <w:rPr>
                <w:b/>
                <w:sz w:val="18"/>
                <w:lang w:val="es-ES_tradnl"/>
              </w:rPr>
              <w:t>Indicadores de Producto</w:t>
            </w:r>
          </w:p>
        </w:tc>
        <w:tc>
          <w:tcPr>
            <w:tcW w:w="900" w:type="dxa"/>
            <w:shd w:val="clear" w:color="auto" w:fill="8DB3E1"/>
            <w:vAlign w:val="center"/>
          </w:tcPr>
          <w:p w14:paraId="795617D2" w14:textId="79749CC3" w:rsidR="00F02D12" w:rsidRPr="00747B87" w:rsidRDefault="00F02D12" w:rsidP="00FD3E39">
            <w:pPr>
              <w:pStyle w:val="TableParagraph"/>
              <w:spacing w:before="1"/>
              <w:ind w:left="214" w:right="204"/>
              <w:jc w:val="center"/>
              <w:rPr>
                <w:b/>
                <w:sz w:val="18"/>
                <w:lang w:val="es-ES_tradnl"/>
              </w:rPr>
            </w:pPr>
            <w:r w:rsidRPr="00747B87">
              <w:rPr>
                <w:b/>
                <w:sz w:val="18"/>
                <w:lang w:val="es-ES_tradnl"/>
              </w:rPr>
              <w:t>Base</w:t>
            </w:r>
          </w:p>
        </w:tc>
        <w:tc>
          <w:tcPr>
            <w:tcW w:w="990" w:type="dxa"/>
            <w:shd w:val="clear" w:color="auto" w:fill="8DB3E1"/>
            <w:vAlign w:val="center"/>
          </w:tcPr>
          <w:p w14:paraId="76DCCFD1" w14:textId="7372D46A" w:rsidR="00F02D12" w:rsidRPr="00747B87" w:rsidRDefault="00F02D12" w:rsidP="00FD3E39">
            <w:pPr>
              <w:pStyle w:val="TableParagraph"/>
              <w:spacing w:before="121" w:line="276" w:lineRule="auto"/>
              <w:ind w:left="188" w:right="161" w:firstLine="52"/>
              <w:jc w:val="center"/>
              <w:rPr>
                <w:b/>
                <w:sz w:val="18"/>
                <w:lang w:val="es-ES_tradnl"/>
              </w:rPr>
            </w:pPr>
            <w:r w:rsidRPr="00747B87">
              <w:rPr>
                <w:b/>
                <w:sz w:val="18"/>
                <w:lang w:val="es-ES_tradnl"/>
              </w:rPr>
              <w:t>Meta (202</w:t>
            </w:r>
            <w:r w:rsidR="00DE4C37" w:rsidRPr="00747B87">
              <w:rPr>
                <w:b/>
                <w:sz w:val="18"/>
                <w:lang w:val="es-ES_tradnl"/>
              </w:rPr>
              <w:t>0</w:t>
            </w:r>
            <w:r w:rsidRPr="00747B87">
              <w:rPr>
                <w:b/>
                <w:sz w:val="18"/>
                <w:lang w:val="es-ES_tradnl"/>
              </w:rPr>
              <w:t>)</w:t>
            </w:r>
          </w:p>
        </w:tc>
        <w:tc>
          <w:tcPr>
            <w:tcW w:w="6253" w:type="dxa"/>
            <w:shd w:val="clear" w:color="auto" w:fill="8DB3E1"/>
            <w:vAlign w:val="center"/>
          </w:tcPr>
          <w:p w14:paraId="56E81BFA" w14:textId="77777777" w:rsidR="00F02D12" w:rsidRPr="00747B87" w:rsidRDefault="00F02D12" w:rsidP="00FD3E39">
            <w:pPr>
              <w:pStyle w:val="TableParagraph"/>
              <w:spacing w:before="1"/>
              <w:ind w:left="90"/>
              <w:jc w:val="center"/>
              <w:rPr>
                <w:b/>
                <w:sz w:val="18"/>
                <w:lang w:val="es-ES_tradnl"/>
              </w:rPr>
            </w:pPr>
            <w:r w:rsidRPr="00747B87">
              <w:rPr>
                <w:b/>
                <w:sz w:val="18"/>
                <w:lang w:val="es-ES_tradnl"/>
              </w:rPr>
              <w:t>Observaciones / Medios de verificación</w:t>
            </w:r>
          </w:p>
        </w:tc>
      </w:tr>
      <w:tr w:rsidR="00F02D12" w:rsidRPr="00F70C09" w14:paraId="39FC035C" w14:textId="77777777" w:rsidTr="6AAC1521">
        <w:trPr>
          <w:trHeight w:val="484"/>
        </w:trPr>
        <w:tc>
          <w:tcPr>
            <w:tcW w:w="12981" w:type="dxa"/>
            <w:gridSpan w:val="4"/>
            <w:shd w:val="clear" w:color="auto" w:fill="D9D9D9" w:themeFill="background1" w:themeFillShade="D9"/>
            <w:vAlign w:val="center"/>
          </w:tcPr>
          <w:p w14:paraId="31558C81" w14:textId="3E210734" w:rsidR="00F02D12" w:rsidRPr="00C87597" w:rsidRDefault="00F02D12" w:rsidP="00FD3E39">
            <w:pPr>
              <w:pStyle w:val="TableParagraph"/>
              <w:spacing w:before="60" w:after="60"/>
              <w:ind w:left="107"/>
              <w:contextualSpacing/>
              <w:rPr>
                <w:b/>
                <w:sz w:val="18"/>
                <w:szCs w:val="18"/>
                <w:lang w:val="es-ES_tradnl"/>
              </w:rPr>
            </w:pPr>
            <w:r w:rsidRPr="00C87597">
              <w:rPr>
                <w:b/>
                <w:sz w:val="18"/>
                <w:szCs w:val="18"/>
                <w:lang w:val="es-ES_tradnl"/>
              </w:rPr>
              <w:t xml:space="preserve">Componente </w:t>
            </w:r>
            <w:r w:rsidR="008D5934">
              <w:rPr>
                <w:b/>
                <w:sz w:val="18"/>
                <w:szCs w:val="18"/>
                <w:lang w:val="es-ES_tradnl"/>
              </w:rPr>
              <w:t>2</w:t>
            </w:r>
            <w:r w:rsidRPr="00C87597">
              <w:rPr>
                <w:b/>
                <w:sz w:val="18"/>
                <w:szCs w:val="18"/>
                <w:lang w:val="es-ES_tradnl"/>
              </w:rPr>
              <w:t xml:space="preserve">. </w:t>
            </w:r>
            <w:r w:rsidR="00CE2A2D" w:rsidRPr="00C87597">
              <w:rPr>
                <w:b/>
                <w:sz w:val="18"/>
                <w:szCs w:val="18"/>
                <w:lang w:val="es-ES_tradnl"/>
              </w:rPr>
              <w:t>Apoyo al ingreso de trabajadores vulnerables</w:t>
            </w:r>
          </w:p>
        </w:tc>
      </w:tr>
      <w:tr w:rsidR="00F02D12" w:rsidRPr="00F70C09" w14:paraId="7FB4C4AF" w14:textId="77777777" w:rsidTr="6AAC1521">
        <w:trPr>
          <w:trHeight w:val="990"/>
        </w:trPr>
        <w:tc>
          <w:tcPr>
            <w:tcW w:w="4838" w:type="dxa"/>
          </w:tcPr>
          <w:p w14:paraId="1419B9BD" w14:textId="2B47442D" w:rsidR="00F02D12" w:rsidRPr="007F1B15" w:rsidRDefault="00F02D12" w:rsidP="007F1B15">
            <w:pPr>
              <w:pStyle w:val="TableParagraph"/>
              <w:spacing w:before="60" w:after="60"/>
              <w:ind w:left="107" w:right="139"/>
              <w:contextualSpacing/>
              <w:rPr>
                <w:sz w:val="18"/>
                <w:szCs w:val="18"/>
                <w:lang w:val="es-ES_tradnl"/>
              </w:rPr>
            </w:pPr>
            <w:r w:rsidRPr="007F1B15">
              <w:rPr>
                <w:sz w:val="18"/>
                <w:szCs w:val="18"/>
                <w:lang w:val="es-ES_tradnl"/>
              </w:rPr>
              <w:t>2.1</w:t>
            </w:r>
            <w:r w:rsidR="00661326" w:rsidRPr="007F1B15">
              <w:rPr>
                <w:sz w:val="18"/>
                <w:szCs w:val="18"/>
                <w:lang w:val="es-ES_tradnl"/>
              </w:rPr>
              <w:t>.1</w:t>
            </w:r>
            <w:r w:rsidR="00326525" w:rsidRPr="007F1B15">
              <w:rPr>
                <w:sz w:val="18"/>
                <w:szCs w:val="18"/>
                <w:lang w:val="es-ES_tradnl"/>
              </w:rPr>
              <w:t>.</w:t>
            </w:r>
            <w:r w:rsidRPr="007F1B15">
              <w:rPr>
                <w:sz w:val="18"/>
                <w:szCs w:val="18"/>
                <w:lang w:val="es-ES_tradnl"/>
              </w:rPr>
              <w:t xml:space="preserve"> </w:t>
            </w:r>
            <w:r w:rsidR="003276B8" w:rsidRPr="007F1B15">
              <w:rPr>
                <w:sz w:val="18"/>
                <w:szCs w:val="18"/>
                <w:lang w:val="es-ES_tradnl"/>
              </w:rPr>
              <w:t>Transferencia única de apoyo al ingreso, mediante la entrega de un bono extraordinario de apoyo familiar, focalizada en la población más vulnerable, aprobada.</w:t>
            </w:r>
          </w:p>
        </w:tc>
        <w:tc>
          <w:tcPr>
            <w:tcW w:w="900" w:type="dxa"/>
          </w:tcPr>
          <w:p w14:paraId="39F74EEB" w14:textId="0119E2D9" w:rsidR="00F02D12" w:rsidRPr="007F1B15" w:rsidRDefault="00CC4A27" w:rsidP="007F1B15">
            <w:pPr>
              <w:pStyle w:val="TableParagraph"/>
              <w:spacing w:before="60" w:after="60"/>
              <w:ind w:left="5"/>
              <w:contextualSpacing/>
              <w:jc w:val="center"/>
              <w:rPr>
                <w:sz w:val="18"/>
                <w:szCs w:val="18"/>
                <w:lang w:val="es-ES_tradnl"/>
              </w:rPr>
            </w:pPr>
            <w:r w:rsidRPr="007F1B15">
              <w:rPr>
                <w:w w:val="99"/>
                <w:sz w:val="18"/>
                <w:szCs w:val="18"/>
                <w:lang w:val="es-ES_tradnl"/>
              </w:rPr>
              <w:t>0</w:t>
            </w:r>
          </w:p>
        </w:tc>
        <w:tc>
          <w:tcPr>
            <w:tcW w:w="990" w:type="dxa"/>
          </w:tcPr>
          <w:p w14:paraId="5F9B5D3E" w14:textId="77777777" w:rsidR="00F02D12" w:rsidRPr="007F1B15" w:rsidRDefault="00F02D12" w:rsidP="007F1B15">
            <w:pPr>
              <w:pStyle w:val="TableParagraph"/>
              <w:spacing w:before="60" w:after="60"/>
              <w:ind w:left="5"/>
              <w:contextualSpacing/>
              <w:jc w:val="center"/>
              <w:rPr>
                <w:sz w:val="18"/>
                <w:szCs w:val="18"/>
                <w:lang w:val="es-ES_tradnl"/>
              </w:rPr>
            </w:pPr>
            <w:r w:rsidRPr="007F1B15">
              <w:rPr>
                <w:w w:val="99"/>
                <w:sz w:val="18"/>
                <w:szCs w:val="18"/>
                <w:lang w:val="es-ES_tradnl"/>
              </w:rPr>
              <w:t>1</w:t>
            </w:r>
          </w:p>
        </w:tc>
        <w:tc>
          <w:tcPr>
            <w:tcW w:w="6253" w:type="dxa"/>
          </w:tcPr>
          <w:p w14:paraId="6655057D" w14:textId="66EB95A7" w:rsidR="00F02D12" w:rsidRPr="007F1B15" w:rsidRDefault="00142442" w:rsidP="007F1B15">
            <w:pPr>
              <w:spacing w:before="60" w:after="60"/>
              <w:ind w:left="144"/>
              <w:contextualSpacing/>
              <w:rPr>
                <w:sz w:val="18"/>
                <w:szCs w:val="18"/>
                <w:lang w:val="es-ES_tradnl"/>
              </w:rPr>
            </w:pPr>
            <w:r w:rsidRPr="007F1B15">
              <w:rPr>
                <w:sz w:val="18"/>
                <w:szCs w:val="18"/>
                <w:lang w:val="es-ES_tradnl"/>
              </w:rPr>
              <w:t>Cumplid</w:t>
            </w:r>
            <w:r w:rsidR="004C58AA" w:rsidRPr="007F1B15">
              <w:rPr>
                <w:sz w:val="18"/>
                <w:szCs w:val="18"/>
                <w:lang w:val="es-ES_tradnl"/>
              </w:rPr>
              <w:t>o.</w:t>
            </w:r>
          </w:p>
          <w:p w14:paraId="66C070D0" w14:textId="36674D04" w:rsidR="00F02D12" w:rsidRPr="007F1B15" w:rsidRDefault="00F02D12" w:rsidP="007F1B15">
            <w:pPr>
              <w:pStyle w:val="TableParagraph"/>
              <w:spacing w:before="60" w:after="60"/>
              <w:ind w:left="144" w:right="91"/>
              <w:contextualSpacing/>
              <w:rPr>
                <w:sz w:val="18"/>
                <w:szCs w:val="18"/>
                <w:lang w:val="es-ES_tradnl"/>
              </w:rPr>
            </w:pPr>
            <w:r w:rsidRPr="007F1B15">
              <w:rPr>
                <w:sz w:val="18"/>
                <w:szCs w:val="18"/>
                <w:lang w:val="es-ES_tradnl"/>
              </w:rPr>
              <w:t xml:space="preserve">Medio de verificación: </w:t>
            </w:r>
            <w:r w:rsidR="00142442" w:rsidRPr="007F1B15">
              <w:rPr>
                <w:sz w:val="18"/>
                <w:szCs w:val="18"/>
                <w:lang w:val="es-ES_tradnl"/>
              </w:rPr>
              <w:t>Ley No. 21.195</w:t>
            </w:r>
            <w:r w:rsidR="009B583F" w:rsidRPr="007F1B15">
              <w:rPr>
                <w:sz w:val="18"/>
                <w:szCs w:val="18"/>
                <w:lang w:val="es-ES_tradnl"/>
              </w:rPr>
              <w:t>.</w:t>
            </w:r>
          </w:p>
        </w:tc>
      </w:tr>
      <w:tr w:rsidR="003706D3" w:rsidRPr="00F70C09" w14:paraId="2A6ADB90" w14:textId="77777777" w:rsidTr="6AAC1521">
        <w:trPr>
          <w:trHeight w:val="990"/>
        </w:trPr>
        <w:tc>
          <w:tcPr>
            <w:tcW w:w="4838" w:type="dxa"/>
            <w:tcBorders>
              <w:bottom w:val="single" w:sz="4" w:space="0" w:color="000000" w:themeColor="text1"/>
            </w:tcBorders>
          </w:tcPr>
          <w:p w14:paraId="686DBB7E" w14:textId="3D696C6D" w:rsidR="003706D3" w:rsidRPr="007F1B15" w:rsidRDefault="003706D3" w:rsidP="007F1B15">
            <w:pPr>
              <w:pStyle w:val="TableParagraph"/>
              <w:spacing w:before="60" w:after="60"/>
              <w:ind w:left="107" w:right="139"/>
              <w:contextualSpacing/>
              <w:rPr>
                <w:sz w:val="18"/>
                <w:szCs w:val="18"/>
                <w:lang w:val="es-ES_tradnl"/>
              </w:rPr>
            </w:pPr>
            <w:r w:rsidRPr="007F1B15">
              <w:rPr>
                <w:sz w:val="18"/>
                <w:szCs w:val="18"/>
                <w:lang w:val="es-ES_tradnl"/>
              </w:rPr>
              <w:t>2.1.2. Subsidio para alcanzar un ingreso mínimo garantizado (IMG), mensual, de cargo fiscal, para los trabajadores dependientes regidos por el Código del Trabajo, con contrato de trabajo vigente y afectos a una jornada de trabajo superior a treinta horas semanales</w:t>
            </w:r>
            <w:r w:rsidR="00F24B4D" w:rsidRPr="007F1B15">
              <w:rPr>
                <w:sz w:val="18"/>
                <w:szCs w:val="18"/>
                <w:lang w:val="es-ES_tradnl"/>
              </w:rPr>
              <w:t>, aprobado</w:t>
            </w:r>
            <w:r w:rsidRPr="007F1B15">
              <w:rPr>
                <w:sz w:val="18"/>
                <w:szCs w:val="18"/>
                <w:lang w:val="es-ES_tradnl"/>
              </w:rPr>
              <w:t>.</w:t>
            </w:r>
          </w:p>
        </w:tc>
        <w:tc>
          <w:tcPr>
            <w:tcW w:w="900" w:type="dxa"/>
            <w:tcBorders>
              <w:bottom w:val="single" w:sz="4" w:space="0" w:color="000000" w:themeColor="text1"/>
            </w:tcBorders>
          </w:tcPr>
          <w:p w14:paraId="54BEBD6B" w14:textId="10715650" w:rsidR="003706D3" w:rsidRPr="007F1B15" w:rsidRDefault="00F24B4D" w:rsidP="007F1B15">
            <w:pPr>
              <w:pStyle w:val="TableParagraph"/>
              <w:spacing w:before="60" w:after="60"/>
              <w:ind w:left="5"/>
              <w:contextualSpacing/>
              <w:jc w:val="center"/>
              <w:rPr>
                <w:w w:val="99"/>
                <w:sz w:val="18"/>
                <w:szCs w:val="18"/>
                <w:lang w:val="es-ES_tradnl"/>
              </w:rPr>
            </w:pPr>
            <w:r w:rsidRPr="007F1B15">
              <w:rPr>
                <w:w w:val="99"/>
                <w:sz w:val="18"/>
                <w:szCs w:val="18"/>
                <w:lang w:val="es-ES_tradnl"/>
              </w:rPr>
              <w:t>0</w:t>
            </w:r>
          </w:p>
        </w:tc>
        <w:tc>
          <w:tcPr>
            <w:tcW w:w="990" w:type="dxa"/>
            <w:tcBorders>
              <w:bottom w:val="single" w:sz="4" w:space="0" w:color="000000" w:themeColor="text1"/>
            </w:tcBorders>
          </w:tcPr>
          <w:p w14:paraId="34759A3F" w14:textId="6708E94B" w:rsidR="003706D3" w:rsidRPr="007F1B15" w:rsidRDefault="00F24B4D" w:rsidP="007F1B15">
            <w:pPr>
              <w:pStyle w:val="TableParagraph"/>
              <w:spacing w:before="60" w:after="60"/>
              <w:ind w:left="5"/>
              <w:contextualSpacing/>
              <w:jc w:val="center"/>
              <w:rPr>
                <w:w w:val="99"/>
                <w:sz w:val="18"/>
                <w:szCs w:val="18"/>
                <w:lang w:val="es-ES_tradnl"/>
              </w:rPr>
            </w:pPr>
            <w:r w:rsidRPr="007F1B15">
              <w:rPr>
                <w:w w:val="99"/>
                <w:sz w:val="18"/>
                <w:szCs w:val="18"/>
                <w:lang w:val="es-ES_tradnl"/>
              </w:rPr>
              <w:t>1</w:t>
            </w:r>
          </w:p>
        </w:tc>
        <w:tc>
          <w:tcPr>
            <w:tcW w:w="6253" w:type="dxa"/>
            <w:tcBorders>
              <w:bottom w:val="single" w:sz="4" w:space="0" w:color="000000" w:themeColor="text1"/>
            </w:tcBorders>
          </w:tcPr>
          <w:p w14:paraId="2C4FDDFA" w14:textId="77777777" w:rsidR="004C58AA" w:rsidRPr="007F1B15" w:rsidRDefault="004C58AA" w:rsidP="007F1B15">
            <w:pPr>
              <w:spacing w:before="60" w:after="60"/>
              <w:ind w:left="180"/>
              <w:contextualSpacing/>
              <w:rPr>
                <w:sz w:val="18"/>
                <w:szCs w:val="18"/>
                <w:lang w:val="es-ES_tradnl"/>
              </w:rPr>
            </w:pPr>
            <w:r w:rsidRPr="007F1B15">
              <w:rPr>
                <w:sz w:val="18"/>
                <w:szCs w:val="18"/>
                <w:lang w:val="es-ES_tradnl"/>
              </w:rPr>
              <w:t>Cumplido.</w:t>
            </w:r>
          </w:p>
          <w:p w14:paraId="1EAB3DB4" w14:textId="401E539C" w:rsidR="003706D3" w:rsidRPr="007F1B15" w:rsidRDefault="004C58AA" w:rsidP="007F1B15">
            <w:pPr>
              <w:spacing w:before="60" w:after="60"/>
              <w:ind w:left="180"/>
              <w:contextualSpacing/>
              <w:rPr>
                <w:sz w:val="18"/>
                <w:szCs w:val="18"/>
                <w:lang w:val="es-ES_tradnl"/>
              </w:rPr>
            </w:pPr>
            <w:r w:rsidRPr="007F1B15">
              <w:rPr>
                <w:sz w:val="18"/>
                <w:szCs w:val="18"/>
                <w:lang w:val="es-ES_tradnl"/>
              </w:rPr>
              <w:t>Medio de verificación: Ley No. 21.218.</w:t>
            </w:r>
          </w:p>
        </w:tc>
      </w:tr>
      <w:tr w:rsidR="003706D3" w:rsidRPr="00F70C09" w14:paraId="19CE93E0" w14:textId="77777777" w:rsidTr="6AAC1521">
        <w:trPr>
          <w:trHeight w:val="743"/>
        </w:trPr>
        <w:tc>
          <w:tcPr>
            <w:tcW w:w="4838" w:type="dxa"/>
            <w:tcBorders>
              <w:bottom w:val="nil"/>
            </w:tcBorders>
          </w:tcPr>
          <w:p w14:paraId="54EA67B5" w14:textId="60878538" w:rsidR="003706D3" w:rsidRPr="007F1B15" w:rsidRDefault="003706D3" w:rsidP="007F1B15">
            <w:pPr>
              <w:spacing w:before="60" w:after="60"/>
              <w:ind w:left="165"/>
              <w:contextualSpacing/>
              <w:rPr>
                <w:sz w:val="18"/>
                <w:szCs w:val="18"/>
                <w:lang w:val="es-ES_tradnl"/>
              </w:rPr>
            </w:pPr>
            <w:r w:rsidRPr="007F1B15">
              <w:rPr>
                <w:sz w:val="18"/>
                <w:szCs w:val="18"/>
                <w:lang w:val="es-ES_tradnl"/>
              </w:rPr>
              <w:t>2.1.</w:t>
            </w:r>
            <w:r w:rsidR="008B4A28" w:rsidRPr="007F1B15">
              <w:rPr>
                <w:sz w:val="18"/>
                <w:szCs w:val="18"/>
                <w:lang w:val="es-ES_tradnl"/>
              </w:rPr>
              <w:t>3</w:t>
            </w:r>
            <w:r w:rsidRPr="007F1B15">
              <w:rPr>
                <w:sz w:val="18"/>
                <w:szCs w:val="18"/>
                <w:lang w:val="es-ES_tradnl"/>
              </w:rPr>
              <w:t>. Esquema de atención a buscadores de empleo de las Oficinas Municipales de Información Laboral (OMIL), mejorado, mediante la aprobación de:</w:t>
            </w:r>
          </w:p>
        </w:tc>
        <w:tc>
          <w:tcPr>
            <w:tcW w:w="900" w:type="dxa"/>
            <w:tcBorders>
              <w:bottom w:val="nil"/>
            </w:tcBorders>
          </w:tcPr>
          <w:p w14:paraId="3F996797" w14:textId="4A0EA330" w:rsidR="003706D3" w:rsidRPr="007F1B15" w:rsidRDefault="003706D3" w:rsidP="007F1B15">
            <w:pPr>
              <w:pStyle w:val="TableParagraph"/>
              <w:spacing w:before="60" w:after="60"/>
              <w:ind w:left="5"/>
              <w:contextualSpacing/>
              <w:jc w:val="center"/>
              <w:rPr>
                <w:sz w:val="18"/>
                <w:szCs w:val="18"/>
                <w:lang w:val="es-ES_tradnl"/>
              </w:rPr>
            </w:pPr>
          </w:p>
        </w:tc>
        <w:tc>
          <w:tcPr>
            <w:tcW w:w="990" w:type="dxa"/>
            <w:tcBorders>
              <w:bottom w:val="nil"/>
            </w:tcBorders>
          </w:tcPr>
          <w:p w14:paraId="7B27E7B7" w14:textId="2E974D38" w:rsidR="003706D3" w:rsidRPr="007F1B15" w:rsidRDefault="003706D3" w:rsidP="007F1B15">
            <w:pPr>
              <w:pStyle w:val="TableParagraph"/>
              <w:spacing w:before="60" w:after="60"/>
              <w:ind w:left="5"/>
              <w:contextualSpacing/>
              <w:jc w:val="center"/>
              <w:rPr>
                <w:sz w:val="18"/>
                <w:szCs w:val="18"/>
                <w:lang w:val="es-ES_tradnl"/>
              </w:rPr>
            </w:pPr>
          </w:p>
        </w:tc>
        <w:tc>
          <w:tcPr>
            <w:tcW w:w="6253" w:type="dxa"/>
            <w:tcBorders>
              <w:bottom w:val="nil"/>
            </w:tcBorders>
          </w:tcPr>
          <w:p w14:paraId="6C2D1D6B" w14:textId="0613A2FE" w:rsidR="003706D3" w:rsidRPr="0096109C" w:rsidRDefault="003706D3" w:rsidP="007F1B15">
            <w:pPr>
              <w:pStyle w:val="TableParagraph"/>
              <w:spacing w:before="60" w:after="60"/>
              <w:ind w:left="180"/>
              <w:contextualSpacing/>
              <w:rPr>
                <w:sz w:val="18"/>
                <w:szCs w:val="18"/>
                <w:lang w:val="es-ES_tradnl"/>
              </w:rPr>
            </w:pPr>
          </w:p>
        </w:tc>
      </w:tr>
      <w:tr w:rsidR="009732A8" w:rsidRPr="00F70C09" w14:paraId="35E8CBE9" w14:textId="77777777" w:rsidTr="6AAC1521">
        <w:trPr>
          <w:trHeight w:val="797"/>
        </w:trPr>
        <w:tc>
          <w:tcPr>
            <w:tcW w:w="4838" w:type="dxa"/>
            <w:tcBorders>
              <w:top w:val="nil"/>
              <w:bottom w:val="nil"/>
            </w:tcBorders>
          </w:tcPr>
          <w:p w14:paraId="7B2688ED" w14:textId="6B089037" w:rsidR="009732A8" w:rsidRPr="007F1B15" w:rsidDel="00AE6D31" w:rsidRDefault="009732A8" w:rsidP="007F1B15">
            <w:pPr>
              <w:widowControl/>
              <w:tabs>
                <w:tab w:val="left" w:pos="661"/>
              </w:tabs>
              <w:spacing w:before="60" w:after="60"/>
              <w:ind w:left="162"/>
              <w:contextualSpacing/>
              <w:rPr>
                <w:sz w:val="18"/>
                <w:szCs w:val="18"/>
                <w:lang w:val="es-ES_tradnl"/>
              </w:rPr>
            </w:pPr>
            <w:r w:rsidRPr="007F1B15">
              <w:rPr>
                <w:sz w:val="18"/>
                <w:szCs w:val="18"/>
                <w:lang w:val="es-ES_tradnl"/>
              </w:rPr>
              <w:t xml:space="preserve">(i) </w:t>
            </w:r>
            <w:r w:rsidRPr="007F1B15">
              <w:rPr>
                <w:rStyle w:val="normaltextrun"/>
                <w:color w:val="000000"/>
                <w:sz w:val="18"/>
                <w:szCs w:val="18"/>
                <w:bdr w:val="none" w:sz="0" w:space="0" w:color="auto" w:frame="1"/>
                <w:lang w:val="es-ES_tradnl"/>
              </w:rPr>
              <w:t>la creación de un módulo de gestión para las OMIL en la Bolsa Nacional de Empleo (BNE) que permita la identificación y categorización de los usuarios de la BNE</w:t>
            </w:r>
            <w:r w:rsidRPr="007F1B15">
              <w:rPr>
                <w:sz w:val="18"/>
                <w:szCs w:val="18"/>
                <w:lang w:val="es-ES_tradnl"/>
              </w:rPr>
              <w:t>; y</w:t>
            </w:r>
          </w:p>
        </w:tc>
        <w:tc>
          <w:tcPr>
            <w:tcW w:w="900" w:type="dxa"/>
            <w:tcBorders>
              <w:top w:val="nil"/>
              <w:bottom w:val="nil"/>
            </w:tcBorders>
          </w:tcPr>
          <w:p w14:paraId="105FD740" w14:textId="6B97D91D" w:rsidR="009732A8" w:rsidRPr="007F1B15" w:rsidRDefault="009732A8" w:rsidP="007F1B15">
            <w:pPr>
              <w:pStyle w:val="TableParagraph"/>
              <w:spacing w:before="60" w:after="60"/>
              <w:ind w:left="5"/>
              <w:contextualSpacing/>
              <w:jc w:val="center"/>
              <w:rPr>
                <w:w w:val="99"/>
                <w:sz w:val="18"/>
                <w:szCs w:val="18"/>
                <w:lang w:val="es-ES_tradnl"/>
              </w:rPr>
            </w:pPr>
            <w:r w:rsidRPr="007F1B15">
              <w:rPr>
                <w:w w:val="99"/>
                <w:sz w:val="18"/>
                <w:szCs w:val="18"/>
                <w:lang w:val="es-ES_tradnl"/>
              </w:rPr>
              <w:t>0</w:t>
            </w:r>
          </w:p>
        </w:tc>
        <w:tc>
          <w:tcPr>
            <w:tcW w:w="990" w:type="dxa"/>
            <w:tcBorders>
              <w:top w:val="nil"/>
              <w:bottom w:val="nil"/>
            </w:tcBorders>
          </w:tcPr>
          <w:p w14:paraId="47D15C23" w14:textId="3D93D67A" w:rsidR="009732A8" w:rsidRPr="007F1B15" w:rsidRDefault="009732A8" w:rsidP="007F1B15">
            <w:pPr>
              <w:pStyle w:val="TableParagraph"/>
              <w:spacing w:before="60" w:after="60"/>
              <w:ind w:left="5"/>
              <w:contextualSpacing/>
              <w:jc w:val="center"/>
              <w:rPr>
                <w:w w:val="99"/>
                <w:sz w:val="18"/>
                <w:szCs w:val="18"/>
                <w:lang w:val="es-ES_tradnl"/>
              </w:rPr>
            </w:pPr>
            <w:r w:rsidRPr="007F1B15">
              <w:rPr>
                <w:w w:val="99"/>
                <w:sz w:val="18"/>
                <w:szCs w:val="18"/>
                <w:lang w:val="es-ES_tradnl"/>
              </w:rPr>
              <w:t>1</w:t>
            </w:r>
          </w:p>
        </w:tc>
        <w:tc>
          <w:tcPr>
            <w:tcW w:w="6253" w:type="dxa"/>
            <w:tcBorders>
              <w:top w:val="nil"/>
              <w:bottom w:val="nil"/>
            </w:tcBorders>
          </w:tcPr>
          <w:p w14:paraId="60A076F6" w14:textId="689EA564" w:rsidR="009732A8" w:rsidRPr="00F70C09" w:rsidRDefault="0096109C" w:rsidP="0096109C">
            <w:pPr>
              <w:spacing w:before="60" w:after="60"/>
              <w:ind w:left="144"/>
              <w:contextualSpacing/>
              <w:rPr>
                <w:sz w:val="18"/>
                <w:szCs w:val="18"/>
                <w:lang w:val="pt-BR"/>
              </w:rPr>
            </w:pPr>
            <w:r w:rsidRPr="00F70C09">
              <w:rPr>
                <w:sz w:val="18"/>
                <w:szCs w:val="18"/>
                <w:lang w:val="pt-BR"/>
              </w:rPr>
              <w:t xml:space="preserve">(i) </w:t>
            </w:r>
            <w:r w:rsidR="009732A8" w:rsidRPr="00F70C09">
              <w:rPr>
                <w:sz w:val="18"/>
                <w:szCs w:val="18"/>
                <w:lang w:val="pt-BR"/>
              </w:rPr>
              <w:t xml:space="preserve">Cumplido. </w:t>
            </w:r>
          </w:p>
          <w:p w14:paraId="45C872CC" w14:textId="07009D01" w:rsidR="009732A8" w:rsidRPr="00F70C09" w:rsidDel="00AE6D31" w:rsidRDefault="009732A8" w:rsidP="007F1B15">
            <w:pPr>
              <w:spacing w:before="60" w:after="60"/>
              <w:ind w:left="144"/>
              <w:contextualSpacing/>
              <w:rPr>
                <w:sz w:val="18"/>
                <w:szCs w:val="18"/>
                <w:lang w:val="pt-BR"/>
              </w:rPr>
            </w:pPr>
            <w:r w:rsidRPr="00F70C09">
              <w:rPr>
                <w:sz w:val="18"/>
                <w:szCs w:val="18"/>
                <w:lang w:val="pt-BR"/>
              </w:rPr>
              <w:t>Decreto Exento N°240 25 noviembre 2019</w:t>
            </w:r>
          </w:p>
        </w:tc>
      </w:tr>
      <w:tr w:rsidR="00AE6D31" w:rsidRPr="00F70C09" w14:paraId="3087BB77" w14:textId="77777777" w:rsidTr="6AAC1521">
        <w:trPr>
          <w:trHeight w:val="942"/>
        </w:trPr>
        <w:tc>
          <w:tcPr>
            <w:tcW w:w="4838" w:type="dxa"/>
            <w:tcBorders>
              <w:top w:val="nil"/>
            </w:tcBorders>
          </w:tcPr>
          <w:p w14:paraId="53543C0E" w14:textId="74E613A7" w:rsidR="00AE6D31" w:rsidRPr="007F1B15" w:rsidDel="00AE6D31" w:rsidRDefault="00AE6D31" w:rsidP="007F1B15">
            <w:pPr>
              <w:widowControl/>
              <w:tabs>
                <w:tab w:val="left" w:pos="661"/>
              </w:tabs>
              <w:spacing w:before="60" w:after="60"/>
              <w:ind w:left="162"/>
              <w:contextualSpacing/>
              <w:rPr>
                <w:sz w:val="18"/>
                <w:szCs w:val="18"/>
                <w:lang w:val="es-ES_tradnl"/>
              </w:rPr>
            </w:pPr>
            <w:r w:rsidRPr="007F1B15">
              <w:rPr>
                <w:sz w:val="18"/>
                <w:szCs w:val="18"/>
                <w:lang w:val="es-ES_tradnl"/>
              </w:rPr>
              <w:t xml:space="preserve">(ii) </w:t>
            </w:r>
            <w:r w:rsidRPr="007F1B15">
              <w:rPr>
                <w:rStyle w:val="normaltextrun"/>
                <w:color w:val="000000"/>
                <w:sz w:val="18"/>
                <w:szCs w:val="18"/>
                <w:bdr w:val="none" w:sz="0" w:space="0" w:color="auto" w:frame="1"/>
                <w:lang w:val="es-ES_tradnl"/>
              </w:rPr>
              <w:t>un manual del usuario para las OMIL y el SENCE para el uso de la BNE.</w:t>
            </w:r>
          </w:p>
        </w:tc>
        <w:tc>
          <w:tcPr>
            <w:tcW w:w="900" w:type="dxa"/>
            <w:tcBorders>
              <w:top w:val="nil"/>
            </w:tcBorders>
          </w:tcPr>
          <w:p w14:paraId="6190D58D" w14:textId="77777777" w:rsidR="00AE6D31" w:rsidRPr="007F1B15" w:rsidRDefault="00AE6D31" w:rsidP="007F1B15">
            <w:pPr>
              <w:pStyle w:val="TableParagraph"/>
              <w:spacing w:before="60" w:after="60"/>
              <w:ind w:left="5"/>
              <w:contextualSpacing/>
              <w:jc w:val="center"/>
              <w:rPr>
                <w:w w:val="99"/>
                <w:sz w:val="18"/>
                <w:szCs w:val="18"/>
                <w:lang w:val="es-ES_tradnl"/>
              </w:rPr>
            </w:pPr>
          </w:p>
        </w:tc>
        <w:tc>
          <w:tcPr>
            <w:tcW w:w="990" w:type="dxa"/>
            <w:tcBorders>
              <w:top w:val="nil"/>
            </w:tcBorders>
          </w:tcPr>
          <w:p w14:paraId="0C5D74B7" w14:textId="77777777" w:rsidR="00AE6D31" w:rsidRPr="007F1B15" w:rsidRDefault="00AE6D31" w:rsidP="007F1B15">
            <w:pPr>
              <w:pStyle w:val="TableParagraph"/>
              <w:spacing w:before="60" w:after="60"/>
              <w:ind w:left="5"/>
              <w:contextualSpacing/>
              <w:jc w:val="center"/>
              <w:rPr>
                <w:w w:val="99"/>
                <w:sz w:val="18"/>
                <w:szCs w:val="18"/>
                <w:lang w:val="es-ES_tradnl"/>
              </w:rPr>
            </w:pPr>
          </w:p>
        </w:tc>
        <w:tc>
          <w:tcPr>
            <w:tcW w:w="6253" w:type="dxa"/>
            <w:tcBorders>
              <w:top w:val="nil"/>
            </w:tcBorders>
          </w:tcPr>
          <w:p w14:paraId="785358EF" w14:textId="70B3F6DF" w:rsidR="00AE6D31" w:rsidRPr="0096109C" w:rsidDel="00AE6D31" w:rsidRDefault="00AE6D31" w:rsidP="0096109C">
            <w:pPr>
              <w:spacing w:before="60" w:after="60"/>
              <w:ind w:left="144"/>
              <w:contextualSpacing/>
              <w:rPr>
                <w:sz w:val="18"/>
                <w:szCs w:val="18"/>
                <w:lang w:val="es-ES_tradnl"/>
              </w:rPr>
            </w:pPr>
            <w:r w:rsidRPr="0096109C">
              <w:rPr>
                <w:sz w:val="18"/>
                <w:szCs w:val="18"/>
                <w:lang w:val="es-ES_tradnl"/>
              </w:rPr>
              <w:t>(ii) Cumplido. Resolución Exenta de la Subsecretaría del Trabajo Nº 0307 del 20 de abril de 2020 que aprueba el Manual de Usuario - Perfil Institucional, de la BNE.</w:t>
            </w:r>
          </w:p>
        </w:tc>
      </w:tr>
      <w:tr w:rsidR="003706D3" w:rsidRPr="00F70C09" w14:paraId="5002FC46" w14:textId="77777777" w:rsidTr="6AAC1521">
        <w:trPr>
          <w:trHeight w:val="412"/>
        </w:trPr>
        <w:tc>
          <w:tcPr>
            <w:tcW w:w="12981" w:type="dxa"/>
            <w:gridSpan w:val="4"/>
            <w:shd w:val="clear" w:color="auto" w:fill="D9D9D9" w:themeFill="background1" w:themeFillShade="D9"/>
            <w:vAlign w:val="center"/>
          </w:tcPr>
          <w:p w14:paraId="61E602B6" w14:textId="752DB9F1" w:rsidR="003706D3" w:rsidRPr="00C87597" w:rsidRDefault="003706D3" w:rsidP="00FD3E39">
            <w:pPr>
              <w:pStyle w:val="TableParagraph"/>
              <w:spacing w:before="60" w:after="60"/>
              <w:ind w:left="107"/>
              <w:contextualSpacing/>
              <w:rPr>
                <w:b/>
                <w:sz w:val="18"/>
                <w:szCs w:val="18"/>
                <w:lang w:val="es-ES_tradnl"/>
              </w:rPr>
            </w:pPr>
            <w:r w:rsidRPr="00C87597">
              <w:rPr>
                <w:b/>
                <w:sz w:val="18"/>
                <w:szCs w:val="18"/>
                <w:lang w:val="es-ES_tradnl"/>
              </w:rPr>
              <w:t xml:space="preserve">Componente </w:t>
            </w:r>
            <w:r w:rsidR="008D5934">
              <w:rPr>
                <w:b/>
                <w:sz w:val="18"/>
                <w:szCs w:val="18"/>
                <w:lang w:val="es-ES_tradnl"/>
              </w:rPr>
              <w:t>3</w:t>
            </w:r>
            <w:r w:rsidRPr="00C87597">
              <w:rPr>
                <w:b/>
                <w:sz w:val="18"/>
                <w:szCs w:val="18"/>
                <w:lang w:val="es-ES_tradnl"/>
              </w:rPr>
              <w:t>. Mejora de los resultados de</w:t>
            </w:r>
            <w:r w:rsidR="00F664D0">
              <w:rPr>
                <w:b/>
                <w:sz w:val="18"/>
                <w:szCs w:val="18"/>
                <w:lang w:val="es-ES_tradnl"/>
              </w:rPr>
              <w:t xml:space="preserve"> </w:t>
            </w:r>
            <w:r w:rsidRPr="00C87597">
              <w:rPr>
                <w:b/>
                <w:sz w:val="18"/>
                <w:szCs w:val="18"/>
                <w:lang w:val="es-ES_tradnl"/>
              </w:rPr>
              <w:t>l</w:t>
            </w:r>
            <w:r w:rsidR="00F664D0">
              <w:rPr>
                <w:b/>
                <w:sz w:val="18"/>
                <w:szCs w:val="18"/>
                <w:lang w:val="es-ES_tradnl"/>
              </w:rPr>
              <w:t>os</w:t>
            </w:r>
            <w:r w:rsidRPr="00C87597">
              <w:rPr>
                <w:b/>
                <w:sz w:val="18"/>
                <w:szCs w:val="18"/>
                <w:lang w:val="es-ES_tradnl"/>
              </w:rPr>
              <w:t xml:space="preserve"> sistema</w:t>
            </w:r>
            <w:r w:rsidR="00F664D0">
              <w:rPr>
                <w:b/>
                <w:sz w:val="18"/>
                <w:szCs w:val="18"/>
                <w:lang w:val="es-ES_tradnl"/>
              </w:rPr>
              <w:t>s</w:t>
            </w:r>
            <w:r w:rsidRPr="00C87597">
              <w:rPr>
                <w:b/>
                <w:sz w:val="18"/>
                <w:szCs w:val="18"/>
                <w:lang w:val="es-ES_tradnl"/>
              </w:rPr>
              <w:t xml:space="preserve"> de pensiones</w:t>
            </w:r>
            <w:r w:rsidR="00F664D0">
              <w:rPr>
                <w:b/>
                <w:sz w:val="18"/>
                <w:szCs w:val="18"/>
                <w:lang w:val="es-ES_tradnl"/>
              </w:rPr>
              <w:t xml:space="preserve"> </w:t>
            </w:r>
            <w:r w:rsidR="00F664D0" w:rsidRPr="00F664D0">
              <w:rPr>
                <w:b/>
                <w:sz w:val="18"/>
                <w:szCs w:val="18"/>
                <w:lang w:val="es-ES_tradnl"/>
              </w:rPr>
              <w:t>solidarias de la Ley N° 20.255 y de pensiones contributivas del Decreto Ley</w:t>
            </w:r>
            <w:r w:rsidR="007F7FF9">
              <w:rPr>
                <w:b/>
                <w:sz w:val="18"/>
                <w:szCs w:val="18"/>
                <w:lang w:val="es-ES_tradnl"/>
              </w:rPr>
              <w:t> </w:t>
            </w:r>
            <w:r w:rsidR="00F664D0" w:rsidRPr="00F664D0">
              <w:rPr>
                <w:b/>
                <w:sz w:val="18"/>
                <w:szCs w:val="18"/>
                <w:lang w:val="es-ES_tradnl"/>
              </w:rPr>
              <w:t>N°</w:t>
            </w:r>
            <w:r w:rsidR="00F70C09">
              <w:rPr>
                <w:b/>
                <w:sz w:val="18"/>
                <w:szCs w:val="18"/>
                <w:lang w:val="es-ES_tradnl"/>
              </w:rPr>
              <w:t> </w:t>
            </w:r>
            <w:r w:rsidR="00F664D0" w:rsidRPr="00F664D0">
              <w:rPr>
                <w:b/>
                <w:sz w:val="18"/>
                <w:szCs w:val="18"/>
                <w:lang w:val="es-ES_tradnl"/>
              </w:rPr>
              <w:t>3.500;</w:t>
            </w:r>
          </w:p>
        </w:tc>
      </w:tr>
      <w:tr w:rsidR="003706D3" w:rsidRPr="00F70C09" w14:paraId="7D5187EA" w14:textId="77777777" w:rsidTr="6AAC1521">
        <w:trPr>
          <w:trHeight w:val="1449"/>
        </w:trPr>
        <w:tc>
          <w:tcPr>
            <w:tcW w:w="4838" w:type="dxa"/>
          </w:tcPr>
          <w:p w14:paraId="1D94E272" w14:textId="1445C3EA" w:rsidR="003706D3" w:rsidRPr="00747B87" w:rsidRDefault="003706D3" w:rsidP="00FD3E39">
            <w:pPr>
              <w:pStyle w:val="TableParagraph"/>
              <w:spacing w:before="60" w:after="60"/>
              <w:ind w:left="91" w:right="99"/>
              <w:contextualSpacing/>
              <w:rPr>
                <w:sz w:val="18"/>
                <w:szCs w:val="18"/>
                <w:lang w:val="es-ES_tradnl"/>
              </w:rPr>
            </w:pPr>
            <w:r w:rsidRPr="00C87597">
              <w:rPr>
                <w:sz w:val="18"/>
                <w:szCs w:val="18"/>
                <w:lang w:val="es-ES_tradnl"/>
              </w:rPr>
              <w:t xml:space="preserve">3.1.1. </w:t>
            </w:r>
            <w:r>
              <w:rPr>
                <w:sz w:val="18"/>
                <w:szCs w:val="18"/>
                <w:lang w:val="es-ES_tradnl"/>
              </w:rPr>
              <w:t>Aumento de p</w:t>
            </w:r>
            <w:r w:rsidRPr="00747B87">
              <w:rPr>
                <w:sz w:val="18"/>
                <w:szCs w:val="18"/>
                <w:lang w:val="es-ES_tradnl"/>
              </w:rPr>
              <w:t>ensión básica solidaria de vejez y la pensión máxima con aporte solidario a</w:t>
            </w:r>
            <w:r>
              <w:rPr>
                <w:sz w:val="18"/>
                <w:szCs w:val="18"/>
                <w:lang w:val="es-ES_tradnl"/>
              </w:rPr>
              <w:t>probado</w:t>
            </w:r>
            <w:r w:rsidRPr="00747B87">
              <w:rPr>
                <w:sz w:val="18"/>
                <w:szCs w:val="18"/>
                <w:lang w:val="es-ES_tradnl"/>
              </w:rPr>
              <w:t>, respecto de sus valores vigentes a noviembre de 2019 del siguiente modo: (a) personas mayores de 80 años: 50%; (b) personas entre 75-79 años: 30%; y (c) menores de 75</w:t>
            </w:r>
            <w:r w:rsidR="00F70C09">
              <w:rPr>
                <w:sz w:val="18"/>
                <w:szCs w:val="18"/>
                <w:lang w:val="es-ES_tradnl"/>
              </w:rPr>
              <w:t> </w:t>
            </w:r>
            <w:r w:rsidRPr="00747B87">
              <w:rPr>
                <w:sz w:val="18"/>
                <w:szCs w:val="18"/>
                <w:lang w:val="es-ES_tradnl"/>
              </w:rPr>
              <w:t>años: 25%.</w:t>
            </w:r>
          </w:p>
        </w:tc>
        <w:tc>
          <w:tcPr>
            <w:tcW w:w="900" w:type="dxa"/>
          </w:tcPr>
          <w:p w14:paraId="253B21DF" w14:textId="46C080DB" w:rsidR="003706D3" w:rsidRPr="00747B87" w:rsidRDefault="003706D3" w:rsidP="00FD3E39">
            <w:pPr>
              <w:pStyle w:val="TableParagraph"/>
              <w:spacing w:before="60" w:after="60"/>
              <w:ind w:left="5"/>
              <w:contextualSpacing/>
              <w:jc w:val="center"/>
              <w:rPr>
                <w:sz w:val="18"/>
                <w:szCs w:val="18"/>
                <w:lang w:val="es-ES_tradnl"/>
              </w:rPr>
            </w:pPr>
            <w:r>
              <w:rPr>
                <w:w w:val="99"/>
                <w:sz w:val="18"/>
                <w:szCs w:val="18"/>
                <w:lang w:val="es-ES_tradnl"/>
              </w:rPr>
              <w:t>0</w:t>
            </w:r>
          </w:p>
        </w:tc>
        <w:tc>
          <w:tcPr>
            <w:tcW w:w="990" w:type="dxa"/>
          </w:tcPr>
          <w:p w14:paraId="5392A8B1" w14:textId="77777777" w:rsidR="003706D3" w:rsidRPr="00747B87" w:rsidRDefault="003706D3" w:rsidP="00FD3E39">
            <w:pPr>
              <w:pStyle w:val="TableParagraph"/>
              <w:spacing w:before="60" w:after="60"/>
              <w:ind w:left="5"/>
              <w:contextualSpacing/>
              <w:jc w:val="center"/>
              <w:rPr>
                <w:sz w:val="18"/>
                <w:szCs w:val="18"/>
                <w:lang w:val="es-ES_tradnl"/>
              </w:rPr>
            </w:pPr>
            <w:r w:rsidRPr="00747B87">
              <w:rPr>
                <w:w w:val="99"/>
                <w:sz w:val="18"/>
                <w:szCs w:val="18"/>
                <w:lang w:val="es-ES_tradnl"/>
              </w:rPr>
              <w:t>1</w:t>
            </w:r>
          </w:p>
        </w:tc>
        <w:tc>
          <w:tcPr>
            <w:tcW w:w="6253" w:type="dxa"/>
          </w:tcPr>
          <w:p w14:paraId="1C3120E5" w14:textId="285417A1" w:rsidR="003706D3" w:rsidRPr="00747B87" w:rsidRDefault="003706D3" w:rsidP="0096109C">
            <w:pPr>
              <w:spacing w:before="60" w:after="60"/>
              <w:ind w:left="144"/>
              <w:contextualSpacing/>
              <w:rPr>
                <w:sz w:val="18"/>
                <w:szCs w:val="18"/>
                <w:lang w:val="es-ES_tradnl"/>
              </w:rPr>
            </w:pPr>
            <w:r w:rsidRPr="00747B87">
              <w:rPr>
                <w:sz w:val="18"/>
                <w:szCs w:val="18"/>
                <w:lang w:val="es-ES_tradnl"/>
              </w:rPr>
              <w:t>Cumplid</w:t>
            </w:r>
            <w:r w:rsidR="00D03CB2">
              <w:rPr>
                <w:sz w:val="18"/>
                <w:szCs w:val="18"/>
                <w:lang w:val="es-ES_tradnl"/>
              </w:rPr>
              <w:t>o</w:t>
            </w:r>
            <w:r w:rsidRPr="00747B87">
              <w:rPr>
                <w:sz w:val="18"/>
                <w:szCs w:val="18"/>
                <w:lang w:val="es-ES_tradnl"/>
              </w:rPr>
              <w:t>.</w:t>
            </w:r>
          </w:p>
          <w:p w14:paraId="0730FC73" w14:textId="1050C565" w:rsidR="003706D3" w:rsidRPr="00747B87" w:rsidRDefault="003706D3" w:rsidP="0096109C">
            <w:pPr>
              <w:spacing w:before="60" w:after="60"/>
              <w:ind w:left="144"/>
              <w:contextualSpacing/>
              <w:rPr>
                <w:sz w:val="18"/>
                <w:szCs w:val="18"/>
                <w:lang w:val="es-ES_tradnl"/>
              </w:rPr>
            </w:pPr>
            <w:r w:rsidRPr="00747B87">
              <w:rPr>
                <w:sz w:val="18"/>
                <w:szCs w:val="18"/>
                <w:lang w:val="es-ES_tradnl"/>
              </w:rPr>
              <w:t>Medio de verificación: Ley No. 21.190.</w:t>
            </w:r>
          </w:p>
        </w:tc>
      </w:tr>
      <w:tr w:rsidR="003706D3" w:rsidRPr="00F70C09" w14:paraId="6AFC8A9E" w14:textId="77777777" w:rsidTr="6AAC1521">
        <w:trPr>
          <w:trHeight w:val="1449"/>
        </w:trPr>
        <w:tc>
          <w:tcPr>
            <w:tcW w:w="4838" w:type="dxa"/>
          </w:tcPr>
          <w:p w14:paraId="1FAC737F" w14:textId="0EBADDA3" w:rsidR="003706D3" w:rsidRPr="00747B87" w:rsidRDefault="003706D3" w:rsidP="00FD3E39">
            <w:pPr>
              <w:pStyle w:val="TableParagraph"/>
              <w:spacing w:before="60" w:after="60"/>
              <w:ind w:left="162" w:right="99"/>
              <w:contextualSpacing/>
              <w:rPr>
                <w:sz w:val="18"/>
                <w:szCs w:val="18"/>
                <w:lang w:val="es-ES_tradnl"/>
              </w:rPr>
            </w:pPr>
            <w:r w:rsidRPr="00C87597">
              <w:rPr>
                <w:sz w:val="18"/>
                <w:szCs w:val="18"/>
                <w:lang w:val="es-ES_tradnl"/>
              </w:rPr>
              <w:t>4</w:t>
            </w:r>
            <w:r w:rsidRPr="00747B87">
              <w:rPr>
                <w:sz w:val="18"/>
                <w:szCs w:val="18"/>
                <w:lang w:val="es-ES_tradnl"/>
              </w:rPr>
              <w:t xml:space="preserve">.1.1. Documento técnico </w:t>
            </w:r>
            <w:r w:rsidRPr="00747B87">
              <w:rPr>
                <w:rFonts w:eastAsiaTheme="minorEastAsia"/>
                <w:sz w:val="18"/>
                <w:szCs w:val="18"/>
                <w:lang w:val="es-ES_tradnl"/>
              </w:rPr>
              <w:t xml:space="preserve">que dé cuenta del modelo actuarial utilizado por DIPRES </w:t>
            </w:r>
            <w:r w:rsidRPr="00DE6B52">
              <w:rPr>
                <w:rFonts w:eastAsiaTheme="minorEastAsia"/>
                <w:sz w:val="18"/>
                <w:szCs w:val="18"/>
                <w:lang w:val="es-ES_tradnl"/>
              </w:rPr>
              <w:t xml:space="preserve">para estimar </w:t>
            </w:r>
            <w:r w:rsidR="00A25181">
              <w:rPr>
                <w:rFonts w:eastAsiaTheme="minorEastAsia"/>
                <w:sz w:val="18"/>
                <w:szCs w:val="18"/>
                <w:lang w:val="es-ES_tradnl"/>
              </w:rPr>
              <w:t xml:space="preserve">los </w:t>
            </w:r>
            <w:r w:rsidRPr="00DE6B52">
              <w:rPr>
                <w:rFonts w:eastAsiaTheme="minorEastAsia"/>
                <w:sz w:val="18"/>
                <w:szCs w:val="18"/>
                <w:lang w:val="es-ES_tradnl"/>
              </w:rPr>
              <w:t>niveles de pensión del sistema contributivo y los costos fiscales del Sistema de Pensiones Solidarias</w:t>
            </w:r>
            <w:r>
              <w:rPr>
                <w:rFonts w:eastAsiaTheme="minorEastAsia"/>
                <w:sz w:val="18"/>
                <w:szCs w:val="18"/>
                <w:lang w:val="es-ES_tradnl"/>
              </w:rPr>
              <w:t>,</w:t>
            </w:r>
            <w:r w:rsidRPr="00DE6B52">
              <w:rPr>
                <w:rFonts w:eastAsiaTheme="minorEastAsia"/>
                <w:sz w:val="18"/>
                <w:szCs w:val="18"/>
                <w:lang w:val="es-ES_tradnl"/>
              </w:rPr>
              <w:t xml:space="preserve"> </w:t>
            </w:r>
            <w:r w:rsidRPr="00747B87">
              <w:rPr>
                <w:rFonts w:eastAsiaTheme="minorEastAsia"/>
                <w:sz w:val="18"/>
                <w:szCs w:val="18"/>
                <w:lang w:val="es-ES_tradnl"/>
              </w:rPr>
              <w:t xml:space="preserve">incluyendo </w:t>
            </w:r>
            <w:r>
              <w:rPr>
                <w:rFonts w:eastAsiaTheme="minorEastAsia"/>
                <w:sz w:val="18"/>
                <w:szCs w:val="18"/>
                <w:lang w:val="es-ES_tradnl"/>
              </w:rPr>
              <w:t>sus</w:t>
            </w:r>
            <w:r w:rsidRPr="00747B87">
              <w:rPr>
                <w:rFonts w:eastAsiaTheme="minorEastAsia"/>
                <w:sz w:val="18"/>
                <w:szCs w:val="18"/>
                <w:lang w:val="es-ES_tradnl"/>
              </w:rPr>
              <w:t xml:space="preserve"> supuestos, fuentes de información y metodología, elaborado</w:t>
            </w:r>
            <w:r w:rsidRPr="00C87597">
              <w:rPr>
                <w:sz w:val="18"/>
                <w:szCs w:val="18"/>
                <w:lang w:val="es-ES_tradnl"/>
              </w:rPr>
              <w:t>.</w:t>
            </w:r>
          </w:p>
        </w:tc>
        <w:tc>
          <w:tcPr>
            <w:tcW w:w="900" w:type="dxa"/>
          </w:tcPr>
          <w:p w14:paraId="35D78C34" w14:textId="441C4050" w:rsidR="003706D3" w:rsidRPr="00747B87" w:rsidRDefault="003706D3" w:rsidP="00FD3E39">
            <w:pPr>
              <w:pStyle w:val="TableParagraph"/>
              <w:spacing w:before="60" w:after="60"/>
              <w:contextualSpacing/>
              <w:jc w:val="center"/>
              <w:rPr>
                <w:sz w:val="18"/>
                <w:szCs w:val="18"/>
                <w:lang w:val="es-ES_tradnl"/>
              </w:rPr>
            </w:pPr>
            <w:r w:rsidRPr="00747B87">
              <w:rPr>
                <w:w w:val="99"/>
                <w:sz w:val="18"/>
                <w:szCs w:val="18"/>
                <w:lang w:val="es-ES_tradnl"/>
              </w:rPr>
              <w:t>0</w:t>
            </w:r>
          </w:p>
        </w:tc>
        <w:tc>
          <w:tcPr>
            <w:tcW w:w="990" w:type="dxa"/>
          </w:tcPr>
          <w:p w14:paraId="292A8228" w14:textId="596FCFC6" w:rsidR="003706D3" w:rsidRPr="00747B87" w:rsidRDefault="003706D3" w:rsidP="00FD3E39">
            <w:pPr>
              <w:pStyle w:val="TableParagraph"/>
              <w:spacing w:before="60" w:after="60"/>
              <w:contextualSpacing/>
              <w:jc w:val="center"/>
              <w:rPr>
                <w:sz w:val="18"/>
                <w:szCs w:val="18"/>
                <w:lang w:val="es-ES_tradnl"/>
              </w:rPr>
            </w:pPr>
            <w:r w:rsidRPr="00747B87">
              <w:rPr>
                <w:w w:val="99"/>
                <w:sz w:val="18"/>
                <w:szCs w:val="18"/>
                <w:lang w:val="es-ES_tradnl"/>
              </w:rPr>
              <w:t>1</w:t>
            </w:r>
          </w:p>
        </w:tc>
        <w:tc>
          <w:tcPr>
            <w:tcW w:w="6253" w:type="dxa"/>
          </w:tcPr>
          <w:p w14:paraId="3FB4665B" w14:textId="11A611E5" w:rsidR="003706D3" w:rsidRPr="00747B87" w:rsidRDefault="46FEB680" w:rsidP="6AAC1521">
            <w:pPr>
              <w:spacing w:before="60" w:after="60"/>
              <w:ind w:left="144"/>
              <w:contextualSpacing/>
              <w:rPr>
                <w:sz w:val="18"/>
                <w:szCs w:val="18"/>
                <w:lang w:val="es-ES"/>
              </w:rPr>
            </w:pPr>
            <w:r w:rsidRPr="6AAC1521">
              <w:rPr>
                <w:sz w:val="18"/>
                <w:szCs w:val="18"/>
                <w:lang w:val="es-ES"/>
              </w:rPr>
              <w:t>Cumplido</w:t>
            </w:r>
            <w:r w:rsidR="003706D3" w:rsidRPr="6AAC1521">
              <w:rPr>
                <w:sz w:val="18"/>
                <w:szCs w:val="18"/>
                <w:lang w:val="es-ES"/>
              </w:rPr>
              <w:t>.</w:t>
            </w:r>
          </w:p>
          <w:p w14:paraId="5ECFF526" w14:textId="705A87A3" w:rsidR="003706D3" w:rsidRPr="00747B87" w:rsidRDefault="003706D3" w:rsidP="0096109C">
            <w:pPr>
              <w:spacing w:before="60" w:after="60"/>
              <w:ind w:left="144"/>
              <w:contextualSpacing/>
              <w:rPr>
                <w:sz w:val="18"/>
                <w:szCs w:val="18"/>
                <w:lang w:val="es-ES_tradnl"/>
              </w:rPr>
            </w:pPr>
            <w:r w:rsidRPr="00747B87">
              <w:rPr>
                <w:sz w:val="18"/>
                <w:szCs w:val="18"/>
                <w:lang w:val="es-ES_tradnl"/>
              </w:rPr>
              <w:t>Medios de verificación</w:t>
            </w:r>
            <w:r w:rsidR="009732A8">
              <w:rPr>
                <w:sz w:val="18"/>
                <w:szCs w:val="18"/>
                <w:lang w:val="es-ES_tradnl"/>
              </w:rPr>
              <w:t>:</w:t>
            </w:r>
            <w:r w:rsidRPr="00747B87">
              <w:rPr>
                <w:rFonts w:eastAsiaTheme="minorEastAsia"/>
                <w:sz w:val="18"/>
                <w:szCs w:val="18"/>
                <w:lang w:val="es-ES_tradnl"/>
              </w:rPr>
              <w:t xml:space="preserve"> Comunicación de DIPRES al </w:t>
            </w:r>
            <w:r w:rsidR="00180B79" w:rsidRPr="00180B79">
              <w:rPr>
                <w:rFonts w:eastAsiaTheme="minorEastAsia"/>
                <w:sz w:val="18"/>
                <w:szCs w:val="18"/>
                <w:lang w:val="es-ES_tradnl"/>
              </w:rPr>
              <w:t xml:space="preserve">Presidente de la Comisión de Trabajo y Previsión Social del </w:t>
            </w:r>
            <w:r w:rsidRPr="00747B87">
              <w:rPr>
                <w:rFonts w:eastAsiaTheme="minorEastAsia"/>
                <w:sz w:val="18"/>
                <w:szCs w:val="18"/>
                <w:lang w:val="es-ES_tradnl"/>
              </w:rPr>
              <w:t>Senado a la que se adjunte el documento técnico elaborado por DIPRES</w:t>
            </w:r>
            <w:r w:rsidRPr="00747B87">
              <w:rPr>
                <w:sz w:val="18"/>
                <w:szCs w:val="18"/>
                <w:lang w:val="es-ES_tradnl"/>
              </w:rPr>
              <w:t xml:space="preserve">. </w:t>
            </w:r>
          </w:p>
        </w:tc>
      </w:tr>
      <w:tr w:rsidR="003706D3" w:rsidRPr="00F70C09" w14:paraId="0D8ACCFC" w14:textId="77777777" w:rsidTr="6AAC1521">
        <w:trPr>
          <w:trHeight w:val="1202"/>
        </w:trPr>
        <w:tc>
          <w:tcPr>
            <w:tcW w:w="4838" w:type="dxa"/>
          </w:tcPr>
          <w:p w14:paraId="2A9B5288" w14:textId="2B0948AC" w:rsidR="003706D3" w:rsidRPr="00747B87" w:rsidRDefault="003706D3" w:rsidP="00FD3E39">
            <w:pPr>
              <w:pStyle w:val="TableParagraph"/>
              <w:spacing w:before="60" w:after="60"/>
              <w:ind w:left="162" w:right="99"/>
              <w:contextualSpacing/>
              <w:rPr>
                <w:sz w:val="18"/>
                <w:szCs w:val="18"/>
                <w:lang w:val="es-ES_tradnl"/>
              </w:rPr>
            </w:pPr>
            <w:r w:rsidRPr="00C87597">
              <w:rPr>
                <w:sz w:val="18"/>
                <w:szCs w:val="18"/>
                <w:lang w:val="es-ES_tradnl"/>
              </w:rPr>
              <w:lastRenderedPageBreak/>
              <w:t>4</w:t>
            </w:r>
            <w:r w:rsidRPr="00747B87">
              <w:rPr>
                <w:sz w:val="18"/>
                <w:szCs w:val="18"/>
                <w:lang w:val="es-ES_tradnl"/>
              </w:rPr>
              <w:t xml:space="preserve">.1.2. Superintendencia de Pensiones habilitada para recibir documentos en la plataforma de comunicaciones oficiales del Estado </w:t>
            </w:r>
            <w:r w:rsidR="00F664D0">
              <w:rPr>
                <w:sz w:val="18"/>
                <w:szCs w:val="18"/>
                <w:lang w:val="es-ES_tradnl"/>
              </w:rPr>
              <w:t>(</w:t>
            </w:r>
            <w:r w:rsidR="00633D36">
              <w:rPr>
                <w:sz w:val="18"/>
                <w:szCs w:val="18"/>
                <w:lang w:val="es-ES_tradnl"/>
              </w:rPr>
              <w:t>“</w:t>
            </w:r>
            <w:r w:rsidR="00F664D0">
              <w:rPr>
                <w:sz w:val="18"/>
                <w:szCs w:val="18"/>
                <w:lang w:val="es-ES_tradnl"/>
              </w:rPr>
              <w:t>DocDigital</w:t>
            </w:r>
            <w:r w:rsidR="00633D36">
              <w:rPr>
                <w:sz w:val="18"/>
                <w:szCs w:val="18"/>
                <w:lang w:val="es-ES_tradnl"/>
              </w:rPr>
              <w:t>”</w:t>
            </w:r>
            <w:r w:rsidR="00F664D0">
              <w:rPr>
                <w:sz w:val="18"/>
                <w:szCs w:val="18"/>
                <w:lang w:val="es-ES_tradnl"/>
              </w:rPr>
              <w:t xml:space="preserve">) </w:t>
            </w:r>
            <w:r w:rsidRPr="00747B87">
              <w:rPr>
                <w:sz w:val="18"/>
                <w:szCs w:val="18"/>
                <w:lang w:val="es-ES_tradnl"/>
              </w:rPr>
              <w:t>que permite cargar, visar, firmar, enumerar y distribuir documentos oficiales.</w:t>
            </w:r>
          </w:p>
        </w:tc>
        <w:tc>
          <w:tcPr>
            <w:tcW w:w="900" w:type="dxa"/>
          </w:tcPr>
          <w:p w14:paraId="23B9F91C" w14:textId="3FD91BF7" w:rsidR="003706D3" w:rsidRPr="00747B87" w:rsidRDefault="003706D3" w:rsidP="00FD3E39">
            <w:pPr>
              <w:pStyle w:val="TableParagraph"/>
              <w:spacing w:before="60" w:after="60"/>
              <w:contextualSpacing/>
              <w:jc w:val="center"/>
              <w:rPr>
                <w:sz w:val="18"/>
                <w:szCs w:val="18"/>
                <w:lang w:val="es-ES_tradnl"/>
              </w:rPr>
            </w:pPr>
            <w:r w:rsidRPr="00747B87">
              <w:rPr>
                <w:w w:val="99"/>
                <w:sz w:val="18"/>
                <w:szCs w:val="18"/>
                <w:lang w:val="es-ES_tradnl"/>
              </w:rPr>
              <w:t>0</w:t>
            </w:r>
          </w:p>
        </w:tc>
        <w:tc>
          <w:tcPr>
            <w:tcW w:w="990" w:type="dxa"/>
          </w:tcPr>
          <w:p w14:paraId="30966883" w14:textId="47959B4B" w:rsidR="003706D3" w:rsidRPr="00747B87" w:rsidRDefault="003706D3" w:rsidP="00FD3E39">
            <w:pPr>
              <w:pStyle w:val="TableParagraph"/>
              <w:spacing w:before="60" w:after="60"/>
              <w:contextualSpacing/>
              <w:jc w:val="center"/>
              <w:rPr>
                <w:sz w:val="18"/>
                <w:szCs w:val="18"/>
                <w:lang w:val="es-ES_tradnl"/>
              </w:rPr>
            </w:pPr>
            <w:r w:rsidRPr="00747B87">
              <w:rPr>
                <w:w w:val="99"/>
                <w:sz w:val="18"/>
                <w:szCs w:val="18"/>
                <w:lang w:val="es-ES_tradnl"/>
              </w:rPr>
              <w:t>1</w:t>
            </w:r>
          </w:p>
        </w:tc>
        <w:tc>
          <w:tcPr>
            <w:tcW w:w="6253" w:type="dxa"/>
          </w:tcPr>
          <w:p w14:paraId="517364E3" w14:textId="3A55046D" w:rsidR="003706D3" w:rsidRPr="00747B87" w:rsidRDefault="00CE4E89" w:rsidP="0096109C">
            <w:pPr>
              <w:spacing w:before="60" w:after="60"/>
              <w:ind w:left="144"/>
              <w:contextualSpacing/>
              <w:rPr>
                <w:sz w:val="18"/>
                <w:szCs w:val="18"/>
                <w:lang w:val="es-ES_tradnl"/>
              </w:rPr>
            </w:pPr>
            <w:r>
              <w:rPr>
                <w:sz w:val="18"/>
                <w:szCs w:val="18"/>
                <w:lang w:val="es-ES_tradnl"/>
              </w:rPr>
              <w:t>Cumplido</w:t>
            </w:r>
            <w:r w:rsidR="003706D3" w:rsidRPr="00747B87">
              <w:rPr>
                <w:sz w:val="18"/>
                <w:szCs w:val="18"/>
                <w:lang w:val="es-ES_tradnl"/>
              </w:rPr>
              <w:t>.</w:t>
            </w:r>
          </w:p>
          <w:p w14:paraId="15342C0E" w14:textId="2EA02F2C" w:rsidR="003706D3" w:rsidRPr="00747B87" w:rsidRDefault="00025F19" w:rsidP="0096109C">
            <w:pPr>
              <w:spacing w:before="60" w:after="60"/>
              <w:ind w:left="144"/>
              <w:contextualSpacing/>
              <w:rPr>
                <w:sz w:val="18"/>
                <w:szCs w:val="18"/>
                <w:lang w:val="es-ES_tradnl"/>
              </w:rPr>
            </w:pPr>
            <w:r w:rsidRPr="00025F19">
              <w:rPr>
                <w:sz w:val="18"/>
                <w:szCs w:val="18"/>
                <w:lang w:val="es-ES_tradnl"/>
              </w:rPr>
              <w:t>Informe Electrónico de la División de Gobierno Digital, Ministerio Secretaría General de la Presidencia sobre el estado de adopción de DocDigital a marzo de 2020</w:t>
            </w:r>
            <w:r>
              <w:rPr>
                <w:sz w:val="18"/>
                <w:szCs w:val="18"/>
                <w:lang w:val="es-ES_tradnl"/>
              </w:rPr>
              <w:t>.</w:t>
            </w:r>
          </w:p>
        </w:tc>
      </w:tr>
      <w:tr w:rsidR="003706D3" w:rsidRPr="00F70C09" w14:paraId="69C83781" w14:textId="77777777" w:rsidTr="6AAC1521">
        <w:trPr>
          <w:trHeight w:val="412"/>
        </w:trPr>
        <w:tc>
          <w:tcPr>
            <w:tcW w:w="12981" w:type="dxa"/>
            <w:gridSpan w:val="4"/>
            <w:shd w:val="clear" w:color="auto" w:fill="D9D9D9" w:themeFill="background1" w:themeFillShade="D9"/>
            <w:vAlign w:val="center"/>
          </w:tcPr>
          <w:p w14:paraId="3BD8086E" w14:textId="3EE2B938" w:rsidR="003706D3" w:rsidRPr="00747B87" w:rsidRDefault="003706D3" w:rsidP="00FD3E39">
            <w:pPr>
              <w:pStyle w:val="TableParagraph"/>
              <w:spacing w:before="60" w:after="60"/>
              <w:ind w:left="107"/>
              <w:contextualSpacing/>
              <w:rPr>
                <w:b/>
                <w:sz w:val="18"/>
                <w:szCs w:val="18"/>
                <w:lang w:val="es-ES_tradnl"/>
              </w:rPr>
            </w:pPr>
            <w:r w:rsidRPr="00C87597">
              <w:rPr>
                <w:b/>
                <w:sz w:val="18"/>
                <w:szCs w:val="18"/>
                <w:lang w:val="es-ES_tradnl"/>
              </w:rPr>
              <w:t xml:space="preserve">Componente </w:t>
            </w:r>
            <w:r w:rsidR="008D5934">
              <w:rPr>
                <w:b/>
                <w:sz w:val="18"/>
                <w:szCs w:val="18"/>
                <w:lang w:val="es-ES_tradnl"/>
              </w:rPr>
              <w:t>4</w:t>
            </w:r>
            <w:r w:rsidRPr="00C87597">
              <w:rPr>
                <w:b/>
                <w:sz w:val="18"/>
                <w:szCs w:val="18"/>
                <w:lang w:val="es-ES_tradnl"/>
              </w:rPr>
              <w:t xml:space="preserve">. Mayor </w:t>
            </w:r>
            <w:r w:rsidR="00AE6D31">
              <w:rPr>
                <w:b/>
                <w:sz w:val="18"/>
                <w:szCs w:val="18"/>
                <w:lang w:val="es-ES_tradnl"/>
              </w:rPr>
              <w:t>disponibilidad de</w:t>
            </w:r>
            <w:r w:rsidRPr="00C87597">
              <w:rPr>
                <w:b/>
                <w:sz w:val="18"/>
                <w:szCs w:val="18"/>
                <w:lang w:val="es-ES_tradnl"/>
              </w:rPr>
              <w:t xml:space="preserve"> medicamentos</w:t>
            </w:r>
            <w:r w:rsidR="00AE6D31">
              <w:rPr>
                <w:b/>
                <w:sz w:val="18"/>
                <w:szCs w:val="18"/>
                <w:lang w:val="es-ES_tradnl"/>
              </w:rPr>
              <w:t xml:space="preserve"> de menor costo</w:t>
            </w:r>
          </w:p>
        </w:tc>
      </w:tr>
      <w:tr w:rsidR="003706D3" w:rsidRPr="00897FAD" w14:paraId="324FE646" w14:textId="77777777" w:rsidTr="6AAC1521">
        <w:trPr>
          <w:trHeight w:val="1151"/>
        </w:trPr>
        <w:tc>
          <w:tcPr>
            <w:tcW w:w="4838" w:type="dxa"/>
          </w:tcPr>
          <w:p w14:paraId="41063E02" w14:textId="7B93EE95" w:rsidR="003706D3" w:rsidRPr="00747B87" w:rsidRDefault="003706D3" w:rsidP="0096109C">
            <w:pPr>
              <w:pStyle w:val="TableParagraph"/>
              <w:spacing w:before="60" w:after="60"/>
              <w:ind w:left="162" w:right="99"/>
              <w:contextualSpacing/>
              <w:rPr>
                <w:sz w:val="18"/>
                <w:szCs w:val="18"/>
                <w:lang w:val="es-ES_tradnl"/>
              </w:rPr>
            </w:pPr>
            <w:r w:rsidRPr="00747B87">
              <w:rPr>
                <w:sz w:val="18"/>
                <w:szCs w:val="18"/>
                <w:lang w:val="es-ES_tradnl"/>
              </w:rPr>
              <w:t xml:space="preserve">5.1.1. Marco normativo que permita disminuir el gasto de bolsillo en medicamentos al autorizar la intermediación de medicamentos </w:t>
            </w:r>
            <w:r w:rsidR="00F664D0">
              <w:rPr>
                <w:sz w:val="18"/>
                <w:szCs w:val="18"/>
                <w:lang w:val="es-ES_tradnl"/>
              </w:rPr>
              <w:t>entre</w:t>
            </w:r>
            <w:r w:rsidRPr="00747B87">
              <w:rPr>
                <w:sz w:val="18"/>
                <w:szCs w:val="18"/>
                <w:lang w:val="es-ES_tradnl"/>
              </w:rPr>
              <w:t xml:space="preserve"> la Central de Abastecimiento del Sistema Nacional de Servicios de Salud (CENABAST) </w:t>
            </w:r>
            <w:r w:rsidR="00F664D0">
              <w:rPr>
                <w:sz w:val="18"/>
                <w:szCs w:val="18"/>
                <w:lang w:val="es-ES_tradnl"/>
              </w:rPr>
              <w:t>y</w:t>
            </w:r>
            <w:r w:rsidRPr="00747B87">
              <w:rPr>
                <w:sz w:val="18"/>
                <w:szCs w:val="18"/>
                <w:lang w:val="es-ES_tradnl"/>
              </w:rPr>
              <w:t xml:space="preserve"> almacenes farmacéuticos</w:t>
            </w:r>
            <w:r w:rsidR="00633D36">
              <w:rPr>
                <w:sz w:val="18"/>
                <w:szCs w:val="18"/>
                <w:lang w:val="es-ES_tradnl"/>
              </w:rPr>
              <w:t xml:space="preserve"> y</w:t>
            </w:r>
            <w:r w:rsidRPr="00747B87">
              <w:rPr>
                <w:sz w:val="18"/>
                <w:szCs w:val="18"/>
                <w:lang w:val="es-ES_tradnl"/>
              </w:rPr>
              <w:t xml:space="preserve"> farmacias privadas, creado.</w:t>
            </w:r>
          </w:p>
        </w:tc>
        <w:tc>
          <w:tcPr>
            <w:tcW w:w="900" w:type="dxa"/>
          </w:tcPr>
          <w:p w14:paraId="39059311" w14:textId="1177C2C4" w:rsidR="003706D3" w:rsidRPr="00747B87" w:rsidRDefault="003706D3" w:rsidP="00FD3E39">
            <w:pPr>
              <w:pStyle w:val="TableParagraph"/>
              <w:spacing w:before="60" w:after="60"/>
              <w:ind w:left="5"/>
              <w:contextualSpacing/>
              <w:jc w:val="center"/>
              <w:rPr>
                <w:w w:val="99"/>
                <w:sz w:val="18"/>
                <w:szCs w:val="18"/>
                <w:lang w:val="es-ES_tradnl"/>
              </w:rPr>
            </w:pPr>
            <w:r w:rsidRPr="00747B87">
              <w:rPr>
                <w:w w:val="99"/>
                <w:sz w:val="18"/>
                <w:szCs w:val="18"/>
                <w:lang w:val="es-ES_tradnl"/>
              </w:rPr>
              <w:t>0</w:t>
            </w:r>
          </w:p>
        </w:tc>
        <w:tc>
          <w:tcPr>
            <w:tcW w:w="990" w:type="dxa"/>
          </w:tcPr>
          <w:p w14:paraId="25C3A356" w14:textId="77777777" w:rsidR="003706D3" w:rsidRPr="00747B87" w:rsidRDefault="003706D3" w:rsidP="00FD3E39">
            <w:pPr>
              <w:pStyle w:val="TableParagraph"/>
              <w:spacing w:before="60" w:after="60"/>
              <w:ind w:left="5"/>
              <w:contextualSpacing/>
              <w:jc w:val="center"/>
              <w:rPr>
                <w:w w:val="99"/>
                <w:sz w:val="18"/>
                <w:szCs w:val="18"/>
                <w:lang w:val="es-ES_tradnl"/>
              </w:rPr>
            </w:pPr>
            <w:r w:rsidRPr="00747B87">
              <w:rPr>
                <w:w w:val="99"/>
                <w:sz w:val="18"/>
                <w:szCs w:val="18"/>
                <w:lang w:val="es-ES_tradnl"/>
              </w:rPr>
              <w:t>1</w:t>
            </w:r>
          </w:p>
          <w:p w14:paraId="6CCAC4AE" w14:textId="5B45F48D" w:rsidR="003706D3" w:rsidRPr="00747B87" w:rsidRDefault="003706D3" w:rsidP="00FD3E39">
            <w:pPr>
              <w:pStyle w:val="TableParagraph"/>
              <w:spacing w:before="60" w:after="60"/>
              <w:ind w:left="5"/>
              <w:contextualSpacing/>
              <w:jc w:val="center"/>
              <w:rPr>
                <w:sz w:val="18"/>
                <w:szCs w:val="18"/>
                <w:lang w:val="es-ES_tradnl"/>
              </w:rPr>
            </w:pPr>
          </w:p>
        </w:tc>
        <w:tc>
          <w:tcPr>
            <w:tcW w:w="6253" w:type="dxa"/>
          </w:tcPr>
          <w:p w14:paraId="2B9F24C1" w14:textId="622788CA" w:rsidR="003706D3" w:rsidRPr="00747B87" w:rsidRDefault="003706D3" w:rsidP="0096109C">
            <w:pPr>
              <w:spacing w:before="60" w:after="60"/>
              <w:ind w:left="144"/>
              <w:contextualSpacing/>
              <w:rPr>
                <w:sz w:val="18"/>
                <w:szCs w:val="18"/>
                <w:lang w:val="es-ES_tradnl"/>
              </w:rPr>
            </w:pPr>
            <w:r w:rsidRPr="00747B87">
              <w:rPr>
                <w:sz w:val="18"/>
                <w:szCs w:val="18"/>
                <w:lang w:val="es-ES_tradnl"/>
              </w:rPr>
              <w:t>Cumplid</w:t>
            </w:r>
            <w:r w:rsidR="00E3330E">
              <w:rPr>
                <w:sz w:val="18"/>
                <w:szCs w:val="18"/>
                <w:lang w:val="es-ES_tradnl"/>
              </w:rPr>
              <w:t>o</w:t>
            </w:r>
            <w:r w:rsidRPr="00747B87">
              <w:rPr>
                <w:sz w:val="18"/>
                <w:szCs w:val="18"/>
                <w:lang w:val="es-ES_tradnl"/>
              </w:rPr>
              <w:t>.</w:t>
            </w:r>
          </w:p>
          <w:p w14:paraId="3C86B9FC" w14:textId="1002A170" w:rsidR="003706D3" w:rsidRPr="00747B87" w:rsidRDefault="003706D3" w:rsidP="0096109C">
            <w:pPr>
              <w:spacing w:before="60" w:after="60"/>
              <w:ind w:left="144"/>
              <w:contextualSpacing/>
              <w:rPr>
                <w:sz w:val="18"/>
                <w:szCs w:val="18"/>
                <w:lang w:val="es-ES_tradnl"/>
              </w:rPr>
            </w:pPr>
            <w:r w:rsidRPr="00747B87">
              <w:rPr>
                <w:sz w:val="18"/>
                <w:szCs w:val="18"/>
                <w:lang w:val="es-ES_tradnl"/>
              </w:rPr>
              <w:t>Ley No. 21.198.</w:t>
            </w:r>
          </w:p>
          <w:p w14:paraId="1C0621EB" w14:textId="0A0D551C" w:rsidR="003706D3" w:rsidRPr="00747B87" w:rsidRDefault="003706D3" w:rsidP="00FD3E39">
            <w:pPr>
              <w:pStyle w:val="TableParagraph"/>
              <w:spacing w:before="60" w:after="60"/>
              <w:ind w:left="268" w:right="521"/>
              <w:contextualSpacing/>
              <w:rPr>
                <w:sz w:val="18"/>
                <w:szCs w:val="18"/>
                <w:lang w:val="es-ES_tradnl"/>
              </w:rPr>
            </w:pPr>
          </w:p>
        </w:tc>
      </w:tr>
      <w:tr w:rsidR="003706D3" w:rsidRPr="00F70C09" w14:paraId="12BAC57A" w14:textId="77777777" w:rsidTr="6AAC1521">
        <w:trPr>
          <w:trHeight w:val="1151"/>
        </w:trPr>
        <w:tc>
          <w:tcPr>
            <w:tcW w:w="4838" w:type="dxa"/>
          </w:tcPr>
          <w:p w14:paraId="19947588" w14:textId="5FDF26A9" w:rsidR="003706D3" w:rsidRPr="00747B87" w:rsidRDefault="003706D3" w:rsidP="0096109C">
            <w:pPr>
              <w:pStyle w:val="TableParagraph"/>
              <w:spacing w:before="60" w:after="60"/>
              <w:ind w:left="162" w:right="99"/>
              <w:contextualSpacing/>
              <w:rPr>
                <w:sz w:val="18"/>
                <w:szCs w:val="18"/>
                <w:lang w:val="es-ES_tradnl"/>
              </w:rPr>
            </w:pPr>
            <w:r w:rsidRPr="00C87597">
              <w:rPr>
                <w:sz w:val="18"/>
                <w:szCs w:val="18"/>
                <w:lang w:val="es-ES_tradnl"/>
              </w:rPr>
              <w:t>5</w:t>
            </w:r>
            <w:r w:rsidRPr="00747B87">
              <w:rPr>
                <w:sz w:val="18"/>
                <w:szCs w:val="18"/>
                <w:lang w:val="es-ES_tradnl"/>
              </w:rPr>
              <w:t>.1.2. Miembros del Consejo Consultivo de CENABAST</w:t>
            </w:r>
            <w:r w:rsidR="00F664D0">
              <w:rPr>
                <w:sz w:val="18"/>
                <w:szCs w:val="18"/>
                <w:lang w:val="es-ES_tradnl"/>
              </w:rPr>
              <w:t>,</w:t>
            </w:r>
            <w:r w:rsidRPr="00747B87">
              <w:rPr>
                <w:sz w:val="18"/>
                <w:szCs w:val="18"/>
                <w:lang w:val="es-ES_tradnl"/>
              </w:rPr>
              <w:t xml:space="preserve"> integrado por el Director de la Central o quien este designe, un representante del director del Fondo Nacional de Salud (FONASA), un representante del Instituto de Salud Pública y </w:t>
            </w:r>
            <w:r w:rsidR="00633D36">
              <w:rPr>
                <w:sz w:val="18"/>
                <w:szCs w:val="18"/>
                <w:lang w:val="es-ES_tradnl"/>
              </w:rPr>
              <w:t>tres</w:t>
            </w:r>
            <w:r w:rsidRPr="00747B87">
              <w:rPr>
                <w:sz w:val="18"/>
                <w:szCs w:val="18"/>
                <w:lang w:val="es-ES_tradnl"/>
              </w:rPr>
              <w:t xml:space="preserve"> economistas, responsable por recomendar procedimientos de compra y fijación de precios finales para los medicament</w:t>
            </w:r>
            <w:r w:rsidR="00633D36">
              <w:rPr>
                <w:sz w:val="18"/>
                <w:szCs w:val="18"/>
                <w:lang w:val="es-ES_tradnl"/>
              </w:rPr>
              <w:t>o</w:t>
            </w:r>
            <w:r w:rsidRPr="00747B87">
              <w:rPr>
                <w:sz w:val="18"/>
                <w:szCs w:val="18"/>
                <w:lang w:val="es-ES_tradnl"/>
              </w:rPr>
              <w:t>s abastecidos por CENABAST, designados.</w:t>
            </w:r>
          </w:p>
        </w:tc>
        <w:tc>
          <w:tcPr>
            <w:tcW w:w="900" w:type="dxa"/>
          </w:tcPr>
          <w:p w14:paraId="6F6DA072" w14:textId="1DE5442E" w:rsidR="003706D3" w:rsidRPr="00747B87" w:rsidRDefault="003706D3" w:rsidP="00FD3E39">
            <w:pPr>
              <w:pStyle w:val="TableParagraph"/>
              <w:spacing w:before="60" w:after="60"/>
              <w:contextualSpacing/>
              <w:jc w:val="center"/>
              <w:rPr>
                <w:sz w:val="18"/>
                <w:szCs w:val="18"/>
                <w:lang w:val="es-ES_tradnl"/>
              </w:rPr>
            </w:pPr>
            <w:r w:rsidRPr="00747B87">
              <w:rPr>
                <w:w w:val="99"/>
                <w:sz w:val="18"/>
                <w:szCs w:val="18"/>
                <w:lang w:val="es-ES_tradnl"/>
              </w:rPr>
              <w:t>0</w:t>
            </w:r>
          </w:p>
        </w:tc>
        <w:tc>
          <w:tcPr>
            <w:tcW w:w="990" w:type="dxa"/>
          </w:tcPr>
          <w:p w14:paraId="3B912A49" w14:textId="77777777" w:rsidR="003706D3" w:rsidRPr="00747B87" w:rsidRDefault="003706D3" w:rsidP="00FD3E39">
            <w:pPr>
              <w:pStyle w:val="TableParagraph"/>
              <w:spacing w:before="60" w:after="60"/>
              <w:ind w:left="5"/>
              <w:contextualSpacing/>
              <w:jc w:val="center"/>
              <w:rPr>
                <w:w w:val="99"/>
                <w:sz w:val="18"/>
                <w:szCs w:val="18"/>
                <w:lang w:val="es-ES_tradnl"/>
              </w:rPr>
            </w:pPr>
            <w:r w:rsidRPr="00747B87">
              <w:rPr>
                <w:w w:val="99"/>
                <w:sz w:val="18"/>
                <w:szCs w:val="18"/>
                <w:lang w:val="es-ES_tradnl"/>
              </w:rPr>
              <w:t>1</w:t>
            </w:r>
          </w:p>
          <w:p w14:paraId="5BB11E89" w14:textId="77777777" w:rsidR="003706D3" w:rsidRPr="00747B87" w:rsidRDefault="003706D3" w:rsidP="00FD3E39">
            <w:pPr>
              <w:pStyle w:val="TableParagraph"/>
              <w:spacing w:before="60" w:after="60"/>
              <w:contextualSpacing/>
              <w:jc w:val="center"/>
              <w:rPr>
                <w:sz w:val="18"/>
                <w:szCs w:val="18"/>
                <w:lang w:val="es-ES_tradnl"/>
              </w:rPr>
            </w:pPr>
          </w:p>
        </w:tc>
        <w:tc>
          <w:tcPr>
            <w:tcW w:w="6253" w:type="dxa"/>
          </w:tcPr>
          <w:p w14:paraId="21E716CF" w14:textId="19D0FB9D" w:rsidR="003706D3" w:rsidRPr="00747B87" w:rsidRDefault="003706D3" w:rsidP="0096109C">
            <w:pPr>
              <w:spacing w:before="60" w:after="60"/>
              <w:ind w:left="144"/>
              <w:contextualSpacing/>
              <w:rPr>
                <w:sz w:val="18"/>
                <w:szCs w:val="18"/>
                <w:lang w:val="es-ES_tradnl"/>
              </w:rPr>
            </w:pPr>
            <w:r w:rsidRPr="00747B87">
              <w:rPr>
                <w:sz w:val="18"/>
                <w:szCs w:val="18"/>
                <w:lang w:val="es-ES_tradnl"/>
              </w:rPr>
              <w:t>Cumplid</w:t>
            </w:r>
            <w:r w:rsidR="00E3330E">
              <w:rPr>
                <w:sz w:val="18"/>
                <w:szCs w:val="18"/>
                <w:lang w:val="es-ES_tradnl"/>
              </w:rPr>
              <w:t>o</w:t>
            </w:r>
            <w:r w:rsidRPr="00747B87">
              <w:rPr>
                <w:sz w:val="18"/>
                <w:szCs w:val="18"/>
                <w:lang w:val="es-ES_tradnl"/>
              </w:rPr>
              <w:t>.</w:t>
            </w:r>
          </w:p>
          <w:p w14:paraId="34ED67FB" w14:textId="289863B4" w:rsidR="003706D3" w:rsidRPr="00747B87" w:rsidRDefault="003706D3" w:rsidP="0096109C">
            <w:pPr>
              <w:spacing w:before="60" w:after="60"/>
              <w:ind w:left="144"/>
              <w:contextualSpacing/>
              <w:rPr>
                <w:sz w:val="18"/>
                <w:szCs w:val="18"/>
                <w:lang w:val="es-ES_tradnl"/>
              </w:rPr>
            </w:pPr>
            <w:r w:rsidRPr="00747B87">
              <w:rPr>
                <w:sz w:val="18"/>
                <w:szCs w:val="18"/>
                <w:lang w:val="es-ES_tradnl"/>
              </w:rPr>
              <w:t>Resolución Exenta de CENABAST Nº 0877 del 17 de febrero de 2020 que designa integrantes del Consejo Consultivo de CENABAST Ley N° 21.198.</w:t>
            </w:r>
          </w:p>
        </w:tc>
      </w:tr>
      <w:tr w:rsidR="003706D3" w:rsidRPr="00F70C09" w14:paraId="0AC9ED75" w14:textId="77777777" w:rsidTr="6AAC1521">
        <w:trPr>
          <w:trHeight w:val="968"/>
        </w:trPr>
        <w:tc>
          <w:tcPr>
            <w:tcW w:w="4838" w:type="dxa"/>
          </w:tcPr>
          <w:p w14:paraId="77FC635A" w14:textId="2C82EA2B" w:rsidR="003706D3" w:rsidRPr="00747B87" w:rsidRDefault="003706D3" w:rsidP="0096109C">
            <w:pPr>
              <w:pStyle w:val="TableParagraph"/>
              <w:spacing w:before="60" w:after="60"/>
              <w:ind w:left="162" w:right="99"/>
              <w:contextualSpacing/>
              <w:rPr>
                <w:sz w:val="18"/>
                <w:szCs w:val="18"/>
                <w:lang w:val="es-ES_tradnl"/>
              </w:rPr>
            </w:pPr>
            <w:r w:rsidRPr="00C87597">
              <w:rPr>
                <w:sz w:val="18"/>
                <w:szCs w:val="18"/>
                <w:lang w:val="es-ES_tradnl"/>
              </w:rPr>
              <w:t>5</w:t>
            </w:r>
            <w:r w:rsidRPr="00747B87">
              <w:rPr>
                <w:sz w:val="18"/>
                <w:szCs w:val="18"/>
                <w:lang w:val="es-ES_tradnl"/>
              </w:rPr>
              <w:t>.1.3. Implementación del nuevo régimen de intermediación de medicamentos con la primera cohorte de farmacias que hayan suscrito convenio con CENABAST, iniciada.</w:t>
            </w:r>
          </w:p>
        </w:tc>
        <w:tc>
          <w:tcPr>
            <w:tcW w:w="900" w:type="dxa"/>
          </w:tcPr>
          <w:p w14:paraId="287C6D61" w14:textId="6E6CE5FE" w:rsidR="003706D3" w:rsidRPr="00747B87" w:rsidRDefault="003706D3" w:rsidP="00FD3E39">
            <w:pPr>
              <w:pStyle w:val="TableParagraph"/>
              <w:spacing w:before="60" w:after="60"/>
              <w:contextualSpacing/>
              <w:jc w:val="center"/>
              <w:rPr>
                <w:sz w:val="18"/>
                <w:szCs w:val="18"/>
                <w:lang w:val="es-ES_tradnl"/>
              </w:rPr>
            </w:pPr>
            <w:r w:rsidRPr="00747B87">
              <w:rPr>
                <w:sz w:val="18"/>
                <w:szCs w:val="18"/>
                <w:lang w:val="es-ES_tradnl"/>
              </w:rPr>
              <w:t>0</w:t>
            </w:r>
          </w:p>
        </w:tc>
        <w:tc>
          <w:tcPr>
            <w:tcW w:w="990" w:type="dxa"/>
          </w:tcPr>
          <w:p w14:paraId="487CFB7A" w14:textId="061A6B4E" w:rsidR="003706D3" w:rsidRPr="00747B87" w:rsidRDefault="003706D3" w:rsidP="00FD3E39">
            <w:pPr>
              <w:pStyle w:val="TableParagraph"/>
              <w:spacing w:before="60" w:after="60"/>
              <w:contextualSpacing/>
              <w:jc w:val="center"/>
              <w:rPr>
                <w:sz w:val="18"/>
                <w:szCs w:val="18"/>
                <w:lang w:val="es-ES_tradnl"/>
              </w:rPr>
            </w:pPr>
            <w:r w:rsidRPr="00747B87">
              <w:rPr>
                <w:sz w:val="18"/>
                <w:szCs w:val="18"/>
                <w:lang w:val="es-ES_tradnl"/>
              </w:rPr>
              <w:t>1</w:t>
            </w:r>
          </w:p>
        </w:tc>
        <w:tc>
          <w:tcPr>
            <w:tcW w:w="6253" w:type="dxa"/>
          </w:tcPr>
          <w:p w14:paraId="3E60DBF4" w14:textId="355E31D0" w:rsidR="003706D3" w:rsidRPr="00747B87" w:rsidRDefault="003706D3" w:rsidP="0096109C">
            <w:pPr>
              <w:spacing w:before="60" w:after="60"/>
              <w:ind w:left="144"/>
              <w:contextualSpacing/>
              <w:rPr>
                <w:sz w:val="18"/>
                <w:szCs w:val="18"/>
                <w:lang w:val="es-ES_tradnl"/>
              </w:rPr>
            </w:pPr>
            <w:r w:rsidRPr="00747B87">
              <w:rPr>
                <w:sz w:val="18"/>
                <w:szCs w:val="18"/>
                <w:lang w:val="es-ES_tradnl"/>
              </w:rPr>
              <w:t>Cumplid</w:t>
            </w:r>
            <w:r w:rsidR="00E3330E">
              <w:rPr>
                <w:sz w:val="18"/>
                <w:szCs w:val="18"/>
                <w:lang w:val="es-ES_tradnl"/>
              </w:rPr>
              <w:t>o</w:t>
            </w:r>
            <w:r w:rsidRPr="00747B87">
              <w:rPr>
                <w:sz w:val="18"/>
                <w:szCs w:val="18"/>
                <w:lang w:val="es-ES_tradnl"/>
              </w:rPr>
              <w:t>.</w:t>
            </w:r>
          </w:p>
          <w:p w14:paraId="7DC85DF8" w14:textId="5BA38000" w:rsidR="003706D3" w:rsidRPr="00747B87" w:rsidRDefault="003706D3" w:rsidP="0096109C">
            <w:pPr>
              <w:spacing w:before="60" w:after="60"/>
              <w:ind w:left="144"/>
              <w:contextualSpacing/>
              <w:rPr>
                <w:sz w:val="18"/>
                <w:szCs w:val="18"/>
                <w:lang w:val="es-ES_tradnl"/>
              </w:rPr>
            </w:pPr>
            <w:r w:rsidRPr="00747B87">
              <w:rPr>
                <w:sz w:val="18"/>
                <w:szCs w:val="18"/>
                <w:lang w:val="es-ES_tradnl"/>
              </w:rPr>
              <w:t xml:space="preserve">Comunicación de CENABAST a la Dirección de Presupuestos </w:t>
            </w:r>
            <w:r w:rsidR="004E4CA5">
              <w:rPr>
                <w:sz w:val="18"/>
                <w:szCs w:val="18"/>
                <w:lang w:val="es-ES_tradnl"/>
              </w:rPr>
              <w:t xml:space="preserve">(DIPRES) </w:t>
            </w:r>
            <w:r w:rsidRPr="00747B87">
              <w:rPr>
                <w:sz w:val="18"/>
                <w:szCs w:val="18"/>
                <w:lang w:val="es-ES_tradnl"/>
              </w:rPr>
              <w:t>que reporta estado de avance del proceso de inscripción de farmacias privadas en el contexto de la Ley Nº</w:t>
            </w:r>
            <w:r w:rsidR="00F70C09">
              <w:rPr>
                <w:sz w:val="18"/>
                <w:szCs w:val="18"/>
                <w:lang w:val="es-ES_tradnl"/>
              </w:rPr>
              <w:t> </w:t>
            </w:r>
            <w:r w:rsidRPr="00747B87">
              <w:rPr>
                <w:sz w:val="18"/>
                <w:szCs w:val="18"/>
                <w:lang w:val="es-ES_tradnl"/>
              </w:rPr>
              <w:t>21.198.</w:t>
            </w:r>
          </w:p>
        </w:tc>
      </w:tr>
      <w:tr w:rsidR="003706D3" w:rsidRPr="00F70C09" w14:paraId="5FD7D9A6" w14:textId="77777777" w:rsidTr="6AAC1521">
        <w:trPr>
          <w:trHeight w:val="1151"/>
        </w:trPr>
        <w:tc>
          <w:tcPr>
            <w:tcW w:w="4838" w:type="dxa"/>
          </w:tcPr>
          <w:p w14:paraId="4A1E7708" w14:textId="03541705" w:rsidR="003706D3" w:rsidRPr="00747B87" w:rsidRDefault="003706D3" w:rsidP="0096109C">
            <w:pPr>
              <w:pStyle w:val="TableParagraph"/>
              <w:spacing w:before="60" w:after="60"/>
              <w:ind w:left="162" w:right="99"/>
              <w:contextualSpacing/>
              <w:rPr>
                <w:sz w:val="18"/>
                <w:szCs w:val="18"/>
                <w:lang w:val="es-ES_tradnl"/>
              </w:rPr>
            </w:pPr>
            <w:r w:rsidRPr="00C87597">
              <w:rPr>
                <w:sz w:val="18"/>
                <w:szCs w:val="18"/>
                <w:lang w:val="es-ES_tradnl"/>
              </w:rPr>
              <w:t>5</w:t>
            </w:r>
            <w:r w:rsidRPr="00747B87">
              <w:rPr>
                <w:sz w:val="18"/>
                <w:szCs w:val="18"/>
                <w:lang w:val="es-ES_tradnl"/>
              </w:rPr>
              <w:t xml:space="preserve">.1.4. </w:t>
            </w:r>
            <w:r w:rsidRPr="00747B87">
              <w:rPr>
                <w:rFonts w:eastAsiaTheme="minorEastAsia"/>
                <w:sz w:val="18"/>
                <w:szCs w:val="18"/>
                <w:lang w:val="es-ES_tradnl"/>
              </w:rPr>
              <w:t xml:space="preserve">Estrategia de información a la ciudadanía acerca de la nueva política de </w:t>
            </w:r>
            <w:r w:rsidRPr="00747B87">
              <w:rPr>
                <w:sz w:val="18"/>
                <w:szCs w:val="18"/>
                <w:lang w:val="es-ES_tradnl"/>
              </w:rPr>
              <w:t>bioequivalencia</w:t>
            </w:r>
            <w:r w:rsidRPr="00747B87">
              <w:rPr>
                <w:rFonts w:eastAsiaTheme="minorEastAsia"/>
                <w:sz w:val="18"/>
                <w:szCs w:val="18"/>
                <w:lang w:val="es-ES_tradnl"/>
              </w:rPr>
              <w:t xml:space="preserve">, promoviendo los derechos de la población en cuanto a la </w:t>
            </w:r>
            <w:r w:rsidRPr="0096109C">
              <w:rPr>
                <w:sz w:val="18"/>
                <w:szCs w:val="18"/>
                <w:lang w:val="es-ES_tradnl"/>
              </w:rPr>
              <w:t>disponibilidad</w:t>
            </w:r>
            <w:r w:rsidRPr="00747B87">
              <w:rPr>
                <w:rFonts w:eastAsiaTheme="minorEastAsia"/>
                <w:sz w:val="18"/>
                <w:szCs w:val="18"/>
                <w:lang w:val="es-ES_tradnl"/>
              </w:rPr>
              <w:t xml:space="preserve"> de estos medicamentos, implementada</w:t>
            </w:r>
            <w:r w:rsidRPr="00C87597">
              <w:rPr>
                <w:sz w:val="18"/>
                <w:szCs w:val="18"/>
                <w:lang w:val="es-ES_tradnl"/>
              </w:rPr>
              <w:t>.</w:t>
            </w:r>
          </w:p>
        </w:tc>
        <w:tc>
          <w:tcPr>
            <w:tcW w:w="900" w:type="dxa"/>
          </w:tcPr>
          <w:p w14:paraId="0DC94188" w14:textId="6A1813CE" w:rsidR="003706D3" w:rsidRPr="00747B87" w:rsidRDefault="003706D3" w:rsidP="00FD3E39">
            <w:pPr>
              <w:pStyle w:val="TableParagraph"/>
              <w:spacing w:before="60" w:after="60"/>
              <w:contextualSpacing/>
              <w:jc w:val="center"/>
              <w:rPr>
                <w:sz w:val="18"/>
                <w:szCs w:val="18"/>
                <w:lang w:val="es-ES_tradnl"/>
              </w:rPr>
            </w:pPr>
            <w:r w:rsidRPr="00747B87">
              <w:rPr>
                <w:sz w:val="18"/>
                <w:szCs w:val="18"/>
                <w:lang w:val="es-ES_tradnl"/>
              </w:rPr>
              <w:t>0</w:t>
            </w:r>
          </w:p>
        </w:tc>
        <w:tc>
          <w:tcPr>
            <w:tcW w:w="990" w:type="dxa"/>
          </w:tcPr>
          <w:p w14:paraId="7CE3A6CA" w14:textId="3193E174" w:rsidR="003706D3" w:rsidRPr="00747B87" w:rsidRDefault="003706D3" w:rsidP="00FD3E39">
            <w:pPr>
              <w:pStyle w:val="TableParagraph"/>
              <w:spacing w:before="60" w:after="60"/>
              <w:contextualSpacing/>
              <w:jc w:val="center"/>
              <w:rPr>
                <w:sz w:val="18"/>
                <w:szCs w:val="18"/>
                <w:lang w:val="es-ES_tradnl"/>
              </w:rPr>
            </w:pPr>
            <w:r w:rsidRPr="00747B87">
              <w:rPr>
                <w:sz w:val="18"/>
                <w:szCs w:val="18"/>
                <w:lang w:val="es-ES_tradnl"/>
              </w:rPr>
              <w:t>1</w:t>
            </w:r>
          </w:p>
        </w:tc>
        <w:tc>
          <w:tcPr>
            <w:tcW w:w="6253" w:type="dxa"/>
          </w:tcPr>
          <w:p w14:paraId="454B64E4" w14:textId="4C03D256" w:rsidR="003706D3" w:rsidRPr="00747B87" w:rsidRDefault="003706D3" w:rsidP="0096109C">
            <w:pPr>
              <w:spacing w:before="60" w:after="60"/>
              <w:ind w:left="144"/>
              <w:contextualSpacing/>
              <w:rPr>
                <w:sz w:val="18"/>
                <w:szCs w:val="18"/>
                <w:lang w:val="es-ES_tradnl"/>
              </w:rPr>
            </w:pPr>
            <w:r w:rsidRPr="00747B87">
              <w:rPr>
                <w:sz w:val="18"/>
                <w:szCs w:val="18"/>
                <w:lang w:val="es-ES_tradnl"/>
              </w:rPr>
              <w:t>Cumplido.</w:t>
            </w:r>
          </w:p>
          <w:p w14:paraId="44828FEA" w14:textId="294342C9" w:rsidR="003706D3" w:rsidRPr="00747B87" w:rsidRDefault="003706D3" w:rsidP="0096109C">
            <w:pPr>
              <w:spacing w:before="60" w:after="60"/>
              <w:ind w:left="144"/>
              <w:contextualSpacing/>
              <w:rPr>
                <w:sz w:val="18"/>
                <w:szCs w:val="18"/>
                <w:lang w:val="es-ES_tradnl"/>
              </w:rPr>
            </w:pPr>
            <w:r w:rsidRPr="00747B87">
              <w:rPr>
                <w:sz w:val="18"/>
                <w:szCs w:val="18"/>
                <w:lang w:val="es-ES_tradnl"/>
              </w:rPr>
              <w:t>Estrategia de difusión de la Política Nacional de Medicamentos #ExigeElAmarillo</w:t>
            </w:r>
          </w:p>
        </w:tc>
      </w:tr>
      <w:tr w:rsidR="003706D3" w:rsidRPr="00F70C09" w14:paraId="0551852B" w14:textId="77777777" w:rsidTr="6AAC1521">
        <w:trPr>
          <w:trHeight w:val="1151"/>
        </w:trPr>
        <w:tc>
          <w:tcPr>
            <w:tcW w:w="4838" w:type="dxa"/>
          </w:tcPr>
          <w:p w14:paraId="0707CF0D" w14:textId="0EDB0D38" w:rsidR="003706D3" w:rsidRPr="00747B87" w:rsidRDefault="003706D3" w:rsidP="0096109C">
            <w:pPr>
              <w:pStyle w:val="TableParagraph"/>
              <w:spacing w:before="60" w:after="60"/>
              <w:ind w:left="162" w:right="99"/>
              <w:contextualSpacing/>
              <w:rPr>
                <w:sz w:val="18"/>
                <w:szCs w:val="18"/>
                <w:lang w:val="es-ES_tradnl"/>
              </w:rPr>
            </w:pPr>
            <w:r w:rsidRPr="00C87597">
              <w:rPr>
                <w:sz w:val="18"/>
                <w:szCs w:val="18"/>
                <w:lang w:val="es-ES_tradnl"/>
              </w:rPr>
              <w:t>5</w:t>
            </w:r>
            <w:r w:rsidRPr="00747B87">
              <w:rPr>
                <w:sz w:val="18"/>
                <w:szCs w:val="18"/>
                <w:lang w:val="es-ES_tradnl"/>
              </w:rPr>
              <w:t xml:space="preserve">.1.5. </w:t>
            </w:r>
            <w:r w:rsidRPr="00747B87">
              <w:rPr>
                <w:rFonts w:eastAsiaTheme="minorEastAsia"/>
                <w:sz w:val="18"/>
                <w:szCs w:val="18"/>
                <w:lang w:val="es-ES_tradnl"/>
              </w:rPr>
              <w:t xml:space="preserve">Petitorio mínimo de stocks farmacéuticos </w:t>
            </w:r>
            <w:r w:rsidR="00A25181">
              <w:rPr>
                <w:rFonts w:eastAsiaTheme="minorEastAsia"/>
                <w:sz w:val="18"/>
                <w:szCs w:val="18"/>
                <w:lang w:val="es-ES_tradnl"/>
              </w:rPr>
              <w:t>exigiendo</w:t>
            </w:r>
            <w:r w:rsidRPr="00747B87">
              <w:rPr>
                <w:rFonts w:eastAsiaTheme="minorEastAsia"/>
                <w:sz w:val="18"/>
                <w:szCs w:val="18"/>
                <w:lang w:val="es-ES_tradnl"/>
              </w:rPr>
              <w:t xml:space="preserve"> la presencia mínima de bioequivalentes en establecimientos de expendio de medicamentos, modificado</w:t>
            </w:r>
            <w:r w:rsidRPr="00747B87">
              <w:rPr>
                <w:sz w:val="18"/>
                <w:szCs w:val="18"/>
                <w:lang w:val="es-ES_tradnl"/>
              </w:rPr>
              <w:t>.</w:t>
            </w:r>
          </w:p>
          <w:p w14:paraId="19857A08" w14:textId="66091F6F" w:rsidR="003706D3" w:rsidRPr="00747B87" w:rsidRDefault="003706D3" w:rsidP="00FD3E39">
            <w:pPr>
              <w:pStyle w:val="TableParagraph"/>
              <w:spacing w:before="60" w:after="60"/>
              <w:ind w:left="107" w:right="269"/>
              <w:contextualSpacing/>
              <w:rPr>
                <w:sz w:val="18"/>
                <w:szCs w:val="18"/>
                <w:lang w:val="es-ES_tradnl"/>
              </w:rPr>
            </w:pPr>
          </w:p>
        </w:tc>
        <w:tc>
          <w:tcPr>
            <w:tcW w:w="900" w:type="dxa"/>
          </w:tcPr>
          <w:p w14:paraId="30A749FE" w14:textId="0D072A37" w:rsidR="003706D3" w:rsidRPr="00747B87" w:rsidRDefault="003706D3" w:rsidP="00FD3E39">
            <w:pPr>
              <w:pStyle w:val="TableParagraph"/>
              <w:spacing w:before="60" w:after="60"/>
              <w:contextualSpacing/>
              <w:jc w:val="center"/>
              <w:rPr>
                <w:sz w:val="18"/>
                <w:szCs w:val="18"/>
                <w:lang w:val="es-ES_tradnl"/>
              </w:rPr>
            </w:pPr>
            <w:r w:rsidRPr="00747B87">
              <w:rPr>
                <w:sz w:val="18"/>
                <w:szCs w:val="18"/>
                <w:lang w:val="es-ES_tradnl"/>
              </w:rPr>
              <w:t>0</w:t>
            </w:r>
          </w:p>
        </w:tc>
        <w:tc>
          <w:tcPr>
            <w:tcW w:w="990" w:type="dxa"/>
          </w:tcPr>
          <w:p w14:paraId="1CCE5AE2" w14:textId="5292E9F5" w:rsidR="003706D3" w:rsidRPr="00747B87" w:rsidRDefault="003706D3" w:rsidP="00FD3E39">
            <w:pPr>
              <w:pStyle w:val="TableParagraph"/>
              <w:spacing w:before="60" w:after="60"/>
              <w:contextualSpacing/>
              <w:jc w:val="center"/>
              <w:rPr>
                <w:sz w:val="18"/>
                <w:szCs w:val="18"/>
                <w:lang w:val="es-ES_tradnl"/>
              </w:rPr>
            </w:pPr>
            <w:r w:rsidRPr="00747B87">
              <w:rPr>
                <w:sz w:val="18"/>
                <w:szCs w:val="18"/>
                <w:lang w:val="es-ES_tradnl"/>
              </w:rPr>
              <w:t>1</w:t>
            </w:r>
          </w:p>
        </w:tc>
        <w:tc>
          <w:tcPr>
            <w:tcW w:w="6253" w:type="dxa"/>
          </w:tcPr>
          <w:p w14:paraId="545BC5EB" w14:textId="77EE51DB" w:rsidR="003706D3" w:rsidRPr="00747B87" w:rsidRDefault="003706D3" w:rsidP="0096109C">
            <w:pPr>
              <w:spacing w:before="60" w:after="60"/>
              <w:ind w:left="144"/>
              <w:contextualSpacing/>
              <w:rPr>
                <w:sz w:val="18"/>
                <w:szCs w:val="18"/>
                <w:lang w:val="es-ES_tradnl"/>
              </w:rPr>
            </w:pPr>
            <w:r w:rsidRPr="00747B87">
              <w:rPr>
                <w:sz w:val="18"/>
                <w:szCs w:val="18"/>
                <w:lang w:val="es-ES_tradnl"/>
              </w:rPr>
              <w:t>Cumplido</w:t>
            </w:r>
            <w:r w:rsidR="00EF08E2">
              <w:rPr>
                <w:sz w:val="18"/>
                <w:szCs w:val="18"/>
                <w:lang w:val="es-ES_tradnl"/>
              </w:rPr>
              <w:t>.</w:t>
            </w:r>
          </w:p>
          <w:p w14:paraId="33816020" w14:textId="3A781107" w:rsidR="003706D3" w:rsidRPr="00747B87" w:rsidRDefault="003706D3" w:rsidP="0096109C">
            <w:pPr>
              <w:spacing w:before="60" w:after="60"/>
              <w:ind w:left="144"/>
              <w:contextualSpacing/>
              <w:rPr>
                <w:sz w:val="18"/>
                <w:szCs w:val="18"/>
                <w:lang w:val="es-ES_tradnl"/>
              </w:rPr>
            </w:pPr>
            <w:r w:rsidRPr="00747B87">
              <w:rPr>
                <w:sz w:val="18"/>
                <w:szCs w:val="18"/>
                <w:lang w:val="es-ES_tradnl"/>
              </w:rPr>
              <w:t>Resolución del Ministerio de Salud Nº 1.831 exenta del 25 de octubre de 2019 que determina petitorio farmacéutico de los establecimientos de expendio de medicamentos que indica".</w:t>
            </w:r>
          </w:p>
        </w:tc>
      </w:tr>
      <w:tr w:rsidR="003706D3" w:rsidRPr="00F70C09" w14:paraId="393A356E" w14:textId="77777777" w:rsidTr="007F7FF9">
        <w:trPr>
          <w:trHeight w:val="365"/>
        </w:trPr>
        <w:tc>
          <w:tcPr>
            <w:tcW w:w="12981" w:type="dxa"/>
            <w:gridSpan w:val="4"/>
            <w:tcBorders>
              <w:bottom w:val="single" w:sz="4" w:space="0" w:color="000000"/>
            </w:tcBorders>
            <w:shd w:val="clear" w:color="auto" w:fill="D9D9D9" w:themeFill="background1" w:themeFillShade="D9"/>
            <w:vAlign w:val="center"/>
          </w:tcPr>
          <w:p w14:paraId="1D329992" w14:textId="0CC73E51" w:rsidR="003706D3" w:rsidRPr="00C87597" w:rsidRDefault="003706D3" w:rsidP="00FD3E39">
            <w:pPr>
              <w:pStyle w:val="TableParagraph"/>
              <w:spacing w:before="60" w:after="60"/>
              <w:ind w:left="268"/>
              <w:contextualSpacing/>
              <w:rPr>
                <w:b/>
                <w:sz w:val="18"/>
                <w:szCs w:val="18"/>
                <w:lang w:val="es-ES_tradnl"/>
              </w:rPr>
            </w:pPr>
            <w:r w:rsidRPr="00C87597">
              <w:rPr>
                <w:b/>
                <w:sz w:val="18"/>
                <w:szCs w:val="18"/>
                <w:lang w:val="es-ES_tradnl"/>
              </w:rPr>
              <w:t xml:space="preserve">Componente </w:t>
            </w:r>
            <w:r w:rsidR="008D5934">
              <w:rPr>
                <w:b/>
                <w:sz w:val="18"/>
                <w:szCs w:val="18"/>
                <w:lang w:val="es-ES_tradnl"/>
              </w:rPr>
              <w:t>5</w:t>
            </w:r>
            <w:r w:rsidRPr="00C87597">
              <w:rPr>
                <w:b/>
                <w:sz w:val="18"/>
                <w:szCs w:val="18"/>
                <w:lang w:val="es-ES_tradnl"/>
              </w:rPr>
              <w:t>. Mejora de la calidad del gasto público</w:t>
            </w:r>
          </w:p>
        </w:tc>
      </w:tr>
      <w:tr w:rsidR="003706D3" w:rsidRPr="00F70C09" w14:paraId="1A36BD2A" w14:textId="77777777" w:rsidTr="007F7FF9">
        <w:trPr>
          <w:trHeight w:val="743"/>
        </w:trPr>
        <w:tc>
          <w:tcPr>
            <w:tcW w:w="4838" w:type="dxa"/>
            <w:tcBorders>
              <w:bottom w:val="single" w:sz="4" w:space="0" w:color="auto"/>
            </w:tcBorders>
          </w:tcPr>
          <w:p w14:paraId="0057B9FF" w14:textId="77777777" w:rsidR="003706D3" w:rsidRDefault="003706D3" w:rsidP="0096109C">
            <w:pPr>
              <w:pStyle w:val="TableParagraph"/>
              <w:spacing w:before="60" w:after="60"/>
              <w:ind w:left="162" w:right="99"/>
              <w:contextualSpacing/>
              <w:rPr>
                <w:sz w:val="18"/>
                <w:szCs w:val="18"/>
                <w:lang w:val="es-ES_tradnl"/>
              </w:rPr>
            </w:pPr>
            <w:r w:rsidRPr="00A32DE8">
              <w:rPr>
                <w:sz w:val="18"/>
                <w:szCs w:val="18"/>
                <w:lang w:val="es-ES_tradnl"/>
              </w:rPr>
              <w:t>6.1.1. Marco institucional para la mejora de la calidad del gasto público y la rendición de cuentas a la ciudadanía, fortalecido a través de la:</w:t>
            </w:r>
            <w:r w:rsidR="00B16224" w:rsidRPr="00A32DE8" w:rsidDel="00B16224">
              <w:rPr>
                <w:sz w:val="18"/>
                <w:szCs w:val="18"/>
                <w:lang w:val="es-ES_tradnl"/>
              </w:rPr>
              <w:t xml:space="preserve"> </w:t>
            </w:r>
          </w:p>
          <w:p w14:paraId="09208A11" w14:textId="2A725C9D" w:rsidR="00F70C09" w:rsidRPr="00A32DE8" w:rsidRDefault="00F70C09" w:rsidP="0096109C">
            <w:pPr>
              <w:pStyle w:val="TableParagraph"/>
              <w:spacing w:before="60" w:after="60"/>
              <w:ind w:left="162" w:right="99"/>
              <w:contextualSpacing/>
              <w:rPr>
                <w:sz w:val="18"/>
                <w:szCs w:val="18"/>
                <w:lang w:val="es-ES_tradnl"/>
              </w:rPr>
            </w:pPr>
          </w:p>
        </w:tc>
        <w:tc>
          <w:tcPr>
            <w:tcW w:w="900" w:type="dxa"/>
            <w:tcBorders>
              <w:bottom w:val="single" w:sz="4" w:space="0" w:color="auto"/>
            </w:tcBorders>
          </w:tcPr>
          <w:p w14:paraId="58F0FB6B" w14:textId="2AFE6D9E" w:rsidR="003706D3" w:rsidRPr="00A32DE8" w:rsidRDefault="003706D3" w:rsidP="00FD3E39">
            <w:pPr>
              <w:pStyle w:val="TableParagraph"/>
              <w:spacing w:before="60" w:after="60"/>
              <w:ind w:left="5"/>
              <w:contextualSpacing/>
              <w:jc w:val="center"/>
              <w:rPr>
                <w:w w:val="99"/>
                <w:sz w:val="18"/>
                <w:szCs w:val="18"/>
                <w:lang w:val="es-ES_tradnl"/>
              </w:rPr>
            </w:pPr>
          </w:p>
        </w:tc>
        <w:tc>
          <w:tcPr>
            <w:tcW w:w="990" w:type="dxa"/>
            <w:tcBorders>
              <w:bottom w:val="single" w:sz="4" w:space="0" w:color="auto"/>
            </w:tcBorders>
          </w:tcPr>
          <w:p w14:paraId="0341B803" w14:textId="77777777" w:rsidR="003706D3" w:rsidRPr="00A32DE8" w:rsidRDefault="003706D3" w:rsidP="00FD3E39">
            <w:pPr>
              <w:pStyle w:val="TableParagraph"/>
              <w:spacing w:before="60" w:after="60"/>
              <w:ind w:left="5"/>
              <w:contextualSpacing/>
              <w:jc w:val="center"/>
              <w:rPr>
                <w:sz w:val="18"/>
                <w:szCs w:val="18"/>
                <w:lang w:val="es-ES_tradnl"/>
              </w:rPr>
            </w:pPr>
          </w:p>
        </w:tc>
        <w:tc>
          <w:tcPr>
            <w:tcW w:w="6253" w:type="dxa"/>
            <w:tcBorders>
              <w:bottom w:val="single" w:sz="4" w:space="0" w:color="auto"/>
            </w:tcBorders>
          </w:tcPr>
          <w:p w14:paraId="662AFCF2" w14:textId="528EBD36" w:rsidR="003706D3" w:rsidRPr="00A32DE8" w:rsidRDefault="003706D3" w:rsidP="00FD3E39">
            <w:pPr>
              <w:pStyle w:val="TableParagraph"/>
              <w:spacing w:before="60" w:after="60"/>
              <w:ind w:left="541" w:right="521"/>
              <w:contextualSpacing/>
              <w:rPr>
                <w:sz w:val="18"/>
                <w:szCs w:val="18"/>
                <w:lang w:val="es-ES_tradnl"/>
              </w:rPr>
            </w:pPr>
          </w:p>
        </w:tc>
      </w:tr>
      <w:tr w:rsidR="00B16224" w:rsidRPr="00897FAD" w14:paraId="33DC869D" w14:textId="77777777" w:rsidTr="007F7FF9">
        <w:trPr>
          <w:trHeight w:val="1697"/>
        </w:trPr>
        <w:tc>
          <w:tcPr>
            <w:tcW w:w="4838" w:type="dxa"/>
            <w:tcBorders>
              <w:top w:val="single" w:sz="4" w:space="0" w:color="auto"/>
              <w:bottom w:val="nil"/>
            </w:tcBorders>
          </w:tcPr>
          <w:p w14:paraId="1F687510" w14:textId="028D7346" w:rsidR="00B16224" w:rsidRPr="00A32DE8" w:rsidRDefault="00B16224" w:rsidP="00FD3E39">
            <w:pPr>
              <w:pStyle w:val="TableParagraph"/>
              <w:spacing w:before="60" w:after="60"/>
              <w:ind w:left="331" w:right="274"/>
              <w:contextualSpacing/>
              <w:rPr>
                <w:sz w:val="18"/>
                <w:szCs w:val="18"/>
                <w:lang w:val="es-ES_tradnl"/>
              </w:rPr>
            </w:pPr>
            <w:r w:rsidRPr="00A32DE8">
              <w:rPr>
                <w:sz w:val="18"/>
                <w:szCs w:val="18"/>
                <w:lang w:val="es-ES_tradnl"/>
              </w:rPr>
              <w:lastRenderedPageBreak/>
              <w:t xml:space="preserve">(i) Creación de una Comisión Asesora Ministerial para Mejorar la Transparencia, Calidad y el Impacto del Gasto Público </w:t>
            </w:r>
            <w:r w:rsidR="00B7736B" w:rsidRPr="00B7736B">
              <w:rPr>
                <w:sz w:val="18"/>
                <w:szCs w:val="18"/>
                <w:lang w:val="es-ES_tradnl"/>
              </w:rPr>
              <w:t xml:space="preserve">(Comisión del Gasto Público) </w:t>
            </w:r>
            <w:r w:rsidRPr="00A32DE8">
              <w:rPr>
                <w:sz w:val="18"/>
                <w:szCs w:val="18"/>
                <w:lang w:val="es-ES_tradnl"/>
              </w:rPr>
              <w:t>cuya finalidad es asesorar al Ministerio de Hacienda en el diseño e implementación de una agenda de modernización del sistema presupuestario y del gasto público que permita mejorar la transparencia, eficiencia, eficacia e impacto en el uso de los recursos públicos.</w:t>
            </w:r>
          </w:p>
        </w:tc>
        <w:tc>
          <w:tcPr>
            <w:tcW w:w="900" w:type="dxa"/>
            <w:tcBorders>
              <w:top w:val="single" w:sz="4" w:space="0" w:color="auto"/>
              <w:bottom w:val="nil"/>
            </w:tcBorders>
          </w:tcPr>
          <w:p w14:paraId="055F987F" w14:textId="35431033" w:rsidR="00B16224" w:rsidRPr="00A32DE8" w:rsidRDefault="009732A8" w:rsidP="00FD3E39">
            <w:pPr>
              <w:pStyle w:val="TableParagraph"/>
              <w:spacing w:before="60" w:after="60"/>
              <w:contextualSpacing/>
              <w:jc w:val="center"/>
              <w:rPr>
                <w:sz w:val="18"/>
                <w:szCs w:val="18"/>
                <w:lang w:val="es-ES_tradnl"/>
              </w:rPr>
            </w:pPr>
            <w:r>
              <w:rPr>
                <w:sz w:val="18"/>
                <w:szCs w:val="18"/>
                <w:lang w:val="es-ES_tradnl"/>
              </w:rPr>
              <w:t>0</w:t>
            </w:r>
          </w:p>
        </w:tc>
        <w:tc>
          <w:tcPr>
            <w:tcW w:w="990" w:type="dxa"/>
            <w:tcBorders>
              <w:top w:val="single" w:sz="4" w:space="0" w:color="auto"/>
              <w:bottom w:val="nil"/>
            </w:tcBorders>
          </w:tcPr>
          <w:p w14:paraId="3F69F4A9" w14:textId="3C9C2D27" w:rsidR="00B16224" w:rsidRPr="00A32DE8" w:rsidRDefault="009732A8" w:rsidP="00FD3E39">
            <w:pPr>
              <w:pStyle w:val="TableParagraph"/>
              <w:spacing w:before="60" w:after="60"/>
              <w:contextualSpacing/>
              <w:jc w:val="center"/>
              <w:rPr>
                <w:sz w:val="18"/>
                <w:szCs w:val="18"/>
                <w:lang w:val="es-ES_tradnl"/>
              </w:rPr>
            </w:pPr>
            <w:r>
              <w:rPr>
                <w:sz w:val="18"/>
                <w:szCs w:val="18"/>
                <w:lang w:val="es-ES_tradnl"/>
              </w:rPr>
              <w:t>1</w:t>
            </w:r>
          </w:p>
        </w:tc>
        <w:tc>
          <w:tcPr>
            <w:tcW w:w="6253" w:type="dxa"/>
            <w:tcBorders>
              <w:top w:val="single" w:sz="4" w:space="0" w:color="auto"/>
              <w:bottom w:val="nil"/>
            </w:tcBorders>
          </w:tcPr>
          <w:p w14:paraId="57797B76" w14:textId="1F1B56E5" w:rsidR="00B16224" w:rsidRPr="00A32DE8" w:rsidRDefault="009732A8" w:rsidP="0096109C">
            <w:pPr>
              <w:spacing w:before="60" w:after="60"/>
              <w:ind w:left="144"/>
              <w:contextualSpacing/>
              <w:rPr>
                <w:sz w:val="18"/>
                <w:szCs w:val="18"/>
                <w:lang w:val="es-ES_tradnl"/>
              </w:rPr>
            </w:pPr>
            <w:r>
              <w:rPr>
                <w:sz w:val="18"/>
                <w:szCs w:val="18"/>
                <w:lang w:val="es-ES_tradnl"/>
              </w:rPr>
              <w:t xml:space="preserve">(i) </w:t>
            </w:r>
            <w:r w:rsidR="00B16224" w:rsidRPr="00A32DE8">
              <w:rPr>
                <w:sz w:val="18"/>
                <w:szCs w:val="18"/>
                <w:lang w:val="es-ES_tradnl"/>
              </w:rPr>
              <w:t>Cumplido.</w:t>
            </w:r>
          </w:p>
          <w:p w14:paraId="6A823ED2" w14:textId="2B9158D7" w:rsidR="00B16224" w:rsidRPr="00A32DE8" w:rsidRDefault="00B16224" w:rsidP="0096109C">
            <w:pPr>
              <w:spacing w:before="60" w:after="60"/>
              <w:ind w:left="144"/>
              <w:contextualSpacing/>
              <w:rPr>
                <w:sz w:val="18"/>
                <w:szCs w:val="18"/>
                <w:lang w:val="es-ES_tradnl"/>
              </w:rPr>
            </w:pPr>
            <w:r w:rsidRPr="00A32DE8">
              <w:rPr>
                <w:sz w:val="18"/>
                <w:szCs w:val="18"/>
                <w:lang w:val="es-ES_tradnl"/>
              </w:rPr>
              <w:t xml:space="preserve">Decreto Núm. 11/2020 del Ministerio de Hacienda. </w:t>
            </w:r>
          </w:p>
          <w:p w14:paraId="5EDBDDE5" w14:textId="77777777" w:rsidR="00B16224" w:rsidRPr="00A32DE8" w:rsidRDefault="00B16224" w:rsidP="00FD3E39">
            <w:pPr>
              <w:pStyle w:val="TableParagraph"/>
              <w:spacing w:before="60" w:after="60"/>
              <w:ind w:left="268" w:right="521"/>
              <w:contextualSpacing/>
              <w:rPr>
                <w:sz w:val="18"/>
                <w:szCs w:val="18"/>
                <w:lang w:val="es-ES_tradnl"/>
              </w:rPr>
            </w:pPr>
          </w:p>
        </w:tc>
      </w:tr>
      <w:tr w:rsidR="00B16224" w:rsidRPr="00F70C09" w14:paraId="6CEDD27B" w14:textId="77777777" w:rsidTr="6AAC1521">
        <w:trPr>
          <w:trHeight w:val="2687"/>
        </w:trPr>
        <w:tc>
          <w:tcPr>
            <w:tcW w:w="4838" w:type="dxa"/>
            <w:tcBorders>
              <w:top w:val="nil"/>
              <w:bottom w:val="single" w:sz="4" w:space="0" w:color="000000" w:themeColor="text1"/>
            </w:tcBorders>
          </w:tcPr>
          <w:p w14:paraId="4E2A1135" w14:textId="0496DF6F" w:rsidR="00B16224" w:rsidRPr="00A32DE8" w:rsidRDefault="00B16224" w:rsidP="00FD3E39">
            <w:pPr>
              <w:pStyle w:val="TableParagraph"/>
              <w:spacing w:before="60" w:after="60"/>
              <w:ind w:left="331" w:right="274"/>
              <w:contextualSpacing/>
              <w:rPr>
                <w:sz w:val="18"/>
                <w:szCs w:val="18"/>
                <w:lang w:val="es-ES_tradnl"/>
              </w:rPr>
            </w:pPr>
            <w:r w:rsidRPr="00A32DE8">
              <w:rPr>
                <w:sz w:val="18"/>
                <w:szCs w:val="18"/>
                <w:lang w:val="es-ES_tradnl"/>
              </w:rPr>
              <w:t>(ii) Firma de un protocolo de acuerdo entre el Congreso y el Ministerio de Hacienda con el objetivo de: (a) participar en la definición de una agenda de modernización del sistema presupuestario y de la calidad y eficiencia del gasto público; (b) realizar las acciones y planes necesarios para facilitar el acceso a la información; (c) apoyar en la realización de un diagnóstico del proceso presupuestario en Chile, incluyendo sus etapas fundamentales: formulación, discusión y aprobación, ejecución y evaluación; y (d) potenciar, con la aprobación de medidas administrativas o de carácter legal, las diversas instancias institucionales que intervienen en el proceso presupuestario</w:t>
            </w:r>
          </w:p>
        </w:tc>
        <w:tc>
          <w:tcPr>
            <w:tcW w:w="900" w:type="dxa"/>
            <w:tcBorders>
              <w:top w:val="nil"/>
              <w:bottom w:val="single" w:sz="4" w:space="0" w:color="000000" w:themeColor="text1"/>
            </w:tcBorders>
          </w:tcPr>
          <w:p w14:paraId="3EE30355" w14:textId="68D132F1" w:rsidR="00B16224" w:rsidRPr="00A32DE8" w:rsidRDefault="009732A8" w:rsidP="00FD3E39">
            <w:pPr>
              <w:pStyle w:val="TableParagraph"/>
              <w:spacing w:before="60" w:after="60"/>
              <w:contextualSpacing/>
              <w:jc w:val="center"/>
              <w:rPr>
                <w:sz w:val="18"/>
                <w:szCs w:val="18"/>
                <w:lang w:val="es-ES_tradnl"/>
              </w:rPr>
            </w:pPr>
            <w:r>
              <w:rPr>
                <w:sz w:val="18"/>
                <w:szCs w:val="18"/>
                <w:lang w:val="es-ES_tradnl"/>
              </w:rPr>
              <w:t>0</w:t>
            </w:r>
          </w:p>
        </w:tc>
        <w:tc>
          <w:tcPr>
            <w:tcW w:w="990" w:type="dxa"/>
            <w:tcBorders>
              <w:top w:val="nil"/>
              <w:bottom w:val="single" w:sz="4" w:space="0" w:color="000000" w:themeColor="text1"/>
            </w:tcBorders>
          </w:tcPr>
          <w:p w14:paraId="2603AEFE" w14:textId="4E7D16B2" w:rsidR="00B16224" w:rsidRPr="00A32DE8" w:rsidRDefault="009732A8" w:rsidP="00FD3E39">
            <w:pPr>
              <w:pStyle w:val="TableParagraph"/>
              <w:spacing w:before="60" w:after="60"/>
              <w:contextualSpacing/>
              <w:jc w:val="center"/>
              <w:rPr>
                <w:sz w:val="18"/>
                <w:szCs w:val="18"/>
                <w:lang w:val="es-ES_tradnl"/>
              </w:rPr>
            </w:pPr>
            <w:r>
              <w:rPr>
                <w:sz w:val="18"/>
                <w:szCs w:val="18"/>
                <w:lang w:val="es-ES_tradnl"/>
              </w:rPr>
              <w:t>1</w:t>
            </w:r>
          </w:p>
        </w:tc>
        <w:tc>
          <w:tcPr>
            <w:tcW w:w="6253" w:type="dxa"/>
            <w:tcBorders>
              <w:top w:val="nil"/>
              <w:bottom w:val="single" w:sz="4" w:space="0" w:color="000000" w:themeColor="text1"/>
            </w:tcBorders>
          </w:tcPr>
          <w:p w14:paraId="77FC08AD" w14:textId="77777777" w:rsidR="00B16224" w:rsidRPr="00A32DE8" w:rsidRDefault="00B16224" w:rsidP="0096109C">
            <w:pPr>
              <w:spacing w:before="60" w:after="60"/>
              <w:ind w:left="144"/>
              <w:contextualSpacing/>
              <w:rPr>
                <w:sz w:val="18"/>
                <w:szCs w:val="18"/>
                <w:lang w:val="es-ES_tradnl"/>
              </w:rPr>
            </w:pPr>
            <w:r w:rsidRPr="00A32DE8">
              <w:rPr>
                <w:sz w:val="18"/>
                <w:szCs w:val="18"/>
                <w:lang w:val="es-ES_tradnl"/>
              </w:rPr>
              <w:t>(ii) Cumplido.</w:t>
            </w:r>
          </w:p>
          <w:p w14:paraId="765D1B50" w14:textId="1AE5C7B7" w:rsidR="00B16224" w:rsidRPr="00A32DE8" w:rsidRDefault="00B16224" w:rsidP="0096109C">
            <w:pPr>
              <w:spacing w:before="60" w:after="60"/>
              <w:ind w:left="144"/>
              <w:contextualSpacing/>
              <w:rPr>
                <w:sz w:val="18"/>
                <w:szCs w:val="18"/>
                <w:lang w:val="es-ES_tradnl"/>
              </w:rPr>
            </w:pPr>
            <w:r w:rsidRPr="00A32DE8">
              <w:rPr>
                <w:sz w:val="18"/>
                <w:szCs w:val="18"/>
                <w:lang w:val="es-ES_tradnl"/>
              </w:rPr>
              <w:t>Protocolo de Acuerdo entre Ministerio de Hacienda, el Senado y la Cámara de Diputados firmado.</w:t>
            </w:r>
          </w:p>
        </w:tc>
      </w:tr>
      <w:tr w:rsidR="003706D3" w:rsidRPr="00897FAD" w14:paraId="4FBAA46B" w14:textId="77777777" w:rsidTr="6AAC1521">
        <w:trPr>
          <w:trHeight w:val="527"/>
        </w:trPr>
        <w:tc>
          <w:tcPr>
            <w:tcW w:w="4838" w:type="dxa"/>
            <w:tcBorders>
              <w:bottom w:val="nil"/>
            </w:tcBorders>
          </w:tcPr>
          <w:p w14:paraId="4103A14A" w14:textId="2B0660BE" w:rsidR="003706D3" w:rsidRPr="00633D36" w:rsidRDefault="003706D3" w:rsidP="00FD3E39">
            <w:pPr>
              <w:pStyle w:val="TableParagraph"/>
              <w:spacing w:before="60" w:after="60"/>
              <w:ind w:left="159" w:right="269"/>
              <w:contextualSpacing/>
              <w:rPr>
                <w:sz w:val="18"/>
                <w:szCs w:val="18"/>
                <w:lang w:val="es-ES_tradnl"/>
              </w:rPr>
            </w:pPr>
            <w:r w:rsidRPr="00633D36">
              <w:rPr>
                <w:sz w:val="18"/>
                <w:szCs w:val="18"/>
                <w:lang w:val="es-ES_tradnl"/>
              </w:rPr>
              <w:t xml:space="preserve">7.1.1. Evaluaciones de Gasto Público (“spending reviews”) institucionalizadas, </w:t>
            </w:r>
            <w:r w:rsidR="00F664D0" w:rsidRPr="00633D36">
              <w:rPr>
                <w:sz w:val="18"/>
                <w:szCs w:val="18"/>
                <w:lang w:val="es-ES_tradnl"/>
              </w:rPr>
              <w:t>a través de</w:t>
            </w:r>
            <w:r w:rsidRPr="00633D36">
              <w:rPr>
                <w:sz w:val="18"/>
                <w:szCs w:val="18"/>
                <w:lang w:val="es-ES_tradnl"/>
              </w:rPr>
              <w:t xml:space="preserve">: </w:t>
            </w:r>
          </w:p>
        </w:tc>
        <w:tc>
          <w:tcPr>
            <w:tcW w:w="900" w:type="dxa"/>
            <w:tcBorders>
              <w:bottom w:val="nil"/>
            </w:tcBorders>
          </w:tcPr>
          <w:p w14:paraId="5A2578E3" w14:textId="5497D1D7" w:rsidR="00FD7E1A" w:rsidRPr="00633D36" w:rsidRDefault="00FD7E1A" w:rsidP="00FD3E39">
            <w:pPr>
              <w:pStyle w:val="TableParagraph"/>
              <w:spacing w:before="60" w:after="60"/>
              <w:contextualSpacing/>
              <w:jc w:val="center"/>
              <w:rPr>
                <w:sz w:val="18"/>
                <w:szCs w:val="18"/>
                <w:lang w:val="es-ES_tradnl"/>
              </w:rPr>
            </w:pPr>
          </w:p>
        </w:tc>
        <w:tc>
          <w:tcPr>
            <w:tcW w:w="990" w:type="dxa"/>
            <w:tcBorders>
              <w:bottom w:val="nil"/>
            </w:tcBorders>
          </w:tcPr>
          <w:p w14:paraId="192A9C53" w14:textId="5BC09B5A" w:rsidR="00FD7E1A" w:rsidRPr="00633D36" w:rsidRDefault="00FD7E1A" w:rsidP="00FD3E39">
            <w:pPr>
              <w:pStyle w:val="TableParagraph"/>
              <w:spacing w:before="60" w:after="60"/>
              <w:contextualSpacing/>
              <w:jc w:val="center"/>
              <w:rPr>
                <w:sz w:val="18"/>
                <w:szCs w:val="18"/>
                <w:lang w:val="es-ES_tradnl"/>
              </w:rPr>
            </w:pPr>
          </w:p>
        </w:tc>
        <w:tc>
          <w:tcPr>
            <w:tcW w:w="6253" w:type="dxa"/>
            <w:tcBorders>
              <w:bottom w:val="nil"/>
            </w:tcBorders>
          </w:tcPr>
          <w:p w14:paraId="6ABC2A96" w14:textId="17747273" w:rsidR="003706D3" w:rsidRPr="00633D36" w:rsidRDefault="003706D3" w:rsidP="00FD3E39">
            <w:pPr>
              <w:spacing w:before="60" w:after="60"/>
              <w:ind w:left="268"/>
              <w:contextualSpacing/>
              <w:jc w:val="both"/>
              <w:rPr>
                <w:sz w:val="18"/>
                <w:szCs w:val="18"/>
                <w:lang w:val="es-ES_tradnl"/>
              </w:rPr>
            </w:pPr>
          </w:p>
        </w:tc>
      </w:tr>
      <w:tr w:rsidR="009732A8" w:rsidRPr="00F70C09" w14:paraId="64283E1D" w14:textId="77777777" w:rsidTr="6AAC1521">
        <w:trPr>
          <w:trHeight w:val="1151"/>
        </w:trPr>
        <w:tc>
          <w:tcPr>
            <w:tcW w:w="4838" w:type="dxa"/>
            <w:tcBorders>
              <w:top w:val="nil"/>
              <w:bottom w:val="nil"/>
            </w:tcBorders>
          </w:tcPr>
          <w:p w14:paraId="7A527491" w14:textId="66086D92" w:rsidR="009732A8" w:rsidRPr="00A25181" w:rsidDel="009732A8" w:rsidRDefault="009732A8" w:rsidP="00FD3E39">
            <w:pPr>
              <w:spacing w:before="60" w:after="60"/>
              <w:ind w:left="159"/>
              <w:contextualSpacing/>
              <w:rPr>
                <w:sz w:val="18"/>
                <w:szCs w:val="18"/>
                <w:lang w:val="es-ES_tradnl"/>
              </w:rPr>
            </w:pPr>
            <w:r w:rsidRPr="00633D36">
              <w:rPr>
                <w:sz w:val="18"/>
                <w:szCs w:val="18"/>
                <w:lang w:val="es-ES_tradnl"/>
              </w:rPr>
              <w:t>(i) Establecimiento de</w:t>
            </w:r>
            <w:r w:rsidR="00F664D0" w:rsidRPr="00633D36">
              <w:rPr>
                <w:sz w:val="18"/>
                <w:szCs w:val="18"/>
                <w:lang w:val="es-ES_tradnl"/>
              </w:rPr>
              <w:t xml:space="preserve"> </w:t>
            </w:r>
            <w:r w:rsidR="00633D36">
              <w:rPr>
                <w:sz w:val="18"/>
                <w:szCs w:val="18"/>
                <w:lang w:val="es-ES_tradnl"/>
              </w:rPr>
              <w:t>una</w:t>
            </w:r>
            <w:r w:rsidR="00F664D0" w:rsidRPr="00633D36">
              <w:rPr>
                <w:sz w:val="18"/>
                <w:szCs w:val="18"/>
                <w:lang w:val="es-ES_tradnl"/>
              </w:rPr>
              <w:t xml:space="preserve"> Unidad</w:t>
            </w:r>
            <w:r w:rsidRPr="00633D36">
              <w:rPr>
                <w:sz w:val="18"/>
                <w:szCs w:val="18"/>
                <w:lang w:val="es-ES_tradnl"/>
              </w:rPr>
              <w:t xml:space="preserve"> de Revisión del Gasto Público </w:t>
            </w:r>
            <w:r w:rsidR="00F664D0" w:rsidRPr="00633D36">
              <w:rPr>
                <w:sz w:val="18"/>
                <w:szCs w:val="18"/>
                <w:lang w:val="es-ES_tradnl"/>
              </w:rPr>
              <w:t>al interior de</w:t>
            </w:r>
            <w:r w:rsidRPr="00633D36">
              <w:rPr>
                <w:sz w:val="18"/>
                <w:szCs w:val="18"/>
                <w:lang w:val="es-ES_tradnl"/>
              </w:rPr>
              <w:t xml:space="preserve"> la DIPRES, incluyendo dotación adecuada de personal y desarrollo de</w:t>
            </w:r>
            <w:r w:rsidRPr="00633D36">
              <w:rPr>
                <w:rFonts w:eastAsia="Calibri"/>
                <w:sz w:val="18"/>
                <w:szCs w:val="18"/>
                <w:lang w:val="es-ES_tradnl"/>
              </w:rPr>
              <w:t xml:space="preserve"> </w:t>
            </w:r>
            <w:r w:rsidRPr="00633D36">
              <w:rPr>
                <w:sz w:val="18"/>
                <w:szCs w:val="18"/>
                <w:lang w:val="es-ES_tradnl"/>
              </w:rPr>
              <w:t>un marco y cronograma de trabajo, que incluya la secuencia de las revisiones de gasto</w:t>
            </w:r>
            <w:r w:rsidRPr="00633D36">
              <w:rPr>
                <w:i/>
                <w:iCs/>
                <w:sz w:val="18"/>
                <w:szCs w:val="18"/>
                <w:lang w:val="es-ES_tradnl"/>
              </w:rPr>
              <w:t xml:space="preserve">. </w:t>
            </w:r>
          </w:p>
        </w:tc>
        <w:tc>
          <w:tcPr>
            <w:tcW w:w="900" w:type="dxa"/>
            <w:tcBorders>
              <w:top w:val="nil"/>
              <w:bottom w:val="nil"/>
            </w:tcBorders>
          </w:tcPr>
          <w:p w14:paraId="484ECF71" w14:textId="57C60CE8" w:rsidR="009732A8" w:rsidRPr="00B7736B" w:rsidRDefault="009732A8" w:rsidP="00FD3E39">
            <w:pPr>
              <w:spacing w:before="60" w:after="60"/>
              <w:contextualSpacing/>
              <w:jc w:val="center"/>
              <w:rPr>
                <w:sz w:val="18"/>
                <w:szCs w:val="18"/>
                <w:lang w:val="es-ES_tradnl"/>
              </w:rPr>
            </w:pPr>
            <w:r w:rsidRPr="00A25181">
              <w:rPr>
                <w:sz w:val="18"/>
                <w:szCs w:val="18"/>
                <w:lang w:val="es-ES_tradnl"/>
              </w:rPr>
              <w:t>0</w:t>
            </w:r>
          </w:p>
        </w:tc>
        <w:tc>
          <w:tcPr>
            <w:tcW w:w="990" w:type="dxa"/>
            <w:tcBorders>
              <w:top w:val="nil"/>
              <w:bottom w:val="nil"/>
            </w:tcBorders>
          </w:tcPr>
          <w:p w14:paraId="12790A21" w14:textId="63EA0F7A" w:rsidR="009732A8" w:rsidRPr="00B7736B" w:rsidRDefault="009732A8" w:rsidP="00FD3E39">
            <w:pPr>
              <w:spacing w:before="60" w:after="60"/>
              <w:contextualSpacing/>
              <w:jc w:val="center"/>
              <w:rPr>
                <w:sz w:val="18"/>
                <w:szCs w:val="18"/>
                <w:lang w:val="es-ES_tradnl"/>
              </w:rPr>
            </w:pPr>
            <w:r w:rsidRPr="00B7736B">
              <w:rPr>
                <w:sz w:val="18"/>
                <w:szCs w:val="18"/>
                <w:lang w:val="es-ES_tradnl"/>
              </w:rPr>
              <w:t>1</w:t>
            </w:r>
          </w:p>
        </w:tc>
        <w:tc>
          <w:tcPr>
            <w:tcW w:w="6253" w:type="dxa"/>
            <w:tcBorders>
              <w:top w:val="nil"/>
              <w:bottom w:val="nil"/>
            </w:tcBorders>
          </w:tcPr>
          <w:p w14:paraId="4EE39323" w14:textId="55D68170" w:rsidR="009732A8" w:rsidRPr="00633D36" w:rsidRDefault="00EA6679" w:rsidP="0096109C">
            <w:pPr>
              <w:spacing w:before="60" w:after="60"/>
              <w:ind w:left="144"/>
              <w:contextualSpacing/>
              <w:rPr>
                <w:sz w:val="18"/>
                <w:szCs w:val="18"/>
                <w:lang w:val="es-ES_tradnl"/>
              </w:rPr>
            </w:pPr>
            <w:r w:rsidRPr="00633D36">
              <w:rPr>
                <w:sz w:val="18"/>
                <w:szCs w:val="18"/>
                <w:lang w:val="es-ES_tradnl"/>
              </w:rPr>
              <w:t>Cumplido</w:t>
            </w:r>
            <w:r w:rsidR="009732A8" w:rsidRPr="00633D36">
              <w:rPr>
                <w:sz w:val="18"/>
                <w:szCs w:val="18"/>
                <w:lang w:val="es-ES_tradnl"/>
              </w:rPr>
              <w:t>.</w:t>
            </w:r>
          </w:p>
          <w:p w14:paraId="488652EE" w14:textId="53799BEF" w:rsidR="009732A8" w:rsidRPr="00633D36" w:rsidRDefault="009732A8" w:rsidP="0096109C">
            <w:pPr>
              <w:spacing w:before="60" w:after="60"/>
              <w:ind w:left="144"/>
              <w:contextualSpacing/>
              <w:rPr>
                <w:sz w:val="18"/>
                <w:szCs w:val="18"/>
                <w:lang w:val="es-ES_tradnl"/>
              </w:rPr>
            </w:pPr>
            <w:r w:rsidRPr="00633D36">
              <w:rPr>
                <w:sz w:val="18"/>
                <w:szCs w:val="18"/>
                <w:lang w:val="es-ES_tradnl"/>
              </w:rPr>
              <w:t xml:space="preserve">Medio de Verificación: (i) </w:t>
            </w:r>
            <w:r w:rsidR="004E4CA5" w:rsidRPr="00633D36">
              <w:rPr>
                <w:sz w:val="18"/>
                <w:szCs w:val="18"/>
                <w:lang w:val="es-ES_tradnl"/>
              </w:rPr>
              <w:t xml:space="preserve">Informe técnico de DIPRES sobre (a) el funcionamiento del Subdepartamento </w:t>
            </w:r>
            <w:r w:rsidRPr="00633D36">
              <w:rPr>
                <w:sz w:val="18"/>
                <w:szCs w:val="18"/>
                <w:lang w:val="es-ES_tradnl"/>
              </w:rPr>
              <w:t>de Revisión del Gasto Público</w:t>
            </w:r>
            <w:r w:rsidRPr="00633D36">
              <w:rPr>
                <w:rFonts w:eastAsiaTheme="minorEastAsia"/>
                <w:sz w:val="18"/>
                <w:szCs w:val="18"/>
                <w:lang w:val="es-ES_tradnl"/>
              </w:rPr>
              <w:t xml:space="preserve"> </w:t>
            </w:r>
            <w:r w:rsidR="004E4CA5" w:rsidRPr="00633D36">
              <w:rPr>
                <w:rFonts w:eastAsiaTheme="minorEastAsia"/>
                <w:sz w:val="18"/>
                <w:szCs w:val="18"/>
                <w:lang w:val="es-ES_tradnl"/>
              </w:rPr>
              <w:t>y (b)</w:t>
            </w:r>
            <w:r w:rsidR="00F70C09">
              <w:rPr>
                <w:rFonts w:eastAsiaTheme="minorEastAsia"/>
                <w:sz w:val="18"/>
                <w:szCs w:val="18"/>
                <w:lang w:val="es-ES_tradnl"/>
              </w:rPr>
              <w:t> </w:t>
            </w:r>
            <w:r w:rsidR="004E4CA5" w:rsidRPr="00633D36">
              <w:rPr>
                <w:rFonts w:eastAsiaTheme="minorEastAsia"/>
                <w:sz w:val="18"/>
                <w:szCs w:val="18"/>
                <w:lang w:val="es-ES_tradnl"/>
              </w:rPr>
              <w:t>propuesta de trabajo de revisión del gasto público en 2020</w:t>
            </w:r>
            <w:r w:rsidRPr="00633D36">
              <w:rPr>
                <w:sz w:val="18"/>
                <w:szCs w:val="18"/>
                <w:lang w:val="es-ES_tradnl"/>
              </w:rPr>
              <w:t>.</w:t>
            </w:r>
          </w:p>
        </w:tc>
      </w:tr>
      <w:tr w:rsidR="00563885" w:rsidRPr="00F70C09" w14:paraId="3D3123AE" w14:textId="77777777" w:rsidTr="6AAC1521">
        <w:trPr>
          <w:trHeight w:val="1151"/>
        </w:trPr>
        <w:tc>
          <w:tcPr>
            <w:tcW w:w="4838" w:type="dxa"/>
            <w:tcBorders>
              <w:top w:val="nil"/>
              <w:bottom w:val="single" w:sz="4" w:space="0" w:color="000000" w:themeColor="text1"/>
            </w:tcBorders>
          </w:tcPr>
          <w:p w14:paraId="672C6C9A" w14:textId="77777777" w:rsidR="00563885" w:rsidRPr="007C4A57" w:rsidRDefault="00563885" w:rsidP="00FD3E39">
            <w:pPr>
              <w:pStyle w:val="TableParagraph"/>
              <w:spacing w:before="60" w:after="60"/>
              <w:ind w:left="159" w:right="269"/>
              <w:contextualSpacing/>
              <w:rPr>
                <w:sz w:val="18"/>
                <w:szCs w:val="18"/>
                <w:lang w:val="es-ES_tradnl"/>
              </w:rPr>
            </w:pPr>
            <w:r w:rsidRPr="007C4A57">
              <w:rPr>
                <w:sz w:val="18"/>
                <w:szCs w:val="18"/>
                <w:lang w:val="es-ES_tradnl"/>
              </w:rPr>
              <w:t>(ii) Desarrollo del primer piloto de revisión de gasto, enfocado en el subtítulo 22 (bienes y servicios de consumo) de la Ley de Presupuestos del Sector Público y publicación de los resultados.</w:t>
            </w:r>
          </w:p>
          <w:p w14:paraId="09A069E3" w14:textId="77777777" w:rsidR="00563885" w:rsidRPr="007C4A57" w:rsidDel="009732A8" w:rsidRDefault="00563885" w:rsidP="00FD3E39">
            <w:pPr>
              <w:spacing w:before="60" w:after="60"/>
              <w:ind w:left="159"/>
              <w:contextualSpacing/>
              <w:rPr>
                <w:sz w:val="18"/>
                <w:szCs w:val="18"/>
                <w:lang w:val="es-ES_tradnl"/>
              </w:rPr>
            </w:pPr>
          </w:p>
        </w:tc>
        <w:tc>
          <w:tcPr>
            <w:tcW w:w="900" w:type="dxa"/>
            <w:tcBorders>
              <w:top w:val="nil"/>
              <w:bottom w:val="single" w:sz="4" w:space="0" w:color="000000" w:themeColor="text1"/>
            </w:tcBorders>
          </w:tcPr>
          <w:p w14:paraId="6A0AD6CB" w14:textId="6B21E2E2" w:rsidR="00563885" w:rsidRDefault="00563885" w:rsidP="00FD3E39">
            <w:pPr>
              <w:spacing w:before="60" w:after="60"/>
              <w:contextualSpacing/>
              <w:jc w:val="center"/>
              <w:rPr>
                <w:sz w:val="18"/>
                <w:szCs w:val="18"/>
                <w:lang w:val="es-ES_tradnl"/>
              </w:rPr>
            </w:pPr>
            <w:r>
              <w:rPr>
                <w:sz w:val="18"/>
                <w:szCs w:val="18"/>
                <w:lang w:val="es-ES_tradnl"/>
              </w:rPr>
              <w:t>0</w:t>
            </w:r>
          </w:p>
        </w:tc>
        <w:tc>
          <w:tcPr>
            <w:tcW w:w="990" w:type="dxa"/>
            <w:tcBorders>
              <w:top w:val="nil"/>
              <w:bottom w:val="single" w:sz="4" w:space="0" w:color="000000" w:themeColor="text1"/>
            </w:tcBorders>
          </w:tcPr>
          <w:p w14:paraId="3CDF25D4" w14:textId="2AC920C3" w:rsidR="00563885" w:rsidRPr="007C4A57" w:rsidRDefault="00563885" w:rsidP="00FD3E39">
            <w:pPr>
              <w:spacing w:before="60" w:after="60"/>
              <w:contextualSpacing/>
              <w:jc w:val="center"/>
              <w:rPr>
                <w:sz w:val="18"/>
                <w:szCs w:val="18"/>
                <w:lang w:val="es-ES_tradnl"/>
              </w:rPr>
            </w:pPr>
            <w:r>
              <w:rPr>
                <w:sz w:val="18"/>
                <w:szCs w:val="18"/>
                <w:lang w:val="es-ES_tradnl"/>
              </w:rPr>
              <w:t>1</w:t>
            </w:r>
          </w:p>
        </w:tc>
        <w:tc>
          <w:tcPr>
            <w:tcW w:w="6253" w:type="dxa"/>
            <w:tcBorders>
              <w:top w:val="nil"/>
              <w:bottom w:val="single" w:sz="4" w:space="0" w:color="000000" w:themeColor="text1"/>
            </w:tcBorders>
          </w:tcPr>
          <w:p w14:paraId="67C1E112" w14:textId="5A8F2547" w:rsidR="00563885" w:rsidRPr="007C4A57" w:rsidRDefault="00F6400E" w:rsidP="0096109C">
            <w:pPr>
              <w:spacing w:before="60" w:after="60"/>
              <w:ind w:left="144"/>
              <w:contextualSpacing/>
              <w:rPr>
                <w:sz w:val="18"/>
                <w:szCs w:val="18"/>
                <w:lang w:val="es-ES_tradnl"/>
              </w:rPr>
            </w:pPr>
            <w:r>
              <w:rPr>
                <w:sz w:val="18"/>
                <w:szCs w:val="18"/>
                <w:lang w:val="es-ES_tradnl"/>
              </w:rPr>
              <w:t>Cumplido</w:t>
            </w:r>
            <w:r w:rsidR="00563885" w:rsidRPr="007C4A57">
              <w:rPr>
                <w:sz w:val="18"/>
                <w:szCs w:val="18"/>
                <w:lang w:val="es-ES_tradnl"/>
              </w:rPr>
              <w:t>.</w:t>
            </w:r>
          </w:p>
          <w:p w14:paraId="57BB0810" w14:textId="7B600071" w:rsidR="00563885" w:rsidRDefault="00563885" w:rsidP="0096109C">
            <w:pPr>
              <w:spacing w:before="60" w:after="60"/>
              <w:ind w:left="144"/>
              <w:contextualSpacing/>
              <w:rPr>
                <w:sz w:val="18"/>
                <w:szCs w:val="18"/>
                <w:lang w:val="es-ES_tradnl"/>
              </w:rPr>
            </w:pPr>
            <w:r w:rsidRPr="007C4A57">
              <w:rPr>
                <w:sz w:val="18"/>
                <w:szCs w:val="18"/>
                <w:lang w:val="es-ES_tradnl"/>
              </w:rPr>
              <w:t xml:space="preserve">Medio de Verificación: (ii) </w:t>
            </w:r>
            <w:r w:rsidR="004E4CA5">
              <w:rPr>
                <w:sz w:val="18"/>
                <w:szCs w:val="18"/>
                <w:lang w:val="es-ES_tradnl"/>
              </w:rPr>
              <w:t>Informe técnico</w:t>
            </w:r>
            <w:r>
              <w:rPr>
                <w:sz w:val="18"/>
                <w:szCs w:val="18"/>
                <w:lang w:val="es-ES_tradnl"/>
              </w:rPr>
              <w:t xml:space="preserve"> de</w:t>
            </w:r>
            <w:r w:rsidRPr="007C4A57">
              <w:rPr>
                <w:sz w:val="18"/>
                <w:szCs w:val="18"/>
                <w:lang w:val="es-ES_tradnl"/>
              </w:rPr>
              <w:t xml:space="preserve"> DIPRES que </w:t>
            </w:r>
            <w:r w:rsidR="004E4CA5">
              <w:rPr>
                <w:sz w:val="18"/>
                <w:szCs w:val="18"/>
                <w:lang w:val="es-ES_tradnl"/>
              </w:rPr>
              <w:t>presente</w:t>
            </w:r>
            <w:r w:rsidRPr="007C4A57">
              <w:rPr>
                <w:sz w:val="18"/>
                <w:szCs w:val="18"/>
                <w:lang w:val="es-ES_tradnl"/>
              </w:rPr>
              <w:t xml:space="preserve"> los resultados de</w:t>
            </w:r>
            <w:r w:rsidR="004E4CA5">
              <w:rPr>
                <w:sz w:val="18"/>
                <w:szCs w:val="18"/>
                <w:lang w:val="es-ES_tradnl"/>
              </w:rPr>
              <w:t xml:space="preserve"> una</w:t>
            </w:r>
            <w:r w:rsidRPr="007C4A57">
              <w:rPr>
                <w:sz w:val="18"/>
                <w:szCs w:val="18"/>
                <w:lang w:val="es-ES_tradnl"/>
              </w:rPr>
              <w:t xml:space="preserve"> primer</w:t>
            </w:r>
            <w:r w:rsidR="004E4CA5">
              <w:rPr>
                <w:sz w:val="18"/>
                <w:szCs w:val="18"/>
                <w:lang w:val="es-ES_tradnl"/>
              </w:rPr>
              <w:t>a</w:t>
            </w:r>
            <w:r w:rsidRPr="007C4A57">
              <w:rPr>
                <w:sz w:val="18"/>
                <w:szCs w:val="18"/>
                <w:lang w:val="es-ES_tradnl"/>
              </w:rPr>
              <w:t xml:space="preserve"> revisión </w:t>
            </w:r>
            <w:r w:rsidR="004E4CA5">
              <w:rPr>
                <w:sz w:val="18"/>
                <w:szCs w:val="18"/>
                <w:lang w:val="es-ES_tradnl"/>
              </w:rPr>
              <w:t xml:space="preserve">detallada </w:t>
            </w:r>
            <w:r w:rsidRPr="007C4A57">
              <w:rPr>
                <w:sz w:val="18"/>
                <w:szCs w:val="18"/>
                <w:lang w:val="es-ES_tradnl"/>
              </w:rPr>
              <w:t xml:space="preserve">del gasto en </w:t>
            </w:r>
            <w:r w:rsidR="004E4CA5" w:rsidRPr="007C4A57">
              <w:rPr>
                <w:sz w:val="18"/>
                <w:szCs w:val="18"/>
                <w:lang w:val="es-ES_tradnl"/>
              </w:rPr>
              <w:t xml:space="preserve">bienes y servicios de consumo </w:t>
            </w:r>
            <w:r w:rsidR="004E4CA5">
              <w:rPr>
                <w:sz w:val="18"/>
                <w:szCs w:val="18"/>
                <w:lang w:val="es-ES_tradnl"/>
              </w:rPr>
              <w:t>del Sector Público (</w:t>
            </w:r>
            <w:r w:rsidRPr="007C4A57">
              <w:rPr>
                <w:sz w:val="18"/>
                <w:szCs w:val="18"/>
                <w:lang w:val="es-ES_tradnl"/>
              </w:rPr>
              <w:t>subtitulo 22 de</w:t>
            </w:r>
            <w:r w:rsidR="004E4CA5">
              <w:rPr>
                <w:sz w:val="18"/>
                <w:szCs w:val="18"/>
                <w:lang w:val="es-ES_tradnl"/>
              </w:rPr>
              <w:t xml:space="preserve"> </w:t>
            </w:r>
            <w:r w:rsidRPr="007C4A57">
              <w:rPr>
                <w:sz w:val="18"/>
                <w:szCs w:val="18"/>
                <w:lang w:val="es-ES_tradnl"/>
              </w:rPr>
              <w:t>l</w:t>
            </w:r>
            <w:r w:rsidR="004E4CA5">
              <w:rPr>
                <w:sz w:val="18"/>
                <w:szCs w:val="18"/>
                <w:lang w:val="es-ES_tradnl"/>
              </w:rPr>
              <w:t>a Ley de P</w:t>
            </w:r>
            <w:r w:rsidRPr="007C4A57">
              <w:rPr>
                <w:sz w:val="18"/>
                <w:szCs w:val="18"/>
                <w:lang w:val="es-ES_tradnl"/>
              </w:rPr>
              <w:t>resupuesto</w:t>
            </w:r>
            <w:r w:rsidR="004E4CA5">
              <w:rPr>
                <w:sz w:val="18"/>
                <w:szCs w:val="18"/>
                <w:lang w:val="es-ES_tradnl"/>
              </w:rPr>
              <w:t>s</w:t>
            </w:r>
            <w:r w:rsidRPr="007C4A57">
              <w:rPr>
                <w:sz w:val="18"/>
                <w:szCs w:val="18"/>
                <w:lang w:val="es-ES_tradnl"/>
              </w:rPr>
              <w:t>).</w:t>
            </w:r>
          </w:p>
        </w:tc>
      </w:tr>
      <w:tr w:rsidR="003706D3" w:rsidRPr="00F70C09" w14:paraId="0920B6E9" w14:textId="77777777" w:rsidTr="007F7FF9">
        <w:trPr>
          <w:trHeight w:val="707"/>
        </w:trPr>
        <w:tc>
          <w:tcPr>
            <w:tcW w:w="4838" w:type="dxa"/>
            <w:tcBorders>
              <w:bottom w:val="nil"/>
            </w:tcBorders>
          </w:tcPr>
          <w:p w14:paraId="159DA824" w14:textId="751709D3" w:rsidR="003706D3" w:rsidRPr="00747B87" w:rsidRDefault="003706D3" w:rsidP="00FD3E39">
            <w:pPr>
              <w:widowControl/>
              <w:spacing w:before="60" w:after="60"/>
              <w:ind w:left="252"/>
              <w:contextualSpacing/>
              <w:rPr>
                <w:sz w:val="18"/>
                <w:szCs w:val="18"/>
                <w:lang w:val="es-ES_tradnl"/>
              </w:rPr>
            </w:pPr>
            <w:r>
              <w:rPr>
                <w:sz w:val="18"/>
                <w:szCs w:val="18"/>
                <w:lang w:val="es-ES_tradnl"/>
              </w:rPr>
              <w:t>7</w:t>
            </w:r>
            <w:r w:rsidRPr="00C87597">
              <w:rPr>
                <w:sz w:val="18"/>
                <w:szCs w:val="18"/>
                <w:lang w:val="es-ES_tradnl"/>
              </w:rPr>
              <w:t>.1.</w:t>
            </w:r>
            <w:r>
              <w:rPr>
                <w:sz w:val="18"/>
                <w:szCs w:val="18"/>
                <w:lang w:val="es-ES_tradnl"/>
              </w:rPr>
              <w:t>2</w:t>
            </w:r>
            <w:r w:rsidRPr="00C87597">
              <w:rPr>
                <w:sz w:val="18"/>
                <w:szCs w:val="18"/>
                <w:lang w:val="es-ES_tradnl"/>
              </w:rPr>
              <w:t xml:space="preserve">. </w:t>
            </w:r>
            <w:r w:rsidRPr="00747B87">
              <w:rPr>
                <w:sz w:val="18"/>
                <w:szCs w:val="18"/>
                <w:lang w:val="es-ES_tradnl"/>
              </w:rPr>
              <w:t>Sistemas y metodologías de evaluación de gasto público y su coordinación institucional fortalecidas,</w:t>
            </w:r>
            <w:r w:rsidRPr="00C87597">
              <w:rPr>
                <w:sz w:val="18"/>
                <w:szCs w:val="18"/>
                <w:lang w:val="es-ES_tradnl"/>
              </w:rPr>
              <w:t xml:space="preserve"> incluyendo:</w:t>
            </w:r>
          </w:p>
        </w:tc>
        <w:tc>
          <w:tcPr>
            <w:tcW w:w="900" w:type="dxa"/>
            <w:tcBorders>
              <w:bottom w:val="nil"/>
            </w:tcBorders>
          </w:tcPr>
          <w:p w14:paraId="5C48299E" w14:textId="1F2D20F9" w:rsidR="003706D3" w:rsidRPr="00747B87" w:rsidRDefault="003706D3" w:rsidP="00FD3E39">
            <w:pPr>
              <w:pStyle w:val="TableParagraph"/>
              <w:spacing w:before="60" w:after="60"/>
              <w:contextualSpacing/>
              <w:jc w:val="center"/>
              <w:rPr>
                <w:sz w:val="18"/>
                <w:szCs w:val="18"/>
                <w:lang w:val="es-ES_tradnl"/>
              </w:rPr>
            </w:pPr>
          </w:p>
        </w:tc>
        <w:tc>
          <w:tcPr>
            <w:tcW w:w="990" w:type="dxa"/>
            <w:tcBorders>
              <w:bottom w:val="nil"/>
            </w:tcBorders>
          </w:tcPr>
          <w:p w14:paraId="5771899C" w14:textId="6EE84E84" w:rsidR="003706D3" w:rsidRPr="00747B87" w:rsidRDefault="003706D3" w:rsidP="00FD3E39">
            <w:pPr>
              <w:pStyle w:val="TableParagraph"/>
              <w:spacing w:before="60" w:after="60"/>
              <w:contextualSpacing/>
              <w:jc w:val="center"/>
              <w:rPr>
                <w:sz w:val="18"/>
                <w:szCs w:val="18"/>
                <w:lang w:val="es-ES_tradnl"/>
              </w:rPr>
            </w:pPr>
          </w:p>
        </w:tc>
        <w:tc>
          <w:tcPr>
            <w:tcW w:w="6253" w:type="dxa"/>
            <w:tcBorders>
              <w:bottom w:val="nil"/>
            </w:tcBorders>
          </w:tcPr>
          <w:p w14:paraId="39B8FF23" w14:textId="13385FE0" w:rsidR="003706D3" w:rsidRPr="007C4A57" w:rsidRDefault="003706D3" w:rsidP="00FD3E39">
            <w:pPr>
              <w:spacing w:before="60" w:after="60"/>
              <w:ind w:left="268"/>
              <w:contextualSpacing/>
              <w:jc w:val="both"/>
              <w:rPr>
                <w:sz w:val="18"/>
                <w:szCs w:val="18"/>
                <w:lang w:val="es-ES_tradnl"/>
              </w:rPr>
            </w:pPr>
          </w:p>
        </w:tc>
      </w:tr>
      <w:tr w:rsidR="009732A8" w:rsidRPr="00F70C09" w14:paraId="0B46A5D3" w14:textId="77777777" w:rsidTr="007F7FF9">
        <w:trPr>
          <w:trHeight w:val="1517"/>
        </w:trPr>
        <w:tc>
          <w:tcPr>
            <w:tcW w:w="4838" w:type="dxa"/>
            <w:tcBorders>
              <w:top w:val="nil"/>
              <w:bottom w:val="single" w:sz="4" w:space="0" w:color="auto"/>
            </w:tcBorders>
          </w:tcPr>
          <w:p w14:paraId="5F06D105" w14:textId="20B1BC12" w:rsidR="009732A8" w:rsidRPr="00C87597" w:rsidDel="009732A8" w:rsidRDefault="009732A8" w:rsidP="00FD3E39">
            <w:pPr>
              <w:widowControl/>
              <w:spacing w:before="60" w:after="60"/>
              <w:ind w:left="252"/>
              <w:contextualSpacing/>
              <w:rPr>
                <w:sz w:val="18"/>
                <w:szCs w:val="18"/>
                <w:lang w:val="es-ES_tradnl"/>
              </w:rPr>
            </w:pPr>
            <w:r w:rsidRPr="00747B87">
              <w:rPr>
                <w:sz w:val="18"/>
                <w:szCs w:val="18"/>
                <w:lang w:val="es-ES_tradnl"/>
              </w:rPr>
              <w:t xml:space="preserve">(i) Formalización del mecanismo de coordinación entre los programas no sociales </w:t>
            </w:r>
            <w:r w:rsidR="00F664D0">
              <w:rPr>
                <w:sz w:val="18"/>
                <w:szCs w:val="18"/>
                <w:lang w:val="es-ES_tradnl"/>
              </w:rPr>
              <w:t xml:space="preserve">que evalúa </w:t>
            </w:r>
            <w:r w:rsidRPr="00747B87">
              <w:rPr>
                <w:sz w:val="18"/>
                <w:szCs w:val="18"/>
                <w:lang w:val="es-ES_tradnl"/>
              </w:rPr>
              <w:t xml:space="preserve">la DIPRES y los programas sociales </w:t>
            </w:r>
            <w:r w:rsidR="00F664D0">
              <w:rPr>
                <w:sz w:val="18"/>
                <w:szCs w:val="18"/>
                <w:lang w:val="es-ES_tradnl"/>
              </w:rPr>
              <w:t>que evalúa</w:t>
            </w:r>
            <w:r w:rsidRPr="00747B87">
              <w:rPr>
                <w:sz w:val="18"/>
                <w:szCs w:val="18"/>
                <w:lang w:val="es-ES_tradnl"/>
              </w:rPr>
              <w:t xml:space="preserve"> la Subsecretaría de Evaluación Social </w:t>
            </w:r>
            <w:r w:rsidR="00F664D0">
              <w:rPr>
                <w:sz w:val="18"/>
                <w:szCs w:val="18"/>
                <w:lang w:val="es-ES_tradnl"/>
              </w:rPr>
              <w:t xml:space="preserve">del Ministerio de Desarrollo Social y Familia (MDSF) </w:t>
            </w:r>
            <w:r w:rsidRPr="00747B87">
              <w:rPr>
                <w:sz w:val="18"/>
                <w:szCs w:val="18"/>
                <w:lang w:val="es-ES_tradnl"/>
              </w:rPr>
              <w:t xml:space="preserve">para mejorar y estandarizar el proceso de monitoreo y de eficiencia asignativa del gasto entre ambos </w:t>
            </w:r>
            <w:r w:rsidR="00F664D0">
              <w:rPr>
                <w:sz w:val="18"/>
                <w:szCs w:val="18"/>
                <w:lang w:val="es-ES_tradnl"/>
              </w:rPr>
              <w:t xml:space="preserve">tipos de </w:t>
            </w:r>
            <w:r w:rsidRPr="00747B87">
              <w:rPr>
                <w:sz w:val="18"/>
                <w:szCs w:val="18"/>
                <w:lang w:val="es-ES_tradnl"/>
              </w:rPr>
              <w:t xml:space="preserve">programas. </w:t>
            </w:r>
          </w:p>
        </w:tc>
        <w:tc>
          <w:tcPr>
            <w:tcW w:w="900" w:type="dxa"/>
            <w:tcBorders>
              <w:top w:val="nil"/>
              <w:bottom w:val="single" w:sz="4" w:space="0" w:color="auto"/>
            </w:tcBorders>
          </w:tcPr>
          <w:p w14:paraId="238D8FE0" w14:textId="3D744743" w:rsidR="009732A8" w:rsidRDefault="009732A8" w:rsidP="00FD3E39">
            <w:pPr>
              <w:widowControl/>
              <w:spacing w:before="60" w:after="60"/>
              <w:contextualSpacing/>
              <w:jc w:val="center"/>
              <w:rPr>
                <w:sz w:val="18"/>
                <w:szCs w:val="18"/>
                <w:lang w:val="es-ES_tradnl"/>
              </w:rPr>
            </w:pPr>
            <w:r>
              <w:rPr>
                <w:sz w:val="18"/>
                <w:szCs w:val="18"/>
                <w:lang w:val="es-ES_tradnl"/>
              </w:rPr>
              <w:t>0</w:t>
            </w:r>
          </w:p>
        </w:tc>
        <w:tc>
          <w:tcPr>
            <w:tcW w:w="990" w:type="dxa"/>
            <w:tcBorders>
              <w:top w:val="nil"/>
              <w:bottom w:val="single" w:sz="4" w:space="0" w:color="auto"/>
            </w:tcBorders>
          </w:tcPr>
          <w:p w14:paraId="08D53CCD" w14:textId="00072E8F" w:rsidR="009732A8" w:rsidRDefault="009732A8" w:rsidP="00FD3E39">
            <w:pPr>
              <w:widowControl/>
              <w:spacing w:before="60" w:after="60"/>
              <w:contextualSpacing/>
              <w:jc w:val="center"/>
              <w:rPr>
                <w:sz w:val="18"/>
                <w:szCs w:val="18"/>
                <w:lang w:val="es-ES_tradnl"/>
              </w:rPr>
            </w:pPr>
            <w:r>
              <w:rPr>
                <w:sz w:val="18"/>
                <w:szCs w:val="18"/>
                <w:lang w:val="es-ES_tradnl"/>
              </w:rPr>
              <w:t>1</w:t>
            </w:r>
          </w:p>
        </w:tc>
        <w:tc>
          <w:tcPr>
            <w:tcW w:w="6253" w:type="dxa"/>
            <w:tcBorders>
              <w:top w:val="nil"/>
              <w:bottom w:val="single" w:sz="4" w:space="0" w:color="auto"/>
            </w:tcBorders>
          </w:tcPr>
          <w:p w14:paraId="496B63A6" w14:textId="77777777" w:rsidR="009732A8" w:rsidRPr="007C4A57" w:rsidRDefault="009732A8" w:rsidP="0096109C">
            <w:pPr>
              <w:spacing w:before="60" w:after="60"/>
              <w:ind w:left="144"/>
              <w:contextualSpacing/>
              <w:rPr>
                <w:sz w:val="18"/>
                <w:szCs w:val="18"/>
                <w:lang w:val="es-ES_tradnl"/>
              </w:rPr>
            </w:pPr>
            <w:r w:rsidRPr="007C4A57">
              <w:rPr>
                <w:sz w:val="18"/>
                <w:szCs w:val="18"/>
                <w:lang w:val="es-ES_tradnl"/>
              </w:rPr>
              <w:t>Cumplid</w:t>
            </w:r>
            <w:r>
              <w:rPr>
                <w:sz w:val="18"/>
                <w:szCs w:val="18"/>
                <w:lang w:val="es-ES_tradnl"/>
              </w:rPr>
              <w:t>o.</w:t>
            </w:r>
          </w:p>
          <w:p w14:paraId="778A2F54" w14:textId="3150DC04" w:rsidR="009732A8" w:rsidRPr="007C4A57" w:rsidRDefault="009732A8" w:rsidP="0096109C">
            <w:pPr>
              <w:spacing w:before="60" w:after="60"/>
              <w:ind w:left="144"/>
              <w:contextualSpacing/>
              <w:rPr>
                <w:sz w:val="18"/>
                <w:szCs w:val="18"/>
                <w:lang w:val="es-ES_tradnl"/>
              </w:rPr>
            </w:pPr>
            <w:r w:rsidRPr="007C4A57">
              <w:rPr>
                <w:sz w:val="18"/>
                <w:szCs w:val="18"/>
                <w:lang w:val="es-ES_tradnl"/>
              </w:rPr>
              <w:t xml:space="preserve">Medio de Verificación: (i) </w:t>
            </w:r>
            <w:r w:rsidRPr="007C4A57">
              <w:rPr>
                <w:rFonts w:eastAsia="MS Mincho"/>
                <w:sz w:val="18"/>
                <w:szCs w:val="18"/>
                <w:lang w:val="es-ES_tradnl"/>
              </w:rPr>
              <w:t xml:space="preserve">Oficio Circular número 1 conjunta de DIPRES y </w:t>
            </w:r>
            <w:r w:rsidR="00F664D0">
              <w:rPr>
                <w:rFonts w:eastAsia="MS Mincho"/>
                <w:sz w:val="18"/>
                <w:szCs w:val="18"/>
                <w:lang w:val="es-ES_tradnl"/>
              </w:rPr>
              <w:t>MDSF</w:t>
            </w:r>
            <w:r w:rsidRPr="007C4A57">
              <w:rPr>
                <w:rFonts w:eastAsia="MS Mincho"/>
                <w:sz w:val="18"/>
                <w:szCs w:val="18"/>
                <w:lang w:val="es-ES_tradnl"/>
              </w:rPr>
              <w:t xml:space="preserve"> de 8 de enero de 2020 informando sobre el proceso de monitoreo conjunto de iniciativas presupuestarias</w:t>
            </w:r>
            <w:r w:rsidRPr="007C4A57" w:rsidDel="00F56B7C">
              <w:rPr>
                <w:sz w:val="18"/>
                <w:szCs w:val="18"/>
                <w:lang w:val="es-ES_tradnl"/>
              </w:rPr>
              <w:t xml:space="preserve"> </w:t>
            </w:r>
          </w:p>
        </w:tc>
      </w:tr>
      <w:tr w:rsidR="009732A8" w:rsidRPr="00F70C09" w14:paraId="6049746D" w14:textId="77777777" w:rsidTr="007F7FF9">
        <w:trPr>
          <w:trHeight w:val="1157"/>
        </w:trPr>
        <w:tc>
          <w:tcPr>
            <w:tcW w:w="4838" w:type="dxa"/>
            <w:tcBorders>
              <w:top w:val="single" w:sz="4" w:space="0" w:color="auto"/>
              <w:bottom w:val="nil"/>
            </w:tcBorders>
          </w:tcPr>
          <w:p w14:paraId="4CAE2BFB" w14:textId="76AB7918" w:rsidR="009732A8" w:rsidRPr="00C87597" w:rsidDel="009732A8" w:rsidRDefault="009732A8" w:rsidP="00FD3E39">
            <w:pPr>
              <w:widowControl/>
              <w:spacing w:before="60" w:after="60"/>
              <w:ind w:left="252"/>
              <w:contextualSpacing/>
              <w:rPr>
                <w:sz w:val="18"/>
                <w:szCs w:val="18"/>
                <w:lang w:val="es-ES_tradnl"/>
              </w:rPr>
            </w:pPr>
            <w:r>
              <w:rPr>
                <w:sz w:val="18"/>
                <w:szCs w:val="18"/>
                <w:lang w:val="es-ES_tradnl"/>
              </w:rPr>
              <w:lastRenderedPageBreak/>
              <w:t>(</w:t>
            </w:r>
            <w:r w:rsidRPr="00747B87">
              <w:rPr>
                <w:sz w:val="18"/>
                <w:szCs w:val="18"/>
                <w:lang w:val="es-ES_tradnl"/>
              </w:rPr>
              <w:t>ii) Fortalecimiento de los informes financieros de los proyectos de ley, incorporando antecedentes sobre los supuestos de cálculo de los impactos estimados.</w:t>
            </w:r>
          </w:p>
        </w:tc>
        <w:tc>
          <w:tcPr>
            <w:tcW w:w="900" w:type="dxa"/>
            <w:tcBorders>
              <w:top w:val="single" w:sz="4" w:space="0" w:color="auto"/>
              <w:bottom w:val="nil"/>
            </w:tcBorders>
          </w:tcPr>
          <w:p w14:paraId="50DA0E28" w14:textId="30DEB446" w:rsidR="009732A8" w:rsidRDefault="009732A8" w:rsidP="00FD3E39">
            <w:pPr>
              <w:widowControl/>
              <w:spacing w:before="60" w:after="60"/>
              <w:contextualSpacing/>
              <w:jc w:val="center"/>
              <w:rPr>
                <w:sz w:val="18"/>
                <w:szCs w:val="18"/>
                <w:lang w:val="es-ES_tradnl"/>
              </w:rPr>
            </w:pPr>
            <w:r>
              <w:rPr>
                <w:sz w:val="18"/>
                <w:szCs w:val="18"/>
                <w:lang w:val="es-ES_tradnl"/>
              </w:rPr>
              <w:t>0</w:t>
            </w:r>
          </w:p>
        </w:tc>
        <w:tc>
          <w:tcPr>
            <w:tcW w:w="990" w:type="dxa"/>
            <w:tcBorders>
              <w:top w:val="single" w:sz="4" w:space="0" w:color="auto"/>
              <w:bottom w:val="nil"/>
            </w:tcBorders>
          </w:tcPr>
          <w:p w14:paraId="585DE36E" w14:textId="2E91E54A" w:rsidR="009732A8" w:rsidRDefault="009732A8" w:rsidP="00FD3E39">
            <w:pPr>
              <w:widowControl/>
              <w:spacing w:before="60" w:after="60"/>
              <w:contextualSpacing/>
              <w:jc w:val="center"/>
              <w:rPr>
                <w:sz w:val="18"/>
                <w:szCs w:val="18"/>
                <w:lang w:val="es-ES_tradnl"/>
              </w:rPr>
            </w:pPr>
            <w:r>
              <w:rPr>
                <w:sz w:val="18"/>
                <w:szCs w:val="18"/>
                <w:lang w:val="es-ES_tradnl"/>
              </w:rPr>
              <w:t>1</w:t>
            </w:r>
          </w:p>
        </w:tc>
        <w:tc>
          <w:tcPr>
            <w:tcW w:w="6253" w:type="dxa"/>
            <w:tcBorders>
              <w:top w:val="single" w:sz="4" w:space="0" w:color="auto"/>
              <w:bottom w:val="nil"/>
            </w:tcBorders>
          </w:tcPr>
          <w:p w14:paraId="339B462B" w14:textId="56D618A6" w:rsidR="009732A8" w:rsidRPr="007C4A57" w:rsidRDefault="00EA6679" w:rsidP="0096109C">
            <w:pPr>
              <w:spacing w:before="60" w:after="60"/>
              <w:ind w:left="144"/>
              <w:contextualSpacing/>
              <w:rPr>
                <w:sz w:val="18"/>
                <w:szCs w:val="18"/>
                <w:lang w:val="es-ES_tradnl"/>
              </w:rPr>
            </w:pPr>
            <w:r>
              <w:rPr>
                <w:sz w:val="18"/>
                <w:szCs w:val="18"/>
                <w:lang w:val="es-ES_tradnl"/>
              </w:rPr>
              <w:t>Cumplido</w:t>
            </w:r>
            <w:r w:rsidR="009732A8" w:rsidRPr="007C4A57">
              <w:rPr>
                <w:sz w:val="18"/>
                <w:szCs w:val="18"/>
                <w:lang w:val="es-ES_tradnl"/>
              </w:rPr>
              <w:t>.</w:t>
            </w:r>
          </w:p>
          <w:p w14:paraId="24EAD711" w14:textId="2D098F8A" w:rsidR="009732A8" w:rsidRPr="007C4A57" w:rsidRDefault="009732A8" w:rsidP="0096109C">
            <w:pPr>
              <w:spacing w:before="60" w:after="60"/>
              <w:ind w:left="144"/>
              <w:contextualSpacing/>
              <w:rPr>
                <w:sz w:val="18"/>
                <w:szCs w:val="18"/>
                <w:lang w:val="es-ES_tradnl"/>
              </w:rPr>
            </w:pPr>
            <w:r w:rsidRPr="007C4A57">
              <w:rPr>
                <w:sz w:val="18"/>
                <w:szCs w:val="18"/>
                <w:lang w:val="es-ES_tradnl"/>
              </w:rPr>
              <w:t xml:space="preserve">Medio de </w:t>
            </w:r>
            <w:r w:rsidRPr="007C4A57">
              <w:rPr>
                <w:rFonts w:eastAsia="MS Mincho"/>
                <w:sz w:val="18"/>
                <w:szCs w:val="18"/>
                <w:lang w:val="es-ES_tradnl"/>
              </w:rPr>
              <w:t>Verificación</w:t>
            </w:r>
            <w:r w:rsidRPr="007C4A57">
              <w:rPr>
                <w:sz w:val="18"/>
                <w:szCs w:val="18"/>
                <w:lang w:val="es-ES_tradnl"/>
              </w:rPr>
              <w:t xml:space="preserve">: (ii) Informe técnico de DIPRES </w:t>
            </w:r>
            <w:r w:rsidR="00EA6679">
              <w:rPr>
                <w:sz w:val="18"/>
                <w:szCs w:val="18"/>
                <w:lang w:val="es-ES_tradnl"/>
              </w:rPr>
              <w:t>sobre</w:t>
            </w:r>
            <w:r w:rsidRPr="007C4A57">
              <w:rPr>
                <w:sz w:val="18"/>
                <w:szCs w:val="18"/>
                <w:lang w:val="es-ES_tradnl"/>
              </w:rPr>
              <w:t xml:space="preserve"> mejoras a </w:t>
            </w:r>
            <w:r w:rsidR="008660A7" w:rsidRPr="5EF6A83B">
              <w:rPr>
                <w:rFonts w:eastAsia="MS Mincho" w:cs="Times New Roman"/>
                <w:sz w:val="20"/>
                <w:szCs w:val="20"/>
                <w:lang w:val="es-ES"/>
              </w:rPr>
              <w:t xml:space="preserve">los informes financieros de Proyectos de </w:t>
            </w:r>
            <w:r w:rsidR="008660A7">
              <w:rPr>
                <w:rFonts w:eastAsia="MS Mincho" w:cs="Times New Roman"/>
                <w:sz w:val="20"/>
                <w:szCs w:val="20"/>
                <w:lang w:val="es-ES"/>
              </w:rPr>
              <w:t>Ley, detallando las mejoras introducidas a su</w:t>
            </w:r>
            <w:r w:rsidRPr="007C4A57">
              <w:rPr>
                <w:sz w:val="18"/>
                <w:szCs w:val="18"/>
                <w:lang w:val="es-ES_tradnl"/>
              </w:rPr>
              <w:t xml:space="preserve"> elaboración</w:t>
            </w:r>
            <w:r w:rsidR="008660A7">
              <w:rPr>
                <w:sz w:val="18"/>
                <w:szCs w:val="18"/>
                <w:lang w:val="es-ES_tradnl"/>
              </w:rPr>
              <w:t xml:space="preserve"> que incluya</w:t>
            </w:r>
            <w:r w:rsidRPr="007C4A57">
              <w:rPr>
                <w:sz w:val="18"/>
                <w:szCs w:val="18"/>
                <w:lang w:val="es-ES_tradnl"/>
              </w:rPr>
              <w:t xml:space="preserve"> </w:t>
            </w:r>
            <w:r w:rsidR="008660A7">
              <w:rPr>
                <w:sz w:val="18"/>
                <w:szCs w:val="18"/>
                <w:lang w:val="es-ES_tradnl"/>
              </w:rPr>
              <w:t>i</w:t>
            </w:r>
            <w:r w:rsidRPr="007C4A57">
              <w:rPr>
                <w:sz w:val="18"/>
                <w:szCs w:val="18"/>
                <w:lang w:val="es-ES_tradnl"/>
              </w:rPr>
              <w:t>nformes financieros antes y después de la instrucción de incorporar antecedentes sobre los supuestos de cálculo de los impactos fiscales del informe.</w:t>
            </w:r>
          </w:p>
        </w:tc>
      </w:tr>
      <w:tr w:rsidR="009732A8" w:rsidRPr="00F70C09" w14:paraId="405E058B" w14:textId="77777777" w:rsidTr="6AAC1521">
        <w:trPr>
          <w:trHeight w:val="977"/>
        </w:trPr>
        <w:tc>
          <w:tcPr>
            <w:tcW w:w="4838" w:type="dxa"/>
            <w:tcBorders>
              <w:top w:val="nil"/>
            </w:tcBorders>
          </w:tcPr>
          <w:p w14:paraId="083A6DB3" w14:textId="7CDE92F3" w:rsidR="009732A8" w:rsidRPr="00C87597" w:rsidDel="009732A8" w:rsidRDefault="009732A8" w:rsidP="00FD3E39">
            <w:pPr>
              <w:widowControl/>
              <w:spacing w:before="60" w:after="60"/>
              <w:ind w:left="252"/>
              <w:contextualSpacing/>
              <w:rPr>
                <w:sz w:val="18"/>
                <w:szCs w:val="18"/>
                <w:lang w:val="es-ES_tradnl"/>
              </w:rPr>
            </w:pPr>
            <w:r w:rsidRPr="00747B87">
              <w:rPr>
                <w:sz w:val="18"/>
                <w:szCs w:val="18"/>
                <w:lang w:val="es-ES_tradnl"/>
              </w:rPr>
              <w:t>(iii) La creación de un Fondo de Evaluación de Impacto, concursable, y en coordinación con el M</w:t>
            </w:r>
            <w:r w:rsidR="00F664D0">
              <w:rPr>
                <w:sz w:val="18"/>
                <w:szCs w:val="18"/>
                <w:lang w:val="es-ES_tradnl"/>
              </w:rPr>
              <w:t>DSF</w:t>
            </w:r>
            <w:r w:rsidRPr="00747B87">
              <w:rPr>
                <w:sz w:val="18"/>
                <w:szCs w:val="18"/>
                <w:lang w:val="es-ES_tradnl"/>
              </w:rPr>
              <w:t xml:space="preserve"> que fortalezca la evaluación de impacto de los programas de gasto.</w:t>
            </w:r>
          </w:p>
        </w:tc>
        <w:tc>
          <w:tcPr>
            <w:tcW w:w="900" w:type="dxa"/>
            <w:tcBorders>
              <w:top w:val="nil"/>
            </w:tcBorders>
          </w:tcPr>
          <w:p w14:paraId="448F1550" w14:textId="6AB6C096" w:rsidR="009732A8" w:rsidRDefault="009732A8" w:rsidP="00FD3E39">
            <w:pPr>
              <w:widowControl/>
              <w:spacing w:before="60" w:after="60"/>
              <w:contextualSpacing/>
              <w:jc w:val="center"/>
              <w:rPr>
                <w:sz w:val="18"/>
                <w:szCs w:val="18"/>
                <w:lang w:val="es-ES_tradnl"/>
              </w:rPr>
            </w:pPr>
            <w:r>
              <w:rPr>
                <w:sz w:val="18"/>
                <w:szCs w:val="18"/>
                <w:lang w:val="es-ES_tradnl"/>
              </w:rPr>
              <w:t>0</w:t>
            </w:r>
          </w:p>
        </w:tc>
        <w:tc>
          <w:tcPr>
            <w:tcW w:w="990" w:type="dxa"/>
            <w:tcBorders>
              <w:top w:val="nil"/>
            </w:tcBorders>
          </w:tcPr>
          <w:p w14:paraId="40317B20" w14:textId="2E160A59" w:rsidR="009732A8" w:rsidRDefault="009732A8" w:rsidP="00FD3E39">
            <w:pPr>
              <w:widowControl/>
              <w:spacing w:before="60" w:after="60"/>
              <w:contextualSpacing/>
              <w:jc w:val="center"/>
              <w:rPr>
                <w:sz w:val="18"/>
                <w:szCs w:val="18"/>
                <w:lang w:val="es-ES_tradnl"/>
              </w:rPr>
            </w:pPr>
            <w:r>
              <w:rPr>
                <w:sz w:val="18"/>
                <w:szCs w:val="18"/>
                <w:lang w:val="es-ES_tradnl"/>
              </w:rPr>
              <w:t>1</w:t>
            </w:r>
          </w:p>
        </w:tc>
        <w:tc>
          <w:tcPr>
            <w:tcW w:w="6253" w:type="dxa"/>
            <w:tcBorders>
              <w:top w:val="nil"/>
            </w:tcBorders>
          </w:tcPr>
          <w:p w14:paraId="6DBD562D" w14:textId="77777777" w:rsidR="009732A8" w:rsidRPr="007C4A57" w:rsidRDefault="009732A8" w:rsidP="0096109C">
            <w:pPr>
              <w:spacing w:before="60" w:after="60"/>
              <w:ind w:left="144"/>
              <w:contextualSpacing/>
              <w:rPr>
                <w:sz w:val="18"/>
                <w:szCs w:val="18"/>
                <w:lang w:val="es-ES_tradnl"/>
              </w:rPr>
            </w:pPr>
            <w:r w:rsidRPr="007C4A57">
              <w:rPr>
                <w:sz w:val="18"/>
                <w:szCs w:val="18"/>
                <w:lang w:val="es-ES_tradnl"/>
              </w:rPr>
              <w:t>Cumplid</w:t>
            </w:r>
            <w:r>
              <w:rPr>
                <w:sz w:val="18"/>
                <w:szCs w:val="18"/>
                <w:lang w:val="es-ES_tradnl"/>
              </w:rPr>
              <w:t>o</w:t>
            </w:r>
            <w:r w:rsidRPr="007C4A57">
              <w:rPr>
                <w:sz w:val="18"/>
                <w:szCs w:val="18"/>
                <w:lang w:val="es-ES_tradnl"/>
              </w:rPr>
              <w:t>.</w:t>
            </w:r>
          </w:p>
          <w:p w14:paraId="454D4507" w14:textId="183ADD54" w:rsidR="009732A8" w:rsidRPr="007C4A57" w:rsidRDefault="009732A8" w:rsidP="0096109C">
            <w:pPr>
              <w:spacing w:before="60" w:after="60"/>
              <w:ind w:left="144"/>
              <w:contextualSpacing/>
              <w:rPr>
                <w:sz w:val="18"/>
                <w:szCs w:val="18"/>
                <w:lang w:val="es-ES_tradnl"/>
              </w:rPr>
            </w:pPr>
            <w:r w:rsidRPr="007C4A57">
              <w:rPr>
                <w:sz w:val="18"/>
                <w:szCs w:val="18"/>
                <w:lang w:val="es-ES_tradnl"/>
              </w:rPr>
              <w:t xml:space="preserve">Medio de Verificación: </w:t>
            </w:r>
            <w:r w:rsidRPr="007C4A57">
              <w:rPr>
                <w:rFonts w:eastAsia="MS Mincho"/>
                <w:sz w:val="18"/>
                <w:szCs w:val="18"/>
                <w:lang w:val="es-ES_tradnl"/>
              </w:rPr>
              <w:t>Resolución Exenta No. 017/2020 de la DIPRES que aprueba bases administrativas del Fondo de Evaluación de Impacto 2020</w:t>
            </w:r>
            <w:r w:rsidR="00F70C09">
              <w:rPr>
                <w:rFonts w:eastAsia="MS Mincho"/>
                <w:sz w:val="18"/>
                <w:szCs w:val="18"/>
                <w:lang w:val="es-ES_tradnl"/>
              </w:rPr>
              <w:t>.</w:t>
            </w:r>
          </w:p>
        </w:tc>
      </w:tr>
      <w:tr w:rsidR="003706D3" w:rsidRPr="00F70C09" w14:paraId="2A400A79" w14:textId="77777777" w:rsidTr="6AAC1521">
        <w:trPr>
          <w:trHeight w:val="1346"/>
        </w:trPr>
        <w:tc>
          <w:tcPr>
            <w:tcW w:w="4838" w:type="dxa"/>
            <w:tcBorders>
              <w:bottom w:val="single" w:sz="4" w:space="0" w:color="000000" w:themeColor="text1"/>
            </w:tcBorders>
          </w:tcPr>
          <w:p w14:paraId="3ADA7347" w14:textId="06B7D2D0" w:rsidR="003706D3" w:rsidRPr="00747B87" w:rsidRDefault="003706D3" w:rsidP="00FD3E39">
            <w:pPr>
              <w:widowControl/>
              <w:spacing w:before="60" w:after="60"/>
              <w:ind w:left="162"/>
              <w:contextualSpacing/>
              <w:rPr>
                <w:sz w:val="18"/>
                <w:szCs w:val="18"/>
                <w:lang w:val="es-ES_tradnl"/>
              </w:rPr>
            </w:pPr>
            <w:r>
              <w:rPr>
                <w:sz w:val="18"/>
                <w:szCs w:val="18"/>
                <w:lang w:val="es-ES_tradnl"/>
              </w:rPr>
              <w:t>8</w:t>
            </w:r>
            <w:r w:rsidRPr="00C87597">
              <w:rPr>
                <w:sz w:val="18"/>
                <w:szCs w:val="18"/>
                <w:lang w:val="es-ES_tradnl"/>
              </w:rPr>
              <w:t>.1.</w:t>
            </w:r>
            <w:r>
              <w:rPr>
                <w:sz w:val="18"/>
                <w:szCs w:val="18"/>
                <w:lang w:val="es-ES_tradnl"/>
              </w:rPr>
              <w:t>1</w:t>
            </w:r>
            <w:r w:rsidRPr="00C87597">
              <w:rPr>
                <w:sz w:val="18"/>
                <w:szCs w:val="18"/>
                <w:lang w:val="es-ES_tradnl"/>
              </w:rPr>
              <w:t xml:space="preserve">. </w:t>
            </w:r>
            <w:r w:rsidRPr="00747B87">
              <w:rPr>
                <w:sz w:val="18"/>
                <w:szCs w:val="18"/>
                <w:lang w:val="es-ES_tradnl"/>
              </w:rPr>
              <w:t>Recalendarización del proceso de formulación presupuestaria acordada, con el objetivo de asistir la integración de los resultados de la revisión de gasto y del monitoreo de programas en la asignación de las partidas presupuestarias anuales.</w:t>
            </w:r>
          </w:p>
        </w:tc>
        <w:tc>
          <w:tcPr>
            <w:tcW w:w="900" w:type="dxa"/>
            <w:tcBorders>
              <w:bottom w:val="single" w:sz="4" w:space="0" w:color="000000" w:themeColor="text1"/>
            </w:tcBorders>
          </w:tcPr>
          <w:p w14:paraId="6985477A" w14:textId="2D086734" w:rsidR="003706D3" w:rsidRPr="00747B87" w:rsidRDefault="009732A8" w:rsidP="00FD3E39">
            <w:pPr>
              <w:pStyle w:val="TableParagraph"/>
              <w:spacing w:before="60" w:after="60"/>
              <w:contextualSpacing/>
              <w:jc w:val="center"/>
              <w:rPr>
                <w:sz w:val="18"/>
                <w:szCs w:val="18"/>
                <w:lang w:val="es-ES_tradnl"/>
              </w:rPr>
            </w:pPr>
            <w:r>
              <w:rPr>
                <w:w w:val="99"/>
                <w:sz w:val="18"/>
                <w:szCs w:val="18"/>
                <w:lang w:val="es-ES_tradnl"/>
              </w:rPr>
              <w:t>0</w:t>
            </w:r>
          </w:p>
        </w:tc>
        <w:tc>
          <w:tcPr>
            <w:tcW w:w="990" w:type="dxa"/>
            <w:tcBorders>
              <w:bottom w:val="single" w:sz="4" w:space="0" w:color="000000" w:themeColor="text1"/>
            </w:tcBorders>
          </w:tcPr>
          <w:p w14:paraId="3914079C" w14:textId="6A456EDF" w:rsidR="003706D3" w:rsidRPr="00747B87" w:rsidRDefault="009732A8" w:rsidP="00FD3E39">
            <w:pPr>
              <w:pStyle w:val="TableParagraph"/>
              <w:spacing w:before="60" w:after="60"/>
              <w:ind w:left="5"/>
              <w:contextualSpacing/>
              <w:jc w:val="center"/>
              <w:rPr>
                <w:sz w:val="18"/>
                <w:szCs w:val="18"/>
                <w:lang w:val="es-ES_tradnl"/>
              </w:rPr>
            </w:pPr>
            <w:r>
              <w:rPr>
                <w:w w:val="99"/>
                <w:sz w:val="18"/>
                <w:szCs w:val="18"/>
                <w:lang w:val="es-ES_tradnl"/>
              </w:rPr>
              <w:t>1</w:t>
            </w:r>
          </w:p>
        </w:tc>
        <w:tc>
          <w:tcPr>
            <w:tcW w:w="6253" w:type="dxa"/>
            <w:tcBorders>
              <w:bottom w:val="single" w:sz="4" w:space="0" w:color="000000" w:themeColor="text1"/>
            </w:tcBorders>
          </w:tcPr>
          <w:p w14:paraId="6095B969" w14:textId="2C2EAB15" w:rsidR="003706D3" w:rsidRPr="007C4A57" w:rsidRDefault="00D22F8B" w:rsidP="0096109C">
            <w:pPr>
              <w:spacing w:before="60" w:after="60"/>
              <w:ind w:left="144"/>
              <w:contextualSpacing/>
              <w:rPr>
                <w:sz w:val="18"/>
                <w:szCs w:val="18"/>
                <w:lang w:val="es-ES_tradnl"/>
              </w:rPr>
            </w:pPr>
            <w:r>
              <w:rPr>
                <w:sz w:val="18"/>
                <w:szCs w:val="18"/>
                <w:lang w:val="es-ES_tradnl"/>
              </w:rPr>
              <w:t>Cumplido</w:t>
            </w:r>
          </w:p>
          <w:p w14:paraId="70E249A2" w14:textId="6962B101" w:rsidR="003706D3" w:rsidRPr="0090371F" w:rsidRDefault="003706D3" w:rsidP="0096109C">
            <w:pPr>
              <w:spacing w:before="60" w:after="60"/>
              <w:ind w:left="144"/>
              <w:contextualSpacing/>
              <w:rPr>
                <w:sz w:val="18"/>
                <w:szCs w:val="18"/>
                <w:lang w:val="es-ES_tradnl"/>
              </w:rPr>
            </w:pPr>
            <w:r w:rsidRPr="0090371F">
              <w:rPr>
                <w:sz w:val="18"/>
                <w:szCs w:val="18"/>
                <w:lang w:val="es-ES_tradnl"/>
              </w:rPr>
              <w:t xml:space="preserve">Medio de Verificación: </w:t>
            </w:r>
            <w:r w:rsidR="0090371F" w:rsidRPr="00FD3E39">
              <w:rPr>
                <w:rFonts w:eastAsia="MS Mincho" w:cs="Times New Roman"/>
                <w:sz w:val="18"/>
                <w:szCs w:val="18"/>
                <w:lang w:val="es-ES_tradnl"/>
              </w:rPr>
              <w:t xml:space="preserve">Instrucciones para la formulación presupuestaria </w:t>
            </w:r>
            <w:r w:rsidR="00633D36">
              <w:rPr>
                <w:rFonts w:eastAsia="MS Mincho" w:cs="Times New Roman"/>
                <w:sz w:val="18"/>
                <w:szCs w:val="18"/>
                <w:lang w:val="es-ES_tradnl"/>
              </w:rPr>
              <w:t xml:space="preserve">2020 y </w:t>
            </w:r>
            <w:r w:rsidR="0090371F" w:rsidRPr="00FD3E39">
              <w:rPr>
                <w:rFonts w:eastAsia="MS Mincho" w:cs="Times New Roman"/>
                <w:sz w:val="18"/>
                <w:szCs w:val="18"/>
                <w:lang w:val="es-ES_tradnl"/>
              </w:rPr>
              <w:t>2021</w:t>
            </w:r>
            <w:r w:rsidRPr="0090371F">
              <w:rPr>
                <w:sz w:val="18"/>
                <w:szCs w:val="18"/>
                <w:lang w:val="es-ES_tradnl"/>
              </w:rPr>
              <w:t>.</w:t>
            </w:r>
          </w:p>
          <w:p w14:paraId="5074C1EA" w14:textId="18E0B6D7" w:rsidR="003706D3" w:rsidRPr="007C4A57" w:rsidRDefault="003706D3" w:rsidP="0096109C">
            <w:pPr>
              <w:spacing w:before="60" w:after="60"/>
              <w:ind w:left="144"/>
              <w:contextualSpacing/>
              <w:rPr>
                <w:sz w:val="18"/>
                <w:szCs w:val="18"/>
                <w:lang w:val="es-ES_tradnl"/>
              </w:rPr>
            </w:pPr>
            <w:r w:rsidRPr="007C4A57">
              <w:rPr>
                <w:sz w:val="18"/>
                <w:szCs w:val="18"/>
                <w:lang w:val="es-ES_tradnl"/>
              </w:rPr>
              <w:t xml:space="preserve">Copias de los Calendarios de Formulación del Presupuesto Público para 2020 y </w:t>
            </w:r>
            <w:r w:rsidRPr="007C4A57">
              <w:rPr>
                <w:rFonts w:eastAsia="MS Mincho"/>
                <w:sz w:val="18"/>
                <w:szCs w:val="18"/>
                <w:lang w:val="es-ES_tradnl"/>
              </w:rPr>
              <w:t>2021</w:t>
            </w:r>
            <w:r w:rsidRPr="007C4A57">
              <w:rPr>
                <w:sz w:val="18"/>
                <w:szCs w:val="18"/>
                <w:lang w:val="es-ES_tradnl"/>
              </w:rPr>
              <w:t>.</w:t>
            </w:r>
          </w:p>
        </w:tc>
      </w:tr>
      <w:tr w:rsidR="003706D3" w:rsidRPr="00F70C09" w14:paraId="174B6936" w14:textId="77777777" w:rsidTr="6AAC1521">
        <w:trPr>
          <w:trHeight w:val="743"/>
        </w:trPr>
        <w:tc>
          <w:tcPr>
            <w:tcW w:w="4838" w:type="dxa"/>
            <w:tcBorders>
              <w:bottom w:val="nil"/>
            </w:tcBorders>
          </w:tcPr>
          <w:p w14:paraId="144DCBBD" w14:textId="15660DD6" w:rsidR="003706D3" w:rsidRPr="00747B87" w:rsidRDefault="003706D3" w:rsidP="00FD3E39">
            <w:pPr>
              <w:widowControl/>
              <w:spacing w:before="60" w:after="60"/>
              <w:ind w:left="162"/>
              <w:contextualSpacing/>
              <w:rPr>
                <w:sz w:val="18"/>
                <w:szCs w:val="18"/>
                <w:lang w:val="es-ES_tradnl"/>
              </w:rPr>
            </w:pPr>
            <w:r>
              <w:rPr>
                <w:sz w:val="18"/>
                <w:szCs w:val="18"/>
                <w:lang w:val="es-ES_tradnl"/>
              </w:rPr>
              <w:t>9</w:t>
            </w:r>
            <w:r w:rsidRPr="00C87597">
              <w:rPr>
                <w:sz w:val="18"/>
                <w:szCs w:val="18"/>
                <w:lang w:val="es-ES_tradnl"/>
              </w:rPr>
              <w:t>.1.</w:t>
            </w:r>
            <w:r>
              <w:rPr>
                <w:sz w:val="18"/>
                <w:szCs w:val="18"/>
                <w:lang w:val="es-ES_tradnl"/>
              </w:rPr>
              <w:t>1</w:t>
            </w:r>
            <w:r w:rsidRPr="00C87597">
              <w:rPr>
                <w:sz w:val="18"/>
                <w:szCs w:val="18"/>
                <w:lang w:val="es-ES_tradnl"/>
              </w:rPr>
              <w:t xml:space="preserve">. </w:t>
            </w:r>
            <w:r w:rsidRPr="00747B87">
              <w:rPr>
                <w:sz w:val="18"/>
                <w:szCs w:val="18"/>
                <w:lang w:val="es-ES_tradnl"/>
              </w:rPr>
              <w:t xml:space="preserve">Eficiencia operativa y generación de ahorros en la contratación de bienes y servicios </w:t>
            </w:r>
            <w:r w:rsidR="00B7736B" w:rsidRPr="00B7736B">
              <w:rPr>
                <w:sz w:val="18"/>
                <w:szCs w:val="18"/>
                <w:lang w:val="es-ES_tradnl"/>
              </w:rPr>
              <w:t>por parte de los organismos públicos regidos por la Ley de Bases sobre Contratos Administrativos de Suministro y Prestación de Servicios N° 19.886 y su reglamento, establecido en el Decreto Supremo del Ministerio de Hacienda N° 250/2004, con sus respectivas modificaciones (ChileCompra)</w:t>
            </w:r>
            <w:r w:rsidRPr="00747B87">
              <w:rPr>
                <w:sz w:val="18"/>
                <w:szCs w:val="18"/>
                <w:lang w:val="es-ES_tradnl"/>
              </w:rPr>
              <w:t xml:space="preserve"> mejorada,</w:t>
            </w:r>
            <w:r w:rsidRPr="00C87597">
              <w:rPr>
                <w:sz w:val="18"/>
                <w:szCs w:val="18"/>
                <w:lang w:val="es-ES_tradnl"/>
              </w:rPr>
              <w:t xml:space="preserve"> incluyendo:</w:t>
            </w:r>
          </w:p>
        </w:tc>
        <w:tc>
          <w:tcPr>
            <w:tcW w:w="900" w:type="dxa"/>
            <w:tcBorders>
              <w:bottom w:val="nil"/>
            </w:tcBorders>
          </w:tcPr>
          <w:p w14:paraId="078DBDB9" w14:textId="79202014" w:rsidR="003706D3" w:rsidRPr="00747B87" w:rsidRDefault="003706D3" w:rsidP="00FD3E39">
            <w:pPr>
              <w:pStyle w:val="TableParagraph"/>
              <w:spacing w:before="60" w:after="60"/>
              <w:contextualSpacing/>
              <w:jc w:val="center"/>
              <w:rPr>
                <w:sz w:val="18"/>
                <w:szCs w:val="18"/>
                <w:lang w:val="es-ES_tradnl"/>
              </w:rPr>
            </w:pPr>
          </w:p>
        </w:tc>
        <w:tc>
          <w:tcPr>
            <w:tcW w:w="990" w:type="dxa"/>
            <w:tcBorders>
              <w:bottom w:val="nil"/>
            </w:tcBorders>
          </w:tcPr>
          <w:p w14:paraId="63B40E30" w14:textId="77777777" w:rsidR="003706D3" w:rsidRPr="00747B87" w:rsidRDefault="003706D3" w:rsidP="00FD3E39">
            <w:pPr>
              <w:widowControl/>
              <w:spacing w:before="60" w:after="60"/>
              <w:contextualSpacing/>
              <w:jc w:val="center"/>
              <w:rPr>
                <w:sz w:val="18"/>
                <w:szCs w:val="18"/>
                <w:lang w:val="es-ES_tradnl"/>
              </w:rPr>
            </w:pPr>
          </w:p>
        </w:tc>
        <w:tc>
          <w:tcPr>
            <w:tcW w:w="6253" w:type="dxa"/>
            <w:tcBorders>
              <w:bottom w:val="nil"/>
            </w:tcBorders>
          </w:tcPr>
          <w:p w14:paraId="0D91392F" w14:textId="5C65A7A8" w:rsidR="003706D3" w:rsidRPr="007C4A57" w:rsidRDefault="003706D3" w:rsidP="00FD3E39">
            <w:pPr>
              <w:pStyle w:val="TableParagraph"/>
              <w:spacing w:before="60" w:after="60"/>
              <w:ind w:left="268" w:right="521"/>
              <w:contextualSpacing/>
              <w:rPr>
                <w:sz w:val="18"/>
                <w:szCs w:val="18"/>
                <w:lang w:val="es-ES_tradnl"/>
              </w:rPr>
            </w:pPr>
          </w:p>
        </w:tc>
      </w:tr>
      <w:tr w:rsidR="009732A8" w:rsidRPr="00F70C09" w14:paraId="1099C45F" w14:textId="77777777" w:rsidTr="6AAC1521">
        <w:trPr>
          <w:trHeight w:val="645"/>
        </w:trPr>
        <w:tc>
          <w:tcPr>
            <w:tcW w:w="4838" w:type="dxa"/>
            <w:tcBorders>
              <w:top w:val="nil"/>
              <w:bottom w:val="nil"/>
            </w:tcBorders>
          </w:tcPr>
          <w:p w14:paraId="4897B10B" w14:textId="75809882" w:rsidR="009732A8" w:rsidRPr="00C87597" w:rsidRDefault="009732A8" w:rsidP="00FD3E39">
            <w:pPr>
              <w:widowControl/>
              <w:spacing w:before="60" w:after="60"/>
              <w:ind w:left="252"/>
              <w:contextualSpacing/>
              <w:rPr>
                <w:sz w:val="18"/>
                <w:szCs w:val="18"/>
                <w:lang w:val="es-ES_tradnl"/>
              </w:rPr>
            </w:pPr>
            <w:r w:rsidRPr="00747B87">
              <w:rPr>
                <w:sz w:val="18"/>
                <w:szCs w:val="18"/>
                <w:lang w:val="es-ES_tradnl"/>
              </w:rPr>
              <w:t xml:space="preserve">(i) Modificación de la normativa de compras públicas para crear e implementar las modalidades de compra ágil y compra coordinada. </w:t>
            </w:r>
          </w:p>
        </w:tc>
        <w:tc>
          <w:tcPr>
            <w:tcW w:w="900" w:type="dxa"/>
            <w:tcBorders>
              <w:top w:val="nil"/>
              <w:bottom w:val="nil"/>
            </w:tcBorders>
          </w:tcPr>
          <w:p w14:paraId="7E6FD00E" w14:textId="00EED42A" w:rsidR="009732A8" w:rsidRDefault="009732A8" w:rsidP="00FD3E39">
            <w:pPr>
              <w:widowControl/>
              <w:spacing w:before="60" w:after="60"/>
              <w:contextualSpacing/>
              <w:jc w:val="center"/>
              <w:rPr>
                <w:sz w:val="18"/>
                <w:szCs w:val="18"/>
                <w:lang w:val="es-ES_tradnl"/>
              </w:rPr>
            </w:pPr>
            <w:r>
              <w:rPr>
                <w:sz w:val="18"/>
                <w:szCs w:val="18"/>
                <w:lang w:val="es-ES_tradnl"/>
              </w:rPr>
              <w:t>0</w:t>
            </w:r>
          </w:p>
        </w:tc>
        <w:tc>
          <w:tcPr>
            <w:tcW w:w="990" w:type="dxa"/>
            <w:tcBorders>
              <w:top w:val="nil"/>
              <w:bottom w:val="nil"/>
            </w:tcBorders>
          </w:tcPr>
          <w:p w14:paraId="228D99DB" w14:textId="654DF552" w:rsidR="009732A8" w:rsidRDefault="009732A8" w:rsidP="00FD3E39">
            <w:pPr>
              <w:widowControl/>
              <w:spacing w:before="60" w:after="60"/>
              <w:contextualSpacing/>
              <w:jc w:val="center"/>
              <w:rPr>
                <w:sz w:val="18"/>
                <w:szCs w:val="18"/>
                <w:lang w:val="es-ES_tradnl"/>
              </w:rPr>
            </w:pPr>
            <w:r>
              <w:rPr>
                <w:sz w:val="18"/>
                <w:szCs w:val="18"/>
                <w:lang w:val="es-ES_tradnl"/>
              </w:rPr>
              <w:t>1</w:t>
            </w:r>
          </w:p>
        </w:tc>
        <w:tc>
          <w:tcPr>
            <w:tcW w:w="6253" w:type="dxa"/>
            <w:tcBorders>
              <w:top w:val="nil"/>
              <w:bottom w:val="nil"/>
            </w:tcBorders>
          </w:tcPr>
          <w:p w14:paraId="4C37BA6B" w14:textId="77777777" w:rsidR="009732A8" w:rsidRPr="007C4A57" w:rsidRDefault="009732A8" w:rsidP="0096109C">
            <w:pPr>
              <w:spacing w:before="60" w:after="60"/>
              <w:ind w:left="144"/>
              <w:contextualSpacing/>
              <w:rPr>
                <w:sz w:val="18"/>
                <w:szCs w:val="18"/>
                <w:lang w:val="es-ES_tradnl"/>
              </w:rPr>
            </w:pPr>
            <w:r w:rsidRPr="007C4A57">
              <w:rPr>
                <w:sz w:val="18"/>
                <w:szCs w:val="18"/>
                <w:lang w:val="es-ES_tradnl"/>
              </w:rPr>
              <w:t>Cumplid</w:t>
            </w:r>
            <w:r>
              <w:rPr>
                <w:sz w:val="18"/>
                <w:szCs w:val="18"/>
                <w:lang w:val="es-ES_tradnl"/>
              </w:rPr>
              <w:t>o</w:t>
            </w:r>
            <w:r w:rsidRPr="007C4A57">
              <w:rPr>
                <w:sz w:val="18"/>
                <w:szCs w:val="18"/>
                <w:lang w:val="es-ES_tradnl"/>
              </w:rPr>
              <w:t>.</w:t>
            </w:r>
          </w:p>
          <w:p w14:paraId="2D542846" w14:textId="10F77922" w:rsidR="009732A8" w:rsidRDefault="009732A8" w:rsidP="0096109C">
            <w:pPr>
              <w:spacing w:before="60" w:after="60"/>
              <w:ind w:left="144"/>
              <w:contextualSpacing/>
              <w:rPr>
                <w:sz w:val="18"/>
                <w:szCs w:val="18"/>
                <w:lang w:val="es-ES_tradnl"/>
              </w:rPr>
            </w:pPr>
            <w:r w:rsidRPr="007C4A57">
              <w:rPr>
                <w:sz w:val="18"/>
                <w:szCs w:val="18"/>
                <w:lang w:val="es-ES_tradnl"/>
              </w:rPr>
              <w:t>Medio de Verificación: Publicación en el Diario Oficial del Decreto Supremo No. 821/2020 del Ministerio de Hacienda</w:t>
            </w:r>
          </w:p>
        </w:tc>
      </w:tr>
      <w:tr w:rsidR="009732A8" w:rsidRPr="00F70C09" w14:paraId="34120207" w14:textId="77777777" w:rsidTr="6AAC1521">
        <w:trPr>
          <w:trHeight w:val="707"/>
        </w:trPr>
        <w:tc>
          <w:tcPr>
            <w:tcW w:w="4838" w:type="dxa"/>
            <w:tcBorders>
              <w:top w:val="nil"/>
            </w:tcBorders>
          </w:tcPr>
          <w:p w14:paraId="56D15441" w14:textId="31CA6568" w:rsidR="009732A8" w:rsidRPr="00C87597" w:rsidRDefault="009732A8" w:rsidP="00FD3E39">
            <w:pPr>
              <w:widowControl/>
              <w:spacing w:before="60" w:after="60"/>
              <w:ind w:left="252"/>
              <w:contextualSpacing/>
              <w:rPr>
                <w:sz w:val="18"/>
                <w:szCs w:val="18"/>
                <w:lang w:val="es-ES_tradnl"/>
              </w:rPr>
            </w:pPr>
            <w:r w:rsidRPr="00747B87">
              <w:rPr>
                <w:sz w:val="18"/>
                <w:szCs w:val="18"/>
                <w:lang w:val="es-ES_tradnl"/>
              </w:rPr>
              <w:t>(ii) Desarrollo de una nueva plataforma de tienda virtual para convenio marco, incluyendo funcionalidades para desplegar testeo A/B.</w:t>
            </w:r>
          </w:p>
        </w:tc>
        <w:tc>
          <w:tcPr>
            <w:tcW w:w="900" w:type="dxa"/>
            <w:tcBorders>
              <w:top w:val="nil"/>
            </w:tcBorders>
          </w:tcPr>
          <w:p w14:paraId="379A1A67" w14:textId="7AC92F1E" w:rsidR="009732A8" w:rsidRDefault="009732A8" w:rsidP="00FD3E39">
            <w:pPr>
              <w:widowControl/>
              <w:spacing w:before="60" w:after="60"/>
              <w:contextualSpacing/>
              <w:jc w:val="center"/>
              <w:rPr>
                <w:sz w:val="18"/>
                <w:szCs w:val="18"/>
                <w:lang w:val="es-ES_tradnl"/>
              </w:rPr>
            </w:pPr>
            <w:r>
              <w:rPr>
                <w:sz w:val="18"/>
                <w:szCs w:val="18"/>
                <w:lang w:val="es-ES_tradnl"/>
              </w:rPr>
              <w:t>0</w:t>
            </w:r>
          </w:p>
        </w:tc>
        <w:tc>
          <w:tcPr>
            <w:tcW w:w="990" w:type="dxa"/>
            <w:tcBorders>
              <w:top w:val="nil"/>
            </w:tcBorders>
          </w:tcPr>
          <w:p w14:paraId="2DF3C4A0" w14:textId="13217F86" w:rsidR="009732A8" w:rsidRDefault="009732A8" w:rsidP="00FD3E39">
            <w:pPr>
              <w:widowControl/>
              <w:spacing w:before="60" w:after="60"/>
              <w:contextualSpacing/>
              <w:jc w:val="center"/>
              <w:rPr>
                <w:sz w:val="18"/>
                <w:szCs w:val="18"/>
                <w:lang w:val="es-ES_tradnl"/>
              </w:rPr>
            </w:pPr>
            <w:r>
              <w:rPr>
                <w:sz w:val="18"/>
                <w:szCs w:val="18"/>
                <w:lang w:val="es-ES_tradnl"/>
              </w:rPr>
              <w:t>1</w:t>
            </w:r>
          </w:p>
        </w:tc>
        <w:tc>
          <w:tcPr>
            <w:tcW w:w="6253" w:type="dxa"/>
            <w:tcBorders>
              <w:top w:val="nil"/>
            </w:tcBorders>
          </w:tcPr>
          <w:p w14:paraId="0E43531F" w14:textId="77777777" w:rsidR="009732A8" w:rsidRPr="007C4A57" w:rsidRDefault="009732A8" w:rsidP="0096109C">
            <w:pPr>
              <w:spacing w:before="60" w:after="60"/>
              <w:ind w:left="144"/>
              <w:contextualSpacing/>
              <w:rPr>
                <w:sz w:val="18"/>
                <w:szCs w:val="18"/>
                <w:lang w:val="es-ES_tradnl"/>
              </w:rPr>
            </w:pPr>
            <w:r w:rsidRPr="007C4A57">
              <w:rPr>
                <w:sz w:val="18"/>
                <w:szCs w:val="18"/>
                <w:lang w:val="es-ES_tradnl"/>
              </w:rPr>
              <w:t>Cumplid</w:t>
            </w:r>
            <w:r>
              <w:rPr>
                <w:sz w:val="18"/>
                <w:szCs w:val="18"/>
                <w:lang w:val="es-ES_tradnl"/>
              </w:rPr>
              <w:t>o</w:t>
            </w:r>
            <w:r w:rsidRPr="007C4A57">
              <w:rPr>
                <w:sz w:val="18"/>
                <w:szCs w:val="18"/>
                <w:lang w:val="es-ES_tradnl"/>
              </w:rPr>
              <w:t>.</w:t>
            </w:r>
          </w:p>
          <w:p w14:paraId="7BCAF47B" w14:textId="178AB6FC" w:rsidR="009732A8" w:rsidRDefault="009732A8" w:rsidP="0096109C">
            <w:pPr>
              <w:spacing w:before="60" w:after="60"/>
              <w:ind w:left="144"/>
              <w:contextualSpacing/>
              <w:rPr>
                <w:sz w:val="18"/>
                <w:szCs w:val="18"/>
                <w:lang w:val="es-ES_tradnl"/>
              </w:rPr>
            </w:pPr>
            <w:r w:rsidRPr="007C4A57">
              <w:rPr>
                <w:sz w:val="18"/>
                <w:szCs w:val="18"/>
                <w:lang w:val="es-ES_tradnl"/>
              </w:rPr>
              <w:t>Medio de Verificación: Informe Técnico de la Dirección de Compras y Contratación Pública, que se presentará al BID a través de carta del Director de Presupuesto.</w:t>
            </w:r>
          </w:p>
        </w:tc>
      </w:tr>
      <w:tr w:rsidR="003706D3" w:rsidRPr="00F70C09" w14:paraId="3FF39518" w14:textId="77777777" w:rsidTr="6AAC1521">
        <w:trPr>
          <w:trHeight w:val="1151"/>
        </w:trPr>
        <w:tc>
          <w:tcPr>
            <w:tcW w:w="4838" w:type="dxa"/>
          </w:tcPr>
          <w:p w14:paraId="5AEE8800" w14:textId="2623E134" w:rsidR="003706D3" w:rsidRPr="00747B87" w:rsidRDefault="003706D3" w:rsidP="0096109C">
            <w:pPr>
              <w:widowControl/>
              <w:spacing w:before="60" w:after="60"/>
              <w:ind w:left="162"/>
              <w:contextualSpacing/>
              <w:rPr>
                <w:sz w:val="18"/>
                <w:szCs w:val="18"/>
                <w:lang w:val="es-ES_tradnl"/>
              </w:rPr>
            </w:pPr>
            <w:r>
              <w:rPr>
                <w:sz w:val="18"/>
                <w:szCs w:val="18"/>
                <w:lang w:val="es-ES_tradnl"/>
              </w:rPr>
              <w:t>9</w:t>
            </w:r>
            <w:r w:rsidRPr="00C87597">
              <w:rPr>
                <w:sz w:val="18"/>
                <w:szCs w:val="18"/>
                <w:lang w:val="es-ES_tradnl"/>
              </w:rPr>
              <w:t>.1.</w:t>
            </w:r>
            <w:r>
              <w:rPr>
                <w:sz w:val="18"/>
                <w:szCs w:val="18"/>
                <w:lang w:val="es-ES_tradnl"/>
              </w:rPr>
              <w:t>2</w:t>
            </w:r>
            <w:r w:rsidRPr="00C87597">
              <w:rPr>
                <w:sz w:val="18"/>
                <w:szCs w:val="18"/>
                <w:lang w:val="es-ES_tradnl"/>
              </w:rPr>
              <w:t xml:space="preserve">. </w:t>
            </w:r>
            <w:r w:rsidRPr="00747B87">
              <w:rPr>
                <w:sz w:val="18"/>
                <w:szCs w:val="18"/>
                <w:lang w:val="es-ES_tradnl"/>
              </w:rPr>
              <w:t>Procesos de determinación de precios en las compras públicas fortalecidos con la creación de la División de Estudios e Inteligencia de Negocio en la Dirección de Compras y Contratación Pública (DCCP).</w:t>
            </w:r>
          </w:p>
        </w:tc>
        <w:tc>
          <w:tcPr>
            <w:tcW w:w="900" w:type="dxa"/>
          </w:tcPr>
          <w:p w14:paraId="0BE43EFF" w14:textId="5D52811D" w:rsidR="003706D3" w:rsidRPr="00747B87" w:rsidRDefault="003706D3" w:rsidP="00FD3E39">
            <w:pPr>
              <w:pStyle w:val="TableParagraph"/>
              <w:spacing w:before="60" w:after="60"/>
              <w:contextualSpacing/>
              <w:jc w:val="center"/>
              <w:rPr>
                <w:sz w:val="18"/>
                <w:szCs w:val="18"/>
                <w:lang w:val="es-ES_tradnl"/>
              </w:rPr>
            </w:pPr>
            <w:r w:rsidRPr="00747B87">
              <w:rPr>
                <w:w w:val="99"/>
                <w:sz w:val="18"/>
                <w:szCs w:val="18"/>
                <w:lang w:val="es-ES_tradnl"/>
              </w:rPr>
              <w:t>0</w:t>
            </w:r>
          </w:p>
        </w:tc>
        <w:tc>
          <w:tcPr>
            <w:tcW w:w="990" w:type="dxa"/>
          </w:tcPr>
          <w:p w14:paraId="4E516BB1" w14:textId="713E55C0" w:rsidR="003706D3" w:rsidRPr="00747B87" w:rsidRDefault="003706D3" w:rsidP="00FD3E39">
            <w:pPr>
              <w:pStyle w:val="TableParagraph"/>
              <w:spacing w:before="60" w:after="60"/>
              <w:ind w:left="5"/>
              <w:contextualSpacing/>
              <w:jc w:val="center"/>
              <w:rPr>
                <w:sz w:val="18"/>
                <w:szCs w:val="18"/>
                <w:lang w:val="es-ES_tradnl"/>
              </w:rPr>
            </w:pPr>
            <w:r w:rsidRPr="00747B87">
              <w:rPr>
                <w:w w:val="99"/>
                <w:sz w:val="18"/>
                <w:szCs w:val="18"/>
                <w:lang w:val="es-ES_tradnl"/>
              </w:rPr>
              <w:t>1</w:t>
            </w:r>
          </w:p>
        </w:tc>
        <w:tc>
          <w:tcPr>
            <w:tcW w:w="6253" w:type="dxa"/>
          </w:tcPr>
          <w:p w14:paraId="44C55C6E" w14:textId="7F6C915F" w:rsidR="003706D3" w:rsidRPr="007C4A57" w:rsidRDefault="003706D3" w:rsidP="0096109C">
            <w:pPr>
              <w:spacing w:before="60" w:after="60"/>
              <w:ind w:left="144"/>
              <w:contextualSpacing/>
              <w:rPr>
                <w:sz w:val="18"/>
                <w:szCs w:val="18"/>
                <w:lang w:val="es-ES_tradnl"/>
              </w:rPr>
            </w:pPr>
            <w:r w:rsidRPr="007C4A57">
              <w:rPr>
                <w:sz w:val="18"/>
                <w:szCs w:val="18"/>
                <w:lang w:val="es-ES_tradnl"/>
              </w:rPr>
              <w:t>Cumplid</w:t>
            </w:r>
            <w:r w:rsidR="00827DAB">
              <w:rPr>
                <w:sz w:val="18"/>
                <w:szCs w:val="18"/>
                <w:lang w:val="es-ES_tradnl"/>
              </w:rPr>
              <w:t>o.</w:t>
            </w:r>
          </w:p>
          <w:p w14:paraId="249D41D7" w14:textId="79462DBB" w:rsidR="003706D3" w:rsidRPr="007C4A57" w:rsidRDefault="003706D3" w:rsidP="0096109C">
            <w:pPr>
              <w:spacing w:before="60" w:after="60"/>
              <w:ind w:left="144"/>
              <w:contextualSpacing/>
              <w:rPr>
                <w:sz w:val="18"/>
                <w:szCs w:val="18"/>
                <w:lang w:val="es-ES"/>
              </w:rPr>
            </w:pPr>
            <w:r w:rsidRPr="0096109C">
              <w:rPr>
                <w:sz w:val="18"/>
                <w:szCs w:val="18"/>
                <w:lang w:val="es-ES_tradnl"/>
              </w:rPr>
              <w:t>Medio</w:t>
            </w:r>
            <w:r w:rsidRPr="286EC9DB">
              <w:rPr>
                <w:sz w:val="18"/>
                <w:szCs w:val="18"/>
                <w:lang w:val="es-ES"/>
              </w:rPr>
              <w:t xml:space="preserve"> de Verificación: </w:t>
            </w:r>
            <w:r w:rsidRPr="00FD3E39">
              <w:rPr>
                <w:sz w:val="18"/>
                <w:szCs w:val="18"/>
                <w:lang w:val="es-ES_tradnl"/>
              </w:rPr>
              <w:t xml:space="preserve">Modificación a través de Resolución Exenta 547-B de </w:t>
            </w:r>
            <w:r w:rsidR="003A7857" w:rsidRPr="00FD3E39">
              <w:rPr>
                <w:sz w:val="18"/>
                <w:szCs w:val="18"/>
                <w:lang w:val="es-ES_tradnl"/>
              </w:rPr>
              <w:t xml:space="preserve">26 de septiembre de </w:t>
            </w:r>
            <w:r w:rsidRPr="00FD3E39">
              <w:rPr>
                <w:sz w:val="18"/>
                <w:szCs w:val="18"/>
                <w:lang w:val="es-ES_tradnl"/>
              </w:rPr>
              <w:t xml:space="preserve">2019 de </w:t>
            </w:r>
            <w:r w:rsidR="00855DB9" w:rsidRPr="00FD3E39">
              <w:rPr>
                <w:sz w:val="18"/>
                <w:szCs w:val="18"/>
                <w:lang w:val="es-ES_tradnl"/>
              </w:rPr>
              <w:t>la DCCP</w:t>
            </w:r>
            <w:r w:rsidRPr="00FD3E39">
              <w:rPr>
                <w:sz w:val="18"/>
                <w:szCs w:val="18"/>
                <w:lang w:val="es-ES_tradnl"/>
              </w:rPr>
              <w:t xml:space="preserve"> que aprueba nuevo Estatuto Interno </w:t>
            </w:r>
            <w:r w:rsidR="00855DB9" w:rsidRPr="00FD3E39">
              <w:rPr>
                <w:sz w:val="18"/>
                <w:szCs w:val="18"/>
                <w:lang w:val="es-ES_tradnl"/>
              </w:rPr>
              <w:t xml:space="preserve">de </w:t>
            </w:r>
            <w:r w:rsidR="00855DB9" w:rsidRPr="00855DB9">
              <w:rPr>
                <w:sz w:val="18"/>
                <w:szCs w:val="18"/>
                <w:lang w:val="es-ES_tradnl"/>
              </w:rPr>
              <w:t>dicha</w:t>
            </w:r>
            <w:r w:rsidR="00855DB9" w:rsidRPr="00FD3E39">
              <w:rPr>
                <w:sz w:val="18"/>
                <w:szCs w:val="18"/>
                <w:lang w:val="es-ES_tradnl"/>
              </w:rPr>
              <w:t xml:space="preserve"> </w:t>
            </w:r>
            <w:r w:rsidRPr="00FD3E39">
              <w:rPr>
                <w:sz w:val="18"/>
                <w:szCs w:val="18"/>
                <w:lang w:val="es-ES_tradnl"/>
              </w:rPr>
              <w:t>Dirección.</w:t>
            </w:r>
          </w:p>
        </w:tc>
      </w:tr>
    </w:tbl>
    <w:p w14:paraId="3E41E438" w14:textId="77777777" w:rsidR="00F02D12" w:rsidRPr="00747B87" w:rsidRDefault="00F02D12" w:rsidP="00FD3E39">
      <w:pPr>
        <w:spacing w:before="60" w:after="60"/>
        <w:contextualSpacing/>
        <w:rPr>
          <w:sz w:val="18"/>
          <w:lang w:val="es-ES_tradnl"/>
        </w:rPr>
        <w:sectPr w:rsidR="00F02D12" w:rsidRPr="00747B87" w:rsidSect="00B66607">
          <w:headerReference w:type="default" r:id="rId12"/>
          <w:pgSz w:w="15840" w:h="12240" w:orient="landscape"/>
          <w:pgMar w:top="1200" w:right="1040" w:bottom="280" w:left="1580" w:header="725" w:footer="0" w:gutter="0"/>
          <w:cols w:space="720"/>
        </w:sectPr>
      </w:pPr>
    </w:p>
    <w:p w14:paraId="4627E00F" w14:textId="77777777" w:rsidR="00733E6D" w:rsidRPr="00747B87" w:rsidRDefault="00733E6D">
      <w:pPr>
        <w:pStyle w:val="BodyText"/>
        <w:spacing w:before="8"/>
        <w:rPr>
          <w:sz w:val="26"/>
          <w:lang w:val="es-ES_tradnl"/>
        </w:rPr>
      </w:pPr>
    </w:p>
    <w:p w14:paraId="02CB8B20" w14:textId="77777777" w:rsidR="00733E6D" w:rsidRPr="00747B87" w:rsidRDefault="009E4D55">
      <w:pPr>
        <w:pStyle w:val="Heading1"/>
        <w:spacing w:line="253" w:lineRule="exact"/>
        <w:ind w:left="1601" w:right="1561"/>
        <w:rPr>
          <w:lang w:val="es-ES_tradnl"/>
        </w:rPr>
      </w:pPr>
      <w:r w:rsidRPr="00747B87">
        <w:rPr>
          <w:lang w:val="es-ES_tradnl"/>
        </w:rPr>
        <w:t>Tabla II.B</w:t>
      </w:r>
    </w:p>
    <w:p w14:paraId="55A4FEC6" w14:textId="77777777" w:rsidR="00733E6D" w:rsidRPr="00747B87" w:rsidRDefault="009E4D55">
      <w:pPr>
        <w:spacing w:after="40" w:line="253" w:lineRule="exact"/>
        <w:ind w:left="1604" w:right="1561"/>
        <w:jc w:val="center"/>
        <w:rPr>
          <w:b/>
          <w:lang w:val="es-ES_tradnl"/>
        </w:rPr>
      </w:pPr>
      <w:r w:rsidRPr="00747B87">
        <w:rPr>
          <w:b/>
          <w:lang w:val="es-ES_tradnl"/>
        </w:rPr>
        <w:t>Plan de Trabajo y Costo del Seguimiento del Programa</w:t>
      </w:r>
    </w:p>
    <w:tbl>
      <w:tblPr>
        <w:tblW w:w="0" w:type="auto"/>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71"/>
        <w:gridCol w:w="540"/>
        <w:gridCol w:w="540"/>
        <w:gridCol w:w="545"/>
        <w:gridCol w:w="1345"/>
        <w:gridCol w:w="896"/>
        <w:gridCol w:w="1801"/>
      </w:tblGrid>
      <w:tr w:rsidR="00FB2FD9" w:rsidRPr="00747B87" w14:paraId="1CBD7049" w14:textId="77777777" w:rsidTr="0096109C">
        <w:trPr>
          <w:trHeight w:val="323"/>
        </w:trPr>
        <w:tc>
          <w:tcPr>
            <w:tcW w:w="2871" w:type="dxa"/>
            <w:vMerge w:val="restart"/>
            <w:shd w:val="clear" w:color="auto" w:fill="538DD3"/>
            <w:vAlign w:val="center"/>
          </w:tcPr>
          <w:p w14:paraId="3179CC3B" w14:textId="77777777" w:rsidR="00FB2FD9" w:rsidRPr="00747B87" w:rsidRDefault="00FB2FD9" w:rsidP="0096109C">
            <w:pPr>
              <w:pStyle w:val="TableParagraph"/>
              <w:spacing w:before="1"/>
              <w:ind w:left="78"/>
              <w:jc w:val="center"/>
              <w:rPr>
                <w:b/>
                <w:sz w:val="18"/>
                <w:lang w:val="es-ES_tradnl"/>
              </w:rPr>
            </w:pPr>
            <w:r w:rsidRPr="00747B87">
              <w:rPr>
                <w:b/>
                <w:sz w:val="18"/>
                <w:lang w:val="es-ES_tradnl"/>
              </w:rPr>
              <w:t>Actividades</w:t>
            </w:r>
          </w:p>
        </w:tc>
        <w:tc>
          <w:tcPr>
            <w:tcW w:w="1625" w:type="dxa"/>
            <w:gridSpan w:val="3"/>
            <w:shd w:val="clear" w:color="auto" w:fill="538DD3"/>
            <w:vAlign w:val="center"/>
          </w:tcPr>
          <w:p w14:paraId="19840076" w14:textId="79CB4A63" w:rsidR="00FB2FD9" w:rsidRPr="00747B87" w:rsidRDefault="00FB2FD9" w:rsidP="0096109C">
            <w:pPr>
              <w:pStyle w:val="TableParagraph"/>
              <w:ind w:left="112"/>
              <w:jc w:val="center"/>
              <w:rPr>
                <w:b/>
                <w:sz w:val="18"/>
                <w:lang w:val="es-ES_tradnl"/>
              </w:rPr>
            </w:pPr>
            <w:r w:rsidRPr="00747B87">
              <w:rPr>
                <w:b/>
                <w:sz w:val="18"/>
                <w:lang w:val="es-ES_tradnl"/>
              </w:rPr>
              <w:t>Período</w:t>
            </w:r>
          </w:p>
        </w:tc>
        <w:tc>
          <w:tcPr>
            <w:tcW w:w="1345" w:type="dxa"/>
            <w:vMerge w:val="restart"/>
            <w:shd w:val="clear" w:color="auto" w:fill="538DD3"/>
            <w:vAlign w:val="center"/>
          </w:tcPr>
          <w:p w14:paraId="05B2671F" w14:textId="77777777" w:rsidR="00FB2FD9" w:rsidRPr="00747B87" w:rsidRDefault="00FB2FD9" w:rsidP="0096109C">
            <w:pPr>
              <w:pStyle w:val="TableParagraph"/>
              <w:spacing w:before="1"/>
              <w:ind w:left="83"/>
              <w:jc w:val="center"/>
              <w:rPr>
                <w:b/>
                <w:sz w:val="18"/>
                <w:lang w:val="es-ES_tradnl"/>
              </w:rPr>
            </w:pPr>
            <w:r w:rsidRPr="00747B87">
              <w:rPr>
                <w:b/>
                <w:sz w:val="18"/>
                <w:lang w:val="es-ES_tradnl"/>
              </w:rPr>
              <w:t>Responsable</w:t>
            </w:r>
          </w:p>
        </w:tc>
        <w:tc>
          <w:tcPr>
            <w:tcW w:w="896" w:type="dxa"/>
            <w:vMerge w:val="restart"/>
            <w:shd w:val="clear" w:color="auto" w:fill="538DD3"/>
            <w:vAlign w:val="center"/>
          </w:tcPr>
          <w:p w14:paraId="282AC670" w14:textId="77777777" w:rsidR="00FB2FD9" w:rsidRPr="00747B87" w:rsidRDefault="00FB2FD9" w:rsidP="0096109C">
            <w:pPr>
              <w:pStyle w:val="TableParagraph"/>
              <w:spacing w:before="1"/>
              <w:ind w:left="119"/>
              <w:jc w:val="center"/>
              <w:rPr>
                <w:b/>
                <w:sz w:val="18"/>
                <w:lang w:val="es-ES_tradnl"/>
              </w:rPr>
            </w:pPr>
            <w:r w:rsidRPr="00747B87">
              <w:rPr>
                <w:b/>
                <w:sz w:val="18"/>
                <w:lang w:val="es-ES_tradnl"/>
              </w:rPr>
              <w:t>Costo</w:t>
            </w:r>
          </w:p>
          <w:p w14:paraId="2ED4A955" w14:textId="77777777" w:rsidR="00FB2FD9" w:rsidRPr="00747B87" w:rsidRDefault="00FB2FD9" w:rsidP="0096109C">
            <w:pPr>
              <w:pStyle w:val="TableParagraph"/>
              <w:ind w:left="138"/>
              <w:jc w:val="center"/>
              <w:rPr>
                <w:b/>
                <w:sz w:val="18"/>
                <w:lang w:val="es-ES_tradnl"/>
              </w:rPr>
            </w:pPr>
            <w:r w:rsidRPr="00747B87">
              <w:rPr>
                <w:b/>
                <w:sz w:val="18"/>
                <w:lang w:val="es-ES_tradnl"/>
              </w:rPr>
              <w:t>(US$)</w:t>
            </w:r>
          </w:p>
        </w:tc>
        <w:tc>
          <w:tcPr>
            <w:tcW w:w="1801" w:type="dxa"/>
            <w:vMerge w:val="restart"/>
            <w:shd w:val="clear" w:color="auto" w:fill="538DD3"/>
            <w:vAlign w:val="center"/>
          </w:tcPr>
          <w:p w14:paraId="2F70FD98" w14:textId="77777777" w:rsidR="00FB2FD9" w:rsidRPr="00747B87" w:rsidRDefault="00FB2FD9" w:rsidP="0096109C">
            <w:pPr>
              <w:pStyle w:val="TableParagraph"/>
              <w:spacing w:before="97" w:line="280" w:lineRule="auto"/>
              <w:ind w:left="248" w:right="202" w:firstLine="235"/>
              <w:jc w:val="center"/>
              <w:rPr>
                <w:b/>
                <w:sz w:val="18"/>
                <w:lang w:val="es-ES_tradnl"/>
              </w:rPr>
            </w:pPr>
            <w:r w:rsidRPr="00747B87">
              <w:rPr>
                <w:b/>
                <w:sz w:val="18"/>
                <w:lang w:val="es-ES_tradnl"/>
              </w:rPr>
              <w:t>Fuente de Financiamiento</w:t>
            </w:r>
          </w:p>
        </w:tc>
      </w:tr>
      <w:tr w:rsidR="00FB2FD9" w:rsidRPr="00747B87" w14:paraId="011D7569" w14:textId="77777777" w:rsidTr="004558B3">
        <w:trPr>
          <w:trHeight w:val="558"/>
        </w:trPr>
        <w:tc>
          <w:tcPr>
            <w:tcW w:w="2871" w:type="dxa"/>
            <w:vMerge/>
            <w:tcBorders>
              <w:top w:val="nil"/>
            </w:tcBorders>
            <w:shd w:val="clear" w:color="auto" w:fill="538DD3"/>
          </w:tcPr>
          <w:p w14:paraId="2A895F9C" w14:textId="77777777" w:rsidR="00FB2FD9" w:rsidRPr="00747B87" w:rsidRDefault="00FB2FD9">
            <w:pPr>
              <w:rPr>
                <w:sz w:val="2"/>
                <w:szCs w:val="2"/>
                <w:lang w:val="es-ES_tradnl"/>
              </w:rPr>
            </w:pPr>
          </w:p>
        </w:tc>
        <w:tc>
          <w:tcPr>
            <w:tcW w:w="540" w:type="dxa"/>
            <w:shd w:val="clear" w:color="auto" w:fill="548DD4" w:themeFill="text2" w:themeFillTint="99"/>
            <w:vAlign w:val="center"/>
          </w:tcPr>
          <w:p w14:paraId="7325BB43" w14:textId="2515CB11" w:rsidR="00FB2FD9" w:rsidRPr="00747B87" w:rsidRDefault="00FB2FD9" w:rsidP="004558B3">
            <w:pPr>
              <w:pStyle w:val="TableParagraph"/>
              <w:spacing w:before="61"/>
              <w:ind w:left="104"/>
              <w:jc w:val="center"/>
              <w:rPr>
                <w:b/>
                <w:bCs/>
                <w:sz w:val="18"/>
                <w:lang w:val="es-ES_tradnl"/>
              </w:rPr>
            </w:pPr>
            <w:r w:rsidRPr="00747B87">
              <w:rPr>
                <w:b/>
                <w:bCs/>
                <w:sz w:val="18"/>
                <w:lang w:val="es-ES_tradnl"/>
              </w:rPr>
              <w:t>2021</w:t>
            </w:r>
          </w:p>
        </w:tc>
        <w:tc>
          <w:tcPr>
            <w:tcW w:w="540" w:type="dxa"/>
            <w:shd w:val="clear" w:color="auto" w:fill="548DD4" w:themeFill="text2" w:themeFillTint="99"/>
            <w:vAlign w:val="center"/>
          </w:tcPr>
          <w:p w14:paraId="098DE025" w14:textId="5EF947D6" w:rsidR="00FB2FD9" w:rsidRPr="00747B87" w:rsidRDefault="00FB2FD9" w:rsidP="004558B3">
            <w:pPr>
              <w:pStyle w:val="TableParagraph"/>
              <w:spacing w:before="61"/>
              <w:ind w:left="107"/>
              <w:jc w:val="center"/>
              <w:rPr>
                <w:b/>
                <w:bCs/>
                <w:sz w:val="18"/>
                <w:lang w:val="es-ES_tradnl"/>
              </w:rPr>
            </w:pPr>
            <w:r w:rsidRPr="00747B87">
              <w:rPr>
                <w:b/>
                <w:bCs/>
                <w:sz w:val="18"/>
                <w:lang w:val="es-ES_tradnl"/>
              </w:rPr>
              <w:t>2022</w:t>
            </w:r>
          </w:p>
        </w:tc>
        <w:tc>
          <w:tcPr>
            <w:tcW w:w="545" w:type="dxa"/>
            <w:shd w:val="clear" w:color="auto" w:fill="548DD4" w:themeFill="text2" w:themeFillTint="99"/>
            <w:vAlign w:val="center"/>
          </w:tcPr>
          <w:p w14:paraId="22DCA703" w14:textId="3B2F3025" w:rsidR="00FB2FD9" w:rsidRPr="00747B87" w:rsidRDefault="00FB2FD9" w:rsidP="004558B3">
            <w:pPr>
              <w:pStyle w:val="TableParagraph"/>
              <w:spacing w:before="61"/>
              <w:ind w:left="106"/>
              <w:jc w:val="center"/>
              <w:rPr>
                <w:b/>
                <w:bCs/>
                <w:sz w:val="18"/>
                <w:lang w:val="es-ES_tradnl"/>
              </w:rPr>
            </w:pPr>
            <w:r w:rsidRPr="00747B87">
              <w:rPr>
                <w:b/>
                <w:bCs/>
                <w:sz w:val="18"/>
                <w:lang w:val="es-ES_tradnl"/>
              </w:rPr>
              <w:t>2023</w:t>
            </w:r>
          </w:p>
        </w:tc>
        <w:tc>
          <w:tcPr>
            <w:tcW w:w="1345" w:type="dxa"/>
            <w:vMerge/>
            <w:tcBorders>
              <w:top w:val="nil"/>
            </w:tcBorders>
            <w:shd w:val="clear" w:color="auto" w:fill="538DD3"/>
          </w:tcPr>
          <w:p w14:paraId="05FFE114" w14:textId="77777777" w:rsidR="00FB2FD9" w:rsidRPr="00747B87" w:rsidRDefault="00FB2FD9">
            <w:pPr>
              <w:rPr>
                <w:sz w:val="2"/>
                <w:szCs w:val="2"/>
                <w:lang w:val="es-ES_tradnl"/>
              </w:rPr>
            </w:pPr>
          </w:p>
        </w:tc>
        <w:tc>
          <w:tcPr>
            <w:tcW w:w="896" w:type="dxa"/>
            <w:vMerge/>
          </w:tcPr>
          <w:p w14:paraId="446A7E94" w14:textId="77777777" w:rsidR="00FB2FD9" w:rsidRPr="00747B87" w:rsidRDefault="00FB2FD9">
            <w:pPr>
              <w:pStyle w:val="TableParagraph"/>
              <w:rPr>
                <w:rFonts w:ascii="Times New Roman"/>
                <w:sz w:val="18"/>
                <w:lang w:val="es-ES_tradnl"/>
              </w:rPr>
            </w:pPr>
          </w:p>
        </w:tc>
        <w:tc>
          <w:tcPr>
            <w:tcW w:w="1801" w:type="dxa"/>
            <w:vMerge/>
            <w:vAlign w:val="center"/>
          </w:tcPr>
          <w:p w14:paraId="4486C417" w14:textId="77777777" w:rsidR="00FB2FD9" w:rsidRPr="00747B87" w:rsidRDefault="00FB2FD9" w:rsidP="00FB2FD9">
            <w:pPr>
              <w:pStyle w:val="TableParagraph"/>
              <w:jc w:val="center"/>
              <w:rPr>
                <w:rFonts w:ascii="Times New Roman"/>
                <w:sz w:val="18"/>
                <w:lang w:val="es-ES_tradnl"/>
              </w:rPr>
            </w:pPr>
          </w:p>
        </w:tc>
      </w:tr>
      <w:tr w:rsidR="00733E6D" w:rsidRPr="00F70C09" w14:paraId="2447B7B6" w14:textId="77777777" w:rsidTr="00C5427F">
        <w:trPr>
          <w:trHeight w:val="1153"/>
        </w:trPr>
        <w:tc>
          <w:tcPr>
            <w:tcW w:w="2871" w:type="dxa"/>
          </w:tcPr>
          <w:p w14:paraId="622DE275" w14:textId="77777777" w:rsidR="00733E6D" w:rsidRPr="005366BA" w:rsidRDefault="009E4D55" w:rsidP="00C5427F">
            <w:pPr>
              <w:pStyle w:val="TableParagraph"/>
              <w:spacing w:before="120" w:line="278" w:lineRule="auto"/>
              <w:ind w:left="105" w:right="736"/>
              <w:rPr>
                <w:sz w:val="18"/>
                <w:lang w:val="es-ES_tradnl"/>
              </w:rPr>
            </w:pPr>
            <w:r w:rsidRPr="005366BA">
              <w:rPr>
                <w:sz w:val="18"/>
                <w:lang w:val="es-ES_tradnl"/>
              </w:rPr>
              <w:t>Misión(es) de coordinación y monitoreo cumplimiento de los compromisos</w:t>
            </w:r>
          </w:p>
        </w:tc>
        <w:tc>
          <w:tcPr>
            <w:tcW w:w="540" w:type="dxa"/>
            <w:shd w:val="clear" w:color="auto" w:fill="00B050"/>
          </w:tcPr>
          <w:p w14:paraId="15558DE1" w14:textId="77777777" w:rsidR="00733E6D" w:rsidRPr="00C87597" w:rsidRDefault="00733E6D" w:rsidP="00C5427F">
            <w:pPr>
              <w:pStyle w:val="TableParagraph"/>
              <w:spacing w:before="120"/>
              <w:jc w:val="center"/>
              <w:rPr>
                <w:rFonts w:ascii="Times New Roman"/>
                <w:sz w:val="18"/>
                <w:highlight w:val="darkGreen"/>
                <w:lang w:val="es-ES_tradnl"/>
              </w:rPr>
            </w:pPr>
          </w:p>
        </w:tc>
        <w:tc>
          <w:tcPr>
            <w:tcW w:w="540" w:type="dxa"/>
            <w:shd w:val="clear" w:color="auto" w:fill="00B050"/>
          </w:tcPr>
          <w:p w14:paraId="0E30BAD9" w14:textId="77777777" w:rsidR="00733E6D" w:rsidRPr="00747B87" w:rsidRDefault="00733E6D" w:rsidP="00C5427F">
            <w:pPr>
              <w:pStyle w:val="TableParagraph"/>
              <w:spacing w:before="120"/>
              <w:jc w:val="center"/>
              <w:rPr>
                <w:rFonts w:ascii="Times New Roman"/>
                <w:sz w:val="18"/>
                <w:highlight w:val="darkGreen"/>
                <w:lang w:val="es-ES_tradnl"/>
              </w:rPr>
            </w:pPr>
          </w:p>
        </w:tc>
        <w:tc>
          <w:tcPr>
            <w:tcW w:w="545" w:type="dxa"/>
            <w:shd w:val="clear" w:color="auto" w:fill="00B050"/>
          </w:tcPr>
          <w:p w14:paraId="7E7CBC98" w14:textId="77777777" w:rsidR="00733E6D" w:rsidRPr="00747B87" w:rsidRDefault="00733E6D" w:rsidP="00C5427F">
            <w:pPr>
              <w:pStyle w:val="TableParagraph"/>
              <w:spacing w:before="120"/>
              <w:jc w:val="center"/>
              <w:rPr>
                <w:rFonts w:ascii="Times New Roman"/>
                <w:sz w:val="18"/>
                <w:highlight w:val="darkGreen"/>
                <w:lang w:val="es-ES_tradnl"/>
              </w:rPr>
            </w:pPr>
          </w:p>
        </w:tc>
        <w:tc>
          <w:tcPr>
            <w:tcW w:w="1345" w:type="dxa"/>
          </w:tcPr>
          <w:p w14:paraId="125C020A" w14:textId="77777777" w:rsidR="00733E6D" w:rsidRPr="00747B87" w:rsidRDefault="009E4D55" w:rsidP="00C5427F">
            <w:pPr>
              <w:pStyle w:val="TableParagraph"/>
              <w:spacing w:before="120"/>
              <w:ind w:left="443" w:right="571"/>
              <w:jc w:val="center"/>
              <w:rPr>
                <w:sz w:val="18"/>
                <w:lang w:val="es-ES_tradnl"/>
              </w:rPr>
            </w:pPr>
            <w:r w:rsidRPr="00747B87">
              <w:rPr>
                <w:sz w:val="18"/>
                <w:lang w:val="es-ES_tradnl"/>
              </w:rPr>
              <w:t>BID</w:t>
            </w:r>
          </w:p>
        </w:tc>
        <w:tc>
          <w:tcPr>
            <w:tcW w:w="896" w:type="dxa"/>
          </w:tcPr>
          <w:p w14:paraId="6EC705FB" w14:textId="6F60E195" w:rsidR="00733E6D" w:rsidRPr="007C4A57" w:rsidRDefault="00616BA4" w:rsidP="00C5427F">
            <w:pPr>
              <w:pStyle w:val="TableParagraph"/>
              <w:spacing w:before="120"/>
              <w:ind w:left="124" w:right="122"/>
              <w:jc w:val="center"/>
              <w:rPr>
                <w:sz w:val="18"/>
                <w:lang w:val="es-ES_tradnl"/>
              </w:rPr>
            </w:pPr>
            <w:r w:rsidRPr="007C4A57">
              <w:rPr>
                <w:sz w:val="18"/>
                <w:lang w:val="es-ES_tradnl"/>
              </w:rPr>
              <w:t>5.000</w:t>
            </w:r>
          </w:p>
        </w:tc>
        <w:tc>
          <w:tcPr>
            <w:tcW w:w="1801" w:type="dxa"/>
          </w:tcPr>
          <w:p w14:paraId="643D71E8" w14:textId="77777777" w:rsidR="00733E6D" w:rsidRPr="007C4A57" w:rsidRDefault="009E4D55" w:rsidP="00C5427F">
            <w:pPr>
              <w:pStyle w:val="TableParagraph"/>
              <w:spacing w:before="120" w:line="278" w:lineRule="auto"/>
              <w:ind w:left="101" w:right="119"/>
              <w:jc w:val="center"/>
              <w:rPr>
                <w:sz w:val="18"/>
                <w:lang w:val="es-ES_tradnl"/>
              </w:rPr>
            </w:pPr>
            <w:r w:rsidRPr="007C4A57">
              <w:rPr>
                <w:sz w:val="18"/>
                <w:lang w:val="es-ES_tradnl"/>
              </w:rPr>
              <w:t>Presupuesto administrativo y plan de supervisión del Banco</w:t>
            </w:r>
          </w:p>
        </w:tc>
      </w:tr>
      <w:tr w:rsidR="00733E6D" w:rsidRPr="00F70C09" w14:paraId="3BA39BDD" w14:textId="77777777" w:rsidTr="00C5427F">
        <w:trPr>
          <w:trHeight w:val="1389"/>
        </w:trPr>
        <w:tc>
          <w:tcPr>
            <w:tcW w:w="2871" w:type="dxa"/>
          </w:tcPr>
          <w:p w14:paraId="6E5F8034" w14:textId="77777777" w:rsidR="00733E6D" w:rsidRPr="005366BA" w:rsidRDefault="009E4D55" w:rsidP="00C5427F">
            <w:pPr>
              <w:pStyle w:val="TableParagraph"/>
              <w:spacing w:before="120" w:line="276" w:lineRule="auto"/>
              <w:ind w:left="105" w:right="136"/>
              <w:rPr>
                <w:sz w:val="18"/>
                <w:lang w:val="es-ES_tradnl"/>
              </w:rPr>
            </w:pPr>
            <w:r w:rsidRPr="005366BA">
              <w:rPr>
                <w:sz w:val="18"/>
                <w:lang w:val="es-ES_tradnl"/>
              </w:rPr>
              <w:t>Misión de monitoreo y potencial determinación de planes alternativos para garantizar el cumplimiento de los compromisos establecidos</w:t>
            </w:r>
          </w:p>
        </w:tc>
        <w:tc>
          <w:tcPr>
            <w:tcW w:w="540" w:type="dxa"/>
          </w:tcPr>
          <w:p w14:paraId="60C648D8" w14:textId="77777777" w:rsidR="00733E6D" w:rsidRPr="00C87597" w:rsidRDefault="00733E6D" w:rsidP="00C5427F">
            <w:pPr>
              <w:pStyle w:val="TableParagraph"/>
              <w:spacing w:before="120"/>
              <w:jc w:val="center"/>
              <w:rPr>
                <w:rFonts w:ascii="Times New Roman"/>
                <w:sz w:val="18"/>
                <w:lang w:val="es-ES_tradnl"/>
              </w:rPr>
            </w:pPr>
          </w:p>
        </w:tc>
        <w:tc>
          <w:tcPr>
            <w:tcW w:w="540" w:type="dxa"/>
            <w:shd w:val="clear" w:color="auto" w:fill="00AF50"/>
          </w:tcPr>
          <w:p w14:paraId="31E56D59" w14:textId="77777777" w:rsidR="00733E6D" w:rsidRPr="00747B87" w:rsidRDefault="00733E6D" w:rsidP="00C5427F">
            <w:pPr>
              <w:pStyle w:val="TableParagraph"/>
              <w:spacing w:before="120"/>
              <w:jc w:val="center"/>
              <w:rPr>
                <w:rFonts w:ascii="Times New Roman"/>
                <w:sz w:val="18"/>
                <w:lang w:val="es-ES_tradnl"/>
              </w:rPr>
            </w:pPr>
          </w:p>
        </w:tc>
        <w:tc>
          <w:tcPr>
            <w:tcW w:w="545" w:type="dxa"/>
            <w:shd w:val="clear" w:color="auto" w:fill="00AF50"/>
          </w:tcPr>
          <w:p w14:paraId="49A0B1DE" w14:textId="77777777" w:rsidR="00733E6D" w:rsidRPr="00747B87" w:rsidRDefault="00733E6D" w:rsidP="00C5427F">
            <w:pPr>
              <w:pStyle w:val="TableParagraph"/>
              <w:spacing w:before="120"/>
              <w:jc w:val="center"/>
              <w:rPr>
                <w:rFonts w:ascii="Times New Roman"/>
                <w:sz w:val="18"/>
                <w:lang w:val="es-ES_tradnl"/>
              </w:rPr>
            </w:pPr>
          </w:p>
        </w:tc>
        <w:tc>
          <w:tcPr>
            <w:tcW w:w="1345" w:type="dxa"/>
          </w:tcPr>
          <w:p w14:paraId="34D476E1" w14:textId="77777777" w:rsidR="00733E6D" w:rsidRPr="00747B87" w:rsidRDefault="009E4D55" w:rsidP="00C5427F">
            <w:pPr>
              <w:pStyle w:val="TableParagraph"/>
              <w:spacing w:before="120"/>
              <w:ind w:left="443" w:right="571"/>
              <w:jc w:val="center"/>
              <w:rPr>
                <w:sz w:val="18"/>
                <w:lang w:val="es-ES_tradnl"/>
              </w:rPr>
            </w:pPr>
            <w:r w:rsidRPr="00747B87">
              <w:rPr>
                <w:sz w:val="18"/>
                <w:lang w:val="es-ES_tradnl"/>
              </w:rPr>
              <w:t>BID</w:t>
            </w:r>
          </w:p>
        </w:tc>
        <w:tc>
          <w:tcPr>
            <w:tcW w:w="896" w:type="dxa"/>
          </w:tcPr>
          <w:p w14:paraId="55E1586C" w14:textId="72BB045E" w:rsidR="00733E6D" w:rsidRPr="007C4A57" w:rsidRDefault="00616BA4" w:rsidP="00C5427F">
            <w:pPr>
              <w:pStyle w:val="TableParagraph"/>
              <w:spacing w:before="120"/>
              <w:ind w:left="124" w:right="122"/>
              <w:jc w:val="center"/>
              <w:rPr>
                <w:sz w:val="18"/>
                <w:lang w:val="es-ES_tradnl"/>
              </w:rPr>
            </w:pPr>
            <w:r w:rsidRPr="007C4A57">
              <w:rPr>
                <w:sz w:val="18"/>
                <w:lang w:val="es-ES_tradnl"/>
              </w:rPr>
              <w:t>5</w:t>
            </w:r>
            <w:r w:rsidR="009E4D55" w:rsidRPr="007C4A57">
              <w:rPr>
                <w:sz w:val="18"/>
                <w:lang w:val="es-ES_tradnl"/>
              </w:rPr>
              <w:t>.000</w:t>
            </w:r>
          </w:p>
        </w:tc>
        <w:tc>
          <w:tcPr>
            <w:tcW w:w="1801" w:type="dxa"/>
          </w:tcPr>
          <w:p w14:paraId="410A1A66" w14:textId="77777777" w:rsidR="00733E6D" w:rsidRPr="007C4A57" w:rsidRDefault="009E4D55" w:rsidP="00C5427F">
            <w:pPr>
              <w:pStyle w:val="TableParagraph"/>
              <w:spacing w:before="120" w:line="276" w:lineRule="auto"/>
              <w:ind w:left="101" w:right="76"/>
              <w:jc w:val="center"/>
              <w:rPr>
                <w:sz w:val="18"/>
                <w:lang w:val="es-ES_tradnl"/>
              </w:rPr>
            </w:pPr>
            <w:r w:rsidRPr="007C4A57">
              <w:rPr>
                <w:sz w:val="18"/>
                <w:lang w:val="es-ES_tradnl"/>
              </w:rPr>
              <w:t>Presupuesto administrativo, planes de supervisión del Banco</w:t>
            </w:r>
          </w:p>
        </w:tc>
      </w:tr>
      <w:tr w:rsidR="00733E6D" w:rsidRPr="00F70C09" w14:paraId="4DE91BB7" w14:textId="77777777" w:rsidTr="00C5427F">
        <w:trPr>
          <w:trHeight w:val="1151"/>
        </w:trPr>
        <w:tc>
          <w:tcPr>
            <w:tcW w:w="2871" w:type="dxa"/>
          </w:tcPr>
          <w:p w14:paraId="0E9F3AD7" w14:textId="0CE6709B" w:rsidR="00733E6D" w:rsidRPr="005366BA" w:rsidRDefault="009E4D55" w:rsidP="00C5427F">
            <w:pPr>
              <w:pStyle w:val="TableParagraph"/>
              <w:spacing w:before="120" w:line="278" w:lineRule="auto"/>
              <w:ind w:left="105" w:right="196"/>
              <w:rPr>
                <w:sz w:val="18"/>
                <w:lang w:val="es-ES_tradnl"/>
              </w:rPr>
            </w:pPr>
            <w:r w:rsidRPr="005366BA">
              <w:rPr>
                <w:sz w:val="18"/>
                <w:lang w:val="es-ES_tradnl"/>
              </w:rPr>
              <w:t>Reuniones y seguimiento por el equipo de LMK para monitorear cumplimiento de medios de verificación</w:t>
            </w:r>
          </w:p>
        </w:tc>
        <w:tc>
          <w:tcPr>
            <w:tcW w:w="540" w:type="dxa"/>
            <w:shd w:val="clear" w:color="auto" w:fill="FFFFFF" w:themeFill="background1"/>
          </w:tcPr>
          <w:p w14:paraId="0DA0FD82" w14:textId="77777777" w:rsidR="00733E6D" w:rsidRPr="00C87597" w:rsidRDefault="00733E6D" w:rsidP="00C5427F">
            <w:pPr>
              <w:pStyle w:val="TableParagraph"/>
              <w:spacing w:before="120"/>
              <w:jc w:val="center"/>
              <w:rPr>
                <w:rFonts w:ascii="Times New Roman"/>
                <w:sz w:val="18"/>
                <w:lang w:val="es-ES_tradnl"/>
              </w:rPr>
            </w:pPr>
          </w:p>
        </w:tc>
        <w:tc>
          <w:tcPr>
            <w:tcW w:w="540" w:type="dxa"/>
            <w:shd w:val="clear" w:color="auto" w:fill="FFFFFF" w:themeFill="background1"/>
          </w:tcPr>
          <w:p w14:paraId="742A2EED" w14:textId="77777777" w:rsidR="00733E6D" w:rsidRPr="00747B87" w:rsidRDefault="00733E6D" w:rsidP="00C5427F">
            <w:pPr>
              <w:pStyle w:val="TableParagraph"/>
              <w:spacing w:before="120"/>
              <w:jc w:val="center"/>
              <w:rPr>
                <w:rFonts w:ascii="Times New Roman"/>
                <w:sz w:val="18"/>
                <w:lang w:val="es-ES_tradnl"/>
              </w:rPr>
            </w:pPr>
          </w:p>
        </w:tc>
        <w:tc>
          <w:tcPr>
            <w:tcW w:w="545" w:type="dxa"/>
            <w:shd w:val="clear" w:color="auto" w:fill="00AF50"/>
          </w:tcPr>
          <w:p w14:paraId="11573DFA" w14:textId="77777777" w:rsidR="00733E6D" w:rsidRPr="00747B87" w:rsidRDefault="00733E6D" w:rsidP="00C5427F">
            <w:pPr>
              <w:pStyle w:val="TableParagraph"/>
              <w:spacing w:before="120"/>
              <w:jc w:val="center"/>
              <w:rPr>
                <w:rFonts w:ascii="Times New Roman"/>
                <w:sz w:val="18"/>
                <w:lang w:val="es-ES_tradnl"/>
              </w:rPr>
            </w:pPr>
          </w:p>
        </w:tc>
        <w:tc>
          <w:tcPr>
            <w:tcW w:w="1345" w:type="dxa"/>
          </w:tcPr>
          <w:p w14:paraId="5AF1474E" w14:textId="77777777" w:rsidR="00733E6D" w:rsidRPr="00747B87" w:rsidRDefault="009E4D55" w:rsidP="00C5427F">
            <w:pPr>
              <w:pStyle w:val="TableParagraph"/>
              <w:spacing w:before="120"/>
              <w:ind w:left="443" w:right="571"/>
              <w:jc w:val="center"/>
              <w:rPr>
                <w:sz w:val="18"/>
                <w:lang w:val="es-ES_tradnl"/>
              </w:rPr>
            </w:pPr>
            <w:r w:rsidRPr="00747B87">
              <w:rPr>
                <w:sz w:val="18"/>
                <w:lang w:val="es-ES_tradnl"/>
              </w:rPr>
              <w:t>BID</w:t>
            </w:r>
          </w:p>
        </w:tc>
        <w:tc>
          <w:tcPr>
            <w:tcW w:w="896" w:type="dxa"/>
          </w:tcPr>
          <w:p w14:paraId="754970F8" w14:textId="77777777" w:rsidR="00733E6D" w:rsidRPr="007C4A57" w:rsidRDefault="009E4D55" w:rsidP="00C5427F">
            <w:pPr>
              <w:pStyle w:val="TableParagraph"/>
              <w:spacing w:before="120"/>
              <w:ind w:left="3"/>
              <w:jc w:val="center"/>
              <w:rPr>
                <w:sz w:val="18"/>
                <w:lang w:val="es-ES_tradnl"/>
              </w:rPr>
            </w:pPr>
            <w:r w:rsidRPr="007C4A57">
              <w:rPr>
                <w:w w:val="99"/>
                <w:sz w:val="18"/>
                <w:lang w:val="es-ES_tradnl"/>
              </w:rPr>
              <w:t>-</w:t>
            </w:r>
          </w:p>
        </w:tc>
        <w:tc>
          <w:tcPr>
            <w:tcW w:w="1801" w:type="dxa"/>
          </w:tcPr>
          <w:p w14:paraId="1D7FE10B" w14:textId="77777777" w:rsidR="00733E6D" w:rsidRPr="007C4A57" w:rsidRDefault="009E4D55" w:rsidP="00C5427F">
            <w:pPr>
              <w:pStyle w:val="TableParagraph"/>
              <w:spacing w:before="120" w:line="276" w:lineRule="auto"/>
              <w:ind w:left="101" w:right="76"/>
              <w:jc w:val="center"/>
              <w:rPr>
                <w:sz w:val="18"/>
                <w:lang w:val="es-ES_tradnl"/>
              </w:rPr>
            </w:pPr>
            <w:r w:rsidRPr="007C4A57">
              <w:rPr>
                <w:sz w:val="18"/>
                <w:lang w:val="es-ES_tradnl"/>
              </w:rPr>
              <w:t>Cubierto por gasto operativo regular del Banco</w:t>
            </w:r>
          </w:p>
        </w:tc>
      </w:tr>
    </w:tbl>
    <w:p w14:paraId="02D92895" w14:textId="77777777" w:rsidR="00733E6D" w:rsidRPr="005366BA" w:rsidRDefault="00733E6D">
      <w:pPr>
        <w:pStyle w:val="BodyText"/>
        <w:rPr>
          <w:b/>
          <w:sz w:val="24"/>
          <w:lang w:val="es-ES_tradnl"/>
        </w:rPr>
      </w:pPr>
    </w:p>
    <w:p w14:paraId="5FF67B39" w14:textId="77777777" w:rsidR="00733E6D" w:rsidRPr="00C87597" w:rsidRDefault="00733E6D">
      <w:pPr>
        <w:pStyle w:val="BodyText"/>
        <w:rPr>
          <w:b/>
          <w:sz w:val="20"/>
          <w:lang w:val="es-ES_tradnl"/>
        </w:rPr>
      </w:pPr>
    </w:p>
    <w:p w14:paraId="0DE2222A" w14:textId="77777777" w:rsidR="00733E6D" w:rsidRPr="00747B87" w:rsidRDefault="009E4D55">
      <w:pPr>
        <w:pStyle w:val="ListParagraph"/>
        <w:numPr>
          <w:ilvl w:val="0"/>
          <w:numId w:val="6"/>
        </w:numPr>
        <w:tabs>
          <w:tab w:val="left" w:pos="4115"/>
          <w:tab w:val="left" w:pos="4116"/>
        </w:tabs>
        <w:spacing w:before="0"/>
        <w:ind w:left="4115" w:hanging="482"/>
        <w:jc w:val="left"/>
        <w:rPr>
          <w:b/>
          <w:sz w:val="18"/>
          <w:lang w:val="es-ES_tradnl"/>
        </w:rPr>
      </w:pPr>
      <w:r w:rsidRPr="00747B87">
        <w:rPr>
          <w:b/>
          <w:lang w:val="es-ES_tradnl"/>
        </w:rPr>
        <w:t>E</w:t>
      </w:r>
      <w:r w:rsidRPr="00747B87">
        <w:rPr>
          <w:b/>
          <w:sz w:val="18"/>
          <w:lang w:val="es-ES_tradnl"/>
        </w:rPr>
        <w:t>VALUACIÓN</w:t>
      </w:r>
    </w:p>
    <w:p w14:paraId="37455151" w14:textId="77777777" w:rsidR="00733E6D" w:rsidRPr="00747B87" w:rsidRDefault="00733E6D">
      <w:pPr>
        <w:pStyle w:val="BodyText"/>
        <w:rPr>
          <w:b/>
          <w:sz w:val="21"/>
          <w:lang w:val="es-ES_tradnl"/>
        </w:rPr>
      </w:pPr>
    </w:p>
    <w:p w14:paraId="28D3114F" w14:textId="2CFDE4B1" w:rsidR="00733E6D" w:rsidRPr="00747B87" w:rsidRDefault="009E4D55" w:rsidP="003C6BDF">
      <w:pPr>
        <w:pStyle w:val="ListParagraph"/>
        <w:numPr>
          <w:ilvl w:val="1"/>
          <w:numId w:val="2"/>
        </w:numPr>
        <w:tabs>
          <w:tab w:val="left" w:pos="801"/>
        </w:tabs>
        <w:spacing w:before="83"/>
        <w:ind w:right="111"/>
        <w:rPr>
          <w:bCs/>
          <w:lang w:val="es-ES_tradnl"/>
        </w:rPr>
      </w:pPr>
      <w:r w:rsidRPr="00747B87">
        <w:rPr>
          <w:b/>
          <w:lang w:val="es-ES_tradnl"/>
        </w:rPr>
        <w:t xml:space="preserve">La evaluación del programa tiene dos componentes. </w:t>
      </w:r>
      <w:r w:rsidR="00CF56F2" w:rsidRPr="00747B87">
        <w:rPr>
          <w:bCs/>
          <w:lang w:val="es-ES_tradnl"/>
        </w:rPr>
        <w:t>S</w:t>
      </w:r>
      <w:r w:rsidRPr="00747B87">
        <w:rPr>
          <w:bCs/>
          <w:lang w:val="es-ES_tradnl"/>
        </w:rPr>
        <w:t xml:space="preserve">e dará seguimiento a los indicadores de la matriz de resultados. Para tal efecto, la </w:t>
      </w:r>
      <w:r w:rsidR="00F70C09">
        <w:rPr>
          <w:bCs/>
          <w:lang w:val="es-ES_tradnl"/>
        </w:rPr>
        <w:t>T</w:t>
      </w:r>
      <w:r w:rsidRPr="00747B87">
        <w:rPr>
          <w:bCs/>
          <w:lang w:val="es-ES_tradnl"/>
        </w:rPr>
        <w:t>abla</w:t>
      </w:r>
      <w:r w:rsidR="003C6BDF" w:rsidRPr="00747B87">
        <w:rPr>
          <w:bCs/>
          <w:lang w:val="es-ES_tradnl"/>
        </w:rPr>
        <w:t xml:space="preserve"> </w:t>
      </w:r>
      <w:r w:rsidRPr="00747B87">
        <w:rPr>
          <w:bCs/>
          <w:lang w:val="es-ES_tradnl"/>
        </w:rPr>
        <w:t xml:space="preserve">III.A presenta </w:t>
      </w:r>
      <w:r w:rsidR="00F23694">
        <w:rPr>
          <w:bCs/>
          <w:lang w:val="es-ES_tradnl"/>
        </w:rPr>
        <w:t>los</w:t>
      </w:r>
      <w:r w:rsidRPr="00C87597">
        <w:rPr>
          <w:bCs/>
          <w:lang w:val="es-ES_tradnl"/>
        </w:rPr>
        <w:t xml:space="preserve"> indicador</w:t>
      </w:r>
      <w:r w:rsidR="00F23694">
        <w:rPr>
          <w:bCs/>
          <w:lang w:val="es-ES_tradnl"/>
        </w:rPr>
        <w:t>es</w:t>
      </w:r>
      <w:r w:rsidRPr="00C87597">
        <w:rPr>
          <w:bCs/>
          <w:lang w:val="es-ES_tradnl"/>
        </w:rPr>
        <w:t xml:space="preserve"> de impacto y resultados de la Matriz de Resultados del programa. En dicha tabla se presentan las fuentes que se utilizarán para calcular los indicadores</w:t>
      </w:r>
      <w:r w:rsidRPr="00747B87">
        <w:rPr>
          <w:bCs/>
          <w:lang w:val="es-ES_tradnl"/>
        </w:rPr>
        <w:t>.</w:t>
      </w:r>
    </w:p>
    <w:p w14:paraId="4BFC245E" w14:textId="230C1200" w:rsidR="00E60319" w:rsidRPr="00747B87" w:rsidRDefault="00E60319">
      <w:pPr>
        <w:pStyle w:val="BodyText"/>
        <w:ind w:left="800" w:right="213"/>
        <w:jc w:val="both"/>
        <w:rPr>
          <w:lang w:val="es-ES_tradnl"/>
        </w:rPr>
      </w:pPr>
    </w:p>
    <w:p w14:paraId="211B5A66" w14:textId="77777777" w:rsidR="00E60319" w:rsidRPr="00747B87" w:rsidRDefault="00E60319">
      <w:pPr>
        <w:pStyle w:val="BodyText"/>
        <w:ind w:left="800" w:right="213"/>
        <w:jc w:val="both"/>
        <w:rPr>
          <w:lang w:val="es-ES_tradnl"/>
        </w:rPr>
      </w:pPr>
    </w:p>
    <w:p w14:paraId="444BD359" w14:textId="77777777" w:rsidR="00733E6D" w:rsidRPr="00747B87" w:rsidRDefault="00733E6D">
      <w:pPr>
        <w:jc w:val="both"/>
        <w:rPr>
          <w:lang w:val="es-ES_tradnl"/>
        </w:rPr>
        <w:sectPr w:rsidR="00733E6D" w:rsidRPr="00747B87" w:rsidSect="00897FAD">
          <w:headerReference w:type="default" r:id="rId13"/>
          <w:pgSz w:w="12240" w:h="15840"/>
          <w:pgMar w:top="1440" w:right="1440" w:bottom="1440" w:left="1440" w:header="0" w:footer="0" w:gutter="0"/>
          <w:cols w:space="720"/>
          <w:docGrid w:linePitch="299"/>
        </w:sectPr>
      </w:pPr>
    </w:p>
    <w:p w14:paraId="40EFC3B8" w14:textId="06D754F0" w:rsidR="00733E6D" w:rsidRPr="00747B87" w:rsidRDefault="009E4D55">
      <w:pPr>
        <w:pStyle w:val="Heading1"/>
        <w:spacing w:before="94"/>
        <w:ind w:left="480"/>
        <w:jc w:val="left"/>
        <w:rPr>
          <w:lang w:val="es-ES_tradnl"/>
        </w:rPr>
      </w:pPr>
      <w:r w:rsidRPr="00747B87">
        <w:rPr>
          <w:lang w:val="es-ES_tradnl"/>
        </w:rPr>
        <w:lastRenderedPageBreak/>
        <w:t>Tabla III.A Indicadores de Impacto y de Resultados</w:t>
      </w:r>
    </w:p>
    <w:p w14:paraId="5E289C64" w14:textId="03CCC01F" w:rsidR="00733E6D" w:rsidRPr="005366BA" w:rsidDel="00791D8F" w:rsidRDefault="00AD2BFA" w:rsidP="00FD3E39">
      <w:pPr>
        <w:spacing w:before="120" w:after="120"/>
        <w:rPr>
          <w:lang w:val="es-ES_tradnl"/>
        </w:rPr>
      </w:pPr>
      <w:r w:rsidRPr="00FD3E39">
        <w:rPr>
          <w:b/>
          <w:smallCaps/>
          <w:szCs w:val="18"/>
          <w:lang w:val="es-ES_tradnl"/>
        </w:rPr>
        <w:t>Impactos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81"/>
        <w:gridCol w:w="1264"/>
        <w:gridCol w:w="769"/>
        <w:gridCol w:w="724"/>
        <w:gridCol w:w="988"/>
        <w:gridCol w:w="719"/>
        <w:gridCol w:w="2322"/>
        <w:gridCol w:w="4018"/>
      </w:tblGrid>
      <w:tr w:rsidR="008F7576" w:rsidRPr="00747B87" w14:paraId="4874C347" w14:textId="77777777" w:rsidTr="739FC7C0">
        <w:trPr>
          <w:trHeight w:val="269"/>
          <w:tblHeader/>
          <w:jc w:val="center"/>
        </w:trPr>
        <w:tc>
          <w:tcPr>
            <w:tcW w:w="2781" w:type="dxa"/>
            <w:vMerge w:val="restart"/>
            <w:tcBorders>
              <w:top w:val="single" w:sz="4" w:space="0" w:color="auto"/>
              <w:left w:val="single" w:sz="4" w:space="0" w:color="auto"/>
              <w:bottom w:val="single" w:sz="4" w:space="0" w:color="auto"/>
            </w:tcBorders>
            <w:shd w:val="clear" w:color="auto" w:fill="95B3D7" w:themeFill="accent1" w:themeFillTint="99"/>
            <w:vAlign w:val="center"/>
          </w:tcPr>
          <w:p w14:paraId="2B0786E4" w14:textId="4352BAB3" w:rsidR="00A3758E" w:rsidRPr="00747B87" w:rsidRDefault="00A3758E" w:rsidP="0020339D">
            <w:pPr>
              <w:ind w:left="-378" w:firstLine="378"/>
              <w:jc w:val="center"/>
              <w:rPr>
                <w:b/>
                <w:sz w:val="18"/>
                <w:szCs w:val="18"/>
                <w:lang w:val="es-ES_tradnl"/>
              </w:rPr>
            </w:pPr>
            <w:r w:rsidRPr="00747B87">
              <w:rPr>
                <w:b/>
                <w:sz w:val="18"/>
                <w:szCs w:val="18"/>
                <w:lang w:val="es-ES_tradnl"/>
              </w:rPr>
              <w:t>Indicadores</w:t>
            </w:r>
          </w:p>
        </w:tc>
        <w:tc>
          <w:tcPr>
            <w:tcW w:w="1264" w:type="dxa"/>
            <w:vMerge w:val="restart"/>
            <w:tcBorders>
              <w:top w:val="single" w:sz="4" w:space="0" w:color="auto"/>
              <w:bottom w:val="single" w:sz="4" w:space="0" w:color="auto"/>
            </w:tcBorders>
            <w:shd w:val="clear" w:color="auto" w:fill="95B3D7" w:themeFill="accent1" w:themeFillTint="99"/>
            <w:vAlign w:val="center"/>
          </w:tcPr>
          <w:p w14:paraId="5ACEA448" w14:textId="77777777" w:rsidR="00A3758E" w:rsidRPr="00747B87" w:rsidRDefault="00A3758E" w:rsidP="0020339D">
            <w:pPr>
              <w:ind w:left="-378" w:firstLine="378"/>
              <w:jc w:val="center"/>
              <w:rPr>
                <w:b/>
                <w:sz w:val="18"/>
                <w:szCs w:val="18"/>
                <w:lang w:val="es-ES_tradnl"/>
              </w:rPr>
            </w:pPr>
            <w:r w:rsidRPr="00747B87">
              <w:rPr>
                <w:b/>
                <w:sz w:val="18"/>
                <w:szCs w:val="18"/>
                <w:lang w:val="es-ES_tradnl"/>
              </w:rPr>
              <w:t xml:space="preserve">Unidad </w:t>
            </w:r>
          </w:p>
        </w:tc>
        <w:tc>
          <w:tcPr>
            <w:tcW w:w="1493" w:type="dxa"/>
            <w:gridSpan w:val="2"/>
            <w:tcBorders>
              <w:top w:val="single" w:sz="4" w:space="0" w:color="auto"/>
              <w:bottom w:val="single" w:sz="4" w:space="0" w:color="auto"/>
            </w:tcBorders>
            <w:shd w:val="clear" w:color="auto" w:fill="95B3D7" w:themeFill="accent1" w:themeFillTint="99"/>
            <w:vAlign w:val="center"/>
          </w:tcPr>
          <w:p w14:paraId="448134A0" w14:textId="77777777" w:rsidR="00A3758E" w:rsidRPr="00747B87" w:rsidRDefault="00A3758E" w:rsidP="0020339D">
            <w:pPr>
              <w:ind w:left="-378" w:firstLine="378"/>
              <w:jc w:val="center"/>
              <w:rPr>
                <w:b/>
                <w:sz w:val="18"/>
                <w:szCs w:val="18"/>
                <w:lang w:val="es-ES_tradnl"/>
              </w:rPr>
            </w:pPr>
            <w:r w:rsidRPr="00747B87">
              <w:rPr>
                <w:b/>
                <w:sz w:val="18"/>
                <w:szCs w:val="18"/>
                <w:lang w:val="es-ES_tradnl"/>
              </w:rPr>
              <w:t>Línea de base</w:t>
            </w:r>
          </w:p>
        </w:tc>
        <w:tc>
          <w:tcPr>
            <w:tcW w:w="1707" w:type="dxa"/>
            <w:gridSpan w:val="2"/>
            <w:tcBorders>
              <w:top w:val="single" w:sz="4" w:space="0" w:color="auto"/>
              <w:bottom w:val="single" w:sz="4" w:space="0" w:color="auto"/>
            </w:tcBorders>
            <w:shd w:val="clear" w:color="auto" w:fill="95B3D7" w:themeFill="accent1" w:themeFillTint="99"/>
            <w:vAlign w:val="center"/>
          </w:tcPr>
          <w:p w14:paraId="2BCCA921" w14:textId="77777777" w:rsidR="00A3758E" w:rsidRPr="00747B87" w:rsidRDefault="00A3758E" w:rsidP="0020339D">
            <w:pPr>
              <w:ind w:left="-378" w:firstLine="378"/>
              <w:jc w:val="center"/>
              <w:rPr>
                <w:b/>
                <w:sz w:val="18"/>
                <w:szCs w:val="18"/>
                <w:lang w:val="es-ES_tradnl"/>
              </w:rPr>
            </w:pPr>
            <w:r w:rsidRPr="00747B87">
              <w:rPr>
                <w:b/>
                <w:sz w:val="18"/>
                <w:szCs w:val="18"/>
                <w:lang w:val="es-ES_tradnl"/>
              </w:rPr>
              <w:t>Metas</w:t>
            </w:r>
          </w:p>
        </w:tc>
        <w:tc>
          <w:tcPr>
            <w:tcW w:w="2322" w:type="dxa"/>
            <w:vMerge w:val="restart"/>
            <w:tcBorders>
              <w:top w:val="single" w:sz="4" w:space="0" w:color="auto"/>
              <w:bottom w:val="single" w:sz="4" w:space="0" w:color="auto"/>
            </w:tcBorders>
            <w:shd w:val="clear" w:color="auto" w:fill="95B3D7" w:themeFill="accent1" w:themeFillTint="99"/>
            <w:vAlign w:val="center"/>
          </w:tcPr>
          <w:p w14:paraId="65812A02" w14:textId="77777777" w:rsidR="00A3758E" w:rsidRPr="00747B87" w:rsidRDefault="00A3758E" w:rsidP="0020339D">
            <w:pPr>
              <w:ind w:left="-378" w:firstLine="378"/>
              <w:jc w:val="center"/>
              <w:rPr>
                <w:b/>
                <w:sz w:val="18"/>
                <w:szCs w:val="18"/>
                <w:lang w:val="es-ES_tradnl"/>
              </w:rPr>
            </w:pPr>
            <w:r w:rsidRPr="00747B87">
              <w:rPr>
                <w:b/>
                <w:sz w:val="18"/>
                <w:szCs w:val="18"/>
                <w:lang w:val="es-ES_tradnl"/>
              </w:rPr>
              <w:t>Fuente/Medio de verificación</w:t>
            </w:r>
          </w:p>
        </w:tc>
        <w:tc>
          <w:tcPr>
            <w:tcW w:w="4018" w:type="dxa"/>
            <w:vMerge w:val="restart"/>
            <w:tcBorders>
              <w:top w:val="single" w:sz="4" w:space="0" w:color="auto"/>
              <w:bottom w:val="single" w:sz="4" w:space="0" w:color="auto"/>
              <w:right w:val="single" w:sz="4" w:space="0" w:color="auto"/>
            </w:tcBorders>
            <w:shd w:val="clear" w:color="auto" w:fill="95B3D7" w:themeFill="accent1" w:themeFillTint="99"/>
            <w:vAlign w:val="center"/>
          </w:tcPr>
          <w:p w14:paraId="27357275" w14:textId="77777777" w:rsidR="00A3758E" w:rsidRPr="00747B87" w:rsidRDefault="00A3758E" w:rsidP="0020339D">
            <w:pPr>
              <w:ind w:left="-378" w:firstLine="378"/>
              <w:jc w:val="center"/>
              <w:rPr>
                <w:b/>
                <w:sz w:val="18"/>
                <w:szCs w:val="18"/>
                <w:lang w:val="es-ES_tradnl"/>
              </w:rPr>
            </w:pPr>
            <w:r w:rsidRPr="00747B87">
              <w:rPr>
                <w:b/>
                <w:sz w:val="18"/>
                <w:szCs w:val="18"/>
                <w:lang w:val="es-ES_tradnl"/>
              </w:rPr>
              <w:t>Observaciones</w:t>
            </w:r>
          </w:p>
        </w:tc>
      </w:tr>
      <w:tr w:rsidR="00A3758E" w:rsidRPr="00747B87" w14:paraId="10E1D3C6" w14:textId="77777777" w:rsidTr="739FC7C0">
        <w:trPr>
          <w:tblHeader/>
          <w:jc w:val="center"/>
        </w:trPr>
        <w:tc>
          <w:tcPr>
            <w:tcW w:w="2781" w:type="dxa"/>
            <w:vMerge/>
          </w:tcPr>
          <w:p w14:paraId="42744D4A" w14:textId="77777777" w:rsidR="00A3758E" w:rsidRPr="00747B87" w:rsidRDefault="00A3758E" w:rsidP="0020339D">
            <w:pPr>
              <w:ind w:left="-378" w:firstLine="378"/>
              <w:jc w:val="center"/>
              <w:rPr>
                <w:b/>
                <w:sz w:val="18"/>
                <w:szCs w:val="18"/>
                <w:lang w:val="es-ES_tradnl"/>
              </w:rPr>
            </w:pPr>
          </w:p>
        </w:tc>
        <w:tc>
          <w:tcPr>
            <w:tcW w:w="1264" w:type="dxa"/>
            <w:vMerge/>
          </w:tcPr>
          <w:p w14:paraId="02C5E934" w14:textId="77777777" w:rsidR="00A3758E" w:rsidRPr="00747B87" w:rsidRDefault="00A3758E" w:rsidP="0020339D">
            <w:pPr>
              <w:ind w:left="-378" w:firstLine="378"/>
              <w:jc w:val="center"/>
              <w:rPr>
                <w:b/>
                <w:sz w:val="18"/>
                <w:szCs w:val="18"/>
                <w:lang w:val="es-ES_tradnl"/>
              </w:rPr>
            </w:pPr>
          </w:p>
        </w:tc>
        <w:tc>
          <w:tcPr>
            <w:tcW w:w="769" w:type="dxa"/>
            <w:tcBorders>
              <w:top w:val="single" w:sz="4" w:space="0" w:color="auto"/>
              <w:bottom w:val="single" w:sz="4" w:space="0" w:color="000000" w:themeColor="text1"/>
            </w:tcBorders>
            <w:shd w:val="clear" w:color="auto" w:fill="95B3D7" w:themeFill="accent1" w:themeFillTint="99"/>
            <w:vAlign w:val="center"/>
          </w:tcPr>
          <w:p w14:paraId="7D9010C8" w14:textId="77777777" w:rsidR="00A3758E" w:rsidRPr="00747B87" w:rsidRDefault="00A3758E" w:rsidP="0020339D">
            <w:pPr>
              <w:ind w:left="-378" w:firstLine="378"/>
              <w:jc w:val="center"/>
              <w:rPr>
                <w:b/>
                <w:sz w:val="18"/>
                <w:szCs w:val="18"/>
                <w:lang w:val="es-ES_tradnl"/>
              </w:rPr>
            </w:pPr>
            <w:r w:rsidRPr="00747B87">
              <w:rPr>
                <w:b/>
                <w:sz w:val="18"/>
                <w:szCs w:val="18"/>
                <w:lang w:val="es-ES_tradnl"/>
              </w:rPr>
              <w:t>Valor</w:t>
            </w:r>
          </w:p>
        </w:tc>
        <w:tc>
          <w:tcPr>
            <w:tcW w:w="724" w:type="dxa"/>
            <w:tcBorders>
              <w:top w:val="single" w:sz="4" w:space="0" w:color="auto"/>
              <w:bottom w:val="single" w:sz="4" w:space="0" w:color="000000" w:themeColor="text1"/>
            </w:tcBorders>
            <w:shd w:val="clear" w:color="auto" w:fill="95B3D7" w:themeFill="accent1" w:themeFillTint="99"/>
            <w:vAlign w:val="center"/>
          </w:tcPr>
          <w:p w14:paraId="1AE0BEE6" w14:textId="77777777" w:rsidR="00A3758E" w:rsidRPr="00747B87" w:rsidRDefault="00A3758E" w:rsidP="0020339D">
            <w:pPr>
              <w:ind w:left="-378" w:firstLine="378"/>
              <w:jc w:val="center"/>
              <w:rPr>
                <w:b/>
                <w:sz w:val="18"/>
                <w:szCs w:val="18"/>
                <w:lang w:val="es-ES_tradnl"/>
              </w:rPr>
            </w:pPr>
            <w:r w:rsidRPr="00747B87">
              <w:rPr>
                <w:b/>
                <w:sz w:val="18"/>
                <w:szCs w:val="18"/>
                <w:lang w:val="es-ES_tradnl"/>
              </w:rPr>
              <w:t>Año</w:t>
            </w:r>
          </w:p>
        </w:tc>
        <w:tc>
          <w:tcPr>
            <w:tcW w:w="988" w:type="dxa"/>
            <w:tcBorders>
              <w:top w:val="single" w:sz="4" w:space="0" w:color="auto"/>
              <w:bottom w:val="single" w:sz="4" w:space="0" w:color="000000" w:themeColor="text1"/>
            </w:tcBorders>
            <w:shd w:val="clear" w:color="auto" w:fill="95B3D7" w:themeFill="accent1" w:themeFillTint="99"/>
            <w:vAlign w:val="center"/>
          </w:tcPr>
          <w:p w14:paraId="3B0839DF" w14:textId="77777777" w:rsidR="00A3758E" w:rsidRPr="00747B87" w:rsidRDefault="00A3758E" w:rsidP="0020339D">
            <w:pPr>
              <w:ind w:left="-378" w:firstLine="378"/>
              <w:jc w:val="center"/>
              <w:rPr>
                <w:b/>
                <w:sz w:val="18"/>
                <w:szCs w:val="18"/>
                <w:lang w:val="es-ES_tradnl"/>
              </w:rPr>
            </w:pPr>
            <w:r w:rsidRPr="00747B87">
              <w:rPr>
                <w:b/>
                <w:sz w:val="18"/>
                <w:szCs w:val="18"/>
                <w:lang w:val="es-ES_tradnl"/>
              </w:rPr>
              <w:t>Valor</w:t>
            </w:r>
          </w:p>
        </w:tc>
        <w:tc>
          <w:tcPr>
            <w:tcW w:w="719" w:type="dxa"/>
            <w:tcBorders>
              <w:top w:val="single" w:sz="4" w:space="0" w:color="auto"/>
              <w:bottom w:val="single" w:sz="4" w:space="0" w:color="000000" w:themeColor="text1"/>
            </w:tcBorders>
            <w:shd w:val="clear" w:color="auto" w:fill="95B3D7" w:themeFill="accent1" w:themeFillTint="99"/>
            <w:vAlign w:val="center"/>
          </w:tcPr>
          <w:p w14:paraId="45A10251" w14:textId="77777777" w:rsidR="00A3758E" w:rsidRPr="00747B87" w:rsidRDefault="00A3758E" w:rsidP="0020339D">
            <w:pPr>
              <w:ind w:left="-378" w:firstLine="378"/>
              <w:jc w:val="center"/>
              <w:rPr>
                <w:b/>
                <w:sz w:val="18"/>
                <w:szCs w:val="18"/>
                <w:lang w:val="es-ES_tradnl"/>
              </w:rPr>
            </w:pPr>
            <w:r w:rsidRPr="00747B87">
              <w:rPr>
                <w:b/>
                <w:sz w:val="18"/>
                <w:szCs w:val="18"/>
                <w:lang w:val="es-ES_tradnl"/>
              </w:rPr>
              <w:t xml:space="preserve">Año </w:t>
            </w:r>
          </w:p>
        </w:tc>
        <w:tc>
          <w:tcPr>
            <w:tcW w:w="2322" w:type="dxa"/>
            <w:vMerge/>
          </w:tcPr>
          <w:p w14:paraId="4CE2C341" w14:textId="77777777" w:rsidR="00A3758E" w:rsidRPr="00747B87" w:rsidRDefault="00A3758E" w:rsidP="0020339D">
            <w:pPr>
              <w:ind w:left="-378" w:firstLine="378"/>
              <w:jc w:val="center"/>
              <w:rPr>
                <w:b/>
                <w:sz w:val="18"/>
                <w:szCs w:val="18"/>
                <w:lang w:val="es-ES_tradnl"/>
              </w:rPr>
            </w:pPr>
          </w:p>
        </w:tc>
        <w:tc>
          <w:tcPr>
            <w:tcW w:w="4018" w:type="dxa"/>
            <w:vMerge/>
          </w:tcPr>
          <w:p w14:paraId="326968AF" w14:textId="77777777" w:rsidR="00A3758E" w:rsidRPr="00747B87" w:rsidRDefault="00A3758E" w:rsidP="0020339D">
            <w:pPr>
              <w:ind w:left="-378" w:firstLine="378"/>
              <w:jc w:val="center"/>
              <w:rPr>
                <w:b/>
                <w:sz w:val="18"/>
                <w:szCs w:val="18"/>
                <w:lang w:val="es-ES_tradnl"/>
              </w:rPr>
            </w:pPr>
          </w:p>
        </w:tc>
      </w:tr>
      <w:tr w:rsidR="00A3758E" w:rsidRPr="00F70C09" w14:paraId="2C2EE441" w14:textId="77777777" w:rsidTr="739FC7C0">
        <w:trPr>
          <w:trHeight w:val="377"/>
          <w:jc w:val="center"/>
        </w:trPr>
        <w:tc>
          <w:tcPr>
            <w:tcW w:w="13585" w:type="dxa"/>
            <w:gridSpan w:val="8"/>
            <w:tcBorders>
              <w:bottom w:val="single" w:sz="4" w:space="0" w:color="000000" w:themeColor="text1"/>
            </w:tcBorders>
            <w:shd w:val="clear" w:color="auto" w:fill="D9D9D9" w:themeFill="background1" w:themeFillShade="D9"/>
            <w:vAlign w:val="center"/>
          </w:tcPr>
          <w:p w14:paraId="4286105F" w14:textId="2595D177" w:rsidR="00A3758E" w:rsidRPr="005366BA" w:rsidRDefault="005B58E5" w:rsidP="0020339D">
            <w:pPr>
              <w:rPr>
                <w:b/>
                <w:sz w:val="18"/>
                <w:szCs w:val="18"/>
                <w:highlight w:val="yellow"/>
                <w:lang w:val="es-ES_tradnl"/>
              </w:rPr>
            </w:pPr>
            <w:r>
              <w:rPr>
                <w:b/>
                <w:sz w:val="18"/>
                <w:szCs w:val="18"/>
                <w:lang w:val="es-ES_tradnl"/>
              </w:rPr>
              <w:t>Objetivo general:</w:t>
            </w:r>
            <w:r w:rsidR="00A3758E" w:rsidRPr="005366BA">
              <w:rPr>
                <w:b/>
                <w:sz w:val="18"/>
                <w:szCs w:val="18"/>
                <w:lang w:val="es-ES_tradnl"/>
              </w:rPr>
              <w:t xml:space="preserve"> M</w:t>
            </w:r>
            <w:r w:rsidR="00A3758E" w:rsidRPr="00747B87">
              <w:rPr>
                <w:b/>
                <w:sz w:val="18"/>
                <w:szCs w:val="18"/>
                <w:lang w:val="es-ES_tradnl"/>
              </w:rPr>
              <w:t xml:space="preserve">ejora en la equidad social </w:t>
            </w:r>
            <w:r w:rsidR="0076292B">
              <w:rPr>
                <w:b/>
                <w:sz w:val="18"/>
                <w:szCs w:val="18"/>
                <w:lang w:val="es-ES_tradnl"/>
              </w:rPr>
              <w:t>con</w:t>
            </w:r>
            <w:r w:rsidR="00A3758E" w:rsidRPr="00747B87">
              <w:rPr>
                <w:b/>
                <w:bCs/>
                <w:sz w:val="18"/>
                <w:szCs w:val="18"/>
                <w:lang w:val="es-ES_tradnl"/>
              </w:rPr>
              <w:t xml:space="preserve"> sostenibilidad fiscal en Chile</w:t>
            </w:r>
          </w:p>
        </w:tc>
      </w:tr>
      <w:tr w:rsidR="00A3758E" w:rsidRPr="00F70C09" w14:paraId="4D4D4779" w14:textId="77777777" w:rsidTr="739FC7C0">
        <w:trPr>
          <w:trHeight w:val="953"/>
          <w:jc w:val="center"/>
        </w:trPr>
        <w:tc>
          <w:tcPr>
            <w:tcW w:w="2781" w:type="dxa"/>
            <w:tcBorders>
              <w:bottom w:val="single" w:sz="4" w:space="0" w:color="000000" w:themeColor="text1"/>
            </w:tcBorders>
            <w:shd w:val="clear" w:color="auto" w:fill="auto"/>
            <w:vAlign w:val="center"/>
          </w:tcPr>
          <w:p w14:paraId="1DF75FFE" w14:textId="77777777" w:rsidR="00A3758E" w:rsidRPr="00C87597" w:rsidRDefault="00A3758E" w:rsidP="00D949BF">
            <w:pPr>
              <w:pStyle w:val="ListParagraph"/>
              <w:ind w:left="0" w:firstLine="0"/>
              <w:rPr>
                <w:sz w:val="18"/>
                <w:szCs w:val="18"/>
                <w:lang w:val="es-ES_tradnl"/>
              </w:rPr>
            </w:pPr>
            <w:r w:rsidRPr="005366BA">
              <w:rPr>
                <w:sz w:val="18"/>
                <w:szCs w:val="18"/>
                <w:lang w:val="es-ES_tradnl"/>
              </w:rPr>
              <w:t>Ratio de ingreso per cápita del hogar entre el percentil 25 y el 75</w:t>
            </w:r>
          </w:p>
        </w:tc>
        <w:tc>
          <w:tcPr>
            <w:tcW w:w="1264" w:type="dxa"/>
            <w:tcBorders>
              <w:bottom w:val="single" w:sz="4" w:space="0" w:color="000000" w:themeColor="text1"/>
            </w:tcBorders>
            <w:shd w:val="clear" w:color="auto" w:fill="auto"/>
            <w:vAlign w:val="center"/>
          </w:tcPr>
          <w:p w14:paraId="362A469A" w14:textId="77777777" w:rsidR="00A3758E" w:rsidRPr="00BC1C2A" w:rsidRDefault="00A3758E" w:rsidP="0020339D">
            <w:pPr>
              <w:rPr>
                <w:sz w:val="18"/>
                <w:szCs w:val="18"/>
                <w:lang w:val="es-ES_tradnl"/>
              </w:rPr>
            </w:pPr>
            <w:r w:rsidRPr="00BC1C2A">
              <w:rPr>
                <w:sz w:val="18"/>
                <w:szCs w:val="18"/>
                <w:lang w:val="es-ES_tradnl"/>
              </w:rPr>
              <w:t>Porcentaje</w:t>
            </w:r>
          </w:p>
        </w:tc>
        <w:tc>
          <w:tcPr>
            <w:tcW w:w="769" w:type="dxa"/>
            <w:tcBorders>
              <w:bottom w:val="single" w:sz="4" w:space="0" w:color="000000" w:themeColor="text1"/>
            </w:tcBorders>
            <w:shd w:val="clear" w:color="auto" w:fill="auto"/>
            <w:vAlign w:val="center"/>
          </w:tcPr>
          <w:p w14:paraId="0EE345AF" w14:textId="7F917FE5" w:rsidR="00A3758E" w:rsidRPr="00BC1C2A" w:rsidRDefault="00A3758E" w:rsidP="0020339D">
            <w:pPr>
              <w:rPr>
                <w:sz w:val="18"/>
                <w:szCs w:val="18"/>
                <w:lang w:val="es-ES_tradnl"/>
              </w:rPr>
            </w:pPr>
            <w:r w:rsidRPr="00BC1C2A">
              <w:rPr>
                <w:sz w:val="18"/>
                <w:szCs w:val="18"/>
                <w:lang w:val="es-ES_tradnl"/>
              </w:rPr>
              <w:t>39</w:t>
            </w:r>
            <w:r w:rsidR="00BC1C2A">
              <w:rPr>
                <w:sz w:val="18"/>
                <w:szCs w:val="18"/>
                <w:lang w:val="es-ES_tradnl"/>
              </w:rPr>
              <w:t>%</w:t>
            </w:r>
          </w:p>
        </w:tc>
        <w:tc>
          <w:tcPr>
            <w:tcW w:w="724" w:type="dxa"/>
            <w:tcBorders>
              <w:bottom w:val="single" w:sz="4" w:space="0" w:color="000000" w:themeColor="text1"/>
            </w:tcBorders>
            <w:shd w:val="clear" w:color="auto" w:fill="auto"/>
            <w:vAlign w:val="center"/>
          </w:tcPr>
          <w:p w14:paraId="3FF505D8" w14:textId="77777777" w:rsidR="00A3758E" w:rsidRPr="00BC1C2A" w:rsidRDefault="00A3758E" w:rsidP="0020339D">
            <w:pPr>
              <w:rPr>
                <w:sz w:val="18"/>
                <w:szCs w:val="18"/>
                <w:lang w:val="es-ES_tradnl"/>
              </w:rPr>
            </w:pPr>
            <w:r w:rsidRPr="00BC1C2A">
              <w:rPr>
                <w:sz w:val="18"/>
                <w:szCs w:val="18"/>
                <w:lang w:val="es-ES_tradnl"/>
              </w:rPr>
              <w:t>2017</w:t>
            </w:r>
          </w:p>
        </w:tc>
        <w:tc>
          <w:tcPr>
            <w:tcW w:w="988" w:type="dxa"/>
            <w:tcBorders>
              <w:bottom w:val="single" w:sz="4" w:space="0" w:color="000000" w:themeColor="text1"/>
            </w:tcBorders>
            <w:shd w:val="clear" w:color="auto" w:fill="auto"/>
            <w:vAlign w:val="center"/>
          </w:tcPr>
          <w:p w14:paraId="35EDFCF2" w14:textId="2E62E356" w:rsidR="00A3758E" w:rsidRPr="00747B87" w:rsidRDefault="004804E9" w:rsidP="0020339D">
            <w:pPr>
              <w:rPr>
                <w:sz w:val="18"/>
                <w:szCs w:val="18"/>
                <w:lang w:val="es-ES_tradnl"/>
              </w:rPr>
            </w:pPr>
            <w:r>
              <w:rPr>
                <w:sz w:val="18"/>
                <w:szCs w:val="18"/>
                <w:lang w:val="es-ES_tradnl"/>
              </w:rPr>
              <w:t>40%</w:t>
            </w:r>
          </w:p>
        </w:tc>
        <w:tc>
          <w:tcPr>
            <w:tcW w:w="719" w:type="dxa"/>
            <w:tcBorders>
              <w:bottom w:val="single" w:sz="4" w:space="0" w:color="000000" w:themeColor="text1"/>
            </w:tcBorders>
            <w:shd w:val="clear" w:color="auto" w:fill="auto"/>
            <w:vAlign w:val="center"/>
          </w:tcPr>
          <w:p w14:paraId="060DA2B7" w14:textId="38B94B74" w:rsidR="00A3758E" w:rsidRPr="00747B87" w:rsidRDefault="00A3758E" w:rsidP="0020339D">
            <w:pPr>
              <w:rPr>
                <w:sz w:val="18"/>
                <w:szCs w:val="18"/>
                <w:lang w:val="es-ES_tradnl"/>
              </w:rPr>
            </w:pPr>
            <w:r w:rsidRPr="00747B87">
              <w:rPr>
                <w:sz w:val="18"/>
                <w:szCs w:val="18"/>
                <w:lang w:val="es-ES_tradnl"/>
              </w:rPr>
              <w:t>202</w:t>
            </w:r>
            <w:r w:rsidR="00BC1C2A">
              <w:rPr>
                <w:sz w:val="18"/>
                <w:szCs w:val="18"/>
                <w:lang w:val="es-ES_tradnl"/>
              </w:rPr>
              <w:t>3</w:t>
            </w:r>
          </w:p>
        </w:tc>
        <w:tc>
          <w:tcPr>
            <w:tcW w:w="2322" w:type="dxa"/>
            <w:tcBorders>
              <w:bottom w:val="single" w:sz="4" w:space="0" w:color="000000" w:themeColor="text1"/>
            </w:tcBorders>
            <w:shd w:val="clear" w:color="auto" w:fill="auto"/>
            <w:vAlign w:val="center"/>
          </w:tcPr>
          <w:p w14:paraId="5427EEF1" w14:textId="77777777" w:rsidR="00A3758E" w:rsidRPr="00C87597" w:rsidRDefault="00A3758E" w:rsidP="00D949BF">
            <w:pPr>
              <w:pStyle w:val="ListParagraph"/>
              <w:ind w:left="0" w:firstLine="0"/>
              <w:rPr>
                <w:sz w:val="18"/>
                <w:szCs w:val="18"/>
                <w:lang w:val="es-ES_tradnl"/>
              </w:rPr>
            </w:pPr>
            <w:r w:rsidRPr="005366BA">
              <w:rPr>
                <w:sz w:val="18"/>
                <w:szCs w:val="18"/>
                <w:lang w:val="es-ES_tradnl"/>
              </w:rPr>
              <w:t>Encuesta Nacional de Caracterización Socioeconómica (CASEN)</w:t>
            </w:r>
          </w:p>
        </w:tc>
        <w:tc>
          <w:tcPr>
            <w:tcW w:w="4018" w:type="dxa"/>
            <w:tcBorders>
              <w:bottom w:val="single" w:sz="4" w:space="0" w:color="000000" w:themeColor="text1"/>
            </w:tcBorders>
            <w:shd w:val="clear" w:color="auto" w:fill="auto"/>
            <w:vAlign w:val="center"/>
          </w:tcPr>
          <w:p w14:paraId="611DE14F" w14:textId="3C690541" w:rsidR="00A3758E" w:rsidRPr="00615FEE" w:rsidRDefault="00A3758E" w:rsidP="00897FAD">
            <w:pPr>
              <w:spacing w:after="120"/>
              <w:rPr>
                <w:sz w:val="18"/>
                <w:szCs w:val="18"/>
                <w:lang w:val="es-ES_tradnl"/>
              </w:rPr>
            </w:pPr>
            <w:r w:rsidRPr="00615FEE">
              <w:rPr>
                <w:sz w:val="18"/>
                <w:lang w:val="es-ES_tradnl"/>
              </w:rPr>
              <w:t>Nota 1: La CASEN tiene periodicidad bienal, y en las últimas dos ediciones, sus resultados se han publicado entre agosto y septiembre del año subsiguiente al levantamiento de la encuesta. Así, se espera que los resultados de la CASEN 202</w:t>
            </w:r>
            <w:r w:rsidR="00BC1C2A">
              <w:rPr>
                <w:sz w:val="18"/>
                <w:lang w:val="es-ES_tradnl"/>
              </w:rPr>
              <w:t>3</w:t>
            </w:r>
            <w:r w:rsidRPr="00615FEE">
              <w:rPr>
                <w:sz w:val="18"/>
                <w:lang w:val="es-ES_tradnl"/>
              </w:rPr>
              <w:t xml:space="preserve"> sean públicos durante el tercer trimestre de 202</w:t>
            </w:r>
            <w:r w:rsidR="00BC1C2A">
              <w:rPr>
                <w:sz w:val="18"/>
                <w:lang w:val="es-ES_tradnl"/>
              </w:rPr>
              <w:t>4</w:t>
            </w:r>
            <w:r w:rsidRPr="00615FEE">
              <w:rPr>
                <w:sz w:val="18"/>
                <w:lang w:val="es-ES_tradnl"/>
              </w:rPr>
              <w:t>.</w:t>
            </w:r>
            <w:r w:rsidRPr="00615FEE">
              <w:rPr>
                <w:sz w:val="18"/>
                <w:szCs w:val="18"/>
                <w:lang w:val="es-ES_tradnl"/>
              </w:rPr>
              <w:t xml:space="preserve"> </w:t>
            </w:r>
          </w:p>
          <w:p w14:paraId="1CFDDB46" w14:textId="6B59661B" w:rsidR="00A3758E" w:rsidRPr="00615FEE" w:rsidRDefault="00A3758E" w:rsidP="00897FAD">
            <w:pPr>
              <w:spacing w:after="120"/>
              <w:rPr>
                <w:sz w:val="18"/>
                <w:szCs w:val="18"/>
                <w:lang w:val="es-ES_tradnl"/>
              </w:rPr>
            </w:pPr>
            <w:r w:rsidRPr="00615FEE">
              <w:rPr>
                <w:sz w:val="18"/>
                <w:szCs w:val="18"/>
                <w:lang w:val="es-ES_tradnl"/>
              </w:rPr>
              <w:t xml:space="preserve">Se usará la variable incorporada oficialmente en las bases CASEN: ypch (Ingreso </w:t>
            </w:r>
            <w:r w:rsidRPr="00897FAD">
              <w:rPr>
                <w:sz w:val="18"/>
                <w:lang w:val="es-ES_tradnl"/>
              </w:rPr>
              <w:t>total</w:t>
            </w:r>
            <w:r w:rsidRPr="00615FEE">
              <w:rPr>
                <w:sz w:val="18"/>
                <w:szCs w:val="18"/>
                <w:lang w:val="es-ES_tradnl"/>
              </w:rPr>
              <w:t xml:space="preserve"> per cápita del hogar), y en Stata se aplicará el siguiente código para obtener los valores de los percentiles 25 y 75: su ypch [fw=round(factor_ci)], d</w:t>
            </w:r>
          </w:p>
          <w:p w14:paraId="52597794" w14:textId="62D47BDF" w:rsidR="00A3758E" w:rsidRPr="00615FEE" w:rsidRDefault="00C318AF" w:rsidP="00897FAD">
            <w:pPr>
              <w:spacing w:after="120"/>
              <w:rPr>
                <w:sz w:val="18"/>
                <w:lang w:val="es-ES_tradnl"/>
              </w:rPr>
            </w:pPr>
            <w:r w:rsidRPr="00615FEE">
              <w:rPr>
                <w:sz w:val="18"/>
                <w:szCs w:val="18"/>
                <w:lang w:val="es-ES_tradnl"/>
              </w:rPr>
              <w:t xml:space="preserve">Nota </w:t>
            </w:r>
            <w:r w:rsidR="005E67D1">
              <w:rPr>
                <w:sz w:val="18"/>
                <w:szCs w:val="18"/>
                <w:lang w:val="es-ES_tradnl"/>
              </w:rPr>
              <w:t>2</w:t>
            </w:r>
            <w:r w:rsidRPr="00615FEE">
              <w:rPr>
                <w:sz w:val="18"/>
                <w:szCs w:val="18"/>
                <w:lang w:val="es-ES_tradnl"/>
              </w:rPr>
              <w:t xml:space="preserve">: </w:t>
            </w:r>
            <w:r w:rsidR="004F4117" w:rsidRPr="00615FEE">
              <w:rPr>
                <w:sz w:val="18"/>
                <w:szCs w:val="18"/>
                <w:lang w:val="es-ES_tradnl"/>
              </w:rPr>
              <w:t xml:space="preserve">Dado el contexto actual con la crisis COVID y como se menciona en la matriz de riesgos, se </w:t>
            </w:r>
            <w:r w:rsidR="00CC7F04" w:rsidRPr="00615FEE">
              <w:rPr>
                <w:sz w:val="18"/>
                <w:szCs w:val="18"/>
                <w:lang w:val="es-ES_tradnl"/>
              </w:rPr>
              <w:t>considera que</w:t>
            </w:r>
            <w:r w:rsidR="002007FC" w:rsidRPr="00615FEE">
              <w:rPr>
                <w:sz w:val="18"/>
                <w:szCs w:val="18"/>
                <w:lang w:val="es-ES_tradnl"/>
              </w:rPr>
              <w:t xml:space="preserve"> la me</w:t>
            </w:r>
            <w:r w:rsidR="00727BC5">
              <w:rPr>
                <w:sz w:val="18"/>
                <w:szCs w:val="18"/>
                <w:lang w:val="es-ES_tradnl"/>
              </w:rPr>
              <w:t>jora será</w:t>
            </w:r>
            <w:r w:rsidR="00DD73E8">
              <w:rPr>
                <w:sz w:val="18"/>
                <w:szCs w:val="18"/>
                <w:lang w:val="es-ES_tradnl"/>
              </w:rPr>
              <w:t xml:space="preserve"> limitada</w:t>
            </w:r>
            <w:r w:rsidR="001636E8" w:rsidRPr="00615FEE">
              <w:rPr>
                <w:sz w:val="18"/>
                <w:szCs w:val="18"/>
                <w:lang w:val="es-ES_tradnl"/>
              </w:rPr>
              <w:t>. Esta estimación se basa en una revisión de las tasas de crecimiento anuales del PIB y la evolución de este ratio en las encuestas CASEN 2013, 2015 y 2017.</w:t>
            </w:r>
          </w:p>
        </w:tc>
      </w:tr>
      <w:tr w:rsidR="0083374D" w:rsidRPr="00F70C09" w14:paraId="0C89E05E" w14:textId="77777777" w:rsidTr="739FC7C0">
        <w:trPr>
          <w:trHeight w:val="953"/>
          <w:jc w:val="center"/>
        </w:trPr>
        <w:tc>
          <w:tcPr>
            <w:tcW w:w="2781" w:type="dxa"/>
            <w:tcBorders>
              <w:bottom w:val="single" w:sz="4" w:space="0" w:color="000000" w:themeColor="text1"/>
            </w:tcBorders>
            <w:shd w:val="clear" w:color="auto" w:fill="auto"/>
            <w:vAlign w:val="center"/>
          </w:tcPr>
          <w:p w14:paraId="5D36394D" w14:textId="477ED666" w:rsidR="0083374D" w:rsidRPr="005366BA" w:rsidRDefault="0083374D" w:rsidP="00D949BF">
            <w:pPr>
              <w:pStyle w:val="ListParagraph"/>
              <w:ind w:left="0" w:firstLine="0"/>
              <w:rPr>
                <w:sz w:val="18"/>
                <w:szCs w:val="18"/>
                <w:lang w:val="es-ES_tradnl"/>
              </w:rPr>
            </w:pPr>
            <w:r w:rsidRPr="005366BA">
              <w:rPr>
                <w:sz w:val="18"/>
                <w:szCs w:val="18"/>
                <w:lang w:val="es-ES_tradnl"/>
              </w:rPr>
              <w:t xml:space="preserve">Ratio de ingreso </w:t>
            </w:r>
            <w:r w:rsidR="008F3999">
              <w:rPr>
                <w:sz w:val="18"/>
                <w:szCs w:val="18"/>
                <w:lang w:val="es-ES_tradnl"/>
              </w:rPr>
              <w:t>laboral</w:t>
            </w:r>
            <w:r w:rsidRPr="005366BA">
              <w:rPr>
                <w:sz w:val="18"/>
                <w:szCs w:val="18"/>
                <w:lang w:val="es-ES_tradnl"/>
              </w:rPr>
              <w:t xml:space="preserve"> de</w:t>
            </w:r>
            <w:r w:rsidR="008F3999">
              <w:rPr>
                <w:sz w:val="18"/>
                <w:szCs w:val="18"/>
                <w:lang w:val="es-ES_tradnl"/>
              </w:rPr>
              <w:t xml:space="preserve"> trabajadores formales</w:t>
            </w:r>
            <w:r w:rsidRPr="005366BA">
              <w:rPr>
                <w:sz w:val="18"/>
                <w:szCs w:val="18"/>
                <w:lang w:val="es-ES_tradnl"/>
              </w:rPr>
              <w:t xml:space="preserve"> entre el percentil 25 y el 75</w:t>
            </w:r>
          </w:p>
        </w:tc>
        <w:tc>
          <w:tcPr>
            <w:tcW w:w="1264" w:type="dxa"/>
            <w:tcBorders>
              <w:bottom w:val="single" w:sz="4" w:space="0" w:color="000000" w:themeColor="text1"/>
            </w:tcBorders>
            <w:shd w:val="clear" w:color="auto" w:fill="auto"/>
            <w:vAlign w:val="center"/>
          </w:tcPr>
          <w:p w14:paraId="04412A59" w14:textId="3FB0A974" w:rsidR="0083374D" w:rsidRPr="00747B87" w:rsidRDefault="00C23041" w:rsidP="0020339D">
            <w:pPr>
              <w:rPr>
                <w:sz w:val="18"/>
                <w:szCs w:val="18"/>
                <w:lang w:val="es-ES_tradnl"/>
              </w:rPr>
            </w:pPr>
            <w:r>
              <w:rPr>
                <w:sz w:val="18"/>
                <w:szCs w:val="18"/>
                <w:lang w:val="es-ES_tradnl"/>
              </w:rPr>
              <w:t>Porcentaje</w:t>
            </w:r>
          </w:p>
        </w:tc>
        <w:tc>
          <w:tcPr>
            <w:tcW w:w="769" w:type="dxa"/>
            <w:tcBorders>
              <w:bottom w:val="single" w:sz="4" w:space="0" w:color="000000" w:themeColor="text1"/>
            </w:tcBorders>
            <w:shd w:val="clear" w:color="auto" w:fill="auto"/>
            <w:vAlign w:val="center"/>
          </w:tcPr>
          <w:p w14:paraId="530256F9" w14:textId="072D8FFB" w:rsidR="0083374D" w:rsidRPr="00747B87" w:rsidRDefault="3BFC1BFD" w:rsidP="00F70C09">
            <w:pPr>
              <w:spacing w:line="259" w:lineRule="auto"/>
              <w:rPr>
                <w:sz w:val="18"/>
                <w:szCs w:val="18"/>
                <w:lang w:val="es-ES"/>
              </w:rPr>
            </w:pPr>
            <w:r w:rsidRPr="739FC7C0">
              <w:rPr>
                <w:sz w:val="18"/>
                <w:szCs w:val="18"/>
                <w:lang w:val="es-ES"/>
              </w:rPr>
              <w:t>39%</w:t>
            </w:r>
          </w:p>
        </w:tc>
        <w:tc>
          <w:tcPr>
            <w:tcW w:w="724" w:type="dxa"/>
            <w:tcBorders>
              <w:bottom w:val="single" w:sz="4" w:space="0" w:color="000000" w:themeColor="text1"/>
            </w:tcBorders>
            <w:shd w:val="clear" w:color="auto" w:fill="auto"/>
            <w:vAlign w:val="center"/>
          </w:tcPr>
          <w:p w14:paraId="1BCF629B" w14:textId="19F404FB" w:rsidR="0083374D" w:rsidRPr="00747B87" w:rsidRDefault="00295F9E" w:rsidP="0020339D">
            <w:pPr>
              <w:rPr>
                <w:sz w:val="18"/>
                <w:szCs w:val="18"/>
                <w:lang w:val="es-ES_tradnl"/>
              </w:rPr>
            </w:pPr>
            <w:r>
              <w:rPr>
                <w:sz w:val="18"/>
                <w:szCs w:val="18"/>
                <w:lang w:val="es-ES_tradnl"/>
              </w:rPr>
              <w:t>2019</w:t>
            </w:r>
          </w:p>
        </w:tc>
        <w:tc>
          <w:tcPr>
            <w:tcW w:w="988" w:type="dxa"/>
            <w:tcBorders>
              <w:bottom w:val="single" w:sz="4" w:space="0" w:color="000000" w:themeColor="text1"/>
            </w:tcBorders>
            <w:shd w:val="clear" w:color="auto" w:fill="auto"/>
            <w:vAlign w:val="center"/>
          </w:tcPr>
          <w:p w14:paraId="7E06871B" w14:textId="01B860BB" w:rsidR="0083374D" w:rsidRPr="00747B87" w:rsidRDefault="14A41A9A" w:rsidP="739FC7C0">
            <w:pPr>
              <w:rPr>
                <w:sz w:val="18"/>
                <w:szCs w:val="18"/>
                <w:lang w:val="es-ES"/>
              </w:rPr>
            </w:pPr>
            <w:r w:rsidRPr="739FC7C0">
              <w:rPr>
                <w:sz w:val="18"/>
                <w:szCs w:val="18"/>
                <w:lang w:val="es-ES"/>
              </w:rPr>
              <w:t>40%</w:t>
            </w:r>
          </w:p>
        </w:tc>
        <w:tc>
          <w:tcPr>
            <w:tcW w:w="719" w:type="dxa"/>
            <w:tcBorders>
              <w:bottom w:val="single" w:sz="4" w:space="0" w:color="000000" w:themeColor="text1"/>
            </w:tcBorders>
            <w:shd w:val="clear" w:color="auto" w:fill="auto"/>
            <w:vAlign w:val="center"/>
          </w:tcPr>
          <w:p w14:paraId="5B7A1CDB" w14:textId="32249AC6" w:rsidR="0083374D" w:rsidRPr="00747B87" w:rsidRDefault="00BC1C2A" w:rsidP="0020339D">
            <w:pPr>
              <w:rPr>
                <w:sz w:val="18"/>
                <w:szCs w:val="18"/>
                <w:lang w:val="es-ES_tradnl"/>
              </w:rPr>
            </w:pPr>
            <w:r>
              <w:rPr>
                <w:sz w:val="18"/>
                <w:szCs w:val="18"/>
                <w:lang w:val="es-ES_tradnl"/>
              </w:rPr>
              <w:t>2023</w:t>
            </w:r>
          </w:p>
        </w:tc>
        <w:tc>
          <w:tcPr>
            <w:tcW w:w="2322" w:type="dxa"/>
            <w:tcBorders>
              <w:bottom w:val="single" w:sz="4" w:space="0" w:color="000000" w:themeColor="text1"/>
            </w:tcBorders>
            <w:shd w:val="clear" w:color="auto" w:fill="auto"/>
            <w:vAlign w:val="center"/>
          </w:tcPr>
          <w:p w14:paraId="76B1D5BF" w14:textId="23BC7C9D" w:rsidR="0083374D" w:rsidRPr="005366BA" w:rsidRDefault="00363615" w:rsidP="00D949BF">
            <w:pPr>
              <w:pStyle w:val="ListParagraph"/>
              <w:ind w:left="0" w:firstLine="0"/>
              <w:rPr>
                <w:sz w:val="18"/>
                <w:szCs w:val="18"/>
                <w:lang w:val="es-ES_tradnl"/>
              </w:rPr>
            </w:pPr>
            <w:r>
              <w:rPr>
                <w:sz w:val="18"/>
                <w:szCs w:val="18"/>
                <w:lang w:val="es-ES_tradnl"/>
              </w:rPr>
              <w:t>Datos administrativos del Seguro de Cesantía procesados por DIPRES</w:t>
            </w:r>
          </w:p>
        </w:tc>
        <w:tc>
          <w:tcPr>
            <w:tcW w:w="4018" w:type="dxa"/>
            <w:tcBorders>
              <w:bottom w:val="single" w:sz="4" w:space="0" w:color="000000" w:themeColor="text1"/>
            </w:tcBorders>
            <w:shd w:val="clear" w:color="auto" w:fill="auto"/>
            <w:vAlign w:val="center"/>
          </w:tcPr>
          <w:p w14:paraId="1F61F893" w14:textId="233B14AC" w:rsidR="0083374D" w:rsidRPr="005E67D1" w:rsidRDefault="005E67D1" w:rsidP="00897FAD">
            <w:pPr>
              <w:spacing w:after="120"/>
              <w:rPr>
                <w:sz w:val="18"/>
                <w:lang w:val="es-ES_tradnl"/>
              </w:rPr>
            </w:pPr>
            <w:r w:rsidRPr="005E67D1">
              <w:rPr>
                <w:sz w:val="18"/>
                <w:lang w:val="es-ES_tradnl"/>
              </w:rPr>
              <w:t xml:space="preserve">Nota </w:t>
            </w:r>
            <w:r>
              <w:rPr>
                <w:sz w:val="18"/>
                <w:lang w:val="es-ES_tradnl"/>
              </w:rPr>
              <w:t>3</w:t>
            </w:r>
            <w:r w:rsidRPr="005E67D1">
              <w:rPr>
                <w:sz w:val="18"/>
                <w:lang w:val="es-ES_tradnl"/>
              </w:rPr>
              <w:t xml:space="preserve">: </w:t>
            </w:r>
            <w:r w:rsidRPr="00F6400E">
              <w:rPr>
                <w:sz w:val="18"/>
                <w:lang w:val="es-ES_tradnl"/>
              </w:rPr>
              <w:t>línea de base (LB) por determinar al 31</w:t>
            </w:r>
            <w:r w:rsidR="00F70C09">
              <w:rPr>
                <w:sz w:val="18"/>
                <w:lang w:val="es-ES_tradnl"/>
              </w:rPr>
              <w:t> </w:t>
            </w:r>
            <w:r w:rsidRPr="00F6400E">
              <w:rPr>
                <w:sz w:val="18"/>
                <w:lang w:val="es-ES_tradnl"/>
              </w:rPr>
              <w:t>de mayo.</w:t>
            </w:r>
          </w:p>
        </w:tc>
      </w:tr>
      <w:tr w:rsidR="00A3758E" w:rsidRPr="00F70C09" w14:paraId="3B1BCD43" w14:textId="77777777" w:rsidTr="739FC7C0">
        <w:trPr>
          <w:trHeight w:val="953"/>
          <w:jc w:val="center"/>
        </w:trPr>
        <w:tc>
          <w:tcPr>
            <w:tcW w:w="2781" w:type="dxa"/>
            <w:tcBorders>
              <w:bottom w:val="single" w:sz="4" w:space="0" w:color="000000" w:themeColor="text1"/>
            </w:tcBorders>
            <w:shd w:val="clear" w:color="auto" w:fill="auto"/>
            <w:vAlign w:val="center"/>
          </w:tcPr>
          <w:p w14:paraId="28BBDD93" w14:textId="22471812" w:rsidR="00A3758E" w:rsidRPr="00C87597" w:rsidRDefault="00A3758E" w:rsidP="00D949BF">
            <w:pPr>
              <w:pStyle w:val="ListParagraph"/>
              <w:ind w:left="0" w:firstLine="0"/>
              <w:rPr>
                <w:lang w:val="es-ES_tradnl"/>
              </w:rPr>
            </w:pPr>
            <w:r w:rsidRPr="005366BA">
              <w:rPr>
                <w:sz w:val="18"/>
                <w:szCs w:val="18"/>
                <w:lang w:val="es-ES_tradnl"/>
              </w:rPr>
              <w:t xml:space="preserve">Balance </w:t>
            </w:r>
            <w:r w:rsidRPr="00C87597">
              <w:rPr>
                <w:sz w:val="18"/>
                <w:szCs w:val="18"/>
                <w:lang w:val="es-ES_tradnl"/>
              </w:rPr>
              <w:t>estructural de las finanzas p</w:t>
            </w:r>
            <w:r w:rsidR="0098236B">
              <w:rPr>
                <w:sz w:val="18"/>
                <w:szCs w:val="18"/>
                <w:lang w:val="es-ES_tradnl"/>
              </w:rPr>
              <w:t>ú</w:t>
            </w:r>
            <w:r w:rsidRPr="00C87597">
              <w:rPr>
                <w:sz w:val="18"/>
                <w:szCs w:val="18"/>
                <w:lang w:val="es-ES_tradnl"/>
              </w:rPr>
              <w:t>blicas</w:t>
            </w:r>
          </w:p>
        </w:tc>
        <w:tc>
          <w:tcPr>
            <w:tcW w:w="1264" w:type="dxa"/>
            <w:tcBorders>
              <w:bottom w:val="single" w:sz="4" w:space="0" w:color="000000" w:themeColor="text1"/>
            </w:tcBorders>
            <w:shd w:val="clear" w:color="auto" w:fill="auto"/>
            <w:vAlign w:val="center"/>
          </w:tcPr>
          <w:p w14:paraId="4A302A77" w14:textId="77777777" w:rsidR="00A3758E" w:rsidRPr="00747B87" w:rsidRDefault="00A3758E" w:rsidP="0020339D">
            <w:pPr>
              <w:rPr>
                <w:sz w:val="18"/>
                <w:szCs w:val="18"/>
                <w:lang w:val="es-ES_tradnl"/>
              </w:rPr>
            </w:pPr>
            <w:r w:rsidRPr="00747B87">
              <w:rPr>
                <w:sz w:val="18"/>
                <w:szCs w:val="18"/>
                <w:lang w:val="es-ES_tradnl"/>
              </w:rPr>
              <w:t>Porcentaje</w:t>
            </w:r>
          </w:p>
        </w:tc>
        <w:tc>
          <w:tcPr>
            <w:tcW w:w="769" w:type="dxa"/>
            <w:tcBorders>
              <w:bottom w:val="single" w:sz="4" w:space="0" w:color="000000" w:themeColor="text1"/>
            </w:tcBorders>
            <w:shd w:val="clear" w:color="auto" w:fill="auto"/>
            <w:vAlign w:val="center"/>
          </w:tcPr>
          <w:p w14:paraId="34D9FDCF" w14:textId="77777777" w:rsidR="00A3758E" w:rsidRPr="00747B87" w:rsidRDefault="00A3758E" w:rsidP="0020339D">
            <w:pPr>
              <w:rPr>
                <w:sz w:val="18"/>
                <w:szCs w:val="18"/>
                <w:lang w:val="es-ES_tradnl"/>
              </w:rPr>
            </w:pPr>
            <w:r w:rsidRPr="00747B87">
              <w:rPr>
                <w:sz w:val="18"/>
                <w:szCs w:val="18"/>
                <w:lang w:val="es-ES_tradnl"/>
              </w:rPr>
              <w:t>-1,5%</w:t>
            </w:r>
          </w:p>
        </w:tc>
        <w:tc>
          <w:tcPr>
            <w:tcW w:w="724" w:type="dxa"/>
            <w:tcBorders>
              <w:bottom w:val="single" w:sz="4" w:space="0" w:color="000000" w:themeColor="text1"/>
            </w:tcBorders>
            <w:shd w:val="clear" w:color="auto" w:fill="auto"/>
            <w:vAlign w:val="center"/>
          </w:tcPr>
          <w:p w14:paraId="29EABB3A" w14:textId="77777777" w:rsidR="00A3758E" w:rsidRPr="00747B87" w:rsidRDefault="00A3758E" w:rsidP="0020339D">
            <w:pPr>
              <w:rPr>
                <w:sz w:val="18"/>
                <w:szCs w:val="18"/>
                <w:lang w:val="es-ES_tradnl" w:eastAsia="zh-CN"/>
              </w:rPr>
            </w:pPr>
            <w:r w:rsidRPr="00747B87">
              <w:rPr>
                <w:sz w:val="18"/>
                <w:szCs w:val="18"/>
                <w:lang w:val="es-ES_tradnl" w:eastAsia="zh-CN"/>
              </w:rPr>
              <w:t>2019</w:t>
            </w:r>
          </w:p>
        </w:tc>
        <w:tc>
          <w:tcPr>
            <w:tcW w:w="988" w:type="dxa"/>
            <w:tcBorders>
              <w:bottom w:val="single" w:sz="4" w:space="0" w:color="000000" w:themeColor="text1"/>
            </w:tcBorders>
            <w:shd w:val="clear" w:color="auto" w:fill="auto"/>
            <w:vAlign w:val="center"/>
          </w:tcPr>
          <w:p w14:paraId="2D1D6F6C" w14:textId="77777777" w:rsidR="00A3758E" w:rsidRPr="00747B87" w:rsidRDefault="00A3758E" w:rsidP="0020339D">
            <w:pPr>
              <w:rPr>
                <w:sz w:val="18"/>
                <w:szCs w:val="18"/>
                <w:lang w:val="es-ES_tradnl"/>
              </w:rPr>
            </w:pPr>
            <w:r w:rsidRPr="00747B87">
              <w:rPr>
                <w:sz w:val="18"/>
                <w:szCs w:val="18"/>
                <w:lang w:val="es-ES_tradnl"/>
              </w:rPr>
              <w:t>-1,5%</w:t>
            </w:r>
          </w:p>
        </w:tc>
        <w:tc>
          <w:tcPr>
            <w:tcW w:w="719" w:type="dxa"/>
            <w:tcBorders>
              <w:bottom w:val="single" w:sz="4" w:space="0" w:color="000000" w:themeColor="text1"/>
            </w:tcBorders>
            <w:shd w:val="clear" w:color="auto" w:fill="auto"/>
            <w:vAlign w:val="center"/>
          </w:tcPr>
          <w:p w14:paraId="5D48436C" w14:textId="1C7340A2" w:rsidR="00A3758E" w:rsidRPr="00747B87" w:rsidRDefault="00A3758E" w:rsidP="0020339D">
            <w:pPr>
              <w:rPr>
                <w:color w:val="000000"/>
                <w:sz w:val="18"/>
                <w:szCs w:val="18"/>
                <w:lang w:val="es-ES_tradnl"/>
              </w:rPr>
            </w:pPr>
            <w:r w:rsidRPr="00747B87">
              <w:rPr>
                <w:color w:val="000000"/>
                <w:sz w:val="18"/>
                <w:szCs w:val="18"/>
                <w:lang w:val="es-ES_tradnl"/>
              </w:rPr>
              <w:t>202</w:t>
            </w:r>
            <w:r w:rsidR="0083374D">
              <w:rPr>
                <w:color w:val="000000"/>
                <w:sz w:val="18"/>
                <w:szCs w:val="18"/>
                <w:lang w:val="es-ES_tradnl"/>
              </w:rPr>
              <w:t>3</w:t>
            </w:r>
          </w:p>
        </w:tc>
        <w:tc>
          <w:tcPr>
            <w:tcW w:w="2322" w:type="dxa"/>
            <w:tcBorders>
              <w:bottom w:val="single" w:sz="4" w:space="0" w:color="000000" w:themeColor="text1"/>
            </w:tcBorders>
            <w:shd w:val="clear" w:color="auto" w:fill="auto"/>
            <w:vAlign w:val="center"/>
          </w:tcPr>
          <w:p w14:paraId="384F6120" w14:textId="77777777" w:rsidR="00A3758E" w:rsidRPr="00747B87" w:rsidRDefault="00A3758E" w:rsidP="00D949BF">
            <w:pPr>
              <w:pStyle w:val="ListParagraph"/>
              <w:ind w:left="0" w:hanging="36"/>
              <w:rPr>
                <w:sz w:val="18"/>
                <w:szCs w:val="18"/>
                <w:lang w:val="es-ES_tradnl"/>
              </w:rPr>
            </w:pPr>
            <w:r w:rsidRPr="00747B87">
              <w:rPr>
                <w:sz w:val="18"/>
                <w:szCs w:val="18"/>
                <w:lang w:val="es-ES_tradnl"/>
              </w:rPr>
              <w:t>Informe de Finanzas Públicas emitido por DIPRES Trimestralmente</w:t>
            </w:r>
          </w:p>
        </w:tc>
        <w:tc>
          <w:tcPr>
            <w:tcW w:w="4018" w:type="dxa"/>
            <w:tcBorders>
              <w:bottom w:val="single" w:sz="4" w:space="0" w:color="000000" w:themeColor="text1"/>
            </w:tcBorders>
            <w:shd w:val="clear" w:color="auto" w:fill="auto"/>
            <w:vAlign w:val="center"/>
          </w:tcPr>
          <w:p w14:paraId="3394020C" w14:textId="2C94D111" w:rsidR="00A3758E" w:rsidRPr="00615FEE" w:rsidRDefault="00A3758E" w:rsidP="00897FAD">
            <w:pPr>
              <w:spacing w:after="120"/>
              <w:rPr>
                <w:sz w:val="18"/>
                <w:szCs w:val="18"/>
                <w:lang w:val="es-ES_tradnl"/>
              </w:rPr>
            </w:pPr>
            <w:r w:rsidRPr="00615FEE">
              <w:rPr>
                <w:sz w:val="18"/>
                <w:szCs w:val="18"/>
                <w:lang w:val="es-ES_tradnl"/>
              </w:rPr>
              <w:t>Se espera que balance estructural alcance un déficit de 3,</w:t>
            </w:r>
            <w:r w:rsidR="0076292B">
              <w:rPr>
                <w:sz w:val="18"/>
                <w:szCs w:val="18"/>
                <w:lang w:val="es-ES_tradnl"/>
              </w:rPr>
              <w:t>5</w:t>
            </w:r>
            <w:r w:rsidRPr="00615FEE">
              <w:rPr>
                <w:sz w:val="18"/>
                <w:szCs w:val="18"/>
                <w:lang w:val="es-ES_tradnl"/>
              </w:rPr>
              <w:t>% del PIB en 2020, para reducirse posteriormente a déficits de 2,5% en 2021, y 2% en 2022.</w:t>
            </w:r>
          </w:p>
          <w:p w14:paraId="584DC8C3" w14:textId="43CEB079" w:rsidR="00A3758E" w:rsidRPr="00615FEE" w:rsidRDefault="00615FEE" w:rsidP="00897FAD">
            <w:pPr>
              <w:spacing w:after="120"/>
              <w:rPr>
                <w:sz w:val="18"/>
                <w:szCs w:val="18"/>
                <w:lang w:val="es-ES_tradnl"/>
              </w:rPr>
            </w:pPr>
            <w:r w:rsidRPr="00897FAD">
              <w:rPr>
                <w:sz w:val="18"/>
                <w:szCs w:val="18"/>
                <w:lang w:val="es-ES_tradnl"/>
              </w:rPr>
              <w:t xml:space="preserve">Las medidas encaminadas a mejorar la calidad de gasto permiten incrementar los fondos asignados a la Agenda Social sin incrementar de manera insostenible el gasto total del Gobierno. Esto se realiza </w:t>
            </w:r>
            <w:r w:rsidR="00B6449C">
              <w:rPr>
                <w:sz w:val="18"/>
                <w:szCs w:val="18"/>
                <w:lang w:val="es-ES_tradnl"/>
              </w:rPr>
              <w:t xml:space="preserve">en gran medida </w:t>
            </w:r>
            <w:r w:rsidRPr="00897FAD">
              <w:rPr>
                <w:sz w:val="18"/>
                <w:szCs w:val="18"/>
                <w:lang w:val="es-ES_tradnl"/>
              </w:rPr>
              <w:t>reasignando fondos de partidas de menor prioridad o peor desempeño a los componentes de la Agenda Social.</w:t>
            </w:r>
          </w:p>
        </w:tc>
      </w:tr>
    </w:tbl>
    <w:p w14:paraId="00FDAB9C" w14:textId="77777777" w:rsidR="00733E6D" w:rsidRPr="00747B87" w:rsidRDefault="00733E6D">
      <w:pPr>
        <w:spacing w:line="278" w:lineRule="auto"/>
        <w:rPr>
          <w:sz w:val="18"/>
          <w:lang w:val="es-ES_tradnl"/>
        </w:rPr>
        <w:sectPr w:rsidR="00733E6D" w:rsidRPr="00747B87" w:rsidSect="00897FAD">
          <w:pgSz w:w="15840" w:h="12240" w:orient="landscape"/>
          <w:pgMar w:top="1200" w:right="960" w:bottom="280" w:left="960" w:header="725" w:footer="0" w:gutter="0"/>
          <w:pgNumType w:start="10"/>
          <w:cols w:space="720"/>
        </w:sectPr>
      </w:pPr>
    </w:p>
    <w:p w14:paraId="20966A83" w14:textId="77777777" w:rsidR="00A3758E" w:rsidRPr="00747B87" w:rsidRDefault="00A3758E" w:rsidP="00D949BF">
      <w:pPr>
        <w:rPr>
          <w:b/>
          <w:smallCaps/>
          <w:szCs w:val="18"/>
          <w:lang w:val="es-ES_tradnl"/>
        </w:rPr>
      </w:pPr>
      <w:r w:rsidRPr="00747B87">
        <w:rPr>
          <w:b/>
          <w:smallCaps/>
          <w:szCs w:val="18"/>
          <w:lang w:val="es-ES_tradnl"/>
        </w:rPr>
        <w:lastRenderedPageBreak/>
        <w:t>Resultados</w:t>
      </w:r>
    </w:p>
    <w:p w14:paraId="4580D5CB" w14:textId="77777777" w:rsidR="00A3758E" w:rsidRPr="00747B87" w:rsidRDefault="00A3758E" w:rsidP="00A3758E">
      <w:pPr>
        <w:jc w:val="center"/>
        <w:rPr>
          <w:sz w:val="20"/>
          <w:szCs w:val="16"/>
          <w:lang w:val="es-ES_tradnl"/>
        </w:rPr>
      </w:pPr>
    </w:p>
    <w:tbl>
      <w:tblPr>
        <w:tblW w:w="13788"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770"/>
        <w:gridCol w:w="1577"/>
        <w:gridCol w:w="1386"/>
        <w:gridCol w:w="1232"/>
        <w:gridCol w:w="1408"/>
        <w:gridCol w:w="1418"/>
        <w:gridCol w:w="1837"/>
        <w:gridCol w:w="2150"/>
        <w:gridCol w:w="10"/>
      </w:tblGrid>
      <w:tr w:rsidR="00A3758E" w:rsidRPr="00747B87" w14:paraId="15E6F2ED" w14:textId="77777777" w:rsidTr="739FC7C0">
        <w:trPr>
          <w:gridAfter w:val="1"/>
          <w:wAfter w:w="10" w:type="dxa"/>
          <w:tblHeader/>
          <w:jc w:val="center"/>
        </w:trPr>
        <w:tc>
          <w:tcPr>
            <w:tcW w:w="2770" w:type="dxa"/>
            <w:vMerge w:val="restart"/>
            <w:tcBorders>
              <w:top w:val="single" w:sz="4" w:space="0" w:color="auto"/>
              <w:left w:val="single" w:sz="4" w:space="0" w:color="auto"/>
              <w:bottom w:val="single" w:sz="4" w:space="0" w:color="auto"/>
            </w:tcBorders>
            <w:shd w:val="clear" w:color="auto" w:fill="95B3D7" w:themeFill="accent1" w:themeFillTint="99"/>
            <w:vAlign w:val="center"/>
          </w:tcPr>
          <w:p w14:paraId="7A969B0B" w14:textId="77777777" w:rsidR="00A3758E" w:rsidRPr="00747B87" w:rsidRDefault="00A3758E" w:rsidP="0020339D">
            <w:pPr>
              <w:ind w:left="-378" w:firstLine="378"/>
              <w:jc w:val="center"/>
              <w:rPr>
                <w:b/>
                <w:sz w:val="18"/>
                <w:szCs w:val="18"/>
                <w:lang w:val="es-ES_tradnl"/>
              </w:rPr>
            </w:pPr>
            <w:r w:rsidRPr="00747B87">
              <w:rPr>
                <w:b/>
                <w:sz w:val="18"/>
                <w:szCs w:val="18"/>
                <w:lang w:val="es-ES_tradnl"/>
              </w:rPr>
              <w:t>Indicadores</w:t>
            </w:r>
          </w:p>
        </w:tc>
        <w:tc>
          <w:tcPr>
            <w:tcW w:w="1577" w:type="dxa"/>
            <w:vMerge w:val="restart"/>
            <w:tcBorders>
              <w:top w:val="single" w:sz="4" w:space="0" w:color="auto"/>
              <w:bottom w:val="single" w:sz="4" w:space="0" w:color="auto"/>
            </w:tcBorders>
            <w:shd w:val="clear" w:color="auto" w:fill="95B3D7" w:themeFill="accent1" w:themeFillTint="99"/>
            <w:vAlign w:val="center"/>
          </w:tcPr>
          <w:p w14:paraId="7EC6EE14" w14:textId="77777777" w:rsidR="00A3758E" w:rsidRPr="00747B87" w:rsidRDefault="00A3758E" w:rsidP="0020339D">
            <w:pPr>
              <w:ind w:left="-378" w:firstLine="378"/>
              <w:jc w:val="center"/>
              <w:rPr>
                <w:b/>
                <w:sz w:val="18"/>
                <w:szCs w:val="18"/>
                <w:lang w:val="es-ES_tradnl"/>
              </w:rPr>
            </w:pPr>
            <w:r w:rsidRPr="00747B87">
              <w:rPr>
                <w:b/>
                <w:sz w:val="18"/>
                <w:szCs w:val="18"/>
                <w:lang w:val="es-ES_tradnl"/>
              </w:rPr>
              <w:t xml:space="preserve">Unidad </w:t>
            </w:r>
          </w:p>
        </w:tc>
        <w:tc>
          <w:tcPr>
            <w:tcW w:w="2618" w:type="dxa"/>
            <w:gridSpan w:val="2"/>
            <w:tcBorders>
              <w:top w:val="single" w:sz="4" w:space="0" w:color="auto"/>
              <w:bottom w:val="single" w:sz="4" w:space="0" w:color="auto"/>
            </w:tcBorders>
            <w:shd w:val="clear" w:color="auto" w:fill="95B3D7" w:themeFill="accent1" w:themeFillTint="99"/>
            <w:vAlign w:val="center"/>
          </w:tcPr>
          <w:p w14:paraId="30A8637D" w14:textId="77777777" w:rsidR="00A3758E" w:rsidRPr="00747B87" w:rsidRDefault="00A3758E" w:rsidP="0020339D">
            <w:pPr>
              <w:ind w:left="-378" w:firstLine="378"/>
              <w:jc w:val="center"/>
              <w:rPr>
                <w:b/>
                <w:sz w:val="18"/>
                <w:szCs w:val="18"/>
                <w:lang w:val="es-ES_tradnl"/>
              </w:rPr>
            </w:pPr>
            <w:r w:rsidRPr="00747B87">
              <w:rPr>
                <w:b/>
                <w:sz w:val="18"/>
                <w:szCs w:val="18"/>
                <w:lang w:val="es-ES_tradnl"/>
              </w:rPr>
              <w:t>Línea de base</w:t>
            </w:r>
          </w:p>
        </w:tc>
        <w:tc>
          <w:tcPr>
            <w:tcW w:w="2826" w:type="dxa"/>
            <w:gridSpan w:val="2"/>
            <w:tcBorders>
              <w:top w:val="single" w:sz="4" w:space="0" w:color="auto"/>
              <w:bottom w:val="single" w:sz="4" w:space="0" w:color="auto"/>
            </w:tcBorders>
            <w:shd w:val="clear" w:color="auto" w:fill="95B3D7" w:themeFill="accent1" w:themeFillTint="99"/>
            <w:vAlign w:val="center"/>
          </w:tcPr>
          <w:p w14:paraId="46FD6D61" w14:textId="77777777" w:rsidR="00A3758E" w:rsidRPr="00747B87" w:rsidRDefault="00A3758E" w:rsidP="0020339D">
            <w:pPr>
              <w:ind w:left="-378" w:firstLine="378"/>
              <w:jc w:val="center"/>
              <w:rPr>
                <w:b/>
                <w:sz w:val="18"/>
                <w:szCs w:val="18"/>
                <w:lang w:val="es-ES_tradnl"/>
              </w:rPr>
            </w:pPr>
            <w:r w:rsidRPr="00747B87">
              <w:rPr>
                <w:b/>
                <w:sz w:val="18"/>
                <w:szCs w:val="18"/>
                <w:lang w:val="es-ES_tradnl"/>
              </w:rPr>
              <w:t>Metas</w:t>
            </w:r>
          </w:p>
        </w:tc>
        <w:tc>
          <w:tcPr>
            <w:tcW w:w="1837" w:type="dxa"/>
            <w:vMerge w:val="restart"/>
            <w:tcBorders>
              <w:top w:val="single" w:sz="4" w:space="0" w:color="auto"/>
              <w:bottom w:val="single" w:sz="4" w:space="0" w:color="auto"/>
            </w:tcBorders>
            <w:shd w:val="clear" w:color="auto" w:fill="95B3D7" w:themeFill="accent1" w:themeFillTint="99"/>
            <w:vAlign w:val="center"/>
          </w:tcPr>
          <w:p w14:paraId="0359FA35" w14:textId="77777777" w:rsidR="00A3758E" w:rsidRPr="00747B87" w:rsidRDefault="00A3758E" w:rsidP="0020339D">
            <w:pPr>
              <w:ind w:left="-378" w:firstLine="378"/>
              <w:jc w:val="center"/>
              <w:rPr>
                <w:b/>
                <w:sz w:val="18"/>
                <w:szCs w:val="18"/>
                <w:lang w:val="es-ES_tradnl"/>
              </w:rPr>
            </w:pPr>
            <w:r w:rsidRPr="00747B87">
              <w:rPr>
                <w:b/>
                <w:sz w:val="18"/>
                <w:szCs w:val="18"/>
                <w:lang w:val="es-ES_tradnl"/>
              </w:rPr>
              <w:t xml:space="preserve">Fuente/Medio de </w:t>
            </w:r>
          </w:p>
          <w:p w14:paraId="2DE0802C" w14:textId="77777777" w:rsidR="00A3758E" w:rsidRPr="00747B87" w:rsidRDefault="00A3758E" w:rsidP="0020339D">
            <w:pPr>
              <w:ind w:left="-378" w:firstLine="378"/>
              <w:jc w:val="center"/>
              <w:rPr>
                <w:b/>
                <w:sz w:val="18"/>
                <w:szCs w:val="18"/>
                <w:lang w:val="es-ES_tradnl"/>
              </w:rPr>
            </w:pPr>
            <w:r w:rsidRPr="00747B87">
              <w:rPr>
                <w:b/>
                <w:sz w:val="18"/>
                <w:szCs w:val="18"/>
                <w:lang w:val="es-ES_tradnl"/>
              </w:rPr>
              <w:t>verificación</w:t>
            </w:r>
          </w:p>
        </w:tc>
        <w:tc>
          <w:tcPr>
            <w:tcW w:w="2150" w:type="dxa"/>
            <w:vMerge w:val="restart"/>
            <w:tcBorders>
              <w:top w:val="single" w:sz="4" w:space="0" w:color="auto"/>
              <w:bottom w:val="single" w:sz="4" w:space="0" w:color="auto"/>
              <w:right w:val="single" w:sz="4" w:space="0" w:color="auto"/>
            </w:tcBorders>
            <w:shd w:val="clear" w:color="auto" w:fill="95B3D7" w:themeFill="accent1" w:themeFillTint="99"/>
            <w:vAlign w:val="center"/>
          </w:tcPr>
          <w:p w14:paraId="18A1E550" w14:textId="77777777" w:rsidR="00A3758E" w:rsidRPr="00747B87" w:rsidRDefault="00A3758E" w:rsidP="0020339D">
            <w:pPr>
              <w:ind w:left="-378" w:firstLine="378"/>
              <w:jc w:val="center"/>
              <w:rPr>
                <w:b/>
                <w:sz w:val="18"/>
                <w:szCs w:val="18"/>
                <w:lang w:val="es-ES_tradnl"/>
              </w:rPr>
            </w:pPr>
            <w:r w:rsidRPr="00747B87">
              <w:rPr>
                <w:b/>
                <w:sz w:val="18"/>
                <w:szCs w:val="18"/>
                <w:lang w:val="es-ES_tradnl"/>
              </w:rPr>
              <w:t>Observaciones</w:t>
            </w:r>
          </w:p>
        </w:tc>
      </w:tr>
      <w:tr w:rsidR="00A3758E" w:rsidRPr="00747B87" w14:paraId="0E048ABA" w14:textId="77777777" w:rsidTr="739FC7C0">
        <w:trPr>
          <w:gridAfter w:val="1"/>
          <w:wAfter w:w="10" w:type="dxa"/>
          <w:tblHeader/>
          <w:jc w:val="center"/>
        </w:trPr>
        <w:tc>
          <w:tcPr>
            <w:tcW w:w="2770" w:type="dxa"/>
            <w:vMerge/>
          </w:tcPr>
          <w:p w14:paraId="58021ECD" w14:textId="77777777" w:rsidR="00A3758E" w:rsidRPr="00747B87" w:rsidRDefault="00A3758E" w:rsidP="0020339D">
            <w:pPr>
              <w:ind w:left="-378" w:firstLine="378"/>
              <w:jc w:val="center"/>
              <w:rPr>
                <w:b/>
                <w:sz w:val="18"/>
                <w:szCs w:val="18"/>
                <w:lang w:val="es-ES_tradnl"/>
              </w:rPr>
            </w:pPr>
          </w:p>
        </w:tc>
        <w:tc>
          <w:tcPr>
            <w:tcW w:w="1577" w:type="dxa"/>
            <w:vMerge/>
          </w:tcPr>
          <w:p w14:paraId="64647ADB" w14:textId="77777777" w:rsidR="00A3758E" w:rsidRPr="00747B87" w:rsidRDefault="00A3758E" w:rsidP="0020339D">
            <w:pPr>
              <w:ind w:left="-378" w:firstLine="378"/>
              <w:jc w:val="center"/>
              <w:rPr>
                <w:b/>
                <w:sz w:val="18"/>
                <w:szCs w:val="18"/>
                <w:lang w:val="es-ES_tradnl"/>
              </w:rPr>
            </w:pPr>
          </w:p>
        </w:tc>
        <w:tc>
          <w:tcPr>
            <w:tcW w:w="1386" w:type="dxa"/>
            <w:tcBorders>
              <w:top w:val="single" w:sz="4" w:space="0" w:color="auto"/>
              <w:bottom w:val="single" w:sz="4" w:space="0" w:color="000000" w:themeColor="text1"/>
            </w:tcBorders>
            <w:shd w:val="clear" w:color="auto" w:fill="95B3D7" w:themeFill="accent1" w:themeFillTint="99"/>
            <w:vAlign w:val="center"/>
          </w:tcPr>
          <w:p w14:paraId="7DCA2255" w14:textId="77777777" w:rsidR="00A3758E" w:rsidRPr="00747B87" w:rsidRDefault="00A3758E" w:rsidP="0020339D">
            <w:pPr>
              <w:ind w:left="-378" w:firstLine="378"/>
              <w:jc w:val="center"/>
              <w:rPr>
                <w:b/>
                <w:sz w:val="18"/>
                <w:szCs w:val="18"/>
                <w:lang w:val="es-ES_tradnl"/>
              </w:rPr>
            </w:pPr>
            <w:r w:rsidRPr="00747B87">
              <w:rPr>
                <w:b/>
                <w:sz w:val="18"/>
                <w:szCs w:val="18"/>
                <w:lang w:val="es-ES_tradnl"/>
              </w:rPr>
              <w:t>Valor</w:t>
            </w:r>
          </w:p>
        </w:tc>
        <w:tc>
          <w:tcPr>
            <w:tcW w:w="1232" w:type="dxa"/>
            <w:tcBorders>
              <w:top w:val="single" w:sz="4" w:space="0" w:color="auto"/>
              <w:bottom w:val="single" w:sz="4" w:space="0" w:color="000000" w:themeColor="text1"/>
            </w:tcBorders>
            <w:shd w:val="clear" w:color="auto" w:fill="95B3D7" w:themeFill="accent1" w:themeFillTint="99"/>
            <w:vAlign w:val="center"/>
          </w:tcPr>
          <w:p w14:paraId="4E9423F8" w14:textId="77777777" w:rsidR="00A3758E" w:rsidRPr="00747B87" w:rsidRDefault="00A3758E" w:rsidP="0020339D">
            <w:pPr>
              <w:ind w:left="-378" w:firstLine="378"/>
              <w:jc w:val="center"/>
              <w:rPr>
                <w:b/>
                <w:sz w:val="18"/>
                <w:szCs w:val="18"/>
                <w:lang w:val="es-ES_tradnl"/>
              </w:rPr>
            </w:pPr>
            <w:r w:rsidRPr="00747B87">
              <w:rPr>
                <w:b/>
                <w:sz w:val="18"/>
                <w:szCs w:val="18"/>
                <w:lang w:val="es-ES_tradnl"/>
              </w:rPr>
              <w:t>Año</w:t>
            </w:r>
          </w:p>
        </w:tc>
        <w:tc>
          <w:tcPr>
            <w:tcW w:w="1408" w:type="dxa"/>
            <w:tcBorders>
              <w:top w:val="single" w:sz="4" w:space="0" w:color="auto"/>
              <w:bottom w:val="single" w:sz="4" w:space="0" w:color="000000" w:themeColor="text1"/>
            </w:tcBorders>
            <w:shd w:val="clear" w:color="auto" w:fill="95B3D7" w:themeFill="accent1" w:themeFillTint="99"/>
            <w:vAlign w:val="center"/>
          </w:tcPr>
          <w:p w14:paraId="2434BC22" w14:textId="77777777" w:rsidR="00A3758E" w:rsidRPr="00747B87" w:rsidRDefault="00A3758E" w:rsidP="0020339D">
            <w:pPr>
              <w:ind w:left="-378" w:firstLine="378"/>
              <w:jc w:val="center"/>
              <w:rPr>
                <w:b/>
                <w:sz w:val="18"/>
                <w:szCs w:val="18"/>
                <w:lang w:val="es-ES_tradnl"/>
              </w:rPr>
            </w:pPr>
            <w:r w:rsidRPr="00747B87">
              <w:rPr>
                <w:b/>
                <w:sz w:val="18"/>
                <w:szCs w:val="18"/>
                <w:lang w:val="es-ES_tradnl"/>
              </w:rPr>
              <w:t>Valor</w:t>
            </w:r>
          </w:p>
        </w:tc>
        <w:tc>
          <w:tcPr>
            <w:tcW w:w="1418" w:type="dxa"/>
            <w:tcBorders>
              <w:top w:val="single" w:sz="4" w:space="0" w:color="auto"/>
              <w:bottom w:val="single" w:sz="4" w:space="0" w:color="000000" w:themeColor="text1"/>
            </w:tcBorders>
            <w:shd w:val="clear" w:color="auto" w:fill="95B3D7" w:themeFill="accent1" w:themeFillTint="99"/>
            <w:vAlign w:val="center"/>
          </w:tcPr>
          <w:p w14:paraId="1622326E" w14:textId="77777777" w:rsidR="00A3758E" w:rsidRPr="00747B87" w:rsidRDefault="00A3758E" w:rsidP="0020339D">
            <w:pPr>
              <w:ind w:left="-378" w:firstLine="378"/>
              <w:jc w:val="center"/>
              <w:rPr>
                <w:b/>
                <w:sz w:val="18"/>
                <w:szCs w:val="18"/>
                <w:lang w:val="es-ES_tradnl"/>
              </w:rPr>
            </w:pPr>
            <w:r w:rsidRPr="00747B87">
              <w:rPr>
                <w:b/>
                <w:sz w:val="18"/>
                <w:szCs w:val="18"/>
                <w:lang w:val="es-ES_tradnl"/>
              </w:rPr>
              <w:t xml:space="preserve">Año </w:t>
            </w:r>
          </w:p>
        </w:tc>
        <w:tc>
          <w:tcPr>
            <w:tcW w:w="1837" w:type="dxa"/>
            <w:vMerge/>
          </w:tcPr>
          <w:p w14:paraId="38F563C7" w14:textId="77777777" w:rsidR="00A3758E" w:rsidRPr="00747B87" w:rsidRDefault="00A3758E" w:rsidP="0020339D">
            <w:pPr>
              <w:ind w:left="-378" w:firstLine="378"/>
              <w:jc w:val="center"/>
              <w:rPr>
                <w:b/>
                <w:sz w:val="18"/>
                <w:szCs w:val="18"/>
                <w:lang w:val="es-ES_tradnl"/>
              </w:rPr>
            </w:pPr>
          </w:p>
        </w:tc>
        <w:tc>
          <w:tcPr>
            <w:tcW w:w="2150" w:type="dxa"/>
            <w:vMerge/>
          </w:tcPr>
          <w:p w14:paraId="39019D83" w14:textId="77777777" w:rsidR="00A3758E" w:rsidRPr="00747B87" w:rsidRDefault="00A3758E" w:rsidP="0020339D">
            <w:pPr>
              <w:ind w:left="-378" w:firstLine="378"/>
              <w:jc w:val="center"/>
              <w:rPr>
                <w:b/>
                <w:sz w:val="18"/>
                <w:szCs w:val="18"/>
                <w:lang w:val="es-ES_tradnl"/>
              </w:rPr>
            </w:pPr>
          </w:p>
        </w:tc>
      </w:tr>
      <w:tr w:rsidR="00A3758E" w:rsidRPr="00F70C09" w14:paraId="50527C0E" w14:textId="77777777" w:rsidTr="739FC7C0">
        <w:trPr>
          <w:trHeight w:val="428"/>
          <w:jc w:val="center"/>
        </w:trPr>
        <w:tc>
          <w:tcPr>
            <w:tcW w:w="13788" w:type="dxa"/>
            <w:gridSpan w:val="9"/>
            <w:tcBorders>
              <w:bottom w:val="single" w:sz="4" w:space="0" w:color="000000" w:themeColor="text1"/>
            </w:tcBorders>
            <w:shd w:val="clear" w:color="auto" w:fill="D9D9D9" w:themeFill="background1" w:themeFillShade="D9"/>
            <w:vAlign w:val="center"/>
          </w:tcPr>
          <w:p w14:paraId="5F4AB6C5" w14:textId="77777777" w:rsidR="00A3758E" w:rsidRPr="00747B87" w:rsidRDefault="00A3758E" w:rsidP="0020339D">
            <w:pPr>
              <w:rPr>
                <w:sz w:val="18"/>
                <w:highlight w:val="yellow"/>
                <w:lang w:val="es-ES_tradnl"/>
              </w:rPr>
            </w:pPr>
            <w:r w:rsidRPr="00C87597">
              <w:rPr>
                <w:b/>
                <w:sz w:val="18"/>
                <w:szCs w:val="18"/>
                <w:lang w:val="es-ES_tradnl"/>
              </w:rPr>
              <w:t>Objetivo específico I: mejorar los ingresos de las personas más vulnerables</w:t>
            </w:r>
          </w:p>
        </w:tc>
      </w:tr>
      <w:tr w:rsidR="00A3758E" w:rsidRPr="00747B87" w14:paraId="27A91041" w14:textId="77777777" w:rsidTr="739FC7C0">
        <w:trPr>
          <w:gridAfter w:val="1"/>
          <w:wAfter w:w="10" w:type="dxa"/>
          <w:trHeight w:val="1241"/>
          <w:jc w:val="center"/>
        </w:trPr>
        <w:tc>
          <w:tcPr>
            <w:tcW w:w="27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76E12C9" w14:textId="22B88504" w:rsidR="00A3758E" w:rsidRPr="00C87597" w:rsidRDefault="00A3758E" w:rsidP="0020339D">
            <w:pPr>
              <w:tabs>
                <w:tab w:val="left" w:pos="384"/>
              </w:tabs>
              <w:rPr>
                <w:sz w:val="18"/>
                <w:szCs w:val="18"/>
                <w:lang w:val="es-ES_tradnl"/>
              </w:rPr>
            </w:pPr>
            <w:r w:rsidRPr="00C87597">
              <w:rPr>
                <w:sz w:val="18"/>
                <w:szCs w:val="18"/>
                <w:lang w:val="es-ES_tradnl"/>
              </w:rPr>
              <w:t>Ratio del ingreso de</w:t>
            </w:r>
            <w:r w:rsidR="002C4CFE">
              <w:rPr>
                <w:sz w:val="18"/>
                <w:szCs w:val="18"/>
                <w:lang w:val="es-ES_tradnl"/>
              </w:rPr>
              <w:t>l</w:t>
            </w:r>
            <w:r w:rsidRPr="00C87597">
              <w:rPr>
                <w:sz w:val="18"/>
                <w:szCs w:val="18"/>
                <w:lang w:val="es-ES_tradnl"/>
              </w:rPr>
              <w:t xml:space="preserve"> 25% más vulnerable sobre la mediana del ingreso</w:t>
            </w:r>
            <w:r w:rsidR="00BB0E0B">
              <w:rPr>
                <w:sz w:val="18"/>
                <w:szCs w:val="18"/>
                <w:lang w:val="es-ES_tradnl"/>
              </w:rPr>
              <w:t xml:space="preserve"> </w:t>
            </w:r>
            <w:r w:rsidR="002C4CFE">
              <w:rPr>
                <w:sz w:val="18"/>
                <w:szCs w:val="18"/>
                <w:lang w:val="es-ES_tradnl"/>
              </w:rPr>
              <w:t>(H</w:t>
            </w:r>
            <w:r w:rsidR="00BB0E0B">
              <w:rPr>
                <w:sz w:val="18"/>
                <w:szCs w:val="18"/>
                <w:lang w:val="es-ES_tradnl"/>
              </w:rPr>
              <w:t>ombres</w:t>
            </w:r>
            <w:r w:rsidR="002C4CFE">
              <w:rPr>
                <w:sz w:val="18"/>
                <w:szCs w:val="18"/>
                <w:lang w:val="es-ES_tradnl"/>
              </w:rPr>
              <w:t>)</w:t>
            </w:r>
          </w:p>
        </w:tc>
        <w:tc>
          <w:tcPr>
            <w:tcW w:w="1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4D35980" w14:textId="77777777" w:rsidR="00A3758E" w:rsidRPr="00747B87" w:rsidRDefault="00A3758E" w:rsidP="0020339D">
            <w:pPr>
              <w:rPr>
                <w:sz w:val="18"/>
                <w:szCs w:val="18"/>
                <w:lang w:val="es-ES_tradnl"/>
              </w:rPr>
            </w:pPr>
            <w:r w:rsidRPr="00747B87">
              <w:rPr>
                <w:sz w:val="18"/>
                <w:szCs w:val="18"/>
                <w:lang w:val="es-ES_tradnl"/>
              </w:rPr>
              <w:t>Porcentaje</w:t>
            </w:r>
          </w:p>
        </w:tc>
        <w:tc>
          <w:tcPr>
            <w:tcW w:w="13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B1D4AFB" w14:textId="256F2B81" w:rsidR="00A3758E" w:rsidRPr="00747B87" w:rsidRDefault="00377D5C" w:rsidP="0020339D">
            <w:pPr>
              <w:rPr>
                <w:sz w:val="18"/>
                <w:szCs w:val="18"/>
                <w:lang w:val="es-ES_tradnl"/>
              </w:rPr>
            </w:pPr>
            <w:r>
              <w:rPr>
                <w:sz w:val="18"/>
                <w:szCs w:val="18"/>
                <w:lang w:val="es-ES_tradnl"/>
              </w:rPr>
              <w:t>83</w:t>
            </w:r>
            <w:r w:rsidR="00E10C55">
              <w:rPr>
                <w:sz w:val="18"/>
                <w:szCs w:val="18"/>
                <w:lang w:val="es-ES_tradnl"/>
              </w:rPr>
              <w:t>%</w:t>
            </w:r>
          </w:p>
        </w:tc>
        <w:tc>
          <w:tcPr>
            <w:tcW w:w="12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DD263F7" w14:textId="77777777" w:rsidR="00A3758E" w:rsidRPr="00747B87" w:rsidRDefault="00A3758E" w:rsidP="0020339D">
            <w:pPr>
              <w:rPr>
                <w:sz w:val="18"/>
                <w:szCs w:val="18"/>
                <w:lang w:val="es-ES_tradnl"/>
              </w:rPr>
            </w:pPr>
            <w:r w:rsidRPr="00747B87">
              <w:rPr>
                <w:sz w:val="18"/>
                <w:szCs w:val="18"/>
                <w:lang w:val="es-ES_tradnl"/>
              </w:rPr>
              <w:t>2017</w:t>
            </w: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B51B9F8" w14:textId="1BD3ACD8" w:rsidR="00A3758E" w:rsidRPr="00747B87" w:rsidRDefault="004804E9" w:rsidP="0020339D">
            <w:pPr>
              <w:rPr>
                <w:sz w:val="18"/>
                <w:szCs w:val="18"/>
                <w:lang w:val="es-ES_tradnl"/>
              </w:rPr>
            </w:pPr>
            <w:r>
              <w:rPr>
                <w:sz w:val="18"/>
                <w:szCs w:val="18"/>
                <w:lang w:val="es-ES_tradnl"/>
              </w:rPr>
              <w:t>84%</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958449F" w14:textId="44281871" w:rsidR="00A3758E" w:rsidRPr="00747B87" w:rsidRDefault="00A3758E" w:rsidP="0020339D">
            <w:pPr>
              <w:rPr>
                <w:sz w:val="18"/>
                <w:szCs w:val="18"/>
                <w:lang w:val="es-ES_tradnl"/>
              </w:rPr>
            </w:pPr>
            <w:r w:rsidRPr="00747B87">
              <w:rPr>
                <w:sz w:val="18"/>
                <w:szCs w:val="18"/>
                <w:lang w:val="es-ES_tradnl"/>
              </w:rPr>
              <w:t>202</w:t>
            </w:r>
            <w:r w:rsidR="00E10C55">
              <w:rPr>
                <w:sz w:val="18"/>
                <w:szCs w:val="18"/>
                <w:lang w:val="es-ES_tradnl"/>
              </w:rPr>
              <w:t>3</w:t>
            </w:r>
          </w:p>
        </w:tc>
        <w:tc>
          <w:tcPr>
            <w:tcW w:w="18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A4D6651" w14:textId="77777777" w:rsidR="00A3758E" w:rsidRPr="00747B87" w:rsidRDefault="00A3758E" w:rsidP="0020339D">
            <w:pPr>
              <w:rPr>
                <w:sz w:val="18"/>
                <w:szCs w:val="18"/>
                <w:lang w:val="es-ES_tradnl"/>
              </w:rPr>
            </w:pPr>
            <w:r w:rsidRPr="00747B87">
              <w:rPr>
                <w:sz w:val="18"/>
                <w:szCs w:val="18"/>
                <w:lang w:val="es-ES_tradnl"/>
              </w:rPr>
              <w:t>CASEN</w:t>
            </w:r>
          </w:p>
        </w:tc>
        <w:tc>
          <w:tcPr>
            <w:tcW w:w="21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65B3A79" w14:textId="77777777" w:rsidR="00A3758E" w:rsidRPr="007F7FF9" w:rsidRDefault="00A3758E" w:rsidP="0020339D">
            <w:pPr>
              <w:rPr>
                <w:sz w:val="18"/>
                <w:szCs w:val="18"/>
                <w:lang w:val="es-ES_tradnl"/>
              </w:rPr>
            </w:pPr>
            <w:r w:rsidRPr="007F7FF9">
              <w:rPr>
                <w:sz w:val="18"/>
                <w:szCs w:val="18"/>
                <w:lang w:val="es-ES_tradnl"/>
              </w:rPr>
              <w:t>Mide como cambia la posición de los hombres más vulnerables sobre la mediana</w:t>
            </w:r>
          </w:p>
          <w:p w14:paraId="74DEEFF9" w14:textId="0CA0F295" w:rsidR="00A3758E" w:rsidRPr="00F70C09" w:rsidRDefault="00A3758E" w:rsidP="0020339D">
            <w:pPr>
              <w:rPr>
                <w:sz w:val="18"/>
                <w:szCs w:val="18"/>
                <w:lang w:val="es-ES_tradnl"/>
              </w:rPr>
            </w:pPr>
            <w:r w:rsidRPr="007F7FF9">
              <w:rPr>
                <w:sz w:val="18"/>
                <w:szCs w:val="18"/>
                <w:lang w:val="es-ES_tradnl"/>
              </w:rPr>
              <w:t>Ver Nota</w:t>
            </w:r>
            <w:r w:rsidR="00C318AF" w:rsidRPr="007F7FF9">
              <w:rPr>
                <w:sz w:val="18"/>
                <w:szCs w:val="18"/>
                <w:lang w:val="es-ES_tradnl"/>
              </w:rPr>
              <w:t>s</w:t>
            </w:r>
            <w:r w:rsidRPr="007F7FF9">
              <w:rPr>
                <w:sz w:val="18"/>
                <w:szCs w:val="18"/>
                <w:lang w:val="es-ES_tradnl"/>
              </w:rPr>
              <w:t xml:space="preserve"> 1</w:t>
            </w:r>
            <w:r w:rsidR="00C318AF" w:rsidRPr="007F7FF9">
              <w:rPr>
                <w:sz w:val="18"/>
                <w:szCs w:val="18"/>
                <w:lang w:val="es-ES_tradnl"/>
              </w:rPr>
              <w:t xml:space="preserve"> y </w:t>
            </w:r>
            <w:r w:rsidR="005E67D1" w:rsidRPr="007F7FF9">
              <w:rPr>
                <w:sz w:val="18"/>
                <w:szCs w:val="18"/>
                <w:lang w:val="es-ES_tradnl"/>
              </w:rPr>
              <w:t>2</w:t>
            </w:r>
            <w:r w:rsidR="00C318AF" w:rsidRPr="007F7FF9">
              <w:rPr>
                <w:sz w:val="18"/>
                <w:szCs w:val="18"/>
                <w:lang w:val="es-ES_tradnl"/>
              </w:rPr>
              <w:t>.</w:t>
            </w:r>
          </w:p>
        </w:tc>
      </w:tr>
      <w:tr w:rsidR="00A3758E" w:rsidRPr="00747B87" w14:paraId="06E220EF" w14:textId="77777777" w:rsidTr="739FC7C0">
        <w:trPr>
          <w:gridAfter w:val="1"/>
          <w:wAfter w:w="10" w:type="dxa"/>
          <w:trHeight w:val="773"/>
          <w:jc w:val="center"/>
        </w:trPr>
        <w:tc>
          <w:tcPr>
            <w:tcW w:w="27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BE15D90" w14:textId="1DE292FC" w:rsidR="00A3758E" w:rsidRPr="00C87597" w:rsidRDefault="002C4CFE" w:rsidP="0020339D">
            <w:pPr>
              <w:tabs>
                <w:tab w:val="left" w:pos="384"/>
              </w:tabs>
              <w:rPr>
                <w:sz w:val="18"/>
                <w:szCs w:val="18"/>
                <w:lang w:val="es-ES_tradnl"/>
              </w:rPr>
            </w:pPr>
            <w:r w:rsidRPr="00C87597">
              <w:rPr>
                <w:sz w:val="18"/>
                <w:szCs w:val="18"/>
                <w:lang w:val="es-ES_tradnl"/>
              </w:rPr>
              <w:t>Ratio del ingreso de</w:t>
            </w:r>
            <w:r>
              <w:rPr>
                <w:sz w:val="18"/>
                <w:szCs w:val="18"/>
                <w:lang w:val="es-ES_tradnl"/>
              </w:rPr>
              <w:t>l</w:t>
            </w:r>
            <w:r w:rsidRPr="00C87597">
              <w:rPr>
                <w:sz w:val="18"/>
                <w:szCs w:val="18"/>
                <w:lang w:val="es-ES_tradnl"/>
              </w:rPr>
              <w:t xml:space="preserve"> 25% más vulnerable sobre la mediana del ingreso</w:t>
            </w:r>
            <w:r>
              <w:rPr>
                <w:sz w:val="18"/>
                <w:szCs w:val="18"/>
                <w:lang w:val="es-ES_tradnl"/>
              </w:rPr>
              <w:t xml:space="preserve"> (Mujeres)</w:t>
            </w:r>
          </w:p>
        </w:tc>
        <w:tc>
          <w:tcPr>
            <w:tcW w:w="1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FCF2FE3" w14:textId="77777777" w:rsidR="00A3758E" w:rsidRPr="00747B87" w:rsidRDefault="00A3758E" w:rsidP="0020339D">
            <w:pPr>
              <w:rPr>
                <w:sz w:val="18"/>
                <w:szCs w:val="18"/>
                <w:lang w:val="es-ES_tradnl"/>
              </w:rPr>
            </w:pPr>
            <w:r w:rsidRPr="00747B87">
              <w:rPr>
                <w:sz w:val="18"/>
                <w:szCs w:val="18"/>
                <w:lang w:val="es-ES_tradnl"/>
              </w:rPr>
              <w:t>Porcentaje</w:t>
            </w:r>
          </w:p>
        </w:tc>
        <w:tc>
          <w:tcPr>
            <w:tcW w:w="13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A6CD163" w14:textId="513E6D7C" w:rsidR="00A3758E" w:rsidRPr="00747B87" w:rsidRDefault="00BA5552" w:rsidP="0020339D">
            <w:pPr>
              <w:rPr>
                <w:sz w:val="18"/>
                <w:szCs w:val="18"/>
                <w:lang w:val="es-ES_tradnl"/>
              </w:rPr>
            </w:pPr>
            <w:r>
              <w:rPr>
                <w:sz w:val="18"/>
                <w:szCs w:val="18"/>
                <w:lang w:val="es-ES_tradnl"/>
              </w:rPr>
              <w:t>67</w:t>
            </w:r>
            <w:r w:rsidR="00E10C55">
              <w:rPr>
                <w:sz w:val="18"/>
                <w:szCs w:val="18"/>
                <w:lang w:val="es-ES_tradnl"/>
              </w:rPr>
              <w:t>%</w:t>
            </w:r>
          </w:p>
        </w:tc>
        <w:tc>
          <w:tcPr>
            <w:tcW w:w="12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BA98619" w14:textId="77777777" w:rsidR="00A3758E" w:rsidRPr="00747B87" w:rsidRDefault="00A3758E" w:rsidP="0020339D">
            <w:pPr>
              <w:rPr>
                <w:sz w:val="18"/>
                <w:szCs w:val="18"/>
                <w:lang w:val="es-ES_tradnl"/>
              </w:rPr>
            </w:pPr>
            <w:r w:rsidRPr="00747B87">
              <w:rPr>
                <w:sz w:val="18"/>
                <w:szCs w:val="18"/>
                <w:lang w:val="es-ES_tradnl"/>
              </w:rPr>
              <w:t>2017</w:t>
            </w: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18A63B2" w14:textId="286A6A6F" w:rsidR="00A3758E" w:rsidRPr="00747B87" w:rsidRDefault="004804E9" w:rsidP="0020339D">
            <w:pPr>
              <w:rPr>
                <w:sz w:val="18"/>
                <w:szCs w:val="18"/>
                <w:lang w:val="es-ES_tradnl"/>
              </w:rPr>
            </w:pPr>
            <w:r>
              <w:rPr>
                <w:sz w:val="18"/>
                <w:szCs w:val="18"/>
                <w:lang w:val="es-ES_tradnl"/>
              </w:rPr>
              <w:t>69%</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51F6BD2" w14:textId="51EEF235" w:rsidR="00A3758E" w:rsidRPr="00747B87" w:rsidRDefault="00A3758E" w:rsidP="0020339D">
            <w:pPr>
              <w:rPr>
                <w:sz w:val="18"/>
                <w:szCs w:val="18"/>
                <w:lang w:val="es-ES_tradnl"/>
              </w:rPr>
            </w:pPr>
            <w:r w:rsidRPr="00747B87">
              <w:rPr>
                <w:sz w:val="18"/>
                <w:szCs w:val="18"/>
                <w:lang w:val="es-ES_tradnl"/>
              </w:rPr>
              <w:t>202</w:t>
            </w:r>
            <w:r w:rsidR="00E10C55">
              <w:rPr>
                <w:sz w:val="18"/>
                <w:szCs w:val="18"/>
                <w:lang w:val="es-ES_tradnl"/>
              </w:rPr>
              <w:t>3</w:t>
            </w:r>
          </w:p>
        </w:tc>
        <w:tc>
          <w:tcPr>
            <w:tcW w:w="18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1782E0E" w14:textId="77777777" w:rsidR="00A3758E" w:rsidRPr="00747B87" w:rsidRDefault="00A3758E" w:rsidP="0020339D">
            <w:pPr>
              <w:rPr>
                <w:sz w:val="18"/>
                <w:szCs w:val="18"/>
                <w:lang w:val="es-ES_tradnl"/>
              </w:rPr>
            </w:pPr>
            <w:r w:rsidRPr="00747B87">
              <w:rPr>
                <w:sz w:val="18"/>
                <w:szCs w:val="18"/>
                <w:lang w:val="es-ES_tradnl"/>
              </w:rPr>
              <w:t>CASEN</w:t>
            </w:r>
          </w:p>
        </w:tc>
        <w:tc>
          <w:tcPr>
            <w:tcW w:w="21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A8BB5F7" w14:textId="77777777" w:rsidR="00A3758E" w:rsidRPr="007F7FF9" w:rsidRDefault="00A3758E" w:rsidP="0020339D">
            <w:pPr>
              <w:rPr>
                <w:sz w:val="18"/>
                <w:szCs w:val="18"/>
                <w:lang w:val="es-ES_tradnl"/>
              </w:rPr>
            </w:pPr>
            <w:r w:rsidRPr="007F7FF9">
              <w:rPr>
                <w:sz w:val="18"/>
                <w:szCs w:val="18"/>
                <w:lang w:val="es-ES_tradnl"/>
              </w:rPr>
              <w:t>Mide como cambia la posición de las mujeres más vulnerables sobre la mediana</w:t>
            </w:r>
          </w:p>
          <w:p w14:paraId="1CD08745" w14:textId="1586E612" w:rsidR="00A3758E" w:rsidRPr="007F7FF9" w:rsidRDefault="00A3758E" w:rsidP="0020339D">
            <w:pPr>
              <w:rPr>
                <w:sz w:val="18"/>
                <w:szCs w:val="18"/>
                <w:lang w:val="es-ES_tradnl"/>
              </w:rPr>
            </w:pPr>
            <w:r w:rsidRPr="007F7FF9">
              <w:rPr>
                <w:sz w:val="18"/>
                <w:szCs w:val="18"/>
                <w:lang w:val="es-ES_tradnl"/>
              </w:rPr>
              <w:t>Ver Nota</w:t>
            </w:r>
            <w:r w:rsidR="00C318AF" w:rsidRPr="007F7FF9">
              <w:rPr>
                <w:sz w:val="18"/>
                <w:szCs w:val="18"/>
                <w:lang w:val="es-ES_tradnl"/>
              </w:rPr>
              <w:t>s</w:t>
            </w:r>
            <w:r w:rsidRPr="007F7FF9">
              <w:rPr>
                <w:sz w:val="18"/>
                <w:szCs w:val="18"/>
                <w:lang w:val="es-ES_tradnl"/>
              </w:rPr>
              <w:t xml:space="preserve"> 1</w:t>
            </w:r>
            <w:r w:rsidR="00C318AF" w:rsidRPr="007F7FF9">
              <w:rPr>
                <w:sz w:val="18"/>
                <w:szCs w:val="18"/>
                <w:lang w:val="es-ES_tradnl"/>
              </w:rPr>
              <w:t xml:space="preserve"> y </w:t>
            </w:r>
            <w:r w:rsidR="005E67D1" w:rsidRPr="007F7FF9">
              <w:rPr>
                <w:sz w:val="18"/>
                <w:szCs w:val="18"/>
                <w:lang w:val="es-ES_tradnl"/>
              </w:rPr>
              <w:t>2</w:t>
            </w:r>
            <w:r w:rsidRPr="007F7FF9">
              <w:rPr>
                <w:sz w:val="18"/>
                <w:szCs w:val="18"/>
                <w:lang w:val="es-ES_tradnl"/>
              </w:rPr>
              <w:t>.</w:t>
            </w:r>
          </w:p>
        </w:tc>
      </w:tr>
      <w:tr w:rsidR="00593AEA" w:rsidRPr="00747B87" w14:paraId="61E268F1" w14:textId="77777777" w:rsidTr="739FC7C0">
        <w:trPr>
          <w:gridAfter w:val="1"/>
          <w:wAfter w:w="10" w:type="dxa"/>
          <w:trHeight w:val="773"/>
          <w:jc w:val="center"/>
        </w:trPr>
        <w:tc>
          <w:tcPr>
            <w:tcW w:w="27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2033DA4" w14:textId="3596333A" w:rsidR="00593AEA" w:rsidRPr="00C87597" w:rsidRDefault="00593AEA" w:rsidP="00593AEA">
            <w:pPr>
              <w:tabs>
                <w:tab w:val="left" w:pos="384"/>
              </w:tabs>
              <w:rPr>
                <w:sz w:val="18"/>
                <w:szCs w:val="18"/>
                <w:lang w:val="es-ES_tradnl"/>
              </w:rPr>
            </w:pPr>
            <w:r w:rsidRPr="005366BA">
              <w:rPr>
                <w:sz w:val="18"/>
                <w:szCs w:val="18"/>
                <w:lang w:val="es-ES_tradnl"/>
              </w:rPr>
              <w:t xml:space="preserve">Ratio de ingreso </w:t>
            </w:r>
            <w:r>
              <w:rPr>
                <w:sz w:val="18"/>
                <w:szCs w:val="18"/>
                <w:lang w:val="es-ES_tradnl"/>
              </w:rPr>
              <w:t>laboral</w:t>
            </w:r>
            <w:r w:rsidRPr="005366BA">
              <w:rPr>
                <w:sz w:val="18"/>
                <w:szCs w:val="18"/>
                <w:lang w:val="es-ES_tradnl"/>
              </w:rPr>
              <w:t xml:space="preserve"> de</w:t>
            </w:r>
            <w:r>
              <w:rPr>
                <w:sz w:val="18"/>
                <w:szCs w:val="18"/>
                <w:lang w:val="es-ES_tradnl"/>
              </w:rPr>
              <w:t xml:space="preserve"> trabajadores formales</w:t>
            </w:r>
            <w:r w:rsidRPr="005366BA">
              <w:rPr>
                <w:sz w:val="18"/>
                <w:szCs w:val="18"/>
                <w:lang w:val="es-ES_tradnl"/>
              </w:rPr>
              <w:t xml:space="preserve"> entre </w:t>
            </w:r>
            <w:r w:rsidR="002C4CFE" w:rsidRPr="00F70C09">
              <w:rPr>
                <w:sz w:val="18"/>
                <w:szCs w:val="18"/>
                <w:lang w:val="es-ES"/>
              </w:rPr>
              <w:t>los</w:t>
            </w:r>
            <w:r w:rsidR="002C4CFE" w:rsidRPr="00221CD0">
              <w:rPr>
                <w:sz w:val="18"/>
                <w:szCs w:val="18"/>
                <w:lang w:val="es-ES_tradnl"/>
              </w:rPr>
              <w:t xml:space="preserve"> percentil</w:t>
            </w:r>
            <w:r w:rsidR="002C4CFE" w:rsidRPr="00F70C09">
              <w:rPr>
                <w:sz w:val="18"/>
                <w:szCs w:val="18"/>
                <w:lang w:val="es-ES"/>
              </w:rPr>
              <w:t>es</w:t>
            </w:r>
            <w:r w:rsidR="002C4CFE" w:rsidRPr="00221CD0">
              <w:rPr>
                <w:sz w:val="18"/>
                <w:szCs w:val="18"/>
                <w:lang w:val="es-ES_tradnl"/>
              </w:rPr>
              <w:t xml:space="preserve"> 25 y </w:t>
            </w:r>
            <w:r w:rsidRPr="005366BA">
              <w:rPr>
                <w:sz w:val="18"/>
                <w:szCs w:val="18"/>
                <w:lang w:val="es-ES_tradnl"/>
              </w:rPr>
              <w:t>75</w:t>
            </w:r>
            <w:r w:rsidR="002C4CFE">
              <w:rPr>
                <w:sz w:val="18"/>
                <w:szCs w:val="18"/>
                <w:lang w:val="es-ES_tradnl"/>
              </w:rPr>
              <w:t xml:space="preserve"> (Hombres)</w:t>
            </w:r>
          </w:p>
        </w:tc>
        <w:tc>
          <w:tcPr>
            <w:tcW w:w="1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160B405" w14:textId="5C3B2861" w:rsidR="00593AEA" w:rsidRPr="00747B87" w:rsidRDefault="00593AEA" w:rsidP="00593AEA">
            <w:pPr>
              <w:rPr>
                <w:sz w:val="18"/>
                <w:szCs w:val="18"/>
                <w:lang w:val="es-ES_tradnl"/>
              </w:rPr>
            </w:pPr>
            <w:r>
              <w:rPr>
                <w:sz w:val="18"/>
                <w:szCs w:val="18"/>
                <w:lang w:val="es-ES_tradnl"/>
              </w:rPr>
              <w:t>Porcentaje</w:t>
            </w:r>
          </w:p>
        </w:tc>
        <w:tc>
          <w:tcPr>
            <w:tcW w:w="13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5E6C59B" w14:textId="19639584" w:rsidR="00593AEA" w:rsidDel="00E10C55" w:rsidRDefault="0D79A388" w:rsidP="00F70C09">
            <w:pPr>
              <w:spacing w:line="259" w:lineRule="auto"/>
              <w:rPr>
                <w:sz w:val="18"/>
                <w:szCs w:val="18"/>
                <w:lang w:val="es-ES"/>
              </w:rPr>
            </w:pPr>
            <w:r w:rsidRPr="739FC7C0">
              <w:rPr>
                <w:sz w:val="18"/>
                <w:szCs w:val="18"/>
                <w:lang w:val="es-ES"/>
              </w:rPr>
              <w:t>37%</w:t>
            </w:r>
          </w:p>
        </w:tc>
        <w:tc>
          <w:tcPr>
            <w:tcW w:w="12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137C871" w14:textId="746447C9" w:rsidR="00593AEA" w:rsidRPr="00747B87" w:rsidRDefault="00593AEA" w:rsidP="00593AEA">
            <w:pPr>
              <w:rPr>
                <w:sz w:val="18"/>
                <w:szCs w:val="18"/>
                <w:lang w:val="es-ES_tradnl"/>
              </w:rPr>
            </w:pPr>
            <w:r>
              <w:rPr>
                <w:sz w:val="18"/>
                <w:szCs w:val="18"/>
                <w:lang w:val="es-ES_tradnl"/>
              </w:rPr>
              <w:t>2019</w:t>
            </w: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411631A" w14:textId="5A767067" w:rsidR="00593AEA" w:rsidDel="006620D9" w:rsidRDefault="003647C4" w:rsidP="00593AEA">
            <w:pPr>
              <w:rPr>
                <w:sz w:val="18"/>
                <w:szCs w:val="18"/>
                <w:lang w:val="es-ES_tradnl"/>
              </w:rPr>
            </w:pPr>
            <w:r>
              <w:rPr>
                <w:sz w:val="18"/>
                <w:szCs w:val="18"/>
                <w:lang w:val="es-ES_tradnl"/>
              </w:rPr>
              <w:t>38%</w:t>
            </w:r>
            <w:r w:rsidR="00593AEA">
              <w:rPr>
                <w:sz w:val="18"/>
                <w:szCs w:val="18"/>
                <w:lang w:val="es-ES_tradnl"/>
              </w:rPr>
              <w:t>.</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A13C44B" w14:textId="45C52FC4" w:rsidR="00593AEA" w:rsidRPr="00747B87" w:rsidRDefault="00593AEA" w:rsidP="00593AEA">
            <w:pPr>
              <w:rPr>
                <w:sz w:val="18"/>
                <w:szCs w:val="18"/>
                <w:lang w:val="es-ES_tradnl"/>
              </w:rPr>
            </w:pPr>
            <w:r>
              <w:rPr>
                <w:sz w:val="18"/>
                <w:szCs w:val="18"/>
                <w:lang w:val="es-ES_tradnl"/>
              </w:rPr>
              <w:t>2023</w:t>
            </w:r>
          </w:p>
        </w:tc>
        <w:tc>
          <w:tcPr>
            <w:tcW w:w="18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35E6803" w14:textId="38C64646" w:rsidR="00593AEA" w:rsidRPr="00747B87" w:rsidRDefault="00593AEA" w:rsidP="00593AEA">
            <w:pPr>
              <w:rPr>
                <w:sz w:val="18"/>
                <w:szCs w:val="18"/>
                <w:lang w:val="es-ES_tradnl"/>
              </w:rPr>
            </w:pPr>
            <w:r>
              <w:rPr>
                <w:sz w:val="18"/>
                <w:szCs w:val="18"/>
                <w:lang w:val="es-ES_tradnl"/>
              </w:rPr>
              <w:t>Datos administrativos del Seguro de Cesantía procesados por DIPRES</w:t>
            </w:r>
          </w:p>
        </w:tc>
        <w:tc>
          <w:tcPr>
            <w:tcW w:w="21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7C8EABF" w14:textId="041BFBDE" w:rsidR="00593AEA" w:rsidRPr="007F7FF9" w:rsidRDefault="005E67D1" w:rsidP="00593AEA">
            <w:pPr>
              <w:rPr>
                <w:sz w:val="18"/>
                <w:szCs w:val="18"/>
                <w:lang w:val="es-ES_tradnl"/>
              </w:rPr>
            </w:pPr>
            <w:r w:rsidRPr="007F7FF9">
              <w:rPr>
                <w:sz w:val="18"/>
                <w:szCs w:val="18"/>
                <w:lang w:val="es-ES_tradnl"/>
              </w:rPr>
              <w:t>Ver Nota 3.</w:t>
            </w:r>
          </w:p>
        </w:tc>
      </w:tr>
      <w:tr w:rsidR="0025722E" w:rsidRPr="00747B87" w14:paraId="11E3C1C8" w14:textId="77777777" w:rsidTr="739FC7C0">
        <w:trPr>
          <w:gridAfter w:val="1"/>
          <w:wAfter w:w="10" w:type="dxa"/>
          <w:trHeight w:val="773"/>
          <w:jc w:val="center"/>
        </w:trPr>
        <w:tc>
          <w:tcPr>
            <w:tcW w:w="27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F9D7C09" w14:textId="255688E0" w:rsidR="0025722E" w:rsidRPr="00C87597" w:rsidRDefault="0025722E" w:rsidP="0025722E">
            <w:pPr>
              <w:tabs>
                <w:tab w:val="left" w:pos="384"/>
              </w:tabs>
              <w:rPr>
                <w:sz w:val="18"/>
                <w:szCs w:val="18"/>
                <w:lang w:val="es-ES_tradnl"/>
              </w:rPr>
            </w:pPr>
            <w:r w:rsidRPr="005366BA">
              <w:rPr>
                <w:sz w:val="18"/>
                <w:szCs w:val="18"/>
                <w:lang w:val="es-ES_tradnl"/>
              </w:rPr>
              <w:t xml:space="preserve">Ratio de ingreso </w:t>
            </w:r>
            <w:r>
              <w:rPr>
                <w:sz w:val="18"/>
                <w:szCs w:val="18"/>
                <w:lang w:val="es-ES_tradnl"/>
              </w:rPr>
              <w:t>laboral</w:t>
            </w:r>
            <w:r w:rsidRPr="005366BA">
              <w:rPr>
                <w:sz w:val="18"/>
                <w:szCs w:val="18"/>
                <w:lang w:val="es-ES_tradnl"/>
              </w:rPr>
              <w:t xml:space="preserve"> de</w:t>
            </w:r>
            <w:r>
              <w:rPr>
                <w:sz w:val="18"/>
                <w:szCs w:val="18"/>
                <w:lang w:val="es-ES_tradnl"/>
              </w:rPr>
              <w:t xml:space="preserve"> trabajadoras formales</w:t>
            </w:r>
            <w:r w:rsidRPr="005366BA">
              <w:rPr>
                <w:sz w:val="18"/>
                <w:szCs w:val="18"/>
                <w:lang w:val="es-ES_tradnl"/>
              </w:rPr>
              <w:t xml:space="preserve"> entre </w:t>
            </w:r>
            <w:r w:rsidR="002C4CFE" w:rsidRPr="00F70C09">
              <w:rPr>
                <w:sz w:val="18"/>
                <w:szCs w:val="18"/>
                <w:lang w:val="es-ES"/>
              </w:rPr>
              <w:t>los</w:t>
            </w:r>
            <w:r w:rsidR="002C4CFE" w:rsidRPr="00221CD0">
              <w:rPr>
                <w:sz w:val="18"/>
                <w:szCs w:val="18"/>
                <w:lang w:val="es-ES_tradnl"/>
              </w:rPr>
              <w:t xml:space="preserve"> percentil</w:t>
            </w:r>
            <w:r w:rsidR="002C4CFE" w:rsidRPr="00F70C09">
              <w:rPr>
                <w:sz w:val="18"/>
                <w:szCs w:val="18"/>
                <w:lang w:val="es-ES"/>
              </w:rPr>
              <w:t>es</w:t>
            </w:r>
            <w:r w:rsidR="002C4CFE" w:rsidRPr="00221CD0">
              <w:rPr>
                <w:sz w:val="18"/>
                <w:szCs w:val="18"/>
                <w:lang w:val="es-ES_tradnl"/>
              </w:rPr>
              <w:t xml:space="preserve"> 25 y </w:t>
            </w:r>
            <w:r w:rsidRPr="005366BA">
              <w:rPr>
                <w:sz w:val="18"/>
                <w:szCs w:val="18"/>
                <w:lang w:val="es-ES_tradnl"/>
              </w:rPr>
              <w:t>75</w:t>
            </w:r>
            <w:r w:rsidR="002C4CFE">
              <w:rPr>
                <w:sz w:val="18"/>
                <w:szCs w:val="18"/>
                <w:lang w:val="es-ES_tradnl"/>
              </w:rPr>
              <w:t xml:space="preserve"> (Mujeres)</w:t>
            </w:r>
          </w:p>
        </w:tc>
        <w:tc>
          <w:tcPr>
            <w:tcW w:w="15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7AC3D17" w14:textId="0FC6D9DA" w:rsidR="0025722E" w:rsidRPr="00747B87" w:rsidRDefault="0025722E" w:rsidP="0025722E">
            <w:pPr>
              <w:rPr>
                <w:sz w:val="18"/>
                <w:szCs w:val="18"/>
                <w:lang w:val="es-ES_tradnl"/>
              </w:rPr>
            </w:pPr>
            <w:r>
              <w:rPr>
                <w:sz w:val="18"/>
                <w:szCs w:val="18"/>
                <w:lang w:val="es-ES_tradnl"/>
              </w:rPr>
              <w:t>Porcentaje</w:t>
            </w:r>
          </w:p>
        </w:tc>
        <w:tc>
          <w:tcPr>
            <w:tcW w:w="13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5B04A56" w14:textId="0CC309AB" w:rsidR="0025722E" w:rsidDel="00E10C55" w:rsidRDefault="39E264B1" w:rsidP="00F70C09">
            <w:pPr>
              <w:spacing w:line="259" w:lineRule="auto"/>
              <w:rPr>
                <w:sz w:val="18"/>
                <w:szCs w:val="18"/>
                <w:lang w:val="es-ES"/>
              </w:rPr>
            </w:pPr>
            <w:r w:rsidRPr="739FC7C0">
              <w:rPr>
                <w:sz w:val="18"/>
                <w:szCs w:val="18"/>
                <w:lang w:val="es-ES"/>
              </w:rPr>
              <w:t>42%</w:t>
            </w:r>
          </w:p>
        </w:tc>
        <w:tc>
          <w:tcPr>
            <w:tcW w:w="12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7209AD0" w14:textId="4FF0B363" w:rsidR="0025722E" w:rsidRPr="00747B87" w:rsidRDefault="0025722E" w:rsidP="0025722E">
            <w:pPr>
              <w:rPr>
                <w:sz w:val="18"/>
                <w:szCs w:val="18"/>
                <w:lang w:val="es-ES_tradnl"/>
              </w:rPr>
            </w:pPr>
            <w:r>
              <w:rPr>
                <w:sz w:val="18"/>
                <w:szCs w:val="18"/>
                <w:lang w:val="es-ES_tradnl"/>
              </w:rPr>
              <w:t>2019</w:t>
            </w: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8DFE1AC" w14:textId="4466464C" w:rsidR="0025722E" w:rsidDel="006620D9" w:rsidRDefault="00D90A51" w:rsidP="0025722E">
            <w:pPr>
              <w:rPr>
                <w:sz w:val="18"/>
                <w:szCs w:val="18"/>
                <w:lang w:val="es-ES_tradnl"/>
              </w:rPr>
            </w:pPr>
            <w:r>
              <w:rPr>
                <w:sz w:val="18"/>
                <w:szCs w:val="18"/>
                <w:lang w:val="es-ES_tradnl"/>
              </w:rPr>
              <w:t>44%</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FE16199" w14:textId="1691206A" w:rsidR="0025722E" w:rsidRPr="00747B87" w:rsidRDefault="0025722E" w:rsidP="0025722E">
            <w:pPr>
              <w:rPr>
                <w:sz w:val="18"/>
                <w:szCs w:val="18"/>
                <w:lang w:val="es-ES_tradnl"/>
              </w:rPr>
            </w:pPr>
            <w:r>
              <w:rPr>
                <w:sz w:val="18"/>
                <w:szCs w:val="18"/>
                <w:lang w:val="es-ES_tradnl"/>
              </w:rPr>
              <w:t>2023</w:t>
            </w:r>
          </w:p>
        </w:tc>
        <w:tc>
          <w:tcPr>
            <w:tcW w:w="18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A0DB6E5" w14:textId="77777777" w:rsidR="0025722E" w:rsidRDefault="0025722E" w:rsidP="0025722E">
            <w:pPr>
              <w:rPr>
                <w:sz w:val="18"/>
                <w:szCs w:val="18"/>
                <w:lang w:val="es-ES_tradnl"/>
              </w:rPr>
            </w:pPr>
            <w:r>
              <w:rPr>
                <w:sz w:val="18"/>
                <w:szCs w:val="18"/>
                <w:lang w:val="es-ES_tradnl"/>
              </w:rPr>
              <w:t>Datos administrativos del Seguro de Cesantía procesados por DIPRES</w:t>
            </w:r>
          </w:p>
          <w:p w14:paraId="2469E374" w14:textId="034C8818" w:rsidR="00BD4ECA" w:rsidRPr="00747B87" w:rsidRDefault="00BD4ECA" w:rsidP="0025722E">
            <w:pPr>
              <w:rPr>
                <w:sz w:val="18"/>
                <w:szCs w:val="18"/>
                <w:lang w:val="es-ES_tradnl"/>
              </w:rPr>
            </w:pPr>
          </w:p>
        </w:tc>
        <w:tc>
          <w:tcPr>
            <w:tcW w:w="21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D47ADD0" w14:textId="74129159" w:rsidR="0025722E" w:rsidRPr="007F7FF9" w:rsidRDefault="005E67D1" w:rsidP="0025722E">
            <w:pPr>
              <w:rPr>
                <w:sz w:val="18"/>
                <w:szCs w:val="18"/>
                <w:lang w:val="es-ES_tradnl"/>
              </w:rPr>
            </w:pPr>
            <w:r w:rsidRPr="007F7FF9">
              <w:rPr>
                <w:sz w:val="18"/>
                <w:szCs w:val="18"/>
                <w:lang w:val="es-ES_tradnl"/>
              </w:rPr>
              <w:t>Ver Nota 3.</w:t>
            </w:r>
          </w:p>
        </w:tc>
      </w:tr>
      <w:tr w:rsidR="0025722E" w:rsidRPr="00F70C09" w14:paraId="6AC2F564" w14:textId="77777777" w:rsidTr="739FC7C0">
        <w:trPr>
          <w:trHeight w:val="383"/>
          <w:jc w:val="center"/>
        </w:trPr>
        <w:tc>
          <w:tcPr>
            <w:tcW w:w="13788" w:type="dxa"/>
            <w:gridSpan w:val="9"/>
            <w:tcBorders>
              <w:bottom w:val="single" w:sz="4" w:space="0" w:color="000000" w:themeColor="text1"/>
            </w:tcBorders>
            <w:shd w:val="clear" w:color="auto" w:fill="D9D9D9" w:themeFill="background1" w:themeFillShade="D9"/>
            <w:vAlign w:val="center"/>
          </w:tcPr>
          <w:p w14:paraId="2C163383" w14:textId="0EDFFC01" w:rsidR="0025722E" w:rsidRPr="007F7FF9" w:rsidRDefault="0025722E" w:rsidP="0025722E">
            <w:pPr>
              <w:rPr>
                <w:sz w:val="18"/>
                <w:szCs w:val="18"/>
                <w:highlight w:val="yellow"/>
                <w:lang w:val="es-ES_tradnl"/>
              </w:rPr>
            </w:pPr>
            <w:r w:rsidRPr="00F70C09">
              <w:rPr>
                <w:b/>
                <w:sz w:val="18"/>
                <w:szCs w:val="18"/>
                <w:lang w:val="es-ES_tradnl"/>
              </w:rPr>
              <w:t>Objetivo específico II: mejorar la suficiencia de</w:t>
            </w:r>
            <w:r w:rsidR="00D22F8B" w:rsidRPr="00F70C09">
              <w:rPr>
                <w:b/>
                <w:sz w:val="18"/>
                <w:szCs w:val="18"/>
                <w:lang w:val="es-ES_tradnl"/>
              </w:rPr>
              <w:t xml:space="preserve"> </w:t>
            </w:r>
            <w:r w:rsidRPr="00F70C09">
              <w:rPr>
                <w:b/>
                <w:sz w:val="18"/>
                <w:szCs w:val="18"/>
                <w:lang w:val="es-ES_tradnl"/>
              </w:rPr>
              <w:t>l</w:t>
            </w:r>
            <w:r w:rsidR="00D22F8B" w:rsidRPr="00F70C09">
              <w:rPr>
                <w:b/>
                <w:sz w:val="18"/>
                <w:szCs w:val="18"/>
                <w:lang w:val="es-ES_tradnl"/>
              </w:rPr>
              <w:t>os</w:t>
            </w:r>
            <w:r w:rsidRPr="00F70C09">
              <w:rPr>
                <w:b/>
                <w:sz w:val="18"/>
                <w:szCs w:val="18"/>
                <w:lang w:val="es-ES_tradnl"/>
              </w:rPr>
              <w:t xml:space="preserve"> sistema</w:t>
            </w:r>
            <w:r w:rsidR="00D22F8B" w:rsidRPr="00F70C09">
              <w:rPr>
                <w:b/>
                <w:sz w:val="18"/>
                <w:szCs w:val="18"/>
                <w:lang w:val="es-ES_tradnl"/>
              </w:rPr>
              <w:t>s</w:t>
            </w:r>
            <w:r w:rsidRPr="007F7FF9">
              <w:rPr>
                <w:b/>
                <w:sz w:val="18"/>
                <w:szCs w:val="18"/>
                <w:lang w:val="es-ES_tradnl"/>
              </w:rPr>
              <w:t xml:space="preserve"> de pensiones</w:t>
            </w:r>
            <w:r w:rsidR="00D22F8B" w:rsidRPr="007F7FF9">
              <w:rPr>
                <w:b/>
                <w:sz w:val="18"/>
                <w:szCs w:val="18"/>
                <w:lang w:val="es-ES_tradnl"/>
              </w:rPr>
              <w:t xml:space="preserve"> solidarias de la Ley N° 20.255 y de pensiones contributivas del Decreto Ley</w:t>
            </w:r>
            <w:r w:rsidR="00A54194">
              <w:rPr>
                <w:b/>
                <w:sz w:val="18"/>
                <w:szCs w:val="18"/>
                <w:lang w:val="es-ES_tradnl"/>
              </w:rPr>
              <w:t> </w:t>
            </w:r>
            <w:r w:rsidR="00D22F8B" w:rsidRPr="007F7FF9">
              <w:rPr>
                <w:b/>
                <w:sz w:val="18"/>
                <w:szCs w:val="18"/>
                <w:lang w:val="es-ES_tradnl"/>
              </w:rPr>
              <w:t>N°</w:t>
            </w:r>
            <w:r w:rsidR="00F70C09" w:rsidRPr="007F7FF9">
              <w:rPr>
                <w:b/>
                <w:sz w:val="18"/>
                <w:szCs w:val="18"/>
                <w:lang w:val="es-ES_tradnl"/>
              </w:rPr>
              <w:t> </w:t>
            </w:r>
            <w:r w:rsidR="00D22F8B" w:rsidRPr="007F7FF9">
              <w:rPr>
                <w:b/>
                <w:sz w:val="18"/>
                <w:szCs w:val="18"/>
                <w:lang w:val="es-ES_tradnl"/>
              </w:rPr>
              <w:t>3.500</w:t>
            </w:r>
          </w:p>
        </w:tc>
      </w:tr>
      <w:tr w:rsidR="0025722E" w:rsidRPr="00F70C09" w14:paraId="249CD9AB" w14:textId="77777777" w:rsidTr="739FC7C0">
        <w:trPr>
          <w:gridAfter w:val="1"/>
          <w:wAfter w:w="10" w:type="dxa"/>
          <w:trHeight w:val="773"/>
          <w:jc w:val="center"/>
        </w:trPr>
        <w:tc>
          <w:tcPr>
            <w:tcW w:w="2770" w:type="dxa"/>
            <w:shd w:val="clear" w:color="auto" w:fill="auto"/>
            <w:vAlign w:val="center"/>
          </w:tcPr>
          <w:p w14:paraId="544CDE22" w14:textId="77777777" w:rsidR="0025722E" w:rsidRPr="00C87597" w:rsidRDefault="0025722E" w:rsidP="0025722E">
            <w:pPr>
              <w:tabs>
                <w:tab w:val="left" w:pos="384"/>
              </w:tabs>
              <w:rPr>
                <w:sz w:val="18"/>
                <w:szCs w:val="18"/>
                <w:lang w:val="es-ES_tradnl"/>
              </w:rPr>
            </w:pPr>
            <w:r w:rsidRPr="00C87597">
              <w:rPr>
                <w:sz w:val="18"/>
                <w:szCs w:val="18"/>
                <w:lang w:val="es-ES_tradnl"/>
              </w:rPr>
              <w:t xml:space="preserve">Tasa de reemplazo mediana global del sistema de pensiones (Hombres) </w:t>
            </w:r>
          </w:p>
        </w:tc>
        <w:tc>
          <w:tcPr>
            <w:tcW w:w="1577" w:type="dxa"/>
            <w:shd w:val="clear" w:color="auto" w:fill="auto"/>
            <w:vAlign w:val="center"/>
          </w:tcPr>
          <w:p w14:paraId="23F2B245" w14:textId="77777777" w:rsidR="0025722E" w:rsidRPr="00747B87" w:rsidRDefault="0025722E" w:rsidP="0025722E">
            <w:pPr>
              <w:rPr>
                <w:sz w:val="18"/>
                <w:szCs w:val="18"/>
                <w:lang w:val="es-ES_tradnl"/>
              </w:rPr>
            </w:pPr>
            <w:r w:rsidRPr="00747B87">
              <w:rPr>
                <w:sz w:val="18"/>
                <w:szCs w:val="18"/>
                <w:lang w:val="es-ES_tradnl"/>
              </w:rPr>
              <w:t>Porcentaje</w:t>
            </w:r>
          </w:p>
        </w:tc>
        <w:tc>
          <w:tcPr>
            <w:tcW w:w="1386" w:type="dxa"/>
            <w:shd w:val="clear" w:color="auto" w:fill="auto"/>
            <w:vAlign w:val="center"/>
          </w:tcPr>
          <w:p w14:paraId="30ADB478" w14:textId="77777777" w:rsidR="0025722E" w:rsidRPr="00747B87" w:rsidRDefault="0025722E" w:rsidP="0025722E">
            <w:pPr>
              <w:rPr>
                <w:sz w:val="18"/>
                <w:szCs w:val="18"/>
                <w:lang w:val="es-ES_tradnl"/>
              </w:rPr>
            </w:pPr>
            <w:r w:rsidRPr="00747B87">
              <w:rPr>
                <w:sz w:val="18"/>
                <w:szCs w:val="18"/>
                <w:lang w:val="es-ES_tradnl"/>
              </w:rPr>
              <w:t>56%</w:t>
            </w:r>
          </w:p>
        </w:tc>
        <w:tc>
          <w:tcPr>
            <w:tcW w:w="1232" w:type="dxa"/>
            <w:shd w:val="clear" w:color="auto" w:fill="auto"/>
            <w:vAlign w:val="center"/>
          </w:tcPr>
          <w:p w14:paraId="12F12A4D" w14:textId="77777777" w:rsidR="0025722E" w:rsidRPr="00747B87" w:rsidRDefault="0025722E" w:rsidP="0025722E">
            <w:pPr>
              <w:rPr>
                <w:sz w:val="18"/>
                <w:szCs w:val="18"/>
                <w:lang w:val="es-ES_tradnl"/>
              </w:rPr>
            </w:pPr>
            <w:r w:rsidRPr="00747B87">
              <w:rPr>
                <w:sz w:val="18"/>
                <w:szCs w:val="18"/>
                <w:lang w:val="es-ES_tradnl"/>
              </w:rPr>
              <w:t>2007-2017</w:t>
            </w:r>
          </w:p>
        </w:tc>
        <w:tc>
          <w:tcPr>
            <w:tcW w:w="1408" w:type="dxa"/>
            <w:shd w:val="clear" w:color="auto" w:fill="auto"/>
            <w:vAlign w:val="center"/>
          </w:tcPr>
          <w:p w14:paraId="48F0831F" w14:textId="77777777" w:rsidR="0025722E" w:rsidRPr="00747B87" w:rsidRDefault="0025722E" w:rsidP="0025722E">
            <w:pPr>
              <w:rPr>
                <w:sz w:val="18"/>
                <w:szCs w:val="18"/>
                <w:lang w:val="es-ES_tradnl"/>
              </w:rPr>
            </w:pPr>
            <w:r w:rsidRPr="00747B87">
              <w:rPr>
                <w:sz w:val="18"/>
                <w:szCs w:val="18"/>
                <w:lang w:val="es-ES_tradnl"/>
              </w:rPr>
              <w:t>61%</w:t>
            </w:r>
          </w:p>
        </w:tc>
        <w:tc>
          <w:tcPr>
            <w:tcW w:w="1418" w:type="dxa"/>
            <w:shd w:val="clear" w:color="auto" w:fill="auto"/>
            <w:vAlign w:val="center"/>
          </w:tcPr>
          <w:p w14:paraId="4DE30A1D" w14:textId="77777777" w:rsidR="0025722E" w:rsidRPr="00747B87" w:rsidRDefault="0025722E" w:rsidP="0025722E">
            <w:pPr>
              <w:rPr>
                <w:sz w:val="18"/>
                <w:szCs w:val="18"/>
                <w:lang w:val="es-ES_tradnl"/>
              </w:rPr>
            </w:pPr>
            <w:r w:rsidRPr="00747B87">
              <w:rPr>
                <w:sz w:val="18"/>
                <w:szCs w:val="18"/>
                <w:lang w:val="es-ES_tradnl"/>
              </w:rPr>
              <w:t>2023 (Dic2019-Dic2022)</w:t>
            </w:r>
          </w:p>
        </w:tc>
        <w:tc>
          <w:tcPr>
            <w:tcW w:w="1837" w:type="dxa"/>
            <w:shd w:val="clear" w:color="auto" w:fill="auto"/>
            <w:vAlign w:val="center"/>
          </w:tcPr>
          <w:p w14:paraId="1A07C9D0" w14:textId="77777777" w:rsidR="0025722E" w:rsidRPr="00C87597" w:rsidRDefault="0025722E" w:rsidP="0025722E">
            <w:pPr>
              <w:rPr>
                <w:sz w:val="18"/>
                <w:szCs w:val="18"/>
                <w:lang w:val="es-ES_tradnl"/>
              </w:rPr>
            </w:pPr>
            <w:r w:rsidRPr="00C87597">
              <w:rPr>
                <w:sz w:val="18"/>
                <w:szCs w:val="18"/>
                <w:lang w:val="es-ES_tradnl"/>
              </w:rPr>
              <w:t xml:space="preserve">Base de Datos de Afiliados (BDA) </w:t>
            </w:r>
            <w:r w:rsidRPr="00C87597">
              <w:rPr>
                <w:sz w:val="18"/>
                <w:szCs w:val="18"/>
                <w:lang w:val="es-ES_tradnl"/>
              </w:rPr>
              <w:br/>
              <w:t>de la Superintendencia de Pensiones (SP)</w:t>
            </w:r>
          </w:p>
        </w:tc>
        <w:tc>
          <w:tcPr>
            <w:tcW w:w="2150" w:type="dxa"/>
            <w:shd w:val="clear" w:color="auto" w:fill="auto"/>
            <w:vAlign w:val="center"/>
          </w:tcPr>
          <w:p w14:paraId="37D5EAC8" w14:textId="7334ECE5" w:rsidR="0025722E" w:rsidRPr="007F7FF9" w:rsidRDefault="0025722E" w:rsidP="0025722E">
            <w:pPr>
              <w:rPr>
                <w:sz w:val="18"/>
                <w:szCs w:val="18"/>
                <w:lang w:val="es-ES_tradnl"/>
              </w:rPr>
            </w:pPr>
            <w:r w:rsidRPr="007F7FF9">
              <w:rPr>
                <w:sz w:val="18"/>
                <w:szCs w:val="18"/>
                <w:lang w:val="es-ES_tradnl"/>
              </w:rPr>
              <w:t xml:space="preserve">Nota </w:t>
            </w:r>
            <w:r w:rsidR="005E67D1" w:rsidRPr="007F7FF9">
              <w:rPr>
                <w:sz w:val="18"/>
                <w:szCs w:val="18"/>
                <w:lang w:val="es-ES_tradnl"/>
              </w:rPr>
              <w:t>4</w:t>
            </w:r>
            <w:r w:rsidRPr="007F7FF9">
              <w:rPr>
                <w:sz w:val="18"/>
                <w:szCs w:val="18"/>
                <w:lang w:val="es-ES_tradnl"/>
              </w:rPr>
              <w:t xml:space="preserve">: La tasa de reemplazo relaciona el nivel de la pensión con el nivel de ingreso (laboral) de los individuos antes de pensionarse. Este indicador se emplea para evaluar si el beneficio es suficiente para suavizar el consumo del individuo en su etapa pasiva con respecto a su nivel de vida en la etapa activa. </w:t>
            </w:r>
          </w:p>
        </w:tc>
      </w:tr>
      <w:tr w:rsidR="0025722E" w:rsidRPr="00747B87" w14:paraId="1ED37B5D" w14:textId="77777777" w:rsidTr="739FC7C0">
        <w:trPr>
          <w:gridAfter w:val="1"/>
          <w:wAfter w:w="10" w:type="dxa"/>
          <w:trHeight w:val="773"/>
          <w:jc w:val="center"/>
        </w:trPr>
        <w:tc>
          <w:tcPr>
            <w:tcW w:w="2770" w:type="dxa"/>
            <w:shd w:val="clear" w:color="auto" w:fill="auto"/>
            <w:vAlign w:val="center"/>
          </w:tcPr>
          <w:p w14:paraId="305734E3" w14:textId="77777777" w:rsidR="0025722E" w:rsidRPr="00C87597" w:rsidRDefault="0025722E" w:rsidP="0025722E">
            <w:pPr>
              <w:tabs>
                <w:tab w:val="left" w:pos="384"/>
              </w:tabs>
              <w:rPr>
                <w:sz w:val="18"/>
                <w:szCs w:val="18"/>
                <w:lang w:val="es-ES_tradnl"/>
              </w:rPr>
            </w:pPr>
            <w:r w:rsidRPr="00C87597">
              <w:rPr>
                <w:sz w:val="18"/>
                <w:szCs w:val="18"/>
                <w:lang w:val="es-ES_tradnl"/>
              </w:rPr>
              <w:t>Tasa de reemplazo mediana global del sistema de pensiones (Mujeres)</w:t>
            </w:r>
          </w:p>
        </w:tc>
        <w:tc>
          <w:tcPr>
            <w:tcW w:w="1577" w:type="dxa"/>
            <w:shd w:val="clear" w:color="auto" w:fill="auto"/>
            <w:vAlign w:val="center"/>
          </w:tcPr>
          <w:p w14:paraId="1C94B20C" w14:textId="77777777" w:rsidR="0025722E" w:rsidRPr="00747B87" w:rsidRDefault="0025722E" w:rsidP="0025722E">
            <w:pPr>
              <w:rPr>
                <w:sz w:val="18"/>
                <w:szCs w:val="18"/>
                <w:lang w:val="es-ES_tradnl"/>
              </w:rPr>
            </w:pPr>
            <w:r w:rsidRPr="00747B87">
              <w:rPr>
                <w:sz w:val="18"/>
                <w:szCs w:val="18"/>
                <w:lang w:val="es-ES_tradnl"/>
              </w:rPr>
              <w:t>Porcentaje</w:t>
            </w:r>
          </w:p>
        </w:tc>
        <w:tc>
          <w:tcPr>
            <w:tcW w:w="1386" w:type="dxa"/>
            <w:shd w:val="clear" w:color="auto" w:fill="auto"/>
            <w:vAlign w:val="center"/>
          </w:tcPr>
          <w:p w14:paraId="0F7F3813" w14:textId="77777777" w:rsidR="0025722E" w:rsidRPr="00747B87" w:rsidRDefault="0025722E" w:rsidP="0025722E">
            <w:pPr>
              <w:rPr>
                <w:sz w:val="18"/>
                <w:szCs w:val="18"/>
                <w:lang w:val="es-ES_tradnl"/>
              </w:rPr>
            </w:pPr>
            <w:r w:rsidRPr="00747B87">
              <w:rPr>
                <w:sz w:val="18"/>
                <w:szCs w:val="18"/>
                <w:lang w:val="es-ES_tradnl"/>
              </w:rPr>
              <w:t>31%</w:t>
            </w:r>
          </w:p>
        </w:tc>
        <w:tc>
          <w:tcPr>
            <w:tcW w:w="1232" w:type="dxa"/>
            <w:shd w:val="clear" w:color="auto" w:fill="auto"/>
            <w:vAlign w:val="center"/>
          </w:tcPr>
          <w:p w14:paraId="1E96EFD8" w14:textId="77777777" w:rsidR="0025722E" w:rsidRPr="00747B87" w:rsidRDefault="0025722E" w:rsidP="0025722E">
            <w:pPr>
              <w:rPr>
                <w:sz w:val="18"/>
                <w:szCs w:val="18"/>
                <w:lang w:val="es-ES_tradnl"/>
              </w:rPr>
            </w:pPr>
            <w:r w:rsidRPr="00747B87">
              <w:rPr>
                <w:sz w:val="18"/>
                <w:szCs w:val="18"/>
                <w:lang w:val="es-ES_tradnl"/>
              </w:rPr>
              <w:t>2007-2017</w:t>
            </w:r>
          </w:p>
        </w:tc>
        <w:tc>
          <w:tcPr>
            <w:tcW w:w="1408" w:type="dxa"/>
            <w:shd w:val="clear" w:color="auto" w:fill="auto"/>
            <w:vAlign w:val="center"/>
          </w:tcPr>
          <w:p w14:paraId="1F7BFB20" w14:textId="77777777" w:rsidR="0025722E" w:rsidRPr="00747B87" w:rsidRDefault="0025722E" w:rsidP="0025722E">
            <w:pPr>
              <w:rPr>
                <w:sz w:val="18"/>
                <w:szCs w:val="18"/>
                <w:lang w:val="es-ES_tradnl"/>
              </w:rPr>
            </w:pPr>
            <w:r w:rsidRPr="00747B87">
              <w:rPr>
                <w:sz w:val="18"/>
                <w:szCs w:val="18"/>
                <w:lang w:val="es-ES_tradnl"/>
              </w:rPr>
              <w:t>40%</w:t>
            </w:r>
          </w:p>
        </w:tc>
        <w:tc>
          <w:tcPr>
            <w:tcW w:w="1418" w:type="dxa"/>
            <w:shd w:val="clear" w:color="auto" w:fill="auto"/>
            <w:vAlign w:val="center"/>
          </w:tcPr>
          <w:p w14:paraId="725DC34D" w14:textId="77777777" w:rsidR="0025722E" w:rsidRPr="00747B87" w:rsidRDefault="0025722E" w:rsidP="0025722E">
            <w:pPr>
              <w:rPr>
                <w:sz w:val="18"/>
                <w:szCs w:val="18"/>
                <w:lang w:val="es-ES_tradnl"/>
              </w:rPr>
            </w:pPr>
            <w:r w:rsidRPr="00747B87">
              <w:rPr>
                <w:sz w:val="18"/>
                <w:szCs w:val="18"/>
                <w:lang w:val="es-ES_tradnl"/>
              </w:rPr>
              <w:t>2023 (Dic2019-Dic2022)</w:t>
            </w:r>
          </w:p>
        </w:tc>
        <w:tc>
          <w:tcPr>
            <w:tcW w:w="1837" w:type="dxa"/>
            <w:shd w:val="clear" w:color="auto" w:fill="auto"/>
            <w:vAlign w:val="center"/>
          </w:tcPr>
          <w:p w14:paraId="121A6885" w14:textId="77777777" w:rsidR="0025722E" w:rsidRPr="00747B87" w:rsidRDefault="0025722E" w:rsidP="0025722E">
            <w:pPr>
              <w:rPr>
                <w:sz w:val="18"/>
                <w:szCs w:val="18"/>
                <w:lang w:val="es-ES_tradnl"/>
              </w:rPr>
            </w:pPr>
            <w:r w:rsidRPr="00747B87">
              <w:rPr>
                <w:sz w:val="18"/>
                <w:szCs w:val="18"/>
                <w:lang w:val="es-ES_tradnl"/>
              </w:rPr>
              <w:t>BDA de la SP</w:t>
            </w:r>
          </w:p>
        </w:tc>
        <w:tc>
          <w:tcPr>
            <w:tcW w:w="2150" w:type="dxa"/>
            <w:shd w:val="clear" w:color="auto" w:fill="auto"/>
            <w:vAlign w:val="center"/>
          </w:tcPr>
          <w:p w14:paraId="1A28806C" w14:textId="5070FB69" w:rsidR="0025722E" w:rsidRPr="007F7FF9" w:rsidRDefault="0025722E" w:rsidP="0025722E">
            <w:pPr>
              <w:rPr>
                <w:sz w:val="18"/>
                <w:szCs w:val="18"/>
                <w:lang w:val="es-ES_tradnl"/>
              </w:rPr>
            </w:pPr>
            <w:r w:rsidRPr="007F7FF9">
              <w:rPr>
                <w:sz w:val="18"/>
                <w:szCs w:val="18"/>
                <w:lang w:val="es-ES_tradnl"/>
              </w:rPr>
              <w:t xml:space="preserve">Ver Nota </w:t>
            </w:r>
            <w:r w:rsidR="005E67D1" w:rsidRPr="007F7FF9">
              <w:rPr>
                <w:sz w:val="18"/>
                <w:szCs w:val="18"/>
                <w:lang w:val="es-ES_tradnl"/>
              </w:rPr>
              <w:t>4</w:t>
            </w:r>
            <w:r w:rsidRPr="007F7FF9">
              <w:rPr>
                <w:sz w:val="18"/>
                <w:szCs w:val="18"/>
                <w:lang w:val="es-ES_tradnl"/>
              </w:rPr>
              <w:t>.</w:t>
            </w:r>
          </w:p>
        </w:tc>
      </w:tr>
      <w:tr w:rsidR="0025722E" w:rsidRPr="00F70C09" w14:paraId="7C4D139A" w14:textId="77777777" w:rsidTr="739FC7C0">
        <w:trPr>
          <w:gridAfter w:val="1"/>
          <w:wAfter w:w="10" w:type="dxa"/>
          <w:trHeight w:val="773"/>
          <w:jc w:val="center"/>
        </w:trPr>
        <w:tc>
          <w:tcPr>
            <w:tcW w:w="2770" w:type="dxa"/>
            <w:tcBorders>
              <w:bottom w:val="single" w:sz="4" w:space="0" w:color="000000" w:themeColor="text1"/>
            </w:tcBorders>
            <w:shd w:val="clear" w:color="auto" w:fill="auto"/>
            <w:vAlign w:val="center"/>
          </w:tcPr>
          <w:p w14:paraId="3230673E" w14:textId="77777777" w:rsidR="0025722E" w:rsidRPr="00747B87" w:rsidRDefault="0025722E" w:rsidP="0025722E">
            <w:pPr>
              <w:tabs>
                <w:tab w:val="left" w:pos="384"/>
              </w:tabs>
              <w:rPr>
                <w:sz w:val="18"/>
                <w:szCs w:val="18"/>
                <w:lang w:val="es-ES_tradnl"/>
              </w:rPr>
            </w:pPr>
            <w:r w:rsidRPr="00C87597">
              <w:rPr>
                <w:sz w:val="18"/>
                <w:szCs w:val="18"/>
                <w:lang w:val="es-ES_tradnl"/>
              </w:rPr>
              <w:lastRenderedPageBreak/>
              <w:t>Porcentaje de pensionados por vejez con ingresos de pensión por debajo de la línea de pobreza oficial (Hombres)</w:t>
            </w:r>
          </w:p>
        </w:tc>
        <w:tc>
          <w:tcPr>
            <w:tcW w:w="1577" w:type="dxa"/>
            <w:tcBorders>
              <w:bottom w:val="single" w:sz="4" w:space="0" w:color="000000" w:themeColor="text1"/>
            </w:tcBorders>
            <w:shd w:val="clear" w:color="auto" w:fill="auto"/>
            <w:vAlign w:val="center"/>
          </w:tcPr>
          <w:p w14:paraId="05F581CE" w14:textId="77777777" w:rsidR="0025722E" w:rsidRPr="00747B87" w:rsidRDefault="0025722E" w:rsidP="0025722E">
            <w:pPr>
              <w:rPr>
                <w:sz w:val="18"/>
                <w:szCs w:val="18"/>
                <w:lang w:val="es-ES_tradnl"/>
              </w:rPr>
            </w:pPr>
            <w:r w:rsidRPr="00747B87">
              <w:rPr>
                <w:sz w:val="18"/>
                <w:szCs w:val="18"/>
                <w:lang w:val="es-ES_tradnl"/>
              </w:rPr>
              <w:t>Porcentaje</w:t>
            </w:r>
          </w:p>
        </w:tc>
        <w:tc>
          <w:tcPr>
            <w:tcW w:w="1386" w:type="dxa"/>
            <w:tcBorders>
              <w:bottom w:val="single" w:sz="4" w:space="0" w:color="000000" w:themeColor="text1"/>
            </w:tcBorders>
            <w:shd w:val="clear" w:color="auto" w:fill="auto"/>
            <w:vAlign w:val="center"/>
          </w:tcPr>
          <w:p w14:paraId="36816BDE" w14:textId="56CEBB89" w:rsidR="0025722E" w:rsidRPr="00747B87" w:rsidRDefault="0025722E" w:rsidP="0025722E">
            <w:pPr>
              <w:rPr>
                <w:sz w:val="18"/>
                <w:szCs w:val="18"/>
                <w:lang w:val="es-ES"/>
              </w:rPr>
            </w:pPr>
            <w:r w:rsidRPr="6D9A0FCD">
              <w:rPr>
                <w:sz w:val="18"/>
                <w:szCs w:val="18"/>
                <w:lang w:val="es-ES"/>
              </w:rPr>
              <w:t>35,</w:t>
            </w:r>
            <w:r w:rsidR="6140F7F9" w:rsidRPr="6D9A0FCD">
              <w:rPr>
                <w:sz w:val="18"/>
                <w:szCs w:val="18"/>
                <w:lang w:val="es-ES"/>
              </w:rPr>
              <w:t>7</w:t>
            </w:r>
            <w:r w:rsidRPr="6D9A0FCD">
              <w:rPr>
                <w:sz w:val="18"/>
                <w:szCs w:val="18"/>
                <w:lang w:val="es-ES"/>
              </w:rPr>
              <w:t>%</w:t>
            </w:r>
          </w:p>
        </w:tc>
        <w:tc>
          <w:tcPr>
            <w:tcW w:w="1232" w:type="dxa"/>
            <w:tcBorders>
              <w:bottom w:val="single" w:sz="4" w:space="0" w:color="000000" w:themeColor="text1"/>
            </w:tcBorders>
            <w:shd w:val="clear" w:color="auto" w:fill="auto"/>
            <w:vAlign w:val="center"/>
          </w:tcPr>
          <w:p w14:paraId="1E13E7B0" w14:textId="53FD6045" w:rsidR="0025722E" w:rsidRPr="00747B87" w:rsidRDefault="0025722E" w:rsidP="0025722E">
            <w:pPr>
              <w:rPr>
                <w:sz w:val="18"/>
                <w:szCs w:val="18"/>
                <w:lang w:val="es-ES"/>
              </w:rPr>
            </w:pPr>
            <w:r w:rsidRPr="3EB4ADF1">
              <w:rPr>
                <w:sz w:val="18"/>
                <w:szCs w:val="18"/>
                <w:lang w:val="es-ES"/>
              </w:rPr>
              <w:t>201</w:t>
            </w:r>
            <w:r w:rsidR="05C116F9" w:rsidRPr="3EB4ADF1">
              <w:rPr>
                <w:sz w:val="18"/>
                <w:szCs w:val="18"/>
                <w:lang w:val="es-ES"/>
              </w:rPr>
              <w:t>9</w:t>
            </w:r>
          </w:p>
        </w:tc>
        <w:tc>
          <w:tcPr>
            <w:tcW w:w="1408" w:type="dxa"/>
            <w:tcBorders>
              <w:bottom w:val="single" w:sz="4" w:space="0" w:color="000000" w:themeColor="text1"/>
            </w:tcBorders>
            <w:shd w:val="clear" w:color="auto" w:fill="auto"/>
            <w:vAlign w:val="center"/>
          </w:tcPr>
          <w:p w14:paraId="7CABFBB6" w14:textId="3A630751" w:rsidR="0025722E" w:rsidRPr="00747B87" w:rsidRDefault="354A0FED" w:rsidP="0025722E">
            <w:pPr>
              <w:rPr>
                <w:sz w:val="18"/>
                <w:szCs w:val="18"/>
                <w:highlight w:val="yellow"/>
                <w:lang w:val="es-ES"/>
              </w:rPr>
            </w:pPr>
            <w:r w:rsidRPr="7BB35621">
              <w:rPr>
                <w:sz w:val="18"/>
                <w:szCs w:val="18"/>
                <w:lang w:val="es-ES"/>
              </w:rPr>
              <w:t>3</w:t>
            </w:r>
            <w:r w:rsidR="490699EE" w:rsidRPr="7BB35621">
              <w:rPr>
                <w:sz w:val="18"/>
                <w:szCs w:val="18"/>
                <w:lang w:val="es-ES"/>
              </w:rPr>
              <w:t>1</w:t>
            </w:r>
            <w:r w:rsidR="0025722E" w:rsidRPr="7BB35621">
              <w:rPr>
                <w:sz w:val="18"/>
                <w:szCs w:val="18"/>
                <w:lang w:val="es-ES"/>
              </w:rPr>
              <w:t>%</w:t>
            </w:r>
          </w:p>
        </w:tc>
        <w:tc>
          <w:tcPr>
            <w:tcW w:w="1418" w:type="dxa"/>
            <w:tcBorders>
              <w:bottom w:val="single" w:sz="4" w:space="0" w:color="000000" w:themeColor="text1"/>
            </w:tcBorders>
            <w:shd w:val="clear" w:color="auto" w:fill="auto"/>
            <w:vAlign w:val="center"/>
          </w:tcPr>
          <w:p w14:paraId="6CE47ED5" w14:textId="041C7683" w:rsidR="0025722E" w:rsidRPr="00747B87" w:rsidRDefault="0025722E" w:rsidP="0025722E">
            <w:pPr>
              <w:rPr>
                <w:sz w:val="18"/>
                <w:szCs w:val="18"/>
                <w:lang w:val="es-ES_tradnl"/>
              </w:rPr>
            </w:pPr>
            <w:r w:rsidRPr="00747B87">
              <w:rPr>
                <w:sz w:val="18"/>
                <w:szCs w:val="18"/>
                <w:lang w:val="es-ES_tradnl"/>
              </w:rPr>
              <w:t>202</w:t>
            </w:r>
            <w:r>
              <w:rPr>
                <w:sz w:val="18"/>
                <w:szCs w:val="18"/>
                <w:lang w:val="es-ES_tradnl"/>
              </w:rPr>
              <w:t>3</w:t>
            </w:r>
          </w:p>
        </w:tc>
        <w:tc>
          <w:tcPr>
            <w:tcW w:w="1837" w:type="dxa"/>
            <w:tcBorders>
              <w:bottom w:val="single" w:sz="4" w:space="0" w:color="000000" w:themeColor="text1"/>
            </w:tcBorders>
            <w:shd w:val="clear" w:color="auto" w:fill="auto"/>
            <w:vAlign w:val="center"/>
          </w:tcPr>
          <w:p w14:paraId="0E744E21" w14:textId="52FB2906" w:rsidR="0025722E" w:rsidRPr="00747B87" w:rsidRDefault="12E123D2" w:rsidP="6D9A0FCD">
            <w:pPr>
              <w:rPr>
                <w:sz w:val="18"/>
                <w:szCs w:val="18"/>
                <w:lang w:val="es-ES"/>
              </w:rPr>
            </w:pPr>
            <w:r w:rsidRPr="6D9A0FCD">
              <w:rPr>
                <w:sz w:val="18"/>
                <w:szCs w:val="18"/>
                <w:lang w:val="es-ES"/>
              </w:rPr>
              <w:t xml:space="preserve"> BDA de la SP</w:t>
            </w:r>
          </w:p>
          <w:p w14:paraId="14E2AC30" w14:textId="56DF8F66" w:rsidR="0025722E" w:rsidRPr="00747B87" w:rsidRDefault="0025722E" w:rsidP="0025722E">
            <w:pPr>
              <w:rPr>
                <w:sz w:val="18"/>
                <w:szCs w:val="18"/>
                <w:lang w:val="es-ES"/>
              </w:rPr>
            </w:pPr>
          </w:p>
        </w:tc>
        <w:tc>
          <w:tcPr>
            <w:tcW w:w="2150" w:type="dxa"/>
            <w:tcBorders>
              <w:bottom w:val="single" w:sz="4" w:space="0" w:color="000000" w:themeColor="text1"/>
            </w:tcBorders>
            <w:shd w:val="clear" w:color="auto" w:fill="auto"/>
            <w:vAlign w:val="center"/>
          </w:tcPr>
          <w:p w14:paraId="56F47C30" w14:textId="1969CC7B" w:rsidR="0025722E" w:rsidRPr="007F7FF9" w:rsidRDefault="0025722E" w:rsidP="0025722E">
            <w:pPr>
              <w:rPr>
                <w:sz w:val="18"/>
                <w:szCs w:val="18"/>
                <w:lang w:val="es-ES_tradnl"/>
              </w:rPr>
            </w:pPr>
            <w:r w:rsidRPr="007F7FF9">
              <w:rPr>
                <w:sz w:val="18"/>
                <w:szCs w:val="18"/>
                <w:lang w:val="es-ES_tradnl"/>
              </w:rPr>
              <w:t xml:space="preserve">Nota </w:t>
            </w:r>
            <w:r w:rsidR="005E67D1" w:rsidRPr="007F7FF9">
              <w:rPr>
                <w:sz w:val="18"/>
                <w:szCs w:val="18"/>
                <w:lang w:val="es-ES_tradnl"/>
              </w:rPr>
              <w:t>5</w:t>
            </w:r>
            <w:r w:rsidRPr="007F7FF9">
              <w:rPr>
                <w:sz w:val="18"/>
                <w:szCs w:val="18"/>
                <w:lang w:val="es-ES_tradnl"/>
              </w:rPr>
              <w:t xml:space="preserve">: Este indicador mide el porcentaje de la población con ingresos de pensión suficientes para evitar caer en la pobreza en la etapa pasiva. </w:t>
            </w:r>
          </w:p>
        </w:tc>
      </w:tr>
      <w:tr w:rsidR="0025722E" w:rsidRPr="00747B87" w14:paraId="5E780460" w14:textId="77777777" w:rsidTr="739FC7C0">
        <w:trPr>
          <w:gridAfter w:val="1"/>
          <w:wAfter w:w="10" w:type="dxa"/>
          <w:trHeight w:val="773"/>
          <w:jc w:val="center"/>
        </w:trPr>
        <w:tc>
          <w:tcPr>
            <w:tcW w:w="2770" w:type="dxa"/>
            <w:tcBorders>
              <w:bottom w:val="single" w:sz="4" w:space="0" w:color="000000" w:themeColor="text1"/>
            </w:tcBorders>
            <w:shd w:val="clear" w:color="auto" w:fill="auto"/>
          </w:tcPr>
          <w:p w14:paraId="0F607A9D" w14:textId="77777777" w:rsidR="0025722E" w:rsidRDefault="0025722E" w:rsidP="0025722E">
            <w:pPr>
              <w:tabs>
                <w:tab w:val="left" w:pos="384"/>
              </w:tabs>
              <w:rPr>
                <w:sz w:val="18"/>
                <w:szCs w:val="18"/>
                <w:lang w:val="es-ES_tradnl"/>
              </w:rPr>
            </w:pPr>
            <w:r w:rsidRPr="00C87597">
              <w:rPr>
                <w:sz w:val="18"/>
                <w:szCs w:val="18"/>
                <w:lang w:val="es-ES_tradnl"/>
              </w:rPr>
              <w:t>Porcentaje de pensionados por vejez con ingresos de pensión por debajo de la línea de pobreza oficial (Mujeres)</w:t>
            </w:r>
          </w:p>
          <w:p w14:paraId="33F5F6CE" w14:textId="1028FC37" w:rsidR="00BD4ECA" w:rsidRPr="00747B87" w:rsidRDefault="00BD4ECA" w:rsidP="0025722E">
            <w:pPr>
              <w:tabs>
                <w:tab w:val="left" w:pos="384"/>
              </w:tabs>
              <w:rPr>
                <w:sz w:val="18"/>
                <w:szCs w:val="18"/>
                <w:lang w:val="es-ES_tradnl"/>
              </w:rPr>
            </w:pPr>
          </w:p>
        </w:tc>
        <w:tc>
          <w:tcPr>
            <w:tcW w:w="1577" w:type="dxa"/>
            <w:tcBorders>
              <w:bottom w:val="single" w:sz="4" w:space="0" w:color="000000" w:themeColor="text1"/>
            </w:tcBorders>
            <w:shd w:val="clear" w:color="auto" w:fill="auto"/>
          </w:tcPr>
          <w:p w14:paraId="7E09FA0D" w14:textId="77777777" w:rsidR="0025722E" w:rsidRPr="00747B87" w:rsidRDefault="0025722E" w:rsidP="0025722E">
            <w:pPr>
              <w:rPr>
                <w:sz w:val="18"/>
                <w:szCs w:val="18"/>
                <w:lang w:val="es-ES_tradnl"/>
              </w:rPr>
            </w:pPr>
            <w:r w:rsidRPr="00747B87">
              <w:rPr>
                <w:sz w:val="18"/>
                <w:szCs w:val="18"/>
                <w:lang w:val="es-ES_tradnl"/>
              </w:rPr>
              <w:t>Porcentaje</w:t>
            </w:r>
          </w:p>
        </w:tc>
        <w:tc>
          <w:tcPr>
            <w:tcW w:w="1386" w:type="dxa"/>
            <w:tcBorders>
              <w:bottom w:val="single" w:sz="4" w:space="0" w:color="000000" w:themeColor="text1"/>
            </w:tcBorders>
            <w:shd w:val="clear" w:color="auto" w:fill="auto"/>
          </w:tcPr>
          <w:p w14:paraId="5FCAADEC" w14:textId="2796C4E0" w:rsidR="0025722E" w:rsidRPr="00747B87" w:rsidRDefault="590D65A2" w:rsidP="0025722E">
            <w:pPr>
              <w:rPr>
                <w:sz w:val="18"/>
                <w:szCs w:val="18"/>
                <w:lang w:val="es-ES"/>
              </w:rPr>
            </w:pPr>
            <w:r w:rsidRPr="6D9A0FCD">
              <w:rPr>
                <w:sz w:val="18"/>
                <w:szCs w:val="18"/>
                <w:lang w:val="es-ES"/>
              </w:rPr>
              <w:t>71</w:t>
            </w:r>
            <w:r w:rsidR="0025722E" w:rsidRPr="6D9A0FCD">
              <w:rPr>
                <w:sz w:val="18"/>
                <w:szCs w:val="18"/>
                <w:lang w:val="es-ES"/>
              </w:rPr>
              <w:t>,</w:t>
            </w:r>
            <w:r w:rsidR="2DB361B2" w:rsidRPr="6D9A0FCD">
              <w:rPr>
                <w:sz w:val="18"/>
                <w:szCs w:val="18"/>
                <w:lang w:val="es-ES"/>
              </w:rPr>
              <w:t>4</w:t>
            </w:r>
            <w:r w:rsidR="0025722E" w:rsidRPr="6D9A0FCD">
              <w:rPr>
                <w:sz w:val="18"/>
                <w:szCs w:val="18"/>
                <w:lang w:val="es-ES"/>
              </w:rPr>
              <w:t>%</w:t>
            </w:r>
          </w:p>
        </w:tc>
        <w:tc>
          <w:tcPr>
            <w:tcW w:w="1232" w:type="dxa"/>
            <w:tcBorders>
              <w:bottom w:val="single" w:sz="4" w:space="0" w:color="000000" w:themeColor="text1"/>
            </w:tcBorders>
            <w:shd w:val="clear" w:color="auto" w:fill="auto"/>
          </w:tcPr>
          <w:p w14:paraId="7D7F1178" w14:textId="5E0B87C3" w:rsidR="0025722E" w:rsidRPr="00747B87" w:rsidRDefault="0025722E" w:rsidP="0025722E">
            <w:pPr>
              <w:rPr>
                <w:sz w:val="18"/>
                <w:szCs w:val="18"/>
                <w:lang w:val="es-ES"/>
              </w:rPr>
            </w:pPr>
            <w:r w:rsidRPr="6D9A0FCD">
              <w:rPr>
                <w:sz w:val="18"/>
                <w:szCs w:val="18"/>
                <w:lang w:val="es-ES"/>
              </w:rPr>
              <w:t>201</w:t>
            </w:r>
            <w:r w:rsidR="771FFBE5" w:rsidRPr="6D9A0FCD">
              <w:rPr>
                <w:sz w:val="18"/>
                <w:szCs w:val="18"/>
                <w:lang w:val="es-ES"/>
              </w:rPr>
              <w:t>9</w:t>
            </w:r>
          </w:p>
        </w:tc>
        <w:tc>
          <w:tcPr>
            <w:tcW w:w="1408" w:type="dxa"/>
            <w:tcBorders>
              <w:bottom w:val="single" w:sz="4" w:space="0" w:color="000000" w:themeColor="text1"/>
            </w:tcBorders>
            <w:shd w:val="clear" w:color="auto" w:fill="auto"/>
          </w:tcPr>
          <w:p w14:paraId="0ECE2787" w14:textId="7B641B21" w:rsidR="0025722E" w:rsidRPr="00747B87" w:rsidRDefault="54200619" w:rsidP="0025722E">
            <w:pPr>
              <w:rPr>
                <w:sz w:val="18"/>
                <w:szCs w:val="18"/>
                <w:lang w:val="es-ES"/>
              </w:rPr>
            </w:pPr>
            <w:r w:rsidRPr="136AB328">
              <w:rPr>
                <w:sz w:val="18"/>
                <w:szCs w:val="18"/>
                <w:lang w:val="es-ES"/>
              </w:rPr>
              <w:t>6</w:t>
            </w:r>
            <w:r w:rsidR="041831A1" w:rsidRPr="136AB328">
              <w:rPr>
                <w:sz w:val="18"/>
                <w:szCs w:val="18"/>
                <w:lang w:val="es-ES"/>
              </w:rPr>
              <w:t>6</w:t>
            </w:r>
            <w:r w:rsidR="081E1934" w:rsidRPr="136AB328">
              <w:rPr>
                <w:sz w:val="18"/>
                <w:szCs w:val="18"/>
                <w:lang w:val="es-ES"/>
              </w:rPr>
              <w:t>%</w:t>
            </w:r>
          </w:p>
        </w:tc>
        <w:tc>
          <w:tcPr>
            <w:tcW w:w="1418" w:type="dxa"/>
            <w:tcBorders>
              <w:bottom w:val="single" w:sz="4" w:space="0" w:color="000000" w:themeColor="text1"/>
            </w:tcBorders>
            <w:shd w:val="clear" w:color="auto" w:fill="auto"/>
          </w:tcPr>
          <w:p w14:paraId="15CF0E22" w14:textId="4A71B248" w:rsidR="0025722E" w:rsidRPr="00747B87" w:rsidRDefault="0025722E" w:rsidP="0025722E">
            <w:pPr>
              <w:rPr>
                <w:sz w:val="18"/>
                <w:szCs w:val="18"/>
                <w:lang w:val="es-ES_tradnl"/>
              </w:rPr>
            </w:pPr>
            <w:r w:rsidRPr="00747B87">
              <w:rPr>
                <w:sz w:val="18"/>
                <w:szCs w:val="18"/>
                <w:lang w:val="es-ES_tradnl"/>
              </w:rPr>
              <w:t>202</w:t>
            </w:r>
            <w:r>
              <w:rPr>
                <w:sz w:val="18"/>
                <w:szCs w:val="18"/>
                <w:lang w:val="es-ES_tradnl"/>
              </w:rPr>
              <w:t>3</w:t>
            </w:r>
          </w:p>
        </w:tc>
        <w:tc>
          <w:tcPr>
            <w:tcW w:w="1837" w:type="dxa"/>
            <w:tcBorders>
              <w:bottom w:val="single" w:sz="4" w:space="0" w:color="000000" w:themeColor="text1"/>
            </w:tcBorders>
            <w:shd w:val="clear" w:color="auto" w:fill="auto"/>
          </w:tcPr>
          <w:p w14:paraId="7F619F69" w14:textId="06D14036" w:rsidR="0025722E" w:rsidRPr="00747B87" w:rsidRDefault="39A359C6" w:rsidP="6D9A0FCD">
            <w:pPr>
              <w:rPr>
                <w:sz w:val="18"/>
                <w:szCs w:val="18"/>
                <w:lang w:val="es-ES"/>
              </w:rPr>
            </w:pPr>
            <w:r w:rsidRPr="6D9A0FCD">
              <w:rPr>
                <w:sz w:val="18"/>
                <w:szCs w:val="18"/>
                <w:lang w:val="es-ES"/>
              </w:rPr>
              <w:t xml:space="preserve"> BDA de la SP</w:t>
            </w:r>
          </w:p>
          <w:p w14:paraId="435DE8A5" w14:textId="7A55D8B8" w:rsidR="0025722E" w:rsidRPr="00747B87" w:rsidRDefault="0025722E" w:rsidP="0025722E">
            <w:pPr>
              <w:rPr>
                <w:sz w:val="18"/>
                <w:szCs w:val="18"/>
                <w:lang w:val="es-ES"/>
              </w:rPr>
            </w:pPr>
          </w:p>
        </w:tc>
        <w:tc>
          <w:tcPr>
            <w:tcW w:w="2150" w:type="dxa"/>
            <w:tcBorders>
              <w:bottom w:val="single" w:sz="4" w:space="0" w:color="000000" w:themeColor="text1"/>
            </w:tcBorders>
            <w:shd w:val="clear" w:color="auto" w:fill="auto"/>
          </w:tcPr>
          <w:p w14:paraId="04B2E7EC" w14:textId="0AD63C4A" w:rsidR="0025722E" w:rsidRPr="007F7FF9" w:rsidRDefault="0025722E" w:rsidP="0025722E">
            <w:pPr>
              <w:rPr>
                <w:sz w:val="18"/>
                <w:szCs w:val="18"/>
                <w:lang w:val="es-ES_tradnl"/>
              </w:rPr>
            </w:pPr>
            <w:r w:rsidRPr="007F7FF9">
              <w:rPr>
                <w:sz w:val="18"/>
                <w:szCs w:val="18"/>
                <w:lang w:val="es-ES_tradnl"/>
              </w:rPr>
              <w:t xml:space="preserve">Ver Nota </w:t>
            </w:r>
            <w:r w:rsidR="005E67D1" w:rsidRPr="007F7FF9">
              <w:rPr>
                <w:sz w:val="18"/>
                <w:szCs w:val="18"/>
                <w:lang w:val="es-ES_tradnl"/>
              </w:rPr>
              <w:t>5</w:t>
            </w:r>
            <w:r w:rsidRPr="007F7FF9">
              <w:rPr>
                <w:sz w:val="18"/>
                <w:szCs w:val="18"/>
                <w:lang w:val="es-ES_tradnl"/>
              </w:rPr>
              <w:t>.</w:t>
            </w:r>
          </w:p>
        </w:tc>
      </w:tr>
      <w:tr w:rsidR="0025722E" w:rsidRPr="00F70C09" w14:paraId="4582875B" w14:textId="77777777" w:rsidTr="739FC7C0">
        <w:trPr>
          <w:trHeight w:val="233"/>
          <w:jc w:val="center"/>
        </w:trPr>
        <w:tc>
          <w:tcPr>
            <w:tcW w:w="13788" w:type="dxa"/>
            <w:gridSpan w:val="9"/>
            <w:tcBorders>
              <w:bottom w:val="single" w:sz="4" w:space="0" w:color="000000" w:themeColor="text1"/>
            </w:tcBorders>
            <w:shd w:val="clear" w:color="auto" w:fill="D9D9D9" w:themeFill="background1" w:themeFillShade="D9"/>
            <w:vAlign w:val="center"/>
          </w:tcPr>
          <w:p w14:paraId="3D4CC731" w14:textId="2499191B" w:rsidR="0025722E" w:rsidRPr="007F7FF9" w:rsidRDefault="0025722E" w:rsidP="0025722E">
            <w:pPr>
              <w:rPr>
                <w:sz w:val="18"/>
                <w:szCs w:val="18"/>
                <w:highlight w:val="yellow"/>
                <w:lang w:val="es-ES_tradnl"/>
              </w:rPr>
            </w:pPr>
            <w:r w:rsidRPr="00F70C09">
              <w:rPr>
                <w:b/>
                <w:sz w:val="18"/>
                <w:szCs w:val="18"/>
                <w:lang w:val="es-ES_tradnl"/>
              </w:rPr>
              <w:t xml:space="preserve">Objetivo específico III: mejorar </w:t>
            </w:r>
            <w:r w:rsidR="003D097C" w:rsidRPr="00F70C09">
              <w:rPr>
                <w:b/>
                <w:sz w:val="18"/>
                <w:szCs w:val="18"/>
                <w:lang w:val="es-ES_tradnl"/>
              </w:rPr>
              <w:t>la disponibilidad de</w:t>
            </w:r>
            <w:r w:rsidRPr="007F7FF9">
              <w:rPr>
                <w:b/>
                <w:sz w:val="18"/>
                <w:szCs w:val="18"/>
                <w:lang w:val="es-ES_tradnl"/>
              </w:rPr>
              <w:t xml:space="preserve"> medicamentos de menor costo.</w:t>
            </w:r>
          </w:p>
        </w:tc>
      </w:tr>
      <w:tr w:rsidR="003D097C" w:rsidRPr="00F70C09" w14:paraId="7AA9C8BC" w14:textId="77777777" w:rsidTr="739FC7C0">
        <w:trPr>
          <w:gridAfter w:val="1"/>
          <w:wAfter w:w="10" w:type="dxa"/>
          <w:trHeight w:val="773"/>
          <w:jc w:val="center"/>
        </w:trPr>
        <w:tc>
          <w:tcPr>
            <w:tcW w:w="2770" w:type="dxa"/>
            <w:shd w:val="clear" w:color="auto" w:fill="auto"/>
          </w:tcPr>
          <w:p w14:paraId="30676F5B" w14:textId="03CDB47F" w:rsidR="003D097C" w:rsidRPr="00C87597" w:rsidRDefault="003D097C" w:rsidP="003D097C">
            <w:pPr>
              <w:tabs>
                <w:tab w:val="left" w:pos="384"/>
              </w:tabs>
              <w:rPr>
                <w:sz w:val="18"/>
                <w:szCs w:val="18"/>
                <w:lang w:val="es-ES_tradnl"/>
              </w:rPr>
            </w:pPr>
            <w:bookmarkStart w:id="1" w:name="_Hlk37257798"/>
            <w:r w:rsidRPr="00C87597">
              <w:rPr>
                <w:sz w:val="18"/>
                <w:szCs w:val="18"/>
                <w:lang w:val="es-ES_tradnl"/>
              </w:rPr>
              <w:t xml:space="preserve">Ahorro de las farmacias privadas que se acogieron al mecanismo de compras </w:t>
            </w:r>
            <w:r w:rsidR="00D30547">
              <w:rPr>
                <w:sz w:val="18"/>
                <w:szCs w:val="18"/>
                <w:lang w:val="es-ES_tradnl"/>
              </w:rPr>
              <w:t xml:space="preserve">y precios máximos de productos </w:t>
            </w:r>
            <w:r w:rsidRPr="00C87597">
              <w:rPr>
                <w:sz w:val="18"/>
                <w:szCs w:val="18"/>
                <w:lang w:val="es-ES_tradnl"/>
              </w:rPr>
              <w:t>intermediad</w:t>
            </w:r>
            <w:r w:rsidR="00D30547">
              <w:rPr>
                <w:sz w:val="18"/>
                <w:szCs w:val="18"/>
                <w:lang w:val="es-ES_tradnl"/>
              </w:rPr>
              <w:t>o</w:t>
            </w:r>
            <w:r w:rsidRPr="00C87597">
              <w:rPr>
                <w:sz w:val="18"/>
                <w:szCs w:val="18"/>
                <w:lang w:val="es-ES_tradnl"/>
              </w:rPr>
              <w:t>s por CENABAST según Ley 21.198.</w:t>
            </w:r>
          </w:p>
          <w:p w14:paraId="3B8F7EC2" w14:textId="4B5BC8FC" w:rsidR="003D097C" w:rsidRPr="00747B87" w:rsidRDefault="003D097C" w:rsidP="003D097C">
            <w:pPr>
              <w:tabs>
                <w:tab w:val="left" w:pos="384"/>
              </w:tabs>
              <w:rPr>
                <w:sz w:val="18"/>
                <w:szCs w:val="18"/>
                <w:lang w:val="es-ES_tradnl"/>
              </w:rPr>
            </w:pPr>
          </w:p>
        </w:tc>
        <w:tc>
          <w:tcPr>
            <w:tcW w:w="1577" w:type="dxa"/>
            <w:shd w:val="clear" w:color="auto" w:fill="auto"/>
          </w:tcPr>
          <w:p w14:paraId="0AFEA402" w14:textId="05922BAE" w:rsidR="003D097C" w:rsidRPr="00747B87" w:rsidRDefault="003D097C" w:rsidP="003D097C">
            <w:pPr>
              <w:rPr>
                <w:sz w:val="18"/>
                <w:szCs w:val="18"/>
                <w:lang w:val="es-ES_tradnl"/>
              </w:rPr>
            </w:pPr>
            <w:r w:rsidRPr="00747B87">
              <w:rPr>
                <w:sz w:val="18"/>
                <w:szCs w:val="18"/>
                <w:lang w:val="es-ES_tradnl"/>
              </w:rPr>
              <w:t>P</w:t>
            </w:r>
            <w:r w:rsidR="00D30547">
              <w:rPr>
                <w:sz w:val="18"/>
                <w:szCs w:val="18"/>
                <w:lang w:val="es-ES_tradnl"/>
              </w:rPr>
              <w:t>orcentaje</w:t>
            </w:r>
          </w:p>
        </w:tc>
        <w:tc>
          <w:tcPr>
            <w:tcW w:w="1386" w:type="dxa"/>
            <w:shd w:val="clear" w:color="auto" w:fill="auto"/>
          </w:tcPr>
          <w:p w14:paraId="65E697CC" w14:textId="2833B9BB" w:rsidR="003D097C" w:rsidRPr="00747B87" w:rsidRDefault="003D097C" w:rsidP="003D097C">
            <w:pPr>
              <w:rPr>
                <w:sz w:val="18"/>
                <w:szCs w:val="18"/>
                <w:lang w:val="es-ES_tradnl"/>
              </w:rPr>
            </w:pPr>
            <w:r w:rsidRPr="00747B87">
              <w:rPr>
                <w:sz w:val="18"/>
                <w:szCs w:val="18"/>
                <w:lang w:val="es-ES_tradnl"/>
              </w:rPr>
              <w:t>0</w:t>
            </w:r>
          </w:p>
        </w:tc>
        <w:tc>
          <w:tcPr>
            <w:tcW w:w="1232" w:type="dxa"/>
            <w:shd w:val="clear" w:color="auto" w:fill="auto"/>
          </w:tcPr>
          <w:p w14:paraId="5A5A5A5B" w14:textId="6368FA79" w:rsidR="003D097C" w:rsidRPr="00747B87" w:rsidRDefault="003D097C" w:rsidP="003D097C">
            <w:pPr>
              <w:rPr>
                <w:sz w:val="18"/>
                <w:szCs w:val="18"/>
                <w:lang w:val="es-ES_tradnl"/>
              </w:rPr>
            </w:pPr>
            <w:r w:rsidRPr="00747B87">
              <w:rPr>
                <w:sz w:val="18"/>
                <w:szCs w:val="18"/>
                <w:lang w:val="es-ES_tradnl"/>
              </w:rPr>
              <w:t>2019</w:t>
            </w:r>
          </w:p>
        </w:tc>
        <w:tc>
          <w:tcPr>
            <w:tcW w:w="1408" w:type="dxa"/>
            <w:shd w:val="clear" w:color="auto" w:fill="auto"/>
          </w:tcPr>
          <w:p w14:paraId="57492874" w14:textId="53A266E2" w:rsidR="003D097C" w:rsidRPr="00747B87" w:rsidRDefault="003D097C" w:rsidP="003D097C">
            <w:pPr>
              <w:rPr>
                <w:sz w:val="18"/>
                <w:szCs w:val="18"/>
                <w:lang w:val="es-ES_tradnl"/>
              </w:rPr>
            </w:pPr>
            <w:r>
              <w:rPr>
                <w:sz w:val="18"/>
                <w:szCs w:val="18"/>
                <w:lang w:val="es-ES_tradnl"/>
              </w:rPr>
              <w:t>3</w:t>
            </w:r>
            <w:r w:rsidR="00D30547">
              <w:rPr>
                <w:sz w:val="18"/>
                <w:szCs w:val="18"/>
                <w:lang w:val="es-ES_tradnl"/>
              </w:rPr>
              <w:t>0%</w:t>
            </w:r>
          </w:p>
        </w:tc>
        <w:tc>
          <w:tcPr>
            <w:tcW w:w="1418" w:type="dxa"/>
            <w:shd w:val="clear" w:color="auto" w:fill="auto"/>
          </w:tcPr>
          <w:p w14:paraId="2CA1CA5A" w14:textId="22DADAB7" w:rsidR="003D097C" w:rsidRPr="00747B87" w:rsidRDefault="003D097C" w:rsidP="003D097C">
            <w:pPr>
              <w:rPr>
                <w:sz w:val="18"/>
                <w:szCs w:val="18"/>
                <w:lang w:val="es-ES_tradnl"/>
              </w:rPr>
            </w:pPr>
            <w:r w:rsidRPr="00747B87">
              <w:rPr>
                <w:sz w:val="18"/>
                <w:szCs w:val="18"/>
                <w:lang w:val="es-ES_tradnl"/>
              </w:rPr>
              <w:t>2023</w:t>
            </w:r>
          </w:p>
        </w:tc>
        <w:tc>
          <w:tcPr>
            <w:tcW w:w="1837" w:type="dxa"/>
            <w:shd w:val="clear" w:color="auto" w:fill="auto"/>
          </w:tcPr>
          <w:p w14:paraId="55DC9ADD" w14:textId="41055C4C" w:rsidR="003D097C" w:rsidRPr="00C87597" w:rsidRDefault="003D097C" w:rsidP="003D097C">
            <w:pPr>
              <w:rPr>
                <w:sz w:val="18"/>
                <w:szCs w:val="18"/>
                <w:lang w:val="es-ES_tradnl"/>
              </w:rPr>
            </w:pPr>
            <w:r w:rsidRPr="00C87597">
              <w:rPr>
                <w:sz w:val="18"/>
                <w:szCs w:val="18"/>
                <w:lang w:val="es-ES_tradnl"/>
              </w:rPr>
              <w:t>Sistema de Información Observatorio CENABAST</w:t>
            </w:r>
          </w:p>
        </w:tc>
        <w:tc>
          <w:tcPr>
            <w:tcW w:w="2150" w:type="dxa"/>
            <w:shd w:val="clear" w:color="auto" w:fill="auto"/>
          </w:tcPr>
          <w:p w14:paraId="0B2DE4A8" w14:textId="4227E5A1" w:rsidR="003D097C" w:rsidRPr="007F7FF9" w:rsidRDefault="00D30547" w:rsidP="003D097C">
            <w:pPr>
              <w:rPr>
                <w:sz w:val="18"/>
                <w:szCs w:val="18"/>
                <w:lang w:val="es-ES_tradnl"/>
              </w:rPr>
            </w:pPr>
            <w:r w:rsidRPr="007F7FF9">
              <w:rPr>
                <w:sz w:val="18"/>
                <w:szCs w:val="18"/>
                <w:lang w:val="es-ES_tradnl"/>
              </w:rPr>
              <w:t>Corresponde al ahorro que logran las farmacias privadas que se acogen al mecanismo de compras centralizadas CENABAST. Se calcula comparando una canasta de productos sanitarios intermediados por CENABAST (a un precio máximo de venta al público determinado por la Central), respecto de los mismos productos a un precio promedio ponderado de retail. Su fórmula es [1</w:t>
            </w:r>
            <w:r w:rsidR="007F7FF9">
              <w:rPr>
                <w:sz w:val="18"/>
                <w:szCs w:val="18"/>
                <w:lang w:val="es-ES_tradnl"/>
              </w:rPr>
              <w:t> </w:t>
            </w:r>
            <w:r w:rsidRPr="007F7FF9">
              <w:rPr>
                <w:sz w:val="18"/>
                <w:szCs w:val="18"/>
                <w:lang w:val="es-ES_tradnl"/>
              </w:rPr>
              <w:t>– (valor canasta precio máximo/valor canasta precio retail)</w:t>
            </w:r>
            <w:proofErr w:type="gramStart"/>
            <w:r w:rsidRPr="007F7FF9">
              <w:rPr>
                <w:sz w:val="18"/>
                <w:szCs w:val="18"/>
                <w:lang w:val="es-ES_tradnl"/>
              </w:rPr>
              <w:t>].</w:t>
            </w:r>
            <w:r w:rsidR="003D097C" w:rsidRPr="007F7FF9">
              <w:rPr>
                <w:sz w:val="18"/>
                <w:szCs w:val="18"/>
                <w:lang w:val="es-ES_tradnl"/>
              </w:rPr>
              <w:t>.</w:t>
            </w:r>
            <w:proofErr w:type="gramEnd"/>
          </w:p>
        </w:tc>
      </w:tr>
      <w:tr w:rsidR="008D5934" w:rsidRPr="00F70C09" w14:paraId="3FA5FF42" w14:textId="77777777" w:rsidTr="739FC7C0">
        <w:trPr>
          <w:gridAfter w:val="1"/>
          <w:wAfter w:w="10" w:type="dxa"/>
          <w:trHeight w:val="773"/>
          <w:jc w:val="center"/>
        </w:trPr>
        <w:tc>
          <w:tcPr>
            <w:tcW w:w="2770" w:type="dxa"/>
            <w:shd w:val="clear" w:color="auto" w:fill="auto"/>
          </w:tcPr>
          <w:p w14:paraId="7B7A88F3" w14:textId="77777777" w:rsidR="008D5934" w:rsidRPr="00C87597" w:rsidRDefault="008D5934" w:rsidP="001D5998">
            <w:pPr>
              <w:tabs>
                <w:tab w:val="left" w:pos="384"/>
              </w:tabs>
              <w:rPr>
                <w:sz w:val="18"/>
                <w:szCs w:val="18"/>
                <w:lang w:val="es-ES_tradnl"/>
              </w:rPr>
            </w:pPr>
            <w:r w:rsidRPr="004264AD">
              <w:rPr>
                <w:sz w:val="18"/>
                <w:szCs w:val="18"/>
                <w:lang w:val="es-ES_tradnl"/>
              </w:rPr>
              <w:t>Medicamentos de la Canasta Esencial comprados por establecimientos de salud, que son adquiridos a menor precio a través de CENABAST.</w:t>
            </w:r>
          </w:p>
        </w:tc>
        <w:tc>
          <w:tcPr>
            <w:tcW w:w="1577" w:type="dxa"/>
            <w:shd w:val="clear" w:color="auto" w:fill="auto"/>
          </w:tcPr>
          <w:p w14:paraId="26E4BA81" w14:textId="77777777" w:rsidR="008D5934" w:rsidRPr="00747B87" w:rsidRDefault="008D5934" w:rsidP="001D5998">
            <w:pPr>
              <w:rPr>
                <w:sz w:val="18"/>
                <w:szCs w:val="18"/>
                <w:lang w:val="es-ES_tradnl"/>
              </w:rPr>
            </w:pPr>
            <w:r w:rsidRPr="00747B87">
              <w:rPr>
                <w:sz w:val="18"/>
                <w:szCs w:val="18"/>
                <w:lang w:val="es-ES_tradnl"/>
              </w:rPr>
              <w:t>Porcentaje</w:t>
            </w:r>
          </w:p>
        </w:tc>
        <w:tc>
          <w:tcPr>
            <w:tcW w:w="1386" w:type="dxa"/>
            <w:shd w:val="clear" w:color="auto" w:fill="auto"/>
          </w:tcPr>
          <w:p w14:paraId="2FD3B3D1" w14:textId="77777777" w:rsidR="008D5934" w:rsidRPr="00747B87" w:rsidRDefault="008D5934" w:rsidP="001D5998">
            <w:pPr>
              <w:rPr>
                <w:sz w:val="18"/>
                <w:szCs w:val="18"/>
                <w:lang w:val="es-ES_tradnl"/>
              </w:rPr>
            </w:pPr>
            <w:r w:rsidRPr="00747B87">
              <w:rPr>
                <w:sz w:val="18"/>
                <w:szCs w:val="18"/>
                <w:lang w:val="es-ES_tradnl"/>
              </w:rPr>
              <w:t>75,4%</w:t>
            </w:r>
          </w:p>
        </w:tc>
        <w:tc>
          <w:tcPr>
            <w:tcW w:w="1232" w:type="dxa"/>
            <w:shd w:val="clear" w:color="auto" w:fill="auto"/>
          </w:tcPr>
          <w:p w14:paraId="67A6214E" w14:textId="77777777" w:rsidR="008D5934" w:rsidRPr="00747B87" w:rsidRDefault="008D5934" w:rsidP="001D5998">
            <w:pPr>
              <w:rPr>
                <w:sz w:val="18"/>
                <w:szCs w:val="18"/>
                <w:lang w:val="es-ES_tradnl"/>
              </w:rPr>
            </w:pPr>
            <w:r w:rsidRPr="00747B87">
              <w:rPr>
                <w:sz w:val="18"/>
                <w:szCs w:val="18"/>
                <w:lang w:val="es-ES_tradnl"/>
              </w:rPr>
              <w:t>2019</w:t>
            </w:r>
          </w:p>
        </w:tc>
        <w:tc>
          <w:tcPr>
            <w:tcW w:w="1408" w:type="dxa"/>
            <w:shd w:val="clear" w:color="auto" w:fill="auto"/>
          </w:tcPr>
          <w:p w14:paraId="6B589901" w14:textId="77777777" w:rsidR="008D5934" w:rsidRPr="00747B87" w:rsidRDefault="008D5934" w:rsidP="001D5998">
            <w:pPr>
              <w:rPr>
                <w:sz w:val="18"/>
                <w:szCs w:val="18"/>
                <w:lang w:val="es-ES_tradnl"/>
              </w:rPr>
            </w:pPr>
            <w:r w:rsidRPr="00747B87">
              <w:rPr>
                <w:sz w:val="18"/>
                <w:szCs w:val="18"/>
                <w:lang w:val="es-ES_tradnl"/>
              </w:rPr>
              <w:t>80,0%</w:t>
            </w:r>
          </w:p>
        </w:tc>
        <w:tc>
          <w:tcPr>
            <w:tcW w:w="1418" w:type="dxa"/>
            <w:shd w:val="clear" w:color="auto" w:fill="auto"/>
          </w:tcPr>
          <w:p w14:paraId="40F2BC3D" w14:textId="77777777" w:rsidR="008D5934" w:rsidRPr="00747B87" w:rsidRDefault="008D5934" w:rsidP="001D5998">
            <w:pPr>
              <w:rPr>
                <w:sz w:val="18"/>
                <w:szCs w:val="18"/>
                <w:lang w:val="es-ES_tradnl"/>
              </w:rPr>
            </w:pPr>
            <w:r w:rsidRPr="00747B87">
              <w:rPr>
                <w:sz w:val="18"/>
                <w:szCs w:val="18"/>
                <w:lang w:val="es-ES_tradnl"/>
              </w:rPr>
              <w:t>2023</w:t>
            </w:r>
          </w:p>
        </w:tc>
        <w:tc>
          <w:tcPr>
            <w:tcW w:w="1837" w:type="dxa"/>
            <w:shd w:val="clear" w:color="auto" w:fill="auto"/>
          </w:tcPr>
          <w:p w14:paraId="3B2C5A2F" w14:textId="77777777" w:rsidR="008D5934" w:rsidRPr="00C87597" w:rsidRDefault="008D5934" w:rsidP="001D5998">
            <w:pPr>
              <w:rPr>
                <w:sz w:val="18"/>
                <w:szCs w:val="18"/>
                <w:lang w:val="es-ES_tradnl"/>
              </w:rPr>
            </w:pPr>
            <w:r w:rsidRPr="00C87597">
              <w:rPr>
                <w:sz w:val="18"/>
                <w:szCs w:val="18"/>
                <w:lang w:val="es-ES_tradnl"/>
              </w:rPr>
              <w:t>Sistema de Información Observatorio CENABAST</w:t>
            </w:r>
          </w:p>
        </w:tc>
        <w:tc>
          <w:tcPr>
            <w:tcW w:w="2150" w:type="dxa"/>
            <w:shd w:val="clear" w:color="auto" w:fill="auto"/>
          </w:tcPr>
          <w:p w14:paraId="2F8C97BD" w14:textId="77777777" w:rsidR="008D5934" w:rsidRPr="007F7FF9" w:rsidRDefault="008D5934" w:rsidP="001D5998">
            <w:pPr>
              <w:rPr>
                <w:sz w:val="18"/>
                <w:szCs w:val="18"/>
                <w:lang w:val="es-ES_tradnl"/>
              </w:rPr>
            </w:pPr>
            <w:r w:rsidRPr="007F7FF9">
              <w:rPr>
                <w:sz w:val="18"/>
                <w:szCs w:val="18"/>
                <w:lang w:val="es-ES_tradnl"/>
              </w:rPr>
              <w:t xml:space="preserve">Este indicador mide qué proporción de los medicamentos considerados esenciales para el stock farmacéutico de establecimientos de salud, son adquiridos a través del mecanismo centralizado de compras de CENABAST. </w:t>
            </w:r>
          </w:p>
        </w:tc>
      </w:tr>
      <w:tr w:rsidR="008D5934" w:rsidRPr="00F70C09" w14:paraId="47941346" w14:textId="77777777" w:rsidTr="739FC7C0">
        <w:trPr>
          <w:gridAfter w:val="1"/>
          <w:wAfter w:w="10" w:type="dxa"/>
          <w:trHeight w:val="773"/>
          <w:jc w:val="center"/>
        </w:trPr>
        <w:tc>
          <w:tcPr>
            <w:tcW w:w="2770" w:type="dxa"/>
            <w:shd w:val="clear" w:color="auto" w:fill="auto"/>
          </w:tcPr>
          <w:p w14:paraId="7F146BEC" w14:textId="77777777" w:rsidR="008D5934" w:rsidRPr="00747B87" w:rsidRDefault="008D5934" w:rsidP="001D5998">
            <w:pPr>
              <w:tabs>
                <w:tab w:val="left" w:pos="384"/>
              </w:tabs>
              <w:rPr>
                <w:sz w:val="18"/>
                <w:szCs w:val="18"/>
                <w:lang w:val="es-ES_tradnl"/>
              </w:rPr>
            </w:pPr>
            <w:r w:rsidRPr="00747B87">
              <w:rPr>
                <w:sz w:val="18"/>
                <w:szCs w:val="18"/>
                <w:lang w:val="es-ES_tradnl"/>
              </w:rPr>
              <w:lastRenderedPageBreak/>
              <w:t>Número de farmacias comunales que compran medicamentos a través de CENABAST.</w:t>
            </w:r>
          </w:p>
        </w:tc>
        <w:tc>
          <w:tcPr>
            <w:tcW w:w="1577" w:type="dxa"/>
            <w:shd w:val="clear" w:color="auto" w:fill="auto"/>
          </w:tcPr>
          <w:p w14:paraId="4D7D3EBC" w14:textId="1D79E3A4" w:rsidR="008D5934" w:rsidRPr="00747B87" w:rsidRDefault="008D5934" w:rsidP="001D5998">
            <w:pPr>
              <w:rPr>
                <w:sz w:val="18"/>
                <w:szCs w:val="18"/>
                <w:lang w:val="es-ES_tradnl"/>
              </w:rPr>
            </w:pPr>
            <w:r w:rsidRPr="00747B87">
              <w:rPr>
                <w:sz w:val="18"/>
                <w:szCs w:val="18"/>
                <w:lang w:val="es-ES_tradnl"/>
              </w:rPr>
              <w:t>Número</w:t>
            </w:r>
          </w:p>
        </w:tc>
        <w:tc>
          <w:tcPr>
            <w:tcW w:w="1386" w:type="dxa"/>
            <w:shd w:val="clear" w:color="auto" w:fill="auto"/>
          </w:tcPr>
          <w:p w14:paraId="58DC91D4" w14:textId="77777777" w:rsidR="008D5934" w:rsidRPr="00747B87" w:rsidRDefault="008D5934" w:rsidP="001D5998">
            <w:pPr>
              <w:rPr>
                <w:sz w:val="18"/>
                <w:szCs w:val="18"/>
                <w:lang w:val="es-ES_tradnl"/>
              </w:rPr>
            </w:pPr>
            <w:r w:rsidRPr="00747B87">
              <w:rPr>
                <w:sz w:val="18"/>
                <w:szCs w:val="18"/>
                <w:lang w:val="es-ES_tradnl"/>
              </w:rPr>
              <w:t>104</w:t>
            </w:r>
          </w:p>
        </w:tc>
        <w:tc>
          <w:tcPr>
            <w:tcW w:w="1232" w:type="dxa"/>
            <w:shd w:val="clear" w:color="auto" w:fill="auto"/>
          </w:tcPr>
          <w:p w14:paraId="20D3628F" w14:textId="77777777" w:rsidR="008D5934" w:rsidRPr="00747B87" w:rsidRDefault="008D5934" w:rsidP="001D5998">
            <w:pPr>
              <w:rPr>
                <w:sz w:val="18"/>
                <w:szCs w:val="18"/>
                <w:lang w:val="es-ES_tradnl"/>
              </w:rPr>
            </w:pPr>
            <w:r w:rsidRPr="00747B87">
              <w:rPr>
                <w:sz w:val="18"/>
                <w:szCs w:val="18"/>
                <w:lang w:val="es-ES_tradnl"/>
              </w:rPr>
              <w:t>2019</w:t>
            </w:r>
          </w:p>
        </w:tc>
        <w:tc>
          <w:tcPr>
            <w:tcW w:w="1408" w:type="dxa"/>
            <w:shd w:val="clear" w:color="auto" w:fill="auto"/>
          </w:tcPr>
          <w:p w14:paraId="6878DB0B" w14:textId="77777777" w:rsidR="008D5934" w:rsidRPr="00747B87" w:rsidRDefault="008D5934" w:rsidP="001D5998">
            <w:pPr>
              <w:rPr>
                <w:sz w:val="18"/>
                <w:szCs w:val="18"/>
                <w:lang w:val="es-ES_tradnl"/>
              </w:rPr>
            </w:pPr>
            <w:r w:rsidRPr="00747B87">
              <w:rPr>
                <w:sz w:val="18"/>
                <w:szCs w:val="18"/>
                <w:lang w:val="es-ES_tradnl"/>
              </w:rPr>
              <w:t>135</w:t>
            </w:r>
          </w:p>
        </w:tc>
        <w:tc>
          <w:tcPr>
            <w:tcW w:w="1418" w:type="dxa"/>
            <w:shd w:val="clear" w:color="auto" w:fill="auto"/>
          </w:tcPr>
          <w:p w14:paraId="7F781FB1" w14:textId="77777777" w:rsidR="008D5934" w:rsidRPr="00747B87" w:rsidRDefault="008D5934" w:rsidP="001D5998">
            <w:pPr>
              <w:rPr>
                <w:sz w:val="18"/>
                <w:szCs w:val="18"/>
                <w:lang w:val="es-ES_tradnl"/>
              </w:rPr>
            </w:pPr>
            <w:r w:rsidRPr="00747B87">
              <w:rPr>
                <w:sz w:val="18"/>
                <w:szCs w:val="18"/>
                <w:lang w:val="es-ES_tradnl"/>
              </w:rPr>
              <w:t>2023</w:t>
            </w:r>
          </w:p>
        </w:tc>
        <w:tc>
          <w:tcPr>
            <w:tcW w:w="1837" w:type="dxa"/>
            <w:shd w:val="clear" w:color="auto" w:fill="auto"/>
          </w:tcPr>
          <w:p w14:paraId="3E64BC51" w14:textId="77777777" w:rsidR="008D5934" w:rsidRPr="00C87597" w:rsidRDefault="008D5934" w:rsidP="001D5998">
            <w:pPr>
              <w:rPr>
                <w:sz w:val="18"/>
                <w:szCs w:val="18"/>
                <w:lang w:val="es-ES_tradnl"/>
              </w:rPr>
            </w:pPr>
            <w:r w:rsidRPr="00C87597">
              <w:rPr>
                <w:sz w:val="18"/>
                <w:szCs w:val="18"/>
                <w:lang w:val="es-ES_tradnl"/>
              </w:rPr>
              <w:t>Sistema de Información Observatorio CENABAST</w:t>
            </w:r>
          </w:p>
        </w:tc>
        <w:tc>
          <w:tcPr>
            <w:tcW w:w="2150" w:type="dxa"/>
            <w:shd w:val="clear" w:color="auto" w:fill="auto"/>
          </w:tcPr>
          <w:p w14:paraId="3999425F" w14:textId="77777777" w:rsidR="008D5934" w:rsidRPr="007F7FF9" w:rsidRDefault="008D5934" w:rsidP="001D5998">
            <w:pPr>
              <w:rPr>
                <w:sz w:val="18"/>
                <w:szCs w:val="18"/>
                <w:lang w:val="es-ES_tradnl"/>
              </w:rPr>
            </w:pPr>
            <w:r w:rsidRPr="007F7FF9">
              <w:rPr>
                <w:sz w:val="18"/>
                <w:szCs w:val="18"/>
                <w:lang w:val="es-ES_tradnl"/>
              </w:rPr>
              <w:t>El alcance de la medición del indicador corresponde al número de farmacias comunales que adquieren productos farmacéuticos vía el proceso de intermediación que realiza la CENABAST.</w:t>
            </w:r>
          </w:p>
        </w:tc>
      </w:tr>
      <w:tr w:rsidR="001F668C" w:rsidRPr="00F70C09" w14:paraId="0DF5F07A" w14:textId="77777777" w:rsidTr="739FC7C0">
        <w:trPr>
          <w:gridAfter w:val="1"/>
          <w:wAfter w:w="10" w:type="dxa"/>
          <w:trHeight w:val="773"/>
          <w:jc w:val="center"/>
        </w:trPr>
        <w:tc>
          <w:tcPr>
            <w:tcW w:w="2770" w:type="dxa"/>
            <w:shd w:val="clear" w:color="auto" w:fill="auto"/>
          </w:tcPr>
          <w:p w14:paraId="2627CD42" w14:textId="4B893EEC" w:rsidR="001F668C" w:rsidRPr="00747B87" w:rsidRDefault="004E39CE" w:rsidP="001F668C">
            <w:pPr>
              <w:tabs>
                <w:tab w:val="left" w:pos="384"/>
              </w:tabs>
              <w:rPr>
                <w:sz w:val="18"/>
                <w:szCs w:val="18"/>
                <w:lang w:val="es-ES_tradnl"/>
              </w:rPr>
            </w:pPr>
            <w:r>
              <w:rPr>
                <w:sz w:val="18"/>
                <w:szCs w:val="18"/>
                <w:lang w:val="es-ES_tradnl"/>
              </w:rPr>
              <w:t>M</w:t>
            </w:r>
            <w:r w:rsidR="00B34423" w:rsidRPr="00B34423">
              <w:rPr>
                <w:sz w:val="18"/>
                <w:szCs w:val="18"/>
                <w:lang w:val="es-ES_tradnl"/>
              </w:rPr>
              <w:t>onto en medicamentos que farmacias comunales compran a través de CENABAST.</w:t>
            </w:r>
          </w:p>
        </w:tc>
        <w:tc>
          <w:tcPr>
            <w:tcW w:w="1577" w:type="dxa"/>
            <w:shd w:val="clear" w:color="auto" w:fill="auto"/>
          </w:tcPr>
          <w:p w14:paraId="5FFA3205" w14:textId="39FD7549" w:rsidR="001F668C" w:rsidRPr="00747B87" w:rsidRDefault="001F668C" w:rsidP="001F668C">
            <w:pPr>
              <w:rPr>
                <w:sz w:val="18"/>
                <w:szCs w:val="18"/>
                <w:lang w:val="es-ES_tradnl"/>
              </w:rPr>
            </w:pPr>
            <w:r>
              <w:rPr>
                <w:sz w:val="18"/>
                <w:szCs w:val="18"/>
                <w:lang w:val="es-ES_tradnl"/>
              </w:rPr>
              <w:t>P</w:t>
            </w:r>
            <w:r w:rsidR="004E39CE">
              <w:rPr>
                <w:sz w:val="18"/>
                <w:szCs w:val="18"/>
                <w:lang w:val="es-ES_tradnl"/>
              </w:rPr>
              <w:t>esos</w:t>
            </w:r>
          </w:p>
        </w:tc>
        <w:tc>
          <w:tcPr>
            <w:tcW w:w="1386" w:type="dxa"/>
            <w:shd w:val="clear" w:color="auto" w:fill="auto"/>
          </w:tcPr>
          <w:p w14:paraId="1C5DC9E1" w14:textId="2EEE55F5" w:rsidR="001F668C" w:rsidRPr="00747B87" w:rsidRDefault="004E39CE" w:rsidP="001F668C">
            <w:pPr>
              <w:rPr>
                <w:sz w:val="18"/>
                <w:szCs w:val="18"/>
                <w:lang w:val="es-ES_tradnl"/>
              </w:rPr>
            </w:pPr>
            <w:r>
              <w:rPr>
                <w:sz w:val="16"/>
                <w:szCs w:val="16"/>
                <w:lang w:val="es-ES_tradnl"/>
              </w:rPr>
              <w:t>CH$</w:t>
            </w:r>
            <w:r w:rsidRPr="00D30547">
              <w:rPr>
                <w:sz w:val="16"/>
                <w:szCs w:val="16"/>
                <w:lang w:val="es-ES_tradnl"/>
              </w:rPr>
              <w:t>8.591 millones</w:t>
            </w:r>
          </w:p>
        </w:tc>
        <w:tc>
          <w:tcPr>
            <w:tcW w:w="1232" w:type="dxa"/>
            <w:shd w:val="clear" w:color="auto" w:fill="auto"/>
          </w:tcPr>
          <w:p w14:paraId="55166AF8" w14:textId="7E4C4267" w:rsidR="001F668C" w:rsidRPr="00747B87" w:rsidRDefault="001F668C" w:rsidP="001F668C">
            <w:pPr>
              <w:rPr>
                <w:sz w:val="18"/>
                <w:szCs w:val="18"/>
                <w:lang w:val="es-ES_tradnl"/>
              </w:rPr>
            </w:pPr>
            <w:r w:rsidRPr="00747B87">
              <w:rPr>
                <w:sz w:val="18"/>
                <w:szCs w:val="18"/>
                <w:lang w:val="es-ES_tradnl"/>
              </w:rPr>
              <w:t>2019</w:t>
            </w:r>
          </w:p>
        </w:tc>
        <w:tc>
          <w:tcPr>
            <w:tcW w:w="1408" w:type="dxa"/>
            <w:shd w:val="clear" w:color="auto" w:fill="auto"/>
          </w:tcPr>
          <w:p w14:paraId="581288B4" w14:textId="1FD3E9E4" w:rsidR="001F668C" w:rsidRPr="00747B87" w:rsidRDefault="004E39CE" w:rsidP="001F668C">
            <w:pPr>
              <w:rPr>
                <w:sz w:val="18"/>
                <w:szCs w:val="18"/>
                <w:lang w:val="es-ES_tradnl"/>
              </w:rPr>
            </w:pPr>
            <w:r>
              <w:rPr>
                <w:sz w:val="18"/>
                <w:szCs w:val="18"/>
                <w:lang w:val="es-ES_tradnl"/>
              </w:rPr>
              <w:t>CH$10.300 millones</w:t>
            </w:r>
          </w:p>
        </w:tc>
        <w:tc>
          <w:tcPr>
            <w:tcW w:w="1418" w:type="dxa"/>
            <w:shd w:val="clear" w:color="auto" w:fill="auto"/>
          </w:tcPr>
          <w:p w14:paraId="5A134EB6" w14:textId="5E9E8C56" w:rsidR="001F668C" w:rsidRPr="00747B87" w:rsidRDefault="001F668C" w:rsidP="001F668C">
            <w:pPr>
              <w:rPr>
                <w:sz w:val="18"/>
                <w:szCs w:val="18"/>
                <w:lang w:val="es-ES_tradnl"/>
              </w:rPr>
            </w:pPr>
            <w:r w:rsidRPr="00747B87">
              <w:rPr>
                <w:sz w:val="18"/>
                <w:szCs w:val="18"/>
                <w:lang w:val="es-ES_tradnl"/>
              </w:rPr>
              <w:t>2023</w:t>
            </w:r>
          </w:p>
        </w:tc>
        <w:tc>
          <w:tcPr>
            <w:tcW w:w="1837" w:type="dxa"/>
            <w:shd w:val="clear" w:color="auto" w:fill="auto"/>
          </w:tcPr>
          <w:p w14:paraId="31BF767B" w14:textId="037AA7FF" w:rsidR="001F668C" w:rsidRPr="00C87597" w:rsidRDefault="001F668C" w:rsidP="001F668C">
            <w:pPr>
              <w:rPr>
                <w:sz w:val="18"/>
                <w:szCs w:val="18"/>
                <w:lang w:val="es-ES_tradnl"/>
              </w:rPr>
            </w:pPr>
            <w:r w:rsidRPr="00C87597">
              <w:rPr>
                <w:sz w:val="18"/>
                <w:szCs w:val="18"/>
                <w:lang w:val="es-ES_tradnl"/>
              </w:rPr>
              <w:t>Sistema de Información Observatorio CENABAST</w:t>
            </w:r>
          </w:p>
        </w:tc>
        <w:tc>
          <w:tcPr>
            <w:tcW w:w="2150" w:type="dxa"/>
            <w:shd w:val="clear" w:color="auto" w:fill="auto"/>
          </w:tcPr>
          <w:p w14:paraId="75E3F041" w14:textId="77777777" w:rsidR="008E7392" w:rsidRPr="007F7FF9" w:rsidRDefault="008E7392" w:rsidP="008E7392">
            <w:pPr>
              <w:rPr>
                <w:sz w:val="18"/>
                <w:szCs w:val="18"/>
                <w:lang w:val="es-ES_tradnl"/>
              </w:rPr>
            </w:pPr>
            <w:bookmarkStart w:id="2" w:name="_Hlk38619924"/>
            <w:r w:rsidRPr="007F7FF9">
              <w:rPr>
                <w:sz w:val="18"/>
                <w:szCs w:val="18"/>
                <w:lang w:val="es-ES_tradnl"/>
              </w:rPr>
              <w:t>El número de productos que las farmacias comunales soliciten es muy variable y la composición de la canasta es dinámica en cuanto a número de productos. Por esto es adecuado considerar el monto de las compras como expresión del volumen de productos intermediados para este subconjunto de farmacias.</w:t>
            </w:r>
          </w:p>
          <w:p w14:paraId="193128C6" w14:textId="0FA11EE4" w:rsidR="001F668C" w:rsidRPr="007F7FF9" w:rsidRDefault="008E7392" w:rsidP="00B34423">
            <w:pPr>
              <w:rPr>
                <w:sz w:val="18"/>
                <w:szCs w:val="18"/>
                <w:lang w:val="es-ES"/>
              </w:rPr>
            </w:pPr>
            <w:r w:rsidRPr="007F7FF9">
              <w:rPr>
                <w:sz w:val="18"/>
                <w:szCs w:val="18"/>
                <w:lang w:val="es-ES_tradnl"/>
              </w:rPr>
              <w:t xml:space="preserve">El monto informado </w:t>
            </w:r>
            <w:r w:rsidR="004E39CE" w:rsidRPr="007F7FF9">
              <w:rPr>
                <w:sz w:val="18"/>
                <w:szCs w:val="18"/>
                <w:lang w:val="es-ES_tradnl"/>
              </w:rPr>
              <w:t xml:space="preserve">para el año base (2019) </w:t>
            </w:r>
            <w:r w:rsidRPr="007F7FF9">
              <w:rPr>
                <w:sz w:val="18"/>
                <w:szCs w:val="18"/>
                <w:lang w:val="es-ES_tradnl"/>
              </w:rPr>
              <w:t>es de CH$8.591</w:t>
            </w:r>
            <w:r w:rsidR="00F70C09">
              <w:rPr>
                <w:sz w:val="18"/>
                <w:szCs w:val="18"/>
                <w:lang w:val="es-ES_tradnl"/>
              </w:rPr>
              <w:t> </w:t>
            </w:r>
            <w:r w:rsidRPr="007F7FF9">
              <w:rPr>
                <w:sz w:val="18"/>
                <w:szCs w:val="18"/>
                <w:lang w:val="es-ES_tradnl"/>
              </w:rPr>
              <w:t>millones</w:t>
            </w:r>
            <w:r w:rsidR="004E39CE" w:rsidRPr="007F7FF9">
              <w:rPr>
                <w:sz w:val="18"/>
                <w:szCs w:val="18"/>
                <w:lang w:val="es-ES_tradnl"/>
              </w:rPr>
              <w:t>.</w:t>
            </w:r>
            <w:r w:rsidRPr="007F7FF9">
              <w:rPr>
                <w:sz w:val="18"/>
                <w:szCs w:val="18"/>
                <w:lang w:val="es-ES_tradnl"/>
              </w:rPr>
              <w:t xml:space="preserve"> Se espera un incremento en el volumen de productos que las farmacias comunales adquieren vía el proceso de intermediación que realiza la CENABAST y por ello la meta corresponde al aumento en el volumen (monto) de la intermediación</w:t>
            </w:r>
            <w:r w:rsidR="004E39CE" w:rsidRPr="007F7FF9">
              <w:rPr>
                <w:sz w:val="18"/>
                <w:szCs w:val="18"/>
                <w:lang w:val="es-ES_tradnl"/>
              </w:rPr>
              <w:t xml:space="preserve"> estimado en al menos 20%</w:t>
            </w:r>
            <w:r w:rsidR="00B34423" w:rsidRPr="007F7FF9">
              <w:rPr>
                <w:sz w:val="18"/>
                <w:szCs w:val="18"/>
                <w:lang w:val="es-ES_tradnl"/>
              </w:rPr>
              <w:t>.</w:t>
            </w:r>
            <w:bookmarkEnd w:id="2"/>
          </w:p>
        </w:tc>
      </w:tr>
      <w:bookmarkEnd w:id="1"/>
      <w:tr w:rsidR="003D097C" w:rsidRPr="00F70C09" w14:paraId="4ADBC1A3" w14:textId="77777777" w:rsidTr="739FC7C0">
        <w:trPr>
          <w:gridAfter w:val="1"/>
          <w:wAfter w:w="10" w:type="dxa"/>
          <w:trHeight w:val="773"/>
          <w:jc w:val="center"/>
        </w:trPr>
        <w:tc>
          <w:tcPr>
            <w:tcW w:w="2770" w:type="dxa"/>
            <w:shd w:val="clear" w:color="auto" w:fill="auto"/>
          </w:tcPr>
          <w:p w14:paraId="2D6567E9" w14:textId="6F72E8BC" w:rsidR="003D097C" w:rsidRPr="00545640" w:rsidRDefault="003D097C" w:rsidP="003D097C">
            <w:pPr>
              <w:tabs>
                <w:tab w:val="left" w:pos="384"/>
              </w:tabs>
              <w:rPr>
                <w:sz w:val="18"/>
                <w:szCs w:val="18"/>
                <w:lang w:val="es-ES_tradnl"/>
              </w:rPr>
            </w:pPr>
            <w:r w:rsidRPr="00545640">
              <w:rPr>
                <w:sz w:val="18"/>
                <w:szCs w:val="18"/>
                <w:lang w:val="es-ES_tradnl"/>
              </w:rPr>
              <w:t>Ahorro por compras de fármacos e insumos intermediadas por CENABAST.</w:t>
            </w:r>
          </w:p>
        </w:tc>
        <w:tc>
          <w:tcPr>
            <w:tcW w:w="1577" w:type="dxa"/>
            <w:shd w:val="clear" w:color="auto" w:fill="auto"/>
          </w:tcPr>
          <w:p w14:paraId="26502BE4" w14:textId="77777777" w:rsidR="003D097C" w:rsidRPr="00545640" w:rsidRDefault="003D097C" w:rsidP="003D097C">
            <w:pPr>
              <w:rPr>
                <w:sz w:val="18"/>
                <w:szCs w:val="18"/>
                <w:lang w:val="es-ES_tradnl"/>
              </w:rPr>
            </w:pPr>
            <w:r w:rsidRPr="00545640">
              <w:rPr>
                <w:sz w:val="18"/>
                <w:szCs w:val="18"/>
                <w:lang w:val="es-ES_tradnl"/>
              </w:rPr>
              <w:t>Porcentaje</w:t>
            </w:r>
          </w:p>
        </w:tc>
        <w:tc>
          <w:tcPr>
            <w:tcW w:w="1386" w:type="dxa"/>
            <w:shd w:val="clear" w:color="auto" w:fill="auto"/>
          </w:tcPr>
          <w:p w14:paraId="6CB07FED" w14:textId="26576404" w:rsidR="003D097C" w:rsidRPr="00545640" w:rsidRDefault="003D097C" w:rsidP="003D097C">
            <w:pPr>
              <w:rPr>
                <w:sz w:val="18"/>
                <w:szCs w:val="18"/>
                <w:lang w:val="es-ES_tradnl"/>
              </w:rPr>
            </w:pPr>
            <w:r w:rsidRPr="00545640">
              <w:rPr>
                <w:sz w:val="18"/>
                <w:szCs w:val="18"/>
                <w:lang w:val="es-ES_tradnl"/>
              </w:rPr>
              <w:t>34%</w:t>
            </w:r>
          </w:p>
        </w:tc>
        <w:tc>
          <w:tcPr>
            <w:tcW w:w="1232" w:type="dxa"/>
            <w:shd w:val="clear" w:color="auto" w:fill="auto"/>
          </w:tcPr>
          <w:p w14:paraId="4A28867B" w14:textId="4C31BC52" w:rsidR="003D097C" w:rsidRPr="00545640" w:rsidRDefault="003D097C" w:rsidP="003D097C">
            <w:pPr>
              <w:rPr>
                <w:sz w:val="18"/>
                <w:szCs w:val="18"/>
                <w:lang w:val="es-ES_tradnl"/>
              </w:rPr>
            </w:pPr>
            <w:r w:rsidRPr="00545640">
              <w:rPr>
                <w:sz w:val="18"/>
                <w:szCs w:val="18"/>
                <w:lang w:val="es-ES_tradnl"/>
              </w:rPr>
              <w:t>2019</w:t>
            </w:r>
          </w:p>
        </w:tc>
        <w:tc>
          <w:tcPr>
            <w:tcW w:w="1408" w:type="dxa"/>
            <w:shd w:val="clear" w:color="auto" w:fill="auto"/>
          </w:tcPr>
          <w:p w14:paraId="0FBBFF5E" w14:textId="2E85D461" w:rsidR="003D097C" w:rsidRPr="00545640" w:rsidRDefault="001F668C" w:rsidP="003D097C">
            <w:pPr>
              <w:rPr>
                <w:sz w:val="18"/>
                <w:szCs w:val="18"/>
                <w:lang w:val="es-ES_tradnl"/>
              </w:rPr>
            </w:pPr>
            <w:r w:rsidRPr="00545640">
              <w:rPr>
                <w:sz w:val="18"/>
                <w:szCs w:val="18"/>
                <w:lang w:val="es-ES_tradnl"/>
              </w:rPr>
              <w:t>3</w:t>
            </w:r>
            <w:r w:rsidR="00375E64">
              <w:rPr>
                <w:sz w:val="18"/>
                <w:szCs w:val="18"/>
                <w:lang w:val="es-ES_tradnl"/>
              </w:rPr>
              <w:t>5,4%</w:t>
            </w:r>
          </w:p>
        </w:tc>
        <w:tc>
          <w:tcPr>
            <w:tcW w:w="1418" w:type="dxa"/>
            <w:shd w:val="clear" w:color="auto" w:fill="auto"/>
          </w:tcPr>
          <w:p w14:paraId="3A407517" w14:textId="77777777" w:rsidR="003D097C" w:rsidRPr="00545640" w:rsidRDefault="003D097C" w:rsidP="003D097C">
            <w:pPr>
              <w:rPr>
                <w:sz w:val="18"/>
                <w:szCs w:val="18"/>
                <w:lang w:val="es-ES_tradnl"/>
              </w:rPr>
            </w:pPr>
            <w:r w:rsidRPr="00545640">
              <w:rPr>
                <w:sz w:val="18"/>
                <w:szCs w:val="18"/>
                <w:lang w:val="es-ES_tradnl"/>
              </w:rPr>
              <w:t>2023</w:t>
            </w:r>
          </w:p>
        </w:tc>
        <w:tc>
          <w:tcPr>
            <w:tcW w:w="1837" w:type="dxa"/>
            <w:shd w:val="clear" w:color="auto" w:fill="auto"/>
          </w:tcPr>
          <w:p w14:paraId="55D8D92F" w14:textId="77777777" w:rsidR="003D097C" w:rsidRPr="00545640" w:rsidRDefault="003D097C" w:rsidP="003D097C">
            <w:pPr>
              <w:rPr>
                <w:sz w:val="18"/>
                <w:szCs w:val="18"/>
                <w:lang w:val="es-ES_tradnl"/>
              </w:rPr>
            </w:pPr>
            <w:r w:rsidRPr="00545640">
              <w:rPr>
                <w:sz w:val="18"/>
                <w:szCs w:val="18"/>
                <w:lang w:val="es-ES_tradnl"/>
              </w:rPr>
              <w:t>Sistema de Información Observatorio CENABAST</w:t>
            </w:r>
          </w:p>
        </w:tc>
        <w:tc>
          <w:tcPr>
            <w:tcW w:w="2150" w:type="dxa"/>
            <w:shd w:val="clear" w:color="auto" w:fill="auto"/>
          </w:tcPr>
          <w:p w14:paraId="7D8FC943" w14:textId="509FC5C6" w:rsidR="003D097C" w:rsidRPr="007F7FF9" w:rsidRDefault="00545640" w:rsidP="003D097C">
            <w:pPr>
              <w:rPr>
                <w:sz w:val="18"/>
                <w:szCs w:val="18"/>
                <w:lang w:val="es-ES_tradnl"/>
              </w:rPr>
            </w:pPr>
            <w:r w:rsidRPr="007F7FF9">
              <w:rPr>
                <w:sz w:val="18"/>
                <w:szCs w:val="18"/>
                <w:lang w:val="es-ES_tradnl"/>
              </w:rPr>
              <w:t xml:space="preserve">El ahorro es multifactorial e incluye efectos de precios y disponibilidad de la industria. Un indicador </w:t>
            </w:r>
            <w:r w:rsidRPr="007F7FF9">
              <w:rPr>
                <w:sz w:val="18"/>
                <w:szCs w:val="18"/>
                <w:lang w:val="es-ES_tradnl"/>
              </w:rPr>
              <w:lastRenderedPageBreak/>
              <w:t xml:space="preserve">de éxito es que al menos se mantenga el patrón de ahorro registrado para la serie temporal de referencia </w:t>
            </w:r>
            <w:r w:rsidR="00375E64" w:rsidRPr="007F7FF9">
              <w:rPr>
                <w:sz w:val="18"/>
                <w:szCs w:val="18"/>
                <w:lang w:val="es-ES_tradnl"/>
              </w:rPr>
              <w:t>cuto valor promedio es 34% desde 2016. La meta de variación en el ahorro corresponde al valor de la línea de base más el promedio del aumento entre años, calculado en 1,4</w:t>
            </w:r>
            <w:r w:rsidR="00F70C09">
              <w:rPr>
                <w:sz w:val="18"/>
                <w:szCs w:val="18"/>
                <w:lang w:val="es-ES_tradnl"/>
              </w:rPr>
              <w:t> </w:t>
            </w:r>
            <w:r w:rsidR="00375E64" w:rsidRPr="007F7FF9">
              <w:rPr>
                <w:sz w:val="18"/>
                <w:szCs w:val="18"/>
                <w:lang w:val="es-ES_tradnl"/>
              </w:rPr>
              <w:t>p.p.</w:t>
            </w:r>
          </w:p>
          <w:p w14:paraId="7B10B424" w14:textId="7B3A1049" w:rsidR="00BD4ECA" w:rsidRPr="007F7FF9" w:rsidRDefault="00BD4ECA" w:rsidP="003D097C">
            <w:pPr>
              <w:rPr>
                <w:sz w:val="18"/>
                <w:szCs w:val="18"/>
                <w:lang w:val="es-ES_tradnl"/>
              </w:rPr>
            </w:pPr>
          </w:p>
        </w:tc>
      </w:tr>
      <w:tr w:rsidR="003D097C" w:rsidRPr="00F70C09" w14:paraId="308B83E4" w14:textId="77777777" w:rsidTr="739FC7C0">
        <w:trPr>
          <w:trHeight w:val="233"/>
          <w:jc w:val="center"/>
        </w:trPr>
        <w:tc>
          <w:tcPr>
            <w:tcW w:w="13788" w:type="dxa"/>
            <w:gridSpan w:val="9"/>
            <w:tcBorders>
              <w:bottom w:val="single" w:sz="4" w:space="0" w:color="000000" w:themeColor="text1"/>
            </w:tcBorders>
            <w:shd w:val="clear" w:color="auto" w:fill="D9D9D9" w:themeFill="background1" w:themeFillShade="D9"/>
            <w:vAlign w:val="center"/>
          </w:tcPr>
          <w:p w14:paraId="2F963567" w14:textId="77777777" w:rsidR="003D097C" w:rsidRPr="00F70C09" w:rsidRDefault="003D097C" w:rsidP="003D097C">
            <w:pPr>
              <w:rPr>
                <w:sz w:val="18"/>
                <w:szCs w:val="18"/>
                <w:highlight w:val="yellow"/>
                <w:lang w:val="es-ES_tradnl"/>
              </w:rPr>
            </w:pPr>
            <w:r w:rsidRPr="00F70C09">
              <w:rPr>
                <w:b/>
                <w:sz w:val="18"/>
                <w:szCs w:val="18"/>
                <w:lang w:val="es-ES_tradnl"/>
              </w:rPr>
              <w:lastRenderedPageBreak/>
              <w:t>Objetivo específico IV: mejorar la eficiencia del gasto público y la calidad del proceso de formulación presupuestaria</w:t>
            </w:r>
          </w:p>
        </w:tc>
      </w:tr>
      <w:tr w:rsidR="003D097C" w:rsidRPr="00F70C09" w14:paraId="28B3227F" w14:textId="77777777" w:rsidTr="739FC7C0">
        <w:trPr>
          <w:gridAfter w:val="1"/>
          <w:wAfter w:w="10" w:type="dxa"/>
          <w:trHeight w:val="773"/>
          <w:jc w:val="center"/>
        </w:trPr>
        <w:tc>
          <w:tcPr>
            <w:tcW w:w="2770" w:type="dxa"/>
            <w:shd w:val="clear" w:color="auto" w:fill="auto"/>
          </w:tcPr>
          <w:p w14:paraId="734F82A3" w14:textId="77777777" w:rsidR="003D097C" w:rsidRPr="00747B87" w:rsidRDefault="003D097C" w:rsidP="003D097C">
            <w:pPr>
              <w:tabs>
                <w:tab w:val="left" w:pos="384"/>
              </w:tabs>
              <w:rPr>
                <w:sz w:val="18"/>
                <w:szCs w:val="18"/>
                <w:lang w:val="es-ES_tradnl"/>
              </w:rPr>
            </w:pPr>
            <w:r w:rsidRPr="00C87597">
              <w:rPr>
                <w:sz w:val="18"/>
                <w:szCs w:val="18"/>
                <w:lang w:val="es-ES_tradnl"/>
              </w:rPr>
              <w:t>Porcentaje del presupuesto público monitoreado como parte del proceso de formulación presupuestaria.</w:t>
            </w:r>
          </w:p>
        </w:tc>
        <w:tc>
          <w:tcPr>
            <w:tcW w:w="1577" w:type="dxa"/>
            <w:shd w:val="clear" w:color="auto" w:fill="auto"/>
          </w:tcPr>
          <w:p w14:paraId="4C53ABFD" w14:textId="77777777" w:rsidR="003D097C" w:rsidRPr="00747B87" w:rsidRDefault="003D097C" w:rsidP="003D097C">
            <w:pPr>
              <w:rPr>
                <w:sz w:val="18"/>
                <w:szCs w:val="18"/>
                <w:lang w:val="es-ES_tradnl"/>
              </w:rPr>
            </w:pPr>
            <w:r w:rsidRPr="00747B87">
              <w:rPr>
                <w:sz w:val="18"/>
                <w:szCs w:val="18"/>
                <w:lang w:val="es-ES_tradnl"/>
              </w:rPr>
              <w:t>Porcentaje</w:t>
            </w:r>
          </w:p>
        </w:tc>
        <w:tc>
          <w:tcPr>
            <w:tcW w:w="1386" w:type="dxa"/>
            <w:shd w:val="clear" w:color="auto" w:fill="auto"/>
          </w:tcPr>
          <w:p w14:paraId="40F9DDA8" w14:textId="77777777" w:rsidR="003D097C" w:rsidRPr="00747B87" w:rsidRDefault="003D097C" w:rsidP="003D097C">
            <w:pPr>
              <w:rPr>
                <w:sz w:val="18"/>
                <w:szCs w:val="18"/>
                <w:lang w:val="es-ES_tradnl"/>
              </w:rPr>
            </w:pPr>
            <w:r w:rsidRPr="00747B87">
              <w:rPr>
                <w:sz w:val="18"/>
                <w:szCs w:val="18"/>
                <w:lang w:val="es-ES_tradnl"/>
              </w:rPr>
              <w:t>44%</w:t>
            </w:r>
          </w:p>
        </w:tc>
        <w:tc>
          <w:tcPr>
            <w:tcW w:w="1232" w:type="dxa"/>
            <w:shd w:val="clear" w:color="auto" w:fill="auto"/>
          </w:tcPr>
          <w:p w14:paraId="4CB93A37" w14:textId="77777777" w:rsidR="003D097C" w:rsidRPr="00747B87" w:rsidRDefault="003D097C" w:rsidP="003D097C">
            <w:pPr>
              <w:rPr>
                <w:sz w:val="18"/>
                <w:szCs w:val="18"/>
                <w:lang w:val="es-ES_tradnl"/>
              </w:rPr>
            </w:pPr>
            <w:r w:rsidRPr="00747B87">
              <w:rPr>
                <w:sz w:val="18"/>
                <w:szCs w:val="18"/>
                <w:lang w:val="es-ES_tradnl"/>
              </w:rPr>
              <w:t>2018</w:t>
            </w:r>
          </w:p>
        </w:tc>
        <w:tc>
          <w:tcPr>
            <w:tcW w:w="1408" w:type="dxa"/>
            <w:shd w:val="clear" w:color="auto" w:fill="auto"/>
          </w:tcPr>
          <w:p w14:paraId="78FB350E" w14:textId="77777777" w:rsidR="003D097C" w:rsidRPr="00747B87" w:rsidRDefault="003D097C" w:rsidP="003D097C">
            <w:pPr>
              <w:rPr>
                <w:sz w:val="18"/>
                <w:szCs w:val="18"/>
                <w:lang w:val="es-ES_tradnl"/>
              </w:rPr>
            </w:pPr>
            <w:r w:rsidRPr="00747B87">
              <w:rPr>
                <w:sz w:val="18"/>
                <w:szCs w:val="18"/>
                <w:lang w:val="es-ES_tradnl"/>
              </w:rPr>
              <w:t>47%</w:t>
            </w:r>
          </w:p>
        </w:tc>
        <w:tc>
          <w:tcPr>
            <w:tcW w:w="1418" w:type="dxa"/>
            <w:shd w:val="clear" w:color="auto" w:fill="auto"/>
          </w:tcPr>
          <w:p w14:paraId="582F5B90" w14:textId="77777777" w:rsidR="003D097C" w:rsidRPr="00747B87" w:rsidRDefault="003D097C" w:rsidP="003D097C">
            <w:pPr>
              <w:rPr>
                <w:sz w:val="18"/>
                <w:szCs w:val="18"/>
                <w:lang w:val="es-ES_tradnl"/>
              </w:rPr>
            </w:pPr>
            <w:r w:rsidRPr="00747B87">
              <w:rPr>
                <w:sz w:val="18"/>
                <w:szCs w:val="18"/>
                <w:lang w:val="es-ES_tradnl"/>
              </w:rPr>
              <w:t>2023</w:t>
            </w:r>
          </w:p>
        </w:tc>
        <w:tc>
          <w:tcPr>
            <w:tcW w:w="1837" w:type="dxa"/>
            <w:shd w:val="clear" w:color="auto" w:fill="auto"/>
          </w:tcPr>
          <w:p w14:paraId="2BD8785C" w14:textId="77777777" w:rsidR="003D097C" w:rsidRPr="00747B87" w:rsidRDefault="003D097C" w:rsidP="003D097C">
            <w:pPr>
              <w:rPr>
                <w:sz w:val="18"/>
                <w:szCs w:val="18"/>
                <w:lang w:val="es-ES_tradnl"/>
              </w:rPr>
            </w:pPr>
            <w:r w:rsidRPr="00747B87">
              <w:rPr>
                <w:sz w:val="18"/>
                <w:szCs w:val="18"/>
                <w:lang w:val="es-ES_tradnl"/>
              </w:rPr>
              <w:t>Informe de Monitoreo anual del Presupuesto Público de DIPRES</w:t>
            </w:r>
          </w:p>
        </w:tc>
        <w:tc>
          <w:tcPr>
            <w:tcW w:w="2150" w:type="dxa"/>
            <w:shd w:val="clear" w:color="auto" w:fill="auto"/>
          </w:tcPr>
          <w:p w14:paraId="2A8E1B1E" w14:textId="77777777" w:rsidR="003D097C" w:rsidRPr="007F7FF9" w:rsidRDefault="003D097C" w:rsidP="003D097C">
            <w:pPr>
              <w:rPr>
                <w:sz w:val="18"/>
                <w:szCs w:val="18"/>
                <w:lang w:val="es-ES_tradnl"/>
              </w:rPr>
            </w:pPr>
            <w:r w:rsidRPr="007F7FF9">
              <w:rPr>
                <w:sz w:val="18"/>
                <w:szCs w:val="18"/>
                <w:lang w:val="es-ES_tradnl"/>
              </w:rPr>
              <w:t xml:space="preserve">Mide el porcentaje del presupuesto público monitoreado por DIPRES anualmente de acuerdo a su formulario de monitoreo estandarizado. </w:t>
            </w:r>
          </w:p>
        </w:tc>
      </w:tr>
      <w:tr w:rsidR="003D097C" w:rsidRPr="00F70C09" w14:paraId="0B36265F" w14:textId="77777777" w:rsidTr="739FC7C0">
        <w:trPr>
          <w:gridAfter w:val="1"/>
          <w:wAfter w:w="10" w:type="dxa"/>
          <w:trHeight w:val="773"/>
          <w:jc w:val="center"/>
        </w:trPr>
        <w:tc>
          <w:tcPr>
            <w:tcW w:w="2770" w:type="dxa"/>
            <w:shd w:val="clear" w:color="auto" w:fill="auto"/>
          </w:tcPr>
          <w:p w14:paraId="631454DA" w14:textId="26AD8E9E" w:rsidR="003D097C" w:rsidRPr="00747B87" w:rsidRDefault="003D097C" w:rsidP="003D097C">
            <w:pPr>
              <w:rPr>
                <w:sz w:val="18"/>
                <w:szCs w:val="18"/>
                <w:lang w:val="es-ES_tradnl"/>
              </w:rPr>
            </w:pPr>
            <w:r w:rsidRPr="00747B87">
              <w:rPr>
                <w:sz w:val="18"/>
                <w:szCs w:val="18"/>
                <w:lang w:val="es-ES_tradnl"/>
              </w:rPr>
              <w:t>Ahorros de eficiencia en la ejecución de compras públicas bajo la modalidad de compras ágiles.</w:t>
            </w:r>
          </w:p>
        </w:tc>
        <w:tc>
          <w:tcPr>
            <w:tcW w:w="1577" w:type="dxa"/>
            <w:shd w:val="clear" w:color="auto" w:fill="auto"/>
          </w:tcPr>
          <w:p w14:paraId="1E080943" w14:textId="6B450602" w:rsidR="003D097C" w:rsidRPr="00747B87" w:rsidRDefault="003D097C" w:rsidP="003D097C">
            <w:pPr>
              <w:rPr>
                <w:sz w:val="18"/>
                <w:szCs w:val="18"/>
                <w:lang w:val="es-ES_tradnl"/>
              </w:rPr>
            </w:pPr>
            <w:r w:rsidRPr="00747B87">
              <w:rPr>
                <w:sz w:val="18"/>
                <w:szCs w:val="18"/>
                <w:lang w:val="es-ES_tradnl"/>
              </w:rPr>
              <w:t xml:space="preserve">Horas/hombre promedio  </w:t>
            </w:r>
          </w:p>
        </w:tc>
        <w:tc>
          <w:tcPr>
            <w:tcW w:w="1386" w:type="dxa"/>
            <w:shd w:val="clear" w:color="auto" w:fill="auto"/>
          </w:tcPr>
          <w:p w14:paraId="35580F8E" w14:textId="643C56EF" w:rsidR="003D097C" w:rsidRPr="00747B87" w:rsidRDefault="003D097C" w:rsidP="003D097C">
            <w:pPr>
              <w:rPr>
                <w:sz w:val="18"/>
                <w:szCs w:val="18"/>
                <w:lang w:val="es-ES_tradnl"/>
              </w:rPr>
            </w:pPr>
            <w:r w:rsidRPr="00747B87">
              <w:rPr>
                <w:sz w:val="18"/>
                <w:szCs w:val="18"/>
                <w:lang w:val="es-ES_tradnl"/>
              </w:rPr>
              <w:t>12,03 horas hombre en promedio</w:t>
            </w:r>
          </w:p>
        </w:tc>
        <w:tc>
          <w:tcPr>
            <w:tcW w:w="1232" w:type="dxa"/>
            <w:shd w:val="clear" w:color="auto" w:fill="auto"/>
          </w:tcPr>
          <w:p w14:paraId="0E59879E" w14:textId="79DFEC1B" w:rsidR="003D097C" w:rsidRPr="00747B87" w:rsidRDefault="003D097C" w:rsidP="003D097C">
            <w:pPr>
              <w:rPr>
                <w:sz w:val="18"/>
                <w:szCs w:val="18"/>
                <w:lang w:val="es-ES_tradnl"/>
              </w:rPr>
            </w:pPr>
            <w:r w:rsidRPr="00747B87">
              <w:rPr>
                <w:sz w:val="18"/>
                <w:szCs w:val="18"/>
                <w:lang w:val="es-ES_tradnl"/>
              </w:rPr>
              <w:t>2019</w:t>
            </w:r>
          </w:p>
        </w:tc>
        <w:tc>
          <w:tcPr>
            <w:tcW w:w="1408" w:type="dxa"/>
            <w:shd w:val="clear" w:color="auto" w:fill="auto"/>
          </w:tcPr>
          <w:p w14:paraId="1BB46163" w14:textId="1E71CD7C" w:rsidR="003D097C" w:rsidRPr="00747B87" w:rsidRDefault="003D097C" w:rsidP="003D097C">
            <w:pPr>
              <w:rPr>
                <w:sz w:val="18"/>
                <w:szCs w:val="18"/>
                <w:lang w:val="es-ES_tradnl"/>
              </w:rPr>
            </w:pPr>
            <w:r w:rsidRPr="00747B87">
              <w:rPr>
                <w:sz w:val="18"/>
                <w:szCs w:val="18"/>
                <w:lang w:val="es-ES_tradnl"/>
              </w:rPr>
              <w:t>6,99 horas hombre en promedio</w:t>
            </w:r>
          </w:p>
        </w:tc>
        <w:tc>
          <w:tcPr>
            <w:tcW w:w="1418" w:type="dxa"/>
            <w:shd w:val="clear" w:color="auto" w:fill="auto"/>
          </w:tcPr>
          <w:p w14:paraId="5D60B1DD" w14:textId="77777777" w:rsidR="003D097C" w:rsidRPr="00747B87" w:rsidRDefault="003D097C" w:rsidP="003D097C">
            <w:pPr>
              <w:rPr>
                <w:sz w:val="18"/>
                <w:szCs w:val="18"/>
                <w:lang w:val="es-ES_tradnl"/>
              </w:rPr>
            </w:pPr>
            <w:r w:rsidRPr="00747B87">
              <w:rPr>
                <w:sz w:val="18"/>
                <w:szCs w:val="18"/>
                <w:lang w:val="es-ES_tradnl"/>
              </w:rPr>
              <w:t>2023</w:t>
            </w:r>
          </w:p>
          <w:p w14:paraId="57BFB70E" w14:textId="77777777" w:rsidR="003D097C" w:rsidRPr="00747B87" w:rsidRDefault="003D097C" w:rsidP="003D097C">
            <w:pPr>
              <w:rPr>
                <w:sz w:val="18"/>
                <w:szCs w:val="18"/>
                <w:lang w:val="es-ES_tradnl"/>
              </w:rPr>
            </w:pPr>
          </w:p>
        </w:tc>
        <w:tc>
          <w:tcPr>
            <w:tcW w:w="1837" w:type="dxa"/>
            <w:shd w:val="clear" w:color="auto" w:fill="auto"/>
          </w:tcPr>
          <w:p w14:paraId="70DE7AA9" w14:textId="0B6127DA" w:rsidR="003D097C" w:rsidRPr="00747B87" w:rsidRDefault="003D097C" w:rsidP="003D097C">
            <w:pPr>
              <w:rPr>
                <w:sz w:val="18"/>
                <w:szCs w:val="18"/>
                <w:lang w:val="es-ES_tradnl"/>
              </w:rPr>
            </w:pPr>
            <w:r w:rsidRPr="00747B87">
              <w:rPr>
                <w:sz w:val="18"/>
                <w:szCs w:val="18"/>
                <w:lang w:val="es-ES_tradnl"/>
              </w:rPr>
              <w:t>Informe de Chile</w:t>
            </w:r>
            <w:r>
              <w:rPr>
                <w:sz w:val="18"/>
                <w:szCs w:val="18"/>
                <w:lang w:val="es-ES_tradnl"/>
              </w:rPr>
              <w:t>Compra</w:t>
            </w:r>
            <w:r w:rsidRPr="00747B87">
              <w:rPr>
                <w:sz w:val="18"/>
                <w:szCs w:val="18"/>
                <w:lang w:val="es-ES_tradnl"/>
              </w:rPr>
              <w:t xml:space="preserve">. </w:t>
            </w:r>
          </w:p>
        </w:tc>
        <w:tc>
          <w:tcPr>
            <w:tcW w:w="2150" w:type="dxa"/>
            <w:shd w:val="clear" w:color="auto" w:fill="auto"/>
          </w:tcPr>
          <w:p w14:paraId="221498C9" w14:textId="5021A10B" w:rsidR="003D097C" w:rsidRPr="007F7FF9" w:rsidRDefault="003D097C" w:rsidP="003D097C">
            <w:pPr>
              <w:rPr>
                <w:sz w:val="18"/>
                <w:szCs w:val="18"/>
                <w:lang w:val="es-ES_tradnl"/>
              </w:rPr>
            </w:pPr>
            <w:r w:rsidRPr="007F7FF9">
              <w:rPr>
                <w:sz w:val="18"/>
                <w:szCs w:val="18"/>
                <w:lang w:val="es-ES_tradnl"/>
              </w:rPr>
              <w:t>Mide en promedio las horas/hombres que se utilizan para realizar un proceso de compra por debajo de 10 Unidades Tributaria Mensuales (UTM). Asume una reducción porcentual, medida anualmente, de 20% en 2020, 15% en 2021, 10% en 2022 y 5% en 2023.</w:t>
            </w:r>
          </w:p>
        </w:tc>
      </w:tr>
    </w:tbl>
    <w:p w14:paraId="759BCD60" w14:textId="77777777" w:rsidR="00AE636D" w:rsidRDefault="00AE636D" w:rsidP="00477398">
      <w:pPr>
        <w:pStyle w:val="ListParagraph"/>
        <w:tabs>
          <w:tab w:val="left" w:pos="801"/>
        </w:tabs>
        <w:spacing w:before="83"/>
        <w:ind w:left="800" w:right="111" w:firstLine="0"/>
        <w:rPr>
          <w:b/>
          <w:smallCaps/>
          <w:lang w:val="es-ES_tradnl"/>
        </w:rPr>
        <w:sectPr w:rsidR="00AE636D" w:rsidSect="00747B87">
          <w:headerReference w:type="default" r:id="rId14"/>
          <w:pgSz w:w="15840" w:h="12240" w:orient="landscape"/>
          <w:pgMar w:top="1195" w:right="965" w:bottom="274" w:left="965" w:header="720" w:footer="0" w:gutter="0"/>
          <w:cols w:space="720"/>
          <w:docGrid w:linePitch="299"/>
        </w:sectPr>
      </w:pPr>
      <w:bookmarkStart w:id="3" w:name="_Hlk483390954"/>
    </w:p>
    <w:p w14:paraId="48F9790B" w14:textId="352BF651" w:rsidR="00ED5531" w:rsidRPr="004804E9" w:rsidRDefault="00ED5531" w:rsidP="00477398">
      <w:pPr>
        <w:tabs>
          <w:tab w:val="left" w:pos="801"/>
        </w:tabs>
        <w:ind w:right="115"/>
        <w:rPr>
          <w:lang w:val="es-ES_tradnl"/>
        </w:rPr>
      </w:pPr>
    </w:p>
    <w:p w14:paraId="0039DF7F" w14:textId="29429DD4" w:rsidR="00733E6D" w:rsidRPr="00E26815" w:rsidRDefault="009911A0" w:rsidP="00EB0786">
      <w:pPr>
        <w:pStyle w:val="ListParagraph"/>
        <w:numPr>
          <w:ilvl w:val="1"/>
          <w:numId w:val="2"/>
        </w:numPr>
        <w:tabs>
          <w:tab w:val="left" w:pos="801"/>
        </w:tabs>
        <w:spacing w:before="83"/>
        <w:ind w:right="111"/>
        <w:rPr>
          <w:sz w:val="24"/>
          <w:lang w:val="es-ES_tradnl"/>
        </w:rPr>
      </w:pPr>
      <w:r w:rsidRPr="00E26815">
        <w:rPr>
          <w:b/>
          <w:smallCaps/>
          <w:lang w:val="es-ES_tradnl"/>
        </w:rPr>
        <w:t>E</w:t>
      </w:r>
      <w:r w:rsidR="009E4D55" w:rsidRPr="00E26815">
        <w:rPr>
          <w:b/>
          <w:lang w:val="es-ES_tradnl"/>
        </w:rPr>
        <w:t>valuación del efecto de</w:t>
      </w:r>
      <w:r w:rsidR="00F3191E" w:rsidRPr="00E26815">
        <w:rPr>
          <w:b/>
          <w:lang w:val="es-ES_tradnl"/>
        </w:rPr>
        <w:t>l programa sobre la equidad social y sostenibilidad fiscal</w:t>
      </w:r>
      <w:r w:rsidR="009E4D55" w:rsidRPr="00E26815">
        <w:rPr>
          <w:lang w:val="es-ES_tradnl"/>
        </w:rPr>
        <w:t xml:space="preserve">. </w:t>
      </w:r>
      <w:r w:rsidR="000B5008" w:rsidRPr="00E26815">
        <w:rPr>
          <w:lang w:val="es-ES_tradnl"/>
        </w:rPr>
        <w:t xml:space="preserve">Para </w:t>
      </w:r>
      <w:r w:rsidR="002E390D" w:rsidRPr="00E26815">
        <w:rPr>
          <w:lang w:val="es-ES_tradnl"/>
        </w:rPr>
        <w:t xml:space="preserve">determinar los efectos del programa se </w:t>
      </w:r>
      <w:r w:rsidR="00E43295" w:rsidRPr="00E26815">
        <w:rPr>
          <w:lang w:val="es-ES_tradnl"/>
        </w:rPr>
        <w:t>realizó</w:t>
      </w:r>
      <w:r w:rsidR="002E390D" w:rsidRPr="00E26815">
        <w:rPr>
          <w:lang w:val="es-ES_tradnl"/>
        </w:rPr>
        <w:t xml:space="preserve"> un análisis previo de todos los indicadores para determinar el estado actual, y</w:t>
      </w:r>
      <w:r w:rsidR="00ED6342" w:rsidRPr="00E26815">
        <w:rPr>
          <w:lang w:val="es-ES_tradnl"/>
        </w:rPr>
        <w:t xml:space="preserve"> se realizará un análisis posterior al programa para ver los cambios</w:t>
      </w:r>
      <w:r w:rsidR="00B13996" w:rsidRPr="00E26815">
        <w:rPr>
          <w:lang w:val="es-ES_tradnl"/>
        </w:rPr>
        <w:t xml:space="preserve"> logrados</w:t>
      </w:r>
      <w:r w:rsidR="002E1AC6" w:rsidRPr="00E26815">
        <w:rPr>
          <w:lang w:val="es-ES_tradnl"/>
        </w:rPr>
        <w:t>, es decir, metodología antes y después, sin atribución</w:t>
      </w:r>
      <w:r w:rsidR="002E390D" w:rsidRPr="00E26815">
        <w:rPr>
          <w:lang w:val="es-ES_tradnl"/>
        </w:rPr>
        <w:t xml:space="preserve">. De modo de evitar </w:t>
      </w:r>
      <w:r w:rsidR="00CF6A5A" w:rsidRPr="00E26815">
        <w:rPr>
          <w:lang w:val="es-ES_tradnl"/>
        </w:rPr>
        <w:t xml:space="preserve">que los resultados fueran conducidos por la crisis económica y social que </w:t>
      </w:r>
      <w:r w:rsidR="00B13996" w:rsidRPr="00E26815">
        <w:rPr>
          <w:lang w:val="es-ES_tradnl"/>
        </w:rPr>
        <w:t>está</w:t>
      </w:r>
      <w:r w:rsidR="00CF6A5A" w:rsidRPr="00E26815">
        <w:rPr>
          <w:lang w:val="es-ES_tradnl"/>
        </w:rPr>
        <w:t xml:space="preserve"> viviendo el país, y que se espera, se vea agudizada debido a los efectos del COVID-19, se utilizan medidas </w:t>
      </w:r>
      <w:r w:rsidR="00AD071B" w:rsidRPr="00E26815">
        <w:rPr>
          <w:lang w:val="es-ES_tradnl"/>
        </w:rPr>
        <w:t xml:space="preserve">relativas a indicadores generales del desempeño de la </w:t>
      </w:r>
      <w:r w:rsidR="00B13996" w:rsidRPr="00E26815">
        <w:rPr>
          <w:lang w:val="es-ES_tradnl"/>
        </w:rPr>
        <w:t>economía</w:t>
      </w:r>
      <w:r w:rsidR="00AD071B" w:rsidRPr="00E26815">
        <w:rPr>
          <w:lang w:val="es-ES_tradnl"/>
        </w:rPr>
        <w:t xml:space="preserve">. </w:t>
      </w:r>
      <w:bookmarkEnd w:id="3"/>
    </w:p>
    <w:p w14:paraId="723C7ABF" w14:textId="58BCE362" w:rsidR="00FC251A" w:rsidRDefault="004A52C7" w:rsidP="00EB0786">
      <w:pPr>
        <w:pStyle w:val="ListParagraph"/>
        <w:numPr>
          <w:ilvl w:val="1"/>
          <w:numId w:val="2"/>
        </w:numPr>
        <w:tabs>
          <w:tab w:val="left" w:pos="801"/>
        </w:tabs>
        <w:spacing w:before="83"/>
        <w:ind w:right="111"/>
        <w:rPr>
          <w:lang w:val="es-ES_tradnl"/>
        </w:rPr>
      </w:pPr>
      <w:r w:rsidRPr="00E26815">
        <w:rPr>
          <w:b/>
          <w:bCs/>
          <w:lang w:val="es-ES_tradnl"/>
        </w:rPr>
        <w:t>Indicadores de impacto.</w:t>
      </w:r>
      <w:r w:rsidRPr="00E26815">
        <w:rPr>
          <w:lang w:val="es-ES_tradnl"/>
        </w:rPr>
        <w:t xml:space="preserve"> </w:t>
      </w:r>
      <w:r w:rsidR="00827B77" w:rsidRPr="00E26815">
        <w:rPr>
          <w:lang w:val="es-ES_tradnl"/>
        </w:rPr>
        <w:t>El programa busca mejorar la equidad social y sostenibilidad fiscal mediante dos dimensiones: distribución del ingre</w:t>
      </w:r>
      <w:r w:rsidR="00DE6E23" w:rsidRPr="00E26815">
        <w:rPr>
          <w:lang w:val="es-ES_tradnl"/>
        </w:rPr>
        <w:t>so</w:t>
      </w:r>
      <w:r w:rsidR="009911A0" w:rsidRPr="00E26815">
        <w:rPr>
          <w:lang w:val="es-ES_tradnl"/>
        </w:rPr>
        <w:t xml:space="preserve"> y </w:t>
      </w:r>
      <w:r w:rsidR="00AC6467" w:rsidRPr="00E26815">
        <w:rPr>
          <w:lang w:val="es-ES_tradnl"/>
        </w:rPr>
        <w:t>balance estructural que pueden describirse con las variables descritas anteriormente</w:t>
      </w:r>
      <w:r w:rsidR="004B643D" w:rsidRPr="00E26815">
        <w:rPr>
          <w:lang w:val="es-ES_tradnl"/>
        </w:rPr>
        <w:t xml:space="preserve">. La Encuesta Nacional de </w:t>
      </w:r>
      <w:r w:rsidR="006B4E9A" w:rsidRPr="00E26815">
        <w:rPr>
          <w:lang w:val="es-ES_tradnl"/>
        </w:rPr>
        <w:t>Caracterización Económica (CASEN) que publica el Ministerio de Desarrollo Social</w:t>
      </w:r>
      <w:r w:rsidR="00190ECC" w:rsidRPr="00E26815">
        <w:rPr>
          <w:lang w:val="es-ES_tradnl"/>
        </w:rPr>
        <w:t xml:space="preserve"> y Familia (MDS)</w:t>
      </w:r>
      <w:r w:rsidR="006B4E9A" w:rsidRPr="00E26815">
        <w:rPr>
          <w:lang w:val="es-ES_tradnl"/>
        </w:rPr>
        <w:t xml:space="preserve"> </w:t>
      </w:r>
      <w:r w:rsidR="008F32AB" w:rsidRPr="00E26815">
        <w:rPr>
          <w:lang w:val="es-ES_tradnl"/>
        </w:rPr>
        <w:t xml:space="preserve">se realiza cada dos años en Chile, y </w:t>
      </w:r>
      <w:r w:rsidR="008709AA" w:rsidRPr="00E26815">
        <w:rPr>
          <w:lang w:val="es-ES_tradnl"/>
        </w:rPr>
        <w:t>es la fuente principal de información acerca de la realidad económica y social de los hogares de Chile, en este contexto, es nuestra fuente de información primordial para la medición de los indicadores relacionados a esta temática</w:t>
      </w:r>
      <w:r w:rsidR="00F22E09" w:rsidRPr="00E26815">
        <w:rPr>
          <w:lang w:val="es-ES_tradnl"/>
        </w:rPr>
        <w:t xml:space="preserve">. </w:t>
      </w:r>
      <w:r w:rsidR="006F301F">
        <w:rPr>
          <w:lang w:val="es-ES_tradnl"/>
        </w:rPr>
        <w:t xml:space="preserve">Se espera poder acceder a la CASEN 2023 al momento de realizar la evaluación y el informe PCR. </w:t>
      </w:r>
      <w:r w:rsidR="00097EE1" w:rsidRPr="00E26815">
        <w:rPr>
          <w:lang w:val="es-ES_tradnl"/>
        </w:rPr>
        <w:t>El indicador de impacto para la distribución del ingreso corresponde al ratio de ingreso per cápita del hogar entre el percentil 25 y el 75</w:t>
      </w:r>
      <w:r w:rsidR="002B1BB1" w:rsidRPr="00E26815">
        <w:rPr>
          <w:lang w:val="es-ES_tradnl"/>
        </w:rPr>
        <w:t xml:space="preserve">, </w:t>
      </w:r>
      <w:r w:rsidR="00EF068F" w:rsidRPr="00E26815">
        <w:rPr>
          <w:lang w:val="es-ES_tradnl"/>
        </w:rPr>
        <w:t xml:space="preserve">es decir, busca capturar </w:t>
      </w:r>
      <w:r w:rsidR="002B1BB1" w:rsidRPr="00E26815">
        <w:rPr>
          <w:lang w:val="es-ES_tradnl"/>
        </w:rPr>
        <w:t xml:space="preserve">efectos </w:t>
      </w:r>
      <w:r w:rsidR="00A25F78" w:rsidRPr="00E26815">
        <w:rPr>
          <w:lang w:val="es-ES_tradnl"/>
        </w:rPr>
        <w:t>de mejora en</w:t>
      </w:r>
      <w:r w:rsidR="002B1BB1" w:rsidRPr="00E26815">
        <w:rPr>
          <w:lang w:val="es-ES_tradnl"/>
        </w:rPr>
        <w:t xml:space="preserve"> la cola inferior de la distribución sobre la superior</w:t>
      </w:r>
      <w:r w:rsidR="002A6786" w:rsidRPr="00E26815">
        <w:rPr>
          <w:lang w:val="es-ES_tradnl"/>
        </w:rPr>
        <w:t>. E</w:t>
      </w:r>
      <w:r w:rsidR="00085388" w:rsidRPr="00E26815">
        <w:rPr>
          <w:lang w:val="es-ES_tradnl"/>
        </w:rPr>
        <w:t xml:space="preserve">l uso de un ratio permite controlar contra efectos que sufra la economía en su totalidad dado el contexto actual. </w:t>
      </w:r>
      <w:r w:rsidR="00652491">
        <w:rPr>
          <w:lang w:val="es-ES_tradnl"/>
        </w:rPr>
        <w:t>Para complementar este indicador, se propone incluir el mism</w:t>
      </w:r>
      <w:r w:rsidR="00CC67AE">
        <w:rPr>
          <w:lang w:val="es-ES_tradnl"/>
        </w:rPr>
        <w:t xml:space="preserve">o concepto, aplicado al ingreso de trabajadores formales, dato que se puede obtener de las bases administrativas del seguro de cesantía, y que con certeza estará disponible al momento de efectuar la evaluación y PCR. </w:t>
      </w:r>
    </w:p>
    <w:p w14:paraId="09C8A2DC" w14:textId="24FDC501" w:rsidR="00C6383A" w:rsidRPr="00E26815" w:rsidRDefault="00085388" w:rsidP="00EB0786">
      <w:pPr>
        <w:pStyle w:val="ListParagraph"/>
        <w:numPr>
          <w:ilvl w:val="1"/>
          <w:numId w:val="2"/>
        </w:numPr>
        <w:tabs>
          <w:tab w:val="left" w:pos="801"/>
        </w:tabs>
        <w:spacing w:before="83"/>
        <w:ind w:right="111"/>
        <w:rPr>
          <w:lang w:val="es-ES_tradnl"/>
        </w:rPr>
      </w:pPr>
      <w:r w:rsidRPr="6D9A0FCD">
        <w:rPr>
          <w:lang w:val="es-ES"/>
        </w:rPr>
        <w:t xml:space="preserve">La sostenibilidad fiscal se mide </w:t>
      </w:r>
      <w:r w:rsidR="007168F0" w:rsidRPr="6D9A0FCD">
        <w:rPr>
          <w:lang w:val="es-ES"/>
        </w:rPr>
        <w:t>a través del balance estructural de las finanzas públicas</w:t>
      </w:r>
      <w:r w:rsidR="00F65657" w:rsidRPr="6D9A0FCD">
        <w:rPr>
          <w:lang w:val="es-ES"/>
        </w:rPr>
        <w:t xml:space="preserve">, que se </w:t>
      </w:r>
      <w:r w:rsidR="00F65657" w:rsidRPr="00EB0786">
        <w:rPr>
          <w:bCs/>
          <w:lang w:val="es-ES_tradnl"/>
        </w:rPr>
        <w:t>obtiene</w:t>
      </w:r>
      <w:r w:rsidR="00F65657" w:rsidRPr="6D9A0FCD">
        <w:rPr>
          <w:lang w:val="es-ES"/>
        </w:rPr>
        <w:t xml:space="preserve"> del Informe de Finanzas Publicas que es publicado por DIPRES de manera trimestral, y que corresponden a los datos oficiales entregados por el gobierno en esta materia. </w:t>
      </w:r>
      <w:r w:rsidR="00E26815" w:rsidRPr="6D9A0FCD">
        <w:rPr>
          <w:lang w:val="es-ES"/>
        </w:rPr>
        <w:t>Cabe notar que, l</w:t>
      </w:r>
      <w:r w:rsidR="00851F81" w:rsidRPr="6D9A0FCD">
        <w:rPr>
          <w:lang w:val="es-ES"/>
        </w:rPr>
        <w:t xml:space="preserve">as medidas encaminadas a mejorar la calidad de gasto </w:t>
      </w:r>
      <w:r w:rsidR="00851F81" w:rsidRPr="001870D5">
        <w:rPr>
          <w:lang w:val="es-ES_tradnl"/>
        </w:rPr>
        <w:t>permiten</w:t>
      </w:r>
      <w:r w:rsidR="00851F81" w:rsidRPr="6D9A0FCD">
        <w:rPr>
          <w:lang w:val="es-ES"/>
        </w:rPr>
        <w:t xml:space="preserve"> incrementar los fondos asignados a la Agenda Social sin incrementar de manera insostenible el gasto total del Gobierno. Esto se realiza </w:t>
      </w:r>
      <w:r w:rsidR="00FC251A" w:rsidRPr="6D9A0FCD">
        <w:rPr>
          <w:lang w:val="es-ES"/>
        </w:rPr>
        <w:t xml:space="preserve">en gran medida </w:t>
      </w:r>
      <w:r w:rsidR="00851F81" w:rsidRPr="6D9A0FCD">
        <w:rPr>
          <w:lang w:val="es-ES"/>
        </w:rPr>
        <w:t>reasignando fondos de partidas de menor prioridad o peor desempeño a los componentes de la Agenda Social.</w:t>
      </w:r>
    </w:p>
    <w:p w14:paraId="6F92C16A" w14:textId="139BEF92" w:rsidR="009C3BFA" w:rsidRPr="00E26815" w:rsidRDefault="004A52C7" w:rsidP="00EB0786">
      <w:pPr>
        <w:pStyle w:val="ListParagraph"/>
        <w:numPr>
          <w:ilvl w:val="1"/>
          <w:numId w:val="2"/>
        </w:numPr>
        <w:tabs>
          <w:tab w:val="left" w:pos="801"/>
        </w:tabs>
        <w:spacing w:before="83"/>
        <w:ind w:right="111"/>
        <w:rPr>
          <w:lang w:val="es-ES_tradnl"/>
        </w:rPr>
      </w:pPr>
      <w:r w:rsidRPr="6D9A0FCD">
        <w:rPr>
          <w:b/>
          <w:lang w:val="es-ES"/>
        </w:rPr>
        <w:t>Indicadores de resultado.</w:t>
      </w:r>
      <w:r w:rsidR="001066F7" w:rsidRPr="6D9A0FCD">
        <w:rPr>
          <w:b/>
          <w:lang w:val="es-ES"/>
        </w:rPr>
        <w:t xml:space="preserve"> </w:t>
      </w:r>
      <w:r w:rsidR="00900C90" w:rsidRPr="6D9A0FCD">
        <w:rPr>
          <w:lang w:val="es-ES"/>
        </w:rPr>
        <w:t>El programa busca mejorar la equidad social y la sost</w:t>
      </w:r>
      <w:r w:rsidR="005F3B9B" w:rsidRPr="6D9A0FCD">
        <w:rPr>
          <w:lang w:val="es-ES"/>
        </w:rPr>
        <w:t xml:space="preserve">enibilidad fiscal mediante una mejora en los niveles de ingresos de </w:t>
      </w:r>
      <w:r w:rsidR="0025312D" w:rsidRPr="6D9A0FCD">
        <w:rPr>
          <w:lang w:val="es-ES"/>
        </w:rPr>
        <w:t xml:space="preserve">las personas </w:t>
      </w:r>
      <w:r w:rsidR="009F2A14" w:rsidRPr="6D9A0FCD">
        <w:rPr>
          <w:lang w:val="es-ES"/>
        </w:rPr>
        <w:t>más</w:t>
      </w:r>
      <w:r w:rsidR="0025312D" w:rsidRPr="6D9A0FCD">
        <w:rPr>
          <w:lang w:val="es-ES"/>
        </w:rPr>
        <w:t xml:space="preserve"> vulnerables; mejorar la suficiencia del </w:t>
      </w:r>
      <w:r w:rsidR="0025312D" w:rsidRPr="001870D5">
        <w:rPr>
          <w:lang w:val="es-ES_tradnl"/>
        </w:rPr>
        <w:t>sistema</w:t>
      </w:r>
      <w:r w:rsidR="0025312D" w:rsidRPr="6D9A0FCD">
        <w:rPr>
          <w:lang w:val="es-ES"/>
        </w:rPr>
        <w:t xml:space="preserve"> de pensiones; mejorar el acceso a medicamentos de menor costo; mejorar la eficiencia del gasto </w:t>
      </w:r>
      <w:r w:rsidR="009F2A14" w:rsidRPr="6D9A0FCD">
        <w:rPr>
          <w:lang w:val="es-ES"/>
        </w:rPr>
        <w:t>público</w:t>
      </w:r>
      <w:r w:rsidR="0025312D" w:rsidRPr="6D9A0FCD">
        <w:rPr>
          <w:lang w:val="es-ES"/>
        </w:rPr>
        <w:t xml:space="preserve"> y la calidad del proceso de formulación presupuestaria. Para cada uno de estos aspectos se han seleccionado un conjunto de indicadores que buscan informar sobre sus avances. Estos incluyen:</w:t>
      </w:r>
    </w:p>
    <w:p w14:paraId="4AD9192F" w14:textId="616C1F16" w:rsidR="003D29E5" w:rsidRPr="00E26815" w:rsidRDefault="009C3BFA" w:rsidP="00920EF4">
      <w:pPr>
        <w:pStyle w:val="ListParagraph"/>
        <w:numPr>
          <w:ilvl w:val="0"/>
          <w:numId w:val="23"/>
        </w:numPr>
        <w:tabs>
          <w:tab w:val="left" w:pos="384"/>
        </w:tabs>
        <w:ind w:left="1260"/>
        <w:rPr>
          <w:b/>
          <w:bCs/>
          <w:lang w:val="es-ES_tradnl"/>
        </w:rPr>
      </w:pPr>
      <w:r w:rsidRPr="00897FAD">
        <w:rPr>
          <w:b/>
          <w:bCs/>
          <w:lang w:val="es-ES_tradnl"/>
        </w:rPr>
        <w:t>Ratio del ingreso de hombres en el 25% más vulnerable sobre la mediana del ingreso</w:t>
      </w:r>
      <w:r w:rsidR="009F2A14" w:rsidRPr="00897FAD">
        <w:rPr>
          <w:b/>
          <w:bCs/>
          <w:lang w:val="es-ES_tradnl"/>
        </w:rPr>
        <w:t xml:space="preserve"> nacional de hombres</w:t>
      </w:r>
      <w:r w:rsidR="00EB33CC" w:rsidRPr="00E26815">
        <w:rPr>
          <w:b/>
          <w:bCs/>
          <w:lang w:val="es-ES_tradnl"/>
        </w:rPr>
        <w:t>:</w:t>
      </w:r>
      <w:r w:rsidR="00854B83" w:rsidRPr="00E26815">
        <w:rPr>
          <w:b/>
          <w:bCs/>
          <w:lang w:val="es-ES_tradnl"/>
        </w:rPr>
        <w:t xml:space="preserve"> </w:t>
      </w:r>
      <w:r w:rsidR="002A520C" w:rsidRPr="00E26815">
        <w:rPr>
          <w:lang w:val="es-ES_tradnl"/>
        </w:rPr>
        <w:t>se utilizará la variable incorporada oficialmente en las bases CASEN: ypch (Ingreso total per c</w:t>
      </w:r>
      <w:r w:rsidR="0043603A" w:rsidRPr="00E26815">
        <w:rPr>
          <w:lang w:val="es-ES_tradnl"/>
        </w:rPr>
        <w:t>ápita del hogar</w:t>
      </w:r>
      <w:r w:rsidR="002A520C" w:rsidRPr="00E26815">
        <w:rPr>
          <w:lang w:val="es-ES_tradnl"/>
        </w:rPr>
        <w:t>)</w:t>
      </w:r>
      <w:r w:rsidR="0043603A" w:rsidRPr="00E26815">
        <w:rPr>
          <w:lang w:val="es-ES_tradnl"/>
        </w:rPr>
        <w:t>, y en Stata se aplicará el siguiente código para obtener los valores de los percentiles 25 y 75: su ypch [fw=round(factor_ci)], d</w:t>
      </w:r>
      <w:r w:rsidR="00C541CB" w:rsidRPr="00E26815">
        <w:rPr>
          <w:lang w:val="es-ES_tradnl"/>
        </w:rPr>
        <w:t>. Dado el contexto actual con la crisis COVID, y cómo se menciona en la matriz de riesgo</w:t>
      </w:r>
      <w:r w:rsidR="00A95229">
        <w:rPr>
          <w:lang w:val="es-ES_tradnl"/>
        </w:rPr>
        <w:t>s</w:t>
      </w:r>
      <w:r w:rsidR="00C541CB" w:rsidRPr="00E26815">
        <w:rPr>
          <w:lang w:val="es-ES_tradnl"/>
        </w:rPr>
        <w:t xml:space="preserve">, se considera que la </w:t>
      </w:r>
      <w:r w:rsidR="00A95487">
        <w:rPr>
          <w:lang w:val="es-ES_tradnl"/>
        </w:rPr>
        <w:t>mejora será limitada</w:t>
      </w:r>
      <w:r w:rsidR="00C541CB" w:rsidRPr="00E26815">
        <w:rPr>
          <w:lang w:val="es-ES_tradnl"/>
        </w:rPr>
        <w:t xml:space="preserve">. Esta estimación se basa en una revisión de las tasas de crecimiento anuales del PIB y la evolución de este ratio en las encuestas CASEN 2013, 2015 y 2017. </w:t>
      </w:r>
    </w:p>
    <w:p w14:paraId="5BAF04AC" w14:textId="44D93B27" w:rsidR="009C3BFA" w:rsidRPr="00897FAD" w:rsidRDefault="009C3BFA" w:rsidP="00920EF4">
      <w:pPr>
        <w:pStyle w:val="ListParagraph"/>
        <w:numPr>
          <w:ilvl w:val="0"/>
          <w:numId w:val="23"/>
        </w:numPr>
        <w:tabs>
          <w:tab w:val="left" w:pos="384"/>
        </w:tabs>
        <w:ind w:left="1260"/>
        <w:rPr>
          <w:b/>
          <w:lang w:val="es-ES_tradnl"/>
        </w:rPr>
      </w:pPr>
      <w:r w:rsidRPr="00897FAD">
        <w:rPr>
          <w:b/>
          <w:lang w:val="es-ES_tradnl"/>
        </w:rPr>
        <w:lastRenderedPageBreak/>
        <w:t>Ratio del ingreso de mujeres en el 25% más vulnerable sobre la mediana del ingreso</w:t>
      </w:r>
      <w:r w:rsidR="009F2A14" w:rsidRPr="00897FAD">
        <w:rPr>
          <w:b/>
          <w:lang w:val="es-ES_tradnl"/>
        </w:rPr>
        <w:t xml:space="preserve"> nacional de mujeres</w:t>
      </w:r>
      <w:r w:rsidR="009F2A14">
        <w:rPr>
          <w:b/>
          <w:lang w:val="es-ES_tradnl"/>
        </w:rPr>
        <w:t>.</w:t>
      </w:r>
      <w:r w:rsidR="00233264">
        <w:rPr>
          <w:b/>
          <w:bCs/>
          <w:lang w:val="es-ES_tradnl"/>
        </w:rPr>
        <w:t xml:space="preserve"> </w:t>
      </w:r>
      <w:r w:rsidR="00233264">
        <w:rPr>
          <w:lang w:val="es-ES_tradnl"/>
        </w:rPr>
        <w:t>Mide como cambia el ingreso</w:t>
      </w:r>
      <w:r w:rsidR="006C7739">
        <w:rPr>
          <w:lang w:val="es-ES_tradnl"/>
        </w:rPr>
        <w:t xml:space="preserve"> promedio de las mujeres más vulnerables en la distribución, utilizando como punto de referencia la mediana del ingreso. Se utiliza </w:t>
      </w:r>
      <w:r w:rsidR="000F698B">
        <w:rPr>
          <w:lang w:val="es-ES_tradnl"/>
        </w:rPr>
        <w:t xml:space="preserve">la variable de ingreso laboral corregido disponible en la encuesta CASEN. </w:t>
      </w:r>
      <w:r w:rsidR="00065E2D">
        <w:rPr>
          <w:lang w:val="es-ES_tradnl"/>
        </w:rPr>
        <w:t>Debido a la mayor cantidad de mujeres</w:t>
      </w:r>
      <w:r w:rsidR="000D3AE7">
        <w:rPr>
          <w:lang w:val="es-ES_tradnl"/>
        </w:rPr>
        <w:t xml:space="preserve"> en condiciones de vulnerabilidad de ingresos, se espera que el efecto sea mayor que en el caso de los hombres. </w:t>
      </w:r>
    </w:p>
    <w:p w14:paraId="0D7AEAF6" w14:textId="5D3F0515" w:rsidR="00D07B0A" w:rsidRPr="00E26815" w:rsidRDefault="00D07B0A" w:rsidP="00920EF4">
      <w:pPr>
        <w:pStyle w:val="ListParagraph"/>
        <w:numPr>
          <w:ilvl w:val="0"/>
          <w:numId w:val="23"/>
        </w:numPr>
        <w:tabs>
          <w:tab w:val="left" w:pos="384"/>
        </w:tabs>
        <w:ind w:left="1260"/>
        <w:rPr>
          <w:b/>
          <w:bCs/>
          <w:lang w:val="es-ES_tradnl"/>
        </w:rPr>
      </w:pPr>
      <w:r w:rsidRPr="00897FAD">
        <w:rPr>
          <w:b/>
          <w:bCs/>
          <w:lang w:val="es-ES_tradnl"/>
        </w:rPr>
        <w:t xml:space="preserve">Ratio del ingreso </w:t>
      </w:r>
      <w:r>
        <w:rPr>
          <w:b/>
          <w:bCs/>
          <w:lang w:val="es-ES_tradnl"/>
        </w:rPr>
        <w:t xml:space="preserve">laboral </w:t>
      </w:r>
      <w:r w:rsidRPr="00897FAD">
        <w:rPr>
          <w:b/>
          <w:bCs/>
          <w:lang w:val="es-ES_tradnl"/>
        </w:rPr>
        <w:t xml:space="preserve">de </w:t>
      </w:r>
      <w:r>
        <w:rPr>
          <w:b/>
          <w:bCs/>
          <w:lang w:val="es-ES_tradnl"/>
        </w:rPr>
        <w:t xml:space="preserve">trabajadores formales </w:t>
      </w:r>
      <w:r w:rsidRPr="00897FAD">
        <w:rPr>
          <w:b/>
          <w:bCs/>
          <w:lang w:val="es-ES_tradnl"/>
        </w:rPr>
        <w:t xml:space="preserve">hombres en el 25% más vulnerable sobre la mediana del ingreso nacional de </w:t>
      </w:r>
      <w:r>
        <w:rPr>
          <w:b/>
          <w:bCs/>
          <w:lang w:val="es-ES_tradnl"/>
        </w:rPr>
        <w:t xml:space="preserve">trabajadores formales </w:t>
      </w:r>
      <w:r w:rsidRPr="00897FAD">
        <w:rPr>
          <w:b/>
          <w:bCs/>
          <w:lang w:val="es-ES_tradnl"/>
        </w:rPr>
        <w:t>hombres</w:t>
      </w:r>
      <w:r w:rsidRPr="00E26815">
        <w:rPr>
          <w:b/>
          <w:bCs/>
          <w:lang w:val="es-ES_tradnl"/>
        </w:rPr>
        <w:t xml:space="preserve">: </w:t>
      </w:r>
      <w:r w:rsidRPr="00E26815">
        <w:rPr>
          <w:lang w:val="es-ES_tradnl"/>
        </w:rPr>
        <w:t xml:space="preserve">se </w:t>
      </w:r>
      <w:r>
        <w:rPr>
          <w:lang w:val="es-ES_tradnl"/>
        </w:rPr>
        <w:t>calculará sobre la base de datos administrativos del seguro de cesantía</w:t>
      </w:r>
      <w:r w:rsidRPr="00E26815">
        <w:rPr>
          <w:lang w:val="es-ES_tradnl"/>
        </w:rPr>
        <w:t xml:space="preserve">. </w:t>
      </w:r>
    </w:p>
    <w:p w14:paraId="0B5AF8FC" w14:textId="14A28AAE" w:rsidR="00F365F1" w:rsidRPr="00E26815" w:rsidRDefault="00F365F1" w:rsidP="00920EF4">
      <w:pPr>
        <w:pStyle w:val="ListParagraph"/>
        <w:numPr>
          <w:ilvl w:val="0"/>
          <w:numId w:val="23"/>
        </w:numPr>
        <w:tabs>
          <w:tab w:val="left" w:pos="384"/>
        </w:tabs>
        <w:ind w:left="1260"/>
        <w:rPr>
          <w:b/>
          <w:bCs/>
          <w:lang w:val="es-ES_tradnl"/>
        </w:rPr>
      </w:pPr>
      <w:r w:rsidRPr="00897FAD">
        <w:rPr>
          <w:b/>
          <w:bCs/>
          <w:lang w:val="es-ES_tradnl"/>
        </w:rPr>
        <w:t xml:space="preserve">Ratio del ingreso </w:t>
      </w:r>
      <w:r>
        <w:rPr>
          <w:b/>
          <w:bCs/>
          <w:lang w:val="es-ES_tradnl"/>
        </w:rPr>
        <w:t xml:space="preserve">laboral </w:t>
      </w:r>
      <w:r w:rsidRPr="00897FAD">
        <w:rPr>
          <w:b/>
          <w:bCs/>
          <w:lang w:val="es-ES_tradnl"/>
        </w:rPr>
        <w:t xml:space="preserve">de </w:t>
      </w:r>
      <w:r>
        <w:rPr>
          <w:b/>
          <w:bCs/>
          <w:lang w:val="es-ES_tradnl"/>
        </w:rPr>
        <w:t>trabajadoras formales mujeres</w:t>
      </w:r>
      <w:r w:rsidRPr="00897FAD">
        <w:rPr>
          <w:b/>
          <w:bCs/>
          <w:lang w:val="es-ES_tradnl"/>
        </w:rPr>
        <w:t xml:space="preserve"> en el 25% más vulnerable sobre la mediana del ingreso nacional de </w:t>
      </w:r>
      <w:r>
        <w:rPr>
          <w:b/>
          <w:bCs/>
          <w:lang w:val="es-ES_tradnl"/>
        </w:rPr>
        <w:t>trabajadoras formales mujeres</w:t>
      </w:r>
      <w:r w:rsidRPr="00E26815">
        <w:rPr>
          <w:b/>
          <w:bCs/>
          <w:lang w:val="es-ES_tradnl"/>
        </w:rPr>
        <w:t xml:space="preserve">: </w:t>
      </w:r>
      <w:r w:rsidRPr="00E26815">
        <w:rPr>
          <w:lang w:val="es-ES_tradnl"/>
        </w:rPr>
        <w:t xml:space="preserve">se </w:t>
      </w:r>
      <w:r>
        <w:rPr>
          <w:lang w:val="es-ES_tradnl"/>
        </w:rPr>
        <w:t>calculará sobre la base de datos administrativos del seguro de cesantía</w:t>
      </w:r>
      <w:r w:rsidRPr="00E26815">
        <w:rPr>
          <w:lang w:val="es-ES_tradnl"/>
        </w:rPr>
        <w:t xml:space="preserve">. </w:t>
      </w:r>
    </w:p>
    <w:p w14:paraId="30DF1503" w14:textId="720C2DFF" w:rsidR="004A480E" w:rsidRDefault="009C3BFA" w:rsidP="00920EF4">
      <w:pPr>
        <w:pStyle w:val="ListParagraph"/>
        <w:numPr>
          <w:ilvl w:val="0"/>
          <w:numId w:val="23"/>
        </w:numPr>
        <w:tabs>
          <w:tab w:val="left" w:pos="384"/>
        </w:tabs>
        <w:ind w:left="1260"/>
        <w:rPr>
          <w:b/>
          <w:bCs/>
          <w:lang w:val="es-ES_tradnl"/>
        </w:rPr>
      </w:pPr>
      <w:r w:rsidRPr="6D9A0FCD">
        <w:rPr>
          <w:b/>
          <w:lang w:val="es-ES"/>
        </w:rPr>
        <w:t>Tasa de reemplazo mediana global del sistema de pensiones (Hombres)</w:t>
      </w:r>
      <w:r w:rsidR="009F2A14" w:rsidRPr="6D9A0FCD">
        <w:rPr>
          <w:b/>
          <w:lang w:val="es-ES"/>
        </w:rPr>
        <w:t>.</w:t>
      </w:r>
      <w:r w:rsidR="007D49D3" w:rsidRPr="6D9A0FCD">
        <w:rPr>
          <w:b/>
          <w:lang w:val="es-ES"/>
        </w:rPr>
        <w:t xml:space="preserve"> </w:t>
      </w:r>
      <w:r w:rsidR="00BE5185" w:rsidRPr="6D9A0FCD">
        <w:rPr>
          <w:lang w:val="es-ES"/>
        </w:rPr>
        <w:t>La tasa de reemplazo relaciona el nivel de la pensión con el nivel de ingreso (laboral) de los individuos antes de pensionarse. Este indicador se emplea para evaluar si el beneficio es suficiente para suavizar el consumo del individuo en su etapa pasiva con respecto a su nivel de vida en la etapa activa. En este caso se calcula usando los siguientes criterios: (i) se compara el beneficio de pensión con respecto al último salario mensual recibido antes de la jubilación; (ii) se presenta la tasa de reemplazo bruta, es decir, usa en el denominador la pensión antes de impuestos y cotizaciones / remuneración imponible antes de impuestos a la renta; y (iii) se usa la mediana porque es una medida más robusta que la media.</w:t>
      </w:r>
      <w:r w:rsidR="00755095" w:rsidRPr="6D9A0FCD">
        <w:rPr>
          <w:lang w:val="es-ES"/>
        </w:rPr>
        <w:t xml:space="preserve"> Se utilizar</w:t>
      </w:r>
      <w:r w:rsidR="006F3DDF" w:rsidRPr="6D9A0FCD">
        <w:rPr>
          <w:lang w:val="es-ES"/>
        </w:rPr>
        <w:t>á</w:t>
      </w:r>
      <w:r w:rsidR="00755095" w:rsidRPr="6D9A0FCD">
        <w:rPr>
          <w:lang w:val="es-ES"/>
        </w:rPr>
        <w:t xml:space="preserve"> en este caso la pensión de los hombres</w:t>
      </w:r>
      <w:r w:rsidR="006F3DDF" w:rsidRPr="6D9A0FCD">
        <w:rPr>
          <w:lang w:val="es-ES"/>
        </w:rPr>
        <w:t>.</w:t>
      </w:r>
      <w:r w:rsidR="004A480E" w:rsidRPr="6D9A0FCD">
        <w:rPr>
          <w:lang w:val="es-ES"/>
        </w:rPr>
        <w:t xml:space="preserve"> </w:t>
      </w:r>
    </w:p>
    <w:p w14:paraId="45FB7215" w14:textId="31C7E5F6" w:rsidR="002B2E5B" w:rsidRPr="00897FAD" w:rsidRDefault="009C3BFA" w:rsidP="00920EF4">
      <w:pPr>
        <w:pStyle w:val="ListParagraph"/>
        <w:numPr>
          <w:ilvl w:val="0"/>
          <w:numId w:val="23"/>
        </w:numPr>
        <w:tabs>
          <w:tab w:val="left" w:pos="384"/>
        </w:tabs>
        <w:ind w:left="1260"/>
        <w:rPr>
          <w:b/>
          <w:bCs/>
          <w:lang w:val="es-ES_tradnl"/>
        </w:rPr>
      </w:pPr>
      <w:r w:rsidRPr="6D9A0FCD">
        <w:rPr>
          <w:b/>
          <w:lang w:val="es-ES"/>
        </w:rPr>
        <w:t>Tasa de reemplazo mediana global del sistema de pensiones (Mujeres)</w:t>
      </w:r>
      <w:r w:rsidR="0022784B" w:rsidRPr="6D9A0FCD">
        <w:rPr>
          <w:lang w:val="es-ES"/>
        </w:rPr>
        <w:t>. Se utilizará en este caso la pensión de las mujeres. Se espera un mayor resultado para las mujeres debido a que se encuentran en una situación de mayor vulnerabilidad</w:t>
      </w:r>
      <w:r w:rsidR="00A61A0E" w:rsidRPr="6D9A0FCD">
        <w:rPr>
          <w:lang w:val="es-ES"/>
        </w:rPr>
        <w:t>.</w:t>
      </w:r>
    </w:p>
    <w:p w14:paraId="1EC5C42E" w14:textId="41EF7F3D" w:rsidR="00DB0EA0" w:rsidRPr="00897FAD" w:rsidRDefault="00DB0EA0" w:rsidP="00920EF4">
      <w:pPr>
        <w:pStyle w:val="ListParagraph"/>
        <w:numPr>
          <w:ilvl w:val="0"/>
          <w:numId w:val="23"/>
        </w:numPr>
        <w:tabs>
          <w:tab w:val="left" w:pos="384"/>
        </w:tabs>
        <w:ind w:left="1260"/>
        <w:rPr>
          <w:rFonts w:eastAsiaTheme="minorEastAsia"/>
          <w:b/>
          <w:sz w:val="16"/>
          <w:szCs w:val="16"/>
          <w:lang w:val="es-ES_tradnl" w:bidi="ar-SA"/>
        </w:rPr>
      </w:pPr>
      <w:r w:rsidRPr="6D9A0FCD">
        <w:rPr>
          <w:b/>
          <w:lang w:val="es-ES"/>
        </w:rPr>
        <w:t>Porcentaje de pensionados por vejez con ingresos de pensión por debajo de la línea de pobreza oficial (Hombres</w:t>
      </w:r>
      <w:r w:rsidR="009C6B30" w:rsidRPr="6D9A0FCD">
        <w:rPr>
          <w:b/>
          <w:lang w:val="es-ES"/>
        </w:rPr>
        <w:t>)</w:t>
      </w:r>
      <w:r w:rsidR="009F2A14" w:rsidRPr="6D9A0FCD">
        <w:rPr>
          <w:b/>
          <w:lang w:val="es-ES"/>
        </w:rPr>
        <w:t>.</w:t>
      </w:r>
      <w:r w:rsidR="00557FB6" w:rsidRPr="6D9A0FCD">
        <w:rPr>
          <w:b/>
          <w:lang w:val="es-ES"/>
        </w:rPr>
        <w:t xml:space="preserve"> </w:t>
      </w:r>
      <w:r w:rsidR="002B2E5B" w:rsidRPr="6D9A0FCD">
        <w:rPr>
          <w:lang w:val="es-ES"/>
        </w:rPr>
        <w:t>Este indicador mide el porcentaje de la población con ingresos de pensión suficientes para evitar caer en la pobreza en la etapa pasiva. Como referencia se usa la línea de pobreza oficial correspondiente a un hogar de una sola persona. En la definición de la meta se utilizaron datos de CASEN y la metodología de Altamirano y otros (BID, 2018).</w:t>
      </w:r>
    </w:p>
    <w:p w14:paraId="6F880863" w14:textId="58DB6990" w:rsidR="00DB0EA0" w:rsidRPr="00897FAD" w:rsidRDefault="00DB0EA0" w:rsidP="00920EF4">
      <w:pPr>
        <w:pStyle w:val="ListParagraph"/>
        <w:numPr>
          <w:ilvl w:val="0"/>
          <w:numId w:val="23"/>
        </w:numPr>
        <w:tabs>
          <w:tab w:val="left" w:pos="384"/>
        </w:tabs>
        <w:ind w:left="1260"/>
        <w:rPr>
          <w:b/>
          <w:lang w:val="es-ES_tradnl"/>
        </w:rPr>
      </w:pPr>
      <w:r w:rsidRPr="6D9A0FCD">
        <w:rPr>
          <w:b/>
          <w:lang w:val="es-ES"/>
        </w:rPr>
        <w:t>Porcentaje de pensionados por vejez con ingresos de pensión por debajo de la línea de pobreza oficial (Mujeres)</w:t>
      </w:r>
      <w:r w:rsidR="009F2A14" w:rsidRPr="6D9A0FCD">
        <w:rPr>
          <w:b/>
          <w:lang w:val="es-ES"/>
        </w:rPr>
        <w:t>.</w:t>
      </w:r>
      <w:r w:rsidR="00557FB6" w:rsidRPr="6D9A0FCD">
        <w:rPr>
          <w:b/>
          <w:lang w:val="es-ES"/>
        </w:rPr>
        <w:t xml:space="preserve"> </w:t>
      </w:r>
      <w:r w:rsidR="00AA784D" w:rsidRPr="6D9A0FCD">
        <w:rPr>
          <w:lang w:val="es-ES"/>
        </w:rPr>
        <w:t xml:space="preserve">En </w:t>
      </w:r>
      <w:r w:rsidR="00AA784D" w:rsidRPr="00920EF4">
        <w:rPr>
          <w:lang w:val="es-ES_tradnl"/>
        </w:rPr>
        <w:t>este</w:t>
      </w:r>
      <w:r w:rsidR="00AA784D" w:rsidRPr="6D9A0FCD">
        <w:rPr>
          <w:lang w:val="es-ES"/>
        </w:rPr>
        <w:t xml:space="preserve"> caso se considerarán las mujeres pensionadas. </w:t>
      </w:r>
    </w:p>
    <w:p w14:paraId="64F1DBE6" w14:textId="0603D7D4" w:rsidR="003D097C" w:rsidRPr="00FD3E39" w:rsidRDefault="003D097C" w:rsidP="00920EF4">
      <w:pPr>
        <w:pStyle w:val="ListParagraph"/>
        <w:numPr>
          <w:ilvl w:val="0"/>
          <w:numId w:val="23"/>
        </w:numPr>
        <w:tabs>
          <w:tab w:val="left" w:pos="384"/>
        </w:tabs>
        <w:ind w:left="1260"/>
        <w:rPr>
          <w:bCs/>
          <w:lang w:val="es-ES_tradnl"/>
        </w:rPr>
      </w:pPr>
      <w:r w:rsidRPr="00FD3E39">
        <w:rPr>
          <w:b/>
          <w:lang w:val="es-ES"/>
        </w:rPr>
        <w:t xml:space="preserve">Ahorro de las farmacias privadas que se acogieron al mecanismo de compras </w:t>
      </w:r>
      <w:r w:rsidR="00EE07AA" w:rsidRPr="00EE07AA">
        <w:rPr>
          <w:b/>
          <w:lang w:val="es-ES"/>
        </w:rPr>
        <w:t xml:space="preserve">y precios máximos de productos </w:t>
      </w:r>
      <w:r w:rsidRPr="00FD3E39">
        <w:rPr>
          <w:b/>
          <w:lang w:val="es-ES"/>
        </w:rPr>
        <w:t>intermediad</w:t>
      </w:r>
      <w:r w:rsidR="00EE07AA">
        <w:rPr>
          <w:b/>
          <w:lang w:val="es-ES"/>
        </w:rPr>
        <w:t>o</w:t>
      </w:r>
      <w:r w:rsidRPr="00FD3E39">
        <w:rPr>
          <w:b/>
          <w:lang w:val="es-ES"/>
        </w:rPr>
        <w:t>s por CENABAST según Ley</w:t>
      </w:r>
      <w:r w:rsidR="00F70C09">
        <w:rPr>
          <w:b/>
          <w:lang w:val="es-ES"/>
        </w:rPr>
        <w:t> </w:t>
      </w:r>
      <w:r w:rsidRPr="00FD3E39">
        <w:rPr>
          <w:b/>
          <w:lang w:val="es-ES"/>
        </w:rPr>
        <w:t xml:space="preserve">21.198. </w:t>
      </w:r>
      <w:r w:rsidRPr="00FD3E39">
        <w:rPr>
          <w:bCs/>
          <w:lang w:val="es-ES"/>
        </w:rPr>
        <w:t>El objetivo de la Ley CENABAST (Ley N°</w:t>
      </w:r>
      <w:r w:rsidR="00F70C09">
        <w:rPr>
          <w:bCs/>
          <w:lang w:val="es-ES"/>
        </w:rPr>
        <w:t> </w:t>
      </w:r>
      <w:r w:rsidRPr="00FD3E39">
        <w:rPr>
          <w:bCs/>
          <w:lang w:val="es-ES"/>
        </w:rPr>
        <w:t xml:space="preserve">21.198) es poner a disposición productos sanitarios de calidad a un bajo costo a todas las personas. Por eso le entrega la facultad a CENABAST de intermediar productos con </w:t>
      </w:r>
      <w:r w:rsidRPr="00FD3E39">
        <w:rPr>
          <w:lang w:val="es-ES"/>
        </w:rPr>
        <w:t>farmacias</w:t>
      </w:r>
      <w:r w:rsidRPr="00FD3E39">
        <w:rPr>
          <w:bCs/>
          <w:lang w:val="es-ES"/>
        </w:rPr>
        <w:t xml:space="preserve"> privadas, almacenes farmacéuticos y establecimientos de salud sin fines de lucro, debiendo determinar un precio máximo de venta al público que podrán cobrar dichos establecimientos a sus clientes. Este indicador corresponde al </w:t>
      </w:r>
      <w:r w:rsidRPr="00FD3E39">
        <w:rPr>
          <w:bCs/>
          <w:lang w:val="es-ES"/>
        </w:rPr>
        <w:lastRenderedPageBreak/>
        <w:t xml:space="preserve">monto ahorrado por las farmacias privadas que se acogen al mecanismo de compras centralizadas CENABAST. Se calcula comparando una canasta de productos sanitarios intermediados por CENABAST (a un precio máximo de venta al público determinado por la Central), respecto de los mismos productos vendidos por farmacias privadas, almacenes farmacéuticos y establecimiento de salud sin fines de lucro a un precio promedio ponderado de retail. </w:t>
      </w:r>
      <w:r w:rsidR="00255791" w:rsidRPr="00255791">
        <w:rPr>
          <w:bCs/>
          <w:lang w:val="es-ES"/>
        </w:rPr>
        <w:t>Su fórmula es [1 – (valor canasta precio máximo/valor canasta precio retail)]</w:t>
      </w:r>
      <w:r w:rsidRPr="00FD3E39">
        <w:rPr>
          <w:bCs/>
          <w:lang w:val="es-ES"/>
        </w:rPr>
        <w:t>.</w:t>
      </w:r>
    </w:p>
    <w:p w14:paraId="6B98806A" w14:textId="75B931BB" w:rsidR="00C35C34" w:rsidRPr="00F4676A" w:rsidRDefault="00324A9C" w:rsidP="00920EF4">
      <w:pPr>
        <w:pStyle w:val="ListParagraph"/>
        <w:numPr>
          <w:ilvl w:val="0"/>
          <w:numId w:val="23"/>
        </w:numPr>
        <w:tabs>
          <w:tab w:val="left" w:pos="384"/>
        </w:tabs>
        <w:ind w:left="1260"/>
        <w:rPr>
          <w:lang w:val="es-ES_tradnl"/>
        </w:rPr>
      </w:pPr>
      <w:r w:rsidRPr="00324A9C">
        <w:rPr>
          <w:b/>
          <w:lang w:val="es-ES"/>
        </w:rPr>
        <w:t>Medicamentos de la Canasta Esencial comprados por establecimientos de salud, que son adquiridos a menor precio a través de CENABAST.</w:t>
      </w:r>
      <w:r w:rsidR="00C35C34" w:rsidRPr="6D9A0FCD">
        <w:rPr>
          <w:b/>
          <w:lang w:val="es-ES"/>
        </w:rPr>
        <w:t xml:space="preserve"> </w:t>
      </w:r>
      <w:r w:rsidR="00BD7723" w:rsidRPr="6D9A0FCD">
        <w:rPr>
          <w:lang w:val="es-ES"/>
        </w:rPr>
        <w:t xml:space="preserve">Este indicador mide qué proporción de los medicamentos considerados esenciales para el stock farmacéutico de establecimientos de salud son adquiridos a través del mecanismo centralizado de </w:t>
      </w:r>
      <w:r w:rsidR="00BD7723" w:rsidRPr="00920EF4">
        <w:rPr>
          <w:lang w:val="es-ES_tradnl"/>
        </w:rPr>
        <w:t>compras</w:t>
      </w:r>
      <w:r w:rsidR="00BD7723" w:rsidRPr="6D9A0FCD">
        <w:rPr>
          <w:lang w:val="es-ES"/>
        </w:rPr>
        <w:t xml:space="preserve"> de </w:t>
      </w:r>
      <w:r w:rsidR="00BD7723" w:rsidRPr="00FD3E39">
        <w:rPr>
          <w:lang w:val="es-ES_tradnl"/>
        </w:rPr>
        <w:t>CENABAST.</w:t>
      </w:r>
      <w:r w:rsidR="002659DF" w:rsidRPr="00FD3E39">
        <w:rPr>
          <w:lang w:val="es-ES_tradnl"/>
        </w:rPr>
        <w:t xml:space="preserve"> </w:t>
      </w:r>
      <w:r w:rsidRPr="00FD3E39">
        <w:rPr>
          <w:lang w:val="es-ES_tradnl"/>
        </w:rPr>
        <w:t>Esta meta se vincula con una glosa presupuestaria que obliga a los servicios de salud a intermediar un porcentaje de medicamentos con CENABAST. Se calcula como</w:t>
      </w:r>
      <w:r w:rsidR="0046628C" w:rsidRPr="00FD3E39">
        <w:rPr>
          <w:lang w:val="es-ES_tradnl"/>
        </w:rPr>
        <w:t xml:space="preserve">: </w:t>
      </w:r>
      <w:r w:rsidRPr="00FD3E39">
        <w:rPr>
          <w:lang w:val="es-ES_tradnl"/>
        </w:rPr>
        <w:t>el p</w:t>
      </w:r>
      <w:r w:rsidR="0046628C" w:rsidRPr="00FD3E39">
        <w:rPr>
          <w:lang w:val="es-ES_tradnl"/>
        </w:rPr>
        <w:t xml:space="preserve">orcentaje de participación con CENABAST, que es igual al monto comprado a CENABAST de medicamentos en </w:t>
      </w:r>
      <w:r w:rsidR="001F668C">
        <w:rPr>
          <w:lang w:val="es-ES_tradnl"/>
        </w:rPr>
        <w:t>la Canasta esencial de Medicamentos (</w:t>
      </w:r>
      <w:r w:rsidR="0046628C" w:rsidRPr="00FD3E39">
        <w:rPr>
          <w:lang w:val="es-ES_tradnl"/>
        </w:rPr>
        <w:t>CEM</w:t>
      </w:r>
      <w:r w:rsidR="001F668C">
        <w:rPr>
          <w:lang w:val="es-ES_tradnl"/>
        </w:rPr>
        <w:t>)</w:t>
      </w:r>
      <w:r w:rsidR="0046628C" w:rsidRPr="00FD3E39">
        <w:rPr>
          <w:lang w:val="es-ES_tradnl"/>
        </w:rPr>
        <w:t xml:space="preserve"> dividido por el monto total comprado</w:t>
      </w:r>
      <w:r w:rsidR="0046628C" w:rsidRPr="6D9A0FCD">
        <w:rPr>
          <w:lang w:val="es-ES"/>
        </w:rPr>
        <w:t xml:space="preserve"> de medicamentos en CEM. Adicional a esta fórmula de cálculo, la participación también se mide según la cantidad unitaria comprada (en unidad mínima de medida), reemplazando en la fórmula anterior el "monto" por "cantidad". </w:t>
      </w:r>
      <w:r w:rsidR="002659DF" w:rsidRPr="6D9A0FCD">
        <w:rPr>
          <w:lang w:val="es-ES"/>
        </w:rPr>
        <w:t xml:space="preserve">Consideraciones: para medir su cumplimiento, se comparan los montos comprados por los establecimientos de productos en la CEM a través de CENABAST, respecto al total comprado en estos productos (mediante CENABAST o Mercado Público). </w:t>
      </w:r>
    </w:p>
    <w:p w14:paraId="0AA5AD58" w14:textId="6CA7D154" w:rsidR="00856561" w:rsidRPr="00897FAD" w:rsidRDefault="00856561" w:rsidP="00920EF4">
      <w:pPr>
        <w:pStyle w:val="ListParagraph"/>
        <w:numPr>
          <w:ilvl w:val="0"/>
          <w:numId w:val="23"/>
        </w:numPr>
        <w:tabs>
          <w:tab w:val="left" w:pos="384"/>
        </w:tabs>
        <w:ind w:left="1260"/>
        <w:rPr>
          <w:b/>
          <w:lang w:val="es-ES_tradnl"/>
        </w:rPr>
      </w:pPr>
      <w:r w:rsidRPr="6D9A0FCD">
        <w:rPr>
          <w:b/>
          <w:lang w:val="es-ES"/>
        </w:rPr>
        <w:t>Número de farmacias comunales que compran medicamentos a través de CENABAST.</w:t>
      </w:r>
      <w:r w:rsidR="00502B9F" w:rsidRPr="6D9A0FCD">
        <w:rPr>
          <w:b/>
          <w:lang w:val="es-ES"/>
        </w:rPr>
        <w:t xml:space="preserve"> </w:t>
      </w:r>
      <w:r w:rsidR="001F668C" w:rsidRPr="004264AD">
        <w:rPr>
          <w:lang w:val="es-ES_tradnl"/>
        </w:rPr>
        <w:t>Con el fin de mejorar el acceso a medicamentos a la población, la CENABAST ha sido autorizada para intermediar la compra de remedios para farmacias comunales</w:t>
      </w:r>
      <w:r w:rsidR="001F668C">
        <w:rPr>
          <w:lang w:val="es-ES_tradnl"/>
        </w:rPr>
        <w:t xml:space="preserve"> (establecimientos farmacéuticos no comerciales ligados a los municipios)</w:t>
      </w:r>
      <w:r w:rsidR="001F668C" w:rsidRPr="004264AD">
        <w:rPr>
          <w:lang w:val="es-ES_tradnl"/>
        </w:rPr>
        <w:t xml:space="preserve">, </w:t>
      </w:r>
      <w:r w:rsidR="001F668C">
        <w:rPr>
          <w:lang w:val="es-ES_tradnl"/>
        </w:rPr>
        <w:t xml:space="preserve">buscando </w:t>
      </w:r>
      <w:r w:rsidR="001F668C" w:rsidRPr="004264AD">
        <w:rPr>
          <w:lang w:val="es-ES_tradnl"/>
        </w:rPr>
        <w:t xml:space="preserve">que el ahorro obtenido por el organismo público se traspase al </w:t>
      </w:r>
      <w:r w:rsidR="001F668C">
        <w:rPr>
          <w:lang w:val="es-ES_tradnl"/>
        </w:rPr>
        <w:t>usuario final</w:t>
      </w:r>
      <w:r w:rsidR="001F668C" w:rsidRPr="004264AD">
        <w:rPr>
          <w:lang w:val="es-ES_tradnl"/>
        </w:rPr>
        <w:t>.</w:t>
      </w:r>
      <w:r w:rsidR="001F668C">
        <w:rPr>
          <w:lang w:val="es-ES_tradnl"/>
        </w:rPr>
        <w:t xml:space="preserve"> El número de farmacias comunales es dinámico y depende de la iniciativa de municipios y establecimientos públicos de salud para crearlas y de la capacidad para mantenerlas en funcionamiento. Como son de creación reciente, aún se prevé aumento en el número de establecimientos que decida suscribir al mecanismo de compras centralizadas de CENABAST. </w:t>
      </w:r>
      <w:r w:rsidR="00502B9F" w:rsidRPr="6D9A0FCD">
        <w:rPr>
          <w:lang w:val="es-ES"/>
        </w:rPr>
        <w:t>El alcance de la medición del indicador corresponde al número de farmacias comunales que adquieren productos farmacéuticos vía el proceso de intermediación que realiza la CENABAST.</w:t>
      </w:r>
      <w:r w:rsidR="00455EED" w:rsidRPr="6D9A0FCD">
        <w:rPr>
          <w:lang w:val="es-ES"/>
        </w:rPr>
        <w:t xml:space="preserve"> </w:t>
      </w:r>
    </w:p>
    <w:p w14:paraId="6BDE8814" w14:textId="5C7B98BC" w:rsidR="00375E64" w:rsidRPr="00375E64" w:rsidRDefault="00B700EA" w:rsidP="00375E64">
      <w:pPr>
        <w:pStyle w:val="ListParagraph"/>
        <w:numPr>
          <w:ilvl w:val="0"/>
          <w:numId w:val="23"/>
        </w:numPr>
        <w:tabs>
          <w:tab w:val="left" w:pos="384"/>
        </w:tabs>
        <w:ind w:left="1260"/>
        <w:rPr>
          <w:b/>
          <w:lang w:val="es-ES_tradnl"/>
        </w:rPr>
      </w:pPr>
      <w:r>
        <w:rPr>
          <w:b/>
          <w:lang w:val="es-ES"/>
        </w:rPr>
        <w:t>M</w:t>
      </w:r>
      <w:r w:rsidR="001F668C">
        <w:rPr>
          <w:b/>
          <w:lang w:val="es-ES"/>
        </w:rPr>
        <w:t>onto en</w:t>
      </w:r>
      <w:r w:rsidR="009C6B30" w:rsidRPr="6D9A0FCD">
        <w:rPr>
          <w:b/>
          <w:lang w:val="es-ES"/>
        </w:rPr>
        <w:t xml:space="preserve"> medicamentos que las farmacias comunales compran a través de CENABAST.</w:t>
      </w:r>
      <w:r w:rsidR="001F668C">
        <w:rPr>
          <w:lang w:val="es-ES"/>
        </w:rPr>
        <w:t xml:space="preserve"> </w:t>
      </w:r>
      <w:r w:rsidR="001F668C">
        <w:rPr>
          <w:lang w:val="es-ES_tradnl"/>
        </w:rPr>
        <w:t>El sistema de monitoreo de la Central utiliza oficialmente la variable monto como un proxy que permite evaluar el volumen de productos farmacéuticos comprados a través de este mecanismo porque e</w:t>
      </w:r>
      <w:r w:rsidR="001F668C" w:rsidRPr="000843C3">
        <w:rPr>
          <w:lang w:val="es-ES_tradnl"/>
        </w:rPr>
        <w:t>l número de productos que las farmacias comunales solicit</w:t>
      </w:r>
      <w:r w:rsidR="00E272A7">
        <w:rPr>
          <w:lang w:val="es-ES_tradnl"/>
        </w:rPr>
        <w:t>a</w:t>
      </w:r>
      <w:r w:rsidR="001F668C" w:rsidRPr="000843C3">
        <w:rPr>
          <w:lang w:val="es-ES_tradnl"/>
        </w:rPr>
        <w:t>n es muy variable y la composición de la canasta es dinámica, de manera que es mejor considerar el monto de las compras como expresión de volumen.</w:t>
      </w:r>
      <w:r w:rsidR="00375E64">
        <w:rPr>
          <w:lang w:val="es-ES_tradnl"/>
        </w:rPr>
        <w:t xml:space="preserve"> </w:t>
      </w:r>
      <w:r w:rsidR="00375E64" w:rsidRPr="00375E64">
        <w:rPr>
          <w:lang w:val="es-ES_tradnl"/>
        </w:rPr>
        <w:t xml:space="preserve">El alcance de la medición del indicador corresponde al incremento en el volumen de productos farmacéuticos que las farmacias comunales adquieren vía el proceso de intermediación que realiza la CENABAST. El valor de la línea de base </w:t>
      </w:r>
      <w:r w:rsidR="00375E64">
        <w:rPr>
          <w:lang w:val="es-ES_tradnl"/>
        </w:rPr>
        <w:t>es</w:t>
      </w:r>
      <w:r w:rsidR="00375E64" w:rsidRPr="00375E64">
        <w:rPr>
          <w:lang w:val="es-ES_tradnl"/>
        </w:rPr>
        <w:t xml:space="preserve"> el monto informado para ese año (</w:t>
      </w:r>
      <w:r w:rsidR="00102EA3">
        <w:rPr>
          <w:lang w:val="es-ES_tradnl"/>
        </w:rPr>
        <w:t>CH</w:t>
      </w:r>
      <w:r w:rsidR="00375E64" w:rsidRPr="00375E64">
        <w:rPr>
          <w:lang w:val="es-ES_tradnl"/>
        </w:rPr>
        <w:t>$8.591</w:t>
      </w:r>
      <w:r w:rsidR="00F70C09">
        <w:rPr>
          <w:lang w:val="es-ES_tradnl"/>
        </w:rPr>
        <w:t> </w:t>
      </w:r>
      <w:r w:rsidR="00375E64" w:rsidRPr="00375E64">
        <w:rPr>
          <w:lang w:val="es-ES_tradnl"/>
        </w:rPr>
        <w:t xml:space="preserve">millones de pesos) y la meta corresponde al aumento en el volumen (monto) de la intermediación </w:t>
      </w:r>
      <w:r>
        <w:rPr>
          <w:lang w:val="es-ES_tradnl"/>
        </w:rPr>
        <w:t>de al menos 20%, expresado en pesos chilenos</w:t>
      </w:r>
      <w:r w:rsidR="00375E64">
        <w:rPr>
          <w:lang w:val="es-ES_tradnl"/>
        </w:rPr>
        <w:t>.</w:t>
      </w:r>
    </w:p>
    <w:p w14:paraId="06ED9CCF" w14:textId="57025526" w:rsidR="001066F7" w:rsidRPr="00897FAD" w:rsidRDefault="001066F7" w:rsidP="007F7FF9">
      <w:pPr>
        <w:pStyle w:val="ListParagraph"/>
        <w:keepNext/>
        <w:widowControl/>
        <w:numPr>
          <w:ilvl w:val="0"/>
          <w:numId w:val="29"/>
        </w:numPr>
        <w:tabs>
          <w:tab w:val="left" w:pos="384"/>
        </w:tabs>
        <w:ind w:left="1267"/>
        <w:rPr>
          <w:b/>
          <w:lang w:val="es-ES_tradnl"/>
        </w:rPr>
      </w:pPr>
      <w:r w:rsidRPr="6D9A0FCD">
        <w:rPr>
          <w:b/>
          <w:lang w:val="es-ES"/>
        </w:rPr>
        <w:lastRenderedPageBreak/>
        <w:t>Ahorro por compras de fármacos e insumos intermediadas por CENABAST.</w:t>
      </w:r>
      <w:r w:rsidR="00910BF1" w:rsidRPr="6D9A0FCD">
        <w:rPr>
          <w:b/>
          <w:lang w:val="es-ES"/>
        </w:rPr>
        <w:t xml:space="preserve"> </w:t>
      </w:r>
      <w:r w:rsidR="00910BF1" w:rsidRPr="6D9A0FCD">
        <w:rPr>
          <w:lang w:val="es-ES"/>
        </w:rPr>
        <w:t xml:space="preserve">Se refiere al </w:t>
      </w:r>
      <w:r w:rsidR="00910BF1" w:rsidRPr="00920EF4">
        <w:rPr>
          <w:lang w:val="es-ES_tradnl"/>
        </w:rPr>
        <w:t>porcentaje</w:t>
      </w:r>
      <w:r w:rsidR="00910BF1" w:rsidRPr="6D9A0FCD">
        <w:rPr>
          <w:lang w:val="es-ES"/>
        </w:rPr>
        <w:t xml:space="preserve"> de ahorro en canasta de fármacos e insumos intermediados por CENABAST en relación a la misma canasta comprada individualmente por establecimientos de salud del Sector Público a través de plataforma electrónica Mercado Público.</w:t>
      </w:r>
      <w:r w:rsidR="00BD7723" w:rsidRPr="6D9A0FCD">
        <w:rPr>
          <w:lang w:val="es-ES"/>
        </w:rPr>
        <w:t xml:space="preserve"> Fórmula de cálculo: Canasta de fármacos e insumos valorizada a precio promedio obtenidos en Chile</w:t>
      </w:r>
      <w:r w:rsidR="00073BC4" w:rsidRPr="6D9A0FCD">
        <w:rPr>
          <w:lang w:val="es-ES"/>
        </w:rPr>
        <w:t>C</w:t>
      </w:r>
      <w:r w:rsidR="00BD7723" w:rsidRPr="6D9A0FCD">
        <w:rPr>
          <w:lang w:val="es-ES"/>
        </w:rPr>
        <w:t>ompra por establecimientos de salud menos canasta de fármacos e insumos valorizada a precios de CENABAST por establecimientos de salud. Dividido por Canasta de fármacos e insumos valorizada a precios promedio obtenidos en Chile</w:t>
      </w:r>
      <w:r w:rsidR="0046628C" w:rsidRPr="6D9A0FCD">
        <w:rPr>
          <w:lang w:val="es-ES"/>
        </w:rPr>
        <w:t>C</w:t>
      </w:r>
      <w:r w:rsidR="00BD7723" w:rsidRPr="6D9A0FCD">
        <w:rPr>
          <w:lang w:val="es-ES"/>
        </w:rPr>
        <w:t xml:space="preserve">ompra por establecimientos de salud. Todo lo anterior multiplicado por cien. Consideraciones: </w:t>
      </w:r>
      <w:r w:rsidR="00920EF4">
        <w:rPr>
          <w:lang w:val="es-ES"/>
        </w:rPr>
        <w:t>(</w:t>
      </w:r>
      <w:r w:rsidR="00BD7723" w:rsidRPr="6D9A0FCD">
        <w:rPr>
          <w:lang w:val="es-ES"/>
        </w:rPr>
        <w:t>i)</w:t>
      </w:r>
      <w:r w:rsidR="00F70C09">
        <w:rPr>
          <w:lang w:val="es-ES"/>
        </w:rPr>
        <w:t> e</w:t>
      </w:r>
      <w:r w:rsidR="00BD7723" w:rsidRPr="6D9A0FCD">
        <w:rPr>
          <w:lang w:val="es-ES"/>
        </w:rPr>
        <w:t xml:space="preserve">l alcance de la medición del indicador corresponde a todas las compras de la línea de Intermediación y compras comunes entre Intermediación y Programas Ministeriales, según el año de decisión de la compra; </w:t>
      </w:r>
      <w:r w:rsidR="00920EF4">
        <w:rPr>
          <w:lang w:val="es-ES"/>
        </w:rPr>
        <w:t>(</w:t>
      </w:r>
      <w:r w:rsidR="00BD7723" w:rsidRPr="6D9A0FCD">
        <w:rPr>
          <w:lang w:val="es-ES"/>
        </w:rPr>
        <w:t xml:space="preserve">ii) </w:t>
      </w:r>
      <w:r w:rsidR="0036312D" w:rsidRPr="6D9A0FCD">
        <w:rPr>
          <w:lang w:val="es-ES"/>
        </w:rPr>
        <w:t>p</w:t>
      </w:r>
      <w:r w:rsidR="00BD7723" w:rsidRPr="6D9A0FCD">
        <w:rPr>
          <w:lang w:val="es-ES"/>
        </w:rPr>
        <w:t>ara el cálculo y determina</w:t>
      </w:r>
      <w:r w:rsidR="00642EAB">
        <w:rPr>
          <w:lang w:val="es-ES"/>
        </w:rPr>
        <w:t>ción d</w:t>
      </w:r>
      <w:r w:rsidR="00BD7723" w:rsidRPr="6D9A0FCD">
        <w:rPr>
          <w:lang w:val="es-ES"/>
        </w:rPr>
        <w:t xml:space="preserve">el Ahorro de CENABAST, se determina una canasta a medir, con igual número de productos y glosas. Los datos de compras de los Establecimientos de Salud a través del portal de compras pública www.mercadopublico.cl en un mismo período de tiempo, son proporcionados por una empresa dedicada a estudios de mercado. Se valoriza la canasta de CENABAST (P x Q) considerando el último precio de venta, mientras que la canasta de los establecimientos de salud se determina </w:t>
      </w:r>
      <w:r w:rsidR="00642EAB">
        <w:rPr>
          <w:lang w:val="es-ES"/>
        </w:rPr>
        <w:t xml:space="preserve">por </w:t>
      </w:r>
      <w:r w:rsidR="00BD7723" w:rsidRPr="6D9A0FCD">
        <w:rPr>
          <w:lang w:val="es-ES"/>
        </w:rPr>
        <w:t>un Precio Promedio Ponderado.</w:t>
      </w:r>
      <w:r w:rsidR="00BD4ECA">
        <w:rPr>
          <w:lang w:val="es-ES"/>
        </w:rPr>
        <w:t xml:space="preserve"> </w:t>
      </w:r>
      <w:r w:rsidR="00BD4ECA" w:rsidRPr="00BD4ECA">
        <w:rPr>
          <w:lang w:val="es-ES"/>
        </w:rPr>
        <w:t>La meta de variación en el ahorro corresponde al valor de la línea base más el promedio del aumento entre años calculado en 1</w:t>
      </w:r>
      <w:r w:rsidR="00BD4ECA">
        <w:rPr>
          <w:lang w:val="es-ES"/>
        </w:rPr>
        <w:t>,</w:t>
      </w:r>
      <w:r w:rsidR="00BD4ECA" w:rsidRPr="00BD4ECA">
        <w:rPr>
          <w:lang w:val="es-ES"/>
        </w:rPr>
        <w:t>4</w:t>
      </w:r>
      <w:r w:rsidR="00F70C09">
        <w:rPr>
          <w:lang w:val="es-ES"/>
        </w:rPr>
        <w:t> </w:t>
      </w:r>
      <w:r w:rsidR="00BD4ECA">
        <w:rPr>
          <w:lang w:val="es-ES"/>
        </w:rPr>
        <w:t>puntos porcentuales.</w:t>
      </w:r>
    </w:p>
    <w:p w14:paraId="054FDCD8" w14:textId="429A6B34" w:rsidR="001066F7" w:rsidRPr="00747B87" w:rsidRDefault="001066F7" w:rsidP="00375E64">
      <w:pPr>
        <w:pStyle w:val="ListParagraph"/>
        <w:numPr>
          <w:ilvl w:val="0"/>
          <w:numId w:val="29"/>
        </w:numPr>
        <w:tabs>
          <w:tab w:val="left" w:pos="384"/>
        </w:tabs>
        <w:ind w:left="1260"/>
        <w:rPr>
          <w:lang w:val="es-ES_tradnl"/>
        </w:rPr>
      </w:pPr>
      <w:r w:rsidRPr="6D9A0FCD">
        <w:rPr>
          <w:b/>
          <w:lang w:val="es-ES"/>
        </w:rPr>
        <w:t>Porcentaje del presupuesto público monitoreado como parte del proceso de formulación presupuestaria.</w:t>
      </w:r>
      <w:r w:rsidR="001C6E4A" w:rsidRPr="6D9A0FCD">
        <w:rPr>
          <w:b/>
          <w:lang w:val="es-ES"/>
        </w:rPr>
        <w:t xml:space="preserve"> </w:t>
      </w:r>
      <w:r w:rsidR="001C6E4A" w:rsidRPr="6D9A0FCD">
        <w:rPr>
          <w:lang w:val="es-ES"/>
        </w:rPr>
        <w:t>Mide el porcentaje del presupuesto público monitoreado por DIPRES anualmente de acuerdo a su formulario de monitoreo estandarizado.</w:t>
      </w:r>
    </w:p>
    <w:p w14:paraId="61FC82B8" w14:textId="69399E50" w:rsidR="004D492C" w:rsidRPr="00897FAD" w:rsidRDefault="001066F7" w:rsidP="00375E64">
      <w:pPr>
        <w:pStyle w:val="ListParagraph"/>
        <w:numPr>
          <w:ilvl w:val="0"/>
          <w:numId w:val="29"/>
        </w:numPr>
        <w:tabs>
          <w:tab w:val="left" w:pos="384"/>
        </w:tabs>
        <w:ind w:left="1260"/>
        <w:rPr>
          <w:b/>
          <w:bCs/>
          <w:lang w:val="es-ES_tradnl"/>
        </w:rPr>
      </w:pPr>
      <w:r w:rsidRPr="6D9A0FCD">
        <w:rPr>
          <w:b/>
          <w:lang w:val="es-ES"/>
        </w:rPr>
        <w:t>Ahorros de eficiencia en la ejecución de compras públicas bajo la modalidad de compras ágiles.</w:t>
      </w:r>
      <w:r w:rsidR="00BF5749" w:rsidRPr="6D9A0FCD">
        <w:rPr>
          <w:b/>
          <w:lang w:val="es-ES"/>
        </w:rPr>
        <w:t xml:space="preserve"> </w:t>
      </w:r>
      <w:r w:rsidR="004D492C" w:rsidRPr="00897FAD">
        <w:rPr>
          <w:lang w:val="es-419"/>
        </w:rPr>
        <w:t>Mide en promedio las horas/hombres que se utilizan para realizar un proceso de compra por debajo de 10</w:t>
      </w:r>
      <w:r w:rsidR="00A54194">
        <w:rPr>
          <w:lang w:val="es-419"/>
        </w:rPr>
        <w:t> </w:t>
      </w:r>
      <w:r w:rsidR="004D492C" w:rsidRPr="00897FAD">
        <w:rPr>
          <w:lang w:val="es-419"/>
        </w:rPr>
        <w:t xml:space="preserve">Unidades Tributaria Mensuales (UTM). </w:t>
      </w:r>
      <w:r w:rsidR="004804E9">
        <w:rPr>
          <w:lang w:val="es-419"/>
        </w:rPr>
        <w:t xml:space="preserve">Fórmula de cálculo: La suma de las horas/hombres que se utilizan para realizar las fases de implementación, búsqueda y negociación de un proceso de compra dividida por el número de procesos de compra realizados bajo la modalidad de compra ágil. </w:t>
      </w:r>
      <w:r w:rsidR="004D492C" w:rsidRPr="00897FAD">
        <w:rPr>
          <w:lang w:val="es-419"/>
        </w:rPr>
        <w:t>Asume una reducción porcentual de 20% en 2020, 15% en 2021, 10% en 2022 y 5% en 2023.</w:t>
      </w:r>
      <w:r w:rsidR="004804E9">
        <w:rPr>
          <w:lang w:val="es-419"/>
        </w:rPr>
        <w:t xml:space="preserve"> Consideraciones: </w:t>
      </w:r>
      <w:r w:rsidR="00F70C09">
        <w:rPr>
          <w:lang w:val="es-419"/>
        </w:rPr>
        <w:t>(</w:t>
      </w:r>
      <w:r w:rsidR="004804E9">
        <w:rPr>
          <w:lang w:val="es-419"/>
        </w:rPr>
        <w:t>i)</w:t>
      </w:r>
      <w:r w:rsidR="00A54194">
        <w:rPr>
          <w:lang w:val="es-419"/>
        </w:rPr>
        <w:t> </w:t>
      </w:r>
      <w:r w:rsidR="004804E9">
        <w:rPr>
          <w:lang w:val="es-419"/>
        </w:rPr>
        <w:t xml:space="preserve">el tiempo de implementación se asocia con las horas/hombre que utiliza cada repartición del Estado en la implementación de los procesos de un dado sistema de compras que puede ser o no ser necesariamente electrónico. (Incluye procesos administrativos en entidades compradores y ente rector, relacionados a Planificación, Publicidad e Información, Evaluación de ofertas, y Adjudicación); </w:t>
      </w:r>
      <w:r w:rsidR="00F70C09">
        <w:rPr>
          <w:lang w:val="es-419"/>
        </w:rPr>
        <w:t>(</w:t>
      </w:r>
      <w:r w:rsidR="004804E9">
        <w:rPr>
          <w:lang w:val="es-419"/>
        </w:rPr>
        <w:t>ii)</w:t>
      </w:r>
      <w:r w:rsidR="00A54194">
        <w:rPr>
          <w:lang w:val="es-419"/>
        </w:rPr>
        <w:t> </w:t>
      </w:r>
      <w:r w:rsidR="004804E9">
        <w:rPr>
          <w:lang w:val="es-419"/>
        </w:rPr>
        <w:t xml:space="preserve">el tiempo de búsqueda: el tiempo relacionado a externalidades que retrasan el proceso para que un comprador coincida con un vendedor. (Incluye procesos nulos/desiertos, extensiones e impugnaciones y otros fuera del proceso normal de compras); </w:t>
      </w:r>
      <w:r w:rsidR="00F70C09">
        <w:rPr>
          <w:lang w:val="es-419"/>
        </w:rPr>
        <w:t>(</w:t>
      </w:r>
      <w:r w:rsidR="004804E9">
        <w:rPr>
          <w:lang w:val="es-419"/>
        </w:rPr>
        <w:t>iii)</w:t>
      </w:r>
      <w:r w:rsidR="00A54194">
        <w:rPr>
          <w:lang w:val="es-419"/>
        </w:rPr>
        <w:t> </w:t>
      </w:r>
      <w:r w:rsidR="004804E9">
        <w:rPr>
          <w:lang w:val="es-419"/>
        </w:rPr>
        <w:t>el tiempo de negociación se refiere a periodos de regateo de precios, y preguntas del estado del bien o calidad del servicio. Incluye retrasos por incentivos a ocultar información, desacuerdos, ejercicio de una posición dominante, etc.</w:t>
      </w:r>
    </w:p>
    <w:p w14:paraId="3CD364FB" w14:textId="3EC5BD33" w:rsidR="00641EC0" w:rsidRPr="00747B87" w:rsidRDefault="00641EC0" w:rsidP="00EB0786">
      <w:pPr>
        <w:pStyle w:val="ListParagraph"/>
        <w:numPr>
          <w:ilvl w:val="1"/>
          <w:numId w:val="2"/>
        </w:numPr>
        <w:tabs>
          <w:tab w:val="left" w:pos="801"/>
        </w:tabs>
        <w:spacing w:before="83"/>
        <w:ind w:right="111"/>
        <w:rPr>
          <w:lang w:val="es-ES_tradnl"/>
        </w:rPr>
      </w:pPr>
      <w:r w:rsidRPr="6D9A0FCD">
        <w:rPr>
          <w:lang w:val="es-ES"/>
        </w:rPr>
        <w:t xml:space="preserve">Cada uno de estos indicadores son producidos de manera regular por las autoridades </w:t>
      </w:r>
      <w:r w:rsidR="001066F7" w:rsidRPr="6D9A0FCD">
        <w:rPr>
          <w:lang w:val="es-ES"/>
        </w:rPr>
        <w:t>del país</w:t>
      </w:r>
      <w:r w:rsidR="00E86810" w:rsidRPr="6D9A0FCD">
        <w:rPr>
          <w:lang w:val="es-ES"/>
        </w:rPr>
        <w:t xml:space="preserve">: </w:t>
      </w:r>
      <w:r w:rsidR="006D1D1D" w:rsidRPr="001870D5">
        <w:rPr>
          <w:lang w:val="es-ES_tradnl"/>
        </w:rPr>
        <w:t>MDS</w:t>
      </w:r>
      <w:r w:rsidR="001066F7" w:rsidRPr="6D9A0FCD">
        <w:rPr>
          <w:lang w:val="es-ES"/>
        </w:rPr>
        <w:t>, Superintendencia de Pensiones, CENABAST</w:t>
      </w:r>
      <w:r w:rsidR="00E86810" w:rsidRPr="6D9A0FCD">
        <w:rPr>
          <w:lang w:val="es-ES"/>
        </w:rPr>
        <w:t>, DIPRES y ChileCompra.</w:t>
      </w:r>
    </w:p>
    <w:p w14:paraId="19CB6AD6" w14:textId="77777777" w:rsidR="00625048" w:rsidRPr="00747B87" w:rsidRDefault="00625048" w:rsidP="000D0B84">
      <w:pPr>
        <w:pStyle w:val="ListParagraph"/>
        <w:tabs>
          <w:tab w:val="left" w:pos="801"/>
        </w:tabs>
        <w:ind w:left="800" w:right="115" w:firstLine="0"/>
        <w:rPr>
          <w:lang w:val="es-ES_tradnl"/>
        </w:rPr>
      </w:pPr>
    </w:p>
    <w:p w14:paraId="2ACEBC5B" w14:textId="688F8405" w:rsidR="004A52C7" w:rsidRPr="00747B87" w:rsidRDefault="004A52C7" w:rsidP="004A52C7">
      <w:pPr>
        <w:pStyle w:val="ListParagraph"/>
        <w:numPr>
          <w:ilvl w:val="0"/>
          <w:numId w:val="8"/>
        </w:numPr>
        <w:tabs>
          <w:tab w:val="left" w:pos="4115"/>
          <w:tab w:val="left" w:pos="4116"/>
        </w:tabs>
        <w:rPr>
          <w:b/>
          <w:lang w:val="es-ES_tradnl"/>
        </w:rPr>
      </w:pPr>
      <w:bookmarkStart w:id="4" w:name="_Toc2244865"/>
      <w:r w:rsidRPr="00747B87">
        <w:rPr>
          <w:b/>
          <w:lang w:val="es-ES_tradnl"/>
        </w:rPr>
        <w:lastRenderedPageBreak/>
        <w:t>Metodología de evaluación</w:t>
      </w:r>
      <w:bookmarkEnd w:id="4"/>
    </w:p>
    <w:p w14:paraId="6AB035C4" w14:textId="425FD2A1" w:rsidR="00E13F46" w:rsidRPr="00747B87" w:rsidRDefault="004A52C7" w:rsidP="00EB0786">
      <w:pPr>
        <w:pStyle w:val="ListParagraph"/>
        <w:numPr>
          <w:ilvl w:val="1"/>
          <w:numId w:val="2"/>
        </w:numPr>
        <w:tabs>
          <w:tab w:val="left" w:pos="801"/>
        </w:tabs>
        <w:spacing w:before="83"/>
        <w:ind w:right="111"/>
        <w:rPr>
          <w:lang w:val="es-ES_tradnl"/>
        </w:rPr>
      </w:pPr>
      <w:r w:rsidRPr="6D9A0FCD">
        <w:rPr>
          <w:lang w:val="es-ES"/>
        </w:rPr>
        <w:t xml:space="preserve">La evaluación consiste </w:t>
      </w:r>
      <w:r w:rsidR="000D0B84" w:rsidRPr="6D9A0FCD">
        <w:rPr>
          <w:lang w:val="es-ES"/>
        </w:rPr>
        <w:t xml:space="preserve">en </w:t>
      </w:r>
      <w:r w:rsidR="004843A2" w:rsidRPr="6D9A0FCD">
        <w:rPr>
          <w:lang w:val="es-ES"/>
        </w:rPr>
        <w:t>una evaluación reflexiva de antes y después</w:t>
      </w:r>
      <w:r w:rsidR="005300FB" w:rsidRPr="6D9A0FCD">
        <w:rPr>
          <w:lang w:val="es-ES"/>
        </w:rPr>
        <w:t xml:space="preserve"> de implementar la reforma</w:t>
      </w:r>
      <w:r w:rsidR="004843A2" w:rsidRPr="6D9A0FCD">
        <w:rPr>
          <w:lang w:val="es-ES"/>
        </w:rPr>
        <w:t xml:space="preserve">, </w:t>
      </w:r>
      <w:r w:rsidR="004843A2" w:rsidRPr="00EB0786">
        <w:rPr>
          <w:bCs/>
          <w:lang w:val="es-ES_tradnl"/>
        </w:rPr>
        <w:t>dado</w:t>
      </w:r>
      <w:r w:rsidR="004843A2" w:rsidRPr="6D9A0FCD">
        <w:rPr>
          <w:lang w:val="es-ES"/>
        </w:rPr>
        <w:t xml:space="preserve"> que </w:t>
      </w:r>
      <w:r w:rsidR="00E36E2F" w:rsidRPr="6D9A0FCD">
        <w:rPr>
          <w:lang w:val="es-ES"/>
        </w:rPr>
        <w:t>se tiene un cambio institucional a nivel nacional</w:t>
      </w:r>
      <w:r w:rsidR="00225800" w:rsidRPr="6D9A0FCD">
        <w:rPr>
          <w:lang w:val="es-ES"/>
        </w:rPr>
        <w:t xml:space="preserve"> y se contará con información comparable en el tiempo. </w:t>
      </w:r>
    </w:p>
    <w:p w14:paraId="39B0FF2D" w14:textId="77777777" w:rsidR="00C65845" w:rsidRDefault="00F82203" w:rsidP="00EB0786">
      <w:pPr>
        <w:pStyle w:val="ListParagraph"/>
        <w:numPr>
          <w:ilvl w:val="1"/>
          <w:numId w:val="2"/>
        </w:numPr>
        <w:tabs>
          <w:tab w:val="left" w:pos="801"/>
        </w:tabs>
        <w:spacing w:before="83"/>
        <w:ind w:right="111"/>
        <w:rPr>
          <w:bCs/>
          <w:lang w:val="es-ES_tradnl"/>
        </w:rPr>
      </w:pPr>
      <w:r>
        <w:rPr>
          <w:b/>
          <w:lang w:val="es-ES_tradnl"/>
        </w:rPr>
        <w:t>Preguntas de evaluación.</w:t>
      </w:r>
      <w:r w:rsidR="00680937">
        <w:rPr>
          <w:b/>
          <w:lang w:val="es-ES_tradnl"/>
        </w:rPr>
        <w:t xml:space="preserve"> </w:t>
      </w:r>
      <w:r w:rsidR="00680937" w:rsidRPr="00FD3E39">
        <w:rPr>
          <w:bCs/>
          <w:lang w:val="es-ES_tradnl"/>
        </w:rPr>
        <w:t>A nivel de impactos, se espera responder a la</w:t>
      </w:r>
      <w:r w:rsidR="00E00559">
        <w:rPr>
          <w:bCs/>
          <w:lang w:val="es-ES_tradnl"/>
        </w:rPr>
        <w:t>s</w:t>
      </w:r>
      <w:r w:rsidR="00680937" w:rsidRPr="00FD3E39">
        <w:rPr>
          <w:bCs/>
          <w:lang w:val="es-ES_tradnl"/>
        </w:rPr>
        <w:t xml:space="preserve"> pregunta</w:t>
      </w:r>
      <w:r w:rsidR="00E00559">
        <w:rPr>
          <w:bCs/>
          <w:lang w:val="es-ES_tradnl"/>
        </w:rPr>
        <w:t>s:</w:t>
      </w:r>
    </w:p>
    <w:p w14:paraId="6D5FB3F3" w14:textId="4AF4C68E" w:rsidR="003B588E" w:rsidRDefault="003B588E" w:rsidP="001870D5">
      <w:pPr>
        <w:pStyle w:val="ListParagraph"/>
        <w:numPr>
          <w:ilvl w:val="2"/>
          <w:numId w:val="2"/>
        </w:numPr>
        <w:tabs>
          <w:tab w:val="left" w:pos="801"/>
        </w:tabs>
        <w:spacing w:before="0"/>
        <w:ind w:left="1238" w:right="115"/>
        <w:rPr>
          <w:bCs/>
          <w:lang w:val="es-ES_tradnl"/>
        </w:rPr>
      </w:pPr>
      <w:r w:rsidRPr="00087230">
        <w:rPr>
          <w:rFonts w:eastAsia="Times New Roman"/>
          <w:lang w:val="es-ES_tradnl"/>
        </w:rPr>
        <w:t>¿</w:t>
      </w:r>
      <w:r>
        <w:rPr>
          <w:bCs/>
          <w:lang w:val="es-ES_tradnl"/>
        </w:rPr>
        <w:t xml:space="preserve">Las reformas que apoya este programa son suficientes para </w:t>
      </w:r>
      <w:r w:rsidR="00E00559">
        <w:rPr>
          <w:bCs/>
          <w:lang w:val="es-ES_tradnl"/>
        </w:rPr>
        <w:t>mejorar la equidad social en Chile</w:t>
      </w:r>
      <w:r w:rsidR="005472EC">
        <w:rPr>
          <w:bCs/>
          <w:lang w:val="es-ES_tradnl"/>
        </w:rPr>
        <w:t>, medida en términos de ingresos</w:t>
      </w:r>
      <w:r>
        <w:rPr>
          <w:bCs/>
          <w:lang w:val="es-ES_tradnl"/>
        </w:rPr>
        <w:t>?</w:t>
      </w:r>
    </w:p>
    <w:p w14:paraId="59E52926" w14:textId="675F0517" w:rsidR="0029732B" w:rsidRDefault="004D46F5" w:rsidP="001870D5">
      <w:pPr>
        <w:pStyle w:val="ListParagraph"/>
        <w:numPr>
          <w:ilvl w:val="2"/>
          <w:numId w:val="2"/>
        </w:numPr>
        <w:tabs>
          <w:tab w:val="left" w:pos="801"/>
        </w:tabs>
        <w:spacing w:before="0"/>
        <w:ind w:left="1238" w:right="115"/>
        <w:rPr>
          <w:bCs/>
          <w:lang w:val="es-ES_tradnl"/>
        </w:rPr>
      </w:pPr>
      <w:r>
        <w:rPr>
          <w:rFonts w:eastAsia="Times New Roman"/>
          <w:lang w:val="es-ES_tradnl"/>
        </w:rPr>
        <w:t xml:space="preserve">Más aun, </w:t>
      </w:r>
      <w:r w:rsidR="0029732B" w:rsidRPr="00087230">
        <w:rPr>
          <w:rFonts w:eastAsia="Times New Roman"/>
          <w:lang w:val="es-ES_tradnl"/>
        </w:rPr>
        <w:t>¿</w:t>
      </w:r>
      <w:r>
        <w:rPr>
          <w:rFonts w:eastAsia="Times New Roman"/>
          <w:lang w:val="es-ES_tradnl"/>
        </w:rPr>
        <w:t>l</w:t>
      </w:r>
      <w:r w:rsidR="0029732B">
        <w:rPr>
          <w:bCs/>
          <w:lang w:val="es-ES_tradnl"/>
        </w:rPr>
        <w:t>as reformas que apoya este programa permiten mejorar la equidad social en Chile</w:t>
      </w:r>
      <w:r w:rsidR="005472EC">
        <w:rPr>
          <w:bCs/>
          <w:lang w:val="es-ES_tradnl"/>
        </w:rPr>
        <w:t>, medida en términos de ingresos,</w:t>
      </w:r>
      <w:r w:rsidR="005812DE">
        <w:rPr>
          <w:bCs/>
          <w:lang w:val="es-ES_tradnl"/>
        </w:rPr>
        <w:t xml:space="preserve"> con sostenibilidad fiscal, es decir, sin empeorar la situación fiscal del país</w:t>
      </w:r>
      <w:r w:rsidR="0029732B">
        <w:rPr>
          <w:bCs/>
          <w:lang w:val="es-ES_tradnl"/>
        </w:rPr>
        <w:t>?</w:t>
      </w:r>
    </w:p>
    <w:p w14:paraId="69CAD64E" w14:textId="640212BD" w:rsidR="00226554" w:rsidRDefault="00226554" w:rsidP="00EB0786">
      <w:pPr>
        <w:pStyle w:val="ListParagraph"/>
        <w:numPr>
          <w:ilvl w:val="1"/>
          <w:numId w:val="2"/>
        </w:numPr>
        <w:tabs>
          <w:tab w:val="left" w:pos="801"/>
        </w:tabs>
        <w:spacing w:before="83"/>
        <w:ind w:right="111"/>
        <w:rPr>
          <w:bCs/>
          <w:lang w:val="es-ES_tradnl"/>
        </w:rPr>
      </w:pPr>
      <w:r w:rsidRPr="00FD3E39">
        <w:rPr>
          <w:bCs/>
          <w:lang w:val="es-ES_tradnl"/>
        </w:rPr>
        <w:t xml:space="preserve">A nivel de resultados, también se </w:t>
      </w:r>
      <w:r w:rsidRPr="00226554">
        <w:rPr>
          <w:bCs/>
          <w:lang w:val="es-ES_tradnl"/>
        </w:rPr>
        <w:t>plantean</w:t>
      </w:r>
      <w:r w:rsidRPr="00FD3E39">
        <w:rPr>
          <w:bCs/>
          <w:lang w:val="es-ES_tradnl"/>
        </w:rPr>
        <w:t xml:space="preserve"> las siguientes preguntas de evaluación</w:t>
      </w:r>
      <w:r w:rsidR="00D44898">
        <w:rPr>
          <w:bCs/>
          <w:lang w:val="es-ES_tradnl"/>
        </w:rPr>
        <w:t>:</w:t>
      </w:r>
    </w:p>
    <w:p w14:paraId="7F410FBF" w14:textId="193BCA75" w:rsidR="00840A3C" w:rsidRDefault="00663CF6" w:rsidP="001870D5">
      <w:pPr>
        <w:pStyle w:val="ListParagraph"/>
        <w:numPr>
          <w:ilvl w:val="2"/>
          <w:numId w:val="2"/>
        </w:numPr>
        <w:tabs>
          <w:tab w:val="left" w:pos="801"/>
        </w:tabs>
        <w:spacing w:before="0"/>
        <w:ind w:left="1238" w:right="115"/>
        <w:rPr>
          <w:bCs/>
          <w:lang w:val="es-ES_tradnl"/>
        </w:rPr>
      </w:pPr>
      <w:r>
        <w:rPr>
          <w:bCs/>
          <w:lang w:val="es-ES_tradnl"/>
        </w:rPr>
        <w:t xml:space="preserve">¿Durante el período entre 2017 y 2023 mejoró </w:t>
      </w:r>
      <w:r w:rsidR="00FE23F1">
        <w:rPr>
          <w:bCs/>
          <w:lang w:val="es-ES_tradnl"/>
        </w:rPr>
        <w:t xml:space="preserve">la distribución del ingreso para los hombres, entendida como </w:t>
      </w:r>
      <w:r w:rsidR="00622C30">
        <w:rPr>
          <w:bCs/>
          <w:lang w:val="es-ES_tradnl"/>
        </w:rPr>
        <w:t xml:space="preserve">el ratio del </w:t>
      </w:r>
      <w:r w:rsidR="00622C30" w:rsidRPr="001870D5">
        <w:rPr>
          <w:rFonts w:eastAsia="Times New Roman"/>
          <w:lang w:val="es-ES_tradnl"/>
        </w:rPr>
        <w:t>ingreso</w:t>
      </w:r>
      <w:r w:rsidR="00622C30">
        <w:rPr>
          <w:bCs/>
          <w:lang w:val="es-ES_tradnl"/>
        </w:rPr>
        <w:t xml:space="preserve"> entre el 25%</w:t>
      </w:r>
      <w:r w:rsidR="00E36F38">
        <w:rPr>
          <w:bCs/>
          <w:lang w:val="es-ES_tradnl"/>
        </w:rPr>
        <w:t xml:space="preserve"> más vulnerable y el 75% de la distribución? ¿Hubo mejora en el caso de las mujeres? </w:t>
      </w:r>
      <w:r w:rsidR="00E15510">
        <w:rPr>
          <w:bCs/>
          <w:lang w:val="es-ES_tradnl"/>
        </w:rPr>
        <w:t xml:space="preserve">Esta pregunta considera </w:t>
      </w:r>
      <w:r w:rsidR="001D33A8">
        <w:rPr>
          <w:bCs/>
          <w:lang w:val="es-ES_tradnl"/>
        </w:rPr>
        <w:t xml:space="preserve">al ingreso laboral, independiente de la condición de formalidad de los individuos. </w:t>
      </w:r>
    </w:p>
    <w:p w14:paraId="2AF5A23E" w14:textId="1D05C5CC" w:rsidR="001D33A8" w:rsidRDefault="007520E0" w:rsidP="001870D5">
      <w:pPr>
        <w:pStyle w:val="ListParagraph"/>
        <w:numPr>
          <w:ilvl w:val="2"/>
          <w:numId w:val="2"/>
        </w:numPr>
        <w:tabs>
          <w:tab w:val="left" w:pos="801"/>
        </w:tabs>
        <w:spacing w:before="0"/>
        <w:ind w:left="1238" w:right="115"/>
        <w:rPr>
          <w:bCs/>
          <w:lang w:val="es-ES_tradnl"/>
        </w:rPr>
      </w:pPr>
      <w:r>
        <w:rPr>
          <w:bCs/>
          <w:lang w:val="es-ES_tradnl"/>
        </w:rPr>
        <w:t xml:space="preserve">Complementariamente, </w:t>
      </w:r>
      <w:r w:rsidR="000E7461">
        <w:rPr>
          <w:bCs/>
          <w:lang w:val="es-ES_tradnl"/>
        </w:rPr>
        <w:t>la pregunta ¿Si consideramos solamente a los trabajadores formales que cotizan en el seguro de desempleo, cómo fue el cambio en el ratio de ingresos laborales?</w:t>
      </w:r>
    </w:p>
    <w:p w14:paraId="10BBD032" w14:textId="07619617" w:rsidR="00447888" w:rsidRDefault="00D0730E" w:rsidP="001870D5">
      <w:pPr>
        <w:pStyle w:val="ListParagraph"/>
        <w:numPr>
          <w:ilvl w:val="2"/>
          <w:numId w:val="2"/>
        </w:numPr>
        <w:tabs>
          <w:tab w:val="left" w:pos="801"/>
        </w:tabs>
        <w:spacing w:before="0"/>
        <w:ind w:left="1238" w:right="115"/>
        <w:rPr>
          <w:bCs/>
          <w:lang w:val="es-ES_tradnl"/>
        </w:rPr>
      </w:pPr>
      <w:r>
        <w:rPr>
          <w:bCs/>
          <w:lang w:val="es-ES_tradnl"/>
        </w:rPr>
        <w:t xml:space="preserve">Con respecto a la mejora en la suficiencia del sistema de pensiones, </w:t>
      </w:r>
      <w:r w:rsidR="00042CA8">
        <w:rPr>
          <w:bCs/>
          <w:lang w:val="es-ES_tradnl"/>
        </w:rPr>
        <w:t>¿Existe una mejora en la tasa de reemplazo mediana obtenida por la población</w:t>
      </w:r>
      <w:r w:rsidR="00377B4C">
        <w:rPr>
          <w:bCs/>
          <w:lang w:val="es-ES_tradnl"/>
        </w:rPr>
        <w:t>?</w:t>
      </w:r>
      <w:r w:rsidR="00042CA8">
        <w:rPr>
          <w:bCs/>
          <w:lang w:val="es-ES_tradnl"/>
        </w:rPr>
        <w:t xml:space="preserve"> ¿Cómo es esta mejora tanto para hombres como mujeres?</w:t>
      </w:r>
    </w:p>
    <w:p w14:paraId="3D3BA2AC" w14:textId="587B21ED" w:rsidR="00FA654E" w:rsidRDefault="00FA654E" w:rsidP="001870D5">
      <w:pPr>
        <w:pStyle w:val="ListParagraph"/>
        <w:numPr>
          <w:ilvl w:val="2"/>
          <w:numId w:val="2"/>
        </w:numPr>
        <w:tabs>
          <w:tab w:val="left" w:pos="801"/>
        </w:tabs>
        <w:spacing w:before="0"/>
        <w:ind w:left="1238" w:right="115"/>
        <w:rPr>
          <w:bCs/>
          <w:lang w:val="es-ES_tradnl"/>
        </w:rPr>
      </w:pPr>
      <w:r>
        <w:rPr>
          <w:bCs/>
          <w:lang w:val="es-ES_tradnl"/>
        </w:rPr>
        <w:t>Complementariamente</w:t>
      </w:r>
      <w:r w:rsidR="001601E4">
        <w:rPr>
          <w:bCs/>
          <w:lang w:val="es-ES_tradnl"/>
        </w:rPr>
        <w:t xml:space="preserve">, durante el periodo considerado ¿Se logra disminuir la cantidad de personas </w:t>
      </w:r>
      <w:r w:rsidR="00692299">
        <w:rPr>
          <w:bCs/>
          <w:lang w:val="es-ES_tradnl"/>
        </w:rPr>
        <w:t>pensionadas por vejez que se encuentran bajo la línea de la pobr</w:t>
      </w:r>
      <w:r w:rsidR="000206F3">
        <w:rPr>
          <w:bCs/>
          <w:lang w:val="es-ES_tradnl"/>
        </w:rPr>
        <w:t>e</w:t>
      </w:r>
      <w:r w:rsidR="00692299">
        <w:rPr>
          <w:bCs/>
          <w:lang w:val="es-ES_tradnl"/>
        </w:rPr>
        <w:t>za? ¿Cómo es esta mejora tanto para hombres como mujeres?</w:t>
      </w:r>
    </w:p>
    <w:p w14:paraId="3A198167" w14:textId="77777777" w:rsidR="001F668C" w:rsidRPr="004264AD" w:rsidRDefault="001F668C" w:rsidP="001870D5">
      <w:pPr>
        <w:pStyle w:val="ListParagraph"/>
        <w:numPr>
          <w:ilvl w:val="2"/>
          <w:numId w:val="2"/>
        </w:numPr>
        <w:tabs>
          <w:tab w:val="left" w:pos="801"/>
        </w:tabs>
        <w:spacing w:before="0"/>
        <w:ind w:left="1238" w:right="115"/>
        <w:rPr>
          <w:bCs/>
          <w:lang w:val="es-ES_tradnl"/>
        </w:rPr>
      </w:pPr>
      <w:r w:rsidRPr="00F82B83">
        <w:rPr>
          <w:bCs/>
          <w:lang w:val="es-ES_tradnl"/>
        </w:rPr>
        <w:t>Por otra parte, en lo que respecta al costo de medicamentos, podremos responder ¿</w:t>
      </w:r>
      <w:r>
        <w:rPr>
          <w:lang w:val="es-ES_tradnl"/>
        </w:rPr>
        <w:t>E</w:t>
      </w:r>
      <w:r w:rsidRPr="00902B7B">
        <w:rPr>
          <w:bCs/>
          <w:lang w:val="es-ES_tradnl"/>
        </w:rPr>
        <w:t>l proceso de intermediación de CENABAST ha logrado que aumente la disponibilidad de medicamentos de menor costo en las instituciones públicas y privadas?</w:t>
      </w:r>
    </w:p>
    <w:p w14:paraId="7F861E29" w14:textId="77777777" w:rsidR="001F668C" w:rsidRPr="004264AD" w:rsidRDefault="001F668C" w:rsidP="001870D5">
      <w:pPr>
        <w:pStyle w:val="ListParagraph"/>
        <w:numPr>
          <w:ilvl w:val="2"/>
          <w:numId w:val="2"/>
        </w:numPr>
        <w:tabs>
          <w:tab w:val="left" w:pos="801"/>
        </w:tabs>
        <w:spacing w:before="0"/>
        <w:ind w:left="1238" w:right="115"/>
        <w:rPr>
          <w:bCs/>
          <w:lang w:val="es-ES_tradnl"/>
        </w:rPr>
      </w:pPr>
      <w:r w:rsidRPr="004264AD">
        <w:rPr>
          <w:bCs/>
          <w:lang w:val="es-ES_tradnl"/>
        </w:rPr>
        <w:t>El mecanismo de compras centralizadas de CENABAST que extiende su cobertura a las farmacias comunales (establecimientos no comerciales o dependientes de municipios o establecimientos públicos de salud) ¿logr</w:t>
      </w:r>
      <w:r>
        <w:rPr>
          <w:bCs/>
          <w:lang w:val="es-ES_tradnl"/>
        </w:rPr>
        <w:t>ó</w:t>
      </w:r>
      <w:r w:rsidRPr="004264AD">
        <w:rPr>
          <w:bCs/>
          <w:lang w:val="es-ES_tradnl"/>
        </w:rPr>
        <w:t xml:space="preserve"> ampliar la red de distribución territorial de productos intermediados incorporando un número mayor de establecimientos adscritos?</w:t>
      </w:r>
    </w:p>
    <w:p w14:paraId="5740119D" w14:textId="77777777" w:rsidR="001F668C" w:rsidRPr="004264AD" w:rsidRDefault="001F668C" w:rsidP="001870D5">
      <w:pPr>
        <w:pStyle w:val="ListParagraph"/>
        <w:numPr>
          <w:ilvl w:val="2"/>
          <w:numId w:val="2"/>
        </w:numPr>
        <w:tabs>
          <w:tab w:val="left" w:pos="801"/>
        </w:tabs>
        <w:spacing w:before="0"/>
        <w:ind w:left="1238" w:right="115"/>
        <w:rPr>
          <w:bCs/>
          <w:lang w:val="es-ES_tradnl"/>
        </w:rPr>
      </w:pPr>
      <w:r w:rsidRPr="004264AD">
        <w:rPr>
          <w:bCs/>
          <w:lang w:val="es-ES_tradnl"/>
        </w:rPr>
        <w:t xml:space="preserve">El monto ahorrado por las farmacias privadas que compran productos a CENABAST y los venden bajo régimen de precios máximos a usuarios finales, ¿se </w:t>
      </w:r>
      <w:r>
        <w:rPr>
          <w:bCs/>
          <w:lang w:val="es-ES_tradnl"/>
        </w:rPr>
        <w:t>logró</w:t>
      </w:r>
      <w:r w:rsidRPr="004264AD">
        <w:rPr>
          <w:bCs/>
          <w:lang w:val="es-ES_tradnl"/>
        </w:rPr>
        <w:t xml:space="preserve"> mantener o incluso aumentar a pesar de la incertidumbre de las variables de mercado con las que compite el mecanismo de compras centralizadas?</w:t>
      </w:r>
    </w:p>
    <w:p w14:paraId="4C06BD8B" w14:textId="79E37228" w:rsidR="00ED4A3D" w:rsidRDefault="00F71609" w:rsidP="004A64FD">
      <w:pPr>
        <w:pStyle w:val="ListParagraph"/>
        <w:numPr>
          <w:ilvl w:val="2"/>
          <w:numId w:val="2"/>
        </w:numPr>
        <w:tabs>
          <w:tab w:val="left" w:pos="801"/>
        </w:tabs>
        <w:spacing w:before="0" w:after="120"/>
        <w:ind w:left="1238" w:right="115"/>
        <w:rPr>
          <w:bCs/>
          <w:lang w:val="es-ES_tradnl"/>
        </w:rPr>
      </w:pPr>
      <w:r>
        <w:rPr>
          <w:bCs/>
          <w:lang w:val="es-ES_tradnl"/>
        </w:rPr>
        <w:t>Finalmente, en lo que respecta al presupuesto fiscal del Estado de Chile, se busca responder si ¿Aumenta el porcentaje del presupuesto que es monitoreado por la Dirección de Presupuestos? ¿Se logran disminuir los tiempos promedios que son requeridos para el proceso de compras públicas?</w:t>
      </w:r>
    </w:p>
    <w:p w14:paraId="5DE60B37" w14:textId="6C2942E3" w:rsidR="00CF56F2" w:rsidRPr="00747B87" w:rsidRDefault="00553CFF" w:rsidP="00EB0786">
      <w:pPr>
        <w:pStyle w:val="ListParagraph"/>
        <w:numPr>
          <w:ilvl w:val="1"/>
          <w:numId w:val="2"/>
        </w:numPr>
        <w:tabs>
          <w:tab w:val="left" w:pos="801"/>
        </w:tabs>
        <w:spacing w:before="83"/>
        <w:ind w:right="111"/>
        <w:rPr>
          <w:lang w:val="es-ES_tradnl"/>
        </w:rPr>
      </w:pPr>
      <w:r w:rsidRPr="6D9A0FCD">
        <w:rPr>
          <w:b/>
          <w:lang w:val="es-ES"/>
        </w:rPr>
        <w:t>Limitaciones</w:t>
      </w:r>
      <w:r w:rsidR="004A52C7" w:rsidRPr="6D9A0FCD">
        <w:rPr>
          <w:b/>
          <w:lang w:val="es-ES"/>
        </w:rPr>
        <w:t>.</w:t>
      </w:r>
      <w:r w:rsidR="004A52C7" w:rsidRPr="6D9A0FCD">
        <w:rPr>
          <w:lang w:val="es-ES"/>
        </w:rPr>
        <w:t xml:space="preserve"> </w:t>
      </w:r>
      <w:r w:rsidRPr="6D9A0FCD">
        <w:rPr>
          <w:lang w:val="es-ES"/>
        </w:rPr>
        <w:t xml:space="preserve">No se </w:t>
      </w:r>
      <w:r w:rsidRPr="00EB0786">
        <w:rPr>
          <w:bCs/>
          <w:lang w:val="es-ES_tradnl"/>
        </w:rPr>
        <w:t>podrá</w:t>
      </w:r>
      <w:r w:rsidRPr="6D9A0FCD">
        <w:rPr>
          <w:lang w:val="es-ES"/>
        </w:rPr>
        <w:t xml:space="preserve"> </w:t>
      </w:r>
      <w:r w:rsidR="005F565E" w:rsidRPr="6D9A0FCD">
        <w:rPr>
          <w:lang w:val="es-ES"/>
        </w:rPr>
        <w:t xml:space="preserve">atribuir el logro de resultados e impactos a las acciones directas de la serie programática. </w:t>
      </w:r>
    </w:p>
    <w:p w14:paraId="3AE80EE5" w14:textId="77777777" w:rsidR="00076A46" w:rsidRPr="00747B87" w:rsidRDefault="00076A46" w:rsidP="00076A46">
      <w:pPr>
        <w:pStyle w:val="BodyText"/>
        <w:rPr>
          <w:bCs/>
          <w:lang w:val="es-ES_tradnl"/>
        </w:rPr>
      </w:pPr>
    </w:p>
    <w:p w14:paraId="7390394F" w14:textId="5BC5A698" w:rsidR="00076A46" w:rsidRPr="00747B87" w:rsidRDefault="00AC3608" w:rsidP="00747B87">
      <w:pPr>
        <w:pStyle w:val="ListParagraph"/>
        <w:numPr>
          <w:ilvl w:val="0"/>
          <w:numId w:val="8"/>
        </w:numPr>
        <w:tabs>
          <w:tab w:val="left" w:pos="4115"/>
          <w:tab w:val="left" w:pos="4116"/>
        </w:tabs>
        <w:rPr>
          <w:b/>
          <w:lang w:val="es-ES_tradnl"/>
        </w:rPr>
      </w:pPr>
      <w:r>
        <w:rPr>
          <w:b/>
          <w:lang w:val="es-ES_tradnl"/>
        </w:rPr>
        <w:t>Evaluaciones complementarias</w:t>
      </w:r>
    </w:p>
    <w:p w14:paraId="7EF38EE5" w14:textId="77777777" w:rsidR="00076A46" w:rsidRPr="00747B87" w:rsidRDefault="00076A46" w:rsidP="00076A46">
      <w:pPr>
        <w:pStyle w:val="BodyText"/>
        <w:rPr>
          <w:bCs/>
          <w:lang w:val="es-ES_tradnl"/>
        </w:rPr>
      </w:pPr>
    </w:p>
    <w:p w14:paraId="06E94E61" w14:textId="74D5BC55" w:rsidR="001D5998" w:rsidRPr="001D5998" w:rsidRDefault="00F71A17" w:rsidP="00EB0786">
      <w:pPr>
        <w:pStyle w:val="ListParagraph"/>
        <w:numPr>
          <w:ilvl w:val="1"/>
          <w:numId w:val="2"/>
        </w:numPr>
        <w:tabs>
          <w:tab w:val="left" w:pos="801"/>
        </w:tabs>
        <w:spacing w:before="83"/>
        <w:ind w:right="111"/>
        <w:rPr>
          <w:bCs/>
          <w:lang w:val="es-ES_tradnl"/>
        </w:rPr>
      </w:pPr>
      <w:r>
        <w:rPr>
          <w:b/>
          <w:lang w:val="es-ES_tradnl"/>
        </w:rPr>
        <w:lastRenderedPageBreak/>
        <w:t>Evaluación complementaria del sistema de pensiones solidarias.</w:t>
      </w:r>
      <w:r w:rsidR="000C656D">
        <w:rPr>
          <w:b/>
          <w:lang w:val="es-ES_tradnl"/>
        </w:rPr>
        <w:t xml:space="preserve"> </w:t>
      </w:r>
      <w:r w:rsidR="000C656D" w:rsidRPr="00FD3E39">
        <w:rPr>
          <w:bCs/>
          <w:lang w:val="es-ES_tradnl"/>
        </w:rPr>
        <w:t xml:space="preserve">Como parte de las medidas indicativas y activadoras de la segunda operación, se llevará a cabo una evaluación de impacto </w:t>
      </w:r>
      <w:r w:rsidR="001D5998">
        <w:rPr>
          <w:bCs/>
          <w:lang w:val="es-ES_tradnl"/>
        </w:rPr>
        <w:t xml:space="preserve">cuya </w:t>
      </w:r>
      <w:r w:rsidR="001D5998" w:rsidRPr="001D5998">
        <w:rPr>
          <w:bCs/>
          <w:lang w:val="es-ES_tradnl"/>
        </w:rPr>
        <w:t>pregunta central de evaluación sería cu</w:t>
      </w:r>
      <w:r w:rsidR="001D5998">
        <w:rPr>
          <w:bCs/>
          <w:lang w:val="es-ES_tradnl"/>
        </w:rPr>
        <w:t>á</w:t>
      </w:r>
      <w:r w:rsidR="001D5998" w:rsidRPr="001D5998">
        <w:rPr>
          <w:bCs/>
          <w:lang w:val="es-ES_tradnl"/>
        </w:rPr>
        <w:t xml:space="preserve">l ha sido el impacto del incremento de la </w:t>
      </w:r>
      <w:r w:rsidR="001D5998">
        <w:rPr>
          <w:bCs/>
          <w:lang w:val="es-ES_tradnl"/>
        </w:rPr>
        <w:t>P</w:t>
      </w:r>
      <w:r w:rsidR="001D5998" w:rsidRPr="001D5998">
        <w:rPr>
          <w:bCs/>
          <w:lang w:val="es-ES_tradnl"/>
        </w:rPr>
        <w:t xml:space="preserve">ensión </w:t>
      </w:r>
      <w:r w:rsidR="001D5998">
        <w:rPr>
          <w:bCs/>
          <w:lang w:val="es-ES_tradnl"/>
        </w:rPr>
        <w:t>B</w:t>
      </w:r>
      <w:r w:rsidR="001D5998" w:rsidRPr="001D5998">
        <w:rPr>
          <w:bCs/>
          <w:lang w:val="es-ES_tradnl"/>
        </w:rPr>
        <w:t xml:space="preserve">ásica </w:t>
      </w:r>
      <w:r w:rsidR="001D5998">
        <w:rPr>
          <w:bCs/>
          <w:lang w:val="es-ES_tradnl"/>
        </w:rPr>
        <w:t>S</w:t>
      </w:r>
      <w:r w:rsidR="001D5998" w:rsidRPr="001D5998">
        <w:rPr>
          <w:bCs/>
          <w:lang w:val="es-ES_tradnl"/>
        </w:rPr>
        <w:t xml:space="preserve">olidaria </w:t>
      </w:r>
      <w:r w:rsidR="001D5998">
        <w:rPr>
          <w:bCs/>
          <w:lang w:val="es-ES_tradnl"/>
        </w:rPr>
        <w:t xml:space="preserve">(PBS) </w:t>
      </w:r>
      <w:r w:rsidR="001D5998" w:rsidRPr="001D5998">
        <w:rPr>
          <w:bCs/>
          <w:lang w:val="es-ES_tradnl"/>
        </w:rPr>
        <w:t>en el ingreso total de los adultos mayores beneficiarios, teniendo en cuenta sus respuestas conductuales en cuanto a su participación en el mercado de trabajo</w:t>
      </w:r>
      <w:r w:rsidR="001D5998">
        <w:rPr>
          <w:bCs/>
          <w:lang w:val="es-ES_tradnl"/>
        </w:rPr>
        <w:t>,</w:t>
      </w:r>
      <w:r w:rsidR="001D5998" w:rsidRPr="001D5998">
        <w:rPr>
          <w:bCs/>
          <w:lang w:val="es-ES_tradnl"/>
        </w:rPr>
        <w:t xml:space="preserve"> así como </w:t>
      </w:r>
      <w:r w:rsidR="001D5998">
        <w:rPr>
          <w:bCs/>
          <w:lang w:val="es-ES_tradnl"/>
        </w:rPr>
        <w:t xml:space="preserve">la posible </w:t>
      </w:r>
      <w:r w:rsidR="001D5998" w:rsidRPr="001D5998">
        <w:rPr>
          <w:bCs/>
          <w:lang w:val="es-ES_tradnl"/>
        </w:rPr>
        <w:t xml:space="preserve">reasignación de recursos y transferencias dentro del hogar. </w:t>
      </w:r>
      <w:r w:rsidR="001D5998">
        <w:rPr>
          <w:bCs/>
          <w:lang w:val="es-ES_tradnl"/>
        </w:rPr>
        <w:t>Específicamente, las preguntas de evaluación serían:</w:t>
      </w:r>
    </w:p>
    <w:p w14:paraId="637500F2" w14:textId="03C4B81B" w:rsidR="0069571F" w:rsidRPr="001D5998" w:rsidRDefault="0069571F">
      <w:pPr>
        <w:pStyle w:val="ListParagraph"/>
        <w:widowControl/>
        <w:numPr>
          <w:ilvl w:val="0"/>
          <w:numId w:val="27"/>
        </w:numPr>
        <w:autoSpaceDE/>
        <w:autoSpaceDN/>
        <w:spacing w:before="0"/>
        <w:ind w:left="1440"/>
        <w:rPr>
          <w:rFonts w:eastAsia="Times New Roman"/>
          <w:lang w:val="es-ES_tradnl" w:bidi="ar-SA"/>
        </w:rPr>
      </w:pPr>
      <w:r w:rsidRPr="001D5998">
        <w:rPr>
          <w:rFonts w:eastAsia="Times New Roman"/>
          <w:lang w:val="es-ES_tradnl"/>
        </w:rPr>
        <w:t xml:space="preserve">¿Qué efectos tienen las pensiones solidarias sobre el bienestar de los adultos mayores en dimensiones más allá del ingreso, </w:t>
      </w:r>
      <w:r w:rsidR="007A2B17" w:rsidRPr="001D5998">
        <w:rPr>
          <w:rFonts w:eastAsia="Times New Roman"/>
          <w:lang w:val="es-ES_tradnl"/>
        </w:rPr>
        <w:t xml:space="preserve">tales como </w:t>
      </w:r>
      <w:r w:rsidRPr="001D5998">
        <w:rPr>
          <w:rFonts w:eastAsia="Times New Roman"/>
          <w:lang w:val="es-ES_tradnl"/>
        </w:rPr>
        <w:t>salud mental, auto estima, capacidad de decisión dentro del hogar?</w:t>
      </w:r>
    </w:p>
    <w:p w14:paraId="1AB222B3" w14:textId="77777777" w:rsidR="0069571F" w:rsidRPr="00087230" w:rsidRDefault="0069571F" w:rsidP="00920EF4">
      <w:pPr>
        <w:pStyle w:val="ListParagraph"/>
        <w:widowControl/>
        <w:numPr>
          <w:ilvl w:val="0"/>
          <w:numId w:val="27"/>
        </w:numPr>
        <w:autoSpaceDE/>
        <w:autoSpaceDN/>
        <w:spacing w:before="0"/>
        <w:ind w:left="1440"/>
        <w:rPr>
          <w:rFonts w:eastAsia="Times New Roman"/>
          <w:lang w:val="es-ES_tradnl"/>
        </w:rPr>
      </w:pPr>
      <w:r w:rsidRPr="00087230">
        <w:rPr>
          <w:rFonts w:eastAsia="Times New Roman"/>
          <w:lang w:val="es-ES_tradnl"/>
        </w:rPr>
        <w:t>¿Qué efecto tiene sobre la oferta de trabajo de adultos mayores el incremento de pensiones solidarias?</w:t>
      </w:r>
    </w:p>
    <w:p w14:paraId="3EE9FE40" w14:textId="5672E92D" w:rsidR="0069571F" w:rsidRPr="00087230" w:rsidRDefault="0069571F" w:rsidP="00920EF4">
      <w:pPr>
        <w:pStyle w:val="ListParagraph"/>
        <w:widowControl/>
        <w:numPr>
          <w:ilvl w:val="0"/>
          <w:numId w:val="27"/>
        </w:numPr>
        <w:autoSpaceDE/>
        <w:autoSpaceDN/>
        <w:spacing w:before="0"/>
        <w:ind w:left="1440"/>
        <w:rPr>
          <w:rFonts w:eastAsia="Times New Roman"/>
          <w:lang w:val="es-ES_tradnl"/>
        </w:rPr>
      </w:pPr>
      <w:r w:rsidRPr="00087230">
        <w:rPr>
          <w:rFonts w:eastAsia="Times New Roman"/>
          <w:lang w:val="es-ES_tradnl"/>
        </w:rPr>
        <w:t xml:space="preserve">¿Qué porcentaje de las pensiones solidarias se traduce en menores transferencias de la familia hacia el adulto mayor? En otras palabras, </w:t>
      </w:r>
      <w:r w:rsidR="007A2B17" w:rsidRPr="00CC306F">
        <w:rPr>
          <w:rFonts w:eastAsia="Times New Roman"/>
          <w:lang w:val="es-ES_tradnl"/>
        </w:rPr>
        <w:t>¿</w:t>
      </w:r>
      <w:r w:rsidRPr="00087230">
        <w:rPr>
          <w:rFonts w:eastAsia="Times New Roman"/>
          <w:lang w:val="es-ES_tradnl"/>
        </w:rPr>
        <w:t xml:space="preserve">hay </w:t>
      </w:r>
      <w:r w:rsidR="005F0C5F">
        <w:rPr>
          <w:rFonts w:eastAsia="Times New Roman"/>
          <w:lang w:val="es-ES_tradnl"/>
        </w:rPr>
        <w:t>traspaso de</w:t>
      </w:r>
      <w:r w:rsidRPr="00087230">
        <w:rPr>
          <w:rFonts w:eastAsia="Times New Roman"/>
          <w:lang w:val="es-ES_tradnl"/>
        </w:rPr>
        <w:t xml:space="preserve"> las pensiones solidarias a otros miembros de la familia?</w:t>
      </w:r>
    </w:p>
    <w:p w14:paraId="31CBB332" w14:textId="46A70E2D" w:rsidR="0069571F" w:rsidRDefault="0069571F" w:rsidP="00920EF4">
      <w:pPr>
        <w:pStyle w:val="ListParagraph"/>
        <w:widowControl/>
        <w:numPr>
          <w:ilvl w:val="0"/>
          <w:numId w:val="27"/>
        </w:numPr>
        <w:autoSpaceDE/>
        <w:autoSpaceDN/>
        <w:spacing w:before="0"/>
        <w:ind w:left="1440"/>
        <w:rPr>
          <w:rFonts w:eastAsia="Times New Roman"/>
          <w:lang w:val="es-ES_tradnl"/>
        </w:rPr>
      </w:pPr>
      <w:r w:rsidRPr="00087230">
        <w:rPr>
          <w:rFonts w:eastAsia="Times New Roman"/>
          <w:lang w:val="es-ES_tradnl"/>
        </w:rPr>
        <w:t>¿Cómo afecta</w:t>
      </w:r>
      <w:r w:rsidR="005F0C5F">
        <w:rPr>
          <w:rFonts w:eastAsia="Times New Roman"/>
          <w:lang w:val="es-ES_tradnl"/>
        </w:rPr>
        <w:t xml:space="preserve"> el monto de</w:t>
      </w:r>
      <w:r w:rsidRPr="00087230">
        <w:rPr>
          <w:rFonts w:eastAsia="Times New Roman"/>
          <w:lang w:val="es-ES_tradnl"/>
        </w:rPr>
        <w:t xml:space="preserve"> las pensiones solidarias a la composición del hogar? En otros contextos, incrementos de pensiones solidarias hacen que los adultos mayores se </w:t>
      </w:r>
      <w:r w:rsidR="00E31CDB">
        <w:rPr>
          <w:rFonts w:eastAsia="Times New Roman"/>
          <w:lang w:val="es-ES_tradnl"/>
        </w:rPr>
        <w:t>ubiquen</w:t>
      </w:r>
      <w:r w:rsidRPr="00087230">
        <w:rPr>
          <w:rFonts w:eastAsia="Times New Roman"/>
          <w:lang w:val="es-ES_tradnl"/>
        </w:rPr>
        <w:t xml:space="preserve"> en hogares mayores.</w:t>
      </w:r>
    </w:p>
    <w:p w14:paraId="11D7B396" w14:textId="321D7F11" w:rsidR="001D5998" w:rsidRPr="007F7FF9" w:rsidRDefault="001D5998" w:rsidP="00EB0786">
      <w:pPr>
        <w:pStyle w:val="ListParagraph"/>
        <w:numPr>
          <w:ilvl w:val="1"/>
          <w:numId w:val="2"/>
        </w:numPr>
        <w:tabs>
          <w:tab w:val="left" w:pos="801"/>
        </w:tabs>
        <w:spacing w:before="83"/>
        <w:ind w:right="111"/>
        <w:rPr>
          <w:rFonts w:eastAsia="Times New Roman"/>
          <w:highlight w:val="yellow"/>
          <w:lang w:val="es-ES_tradnl"/>
        </w:rPr>
      </w:pPr>
      <w:r w:rsidRPr="00EB0786">
        <w:rPr>
          <w:bCs/>
          <w:lang w:val="es-ES_tradnl"/>
        </w:rPr>
        <w:t xml:space="preserve">Hay dos estrategias de identificación disponibles. Por un lado, se puede identificar los efectos utilizando una estrategia de regresión discontinua explotando las diferencias en el umbral de elegibilidad de la PBS que está focalizado en el 60% de los hogares más vulnerables. Por otro lado, se puede utilizar un estimador de diferencias en diferencias a lo largo del tiempo aprovechando que los beneficios fueron introducidos secuencialmente para distintas edades. Los datos para realizar la evaluación vendrán de </w:t>
      </w:r>
      <w:r w:rsidR="007F7FF9">
        <w:rPr>
          <w:bCs/>
          <w:lang w:val="es-ES_tradnl"/>
        </w:rPr>
        <w:t>(</w:t>
      </w:r>
      <w:r w:rsidRPr="00EB0786">
        <w:rPr>
          <w:bCs/>
          <w:lang w:val="es-ES_tradnl"/>
        </w:rPr>
        <w:t xml:space="preserve">a) registros administrativos de la Superintendencia de Pensiones </w:t>
      </w:r>
      <w:r w:rsidRPr="007F7FF9">
        <w:rPr>
          <w:bCs/>
          <w:highlight w:val="yellow"/>
          <w:lang w:val="es-ES_tradnl"/>
        </w:rPr>
        <w:t xml:space="preserve">y </w:t>
      </w:r>
      <w:r w:rsidR="007F7FF9" w:rsidRPr="007F7FF9">
        <w:rPr>
          <w:bCs/>
          <w:highlight w:val="yellow"/>
          <w:lang w:val="es-ES_tradnl"/>
        </w:rPr>
        <w:t>(US$</w:t>
      </w:r>
      <w:r w:rsidRPr="007F7FF9">
        <w:rPr>
          <w:bCs/>
          <w:highlight w:val="yellow"/>
          <w:lang w:val="es-ES_tradnl"/>
        </w:rPr>
        <w:t>20.000, aproximadamente).</w:t>
      </w:r>
    </w:p>
    <w:p w14:paraId="6F3E7514" w14:textId="1C5B3015" w:rsidR="00AC485B" w:rsidRPr="00FD3E39" w:rsidRDefault="00E31CDB" w:rsidP="00EB0786">
      <w:pPr>
        <w:pStyle w:val="ListParagraph"/>
        <w:numPr>
          <w:ilvl w:val="1"/>
          <w:numId w:val="2"/>
        </w:numPr>
        <w:tabs>
          <w:tab w:val="left" w:pos="801"/>
        </w:tabs>
        <w:spacing w:before="83"/>
        <w:ind w:right="111"/>
        <w:rPr>
          <w:bCs/>
          <w:lang w:val="es-ES_tradnl"/>
        </w:rPr>
      </w:pPr>
      <w:r w:rsidRPr="00920EF4">
        <w:rPr>
          <w:b/>
          <w:lang w:val="es-ES_tradnl"/>
        </w:rPr>
        <w:t>Evaluación complementaria del sistema de salud.</w:t>
      </w:r>
      <w:r w:rsidR="001F668C" w:rsidRPr="00920EF4">
        <w:rPr>
          <w:b/>
          <w:lang w:val="es-ES_tradnl"/>
        </w:rPr>
        <w:t xml:space="preserve"> </w:t>
      </w:r>
      <w:r w:rsidR="00AC485B" w:rsidRPr="00920EF4">
        <w:rPr>
          <w:bCs/>
          <w:lang w:val="es-ES_tradnl"/>
        </w:rPr>
        <w:t>Para</w:t>
      </w:r>
      <w:r w:rsidR="00AC485B" w:rsidRPr="00FD3E39">
        <w:rPr>
          <w:bCs/>
          <w:lang w:val="es-ES_tradnl"/>
        </w:rPr>
        <w:t xml:space="preserve"> una estimación más precisa sobre el efecto en gasto de bolsillo generado por el mecanismo de compras intermediadas y su distribución a farmacias privadas con fijación de precios máximos de venta a usuarios finales, sería necesario hacer estudios con levantamientos específicos de información que fuentes regulares como la Encuesta de Presupuestos Familiares (INE) o la Encuesta de Caracterización Socioeconómica Nacional (Ministerio de Desarrollo Social y Familias) no alcanzan a recoger. Por esta razón se trabajará en un modelamiento de datos en que el Sistema de Información Observatorio CENABAST pueda registrar mejor información de precios de venta recogidos de las fiscalizaciones a las farmacias privadas en convenio y que se obligan a respetar los precios techo de venta a consumidor final. Adicionalmente, la Oficina de Información Económica en Salud de la División de Planificación Sanitaria de la Subsecretaría de Salud Pública podrá replicar el análisis del gasto de bolsillo en salud de los hogares, una vez que estén disponibles en 2022-2023 los resultados de la IX</w:t>
      </w:r>
      <w:r w:rsidR="00A54194">
        <w:rPr>
          <w:bCs/>
          <w:lang w:val="es-ES_tradnl"/>
        </w:rPr>
        <w:t> </w:t>
      </w:r>
      <w:r w:rsidR="00AC485B" w:rsidRPr="00FD3E39">
        <w:rPr>
          <w:bCs/>
          <w:lang w:val="es-ES_tradnl"/>
        </w:rPr>
        <w:t>Encuesta de Presupuestos Familiares realizada por el Instituto Nacional de estadísticas.</w:t>
      </w:r>
    </w:p>
    <w:p w14:paraId="2BD640FC" w14:textId="1C412F51" w:rsidR="00076A46" w:rsidRPr="00FD3E39" w:rsidRDefault="00F71A17" w:rsidP="00FD3E39">
      <w:pPr>
        <w:pStyle w:val="ListParagraph"/>
        <w:numPr>
          <w:ilvl w:val="1"/>
          <w:numId w:val="2"/>
        </w:numPr>
        <w:tabs>
          <w:tab w:val="left" w:pos="801"/>
        </w:tabs>
        <w:ind w:right="115"/>
        <w:rPr>
          <w:bCs/>
          <w:lang w:val="es-ES_tradnl"/>
        </w:rPr>
      </w:pPr>
      <w:r w:rsidRPr="00FD3E39">
        <w:rPr>
          <w:b/>
          <w:lang w:val="es-ES"/>
        </w:rPr>
        <w:t xml:space="preserve">Análisis cualitativo. </w:t>
      </w:r>
      <w:r w:rsidR="004475B9" w:rsidRPr="00FD3E39">
        <w:rPr>
          <w:lang w:val="es-ES"/>
        </w:rPr>
        <w:t xml:space="preserve">Se llevará a </w:t>
      </w:r>
      <w:r w:rsidR="00E41503" w:rsidRPr="00FD3E39">
        <w:rPr>
          <w:lang w:val="es-ES"/>
        </w:rPr>
        <w:t xml:space="preserve">cabo </w:t>
      </w:r>
      <w:r w:rsidR="00076A46" w:rsidRPr="00FD3E39">
        <w:rPr>
          <w:lang w:val="es-ES"/>
        </w:rPr>
        <w:t>una estrategia de levantamiento de información mediante técnicas cualitativas como la observación directa, entrevistas a profundidad</w:t>
      </w:r>
      <w:r w:rsidR="00AD2F41" w:rsidRPr="00FD3E39">
        <w:rPr>
          <w:lang w:val="es-ES"/>
        </w:rPr>
        <w:t>,</w:t>
      </w:r>
      <w:r w:rsidR="00076A46" w:rsidRPr="00FD3E39">
        <w:rPr>
          <w:lang w:val="es-ES"/>
        </w:rPr>
        <w:t xml:space="preserve"> </w:t>
      </w:r>
      <w:r w:rsidR="003B76AB" w:rsidRPr="00FD3E39">
        <w:rPr>
          <w:lang w:val="es-ES"/>
        </w:rPr>
        <w:t>semiestructuradas</w:t>
      </w:r>
      <w:r w:rsidR="00AD2F41" w:rsidRPr="00FD3E39">
        <w:rPr>
          <w:lang w:val="es-ES"/>
        </w:rPr>
        <w:t xml:space="preserve"> y/o </w:t>
      </w:r>
      <w:r w:rsidR="00076A46" w:rsidRPr="00FD3E39">
        <w:rPr>
          <w:lang w:val="es-ES"/>
        </w:rPr>
        <w:t xml:space="preserve">y grupos focales. El diseño y la aplicación de los instrumentos para el levantamiento de la información considerarán a los actores que intervienen en la </w:t>
      </w:r>
      <w:r w:rsidR="005204E6" w:rsidRPr="00FD3E39">
        <w:rPr>
          <w:lang w:val="es-ES"/>
        </w:rPr>
        <w:t>implementación de la</w:t>
      </w:r>
      <w:r w:rsidR="00E41503" w:rsidRPr="00FD3E39">
        <w:rPr>
          <w:lang w:val="es-ES"/>
        </w:rPr>
        <w:t>s medidas de política en cada sector</w:t>
      </w:r>
      <w:r w:rsidR="005204E6" w:rsidRPr="00FD3E39">
        <w:rPr>
          <w:lang w:val="es-ES"/>
        </w:rPr>
        <w:t>.</w:t>
      </w:r>
      <w:r w:rsidR="00AC485B" w:rsidRPr="00FD3E39">
        <w:rPr>
          <w:lang w:val="es-ES"/>
        </w:rPr>
        <w:t xml:space="preserve"> </w:t>
      </w:r>
      <w:r w:rsidR="00076A46" w:rsidRPr="00FD3E39">
        <w:rPr>
          <w:lang w:val="es-ES"/>
        </w:rPr>
        <w:t xml:space="preserve">La realización de entrevistas a profundidad, </w:t>
      </w:r>
      <w:r w:rsidR="003B76AB" w:rsidRPr="00FD3E39">
        <w:rPr>
          <w:lang w:val="es-ES"/>
        </w:rPr>
        <w:t>semiestructuradas</w:t>
      </w:r>
      <w:r w:rsidR="00076A46" w:rsidRPr="00FD3E39">
        <w:rPr>
          <w:lang w:val="es-ES"/>
        </w:rPr>
        <w:t xml:space="preserve"> y/o grupos focales con actores clave permitirá obtener información sobre la implementación de</w:t>
      </w:r>
      <w:r w:rsidR="003B76AB" w:rsidRPr="00FD3E39">
        <w:rPr>
          <w:lang w:val="es-ES"/>
        </w:rPr>
        <w:t xml:space="preserve"> las medidas </w:t>
      </w:r>
      <w:r w:rsidR="003B76AB" w:rsidRPr="00FD3E39">
        <w:rPr>
          <w:lang w:val="es-ES"/>
        </w:rPr>
        <w:lastRenderedPageBreak/>
        <w:t xml:space="preserve">de política para </w:t>
      </w:r>
      <w:r w:rsidR="004D47CB" w:rsidRPr="00FD3E39">
        <w:rPr>
          <w:lang w:val="es-ES"/>
        </w:rPr>
        <w:t>incluir en el Informe de Finalización del Proyecto (PCR) e identificar lecciones aprendidas</w:t>
      </w:r>
      <w:r w:rsidR="00076A46" w:rsidRPr="00FD3E39">
        <w:rPr>
          <w:lang w:val="es-ES"/>
        </w:rPr>
        <w:t>.</w:t>
      </w:r>
    </w:p>
    <w:p w14:paraId="73F35988" w14:textId="070C127B" w:rsidR="00733E6D" w:rsidRPr="00747B87" w:rsidRDefault="009E4D55" w:rsidP="00C77D08">
      <w:pPr>
        <w:pStyle w:val="ListParagraph"/>
        <w:numPr>
          <w:ilvl w:val="1"/>
          <w:numId w:val="2"/>
        </w:numPr>
        <w:tabs>
          <w:tab w:val="left" w:pos="801"/>
        </w:tabs>
        <w:ind w:right="115"/>
        <w:rPr>
          <w:lang w:val="es-ES_tradnl"/>
        </w:rPr>
      </w:pPr>
      <w:r w:rsidRPr="6D9A0FCD">
        <w:rPr>
          <w:b/>
          <w:lang w:val="es-ES"/>
        </w:rPr>
        <w:t>Planificación y presupuesto del programa de evaluación</w:t>
      </w:r>
      <w:r w:rsidRPr="6D9A0FCD">
        <w:rPr>
          <w:lang w:val="es-ES"/>
        </w:rPr>
        <w:t>. En la</w:t>
      </w:r>
      <w:r w:rsidR="007F7FF9">
        <w:rPr>
          <w:lang w:val="es-ES"/>
        </w:rPr>
        <w:t> </w:t>
      </w:r>
      <w:r w:rsidRPr="6D9A0FCD">
        <w:rPr>
          <w:lang w:val="es-ES"/>
        </w:rPr>
        <w:t xml:space="preserve">Tabla III.B, se presenta el plan de trabajo para la implementación del Plan de Evaluación. </w:t>
      </w:r>
      <w:r w:rsidR="002B1708" w:rsidRPr="6D9A0FCD">
        <w:rPr>
          <w:lang w:val="es-ES"/>
        </w:rPr>
        <w:t>La evaluación de los indicadores de impacto no requiere presupuesto, ya que se trata de información que será de carácter público o asequible a través del Organismo Ejecutor</w:t>
      </w:r>
      <w:r w:rsidR="000F2CC2" w:rsidRPr="6D9A0FCD">
        <w:rPr>
          <w:lang w:val="es-ES"/>
        </w:rPr>
        <w:t xml:space="preserve">. El análisis cualitativo requerirá recursos </w:t>
      </w:r>
      <w:r w:rsidR="000E6028" w:rsidRPr="6D9A0FCD">
        <w:rPr>
          <w:lang w:val="es-ES"/>
        </w:rPr>
        <w:t>para el</w:t>
      </w:r>
      <w:r w:rsidR="000F2CC2" w:rsidRPr="6D9A0FCD">
        <w:rPr>
          <w:lang w:val="es-ES"/>
        </w:rPr>
        <w:t xml:space="preserve"> diseño, implementación y análisis de </w:t>
      </w:r>
      <w:r w:rsidR="000E6028" w:rsidRPr="6D9A0FCD">
        <w:rPr>
          <w:lang w:val="es-ES"/>
        </w:rPr>
        <w:t xml:space="preserve">las </w:t>
      </w:r>
      <w:r w:rsidR="000F2CC2" w:rsidRPr="6D9A0FCD">
        <w:rPr>
          <w:lang w:val="es-ES"/>
        </w:rPr>
        <w:t>entrevistas a profundidad, semiestructuradas y/o y grupos focales</w:t>
      </w:r>
      <w:r w:rsidRPr="6D9A0FCD">
        <w:rPr>
          <w:lang w:val="es-ES"/>
        </w:rPr>
        <w:t>.</w:t>
      </w:r>
    </w:p>
    <w:p w14:paraId="6392D919" w14:textId="77777777" w:rsidR="00FE0E68" w:rsidRPr="00747B87" w:rsidRDefault="00FE0E68">
      <w:pPr>
        <w:pStyle w:val="Heading1"/>
        <w:spacing w:before="120"/>
        <w:ind w:left="1770" w:right="1087"/>
        <w:rPr>
          <w:lang w:val="es-ES_tradnl"/>
        </w:rPr>
      </w:pPr>
    </w:p>
    <w:p w14:paraId="59BEB928" w14:textId="57EFE4EE" w:rsidR="00733E6D" w:rsidRPr="007F7FF9" w:rsidRDefault="009E4D55">
      <w:pPr>
        <w:pStyle w:val="Heading1"/>
        <w:spacing w:before="120"/>
        <w:ind w:left="1770" w:right="1087"/>
        <w:rPr>
          <w:lang w:val="es-ES_tradnl"/>
        </w:rPr>
      </w:pPr>
      <w:r w:rsidRPr="007F7FF9">
        <w:rPr>
          <w:lang w:val="es-ES_tradnl"/>
        </w:rPr>
        <w:t>Tabla III.B</w:t>
      </w:r>
    </w:p>
    <w:p w14:paraId="04D20C07" w14:textId="77777777" w:rsidR="00733E6D" w:rsidRPr="007F7FF9" w:rsidRDefault="009E4D55">
      <w:pPr>
        <w:spacing w:before="1"/>
        <w:ind w:left="1771" w:right="1087"/>
        <w:jc w:val="center"/>
        <w:rPr>
          <w:b/>
          <w:sz w:val="18"/>
          <w:szCs w:val="18"/>
          <w:lang w:val="es-ES_tradnl"/>
        </w:rPr>
      </w:pPr>
      <w:r w:rsidRPr="007F7FF9">
        <w:rPr>
          <w:b/>
          <w:sz w:val="18"/>
          <w:szCs w:val="18"/>
          <w:lang w:val="es-ES_tradnl"/>
        </w:rPr>
        <w:t>Planificación y Presupuesto del Programa de Evaluación</w:t>
      </w:r>
    </w:p>
    <w:p w14:paraId="21EC2CD0" w14:textId="77777777" w:rsidR="00733E6D" w:rsidRPr="007F7FF9" w:rsidRDefault="00733E6D" w:rsidP="00FE0E68">
      <w:pPr>
        <w:pStyle w:val="BodyText"/>
        <w:keepNext/>
        <w:keepLines/>
        <w:spacing w:before="3"/>
        <w:rPr>
          <w:sz w:val="18"/>
          <w:szCs w:val="18"/>
          <w:lang w:val="es-ES_tradnl"/>
        </w:rPr>
      </w:pPr>
    </w:p>
    <w:tbl>
      <w:tblPr>
        <w:tblW w:w="0" w:type="auto"/>
        <w:tblInd w:w="9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06"/>
        <w:gridCol w:w="307"/>
        <w:gridCol w:w="386"/>
        <w:gridCol w:w="266"/>
        <w:gridCol w:w="318"/>
        <w:gridCol w:w="765"/>
        <w:gridCol w:w="765"/>
        <w:gridCol w:w="2150"/>
      </w:tblGrid>
      <w:tr w:rsidR="00176A98" w:rsidRPr="007F7FF9" w14:paraId="619D1362" w14:textId="77777777" w:rsidTr="007B168A">
        <w:trPr>
          <w:trHeight w:val="302"/>
        </w:trPr>
        <w:tc>
          <w:tcPr>
            <w:tcW w:w="2806" w:type="dxa"/>
            <w:shd w:val="clear" w:color="auto" w:fill="8DB4E1"/>
          </w:tcPr>
          <w:p w14:paraId="6BC8E57B" w14:textId="77777777" w:rsidR="00176A98" w:rsidRPr="007F7FF9" w:rsidRDefault="00176A98" w:rsidP="00950FE3">
            <w:pPr>
              <w:pStyle w:val="TableParagraph"/>
              <w:keepNext/>
              <w:keepLines/>
              <w:spacing w:before="44"/>
              <w:ind w:left="898"/>
              <w:rPr>
                <w:b/>
                <w:sz w:val="18"/>
                <w:szCs w:val="18"/>
                <w:lang w:val="es-ES_tradnl"/>
              </w:rPr>
            </w:pPr>
            <w:r w:rsidRPr="007F7FF9">
              <w:rPr>
                <w:b/>
                <w:sz w:val="18"/>
                <w:szCs w:val="18"/>
                <w:lang w:val="es-ES_tradnl"/>
              </w:rPr>
              <w:t>Actividades</w:t>
            </w:r>
          </w:p>
        </w:tc>
        <w:tc>
          <w:tcPr>
            <w:tcW w:w="1277" w:type="dxa"/>
            <w:gridSpan w:val="4"/>
            <w:shd w:val="clear" w:color="auto" w:fill="8DB4E1"/>
          </w:tcPr>
          <w:p w14:paraId="15188E48" w14:textId="77777777" w:rsidR="00176A98" w:rsidRPr="007F7FF9" w:rsidRDefault="00176A98" w:rsidP="00950FE3">
            <w:pPr>
              <w:pStyle w:val="TableParagraph"/>
              <w:keepNext/>
              <w:keepLines/>
              <w:spacing w:before="44"/>
              <w:ind w:left="417" w:right="408"/>
              <w:jc w:val="center"/>
              <w:rPr>
                <w:b/>
                <w:sz w:val="18"/>
                <w:szCs w:val="18"/>
                <w:lang w:val="es-ES_tradnl"/>
              </w:rPr>
            </w:pPr>
            <w:r w:rsidRPr="007F7FF9">
              <w:rPr>
                <w:b/>
                <w:sz w:val="18"/>
                <w:szCs w:val="18"/>
                <w:lang w:val="es-ES_tradnl"/>
              </w:rPr>
              <w:t>2023</w:t>
            </w:r>
          </w:p>
        </w:tc>
        <w:tc>
          <w:tcPr>
            <w:tcW w:w="765" w:type="dxa"/>
            <w:shd w:val="clear" w:color="auto" w:fill="8DB4E1"/>
          </w:tcPr>
          <w:p w14:paraId="233642CD" w14:textId="7CF9E08A" w:rsidR="00176A98" w:rsidRPr="007F7FF9" w:rsidRDefault="00176A98" w:rsidP="00950FE3">
            <w:pPr>
              <w:pStyle w:val="TableParagraph"/>
              <w:keepNext/>
              <w:keepLines/>
              <w:spacing w:before="44"/>
              <w:ind w:left="129"/>
              <w:rPr>
                <w:b/>
                <w:sz w:val="18"/>
                <w:szCs w:val="18"/>
                <w:lang w:val="es-ES_tradnl"/>
              </w:rPr>
            </w:pPr>
            <w:r w:rsidRPr="007F7FF9">
              <w:rPr>
                <w:b/>
                <w:sz w:val="18"/>
                <w:szCs w:val="18"/>
                <w:lang w:val="es-ES_tradnl"/>
              </w:rPr>
              <w:t>2024</w:t>
            </w:r>
          </w:p>
        </w:tc>
        <w:tc>
          <w:tcPr>
            <w:tcW w:w="765" w:type="dxa"/>
            <w:shd w:val="clear" w:color="auto" w:fill="8DB4E1"/>
          </w:tcPr>
          <w:p w14:paraId="6A171787" w14:textId="2243EF0B" w:rsidR="00176A98" w:rsidRPr="007F7FF9" w:rsidRDefault="00176A98" w:rsidP="00950FE3">
            <w:pPr>
              <w:pStyle w:val="TableParagraph"/>
              <w:keepNext/>
              <w:keepLines/>
              <w:spacing w:before="44"/>
              <w:ind w:left="129"/>
              <w:rPr>
                <w:b/>
                <w:sz w:val="18"/>
                <w:szCs w:val="18"/>
                <w:lang w:val="es-ES_tradnl"/>
              </w:rPr>
            </w:pPr>
            <w:r w:rsidRPr="007F7FF9">
              <w:rPr>
                <w:b/>
                <w:sz w:val="18"/>
                <w:szCs w:val="18"/>
                <w:lang w:val="es-ES_tradnl"/>
              </w:rPr>
              <w:t>Costo</w:t>
            </w:r>
          </w:p>
        </w:tc>
        <w:tc>
          <w:tcPr>
            <w:tcW w:w="2150" w:type="dxa"/>
            <w:shd w:val="clear" w:color="auto" w:fill="8DB4E1"/>
          </w:tcPr>
          <w:p w14:paraId="12EE78CD" w14:textId="77777777" w:rsidR="00176A98" w:rsidRPr="007F7FF9" w:rsidRDefault="00176A98" w:rsidP="00950FE3">
            <w:pPr>
              <w:pStyle w:val="TableParagraph"/>
              <w:keepNext/>
              <w:keepLines/>
              <w:spacing w:before="44"/>
              <w:ind w:left="120"/>
              <w:rPr>
                <w:b/>
                <w:sz w:val="18"/>
                <w:szCs w:val="18"/>
                <w:lang w:val="es-ES_tradnl"/>
              </w:rPr>
            </w:pPr>
            <w:r w:rsidRPr="007F7FF9">
              <w:rPr>
                <w:b/>
                <w:sz w:val="18"/>
                <w:szCs w:val="18"/>
                <w:lang w:val="es-ES_tradnl"/>
              </w:rPr>
              <w:t>Fuente financiamiento</w:t>
            </w:r>
          </w:p>
        </w:tc>
      </w:tr>
      <w:tr w:rsidR="00176A98" w:rsidRPr="007F7FF9" w14:paraId="499BD25E" w14:textId="77777777" w:rsidTr="00C5427F">
        <w:trPr>
          <w:trHeight w:val="773"/>
        </w:trPr>
        <w:tc>
          <w:tcPr>
            <w:tcW w:w="2806" w:type="dxa"/>
          </w:tcPr>
          <w:p w14:paraId="0D75FD24" w14:textId="14ADC9D7" w:rsidR="00176A98" w:rsidRPr="007F7FF9" w:rsidRDefault="00176A98" w:rsidP="00414F67">
            <w:pPr>
              <w:pStyle w:val="TableParagraph"/>
              <w:keepNext/>
              <w:keepLines/>
              <w:spacing w:line="276" w:lineRule="auto"/>
              <w:ind w:left="107" w:right="87"/>
              <w:rPr>
                <w:sz w:val="18"/>
                <w:szCs w:val="18"/>
                <w:lang w:val="es-ES_tradnl"/>
              </w:rPr>
            </w:pPr>
            <w:r w:rsidRPr="007F7FF9">
              <w:rPr>
                <w:sz w:val="18"/>
                <w:szCs w:val="18"/>
                <w:lang w:val="es-ES_tradnl"/>
              </w:rPr>
              <w:t>Consultor para elaboración de evaluación reflexiva</w:t>
            </w:r>
          </w:p>
        </w:tc>
        <w:tc>
          <w:tcPr>
            <w:tcW w:w="307" w:type="dxa"/>
          </w:tcPr>
          <w:p w14:paraId="027D0BC0" w14:textId="126185F6" w:rsidR="00176A98" w:rsidRPr="007F7FF9" w:rsidRDefault="00176A98" w:rsidP="00C5427F">
            <w:pPr>
              <w:pStyle w:val="TableParagraph"/>
              <w:keepNext/>
              <w:keepLines/>
              <w:spacing w:line="206" w:lineRule="exact"/>
              <w:ind w:left="108"/>
              <w:jc w:val="center"/>
              <w:rPr>
                <w:sz w:val="18"/>
                <w:szCs w:val="18"/>
                <w:lang w:val="es-ES_tradnl"/>
              </w:rPr>
            </w:pPr>
          </w:p>
        </w:tc>
        <w:tc>
          <w:tcPr>
            <w:tcW w:w="386" w:type="dxa"/>
          </w:tcPr>
          <w:p w14:paraId="123864AC" w14:textId="100E5F0F" w:rsidR="00176A98" w:rsidRPr="007F7FF9" w:rsidRDefault="00176A98" w:rsidP="00C5427F">
            <w:pPr>
              <w:pStyle w:val="TableParagraph"/>
              <w:keepNext/>
              <w:keepLines/>
              <w:spacing w:line="206" w:lineRule="exact"/>
              <w:ind w:left="108"/>
              <w:jc w:val="center"/>
              <w:rPr>
                <w:sz w:val="18"/>
                <w:szCs w:val="18"/>
                <w:lang w:val="es-ES_tradnl"/>
              </w:rPr>
            </w:pPr>
          </w:p>
        </w:tc>
        <w:tc>
          <w:tcPr>
            <w:tcW w:w="266" w:type="dxa"/>
          </w:tcPr>
          <w:p w14:paraId="187ADC80" w14:textId="4DC21B65" w:rsidR="00176A98" w:rsidRPr="007F7FF9" w:rsidRDefault="00176A98" w:rsidP="00C5427F">
            <w:pPr>
              <w:pStyle w:val="TableParagraph"/>
              <w:keepNext/>
              <w:keepLines/>
              <w:jc w:val="center"/>
              <w:rPr>
                <w:sz w:val="18"/>
                <w:szCs w:val="18"/>
                <w:lang w:val="es-ES_tradnl"/>
              </w:rPr>
            </w:pPr>
            <w:r w:rsidRPr="007F7FF9">
              <w:rPr>
                <w:sz w:val="18"/>
                <w:szCs w:val="18"/>
                <w:lang w:val="es-ES_tradnl"/>
              </w:rPr>
              <w:t>x</w:t>
            </w:r>
          </w:p>
        </w:tc>
        <w:tc>
          <w:tcPr>
            <w:tcW w:w="318" w:type="dxa"/>
          </w:tcPr>
          <w:p w14:paraId="3C69E5F4" w14:textId="2AA1BD72" w:rsidR="00176A98" w:rsidRPr="007F7FF9" w:rsidRDefault="00176A98" w:rsidP="00C5427F">
            <w:pPr>
              <w:pStyle w:val="TableParagraph"/>
              <w:keepNext/>
              <w:keepLines/>
              <w:jc w:val="center"/>
              <w:rPr>
                <w:sz w:val="18"/>
                <w:szCs w:val="18"/>
                <w:lang w:val="es-ES_tradnl"/>
              </w:rPr>
            </w:pPr>
            <w:r w:rsidRPr="007F7FF9">
              <w:rPr>
                <w:sz w:val="18"/>
                <w:szCs w:val="18"/>
                <w:lang w:val="es-ES_tradnl"/>
              </w:rPr>
              <w:t>x</w:t>
            </w:r>
          </w:p>
        </w:tc>
        <w:tc>
          <w:tcPr>
            <w:tcW w:w="765" w:type="dxa"/>
          </w:tcPr>
          <w:p w14:paraId="0650E051" w14:textId="1927F72F" w:rsidR="00176A98" w:rsidRPr="007F7FF9" w:rsidRDefault="00176A98" w:rsidP="00C5427F">
            <w:pPr>
              <w:pStyle w:val="TableParagraph"/>
              <w:keepNext/>
              <w:keepLines/>
              <w:spacing w:line="206" w:lineRule="exact"/>
              <w:ind w:left="110"/>
              <w:jc w:val="center"/>
              <w:rPr>
                <w:sz w:val="18"/>
                <w:szCs w:val="18"/>
                <w:lang w:val="es-ES_tradnl"/>
              </w:rPr>
            </w:pPr>
            <w:r w:rsidRPr="007F7FF9">
              <w:rPr>
                <w:sz w:val="18"/>
                <w:szCs w:val="18"/>
                <w:lang w:val="es-ES_tradnl"/>
              </w:rPr>
              <w:t>x</w:t>
            </w:r>
          </w:p>
        </w:tc>
        <w:tc>
          <w:tcPr>
            <w:tcW w:w="765" w:type="dxa"/>
          </w:tcPr>
          <w:p w14:paraId="45A7981C" w14:textId="038AFE77" w:rsidR="00176A98" w:rsidRPr="007F7FF9" w:rsidRDefault="00176A98" w:rsidP="00414F67">
            <w:pPr>
              <w:pStyle w:val="TableParagraph"/>
              <w:keepNext/>
              <w:keepLines/>
              <w:spacing w:line="206" w:lineRule="exact"/>
              <w:ind w:left="110"/>
              <w:rPr>
                <w:sz w:val="18"/>
                <w:szCs w:val="18"/>
                <w:lang w:val="es-ES_tradnl"/>
              </w:rPr>
            </w:pPr>
            <w:r w:rsidRPr="007F7FF9">
              <w:rPr>
                <w:sz w:val="18"/>
                <w:szCs w:val="18"/>
                <w:lang w:val="es-ES_tradnl"/>
              </w:rPr>
              <w:t>5.000</w:t>
            </w:r>
          </w:p>
        </w:tc>
        <w:tc>
          <w:tcPr>
            <w:tcW w:w="2150" w:type="dxa"/>
          </w:tcPr>
          <w:p w14:paraId="4983352D" w14:textId="77777777" w:rsidR="00176A98" w:rsidRPr="007F7FF9" w:rsidRDefault="00176A98" w:rsidP="00414F67">
            <w:pPr>
              <w:pStyle w:val="TableParagraph"/>
              <w:keepNext/>
              <w:keepLines/>
              <w:spacing w:line="276" w:lineRule="auto"/>
              <w:ind w:left="110" w:right="339"/>
              <w:rPr>
                <w:sz w:val="18"/>
                <w:szCs w:val="18"/>
                <w:lang w:val="es-ES_tradnl"/>
              </w:rPr>
            </w:pPr>
            <w:r w:rsidRPr="007F7FF9">
              <w:rPr>
                <w:sz w:val="18"/>
                <w:szCs w:val="18"/>
                <w:lang w:val="es-ES_tradnl"/>
              </w:rPr>
              <w:t>Recursos transaccionales y de preparación del PCR</w:t>
            </w:r>
          </w:p>
        </w:tc>
      </w:tr>
      <w:tr w:rsidR="00176A98" w:rsidRPr="007F7FF9" w14:paraId="33D42506" w14:textId="77777777" w:rsidTr="007B168A">
        <w:trPr>
          <w:trHeight w:val="1190"/>
        </w:trPr>
        <w:tc>
          <w:tcPr>
            <w:tcW w:w="2806" w:type="dxa"/>
          </w:tcPr>
          <w:p w14:paraId="5147B1B1" w14:textId="10E1255F" w:rsidR="00176A98" w:rsidRPr="007F7FF9" w:rsidRDefault="00176A98" w:rsidP="00176A98">
            <w:pPr>
              <w:pStyle w:val="TableParagraph"/>
              <w:keepNext/>
              <w:keepLines/>
              <w:spacing w:line="276" w:lineRule="auto"/>
              <w:ind w:left="107" w:right="87"/>
              <w:rPr>
                <w:sz w:val="18"/>
                <w:szCs w:val="18"/>
                <w:lang w:val="es-ES_tradnl"/>
              </w:rPr>
            </w:pPr>
            <w:r w:rsidRPr="007F7FF9">
              <w:rPr>
                <w:sz w:val="18"/>
                <w:szCs w:val="18"/>
                <w:lang w:val="es-ES_tradnl"/>
              </w:rPr>
              <w:t>Consultor para diseño, implementación y análisis de las entrevistas a profundidad, semiestructuradas y/o y grupos focales.</w:t>
            </w:r>
          </w:p>
        </w:tc>
        <w:tc>
          <w:tcPr>
            <w:tcW w:w="307" w:type="dxa"/>
          </w:tcPr>
          <w:p w14:paraId="4678A772" w14:textId="0BC0E99B" w:rsidR="00176A98" w:rsidRPr="007F7FF9" w:rsidRDefault="00176A98" w:rsidP="00C5427F">
            <w:pPr>
              <w:pStyle w:val="TableParagraph"/>
              <w:keepNext/>
              <w:keepLines/>
              <w:spacing w:line="206" w:lineRule="exact"/>
              <w:ind w:left="108"/>
              <w:jc w:val="center"/>
              <w:rPr>
                <w:sz w:val="18"/>
                <w:szCs w:val="18"/>
                <w:lang w:val="es-ES_tradnl"/>
              </w:rPr>
            </w:pPr>
          </w:p>
        </w:tc>
        <w:tc>
          <w:tcPr>
            <w:tcW w:w="386" w:type="dxa"/>
          </w:tcPr>
          <w:p w14:paraId="1DBC9995" w14:textId="02CE951C" w:rsidR="00176A98" w:rsidRPr="007F7FF9" w:rsidRDefault="00176A98" w:rsidP="00C5427F">
            <w:pPr>
              <w:pStyle w:val="TableParagraph"/>
              <w:keepNext/>
              <w:keepLines/>
              <w:spacing w:line="206" w:lineRule="exact"/>
              <w:ind w:left="108"/>
              <w:jc w:val="center"/>
              <w:rPr>
                <w:sz w:val="18"/>
                <w:szCs w:val="18"/>
                <w:lang w:val="es-ES_tradnl"/>
              </w:rPr>
            </w:pPr>
          </w:p>
        </w:tc>
        <w:tc>
          <w:tcPr>
            <w:tcW w:w="266" w:type="dxa"/>
          </w:tcPr>
          <w:p w14:paraId="675CA272" w14:textId="5841DFC1" w:rsidR="00176A98" w:rsidRPr="007F7FF9" w:rsidRDefault="00176A98" w:rsidP="00C5427F">
            <w:pPr>
              <w:pStyle w:val="TableParagraph"/>
              <w:keepNext/>
              <w:keepLines/>
              <w:jc w:val="center"/>
              <w:rPr>
                <w:sz w:val="18"/>
                <w:szCs w:val="18"/>
                <w:lang w:val="es-ES_tradnl"/>
              </w:rPr>
            </w:pPr>
            <w:r w:rsidRPr="007F7FF9">
              <w:rPr>
                <w:sz w:val="18"/>
                <w:szCs w:val="18"/>
                <w:lang w:val="es-ES_tradnl"/>
              </w:rPr>
              <w:t>x</w:t>
            </w:r>
          </w:p>
        </w:tc>
        <w:tc>
          <w:tcPr>
            <w:tcW w:w="318" w:type="dxa"/>
          </w:tcPr>
          <w:p w14:paraId="67D0EDE4" w14:textId="7231D144" w:rsidR="00176A98" w:rsidRPr="007F7FF9" w:rsidRDefault="00176A98" w:rsidP="00C5427F">
            <w:pPr>
              <w:pStyle w:val="TableParagraph"/>
              <w:keepNext/>
              <w:keepLines/>
              <w:jc w:val="center"/>
              <w:rPr>
                <w:sz w:val="18"/>
                <w:szCs w:val="18"/>
                <w:lang w:val="es-ES_tradnl"/>
              </w:rPr>
            </w:pPr>
            <w:r w:rsidRPr="007F7FF9">
              <w:rPr>
                <w:sz w:val="18"/>
                <w:szCs w:val="18"/>
                <w:lang w:val="es-ES_tradnl"/>
              </w:rPr>
              <w:t>x</w:t>
            </w:r>
          </w:p>
        </w:tc>
        <w:tc>
          <w:tcPr>
            <w:tcW w:w="765" w:type="dxa"/>
          </w:tcPr>
          <w:p w14:paraId="0A3D9743" w14:textId="19CE67B4" w:rsidR="00176A98" w:rsidRPr="007F7FF9" w:rsidRDefault="00176A98" w:rsidP="00C5427F">
            <w:pPr>
              <w:pStyle w:val="TableParagraph"/>
              <w:keepNext/>
              <w:keepLines/>
              <w:spacing w:line="206" w:lineRule="exact"/>
              <w:ind w:left="110"/>
              <w:jc w:val="center"/>
              <w:rPr>
                <w:sz w:val="18"/>
                <w:szCs w:val="18"/>
                <w:lang w:val="es-ES_tradnl"/>
              </w:rPr>
            </w:pPr>
            <w:r w:rsidRPr="007F7FF9">
              <w:rPr>
                <w:sz w:val="18"/>
                <w:szCs w:val="18"/>
                <w:lang w:val="es-ES_tradnl"/>
              </w:rPr>
              <w:t>x</w:t>
            </w:r>
          </w:p>
        </w:tc>
        <w:tc>
          <w:tcPr>
            <w:tcW w:w="765" w:type="dxa"/>
          </w:tcPr>
          <w:p w14:paraId="5543350B" w14:textId="797B4CC8" w:rsidR="00176A98" w:rsidRPr="007F7FF9" w:rsidRDefault="00176A98" w:rsidP="00176A98">
            <w:pPr>
              <w:pStyle w:val="TableParagraph"/>
              <w:keepNext/>
              <w:keepLines/>
              <w:spacing w:line="206" w:lineRule="exact"/>
              <w:ind w:left="110"/>
              <w:rPr>
                <w:sz w:val="18"/>
                <w:szCs w:val="18"/>
                <w:lang w:val="es-ES_tradnl"/>
              </w:rPr>
            </w:pPr>
            <w:r w:rsidRPr="007F7FF9">
              <w:rPr>
                <w:sz w:val="18"/>
                <w:szCs w:val="18"/>
                <w:lang w:val="es-ES_tradnl"/>
              </w:rPr>
              <w:t>5.000</w:t>
            </w:r>
          </w:p>
        </w:tc>
        <w:tc>
          <w:tcPr>
            <w:tcW w:w="2150" w:type="dxa"/>
          </w:tcPr>
          <w:p w14:paraId="0E56D272" w14:textId="77777777" w:rsidR="00176A98" w:rsidRPr="007F7FF9" w:rsidRDefault="00176A98" w:rsidP="00176A98">
            <w:pPr>
              <w:pStyle w:val="TableParagraph"/>
              <w:keepNext/>
              <w:keepLines/>
              <w:spacing w:line="276" w:lineRule="auto"/>
              <w:ind w:left="110" w:right="339"/>
              <w:rPr>
                <w:sz w:val="18"/>
                <w:szCs w:val="18"/>
                <w:lang w:val="es-ES_tradnl"/>
              </w:rPr>
            </w:pPr>
            <w:r w:rsidRPr="007F7FF9">
              <w:rPr>
                <w:sz w:val="18"/>
                <w:szCs w:val="18"/>
                <w:lang w:val="es-ES_tradnl"/>
              </w:rPr>
              <w:t>Recursos transaccionales y de preparación del PCR</w:t>
            </w:r>
          </w:p>
        </w:tc>
      </w:tr>
      <w:tr w:rsidR="00176A98" w:rsidRPr="007F7FF9" w14:paraId="078AF95D" w14:textId="77777777" w:rsidTr="007B168A">
        <w:trPr>
          <w:trHeight w:val="714"/>
        </w:trPr>
        <w:tc>
          <w:tcPr>
            <w:tcW w:w="2806" w:type="dxa"/>
          </w:tcPr>
          <w:p w14:paraId="6C9D2733" w14:textId="77777777" w:rsidR="00176A98" w:rsidRPr="007F7FF9" w:rsidRDefault="00176A98" w:rsidP="00176A98">
            <w:pPr>
              <w:pStyle w:val="TableParagraph"/>
              <w:keepNext/>
              <w:keepLines/>
              <w:spacing w:line="276" w:lineRule="auto"/>
              <w:ind w:left="107" w:right="347"/>
              <w:rPr>
                <w:sz w:val="18"/>
                <w:szCs w:val="18"/>
                <w:lang w:val="es-ES_tradnl"/>
              </w:rPr>
            </w:pPr>
            <w:r w:rsidRPr="007F7FF9">
              <w:rPr>
                <w:sz w:val="18"/>
                <w:szCs w:val="18"/>
                <w:lang w:val="es-ES_tradnl"/>
              </w:rPr>
              <w:t>Misión(es) de especialista de evaluación.</w:t>
            </w:r>
          </w:p>
        </w:tc>
        <w:tc>
          <w:tcPr>
            <w:tcW w:w="307" w:type="dxa"/>
          </w:tcPr>
          <w:p w14:paraId="63F5CF6E" w14:textId="77777777" w:rsidR="00176A98" w:rsidRPr="007F7FF9" w:rsidRDefault="00176A98" w:rsidP="00C5427F">
            <w:pPr>
              <w:pStyle w:val="TableParagraph"/>
              <w:keepNext/>
              <w:keepLines/>
              <w:jc w:val="center"/>
              <w:rPr>
                <w:sz w:val="18"/>
                <w:szCs w:val="18"/>
                <w:lang w:val="es-ES_tradnl"/>
              </w:rPr>
            </w:pPr>
          </w:p>
        </w:tc>
        <w:tc>
          <w:tcPr>
            <w:tcW w:w="386" w:type="dxa"/>
          </w:tcPr>
          <w:p w14:paraId="68238B32" w14:textId="4A3B16AF" w:rsidR="00176A98" w:rsidRPr="007F7FF9" w:rsidRDefault="00176A98" w:rsidP="00C5427F">
            <w:pPr>
              <w:pStyle w:val="TableParagraph"/>
              <w:keepNext/>
              <w:keepLines/>
              <w:spacing w:line="206" w:lineRule="exact"/>
              <w:ind w:left="158"/>
              <w:jc w:val="center"/>
              <w:rPr>
                <w:sz w:val="18"/>
                <w:szCs w:val="18"/>
                <w:lang w:val="es-ES_tradnl"/>
              </w:rPr>
            </w:pPr>
          </w:p>
        </w:tc>
        <w:tc>
          <w:tcPr>
            <w:tcW w:w="266" w:type="dxa"/>
          </w:tcPr>
          <w:p w14:paraId="369FEE02" w14:textId="77777777" w:rsidR="00176A98" w:rsidRPr="007F7FF9" w:rsidRDefault="00176A98" w:rsidP="00C5427F">
            <w:pPr>
              <w:pStyle w:val="TableParagraph"/>
              <w:keepNext/>
              <w:keepLines/>
              <w:jc w:val="center"/>
              <w:rPr>
                <w:sz w:val="18"/>
                <w:szCs w:val="18"/>
                <w:lang w:val="es-ES_tradnl"/>
              </w:rPr>
            </w:pPr>
          </w:p>
        </w:tc>
        <w:tc>
          <w:tcPr>
            <w:tcW w:w="318" w:type="dxa"/>
          </w:tcPr>
          <w:p w14:paraId="307A8B55" w14:textId="5C97F608" w:rsidR="00176A98" w:rsidRPr="007F7FF9" w:rsidRDefault="00176A98" w:rsidP="00C5427F">
            <w:pPr>
              <w:pStyle w:val="TableParagraph"/>
              <w:keepNext/>
              <w:keepLines/>
              <w:jc w:val="center"/>
              <w:rPr>
                <w:sz w:val="18"/>
                <w:szCs w:val="18"/>
                <w:lang w:val="es-ES_tradnl"/>
              </w:rPr>
            </w:pPr>
            <w:r w:rsidRPr="007F7FF9">
              <w:rPr>
                <w:sz w:val="18"/>
                <w:szCs w:val="18"/>
                <w:lang w:val="es-ES_tradnl"/>
              </w:rPr>
              <w:t>x</w:t>
            </w:r>
          </w:p>
        </w:tc>
        <w:tc>
          <w:tcPr>
            <w:tcW w:w="765" w:type="dxa"/>
          </w:tcPr>
          <w:p w14:paraId="446C5622" w14:textId="77777777" w:rsidR="00176A98" w:rsidRPr="007F7FF9" w:rsidRDefault="00176A98" w:rsidP="00C5427F">
            <w:pPr>
              <w:pStyle w:val="TableParagraph"/>
              <w:keepNext/>
              <w:keepLines/>
              <w:spacing w:line="206" w:lineRule="exact"/>
              <w:ind w:left="110"/>
              <w:jc w:val="center"/>
              <w:rPr>
                <w:sz w:val="18"/>
                <w:szCs w:val="18"/>
                <w:lang w:val="es-ES_tradnl"/>
              </w:rPr>
            </w:pPr>
          </w:p>
        </w:tc>
        <w:tc>
          <w:tcPr>
            <w:tcW w:w="765" w:type="dxa"/>
          </w:tcPr>
          <w:p w14:paraId="68401617" w14:textId="7ED1746C" w:rsidR="00176A98" w:rsidRPr="007F7FF9" w:rsidRDefault="00176A98" w:rsidP="00176A98">
            <w:pPr>
              <w:pStyle w:val="TableParagraph"/>
              <w:keepNext/>
              <w:keepLines/>
              <w:spacing w:line="206" w:lineRule="exact"/>
              <w:ind w:left="110"/>
              <w:rPr>
                <w:sz w:val="18"/>
                <w:szCs w:val="18"/>
                <w:lang w:val="es-ES_tradnl"/>
              </w:rPr>
            </w:pPr>
            <w:r w:rsidRPr="007F7FF9">
              <w:rPr>
                <w:sz w:val="18"/>
                <w:szCs w:val="18"/>
                <w:lang w:val="es-ES_tradnl"/>
              </w:rPr>
              <w:t>5.000</w:t>
            </w:r>
          </w:p>
        </w:tc>
        <w:tc>
          <w:tcPr>
            <w:tcW w:w="2150" w:type="dxa"/>
          </w:tcPr>
          <w:p w14:paraId="7D9C64DE" w14:textId="77777777" w:rsidR="00176A98" w:rsidRPr="007F7FF9" w:rsidRDefault="00176A98" w:rsidP="00176A98">
            <w:pPr>
              <w:pStyle w:val="TableParagraph"/>
              <w:keepNext/>
              <w:keepLines/>
              <w:spacing w:line="276" w:lineRule="auto"/>
              <w:ind w:left="110" w:right="339"/>
              <w:rPr>
                <w:sz w:val="18"/>
                <w:szCs w:val="18"/>
                <w:lang w:val="es-ES_tradnl"/>
              </w:rPr>
            </w:pPr>
            <w:r w:rsidRPr="007F7FF9">
              <w:rPr>
                <w:sz w:val="18"/>
                <w:szCs w:val="18"/>
                <w:lang w:val="es-ES_tradnl"/>
              </w:rPr>
              <w:t xml:space="preserve">Recursos </w:t>
            </w:r>
            <w:r w:rsidRPr="007F7FF9">
              <w:rPr>
                <w:w w:val="95"/>
                <w:sz w:val="18"/>
                <w:szCs w:val="18"/>
                <w:lang w:val="es-ES_tradnl"/>
              </w:rPr>
              <w:t>transaccionales</w:t>
            </w:r>
          </w:p>
          <w:p w14:paraId="73D683CB" w14:textId="77777777" w:rsidR="00176A98" w:rsidRPr="007F7FF9" w:rsidRDefault="00176A98" w:rsidP="00176A98">
            <w:pPr>
              <w:pStyle w:val="TableParagraph"/>
              <w:keepNext/>
              <w:keepLines/>
              <w:ind w:left="110"/>
              <w:rPr>
                <w:sz w:val="18"/>
                <w:szCs w:val="18"/>
                <w:lang w:val="es-ES_tradnl"/>
              </w:rPr>
            </w:pPr>
            <w:r w:rsidRPr="007F7FF9">
              <w:rPr>
                <w:sz w:val="18"/>
                <w:szCs w:val="18"/>
                <w:lang w:val="es-ES_tradnl"/>
              </w:rPr>
              <w:t>SCL/LMK</w:t>
            </w:r>
          </w:p>
        </w:tc>
      </w:tr>
    </w:tbl>
    <w:p w14:paraId="798D0693" w14:textId="79E243E0" w:rsidR="009E4D55" w:rsidRDefault="009E4D55">
      <w:pPr>
        <w:rPr>
          <w:lang w:val="es-ES_tradnl"/>
        </w:rPr>
      </w:pPr>
    </w:p>
    <w:p w14:paraId="7852DF82" w14:textId="369CC51C" w:rsidR="004D0132" w:rsidRPr="00C87597" w:rsidRDefault="004D0132" w:rsidP="00FD3E39">
      <w:pPr>
        <w:pStyle w:val="ListParagraph"/>
        <w:numPr>
          <w:ilvl w:val="1"/>
          <w:numId w:val="2"/>
        </w:numPr>
        <w:tabs>
          <w:tab w:val="left" w:pos="801"/>
        </w:tabs>
        <w:ind w:right="115"/>
        <w:rPr>
          <w:lang w:val="es-ES_tradnl"/>
        </w:rPr>
      </w:pPr>
      <w:r w:rsidRPr="6D9A0FCD">
        <w:rPr>
          <w:lang w:val="es-ES"/>
        </w:rPr>
        <w:t xml:space="preserve">Las evaluaciones complementarias se financiarán con recursos de cooperación técnica, FTE del </w:t>
      </w:r>
      <w:r w:rsidR="00414F67" w:rsidRPr="6D9A0FCD">
        <w:rPr>
          <w:lang w:val="es-ES"/>
        </w:rPr>
        <w:t>B</w:t>
      </w:r>
      <w:r w:rsidRPr="6D9A0FCD">
        <w:rPr>
          <w:lang w:val="es-ES"/>
        </w:rPr>
        <w:t xml:space="preserve">anco y del Gobierno de Chile. </w:t>
      </w:r>
    </w:p>
    <w:sectPr w:rsidR="004D0132" w:rsidRPr="00C87597" w:rsidSect="00747B87">
      <w:pgSz w:w="12240" w:h="15840"/>
      <w:pgMar w:top="1440" w:right="1440" w:bottom="1440" w:left="1440" w:header="72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D171C8" w14:textId="77777777" w:rsidR="001B1946" w:rsidRDefault="001B1946">
      <w:r>
        <w:separator/>
      </w:r>
    </w:p>
  </w:endnote>
  <w:endnote w:type="continuationSeparator" w:id="0">
    <w:p w14:paraId="1623BA8E" w14:textId="77777777" w:rsidR="001B1946" w:rsidRDefault="001B1946">
      <w:r>
        <w:continuationSeparator/>
      </w:r>
    </w:p>
  </w:endnote>
  <w:endnote w:type="continuationNotice" w:id="1">
    <w:p w14:paraId="0E07C273" w14:textId="77777777" w:rsidR="001B1946" w:rsidRDefault="001B19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B68BF4" w14:textId="77777777" w:rsidR="001B1946" w:rsidRDefault="001B1946">
      <w:r>
        <w:separator/>
      </w:r>
    </w:p>
  </w:footnote>
  <w:footnote w:type="continuationSeparator" w:id="0">
    <w:p w14:paraId="2BB59162" w14:textId="77777777" w:rsidR="001B1946" w:rsidRDefault="001B1946">
      <w:r>
        <w:continuationSeparator/>
      </w:r>
    </w:p>
  </w:footnote>
  <w:footnote w:type="continuationNotice" w:id="1">
    <w:p w14:paraId="16F3A005" w14:textId="77777777" w:rsidR="001B1946" w:rsidRDefault="001B1946"/>
  </w:footnote>
  <w:footnote w:id="2">
    <w:p w14:paraId="18A2A390" w14:textId="77777777" w:rsidR="00F70C09" w:rsidRPr="00FD3E39" w:rsidRDefault="00F70C09" w:rsidP="00AE6D31">
      <w:pPr>
        <w:pStyle w:val="FootnoteText"/>
        <w:ind w:left="360" w:hanging="360"/>
        <w:rPr>
          <w:rStyle w:val="FootnoteReference"/>
          <w:rFonts w:ascii="Arial" w:eastAsia="Arial" w:hAnsi="Arial" w:cs="Arial"/>
          <w:sz w:val="18"/>
          <w:szCs w:val="18"/>
          <w:vertAlign w:val="baseline"/>
          <w:lang w:val="es-ES_tradnl"/>
        </w:rPr>
      </w:pPr>
      <w:r w:rsidRPr="00F52FCB">
        <w:rPr>
          <w:rStyle w:val="FootnoteReference"/>
          <w:rFonts w:eastAsia="Arial"/>
          <w:sz w:val="18"/>
          <w:szCs w:val="18"/>
        </w:rPr>
        <w:footnoteRef/>
      </w:r>
      <w:r w:rsidRPr="00F70C09">
        <w:rPr>
          <w:rStyle w:val="FootnoteReference"/>
          <w:rFonts w:eastAsia="Arial"/>
          <w:sz w:val="18"/>
          <w:szCs w:val="18"/>
          <w:lang w:val="es-ES"/>
        </w:rPr>
        <w:tab/>
      </w:r>
      <w:r w:rsidRPr="00FD3E39">
        <w:rPr>
          <w:rStyle w:val="FootnoteReference"/>
          <w:rFonts w:ascii="Arial" w:eastAsia="Arial" w:hAnsi="Arial" w:cs="Arial"/>
          <w:sz w:val="18"/>
          <w:szCs w:val="18"/>
          <w:vertAlign w:val="baseline"/>
          <w:lang w:val="es-ES_tradnl"/>
        </w:rPr>
        <w:t>D</w:t>
      </w:r>
      <w:r w:rsidRPr="00FD3E39">
        <w:rPr>
          <w:rFonts w:ascii="Arial" w:hAnsi="Arial" w:cs="Arial"/>
          <w:sz w:val="18"/>
          <w:szCs w:val="18"/>
          <w:lang w:val="es-ES_tradnl"/>
        </w:rPr>
        <w:t>IPRES,</w:t>
      </w:r>
      <w:r w:rsidRPr="00FD3E39">
        <w:rPr>
          <w:rStyle w:val="FootnoteReference"/>
          <w:rFonts w:ascii="Arial" w:eastAsia="Arial" w:hAnsi="Arial" w:cs="Arial"/>
          <w:sz w:val="18"/>
          <w:szCs w:val="18"/>
          <w:vertAlign w:val="baseline"/>
          <w:lang w:val="es-ES_tradnl"/>
        </w:rPr>
        <w:t xml:space="preserve"> 20</w:t>
      </w:r>
      <w:r w:rsidRPr="00FD3E39">
        <w:rPr>
          <w:rFonts w:ascii="Arial" w:hAnsi="Arial" w:cs="Arial"/>
          <w:sz w:val="18"/>
          <w:szCs w:val="18"/>
          <w:lang w:val="es-ES_tradnl"/>
        </w:rPr>
        <w:t>20</w:t>
      </w:r>
      <w:r w:rsidRPr="00FD3E39">
        <w:rPr>
          <w:rStyle w:val="FootnoteReference"/>
          <w:rFonts w:ascii="Arial" w:eastAsia="Arial" w:hAnsi="Arial" w:cs="Arial"/>
          <w:sz w:val="18"/>
          <w:szCs w:val="18"/>
          <w:vertAlign w:val="baseline"/>
          <w:lang w:val="es-ES_tradnl"/>
        </w:rPr>
        <w:t>. I</w:t>
      </w:r>
      <w:r w:rsidRPr="00FD3E39">
        <w:rPr>
          <w:rFonts w:ascii="Arial" w:hAnsi="Arial" w:cs="Arial"/>
          <w:sz w:val="18"/>
          <w:szCs w:val="18"/>
          <w:lang w:val="es-ES_tradnl"/>
        </w:rPr>
        <w:t>ncluye el</w:t>
      </w:r>
      <w:r w:rsidRPr="00FD3E39">
        <w:rPr>
          <w:rStyle w:val="FootnoteReference"/>
          <w:rFonts w:ascii="Arial" w:eastAsia="Arial" w:hAnsi="Arial" w:cs="Arial"/>
          <w:sz w:val="18"/>
          <w:szCs w:val="18"/>
          <w:vertAlign w:val="baseline"/>
          <w:lang w:val="es-ES_tradnl"/>
        </w:rPr>
        <w:t xml:space="preserve"> gasto adicional por la implementación de la Agenda Social</w:t>
      </w:r>
      <w:r w:rsidRPr="00FD3E39">
        <w:rPr>
          <w:rFonts w:ascii="Arial" w:hAnsi="Arial" w:cs="Arial"/>
          <w:sz w:val="18"/>
          <w:szCs w:val="18"/>
          <w:lang w:val="es-ES_tradnl"/>
        </w:rPr>
        <w:t xml:space="preserve"> desde el último trimestre de 2019 y del Plan de Emergencia para COVID</w:t>
      </w:r>
      <w:r w:rsidRPr="00FD3E39">
        <w:rPr>
          <w:rStyle w:val="FootnoteReference"/>
          <w:rFonts w:ascii="Arial" w:eastAsia="Arial" w:hAnsi="Arial" w:cs="Arial"/>
          <w:sz w:val="18"/>
          <w:szCs w:val="18"/>
          <w:vertAlign w:val="baseline"/>
          <w:lang w:val="es-ES_tradnl"/>
        </w:rPr>
        <w:t>.</w:t>
      </w:r>
    </w:p>
  </w:footnote>
  <w:footnote w:id="3">
    <w:p w14:paraId="2366717B" w14:textId="77777777" w:rsidR="00F70C09" w:rsidRPr="00747B87" w:rsidRDefault="00F70C09" w:rsidP="00897FAD">
      <w:pPr>
        <w:pStyle w:val="FootnoteText"/>
        <w:ind w:left="360" w:hanging="360"/>
        <w:jc w:val="both"/>
        <w:rPr>
          <w:rFonts w:ascii="Arial" w:hAnsi="Arial" w:cs="Arial"/>
          <w:sz w:val="18"/>
          <w:szCs w:val="18"/>
          <w:lang w:val="es-CL"/>
        </w:rPr>
      </w:pPr>
      <w:r w:rsidRPr="00747B87">
        <w:rPr>
          <w:rStyle w:val="FootnoteReference"/>
          <w:rFonts w:ascii="Arial" w:eastAsia="Arial" w:hAnsi="Arial" w:cs="Arial"/>
          <w:sz w:val="18"/>
          <w:szCs w:val="18"/>
        </w:rPr>
        <w:footnoteRef/>
      </w:r>
      <w:r w:rsidRPr="005366BA">
        <w:rPr>
          <w:rFonts w:ascii="Arial" w:hAnsi="Arial" w:cs="Arial"/>
          <w:sz w:val="18"/>
          <w:szCs w:val="18"/>
          <w:lang w:val="es-ES_tradnl"/>
        </w:rPr>
        <w:t xml:space="preserve"> </w:t>
      </w:r>
      <w:r w:rsidRPr="005366BA">
        <w:rPr>
          <w:rFonts w:ascii="Arial" w:hAnsi="Arial" w:cs="Arial"/>
          <w:sz w:val="18"/>
          <w:szCs w:val="18"/>
          <w:lang w:val="es-ES_tradnl"/>
        </w:rPr>
        <w:tab/>
        <w:t xml:space="preserve">Salvo por </w:t>
      </w:r>
      <w:r w:rsidRPr="00C87597">
        <w:rPr>
          <w:rFonts w:ascii="Arial" w:hAnsi="Arial" w:cs="Arial"/>
          <w:sz w:val="18"/>
          <w:szCs w:val="18"/>
          <w:lang w:val="es-ES_tradnl"/>
        </w:rPr>
        <w:t>2018, las tasas de crecimiento desde 2014 en adelante estuvieron a menudo por debajo del 2% y las estimaciones para 2019 y previsiones para 2020 son menos favorables aún.</w:t>
      </w:r>
    </w:p>
  </w:footnote>
  <w:footnote w:id="4">
    <w:p w14:paraId="49D1E72F" w14:textId="77777777" w:rsidR="00F70C09" w:rsidRPr="00747B87" w:rsidRDefault="00F70C09">
      <w:pPr>
        <w:pStyle w:val="FootnoteText"/>
        <w:ind w:left="360" w:hanging="360"/>
        <w:jc w:val="both"/>
        <w:rPr>
          <w:rFonts w:ascii="Arial" w:hAnsi="Arial" w:cs="Arial"/>
          <w:sz w:val="18"/>
          <w:szCs w:val="18"/>
          <w:lang w:val="es-ES_tradnl"/>
        </w:rPr>
      </w:pPr>
      <w:r w:rsidRPr="00747B87">
        <w:rPr>
          <w:rStyle w:val="FootnoteReference"/>
          <w:rFonts w:ascii="Arial" w:eastAsia="Arial" w:hAnsi="Arial" w:cs="Arial"/>
          <w:sz w:val="18"/>
          <w:szCs w:val="18"/>
        </w:rPr>
        <w:footnoteRef/>
      </w:r>
      <w:r w:rsidRPr="00747B87">
        <w:rPr>
          <w:rFonts w:ascii="Arial" w:hAnsi="Arial" w:cs="Arial"/>
          <w:sz w:val="18"/>
          <w:szCs w:val="18"/>
          <w:lang w:val="es-ES_tradnl"/>
        </w:rPr>
        <w:t xml:space="preserve"> </w:t>
      </w:r>
      <w:r w:rsidRPr="00747B87">
        <w:rPr>
          <w:rFonts w:ascii="Arial" w:hAnsi="Arial" w:cs="Arial"/>
          <w:sz w:val="18"/>
          <w:szCs w:val="18"/>
          <w:lang w:val="es-ES_tradnl"/>
        </w:rPr>
        <w:tab/>
      </w:r>
      <w:r w:rsidRPr="005366BA">
        <w:rPr>
          <w:rFonts w:ascii="Arial" w:hAnsi="Arial" w:cs="Arial"/>
          <w:sz w:val="18"/>
          <w:szCs w:val="18"/>
          <w:lang w:val="es-ES_tradnl"/>
        </w:rPr>
        <w:t>La vulnerabilidad en Chile se define con base en el Registro Social de Hogares (RS</w:t>
      </w:r>
      <w:r w:rsidRPr="00C87597">
        <w:rPr>
          <w:rFonts w:ascii="Arial" w:hAnsi="Arial" w:cs="Arial"/>
          <w:sz w:val="18"/>
          <w:szCs w:val="18"/>
          <w:lang w:val="es-ES_tradnl"/>
        </w:rPr>
        <w:t>H) que, basado en datos aportados por el hogar y bases administrativas que posee el Estado, ubica a cada hogar en un tramo de ingresos o vulnerabilidad socioeconómica. El RSH es utilizado para definir criterios de elegibilidad para ser beneficiario de un c</w:t>
      </w:r>
      <w:r w:rsidRPr="00747B87">
        <w:rPr>
          <w:rFonts w:ascii="Arial" w:hAnsi="Arial" w:cs="Arial"/>
          <w:sz w:val="18"/>
          <w:szCs w:val="18"/>
          <w:lang w:val="es-ES_tradnl"/>
        </w:rPr>
        <w:t>onjunto amplio de subsidios y programas sociales del país.</w:t>
      </w:r>
    </w:p>
  </w:footnote>
  <w:footnote w:id="5">
    <w:p w14:paraId="149EDD41" w14:textId="77777777" w:rsidR="00F70C09" w:rsidRPr="005366BA" w:rsidRDefault="00F70C09" w:rsidP="00897FAD">
      <w:pPr>
        <w:pStyle w:val="FootnoteText"/>
        <w:ind w:left="360" w:hanging="360"/>
        <w:jc w:val="both"/>
        <w:rPr>
          <w:rFonts w:ascii="Arial" w:hAnsi="Arial" w:cs="Arial"/>
          <w:sz w:val="18"/>
          <w:szCs w:val="18"/>
          <w:lang w:val="es-ES_tradnl"/>
        </w:rPr>
      </w:pPr>
      <w:r w:rsidRPr="00747B87">
        <w:rPr>
          <w:rStyle w:val="FootnoteReference"/>
          <w:rFonts w:ascii="Arial" w:eastAsia="Arial" w:hAnsi="Arial" w:cs="Arial"/>
          <w:sz w:val="18"/>
          <w:szCs w:val="18"/>
        </w:rPr>
        <w:footnoteRef/>
      </w:r>
      <w:r w:rsidRPr="005366BA">
        <w:rPr>
          <w:rFonts w:ascii="Arial" w:hAnsi="Arial" w:cs="Arial"/>
          <w:sz w:val="18"/>
          <w:szCs w:val="18"/>
          <w:lang w:val="es-ES_tradnl"/>
        </w:rPr>
        <w:t xml:space="preserve"> </w:t>
      </w:r>
      <w:r w:rsidRPr="005366BA">
        <w:rPr>
          <w:rFonts w:ascii="Arial" w:hAnsi="Arial" w:cs="Arial"/>
          <w:sz w:val="18"/>
          <w:szCs w:val="18"/>
          <w:lang w:val="es-ES_tradnl"/>
        </w:rPr>
        <w:tab/>
      </w:r>
      <w:r>
        <w:fldChar w:fldCharType="begin"/>
      </w:r>
      <w:r w:rsidRPr="00F70C09">
        <w:rPr>
          <w:lang w:val="es-ES"/>
        </w:rPr>
        <w:instrText xml:space="preserve"> HYPERLINK "https://datos.bancomundial.org/" </w:instrText>
      </w:r>
      <w:r>
        <w:fldChar w:fldCharType="separate"/>
      </w:r>
      <w:r w:rsidRPr="00747B87">
        <w:rPr>
          <w:rStyle w:val="Hyperlink"/>
          <w:rFonts w:ascii="Arial" w:hAnsi="Arial" w:cs="Arial"/>
          <w:color w:val="auto"/>
          <w:sz w:val="18"/>
          <w:szCs w:val="18"/>
          <w:lang w:val="es-ES_tradnl"/>
        </w:rPr>
        <w:t>Datos Banco Mundial</w:t>
      </w:r>
      <w:r>
        <w:rPr>
          <w:rStyle w:val="Hyperlink"/>
          <w:rFonts w:ascii="Arial" w:hAnsi="Arial" w:cs="Arial"/>
          <w:color w:val="auto"/>
          <w:sz w:val="18"/>
          <w:szCs w:val="18"/>
          <w:lang w:val="es-ES_tradnl"/>
        </w:rPr>
        <w:fldChar w:fldCharType="end"/>
      </w:r>
      <w:r w:rsidRPr="00747B87">
        <w:rPr>
          <w:rStyle w:val="Hyperlink"/>
          <w:rFonts w:ascii="Arial" w:hAnsi="Arial" w:cs="Arial"/>
          <w:color w:val="auto"/>
          <w:sz w:val="18"/>
          <w:szCs w:val="18"/>
          <w:lang w:val="es-ES_tradnl"/>
        </w:rPr>
        <w:t>.</w:t>
      </w:r>
    </w:p>
  </w:footnote>
  <w:footnote w:id="6">
    <w:p w14:paraId="2D9ABEA9" w14:textId="77777777" w:rsidR="00F70C09" w:rsidRPr="00C87597" w:rsidRDefault="00F70C09" w:rsidP="00897FAD">
      <w:pPr>
        <w:pStyle w:val="FootnoteText"/>
        <w:ind w:left="360" w:hanging="360"/>
        <w:jc w:val="both"/>
        <w:rPr>
          <w:rFonts w:ascii="Arial" w:hAnsi="Arial" w:cs="Arial"/>
          <w:sz w:val="18"/>
          <w:szCs w:val="18"/>
          <w:lang w:val="es-ES_tradnl"/>
        </w:rPr>
      </w:pPr>
      <w:r w:rsidRPr="00747B87">
        <w:rPr>
          <w:rStyle w:val="FootnoteReference"/>
          <w:rFonts w:ascii="Arial" w:eastAsia="Arial" w:hAnsi="Arial" w:cs="Arial"/>
          <w:sz w:val="18"/>
          <w:szCs w:val="18"/>
        </w:rPr>
        <w:footnoteRef/>
      </w:r>
      <w:r w:rsidRPr="005366BA">
        <w:rPr>
          <w:rFonts w:ascii="Arial" w:hAnsi="Arial" w:cs="Arial"/>
          <w:sz w:val="18"/>
          <w:szCs w:val="18"/>
          <w:lang w:val="es-ES_tradnl"/>
        </w:rPr>
        <w:t xml:space="preserve"> </w:t>
      </w:r>
      <w:r w:rsidRPr="005366BA">
        <w:rPr>
          <w:rFonts w:ascii="Arial" w:hAnsi="Arial" w:cs="Arial"/>
          <w:sz w:val="18"/>
          <w:szCs w:val="18"/>
          <w:lang w:val="es-ES_tradnl"/>
        </w:rPr>
        <w:tab/>
      </w:r>
      <w:r w:rsidRPr="00C87597">
        <w:rPr>
          <w:rFonts w:ascii="Arial" w:hAnsi="Arial" w:cs="Arial"/>
          <w:sz w:val="18"/>
          <w:szCs w:val="18"/>
          <w:lang w:val="es-ES_tradnl"/>
        </w:rPr>
        <w:t xml:space="preserve">La redistribución se mide por la diferencia entre el coeficiente de Gini antes y después de los impuestos y transferencias </w:t>
      </w:r>
      <w:hyperlink r:id="rId1" w:history="1">
        <w:r w:rsidRPr="00747B87">
          <w:rPr>
            <w:rStyle w:val="Hyperlink"/>
            <w:rFonts w:ascii="Arial" w:hAnsi="Arial" w:cs="Arial"/>
            <w:color w:val="auto"/>
            <w:sz w:val="18"/>
            <w:szCs w:val="18"/>
            <w:lang w:val="es-ES_tradnl"/>
          </w:rPr>
          <w:t>Cifras BID (2018)</w:t>
        </w:r>
      </w:hyperlink>
      <w:r w:rsidRPr="005366BA">
        <w:rPr>
          <w:rFonts w:ascii="Arial" w:hAnsi="Arial" w:cs="Arial"/>
          <w:sz w:val="18"/>
          <w:szCs w:val="18"/>
          <w:lang w:val="es-ES_tradnl"/>
        </w:rPr>
        <w:t xml:space="preserve">. </w:t>
      </w:r>
    </w:p>
  </w:footnote>
  <w:footnote w:id="7">
    <w:p w14:paraId="5BD9D795" w14:textId="72FEBC8A" w:rsidR="00F70C09" w:rsidRPr="00FD3E39" w:rsidRDefault="00F70C09" w:rsidP="00A54194">
      <w:pPr>
        <w:pStyle w:val="FootnoteText"/>
        <w:ind w:left="360" w:hanging="360"/>
        <w:jc w:val="both"/>
        <w:rPr>
          <w:rFonts w:ascii="Arial" w:hAnsi="Arial" w:cs="Arial"/>
          <w:sz w:val="18"/>
          <w:szCs w:val="18"/>
          <w:lang w:val="es-ES_tradnl"/>
        </w:rPr>
      </w:pPr>
      <w:r w:rsidRPr="00FD3E39">
        <w:rPr>
          <w:rStyle w:val="FootnoteReference"/>
          <w:rFonts w:eastAsia="Arial"/>
          <w:sz w:val="18"/>
          <w:szCs w:val="18"/>
          <w:lang w:val="es-ES_tradnl"/>
        </w:rPr>
        <w:footnoteRef/>
      </w:r>
      <w:r w:rsidRPr="00FD3E39">
        <w:rPr>
          <w:rFonts w:ascii="Arial" w:hAnsi="Arial" w:cs="Arial"/>
          <w:sz w:val="18"/>
          <w:szCs w:val="18"/>
          <w:lang w:val="es-ES_tradnl"/>
        </w:rPr>
        <w:t xml:space="preserve"> </w:t>
      </w:r>
      <w:r w:rsidRPr="00FD3E39">
        <w:rPr>
          <w:rFonts w:ascii="Arial" w:hAnsi="Arial" w:cs="Arial"/>
          <w:sz w:val="18"/>
          <w:szCs w:val="18"/>
          <w:lang w:val="es-ES_tradnl"/>
        </w:rPr>
        <w:tab/>
        <w:t>Para 2018, el salario mínimo en Chile es US$7.320 PPP (BID-SIMS) vs. US$14.517 promedio OCDE (OCDE-Stat). En Chile aproximadamente 800 mil trabajadores formales ganan el salario mínimo.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ED4CBE" w14:textId="77777777" w:rsidR="00F70C09" w:rsidRPr="00747B87" w:rsidRDefault="00F70C09" w:rsidP="00747B87">
    <w:pPr>
      <w:pStyle w:val="Header"/>
      <w:jc w:val="right"/>
      <w:rPr>
        <w:sz w:val="18"/>
        <w:szCs w:val="18"/>
      </w:rPr>
    </w:pPr>
    <w:r w:rsidRPr="00747B87">
      <w:rPr>
        <w:sz w:val="18"/>
        <w:szCs w:val="18"/>
      </w:rPr>
      <w:t>EER#3 – CH-L1149</w:t>
    </w:r>
  </w:p>
  <w:p w14:paraId="56EADCDC" w14:textId="1EA05518" w:rsidR="00F70C09" w:rsidRPr="00747B87" w:rsidRDefault="00F70C09" w:rsidP="00747B87">
    <w:pPr>
      <w:pStyle w:val="Header"/>
      <w:jc w:val="right"/>
      <w:rPr>
        <w:sz w:val="18"/>
        <w:szCs w:val="18"/>
      </w:rPr>
    </w:pPr>
    <w:sdt>
      <w:sdtPr>
        <w:rPr>
          <w:sz w:val="18"/>
          <w:szCs w:val="18"/>
        </w:rPr>
        <w:id w:val="98381352"/>
        <w:docPartObj>
          <w:docPartGallery w:val="Page Numbers (Top of Page)"/>
          <w:docPartUnique/>
        </w:docPartObj>
      </w:sdtPr>
      <w:sdtContent>
        <w:r w:rsidRPr="00747B87">
          <w:rPr>
            <w:sz w:val="18"/>
            <w:szCs w:val="18"/>
          </w:rPr>
          <w:t xml:space="preserve">Page </w:t>
        </w:r>
        <w:r w:rsidRPr="00747B87">
          <w:rPr>
            <w:b/>
            <w:bCs/>
            <w:sz w:val="18"/>
            <w:szCs w:val="18"/>
          </w:rPr>
          <w:fldChar w:fldCharType="begin"/>
        </w:r>
        <w:r w:rsidRPr="00747B87">
          <w:rPr>
            <w:b/>
            <w:bCs/>
            <w:sz w:val="18"/>
            <w:szCs w:val="18"/>
          </w:rPr>
          <w:instrText xml:space="preserve"> PAGE </w:instrText>
        </w:r>
        <w:r w:rsidRPr="00747B87">
          <w:rPr>
            <w:b/>
            <w:bCs/>
            <w:sz w:val="18"/>
            <w:szCs w:val="18"/>
          </w:rPr>
          <w:fldChar w:fldCharType="separate"/>
        </w:r>
        <w:r w:rsidRPr="00747B87">
          <w:rPr>
            <w:b/>
            <w:bCs/>
            <w:noProof/>
            <w:sz w:val="18"/>
            <w:szCs w:val="18"/>
          </w:rPr>
          <w:t>2</w:t>
        </w:r>
        <w:r w:rsidRPr="00747B87">
          <w:rPr>
            <w:b/>
            <w:bCs/>
            <w:sz w:val="18"/>
            <w:szCs w:val="18"/>
          </w:rPr>
          <w:fldChar w:fldCharType="end"/>
        </w:r>
        <w:r w:rsidRPr="00747B87">
          <w:rPr>
            <w:sz w:val="18"/>
            <w:szCs w:val="18"/>
          </w:rPr>
          <w:t xml:space="preserve"> of </w:t>
        </w:r>
        <w:r w:rsidRPr="00747B87">
          <w:rPr>
            <w:b/>
            <w:bCs/>
            <w:sz w:val="18"/>
            <w:szCs w:val="18"/>
          </w:rPr>
          <w:fldChar w:fldCharType="begin"/>
        </w:r>
        <w:r w:rsidRPr="00747B87">
          <w:rPr>
            <w:b/>
            <w:bCs/>
            <w:sz w:val="18"/>
            <w:szCs w:val="18"/>
          </w:rPr>
          <w:instrText xml:space="preserve"> NUMPAGES  </w:instrText>
        </w:r>
        <w:r w:rsidRPr="00747B87">
          <w:rPr>
            <w:b/>
            <w:bCs/>
            <w:sz w:val="18"/>
            <w:szCs w:val="18"/>
          </w:rPr>
          <w:fldChar w:fldCharType="separate"/>
        </w:r>
        <w:r w:rsidRPr="00747B87">
          <w:rPr>
            <w:b/>
            <w:bCs/>
            <w:noProof/>
            <w:sz w:val="18"/>
            <w:szCs w:val="18"/>
          </w:rPr>
          <w:t>2</w:t>
        </w:r>
        <w:r w:rsidRPr="00747B87">
          <w:rPr>
            <w:b/>
            <w:bCs/>
            <w:sz w:val="18"/>
            <w:szCs w:val="18"/>
          </w:rPr>
          <w:fldChar w:fldCharType="end"/>
        </w:r>
      </w:sdtContent>
    </w:sdt>
  </w:p>
  <w:p w14:paraId="7433C02F" w14:textId="113FC811" w:rsidR="00F70C09" w:rsidRDefault="00F70C09">
    <w:pPr>
      <w:pStyle w:val="BodyText"/>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2DE4DC" w14:textId="77777777" w:rsidR="00F70C09" w:rsidRPr="00747B87" w:rsidRDefault="00F70C09" w:rsidP="00B66607">
    <w:pPr>
      <w:pStyle w:val="Header"/>
      <w:jc w:val="right"/>
      <w:rPr>
        <w:sz w:val="18"/>
        <w:szCs w:val="18"/>
      </w:rPr>
    </w:pPr>
    <w:r w:rsidRPr="00747B87">
      <w:rPr>
        <w:sz w:val="18"/>
        <w:szCs w:val="18"/>
      </w:rPr>
      <w:t>EER#3 – CH-L1149</w:t>
    </w:r>
  </w:p>
  <w:p w14:paraId="07B1C1F0" w14:textId="77777777" w:rsidR="00F70C09" w:rsidRPr="00747B87" w:rsidRDefault="00F70C09" w:rsidP="00B66607">
    <w:pPr>
      <w:pStyle w:val="Header"/>
      <w:jc w:val="right"/>
      <w:rPr>
        <w:sz w:val="18"/>
        <w:szCs w:val="18"/>
      </w:rPr>
    </w:pPr>
    <w:sdt>
      <w:sdtPr>
        <w:rPr>
          <w:sz w:val="18"/>
          <w:szCs w:val="18"/>
        </w:rPr>
        <w:id w:val="-824586247"/>
        <w:docPartObj>
          <w:docPartGallery w:val="Page Numbers (Top of Page)"/>
          <w:docPartUnique/>
        </w:docPartObj>
      </w:sdtPr>
      <w:sdtContent>
        <w:r w:rsidRPr="00747B87">
          <w:rPr>
            <w:sz w:val="18"/>
            <w:szCs w:val="18"/>
          </w:rPr>
          <w:t xml:space="preserve">Page </w:t>
        </w:r>
        <w:r w:rsidRPr="00747B87">
          <w:rPr>
            <w:b/>
            <w:bCs/>
            <w:sz w:val="18"/>
            <w:szCs w:val="18"/>
          </w:rPr>
          <w:fldChar w:fldCharType="begin"/>
        </w:r>
        <w:r w:rsidRPr="00747B87">
          <w:rPr>
            <w:b/>
            <w:bCs/>
            <w:sz w:val="18"/>
            <w:szCs w:val="18"/>
          </w:rPr>
          <w:instrText xml:space="preserve"> PAGE </w:instrText>
        </w:r>
        <w:r w:rsidRPr="00747B87">
          <w:rPr>
            <w:b/>
            <w:bCs/>
            <w:sz w:val="18"/>
            <w:szCs w:val="18"/>
          </w:rPr>
          <w:fldChar w:fldCharType="separate"/>
        </w:r>
        <w:r>
          <w:rPr>
            <w:b/>
            <w:bCs/>
            <w:sz w:val="18"/>
            <w:szCs w:val="18"/>
          </w:rPr>
          <w:t>4</w:t>
        </w:r>
        <w:r w:rsidRPr="00747B87">
          <w:rPr>
            <w:b/>
            <w:bCs/>
            <w:sz w:val="18"/>
            <w:szCs w:val="18"/>
          </w:rPr>
          <w:fldChar w:fldCharType="end"/>
        </w:r>
        <w:r w:rsidRPr="00747B87">
          <w:rPr>
            <w:sz w:val="18"/>
            <w:szCs w:val="18"/>
          </w:rPr>
          <w:t xml:space="preserve"> of </w:t>
        </w:r>
        <w:r w:rsidRPr="00747B87">
          <w:rPr>
            <w:b/>
            <w:bCs/>
            <w:sz w:val="18"/>
            <w:szCs w:val="18"/>
          </w:rPr>
          <w:fldChar w:fldCharType="begin"/>
        </w:r>
        <w:r w:rsidRPr="00747B87">
          <w:rPr>
            <w:b/>
            <w:bCs/>
            <w:sz w:val="18"/>
            <w:szCs w:val="18"/>
          </w:rPr>
          <w:instrText xml:space="preserve"> NUMPAGES  </w:instrText>
        </w:r>
        <w:r w:rsidRPr="00747B87">
          <w:rPr>
            <w:b/>
            <w:bCs/>
            <w:sz w:val="18"/>
            <w:szCs w:val="18"/>
          </w:rPr>
          <w:fldChar w:fldCharType="separate"/>
        </w:r>
        <w:r>
          <w:rPr>
            <w:b/>
            <w:bCs/>
            <w:sz w:val="18"/>
            <w:szCs w:val="18"/>
          </w:rPr>
          <w:t>16</w:t>
        </w:r>
        <w:r w:rsidRPr="00747B87">
          <w:rPr>
            <w:b/>
            <w:bCs/>
            <w:sz w:val="18"/>
            <w:szCs w:val="18"/>
          </w:rPr>
          <w:fldChar w:fldCharType="end"/>
        </w:r>
      </w:sdtContent>
    </w:sdt>
  </w:p>
  <w:p w14:paraId="49FD64F3" w14:textId="09C84F18" w:rsidR="00F70C09" w:rsidRDefault="00F70C09">
    <w:pPr>
      <w:pStyle w:val="BodyText"/>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BDEA8F" w14:textId="77777777" w:rsidR="00F70C09" w:rsidRDefault="00F70C09" w:rsidP="00C25D0A">
    <w:pPr>
      <w:pStyle w:val="Header"/>
      <w:jc w:val="right"/>
      <w:rPr>
        <w:sz w:val="18"/>
        <w:szCs w:val="18"/>
      </w:rPr>
    </w:pPr>
  </w:p>
  <w:p w14:paraId="538118CD" w14:textId="77777777" w:rsidR="00F70C09" w:rsidRDefault="00F70C09" w:rsidP="00C25D0A">
    <w:pPr>
      <w:pStyle w:val="Header"/>
      <w:jc w:val="right"/>
      <w:rPr>
        <w:sz w:val="18"/>
        <w:szCs w:val="18"/>
      </w:rPr>
    </w:pPr>
  </w:p>
  <w:p w14:paraId="5DB9C734" w14:textId="4561C9A2" w:rsidR="00F70C09" w:rsidRPr="00747B87" w:rsidRDefault="00F70C09" w:rsidP="00C25D0A">
    <w:pPr>
      <w:pStyle w:val="Header"/>
      <w:jc w:val="right"/>
      <w:rPr>
        <w:sz w:val="18"/>
        <w:szCs w:val="18"/>
      </w:rPr>
    </w:pPr>
    <w:r w:rsidRPr="00747B87">
      <w:rPr>
        <w:sz w:val="18"/>
        <w:szCs w:val="18"/>
      </w:rPr>
      <w:t>EER#3 – CH-L1149</w:t>
    </w:r>
  </w:p>
  <w:p w14:paraId="3B1C0A8E" w14:textId="744BF0DE" w:rsidR="00F70C09" w:rsidRPr="00747B87" w:rsidRDefault="00F70C09" w:rsidP="00C25D0A">
    <w:pPr>
      <w:pStyle w:val="Header"/>
      <w:jc w:val="right"/>
      <w:rPr>
        <w:sz w:val="18"/>
        <w:szCs w:val="18"/>
      </w:rPr>
    </w:pPr>
    <w:sdt>
      <w:sdtPr>
        <w:rPr>
          <w:sz w:val="18"/>
          <w:szCs w:val="18"/>
        </w:rPr>
        <w:id w:val="1105618042"/>
        <w:docPartObj>
          <w:docPartGallery w:val="Page Numbers (Top of Page)"/>
          <w:docPartUnique/>
        </w:docPartObj>
      </w:sdtPr>
      <w:sdtContent>
        <w:r w:rsidRPr="00747B87">
          <w:rPr>
            <w:sz w:val="18"/>
            <w:szCs w:val="18"/>
          </w:rPr>
          <w:t xml:space="preserve">Page </w:t>
        </w:r>
        <w:r w:rsidRPr="00747B87">
          <w:rPr>
            <w:b/>
            <w:bCs/>
            <w:sz w:val="18"/>
            <w:szCs w:val="18"/>
          </w:rPr>
          <w:fldChar w:fldCharType="begin"/>
        </w:r>
        <w:r w:rsidRPr="00747B87">
          <w:rPr>
            <w:b/>
            <w:bCs/>
            <w:sz w:val="18"/>
            <w:szCs w:val="18"/>
          </w:rPr>
          <w:instrText xml:space="preserve"> PAGE </w:instrText>
        </w:r>
        <w:r w:rsidRPr="00747B87">
          <w:rPr>
            <w:b/>
            <w:bCs/>
            <w:sz w:val="18"/>
            <w:szCs w:val="18"/>
          </w:rPr>
          <w:fldChar w:fldCharType="separate"/>
        </w:r>
        <w:r>
          <w:rPr>
            <w:b/>
            <w:bCs/>
            <w:sz w:val="18"/>
            <w:szCs w:val="18"/>
          </w:rPr>
          <w:t>9</w:t>
        </w:r>
        <w:r w:rsidRPr="00747B87">
          <w:rPr>
            <w:b/>
            <w:bCs/>
            <w:sz w:val="18"/>
            <w:szCs w:val="18"/>
          </w:rPr>
          <w:fldChar w:fldCharType="end"/>
        </w:r>
        <w:r w:rsidRPr="00747B87">
          <w:rPr>
            <w:sz w:val="18"/>
            <w:szCs w:val="18"/>
          </w:rPr>
          <w:t xml:space="preserve"> of </w:t>
        </w:r>
        <w:r w:rsidRPr="00747B87">
          <w:rPr>
            <w:b/>
            <w:bCs/>
            <w:sz w:val="18"/>
            <w:szCs w:val="18"/>
          </w:rPr>
          <w:fldChar w:fldCharType="begin"/>
        </w:r>
        <w:r w:rsidRPr="00747B87">
          <w:rPr>
            <w:b/>
            <w:bCs/>
            <w:sz w:val="18"/>
            <w:szCs w:val="18"/>
          </w:rPr>
          <w:instrText xml:space="preserve"> NUMPAGES  </w:instrText>
        </w:r>
        <w:r w:rsidRPr="00747B87">
          <w:rPr>
            <w:b/>
            <w:bCs/>
            <w:sz w:val="18"/>
            <w:szCs w:val="18"/>
          </w:rPr>
          <w:fldChar w:fldCharType="separate"/>
        </w:r>
        <w:r>
          <w:rPr>
            <w:b/>
            <w:bCs/>
            <w:sz w:val="18"/>
            <w:szCs w:val="18"/>
          </w:rPr>
          <w:t>17</w:t>
        </w:r>
        <w:r w:rsidRPr="00747B87">
          <w:rPr>
            <w:b/>
            <w:bCs/>
            <w:sz w:val="18"/>
            <w:szCs w:val="18"/>
          </w:rPr>
          <w:fldChar w:fldCharType="end"/>
        </w:r>
      </w:sdtContent>
    </w:sdt>
  </w:p>
  <w:p w14:paraId="06F8D9A1" w14:textId="42D116D7" w:rsidR="00F70C09" w:rsidRDefault="00F70C09">
    <w:pPr>
      <w:pStyle w:val="BodyText"/>
      <w:spacing w:line="14" w:lineRule="auto"/>
      <w:rPr>
        <w:sz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FCD4E9" w14:textId="77777777" w:rsidR="00F70C09" w:rsidRPr="00747B87" w:rsidRDefault="00F70C09" w:rsidP="00BB2EF7">
    <w:pPr>
      <w:pStyle w:val="Header"/>
      <w:jc w:val="right"/>
      <w:rPr>
        <w:sz w:val="18"/>
        <w:szCs w:val="18"/>
      </w:rPr>
    </w:pPr>
    <w:r w:rsidRPr="00747B87">
      <w:rPr>
        <w:sz w:val="18"/>
        <w:szCs w:val="18"/>
      </w:rPr>
      <w:t>EER#3 – CH-L1149</w:t>
    </w:r>
  </w:p>
  <w:p w14:paraId="2780C0D8" w14:textId="77777777" w:rsidR="00F70C09" w:rsidRPr="00747B87" w:rsidRDefault="00F70C09" w:rsidP="00BB2EF7">
    <w:pPr>
      <w:pStyle w:val="Header"/>
      <w:jc w:val="right"/>
      <w:rPr>
        <w:sz w:val="18"/>
        <w:szCs w:val="18"/>
      </w:rPr>
    </w:pPr>
    <w:sdt>
      <w:sdtPr>
        <w:rPr>
          <w:sz w:val="18"/>
          <w:szCs w:val="18"/>
        </w:rPr>
        <w:id w:val="1126817390"/>
        <w:docPartObj>
          <w:docPartGallery w:val="Page Numbers (Top of Page)"/>
          <w:docPartUnique/>
        </w:docPartObj>
      </w:sdtPr>
      <w:sdtContent>
        <w:r w:rsidRPr="00747B87">
          <w:rPr>
            <w:sz w:val="18"/>
            <w:szCs w:val="18"/>
          </w:rPr>
          <w:t xml:space="preserve">Page </w:t>
        </w:r>
        <w:r w:rsidRPr="00747B87">
          <w:rPr>
            <w:b/>
            <w:bCs/>
            <w:sz w:val="18"/>
            <w:szCs w:val="18"/>
          </w:rPr>
          <w:fldChar w:fldCharType="begin"/>
        </w:r>
        <w:r w:rsidRPr="00747B87">
          <w:rPr>
            <w:b/>
            <w:bCs/>
            <w:sz w:val="18"/>
            <w:szCs w:val="18"/>
          </w:rPr>
          <w:instrText xml:space="preserve"> PAGE </w:instrText>
        </w:r>
        <w:r w:rsidRPr="00747B87">
          <w:rPr>
            <w:b/>
            <w:bCs/>
            <w:sz w:val="18"/>
            <w:szCs w:val="18"/>
          </w:rPr>
          <w:fldChar w:fldCharType="separate"/>
        </w:r>
        <w:r>
          <w:rPr>
            <w:b/>
            <w:bCs/>
            <w:sz w:val="18"/>
            <w:szCs w:val="18"/>
          </w:rPr>
          <w:t>10</w:t>
        </w:r>
        <w:r w:rsidRPr="00747B87">
          <w:rPr>
            <w:b/>
            <w:bCs/>
            <w:sz w:val="18"/>
            <w:szCs w:val="18"/>
          </w:rPr>
          <w:fldChar w:fldCharType="end"/>
        </w:r>
        <w:r w:rsidRPr="00747B87">
          <w:rPr>
            <w:sz w:val="18"/>
            <w:szCs w:val="18"/>
          </w:rPr>
          <w:t xml:space="preserve"> of </w:t>
        </w:r>
        <w:r w:rsidRPr="00747B87">
          <w:rPr>
            <w:b/>
            <w:bCs/>
            <w:sz w:val="18"/>
            <w:szCs w:val="18"/>
          </w:rPr>
          <w:fldChar w:fldCharType="begin"/>
        </w:r>
        <w:r w:rsidRPr="00747B87">
          <w:rPr>
            <w:b/>
            <w:bCs/>
            <w:sz w:val="18"/>
            <w:szCs w:val="18"/>
          </w:rPr>
          <w:instrText xml:space="preserve"> NUMPAGES  </w:instrText>
        </w:r>
        <w:r w:rsidRPr="00747B87">
          <w:rPr>
            <w:b/>
            <w:bCs/>
            <w:sz w:val="18"/>
            <w:szCs w:val="18"/>
          </w:rPr>
          <w:fldChar w:fldCharType="separate"/>
        </w:r>
        <w:r>
          <w:rPr>
            <w:b/>
            <w:bCs/>
            <w:sz w:val="18"/>
            <w:szCs w:val="18"/>
          </w:rPr>
          <w:t>17</w:t>
        </w:r>
        <w:r w:rsidRPr="00747B87">
          <w:rPr>
            <w:b/>
            <w:bCs/>
            <w:sz w:val="18"/>
            <w:szCs w:val="18"/>
          </w:rPr>
          <w:fldChar w:fldCharType="end"/>
        </w:r>
      </w:sdtContent>
    </w:sdt>
  </w:p>
  <w:p w14:paraId="2F7454BD" w14:textId="2326202C" w:rsidR="00F70C09" w:rsidRDefault="00F70C09">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756BB"/>
    <w:multiLevelType w:val="hybridMultilevel"/>
    <w:tmpl w:val="2FC8669E"/>
    <w:lvl w:ilvl="0" w:tplc="FDAA0A3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58566F4"/>
    <w:multiLevelType w:val="hybridMultilevel"/>
    <w:tmpl w:val="890AED96"/>
    <w:lvl w:ilvl="0" w:tplc="2F24C3E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B17EF9"/>
    <w:multiLevelType w:val="hybridMultilevel"/>
    <w:tmpl w:val="6A2CBBEE"/>
    <w:lvl w:ilvl="0" w:tplc="8E247942">
      <w:start w:val="1"/>
      <w:numFmt w:val="lowerRoman"/>
      <w:lvlText w:val="%1."/>
      <w:lvlJc w:val="left"/>
      <w:pPr>
        <w:ind w:left="1160" w:hanging="360"/>
      </w:pPr>
      <w:rPr>
        <w:rFonts w:hint="default"/>
      </w:rPr>
    </w:lvl>
    <w:lvl w:ilvl="1" w:tplc="04090003">
      <w:start w:val="1"/>
      <w:numFmt w:val="bullet"/>
      <w:lvlText w:val="o"/>
      <w:lvlJc w:val="left"/>
      <w:pPr>
        <w:ind w:left="1880" w:hanging="360"/>
      </w:pPr>
      <w:rPr>
        <w:rFonts w:ascii="Courier New" w:hAnsi="Courier New" w:cs="Courier New" w:hint="default"/>
      </w:rPr>
    </w:lvl>
    <w:lvl w:ilvl="2" w:tplc="04090005" w:tentative="1">
      <w:start w:val="1"/>
      <w:numFmt w:val="bullet"/>
      <w:lvlText w:val=""/>
      <w:lvlJc w:val="left"/>
      <w:pPr>
        <w:ind w:left="2600" w:hanging="360"/>
      </w:pPr>
      <w:rPr>
        <w:rFonts w:ascii="Wingdings" w:hAnsi="Wingdings" w:hint="default"/>
      </w:rPr>
    </w:lvl>
    <w:lvl w:ilvl="3" w:tplc="04090001" w:tentative="1">
      <w:start w:val="1"/>
      <w:numFmt w:val="bullet"/>
      <w:lvlText w:val=""/>
      <w:lvlJc w:val="left"/>
      <w:pPr>
        <w:ind w:left="3320" w:hanging="360"/>
      </w:pPr>
      <w:rPr>
        <w:rFonts w:ascii="Symbol" w:hAnsi="Symbol" w:hint="default"/>
      </w:rPr>
    </w:lvl>
    <w:lvl w:ilvl="4" w:tplc="04090003" w:tentative="1">
      <w:start w:val="1"/>
      <w:numFmt w:val="bullet"/>
      <w:lvlText w:val="o"/>
      <w:lvlJc w:val="left"/>
      <w:pPr>
        <w:ind w:left="4040" w:hanging="360"/>
      </w:pPr>
      <w:rPr>
        <w:rFonts w:ascii="Courier New" w:hAnsi="Courier New" w:cs="Courier New" w:hint="default"/>
      </w:rPr>
    </w:lvl>
    <w:lvl w:ilvl="5" w:tplc="04090005" w:tentative="1">
      <w:start w:val="1"/>
      <w:numFmt w:val="bullet"/>
      <w:lvlText w:val=""/>
      <w:lvlJc w:val="left"/>
      <w:pPr>
        <w:ind w:left="4760" w:hanging="360"/>
      </w:pPr>
      <w:rPr>
        <w:rFonts w:ascii="Wingdings" w:hAnsi="Wingdings" w:hint="default"/>
      </w:rPr>
    </w:lvl>
    <w:lvl w:ilvl="6" w:tplc="04090001" w:tentative="1">
      <w:start w:val="1"/>
      <w:numFmt w:val="bullet"/>
      <w:lvlText w:val=""/>
      <w:lvlJc w:val="left"/>
      <w:pPr>
        <w:ind w:left="5480" w:hanging="360"/>
      </w:pPr>
      <w:rPr>
        <w:rFonts w:ascii="Symbol" w:hAnsi="Symbol" w:hint="default"/>
      </w:rPr>
    </w:lvl>
    <w:lvl w:ilvl="7" w:tplc="04090003" w:tentative="1">
      <w:start w:val="1"/>
      <w:numFmt w:val="bullet"/>
      <w:lvlText w:val="o"/>
      <w:lvlJc w:val="left"/>
      <w:pPr>
        <w:ind w:left="6200" w:hanging="360"/>
      </w:pPr>
      <w:rPr>
        <w:rFonts w:ascii="Courier New" w:hAnsi="Courier New" w:cs="Courier New" w:hint="default"/>
      </w:rPr>
    </w:lvl>
    <w:lvl w:ilvl="8" w:tplc="04090005" w:tentative="1">
      <w:start w:val="1"/>
      <w:numFmt w:val="bullet"/>
      <w:lvlText w:val=""/>
      <w:lvlJc w:val="left"/>
      <w:pPr>
        <w:ind w:left="6920" w:hanging="360"/>
      </w:pPr>
      <w:rPr>
        <w:rFonts w:ascii="Wingdings" w:hAnsi="Wingdings" w:hint="default"/>
      </w:rPr>
    </w:lvl>
  </w:abstractNum>
  <w:abstractNum w:abstractNumId="3" w15:restartNumberingAfterBreak="0">
    <w:nsid w:val="0F6E2468"/>
    <w:multiLevelType w:val="hybridMultilevel"/>
    <w:tmpl w:val="DE96D554"/>
    <w:lvl w:ilvl="0" w:tplc="92B4AC08">
      <w:start w:val="4"/>
      <w:numFmt w:val="lowerLetter"/>
      <w:lvlText w:val="%1."/>
      <w:lvlJc w:val="left"/>
      <w:pPr>
        <w:ind w:left="1232" w:hanging="432"/>
      </w:pPr>
      <w:rPr>
        <w:rFonts w:ascii="Arial" w:eastAsia="Arial" w:hAnsi="Arial" w:cs="Arial" w:hint="default"/>
        <w:spacing w:val="-1"/>
        <w:w w:val="100"/>
        <w:sz w:val="22"/>
        <w:szCs w:val="22"/>
        <w:lang w:val="en-US" w:eastAsia="en-US" w:bidi="en-US"/>
      </w:rPr>
    </w:lvl>
    <w:lvl w:ilvl="1" w:tplc="3BE8C6A2">
      <w:numFmt w:val="bullet"/>
      <w:lvlText w:val="•"/>
      <w:lvlJc w:val="left"/>
      <w:pPr>
        <w:ind w:left="2000" w:hanging="432"/>
      </w:pPr>
      <w:rPr>
        <w:rFonts w:hint="default"/>
        <w:lang w:val="en-US" w:eastAsia="en-US" w:bidi="en-US"/>
      </w:rPr>
    </w:lvl>
    <w:lvl w:ilvl="2" w:tplc="F2AC4300">
      <w:numFmt w:val="bullet"/>
      <w:lvlText w:val="•"/>
      <w:lvlJc w:val="left"/>
      <w:pPr>
        <w:ind w:left="2760" w:hanging="432"/>
      </w:pPr>
      <w:rPr>
        <w:rFonts w:hint="default"/>
        <w:lang w:val="en-US" w:eastAsia="en-US" w:bidi="en-US"/>
      </w:rPr>
    </w:lvl>
    <w:lvl w:ilvl="3" w:tplc="C9F43108">
      <w:numFmt w:val="bullet"/>
      <w:lvlText w:val="•"/>
      <w:lvlJc w:val="left"/>
      <w:pPr>
        <w:ind w:left="3520" w:hanging="432"/>
      </w:pPr>
      <w:rPr>
        <w:rFonts w:hint="default"/>
        <w:lang w:val="en-US" w:eastAsia="en-US" w:bidi="en-US"/>
      </w:rPr>
    </w:lvl>
    <w:lvl w:ilvl="4" w:tplc="60B8E24E">
      <w:numFmt w:val="bullet"/>
      <w:lvlText w:val="•"/>
      <w:lvlJc w:val="left"/>
      <w:pPr>
        <w:ind w:left="4280" w:hanging="432"/>
      </w:pPr>
      <w:rPr>
        <w:rFonts w:hint="default"/>
        <w:lang w:val="en-US" w:eastAsia="en-US" w:bidi="en-US"/>
      </w:rPr>
    </w:lvl>
    <w:lvl w:ilvl="5" w:tplc="51744AE0">
      <w:numFmt w:val="bullet"/>
      <w:lvlText w:val="•"/>
      <w:lvlJc w:val="left"/>
      <w:pPr>
        <w:ind w:left="5040" w:hanging="432"/>
      </w:pPr>
      <w:rPr>
        <w:rFonts w:hint="default"/>
        <w:lang w:val="en-US" w:eastAsia="en-US" w:bidi="en-US"/>
      </w:rPr>
    </w:lvl>
    <w:lvl w:ilvl="6" w:tplc="F44A47F2">
      <w:numFmt w:val="bullet"/>
      <w:lvlText w:val="•"/>
      <w:lvlJc w:val="left"/>
      <w:pPr>
        <w:ind w:left="5800" w:hanging="432"/>
      </w:pPr>
      <w:rPr>
        <w:rFonts w:hint="default"/>
        <w:lang w:val="en-US" w:eastAsia="en-US" w:bidi="en-US"/>
      </w:rPr>
    </w:lvl>
    <w:lvl w:ilvl="7" w:tplc="9D44D55E">
      <w:numFmt w:val="bullet"/>
      <w:lvlText w:val="•"/>
      <w:lvlJc w:val="left"/>
      <w:pPr>
        <w:ind w:left="6560" w:hanging="432"/>
      </w:pPr>
      <w:rPr>
        <w:rFonts w:hint="default"/>
        <w:lang w:val="en-US" w:eastAsia="en-US" w:bidi="en-US"/>
      </w:rPr>
    </w:lvl>
    <w:lvl w:ilvl="8" w:tplc="325A0756">
      <w:numFmt w:val="bullet"/>
      <w:lvlText w:val="•"/>
      <w:lvlJc w:val="left"/>
      <w:pPr>
        <w:ind w:left="7320" w:hanging="432"/>
      </w:pPr>
      <w:rPr>
        <w:rFonts w:hint="default"/>
        <w:lang w:val="en-US" w:eastAsia="en-US" w:bidi="en-US"/>
      </w:rPr>
    </w:lvl>
  </w:abstractNum>
  <w:abstractNum w:abstractNumId="4" w15:restartNumberingAfterBreak="0">
    <w:nsid w:val="120B54CF"/>
    <w:multiLevelType w:val="hybridMultilevel"/>
    <w:tmpl w:val="88C68F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600E68"/>
    <w:multiLevelType w:val="hybridMultilevel"/>
    <w:tmpl w:val="A238B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3F7071"/>
    <w:multiLevelType w:val="multilevel"/>
    <w:tmpl w:val="A3546C8A"/>
    <w:lvl w:ilvl="0">
      <w:start w:val="1"/>
      <w:numFmt w:val="decimal"/>
      <w:lvlText w:val="%1"/>
      <w:lvlJc w:val="left"/>
      <w:pPr>
        <w:ind w:left="1000" w:hanging="720"/>
      </w:pPr>
      <w:rPr>
        <w:rFonts w:hint="default"/>
        <w:lang w:val="en-US" w:eastAsia="en-US" w:bidi="en-US"/>
      </w:rPr>
    </w:lvl>
    <w:lvl w:ilvl="1">
      <w:start w:val="1"/>
      <w:numFmt w:val="decimal"/>
      <w:lvlText w:val="%1.%2"/>
      <w:lvlJc w:val="left"/>
      <w:pPr>
        <w:ind w:left="1000" w:hanging="720"/>
      </w:pPr>
      <w:rPr>
        <w:rFonts w:ascii="Arial" w:eastAsia="Arial" w:hAnsi="Arial" w:cs="Arial" w:hint="default"/>
        <w:w w:val="100"/>
        <w:sz w:val="22"/>
        <w:szCs w:val="22"/>
        <w:lang w:val="en-US" w:eastAsia="en-US" w:bidi="en-US"/>
      </w:rPr>
    </w:lvl>
    <w:lvl w:ilvl="2">
      <w:numFmt w:val="bullet"/>
      <w:lvlText w:val="•"/>
      <w:lvlJc w:val="left"/>
      <w:pPr>
        <w:ind w:left="2628" w:hanging="720"/>
      </w:pPr>
      <w:rPr>
        <w:rFonts w:hint="default"/>
        <w:lang w:val="en-US" w:eastAsia="en-US" w:bidi="en-US"/>
      </w:rPr>
    </w:lvl>
    <w:lvl w:ilvl="3">
      <w:numFmt w:val="bullet"/>
      <w:lvlText w:val="•"/>
      <w:lvlJc w:val="left"/>
      <w:pPr>
        <w:ind w:left="3442" w:hanging="720"/>
      </w:pPr>
      <w:rPr>
        <w:rFonts w:hint="default"/>
        <w:lang w:val="en-US" w:eastAsia="en-US" w:bidi="en-US"/>
      </w:rPr>
    </w:lvl>
    <w:lvl w:ilvl="4">
      <w:numFmt w:val="bullet"/>
      <w:lvlText w:val="•"/>
      <w:lvlJc w:val="left"/>
      <w:pPr>
        <w:ind w:left="4256" w:hanging="720"/>
      </w:pPr>
      <w:rPr>
        <w:rFonts w:hint="default"/>
        <w:lang w:val="en-US" w:eastAsia="en-US" w:bidi="en-US"/>
      </w:rPr>
    </w:lvl>
    <w:lvl w:ilvl="5">
      <w:numFmt w:val="bullet"/>
      <w:lvlText w:val="•"/>
      <w:lvlJc w:val="left"/>
      <w:pPr>
        <w:ind w:left="5070" w:hanging="720"/>
      </w:pPr>
      <w:rPr>
        <w:rFonts w:hint="default"/>
        <w:lang w:val="en-US" w:eastAsia="en-US" w:bidi="en-US"/>
      </w:rPr>
    </w:lvl>
    <w:lvl w:ilvl="6">
      <w:numFmt w:val="bullet"/>
      <w:lvlText w:val="•"/>
      <w:lvlJc w:val="left"/>
      <w:pPr>
        <w:ind w:left="5884" w:hanging="720"/>
      </w:pPr>
      <w:rPr>
        <w:rFonts w:hint="default"/>
        <w:lang w:val="en-US" w:eastAsia="en-US" w:bidi="en-US"/>
      </w:rPr>
    </w:lvl>
    <w:lvl w:ilvl="7">
      <w:numFmt w:val="bullet"/>
      <w:lvlText w:val="•"/>
      <w:lvlJc w:val="left"/>
      <w:pPr>
        <w:ind w:left="6698" w:hanging="720"/>
      </w:pPr>
      <w:rPr>
        <w:rFonts w:hint="default"/>
        <w:lang w:val="en-US" w:eastAsia="en-US" w:bidi="en-US"/>
      </w:rPr>
    </w:lvl>
    <w:lvl w:ilvl="8">
      <w:numFmt w:val="bullet"/>
      <w:lvlText w:val="•"/>
      <w:lvlJc w:val="left"/>
      <w:pPr>
        <w:ind w:left="7512" w:hanging="720"/>
      </w:pPr>
      <w:rPr>
        <w:rFonts w:hint="default"/>
        <w:lang w:val="en-US" w:eastAsia="en-US" w:bidi="en-US"/>
      </w:rPr>
    </w:lvl>
  </w:abstractNum>
  <w:abstractNum w:abstractNumId="7" w15:restartNumberingAfterBreak="0">
    <w:nsid w:val="20D53519"/>
    <w:multiLevelType w:val="multilevel"/>
    <w:tmpl w:val="9C3E7F94"/>
    <w:lvl w:ilvl="0">
      <w:start w:val="3"/>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234713B4"/>
    <w:multiLevelType w:val="hybridMultilevel"/>
    <w:tmpl w:val="E042C29A"/>
    <w:lvl w:ilvl="0" w:tplc="4A2CC79C">
      <w:start w:val="1"/>
      <w:numFmt w:val="lowerRoman"/>
      <w:lvlText w:val="%1."/>
      <w:lvlJc w:val="right"/>
      <w:pPr>
        <w:ind w:left="720" w:hanging="360"/>
      </w:pPr>
      <w:rPr>
        <w:b/>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805C6C"/>
    <w:multiLevelType w:val="multilevel"/>
    <w:tmpl w:val="E4C61A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2D289C"/>
    <w:multiLevelType w:val="multilevel"/>
    <w:tmpl w:val="26B2E9F8"/>
    <w:lvl w:ilvl="0">
      <w:start w:val="1"/>
      <w:numFmt w:val="lowerLetter"/>
      <w:lvlText w:val="%1."/>
      <w:lvlJc w:val="left"/>
      <w:pPr>
        <w:ind w:left="1349" w:hanging="629"/>
      </w:pPr>
      <w:rPr>
        <w:rFonts w:hint="default"/>
      </w:rPr>
    </w:lvl>
    <w:lvl w:ilvl="1">
      <w:start w:val="1"/>
      <w:numFmt w:val="decimal"/>
      <w:lvlText w:val="%1.%2"/>
      <w:lvlJc w:val="left"/>
      <w:pPr>
        <w:ind w:left="1349" w:hanging="629"/>
      </w:pPr>
      <w:rPr>
        <w:rFonts w:ascii="Arial" w:eastAsia="Arial" w:hAnsi="Arial" w:cs="Arial" w:hint="default"/>
        <w:w w:val="100"/>
        <w:sz w:val="22"/>
        <w:szCs w:val="22"/>
      </w:rPr>
    </w:lvl>
    <w:lvl w:ilvl="2">
      <w:start w:val="1"/>
      <w:numFmt w:val="lowerLetter"/>
      <w:lvlText w:val="%3."/>
      <w:lvlJc w:val="left"/>
      <w:pPr>
        <w:ind w:left="1781" w:hanging="432"/>
      </w:pPr>
      <w:rPr>
        <w:rFonts w:ascii="Arial" w:eastAsia="Arial" w:hAnsi="Arial" w:cs="Arial" w:hint="default"/>
        <w:spacing w:val="-1"/>
        <w:w w:val="100"/>
        <w:sz w:val="22"/>
        <w:szCs w:val="22"/>
      </w:rPr>
    </w:lvl>
    <w:lvl w:ilvl="3">
      <w:numFmt w:val="bullet"/>
      <w:lvlText w:val="•"/>
      <w:lvlJc w:val="left"/>
      <w:pPr>
        <w:ind w:left="3477" w:hanging="432"/>
      </w:pPr>
      <w:rPr>
        <w:rFonts w:hint="default"/>
      </w:rPr>
    </w:lvl>
    <w:lvl w:ilvl="4">
      <w:numFmt w:val="bullet"/>
      <w:lvlText w:val="•"/>
      <w:lvlJc w:val="left"/>
      <w:pPr>
        <w:ind w:left="4322" w:hanging="432"/>
      </w:pPr>
      <w:rPr>
        <w:rFonts w:hint="default"/>
      </w:rPr>
    </w:lvl>
    <w:lvl w:ilvl="5">
      <w:numFmt w:val="bullet"/>
      <w:lvlText w:val="•"/>
      <w:lvlJc w:val="left"/>
      <w:pPr>
        <w:ind w:left="5166" w:hanging="432"/>
      </w:pPr>
      <w:rPr>
        <w:rFonts w:hint="default"/>
      </w:rPr>
    </w:lvl>
    <w:lvl w:ilvl="6">
      <w:numFmt w:val="bullet"/>
      <w:lvlText w:val="•"/>
      <w:lvlJc w:val="left"/>
      <w:pPr>
        <w:ind w:left="6011" w:hanging="432"/>
      </w:pPr>
      <w:rPr>
        <w:rFonts w:hint="default"/>
      </w:rPr>
    </w:lvl>
    <w:lvl w:ilvl="7">
      <w:numFmt w:val="bullet"/>
      <w:lvlText w:val="•"/>
      <w:lvlJc w:val="left"/>
      <w:pPr>
        <w:ind w:left="6855" w:hanging="432"/>
      </w:pPr>
      <w:rPr>
        <w:rFonts w:hint="default"/>
      </w:rPr>
    </w:lvl>
    <w:lvl w:ilvl="8">
      <w:numFmt w:val="bullet"/>
      <w:lvlText w:val="•"/>
      <w:lvlJc w:val="left"/>
      <w:pPr>
        <w:ind w:left="7700" w:hanging="432"/>
      </w:pPr>
      <w:rPr>
        <w:rFonts w:hint="default"/>
      </w:rPr>
    </w:lvl>
  </w:abstractNum>
  <w:abstractNum w:abstractNumId="11" w15:restartNumberingAfterBreak="0">
    <w:nsid w:val="35680742"/>
    <w:multiLevelType w:val="multilevel"/>
    <w:tmpl w:val="606C6B10"/>
    <w:lvl w:ilvl="0">
      <w:start w:val="1"/>
      <w:numFmt w:val="lowerLetter"/>
      <w:lvlText w:val="%1."/>
      <w:lvlJc w:val="left"/>
      <w:pPr>
        <w:ind w:left="1349" w:hanging="629"/>
      </w:pPr>
      <w:rPr>
        <w:rFonts w:hint="default"/>
        <w:lang w:val="en-US" w:eastAsia="en-US" w:bidi="en-US"/>
      </w:rPr>
    </w:lvl>
    <w:lvl w:ilvl="1">
      <w:start w:val="1"/>
      <w:numFmt w:val="decimal"/>
      <w:lvlText w:val="%1.%2"/>
      <w:lvlJc w:val="left"/>
      <w:pPr>
        <w:ind w:left="1349" w:hanging="629"/>
      </w:pPr>
      <w:rPr>
        <w:rFonts w:ascii="Arial" w:eastAsia="Arial" w:hAnsi="Arial" w:cs="Arial" w:hint="default"/>
        <w:w w:val="100"/>
        <w:sz w:val="22"/>
        <w:szCs w:val="22"/>
        <w:lang w:val="en-US" w:eastAsia="en-US" w:bidi="en-US"/>
      </w:rPr>
    </w:lvl>
    <w:lvl w:ilvl="2">
      <w:start w:val="1"/>
      <w:numFmt w:val="lowerLetter"/>
      <w:lvlText w:val="%3."/>
      <w:lvlJc w:val="left"/>
      <w:pPr>
        <w:ind w:left="1781" w:hanging="432"/>
      </w:pPr>
      <w:rPr>
        <w:rFonts w:ascii="Arial" w:eastAsia="Arial" w:hAnsi="Arial" w:cs="Arial" w:hint="default"/>
        <w:spacing w:val="-1"/>
        <w:w w:val="100"/>
        <w:sz w:val="22"/>
        <w:szCs w:val="22"/>
        <w:lang w:val="en-US" w:eastAsia="en-US" w:bidi="en-US"/>
      </w:rPr>
    </w:lvl>
    <w:lvl w:ilvl="3">
      <w:numFmt w:val="bullet"/>
      <w:lvlText w:val="•"/>
      <w:lvlJc w:val="left"/>
      <w:pPr>
        <w:ind w:left="3477" w:hanging="432"/>
      </w:pPr>
      <w:rPr>
        <w:rFonts w:hint="default"/>
        <w:lang w:val="en-US" w:eastAsia="en-US" w:bidi="en-US"/>
      </w:rPr>
    </w:lvl>
    <w:lvl w:ilvl="4">
      <w:numFmt w:val="bullet"/>
      <w:lvlText w:val="•"/>
      <w:lvlJc w:val="left"/>
      <w:pPr>
        <w:ind w:left="4322" w:hanging="432"/>
      </w:pPr>
      <w:rPr>
        <w:rFonts w:hint="default"/>
        <w:lang w:val="en-US" w:eastAsia="en-US" w:bidi="en-US"/>
      </w:rPr>
    </w:lvl>
    <w:lvl w:ilvl="5">
      <w:numFmt w:val="bullet"/>
      <w:lvlText w:val="•"/>
      <w:lvlJc w:val="left"/>
      <w:pPr>
        <w:ind w:left="5166" w:hanging="432"/>
      </w:pPr>
      <w:rPr>
        <w:rFonts w:hint="default"/>
        <w:lang w:val="en-US" w:eastAsia="en-US" w:bidi="en-US"/>
      </w:rPr>
    </w:lvl>
    <w:lvl w:ilvl="6">
      <w:numFmt w:val="bullet"/>
      <w:lvlText w:val="•"/>
      <w:lvlJc w:val="left"/>
      <w:pPr>
        <w:ind w:left="6011" w:hanging="432"/>
      </w:pPr>
      <w:rPr>
        <w:rFonts w:hint="default"/>
        <w:lang w:val="en-US" w:eastAsia="en-US" w:bidi="en-US"/>
      </w:rPr>
    </w:lvl>
    <w:lvl w:ilvl="7">
      <w:numFmt w:val="bullet"/>
      <w:lvlText w:val="•"/>
      <w:lvlJc w:val="left"/>
      <w:pPr>
        <w:ind w:left="6855" w:hanging="432"/>
      </w:pPr>
      <w:rPr>
        <w:rFonts w:hint="default"/>
        <w:lang w:val="en-US" w:eastAsia="en-US" w:bidi="en-US"/>
      </w:rPr>
    </w:lvl>
    <w:lvl w:ilvl="8">
      <w:numFmt w:val="bullet"/>
      <w:lvlText w:val="•"/>
      <w:lvlJc w:val="left"/>
      <w:pPr>
        <w:ind w:left="7700" w:hanging="432"/>
      </w:pPr>
      <w:rPr>
        <w:rFonts w:hint="default"/>
        <w:lang w:val="en-US" w:eastAsia="en-US" w:bidi="en-US"/>
      </w:rPr>
    </w:lvl>
  </w:abstractNum>
  <w:abstractNum w:abstractNumId="12" w15:restartNumberingAfterBreak="0">
    <w:nsid w:val="359B4991"/>
    <w:multiLevelType w:val="multilevel"/>
    <w:tmpl w:val="E9782DB2"/>
    <w:lvl w:ilvl="0">
      <w:start w:val="1"/>
      <w:numFmt w:val="upperRoman"/>
      <w:lvlRestart w:val="0"/>
      <w:pStyle w:val="Chapter"/>
      <w:lvlText w:val="%1."/>
      <w:lvlJc w:val="center"/>
      <w:pPr>
        <w:tabs>
          <w:tab w:val="num" w:pos="1800"/>
        </w:tabs>
        <w:ind w:left="1152" w:firstLine="288"/>
      </w:pPr>
      <w:rPr>
        <w:rFonts w:hint="default"/>
        <w:b/>
        <w:i w:val="0"/>
      </w:rPr>
    </w:lvl>
    <w:lvl w:ilvl="1">
      <w:start w:val="1"/>
      <w:numFmt w:val="decimal"/>
      <w:pStyle w:val="Paragraph"/>
      <w:isLgl/>
      <w:lvlText w:val="%1.%2"/>
      <w:lvlJc w:val="left"/>
      <w:pPr>
        <w:tabs>
          <w:tab w:val="num" w:pos="2448"/>
        </w:tabs>
        <w:ind w:left="2448" w:hanging="1296"/>
      </w:pPr>
      <w:rPr>
        <w:rFonts w:ascii="Arial" w:hAnsi="Arial" w:cs="Arial" w:hint="default"/>
        <w:b w:val="0"/>
        <w:color w:val="auto"/>
        <w:sz w:val="22"/>
        <w:szCs w:val="22"/>
      </w:rPr>
    </w:lvl>
    <w:lvl w:ilvl="2">
      <w:start w:val="1"/>
      <w:numFmt w:val="lowerLetter"/>
      <w:pStyle w:val="subpar"/>
      <w:lvlText w:val="%3."/>
      <w:lvlJc w:val="left"/>
      <w:pPr>
        <w:tabs>
          <w:tab w:val="num" w:pos="2304"/>
        </w:tabs>
        <w:ind w:left="2304" w:hanging="432"/>
      </w:pPr>
      <w:rPr>
        <w:rFonts w:hint="default"/>
      </w:rPr>
    </w:lvl>
    <w:lvl w:ilvl="3">
      <w:start w:val="1"/>
      <w:numFmt w:val="lowerRoman"/>
      <w:pStyle w:val="SubSubPar"/>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13" w15:restartNumberingAfterBreak="0">
    <w:nsid w:val="38501714"/>
    <w:multiLevelType w:val="hybridMultilevel"/>
    <w:tmpl w:val="FAE844B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4" w15:restartNumberingAfterBreak="0">
    <w:nsid w:val="3F5850BA"/>
    <w:multiLevelType w:val="multilevel"/>
    <w:tmpl w:val="67DE166A"/>
    <w:lvl w:ilvl="0">
      <w:start w:val="2"/>
      <w:numFmt w:val="decimal"/>
      <w:lvlText w:val="%1"/>
      <w:lvlJc w:val="left"/>
      <w:pPr>
        <w:ind w:left="1000" w:hanging="900"/>
      </w:pPr>
      <w:rPr>
        <w:rFonts w:hint="default"/>
        <w:lang w:val="en-US" w:eastAsia="en-US" w:bidi="en-US"/>
      </w:rPr>
    </w:lvl>
    <w:lvl w:ilvl="1">
      <w:start w:val="1"/>
      <w:numFmt w:val="decimal"/>
      <w:lvlText w:val="%1.%2"/>
      <w:lvlJc w:val="left"/>
      <w:pPr>
        <w:ind w:left="1000" w:hanging="900"/>
      </w:pPr>
      <w:rPr>
        <w:rFonts w:ascii="Arial" w:eastAsia="Arial" w:hAnsi="Arial" w:cs="Arial" w:hint="default"/>
        <w:w w:val="100"/>
        <w:sz w:val="22"/>
        <w:szCs w:val="22"/>
        <w:lang w:val="en-US" w:eastAsia="en-US" w:bidi="en-US"/>
      </w:rPr>
    </w:lvl>
    <w:lvl w:ilvl="2">
      <w:numFmt w:val="bullet"/>
      <w:lvlText w:val="•"/>
      <w:lvlJc w:val="left"/>
      <w:pPr>
        <w:ind w:left="2628" w:hanging="900"/>
      </w:pPr>
      <w:rPr>
        <w:rFonts w:hint="default"/>
        <w:lang w:val="en-US" w:eastAsia="en-US" w:bidi="en-US"/>
      </w:rPr>
    </w:lvl>
    <w:lvl w:ilvl="3">
      <w:numFmt w:val="bullet"/>
      <w:lvlText w:val="•"/>
      <w:lvlJc w:val="left"/>
      <w:pPr>
        <w:ind w:left="3442" w:hanging="900"/>
      </w:pPr>
      <w:rPr>
        <w:rFonts w:hint="default"/>
        <w:lang w:val="en-US" w:eastAsia="en-US" w:bidi="en-US"/>
      </w:rPr>
    </w:lvl>
    <w:lvl w:ilvl="4">
      <w:numFmt w:val="bullet"/>
      <w:lvlText w:val="•"/>
      <w:lvlJc w:val="left"/>
      <w:pPr>
        <w:ind w:left="4256" w:hanging="900"/>
      </w:pPr>
      <w:rPr>
        <w:rFonts w:hint="default"/>
        <w:lang w:val="en-US" w:eastAsia="en-US" w:bidi="en-US"/>
      </w:rPr>
    </w:lvl>
    <w:lvl w:ilvl="5">
      <w:numFmt w:val="bullet"/>
      <w:lvlText w:val="•"/>
      <w:lvlJc w:val="left"/>
      <w:pPr>
        <w:ind w:left="5070" w:hanging="900"/>
      </w:pPr>
      <w:rPr>
        <w:rFonts w:hint="default"/>
        <w:lang w:val="en-US" w:eastAsia="en-US" w:bidi="en-US"/>
      </w:rPr>
    </w:lvl>
    <w:lvl w:ilvl="6">
      <w:numFmt w:val="bullet"/>
      <w:lvlText w:val="•"/>
      <w:lvlJc w:val="left"/>
      <w:pPr>
        <w:ind w:left="5884" w:hanging="900"/>
      </w:pPr>
      <w:rPr>
        <w:rFonts w:hint="default"/>
        <w:lang w:val="en-US" w:eastAsia="en-US" w:bidi="en-US"/>
      </w:rPr>
    </w:lvl>
    <w:lvl w:ilvl="7">
      <w:numFmt w:val="bullet"/>
      <w:lvlText w:val="•"/>
      <w:lvlJc w:val="left"/>
      <w:pPr>
        <w:ind w:left="6698" w:hanging="900"/>
      </w:pPr>
      <w:rPr>
        <w:rFonts w:hint="default"/>
        <w:lang w:val="en-US" w:eastAsia="en-US" w:bidi="en-US"/>
      </w:rPr>
    </w:lvl>
    <w:lvl w:ilvl="8">
      <w:numFmt w:val="bullet"/>
      <w:lvlText w:val="•"/>
      <w:lvlJc w:val="left"/>
      <w:pPr>
        <w:ind w:left="7512" w:hanging="900"/>
      </w:pPr>
      <w:rPr>
        <w:rFonts w:hint="default"/>
        <w:lang w:val="en-US" w:eastAsia="en-US" w:bidi="en-US"/>
      </w:rPr>
    </w:lvl>
  </w:abstractNum>
  <w:abstractNum w:abstractNumId="15" w15:restartNumberingAfterBreak="0">
    <w:nsid w:val="49CA1BAD"/>
    <w:multiLevelType w:val="hybridMultilevel"/>
    <w:tmpl w:val="CC8E1FEE"/>
    <w:lvl w:ilvl="0" w:tplc="040A0001">
      <w:start w:val="1"/>
      <w:numFmt w:val="bullet"/>
      <w:lvlText w:val=""/>
      <w:lvlJc w:val="left"/>
      <w:pPr>
        <w:ind w:left="810" w:hanging="360"/>
      </w:pPr>
      <w:rPr>
        <w:rFonts w:ascii="Symbol" w:hAnsi="Symbol" w:hint="default"/>
      </w:rPr>
    </w:lvl>
    <w:lvl w:ilvl="1" w:tplc="040A0003" w:tentative="1">
      <w:start w:val="1"/>
      <w:numFmt w:val="bullet"/>
      <w:lvlText w:val="o"/>
      <w:lvlJc w:val="left"/>
      <w:pPr>
        <w:ind w:left="1530" w:hanging="360"/>
      </w:pPr>
      <w:rPr>
        <w:rFonts w:ascii="Courier New" w:hAnsi="Courier New" w:cs="Courier New" w:hint="default"/>
      </w:rPr>
    </w:lvl>
    <w:lvl w:ilvl="2" w:tplc="040A0005" w:tentative="1">
      <w:start w:val="1"/>
      <w:numFmt w:val="bullet"/>
      <w:lvlText w:val=""/>
      <w:lvlJc w:val="left"/>
      <w:pPr>
        <w:ind w:left="2250" w:hanging="360"/>
      </w:pPr>
      <w:rPr>
        <w:rFonts w:ascii="Wingdings" w:hAnsi="Wingdings" w:hint="default"/>
      </w:rPr>
    </w:lvl>
    <w:lvl w:ilvl="3" w:tplc="040A0001" w:tentative="1">
      <w:start w:val="1"/>
      <w:numFmt w:val="bullet"/>
      <w:lvlText w:val=""/>
      <w:lvlJc w:val="left"/>
      <w:pPr>
        <w:ind w:left="2970" w:hanging="360"/>
      </w:pPr>
      <w:rPr>
        <w:rFonts w:ascii="Symbol" w:hAnsi="Symbol" w:hint="default"/>
      </w:rPr>
    </w:lvl>
    <w:lvl w:ilvl="4" w:tplc="040A0003" w:tentative="1">
      <w:start w:val="1"/>
      <w:numFmt w:val="bullet"/>
      <w:lvlText w:val="o"/>
      <w:lvlJc w:val="left"/>
      <w:pPr>
        <w:ind w:left="3690" w:hanging="360"/>
      </w:pPr>
      <w:rPr>
        <w:rFonts w:ascii="Courier New" w:hAnsi="Courier New" w:cs="Courier New" w:hint="default"/>
      </w:rPr>
    </w:lvl>
    <w:lvl w:ilvl="5" w:tplc="040A0005" w:tentative="1">
      <w:start w:val="1"/>
      <w:numFmt w:val="bullet"/>
      <w:lvlText w:val=""/>
      <w:lvlJc w:val="left"/>
      <w:pPr>
        <w:ind w:left="4410" w:hanging="360"/>
      </w:pPr>
      <w:rPr>
        <w:rFonts w:ascii="Wingdings" w:hAnsi="Wingdings" w:hint="default"/>
      </w:rPr>
    </w:lvl>
    <w:lvl w:ilvl="6" w:tplc="040A0001" w:tentative="1">
      <w:start w:val="1"/>
      <w:numFmt w:val="bullet"/>
      <w:lvlText w:val=""/>
      <w:lvlJc w:val="left"/>
      <w:pPr>
        <w:ind w:left="5130" w:hanging="360"/>
      </w:pPr>
      <w:rPr>
        <w:rFonts w:ascii="Symbol" w:hAnsi="Symbol" w:hint="default"/>
      </w:rPr>
    </w:lvl>
    <w:lvl w:ilvl="7" w:tplc="040A0003" w:tentative="1">
      <w:start w:val="1"/>
      <w:numFmt w:val="bullet"/>
      <w:lvlText w:val="o"/>
      <w:lvlJc w:val="left"/>
      <w:pPr>
        <w:ind w:left="5850" w:hanging="360"/>
      </w:pPr>
      <w:rPr>
        <w:rFonts w:ascii="Courier New" w:hAnsi="Courier New" w:cs="Courier New" w:hint="default"/>
      </w:rPr>
    </w:lvl>
    <w:lvl w:ilvl="8" w:tplc="040A0005" w:tentative="1">
      <w:start w:val="1"/>
      <w:numFmt w:val="bullet"/>
      <w:lvlText w:val=""/>
      <w:lvlJc w:val="left"/>
      <w:pPr>
        <w:ind w:left="6570" w:hanging="360"/>
      </w:pPr>
      <w:rPr>
        <w:rFonts w:ascii="Wingdings" w:hAnsi="Wingdings" w:hint="default"/>
      </w:rPr>
    </w:lvl>
  </w:abstractNum>
  <w:abstractNum w:abstractNumId="16" w15:restartNumberingAfterBreak="0">
    <w:nsid w:val="4D0508A9"/>
    <w:multiLevelType w:val="hybridMultilevel"/>
    <w:tmpl w:val="D750A3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4185FC4"/>
    <w:multiLevelType w:val="hybridMultilevel"/>
    <w:tmpl w:val="76AE7BF6"/>
    <w:lvl w:ilvl="0" w:tplc="17EE8AA8">
      <w:start w:val="1"/>
      <w:numFmt w:val="upperLetter"/>
      <w:lvlText w:val="%1."/>
      <w:lvlJc w:val="left"/>
      <w:pPr>
        <w:ind w:left="1000" w:hanging="720"/>
      </w:pPr>
      <w:rPr>
        <w:rFonts w:ascii="Arial" w:eastAsia="Arial" w:hAnsi="Arial" w:cs="Arial" w:hint="default"/>
        <w:b/>
        <w:bCs/>
        <w:spacing w:val="0"/>
        <w:w w:val="100"/>
        <w:sz w:val="22"/>
        <w:szCs w:val="22"/>
        <w:lang w:val="en-US" w:eastAsia="en-US" w:bidi="en-US"/>
      </w:rPr>
    </w:lvl>
    <w:lvl w:ilvl="1" w:tplc="E8885E1A">
      <w:numFmt w:val="bullet"/>
      <w:lvlText w:val="•"/>
      <w:lvlJc w:val="left"/>
      <w:pPr>
        <w:ind w:left="1814" w:hanging="720"/>
      </w:pPr>
      <w:rPr>
        <w:rFonts w:hint="default"/>
        <w:lang w:val="en-US" w:eastAsia="en-US" w:bidi="en-US"/>
      </w:rPr>
    </w:lvl>
    <w:lvl w:ilvl="2" w:tplc="7F0A34EC">
      <w:numFmt w:val="bullet"/>
      <w:lvlText w:val="•"/>
      <w:lvlJc w:val="left"/>
      <w:pPr>
        <w:ind w:left="2628" w:hanging="720"/>
      </w:pPr>
      <w:rPr>
        <w:rFonts w:hint="default"/>
        <w:lang w:val="en-US" w:eastAsia="en-US" w:bidi="en-US"/>
      </w:rPr>
    </w:lvl>
    <w:lvl w:ilvl="3" w:tplc="AFD4C662">
      <w:numFmt w:val="bullet"/>
      <w:lvlText w:val="•"/>
      <w:lvlJc w:val="left"/>
      <w:pPr>
        <w:ind w:left="3442" w:hanging="720"/>
      </w:pPr>
      <w:rPr>
        <w:rFonts w:hint="default"/>
        <w:lang w:val="en-US" w:eastAsia="en-US" w:bidi="en-US"/>
      </w:rPr>
    </w:lvl>
    <w:lvl w:ilvl="4" w:tplc="3E3CDE30">
      <w:numFmt w:val="bullet"/>
      <w:lvlText w:val="•"/>
      <w:lvlJc w:val="left"/>
      <w:pPr>
        <w:ind w:left="4256" w:hanging="720"/>
      </w:pPr>
      <w:rPr>
        <w:rFonts w:hint="default"/>
        <w:lang w:val="en-US" w:eastAsia="en-US" w:bidi="en-US"/>
      </w:rPr>
    </w:lvl>
    <w:lvl w:ilvl="5" w:tplc="63CAC2FA">
      <w:numFmt w:val="bullet"/>
      <w:lvlText w:val="•"/>
      <w:lvlJc w:val="left"/>
      <w:pPr>
        <w:ind w:left="5070" w:hanging="720"/>
      </w:pPr>
      <w:rPr>
        <w:rFonts w:hint="default"/>
        <w:lang w:val="en-US" w:eastAsia="en-US" w:bidi="en-US"/>
      </w:rPr>
    </w:lvl>
    <w:lvl w:ilvl="6" w:tplc="9EE8BF0A">
      <w:numFmt w:val="bullet"/>
      <w:lvlText w:val="•"/>
      <w:lvlJc w:val="left"/>
      <w:pPr>
        <w:ind w:left="5884" w:hanging="720"/>
      </w:pPr>
      <w:rPr>
        <w:rFonts w:hint="default"/>
        <w:lang w:val="en-US" w:eastAsia="en-US" w:bidi="en-US"/>
      </w:rPr>
    </w:lvl>
    <w:lvl w:ilvl="7" w:tplc="8D86C32C">
      <w:numFmt w:val="bullet"/>
      <w:lvlText w:val="•"/>
      <w:lvlJc w:val="left"/>
      <w:pPr>
        <w:ind w:left="6698" w:hanging="720"/>
      </w:pPr>
      <w:rPr>
        <w:rFonts w:hint="default"/>
        <w:lang w:val="en-US" w:eastAsia="en-US" w:bidi="en-US"/>
      </w:rPr>
    </w:lvl>
    <w:lvl w:ilvl="8" w:tplc="EABA69C6">
      <w:numFmt w:val="bullet"/>
      <w:lvlText w:val="•"/>
      <w:lvlJc w:val="left"/>
      <w:pPr>
        <w:ind w:left="7512" w:hanging="720"/>
      </w:pPr>
      <w:rPr>
        <w:rFonts w:hint="default"/>
        <w:lang w:val="en-US" w:eastAsia="en-US" w:bidi="en-US"/>
      </w:rPr>
    </w:lvl>
  </w:abstractNum>
  <w:abstractNum w:abstractNumId="18" w15:restartNumberingAfterBreak="0">
    <w:nsid w:val="55CA6B9B"/>
    <w:multiLevelType w:val="hybridMultilevel"/>
    <w:tmpl w:val="3246F124"/>
    <w:lvl w:ilvl="0" w:tplc="F4588372">
      <w:start w:val="1"/>
      <w:numFmt w:val="lowerRoman"/>
      <w:lvlText w:val="(%1)"/>
      <w:lvlJc w:val="left"/>
      <w:pPr>
        <w:ind w:left="827" w:hanging="720"/>
      </w:pPr>
      <w:rPr>
        <w:rFonts w:hint="default"/>
      </w:rPr>
    </w:lvl>
    <w:lvl w:ilvl="1" w:tplc="040A0019" w:tentative="1">
      <w:start w:val="1"/>
      <w:numFmt w:val="lowerLetter"/>
      <w:lvlText w:val="%2."/>
      <w:lvlJc w:val="left"/>
      <w:pPr>
        <w:ind w:left="1187" w:hanging="360"/>
      </w:pPr>
    </w:lvl>
    <w:lvl w:ilvl="2" w:tplc="040A001B" w:tentative="1">
      <w:start w:val="1"/>
      <w:numFmt w:val="lowerRoman"/>
      <w:lvlText w:val="%3."/>
      <w:lvlJc w:val="right"/>
      <w:pPr>
        <w:ind w:left="1907" w:hanging="180"/>
      </w:pPr>
    </w:lvl>
    <w:lvl w:ilvl="3" w:tplc="040A000F" w:tentative="1">
      <w:start w:val="1"/>
      <w:numFmt w:val="decimal"/>
      <w:lvlText w:val="%4."/>
      <w:lvlJc w:val="left"/>
      <w:pPr>
        <w:ind w:left="2627" w:hanging="360"/>
      </w:pPr>
    </w:lvl>
    <w:lvl w:ilvl="4" w:tplc="040A0019" w:tentative="1">
      <w:start w:val="1"/>
      <w:numFmt w:val="lowerLetter"/>
      <w:lvlText w:val="%5."/>
      <w:lvlJc w:val="left"/>
      <w:pPr>
        <w:ind w:left="3347" w:hanging="360"/>
      </w:pPr>
    </w:lvl>
    <w:lvl w:ilvl="5" w:tplc="040A001B" w:tentative="1">
      <w:start w:val="1"/>
      <w:numFmt w:val="lowerRoman"/>
      <w:lvlText w:val="%6."/>
      <w:lvlJc w:val="right"/>
      <w:pPr>
        <w:ind w:left="4067" w:hanging="180"/>
      </w:pPr>
    </w:lvl>
    <w:lvl w:ilvl="6" w:tplc="040A000F" w:tentative="1">
      <w:start w:val="1"/>
      <w:numFmt w:val="decimal"/>
      <w:lvlText w:val="%7."/>
      <w:lvlJc w:val="left"/>
      <w:pPr>
        <w:ind w:left="4787" w:hanging="360"/>
      </w:pPr>
    </w:lvl>
    <w:lvl w:ilvl="7" w:tplc="040A0019" w:tentative="1">
      <w:start w:val="1"/>
      <w:numFmt w:val="lowerLetter"/>
      <w:lvlText w:val="%8."/>
      <w:lvlJc w:val="left"/>
      <w:pPr>
        <w:ind w:left="5507" w:hanging="360"/>
      </w:pPr>
    </w:lvl>
    <w:lvl w:ilvl="8" w:tplc="040A001B" w:tentative="1">
      <w:start w:val="1"/>
      <w:numFmt w:val="lowerRoman"/>
      <w:lvlText w:val="%9."/>
      <w:lvlJc w:val="right"/>
      <w:pPr>
        <w:ind w:left="6227" w:hanging="180"/>
      </w:pPr>
    </w:lvl>
  </w:abstractNum>
  <w:abstractNum w:abstractNumId="19" w15:restartNumberingAfterBreak="0">
    <w:nsid w:val="5FB0363F"/>
    <w:multiLevelType w:val="hybridMultilevel"/>
    <w:tmpl w:val="4640774E"/>
    <w:lvl w:ilvl="0" w:tplc="EED4DC84">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609923C8"/>
    <w:multiLevelType w:val="multilevel"/>
    <w:tmpl w:val="849252C8"/>
    <w:lvl w:ilvl="0">
      <w:start w:val="1"/>
      <w:numFmt w:val="upperRoman"/>
      <w:lvlText w:val="%1."/>
      <w:lvlJc w:val="center"/>
      <w:pPr>
        <w:tabs>
          <w:tab w:val="num" w:pos="360"/>
        </w:tabs>
        <w:ind w:left="28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Letter"/>
      <w:lvlRestart w:val="0"/>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1" w15:restartNumberingAfterBreak="0">
    <w:nsid w:val="64253370"/>
    <w:multiLevelType w:val="hybridMultilevel"/>
    <w:tmpl w:val="60982724"/>
    <w:lvl w:ilvl="0" w:tplc="EC225C88">
      <w:start w:val="1"/>
      <w:numFmt w:val="lowerRoman"/>
      <w:lvlText w:val="(%1)"/>
      <w:lvlJc w:val="left"/>
      <w:pPr>
        <w:ind w:left="988" w:hanging="720"/>
      </w:pPr>
      <w:rPr>
        <w:rFonts w:hint="default"/>
      </w:rPr>
    </w:lvl>
    <w:lvl w:ilvl="1" w:tplc="040A0019" w:tentative="1">
      <w:start w:val="1"/>
      <w:numFmt w:val="lowerLetter"/>
      <w:lvlText w:val="%2."/>
      <w:lvlJc w:val="left"/>
      <w:pPr>
        <w:ind w:left="1348" w:hanging="360"/>
      </w:pPr>
    </w:lvl>
    <w:lvl w:ilvl="2" w:tplc="040A001B" w:tentative="1">
      <w:start w:val="1"/>
      <w:numFmt w:val="lowerRoman"/>
      <w:lvlText w:val="%3."/>
      <w:lvlJc w:val="right"/>
      <w:pPr>
        <w:ind w:left="2068" w:hanging="180"/>
      </w:pPr>
    </w:lvl>
    <w:lvl w:ilvl="3" w:tplc="040A000F" w:tentative="1">
      <w:start w:val="1"/>
      <w:numFmt w:val="decimal"/>
      <w:lvlText w:val="%4."/>
      <w:lvlJc w:val="left"/>
      <w:pPr>
        <w:ind w:left="2788" w:hanging="360"/>
      </w:pPr>
    </w:lvl>
    <w:lvl w:ilvl="4" w:tplc="040A0019" w:tentative="1">
      <w:start w:val="1"/>
      <w:numFmt w:val="lowerLetter"/>
      <w:lvlText w:val="%5."/>
      <w:lvlJc w:val="left"/>
      <w:pPr>
        <w:ind w:left="3508" w:hanging="360"/>
      </w:pPr>
    </w:lvl>
    <w:lvl w:ilvl="5" w:tplc="040A001B" w:tentative="1">
      <w:start w:val="1"/>
      <w:numFmt w:val="lowerRoman"/>
      <w:lvlText w:val="%6."/>
      <w:lvlJc w:val="right"/>
      <w:pPr>
        <w:ind w:left="4228" w:hanging="180"/>
      </w:pPr>
    </w:lvl>
    <w:lvl w:ilvl="6" w:tplc="040A000F" w:tentative="1">
      <w:start w:val="1"/>
      <w:numFmt w:val="decimal"/>
      <w:lvlText w:val="%7."/>
      <w:lvlJc w:val="left"/>
      <w:pPr>
        <w:ind w:left="4948" w:hanging="360"/>
      </w:pPr>
    </w:lvl>
    <w:lvl w:ilvl="7" w:tplc="040A0019" w:tentative="1">
      <w:start w:val="1"/>
      <w:numFmt w:val="lowerLetter"/>
      <w:lvlText w:val="%8."/>
      <w:lvlJc w:val="left"/>
      <w:pPr>
        <w:ind w:left="5668" w:hanging="360"/>
      </w:pPr>
    </w:lvl>
    <w:lvl w:ilvl="8" w:tplc="040A001B" w:tentative="1">
      <w:start w:val="1"/>
      <w:numFmt w:val="lowerRoman"/>
      <w:lvlText w:val="%9."/>
      <w:lvlJc w:val="right"/>
      <w:pPr>
        <w:ind w:left="6388" w:hanging="180"/>
      </w:pPr>
    </w:lvl>
  </w:abstractNum>
  <w:abstractNum w:abstractNumId="22" w15:restartNumberingAfterBreak="0">
    <w:nsid w:val="64C702C3"/>
    <w:multiLevelType w:val="hybridMultilevel"/>
    <w:tmpl w:val="A4445C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7E49C3"/>
    <w:multiLevelType w:val="hybridMultilevel"/>
    <w:tmpl w:val="DF16ED32"/>
    <w:lvl w:ilvl="0" w:tplc="5B1E268A">
      <w:start w:val="1"/>
      <w:numFmt w:val="upperRoman"/>
      <w:lvlText w:val="%1."/>
      <w:lvlJc w:val="left"/>
      <w:pPr>
        <w:ind w:left="4255" w:hanging="493"/>
        <w:jc w:val="right"/>
      </w:pPr>
      <w:rPr>
        <w:rFonts w:ascii="Arial" w:eastAsia="Arial" w:hAnsi="Arial" w:cs="Arial" w:hint="default"/>
        <w:b/>
        <w:bCs/>
        <w:spacing w:val="0"/>
        <w:w w:val="100"/>
        <w:sz w:val="22"/>
        <w:szCs w:val="22"/>
        <w:lang w:val="en-US" w:eastAsia="en-US" w:bidi="en-US"/>
      </w:rPr>
    </w:lvl>
    <w:lvl w:ilvl="1" w:tplc="EBBAC854">
      <w:numFmt w:val="bullet"/>
      <w:lvlText w:val="•"/>
      <w:lvlJc w:val="left"/>
      <w:pPr>
        <w:ind w:left="4748" w:hanging="493"/>
      </w:pPr>
      <w:rPr>
        <w:rFonts w:hint="default"/>
        <w:lang w:val="en-US" w:eastAsia="en-US" w:bidi="en-US"/>
      </w:rPr>
    </w:lvl>
    <w:lvl w:ilvl="2" w:tplc="E82C8D70">
      <w:numFmt w:val="bullet"/>
      <w:lvlText w:val="•"/>
      <w:lvlJc w:val="left"/>
      <w:pPr>
        <w:ind w:left="5236" w:hanging="493"/>
      </w:pPr>
      <w:rPr>
        <w:rFonts w:hint="default"/>
        <w:lang w:val="en-US" w:eastAsia="en-US" w:bidi="en-US"/>
      </w:rPr>
    </w:lvl>
    <w:lvl w:ilvl="3" w:tplc="6FE2AFC8">
      <w:numFmt w:val="bullet"/>
      <w:lvlText w:val="•"/>
      <w:lvlJc w:val="left"/>
      <w:pPr>
        <w:ind w:left="5724" w:hanging="493"/>
      </w:pPr>
      <w:rPr>
        <w:rFonts w:hint="default"/>
        <w:lang w:val="en-US" w:eastAsia="en-US" w:bidi="en-US"/>
      </w:rPr>
    </w:lvl>
    <w:lvl w:ilvl="4" w:tplc="01B86382">
      <w:numFmt w:val="bullet"/>
      <w:lvlText w:val="•"/>
      <w:lvlJc w:val="left"/>
      <w:pPr>
        <w:ind w:left="6212" w:hanging="493"/>
      </w:pPr>
      <w:rPr>
        <w:rFonts w:hint="default"/>
        <w:lang w:val="en-US" w:eastAsia="en-US" w:bidi="en-US"/>
      </w:rPr>
    </w:lvl>
    <w:lvl w:ilvl="5" w:tplc="E230E892">
      <w:numFmt w:val="bullet"/>
      <w:lvlText w:val="•"/>
      <w:lvlJc w:val="left"/>
      <w:pPr>
        <w:ind w:left="6700" w:hanging="493"/>
      </w:pPr>
      <w:rPr>
        <w:rFonts w:hint="default"/>
        <w:lang w:val="en-US" w:eastAsia="en-US" w:bidi="en-US"/>
      </w:rPr>
    </w:lvl>
    <w:lvl w:ilvl="6" w:tplc="DB502844">
      <w:numFmt w:val="bullet"/>
      <w:lvlText w:val="•"/>
      <w:lvlJc w:val="left"/>
      <w:pPr>
        <w:ind w:left="7188" w:hanging="493"/>
      </w:pPr>
      <w:rPr>
        <w:rFonts w:hint="default"/>
        <w:lang w:val="en-US" w:eastAsia="en-US" w:bidi="en-US"/>
      </w:rPr>
    </w:lvl>
    <w:lvl w:ilvl="7" w:tplc="1C96F3A4">
      <w:numFmt w:val="bullet"/>
      <w:lvlText w:val="•"/>
      <w:lvlJc w:val="left"/>
      <w:pPr>
        <w:ind w:left="7676" w:hanging="493"/>
      </w:pPr>
      <w:rPr>
        <w:rFonts w:hint="default"/>
        <w:lang w:val="en-US" w:eastAsia="en-US" w:bidi="en-US"/>
      </w:rPr>
    </w:lvl>
    <w:lvl w:ilvl="8" w:tplc="5E4C10B0">
      <w:numFmt w:val="bullet"/>
      <w:lvlText w:val="•"/>
      <w:lvlJc w:val="left"/>
      <w:pPr>
        <w:ind w:left="8164" w:hanging="493"/>
      </w:pPr>
      <w:rPr>
        <w:rFonts w:hint="default"/>
        <w:lang w:val="en-US" w:eastAsia="en-US" w:bidi="en-US"/>
      </w:rPr>
    </w:lvl>
  </w:abstractNum>
  <w:abstractNum w:abstractNumId="24" w15:restartNumberingAfterBreak="0">
    <w:nsid w:val="6BC66BCD"/>
    <w:multiLevelType w:val="hybridMultilevel"/>
    <w:tmpl w:val="BE3CB9BE"/>
    <w:lvl w:ilvl="0" w:tplc="040A0001">
      <w:start w:val="1"/>
      <w:numFmt w:val="bullet"/>
      <w:lvlText w:val=""/>
      <w:lvlJc w:val="left"/>
      <w:pPr>
        <w:ind w:left="810" w:hanging="360"/>
      </w:pPr>
      <w:rPr>
        <w:rFonts w:ascii="Symbol" w:hAnsi="Symbol" w:hint="default"/>
      </w:rPr>
    </w:lvl>
    <w:lvl w:ilvl="1" w:tplc="040A0003" w:tentative="1">
      <w:start w:val="1"/>
      <w:numFmt w:val="bullet"/>
      <w:lvlText w:val="o"/>
      <w:lvlJc w:val="left"/>
      <w:pPr>
        <w:ind w:left="1530" w:hanging="360"/>
      </w:pPr>
      <w:rPr>
        <w:rFonts w:ascii="Courier New" w:hAnsi="Courier New" w:cs="Courier New" w:hint="default"/>
      </w:rPr>
    </w:lvl>
    <w:lvl w:ilvl="2" w:tplc="040A0005" w:tentative="1">
      <w:start w:val="1"/>
      <w:numFmt w:val="bullet"/>
      <w:lvlText w:val=""/>
      <w:lvlJc w:val="left"/>
      <w:pPr>
        <w:ind w:left="2250" w:hanging="360"/>
      </w:pPr>
      <w:rPr>
        <w:rFonts w:ascii="Wingdings" w:hAnsi="Wingdings" w:hint="default"/>
      </w:rPr>
    </w:lvl>
    <w:lvl w:ilvl="3" w:tplc="040A0001" w:tentative="1">
      <w:start w:val="1"/>
      <w:numFmt w:val="bullet"/>
      <w:lvlText w:val=""/>
      <w:lvlJc w:val="left"/>
      <w:pPr>
        <w:ind w:left="2970" w:hanging="360"/>
      </w:pPr>
      <w:rPr>
        <w:rFonts w:ascii="Symbol" w:hAnsi="Symbol" w:hint="default"/>
      </w:rPr>
    </w:lvl>
    <w:lvl w:ilvl="4" w:tplc="040A0003" w:tentative="1">
      <w:start w:val="1"/>
      <w:numFmt w:val="bullet"/>
      <w:lvlText w:val="o"/>
      <w:lvlJc w:val="left"/>
      <w:pPr>
        <w:ind w:left="3690" w:hanging="360"/>
      </w:pPr>
      <w:rPr>
        <w:rFonts w:ascii="Courier New" w:hAnsi="Courier New" w:cs="Courier New" w:hint="default"/>
      </w:rPr>
    </w:lvl>
    <w:lvl w:ilvl="5" w:tplc="040A0005" w:tentative="1">
      <w:start w:val="1"/>
      <w:numFmt w:val="bullet"/>
      <w:lvlText w:val=""/>
      <w:lvlJc w:val="left"/>
      <w:pPr>
        <w:ind w:left="4410" w:hanging="360"/>
      </w:pPr>
      <w:rPr>
        <w:rFonts w:ascii="Wingdings" w:hAnsi="Wingdings" w:hint="default"/>
      </w:rPr>
    </w:lvl>
    <w:lvl w:ilvl="6" w:tplc="040A0001" w:tentative="1">
      <w:start w:val="1"/>
      <w:numFmt w:val="bullet"/>
      <w:lvlText w:val=""/>
      <w:lvlJc w:val="left"/>
      <w:pPr>
        <w:ind w:left="5130" w:hanging="360"/>
      </w:pPr>
      <w:rPr>
        <w:rFonts w:ascii="Symbol" w:hAnsi="Symbol" w:hint="default"/>
      </w:rPr>
    </w:lvl>
    <w:lvl w:ilvl="7" w:tplc="040A0003" w:tentative="1">
      <w:start w:val="1"/>
      <w:numFmt w:val="bullet"/>
      <w:lvlText w:val="o"/>
      <w:lvlJc w:val="left"/>
      <w:pPr>
        <w:ind w:left="5850" w:hanging="360"/>
      </w:pPr>
      <w:rPr>
        <w:rFonts w:ascii="Courier New" w:hAnsi="Courier New" w:cs="Courier New" w:hint="default"/>
      </w:rPr>
    </w:lvl>
    <w:lvl w:ilvl="8" w:tplc="040A0005" w:tentative="1">
      <w:start w:val="1"/>
      <w:numFmt w:val="bullet"/>
      <w:lvlText w:val=""/>
      <w:lvlJc w:val="left"/>
      <w:pPr>
        <w:ind w:left="6570" w:hanging="360"/>
      </w:pPr>
      <w:rPr>
        <w:rFonts w:ascii="Wingdings" w:hAnsi="Wingdings" w:hint="default"/>
      </w:rPr>
    </w:lvl>
  </w:abstractNum>
  <w:abstractNum w:abstractNumId="25" w15:restartNumberingAfterBreak="0">
    <w:nsid w:val="6E3E1E35"/>
    <w:multiLevelType w:val="hybridMultilevel"/>
    <w:tmpl w:val="E042C29A"/>
    <w:lvl w:ilvl="0" w:tplc="4A2CC79C">
      <w:start w:val="1"/>
      <w:numFmt w:val="lowerRoman"/>
      <w:lvlText w:val="%1."/>
      <w:lvlJc w:val="right"/>
      <w:pPr>
        <w:ind w:left="720" w:hanging="360"/>
      </w:pPr>
      <w:rPr>
        <w:b/>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35D1422"/>
    <w:multiLevelType w:val="hybridMultilevel"/>
    <w:tmpl w:val="58C28098"/>
    <w:lvl w:ilvl="0" w:tplc="31644BB2">
      <w:start w:val="1"/>
      <w:numFmt w:val="lowerRoman"/>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7" w15:restartNumberingAfterBreak="0">
    <w:nsid w:val="73AE35EC"/>
    <w:multiLevelType w:val="multilevel"/>
    <w:tmpl w:val="292E23E4"/>
    <w:lvl w:ilvl="0">
      <w:start w:val="3"/>
      <w:numFmt w:val="decimal"/>
      <w:lvlText w:val="%1"/>
      <w:lvlJc w:val="left"/>
      <w:pPr>
        <w:ind w:left="800" w:hanging="629"/>
      </w:pPr>
      <w:rPr>
        <w:rFonts w:hint="default"/>
        <w:lang w:val="en-US" w:eastAsia="en-US" w:bidi="en-US"/>
      </w:rPr>
    </w:lvl>
    <w:lvl w:ilvl="1">
      <w:start w:val="1"/>
      <w:numFmt w:val="decimal"/>
      <w:lvlText w:val="%1.%2"/>
      <w:lvlJc w:val="left"/>
      <w:pPr>
        <w:ind w:left="800" w:hanging="629"/>
      </w:pPr>
      <w:rPr>
        <w:rFonts w:ascii="Arial" w:eastAsia="Arial" w:hAnsi="Arial" w:cs="Arial" w:hint="default"/>
        <w:w w:val="100"/>
        <w:sz w:val="22"/>
        <w:szCs w:val="22"/>
        <w:lang w:val="en-US" w:eastAsia="en-US" w:bidi="en-US"/>
      </w:rPr>
    </w:lvl>
    <w:lvl w:ilvl="2">
      <w:start w:val="1"/>
      <w:numFmt w:val="lowerLetter"/>
      <w:lvlText w:val="%3."/>
      <w:lvlJc w:val="left"/>
      <w:pPr>
        <w:ind w:left="1232" w:hanging="432"/>
      </w:pPr>
      <w:rPr>
        <w:rFonts w:ascii="Arial" w:eastAsia="Arial" w:hAnsi="Arial" w:cs="Arial" w:hint="default"/>
        <w:spacing w:val="-1"/>
        <w:w w:val="100"/>
        <w:sz w:val="22"/>
        <w:szCs w:val="22"/>
        <w:lang w:val="en-US" w:eastAsia="en-US" w:bidi="en-US"/>
      </w:rPr>
    </w:lvl>
    <w:lvl w:ilvl="3">
      <w:numFmt w:val="bullet"/>
      <w:lvlText w:val="•"/>
      <w:lvlJc w:val="left"/>
      <w:pPr>
        <w:ind w:left="2928" w:hanging="432"/>
      </w:pPr>
      <w:rPr>
        <w:rFonts w:hint="default"/>
        <w:lang w:val="en-US" w:eastAsia="en-US" w:bidi="en-US"/>
      </w:rPr>
    </w:lvl>
    <w:lvl w:ilvl="4">
      <w:numFmt w:val="bullet"/>
      <w:lvlText w:val="•"/>
      <w:lvlJc w:val="left"/>
      <w:pPr>
        <w:ind w:left="3773" w:hanging="432"/>
      </w:pPr>
      <w:rPr>
        <w:rFonts w:hint="default"/>
        <w:lang w:val="en-US" w:eastAsia="en-US" w:bidi="en-US"/>
      </w:rPr>
    </w:lvl>
    <w:lvl w:ilvl="5">
      <w:numFmt w:val="bullet"/>
      <w:lvlText w:val="•"/>
      <w:lvlJc w:val="left"/>
      <w:pPr>
        <w:ind w:left="4617" w:hanging="432"/>
      </w:pPr>
      <w:rPr>
        <w:rFonts w:hint="default"/>
        <w:lang w:val="en-US" w:eastAsia="en-US" w:bidi="en-US"/>
      </w:rPr>
    </w:lvl>
    <w:lvl w:ilvl="6">
      <w:numFmt w:val="bullet"/>
      <w:lvlText w:val="•"/>
      <w:lvlJc w:val="left"/>
      <w:pPr>
        <w:ind w:left="5462" w:hanging="432"/>
      </w:pPr>
      <w:rPr>
        <w:rFonts w:hint="default"/>
        <w:lang w:val="en-US" w:eastAsia="en-US" w:bidi="en-US"/>
      </w:rPr>
    </w:lvl>
    <w:lvl w:ilvl="7">
      <w:numFmt w:val="bullet"/>
      <w:lvlText w:val="•"/>
      <w:lvlJc w:val="left"/>
      <w:pPr>
        <w:ind w:left="6306" w:hanging="432"/>
      </w:pPr>
      <w:rPr>
        <w:rFonts w:hint="default"/>
        <w:lang w:val="en-US" w:eastAsia="en-US" w:bidi="en-US"/>
      </w:rPr>
    </w:lvl>
    <w:lvl w:ilvl="8">
      <w:numFmt w:val="bullet"/>
      <w:lvlText w:val="•"/>
      <w:lvlJc w:val="left"/>
      <w:pPr>
        <w:ind w:left="7151" w:hanging="432"/>
      </w:pPr>
      <w:rPr>
        <w:rFonts w:hint="default"/>
        <w:lang w:val="en-US" w:eastAsia="en-US" w:bidi="en-US"/>
      </w:rPr>
    </w:lvl>
  </w:abstractNum>
  <w:abstractNum w:abstractNumId="28" w15:restartNumberingAfterBreak="0">
    <w:nsid w:val="75441334"/>
    <w:multiLevelType w:val="multilevel"/>
    <w:tmpl w:val="DFEC108A"/>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3"/>
  </w:num>
  <w:num w:numId="2">
    <w:abstractNumId w:val="27"/>
  </w:num>
  <w:num w:numId="3">
    <w:abstractNumId w:val="14"/>
  </w:num>
  <w:num w:numId="4">
    <w:abstractNumId w:val="17"/>
  </w:num>
  <w:num w:numId="5">
    <w:abstractNumId w:val="6"/>
  </w:num>
  <w:num w:numId="6">
    <w:abstractNumId w:val="23"/>
  </w:num>
  <w:num w:numId="7">
    <w:abstractNumId w:val="9"/>
  </w:num>
  <w:num w:numId="8">
    <w:abstractNumId w:val="22"/>
  </w:num>
  <w:num w:numId="9">
    <w:abstractNumId w:val="5"/>
  </w:num>
  <w:num w:numId="10">
    <w:abstractNumId w:val="2"/>
  </w:num>
  <w:num w:numId="11">
    <w:abstractNumId w:val="4"/>
  </w:num>
  <w:num w:numId="12">
    <w:abstractNumId w:val="16"/>
  </w:num>
  <w:num w:numId="13">
    <w:abstractNumId w:val="12"/>
  </w:num>
  <w:num w:numId="14">
    <w:abstractNumId w:val="28"/>
  </w:num>
  <w:num w:numId="15">
    <w:abstractNumId w:val="0"/>
  </w:num>
  <w:num w:numId="16">
    <w:abstractNumId w:val="18"/>
  </w:num>
  <w:num w:numId="17">
    <w:abstractNumId w:val="21"/>
  </w:num>
  <w:num w:numId="18">
    <w:abstractNumId w:val="1"/>
  </w:num>
  <w:num w:numId="19">
    <w:abstractNumId w:val="15"/>
  </w:num>
  <w:num w:numId="20">
    <w:abstractNumId w:val="24"/>
  </w:num>
  <w:num w:numId="21">
    <w:abstractNumId w:val="13"/>
  </w:num>
  <w:num w:numId="22">
    <w:abstractNumId w:val="20"/>
  </w:num>
  <w:num w:numId="23">
    <w:abstractNumId w:val="8"/>
  </w:num>
  <w:num w:numId="24">
    <w:abstractNumId w:val="7"/>
  </w:num>
  <w:num w:numId="25">
    <w:abstractNumId w:val="19"/>
  </w:num>
  <w:num w:numId="26">
    <w:abstractNumId w:val="11"/>
  </w:num>
  <w:num w:numId="27">
    <w:abstractNumId w:val="10"/>
  </w:num>
  <w:num w:numId="28">
    <w:abstractNumId w:val="26"/>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2049">
      <o:colormru v:ext="edit" colors="#f8f8f8"/>
    </o:shapedefaults>
  </w:hdrShapeDefaults>
  <w:footnotePr>
    <w:footnote w:id="-1"/>
    <w:footnote w:id="0"/>
    <w:footnote w:id="1"/>
  </w:footnotePr>
  <w:endnotePr>
    <w:endnote w:id="-1"/>
    <w:endnote w:id="0"/>
    <w:endnote w:id="1"/>
  </w:endnotePr>
  <w:compat>
    <w:ulTrailSpace/>
    <w:compatSetting w:name="compatibilityMode" w:uri="http://schemas.microsoft.com/office/word" w:val="12"/>
    <w:compatSetting w:name="useWord2013TrackBottomHyphenation" w:uri="http://schemas.microsoft.com/office/word" w:val="1"/>
  </w:compat>
  <w:rsids>
    <w:rsidRoot w:val="00733E6D"/>
    <w:rsid w:val="0000072B"/>
    <w:rsid w:val="0000545E"/>
    <w:rsid w:val="00011297"/>
    <w:rsid w:val="000115E3"/>
    <w:rsid w:val="00011FF2"/>
    <w:rsid w:val="000128B8"/>
    <w:rsid w:val="00015590"/>
    <w:rsid w:val="00016E0A"/>
    <w:rsid w:val="000206F3"/>
    <w:rsid w:val="00021315"/>
    <w:rsid w:val="00024451"/>
    <w:rsid w:val="00025B1A"/>
    <w:rsid w:val="00025F19"/>
    <w:rsid w:val="000262A7"/>
    <w:rsid w:val="000308D9"/>
    <w:rsid w:val="0004037F"/>
    <w:rsid w:val="00041269"/>
    <w:rsid w:val="00041C30"/>
    <w:rsid w:val="00042297"/>
    <w:rsid w:val="00042CA8"/>
    <w:rsid w:val="00044039"/>
    <w:rsid w:val="00050B4D"/>
    <w:rsid w:val="00051F82"/>
    <w:rsid w:val="000562B9"/>
    <w:rsid w:val="00061964"/>
    <w:rsid w:val="00064A93"/>
    <w:rsid w:val="00065E2D"/>
    <w:rsid w:val="00067A7A"/>
    <w:rsid w:val="00067F9F"/>
    <w:rsid w:val="00073BC4"/>
    <w:rsid w:val="00076A46"/>
    <w:rsid w:val="00077C81"/>
    <w:rsid w:val="000816A5"/>
    <w:rsid w:val="000846AC"/>
    <w:rsid w:val="00085388"/>
    <w:rsid w:val="0008631A"/>
    <w:rsid w:val="00087230"/>
    <w:rsid w:val="000931A6"/>
    <w:rsid w:val="00095DA9"/>
    <w:rsid w:val="00097EE1"/>
    <w:rsid w:val="000A24D2"/>
    <w:rsid w:val="000B0635"/>
    <w:rsid w:val="000B1BE9"/>
    <w:rsid w:val="000B5008"/>
    <w:rsid w:val="000C656D"/>
    <w:rsid w:val="000C7417"/>
    <w:rsid w:val="000D0350"/>
    <w:rsid w:val="000D0B84"/>
    <w:rsid w:val="000D1613"/>
    <w:rsid w:val="000D3AE7"/>
    <w:rsid w:val="000D5FC3"/>
    <w:rsid w:val="000D7532"/>
    <w:rsid w:val="000E5689"/>
    <w:rsid w:val="000E6028"/>
    <w:rsid w:val="000E6459"/>
    <w:rsid w:val="000E6B49"/>
    <w:rsid w:val="000E7461"/>
    <w:rsid w:val="000E7F23"/>
    <w:rsid w:val="000F1307"/>
    <w:rsid w:val="000F1B77"/>
    <w:rsid w:val="000F2CC2"/>
    <w:rsid w:val="000F531C"/>
    <w:rsid w:val="000F5C5A"/>
    <w:rsid w:val="000F698B"/>
    <w:rsid w:val="000F6F6B"/>
    <w:rsid w:val="000F7CBC"/>
    <w:rsid w:val="00102EA3"/>
    <w:rsid w:val="001066F7"/>
    <w:rsid w:val="001115C7"/>
    <w:rsid w:val="00112241"/>
    <w:rsid w:val="00114180"/>
    <w:rsid w:val="00117E24"/>
    <w:rsid w:val="00121473"/>
    <w:rsid w:val="00124D10"/>
    <w:rsid w:val="00126D63"/>
    <w:rsid w:val="0014031E"/>
    <w:rsid w:val="001419F6"/>
    <w:rsid w:val="00141CD5"/>
    <w:rsid w:val="00142442"/>
    <w:rsid w:val="001479C6"/>
    <w:rsid w:val="00152FD7"/>
    <w:rsid w:val="001601E4"/>
    <w:rsid w:val="00161065"/>
    <w:rsid w:val="0016275A"/>
    <w:rsid w:val="001636E8"/>
    <w:rsid w:val="00164A61"/>
    <w:rsid w:val="00176A98"/>
    <w:rsid w:val="00180B79"/>
    <w:rsid w:val="0018355A"/>
    <w:rsid w:val="0018490F"/>
    <w:rsid w:val="00186402"/>
    <w:rsid w:val="001870D5"/>
    <w:rsid w:val="00187DED"/>
    <w:rsid w:val="00190D10"/>
    <w:rsid w:val="00190ECC"/>
    <w:rsid w:val="001963C6"/>
    <w:rsid w:val="001A2D98"/>
    <w:rsid w:val="001A3B80"/>
    <w:rsid w:val="001A4680"/>
    <w:rsid w:val="001A598E"/>
    <w:rsid w:val="001B0D46"/>
    <w:rsid w:val="001B1946"/>
    <w:rsid w:val="001B64D6"/>
    <w:rsid w:val="001C4EB4"/>
    <w:rsid w:val="001C53C0"/>
    <w:rsid w:val="001C5626"/>
    <w:rsid w:val="001C5694"/>
    <w:rsid w:val="001C6E4A"/>
    <w:rsid w:val="001D33A8"/>
    <w:rsid w:val="001D3AD5"/>
    <w:rsid w:val="001D4112"/>
    <w:rsid w:val="001D5998"/>
    <w:rsid w:val="001D7A8B"/>
    <w:rsid w:val="001E0649"/>
    <w:rsid w:val="001E077C"/>
    <w:rsid w:val="001E1C5F"/>
    <w:rsid w:val="001E5EE2"/>
    <w:rsid w:val="001E787C"/>
    <w:rsid w:val="001F08BC"/>
    <w:rsid w:val="001F45A5"/>
    <w:rsid w:val="001F644D"/>
    <w:rsid w:val="001F668C"/>
    <w:rsid w:val="002007FC"/>
    <w:rsid w:val="0020339D"/>
    <w:rsid w:val="00205A41"/>
    <w:rsid w:val="00206281"/>
    <w:rsid w:val="002064CD"/>
    <w:rsid w:val="002101EA"/>
    <w:rsid w:val="002105B0"/>
    <w:rsid w:val="00215B49"/>
    <w:rsid w:val="002243E4"/>
    <w:rsid w:val="00224F3D"/>
    <w:rsid w:val="00225800"/>
    <w:rsid w:val="00226554"/>
    <w:rsid w:val="00227689"/>
    <w:rsid w:val="0022784B"/>
    <w:rsid w:val="002313D2"/>
    <w:rsid w:val="00232411"/>
    <w:rsid w:val="00233264"/>
    <w:rsid w:val="0023517D"/>
    <w:rsid w:val="00235715"/>
    <w:rsid w:val="0023590C"/>
    <w:rsid w:val="00236C3E"/>
    <w:rsid w:val="00241806"/>
    <w:rsid w:val="00242BAA"/>
    <w:rsid w:val="00243EFE"/>
    <w:rsid w:val="00246750"/>
    <w:rsid w:val="002501EE"/>
    <w:rsid w:val="002505F4"/>
    <w:rsid w:val="00250BA9"/>
    <w:rsid w:val="0025205A"/>
    <w:rsid w:val="0025312D"/>
    <w:rsid w:val="00255791"/>
    <w:rsid w:val="002563F6"/>
    <w:rsid w:val="0025722E"/>
    <w:rsid w:val="002659DF"/>
    <w:rsid w:val="002760AA"/>
    <w:rsid w:val="00281484"/>
    <w:rsid w:val="00282662"/>
    <w:rsid w:val="00286482"/>
    <w:rsid w:val="00295023"/>
    <w:rsid w:val="00295128"/>
    <w:rsid w:val="00295962"/>
    <w:rsid w:val="00295F9E"/>
    <w:rsid w:val="0029732B"/>
    <w:rsid w:val="002A4831"/>
    <w:rsid w:val="002A5102"/>
    <w:rsid w:val="002A520C"/>
    <w:rsid w:val="002A6786"/>
    <w:rsid w:val="002A6D45"/>
    <w:rsid w:val="002B05C6"/>
    <w:rsid w:val="002B1708"/>
    <w:rsid w:val="002B1982"/>
    <w:rsid w:val="002B1BB1"/>
    <w:rsid w:val="002B2E5B"/>
    <w:rsid w:val="002B5A7F"/>
    <w:rsid w:val="002C3F45"/>
    <w:rsid w:val="002C4A35"/>
    <w:rsid w:val="002C4CFE"/>
    <w:rsid w:val="002C54FB"/>
    <w:rsid w:val="002D3FC2"/>
    <w:rsid w:val="002D6E22"/>
    <w:rsid w:val="002D6E5B"/>
    <w:rsid w:val="002E0BC4"/>
    <w:rsid w:val="002E13D1"/>
    <w:rsid w:val="002E1885"/>
    <w:rsid w:val="002E1AC6"/>
    <w:rsid w:val="002E390D"/>
    <w:rsid w:val="002E39F0"/>
    <w:rsid w:val="002E5729"/>
    <w:rsid w:val="002F0BDD"/>
    <w:rsid w:val="002F0F7B"/>
    <w:rsid w:val="002F617E"/>
    <w:rsid w:val="002F6426"/>
    <w:rsid w:val="003036F8"/>
    <w:rsid w:val="00305EFD"/>
    <w:rsid w:val="00307049"/>
    <w:rsid w:val="00310292"/>
    <w:rsid w:val="003151AA"/>
    <w:rsid w:val="00315C12"/>
    <w:rsid w:val="003209A4"/>
    <w:rsid w:val="00321C4B"/>
    <w:rsid w:val="00324A9C"/>
    <w:rsid w:val="00324DA0"/>
    <w:rsid w:val="00325D52"/>
    <w:rsid w:val="00326525"/>
    <w:rsid w:val="003276B8"/>
    <w:rsid w:val="003325E6"/>
    <w:rsid w:val="0034210A"/>
    <w:rsid w:val="00343B56"/>
    <w:rsid w:val="00343FAF"/>
    <w:rsid w:val="0034699B"/>
    <w:rsid w:val="00356EAD"/>
    <w:rsid w:val="00360000"/>
    <w:rsid w:val="0036312D"/>
    <w:rsid w:val="00363615"/>
    <w:rsid w:val="003645FD"/>
    <w:rsid w:val="003647C4"/>
    <w:rsid w:val="00365388"/>
    <w:rsid w:val="003706D3"/>
    <w:rsid w:val="00374431"/>
    <w:rsid w:val="00375E64"/>
    <w:rsid w:val="00377B4C"/>
    <w:rsid w:val="00377D5C"/>
    <w:rsid w:val="00391980"/>
    <w:rsid w:val="00392C86"/>
    <w:rsid w:val="003942A7"/>
    <w:rsid w:val="003A7857"/>
    <w:rsid w:val="003B086F"/>
    <w:rsid w:val="003B1F51"/>
    <w:rsid w:val="003B4C49"/>
    <w:rsid w:val="003B588E"/>
    <w:rsid w:val="003B76AB"/>
    <w:rsid w:val="003C25D6"/>
    <w:rsid w:val="003C32BC"/>
    <w:rsid w:val="003C6A25"/>
    <w:rsid w:val="003C6BDF"/>
    <w:rsid w:val="003D097C"/>
    <w:rsid w:val="003D29E5"/>
    <w:rsid w:val="003D2DCC"/>
    <w:rsid w:val="003D4D8B"/>
    <w:rsid w:val="003D5EDC"/>
    <w:rsid w:val="003D60F0"/>
    <w:rsid w:val="003D6455"/>
    <w:rsid w:val="003E40E2"/>
    <w:rsid w:val="003E72BD"/>
    <w:rsid w:val="003F268E"/>
    <w:rsid w:val="003F5765"/>
    <w:rsid w:val="00400523"/>
    <w:rsid w:val="004029B0"/>
    <w:rsid w:val="00402CB9"/>
    <w:rsid w:val="0040493A"/>
    <w:rsid w:val="00405986"/>
    <w:rsid w:val="00410405"/>
    <w:rsid w:val="004105CE"/>
    <w:rsid w:val="004117F4"/>
    <w:rsid w:val="00414306"/>
    <w:rsid w:val="00414F67"/>
    <w:rsid w:val="00420817"/>
    <w:rsid w:val="004231DE"/>
    <w:rsid w:val="00424A27"/>
    <w:rsid w:val="00432084"/>
    <w:rsid w:val="00435D86"/>
    <w:rsid w:val="00435F9B"/>
    <w:rsid w:val="0043603A"/>
    <w:rsid w:val="00437B74"/>
    <w:rsid w:val="00441844"/>
    <w:rsid w:val="00443337"/>
    <w:rsid w:val="004447ED"/>
    <w:rsid w:val="004469DD"/>
    <w:rsid w:val="004475B9"/>
    <w:rsid w:val="00447888"/>
    <w:rsid w:val="00452189"/>
    <w:rsid w:val="00452F77"/>
    <w:rsid w:val="00454E3E"/>
    <w:rsid w:val="00454EF7"/>
    <w:rsid w:val="004558B3"/>
    <w:rsid w:val="00455EED"/>
    <w:rsid w:val="004614F7"/>
    <w:rsid w:val="0046628C"/>
    <w:rsid w:val="004700AC"/>
    <w:rsid w:val="00470289"/>
    <w:rsid w:val="0047151D"/>
    <w:rsid w:val="004724B5"/>
    <w:rsid w:val="0047326E"/>
    <w:rsid w:val="00477398"/>
    <w:rsid w:val="004804E9"/>
    <w:rsid w:val="00481292"/>
    <w:rsid w:val="00481680"/>
    <w:rsid w:val="00482CED"/>
    <w:rsid w:val="004843A2"/>
    <w:rsid w:val="00490CEC"/>
    <w:rsid w:val="00491CBF"/>
    <w:rsid w:val="00493B90"/>
    <w:rsid w:val="00497AB5"/>
    <w:rsid w:val="004A0291"/>
    <w:rsid w:val="004A1803"/>
    <w:rsid w:val="004A4616"/>
    <w:rsid w:val="004A480E"/>
    <w:rsid w:val="004A49AA"/>
    <w:rsid w:val="004A52C7"/>
    <w:rsid w:val="004A539A"/>
    <w:rsid w:val="004A64FD"/>
    <w:rsid w:val="004A78DD"/>
    <w:rsid w:val="004B643D"/>
    <w:rsid w:val="004C08F2"/>
    <w:rsid w:val="004C58AA"/>
    <w:rsid w:val="004D0132"/>
    <w:rsid w:val="004D128C"/>
    <w:rsid w:val="004D46F5"/>
    <w:rsid w:val="004D47CB"/>
    <w:rsid w:val="004D492C"/>
    <w:rsid w:val="004D742B"/>
    <w:rsid w:val="004E17A7"/>
    <w:rsid w:val="004E215C"/>
    <w:rsid w:val="004E39CE"/>
    <w:rsid w:val="004E4CA5"/>
    <w:rsid w:val="004E57AE"/>
    <w:rsid w:val="004E5AF3"/>
    <w:rsid w:val="004E613B"/>
    <w:rsid w:val="004F0278"/>
    <w:rsid w:val="004F34FE"/>
    <w:rsid w:val="004F4117"/>
    <w:rsid w:val="004F55B3"/>
    <w:rsid w:val="005026C8"/>
    <w:rsid w:val="00502B9F"/>
    <w:rsid w:val="005063FB"/>
    <w:rsid w:val="005065F8"/>
    <w:rsid w:val="00506A17"/>
    <w:rsid w:val="005078BF"/>
    <w:rsid w:val="00510F64"/>
    <w:rsid w:val="0051379B"/>
    <w:rsid w:val="00514395"/>
    <w:rsid w:val="005204E6"/>
    <w:rsid w:val="00521371"/>
    <w:rsid w:val="00521CC6"/>
    <w:rsid w:val="005223AD"/>
    <w:rsid w:val="00526F75"/>
    <w:rsid w:val="005274A6"/>
    <w:rsid w:val="005300FB"/>
    <w:rsid w:val="0053099B"/>
    <w:rsid w:val="00532842"/>
    <w:rsid w:val="005366BA"/>
    <w:rsid w:val="00536F03"/>
    <w:rsid w:val="00543AB8"/>
    <w:rsid w:val="005448E9"/>
    <w:rsid w:val="00544D68"/>
    <w:rsid w:val="00545640"/>
    <w:rsid w:val="005472EC"/>
    <w:rsid w:val="00553C34"/>
    <w:rsid w:val="00553CFF"/>
    <w:rsid w:val="00557FB6"/>
    <w:rsid w:val="005602C2"/>
    <w:rsid w:val="00561450"/>
    <w:rsid w:val="00563885"/>
    <w:rsid w:val="00564729"/>
    <w:rsid w:val="00566E87"/>
    <w:rsid w:val="005706F5"/>
    <w:rsid w:val="005812DE"/>
    <w:rsid w:val="00587924"/>
    <w:rsid w:val="005904AC"/>
    <w:rsid w:val="00593AEA"/>
    <w:rsid w:val="00595AE0"/>
    <w:rsid w:val="005A2734"/>
    <w:rsid w:val="005B58E5"/>
    <w:rsid w:val="005D1837"/>
    <w:rsid w:val="005D5184"/>
    <w:rsid w:val="005D6F3D"/>
    <w:rsid w:val="005E67D1"/>
    <w:rsid w:val="005E6D58"/>
    <w:rsid w:val="005E7501"/>
    <w:rsid w:val="005F02CC"/>
    <w:rsid w:val="005F04BB"/>
    <w:rsid w:val="005F0C5F"/>
    <w:rsid w:val="005F3B9B"/>
    <w:rsid w:val="005F565E"/>
    <w:rsid w:val="00601CFA"/>
    <w:rsid w:val="0060448F"/>
    <w:rsid w:val="00606F11"/>
    <w:rsid w:val="00615FEE"/>
    <w:rsid w:val="00616BA4"/>
    <w:rsid w:val="00620A3F"/>
    <w:rsid w:val="00622BB1"/>
    <w:rsid w:val="00622C30"/>
    <w:rsid w:val="00625048"/>
    <w:rsid w:val="00633D36"/>
    <w:rsid w:val="00634FA6"/>
    <w:rsid w:val="00640785"/>
    <w:rsid w:val="00641EC0"/>
    <w:rsid w:val="00642EAB"/>
    <w:rsid w:val="00645734"/>
    <w:rsid w:val="00650AD0"/>
    <w:rsid w:val="00652491"/>
    <w:rsid w:val="0065606E"/>
    <w:rsid w:val="00661326"/>
    <w:rsid w:val="006620D9"/>
    <w:rsid w:val="0066358C"/>
    <w:rsid w:val="00663CF6"/>
    <w:rsid w:val="00664900"/>
    <w:rsid w:val="00665E5B"/>
    <w:rsid w:val="006666B6"/>
    <w:rsid w:val="0067161B"/>
    <w:rsid w:val="00672172"/>
    <w:rsid w:val="006757DB"/>
    <w:rsid w:val="00680937"/>
    <w:rsid w:val="00683F16"/>
    <w:rsid w:val="00685CDB"/>
    <w:rsid w:val="006873B8"/>
    <w:rsid w:val="006915FB"/>
    <w:rsid w:val="00692137"/>
    <w:rsid w:val="00692299"/>
    <w:rsid w:val="00692303"/>
    <w:rsid w:val="006931B5"/>
    <w:rsid w:val="0069483C"/>
    <w:rsid w:val="0069571F"/>
    <w:rsid w:val="006A04C5"/>
    <w:rsid w:val="006A1232"/>
    <w:rsid w:val="006A1A79"/>
    <w:rsid w:val="006A5338"/>
    <w:rsid w:val="006B1D65"/>
    <w:rsid w:val="006B362B"/>
    <w:rsid w:val="006B4E1E"/>
    <w:rsid w:val="006B4E9A"/>
    <w:rsid w:val="006B6BC3"/>
    <w:rsid w:val="006C15C2"/>
    <w:rsid w:val="006C46C7"/>
    <w:rsid w:val="006C7739"/>
    <w:rsid w:val="006D1D1D"/>
    <w:rsid w:val="006D4FD7"/>
    <w:rsid w:val="006E0B46"/>
    <w:rsid w:val="006E20F8"/>
    <w:rsid w:val="006E5819"/>
    <w:rsid w:val="006E59BC"/>
    <w:rsid w:val="006E5BBE"/>
    <w:rsid w:val="006E6B94"/>
    <w:rsid w:val="006F301F"/>
    <w:rsid w:val="006F3DDF"/>
    <w:rsid w:val="006F573E"/>
    <w:rsid w:val="006F6751"/>
    <w:rsid w:val="00701664"/>
    <w:rsid w:val="007021FA"/>
    <w:rsid w:val="007037AA"/>
    <w:rsid w:val="00703E09"/>
    <w:rsid w:val="00704B2E"/>
    <w:rsid w:val="007112A1"/>
    <w:rsid w:val="00711573"/>
    <w:rsid w:val="00715341"/>
    <w:rsid w:val="007156B2"/>
    <w:rsid w:val="007168F0"/>
    <w:rsid w:val="00723CA7"/>
    <w:rsid w:val="00727BC5"/>
    <w:rsid w:val="00731C9B"/>
    <w:rsid w:val="00731EC8"/>
    <w:rsid w:val="00733E6D"/>
    <w:rsid w:val="0073727F"/>
    <w:rsid w:val="007411BC"/>
    <w:rsid w:val="007424AA"/>
    <w:rsid w:val="007442B9"/>
    <w:rsid w:val="007457A6"/>
    <w:rsid w:val="00745A29"/>
    <w:rsid w:val="00747A60"/>
    <w:rsid w:val="00747B87"/>
    <w:rsid w:val="007520E0"/>
    <w:rsid w:val="00755095"/>
    <w:rsid w:val="0076292B"/>
    <w:rsid w:val="0076592C"/>
    <w:rsid w:val="00770407"/>
    <w:rsid w:val="00775B20"/>
    <w:rsid w:val="00777D71"/>
    <w:rsid w:val="007832E7"/>
    <w:rsid w:val="00783DC6"/>
    <w:rsid w:val="007841FB"/>
    <w:rsid w:val="0078549A"/>
    <w:rsid w:val="00791D8F"/>
    <w:rsid w:val="00792843"/>
    <w:rsid w:val="00794EEF"/>
    <w:rsid w:val="007967EB"/>
    <w:rsid w:val="00797009"/>
    <w:rsid w:val="007A1FBA"/>
    <w:rsid w:val="007A2B17"/>
    <w:rsid w:val="007A4E43"/>
    <w:rsid w:val="007A5B06"/>
    <w:rsid w:val="007A677F"/>
    <w:rsid w:val="007B168A"/>
    <w:rsid w:val="007B1B8D"/>
    <w:rsid w:val="007B1BF6"/>
    <w:rsid w:val="007B4C01"/>
    <w:rsid w:val="007B4E4A"/>
    <w:rsid w:val="007C1CAE"/>
    <w:rsid w:val="007C4952"/>
    <w:rsid w:val="007C4A57"/>
    <w:rsid w:val="007D3B60"/>
    <w:rsid w:val="007D3D84"/>
    <w:rsid w:val="007D49D3"/>
    <w:rsid w:val="007E2EC9"/>
    <w:rsid w:val="007F1B15"/>
    <w:rsid w:val="007F28F8"/>
    <w:rsid w:val="007F542E"/>
    <w:rsid w:val="007F7FF9"/>
    <w:rsid w:val="00802810"/>
    <w:rsid w:val="00806F9E"/>
    <w:rsid w:val="008124B2"/>
    <w:rsid w:val="008128DF"/>
    <w:rsid w:val="008239F8"/>
    <w:rsid w:val="00825FD4"/>
    <w:rsid w:val="00826BBF"/>
    <w:rsid w:val="00827B77"/>
    <w:rsid w:val="00827DAB"/>
    <w:rsid w:val="00830259"/>
    <w:rsid w:val="00830A08"/>
    <w:rsid w:val="00832FCD"/>
    <w:rsid w:val="0083374D"/>
    <w:rsid w:val="00836AC4"/>
    <w:rsid w:val="00840A3C"/>
    <w:rsid w:val="00841C15"/>
    <w:rsid w:val="00843DC6"/>
    <w:rsid w:val="00844380"/>
    <w:rsid w:val="00845D01"/>
    <w:rsid w:val="008514CA"/>
    <w:rsid w:val="00851F81"/>
    <w:rsid w:val="00852F16"/>
    <w:rsid w:val="00854498"/>
    <w:rsid w:val="00854B83"/>
    <w:rsid w:val="00855D2D"/>
    <w:rsid w:val="00855DB9"/>
    <w:rsid w:val="00856561"/>
    <w:rsid w:val="00861F2D"/>
    <w:rsid w:val="0086220A"/>
    <w:rsid w:val="008660A7"/>
    <w:rsid w:val="008709AA"/>
    <w:rsid w:val="00873A99"/>
    <w:rsid w:val="00873DBD"/>
    <w:rsid w:val="00873FF9"/>
    <w:rsid w:val="00875FCC"/>
    <w:rsid w:val="00876624"/>
    <w:rsid w:val="008766ED"/>
    <w:rsid w:val="0088099B"/>
    <w:rsid w:val="0088115C"/>
    <w:rsid w:val="00881752"/>
    <w:rsid w:val="0088416D"/>
    <w:rsid w:val="00894939"/>
    <w:rsid w:val="00897225"/>
    <w:rsid w:val="008974F5"/>
    <w:rsid w:val="00897FAD"/>
    <w:rsid w:val="008A0C4B"/>
    <w:rsid w:val="008B0547"/>
    <w:rsid w:val="008B2B14"/>
    <w:rsid w:val="008B37C9"/>
    <w:rsid w:val="008B4A28"/>
    <w:rsid w:val="008C2422"/>
    <w:rsid w:val="008C4F1C"/>
    <w:rsid w:val="008C5857"/>
    <w:rsid w:val="008C71BE"/>
    <w:rsid w:val="008D5934"/>
    <w:rsid w:val="008D5CD7"/>
    <w:rsid w:val="008D7C12"/>
    <w:rsid w:val="008E0763"/>
    <w:rsid w:val="008E2912"/>
    <w:rsid w:val="008E44F7"/>
    <w:rsid w:val="008E6C45"/>
    <w:rsid w:val="008E7392"/>
    <w:rsid w:val="008F32AB"/>
    <w:rsid w:val="008F3999"/>
    <w:rsid w:val="008F7477"/>
    <w:rsid w:val="008F7576"/>
    <w:rsid w:val="009001BF"/>
    <w:rsid w:val="00900C90"/>
    <w:rsid w:val="00901C3E"/>
    <w:rsid w:val="0090371F"/>
    <w:rsid w:val="0090495D"/>
    <w:rsid w:val="00906C03"/>
    <w:rsid w:val="00910BF1"/>
    <w:rsid w:val="00911109"/>
    <w:rsid w:val="00911A20"/>
    <w:rsid w:val="00911DB4"/>
    <w:rsid w:val="0091237D"/>
    <w:rsid w:val="00912C70"/>
    <w:rsid w:val="009200CC"/>
    <w:rsid w:val="00920EF4"/>
    <w:rsid w:val="00921F23"/>
    <w:rsid w:val="009230E1"/>
    <w:rsid w:val="0092336D"/>
    <w:rsid w:val="00926F5F"/>
    <w:rsid w:val="00927041"/>
    <w:rsid w:val="00927186"/>
    <w:rsid w:val="0093017F"/>
    <w:rsid w:val="00931FB6"/>
    <w:rsid w:val="0093206B"/>
    <w:rsid w:val="00933802"/>
    <w:rsid w:val="0093407D"/>
    <w:rsid w:val="0093529D"/>
    <w:rsid w:val="009358AF"/>
    <w:rsid w:val="00936066"/>
    <w:rsid w:val="00936198"/>
    <w:rsid w:val="009376AC"/>
    <w:rsid w:val="00941088"/>
    <w:rsid w:val="009413CF"/>
    <w:rsid w:val="0094390A"/>
    <w:rsid w:val="00944DE9"/>
    <w:rsid w:val="00947ABE"/>
    <w:rsid w:val="00950FE3"/>
    <w:rsid w:val="00952884"/>
    <w:rsid w:val="00956C76"/>
    <w:rsid w:val="00957E12"/>
    <w:rsid w:val="0096109C"/>
    <w:rsid w:val="00961483"/>
    <w:rsid w:val="00962C16"/>
    <w:rsid w:val="00963F32"/>
    <w:rsid w:val="00965C37"/>
    <w:rsid w:val="009666D0"/>
    <w:rsid w:val="00967735"/>
    <w:rsid w:val="00970979"/>
    <w:rsid w:val="009732A8"/>
    <w:rsid w:val="00975FBD"/>
    <w:rsid w:val="009762A5"/>
    <w:rsid w:val="0098236B"/>
    <w:rsid w:val="00985EE5"/>
    <w:rsid w:val="00987704"/>
    <w:rsid w:val="009911A0"/>
    <w:rsid w:val="00996FFE"/>
    <w:rsid w:val="009A1482"/>
    <w:rsid w:val="009A3A79"/>
    <w:rsid w:val="009A507F"/>
    <w:rsid w:val="009A5295"/>
    <w:rsid w:val="009B583F"/>
    <w:rsid w:val="009C3232"/>
    <w:rsid w:val="009C3BFA"/>
    <w:rsid w:val="009C5A01"/>
    <w:rsid w:val="009C6B30"/>
    <w:rsid w:val="009C722B"/>
    <w:rsid w:val="009D41DC"/>
    <w:rsid w:val="009D7D33"/>
    <w:rsid w:val="009E3BB5"/>
    <w:rsid w:val="009E4D55"/>
    <w:rsid w:val="009E5394"/>
    <w:rsid w:val="009E61B3"/>
    <w:rsid w:val="009E725B"/>
    <w:rsid w:val="009E7C02"/>
    <w:rsid w:val="009F127E"/>
    <w:rsid w:val="009F2A14"/>
    <w:rsid w:val="009F320B"/>
    <w:rsid w:val="009F6FF8"/>
    <w:rsid w:val="00A020E1"/>
    <w:rsid w:val="00A03B0A"/>
    <w:rsid w:val="00A04AD9"/>
    <w:rsid w:val="00A05592"/>
    <w:rsid w:val="00A06373"/>
    <w:rsid w:val="00A06472"/>
    <w:rsid w:val="00A10AEC"/>
    <w:rsid w:val="00A11093"/>
    <w:rsid w:val="00A16768"/>
    <w:rsid w:val="00A17482"/>
    <w:rsid w:val="00A17F34"/>
    <w:rsid w:val="00A2202F"/>
    <w:rsid w:val="00A22285"/>
    <w:rsid w:val="00A24A90"/>
    <w:rsid w:val="00A25181"/>
    <w:rsid w:val="00A25F78"/>
    <w:rsid w:val="00A26092"/>
    <w:rsid w:val="00A32DE8"/>
    <w:rsid w:val="00A34C5E"/>
    <w:rsid w:val="00A3758E"/>
    <w:rsid w:val="00A45D9D"/>
    <w:rsid w:val="00A54194"/>
    <w:rsid w:val="00A5721E"/>
    <w:rsid w:val="00A601ED"/>
    <w:rsid w:val="00A613A5"/>
    <w:rsid w:val="00A61A0E"/>
    <w:rsid w:val="00A63C3C"/>
    <w:rsid w:val="00A770E1"/>
    <w:rsid w:val="00A802A4"/>
    <w:rsid w:val="00A8091A"/>
    <w:rsid w:val="00A82B83"/>
    <w:rsid w:val="00A87BA6"/>
    <w:rsid w:val="00A91C1B"/>
    <w:rsid w:val="00A92FF6"/>
    <w:rsid w:val="00A95229"/>
    <w:rsid w:val="00A95487"/>
    <w:rsid w:val="00AA0E84"/>
    <w:rsid w:val="00AA4C53"/>
    <w:rsid w:val="00AA5C9B"/>
    <w:rsid w:val="00AA64FF"/>
    <w:rsid w:val="00AA784D"/>
    <w:rsid w:val="00AB05ED"/>
    <w:rsid w:val="00AB2C54"/>
    <w:rsid w:val="00AB303C"/>
    <w:rsid w:val="00AB44F9"/>
    <w:rsid w:val="00AB5325"/>
    <w:rsid w:val="00AC3608"/>
    <w:rsid w:val="00AC485B"/>
    <w:rsid w:val="00AC6467"/>
    <w:rsid w:val="00AD071B"/>
    <w:rsid w:val="00AD2BFA"/>
    <w:rsid w:val="00AD2F41"/>
    <w:rsid w:val="00AD3FAA"/>
    <w:rsid w:val="00AD475A"/>
    <w:rsid w:val="00AD55CF"/>
    <w:rsid w:val="00AD5E55"/>
    <w:rsid w:val="00AD6B1E"/>
    <w:rsid w:val="00AE553C"/>
    <w:rsid w:val="00AE5790"/>
    <w:rsid w:val="00AE636D"/>
    <w:rsid w:val="00AE6D31"/>
    <w:rsid w:val="00AF536C"/>
    <w:rsid w:val="00AF5B65"/>
    <w:rsid w:val="00AF63EB"/>
    <w:rsid w:val="00B02C58"/>
    <w:rsid w:val="00B0734E"/>
    <w:rsid w:val="00B13996"/>
    <w:rsid w:val="00B13A85"/>
    <w:rsid w:val="00B13D17"/>
    <w:rsid w:val="00B15778"/>
    <w:rsid w:val="00B16224"/>
    <w:rsid w:val="00B173D3"/>
    <w:rsid w:val="00B20D10"/>
    <w:rsid w:val="00B2208C"/>
    <w:rsid w:val="00B2247B"/>
    <w:rsid w:val="00B2314C"/>
    <w:rsid w:val="00B27AB7"/>
    <w:rsid w:val="00B34423"/>
    <w:rsid w:val="00B348D9"/>
    <w:rsid w:val="00B37C2A"/>
    <w:rsid w:val="00B404A0"/>
    <w:rsid w:val="00B509E9"/>
    <w:rsid w:val="00B5247C"/>
    <w:rsid w:val="00B533DE"/>
    <w:rsid w:val="00B53A39"/>
    <w:rsid w:val="00B6016F"/>
    <w:rsid w:val="00B60615"/>
    <w:rsid w:val="00B63784"/>
    <w:rsid w:val="00B6449C"/>
    <w:rsid w:val="00B66607"/>
    <w:rsid w:val="00B700EA"/>
    <w:rsid w:val="00B71496"/>
    <w:rsid w:val="00B715F8"/>
    <w:rsid w:val="00B71994"/>
    <w:rsid w:val="00B74C0C"/>
    <w:rsid w:val="00B75661"/>
    <w:rsid w:val="00B7736B"/>
    <w:rsid w:val="00B82CFB"/>
    <w:rsid w:val="00B91991"/>
    <w:rsid w:val="00B92426"/>
    <w:rsid w:val="00B95D63"/>
    <w:rsid w:val="00B96998"/>
    <w:rsid w:val="00BA39D2"/>
    <w:rsid w:val="00BA5552"/>
    <w:rsid w:val="00BA619E"/>
    <w:rsid w:val="00BA7CF5"/>
    <w:rsid w:val="00BB0E0B"/>
    <w:rsid w:val="00BB1DC7"/>
    <w:rsid w:val="00BB2EF7"/>
    <w:rsid w:val="00BB5120"/>
    <w:rsid w:val="00BC0466"/>
    <w:rsid w:val="00BC1C2A"/>
    <w:rsid w:val="00BC254B"/>
    <w:rsid w:val="00BC4477"/>
    <w:rsid w:val="00BC527C"/>
    <w:rsid w:val="00BC7694"/>
    <w:rsid w:val="00BC7917"/>
    <w:rsid w:val="00BD2F68"/>
    <w:rsid w:val="00BD4ECA"/>
    <w:rsid w:val="00BD5A4B"/>
    <w:rsid w:val="00BD7723"/>
    <w:rsid w:val="00BE2ED4"/>
    <w:rsid w:val="00BE5185"/>
    <w:rsid w:val="00BE5469"/>
    <w:rsid w:val="00BF0513"/>
    <w:rsid w:val="00BF1F9D"/>
    <w:rsid w:val="00BF5749"/>
    <w:rsid w:val="00BF660C"/>
    <w:rsid w:val="00BF67C5"/>
    <w:rsid w:val="00BF6EF4"/>
    <w:rsid w:val="00C0107F"/>
    <w:rsid w:val="00C024F0"/>
    <w:rsid w:val="00C02DE7"/>
    <w:rsid w:val="00C0633D"/>
    <w:rsid w:val="00C0703B"/>
    <w:rsid w:val="00C1009C"/>
    <w:rsid w:val="00C11D6B"/>
    <w:rsid w:val="00C122FE"/>
    <w:rsid w:val="00C12969"/>
    <w:rsid w:val="00C14EA5"/>
    <w:rsid w:val="00C17F1E"/>
    <w:rsid w:val="00C23041"/>
    <w:rsid w:val="00C25D0A"/>
    <w:rsid w:val="00C26ED7"/>
    <w:rsid w:val="00C3102B"/>
    <w:rsid w:val="00C318AF"/>
    <w:rsid w:val="00C31C2A"/>
    <w:rsid w:val="00C338E5"/>
    <w:rsid w:val="00C34E03"/>
    <w:rsid w:val="00C35C34"/>
    <w:rsid w:val="00C37F7B"/>
    <w:rsid w:val="00C40891"/>
    <w:rsid w:val="00C4299A"/>
    <w:rsid w:val="00C42CAB"/>
    <w:rsid w:val="00C47FCF"/>
    <w:rsid w:val="00C541CB"/>
    <w:rsid w:val="00C5427F"/>
    <w:rsid w:val="00C55525"/>
    <w:rsid w:val="00C6383A"/>
    <w:rsid w:val="00C64540"/>
    <w:rsid w:val="00C651AD"/>
    <w:rsid w:val="00C651F3"/>
    <w:rsid w:val="00C65845"/>
    <w:rsid w:val="00C6665B"/>
    <w:rsid w:val="00C71E95"/>
    <w:rsid w:val="00C72B0A"/>
    <w:rsid w:val="00C778C2"/>
    <w:rsid w:val="00C77D08"/>
    <w:rsid w:val="00C87597"/>
    <w:rsid w:val="00C92D61"/>
    <w:rsid w:val="00C95496"/>
    <w:rsid w:val="00CA00D8"/>
    <w:rsid w:val="00CA204B"/>
    <w:rsid w:val="00CA23D2"/>
    <w:rsid w:val="00CA2EAF"/>
    <w:rsid w:val="00CA59F6"/>
    <w:rsid w:val="00CA6AB1"/>
    <w:rsid w:val="00CA6B7C"/>
    <w:rsid w:val="00CB04C6"/>
    <w:rsid w:val="00CC1E0E"/>
    <w:rsid w:val="00CC4A27"/>
    <w:rsid w:val="00CC5748"/>
    <w:rsid w:val="00CC67AE"/>
    <w:rsid w:val="00CC6A1E"/>
    <w:rsid w:val="00CC7689"/>
    <w:rsid w:val="00CC7B7C"/>
    <w:rsid w:val="00CC7F04"/>
    <w:rsid w:val="00CD2BD4"/>
    <w:rsid w:val="00CD5141"/>
    <w:rsid w:val="00CD61F0"/>
    <w:rsid w:val="00CD64FC"/>
    <w:rsid w:val="00CD7DA7"/>
    <w:rsid w:val="00CE20D8"/>
    <w:rsid w:val="00CE2A2D"/>
    <w:rsid w:val="00CE4E89"/>
    <w:rsid w:val="00CE5A10"/>
    <w:rsid w:val="00CF0943"/>
    <w:rsid w:val="00CF42A8"/>
    <w:rsid w:val="00CF56F2"/>
    <w:rsid w:val="00CF6A5A"/>
    <w:rsid w:val="00D03429"/>
    <w:rsid w:val="00D03CB2"/>
    <w:rsid w:val="00D0730E"/>
    <w:rsid w:val="00D07B0A"/>
    <w:rsid w:val="00D104B7"/>
    <w:rsid w:val="00D21943"/>
    <w:rsid w:val="00D22F8B"/>
    <w:rsid w:val="00D23C17"/>
    <w:rsid w:val="00D247FE"/>
    <w:rsid w:val="00D25464"/>
    <w:rsid w:val="00D26EBB"/>
    <w:rsid w:val="00D27398"/>
    <w:rsid w:val="00D30547"/>
    <w:rsid w:val="00D32D60"/>
    <w:rsid w:val="00D3461A"/>
    <w:rsid w:val="00D36465"/>
    <w:rsid w:val="00D40D55"/>
    <w:rsid w:val="00D4228A"/>
    <w:rsid w:val="00D43089"/>
    <w:rsid w:val="00D4341C"/>
    <w:rsid w:val="00D44898"/>
    <w:rsid w:val="00D522A7"/>
    <w:rsid w:val="00D533CE"/>
    <w:rsid w:val="00D5460A"/>
    <w:rsid w:val="00D63043"/>
    <w:rsid w:val="00D650DB"/>
    <w:rsid w:val="00D65D19"/>
    <w:rsid w:val="00D6663C"/>
    <w:rsid w:val="00D743E2"/>
    <w:rsid w:val="00D746B6"/>
    <w:rsid w:val="00D75371"/>
    <w:rsid w:val="00D75D95"/>
    <w:rsid w:val="00D77387"/>
    <w:rsid w:val="00D81F46"/>
    <w:rsid w:val="00D84F95"/>
    <w:rsid w:val="00D86EDD"/>
    <w:rsid w:val="00D90255"/>
    <w:rsid w:val="00D90A51"/>
    <w:rsid w:val="00D93133"/>
    <w:rsid w:val="00D949BF"/>
    <w:rsid w:val="00D95C4D"/>
    <w:rsid w:val="00D977E1"/>
    <w:rsid w:val="00DB0EA0"/>
    <w:rsid w:val="00DB58AF"/>
    <w:rsid w:val="00DB6545"/>
    <w:rsid w:val="00DC0CB8"/>
    <w:rsid w:val="00DC6A91"/>
    <w:rsid w:val="00DD1FE9"/>
    <w:rsid w:val="00DD73E8"/>
    <w:rsid w:val="00DE3728"/>
    <w:rsid w:val="00DE41AD"/>
    <w:rsid w:val="00DE484E"/>
    <w:rsid w:val="00DE49EE"/>
    <w:rsid w:val="00DE4C37"/>
    <w:rsid w:val="00DE5B35"/>
    <w:rsid w:val="00DE6117"/>
    <w:rsid w:val="00DE6B52"/>
    <w:rsid w:val="00DE6E23"/>
    <w:rsid w:val="00DF1BFB"/>
    <w:rsid w:val="00DF497F"/>
    <w:rsid w:val="00DF7085"/>
    <w:rsid w:val="00E0039B"/>
    <w:rsid w:val="00E00559"/>
    <w:rsid w:val="00E049C0"/>
    <w:rsid w:val="00E10C55"/>
    <w:rsid w:val="00E10D6C"/>
    <w:rsid w:val="00E1165E"/>
    <w:rsid w:val="00E116D2"/>
    <w:rsid w:val="00E13C67"/>
    <w:rsid w:val="00E13F46"/>
    <w:rsid w:val="00E15184"/>
    <w:rsid w:val="00E15510"/>
    <w:rsid w:val="00E166D1"/>
    <w:rsid w:val="00E16E95"/>
    <w:rsid w:val="00E17692"/>
    <w:rsid w:val="00E207E5"/>
    <w:rsid w:val="00E23BC7"/>
    <w:rsid w:val="00E26815"/>
    <w:rsid w:val="00E272A7"/>
    <w:rsid w:val="00E31CDB"/>
    <w:rsid w:val="00E3330E"/>
    <w:rsid w:val="00E34665"/>
    <w:rsid w:val="00E36E2F"/>
    <w:rsid w:val="00E36F38"/>
    <w:rsid w:val="00E40007"/>
    <w:rsid w:val="00E40B4A"/>
    <w:rsid w:val="00E41503"/>
    <w:rsid w:val="00E42336"/>
    <w:rsid w:val="00E43295"/>
    <w:rsid w:val="00E50BF5"/>
    <w:rsid w:val="00E5236E"/>
    <w:rsid w:val="00E53121"/>
    <w:rsid w:val="00E60319"/>
    <w:rsid w:val="00E603DE"/>
    <w:rsid w:val="00E60406"/>
    <w:rsid w:val="00E6379A"/>
    <w:rsid w:val="00E64225"/>
    <w:rsid w:val="00E6613B"/>
    <w:rsid w:val="00E67ED1"/>
    <w:rsid w:val="00E72C83"/>
    <w:rsid w:val="00E75A1E"/>
    <w:rsid w:val="00E80FD2"/>
    <w:rsid w:val="00E8106C"/>
    <w:rsid w:val="00E81B9D"/>
    <w:rsid w:val="00E8470A"/>
    <w:rsid w:val="00E865FB"/>
    <w:rsid w:val="00E86810"/>
    <w:rsid w:val="00E90A59"/>
    <w:rsid w:val="00E936B9"/>
    <w:rsid w:val="00E93C5B"/>
    <w:rsid w:val="00E94E38"/>
    <w:rsid w:val="00E953EE"/>
    <w:rsid w:val="00E959CE"/>
    <w:rsid w:val="00EA2277"/>
    <w:rsid w:val="00EA3D9D"/>
    <w:rsid w:val="00EA6679"/>
    <w:rsid w:val="00EB0786"/>
    <w:rsid w:val="00EB33CC"/>
    <w:rsid w:val="00EB521C"/>
    <w:rsid w:val="00EC2C08"/>
    <w:rsid w:val="00EC6948"/>
    <w:rsid w:val="00EC743F"/>
    <w:rsid w:val="00ED0E4C"/>
    <w:rsid w:val="00ED4A3D"/>
    <w:rsid w:val="00ED54B6"/>
    <w:rsid w:val="00ED5531"/>
    <w:rsid w:val="00ED55AF"/>
    <w:rsid w:val="00ED6342"/>
    <w:rsid w:val="00EE07AA"/>
    <w:rsid w:val="00EE100E"/>
    <w:rsid w:val="00EE1EC0"/>
    <w:rsid w:val="00EE41BA"/>
    <w:rsid w:val="00EF068F"/>
    <w:rsid w:val="00EF08E2"/>
    <w:rsid w:val="00EF254D"/>
    <w:rsid w:val="00EF5D18"/>
    <w:rsid w:val="00EF6491"/>
    <w:rsid w:val="00EF6CAC"/>
    <w:rsid w:val="00F02D12"/>
    <w:rsid w:val="00F058E0"/>
    <w:rsid w:val="00F158B9"/>
    <w:rsid w:val="00F15A39"/>
    <w:rsid w:val="00F22E09"/>
    <w:rsid w:val="00F23694"/>
    <w:rsid w:val="00F236DF"/>
    <w:rsid w:val="00F24B4D"/>
    <w:rsid w:val="00F24C9B"/>
    <w:rsid w:val="00F309F1"/>
    <w:rsid w:val="00F3191E"/>
    <w:rsid w:val="00F330E3"/>
    <w:rsid w:val="00F35E17"/>
    <w:rsid w:val="00F36403"/>
    <w:rsid w:val="00F365F1"/>
    <w:rsid w:val="00F43CBC"/>
    <w:rsid w:val="00F44AAB"/>
    <w:rsid w:val="00F44C47"/>
    <w:rsid w:val="00F44C76"/>
    <w:rsid w:val="00F4676A"/>
    <w:rsid w:val="00F56B7C"/>
    <w:rsid w:val="00F57564"/>
    <w:rsid w:val="00F602EA"/>
    <w:rsid w:val="00F61513"/>
    <w:rsid w:val="00F61EEC"/>
    <w:rsid w:val="00F6400E"/>
    <w:rsid w:val="00F64BAB"/>
    <w:rsid w:val="00F65243"/>
    <w:rsid w:val="00F65657"/>
    <w:rsid w:val="00F664D0"/>
    <w:rsid w:val="00F70C09"/>
    <w:rsid w:val="00F7131B"/>
    <w:rsid w:val="00F71609"/>
    <w:rsid w:val="00F71A17"/>
    <w:rsid w:val="00F73BC1"/>
    <w:rsid w:val="00F73C54"/>
    <w:rsid w:val="00F74D56"/>
    <w:rsid w:val="00F77014"/>
    <w:rsid w:val="00F808C3"/>
    <w:rsid w:val="00F82203"/>
    <w:rsid w:val="00F8446C"/>
    <w:rsid w:val="00F8448D"/>
    <w:rsid w:val="00F93F38"/>
    <w:rsid w:val="00F94668"/>
    <w:rsid w:val="00F94ED4"/>
    <w:rsid w:val="00F97994"/>
    <w:rsid w:val="00F97BAD"/>
    <w:rsid w:val="00FA654E"/>
    <w:rsid w:val="00FB22A1"/>
    <w:rsid w:val="00FB2FD9"/>
    <w:rsid w:val="00FB4EEB"/>
    <w:rsid w:val="00FB63A8"/>
    <w:rsid w:val="00FB781F"/>
    <w:rsid w:val="00FB7BD1"/>
    <w:rsid w:val="00FC23DC"/>
    <w:rsid w:val="00FC251A"/>
    <w:rsid w:val="00FC6AD2"/>
    <w:rsid w:val="00FD3E39"/>
    <w:rsid w:val="00FD687C"/>
    <w:rsid w:val="00FD7A5D"/>
    <w:rsid w:val="00FD7C24"/>
    <w:rsid w:val="00FD7E1A"/>
    <w:rsid w:val="00FD7F2E"/>
    <w:rsid w:val="00FE0E68"/>
    <w:rsid w:val="00FE23F1"/>
    <w:rsid w:val="00FF47B3"/>
    <w:rsid w:val="00FF6EA2"/>
    <w:rsid w:val="017C3838"/>
    <w:rsid w:val="041831A1"/>
    <w:rsid w:val="05C116F9"/>
    <w:rsid w:val="081E1934"/>
    <w:rsid w:val="0C73AC31"/>
    <w:rsid w:val="0D79A388"/>
    <w:rsid w:val="12E123D2"/>
    <w:rsid w:val="136AB328"/>
    <w:rsid w:val="1390EC4F"/>
    <w:rsid w:val="14A41A9A"/>
    <w:rsid w:val="1D0A7C5D"/>
    <w:rsid w:val="2226E5FF"/>
    <w:rsid w:val="2775B472"/>
    <w:rsid w:val="286EC9DB"/>
    <w:rsid w:val="2A733622"/>
    <w:rsid w:val="2DB361B2"/>
    <w:rsid w:val="2E4FB3FA"/>
    <w:rsid w:val="33277C8F"/>
    <w:rsid w:val="354A0FED"/>
    <w:rsid w:val="39A359C6"/>
    <w:rsid w:val="39E264B1"/>
    <w:rsid w:val="3BFC1BFD"/>
    <w:rsid w:val="3EB4ADF1"/>
    <w:rsid w:val="46FEB680"/>
    <w:rsid w:val="488EAA83"/>
    <w:rsid w:val="490699EE"/>
    <w:rsid w:val="54200619"/>
    <w:rsid w:val="590D65A2"/>
    <w:rsid w:val="5FCB470B"/>
    <w:rsid w:val="6140F7F9"/>
    <w:rsid w:val="6249D9F6"/>
    <w:rsid w:val="6318346C"/>
    <w:rsid w:val="63E90537"/>
    <w:rsid w:val="67C991BB"/>
    <w:rsid w:val="6AAC1521"/>
    <w:rsid w:val="6D9A0FCD"/>
    <w:rsid w:val="6FABDC01"/>
    <w:rsid w:val="735B3CBF"/>
    <w:rsid w:val="739FC7C0"/>
    <w:rsid w:val="746FE74E"/>
    <w:rsid w:val="771FFBE5"/>
    <w:rsid w:val="7BB35621"/>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f8f8f8"/>
    </o:shapedefaults>
    <o:shapelayout v:ext="edit">
      <o:idmap v:ext="edit" data="1"/>
    </o:shapelayout>
  </w:shapeDefaults>
  <w:decimalSymbol w:val="."/>
  <w:listSeparator w:val=","/>
  <w14:docId w14:val="7ACB185A"/>
  <w15:docId w15:val="{792FD7C4-0636-47A6-B807-26512A7D9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bidi="en-US"/>
    </w:rPr>
  </w:style>
  <w:style w:type="paragraph" w:styleId="Heading1">
    <w:name w:val="heading 1"/>
    <w:aliases w:val="Heading 1.I"/>
    <w:basedOn w:val="Normal"/>
    <w:qFormat/>
    <w:pPr>
      <w:ind w:left="1000"/>
      <w:jc w:val="center"/>
      <w:outlineLvl w:val="0"/>
    </w:pPr>
    <w:rPr>
      <w:b/>
      <w:bCs/>
    </w:rPr>
  </w:style>
  <w:style w:type="paragraph" w:styleId="Heading2">
    <w:name w:val="heading 2"/>
    <w:basedOn w:val="Normal"/>
    <w:next w:val="Normal"/>
    <w:link w:val="Heading2Char"/>
    <w:uiPriority w:val="9"/>
    <w:semiHidden/>
    <w:unhideWhenUsed/>
    <w:qFormat/>
    <w:rsid w:val="004A52C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4">
    <w:name w:val="heading 4"/>
    <w:aliases w:val="Heading 4.a"/>
    <w:next w:val="Normal"/>
    <w:link w:val="Heading4Char"/>
    <w:qFormat/>
    <w:rsid w:val="00A3758E"/>
    <w:pPr>
      <w:keepNext/>
      <w:widowControl/>
      <w:tabs>
        <w:tab w:val="left" w:pos="1440"/>
        <w:tab w:val="num" w:pos="1800"/>
      </w:tabs>
      <w:autoSpaceDE/>
      <w:autoSpaceDN/>
      <w:spacing w:before="120" w:after="120"/>
      <w:ind w:left="1800" w:hanging="360"/>
      <w:jc w:val="both"/>
      <w:outlineLvl w:val="3"/>
    </w:pPr>
    <w:rPr>
      <w:rFonts w:ascii="Times New Roman Bold" w:eastAsia="Times New Roman" w:hAnsi="Times New Roman Bold" w:cs="Times New Roman"/>
      <w:b/>
      <w:noProof/>
      <w:sz w:val="24"/>
      <w:szCs w:val="20"/>
    </w:rPr>
  </w:style>
  <w:style w:type="paragraph" w:styleId="Heading5">
    <w:name w:val="heading 5"/>
    <w:basedOn w:val="Normal"/>
    <w:next w:val="Normal"/>
    <w:link w:val="Heading5Char"/>
    <w:uiPriority w:val="9"/>
    <w:semiHidden/>
    <w:unhideWhenUsed/>
    <w:qFormat/>
    <w:rsid w:val="003151AA"/>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aliases w:val="Fundamentacion,Lista 123,List Paragraph1,Cuadro 2-1,Párrafo de lista2,Numbered Paragraph,Main numbered paragraph,Bullets,References,Numbered List Paragraph,123 List Paragraph,List Paragraph (numbered (a)),List Paragraph nowy"/>
    <w:basedOn w:val="Normal"/>
    <w:link w:val="ListParagraphChar"/>
    <w:uiPriority w:val="34"/>
    <w:qFormat/>
    <w:pPr>
      <w:spacing w:before="121"/>
      <w:ind w:left="1000" w:hanging="720"/>
      <w:jc w:val="both"/>
    </w:pPr>
  </w:style>
  <w:style w:type="paragraph" w:customStyle="1" w:styleId="TableParagraph">
    <w:name w:val="Table Paragraph"/>
    <w:basedOn w:val="Normal"/>
    <w:uiPriority w:val="1"/>
    <w:qFormat/>
  </w:style>
  <w:style w:type="character" w:customStyle="1" w:styleId="Heading2Char">
    <w:name w:val="Heading 2 Char"/>
    <w:basedOn w:val="DefaultParagraphFont"/>
    <w:link w:val="Heading2"/>
    <w:uiPriority w:val="9"/>
    <w:semiHidden/>
    <w:rsid w:val="004A52C7"/>
    <w:rPr>
      <w:rFonts w:asciiTheme="majorHAnsi" w:eastAsiaTheme="majorEastAsia" w:hAnsiTheme="majorHAnsi" w:cstheme="majorBidi"/>
      <w:color w:val="365F91" w:themeColor="accent1" w:themeShade="BF"/>
      <w:sz w:val="26"/>
      <w:szCs w:val="26"/>
      <w:lang w:bidi="en-US"/>
    </w:rPr>
  </w:style>
  <w:style w:type="character" w:styleId="Hyperlink">
    <w:name w:val="Hyperlink"/>
    <w:basedOn w:val="DefaultParagraphFont"/>
    <w:uiPriority w:val="99"/>
    <w:unhideWhenUsed/>
    <w:rsid w:val="004A52C7"/>
    <w:rPr>
      <w:color w:val="0000FF" w:themeColor="hyperlink"/>
      <w:u w:val="single"/>
    </w:rPr>
  </w:style>
  <w:style w:type="paragraph" w:styleId="FootnoteText">
    <w:name w:val="footnote text"/>
    <w:aliases w:val="fn,single space,footnote text,FOOTNOTES,Char,Footnote text Char Char,Footnote text,Footnote Text Char Char Char Char Char Char,Footnote Text Char Char Char Char1,Footnote Text Char Char Char Char Char1,footnote,Geneva 9,f,Footnote Text Ch"/>
    <w:basedOn w:val="Normal"/>
    <w:link w:val="FootnoteTextChar"/>
    <w:uiPriority w:val="99"/>
    <w:qFormat/>
    <w:rsid w:val="004A52C7"/>
    <w:pPr>
      <w:widowControl/>
      <w:autoSpaceDE/>
      <w:autoSpaceDN/>
    </w:pPr>
    <w:rPr>
      <w:rFonts w:ascii="Times New Roman" w:eastAsia="Times New Roman" w:hAnsi="Times New Roman" w:cs="Times New Roman"/>
      <w:sz w:val="20"/>
      <w:szCs w:val="20"/>
      <w:lang w:bidi="ar-SA"/>
    </w:rPr>
  </w:style>
  <w:style w:type="character" w:customStyle="1" w:styleId="FootnoteTextChar">
    <w:name w:val="Footnote Text Char"/>
    <w:aliases w:val="fn Char,single space Char,footnote text Char,FOOTNOTES Char,Char Char,Footnote text Char Char Char,Footnote text Char,Footnote Text Char Char Char Char Char Char Char,Footnote Text Char Char Char Char1 Char,footnote Char,Geneva 9 Char"/>
    <w:basedOn w:val="DefaultParagraphFont"/>
    <w:link w:val="FootnoteText"/>
    <w:uiPriority w:val="99"/>
    <w:rsid w:val="004A52C7"/>
    <w:rPr>
      <w:rFonts w:ascii="Times New Roman" w:eastAsia="Times New Roman" w:hAnsi="Times New Roman" w:cs="Times New Roman"/>
      <w:sz w:val="20"/>
      <w:szCs w:val="20"/>
    </w:rPr>
  </w:style>
  <w:style w:type="character" w:styleId="FootnoteReference">
    <w:name w:val="footnote reference"/>
    <w:aliases w:val="16 Point,Superscript 6 Point,ftref,Ref,de nota al pie,referencia nota al pie,Fußnotenzeichen DISS,Footnote Referencefra,FC,BVI fnr,Знак сноски 1,titulo 2,Style 24,pie pddes,Footnote Reference.SES,Referência de rodapé,fr"/>
    <w:uiPriority w:val="99"/>
    <w:qFormat/>
    <w:rsid w:val="004A52C7"/>
    <w:rPr>
      <w:vertAlign w:val="superscript"/>
    </w:rPr>
  </w:style>
  <w:style w:type="character" w:customStyle="1" w:styleId="ListParagraphChar">
    <w:name w:val="List Paragraph Char"/>
    <w:aliases w:val="Fundamentacion Char,Lista 123 Char,List Paragraph1 Char,Cuadro 2-1 Char,Párrafo de lista2 Char,Numbered Paragraph Char,Main numbered paragraph Char,Bullets Char,References Char,Numbered List Paragraph Char,123 List Paragraph Char"/>
    <w:link w:val="ListParagraph"/>
    <w:uiPriority w:val="34"/>
    <w:locked/>
    <w:rsid w:val="004A52C7"/>
    <w:rPr>
      <w:rFonts w:ascii="Arial" w:eastAsia="Arial" w:hAnsi="Arial" w:cs="Arial"/>
      <w:lang w:bidi="en-US"/>
    </w:rPr>
  </w:style>
  <w:style w:type="paragraph" w:styleId="BalloonText">
    <w:name w:val="Balloon Text"/>
    <w:basedOn w:val="Normal"/>
    <w:link w:val="BalloonTextChar"/>
    <w:uiPriority w:val="99"/>
    <w:semiHidden/>
    <w:unhideWhenUsed/>
    <w:rsid w:val="00DE484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484E"/>
    <w:rPr>
      <w:rFonts w:ascii="Segoe UI" w:eastAsia="Arial" w:hAnsi="Segoe UI" w:cs="Segoe UI"/>
      <w:sz w:val="18"/>
      <w:szCs w:val="18"/>
      <w:lang w:bidi="en-US"/>
    </w:rPr>
  </w:style>
  <w:style w:type="paragraph" w:styleId="Header">
    <w:name w:val="header"/>
    <w:basedOn w:val="Normal"/>
    <w:link w:val="HeaderChar"/>
    <w:uiPriority w:val="99"/>
    <w:unhideWhenUsed/>
    <w:rsid w:val="00114180"/>
    <w:pPr>
      <w:tabs>
        <w:tab w:val="center" w:pos="4513"/>
        <w:tab w:val="right" w:pos="9026"/>
      </w:tabs>
    </w:pPr>
  </w:style>
  <w:style w:type="character" w:customStyle="1" w:styleId="HeaderChar">
    <w:name w:val="Header Char"/>
    <w:basedOn w:val="DefaultParagraphFont"/>
    <w:link w:val="Header"/>
    <w:uiPriority w:val="99"/>
    <w:rsid w:val="00114180"/>
    <w:rPr>
      <w:rFonts w:ascii="Arial" w:eastAsia="Arial" w:hAnsi="Arial" w:cs="Arial"/>
      <w:lang w:bidi="en-US"/>
    </w:rPr>
  </w:style>
  <w:style w:type="paragraph" w:styleId="Footer">
    <w:name w:val="footer"/>
    <w:basedOn w:val="Normal"/>
    <w:link w:val="FooterChar"/>
    <w:uiPriority w:val="99"/>
    <w:unhideWhenUsed/>
    <w:rsid w:val="00114180"/>
    <w:pPr>
      <w:tabs>
        <w:tab w:val="center" w:pos="4513"/>
        <w:tab w:val="right" w:pos="9026"/>
      </w:tabs>
    </w:pPr>
  </w:style>
  <w:style w:type="character" w:customStyle="1" w:styleId="FooterChar">
    <w:name w:val="Footer Char"/>
    <w:basedOn w:val="DefaultParagraphFont"/>
    <w:link w:val="Footer"/>
    <w:uiPriority w:val="99"/>
    <w:rsid w:val="00114180"/>
    <w:rPr>
      <w:rFonts w:ascii="Arial" w:eastAsia="Arial" w:hAnsi="Arial" w:cs="Arial"/>
      <w:lang w:bidi="en-US"/>
    </w:rPr>
  </w:style>
  <w:style w:type="paragraph" w:customStyle="1" w:styleId="Chapter">
    <w:name w:val="Chapter"/>
    <w:basedOn w:val="Normal"/>
    <w:next w:val="Normal"/>
    <w:rsid w:val="00CC6A1E"/>
    <w:pPr>
      <w:keepNext/>
      <w:widowControl/>
      <w:numPr>
        <w:numId w:val="13"/>
      </w:numPr>
      <w:tabs>
        <w:tab w:val="left" w:pos="1440"/>
      </w:tabs>
      <w:autoSpaceDE/>
      <w:autoSpaceDN/>
      <w:spacing w:before="240" w:after="240"/>
      <w:jc w:val="center"/>
    </w:pPr>
    <w:rPr>
      <w:rFonts w:ascii="Times New Roman" w:eastAsia="Times New Roman" w:hAnsi="Times New Roman" w:cs="Times New Roman"/>
      <w:b/>
      <w:smallCaps/>
      <w:sz w:val="24"/>
      <w:szCs w:val="20"/>
      <w:lang w:val="es-ES" w:bidi="ar-SA"/>
    </w:rPr>
  </w:style>
  <w:style w:type="paragraph" w:customStyle="1" w:styleId="Paragraph">
    <w:name w:val="Paragraph"/>
    <w:aliases w:val="paragraph,p,PARAGRAPH,PG,pa,at"/>
    <w:basedOn w:val="BodyTextIndent"/>
    <w:link w:val="ParagraphChar"/>
    <w:qFormat/>
    <w:rsid w:val="00CC6A1E"/>
    <w:pPr>
      <w:widowControl/>
      <w:numPr>
        <w:ilvl w:val="1"/>
        <w:numId w:val="13"/>
      </w:numPr>
      <w:autoSpaceDE/>
      <w:autoSpaceDN/>
      <w:spacing w:before="120"/>
      <w:jc w:val="both"/>
      <w:outlineLvl w:val="1"/>
    </w:pPr>
    <w:rPr>
      <w:rFonts w:ascii="Times New Roman" w:eastAsia="Times New Roman" w:hAnsi="Times New Roman" w:cs="Times New Roman"/>
      <w:sz w:val="24"/>
      <w:szCs w:val="20"/>
      <w:lang w:val="es-ES"/>
    </w:rPr>
  </w:style>
  <w:style w:type="paragraph" w:customStyle="1" w:styleId="subpar">
    <w:name w:val="subpar"/>
    <w:basedOn w:val="BodyTextIndent3"/>
    <w:rsid w:val="00CC6A1E"/>
    <w:pPr>
      <w:widowControl/>
      <w:numPr>
        <w:ilvl w:val="2"/>
        <w:numId w:val="13"/>
      </w:numPr>
      <w:tabs>
        <w:tab w:val="clear" w:pos="2304"/>
        <w:tab w:val="num" w:pos="360"/>
      </w:tabs>
      <w:autoSpaceDE/>
      <w:autoSpaceDN/>
      <w:spacing w:before="120"/>
      <w:ind w:left="360" w:firstLine="0"/>
      <w:jc w:val="both"/>
      <w:outlineLvl w:val="2"/>
    </w:pPr>
    <w:rPr>
      <w:rFonts w:ascii="Times New Roman" w:eastAsia="Times New Roman" w:hAnsi="Times New Roman" w:cs="Times New Roman"/>
      <w:sz w:val="24"/>
      <w:szCs w:val="20"/>
      <w:lang w:val="es-ES_tradnl" w:bidi="ar-SA"/>
    </w:rPr>
  </w:style>
  <w:style w:type="paragraph" w:customStyle="1" w:styleId="SubSubPar">
    <w:name w:val="SubSubPar"/>
    <w:basedOn w:val="subpar"/>
    <w:uiPriority w:val="99"/>
    <w:rsid w:val="00CC6A1E"/>
    <w:pPr>
      <w:numPr>
        <w:ilvl w:val="3"/>
      </w:numPr>
      <w:tabs>
        <w:tab w:val="clear" w:pos="2736"/>
        <w:tab w:val="left" w:pos="0"/>
        <w:tab w:val="num" w:pos="360"/>
        <w:tab w:val="num" w:pos="1296"/>
      </w:tabs>
      <w:ind w:left="3520" w:hanging="432"/>
    </w:pPr>
  </w:style>
  <w:style w:type="character" w:customStyle="1" w:styleId="ParagraphChar">
    <w:name w:val="Paragraph Char"/>
    <w:aliases w:val="p Char,PARAGRAPH Char,PG Char,pa Char,at Char,paragraph Char"/>
    <w:basedOn w:val="BodyTextIndentChar"/>
    <w:link w:val="Paragraph"/>
    <w:rsid w:val="00CC6A1E"/>
    <w:rPr>
      <w:rFonts w:ascii="Times New Roman" w:eastAsia="Times New Roman" w:hAnsi="Times New Roman" w:cs="Times New Roman"/>
      <w:sz w:val="24"/>
      <w:szCs w:val="20"/>
      <w:lang w:val="es-ES" w:bidi="en-US"/>
    </w:rPr>
  </w:style>
  <w:style w:type="paragraph" w:styleId="BodyTextIndent">
    <w:name w:val="Body Text Indent"/>
    <w:basedOn w:val="Normal"/>
    <w:link w:val="BodyTextIndentChar"/>
    <w:uiPriority w:val="99"/>
    <w:semiHidden/>
    <w:unhideWhenUsed/>
    <w:rsid w:val="00CC6A1E"/>
    <w:pPr>
      <w:spacing w:after="120"/>
      <w:ind w:left="360"/>
    </w:pPr>
  </w:style>
  <w:style w:type="character" w:customStyle="1" w:styleId="BodyTextIndentChar">
    <w:name w:val="Body Text Indent Char"/>
    <w:basedOn w:val="DefaultParagraphFont"/>
    <w:link w:val="BodyTextIndent"/>
    <w:uiPriority w:val="99"/>
    <w:semiHidden/>
    <w:rsid w:val="00CC6A1E"/>
    <w:rPr>
      <w:rFonts w:ascii="Arial" w:eastAsia="Arial" w:hAnsi="Arial" w:cs="Arial"/>
      <w:lang w:bidi="en-US"/>
    </w:rPr>
  </w:style>
  <w:style w:type="paragraph" w:styleId="BodyTextIndent3">
    <w:name w:val="Body Text Indent 3"/>
    <w:basedOn w:val="Normal"/>
    <w:link w:val="BodyTextIndent3Char"/>
    <w:uiPriority w:val="99"/>
    <w:semiHidden/>
    <w:unhideWhenUsed/>
    <w:rsid w:val="00CC6A1E"/>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C6A1E"/>
    <w:rPr>
      <w:rFonts w:ascii="Arial" w:eastAsia="Arial" w:hAnsi="Arial" w:cs="Arial"/>
      <w:sz w:val="16"/>
      <w:szCs w:val="16"/>
      <w:lang w:bidi="en-US"/>
    </w:rPr>
  </w:style>
  <w:style w:type="character" w:styleId="CommentReference">
    <w:name w:val="annotation reference"/>
    <w:basedOn w:val="DefaultParagraphFont"/>
    <w:uiPriority w:val="99"/>
    <w:semiHidden/>
    <w:unhideWhenUsed/>
    <w:rsid w:val="00950FE3"/>
    <w:rPr>
      <w:sz w:val="16"/>
      <w:szCs w:val="16"/>
    </w:rPr>
  </w:style>
  <w:style w:type="paragraph" w:styleId="CommentText">
    <w:name w:val="annotation text"/>
    <w:basedOn w:val="Normal"/>
    <w:link w:val="CommentTextChar"/>
    <w:uiPriority w:val="99"/>
    <w:unhideWhenUsed/>
    <w:rsid w:val="00950FE3"/>
    <w:rPr>
      <w:sz w:val="20"/>
      <w:szCs w:val="20"/>
    </w:rPr>
  </w:style>
  <w:style w:type="character" w:customStyle="1" w:styleId="CommentTextChar">
    <w:name w:val="Comment Text Char"/>
    <w:basedOn w:val="DefaultParagraphFont"/>
    <w:link w:val="CommentText"/>
    <w:uiPriority w:val="99"/>
    <w:rsid w:val="00950FE3"/>
    <w:rPr>
      <w:rFonts w:ascii="Arial" w:eastAsia="Arial" w:hAnsi="Arial" w:cs="Arial"/>
      <w:sz w:val="20"/>
      <w:szCs w:val="20"/>
      <w:lang w:bidi="en-US"/>
    </w:rPr>
  </w:style>
  <w:style w:type="paragraph" w:styleId="CommentSubject">
    <w:name w:val="annotation subject"/>
    <w:basedOn w:val="CommentText"/>
    <w:next w:val="CommentText"/>
    <w:link w:val="CommentSubjectChar"/>
    <w:uiPriority w:val="99"/>
    <w:semiHidden/>
    <w:unhideWhenUsed/>
    <w:rsid w:val="00950FE3"/>
    <w:rPr>
      <w:b/>
      <w:bCs/>
    </w:rPr>
  </w:style>
  <w:style w:type="character" w:customStyle="1" w:styleId="CommentSubjectChar">
    <w:name w:val="Comment Subject Char"/>
    <w:basedOn w:val="CommentTextChar"/>
    <w:link w:val="CommentSubject"/>
    <w:uiPriority w:val="99"/>
    <w:semiHidden/>
    <w:rsid w:val="00950FE3"/>
    <w:rPr>
      <w:rFonts w:ascii="Arial" w:eastAsia="Arial" w:hAnsi="Arial" w:cs="Arial"/>
      <w:b/>
      <w:bCs/>
      <w:sz w:val="20"/>
      <w:szCs w:val="20"/>
      <w:lang w:bidi="en-US"/>
    </w:rPr>
  </w:style>
  <w:style w:type="character" w:customStyle="1" w:styleId="Heading4Char">
    <w:name w:val="Heading 4 Char"/>
    <w:aliases w:val="Heading 4.a Char"/>
    <w:basedOn w:val="DefaultParagraphFont"/>
    <w:link w:val="Heading4"/>
    <w:rsid w:val="00A3758E"/>
    <w:rPr>
      <w:rFonts w:ascii="Times New Roman Bold" w:eastAsia="Times New Roman" w:hAnsi="Times New Roman Bold" w:cs="Times New Roman"/>
      <w:b/>
      <w:noProof/>
      <w:sz w:val="24"/>
      <w:szCs w:val="20"/>
    </w:rPr>
  </w:style>
  <w:style w:type="paragraph" w:customStyle="1" w:styleId="AutoNumpara">
    <w:name w:val="AutoNumpara"/>
    <w:basedOn w:val="BodyTextIndent"/>
    <w:rsid w:val="00A3758E"/>
    <w:pPr>
      <w:widowControl/>
      <w:tabs>
        <w:tab w:val="num" w:pos="720"/>
      </w:tabs>
      <w:autoSpaceDE/>
      <w:autoSpaceDN/>
      <w:spacing w:before="120"/>
      <w:ind w:left="720" w:hanging="720"/>
      <w:jc w:val="both"/>
    </w:pPr>
    <w:rPr>
      <w:rFonts w:ascii="Times New Roman" w:eastAsia="Times New Roman" w:hAnsi="Times New Roman" w:cs="Times New Roman"/>
      <w:noProof/>
      <w:spacing w:val="-2"/>
      <w:sz w:val="24"/>
      <w:szCs w:val="20"/>
      <w:lang w:val="es-ES_tradnl" w:eastAsia="x-none" w:bidi="ar-SA"/>
    </w:rPr>
  </w:style>
  <w:style w:type="character" w:customStyle="1" w:styleId="normaltextrun">
    <w:name w:val="normaltextrun"/>
    <w:basedOn w:val="DefaultParagraphFont"/>
    <w:rsid w:val="00BF660C"/>
  </w:style>
  <w:style w:type="character" w:customStyle="1" w:styleId="Heading5Char">
    <w:name w:val="Heading 5 Char"/>
    <w:basedOn w:val="DefaultParagraphFont"/>
    <w:link w:val="Heading5"/>
    <w:rsid w:val="003151AA"/>
    <w:rPr>
      <w:rFonts w:asciiTheme="majorHAnsi" w:eastAsiaTheme="majorEastAsia" w:hAnsiTheme="majorHAnsi" w:cstheme="majorBidi"/>
      <w:color w:val="365F91" w:themeColor="accent1" w:themeShade="BF"/>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6427099">
      <w:bodyDiv w:val="1"/>
      <w:marLeft w:val="0"/>
      <w:marRight w:val="0"/>
      <w:marTop w:val="0"/>
      <w:marBottom w:val="0"/>
      <w:divBdr>
        <w:top w:val="none" w:sz="0" w:space="0" w:color="auto"/>
        <w:left w:val="none" w:sz="0" w:space="0" w:color="auto"/>
        <w:bottom w:val="none" w:sz="0" w:space="0" w:color="auto"/>
        <w:right w:val="none" w:sz="0" w:space="0" w:color="auto"/>
      </w:divBdr>
    </w:div>
    <w:div w:id="538475806">
      <w:bodyDiv w:val="1"/>
      <w:marLeft w:val="0"/>
      <w:marRight w:val="0"/>
      <w:marTop w:val="0"/>
      <w:marBottom w:val="0"/>
      <w:divBdr>
        <w:top w:val="none" w:sz="0" w:space="0" w:color="auto"/>
        <w:left w:val="none" w:sz="0" w:space="0" w:color="auto"/>
        <w:bottom w:val="none" w:sz="0" w:space="0" w:color="auto"/>
        <w:right w:val="none" w:sz="0" w:space="0" w:color="auto"/>
      </w:divBdr>
    </w:div>
    <w:div w:id="1838574886">
      <w:bodyDiv w:val="1"/>
      <w:marLeft w:val="0"/>
      <w:marRight w:val="0"/>
      <w:marTop w:val="0"/>
      <w:marBottom w:val="0"/>
      <w:divBdr>
        <w:top w:val="none" w:sz="0" w:space="0" w:color="auto"/>
        <w:left w:val="none" w:sz="0" w:space="0" w:color="auto"/>
        <w:bottom w:val="none" w:sz="0" w:space="0" w:color="auto"/>
        <w:right w:val="none" w:sz="0" w:space="0" w:color="auto"/>
      </w:divBdr>
    </w:div>
    <w:div w:id="19449943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customXml" Target="../customXml/item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s://publications.iadb.org/publications/spanish/document/Mejor-gasto-para-mejores-vidas-C&#243;mo-Am&#233;rica-Latina-y-el-Caribe-puede-hacer-m&#225;s-con-meno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CH</TermName>
          <TermId xmlns="http://schemas.microsoft.com/office/infopath/2007/PartnerControls">0646c65c-e431-42e3-a932-0671c6b608b9</TermId>
        </TermInfo>
      </Terms>
    </ic46d7e087fd4a108fb86518ca413cc6>
    <IDBDocs_x0020_Number xmlns="cdc7663a-08f0-4737-9e8c-148ce897a09c" xsi:nil="true"/>
    <Division_x0020_or_x0020_Unit xmlns="cdc7663a-08f0-4737-9e8c-148ce897a09c">SCL/LMK</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Alaimo Veronica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IS-PSS</TermName>
          <TermId xmlns="http://schemas.microsoft.com/office/infopath/2007/PartnerControls">4b35807b-c90d-4831-b87a-a93d2a9213d9</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25</Value>
      <Value>3</Value>
      <Value>9</Value>
      <Value>31</Value>
      <Value>175</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CH-L1149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IS</TermName>
          <TermId xmlns="http://schemas.microsoft.com/office/infopath/2007/PartnerControls">3f908695-d5b5-49f6-941f-76876b39564f</TermId>
        </TermInfo>
      </Terms>
    </nddeef1749674d76abdbe4b239a70bc6>
    <Record_x0020_Number xmlns="cdc7663a-08f0-4737-9e8c-148ce897a09c" xsi:nil="true"/>
    <_dlc_DocId xmlns="cdc7663a-08f0-4737-9e8c-148ce897a09c">EZSHARE-1042296990-18</_dlc_DocId>
    <_dlc_DocIdUrl xmlns="cdc7663a-08f0-4737-9e8c-148ce897a09c">
      <Url>https://idbg.sharepoint.com/teams/EZ-CH-LON/CH-L1149/_layouts/15/DocIdRedir.aspx?ID=EZSHARE-1042296990-18</Url>
      <Description>EZSHARE-1042296990-18</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Economics;;</Webtopic>
    <Abstract xmlns="cdc7663a-08f0-4737-9e8c-148ce897a09c" xsi:nil="true"/>
    <Publishing_x0020_House xmlns="cdc7663a-08f0-4737-9e8c-148ce897a09c" xsi:nil="true"/>
  </documentManagement>
</p:propertie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165844F7B30974292F0404623F30BD7" ma:contentTypeVersion="0" ma:contentTypeDescription="A content type to manage public (operations) IDB documents" ma:contentTypeScope="" ma:versionID="c918ef28929b4cc2f65d3aa32f3bcee2">
  <xsd:schema xmlns:xsd="http://www.w3.org/2001/XMLSchema" xmlns:xs="http://www.w3.org/2001/XMLSchema" xmlns:p="http://schemas.microsoft.com/office/2006/metadata/properties" xmlns:ns2="cdc7663a-08f0-4737-9e8c-148ce897a09c" targetNamespace="http://schemas.microsoft.com/office/2006/metadata/properties" ma:root="true" ma:fieldsID="0e306496a4fd091743c4d30adedeae3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3;#Project Preparation Planning and Design|29ca0c72-1fc4-435f-a09c-28585cb5eac9"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9;#Loan Proposal|6ee86b6f-6e46-485b-8bfb-87a1f44622ac"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H-L114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49C24538-3EA8-4D48-90B6-54225F7EC071}">
  <ds:schemaRefs>
    <ds:schemaRef ds:uri="http://schemas.microsoft.com/sharepoint/v3/contenttype/forms"/>
  </ds:schemaRefs>
</ds:datastoreItem>
</file>

<file path=customXml/itemProps2.xml><?xml version="1.0" encoding="utf-8"?>
<ds:datastoreItem xmlns:ds="http://schemas.openxmlformats.org/officeDocument/2006/customXml" ds:itemID="{FFA3472D-E4B4-4AD3-A0A6-5C5A61C42407}"/>
</file>

<file path=customXml/itemProps3.xml><?xml version="1.0" encoding="utf-8"?>
<ds:datastoreItem xmlns:ds="http://schemas.openxmlformats.org/officeDocument/2006/customXml" ds:itemID="{F98CE710-76AF-43F5-A83A-7A0334612CAA}">
  <ds:schemaRefs>
    <ds:schemaRef ds:uri="http://schemas.openxmlformats.org/officeDocument/2006/bibliography"/>
  </ds:schemaRefs>
</ds:datastoreItem>
</file>

<file path=customXml/itemProps4.xml><?xml version="1.0" encoding="utf-8"?>
<ds:datastoreItem xmlns:ds="http://schemas.openxmlformats.org/officeDocument/2006/customXml" ds:itemID="{108DB95B-39B4-463D-9671-E59470F9444E}">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8EDEFAE7-6C9D-4B93-AB0C-DF649801B990}"/>
</file>

<file path=customXml/itemProps6.xml><?xml version="1.0" encoding="utf-8"?>
<ds:datastoreItem xmlns:ds="http://schemas.openxmlformats.org/officeDocument/2006/customXml" ds:itemID="{0A4374C0-CE9B-4A62-8156-8504A960F22F}"/>
</file>

<file path=customXml/itemProps7.xml><?xml version="1.0" encoding="utf-8"?>
<ds:datastoreItem xmlns:ds="http://schemas.openxmlformats.org/officeDocument/2006/customXml" ds:itemID="{510AAE56-8C5D-4AB3-A51E-7327093E8D01}"/>
</file>

<file path=docProps/app.xml><?xml version="1.0" encoding="utf-8"?>
<Properties xmlns="http://schemas.openxmlformats.org/officeDocument/2006/extended-properties" xmlns:vt="http://schemas.openxmlformats.org/officeDocument/2006/docPropsVTypes">
  <Template>Normal</Template>
  <TotalTime>28</TotalTime>
  <Pages>21</Pages>
  <Words>7747</Words>
  <Characters>44163</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51807</CharactersWithSpaces>
  <SharedDoc>false</SharedDoc>
  <HLinks>
    <vt:vector size="12" baseType="variant">
      <vt:variant>
        <vt:i4>1310918</vt:i4>
      </vt:variant>
      <vt:variant>
        <vt:i4>3</vt:i4>
      </vt:variant>
      <vt:variant>
        <vt:i4>0</vt:i4>
      </vt:variant>
      <vt:variant>
        <vt:i4>5</vt:i4>
      </vt:variant>
      <vt:variant>
        <vt:lpwstr>https://publications.iadb.org/publications/spanish/document/Mejor-gasto-para-mejores-vidas-Cómo-América-Latina-y-el-Caribe-puede-hacer-más-con-menos.pdf</vt:lpwstr>
      </vt:variant>
      <vt:variant>
        <vt:lpwstr/>
      </vt:variant>
      <vt:variant>
        <vt:i4>3997804</vt:i4>
      </vt:variant>
      <vt:variant>
        <vt:i4>0</vt:i4>
      </vt:variant>
      <vt:variant>
        <vt:i4>0</vt:i4>
      </vt:variant>
      <vt:variant>
        <vt:i4>5</vt:i4>
      </vt:variant>
      <vt:variant>
        <vt:lpwstr>https://datos.bancomundial.org/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Alaimo, Veronica</dc:creator>
  <cp:keywords/>
  <cp:lastModifiedBy>Muhlstein, Ethel Rosa</cp:lastModifiedBy>
  <cp:revision>3</cp:revision>
  <cp:lastPrinted>2020-04-22T19:05:00Z</cp:lastPrinted>
  <dcterms:created xsi:type="dcterms:W3CDTF">2020-06-09T00:32:00Z</dcterms:created>
  <dcterms:modified xsi:type="dcterms:W3CDTF">2020-06-09T00:59:00Z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for Office 365</vt:lpwstr>
  </property>
  <property fmtid="{D5CDD505-2E9C-101B-9397-08002B2CF9AE}" pid="4" name="LastSaved">
    <vt:filetime>2020-02-26T00:00:00Z</vt:filetime>
  </property>
  <property fmtid="{D5CDD505-2E9C-101B-9397-08002B2CF9AE}" pid="5" name="TaxKeyword">
    <vt:lpwstr/>
  </property>
  <property fmtid="{D5CDD505-2E9C-101B-9397-08002B2CF9AE}" pid="6" name="Function Operations IDB">
    <vt:lpwstr>3;#Project Preparation Planning and Design|29ca0c72-1fc4-435f-a09c-28585cb5eac9</vt:lpwstr>
  </property>
  <property fmtid="{D5CDD505-2E9C-101B-9397-08002B2CF9AE}" pid="7" name="Disclosure Activity">
    <vt:lpwstr>Proposal for Operation Development</vt:lpwstr>
  </property>
  <property fmtid="{D5CDD505-2E9C-101B-9397-08002B2CF9AE}" pid="9" name="TaxKeywordTaxHTField">
    <vt:lpwstr/>
  </property>
  <property fmtid="{D5CDD505-2E9C-101B-9397-08002B2CF9AE}" pid="10" name="Sub-Sector">
    <vt:lpwstr>175;#IS-PSS|4b35807b-c90d-4831-b87a-a93d2a9213d9</vt:lpwstr>
  </property>
  <property fmtid="{D5CDD505-2E9C-101B-9397-08002B2CF9AE}" pid="11" name="Series Operations IDB">
    <vt:lpwstr>9;#Loan Proposal|6ee86b6f-6e46-485b-8bfb-87a1f44622ac</vt:lpwstr>
  </property>
  <property fmtid="{D5CDD505-2E9C-101B-9397-08002B2CF9AE}" pid="12" name="Country">
    <vt:lpwstr>25;#CH|0646c65c-e431-42e3-a932-0671c6b608b9</vt:lpwstr>
  </property>
  <property fmtid="{D5CDD505-2E9C-101B-9397-08002B2CF9AE}" pid="13" name="Fund IDB">
    <vt:lpwstr/>
  </property>
  <property fmtid="{D5CDD505-2E9C-101B-9397-08002B2CF9AE}" pid="14" name="_dlc_DocIdItemGuid">
    <vt:lpwstr>3d296559-bff9-4729-9f55-74bee446630a</vt:lpwstr>
  </property>
  <property fmtid="{D5CDD505-2E9C-101B-9397-08002B2CF9AE}" pid="15" name="Webtopic">
    <vt:lpwstr/>
  </property>
  <property fmtid="{D5CDD505-2E9C-101B-9397-08002B2CF9AE}" pid="16" name="Sector IDB">
    <vt:lpwstr>31;#IS|3f908695-d5b5-49f6-941f-76876b39564f</vt:lpwstr>
  </property>
  <property fmtid="{D5CDD505-2E9C-101B-9397-08002B2CF9AE}" pid="17" name="ContentTypeId">
    <vt:lpwstr>0x0101001A458A224826124E8B45B1D613300CFC005165844F7B30974292F0404623F30BD7</vt:lpwstr>
  </property>
</Properties>
</file>