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3AE" w:rsidRPr="00164A31" w:rsidRDefault="008E73AE" w:rsidP="00954E9D">
      <w:pPr>
        <w:jc w:val="center"/>
        <w:rPr>
          <w:lang w:val="es-MX"/>
        </w:rPr>
      </w:pPr>
      <w:bookmarkStart w:id="0" w:name="_GoBack"/>
      <w:bookmarkEnd w:id="0"/>
    </w:p>
    <w:p w:rsidR="008E73AE" w:rsidRPr="00164A31" w:rsidRDefault="008E73AE" w:rsidP="00954E9D">
      <w:pPr>
        <w:jc w:val="center"/>
        <w:rPr>
          <w:smallCaps/>
          <w:lang w:val="es-MX"/>
        </w:rPr>
      </w:pPr>
      <w:r w:rsidRPr="00164A31">
        <w:rPr>
          <w:smallCaps/>
          <w:lang w:val="es-MX"/>
        </w:rPr>
        <w:t>Banco Interamericano de Desarrollo</w:t>
      </w:r>
    </w:p>
    <w:p w:rsidR="008E73AE" w:rsidRPr="00164A31" w:rsidRDefault="008E73AE" w:rsidP="00954E9D">
      <w:pPr>
        <w:jc w:val="center"/>
        <w:rPr>
          <w:smallCaps/>
          <w:lang w:val="es-MX"/>
        </w:rPr>
      </w:pPr>
    </w:p>
    <w:p w:rsidR="00954E9D" w:rsidRPr="00164A31" w:rsidRDefault="00954E9D" w:rsidP="00954E9D">
      <w:pPr>
        <w:jc w:val="center"/>
        <w:rPr>
          <w:smallCaps/>
          <w:lang w:val="es-MX"/>
        </w:rPr>
      </w:pPr>
    </w:p>
    <w:p w:rsidR="00954E9D" w:rsidRPr="00164A31" w:rsidRDefault="00954E9D" w:rsidP="00954E9D">
      <w:pPr>
        <w:jc w:val="center"/>
        <w:rPr>
          <w:smallCaps/>
          <w:lang w:val="es-MX"/>
        </w:rPr>
      </w:pPr>
    </w:p>
    <w:p w:rsidR="00954E9D" w:rsidRPr="00164A31" w:rsidRDefault="00954E9D" w:rsidP="00954E9D">
      <w:pPr>
        <w:jc w:val="center"/>
        <w:rPr>
          <w:smallCaps/>
          <w:lang w:val="es-MX"/>
        </w:rPr>
      </w:pPr>
    </w:p>
    <w:p w:rsidR="00954E9D" w:rsidRPr="00164A31" w:rsidRDefault="00954E9D" w:rsidP="00954E9D">
      <w:pPr>
        <w:jc w:val="center"/>
        <w:rPr>
          <w:smallCaps/>
          <w:lang w:val="es-MX"/>
        </w:rPr>
      </w:pPr>
    </w:p>
    <w:p w:rsidR="00954E9D" w:rsidRPr="00164A31" w:rsidRDefault="00954E9D" w:rsidP="00954E9D">
      <w:pPr>
        <w:jc w:val="center"/>
        <w:rPr>
          <w:smallCaps/>
          <w:lang w:val="es-MX"/>
        </w:rPr>
      </w:pPr>
    </w:p>
    <w:p w:rsidR="00954E9D" w:rsidRPr="00164A31" w:rsidRDefault="00954E9D" w:rsidP="00954E9D">
      <w:pPr>
        <w:jc w:val="center"/>
        <w:rPr>
          <w:smallCaps/>
          <w:lang w:val="es-MX"/>
        </w:rPr>
      </w:pPr>
    </w:p>
    <w:p w:rsidR="00954E9D" w:rsidRPr="00164A31" w:rsidRDefault="00954E9D" w:rsidP="00954E9D">
      <w:pPr>
        <w:jc w:val="center"/>
        <w:rPr>
          <w:smallCaps/>
          <w:lang w:val="es-MX"/>
        </w:rPr>
      </w:pPr>
    </w:p>
    <w:p w:rsidR="008E73AE" w:rsidRPr="00164A31" w:rsidRDefault="008E73AE" w:rsidP="00954E9D">
      <w:pPr>
        <w:jc w:val="center"/>
        <w:rPr>
          <w:smallCaps/>
          <w:lang w:val="es-MX"/>
        </w:rPr>
      </w:pPr>
      <w:r w:rsidRPr="00164A31">
        <w:rPr>
          <w:smallCaps/>
          <w:lang w:val="es-MX"/>
        </w:rPr>
        <w:t>Ecuador</w:t>
      </w:r>
    </w:p>
    <w:p w:rsidR="008E73AE" w:rsidRPr="00164A31" w:rsidRDefault="008E73AE" w:rsidP="00954E9D">
      <w:pPr>
        <w:jc w:val="center"/>
        <w:rPr>
          <w:smallCaps/>
          <w:lang w:val="es-MX"/>
        </w:rPr>
      </w:pPr>
    </w:p>
    <w:p w:rsidR="00954E9D" w:rsidRPr="00164A31" w:rsidRDefault="00954E9D" w:rsidP="00954E9D">
      <w:pPr>
        <w:jc w:val="center"/>
        <w:rPr>
          <w:smallCaps/>
          <w:lang w:val="es-MX"/>
        </w:rPr>
      </w:pPr>
    </w:p>
    <w:p w:rsidR="00954E9D" w:rsidRPr="00164A31" w:rsidRDefault="00954E9D" w:rsidP="00954E9D">
      <w:pPr>
        <w:jc w:val="center"/>
        <w:rPr>
          <w:smallCaps/>
          <w:lang w:val="es-MX"/>
        </w:rPr>
      </w:pPr>
    </w:p>
    <w:p w:rsidR="00954E9D" w:rsidRPr="00164A31" w:rsidRDefault="00954E9D" w:rsidP="00954E9D">
      <w:pPr>
        <w:jc w:val="center"/>
        <w:rPr>
          <w:smallCaps/>
          <w:lang w:val="es-MX"/>
        </w:rPr>
      </w:pPr>
    </w:p>
    <w:p w:rsidR="00954E9D" w:rsidRPr="00164A31" w:rsidRDefault="00954E9D" w:rsidP="00954E9D">
      <w:pPr>
        <w:jc w:val="center"/>
        <w:rPr>
          <w:smallCaps/>
          <w:lang w:val="es-MX"/>
        </w:rPr>
      </w:pPr>
    </w:p>
    <w:p w:rsidR="008E73AE" w:rsidRPr="00164A31" w:rsidRDefault="008E73AE" w:rsidP="00954E9D">
      <w:pPr>
        <w:jc w:val="center"/>
        <w:rPr>
          <w:smallCaps/>
          <w:lang w:val="es-MX"/>
        </w:rPr>
      </w:pPr>
      <w:r w:rsidRPr="00164A31">
        <w:rPr>
          <w:smallCaps/>
          <w:lang w:val="es-MX"/>
        </w:rPr>
        <w:t>Programa</w:t>
      </w:r>
      <w:r w:rsidR="00954E9D" w:rsidRPr="00164A31">
        <w:rPr>
          <w:smallCaps/>
          <w:lang w:val="es-MX"/>
        </w:rPr>
        <w:t xml:space="preserve"> de Reforzamiento del Sistema Nacional de Distribución Eléctrica del Ecuador</w:t>
      </w:r>
    </w:p>
    <w:p w:rsidR="00954E9D" w:rsidRPr="00164A31" w:rsidRDefault="00954E9D" w:rsidP="00954E9D">
      <w:pPr>
        <w:jc w:val="center"/>
        <w:rPr>
          <w:smallCaps/>
          <w:lang w:val="es-MX"/>
        </w:rPr>
      </w:pPr>
    </w:p>
    <w:p w:rsidR="00954E9D" w:rsidRPr="00164A31" w:rsidRDefault="00954E9D" w:rsidP="00954E9D">
      <w:pPr>
        <w:jc w:val="center"/>
        <w:rPr>
          <w:smallCaps/>
          <w:lang w:val="es-MX"/>
        </w:rPr>
      </w:pPr>
      <w:r w:rsidRPr="00164A31">
        <w:rPr>
          <w:smallCaps/>
          <w:lang w:val="es-MX"/>
        </w:rPr>
        <w:t>(EC-L1136)</w:t>
      </w:r>
    </w:p>
    <w:p w:rsidR="00954E9D" w:rsidRPr="00164A31" w:rsidRDefault="00954E9D" w:rsidP="00954E9D">
      <w:pPr>
        <w:jc w:val="center"/>
        <w:rPr>
          <w:smallCaps/>
          <w:lang w:val="es-MX"/>
        </w:rPr>
      </w:pPr>
    </w:p>
    <w:p w:rsidR="00954E9D" w:rsidRPr="00164A31" w:rsidRDefault="00954E9D" w:rsidP="00954E9D">
      <w:pPr>
        <w:jc w:val="center"/>
        <w:rPr>
          <w:smallCaps/>
          <w:lang w:val="es-MX"/>
        </w:rPr>
      </w:pPr>
    </w:p>
    <w:p w:rsidR="00954E9D" w:rsidRPr="00164A31" w:rsidRDefault="00954E9D" w:rsidP="00954E9D">
      <w:pPr>
        <w:jc w:val="center"/>
        <w:rPr>
          <w:smallCaps/>
          <w:lang w:val="es-MX"/>
        </w:rPr>
      </w:pPr>
    </w:p>
    <w:p w:rsidR="00954E9D" w:rsidRPr="00164A31" w:rsidRDefault="00954E9D" w:rsidP="00954E9D">
      <w:pPr>
        <w:jc w:val="center"/>
        <w:rPr>
          <w:smallCaps/>
          <w:lang w:val="es-MX"/>
        </w:rPr>
      </w:pPr>
      <w:r w:rsidRPr="00164A31">
        <w:rPr>
          <w:smallCaps/>
          <w:lang w:val="es-MX"/>
        </w:rPr>
        <w:t>Evaluación de Medio Término</w:t>
      </w:r>
    </w:p>
    <w:p w:rsidR="00954E9D" w:rsidRPr="00164A31" w:rsidRDefault="00954E9D" w:rsidP="00954E9D">
      <w:pPr>
        <w:jc w:val="center"/>
        <w:rPr>
          <w:smallCaps/>
          <w:lang w:val="es-MX"/>
        </w:rPr>
      </w:pPr>
    </w:p>
    <w:p w:rsidR="00954E9D" w:rsidRPr="00164A31" w:rsidRDefault="00405F62" w:rsidP="00954E9D">
      <w:pPr>
        <w:jc w:val="center"/>
        <w:rPr>
          <w:smallCaps/>
          <w:lang w:val="es-MX"/>
        </w:rPr>
      </w:pPr>
      <w:r>
        <w:rPr>
          <w:smallCaps/>
          <w:lang w:val="es-MX"/>
        </w:rPr>
        <w:t>1er informe</w:t>
      </w:r>
    </w:p>
    <w:p w:rsidR="00954E9D" w:rsidRPr="00164A31" w:rsidRDefault="00954E9D" w:rsidP="00954E9D">
      <w:pPr>
        <w:jc w:val="center"/>
        <w:rPr>
          <w:smallCaps/>
          <w:lang w:val="es-MX"/>
        </w:rPr>
      </w:pPr>
    </w:p>
    <w:p w:rsidR="00954E9D" w:rsidRPr="00164A31" w:rsidRDefault="00954E9D" w:rsidP="00954E9D">
      <w:pPr>
        <w:jc w:val="center"/>
        <w:rPr>
          <w:smallCaps/>
          <w:lang w:val="es-MX"/>
        </w:rPr>
      </w:pPr>
    </w:p>
    <w:p w:rsidR="00954E9D" w:rsidRPr="00164A31" w:rsidRDefault="00954E9D" w:rsidP="00954E9D">
      <w:pPr>
        <w:jc w:val="center"/>
        <w:rPr>
          <w:smallCaps/>
          <w:lang w:val="es-MX"/>
        </w:rPr>
      </w:pPr>
    </w:p>
    <w:p w:rsidR="00954E9D" w:rsidRPr="00164A31" w:rsidRDefault="00954E9D" w:rsidP="00954E9D">
      <w:pPr>
        <w:jc w:val="center"/>
        <w:rPr>
          <w:smallCaps/>
          <w:lang w:val="es-MX"/>
        </w:rPr>
      </w:pPr>
    </w:p>
    <w:p w:rsidR="00954E9D" w:rsidRPr="00164A31" w:rsidRDefault="00954E9D" w:rsidP="00954E9D">
      <w:pPr>
        <w:jc w:val="center"/>
        <w:rPr>
          <w:smallCaps/>
          <w:lang w:val="es-MX"/>
        </w:rPr>
      </w:pPr>
    </w:p>
    <w:p w:rsidR="00954E9D" w:rsidRPr="00164A31" w:rsidRDefault="00954E9D" w:rsidP="00954E9D">
      <w:pPr>
        <w:jc w:val="center"/>
        <w:rPr>
          <w:smallCaps/>
          <w:lang w:val="es-MX"/>
        </w:rPr>
      </w:pPr>
    </w:p>
    <w:p w:rsidR="00954E9D" w:rsidRPr="00164A31" w:rsidRDefault="00954E9D" w:rsidP="00954E9D">
      <w:pPr>
        <w:jc w:val="center"/>
        <w:rPr>
          <w:smallCaps/>
          <w:lang w:val="es-MX"/>
        </w:rPr>
      </w:pPr>
    </w:p>
    <w:p w:rsidR="00954E9D" w:rsidRPr="00164A31" w:rsidRDefault="00954E9D" w:rsidP="00954E9D">
      <w:pPr>
        <w:jc w:val="center"/>
        <w:rPr>
          <w:smallCaps/>
          <w:lang w:val="es-MX"/>
        </w:rPr>
      </w:pPr>
    </w:p>
    <w:p w:rsidR="00954E9D" w:rsidRPr="00164A31" w:rsidRDefault="00954E9D" w:rsidP="00954E9D">
      <w:pPr>
        <w:jc w:val="center"/>
        <w:rPr>
          <w:smallCaps/>
          <w:lang w:val="es-MX"/>
        </w:rPr>
      </w:pPr>
      <w:r w:rsidRPr="00164A31">
        <w:rPr>
          <w:smallCaps/>
          <w:lang w:val="es-MX"/>
        </w:rPr>
        <w:t>Preparado por:</w:t>
      </w:r>
    </w:p>
    <w:p w:rsidR="00954E9D" w:rsidRPr="00164A31" w:rsidRDefault="00954E9D" w:rsidP="00954E9D">
      <w:pPr>
        <w:jc w:val="center"/>
        <w:rPr>
          <w:smallCaps/>
          <w:lang w:val="es-MX"/>
        </w:rPr>
      </w:pPr>
      <w:r w:rsidRPr="00164A31">
        <w:rPr>
          <w:smallCaps/>
          <w:lang w:val="es-MX"/>
        </w:rPr>
        <w:t>Remi Rijs, consultor</w:t>
      </w:r>
    </w:p>
    <w:p w:rsidR="00954E9D" w:rsidRPr="00164A31" w:rsidRDefault="00954E9D" w:rsidP="00954E9D">
      <w:pPr>
        <w:jc w:val="center"/>
        <w:rPr>
          <w:smallCaps/>
          <w:lang w:val="es-MX"/>
        </w:rPr>
      </w:pPr>
    </w:p>
    <w:p w:rsidR="00954E9D" w:rsidRPr="00164A31" w:rsidRDefault="00405F62" w:rsidP="00954E9D">
      <w:pPr>
        <w:jc w:val="center"/>
        <w:rPr>
          <w:smallCaps/>
          <w:lang w:val="es-MX"/>
        </w:rPr>
      </w:pPr>
      <w:r>
        <w:rPr>
          <w:smallCaps/>
          <w:lang w:val="es-MX"/>
        </w:rPr>
        <w:t>01</w:t>
      </w:r>
      <w:r w:rsidR="00AA3BB8">
        <w:rPr>
          <w:smallCaps/>
          <w:lang w:val="es-MX"/>
        </w:rPr>
        <w:t xml:space="preserve"> </w:t>
      </w:r>
      <w:r w:rsidR="00954E9D" w:rsidRPr="00164A31">
        <w:rPr>
          <w:smallCaps/>
          <w:lang w:val="es-MX"/>
        </w:rPr>
        <w:t xml:space="preserve">de </w:t>
      </w:r>
      <w:r>
        <w:rPr>
          <w:smallCaps/>
          <w:lang w:val="es-MX"/>
        </w:rPr>
        <w:t>Mayo</w:t>
      </w:r>
      <w:r w:rsidR="00592921" w:rsidRPr="00164A31">
        <w:rPr>
          <w:smallCaps/>
          <w:lang w:val="es-MX"/>
        </w:rPr>
        <w:t xml:space="preserve"> </w:t>
      </w:r>
      <w:r w:rsidR="00954E9D" w:rsidRPr="00164A31">
        <w:rPr>
          <w:smallCaps/>
          <w:lang w:val="es-MX"/>
        </w:rPr>
        <w:t>2015</w:t>
      </w:r>
    </w:p>
    <w:p w:rsidR="008E73AE" w:rsidRPr="00164A31" w:rsidRDefault="008E73AE">
      <w:pPr>
        <w:rPr>
          <w:lang w:val="es-MX"/>
        </w:rPr>
      </w:pPr>
    </w:p>
    <w:p w:rsidR="008E73AE" w:rsidRPr="00164A31" w:rsidRDefault="008E73AE">
      <w:pPr>
        <w:spacing w:after="200" w:line="276" w:lineRule="auto"/>
        <w:jc w:val="left"/>
        <w:rPr>
          <w:lang w:val="es-MX"/>
        </w:rPr>
      </w:pPr>
      <w:r w:rsidRPr="00164A31">
        <w:rPr>
          <w:lang w:val="es-MX"/>
        </w:rPr>
        <w:br w:type="page"/>
      </w:r>
    </w:p>
    <w:p w:rsidR="008E73AE" w:rsidRPr="00164A31" w:rsidRDefault="008E73AE">
      <w:pPr>
        <w:rPr>
          <w:lang w:val="es-MX"/>
        </w:rPr>
      </w:pPr>
    </w:p>
    <w:p w:rsidR="00B37CAA" w:rsidRPr="00164A31" w:rsidRDefault="007D4E8D" w:rsidP="000A0DAE">
      <w:pPr>
        <w:pStyle w:val="Heading1"/>
        <w:numPr>
          <w:ilvl w:val="0"/>
          <w:numId w:val="0"/>
        </w:numPr>
        <w:rPr>
          <w:lang w:val="es-MX"/>
        </w:rPr>
      </w:pPr>
      <w:bookmarkStart w:id="1" w:name="_Toc416868834"/>
      <w:r w:rsidRPr="00164A31">
        <w:rPr>
          <w:lang w:val="es-MX"/>
        </w:rPr>
        <w:t xml:space="preserve">Tabla del </w:t>
      </w:r>
      <w:r w:rsidR="006152A1" w:rsidRPr="00164A31">
        <w:rPr>
          <w:lang w:val="es-MX"/>
        </w:rPr>
        <w:t>Contenido</w:t>
      </w:r>
      <w:bookmarkEnd w:id="1"/>
    </w:p>
    <w:sdt>
      <w:sdtPr>
        <w:rPr>
          <w:rFonts w:ascii="Times New Roman" w:eastAsiaTheme="minorEastAsia" w:hAnsi="Times New Roman" w:cstheme="minorBidi"/>
          <w:b w:val="0"/>
          <w:bCs w:val="0"/>
          <w:color w:val="auto"/>
          <w:sz w:val="22"/>
          <w:szCs w:val="22"/>
          <w:lang w:val="es-MX" w:eastAsia="en-GB"/>
        </w:rPr>
        <w:id w:val="4363114"/>
        <w:docPartObj>
          <w:docPartGallery w:val="Table of Contents"/>
          <w:docPartUnique/>
        </w:docPartObj>
      </w:sdtPr>
      <w:sdtEndPr/>
      <w:sdtContent>
        <w:p w:rsidR="001E2357" w:rsidRPr="00164A31" w:rsidRDefault="001E2357">
          <w:pPr>
            <w:pStyle w:val="TOCHeading"/>
            <w:rPr>
              <w:lang w:val="es-MX"/>
            </w:rPr>
          </w:pPr>
        </w:p>
        <w:p w:rsidR="00325095" w:rsidRDefault="00141072">
          <w:pPr>
            <w:pStyle w:val="TOC1"/>
            <w:tabs>
              <w:tab w:val="right" w:leader="dot" w:pos="9016"/>
            </w:tabs>
            <w:rPr>
              <w:rFonts w:asciiTheme="minorHAnsi" w:hAnsiTheme="minorHAnsi"/>
              <w:noProof/>
            </w:rPr>
          </w:pPr>
          <w:r w:rsidRPr="00164A31">
            <w:rPr>
              <w:lang w:val="es-MX"/>
            </w:rPr>
            <w:fldChar w:fldCharType="begin"/>
          </w:r>
          <w:r w:rsidR="003F286D" w:rsidRPr="00164A31">
            <w:rPr>
              <w:lang w:val="es-MX"/>
            </w:rPr>
            <w:instrText xml:space="preserve"> TOC \o "1-2" \h \z \u </w:instrText>
          </w:r>
          <w:r w:rsidRPr="00164A31">
            <w:rPr>
              <w:lang w:val="es-MX"/>
            </w:rPr>
            <w:fldChar w:fldCharType="separate"/>
          </w:r>
          <w:hyperlink w:anchor="_Toc416868834" w:history="1">
            <w:r w:rsidR="00325095" w:rsidRPr="00B22071">
              <w:rPr>
                <w:rStyle w:val="Hyperlink"/>
                <w:noProof/>
                <w:lang w:val="es-MX"/>
              </w:rPr>
              <w:t>Tabla del Contenido</w:t>
            </w:r>
            <w:r w:rsidR="00325095">
              <w:rPr>
                <w:noProof/>
                <w:webHidden/>
              </w:rPr>
              <w:tab/>
            </w:r>
            <w:r>
              <w:rPr>
                <w:noProof/>
                <w:webHidden/>
              </w:rPr>
              <w:fldChar w:fldCharType="begin"/>
            </w:r>
            <w:r w:rsidR="00325095">
              <w:rPr>
                <w:noProof/>
                <w:webHidden/>
              </w:rPr>
              <w:instrText xml:space="preserve"> PAGEREF _Toc416868834 \h </w:instrText>
            </w:r>
            <w:r>
              <w:rPr>
                <w:noProof/>
                <w:webHidden/>
              </w:rPr>
            </w:r>
            <w:r>
              <w:rPr>
                <w:noProof/>
                <w:webHidden/>
              </w:rPr>
              <w:fldChar w:fldCharType="separate"/>
            </w:r>
            <w:r w:rsidR="00FB72F5">
              <w:rPr>
                <w:noProof/>
                <w:webHidden/>
              </w:rPr>
              <w:t>2</w:t>
            </w:r>
            <w:r>
              <w:rPr>
                <w:noProof/>
                <w:webHidden/>
              </w:rPr>
              <w:fldChar w:fldCharType="end"/>
            </w:r>
          </w:hyperlink>
        </w:p>
        <w:p w:rsidR="00325095" w:rsidRDefault="00490323">
          <w:pPr>
            <w:pStyle w:val="TOC1"/>
            <w:tabs>
              <w:tab w:val="right" w:leader="dot" w:pos="9016"/>
            </w:tabs>
            <w:rPr>
              <w:rFonts w:asciiTheme="minorHAnsi" w:hAnsiTheme="minorHAnsi"/>
              <w:noProof/>
            </w:rPr>
          </w:pPr>
          <w:hyperlink w:anchor="_Toc416868835" w:history="1">
            <w:r w:rsidR="00325095" w:rsidRPr="00B22071">
              <w:rPr>
                <w:rStyle w:val="Hyperlink"/>
                <w:noProof/>
                <w:lang w:val="es-MX"/>
              </w:rPr>
              <w:t>Abreviaturas</w:t>
            </w:r>
            <w:r w:rsidR="00325095">
              <w:rPr>
                <w:noProof/>
                <w:webHidden/>
              </w:rPr>
              <w:tab/>
            </w:r>
            <w:r w:rsidR="00141072">
              <w:rPr>
                <w:noProof/>
                <w:webHidden/>
              </w:rPr>
              <w:fldChar w:fldCharType="begin"/>
            </w:r>
            <w:r w:rsidR="00325095">
              <w:rPr>
                <w:noProof/>
                <w:webHidden/>
              </w:rPr>
              <w:instrText xml:space="preserve"> PAGEREF _Toc416868835 \h </w:instrText>
            </w:r>
            <w:r w:rsidR="00141072">
              <w:rPr>
                <w:noProof/>
                <w:webHidden/>
              </w:rPr>
            </w:r>
            <w:r w:rsidR="00141072">
              <w:rPr>
                <w:noProof/>
                <w:webHidden/>
              </w:rPr>
              <w:fldChar w:fldCharType="separate"/>
            </w:r>
            <w:r w:rsidR="00FB72F5">
              <w:rPr>
                <w:noProof/>
                <w:webHidden/>
              </w:rPr>
              <w:t>3</w:t>
            </w:r>
            <w:r w:rsidR="00141072">
              <w:rPr>
                <w:noProof/>
                <w:webHidden/>
              </w:rPr>
              <w:fldChar w:fldCharType="end"/>
            </w:r>
          </w:hyperlink>
        </w:p>
        <w:p w:rsidR="00325095" w:rsidRDefault="00490323">
          <w:pPr>
            <w:pStyle w:val="TOC1"/>
            <w:tabs>
              <w:tab w:val="left" w:pos="440"/>
              <w:tab w:val="right" w:leader="dot" w:pos="9016"/>
            </w:tabs>
            <w:rPr>
              <w:rFonts w:asciiTheme="minorHAnsi" w:hAnsiTheme="minorHAnsi"/>
              <w:noProof/>
            </w:rPr>
          </w:pPr>
          <w:hyperlink w:anchor="_Toc416868836" w:history="1">
            <w:r w:rsidR="00325095" w:rsidRPr="00B22071">
              <w:rPr>
                <w:rStyle w:val="Hyperlink"/>
                <w:noProof/>
                <w:lang w:val="es-MX"/>
              </w:rPr>
              <w:t>I.</w:t>
            </w:r>
            <w:r w:rsidR="00325095">
              <w:rPr>
                <w:rFonts w:asciiTheme="minorHAnsi" w:hAnsiTheme="minorHAnsi"/>
                <w:noProof/>
              </w:rPr>
              <w:tab/>
            </w:r>
            <w:r w:rsidR="00325095" w:rsidRPr="00B22071">
              <w:rPr>
                <w:rStyle w:val="Hyperlink"/>
                <w:noProof/>
                <w:lang w:val="es-MX"/>
              </w:rPr>
              <w:t>Introducción</w:t>
            </w:r>
            <w:r w:rsidR="00325095">
              <w:rPr>
                <w:noProof/>
                <w:webHidden/>
              </w:rPr>
              <w:tab/>
            </w:r>
            <w:r w:rsidR="00141072">
              <w:rPr>
                <w:noProof/>
                <w:webHidden/>
              </w:rPr>
              <w:fldChar w:fldCharType="begin"/>
            </w:r>
            <w:r w:rsidR="00325095">
              <w:rPr>
                <w:noProof/>
                <w:webHidden/>
              </w:rPr>
              <w:instrText xml:space="preserve"> PAGEREF _Toc416868836 \h </w:instrText>
            </w:r>
            <w:r w:rsidR="00141072">
              <w:rPr>
                <w:noProof/>
                <w:webHidden/>
              </w:rPr>
            </w:r>
            <w:r w:rsidR="00141072">
              <w:rPr>
                <w:noProof/>
                <w:webHidden/>
              </w:rPr>
              <w:fldChar w:fldCharType="separate"/>
            </w:r>
            <w:r w:rsidR="00FB72F5">
              <w:rPr>
                <w:noProof/>
                <w:webHidden/>
              </w:rPr>
              <w:t>5</w:t>
            </w:r>
            <w:r w:rsidR="00141072">
              <w:rPr>
                <w:noProof/>
                <w:webHidden/>
              </w:rPr>
              <w:fldChar w:fldCharType="end"/>
            </w:r>
          </w:hyperlink>
        </w:p>
        <w:p w:rsidR="00325095" w:rsidRDefault="00490323">
          <w:pPr>
            <w:pStyle w:val="TOC1"/>
            <w:tabs>
              <w:tab w:val="left" w:pos="440"/>
              <w:tab w:val="right" w:leader="dot" w:pos="9016"/>
            </w:tabs>
            <w:rPr>
              <w:rFonts w:asciiTheme="minorHAnsi" w:hAnsiTheme="minorHAnsi"/>
              <w:noProof/>
            </w:rPr>
          </w:pPr>
          <w:hyperlink w:anchor="_Toc416868837" w:history="1">
            <w:r w:rsidR="00325095" w:rsidRPr="00B22071">
              <w:rPr>
                <w:rStyle w:val="Hyperlink"/>
                <w:noProof/>
                <w:lang w:val="es-MX"/>
              </w:rPr>
              <w:t>II.</w:t>
            </w:r>
            <w:r w:rsidR="00325095">
              <w:rPr>
                <w:rFonts w:asciiTheme="minorHAnsi" w:hAnsiTheme="minorHAnsi"/>
                <w:noProof/>
              </w:rPr>
              <w:tab/>
            </w:r>
            <w:r w:rsidR="00325095" w:rsidRPr="00B22071">
              <w:rPr>
                <w:rStyle w:val="Hyperlink"/>
                <w:noProof/>
                <w:lang w:val="es-MX"/>
              </w:rPr>
              <w:t>Metodología</w:t>
            </w:r>
            <w:r w:rsidR="00325095">
              <w:rPr>
                <w:noProof/>
                <w:webHidden/>
              </w:rPr>
              <w:tab/>
            </w:r>
            <w:r w:rsidR="00141072">
              <w:rPr>
                <w:noProof/>
                <w:webHidden/>
              </w:rPr>
              <w:fldChar w:fldCharType="begin"/>
            </w:r>
            <w:r w:rsidR="00325095">
              <w:rPr>
                <w:noProof/>
                <w:webHidden/>
              </w:rPr>
              <w:instrText xml:space="preserve"> PAGEREF _Toc416868837 \h </w:instrText>
            </w:r>
            <w:r w:rsidR="00141072">
              <w:rPr>
                <w:noProof/>
                <w:webHidden/>
              </w:rPr>
            </w:r>
            <w:r w:rsidR="00141072">
              <w:rPr>
                <w:noProof/>
                <w:webHidden/>
              </w:rPr>
              <w:fldChar w:fldCharType="separate"/>
            </w:r>
            <w:r w:rsidR="00FB72F5">
              <w:rPr>
                <w:noProof/>
                <w:webHidden/>
              </w:rPr>
              <w:t>5</w:t>
            </w:r>
            <w:r w:rsidR="00141072">
              <w:rPr>
                <w:noProof/>
                <w:webHidden/>
              </w:rPr>
              <w:fldChar w:fldCharType="end"/>
            </w:r>
          </w:hyperlink>
        </w:p>
        <w:p w:rsidR="00325095" w:rsidRDefault="00490323">
          <w:pPr>
            <w:pStyle w:val="TOC1"/>
            <w:tabs>
              <w:tab w:val="left" w:pos="660"/>
              <w:tab w:val="right" w:leader="dot" w:pos="9016"/>
            </w:tabs>
            <w:rPr>
              <w:rFonts w:asciiTheme="minorHAnsi" w:hAnsiTheme="minorHAnsi"/>
              <w:noProof/>
            </w:rPr>
          </w:pPr>
          <w:hyperlink w:anchor="_Toc416868838" w:history="1">
            <w:r w:rsidR="00325095" w:rsidRPr="00B22071">
              <w:rPr>
                <w:rStyle w:val="Hyperlink"/>
                <w:noProof/>
                <w:lang w:val="es-MX"/>
              </w:rPr>
              <w:t>III.</w:t>
            </w:r>
            <w:r w:rsidR="00325095">
              <w:rPr>
                <w:rFonts w:asciiTheme="minorHAnsi" w:hAnsiTheme="minorHAnsi"/>
                <w:noProof/>
              </w:rPr>
              <w:tab/>
            </w:r>
            <w:r w:rsidR="00325095" w:rsidRPr="00B22071">
              <w:rPr>
                <w:rStyle w:val="Hyperlink"/>
                <w:noProof/>
                <w:lang w:val="es-MX"/>
              </w:rPr>
              <w:t>Criterios Centrales</w:t>
            </w:r>
            <w:r w:rsidR="00325095">
              <w:rPr>
                <w:noProof/>
                <w:webHidden/>
              </w:rPr>
              <w:tab/>
            </w:r>
            <w:r w:rsidR="00141072">
              <w:rPr>
                <w:noProof/>
                <w:webHidden/>
              </w:rPr>
              <w:fldChar w:fldCharType="begin"/>
            </w:r>
            <w:r w:rsidR="00325095">
              <w:rPr>
                <w:noProof/>
                <w:webHidden/>
              </w:rPr>
              <w:instrText xml:space="preserve"> PAGEREF _Toc416868838 \h </w:instrText>
            </w:r>
            <w:r w:rsidR="00141072">
              <w:rPr>
                <w:noProof/>
                <w:webHidden/>
              </w:rPr>
            </w:r>
            <w:r w:rsidR="00141072">
              <w:rPr>
                <w:noProof/>
                <w:webHidden/>
              </w:rPr>
              <w:fldChar w:fldCharType="separate"/>
            </w:r>
            <w:r w:rsidR="00FB72F5">
              <w:rPr>
                <w:noProof/>
                <w:webHidden/>
              </w:rPr>
              <w:t>6</w:t>
            </w:r>
            <w:r w:rsidR="00141072">
              <w:rPr>
                <w:noProof/>
                <w:webHidden/>
              </w:rPr>
              <w:fldChar w:fldCharType="end"/>
            </w:r>
          </w:hyperlink>
        </w:p>
        <w:p w:rsidR="00325095" w:rsidRDefault="00490323">
          <w:pPr>
            <w:pStyle w:val="TOC2"/>
            <w:rPr>
              <w:rFonts w:asciiTheme="minorHAnsi" w:hAnsiTheme="minorHAnsi"/>
              <w:noProof/>
            </w:rPr>
          </w:pPr>
          <w:hyperlink w:anchor="_Toc416868839" w:history="1">
            <w:r w:rsidR="00325095" w:rsidRPr="00B22071">
              <w:rPr>
                <w:rStyle w:val="Hyperlink"/>
                <w:noProof/>
                <w:lang w:val="es-MX"/>
              </w:rPr>
              <w:t>Efectividad</w:t>
            </w:r>
            <w:r w:rsidR="00325095">
              <w:rPr>
                <w:noProof/>
                <w:webHidden/>
              </w:rPr>
              <w:tab/>
            </w:r>
            <w:r w:rsidR="00141072">
              <w:rPr>
                <w:noProof/>
                <w:webHidden/>
              </w:rPr>
              <w:fldChar w:fldCharType="begin"/>
            </w:r>
            <w:r w:rsidR="00325095">
              <w:rPr>
                <w:noProof/>
                <w:webHidden/>
              </w:rPr>
              <w:instrText xml:space="preserve"> PAGEREF _Toc416868839 \h </w:instrText>
            </w:r>
            <w:r w:rsidR="00141072">
              <w:rPr>
                <w:noProof/>
                <w:webHidden/>
              </w:rPr>
            </w:r>
            <w:r w:rsidR="00141072">
              <w:rPr>
                <w:noProof/>
                <w:webHidden/>
              </w:rPr>
              <w:fldChar w:fldCharType="separate"/>
            </w:r>
            <w:r w:rsidR="00FB72F5">
              <w:rPr>
                <w:noProof/>
                <w:webHidden/>
              </w:rPr>
              <w:t>6</w:t>
            </w:r>
            <w:r w:rsidR="00141072">
              <w:rPr>
                <w:noProof/>
                <w:webHidden/>
              </w:rPr>
              <w:fldChar w:fldCharType="end"/>
            </w:r>
          </w:hyperlink>
        </w:p>
        <w:p w:rsidR="00325095" w:rsidRDefault="00490323">
          <w:pPr>
            <w:pStyle w:val="TOC2"/>
            <w:rPr>
              <w:rFonts w:asciiTheme="minorHAnsi" w:hAnsiTheme="minorHAnsi"/>
              <w:noProof/>
            </w:rPr>
          </w:pPr>
          <w:hyperlink w:anchor="_Toc416868840" w:history="1">
            <w:r w:rsidR="00325095" w:rsidRPr="00B22071">
              <w:rPr>
                <w:rStyle w:val="Hyperlink"/>
                <w:noProof/>
                <w:lang w:val="es-MX"/>
              </w:rPr>
              <w:t>Eficiencia</w:t>
            </w:r>
            <w:r w:rsidR="00325095">
              <w:rPr>
                <w:noProof/>
                <w:webHidden/>
              </w:rPr>
              <w:tab/>
            </w:r>
            <w:r w:rsidR="00141072">
              <w:rPr>
                <w:noProof/>
                <w:webHidden/>
              </w:rPr>
              <w:fldChar w:fldCharType="begin"/>
            </w:r>
            <w:r w:rsidR="00325095">
              <w:rPr>
                <w:noProof/>
                <w:webHidden/>
              </w:rPr>
              <w:instrText xml:space="preserve"> PAGEREF _Toc416868840 \h </w:instrText>
            </w:r>
            <w:r w:rsidR="00141072">
              <w:rPr>
                <w:noProof/>
                <w:webHidden/>
              </w:rPr>
            </w:r>
            <w:r w:rsidR="00141072">
              <w:rPr>
                <w:noProof/>
                <w:webHidden/>
              </w:rPr>
              <w:fldChar w:fldCharType="separate"/>
            </w:r>
            <w:r w:rsidR="00FB72F5">
              <w:rPr>
                <w:noProof/>
                <w:webHidden/>
              </w:rPr>
              <w:t>11</w:t>
            </w:r>
            <w:r w:rsidR="00141072">
              <w:rPr>
                <w:noProof/>
                <w:webHidden/>
              </w:rPr>
              <w:fldChar w:fldCharType="end"/>
            </w:r>
          </w:hyperlink>
        </w:p>
        <w:p w:rsidR="00325095" w:rsidRDefault="00490323">
          <w:pPr>
            <w:pStyle w:val="TOC2"/>
            <w:rPr>
              <w:rFonts w:asciiTheme="minorHAnsi" w:hAnsiTheme="minorHAnsi"/>
              <w:noProof/>
            </w:rPr>
          </w:pPr>
          <w:hyperlink w:anchor="_Toc416868841" w:history="1">
            <w:r w:rsidR="00325095" w:rsidRPr="00B22071">
              <w:rPr>
                <w:rStyle w:val="Hyperlink"/>
                <w:noProof/>
                <w:lang w:val="es-MX"/>
              </w:rPr>
              <w:t>Relevancia</w:t>
            </w:r>
            <w:r w:rsidR="00325095">
              <w:rPr>
                <w:noProof/>
                <w:webHidden/>
              </w:rPr>
              <w:tab/>
            </w:r>
            <w:r w:rsidR="00141072">
              <w:rPr>
                <w:noProof/>
                <w:webHidden/>
              </w:rPr>
              <w:fldChar w:fldCharType="begin"/>
            </w:r>
            <w:r w:rsidR="00325095">
              <w:rPr>
                <w:noProof/>
                <w:webHidden/>
              </w:rPr>
              <w:instrText xml:space="preserve"> PAGEREF _Toc416868841 \h </w:instrText>
            </w:r>
            <w:r w:rsidR="00141072">
              <w:rPr>
                <w:noProof/>
                <w:webHidden/>
              </w:rPr>
            </w:r>
            <w:r w:rsidR="00141072">
              <w:rPr>
                <w:noProof/>
                <w:webHidden/>
              </w:rPr>
              <w:fldChar w:fldCharType="separate"/>
            </w:r>
            <w:r w:rsidR="00FB72F5">
              <w:rPr>
                <w:noProof/>
                <w:webHidden/>
              </w:rPr>
              <w:t>12</w:t>
            </w:r>
            <w:r w:rsidR="00141072">
              <w:rPr>
                <w:noProof/>
                <w:webHidden/>
              </w:rPr>
              <w:fldChar w:fldCharType="end"/>
            </w:r>
          </w:hyperlink>
        </w:p>
        <w:p w:rsidR="00325095" w:rsidRDefault="00490323">
          <w:pPr>
            <w:pStyle w:val="TOC2"/>
            <w:rPr>
              <w:rFonts w:asciiTheme="minorHAnsi" w:hAnsiTheme="minorHAnsi"/>
              <w:noProof/>
            </w:rPr>
          </w:pPr>
          <w:hyperlink w:anchor="_Toc416868842" w:history="1">
            <w:r w:rsidR="00325095" w:rsidRPr="00B22071">
              <w:rPr>
                <w:rStyle w:val="Hyperlink"/>
                <w:noProof/>
                <w:lang w:val="es-MX"/>
              </w:rPr>
              <w:t>Sostenibilidad</w:t>
            </w:r>
            <w:r w:rsidR="00325095">
              <w:rPr>
                <w:noProof/>
                <w:webHidden/>
              </w:rPr>
              <w:tab/>
            </w:r>
            <w:r w:rsidR="00141072">
              <w:rPr>
                <w:noProof/>
                <w:webHidden/>
              </w:rPr>
              <w:fldChar w:fldCharType="begin"/>
            </w:r>
            <w:r w:rsidR="00325095">
              <w:rPr>
                <w:noProof/>
                <w:webHidden/>
              </w:rPr>
              <w:instrText xml:space="preserve"> PAGEREF _Toc416868842 \h </w:instrText>
            </w:r>
            <w:r w:rsidR="00141072">
              <w:rPr>
                <w:noProof/>
                <w:webHidden/>
              </w:rPr>
            </w:r>
            <w:r w:rsidR="00141072">
              <w:rPr>
                <w:noProof/>
                <w:webHidden/>
              </w:rPr>
              <w:fldChar w:fldCharType="separate"/>
            </w:r>
            <w:r w:rsidR="00FB72F5">
              <w:rPr>
                <w:noProof/>
                <w:webHidden/>
              </w:rPr>
              <w:t>13</w:t>
            </w:r>
            <w:r w:rsidR="00141072">
              <w:rPr>
                <w:noProof/>
                <w:webHidden/>
              </w:rPr>
              <w:fldChar w:fldCharType="end"/>
            </w:r>
          </w:hyperlink>
        </w:p>
        <w:p w:rsidR="00325095" w:rsidRDefault="00490323">
          <w:pPr>
            <w:pStyle w:val="TOC1"/>
            <w:tabs>
              <w:tab w:val="left" w:pos="660"/>
              <w:tab w:val="right" w:leader="dot" w:pos="9016"/>
            </w:tabs>
            <w:rPr>
              <w:rFonts w:asciiTheme="minorHAnsi" w:hAnsiTheme="minorHAnsi"/>
              <w:noProof/>
            </w:rPr>
          </w:pPr>
          <w:hyperlink w:anchor="_Toc416868843" w:history="1">
            <w:r w:rsidR="00325095" w:rsidRPr="00B22071">
              <w:rPr>
                <w:rStyle w:val="Hyperlink"/>
                <w:noProof/>
                <w:lang w:val="es-MX"/>
              </w:rPr>
              <w:t>IV.</w:t>
            </w:r>
            <w:r w:rsidR="00325095">
              <w:rPr>
                <w:rFonts w:asciiTheme="minorHAnsi" w:hAnsiTheme="minorHAnsi"/>
                <w:noProof/>
              </w:rPr>
              <w:tab/>
            </w:r>
            <w:r w:rsidR="00325095" w:rsidRPr="00B22071">
              <w:rPr>
                <w:rStyle w:val="Hyperlink"/>
                <w:noProof/>
                <w:lang w:val="es-MX"/>
              </w:rPr>
              <w:t>Criterios no-centrales</w:t>
            </w:r>
            <w:r w:rsidR="00325095">
              <w:rPr>
                <w:noProof/>
                <w:webHidden/>
              </w:rPr>
              <w:tab/>
            </w:r>
            <w:r w:rsidR="00141072">
              <w:rPr>
                <w:noProof/>
                <w:webHidden/>
              </w:rPr>
              <w:fldChar w:fldCharType="begin"/>
            </w:r>
            <w:r w:rsidR="00325095">
              <w:rPr>
                <w:noProof/>
                <w:webHidden/>
              </w:rPr>
              <w:instrText xml:space="preserve"> PAGEREF _Toc416868843 \h </w:instrText>
            </w:r>
            <w:r w:rsidR="00141072">
              <w:rPr>
                <w:noProof/>
                <w:webHidden/>
              </w:rPr>
            </w:r>
            <w:r w:rsidR="00141072">
              <w:rPr>
                <w:noProof/>
                <w:webHidden/>
              </w:rPr>
              <w:fldChar w:fldCharType="separate"/>
            </w:r>
            <w:r w:rsidR="00FB72F5">
              <w:rPr>
                <w:noProof/>
                <w:webHidden/>
              </w:rPr>
              <w:t>14</w:t>
            </w:r>
            <w:r w:rsidR="00141072">
              <w:rPr>
                <w:noProof/>
                <w:webHidden/>
              </w:rPr>
              <w:fldChar w:fldCharType="end"/>
            </w:r>
          </w:hyperlink>
        </w:p>
        <w:p w:rsidR="00325095" w:rsidRDefault="00490323">
          <w:pPr>
            <w:pStyle w:val="TOC2"/>
            <w:rPr>
              <w:rFonts w:asciiTheme="minorHAnsi" w:hAnsiTheme="minorHAnsi"/>
              <w:noProof/>
            </w:rPr>
          </w:pPr>
          <w:hyperlink w:anchor="_Toc416868844" w:history="1">
            <w:r w:rsidR="00325095" w:rsidRPr="00B22071">
              <w:rPr>
                <w:rStyle w:val="Hyperlink"/>
                <w:noProof/>
                <w:lang w:val="es-MX"/>
              </w:rPr>
              <w:t>Contribución a los Objetivos Corporativos de Desarrollo del Banco</w:t>
            </w:r>
            <w:r w:rsidR="00325095">
              <w:rPr>
                <w:noProof/>
                <w:webHidden/>
              </w:rPr>
              <w:tab/>
            </w:r>
            <w:r w:rsidR="00141072">
              <w:rPr>
                <w:noProof/>
                <w:webHidden/>
              </w:rPr>
              <w:fldChar w:fldCharType="begin"/>
            </w:r>
            <w:r w:rsidR="00325095">
              <w:rPr>
                <w:noProof/>
                <w:webHidden/>
              </w:rPr>
              <w:instrText xml:space="preserve"> PAGEREF _Toc416868844 \h </w:instrText>
            </w:r>
            <w:r w:rsidR="00141072">
              <w:rPr>
                <w:noProof/>
                <w:webHidden/>
              </w:rPr>
            </w:r>
            <w:r w:rsidR="00141072">
              <w:rPr>
                <w:noProof/>
                <w:webHidden/>
              </w:rPr>
              <w:fldChar w:fldCharType="separate"/>
            </w:r>
            <w:r w:rsidR="00FB72F5">
              <w:rPr>
                <w:noProof/>
                <w:webHidden/>
              </w:rPr>
              <w:t>14</w:t>
            </w:r>
            <w:r w:rsidR="00141072">
              <w:rPr>
                <w:noProof/>
                <w:webHidden/>
              </w:rPr>
              <w:fldChar w:fldCharType="end"/>
            </w:r>
          </w:hyperlink>
        </w:p>
        <w:p w:rsidR="00325095" w:rsidRDefault="00490323">
          <w:pPr>
            <w:pStyle w:val="TOC2"/>
            <w:rPr>
              <w:rFonts w:asciiTheme="minorHAnsi" w:hAnsiTheme="minorHAnsi"/>
              <w:noProof/>
            </w:rPr>
          </w:pPr>
          <w:hyperlink w:anchor="_Toc416868845" w:history="1">
            <w:r w:rsidR="00325095" w:rsidRPr="00B22071">
              <w:rPr>
                <w:rStyle w:val="Hyperlink"/>
                <w:noProof/>
                <w:lang w:val="es-MX"/>
              </w:rPr>
              <w:t>Contribución a los Objetivos Estratégicos de Desarrollo del País</w:t>
            </w:r>
            <w:r w:rsidR="00325095">
              <w:rPr>
                <w:noProof/>
                <w:webHidden/>
              </w:rPr>
              <w:tab/>
            </w:r>
            <w:r w:rsidR="00141072">
              <w:rPr>
                <w:noProof/>
                <w:webHidden/>
              </w:rPr>
              <w:fldChar w:fldCharType="begin"/>
            </w:r>
            <w:r w:rsidR="00325095">
              <w:rPr>
                <w:noProof/>
                <w:webHidden/>
              </w:rPr>
              <w:instrText xml:space="preserve"> PAGEREF _Toc416868845 \h </w:instrText>
            </w:r>
            <w:r w:rsidR="00141072">
              <w:rPr>
                <w:noProof/>
                <w:webHidden/>
              </w:rPr>
            </w:r>
            <w:r w:rsidR="00141072">
              <w:rPr>
                <w:noProof/>
                <w:webHidden/>
              </w:rPr>
              <w:fldChar w:fldCharType="separate"/>
            </w:r>
            <w:r w:rsidR="00FB72F5">
              <w:rPr>
                <w:noProof/>
                <w:webHidden/>
              </w:rPr>
              <w:t>14</w:t>
            </w:r>
            <w:r w:rsidR="00141072">
              <w:rPr>
                <w:noProof/>
                <w:webHidden/>
              </w:rPr>
              <w:fldChar w:fldCharType="end"/>
            </w:r>
          </w:hyperlink>
        </w:p>
        <w:p w:rsidR="00325095" w:rsidRDefault="00490323">
          <w:pPr>
            <w:pStyle w:val="TOC2"/>
            <w:rPr>
              <w:rFonts w:asciiTheme="minorHAnsi" w:hAnsiTheme="minorHAnsi"/>
              <w:noProof/>
            </w:rPr>
          </w:pPr>
          <w:hyperlink w:anchor="_Toc416868846" w:history="1">
            <w:r w:rsidR="00325095" w:rsidRPr="00B22071">
              <w:rPr>
                <w:rStyle w:val="Hyperlink"/>
                <w:noProof/>
                <w:lang w:val="es-MX"/>
              </w:rPr>
              <w:t>Seguimiento y Evaluación (M&amp;E)</w:t>
            </w:r>
            <w:r w:rsidR="00325095">
              <w:rPr>
                <w:noProof/>
                <w:webHidden/>
              </w:rPr>
              <w:tab/>
            </w:r>
            <w:r w:rsidR="00141072">
              <w:rPr>
                <w:noProof/>
                <w:webHidden/>
              </w:rPr>
              <w:fldChar w:fldCharType="begin"/>
            </w:r>
            <w:r w:rsidR="00325095">
              <w:rPr>
                <w:noProof/>
                <w:webHidden/>
              </w:rPr>
              <w:instrText xml:space="preserve"> PAGEREF _Toc416868846 \h </w:instrText>
            </w:r>
            <w:r w:rsidR="00141072">
              <w:rPr>
                <w:noProof/>
                <w:webHidden/>
              </w:rPr>
            </w:r>
            <w:r w:rsidR="00141072">
              <w:rPr>
                <w:noProof/>
                <w:webHidden/>
              </w:rPr>
              <w:fldChar w:fldCharType="separate"/>
            </w:r>
            <w:r w:rsidR="00FB72F5">
              <w:rPr>
                <w:noProof/>
                <w:webHidden/>
              </w:rPr>
              <w:t>14</w:t>
            </w:r>
            <w:r w:rsidR="00141072">
              <w:rPr>
                <w:noProof/>
                <w:webHidden/>
              </w:rPr>
              <w:fldChar w:fldCharType="end"/>
            </w:r>
          </w:hyperlink>
        </w:p>
        <w:p w:rsidR="00325095" w:rsidRDefault="00490323">
          <w:pPr>
            <w:pStyle w:val="TOC2"/>
            <w:rPr>
              <w:rFonts w:asciiTheme="minorHAnsi" w:hAnsiTheme="minorHAnsi"/>
              <w:noProof/>
            </w:rPr>
          </w:pPr>
          <w:hyperlink w:anchor="_Toc416868847" w:history="1">
            <w:r w:rsidR="00325095" w:rsidRPr="00B22071">
              <w:rPr>
                <w:rStyle w:val="Hyperlink"/>
                <w:noProof/>
                <w:lang w:val="es-MX"/>
              </w:rPr>
              <w:t>Instrumentos de Gestión</w:t>
            </w:r>
            <w:r w:rsidR="00325095">
              <w:rPr>
                <w:noProof/>
                <w:webHidden/>
              </w:rPr>
              <w:tab/>
            </w:r>
            <w:r w:rsidR="00141072">
              <w:rPr>
                <w:noProof/>
                <w:webHidden/>
              </w:rPr>
              <w:fldChar w:fldCharType="begin"/>
            </w:r>
            <w:r w:rsidR="00325095">
              <w:rPr>
                <w:noProof/>
                <w:webHidden/>
              </w:rPr>
              <w:instrText xml:space="preserve"> PAGEREF _Toc416868847 \h </w:instrText>
            </w:r>
            <w:r w:rsidR="00141072">
              <w:rPr>
                <w:noProof/>
                <w:webHidden/>
              </w:rPr>
            </w:r>
            <w:r w:rsidR="00141072">
              <w:rPr>
                <w:noProof/>
                <w:webHidden/>
              </w:rPr>
              <w:fldChar w:fldCharType="separate"/>
            </w:r>
            <w:r w:rsidR="00FB72F5">
              <w:rPr>
                <w:noProof/>
                <w:webHidden/>
              </w:rPr>
              <w:t>15</w:t>
            </w:r>
            <w:r w:rsidR="00141072">
              <w:rPr>
                <w:noProof/>
                <w:webHidden/>
              </w:rPr>
              <w:fldChar w:fldCharType="end"/>
            </w:r>
          </w:hyperlink>
        </w:p>
        <w:p w:rsidR="00325095" w:rsidRDefault="00490323">
          <w:pPr>
            <w:pStyle w:val="TOC2"/>
            <w:rPr>
              <w:rFonts w:asciiTheme="minorHAnsi" w:hAnsiTheme="minorHAnsi"/>
              <w:noProof/>
            </w:rPr>
          </w:pPr>
          <w:hyperlink w:anchor="_Toc416868848" w:history="1">
            <w:r w:rsidR="00325095" w:rsidRPr="00B22071">
              <w:rPr>
                <w:rStyle w:val="Hyperlink"/>
                <w:noProof/>
                <w:lang w:val="es-MX"/>
              </w:rPr>
              <w:t>Gestión de Riesgos</w:t>
            </w:r>
            <w:r w:rsidR="00325095">
              <w:rPr>
                <w:noProof/>
                <w:webHidden/>
              </w:rPr>
              <w:tab/>
            </w:r>
            <w:r w:rsidR="00141072">
              <w:rPr>
                <w:noProof/>
                <w:webHidden/>
              </w:rPr>
              <w:fldChar w:fldCharType="begin"/>
            </w:r>
            <w:r w:rsidR="00325095">
              <w:rPr>
                <w:noProof/>
                <w:webHidden/>
              </w:rPr>
              <w:instrText xml:space="preserve"> PAGEREF _Toc416868848 \h </w:instrText>
            </w:r>
            <w:r w:rsidR="00141072">
              <w:rPr>
                <w:noProof/>
                <w:webHidden/>
              </w:rPr>
            </w:r>
            <w:r w:rsidR="00141072">
              <w:rPr>
                <w:noProof/>
                <w:webHidden/>
              </w:rPr>
              <w:fldChar w:fldCharType="separate"/>
            </w:r>
            <w:r w:rsidR="00FB72F5">
              <w:rPr>
                <w:noProof/>
                <w:webHidden/>
              </w:rPr>
              <w:t>16</w:t>
            </w:r>
            <w:r w:rsidR="00141072">
              <w:rPr>
                <w:noProof/>
                <w:webHidden/>
              </w:rPr>
              <w:fldChar w:fldCharType="end"/>
            </w:r>
          </w:hyperlink>
        </w:p>
        <w:p w:rsidR="00325095" w:rsidRDefault="00490323">
          <w:pPr>
            <w:pStyle w:val="TOC2"/>
            <w:rPr>
              <w:rFonts w:asciiTheme="minorHAnsi" w:hAnsiTheme="minorHAnsi"/>
              <w:noProof/>
            </w:rPr>
          </w:pPr>
          <w:hyperlink w:anchor="_Toc416868849" w:history="1">
            <w:r w:rsidR="00325095" w:rsidRPr="00B22071">
              <w:rPr>
                <w:rStyle w:val="Hyperlink"/>
                <w:noProof/>
                <w:lang w:val="es-MX"/>
              </w:rPr>
              <w:t>Uso de Sistemas de País</w:t>
            </w:r>
            <w:r w:rsidR="00325095">
              <w:rPr>
                <w:noProof/>
                <w:webHidden/>
              </w:rPr>
              <w:tab/>
            </w:r>
            <w:r w:rsidR="00141072">
              <w:rPr>
                <w:noProof/>
                <w:webHidden/>
              </w:rPr>
              <w:fldChar w:fldCharType="begin"/>
            </w:r>
            <w:r w:rsidR="00325095">
              <w:rPr>
                <w:noProof/>
                <w:webHidden/>
              </w:rPr>
              <w:instrText xml:space="preserve"> PAGEREF _Toc416868849 \h </w:instrText>
            </w:r>
            <w:r w:rsidR="00141072">
              <w:rPr>
                <w:noProof/>
                <w:webHidden/>
              </w:rPr>
            </w:r>
            <w:r w:rsidR="00141072">
              <w:rPr>
                <w:noProof/>
                <w:webHidden/>
              </w:rPr>
              <w:fldChar w:fldCharType="separate"/>
            </w:r>
            <w:r w:rsidR="00FB72F5">
              <w:rPr>
                <w:noProof/>
                <w:webHidden/>
              </w:rPr>
              <w:t>17</w:t>
            </w:r>
            <w:r w:rsidR="00141072">
              <w:rPr>
                <w:noProof/>
                <w:webHidden/>
              </w:rPr>
              <w:fldChar w:fldCharType="end"/>
            </w:r>
          </w:hyperlink>
        </w:p>
        <w:p w:rsidR="00325095" w:rsidRDefault="00490323">
          <w:pPr>
            <w:pStyle w:val="TOC2"/>
            <w:rPr>
              <w:rFonts w:asciiTheme="minorHAnsi" w:hAnsiTheme="minorHAnsi"/>
              <w:noProof/>
            </w:rPr>
          </w:pPr>
          <w:hyperlink w:anchor="_Toc416868850" w:history="1">
            <w:r w:rsidR="00325095" w:rsidRPr="00B22071">
              <w:rPr>
                <w:rStyle w:val="Hyperlink"/>
                <w:noProof/>
                <w:lang w:val="es-MX"/>
              </w:rPr>
              <w:t>Salvaguardias Ambientales y Sociales</w:t>
            </w:r>
            <w:r w:rsidR="00325095">
              <w:rPr>
                <w:noProof/>
                <w:webHidden/>
              </w:rPr>
              <w:tab/>
            </w:r>
            <w:r w:rsidR="00141072">
              <w:rPr>
                <w:noProof/>
                <w:webHidden/>
              </w:rPr>
              <w:fldChar w:fldCharType="begin"/>
            </w:r>
            <w:r w:rsidR="00325095">
              <w:rPr>
                <w:noProof/>
                <w:webHidden/>
              </w:rPr>
              <w:instrText xml:space="preserve"> PAGEREF _Toc416868850 \h </w:instrText>
            </w:r>
            <w:r w:rsidR="00141072">
              <w:rPr>
                <w:noProof/>
                <w:webHidden/>
              </w:rPr>
            </w:r>
            <w:r w:rsidR="00141072">
              <w:rPr>
                <w:noProof/>
                <w:webHidden/>
              </w:rPr>
              <w:fldChar w:fldCharType="separate"/>
            </w:r>
            <w:r w:rsidR="00FB72F5">
              <w:rPr>
                <w:noProof/>
                <w:webHidden/>
              </w:rPr>
              <w:t>17</w:t>
            </w:r>
            <w:r w:rsidR="00141072">
              <w:rPr>
                <w:noProof/>
                <w:webHidden/>
              </w:rPr>
              <w:fldChar w:fldCharType="end"/>
            </w:r>
          </w:hyperlink>
        </w:p>
        <w:p w:rsidR="00325095" w:rsidRDefault="00490323">
          <w:pPr>
            <w:pStyle w:val="TOC1"/>
            <w:tabs>
              <w:tab w:val="left" w:pos="440"/>
              <w:tab w:val="right" w:leader="dot" w:pos="9016"/>
            </w:tabs>
            <w:rPr>
              <w:rFonts w:asciiTheme="minorHAnsi" w:hAnsiTheme="minorHAnsi"/>
              <w:noProof/>
            </w:rPr>
          </w:pPr>
          <w:hyperlink w:anchor="_Toc416868851" w:history="1">
            <w:r w:rsidR="00325095" w:rsidRPr="00B22071">
              <w:rPr>
                <w:rStyle w:val="Hyperlink"/>
                <w:noProof/>
                <w:lang w:val="es-MX"/>
              </w:rPr>
              <w:t>V.</w:t>
            </w:r>
            <w:r w:rsidR="00325095">
              <w:rPr>
                <w:rFonts w:asciiTheme="minorHAnsi" w:hAnsiTheme="minorHAnsi"/>
                <w:noProof/>
              </w:rPr>
              <w:tab/>
            </w:r>
            <w:r w:rsidR="00325095" w:rsidRPr="00B22071">
              <w:rPr>
                <w:rStyle w:val="Hyperlink"/>
                <w:noProof/>
                <w:lang w:val="es-MX"/>
              </w:rPr>
              <w:t>Conclusiones y Recomendaciones</w:t>
            </w:r>
            <w:r w:rsidR="00325095">
              <w:rPr>
                <w:noProof/>
                <w:webHidden/>
              </w:rPr>
              <w:tab/>
            </w:r>
            <w:r w:rsidR="00141072">
              <w:rPr>
                <w:noProof/>
                <w:webHidden/>
              </w:rPr>
              <w:fldChar w:fldCharType="begin"/>
            </w:r>
            <w:r w:rsidR="00325095">
              <w:rPr>
                <w:noProof/>
                <w:webHidden/>
              </w:rPr>
              <w:instrText xml:space="preserve"> PAGEREF _Toc416868851 \h </w:instrText>
            </w:r>
            <w:r w:rsidR="00141072">
              <w:rPr>
                <w:noProof/>
                <w:webHidden/>
              </w:rPr>
            </w:r>
            <w:r w:rsidR="00141072">
              <w:rPr>
                <w:noProof/>
                <w:webHidden/>
              </w:rPr>
              <w:fldChar w:fldCharType="separate"/>
            </w:r>
            <w:r w:rsidR="00FB72F5">
              <w:rPr>
                <w:noProof/>
                <w:webHidden/>
              </w:rPr>
              <w:t>19</w:t>
            </w:r>
            <w:r w:rsidR="00141072">
              <w:rPr>
                <w:noProof/>
                <w:webHidden/>
              </w:rPr>
              <w:fldChar w:fldCharType="end"/>
            </w:r>
          </w:hyperlink>
        </w:p>
        <w:p w:rsidR="00325095" w:rsidRDefault="00490323">
          <w:pPr>
            <w:pStyle w:val="TOC2"/>
            <w:rPr>
              <w:rFonts w:asciiTheme="minorHAnsi" w:hAnsiTheme="minorHAnsi"/>
              <w:noProof/>
            </w:rPr>
          </w:pPr>
          <w:hyperlink w:anchor="_Toc416868852" w:history="1">
            <w:r w:rsidR="00325095" w:rsidRPr="00B22071">
              <w:rPr>
                <w:rStyle w:val="Hyperlink"/>
                <w:noProof/>
                <w:lang w:val="es-MX"/>
              </w:rPr>
              <w:t>Evaluación de los Criterios Centrales</w:t>
            </w:r>
            <w:r w:rsidR="00325095">
              <w:rPr>
                <w:noProof/>
                <w:webHidden/>
              </w:rPr>
              <w:tab/>
            </w:r>
            <w:r w:rsidR="00141072">
              <w:rPr>
                <w:noProof/>
                <w:webHidden/>
              </w:rPr>
              <w:fldChar w:fldCharType="begin"/>
            </w:r>
            <w:r w:rsidR="00325095">
              <w:rPr>
                <w:noProof/>
                <w:webHidden/>
              </w:rPr>
              <w:instrText xml:space="preserve"> PAGEREF _Toc416868852 \h </w:instrText>
            </w:r>
            <w:r w:rsidR="00141072">
              <w:rPr>
                <w:noProof/>
                <w:webHidden/>
              </w:rPr>
            </w:r>
            <w:r w:rsidR="00141072">
              <w:rPr>
                <w:noProof/>
                <w:webHidden/>
              </w:rPr>
              <w:fldChar w:fldCharType="separate"/>
            </w:r>
            <w:r w:rsidR="00FB72F5">
              <w:rPr>
                <w:noProof/>
                <w:webHidden/>
              </w:rPr>
              <w:t>20</w:t>
            </w:r>
            <w:r w:rsidR="00141072">
              <w:rPr>
                <w:noProof/>
                <w:webHidden/>
              </w:rPr>
              <w:fldChar w:fldCharType="end"/>
            </w:r>
          </w:hyperlink>
        </w:p>
        <w:p w:rsidR="001E2357" w:rsidRPr="00164A31" w:rsidRDefault="00141072">
          <w:pPr>
            <w:rPr>
              <w:lang w:val="es-MX"/>
            </w:rPr>
          </w:pPr>
          <w:r w:rsidRPr="00164A31">
            <w:rPr>
              <w:lang w:val="es-MX"/>
            </w:rPr>
            <w:fldChar w:fldCharType="end"/>
          </w:r>
        </w:p>
      </w:sdtContent>
    </w:sdt>
    <w:p w:rsidR="007571AA" w:rsidRPr="00164A31" w:rsidRDefault="007571AA">
      <w:pPr>
        <w:rPr>
          <w:lang w:val="es-MX"/>
        </w:rPr>
      </w:pPr>
    </w:p>
    <w:p w:rsidR="00E30C95" w:rsidRPr="00164A31" w:rsidRDefault="00E30C95">
      <w:pPr>
        <w:spacing w:before="200" w:after="0"/>
        <w:ind w:left="714" w:hanging="357"/>
        <w:rPr>
          <w:rFonts w:eastAsiaTheme="majorEastAsia" w:cstheme="majorBidi"/>
          <w:bCs/>
          <w:smallCaps/>
          <w:sz w:val="28"/>
          <w:szCs w:val="28"/>
          <w:lang w:val="es-MX"/>
        </w:rPr>
      </w:pPr>
      <w:r w:rsidRPr="00164A31">
        <w:rPr>
          <w:lang w:val="es-MX"/>
        </w:rPr>
        <w:br w:type="page"/>
      </w:r>
    </w:p>
    <w:p w:rsidR="007571AA" w:rsidRPr="00164A31" w:rsidRDefault="007571AA" w:rsidP="000A0DAE">
      <w:pPr>
        <w:pStyle w:val="Heading1"/>
        <w:numPr>
          <w:ilvl w:val="0"/>
          <w:numId w:val="0"/>
        </w:numPr>
        <w:rPr>
          <w:lang w:val="es-MX"/>
        </w:rPr>
      </w:pPr>
      <w:bookmarkStart w:id="2" w:name="_Toc416868835"/>
      <w:r w:rsidRPr="00164A31">
        <w:rPr>
          <w:lang w:val="es-MX"/>
        </w:rPr>
        <w:lastRenderedPageBreak/>
        <w:t>Ab</w:t>
      </w:r>
      <w:r w:rsidR="006152A1" w:rsidRPr="00164A31">
        <w:rPr>
          <w:lang w:val="es-MX"/>
        </w:rPr>
        <w:t>reviaturas</w:t>
      </w:r>
      <w:bookmarkEnd w:id="2"/>
    </w:p>
    <w:p w:rsidR="006D53AD" w:rsidRPr="00164A31" w:rsidRDefault="006D53AD">
      <w:pPr>
        <w:rPr>
          <w:lang w:val="es-MX"/>
        </w:rPr>
      </w:pPr>
    </w:p>
    <w:p w:rsidR="008C2CF6" w:rsidRPr="00164A31" w:rsidRDefault="008C2CF6">
      <w:pPr>
        <w:rPr>
          <w:lang w:val="es-MX"/>
        </w:rPr>
      </w:pPr>
      <w:r w:rsidRPr="00164A31">
        <w:rPr>
          <w:lang w:val="es-MX"/>
        </w:rPr>
        <w:t>ARCONEL</w:t>
      </w:r>
      <w:r w:rsidRPr="00164A31">
        <w:rPr>
          <w:lang w:val="es-MX"/>
        </w:rPr>
        <w:tab/>
        <w:t>Agencia de Regulación y Control de Electricidad</w:t>
      </w:r>
    </w:p>
    <w:p w:rsidR="0028489D" w:rsidRPr="00164A31" w:rsidRDefault="0028489D">
      <w:pPr>
        <w:rPr>
          <w:lang w:val="es-MX"/>
        </w:rPr>
      </w:pPr>
      <w:r w:rsidRPr="00164A31">
        <w:rPr>
          <w:lang w:val="es-MX"/>
        </w:rPr>
        <w:t>BID</w:t>
      </w:r>
      <w:r w:rsidRPr="00164A31">
        <w:rPr>
          <w:lang w:val="es-MX"/>
        </w:rPr>
        <w:tab/>
      </w:r>
      <w:r w:rsidR="006D53AD" w:rsidRPr="00164A31">
        <w:rPr>
          <w:lang w:val="es-MX"/>
        </w:rPr>
        <w:tab/>
      </w:r>
      <w:r w:rsidRPr="00164A31">
        <w:rPr>
          <w:lang w:val="es-MX"/>
        </w:rPr>
        <w:t>Banco Interamericano de Desarrollo</w:t>
      </w:r>
    </w:p>
    <w:p w:rsidR="0081122C" w:rsidRPr="00164A31" w:rsidRDefault="0081122C">
      <w:pPr>
        <w:rPr>
          <w:lang w:val="es-MX"/>
        </w:rPr>
      </w:pPr>
      <w:r w:rsidRPr="00164A31">
        <w:rPr>
          <w:lang w:val="es-MX"/>
        </w:rPr>
        <w:t>CNEL EP</w:t>
      </w:r>
      <w:r w:rsidRPr="00164A31">
        <w:rPr>
          <w:lang w:val="es-MX"/>
        </w:rPr>
        <w:tab/>
        <w:t>Empresa Eléctrica Pública Estratégica Corporación Nacional de Electricidad</w:t>
      </w:r>
    </w:p>
    <w:p w:rsidR="0081122C" w:rsidRPr="00164A31" w:rsidRDefault="0081122C">
      <w:pPr>
        <w:rPr>
          <w:lang w:val="es-MX"/>
        </w:rPr>
      </w:pPr>
      <w:r w:rsidRPr="00164A31">
        <w:rPr>
          <w:lang w:val="es-MX"/>
        </w:rPr>
        <w:t>CENACE</w:t>
      </w:r>
      <w:r w:rsidRPr="00164A31">
        <w:rPr>
          <w:lang w:val="es-MX"/>
        </w:rPr>
        <w:tab/>
        <w:t>Centro Nacional de Control de Energía</w:t>
      </w:r>
    </w:p>
    <w:p w:rsidR="00B775B5" w:rsidRPr="00164A31" w:rsidRDefault="0028489D">
      <w:pPr>
        <w:rPr>
          <w:lang w:val="es-MX"/>
        </w:rPr>
      </w:pPr>
      <w:r w:rsidRPr="00164A31">
        <w:rPr>
          <w:lang w:val="es-MX"/>
        </w:rPr>
        <w:t>CO</w:t>
      </w:r>
      <w:r w:rsidRPr="00164A31">
        <w:rPr>
          <w:lang w:val="es-MX"/>
        </w:rPr>
        <w:tab/>
      </w:r>
      <w:r w:rsidR="006D53AD" w:rsidRPr="00164A31">
        <w:rPr>
          <w:lang w:val="es-MX"/>
        </w:rPr>
        <w:tab/>
      </w:r>
      <w:r w:rsidRPr="00164A31">
        <w:rPr>
          <w:lang w:val="es-MX"/>
        </w:rPr>
        <w:t>Capital Ordinario</w:t>
      </w:r>
    </w:p>
    <w:p w:rsidR="0014044A" w:rsidRPr="00164A31" w:rsidRDefault="0014044A" w:rsidP="0028489D">
      <w:pPr>
        <w:rPr>
          <w:lang w:val="es-MX"/>
        </w:rPr>
      </w:pPr>
      <w:r w:rsidRPr="00164A31">
        <w:rPr>
          <w:lang w:val="es-MX"/>
        </w:rPr>
        <w:t>COMEX</w:t>
      </w:r>
      <w:r w:rsidRPr="00164A31">
        <w:rPr>
          <w:lang w:val="es-MX"/>
        </w:rPr>
        <w:tab/>
        <w:t>Comité de Comercio Exterior</w:t>
      </w:r>
    </w:p>
    <w:p w:rsidR="0028489D" w:rsidRPr="00164A31" w:rsidRDefault="0028489D" w:rsidP="0028489D">
      <w:pPr>
        <w:rPr>
          <w:lang w:val="es-MX"/>
        </w:rPr>
      </w:pPr>
      <w:r w:rsidRPr="00164A31">
        <w:rPr>
          <w:lang w:val="es-MX"/>
        </w:rPr>
        <w:t>CONELEC</w:t>
      </w:r>
      <w:r w:rsidRPr="00164A31">
        <w:rPr>
          <w:lang w:val="es-MX"/>
        </w:rPr>
        <w:tab/>
        <w:t>Consejo Nacional de Electricidad</w:t>
      </w:r>
    </w:p>
    <w:p w:rsidR="0028489D" w:rsidRPr="00164A31" w:rsidRDefault="0028489D" w:rsidP="0028489D">
      <w:pPr>
        <w:rPr>
          <w:lang w:val="es-MX"/>
        </w:rPr>
      </w:pPr>
      <w:r w:rsidRPr="00164A31">
        <w:rPr>
          <w:lang w:val="es-MX"/>
        </w:rPr>
        <w:t>CO</w:t>
      </w:r>
      <w:r w:rsidRPr="00164A31">
        <w:rPr>
          <w:vertAlign w:val="subscript"/>
          <w:lang w:val="es-MX"/>
        </w:rPr>
        <w:t>2</w:t>
      </w:r>
      <w:r w:rsidRPr="00164A31">
        <w:rPr>
          <w:lang w:val="es-MX"/>
        </w:rPr>
        <w:tab/>
      </w:r>
      <w:r w:rsidR="006D53AD" w:rsidRPr="00164A31">
        <w:rPr>
          <w:lang w:val="es-MX"/>
        </w:rPr>
        <w:tab/>
      </w:r>
      <w:r w:rsidRPr="00164A31">
        <w:rPr>
          <w:lang w:val="es-MX"/>
        </w:rPr>
        <w:t>Bióxido de Carbono</w:t>
      </w:r>
    </w:p>
    <w:p w:rsidR="0028489D" w:rsidRPr="00164A31" w:rsidRDefault="0028489D" w:rsidP="0028489D">
      <w:pPr>
        <w:rPr>
          <w:lang w:val="es-MX"/>
        </w:rPr>
      </w:pPr>
      <w:r w:rsidRPr="00164A31">
        <w:rPr>
          <w:lang w:val="es-MX"/>
        </w:rPr>
        <w:t>CT</w:t>
      </w:r>
      <w:r w:rsidRPr="00164A31">
        <w:rPr>
          <w:lang w:val="es-MX"/>
        </w:rPr>
        <w:tab/>
      </w:r>
      <w:r w:rsidR="006D53AD" w:rsidRPr="00164A31">
        <w:rPr>
          <w:lang w:val="es-MX"/>
        </w:rPr>
        <w:tab/>
      </w:r>
      <w:r w:rsidRPr="00164A31">
        <w:rPr>
          <w:lang w:val="es-MX"/>
        </w:rPr>
        <w:t>Cooperación Técnica</w:t>
      </w:r>
    </w:p>
    <w:p w:rsidR="0028489D" w:rsidRPr="00164A31" w:rsidRDefault="0028489D" w:rsidP="0028489D">
      <w:pPr>
        <w:rPr>
          <w:lang w:val="es-MX"/>
        </w:rPr>
      </w:pPr>
      <w:r w:rsidRPr="00164A31">
        <w:rPr>
          <w:lang w:val="es-MX"/>
        </w:rPr>
        <w:t>DEM</w:t>
      </w:r>
      <w:r w:rsidRPr="00164A31">
        <w:rPr>
          <w:lang w:val="es-MX"/>
        </w:rPr>
        <w:tab/>
      </w:r>
      <w:r w:rsidR="006D53AD" w:rsidRPr="00164A31">
        <w:rPr>
          <w:lang w:val="es-MX"/>
        </w:rPr>
        <w:tab/>
      </w:r>
      <w:proofErr w:type="spellStart"/>
      <w:r w:rsidRPr="00164A31">
        <w:rPr>
          <w:lang w:val="es-MX"/>
        </w:rPr>
        <w:t>Development</w:t>
      </w:r>
      <w:proofErr w:type="spellEnd"/>
      <w:r w:rsidRPr="00164A31">
        <w:rPr>
          <w:lang w:val="es-MX"/>
        </w:rPr>
        <w:t xml:space="preserve"> </w:t>
      </w:r>
      <w:proofErr w:type="spellStart"/>
      <w:r w:rsidRPr="00164A31">
        <w:rPr>
          <w:lang w:val="es-MX"/>
        </w:rPr>
        <w:t>Effectiveness</w:t>
      </w:r>
      <w:proofErr w:type="spellEnd"/>
      <w:r w:rsidRPr="00164A31">
        <w:rPr>
          <w:lang w:val="es-MX"/>
        </w:rPr>
        <w:t xml:space="preserve"> </w:t>
      </w:r>
      <w:proofErr w:type="spellStart"/>
      <w:r w:rsidRPr="00164A31">
        <w:rPr>
          <w:lang w:val="es-MX"/>
        </w:rPr>
        <w:t>Matrix</w:t>
      </w:r>
      <w:proofErr w:type="spellEnd"/>
      <w:r w:rsidRPr="00164A31">
        <w:rPr>
          <w:lang w:val="es-MX"/>
        </w:rPr>
        <w:t xml:space="preserve"> (Matriz de Efectividad </w:t>
      </w:r>
      <w:r w:rsidR="006D53AD" w:rsidRPr="00164A31">
        <w:rPr>
          <w:lang w:val="es-MX"/>
        </w:rPr>
        <w:t>de Desarrollo</w:t>
      </w:r>
      <w:r w:rsidRPr="00164A31">
        <w:rPr>
          <w:lang w:val="es-MX"/>
        </w:rPr>
        <w:t>)</w:t>
      </w:r>
    </w:p>
    <w:p w:rsidR="0028489D" w:rsidRPr="00164A31" w:rsidRDefault="0028489D" w:rsidP="0028489D">
      <w:pPr>
        <w:rPr>
          <w:lang w:val="es-MX"/>
        </w:rPr>
      </w:pPr>
      <w:r w:rsidRPr="00164A31">
        <w:rPr>
          <w:lang w:val="es-MX"/>
        </w:rPr>
        <w:t>EE</w:t>
      </w:r>
      <w:r w:rsidRPr="00164A31">
        <w:rPr>
          <w:lang w:val="es-MX"/>
        </w:rPr>
        <w:tab/>
      </w:r>
      <w:r w:rsidR="006D53AD" w:rsidRPr="00164A31">
        <w:rPr>
          <w:lang w:val="es-MX"/>
        </w:rPr>
        <w:tab/>
      </w:r>
      <w:r w:rsidRPr="00164A31">
        <w:rPr>
          <w:lang w:val="es-MX"/>
        </w:rPr>
        <w:t>Eficiencia Energética</w:t>
      </w:r>
    </w:p>
    <w:p w:rsidR="0028489D" w:rsidRPr="00164A31" w:rsidRDefault="0028489D" w:rsidP="0028489D">
      <w:pPr>
        <w:rPr>
          <w:lang w:val="es-MX"/>
        </w:rPr>
      </w:pPr>
      <w:r w:rsidRPr="00164A31">
        <w:rPr>
          <w:lang w:val="es-MX"/>
        </w:rPr>
        <w:t>EED</w:t>
      </w:r>
      <w:r w:rsidRPr="00164A31">
        <w:rPr>
          <w:lang w:val="es-MX"/>
        </w:rPr>
        <w:tab/>
      </w:r>
      <w:r w:rsidR="006D53AD" w:rsidRPr="00164A31">
        <w:rPr>
          <w:lang w:val="es-MX"/>
        </w:rPr>
        <w:tab/>
      </w:r>
      <w:r w:rsidRPr="00164A31">
        <w:rPr>
          <w:lang w:val="es-MX"/>
        </w:rPr>
        <w:t>Empresas Eléctricas  Distribuidoras</w:t>
      </w:r>
    </w:p>
    <w:p w:rsidR="0081122C" w:rsidRPr="00164A31" w:rsidRDefault="0081122C" w:rsidP="0028489D">
      <w:pPr>
        <w:rPr>
          <w:lang w:val="es-MX"/>
        </w:rPr>
      </w:pPr>
      <w:r w:rsidRPr="00164A31">
        <w:rPr>
          <w:lang w:val="es-MX"/>
        </w:rPr>
        <w:t>EIA</w:t>
      </w:r>
      <w:r w:rsidRPr="00164A31">
        <w:rPr>
          <w:lang w:val="es-MX"/>
        </w:rPr>
        <w:tab/>
      </w:r>
      <w:r w:rsidRPr="00164A31">
        <w:rPr>
          <w:lang w:val="es-MX"/>
        </w:rPr>
        <w:tab/>
        <w:t>Estudio de Impacto Ambiental</w:t>
      </w:r>
    </w:p>
    <w:p w:rsidR="0028489D" w:rsidRPr="00164A31" w:rsidRDefault="0028489D" w:rsidP="0028489D">
      <w:pPr>
        <w:rPr>
          <w:lang w:val="es-MX"/>
        </w:rPr>
      </w:pPr>
      <w:r w:rsidRPr="00164A31">
        <w:rPr>
          <w:lang w:val="es-MX"/>
        </w:rPr>
        <w:t>ER</w:t>
      </w:r>
      <w:r w:rsidRPr="00164A31">
        <w:rPr>
          <w:lang w:val="es-MX"/>
        </w:rPr>
        <w:tab/>
      </w:r>
      <w:r w:rsidR="006D53AD" w:rsidRPr="00164A31">
        <w:rPr>
          <w:lang w:val="es-MX"/>
        </w:rPr>
        <w:tab/>
      </w:r>
      <w:r w:rsidRPr="00164A31">
        <w:rPr>
          <w:lang w:val="es-MX"/>
        </w:rPr>
        <w:t xml:space="preserve">Energías Renovables </w:t>
      </w:r>
    </w:p>
    <w:p w:rsidR="0028489D" w:rsidRPr="00164A31" w:rsidRDefault="0028489D" w:rsidP="0028489D">
      <w:pPr>
        <w:rPr>
          <w:lang w:val="es-MX"/>
        </w:rPr>
      </w:pPr>
      <w:r w:rsidRPr="00164A31">
        <w:rPr>
          <w:lang w:val="es-MX"/>
        </w:rPr>
        <w:t>FCC</w:t>
      </w:r>
      <w:r w:rsidRPr="00164A31">
        <w:rPr>
          <w:lang w:val="es-MX"/>
        </w:rPr>
        <w:tab/>
      </w:r>
      <w:r w:rsidR="006D53AD" w:rsidRPr="00164A31">
        <w:rPr>
          <w:lang w:val="es-MX"/>
        </w:rPr>
        <w:tab/>
      </w:r>
      <w:r w:rsidRPr="00164A31">
        <w:rPr>
          <w:lang w:val="es-MX"/>
        </w:rPr>
        <w:t>Fondo de Cofinanciamiento Chino</w:t>
      </w:r>
    </w:p>
    <w:p w:rsidR="0028489D" w:rsidRPr="00164A31" w:rsidRDefault="0028489D" w:rsidP="0028489D">
      <w:pPr>
        <w:rPr>
          <w:lang w:val="es-MX"/>
        </w:rPr>
      </w:pPr>
      <w:proofErr w:type="spellStart"/>
      <w:r w:rsidRPr="00164A31">
        <w:rPr>
          <w:lang w:val="es-MX"/>
        </w:rPr>
        <w:t>GdE</w:t>
      </w:r>
      <w:proofErr w:type="spellEnd"/>
      <w:r w:rsidRPr="00164A31">
        <w:rPr>
          <w:lang w:val="es-MX"/>
        </w:rPr>
        <w:tab/>
      </w:r>
      <w:r w:rsidR="006D53AD" w:rsidRPr="00164A31">
        <w:rPr>
          <w:lang w:val="es-MX"/>
        </w:rPr>
        <w:tab/>
      </w:r>
      <w:r w:rsidRPr="00164A31">
        <w:rPr>
          <w:lang w:val="es-MX"/>
        </w:rPr>
        <w:t>Gobierno de la República del Ecuador</w:t>
      </w:r>
    </w:p>
    <w:p w:rsidR="0028489D" w:rsidRPr="00164A31" w:rsidRDefault="0028489D" w:rsidP="0028489D">
      <w:pPr>
        <w:rPr>
          <w:lang w:val="es-MX"/>
        </w:rPr>
      </w:pPr>
      <w:r w:rsidRPr="00164A31">
        <w:rPr>
          <w:lang w:val="es-MX"/>
        </w:rPr>
        <w:t>GLP</w:t>
      </w:r>
      <w:r w:rsidRPr="00164A31">
        <w:rPr>
          <w:lang w:val="es-MX"/>
        </w:rPr>
        <w:tab/>
      </w:r>
      <w:r w:rsidR="006D53AD" w:rsidRPr="00164A31">
        <w:rPr>
          <w:lang w:val="es-MX"/>
        </w:rPr>
        <w:tab/>
      </w:r>
      <w:r w:rsidRPr="00164A31">
        <w:rPr>
          <w:lang w:val="es-MX"/>
        </w:rPr>
        <w:t>Gas Licuado de Petróleo</w:t>
      </w:r>
    </w:p>
    <w:p w:rsidR="0081122C" w:rsidRPr="00164A31" w:rsidRDefault="0081122C" w:rsidP="0028489D">
      <w:pPr>
        <w:rPr>
          <w:lang w:val="es-MX"/>
        </w:rPr>
      </w:pPr>
      <w:r w:rsidRPr="00164A31">
        <w:rPr>
          <w:lang w:val="es-MX"/>
        </w:rPr>
        <w:t>IGAS</w:t>
      </w:r>
      <w:r w:rsidRPr="00164A31">
        <w:rPr>
          <w:lang w:val="es-MX"/>
        </w:rPr>
        <w:tab/>
      </w:r>
      <w:r w:rsidRPr="00164A31">
        <w:rPr>
          <w:lang w:val="es-MX"/>
        </w:rPr>
        <w:tab/>
        <w:t>Informe de Gestión Ambiental y Social</w:t>
      </w:r>
    </w:p>
    <w:p w:rsidR="0028489D" w:rsidRPr="00164A31" w:rsidRDefault="0028489D" w:rsidP="0028489D">
      <w:pPr>
        <w:rPr>
          <w:lang w:val="es-MX"/>
        </w:rPr>
      </w:pPr>
      <w:r w:rsidRPr="00164A31">
        <w:rPr>
          <w:lang w:val="es-MX"/>
        </w:rPr>
        <w:t>km</w:t>
      </w:r>
      <w:r w:rsidRPr="00164A31">
        <w:rPr>
          <w:lang w:val="es-MX"/>
        </w:rPr>
        <w:tab/>
      </w:r>
      <w:r w:rsidR="006D53AD" w:rsidRPr="00164A31">
        <w:rPr>
          <w:lang w:val="es-MX"/>
        </w:rPr>
        <w:tab/>
      </w:r>
      <w:r w:rsidRPr="00164A31">
        <w:rPr>
          <w:lang w:val="es-MX"/>
        </w:rPr>
        <w:t>kilómetros</w:t>
      </w:r>
    </w:p>
    <w:p w:rsidR="0028489D" w:rsidRPr="00164A31" w:rsidRDefault="0028489D" w:rsidP="0028489D">
      <w:pPr>
        <w:rPr>
          <w:lang w:val="es-MX"/>
        </w:rPr>
      </w:pPr>
      <w:proofErr w:type="spellStart"/>
      <w:r w:rsidRPr="00164A31">
        <w:rPr>
          <w:lang w:val="es-MX"/>
        </w:rPr>
        <w:t>kV</w:t>
      </w:r>
      <w:proofErr w:type="spellEnd"/>
      <w:r w:rsidRPr="00164A31">
        <w:rPr>
          <w:lang w:val="es-MX"/>
        </w:rPr>
        <w:tab/>
      </w:r>
      <w:r w:rsidR="006D53AD" w:rsidRPr="00164A31">
        <w:rPr>
          <w:lang w:val="es-MX"/>
        </w:rPr>
        <w:tab/>
      </w:r>
      <w:r w:rsidRPr="00164A31">
        <w:rPr>
          <w:lang w:val="es-MX"/>
        </w:rPr>
        <w:t>kilovoltio</w:t>
      </w:r>
    </w:p>
    <w:p w:rsidR="006D53AD" w:rsidRPr="00164A31" w:rsidRDefault="006D53AD" w:rsidP="006D53AD">
      <w:pPr>
        <w:rPr>
          <w:lang w:val="es-MX"/>
        </w:rPr>
      </w:pPr>
      <w:proofErr w:type="spellStart"/>
      <w:proofErr w:type="gramStart"/>
      <w:r w:rsidRPr="00164A31">
        <w:rPr>
          <w:lang w:val="es-MX"/>
        </w:rPr>
        <w:t>kVA</w:t>
      </w:r>
      <w:proofErr w:type="spellEnd"/>
      <w:proofErr w:type="gramEnd"/>
      <w:r w:rsidRPr="00164A31">
        <w:rPr>
          <w:lang w:val="es-MX"/>
        </w:rPr>
        <w:tab/>
      </w:r>
      <w:r w:rsidRPr="00164A31">
        <w:rPr>
          <w:lang w:val="es-MX"/>
        </w:rPr>
        <w:tab/>
        <w:t>kilovoltio-amperio</w:t>
      </w:r>
    </w:p>
    <w:p w:rsidR="0028489D" w:rsidRPr="00164A31" w:rsidRDefault="0028489D" w:rsidP="0028489D">
      <w:pPr>
        <w:rPr>
          <w:lang w:val="es-MX"/>
        </w:rPr>
      </w:pPr>
      <w:proofErr w:type="spellStart"/>
      <w:proofErr w:type="gramStart"/>
      <w:r w:rsidRPr="00164A31">
        <w:rPr>
          <w:lang w:val="es-MX"/>
        </w:rPr>
        <w:t>kWh</w:t>
      </w:r>
      <w:proofErr w:type="spellEnd"/>
      <w:proofErr w:type="gramEnd"/>
      <w:r w:rsidRPr="00164A31">
        <w:rPr>
          <w:lang w:val="es-MX"/>
        </w:rPr>
        <w:tab/>
      </w:r>
      <w:r w:rsidR="006D53AD" w:rsidRPr="00164A31">
        <w:rPr>
          <w:lang w:val="es-MX"/>
        </w:rPr>
        <w:tab/>
      </w:r>
      <w:r w:rsidRPr="00164A31">
        <w:rPr>
          <w:lang w:val="es-MX"/>
        </w:rPr>
        <w:t>kilovatio-hora</w:t>
      </w:r>
    </w:p>
    <w:p w:rsidR="0081122C" w:rsidRPr="00164A31" w:rsidRDefault="0081122C" w:rsidP="0028489D">
      <w:pPr>
        <w:rPr>
          <w:lang w:val="es-MX"/>
        </w:rPr>
      </w:pPr>
      <w:r w:rsidRPr="00164A31">
        <w:rPr>
          <w:lang w:val="es-MX"/>
        </w:rPr>
        <w:t>LOEP</w:t>
      </w:r>
      <w:r w:rsidRPr="00164A31">
        <w:rPr>
          <w:lang w:val="es-MX"/>
        </w:rPr>
        <w:tab/>
      </w:r>
      <w:r w:rsidRPr="00164A31">
        <w:rPr>
          <w:lang w:val="es-MX"/>
        </w:rPr>
        <w:tab/>
        <w:t>Ley Orgánica de Empresas Públicas</w:t>
      </w:r>
    </w:p>
    <w:p w:rsidR="00BD2DDD" w:rsidRPr="00164A31" w:rsidRDefault="00BD2DDD" w:rsidP="0028489D">
      <w:pPr>
        <w:rPr>
          <w:lang w:val="es-MX"/>
        </w:rPr>
      </w:pPr>
      <w:r w:rsidRPr="00164A31">
        <w:rPr>
          <w:lang w:val="es-MX"/>
        </w:rPr>
        <w:t>LOSPEE</w:t>
      </w:r>
      <w:r w:rsidRPr="00164A31">
        <w:rPr>
          <w:lang w:val="es-MX"/>
        </w:rPr>
        <w:tab/>
        <w:t>Ley Orgánica del Servicio Público de Energía Eléctrica</w:t>
      </w:r>
    </w:p>
    <w:p w:rsidR="0081122C" w:rsidRPr="00164A31" w:rsidRDefault="0081122C" w:rsidP="0028489D">
      <w:pPr>
        <w:rPr>
          <w:lang w:val="es-MX"/>
        </w:rPr>
      </w:pPr>
      <w:r w:rsidRPr="00164A31">
        <w:rPr>
          <w:lang w:val="es-MX"/>
        </w:rPr>
        <w:t>LRSE</w:t>
      </w:r>
      <w:r w:rsidRPr="00164A31">
        <w:rPr>
          <w:lang w:val="es-MX"/>
        </w:rPr>
        <w:tab/>
      </w:r>
      <w:r w:rsidRPr="00164A31">
        <w:rPr>
          <w:lang w:val="es-MX"/>
        </w:rPr>
        <w:tab/>
        <w:t>Ley de Régimen del Sector Eléctrico</w:t>
      </w:r>
    </w:p>
    <w:p w:rsidR="0081122C" w:rsidRPr="00164A31" w:rsidRDefault="0081122C" w:rsidP="0028489D">
      <w:pPr>
        <w:rPr>
          <w:lang w:val="es-MX"/>
        </w:rPr>
      </w:pPr>
      <w:r w:rsidRPr="00164A31">
        <w:rPr>
          <w:lang w:val="es-MX"/>
        </w:rPr>
        <w:t>L/T</w:t>
      </w:r>
      <w:r w:rsidRPr="00164A31">
        <w:rPr>
          <w:lang w:val="es-MX"/>
        </w:rPr>
        <w:tab/>
      </w:r>
      <w:r w:rsidRPr="00164A31">
        <w:rPr>
          <w:lang w:val="es-MX"/>
        </w:rPr>
        <w:tab/>
        <w:t>Línea de Transmisión</w:t>
      </w:r>
    </w:p>
    <w:p w:rsidR="0028489D" w:rsidRPr="00164A31" w:rsidRDefault="0028489D" w:rsidP="0028489D">
      <w:pPr>
        <w:rPr>
          <w:lang w:val="es-MX"/>
        </w:rPr>
      </w:pPr>
      <w:r w:rsidRPr="00164A31">
        <w:rPr>
          <w:lang w:val="es-MX"/>
        </w:rPr>
        <w:t>M&amp;E</w:t>
      </w:r>
      <w:r w:rsidRPr="00164A31">
        <w:rPr>
          <w:lang w:val="es-MX"/>
        </w:rPr>
        <w:tab/>
      </w:r>
      <w:r w:rsidR="006D53AD" w:rsidRPr="00164A31">
        <w:rPr>
          <w:lang w:val="es-MX"/>
        </w:rPr>
        <w:tab/>
      </w:r>
      <w:r w:rsidRPr="00164A31">
        <w:rPr>
          <w:lang w:val="es-MX"/>
        </w:rPr>
        <w:t>Monitoreo y Evaluación</w:t>
      </w:r>
    </w:p>
    <w:p w:rsidR="0028489D" w:rsidRPr="00164A31" w:rsidRDefault="0028489D" w:rsidP="0028489D">
      <w:pPr>
        <w:rPr>
          <w:lang w:val="es-MX"/>
        </w:rPr>
      </w:pPr>
      <w:r w:rsidRPr="00164A31">
        <w:rPr>
          <w:lang w:val="es-MX"/>
        </w:rPr>
        <w:t>MEER</w:t>
      </w:r>
      <w:r w:rsidRPr="00164A31">
        <w:rPr>
          <w:lang w:val="es-MX"/>
        </w:rPr>
        <w:tab/>
      </w:r>
      <w:r w:rsidR="006D53AD" w:rsidRPr="00164A31">
        <w:rPr>
          <w:lang w:val="es-MX"/>
        </w:rPr>
        <w:tab/>
      </w:r>
      <w:r w:rsidRPr="00164A31">
        <w:rPr>
          <w:lang w:val="es-MX"/>
        </w:rPr>
        <w:t>Ministerio de Electricidad y Energía Renovable</w:t>
      </w:r>
    </w:p>
    <w:p w:rsidR="00195287" w:rsidRPr="00164A31" w:rsidRDefault="00195287" w:rsidP="0028489D">
      <w:pPr>
        <w:rPr>
          <w:lang w:val="es-MX"/>
        </w:rPr>
      </w:pPr>
      <w:r w:rsidRPr="00164A31">
        <w:rPr>
          <w:lang w:val="es-MX"/>
        </w:rPr>
        <w:t>MF</w:t>
      </w:r>
      <w:r w:rsidRPr="00164A31">
        <w:rPr>
          <w:lang w:val="es-MX"/>
        </w:rPr>
        <w:tab/>
      </w:r>
      <w:r w:rsidRPr="00164A31">
        <w:rPr>
          <w:lang w:val="es-MX"/>
        </w:rPr>
        <w:tab/>
        <w:t>Ministerio de Finanzas</w:t>
      </w:r>
    </w:p>
    <w:p w:rsidR="0028489D" w:rsidRPr="00164A31" w:rsidRDefault="0028489D" w:rsidP="0028489D">
      <w:pPr>
        <w:rPr>
          <w:lang w:val="es-MX"/>
        </w:rPr>
      </w:pPr>
      <w:r w:rsidRPr="00164A31">
        <w:rPr>
          <w:lang w:val="es-MX"/>
        </w:rPr>
        <w:t>MOP</w:t>
      </w:r>
      <w:r w:rsidRPr="00164A31">
        <w:rPr>
          <w:lang w:val="es-MX"/>
        </w:rPr>
        <w:tab/>
      </w:r>
      <w:r w:rsidR="006D53AD" w:rsidRPr="00164A31">
        <w:rPr>
          <w:lang w:val="es-MX"/>
        </w:rPr>
        <w:tab/>
      </w:r>
      <w:r w:rsidRPr="00164A31">
        <w:rPr>
          <w:lang w:val="es-MX"/>
        </w:rPr>
        <w:t>Manual Operativo del Programa</w:t>
      </w:r>
    </w:p>
    <w:p w:rsidR="0028489D" w:rsidRPr="00722C3F" w:rsidRDefault="0028489D" w:rsidP="0028489D">
      <w:pPr>
        <w:rPr>
          <w:lang w:val="pt-BR"/>
        </w:rPr>
      </w:pPr>
      <w:r w:rsidRPr="00722C3F">
        <w:rPr>
          <w:lang w:val="pt-BR"/>
        </w:rPr>
        <w:t>MR</w:t>
      </w:r>
      <w:r w:rsidRPr="00722C3F">
        <w:rPr>
          <w:lang w:val="pt-BR"/>
        </w:rPr>
        <w:tab/>
      </w:r>
      <w:r w:rsidR="006D53AD" w:rsidRPr="00722C3F">
        <w:rPr>
          <w:lang w:val="pt-BR"/>
        </w:rPr>
        <w:tab/>
      </w:r>
      <w:r w:rsidRPr="00722C3F">
        <w:rPr>
          <w:lang w:val="pt-BR"/>
        </w:rPr>
        <w:t>Matriz de Resultados</w:t>
      </w:r>
    </w:p>
    <w:p w:rsidR="0028489D" w:rsidRPr="00722C3F" w:rsidRDefault="0028489D" w:rsidP="0028489D">
      <w:pPr>
        <w:rPr>
          <w:lang w:val="pt-BR"/>
        </w:rPr>
      </w:pPr>
      <w:r w:rsidRPr="00722C3F">
        <w:rPr>
          <w:lang w:val="pt-BR"/>
        </w:rPr>
        <w:t>MVA</w:t>
      </w:r>
      <w:r w:rsidRPr="00722C3F">
        <w:rPr>
          <w:lang w:val="pt-BR"/>
        </w:rPr>
        <w:tab/>
      </w:r>
      <w:r w:rsidR="006D53AD" w:rsidRPr="00722C3F">
        <w:rPr>
          <w:lang w:val="pt-BR"/>
        </w:rPr>
        <w:tab/>
      </w:r>
      <w:proofErr w:type="spellStart"/>
      <w:r w:rsidR="006D53AD" w:rsidRPr="00722C3F">
        <w:rPr>
          <w:lang w:val="pt-BR"/>
        </w:rPr>
        <w:t>Megavoltio-a</w:t>
      </w:r>
      <w:r w:rsidRPr="00722C3F">
        <w:rPr>
          <w:lang w:val="pt-BR"/>
        </w:rPr>
        <w:t>mperio</w:t>
      </w:r>
      <w:proofErr w:type="spellEnd"/>
    </w:p>
    <w:p w:rsidR="0028489D" w:rsidRPr="00722C3F" w:rsidRDefault="0028489D" w:rsidP="0028489D">
      <w:pPr>
        <w:rPr>
          <w:lang w:val="pt-BR"/>
        </w:rPr>
      </w:pPr>
      <w:r w:rsidRPr="00722C3F">
        <w:rPr>
          <w:lang w:val="pt-BR"/>
        </w:rPr>
        <w:t>MW</w:t>
      </w:r>
      <w:r w:rsidRPr="00722C3F">
        <w:rPr>
          <w:lang w:val="pt-BR"/>
        </w:rPr>
        <w:tab/>
      </w:r>
      <w:r w:rsidR="006D53AD" w:rsidRPr="00722C3F">
        <w:rPr>
          <w:lang w:val="pt-BR"/>
        </w:rPr>
        <w:tab/>
      </w:r>
      <w:proofErr w:type="spellStart"/>
      <w:r w:rsidRPr="00722C3F">
        <w:rPr>
          <w:lang w:val="pt-BR"/>
        </w:rPr>
        <w:t>Megavatios</w:t>
      </w:r>
      <w:proofErr w:type="spellEnd"/>
    </w:p>
    <w:p w:rsidR="0028489D" w:rsidRPr="00164A31" w:rsidRDefault="0028489D" w:rsidP="0028489D">
      <w:pPr>
        <w:rPr>
          <w:lang w:val="es-MX"/>
        </w:rPr>
      </w:pPr>
      <w:proofErr w:type="spellStart"/>
      <w:r w:rsidRPr="00164A31">
        <w:rPr>
          <w:lang w:val="es-MX"/>
        </w:rPr>
        <w:t>MWh</w:t>
      </w:r>
      <w:proofErr w:type="spellEnd"/>
      <w:r w:rsidRPr="00164A31">
        <w:rPr>
          <w:lang w:val="es-MX"/>
        </w:rPr>
        <w:tab/>
      </w:r>
      <w:r w:rsidR="006D53AD" w:rsidRPr="00164A31">
        <w:rPr>
          <w:lang w:val="es-MX"/>
        </w:rPr>
        <w:tab/>
      </w:r>
      <w:r w:rsidRPr="00164A31">
        <w:rPr>
          <w:lang w:val="es-MX"/>
        </w:rPr>
        <w:t>Megavatio-hora</w:t>
      </w:r>
    </w:p>
    <w:p w:rsidR="0028489D" w:rsidRPr="00164A31" w:rsidRDefault="0028489D" w:rsidP="0028489D">
      <w:pPr>
        <w:rPr>
          <w:lang w:val="es-MX"/>
        </w:rPr>
      </w:pPr>
      <w:r w:rsidRPr="00164A31">
        <w:rPr>
          <w:lang w:val="es-MX"/>
        </w:rPr>
        <w:t>OE</w:t>
      </w:r>
      <w:r w:rsidRPr="00164A31">
        <w:rPr>
          <w:lang w:val="es-MX"/>
        </w:rPr>
        <w:tab/>
      </w:r>
      <w:r w:rsidR="006D53AD" w:rsidRPr="00164A31">
        <w:rPr>
          <w:lang w:val="es-MX"/>
        </w:rPr>
        <w:tab/>
      </w:r>
      <w:r w:rsidRPr="00164A31">
        <w:rPr>
          <w:lang w:val="es-MX"/>
        </w:rPr>
        <w:t>Organismo Ejecutor</w:t>
      </w:r>
    </w:p>
    <w:p w:rsidR="0028489D" w:rsidRPr="00164A31" w:rsidRDefault="0028489D" w:rsidP="0028489D">
      <w:pPr>
        <w:rPr>
          <w:lang w:val="es-MX"/>
        </w:rPr>
      </w:pPr>
      <w:r w:rsidRPr="00164A31">
        <w:rPr>
          <w:lang w:val="es-MX"/>
        </w:rPr>
        <w:t>O&amp;M</w:t>
      </w:r>
      <w:r w:rsidRPr="00164A31">
        <w:rPr>
          <w:lang w:val="es-MX"/>
        </w:rPr>
        <w:tab/>
      </w:r>
      <w:r w:rsidR="006D53AD" w:rsidRPr="00164A31">
        <w:rPr>
          <w:lang w:val="es-MX"/>
        </w:rPr>
        <w:tab/>
      </w:r>
      <w:r w:rsidRPr="00164A31">
        <w:rPr>
          <w:lang w:val="es-MX"/>
        </w:rPr>
        <w:t>Operación y Mantenimiento</w:t>
      </w:r>
    </w:p>
    <w:p w:rsidR="0081122C" w:rsidRPr="00164A31" w:rsidRDefault="0081122C" w:rsidP="0081122C">
      <w:pPr>
        <w:rPr>
          <w:lang w:val="es-MX"/>
        </w:rPr>
      </w:pPr>
      <w:r w:rsidRPr="00164A31">
        <w:rPr>
          <w:lang w:val="es-MX"/>
        </w:rPr>
        <w:t>PRSND</w:t>
      </w:r>
      <w:r w:rsidRPr="00164A31">
        <w:rPr>
          <w:lang w:val="es-MX"/>
        </w:rPr>
        <w:tab/>
      </w:r>
      <w:r w:rsidRPr="00164A31">
        <w:rPr>
          <w:lang w:val="es-MX"/>
        </w:rPr>
        <w:tab/>
        <w:t>Programa de Reforzamiento del SND</w:t>
      </w:r>
    </w:p>
    <w:p w:rsidR="00195287" w:rsidRPr="00164A31" w:rsidRDefault="00195287" w:rsidP="0081122C">
      <w:pPr>
        <w:rPr>
          <w:lang w:val="es-MX"/>
        </w:rPr>
      </w:pPr>
      <w:r w:rsidRPr="00164A31">
        <w:rPr>
          <w:lang w:val="es-MX"/>
        </w:rPr>
        <w:t>PA</w:t>
      </w:r>
      <w:r w:rsidRPr="00164A31">
        <w:rPr>
          <w:lang w:val="es-MX"/>
        </w:rPr>
        <w:tab/>
      </w:r>
      <w:r w:rsidRPr="00164A31">
        <w:rPr>
          <w:lang w:val="es-MX"/>
        </w:rPr>
        <w:tab/>
        <w:t>Plan de Adquisiciones</w:t>
      </w:r>
    </w:p>
    <w:p w:rsidR="008B0EA0" w:rsidRPr="00164A31" w:rsidRDefault="008B0EA0" w:rsidP="0081122C">
      <w:pPr>
        <w:rPr>
          <w:lang w:val="es-MX"/>
        </w:rPr>
      </w:pPr>
      <w:r w:rsidRPr="00164A31">
        <w:rPr>
          <w:lang w:val="es-MX"/>
        </w:rPr>
        <w:t>PEC</w:t>
      </w:r>
      <w:r w:rsidRPr="00164A31">
        <w:rPr>
          <w:lang w:val="es-MX"/>
        </w:rPr>
        <w:tab/>
      </w:r>
      <w:r w:rsidRPr="00164A31">
        <w:rPr>
          <w:lang w:val="es-MX"/>
        </w:rPr>
        <w:tab/>
        <w:t>Programa de Eficiencia Energética para Cocción por Inducción</w:t>
      </w:r>
    </w:p>
    <w:p w:rsidR="00195287" w:rsidRPr="00164A31" w:rsidRDefault="00195287" w:rsidP="0081122C">
      <w:pPr>
        <w:rPr>
          <w:lang w:val="es-MX"/>
        </w:rPr>
      </w:pPr>
      <w:r w:rsidRPr="00164A31">
        <w:rPr>
          <w:lang w:val="es-MX"/>
        </w:rPr>
        <w:t>PED</w:t>
      </w:r>
      <w:r w:rsidRPr="00164A31">
        <w:rPr>
          <w:lang w:val="es-MX"/>
        </w:rPr>
        <w:tab/>
      </w:r>
      <w:r w:rsidRPr="00164A31">
        <w:rPr>
          <w:lang w:val="es-MX"/>
        </w:rPr>
        <w:tab/>
        <w:t>Plan de Expansión de la Distribución</w:t>
      </w:r>
    </w:p>
    <w:p w:rsidR="00C75981" w:rsidRPr="00164A31" w:rsidRDefault="00C75981" w:rsidP="0081122C">
      <w:pPr>
        <w:rPr>
          <w:lang w:val="es-MX"/>
        </w:rPr>
      </w:pPr>
      <w:r w:rsidRPr="00164A31">
        <w:rPr>
          <w:lang w:val="es-MX"/>
        </w:rPr>
        <w:t>PEP</w:t>
      </w:r>
      <w:r w:rsidRPr="00164A31">
        <w:rPr>
          <w:lang w:val="es-MX"/>
        </w:rPr>
        <w:tab/>
      </w:r>
      <w:r w:rsidRPr="00164A31">
        <w:rPr>
          <w:lang w:val="es-MX"/>
        </w:rPr>
        <w:tab/>
        <w:t>Plan de Ejecución Plurianual</w:t>
      </w:r>
    </w:p>
    <w:p w:rsidR="00195287" w:rsidRPr="00164A31" w:rsidRDefault="00195287" w:rsidP="0081122C">
      <w:pPr>
        <w:rPr>
          <w:lang w:val="es-MX"/>
        </w:rPr>
      </w:pPr>
      <w:r w:rsidRPr="00164A31">
        <w:rPr>
          <w:lang w:val="es-MX"/>
        </w:rPr>
        <w:t>PET</w:t>
      </w:r>
      <w:r w:rsidRPr="00164A31">
        <w:rPr>
          <w:lang w:val="es-MX"/>
        </w:rPr>
        <w:tab/>
      </w:r>
      <w:r w:rsidRPr="00164A31">
        <w:rPr>
          <w:lang w:val="es-MX"/>
        </w:rPr>
        <w:tab/>
        <w:t>Plan de Expansión de la Transmisión</w:t>
      </w:r>
    </w:p>
    <w:p w:rsidR="00195287" w:rsidRPr="00164A31" w:rsidRDefault="00195287" w:rsidP="0028489D">
      <w:pPr>
        <w:rPr>
          <w:lang w:val="es-MX"/>
        </w:rPr>
      </w:pPr>
      <w:r w:rsidRPr="00164A31">
        <w:rPr>
          <w:lang w:val="es-MX"/>
        </w:rPr>
        <w:lastRenderedPageBreak/>
        <w:t>PME</w:t>
      </w:r>
      <w:r w:rsidRPr="00164A31">
        <w:rPr>
          <w:lang w:val="es-MX"/>
        </w:rPr>
        <w:tab/>
      </w:r>
      <w:r w:rsidRPr="00164A31">
        <w:rPr>
          <w:lang w:val="es-MX"/>
        </w:rPr>
        <w:tab/>
        <w:t>Plan Maestro de Electrificación de Ecuador (2013-2022)</w:t>
      </w:r>
    </w:p>
    <w:p w:rsidR="00195287" w:rsidRPr="00164A31" w:rsidRDefault="00195287" w:rsidP="00195287">
      <w:pPr>
        <w:rPr>
          <w:lang w:val="es-MX"/>
        </w:rPr>
      </w:pPr>
      <w:r w:rsidRPr="00164A31">
        <w:rPr>
          <w:lang w:val="es-MX"/>
        </w:rPr>
        <w:t>PGAS</w:t>
      </w:r>
      <w:r w:rsidRPr="00164A31">
        <w:rPr>
          <w:lang w:val="es-MX"/>
        </w:rPr>
        <w:tab/>
      </w:r>
      <w:r w:rsidRPr="00164A31">
        <w:rPr>
          <w:lang w:val="es-MX"/>
        </w:rPr>
        <w:tab/>
        <w:t xml:space="preserve">Planes de Manejo y Gestión Ambiental y Social </w:t>
      </w:r>
    </w:p>
    <w:p w:rsidR="00195287" w:rsidRPr="00164A31" w:rsidRDefault="00195287" w:rsidP="0028489D">
      <w:pPr>
        <w:rPr>
          <w:lang w:val="es-MX"/>
        </w:rPr>
      </w:pPr>
      <w:r w:rsidRPr="00164A31">
        <w:rPr>
          <w:lang w:val="es-MX"/>
        </w:rPr>
        <w:t>PND</w:t>
      </w:r>
      <w:r w:rsidRPr="00164A31">
        <w:rPr>
          <w:lang w:val="es-MX"/>
        </w:rPr>
        <w:tab/>
      </w:r>
      <w:r w:rsidRPr="00164A31">
        <w:rPr>
          <w:lang w:val="es-MX"/>
        </w:rPr>
        <w:tab/>
        <w:t>Plan Nacional de Desarrollo</w:t>
      </w:r>
    </w:p>
    <w:p w:rsidR="00195287" w:rsidRPr="00164A31" w:rsidRDefault="00195287" w:rsidP="0028489D">
      <w:pPr>
        <w:rPr>
          <w:lang w:val="es-MX"/>
        </w:rPr>
      </w:pPr>
      <w:r w:rsidRPr="00164A31">
        <w:rPr>
          <w:lang w:val="es-MX"/>
        </w:rPr>
        <w:t>PNBV</w:t>
      </w:r>
      <w:r w:rsidRPr="00164A31">
        <w:rPr>
          <w:lang w:val="es-MX"/>
        </w:rPr>
        <w:tab/>
      </w:r>
      <w:r w:rsidRPr="00164A31">
        <w:rPr>
          <w:lang w:val="es-MX"/>
        </w:rPr>
        <w:tab/>
        <w:t>Plan Nacional del Buen Vivir</w:t>
      </w:r>
    </w:p>
    <w:p w:rsidR="00195287" w:rsidRPr="00164A31" w:rsidRDefault="00195287" w:rsidP="0028489D">
      <w:pPr>
        <w:rPr>
          <w:lang w:val="es-MX"/>
        </w:rPr>
      </w:pPr>
      <w:r w:rsidRPr="00164A31">
        <w:rPr>
          <w:lang w:val="es-MX"/>
        </w:rPr>
        <w:t>POA</w:t>
      </w:r>
      <w:r w:rsidRPr="00164A31">
        <w:rPr>
          <w:lang w:val="es-MX"/>
        </w:rPr>
        <w:tab/>
      </w:r>
      <w:r w:rsidRPr="00164A31">
        <w:rPr>
          <w:lang w:val="es-MX"/>
        </w:rPr>
        <w:tab/>
        <w:t>Plan Operativo Anual</w:t>
      </w:r>
    </w:p>
    <w:p w:rsidR="00195287" w:rsidRPr="00164A31" w:rsidRDefault="00195287" w:rsidP="0028489D">
      <w:pPr>
        <w:rPr>
          <w:lang w:val="es-MX"/>
        </w:rPr>
      </w:pPr>
      <w:r w:rsidRPr="00164A31">
        <w:rPr>
          <w:lang w:val="es-MX"/>
        </w:rPr>
        <w:t>PLANREP</w:t>
      </w:r>
      <w:r w:rsidRPr="00164A31">
        <w:rPr>
          <w:lang w:val="es-MX"/>
        </w:rPr>
        <w:tab/>
        <w:t>Plan de Reducción de Pérdidas Eléctricas</w:t>
      </w:r>
    </w:p>
    <w:p w:rsidR="00195287" w:rsidRPr="00164A31" w:rsidRDefault="00195287" w:rsidP="0028489D">
      <w:pPr>
        <w:rPr>
          <w:lang w:val="es-MX"/>
        </w:rPr>
      </w:pPr>
      <w:r w:rsidRPr="00164A31">
        <w:rPr>
          <w:lang w:val="es-MX"/>
        </w:rPr>
        <w:t>RSND</w:t>
      </w:r>
      <w:r w:rsidRPr="00164A31">
        <w:rPr>
          <w:lang w:val="es-MX"/>
        </w:rPr>
        <w:tab/>
      </w:r>
      <w:r w:rsidRPr="00164A31">
        <w:rPr>
          <w:lang w:val="es-MX"/>
        </w:rPr>
        <w:tab/>
        <w:t>Reforzamiento del Sistema Nacional de Distribución</w:t>
      </w:r>
    </w:p>
    <w:p w:rsidR="00195287" w:rsidRPr="00164A31" w:rsidRDefault="00195287" w:rsidP="0028489D">
      <w:pPr>
        <w:rPr>
          <w:lang w:val="es-MX"/>
        </w:rPr>
      </w:pPr>
      <w:r w:rsidRPr="00164A31">
        <w:rPr>
          <w:lang w:val="es-MX"/>
        </w:rPr>
        <w:t>SDCE</w:t>
      </w:r>
      <w:r w:rsidRPr="00164A31">
        <w:rPr>
          <w:lang w:val="es-MX"/>
        </w:rPr>
        <w:tab/>
      </w:r>
      <w:r w:rsidRPr="00164A31">
        <w:rPr>
          <w:lang w:val="es-MX"/>
        </w:rPr>
        <w:tab/>
        <w:t>Subsecretaría de Distribución y Comercialización de Energía</w:t>
      </w:r>
    </w:p>
    <w:p w:rsidR="00195287" w:rsidRPr="00164A31" w:rsidRDefault="00195287" w:rsidP="0028489D">
      <w:pPr>
        <w:rPr>
          <w:lang w:val="es-MX"/>
        </w:rPr>
      </w:pPr>
      <w:r w:rsidRPr="00164A31">
        <w:rPr>
          <w:lang w:val="es-MX"/>
        </w:rPr>
        <w:t>SIGDE</w:t>
      </w:r>
      <w:r w:rsidRPr="00164A31">
        <w:rPr>
          <w:lang w:val="es-MX"/>
        </w:rPr>
        <w:tab/>
      </w:r>
      <w:r w:rsidRPr="00164A31">
        <w:rPr>
          <w:lang w:val="es-MX"/>
        </w:rPr>
        <w:tab/>
        <w:t>Sistema Integrado para Mejorar la Gestión de la Distribución Eléctrica</w:t>
      </w:r>
    </w:p>
    <w:p w:rsidR="00195287" w:rsidRPr="00164A31" w:rsidRDefault="00195287" w:rsidP="00195287">
      <w:pPr>
        <w:rPr>
          <w:lang w:val="es-MX"/>
        </w:rPr>
      </w:pPr>
      <w:r w:rsidRPr="00164A31">
        <w:rPr>
          <w:lang w:val="es-MX"/>
        </w:rPr>
        <w:t>SND</w:t>
      </w:r>
      <w:r w:rsidRPr="00164A31">
        <w:rPr>
          <w:lang w:val="es-MX"/>
        </w:rPr>
        <w:tab/>
      </w:r>
      <w:r w:rsidRPr="00164A31">
        <w:rPr>
          <w:lang w:val="es-MX"/>
        </w:rPr>
        <w:tab/>
        <w:t xml:space="preserve">Sistema Nacional de Distribución </w:t>
      </w:r>
    </w:p>
    <w:p w:rsidR="0028489D" w:rsidRPr="00164A31" w:rsidRDefault="0028489D" w:rsidP="0028489D">
      <w:pPr>
        <w:rPr>
          <w:lang w:val="es-MX"/>
        </w:rPr>
      </w:pPr>
      <w:r w:rsidRPr="00164A31">
        <w:rPr>
          <w:lang w:val="es-MX"/>
        </w:rPr>
        <w:t>S/E</w:t>
      </w:r>
      <w:r w:rsidRPr="00164A31">
        <w:rPr>
          <w:lang w:val="es-MX"/>
        </w:rPr>
        <w:tab/>
      </w:r>
      <w:r w:rsidR="006D53AD" w:rsidRPr="00164A31">
        <w:rPr>
          <w:lang w:val="es-MX"/>
        </w:rPr>
        <w:tab/>
      </w:r>
      <w:r w:rsidRPr="00164A31">
        <w:rPr>
          <w:lang w:val="es-MX"/>
        </w:rPr>
        <w:t>Subestaciones Eléctricas</w:t>
      </w:r>
    </w:p>
    <w:p w:rsidR="00195287" w:rsidRPr="00164A31" w:rsidRDefault="00195287" w:rsidP="0028489D">
      <w:pPr>
        <w:rPr>
          <w:lang w:val="es-MX"/>
        </w:rPr>
      </w:pPr>
      <w:r w:rsidRPr="00164A31">
        <w:rPr>
          <w:lang w:val="es-MX"/>
        </w:rPr>
        <w:t>SNT</w:t>
      </w:r>
      <w:r w:rsidRPr="00164A31">
        <w:rPr>
          <w:lang w:val="es-MX"/>
        </w:rPr>
        <w:tab/>
      </w:r>
      <w:r w:rsidRPr="00164A31">
        <w:rPr>
          <w:lang w:val="es-MX"/>
        </w:rPr>
        <w:tab/>
        <w:t>Sistema Nacional de Transmisión</w:t>
      </w:r>
    </w:p>
    <w:p w:rsidR="0028489D" w:rsidRPr="00164A31" w:rsidRDefault="0028489D" w:rsidP="0028489D">
      <w:pPr>
        <w:rPr>
          <w:lang w:val="es-MX"/>
        </w:rPr>
      </w:pPr>
      <w:r w:rsidRPr="00164A31">
        <w:rPr>
          <w:lang w:val="es-MX"/>
        </w:rPr>
        <w:t>TIRE</w:t>
      </w:r>
      <w:r w:rsidRPr="00164A31">
        <w:rPr>
          <w:lang w:val="es-MX"/>
        </w:rPr>
        <w:tab/>
      </w:r>
      <w:r w:rsidR="006D53AD" w:rsidRPr="00164A31">
        <w:rPr>
          <w:lang w:val="es-MX"/>
        </w:rPr>
        <w:tab/>
      </w:r>
      <w:r w:rsidRPr="00164A31">
        <w:rPr>
          <w:lang w:val="es-MX"/>
        </w:rPr>
        <w:t>Tasa Interna de Retorno Económico</w:t>
      </w:r>
    </w:p>
    <w:p w:rsidR="00195287" w:rsidRPr="00164A31" w:rsidRDefault="00195287" w:rsidP="00195287">
      <w:pPr>
        <w:rPr>
          <w:lang w:val="es-MX"/>
        </w:rPr>
      </w:pPr>
      <w:r w:rsidRPr="00164A31">
        <w:rPr>
          <w:lang w:val="es-MX"/>
        </w:rPr>
        <w:t>TIRF</w:t>
      </w:r>
      <w:r w:rsidRPr="00164A31">
        <w:rPr>
          <w:lang w:val="es-MX"/>
        </w:rPr>
        <w:tab/>
      </w:r>
      <w:r w:rsidRPr="00164A31">
        <w:rPr>
          <w:lang w:val="es-MX"/>
        </w:rPr>
        <w:tab/>
        <w:t>Tasa Interna de Retorno Financiero</w:t>
      </w:r>
    </w:p>
    <w:p w:rsidR="00195287" w:rsidRPr="00164A31" w:rsidRDefault="00195287" w:rsidP="0028489D">
      <w:pPr>
        <w:rPr>
          <w:lang w:val="es-MX"/>
        </w:rPr>
      </w:pPr>
      <w:proofErr w:type="spellStart"/>
      <w:r w:rsidRPr="00164A31">
        <w:rPr>
          <w:lang w:val="es-MX"/>
        </w:rPr>
        <w:t>TTIk</w:t>
      </w:r>
      <w:proofErr w:type="spellEnd"/>
      <w:r w:rsidRPr="00164A31">
        <w:rPr>
          <w:lang w:val="es-MX"/>
        </w:rPr>
        <w:tab/>
      </w:r>
      <w:r w:rsidRPr="00164A31">
        <w:rPr>
          <w:lang w:val="es-MX"/>
        </w:rPr>
        <w:tab/>
        <w:t xml:space="preserve">Tiempo Total de Interrupciones por </w:t>
      </w:r>
      <w:proofErr w:type="spellStart"/>
      <w:r w:rsidRPr="00164A31">
        <w:rPr>
          <w:lang w:val="es-MX"/>
        </w:rPr>
        <w:t>kVA</w:t>
      </w:r>
      <w:proofErr w:type="spellEnd"/>
      <w:r w:rsidRPr="00164A31">
        <w:rPr>
          <w:lang w:val="es-MX"/>
        </w:rPr>
        <w:t xml:space="preserve"> instalado</w:t>
      </w:r>
    </w:p>
    <w:p w:rsidR="0028489D" w:rsidRPr="00164A31" w:rsidRDefault="0028489D" w:rsidP="0028489D">
      <w:pPr>
        <w:rPr>
          <w:lang w:val="es-MX"/>
        </w:rPr>
      </w:pPr>
      <w:r w:rsidRPr="00164A31">
        <w:rPr>
          <w:lang w:val="es-MX"/>
        </w:rPr>
        <w:t>UEP</w:t>
      </w:r>
      <w:r w:rsidRPr="00164A31">
        <w:rPr>
          <w:lang w:val="es-MX"/>
        </w:rPr>
        <w:tab/>
      </w:r>
      <w:r w:rsidR="006D53AD" w:rsidRPr="00164A31">
        <w:rPr>
          <w:lang w:val="es-MX"/>
        </w:rPr>
        <w:tab/>
      </w:r>
      <w:r w:rsidRPr="00164A31">
        <w:rPr>
          <w:lang w:val="es-MX"/>
        </w:rPr>
        <w:t>Unidad de Ejecución del Programa</w:t>
      </w:r>
    </w:p>
    <w:p w:rsidR="00B775B5" w:rsidRPr="00164A31" w:rsidRDefault="00AB32DA">
      <w:pPr>
        <w:rPr>
          <w:lang w:val="es-MX"/>
        </w:rPr>
      </w:pPr>
      <w:r w:rsidRPr="00164A31">
        <w:rPr>
          <w:lang w:val="es-MX"/>
        </w:rPr>
        <w:t>V</w:t>
      </w:r>
      <w:r w:rsidRPr="00164A31">
        <w:rPr>
          <w:lang w:val="es-MX"/>
        </w:rPr>
        <w:tab/>
      </w:r>
      <w:r w:rsidR="006D53AD" w:rsidRPr="00164A31">
        <w:rPr>
          <w:lang w:val="es-MX"/>
        </w:rPr>
        <w:tab/>
      </w:r>
      <w:r w:rsidR="0023650C" w:rsidRPr="00164A31">
        <w:rPr>
          <w:lang w:val="es-MX"/>
        </w:rPr>
        <w:t>voltios</w:t>
      </w:r>
    </w:p>
    <w:p w:rsidR="00805AB6" w:rsidRPr="00164A31" w:rsidRDefault="00805AB6">
      <w:pPr>
        <w:rPr>
          <w:lang w:val="es-MX"/>
        </w:rPr>
      </w:pPr>
    </w:p>
    <w:p w:rsidR="00D85412" w:rsidRPr="00164A31" w:rsidRDefault="00D85412">
      <w:pPr>
        <w:rPr>
          <w:lang w:val="es-MX"/>
        </w:rPr>
      </w:pPr>
    </w:p>
    <w:p w:rsidR="00D85412" w:rsidRPr="00164A31" w:rsidRDefault="00D85412">
      <w:pPr>
        <w:rPr>
          <w:lang w:val="es-MX"/>
        </w:rPr>
      </w:pPr>
    </w:p>
    <w:p w:rsidR="00D85412" w:rsidRPr="00164A31" w:rsidRDefault="00D85412">
      <w:pPr>
        <w:spacing w:after="200" w:line="276" w:lineRule="auto"/>
        <w:jc w:val="left"/>
        <w:rPr>
          <w:lang w:val="es-MX"/>
        </w:rPr>
      </w:pPr>
      <w:r w:rsidRPr="00164A31">
        <w:rPr>
          <w:lang w:val="es-MX"/>
        </w:rPr>
        <w:br w:type="page"/>
      </w:r>
    </w:p>
    <w:p w:rsidR="00D85412" w:rsidRPr="00164A31" w:rsidRDefault="00D85412">
      <w:pPr>
        <w:rPr>
          <w:lang w:val="es-MX"/>
        </w:rPr>
      </w:pPr>
    </w:p>
    <w:p w:rsidR="007571AA" w:rsidRPr="00416654" w:rsidRDefault="006152A1" w:rsidP="00416654">
      <w:pPr>
        <w:pStyle w:val="Heading1"/>
        <w:spacing w:before="120" w:after="120"/>
        <w:rPr>
          <w:b/>
          <w:lang w:val="es-MX"/>
        </w:rPr>
      </w:pPr>
      <w:bookmarkStart w:id="3" w:name="_Toc416868836"/>
      <w:r w:rsidRPr="00416654">
        <w:rPr>
          <w:b/>
          <w:lang w:val="es-MX"/>
        </w:rPr>
        <w:t>Introducción</w:t>
      </w:r>
      <w:bookmarkEnd w:id="3"/>
    </w:p>
    <w:p w:rsidR="00EF349F" w:rsidRPr="00164A31" w:rsidRDefault="008B0EA0" w:rsidP="00416654">
      <w:pPr>
        <w:spacing w:before="120" w:after="120"/>
        <w:rPr>
          <w:lang w:val="es-MX"/>
        </w:rPr>
      </w:pPr>
      <w:r w:rsidRPr="00164A31">
        <w:rPr>
          <w:lang w:val="es-MX"/>
        </w:rPr>
        <w:t xml:space="preserve">El Programa </w:t>
      </w:r>
      <w:r w:rsidR="00F34815" w:rsidRPr="00164A31">
        <w:rPr>
          <w:lang w:val="es-MX"/>
        </w:rPr>
        <w:t>EC-L1136</w:t>
      </w:r>
      <w:r w:rsidR="00A97417" w:rsidRPr="00164A31">
        <w:rPr>
          <w:lang w:val="es-MX"/>
        </w:rPr>
        <w:t xml:space="preserve"> “</w:t>
      </w:r>
      <w:r w:rsidR="00F34815" w:rsidRPr="00164A31">
        <w:rPr>
          <w:lang w:val="es-MX"/>
        </w:rPr>
        <w:t>Programa de Reforzamiento del Sistema Nacional de Distribución Eléctrica del Ecuador</w:t>
      </w:r>
      <w:r w:rsidR="00A97417" w:rsidRPr="00164A31">
        <w:rPr>
          <w:lang w:val="es-MX"/>
        </w:rPr>
        <w:t>”</w:t>
      </w:r>
      <w:r w:rsidRPr="00164A31">
        <w:rPr>
          <w:lang w:val="es-MX"/>
        </w:rPr>
        <w:t xml:space="preserve"> (</w:t>
      </w:r>
      <w:r w:rsidR="001556E9">
        <w:rPr>
          <w:lang w:val="es-MX"/>
        </w:rPr>
        <w:t>P</w:t>
      </w:r>
      <w:r w:rsidRPr="00164A31">
        <w:rPr>
          <w:lang w:val="es-MX"/>
        </w:rPr>
        <w:t>RSND), fue preparado</w:t>
      </w:r>
      <w:r w:rsidR="00B674AA">
        <w:rPr>
          <w:lang w:val="es-MX"/>
        </w:rPr>
        <w:t xml:space="preserve"> </w:t>
      </w:r>
      <w:r w:rsidRPr="00164A31">
        <w:rPr>
          <w:lang w:val="es-MX"/>
        </w:rPr>
        <w:t xml:space="preserve">como </w:t>
      </w:r>
      <w:r w:rsidR="0050441D">
        <w:rPr>
          <w:lang w:val="es-MX"/>
        </w:rPr>
        <w:t xml:space="preserve">préstamo de inversión de </w:t>
      </w:r>
      <w:r w:rsidRPr="00164A31">
        <w:rPr>
          <w:lang w:val="es-MX"/>
        </w:rPr>
        <w:t>Obras Múltiples</w:t>
      </w:r>
      <w:r w:rsidR="0050441D">
        <w:rPr>
          <w:lang w:val="es-MX"/>
        </w:rPr>
        <w:t>,</w:t>
      </w:r>
      <w:r w:rsidRPr="00164A31">
        <w:rPr>
          <w:lang w:val="es-MX"/>
        </w:rPr>
        <w:t xml:space="preserve"> </w:t>
      </w:r>
      <w:r w:rsidR="00F34815" w:rsidRPr="00164A31">
        <w:rPr>
          <w:lang w:val="es-MX"/>
        </w:rPr>
        <w:t>por el Banco Interamericano de Desarrollo (BID) y el Gobierno de Ecuador (</w:t>
      </w:r>
      <w:proofErr w:type="spellStart"/>
      <w:r w:rsidR="00F34815" w:rsidRPr="00164A31">
        <w:rPr>
          <w:lang w:val="es-MX"/>
        </w:rPr>
        <w:t>GdE</w:t>
      </w:r>
      <w:proofErr w:type="spellEnd"/>
      <w:r w:rsidR="00F34815" w:rsidRPr="00164A31">
        <w:rPr>
          <w:lang w:val="es-MX"/>
        </w:rPr>
        <w:t>) en</w:t>
      </w:r>
      <w:r w:rsidR="001556E9">
        <w:rPr>
          <w:lang w:val="es-MX"/>
        </w:rPr>
        <w:t xml:space="preserve"> el</w:t>
      </w:r>
      <w:r w:rsidR="00F34815" w:rsidRPr="00164A31">
        <w:rPr>
          <w:lang w:val="es-MX"/>
        </w:rPr>
        <w:t xml:space="preserve"> </w:t>
      </w:r>
      <w:r w:rsidR="0050441D">
        <w:rPr>
          <w:lang w:val="es-MX"/>
        </w:rPr>
        <w:t>primer semestre</w:t>
      </w:r>
      <w:r w:rsidR="00F34815" w:rsidRPr="00164A31">
        <w:rPr>
          <w:lang w:val="es-MX"/>
        </w:rPr>
        <w:t xml:space="preserve"> de 2014. Los </w:t>
      </w:r>
      <w:r w:rsidR="001556E9">
        <w:rPr>
          <w:lang w:val="es-MX"/>
        </w:rPr>
        <w:t>c</w:t>
      </w:r>
      <w:r w:rsidR="00F34815" w:rsidRPr="00164A31">
        <w:rPr>
          <w:lang w:val="es-MX"/>
        </w:rPr>
        <w:t xml:space="preserve">ontratos de </w:t>
      </w:r>
      <w:r w:rsidR="001556E9">
        <w:rPr>
          <w:lang w:val="es-MX"/>
        </w:rPr>
        <w:t>p</w:t>
      </w:r>
      <w:r w:rsidR="00F34815" w:rsidRPr="00164A31">
        <w:rPr>
          <w:lang w:val="es-MX"/>
        </w:rPr>
        <w:t>réstamo concernientes No. 3187/OC-EC y No. 3188/CH-EC fueron firmados entre ambas partes el día 31 de julio de 2014</w:t>
      </w:r>
      <w:r w:rsidR="00B20482" w:rsidRPr="00164A31">
        <w:rPr>
          <w:lang w:val="es-MX"/>
        </w:rPr>
        <w:t xml:space="preserve">, sumando un total de inversión de US$ 220,000,000, de los cuales US$ 170,000,000 </w:t>
      </w:r>
      <w:r w:rsidR="0050441D">
        <w:rPr>
          <w:lang w:val="es-MX"/>
        </w:rPr>
        <w:t xml:space="preserve">corresponden a </w:t>
      </w:r>
      <w:r w:rsidR="00B20482" w:rsidRPr="00164A31">
        <w:rPr>
          <w:lang w:val="es-MX"/>
        </w:rPr>
        <w:t xml:space="preserve">Capital Ordinario (CO) y US$ 50,000,000 </w:t>
      </w:r>
      <w:r w:rsidR="007A155E">
        <w:rPr>
          <w:lang w:val="es-MX"/>
        </w:rPr>
        <w:t>al</w:t>
      </w:r>
      <w:r w:rsidR="00B20482" w:rsidRPr="00164A31">
        <w:rPr>
          <w:lang w:val="es-MX"/>
        </w:rPr>
        <w:t xml:space="preserve"> Fondo Chino de </w:t>
      </w:r>
      <w:r w:rsidR="00C437BD" w:rsidRPr="00164A31">
        <w:rPr>
          <w:lang w:val="es-MX"/>
        </w:rPr>
        <w:t>Co</w:t>
      </w:r>
      <w:r w:rsidR="00A97417" w:rsidRPr="00164A31">
        <w:rPr>
          <w:lang w:val="es-MX"/>
        </w:rPr>
        <w:t>financiamiento</w:t>
      </w:r>
      <w:r w:rsidR="00C437BD" w:rsidRPr="00164A31">
        <w:rPr>
          <w:lang w:val="es-MX"/>
        </w:rPr>
        <w:t xml:space="preserve"> (</w:t>
      </w:r>
      <w:r w:rsidR="0050441D">
        <w:rPr>
          <w:lang w:val="es-MX"/>
        </w:rPr>
        <w:t>F</w:t>
      </w:r>
      <w:r w:rsidR="00C437BD" w:rsidRPr="00164A31">
        <w:rPr>
          <w:lang w:val="es-MX"/>
        </w:rPr>
        <w:t>CH)</w:t>
      </w:r>
      <w:r w:rsidR="00116BB4" w:rsidRPr="00164A31">
        <w:rPr>
          <w:rStyle w:val="FootnoteReference"/>
          <w:lang w:val="es-MX"/>
        </w:rPr>
        <w:footnoteReference w:id="1"/>
      </w:r>
      <w:r w:rsidR="00F34815" w:rsidRPr="00164A31">
        <w:rPr>
          <w:lang w:val="es-MX"/>
        </w:rPr>
        <w:t xml:space="preserve">. El </w:t>
      </w:r>
      <w:r w:rsidR="001556E9">
        <w:rPr>
          <w:lang w:val="es-MX"/>
        </w:rPr>
        <w:t>P</w:t>
      </w:r>
      <w:r w:rsidR="00F34815" w:rsidRPr="00164A31">
        <w:rPr>
          <w:lang w:val="es-MX"/>
        </w:rPr>
        <w:t xml:space="preserve">RSND </w:t>
      </w:r>
      <w:r w:rsidR="00EF349F" w:rsidRPr="00164A31">
        <w:rPr>
          <w:lang w:val="es-MX"/>
        </w:rPr>
        <w:t xml:space="preserve">refleja el compromiso del Banco con el </w:t>
      </w:r>
      <w:r w:rsidR="00FD69DA" w:rsidRPr="00164A31">
        <w:rPr>
          <w:lang w:val="es-MX"/>
        </w:rPr>
        <w:t>fortalecimiento</w:t>
      </w:r>
      <w:r w:rsidR="00EF349F" w:rsidRPr="00164A31">
        <w:rPr>
          <w:lang w:val="es-MX"/>
        </w:rPr>
        <w:t xml:space="preserve"> del sector energético en el Ecuador y forma parte de un </w:t>
      </w:r>
      <w:r w:rsidR="0050441D">
        <w:rPr>
          <w:lang w:val="es-MX"/>
        </w:rPr>
        <w:t xml:space="preserve">programa de financiamiento más amplio en el sector eléctrico con apoyo del BID. </w:t>
      </w:r>
      <w:r w:rsidR="00062206" w:rsidRPr="00164A31">
        <w:rPr>
          <w:lang w:val="es-MX"/>
        </w:rPr>
        <w:t>El Organismo Ejecutor (OE) del Programa es el Ministerio de Electricidad y Energías Renovables (MEER).</w:t>
      </w:r>
    </w:p>
    <w:p w:rsidR="0050441D" w:rsidRDefault="00EF349F">
      <w:pPr>
        <w:rPr>
          <w:lang w:val="es-MX"/>
        </w:rPr>
      </w:pPr>
      <w:r w:rsidRPr="00164A31">
        <w:rPr>
          <w:lang w:val="es-MX"/>
        </w:rPr>
        <w:t xml:space="preserve">El </w:t>
      </w:r>
      <w:r w:rsidR="001556E9">
        <w:rPr>
          <w:lang w:val="es-MX"/>
        </w:rPr>
        <w:t>P</w:t>
      </w:r>
      <w:r w:rsidR="00C437BD" w:rsidRPr="00164A31">
        <w:rPr>
          <w:lang w:val="es-MX"/>
        </w:rPr>
        <w:t xml:space="preserve">RSND </w:t>
      </w:r>
      <w:r w:rsidRPr="00164A31">
        <w:rPr>
          <w:lang w:val="es-MX"/>
        </w:rPr>
        <w:t xml:space="preserve">nace </w:t>
      </w:r>
      <w:r w:rsidR="00336B37">
        <w:rPr>
          <w:lang w:val="es-MX"/>
        </w:rPr>
        <w:t xml:space="preserve">de la necesidad de fortalecer el </w:t>
      </w:r>
      <w:r w:rsidR="00722C3F">
        <w:rPr>
          <w:lang w:val="es-MX"/>
        </w:rPr>
        <w:t>Sistema Nacional de</w:t>
      </w:r>
      <w:r w:rsidRPr="00164A31">
        <w:rPr>
          <w:lang w:val="es-MX"/>
        </w:rPr>
        <w:t xml:space="preserve"> </w:t>
      </w:r>
      <w:r w:rsidR="00722C3F">
        <w:rPr>
          <w:lang w:val="es-MX"/>
        </w:rPr>
        <w:t>D</w:t>
      </w:r>
      <w:r w:rsidR="00722C3F" w:rsidRPr="00164A31">
        <w:rPr>
          <w:lang w:val="es-MX"/>
        </w:rPr>
        <w:t xml:space="preserve">istribución </w:t>
      </w:r>
      <w:r w:rsidR="00336B37">
        <w:rPr>
          <w:lang w:val="es-MX"/>
        </w:rPr>
        <w:t xml:space="preserve">(SND) </w:t>
      </w:r>
      <w:r w:rsidRPr="00164A31">
        <w:rPr>
          <w:lang w:val="es-MX"/>
        </w:rPr>
        <w:t xml:space="preserve">eléctrico para cubrir la demanda a futuro y en particular, para </w:t>
      </w:r>
      <w:r w:rsidR="0050441D">
        <w:rPr>
          <w:lang w:val="es-MX"/>
        </w:rPr>
        <w:t xml:space="preserve">asegurar </w:t>
      </w:r>
      <w:r w:rsidR="00336B37">
        <w:rPr>
          <w:lang w:val="es-MX"/>
        </w:rPr>
        <w:t xml:space="preserve">la </w:t>
      </w:r>
      <w:r w:rsidR="0050441D">
        <w:rPr>
          <w:lang w:val="es-MX"/>
        </w:rPr>
        <w:t>incorporación en el corto plazo, de cargas puntuales al SND</w:t>
      </w:r>
      <w:r w:rsidR="006551B2">
        <w:rPr>
          <w:lang w:val="es-MX"/>
        </w:rPr>
        <w:t>,</w:t>
      </w:r>
      <w:r w:rsidR="0050441D">
        <w:rPr>
          <w:lang w:val="es-MX"/>
        </w:rPr>
        <w:t xml:space="preserve"> como son el desplazamiento de </w:t>
      </w:r>
      <w:r w:rsidRPr="00164A31">
        <w:rPr>
          <w:lang w:val="es-MX"/>
        </w:rPr>
        <w:t xml:space="preserve">Gas Licuado de Petróleo (GLP) </w:t>
      </w:r>
      <w:r w:rsidR="0050441D">
        <w:rPr>
          <w:lang w:val="es-MX"/>
        </w:rPr>
        <w:t>por</w:t>
      </w:r>
      <w:r w:rsidRPr="00164A31">
        <w:rPr>
          <w:lang w:val="es-MX"/>
        </w:rPr>
        <w:t xml:space="preserve"> electricidad</w:t>
      </w:r>
      <w:r w:rsidR="0050441D">
        <w:rPr>
          <w:lang w:val="es-MX"/>
        </w:rPr>
        <w:t xml:space="preserve"> para la cocción y </w:t>
      </w:r>
      <w:r w:rsidR="006551B2">
        <w:rPr>
          <w:lang w:val="es-MX"/>
        </w:rPr>
        <w:t xml:space="preserve">el </w:t>
      </w:r>
      <w:r w:rsidR="0050441D">
        <w:rPr>
          <w:lang w:val="es-MX"/>
        </w:rPr>
        <w:t>calentamiento de agua en el sector residencial</w:t>
      </w:r>
      <w:r w:rsidR="006551B2">
        <w:rPr>
          <w:lang w:val="es-MX"/>
        </w:rPr>
        <w:t>,</w:t>
      </w:r>
      <w:r w:rsidR="0050441D">
        <w:rPr>
          <w:lang w:val="es-MX"/>
        </w:rPr>
        <w:t xml:space="preserve"> y el desarrollo de iniciativas </w:t>
      </w:r>
      <w:r w:rsidR="007A155E">
        <w:rPr>
          <w:lang w:val="es-MX"/>
        </w:rPr>
        <w:t>de</w:t>
      </w:r>
      <w:r w:rsidR="0050441D">
        <w:rPr>
          <w:lang w:val="es-MX"/>
        </w:rPr>
        <w:t xml:space="preserve"> transporte público eléctrico</w:t>
      </w:r>
      <w:r w:rsidR="006551B2">
        <w:rPr>
          <w:lang w:val="es-MX"/>
        </w:rPr>
        <w:t xml:space="preserve"> (Metro de Quito y Tranvía de Cuenca)</w:t>
      </w:r>
      <w:r w:rsidRPr="00164A31">
        <w:rPr>
          <w:lang w:val="es-MX"/>
        </w:rPr>
        <w:t xml:space="preserve">. </w:t>
      </w:r>
    </w:p>
    <w:p w:rsidR="006551B2" w:rsidRDefault="006551B2">
      <w:pPr>
        <w:rPr>
          <w:lang w:val="es-MX"/>
        </w:rPr>
      </w:pPr>
      <w:r>
        <w:rPr>
          <w:lang w:val="es-MX"/>
        </w:rPr>
        <w:t xml:space="preserve">Desde la aprobación del Programa por el Directorio Ejecutivo del BID hasta la firma de los convenios transcurrieron 49 días. Desde la firma de los convenios hasta la elegibilidad para primer desembolso </w:t>
      </w:r>
      <w:r w:rsidR="00511703">
        <w:rPr>
          <w:lang w:val="es-MX"/>
        </w:rPr>
        <w:t>trascurrieron</w:t>
      </w:r>
      <w:r>
        <w:rPr>
          <w:lang w:val="es-MX"/>
        </w:rPr>
        <w:t xml:space="preserve"> 11 días. </w:t>
      </w:r>
      <w:r w:rsidR="00511703">
        <w:rPr>
          <w:lang w:val="es-MX"/>
        </w:rPr>
        <w:t xml:space="preserve">Los valores referenciales históricos del BID en la colaboración con el país, indican 141 días y 130 días respectivamente. </w:t>
      </w:r>
    </w:p>
    <w:p w:rsidR="00A164C1" w:rsidRDefault="006A35D9">
      <w:pPr>
        <w:rPr>
          <w:lang w:val="es-MX"/>
        </w:rPr>
      </w:pPr>
      <w:r w:rsidRPr="00600D7A">
        <w:rPr>
          <w:szCs w:val="24"/>
          <w:lang w:val="es-ES_tradnl"/>
        </w:rPr>
        <w:t>A marzo de 2015,</w:t>
      </w:r>
      <w:r w:rsidR="00B90F1D">
        <w:rPr>
          <w:szCs w:val="24"/>
          <w:lang w:val="es-ES_tradnl"/>
        </w:rPr>
        <w:t xml:space="preserve"> habiendo transcurrido seis meses</w:t>
      </w:r>
      <w:r w:rsidR="009E032D">
        <w:rPr>
          <w:szCs w:val="24"/>
          <w:lang w:val="es-ES_tradnl"/>
        </w:rPr>
        <w:t xml:space="preserve"> efectivos</w:t>
      </w:r>
      <w:r w:rsidR="00B90F1D">
        <w:rPr>
          <w:szCs w:val="24"/>
          <w:lang w:val="es-ES_tradnl"/>
        </w:rPr>
        <w:t xml:space="preserve"> desde la elegibilidad</w:t>
      </w:r>
      <w:r w:rsidR="007A155E">
        <w:rPr>
          <w:szCs w:val="24"/>
          <w:lang w:val="es-ES_tradnl"/>
        </w:rPr>
        <w:t xml:space="preserve"> </w:t>
      </w:r>
      <w:r w:rsidR="00B90F1D">
        <w:rPr>
          <w:szCs w:val="24"/>
          <w:lang w:val="es-ES_tradnl"/>
        </w:rPr>
        <w:t>del programa, el MEER</w:t>
      </w:r>
      <w:r w:rsidR="007A155E">
        <w:rPr>
          <w:szCs w:val="24"/>
          <w:lang w:val="es-ES_tradnl"/>
        </w:rPr>
        <w:t xml:space="preserve"> han adjudicado</w:t>
      </w:r>
      <w:r w:rsidRPr="00600D7A">
        <w:rPr>
          <w:szCs w:val="24"/>
          <w:lang w:val="es-ES_tradnl"/>
        </w:rPr>
        <w:t xml:space="preserve"> 599 contratos para construcción de proyectos de reforzamiento por US$197,5 millones, de los cuales se han pagado US$93 millones por avance de obras y anticipos. El avance físico de los proyectos promedia 25%, lo que incluye avances en algunos proyectos de 47%</w:t>
      </w:r>
      <w:r w:rsidRPr="00600D7A">
        <w:rPr>
          <w:szCs w:val="24"/>
          <w:vertAlign w:val="superscript"/>
          <w:lang w:val="es-ES_tradnl"/>
        </w:rPr>
        <w:footnoteReference w:id="2"/>
      </w:r>
      <w:r w:rsidRPr="00600D7A">
        <w:rPr>
          <w:szCs w:val="24"/>
          <w:lang w:val="es-ES_tradnl"/>
        </w:rPr>
        <w:t>. Durante</w:t>
      </w:r>
      <w:r w:rsidRPr="007B7518">
        <w:rPr>
          <w:szCs w:val="24"/>
          <w:lang w:val="es-ES_tradnl"/>
        </w:rPr>
        <w:t xml:space="preserve"> este per</w:t>
      </w:r>
      <w:r>
        <w:rPr>
          <w:szCs w:val="24"/>
          <w:lang w:val="es-ES_tradnl"/>
        </w:rPr>
        <w:t>í</w:t>
      </w:r>
      <w:r w:rsidRPr="007B7518">
        <w:rPr>
          <w:szCs w:val="24"/>
          <w:lang w:val="es-ES_tradnl"/>
        </w:rPr>
        <w:t xml:space="preserve">odo se han reforzado </w:t>
      </w:r>
      <w:r>
        <w:rPr>
          <w:szCs w:val="24"/>
          <w:lang w:val="es-ES_tradnl"/>
        </w:rPr>
        <w:t>65</w:t>
      </w:r>
      <w:r w:rsidRPr="007B7518">
        <w:rPr>
          <w:szCs w:val="24"/>
          <w:lang w:val="es-ES_tradnl"/>
        </w:rPr>
        <w:t xml:space="preserve"> km de líneas de </w:t>
      </w:r>
      <w:proofErr w:type="spellStart"/>
      <w:r w:rsidRPr="007B7518">
        <w:rPr>
          <w:szCs w:val="24"/>
          <w:lang w:val="es-ES_tradnl"/>
        </w:rPr>
        <w:t>subtransmisión</w:t>
      </w:r>
      <w:proofErr w:type="spellEnd"/>
      <w:r w:rsidRPr="007B7518">
        <w:rPr>
          <w:szCs w:val="24"/>
          <w:lang w:val="es-ES_tradnl"/>
        </w:rPr>
        <w:t xml:space="preserve">, </w:t>
      </w:r>
      <w:r>
        <w:rPr>
          <w:szCs w:val="24"/>
          <w:lang w:val="es-ES_tradnl"/>
        </w:rPr>
        <w:t>1.644</w:t>
      </w:r>
      <w:r w:rsidRPr="007B7518">
        <w:rPr>
          <w:szCs w:val="24"/>
          <w:lang w:val="es-ES_tradnl"/>
        </w:rPr>
        <w:t xml:space="preserve"> km de líneas de distribución, y se cuenta con 137 contratos </w:t>
      </w:r>
      <w:r>
        <w:rPr>
          <w:szCs w:val="24"/>
          <w:lang w:val="es-ES_tradnl"/>
        </w:rPr>
        <w:t xml:space="preserve">para </w:t>
      </w:r>
      <w:r w:rsidRPr="007B7518">
        <w:rPr>
          <w:szCs w:val="24"/>
          <w:lang w:val="es-ES_tradnl"/>
        </w:rPr>
        <w:t>supervisión de obras</w:t>
      </w:r>
      <w:r>
        <w:rPr>
          <w:szCs w:val="24"/>
          <w:lang w:val="es-ES_tradnl"/>
        </w:rPr>
        <w:t>.</w:t>
      </w:r>
    </w:p>
    <w:p w:rsidR="006152A1" w:rsidRPr="00164A31" w:rsidRDefault="00062206">
      <w:pPr>
        <w:rPr>
          <w:lang w:val="es-MX"/>
        </w:rPr>
      </w:pPr>
      <w:r w:rsidRPr="00164A31">
        <w:rPr>
          <w:lang w:val="es-MX"/>
        </w:rPr>
        <w:t xml:space="preserve">Conforme </w:t>
      </w:r>
      <w:r w:rsidR="00B90F1D">
        <w:rPr>
          <w:lang w:val="es-MX"/>
        </w:rPr>
        <w:t xml:space="preserve">a </w:t>
      </w:r>
      <w:r w:rsidRPr="00164A31">
        <w:rPr>
          <w:lang w:val="es-MX"/>
        </w:rPr>
        <w:t>lo estipul</w:t>
      </w:r>
      <w:r w:rsidR="008B7E4C" w:rsidRPr="00164A31">
        <w:rPr>
          <w:lang w:val="es-MX"/>
        </w:rPr>
        <w:t xml:space="preserve">ado en </w:t>
      </w:r>
      <w:r w:rsidR="00B90F1D">
        <w:rPr>
          <w:lang w:val="es-MX"/>
        </w:rPr>
        <w:t>el programa</w:t>
      </w:r>
      <w:r w:rsidR="008B7E4C" w:rsidRPr="00164A31">
        <w:rPr>
          <w:rStyle w:val="FootnoteReference"/>
          <w:lang w:val="es-MX"/>
        </w:rPr>
        <w:footnoteReference w:id="3"/>
      </w:r>
      <w:r w:rsidR="00F76F76" w:rsidRPr="00164A31">
        <w:rPr>
          <w:lang w:val="es-MX"/>
        </w:rPr>
        <w:t xml:space="preserve"> </w:t>
      </w:r>
      <w:r w:rsidR="0095496F" w:rsidRPr="00164A31">
        <w:rPr>
          <w:lang w:val="es-MX"/>
        </w:rPr>
        <w:t>está previsto realizar una evaluación i</w:t>
      </w:r>
      <w:r w:rsidRPr="00164A31">
        <w:rPr>
          <w:lang w:val="es-MX"/>
        </w:rPr>
        <w:t>ntermedia, contratada por el OE, en un plazo máximo de dos meses después de que se comprometa el 50% de los recursos de financiamiento del BID. Dado que las Empresas Eléctricas de Distribución (EED) en Ecuador, en conjunto con el MEER y el Consejo Nacional de Electricidad (CONELEC)</w:t>
      </w:r>
      <w:bookmarkStart w:id="4" w:name="_Ref416471792"/>
      <w:r w:rsidR="00023DFC" w:rsidRPr="00164A31">
        <w:rPr>
          <w:rStyle w:val="FootnoteReference"/>
          <w:lang w:val="es-MX"/>
        </w:rPr>
        <w:footnoteReference w:id="4"/>
      </w:r>
      <w:bookmarkEnd w:id="4"/>
      <w:r w:rsidR="006F671B">
        <w:rPr>
          <w:lang w:val="es-MX"/>
        </w:rPr>
        <w:t>, ahora Agencia de Regulación y Control de Electricidad (ARCONEL),</w:t>
      </w:r>
      <w:r w:rsidRPr="00164A31">
        <w:rPr>
          <w:lang w:val="es-MX"/>
        </w:rPr>
        <w:t xml:space="preserve"> avanzaron en la preparación de la cartera de proyectos de reforzamiento previo a la firma del Préstamo, esta condición se </w:t>
      </w:r>
      <w:r w:rsidR="004C41D6" w:rsidRPr="00164A31">
        <w:rPr>
          <w:lang w:val="es-MX"/>
        </w:rPr>
        <w:t xml:space="preserve">dio </w:t>
      </w:r>
      <w:r w:rsidR="00722C3F">
        <w:rPr>
          <w:lang w:val="es-MX"/>
        </w:rPr>
        <w:t xml:space="preserve">a </w:t>
      </w:r>
      <w:r w:rsidR="004C41D6" w:rsidRPr="00164A31">
        <w:rPr>
          <w:lang w:val="es-MX"/>
        </w:rPr>
        <w:t>principios del 2015, motivo por el cual se contrató la presente Consultoría.</w:t>
      </w:r>
    </w:p>
    <w:p w:rsidR="007571AA" w:rsidRPr="00416654" w:rsidRDefault="006152A1" w:rsidP="00416654">
      <w:pPr>
        <w:pStyle w:val="Heading1"/>
        <w:spacing w:before="120" w:after="120"/>
        <w:rPr>
          <w:b/>
          <w:lang w:val="es-MX"/>
        </w:rPr>
      </w:pPr>
      <w:bookmarkStart w:id="5" w:name="_Toc416868837"/>
      <w:r w:rsidRPr="00416654">
        <w:rPr>
          <w:b/>
          <w:lang w:val="es-MX"/>
        </w:rPr>
        <w:t>Metodología</w:t>
      </w:r>
      <w:bookmarkEnd w:id="5"/>
    </w:p>
    <w:p w:rsidR="00E000F8" w:rsidRPr="00164A31" w:rsidRDefault="0095496F" w:rsidP="00416654">
      <w:pPr>
        <w:spacing w:before="120" w:after="120"/>
        <w:rPr>
          <w:lang w:val="es-MX"/>
        </w:rPr>
      </w:pPr>
      <w:r w:rsidRPr="00164A31">
        <w:rPr>
          <w:lang w:val="es-MX"/>
        </w:rPr>
        <w:t xml:space="preserve">Esta evaluación </w:t>
      </w:r>
      <w:r w:rsidR="004D7CD8" w:rsidRPr="00164A31">
        <w:rPr>
          <w:lang w:val="es-MX"/>
        </w:rPr>
        <w:t xml:space="preserve">se desarrolla en congruencia con </w:t>
      </w:r>
      <w:r w:rsidRPr="00164A31">
        <w:rPr>
          <w:lang w:val="es-MX"/>
        </w:rPr>
        <w:t>los principios</w:t>
      </w:r>
      <w:r w:rsidR="004D7CD8" w:rsidRPr="00164A31">
        <w:rPr>
          <w:lang w:val="es-MX"/>
        </w:rPr>
        <w:t xml:space="preserve"> y </w:t>
      </w:r>
      <w:r w:rsidRPr="00164A31">
        <w:rPr>
          <w:lang w:val="es-MX"/>
        </w:rPr>
        <w:t>lineamientos sugeridos para la preparación del Reporte de Cierre de Proyecto (PCR) del Banco</w:t>
      </w:r>
      <w:r w:rsidR="00AE2B5F" w:rsidRPr="00164A31">
        <w:rPr>
          <w:lang w:val="es-MX"/>
        </w:rPr>
        <w:t xml:space="preserve"> </w:t>
      </w:r>
      <w:r w:rsidR="00FD69DA" w:rsidRPr="00164A31">
        <w:rPr>
          <w:lang w:val="es-MX"/>
        </w:rPr>
        <w:t>Interamericano</w:t>
      </w:r>
      <w:r w:rsidR="008B7E4C" w:rsidRPr="00164A31">
        <w:rPr>
          <w:lang w:val="es-MX"/>
        </w:rPr>
        <w:t xml:space="preserve"> de Desarrollo</w:t>
      </w:r>
      <w:r w:rsidR="00AE2B5F" w:rsidRPr="00164A31">
        <w:rPr>
          <w:rStyle w:val="FootnoteReference"/>
          <w:lang w:val="es-MX"/>
        </w:rPr>
        <w:footnoteReference w:id="5"/>
      </w:r>
      <w:r w:rsidRPr="00164A31">
        <w:rPr>
          <w:lang w:val="es-MX"/>
        </w:rPr>
        <w:t xml:space="preserve">. Los lineamientos </w:t>
      </w:r>
      <w:r w:rsidR="004D7CD8" w:rsidRPr="00164A31">
        <w:rPr>
          <w:lang w:val="es-MX"/>
        </w:rPr>
        <w:t xml:space="preserve">para el PCR </w:t>
      </w:r>
      <w:r w:rsidR="008B7E4C" w:rsidRPr="00164A31">
        <w:rPr>
          <w:lang w:val="es-MX"/>
        </w:rPr>
        <w:t>son comparables con lo</w:t>
      </w:r>
      <w:r w:rsidRPr="00164A31">
        <w:rPr>
          <w:lang w:val="es-MX"/>
        </w:rPr>
        <w:t>s de otros organismos internacionales con enfoque en desarrollo</w:t>
      </w:r>
      <w:r w:rsidR="004D7CD8" w:rsidRPr="00164A31">
        <w:rPr>
          <w:lang w:val="es-MX"/>
        </w:rPr>
        <w:t xml:space="preserve"> que han adoptado </w:t>
      </w:r>
      <w:r w:rsidRPr="00164A31">
        <w:rPr>
          <w:lang w:val="es-MX"/>
        </w:rPr>
        <w:t xml:space="preserve">la gestión </w:t>
      </w:r>
      <w:r w:rsidR="004D7CD8" w:rsidRPr="00164A31">
        <w:rPr>
          <w:lang w:val="es-MX"/>
        </w:rPr>
        <w:t xml:space="preserve">en base </w:t>
      </w:r>
      <w:r w:rsidRPr="00164A31">
        <w:rPr>
          <w:lang w:val="es-MX"/>
        </w:rPr>
        <w:t>a resultados</w:t>
      </w:r>
      <w:r w:rsidR="004D7CD8" w:rsidRPr="00164A31">
        <w:rPr>
          <w:lang w:val="es-MX"/>
        </w:rPr>
        <w:t xml:space="preserve">, </w:t>
      </w:r>
      <w:r w:rsidR="008B7E4C" w:rsidRPr="00164A31">
        <w:rPr>
          <w:lang w:val="es-MX"/>
        </w:rPr>
        <w:t xml:space="preserve">la cual </w:t>
      </w:r>
      <w:r w:rsidR="004D7CD8" w:rsidRPr="00164A31">
        <w:rPr>
          <w:lang w:val="es-MX"/>
        </w:rPr>
        <w:t xml:space="preserve">parte del seguimiento y evaluación sobre la base de objetividad, indicadores medibles y verificables, evidencia, así como principios rectores como la transparencia y la equidad. </w:t>
      </w:r>
    </w:p>
    <w:p w:rsidR="007571AA" w:rsidRPr="00164A31" w:rsidRDefault="006F671B" w:rsidP="009B2ED0">
      <w:pPr>
        <w:rPr>
          <w:lang w:val="es-MX"/>
        </w:rPr>
      </w:pPr>
      <w:r>
        <w:rPr>
          <w:lang w:val="es-MX"/>
        </w:rPr>
        <w:lastRenderedPageBreak/>
        <w:t xml:space="preserve">El equipo del proyecto del BID, ha recomendado considerar el uso de la guía de PCR </w:t>
      </w:r>
      <w:r w:rsidR="008E2947">
        <w:rPr>
          <w:lang w:val="es-MX"/>
        </w:rPr>
        <w:t xml:space="preserve">como concepto base </w:t>
      </w:r>
      <w:r>
        <w:rPr>
          <w:lang w:val="es-MX"/>
        </w:rPr>
        <w:t>para esta evaluación</w:t>
      </w:r>
      <w:r w:rsidR="008E2947">
        <w:rPr>
          <w:lang w:val="es-MX"/>
        </w:rPr>
        <w:t xml:space="preserve"> considerando, que se evaluará el avance de los indicadores en función de su progreso anual proporcional, según metas establecidas</w:t>
      </w:r>
      <w:r>
        <w:rPr>
          <w:lang w:val="es-MX"/>
        </w:rPr>
        <w:t xml:space="preserve">. </w:t>
      </w:r>
      <w:r w:rsidR="008B7E4C" w:rsidRPr="00164A31">
        <w:rPr>
          <w:lang w:val="es-MX"/>
        </w:rPr>
        <w:t>E</w:t>
      </w:r>
      <w:r w:rsidR="004D7CD8" w:rsidRPr="00164A31">
        <w:rPr>
          <w:lang w:val="es-MX"/>
        </w:rPr>
        <w:t xml:space="preserve">ste </w:t>
      </w:r>
      <w:r w:rsidR="008B7E4C" w:rsidRPr="00164A31">
        <w:rPr>
          <w:lang w:val="es-MX"/>
        </w:rPr>
        <w:t xml:space="preserve">documento </w:t>
      </w:r>
      <w:r w:rsidR="004D7CD8" w:rsidRPr="00164A31">
        <w:rPr>
          <w:lang w:val="es-MX"/>
        </w:rPr>
        <w:t>se apega</w:t>
      </w:r>
      <w:r w:rsidR="008B7E4C" w:rsidRPr="00164A31">
        <w:rPr>
          <w:lang w:val="es-MX"/>
        </w:rPr>
        <w:t>rá</w:t>
      </w:r>
      <w:r w:rsidR="004D7CD8" w:rsidRPr="00164A31">
        <w:rPr>
          <w:lang w:val="es-MX"/>
        </w:rPr>
        <w:t xml:space="preserve"> al formato PCR</w:t>
      </w:r>
      <w:r w:rsidR="008B7E4C" w:rsidRPr="00164A31">
        <w:rPr>
          <w:lang w:val="es-MX"/>
        </w:rPr>
        <w:t xml:space="preserve"> en cuanto a estructura y tamaño</w:t>
      </w:r>
      <w:r w:rsidR="00CC0F89">
        <w:rPr>
          <w:lang w:val="es-MX"/>
        </w:rPr>
        <w:t xml:space="preserve"> (</w:t>
      </w:r>
      <w:proofErr w:type="spellStart"/>
      <w:r w:rsidR="00CC0F89">
        <w:rPr>
          <w:lang w:val="es-MX"/>
        </w:rPr>
        <w:t>apróx</w:t>
      </w:r>
      <w:proofErr w:type="spellEnd"/>
      <w:r w:rsidR="00CC0F89">
        <w:rPr>
          <w:lang w:val="es-MX"/>
        </w:rPr>
        <w:t>. 20 páginas)</w:t>
      </w:r>
      <w:r w:rsidR="004D7CD8" w:rsidRPr="00164A31">
        <w:rPr>
          <w:lang w:val="es-MX"/>
        </w:rPr>
        <w:t xml:space="preserve">. </w:t>
      </w:r>
      <w:r w:rsidR="00E000F8" w:rsidRPr="00164A31">
        <w:rPr>
          <w:lang w:val="es-MX"/>
        </w:rPr>
        <w:t xml:space="preserve">La metodología PCR revisa los cuatro criterios centrales </w:t>
      </w:r>
      <w:r w:rsidR="009B2ED0" w:rsidRPr="00164A31">
        <w:rPr>
          <w:lang w:val="es-MX"/>
        </w:rPr>
        <w:t xml:space="preserve">que definen el desempeño de una operación, que son: (i) efectividad; (ii) eficiencia; (iii) relevancia; y (iv) sostenibilidad. </w:t>
      </w:r>
      <w:r w:rsidR="00D85412" w:rsidRPr="00164A31">
        <w:rPr>
          <w:lang w:val="es-MX"/>
        </w:rPr>
        <w:t xml:space="preserve">Estos criterios serán calificados objetivamente </w:t>
      </w:r>
      <w:r w:rsidR="008B7E4C" w:rsidRPr="00164A31">
        <w:rPr>
          <w:lang w:val="es-MX"/>
        </w:rPr>
        <w:t>en congruencia con lo establecid</w:t>
      </w:r>
      <w:r w:rsidR="00D85412" w:rsidRPr="00164A31">
        <w:rPr>
          <w:lang w:val="es-MX"/>
        </w:rPr>
        <w:t>o en el Plan de Monitoreo para la Operación</w:t>
      </w:r>
      <w:r w:rsidR="00D85412" w:rsidRPr="00164A31">
        <w:rPr>
          <w:rStyle w:val="FootnoteReference"/>
          <w:lang w:val="es-MX"/>
        </w:rPr>
        <w:footnoteReference w:id="6"/>
      </w:r>
      <w:r w:rsidR="00D85412" w:rsidRPr="00164A31">
        <w:rPr>
          <w:lang w:val="es-MX"/>
        </w:rPr>
        <w:t xml:space="preserve">. </w:t>
      </w:r>
      <w:r w:rsidR="001905AF">
        <w:rPr>
          <w:lang w:val="es-MX"/>
        </w:rPr>
        <w:t>También</w:t>
      </w:r>
      <w:r w:rsidR="009B2ED0" w:rsidRPr="00164A31">
        <w:rPr>
          <w:lang w:val="es-MX"/>
        </w:rPr>
        <w:t xml:space="preserve"> revisa (pero no califica) los criterios no-centrales: (v) contribución a los objetivos corporativos de desarrollo del Banco; (vi) contribución a los objetivos estratégicos de desarrollo del país; (vii) seguimiento y evaluación (M&amp;E); (viii) uso de sistemas de país; y (ix) salvaguardias ambientales y </w:t>
      </w:r>
      <w:r w:rsidR="00B674AA" w:rsidRPr="00164A31">
        <w:rPr>
          <w:lang w:val="es-MX"/>
        </w:rPr>
        <w:t>sociales. El</w:t>
      </w:r>
      <w:r w:rsidR="004225BE" w:rsidRPr="00164A31">
        <w:rPr>
          <w:lang w:val="es-MX"/>
        </w:rPr>
        <w:t xml:space="preserve"> Evaluador ha considerado apropiado agregar </w:t>
      </w:r>
      <w:r w:rsidR="00CC0F89">
        <w:rPr>
          <w:lang w:val="es-MX"/>
        </w:rPr>
        <w:t xml:space="preserve">los </w:t>
      </w:r>
      <w:r w:rsidR="00CC0F89" w:rsidRPr="00164A31">
        <w:rPr>
          <w:lang w:val="es-MX"/>
        </w:rPr>
        <w:t xml:space="preserve">criterios </w:t>
      </w:r>
      <w:r w:rsidR="00CC0F89">
        <w:rPr>
          <w:lang w:val="es-MX"/>
        </w:rPr>
        <w:t>n</w:t>
      </w:r>
      <w:r w:rsidR="00CC0F89" w:rsidRPr="00164A31">
        <w:rPr>
          <w:lang w:val="es-MX"/>
        </w:rPr>
        <w:t>o-centrales</w:t>
      </w:r>
      <w:r w:rsidR="006D3E51">
        <w:rPr>
          <w:lang w:val="es-MX"/>
        </w:rPr>
        <w:t xml:space="preserve"> </w:t>
      </w:r>
      <w:r w:rsidR="004225BE" w:rsidRPr="00164A31">
        <w:rPr>
          <w:lang w:val="es-MX"/>
        </w:rPr>
        <w:t>"instrumentos de gestión" y "gestión de riesgos".</w:t>
      </w:r>
      <w:r w:rsidR="008B7E4C" w:rsidRPr="00164A31">
        <w:rPr>
          <w:lang w:val="es-MX"/>
        </w:rPr>
        <w:t xml:space="preserve"> También se agrega una sección que identifica posibles efectos no-previstos. </w:t>
      </w:r>
      <w:r w:rsidR="009664A2" w:rsidRPr="00164A31">
        <w:rPr>
          <w:lang w:val="es-MX"/>
        </w:rPr>
        <w:t xml:space="preserve">La </w:t>
      </w:r>
      <w:r w:rsidR="00100AD9" w:rsidRPr="00164A31">
        <w:rPr>
          <w:lang w:val="es-MX"/>
        </w:rPr>
        <w:t>E</w:t>
      </w:r>
      <w:r w:rsidR="004225BE" w:rsidRPr="00164A31">
        <w:rPr>
          <w:lang w:val="es-MX"/>
        </w:rPr>
        <w:t>valuación</w:t>
      </w:r>
      <w:r w:rsidR="009664A2" w:rsidRPr="00164A31">
        <w:rPr>
          <w:lang w:val="es-MX"/>
        </w:rPr>
        <w:t xml:space="preserve"> se realiza en función de la estructura lógica vertical diseñada para </w:t>
      </w:r>
      <w:r w:rsidR="008B7E4C" w:rsidRPr="00164A31">
        <w:rPr>
          <w:lang w:val="es-MX"/>
        </w:rPr>
        <w:t>el Programa</w:t>
      </w:r>
      <w:r w:rsidR="009664A2" w:rsidRPr="00164A31">
        <w:rPr>
          <w:lang w:val="es-MX"/>
        </w:rPr>
        <w:t xml:space="preserve">, </w:t>
      </w:r>
      <w:r w:rsidR="006A35D9">
        <w:rPr>
          <w:lang w:val="es-MX"/>
        </w:rPr>
        <w:t xml:space="preserve">y </w:t>
      </w:r>
      <w:r w:rsidR="009664A2" w:rsidRPr="00164A31">
        <w:rPr>
          <w:lang w:val="es-MX"/>
        </w:rPr>
        <w:t>definida por los niveles productos-resultados-impactos.</w:t>
      </w:r>
    </w:p>
    <w:p w:rsidR="0079207E" w:rsidRPr="00164A31" w:rsidRDefault="00100AD9" w:rsidP="00416654">
      <w:pPr>
        <w:spacing w:before="240"/>
        <w:rPr>
          <w:lang w:val="es-MX"/>
        </w:rPr>
      </w:pPr>
      <w:r w:rsidRPr="00164A31">
        <w:rPr>
          <w:lang w:val="es-MX"/>
        </w:rPr>
        <w:t xml:space="preserve">La </w:t>
      </w:r>
      <w:r w:rsidR="008B7E4C" w:rsidRPr="00164A31">
        <w:rPr>
          <w:lang w:val="es-MX"/>
        </w:rPr>
        <w:t>consultoría de e</w:t>
      </w:r>
      <w:r w:rsidRPr="00164A31">
        <w:rPr>
          <w:lang w:val="es-MX"/>
        </w:rPr>
        <w:t>valuación consiste en trabajo de escritorio y una misión a Ecuador, que tuvo lugar del 29</w:t>
      </w:r>
      <w:r w:rsidR="008B7E4C" w:rsidRPr="00164A31">
        <w:rPr>
          <w:lang w:val="es-MX"/>
        </w:rPr>
        <w:t xml:space="preserve"> de marzo </w:t>
      </w:r>
      <w:r w:rsidR="00636A9E" w:rsidRPr="00164A31">
        <w:rPr>
          <w:lang w:val="es-MX"/>
        </w:rPr>
        <w:t>al 03</w:t>
      </w:r>
      <w:r w:rsidR="008B7E4C" w:rsidRPr="00164A31">
        <w:rPr>
          <w:lang w:val="es-MX"/>
        </w:rPr>
        <w:t xml:space="preserve"> de abril</w:t>
      </w:r>
      <w:r w:rsidRPr="00164A31">
        <w:rPr>
          <w:lang w:val="es-MX"/>
        </w:rPr>
        <w:t xml:space="preserve">, 2015. </w:t>
      </w:r>
      <w:r w:rsidR="008B7E4C" w:rsidRPr="00164A31">
        <w:rPr>
          <w:lang w:val="es-MX"/>
        </w:rPr>
        <w:t xml:space="preserve">La Evaluación se llevó a cabo como consultoría internacional individual, apoyada por </w:t>
      </w:r>
      <w:r w:rsidR="00247C85" w:rsidRPr="00164A31">
        <w:rPr>
          <w:lang w:val="es-MX"/>
        </w:rPr>
        <w:t xml:space="preserve">la UEP del OE (MEER) y del BID Ecuador. </w:t>
      </w:r>
      <w:r w:rsidRPr="00164A31">
        <w:rPr>
          <w:lang w:val="es-MX"/>
        </w:rPr>
        <w:t xml:space="preserve">Las actividades </w:t>
      </w:r>
      <w:r w:rsidR="00247C85" w:rsidRPr="00164A31">
        <w:rPr>
          <w:lang w:val="es-MX"/>
        </w:rPr>
        <w:t xml:space="preserve">desarrolladas </w:t>
      </w:r>
      <w:r w:rsidRPr="00164A31">
        <w:rPr>
          <w:lang w:val="es-MX"/>
        </w:rPr>
        <w:t xml:space="preserve">durante la misión </w:t>
      </w:r>
      <w:r w:rsidR="00247C85" w:rsidRPr="00164A31">
        <w:rPr>
          <w:lang w:val="es-MX"/>
        </w:rPr>
        <w:t>incluyen</w:t>
      </w:r>
      <w:r w:rsidRPr="00164A31">
        <w:rPr>
          <w:lang w:val="es-MX"/>
        </w:rPr>
        <w:t xml:space="preserve">: (a) reuniones con representantes del BID </w:t>
      </w:r>
      <w:r w:rsidR="00247C85" w:rsidRPr="00164A31">
        <w:rPr>
          <w:lang w:val="es-MX"/>
        </w:rPr>
        <w:t xml:space="preserve">y OE </w:t>
      </w:r>
      <w:r w:rsidRPr="00164A31">
        <w:rPr>
          <w:lang w:val="es-MX"/>
        </w:rPr>
        <w:t>(30/3); reuniones con UEP y ARCONEL (31/3)</w:t>
      </w:r>
      <w:r w:rsidR="00247C85" w:rsidRPr="00164A31">
        <w:rPr>
          <w:lang w:val="es-MX"/>
        </w:rPr>
        <w:t xml:space="preserve">; </w:t>
      </w:r>
      <w:r w:rsidRPr="00164A31">
        <w:rPr>
          <w:lang w:val="es-MX"/>
        </w:rPr>
        <w:t>(b) misión a la Unidad de Negocio CNEL Guayaquil, incluyendo visitas de campo (01/4); (c) visita a la EE Quito, incluyendo visita de campo; reunión con</w:t>
      </w:r>
      <w:r w:rsidR="00B90F1D">
        <w:rPr>
          <w:lang w:val="es-MX"/>
        </w:rPr>
        <w:t xml:space="preserve"> la Subsecretaria de Distribución y Comercialización de Energía</w:t>
      </w:r>
      <w:r w:rsidRPr="00164A31">
        <w:rPr>
          <w:lang w:val="es-MX"/>
        </w:rPr>
        <w:t xml:space="preserve"> </w:t>
      </w:r>
      <w:r w:rsidR="00B90F1D">
        <w:rPr>
          <w:lang w:val="es-MX"/>
        </w:rPr>
        <w:t>(</w:t>
      </w:r>
      <w:r w:rsidRPr="00164A31">
        <w:rPr>
          <w:lang w:val="es-MX"/>
        </w:rPr>
        <w:t>SDCE</w:t>
      </w:r>
      <w:r w:rsidR="00B90F1D">
        <w:rPr>
          <w:lang w:val="es-MX"/>
        </w:rPr>
        <w:t>)</w:t>
      </w:r>
      <w:r w:rsidRPr="00164A31">
        <w:rPr>
          <w:lang w:val="es-MX"/>
        </w:rPr>
        <w:t xml:space="preserve"> (02/4); y (d) reunión de trabajo con </w:t>
      </w:r>
      <w:r w:rsidR="00247C85" w:rsidRPr="00164A31">
        <w:rPr>
          <w:lang w:val="es-MX"/>
        </w:rPr>
        <w:t xml:space="preserve">el </w:t>
      </w:r>
      <w:r w:rsidRPr="00164A31">
        <w:rPr>
          <w:lang w:val="es-MX"/>
        </w:rPr>
        <w:t xml:space="preserve">consultor internacional </w:t>
      </w:r>
      <w:r w:rsidR="00247C85" w:rsidRPr="00164A31">
        <w:rPr>
          <w:lang w:val="es-MX"/>
        </w:rPr>
        <w:t xml:space="preserve">BID asignado al </w:t>
      </w:r>
      <w:r w:rsidRPr="00164A31">
        <w:rPr>
          <w:lang w:val="es-MX"/>
        </w:rPr>
        <w:t>Programa (03/4).</w:t>
      </w:r>
    </w:p>
    <w:p w:rsidR="0079207E" w:rsidRPr="00416654" w:rsidRDefault="0079207E" w:rsidP="00416654">
      <w:pPr>
        <w:pStyle w:val="Heading1"/>
        <w:spacing w:before="240" w:after="120"/>
        <w:rPr>
          <w:b/>
          <w:lang w:val="es-MX"/>
        </w:rPr>
      </w:pPr>
      <w:bookmarkStart w:id="6" w:name="_Toc416868838"/>
      <w:r w:rsidRPr="00416654">
        <w:rPr>
          <w:b/>
          <w:lang w:val="es-MX"/>
        </w:rPr>
        <w:t>Criterios Centrales</w:t>
      </w:r>
      <w:bookmarkEnd w:id="6"/>
    </w:p>
    <w:p w:rsidR="004D7CD8" w:rsidRPr="00164A31" w:rsidRDefault="006C0326" w:rsidP="00416654">
      <w:pPr>
        <w:pStyle w:val="Heading2"/>
        <w:spacing w:before="120" w:after="120"/>
        <w:rPr>
          <w:lang w:val="es-MX"/>
        </w:rPr>
      </w:pPr>
      <w:bookmarkStart w:id="7" w:name="_Toc416868839"/>
      <w:r w:rsidRPr="00164A31">
        <w:rPr>
          <w:lang w:val="es-MX"/>
        </w:rPr>
        <w:t>Efectividad</w:t>
      </w:r>
      <w:bookmarkEnd w:id="7"/>
    </w:p>
    <w:p w:rsidR="006C225B" w:rsidRPr="00164A31" w:rsidRDefault="006C0326">
      <w:pPr>
        <w:rPr>
          <w:lang w:val="es-MX"/>
        </w:rPr>
      </w:pPr>
      <w:r w:rsidRPr="00164A31">
        <w:rPr>
          <w:lang w:val="es-MX"/>
        </w:rPr>
        <w:t xml:space="preserve">El objetivo del Programa es: </w:t>
      </w:r>
      <w:r w:rsidR="00EA34FB" w:rsidRPr="00164A31">
        <w:rPr>
          <w:i/>
          <w:lang w:val="es-MX"/>
        </w:rPr>
        <w:t>"</w:t>
      </w:r>
      <w:r w:rsidRPr="00164A31">
        <w:rPr>
          <w:i/>
          <w:lang w:val="es-MX"/>
        </w:rPr>
        <w:t xml:space="preserve">Fortalecer el Sistema Nacional de Distribución (SND) favoreciendo el </w:t>
      </w:r>
      <w:r w:rsidR="00EA34FB" w:rsidRPr="00164A31">
        <w:rPr>
          <w:i/>
          <w:lang w:val="es-MX"/>
        </w:rPr>
        <w:t>c</w:t>
      </w:r>
      <w:r w:rsidRPr="00164A31">
        <w:rPr>
          <w:i/>
          <w:lang w:val="es-MX"/>
        </w:rPr>
        <w:t>ambio de la matriz energética y la provisión de un servicio eléctrico de calidad a los clientes residenciales. Los objetivos específicos son: (i) contribuir al reforzamiento del SND para operar a niveles de 220 V en la red de baja tensión; (ii) incrementar los niveles de confiabilidad del SND; y (iii) contribuir al desarrollo de la estrategia que facilite el desplazamiento del consumo de Gas Licuado de Petróleo (GLP) por electricidad en los clientes residenciales</w:t>
      </w:r>
      <w:r w:rsidR="006C225B" w:rsidRPr="00164A31">
        <w:rPr>
          <w:i/>
          <w:lang w:val="es-MX"/>
        </w:rPr>
        <w:t>.</w:t>
      </w:r>
      <w:r w:rsidR="00EA34FB" w:rsidRPr="00164A31">
        <w:rPr>
          <w:i/>
          <w:lang w:val="es-MX"/>
        </w:rPr>
        <w:t>"</w:t>
      </w:r>
    </w:p>
    <w:p w:rsidR="00DA72D5" w:rsidRPr="00164A31" w:rsidRDefault="00DA72D5" w:rsidP="0079207E">
      <w:pPr>
        <w:pStyle w:val="Heading3"/>
        <w:rPr>
          <w:lang w:val="es-MX"/>
        </w:rPr>
      </w:pPr>
      <w:r w:rsidRPr="00164A31">
        <w:rPr>
          <w:lang w:val="es-MX"/>
        </w:rPr>
        <w:t>Contexto del Programa</w:t>
      </w:r>
    </w:p>
    <w:p w:rsidR="003452FA" w:rsidRPr="00164A31" w:rsidRDefault="00571F8D">
      <w:pPr>
        <w:rPr>
          <w:lang w:val="es-MX"/>
        </w:rPr>
      </w:pPr>
      <w:r w:rsidRPr="00164A31">
        <w:rPr>
          <w:lang w:val="es-MX"/>
        </w:rPr>
        <w:t xml:space="preserve">La </w:t>
      </w:r>
      <w:r w:rsidR="000C63DE">
        <w:rPr>
          <w:lang w:val="es-MX"/>
        </w:rPr>
        <w:t>O</w:t>
      </w:r>
      <w:r w:rsidR="003452FA" w:rsidRPr="00164A31">
        <w:rPr>
          <w:lang w:val="es-MX"/>
        </w:rPr>
        <w:t xml:space="preserve">peración está firmemente insertada en las políticas nacionales y sectoriales (enfocadas </w:t>
      </w:r>
      <w:r w:rsidR="00E0529C" w:rsidRPr="00164A31">
        <w:rPr>
          <w:lang w:val="es-MX"/>
        </w:rPr>
        <w:t xml:space="preserve">en </w:t>
      </w:r>
      <w:r w:rsidR="003452FA" w:rsidRPr="00164A31">
        <w:rPr>
          <w:lang w:val="es-MX"/>
        </w:rPr>
        <w:t xml:space="preserve">la diversificación de la matriz energética, la búsqueda de beneficios macro-económicos al </w:t>
      </w:r>
      <w:r w:rsidR="009D373D">
        <w:rPr>
          <w:lang w:val="es-MX"/>
        </w:rPr>
        <w:t>contribuir a reducir</w:t>
      </w:r>
      <w:r w:rsidR="009D373D" w:rsidRPr="00164A31">
        <w:rPr>
          <w:lang w:val="es-MX"/>
        </w:rPr>
        <w:t xml:space="preserve"> </w:t>
      </w:r>
      <w:r w:rsidR="003452FA" w:rsidRPr="00164A31">
        <w:rPr>
          <w:lang w:val="es-MX"/>
        </w:rPr>
        <w:t>el uso de combustibles importados</w:t>
      </w:r>
      <w:r w:rsidR="00E0529C" w:rsidRPr="00164A31">
        <w:rPr>
          <w:lang w:val="es-MX"/>
        </w:rPr>
        <w:t xml:space="preserve"> subsidiados por el Estado, la mejora de la calidad del servicio eléctrico, y el apoyo al Programa de Cocción Eficiente </w:t>
      </w:r>
      <w:r w:rsidR="00497BF3">
        <w:rPr>
          <w:lang w:val="es-MX"/>
        </w:rPr>
        <w:t>(</w:t>
      </w:r>
      <w:r w:rsidR="00497BF3" w:rsidRPr="00497BF3">
        <w:rPr>
          <w:lang w:val="es-MX"/>
        </w:rPr>
        <w:t>PEC)</w:t>
      </w:r>
      <w:r w:rsidR="00E0529C" w:rsidRPr="00164A31">
        <w:rPr>
          <w:lang w:val="es-MX"/>
        </w:rPr>
        <w:t xml:space="preserve">. </w:t>
      </w:r>
      <w:r w:rsidR="007136B1">
        <w:rPr>
          <w:lang w:val="es-MX"/>
        </w:rPr>
        <w:t xml:space="preserve">Los </w:t>
      </w:r>
      <w:r w:rsidR="00CC6451" w:rsidRPr="00164A31">
        <w:rPr>
          <w:lang w:val="es-MX"/>
        </w:rPr>
        <w:t xml:space="preserve">cambios </w:t>
      </w:r>
      <w:r w:rsidR="007136B1">
        <w:rPr>
          <w:lang w:val="es-MX"/>
        </w:rPr>
        <w:t xml:space="preserve">más </w:t>
      </w:r>
      <w:r w:rsidR="00E0529C" w:rsidRPr="00164A31">
        <w:rPr>
          <w:lang w:val="es-MX"/>
        </w:rPr>
        <w:t xml:space="preserve">relevantes </w:t>
      </w:r>
      <w:r w:rsidR="00CC6451" w:rsidRPr="00164A31">
        <w:rPr>
          <w:lang w:val="es-MX"/>
        </w:rPr>
        <w:t xml:space="preserve">en el contexto del Programa </w:t>
      </w:r>
      <w:r w:rsidR="00E0529C" w:rsidRPr="00164A31">
        <w:rPr>
          <w:lang w:val="es-MX"/>
        </w:rPr>
        <w:t>son:</w:t>
      </w:r>
    </w:p>
    <w:p w:rsidR="00E0529C" w:rsidRPr="00164A31" w:rsidRDefault="00333156" w:rsidP="00054537">
      <w:pPr>
        <w:pStyle w:val="ListParagraph"/>
        <w:numPr>
          <w:ilvl w:val="0"/>
          <w:numId w:val="1"/>
        </w:numPr>
        <w:rPr>
          <w:lang w:val="es-MX"/>
        </w:rPr>
      </w:pPr>
      <w:r w:rsidRPr="00164A31">
        <w:rPr>
          <w:lang w:val="es-MX"/>
        </w:rPr>
        <w:t>La c</w:t>
      </w:r>
      <w:r w:rsidR="00E0529C" w:rsidRPr="00164A31">
        <w:rPr>
          <w:lang w:val="es-MX"/>
        </w:rPr>
        <w:t xml:space="preserve">aída de los precios de petróleo internacionales, al cual el </w:t>
      </w:r>
      <w:proofErr w:type="spellStart"/>
      <w:r w:rsidR="00E0529C" w:rsidRPr="00164A31">
        <w:rPr>
          <w:lang w:val="es-MX"/>
        </w:rPr>
        <w:t>GdE</w:t>
      </w:r>
      <w:proofErr w:type="spellEnd"/>
      <w:r w:rsidR="00E0529C" w:rsidRPr="00164A31">
        <w:rPr>
          <w:lang w:val="es-MX"/>
        </w:rPr>
        <w:t xml:space="preserve"> ha respondido con el incremento de aranceles y </w:t>
      </w:r>
      <w:r w:rsidR="007136B1">
        <w:rPr>
          <w:lang w:val="es-MX"/>
        </w:rPr>
        <w:t xml:space="preserve">sobretasas </w:t>
      </w:r>
      <w:r w:rsidR="00E0529C" w:rsidRPr="00164A31">
        <w:rPr>
          <w:lang w:val="es-MX"/>
        </w:rPr>
        <w:t>especiales para una selección de productos importados, con objeto de defender la balanza comercial y fiscal y fomentar la producción nacional</w:t>
      </w:r>
      <w:r w:rsidR="00E0529C" w:rsidRPr="00164A31">
        <w:rPr>
          <w:rStyle w:val="FootnoteReference"/>
          <w:lang w:val="es-MX"/>
        </w:rPr>
        <w:footnoteReference w:id="7"/>
      </w:r>
      <w:r w:rsidR="00E0529C" w:rsidRPr="00164A31">
        <w:rPr>
          <w:lang w:val="es-MX"/>
        </w:rPr>
        <w:t>.</w:t>
      </w:r>
      <w:r w:rsidRPr="00164A31">
        <w:rPr>
          <w:lang w:val="es-MX"/>
        </w:rPr>
        <w:t xml:space="preserve"> Estos </w:t>
      </w:r>
      <w:r w:rsidRPr="00164A31">
        <w:rPr>
          <w:lang w:val="es-MX"/>
        </w:rPr>
        <w:lastRenderedPageBreak/>
        <w:t>factores pueden tomarse en cuenta para revisar el análisis de costos y beneficios de la operación</w:t>
      </w:r>
      <w:r w:rsidR="007136B1">
        <w:rPr>
          <w:lang w:val="es-MX"/>
        </w:rPr>
        <w:t>,</w:t>
      </w:r>
      <w:r w:rsidRPr="00164A31">
        <w:rPr>
          <w:lang w:val="es-MX"/>
        </w:rPr>
        <w:t xml:space="preserve"> pero no afectan las consideraciones estratégicas del sector</w:t>
      </w:r>
      <w:r w:rsidR="007136B1">
        <w:rPr>
          <w:lang w:val="es-MX"/>
        </w:rPr>
        <w:t>. M</w:t>
      </w:r>
      <w:r w:rsidRPr="00164A31">
        <w:rPr>
          <w:lang w:val="es-MX"/>
        </w:rPr>
        <w:t>ás aún, refuerzan la propuesta nacional de reducir la exposición de la economía nacional a los mercados de petróleo internacionales.</w:t>
      </w:r>
    </w:p>
    <w:p w:rsidR="00333156" w:rsidRPr="00164A31" w:rsidRDefault="00656177" w:rsidP="00054537">
      <w:pPr>
        <w:pStyle w:val="ListParagraph"/>
        <w:numPr>
          <w:ilvl w:val="0"/>
          <w:numId w:val="1"/>
        </w:numPr>
        <w:rPr>
          <w:lang w:val="es-MX"/>
        </w:rPr>
      </w:pPr>
      <w:r>
        <w:rPr>
          <w:lang w:val="es-MX"/>
        </w:rPr>
        <w:t>A principio de</w:t>
      </w:r>
      <w:r w:rsidR="00652D5B" w:rsidRPr="00164A31">
        <w:rPr>
          <w:lang w:val="es-MX"/>
        </w:rPr>
        <w:t xml:space="preserve"> 2015 se aprobó una nueva Ley de Electricidad</w:t>
      </w:r>
      <w:r w:rsidR="00652D5B" w:rsidRPr="00164A31">
        <w:rPr>
          <w:rStyle w:val="FootnoteReference"/>
          <w:lang w:val="es-MX"/>
        </w:rPr>
        <w:footnoteReference w:id="8"/>
      </w:r>
      <w:r w:rsidR="007136B1">
        <w:rPr>
          <w:lang w:val="es-MX"/>
        </w:rPr>
        <w:t xml:space="preserve"> </w:t>
      </w:r>
      <w:r w:rsidR="0074553A" w:rsidRPr="00164A31">
        <w:rPr>
          <w:lang w:val="es-MX"/>
        </w:rPr>
        <w:t xml:space="preserve">que, entre otros, ordenó </w:t>
      </w:r>
      <w:r w:rsidR="00652D5B" w:rsidRPr="00164A31">
        <w:rPr>
          <w:lang w:val="es-MX"/>
        </w:rPr>
        <w:t>la disolución de CONELEC, cuyas funcion</w:t>
      </w:r>
      <w:r w:rsidR="006025A8" w:rsidRPr="00164A31">
        <w:rPr>
          <w:lang w:val="es-MX"/>
        </w:rPr>
        <w:t xml:space="preserve">es </w:t>
      </w:r>
      <w:r w:rsidR="007136B1">
        <w:rPr>
          <w:lang w:val="es-MX"/>
        </w:rPr>
        <w:t xml:space="preserve">fueron </w:t>
      </w:r>
      <w:r w:rsidR="006025A8" w:rsidRPr="00164A31">
        <w:rPr>
          <w:lang w:val="es-MX"/>
        </w:rPr>
        <w:t>absorbidas por la ARCONEL.</w:t>
      </w:r>
      <w:r w:rsidR="009D373D">
        <w:rPr>
          <w:lang w:val="es-MX"/>
        </w:rPr>
        <w:t xml:space="preserve"> Este cambio no ha afectado la participación de la ARCONEL en las tareas de supervisión de las inversiones ejecutadas por el MEER. </w:t>
      </w:r>
    </w:p>
    <w:p w:rsidR="00D14E87" w:rsidRPr="00164A31" w:rsidRDefault="009D373D" w:rsidP="00054537">
      <w:pPr>
        <w:pStyle w:val="ListParagraph"/>
        <w:numPr>
          <w:ilvl w:val="0"/>
          <w:numId w:val="1"/>
        </w:numPr>
        <w:rPr>
          <w:lang w:val="es-MX"/>
        </w:rPr>
      </w:pPr>
      <w:r>
        <w:rPr>
          <w:lang w:val="es-MX"/>
        </w:rPr>
        <w:t xml:space="preserve">Avances en el </w:t>
      </w:r>
      <w:r w:rsidR="00656177">
        <w:rPr>
          <w:lang w:val="es-MX"/>
        </w:rPr>
        <w:t>Plan Nacional de Cocción Eficiente (PNCE)</w:t>
      </w:r>
      <w:r>
        <w:rPr>
          <w:lang w:val="es-MX"/>
        </w:rPr>
        <w:t xml:space="preserve">. </w:t>
      </w:r>
      <w:r w:rsidR="00656177">
        <w:rPr>
          <w:lang w:val="es-MX"/>
        </w:rPr>
        <w:t xml:space="preserve">Al </w:t>
      </w:r>
      <w:r w:rsidR="001905AF">
        <w:rPr>
          <w:lang w:val="es-MX"/>
        </w:rPr>
        <w:t>día</w:t>
      </w:r>
      <w:r w:rsidR="00656177">
        <w:rPr>
          <w:lang w:val="es-MX"/>
        </w:rPr>
        <w:t xml:space="preserve"> de hoy el PNCE ha incorporado cerca de 90 mil usuarios residenciales que han decidido migrar del uso de Gas Licuado de Petróleo (GLP) a electricidad para la cocción y calentamiento de agua. </w:t>
      </w:r>
      <w:proofErr w:type="spellStart"/>
      <w:r w:rsidR="00656177">
        <w:rPr>
          <w:lang w:val="es-MX"/>
        </w:rPr>
        <w:t>Adiconalmente</w:t>
      </w:r>
      <w:proofErr w:type="spellEnd"/>
      <w:r w:rsidR="00656177">
        <w:rPr>
          <w:lang w:val="es-MX"/>
        </w:rPr>
        <w:t>,</w:t>
      </w:r>
      <w:r w:rsidR="00D14E87" w:rsidRPr="00164A31">
        <w:rPr>
          <w:lang w:val="es-MX"/>
        </w:rPr>
        <w:t xml:space="preserve"> el </w:t>
      </w:r>
      <w:proofErr w:type="spellStart"/>
      <w:r w:rsidR="00656177">
        <w:rPr>
          <w:lang w:val="es-MX"/>
        </w:rPr>
        <w:t>GdE</w:t>
      </w:r>
      <w:proofErr w:type="spellEnd"/>
      <w:r w:rsidR="00656177" w:rsidRPr="00164A31">
        <w:rPr>
          <w:lang w:val="es-MX"/>
        </w:rPr>
        <w:t xml:space="preserve"> </w:t>
      </w:r>
      <w:r w:rsidR="0074553A" w:rsidRPr="00164A31">
        <w:rPr>
          <w:lang w:val="es-MX"/>
        </w:rPr>
        <w:t>anunció</w:t>
      </w:r>
      <w:r w:rsidR="00D14E87" w:rsidRPr="00164A31">
        <w:rPr>
          <w:lang w:val="es-MX"/>
        </w:rPr>
        <w:t xml:space="preserve"> la adquisición masiva de un primer lote de </w:t>
      </w:r>
      <w:r w:rsidR="00A4497D" w:rsidRPr="00164A31">
        <w:rPr>
          <w:lang w:val="es-MX"/>
        </w:rPr>
        <w:t>500,000 </w:t>
      </w:r>
      <w:r w:rsidR="00D14E87" w:rsidRPr="00164A31">
        <w:rPr>
          <w:lang w:val="es-MX"/>
        </w:rPr>
        <w:t>cocinas de inducción</w:t>
      </w:r>
      <w:r w:rsidR="00293EFD" w:rsidRPr="00164A31">
        <w:rPr>
          <w:rStyle w:val="FootnoteReference"/>
          <w:lang w:val="es-MX"/>
        </w:rPr>
        <w:footnoteReference w:id="9"/>
      </w:r>
      <w:r w:rsidR="00B93268" w:rsidRPr="00164A31">
        <w:rPr>
          <w:lang w:val="es-MX"/>
        </w:rPr>
        <w:t xml:space="preserve"> que será </w:t>
      </w:r>
      <w:r w:rsidR="00D14E87" w:rsidRPr="00164A31">
        <w:rPr>
          <w:lang w:val="es-MX"/>
        </w:rPr>
        <w:t>dist</w:t>
      </w:r>
      <w:r w:rsidR="00B93268" w:rsidRPr="00164A31">
        <w:rPr>
          <w:lang w:val="es-MX"/>
        </w:rPr>
        <w:t>ribuido</w:t>
      </w:r>
      <w:r w:rsidR="00D14E87" w:rsidRPr="00164A31">
        <w:rPr>
          <w:lang w:val="es-MX"/>
        </w:rPr>
        <w:t xml:space="preserve"> entre la población de escasos recursos</w:t>
      </w:r>
      <w:r w:rsidR="00293EFD" w:rsidRPr="00164A31">
        <w:rPr>
          <w:lang w:val="es-MX"/>
        </w:rPr>
        <w:t xml:space="preserve">. </w:t>
      </w:r>
      <w:r>
        <w:rPr>
          <w:lang w:val="es-MX"/>
        </w:rPr>
        <w:t xml:space="preserve">El avance del </w:t>
      </w:r>
      <w:r w:rsidR="00656177">
        <w:rPr>
          <w:lang w:val="es-MX"/>
        </w:rPr>
        <w:t>PNCE</w:t>
      </w:r>
      <w:r>
        <w:rPr>
          <w:lang w:val="es-MX"/>
        </w:rPr>
        <w:t xml:space="preserve"> contribuye a confirmar el avance en el número de clientes beneficiados con infraestructura de distribución eléctrica en 220 voltios como resultado del Programa.  </w:t>
      </w:r>
    </w:p>
    <w:p w:rsidR="00DA72D5" w:rsidRPr="00164A31" w:rsidRDefault="00CC6451">
      <w:pPr>
        <w:rPr>
          <w:lang w:val="es-MX"/>
        </w:rPr>
      </w:pPr>
      <w:r w:rsidRPr="00164A31">
        <w:rPr>
          <w:lang w:val="es-MX"/>
        </w:rPr>
        <w:t xml:space="preserve">La Evaluación concluye que </w:t>
      </w:r>
      <w:r w:rsidR="00B93268" w:rsidRPr="00164A31">
        <w:rPr>
          <w:lang w:val="es-MX"/>
        </w:rPr>
        <w:t xml:space="preserve">estos </w:t>
      </w:r>
      <w:r w:rsidRPr="00164A31">
        <w:rPr>
          <w:lang w:val="es-MX"/>
        </w:rPr>
        <w:t xml:space="preserve">cambios en el contexto </w:t>
      </w:r>
      <w:r w:rsidR="00B93268" w:rsidRPr="00164A31">
        <w:rPr>
          <w:lang w:val="es-MX"/>
        </w:rPr>
        <w:t xml:space="preserve">no han </w:t>
      </w:r>
      <w:r w:rsidRPr="00164A31">
        <w:rPr>
          <w:lang w:val="es-MX"/>
        </w:rPr>
        <w:t>resta</w:t>
      </w:r>
      <w:r w:rsidR="00B93268" w:rsidRPr="00164A31">
        <w:rPr>
          <w:lang w:val="es-MX"/>
        </w:rPr>
        <w:t xml:space="preserve">do validez a los supuestos </w:t>
      </w:r>
      <w:r w:rsidR="00DF4039" w:rsidRPr="00164A31">
        <w:rPr>
          <w:lang w:val="es-MX"/>
        </w:rPr>
        <w:t xml:space="preserve">y no han </w:t>
      </w:r>
      <w:r w:rsidR="00B674AA" w:rsidRPr="00164A31">
        <w:rPr>
          <w:lang w:val="es-MX"/>
        </w:rPr>
        <w:t>socavado la</w:t>
      </w:r>
      <w:r w:rsidR="00B93268" w:rsidRPr="00164A31">
        <w:rPr>
          <w:lang w:val="es-MX"/>
        </w:rPr>
        <w:t xml:space="preserve"> </w:t>
      </w:r>
      <w:r w:rsidRPr="00164A31">
        <w:rPr>
          <w:lang w:val="es-MX"/>
        </w:rPr>
        <w:t>efectividad</w:t>
      </w:r>
      <w:r w:rsidR="00B93268" w:rsidRPr="00164A31">
        <w:rPr>
          <w:lang w:val="es-MX"/>
        </w:rPr>
        <w:t xml:space="preserve"> de la estrategia</w:t>
      </w:r>
      <w:r w:rsidR="00DF4039" w:rsidRPr="00164A31">
        <w:rPr>
          <w:lang w:val="es-MX"/>
        </w:rPr>
        <w:t xml:space="preserve"> del Programa</w:t>
      </w:r>
      <w:r w:rsidRPr="00164A31">
        <w:rPr>
          <w:lang w:val="es-MX"/>
        </w:rPr>
        <w:t>.</w:t>
      </w:r>
    </w:p>
    <w:p w:rsidR="00BE69E4" w:rsidRPr="00164A31" w:rsidRDefault="00BC2FE4" w:rsidP="0079207E">
      <w:pPr>
        <w:pStyle w:val="Heading3"/>
        <w:rPr>
          <w:lang w:val="es-MX"/>
        </w:rPr>
      </w:pPr>
      <w:r w:rsidRPr="00164A31">
        <w:rPr>
          <w:lang w:val="es-MX"/>
        </w:rPr>
        <w:t>Lógica</w:t>
      </w:r>
      <w:r w:rsidR="004B6B1F" w:rsidRPr="00164A31">
        <w:rPr>
          <w:lang w:val="es-MX"/>
        </w:rPr>
        <w:t xml:space="preserve"> V</w:t>
      </w:r>
      <w:r w:rsidRPr="00164A31">
        <w:rPr>
          <w:lang w:val="es-MX"/>
        </w:rPr>
        <w:t>ertical</w:t>
      </w:r>
    </w:p>
    <w:p w:rsidR="00145A1C" w:rsidRDefault="00145A1C" w:rsidP="00416654">
      <w:pPr>
        <w:spacing w:before="120" w:after="120"/>
        <w:rPr>
          <w:lang w:val="es-MX"/>
        </w:rPr>
      </w:pPr>
      <w:r>
        <w:rPr>
          <w:lang w:val="es-MX"/>
        </w:rPr>
        <w:t xml:space="preserve">A seis meses efectivos de ejecución contados desde la fecha de elegibilidad de la operación, se ha avanzado en la ejecución de los productos según metas establecidas en la MR. Los indicadores de resultados en lo que respecta al Componente I se reportan anualmente y de acuerdo </w:t>
      </w:r>
      <w:r w:rsidR="002B5CFB">
        <w:rPr>
          <w:lang w:val="es-MX"/>
        </w:rPr>
        <w:t>a</w:t>
      </w:r>
      <w:r>
        <w:rPr>
          <w:lang w:val="es-MX"/>
        </w:rPr>
        <w:t>l análisis de esta consultoría, se</w:t>
      </w:r>
      <w:r w:rsidR="002B5CFB">
        <w:rPr>
          <w:lang w:val="es-MX"/>
        </w:rPr>
        <w:t xml:space="preserve"> confirma que </w:t>
      </w:r>
      <w:r>
        <w:rPr>
          <w:lang w:val="es-MX"/>
        </w:rPr>
        <w:t>la lógica vertical de diseño</w:t>
      </w:r>
      <w:r w:rsidR="002B5CFB">
        <w:rPr>
          <w:lang w:val="es-MX"/>
        </w:rPr>
        <w:t xml:space="preserve"> se mantiene: </w:t>
      </w:r>
      <w:r w:rsidR="002B5CFB" w:rsidRPr="00416654">
        <w:rPr>
          <w:i/>
          <w:lang w:val="es-MX"/>
        </w:rPr>
        <w:t>productos de infraestructura de distribución eléctrica reforzada</w:t>
      </w:r>
      <w:r w:rsidR="002B5CFB" w:rsidRPr="00416654">
        <w:rPr>
          <w:i/>
          <w:lang w:val="es-MX"/>
        </w:rPr>
        <w:sym w:font="Wingdings" w:char="F0E0"/>
      </w:r>
      <w:r w:rsidR="002B5CFB" w:rsidRPr="00416654">
        <w:rPr>
          <w:i/>
          <w:lang w:val="es-MX"/>
        </w:rPr>
        <w:t>resultados de mejora de la calidad del servicio</w:t>
      </w:r>
      <w:r w:rsidR="002B5CFB" w:rsidRPr="00416654">
        <w:rPr>
          <w:i/>
          <w:lang w:val="es-MX"/>
        </w:rPr>
        <w:sym w:font="Wingdings" w:char="F0E0"/>
      </w:r>
      <w:r w:rsidR="00366246">
        <w:rPr>
          <w:i/>
          <w:lang w:val="es-MX"/>
        </w:rPr>
        <w:t xml:space="preserve">e impacto en la </w:t>
      </w:r>
      <w:r w:rsidR="002B5CFB" w:rsidRPr="00416654">
        <w:rPr>
          <w:i/>
          <w:lang w:val="es-MX"/>
        </w:rPr>
        <w:t>reducción de emisiones</w:t>
      </w:r>
      <w:r w:rsidR="00366246">
        <w:rPr>
          <w:i/>
          <w:lang w:val="es-MX"/>
        </w:rPr>
        <w:t xml:space="preserve"> de CO</w:t>
      </w:r>
      <w:r w:rsidR="00366246" w:rsidRPr="00416654">
        <w:rPr>
          <w:i/>
          <w:vertAlign w:val="subscript"/>
          <w:lang w:val="es-MX"/>
        </w:rPr>
        <w:t>2</w:t>
      </w:r>
      <w:r w:rsidR="00366246">
        <w:rPr>
          <w:i/>
          <w:lang w:val="es-MX"/>
        </w:rPr>
        <w:t xml:space="preserve">, </w:t>
      </w:r>
      <w:r w:rsidR="00366246">
        <w:rPr>
          <w:lang w:val="es-MX"/>
        </w:rPr>
        <w:t xml:space="preserve">principalmente. </w:t>
      </w:r>
      <w:r>
        <w:rPr>
          <w:lang w:val="es-MX"/>
        </w:rPr>
        <w:t>La mayoría de los productos de</w:t>
      </w:r>
      <w:r w:rsidR="002B5CFB">
        <w:rPr>
          <w:lang w:val="es-MX"/>
        </w:rPr>
        <w:t>l</w:t>
      </w:r>
      <w:r>
        <w:rPr>
          <w:lang w:val="es-MX"/>
        </w:rPr>
        <w:t xml:space="preserve"> Componente II que involucran estudios relacionados con la iniciativa para desplazamiento de GLP por electricidad, ya han sido alcanzado</w:t>
      </w:r>
      <w:r w:rsidR="0030301B">
        <w:rPr>
          <w:lang w:val="es-MX"/>
        </w:rPr>
        <w:t>s</w:t>
      </w:r>
      <w:r>
        <w:rPr>
          <w:lang w:val="es-MX"/>
        </w:rPr>
        <w:t xml:space="preserve"> y los resultados identificados </w:t>
      </w:r>
      <w:r w:rsidR="0030301B">
        <w:rPr>
          <w:lang w:val="es-MX"/>
        </w:rPr>
        <w:t>de estrategia preparada</w:t>
      </w:r>
      <w:r w:rsidR="00A76055">
        <w:rPr>
          <w:lang w:val="es-MX"/>
        </w:rPr>
        <w:t>, y tarifa ajustada</w:t>
      </w:r>
      <w:r w:rsidR="0030301B">
        <w:rPr>
          <w:lang w:val="es-MX"/>
        </w:rPr>
        <w:t xml:space="preserve"> también</w:t>
      </w:r>
      <w:r>
        <w:rPr>
          <w:lang w:val="es-MX"/>
        </w:rPr>
        <w:t>.</w:t>
      </w:r>
      <w:r w:rsidR="00B800CD">
        <w:rPr>
          <w:lang w:val="es-MX"/>
        </w:rPr>
        <w:t xml:space="preserve"> </w:t>
      </w:r>
      <w:r w:rsidR="008E2947">
        <w:rPr>
          <w:lang w:val="es-MX"/>
        </w:rPr>
        <w:t>La congruencia de los productos y resultados que producirán beneficio</w:t>
      </w:r>
      <w:r w:rsidR="00366246">
        <w:rPr>
          <w:lang w:val="es-MX"/>
        </w:rPr>
        <w:t>s</w:t>
      </w:r>
      <w:r w:rsidR="008E2947">
        <w:rPr>
          <w:lang w:val="es-MX"/>
        </w:rPr>
        <w:t xml:space="preserve"> según indicadores de impacto se mantiene. </w:t>
      </w:r>
    </w:p>
    <w:p w:rsidR="006F6F63" w:rsidRDefault="006F6F63" w:rsidP="00416654">
      <w:pPr>
        <w:spacing w:before="120" w:after="120"/>
        <w:rPr>
          <w:lang w:val="es-MX"/>
        </w:rPr>
      </w:pPr>
      <w:r>
        <w:rPr>
          <w:lang w:val="es-MX"/>
        </w:rPr>
        <w:t xml:space="preserve">A la fecha los tipos y niveles de riesgos identificados en la </w:t>
      </w:r>
      <w:r w:rsidR="006A35D9">
        <w:rPr>
          <w:lang w:val="es-MX"/>
        </w:rPr>
        <w:t>MR</w:t>
      </w:r>
      <w:r>
        <w:rPr>
          <w:lang w:val="es-MX"/>
        </w:rPr>
        <w:t xml:space="preserve"> no han cambiado. Ningún riesgo se ha transformado en problema, por lo tanto la lógica vertical de diseño de la MR </w:t>
      </w:r>
      <w:r w:rsidR="00366246">
        <w:rPr>
          <w:lang w:val="es-MX"/>
        </w:rPr>
        <w:t>no se ha visto afectada</w:t>
      </w:r>
      <w:r>
        <w:rPr>
          <w:lang w:val="es-MX"/>
        </w:rPr>
        <w:t xml:space="preserve">. </w:t>
      </w:r>
    </w:p>
    <w:p w:rsidR="006F6F63" w:rsidRPr="00164A31" w:rsidRDefault="006F6F63" w:rsidP="00416654">
      <w:pPr>
        <w:pStyle w:val="Heading3"/>
        <w:spacing w:before="120" w:after="120"/>
        <w:rPr>
          <w:lang w:val="es-MX"/>
        </w:rPr>
      </w:pPr>
      <w:r>
        <w:rPr>
          <w:lang w:val="es-MX"/>
        </w:rPr>
        <w:t>Resultados alcanzados</w:t>
      </w:r>
    </w:p>
    <w:p w:rsidR="00FF2553" w:rsidRDefault="00A76055" w:rsidP="00416654">
      <w:pPr>
        <w:tabs>
          <w:tab w:val="left" w:pos="5340"/>
        </w:tabs>
        <w:spacing w:before="120" w:after="120"/>
        <w:rPr>
          <w:lang w:val="es-MX"/>
        </w:rPr>
      </w:pPr>
      <w:r>
        <w:rPr>
          <w:lang w:val="es-MX"/>
        </w:rPr>
        <w:t>Se hicieron cambios en los productos de la MR original que buscan mantener el rigor en la defi</w:t>
      </w:r>
      <w:r w:rsidR="00A36B54">
        <w:rPr>
          <w:lang w:val="es-MX"/>
        </w:rPr>
        <w:t>ni</w:t>
      </w:r>
      <w:r>
        <w:rPr>
          <w:lang w:val="es-MX"/>
        </w:rPr>
        <w:t>ción de productos</w:t>
      </w:r>
      <w:r w:rsidR="006A35D9">
        <w:rPr>
          <w:lang w:val="es-MX"/>
        </w:rPr>
        <w:t>,</w:t>
      </w:r>
      <w:r w:rsidR="00A36B54">
        <w:rPr>
          <w:lang w:val="es-MX"/>
        </w:rPr>
        <w:t xml:space="preserve"> sin que esto </w:t>
      </w:r>
      <w:r w:rsidR="008E2947">
        <w:rPr>
          <w:lang w:val="es-MX"/>
        </w:rPr>
        <w:t>modificara</w:t>
      </w:r>
      <w:r w:rsidR="00A36B54">
        <w:rPr>
          <w:lang w:val="es-MX"/>
        </w:rPr>
        <w:t xml:space="preserve"> la lógica vertical de diseño</w:t>
      </w:r>
      <w:r>
        <w:rPr>
          <w:lang w:val="es-MX"/>
        </w:rPr>
        <w:t xml:space="preserve">. </w:t>
      </w:r>
      <w:r w:rsidR="00FF2553">
        <w:rPr>
          <w:lang w:val="es-MX"/>
        </w:rPr>
        <w:t xml:space="preserve">Estos cambios fueron propuestos por el Organismos Ejecutor (OE) durante el taller de arranque en julio de 2014. Los cambios fueron incorporados en el sistema del Banco “Project </w:t>
      </w:r>
      <w:proofErr w:type="spellStart"/>
      <w:r w:rsidR="00FF2553">
        <w:rPr>
          <w:lang w:val="es-MX"/>
        </w:rPr>
        <w:t>Monitoring</w:t>
      </w:r>
      <w:proofErr w:type="spellEnd"/>
      <w:r w:rsidR="00FF2553">
        <w:rPr>
          <w:lang w:val="es-MX"/>
        </w:rPr>
        <w:t xml:space="preserve"> </w:t>
      </w:r>
      <w:proofErr w:type="spellStart"/>
      <w:r w:rsidR="00FF2553">
        <w:rPr>
          <w:lang w:val="es-MX"/>
        </w:rPr>
        <w:t>Report</w:t>
      </w:r>
      <w:proofErr w:type="spellEnd"/>
      <w:r w:rsidR="00E51930">
        <w:rPr>
          <w:lang w:val="es-MX"/>
        </w:rPr>
        <w:t>”</w:t>
      </w:r>
      <w:r w:rsidR="00FF2553">
        <w:rPr>
          <w:lang w:val="es-MX"/>
        </w:rPr>
        <w:t xml:space="preserve"> (PMR)</w:t>
      </w:r>
      <w:r w:rsidR="00E51930">
        <w:rPr>
          <w:lang w:val="es-MX"/>
        </w:rPr>
        <w:t xml:space="preserve">, y aceptados durante el proceso de evaluación del primer PMR del programa que lleva a cabo en el primer semestre de 2015. </w:t>
      </w:r>
    </w:p>
    <w:p w:rsidR="00A76055" w:rsidRDefault="00A76055" w:rsidP="00416654">
      <w:pPr>
        <w:tabs>
          <w:tab w:val="left" w:pos="5340"/>
        </w:tabs>
        <w:spacing w:before="120" w:after="120"/>
        <w:rPr>
          <w:lang w:val="es-MX"/>
        </w:rPr>
      </w:pPr>
      <w:r>
        <w:rPr>
          <w:lang w:val="es-MX"/>
        </w:rPr>
        <w:t xml:space="preserve">Se </w:t>
      </w:r>
      <w:r w:rsidR="00A36B54">
        <w:rPr>
          <w:lang w:val="es-MX"/>
        </w:rPr>
        <w:t>trasladó</w:t>
      </w:r>
      <w:r>
        <w:rPr>
          <w:lang w:val="es-MX"/>
        </w:rPr>
        <w:t xml:space="preserve"> el producto de proyectos </w:t>
      </w:r>
      <w:r w:rsidR="00A36B54">
        <w:rPr>
          <w:lang w:val="es-MX"/>
        </w:rPr>
        <w:t>supervisados y fiscalizados, a</w:t>
      </w:r>
      <w:r w:rsidR="00C448A0">
        <w:rPr>
          <w:lang w:val="es-MX"/>
        </w:rPr>
        <w:t xml:space="preserve"> los</w:t>
      </w:r>
      <w:r w:rsidR="00A36B54">
        <w:rPr>
          <w:lang w:val="es-MX"/>
        </w:rPr>
        <w:t xml:space="preserve"> costos asociados a los productos de</w:t>
      </w:r>
      <w:r w:rsidR="00AC5D3A">
        <w:rPr>
          <w:lang w:val="es-MX"/>
        </w:rPr>
        <w:t xml:space="preserve"> </w:t>
      </w:r>
      <w:proofErr w:type="spellStart"/>
      <w:r w:rsidR="00AC5D3A">
        <w:rPr>
          <w:lang w:val="es-MX"/>
        </w:rPr>
        <w:t>substransmisió</w:t>
      </w:r>
      <w:r w:rsidR="00A36B54">
        <w:rPr>
          <w:lang w:val="es-MX"/>
        </w:rPr>
        <w:t>n</w:t>
      </w:r>
      <w:proofErr w:type="spellEnd"/>
      <w:r w:rsidR="00A36B54">
        <w:rPr>
          <w:lang w:val="es-MX"/>
        </w:rPr>
        <w:t xml:space="preserve"> y distribución del Componente I</w:t>
      </w:r>
      <w:r w:rsidR="00C448A0">
        <w:rPr>
          <w:lang w:val="es-MX"/>
        </w:rPr>
        <w:t>,</w:t>
      </w:r>
      <w:r w:rsidR="00A120E0">
        <w:rPr>
          <w:lang w:val="es-MX"/>
        </w:rPr>
        <w:t xml:space="preserve"> y se incluyó un indicador </w:t>
      </w:r>
      <w:r w:rsidR="00C448A0">
        <w:rPr>
          <w:lang w:val="es-MX"/>
        </w:rPr>
        <w:t xml:space="preserve">nuevo </w:t>
      </w:r>
      <w:r w:rsidR="00A120E0">
        <w:rPr>
          <w:lang w:val="es-MX"/>
        </w:rPr>
        <w:t xml:space="preserve">para monitoreo de las subestaciones eléctricas por separado de los proyectos de líneas de </w:t>
      </w:r>
      <w:proofErr w:type="spellStart"/>
      <w:r w:rsidR="00A120E0">
        <w:rPr>
          <w:lang w:val="es-MX"/>
        </w:rPr>
        <w:t>subtransmisión</w:t>
      </w:r>
      <w:proofErr w:type="spellEnd"/>
      <w:r w:rsidR="00A36B54">
        <w:rPr>
          <w:lang w:val="es-MX"/>
        </w:rPr>
        <w:t xml:space="preserve">. </w:t>
      </w:r>
      <w:r w:rsidR="00C448A0">
        <w:rPr>
          <w:lang w:val="es-MX"/>
        </w:rPr>
        <w:t xml:space="preserve">En el Componente II se integró en un sólo indicador los productos asociados a la preparación del modelo de gestión y fiscalización del programa de Cocción Eficiente. En el Componente III, el indicador </w:t>
      </w:r>
      <w:r w:rsidR="00A36B54">
        <w:rPr>
          <w:lang w:val="es-MX"/>
        </w:rPr>
        <w:t>Apoyo a la Ejecución</w:t>
      </w:r>
      <w:r w:rsidR="00C448A0">
        <w:rPr>
          <w:lang w:val="es-MX"/>
        </w:rPr>
        <w:t xml:space="preserve"> fue reconocido como costo asociado y fue trasladado a las actividades de administración del programa, en tanto se incluyó un producto nuevo “Diseños definitivos para proyectos del SND”.</w:t>
      </w:r>
    </w:p>
    <w:p w:rsidR="00AC5D3A" w:rsidRDefault="00AC5D3A" w:rsidP="00416654">
      <w:pPr>
        <w:tabs>
          <w:tab w:val="left" w:pos="5340"/>
        </w:tabs>
        <w:rPr>
          <w:lang w:val="es-MX"/>
        </w:rPr>
      </w:pPr>
      <w:r>
        <w:rPr>
          <w:lang w:val="es-MX"/>
        </w:rPr>
        <w:t xml:space="preserve">Igualmente se </w:t>
      </w:r>
      <w:r w:rsidR="00C448A0">
        <w:rPr>
          <w:lang w:val="es-MX"/>
        </w:rPr>
        <w:t>actualizaron</w:t>
      </w:r>
      <w:r>
        <w:rPr>
          <w:lang w:val="es-MX"/>
        </w:rPr>
        <w:t xml:space="preserve"> los valores meta de </w:t>
      </w:r>
      <w:proofErr w:type="spellStart"/>
      <w:r w:rsidRPr="00416654">
        <w:rPr>
          <w:i/>
          <w:lang w:val="es-MX"/>
        </w:rPr>
        <w:t>kms</w:t>
      </w:r>
      <w:proofErr w:type="spellEnd"/>
      <w:r w:rsidRPr="00416654">
        <w:rPr>
          <w:i/>
          <w:lang w:val="es-MX"/>
        </w:rPr>
        <w:t xml:space="preserve"> de línea de </w:t>
      </w:r>
      <w:proofErr w:type="spellStart"/>
      <w:r w:rsidRPr="00416654">
        <w:rPr>
          <w:i/>
          <w:lang w:val="es-MX"/>
        </w:rPr>
        <w:t>subtransmisión</w:t>
      </w:r>
      <w:proofErr w:type="spellEnd"/>
      <w:r w:rsidRPr="00416654">
        <w:rPr>
          <w:i/>
          <w:lang w:val="es-MX"/>
        </w:rPr>
        <w:t xml:space="preserve"> y distribución</w:t>
      </w:r>
      <w:r w:rsidR="0087670B">
        <w:rPr>
          <w:lang w:val="es-MX"/>
        </w:rPr>
        <w:t>,</w:t>
      </w:r>
      <w:r>
        <w:rPr>
          <w:lang w:val="es-MX"/>
        </w:rPr>
        <w:t xml:space="preserve"> según </w:t>
      </w:r>
      <w:r w:rsidR="0087670B">
        <w:rPr>
          <w:lang w:val="es-MX"/>
        </w:rPr>
        <w:t>número</w:t>
      </w:r>
      <w:r>
        <w:rPr>
          <w:lang w:val="es-MX"/>
        </w:rPr>
        <w:t xml:space="preserve"> </w:t>
      </w:r>
      <w:r w:rsidR="0087670B">
        <w:rPr>
          <w:lang w:val="es-MX"/>
        </w:rPr>
        <w:t xml:space="preserve">de </w:t>
      </w:r>
      <w:r>
        <w:rPr>
          <w:lang w:val="es-MX"/>
        </w:rPr>
        <w:t xml:space="preserve">beneficiarios </w:t>
      </w:r>
      <w:r w:rsidR="0087670B">
        <w:rPr>
          <w:lang w:val="es-MX"/>
        </w:rPr>
        <w:t>considerados durante la evaluación costo-beneficio del programa</w:t>
      </w:r>
      <w:r w:rsidR="00C448A0">
        <w:rPr>
          <w:lang w:val="es-MX"/>
        </w:rPr>
        <w:t xml:space="preserve"> y como consecuencia del monitoreo de los proyectos de subestaciones eléctricas por separado</w:t>
      </w:r>
      <w:r w:rsidR="0087670B">
        <w:rPr>
          <w:lang w:val="es-MX"/>
        </w:rPr>
        <w:t>.</w:t>
      </w:r>
      <w:r w:rsidR="00116CDA">
        <w:rPr>
          <w:lang w:val="es-MX"/>
        </w:rPr>
        <w:t xml:space="preserve"> </w:t>
      </w:r>
      <w:r w:rsidR="00366246">
        <w:rPr>
          <w:lang w:val="es-MX"/>
        </w:rPr>
        <w:t>No hubo cambios en la estructura de los indicadores de resultados y de impacto.</w:t>
      </w:r>
    </w:p>
    <w:p w:rsidR="00E36E02" w:rsidRDefault="00E36E02" w:rsidP="00416654">
      <w:pPr>
        <w:tabs>
          <w:tab w:val="left" w:pos="5340"/>
        </w:tabs>
        <w:jc w:val="center"/>
        <w:rPr>
          <w:b/>
          <w:lang w:val="es-MX"/>
        </w:rPr>
      </w:pPr>
    </w:p>
    <w:p w:rsidR="00A76055" w:rsidRPr="00416654" w:rsidRDefault="00116CDA" w:rsidP="00416654">
      <w:pPr>
        <w:tabs>
          <w:tab w:val="left" w:pos="5340"/>
        </w:tabs>
        <w:jc w:val="center"/>
        <w:rPr>
          <w:b/>
          <w:lang w:val="es-MX"/>
        </w:rPr>
      </w:pPr>
      <w:r w:rsidRPr="00416654">
        <w:rPr>
          <w:b/>
          <w:lang w:val="es-MX"/>
        </w:rPr>
        <w:t>Tabla 1- Cambios en la Matriz de Resultados</w:t>
      </w:r>
    </w:p>
    <w:tbl>
      <w:tblPr>
        <w:tblStyle w:val="TableGrid"/>
        <w:tblW w:w="5000" w:type="pct"/>
        <w:tblLook w:val="04A0" w:firstRow="1" w:lastRow="0" w:firstColumn="1" w:lastColumn="0" w:noHBand="0" w:noVBand="1"/>
      </w:tblPr>
      <w:tblGrid>
        <w:gridCol w:w="1678"/>
        <w:gridCol w:w="1514"/>
        <w:gridCol w:w="1512"/>
        <w:gridCol w:w="1514"/>
        <w:gridCol w:w="1512"/>
        <w:gridCol w:w="1512"/>
      </w:tblGrid>
      <w:tr w:rsidR="008030D9" w:rsidRPr="00883A0A" w:rsidTr="00416654">
        <w:tc>
          <w:tcPr>
            <w:tcW w:w="908" w:type="pct"/>
            <w:shd w:val="clear" w:color="auto" w:fill="B8CCE4" w:themeFill="accent1" w:themeFillTint="66"/>
            <w:vAlign w:val="center"/>
          </w:tcPr>
          <w:p w:rsidR="004C1CD1" w:rsidRPr="00416654" w:rsidRDefault="004C1CD1" w:rsidP="00416654">
            <w:pPr>
              <w:jc w:val="center"/>
              <w:rPr>
                <w:b/>
                <w:sz w:val="18"/>
                <w:szCs w:val="18"/>
                <w:lang w:val="es-MX"/>
              </w:rPr>
            </w:pPr>
            <w:r w:rsidRPr="00416654">
              <w:rPr>
                <w:b/>
                <w:sz w:val="18"/>
                <w:szCs w:val="18"/>
                <w:lang w:val="es-MX"/>
              </w:rPr>
              <w:t>Sección de la MR modificada</w:t>
            </w:r>
          </w:p>
        </w:tc>
        <w:tc>
          <w:tcPr>
            <w:tcW w:w="819" w:type="pct"/>
            <w:shd w:val="clear" w:color="auto" w:fill="B8CCE4" w:themeFill="accent1" w:themeFillTint="66"/>
            <w:vAlign w:val="center"/>
          </w:tcPr>
          <w:p w:rsidR="004C1CD1" w:rsidRPr="00416654" w:rsidRDefault="004C1CD1" w:rsidP="00416654">
            <w:pPr>
              <w:jc w:val="center"/>
              <w:rPr>
                <w:b/>
                <w:sz w:val="18"/>
                <w:szCs w:val="18"/>
                <w:lang w:val="es-MX"/>
              </w:rPr>
            </w:pPr>
            <w:r w:rsidRPr="00416654">
              <w:rPr>
                <w:b/>
                <w:sz w:val="18"/>
                <w:szCs w:val="18"/>
                <w:lang w:val="es-MX"/>
              </w:rPr>
              <w:t>Nombre del cambio</w:t>
            </w:r>
          </w:p>
        </w:tc>
        <w:tc>
          <w:tcPr>
            <w:tcW w:w="818" w:type="pct"/>
            <w:shd w:val="clear" w:color="auto" w:fill="B8CCE4" w:themeFill="accent1" w:themeFillTint="66"/>
            <w:vAlign w:val="center"/>
          </w:tcPr>
          <w:p w:rsidR="004C1CD1" w:rsidRPr="00416654" w:rsidRDefault="004C1CD1" w:rsidP="00416654">
            <w:pPr>
              <w:jc w:val="center"/>
              <w:rPr>
                <w:b/>
                <w:sz w:val="18"/>
                <w:szCs w:val="18"/>
                <w:lang w:val="es-MX"/>
              </w:rPr>
            </w:pPr>
            <w:r w:rsidRPr="00416654">
              <w:rPr>
                <w:b/>
                <w:sz w:val="18"/>
                <w:szCs w:val="18"/>
                <w:lang w:val="es-MX"/>
              </w:rPr>
              <w:t>Tipo de cambio</w:t>
            </w:r>
          </w:p>
        </w:tc>
        <w:tc>
          <w:tcPr>
            <w:tcW w:w="819" w:type="pct"/>
            <w:shd w:val="clear" w:color="auto" w:fill="B8CCE4" w:themeFill="accent1" w:themeFillTint="66"/>
            <w:vAlign w:val="center"/>
          </w:tcPr>
          <w:p w:rsidR="004C1CD1" w:rsidRPr="00416654" w:rsidRDefault="004C1CD1" w:rsidP="00416654">
            <w:pPr>
              <w:jc w:val="center"/>
              <w:rPr>
                <w:b/>
                <w:sz w:val="18"/>
                <w:szCs w:val="18"/>
                <w:lang w:val="es-MX"/>
              </w:rPr>
            </w:pPr>
            <w:r w:rsidRPr="00416654">
              <w:rPr>
                <w:b/>
                <w:sz w:val="18"/>
                <w:szCs w:val="18"/>
                <w:lang w:val="es-MX"/>
              </w:rPr>
              <w:t>Razón del cambio</w:t>
            </w:r>
          </w:p>
        </w:tc>
        <w:tc>
          <w:tcPr>
            <w:tcW w:w="818" w:type="pct"/>
            <w:shd w:val="clear" w:color="auto" w:fill="B8CCE4" w:themeFill="accent1" w:themeFillTint="66"/>
            <w:vAlign w:val="center"/>
          </w:tcPr>
          <w:p w:rsidR="004C1CD1" w:rsidRPr="00416654" w:rsidRDefault="004C1CD1" w:rsidP="00416654">
            <w:pPr>
              <w:jc w:val="center"/>
              <w:rPr>
                <w:b/>
                <w:sz w:val="18"/>
                <w:szCs w:val="18"/>
                <w:lang w:val="es-MX"/>
              </w:rPr>
            </w:pPr>
            <w:r w:rsidRPr="00416654">
              <w:rPr>
                <w:b/>
                <w:sz w:val="18"/>
                <w:szCs w:val="18"/>
                <w:lang w:val="es-MX"/>
              </w:rPr>
              <w:t>Fecha del cambio</w:t>
            </w:r>
            <w:r w:rsidR="0016339A" w:rsidRPr="00416654">
              <w:rPr>
                <w:b/>
                <w:sz w:val="18"/>
                <w:szCs w:val="18"/>
                <w:lang w:val="es-MX"/>
              </w:rPr>
              <w:t xml:space="preserve"> acordado con el OE</w:t>
            </w:r>
            <w:r w:rsidR="00510BD1" w:rsidRPr="00416654">
              <w:rPr>
                <w:rStyle w:val="FootnoteReference"/>
                <w:b/>
                <w:sz w:val="18"/>
                <w:szCs w:val="18"/>
                <w:lang w:val="es-MX"/>
              </w:rPr>
              <w:footnoteReference w:id="10"/>
            </w:r>
            <w:r w:rsidR="0016339A" w:rsidRPr="00416654">
              <w:rPr>
                <w:rStyle w:val="FootnoteReference"/>
                <w:b/>
                <w:sz w:val="18"/>
                <w:szCs w:val="18"/>
                <w:lang w:val="es-MX"/>
              </w:rPr>
              <w:t xml:space="preserve"> </w:t>
            </w:r>
          </w:p>
        </w:tc>
        <w:tc>
          <w:tcPr>
            <w:tcW w:w="818" w:type="pct"/>
            <w:shd w:val="clear" w:color="auto" w:fill="B8CCE4" w:themeFill="accent1" w:themeFillTint="66"/>
            <w:vAlign w:val="center"/>
          </w:tcPr>
          <w:p w:rsidR="004C1CD1" w:rsidRPr="00416654" w:rsidRDefault="004C1CD1" w:rsidP="00416654">
            <w:pPr>
              <w:jc w:val="center"/>
              <w:rPr>
                <w:b/>
                <w:sz w:val="18"/>
                <w:szCs w:val="18"/>
                <w:lang w:val="es-MX"/>
              </w:rPr>
            </w:pPr>
            <w:r w:rsidRPr="00416654">
              <w:rPr>
                <w:b/>
                <w:sz w:val="18"/>
                <w:szCs w:val="18"/>
                <w:lang w:val="es-MX"/>
              </w:rPr>
              <w:t xml:space="preserve">Fecha de cambio acordado con </w:t>
            </w:r>
            <w:r w:rsidR="0016339A" w:rsidRPr="00416654">
              <w:rPr>
                <w:b/>
                <w:sz w:val="18"/>
                <w:szCs w:val="18"/>
                <w:lang w:val="es-MX"/>
              </w:rPr>
              <w:t>el BID</w:t>
            </w:r>
            <w:r w:rsidR="00510BD1" w:rsidRPr="00416654">
              <w:rPr>
                <w:rStyle w:val="FootnoteReference"/>
                <w:b/>
                <w:sz w:val="18"/>
                <w:szCs w:val="18"/>
                <w:lang w:val="es-MX"/>
              </w:rPr>
              <w:footnoteReference w:id="11"/>
            </w:r>
          </w:p>
        </w:tc>
      </w:tr>
      <w:tr w:rsidR="00E0224C" w:rsidRPr="001556E9" w:rsidTr="00416654">
        <w:tc>
          <w:tcPr>
            <w:tcW w:w="908" w:type="pct"/>
            <w:vAlign w:val="center"/>
          </w:tcPr>
          <w:p w:rsidR="00E0224C" w:rsidRPr="00416654" w:rsidRDefault="00E0224C" w:rsidP="006E39AB">
            <w:pPr>
              <w:rPr>
                <w:sz w:val="18"/>
                <w:szCs w:val="18"/>
                <w:lang w:val="es-MX"/>
              </w:rPr>
            </w:pPr>
            <w:r w:rsidRPr="00416654">
              <w:rPr>
                <w:sz w:val="18"/>
                <w:szCs w:val="18"/>
                <w:lang w:val="es-MX"/>
              </w:rPr>
              <w:t>PRODUCTO-Componente I</w:t>
            </w:r>
          </w:p>
        </w:tc>
        <w:tc>
          <w:tcPr>
            <w:tcW w:w="819" w:type="pct"/>
            <w:vAlign w:val="center"/>
          </w:tcPr>
          <w:p w:rsidR="00E0224C" w:rsidRPr="00416654" w:rsidRDefault="00E0224C" w:rsidP="000202DF">
            <w:pPr>
              <w:jc w:val="left"/>
              <w:rPr>
                <w:sz w:val="18"/>
                <w:szCs w:val="18"/>
                <w:lang w:val="es-MX"/>
              </w:rPr>
            </w:pPr>
            <w:r w:rsidRPr="00416654">
              <w:rPr>
                <w:sz w:val="18"/>
                <w:szCs w:val="18"/>
                <w:lang w:val="es-MX"/>
              </w:rPr>
              <w:t>Indicador-Supervisión y fiscalización contratados</w:t>
            </w:r>
          </w:p>
        </w:tc>
        <w:tc>
          <w:tcPr>
            <w:tcW w:w="818" w:type="pct"/>
            <w:vAlign w:val="center"/>
          </w:tcPr>
          <w:p w:rsidR="00E0224C" w:rsidRPr="00416654" w:rsidRDefault="00E0224C" w:rsidP="006E39AB">
            <w:pPr>
              <w:rPr>
                <w:sz w:val="18"/>
                <w:szCs w:val="18"/>
                <w:lang w:val="es-MX"/>
              </w:rPr>
            </w:pPr>
            <w:r w:rsidRPr="00416654">
              <w:rPr>
                <w:sz w:val="18"/>
                <w:szCs w:val="18"/>
                <w:lang w:val="es-MX"/>
              </w:rPr>
              <w:t>Se eliminó el producto y se trasladó el concepto a costos asociados</w:t>
            </w:r>
          </w:p>
        </w:tc>
        <w:tc>
          <w:tcPr>
            <w:tcW w:w="819" w:type="pct"/>
            <w:vAlign w:val="center"/>
          </w:tcPr>
          <w:p w:rsidR="00E0224C" w:rsidRPr="00416654" w:rsidRDefault="00E0224C" w:rsidP="006E39AB">
            <w:pPr>
              <w:rPr>
                <w:sz w:val="18"/>
                <w:szCs w:val="18"/>
                <w:lang w:val="es-MX"/>
              </w:rPr>
            </w:pPr>
            <w:r w:rsidRPr="00416654">
              <w:rPr>
                <w:sz w:val="18"/>
                <w:szCs w:val="18"/>
                <w:lang w:val="es-MX"/>
              </w:rPr>
              <w:t>El producto original se consideró un costo asociado a los productos ya identificados en el Componente I.</w:t>
            </w:r>
          </w:p>
        </w:tc>
        <w:tc>
          <w:tcPr>
            <w:tcW w:w="818" w:type="pct"/>
            <w:vAlign w:val="center"/>
          </w:tcPr>
          <w:p w:rsidR="00E0224C" w:rsidRPr="00416654" w:rsidRDefault="00510BD1" w:rsidP="00B25517">
            <w:pPr>
              <w:rPr>
                <w:sz w:val="18"/>
                <w:szCs w:val="18"/>
                <w:lang w:val="es-MX"/>
              </w:rPr>
            </w:pPr>
            <w:r w:rsidRPr="00416654">
              <w:rPr>
                <w:sz w:val="18"/>
                <w:szCs w:val="18"/>
                <w:lang w:val="es-MX"/>
              </w:rPr>
              <w:t>31 Jul 2014</w:t>
            </w:r>
          </w:p>
        </w:tc>
        <w:tc>
          <w:tcPr>
            <w:tcW w:w="818" w:type="pct"/>
            <w:vAlign w:val="center"/>
          </w:tcPr>
          <w:p w:rsidR="00E0224C" w:rsidRPr="00416654" w:rsidRDefault="00E0224C" w:rsidP="00416654">
            <w:pPr>
              <w:jc w:val="center"/>
              <w:rPr>
                <w:sz w:val="18"/>
                <w:szCs w:val="18"/>
                <w:lang w:val="es-MX"/>
              </w:rPr>
            </w:pPr>
            <w:r w:rsidRPr="00416654">
              <w:rPr>
                <w:sz w:val="18"/>
                <w:szCs w:val="18"/>
                <w:lang w:val="es-MX"/>
              </w:rPr>
              <w:t>04 de mayo, 2015</w:t>
            </w:r>
          </w:p>
        </w:tc>
      </w:tr>
      <w:tr w:rsidR="00E0224C" w:rsidRPr="001556E9" w:rsidTr="00416654">
        <w:tc>
          <w:tcPr>
            <w:tcW w:w="908" w:type="pct"/>
            <w:vAlign w:val="center"/>
          </w:tcPr>
          <w:p w:rsidR="00E0224C" w:rsidRPr="00416654" w:rsidRDefault="00E0224C" w:rsidP="006E39AB">
            <w:pPr>
              <w:rPr>
                <w:sz w:val="18"/>
                <w:szCs w:val="18"/>
                <w:lang w:val="es-MX"/>
              </w:rPr>
            </w:pPr>
            <w:r w:rsidRPr="00416654">
              <w:rPr>
                <w:sz w:val="18"/>
                <w:szCs w:val="18"/>
                <w:lang w:val="es-MX"/>
              </w:rPr>
              <w:t>PRODUCTO-Componente I</w:t>
            </w:r>
          </w:p>
        </w:tc>
        <w:tc>
          <w:tcPr>
            <w:tcW w:w="819" w:type="pct"/>
            <w:vAlign w:val="center"/>
          </w:tcPr>
          <w:p w:rsidR="00E0224C" w:rsidRPr="00416654" w:rsidRDefault="00E0224C" w:rsidP="006E39AB">
            <w:pPr>
              <w:rPr>
                <w:sz w:val="18"/>
                <w:szCs w:val="18"/>
                <w:lang w:val="es-MX"/>
              </w:rPr>
            </w:pPr>
            <w:r w:rsidRPr="00416654">
              <w:rPr>
                <w:sz w:val="18"/>
                <w:szCs w:val="18"/>
                <w:lang w:val="es-MX"/>
              </w:rPr>
              <w:t>Meta final</w:t>
            </w:r>
          </w:p>
        </w:tc>
        <w:tc>
          <w:tcPr>
            <w:tcW w:w="818" w:type="pct"/>
            <w:vAlign w:val="center"/>
          </w:tcPr>
          <w:p w:rsidR="00E0224C" w:rsidRPr="00416654" w:rsidRDefault="00E0224C" w:rsidP="006E39AB">
            <w:pPr>
              <w:rPr>
                <w:sz w:val="18"/>
                <w:szCs w:val="18"/>
                <w:lang w:val="es-MX"/>
              </w:rPr>
            </w:pPr>
            <w:r w:rsidRPr="00416654">
              <w:rPr>
                <w:sz w:val="18"/>
                <w:szCs w:val="18"/>
                <w:lang w:val="es-MX"/>
              </w:rPr>
              <w:t xml:space="preserve">Se modificaron los valores meta final de km de línea de </w:t>
            </w:r>
            <w:proofErr w:type="spellStart"/>
            <w:r w:rsidRPr="00416654">
              <w:rPr>
                <w:sz w:val="18"/>
                <w:szCs w:val="18"/>
                <w:lang w:val="es-MX"/>
              </w:rPr>
              <w:t>subtransmision</w:t>
            </w:r>
            <w:proofErr w:type="spellEnd"/>
            <w:r w:rsidRPr="00416654">
              <w:rPr>
                <w:sz w:val="18"/>
                <w:szCs w:val="18"/>
                <w:lang w:val="es-MX"/>
              </w:rPr>
              <w:t xml:space="preserve"> y distribución.</w:t>
            </w:r>
          </w:p>
        </w:tc>
        <w:tc>
          <w:tcPr>
            <w:tcW w:w="819" w:type="pct"/>
            <w:vAlign w:val="center"/>
          </w:tcPr>
          <w:p w:rsidR="00E0224C" w:rsidRPr="00416654" w:rsidRDefault="00E0224C" w:rsidP="006E39AB">
            <w:pPr>
              <w:rPr>
                <w:sz w:val="18"/>
                <w:szCs w:val="18"/>
                <w:lang w:val="es-MX"/>
              </w:rPr>
            </w:pPr>
            <w:r w:rsidRPr="00416654">
              <w:rPr>
                <w:sz w:val="18"/>
                <w:szCs w:val="18"/>
                <w:lang w:val="es-MX"/>
              </w:rPr>
              <w:t xml:space="preserve">Se ajustó en función del número de beneficiarios evaluados en el análisis costo beneficio y en función del número efectivo de km de línea. </w:t>
            </w:r>
          </w:p>
        </w:tc>
        <w:tc>
          <w:tcPr>
            <w:tcW w:w="818" w:type="pct"/>
            <w:vAlign w:val="center"/>
          </w:tcPr>
          <w:p w:rsidR="00E0224C" w:rsidRPr="00416654" w:rsidRDefault="00510BD1" w:rsidP="00B25517">
            <w:pPr>
              <w:rPr>
                <w:sz w:val="18"/>
                <w:szCs w:val="18"/>
                <w:lang w:val="es-MX"/>
              </w:rPr>
            </w:pPr>
            <w:r w:rsidRPr="00416654">
              <w:rPr>
                <w:sz w:val="18"/>
                <w:szCs w:val="18"/>
                <w:lang w:val="es-MX"/>
              </w:rPr>
              <w:t>31 Jul 2014</w:t>
            </w:r>
          </w:p>
        </w:tc>
        <w:tc>
          <w:tcPr>
            <w:tcW w:w="818" w:type="pct"/>
            <w:vAlign w:val="center"/>
          </w:tcPr>
          <w:p w:rsidR="00E0224C" w:rsidRPr="00416654" w:rsidRDefault="00E0224C" w:rsidP="00416654">
            <w:pPr>
              <w:jc w:val="center"/>
              <w:rPr>
                <w:sz w:val="18"/>
                <w:szCs w:val="18"/>
                <w:lang w:val="es-MX"/>
              </w:rPr>
            </w:pPr>
            <w:r w:rsidRPr="00416654">
              <w:rPr>
                <w:sz w:val="18"/>
                <w:szCs w:val="18"/>
                <w:lang w:val="es-MX"/>
              </w:rPr>
              <w:t>04 de mayo, 2015</w:t>
            </w:r>
          </w:p>
        </w:tc>
      </w:tr>
      <w:tr w:rsidR="00E0224C" w:rsidRPr="001556E9" w:rsidTr="00416654">
        <w:tc>
          <w:tcPr>
            <w:tcW w:w="908" w:type="pct"/>
            <w:vAlign w:val="center"/>
          </w:tcPr>
          <w:p w:rsidR="00E0224C" w:rsidRPr="00416654" w:rsidRDefault="00E0224C" w:rsidP="006E39AB">
            <w:pPr>
              <w:rPr>
                <w:sz w:val="18"/>
                <w:szCs w:val="18"/>
                <w:lang w:val="es-MX"/>
              </w:rPr>
            </w:pPr>
            <w:r w:rsidRPr="00416654">
              <w:rPr>
                <w:sz w:val="18"/>
                <w:szCs w:val="18"/>
                <w:lang w:val="es-MX"/>
              </w:rPr>
              <w:t>PRODUCTO-Componente I</w:t>
            </w:r>
          </w:p>
        </w:tc>
        <w:tc>
          <w:tcPr>
            <w:tcW w:w="819" w:type="pct"/>
            <w:vAlign w:val="center"/>
          </w:tcPr>
          <w:p w:rsidR="00E0224C" w:rsidRPr="00416654" w:rsidRDefault="00E0224C" w:rsidP="006E39AB">
            <w:pPr>
              <w:rPr>
                <w:sz w:val="18"/>
                <w:szCs w:val="18"/>
                <w:lang w:val="es-MX"/>
              </w:rPr>
            </w:pPr>
            <w:r w:rsidRPr="00416654">
              <w:rPr>
                <w:sz w:val="18"/>
                <w:szCs w:val="18"/>
                <w:lang w:val="es-MX"/>
              </w:rPr>
              <w:t>Proyectos de Subestaciones, nuevas y/o  repotenciadas que incluyen , supervisiones, fiscalizaciones ejecutados</w:t>
            </w:r>
          </w:p>
        </w:tc>
        <w:tc>
          <w:tcPr>
            <w:tcW w:w="818" w:type="pct"/>
            <w:vAlign w:val="center"/>
          </w:tcPr>
          <w:p w:rsidR="00E0224C" w:rsidRPr="00416654" w:rsidRDefault="00E0224C" w:rsidP="006E39AB">
            <w:pPr>
              <w:rPr>
                <w:sz w:val="18"/>
                <w:szCs w:val="18"/>
                <w:lang w:val="es-MX"/>
              </w:rPr>
            </w:pPr>
            <w:r w:rsidRPr="00416654">
              <w:rPr>
                <w:sz w:val="18"/>
                <w:szCs w:val="18"/>
                <w:lang w:val="es-MX"/>
              </w:rPr>
              <w:t>A partir del producto 1.1 de la MR, se creó este</w:t>
            </w:r>
            <w:r w:rsidR="000202DF">
              <w:rPr>
                <w:sz w:val="18"/>
                <w:szCs w:val="18"/>
                <w:lang w:val="es-MX"/>
              </w:rPr>
              <w:t xml:space="preserve"> nuevo </w:t>
            </w:r>
            <w:r w:rsidRPr="00416654">
              <w:rPr>
                <w:sz w:val="18"/>
                <w:szCs w:val="18"/>
                <w:lang w:val="es-MX"/>
              </w:rPr>
              <w:t xml:space="preserve"> indicador.  </w:t>
            </w:r>
          </w:p>
        </w:tc>
        <w:tc>
          <w:tcPr>
            <w:tcW w:w="819" w:type="pct"/>
            <w:vAlign w:val="center"/>
          </w:tcPr>
          <w:p w:rsidR="00E0224C" w:rsidRPr="00416654" w:rsidRDefault="003B52DF" w:rsidP="006E39AB">
            <w:pPr>
              <w:rPr>
                <w:sz w:val="18"/>
                <w:szCs w:val="18"/>
                <w:lang w:val="es-MX"/>
              </w:rPr>
            </w:pPr>
            <w:r>
              <w:rPr>
                <w:sz w:val="18"/>
                <w:szCs w:val="18"/>
                <w:lang w:val="es-MX"/>
              </w:rPr>
              <w:t xml:space="preserve">El Componente I.1 original integraba en el Producto  “Proyectos de </w:t>
            </w:r>
            <w:proofErr w:type="spellStart"/>
            <w:r>
              <w:rPr>
                <w:sz w:val="18"/>
                <w:szCs w:val="18"/>
                <w:lang w:val="es-MX"/>
              </w:rPr>
              <w:t>subtransmisión</w:t>
            </w:r>
            <w:proofErr w:type="spellEnd"/>
            <w:r>
              <w:rPr>
                <w:sz w:val="18"/>
                <w:szCs w:val="18"/>
                <w:lang w:val="es-MX"/>
              </w:rPr>
              <w:t>”</w:t>
            </w:r>
            <w:r w:rsidR="000202DF">
              <w:rPr>
                <w:sz w:val="18"/>
                <w:szCs w:val="18"/>
                <w:lang w:val="es-MX"/>
              </w:rPr>
              <w:t xml:space="preserve"> </w:t>
            </w:r>
            <w:r w:rsidR="00E0224C" w:rsidRPr="00416654">
              <w:rPr>
                <w:sz w:val="18"/>
                <w:szCs w:val="18"/>
                <w:lang w:val="es-MX"/>
              </w:rPr>
              <w:t xml:space="preserve"> </w:t>
            </w:r>
            <w:r w:rsidR="000202DF">
              <w:rPr>
                <w:sz w:val="18"/>
                <w:szCs w:val="18"/>
                <w:lang w:val="es-MX"/>
              </w:rPr>
              <w:t xml:space="preserve">productos </w:t>
            </w:r>
            <w:r w:rsidR="00E0224C" w:rsidRPr="00416654">
              <w:rPr>
                <w:sz w:val="18"/>
                <w:szCs w:val="18"/>
                <w:lang w:val="es-MX"/>
              </w:rPr>
              <w:t>con dos unidades de medición diferentes.</w:t>
            </w:r>
          </w:p>
        </w:tc>
        <w:tc>
          <w:tcPr>
            <w:tcW w:w="818" w:type="pct"/>
            <w:vAlign w:val="center"/>
          </w:tcPr>
          <w:p w:rsidR="00E0224C" w:rsidRPr="00416654" w:rsidRDefault="00510BD1" w:rsidP="00B25517">
            <w:pPr>
              <w:rPr>
                <w:sz w:val="18"/>
                <w:szCs w:val="18"/>
                <w:lang w:val="es-MX"/>
              </w:rPr>
            </w:pPr>
            <w:r w:rsidRPr="00416654">
              <w:rPr>
                <w:sz w:val="18"/>
                <w:szCs w:val="18"/>
                <w:lang w:val="es-MX"/>
              </w:rPr>
              <w:t>31 Jul 2014</w:t>
            </w:r>
          </w:p>
        </w:tc>
        <w:tc>
          <w:tcPr>
            <w:tcW w:w="818" w:type="pct"/>
            <w:vAlign w:val="center"/>
          </w:tcPr>
          <w:p w:rsidR="00E0224C" w:rsidRPr="00416654" w:rsidRDefault="00E0224C" w:rsidP="00416654">
            <w:pPr>
              <w:jc w:val="center"/>
              <w:rPr>
                <w:sz w:val="18"/>
                <w:szCs w:val="18"/>
                <w:lang w:val="es-MX"/>
              </w:rPr>
            </w:pPr>
            <w:r w:rsidRPr="00416654">
              <w:rPr>
                <w:sz w:val="18"/>
                <w:szCs w:val="18"/>
                <w:lang w:val="es-MX"/>
              </w:rPr>
              <w:t>04 de mayo, 2015</w:t>
            </w:r>
          </w:p>
        </w:tc>
      </w:tr>
      <w:tr w:rsidR="00E0224C" w:rsidRPr="001556E9" w:rsidTr="00416654">
        <w:tc>
          <w:tcPr>
            <w:tcW w:w="908" w:type="pct"/>
            <w:vAlign w:val="center"/>
          </w:tcPr>
          <w:p w:rsidR="00E0224C" w:rsidRPr="00416654" w:rsidRDefault="00E0224C" w:rsidP="006E39AB">
            <w:pPr>
              <w:rPr>
                <w:sz w:val="18"/>
                <w:szCs w:val="18"/>
                <w:lang w:val="es-MX"/>
              </w:rPr>
            </w:pPr>
            <w:r w:rsidRPr="00416654">
              <w:rPr>
                <w:sz w:val="18"/>
                <w:szCs w:val="18"/>
                <w:lang w:val="es-MX"/>
              </w:rPr>
              <w:t>PRODUCTO-Componente II</w:t>
            </w:r>
          </w:p>
        </w:tc>
        <w:tc>
          <w:tcPr>
            <w:tcW w:w="819" w:type="pct"/>
            <w:vAlign w:val="center"/>
          </w:tcPr>
          <w:p w:rsidR="00E0224C" w:rsidRPr="00416654" w:rsidRDefault="00E0224C" w:rsidP="006E39AB">
            <w:pPr>
              <w:rPr>
                <w:sz w:val="18"/>
                <w:szCs w:val="18"/>
                <w:lang w:val="es-MX"/>
              </w:rPr>
            </w:pPr>
            <w:r w:rsidRPr="00416654">
              <w:rPr>
                <w:sz w:val="18"/>
                <w:szCs w:val="18"/>
                <w:lang w:val="es-MX"/>
              </w:rPr>
              <w:t>Un sistema de logística para la distribución masiva de kits de cocción por inducción eléctrica de alta eficiencia, aprobado</w:t>
            </w:r>
          </w:p>
        </w:tc>
        <w:tc>
          <w:tcPr>
            <w:tcW w:w="818" w:type="pct"/>
            <w:vAlign w:val="center"/>
          </w:tcPr>
          <w:p w:rsidR="00E0224C" w:rsidRPr="00416654" w:rsidRDefault="00E0224C" w:rsidP="006E39AB">
            <w:pPr>
              <w:rPr>
                <w:sz w:val="18"/>
                <w:szCs w:val="18"/>
                <w:lang w:val="es-MX"/>
              </w:rPr>
            </w:pPr>
            <w:r w:rsidRPr="00416654">
              <w:rPr>
                <w:sz w:val="18"/>
                <w:szCs w:val="18"/>
                <w:lang w:val="es-MX"/>
              </w:rPr>
              <w:t xml:space="preserve">Se fusionó este indicador con el indicador: </w:t>
            </w:r>
            <w:r w:rsidRPr="00416654">
              <w:rPr>
                <w:i/>
                <w:sz w:val="18"/>
                <w:szCs w:val="18"/>
                <w:lang w:val="es-MX"/>
              </w:rPr>
              <w:t xml:space="preserve">Un modelo de gestión y su fiscalización del Programa de Cocción Eficiente, aprobado. </w:t>
            </w:r>
            <w:r w:rsidRPr="00416654">
              <w:rPr>
                <w:sz w:val="18"/>
                <w:szCs w:val="18"/>
                <w:lang w:val="es-MX"/>
              </w:rPr>
              <w:t>Se incluyeron dos hitos.</w:t>
            </w:r>
          </w:p>
        </w:tc>
        <w:tc>
          <w:tcPr>
            <w:tcW w:w="819" w:type="pct"/>
            <w:vAlign w:val="center"/>
          </w:tcPr>
          <w:p w:rsidR="00E0224C" w:rsidRPr="00416654" w:rsidRDefault="00E0224C" w:rsidP="006E39AB">
            <w:pPr>
              <w:rPr>
                <w:sz w:val="18"/>
                <w:szCs w:val="18"/>
                <w:lang w:val="es-MX"/>
              </w:rPr>
            </w:pPr>
            <w:r w:rsidRPr="00416654">
              <w:rPr>
                <w:sz w:val="18"/>
                <w:szCs w:val="18"/>
                <w:lang w:val="es-MX"/>
              </w:rPr>
              <w:t xml:space="preserve">Dado que el desarrollo de la estrategia de Cocción Eficiente se modifica en función de los resultados que se van obteniendo, el MEER ejecuta estos productos bajo una única actividad. </w:t>
            </w:r>
          </w:p>
        </w:tc>
        <w:tc>
          <w:tcPr>
            <w:tcW w:w="818" w:type="pct"/>
            <w:vAlign w:val="center"/>
          </w:tcPr>
          <w:p w:rsidR="00E0224C" w:rsidRPr="00416654" w:rsidRDefault="00510BD1" w:rsidP="00B25517">
            <w:pPr>
              <w:rPr>
                <w:sz w:val="18"/>
                <w:szCs w:val="18"/>
                <w:lang w:val="es-MX"/>
              </w:rPr>
            </w:pPr>
            <w:r w:rsidRPr="00416654">
              <w:rPr>
                <w:sz w:val="18"/>
                <w:szCs w:val="18"/>
                <w:lang w:val="es-MX"/>
              </w:rPr>
              <w:t>31 Jul 2014</w:t>
            </w:r>
          </w:p>
        </w:tc>
        <w:tc>
          <w:tcPr>
            <w:tcW w:w="818" w:type="pct"/>
            <w:vAlign w:val="center"/>
          </w:tcPr>
          <w:p w:rsidR="00E0224C" w:rsidRPr="00416654" w:rsidRDefault="00E0224C" w:rsidP="00416654">
            <w:pPr>
              <w:jc w:val="center"/>
              <w:rPr>
                <w:sz w:val="18"/>
                <w:szCs w:val="18"/>
                <w:lang w:val="es-MX"/>
              </w:rPr>
            </w:pPr>
            <w:r w:rsidRPr="00416654">
              <w:rPr>
                <w:sz w:val="18"/>
                <w:szCs w:val="18"/>
                <w:lang w:val="es-MX"/>
              </w:rPr>
              <w:t>04 de mayo, 2015</w:t>
            </w:r>
          </w:p>
        </w:tc>
      </w:tr>
      <w:tr w:rsidR="00E0224C" w:rsidRPr="001556E9" w:rsidTr="00416654">
        <w:tc>
          <w:tcPr>
            <w:tcW w:w="908" w:type="pct"/>
            <w:vAlign w:val="center"/>
          </w:tcPr>
          <w:p w:rsidR="00E0224C" w:rsidRPr="00416654" w:rsidRDefault="00E0224C" w:rsidP="006E39AB">
            <w:pPr>
              <w:rPr>
                <w:sz w:val="18"/>
                <w:szCs w:val="18"/>
                <w:lang w:val="es-MX"/>
              </w:rPr>
            </w:pPr>
            <w:r w:rsidRPr="00416654">
              <w:rPr>
                <w:sz w:val="18"/>
                <w:szCs w:val="18"/>
                <w:lang w:val="es-MX"/>
              </w:rPr>
              <w:t>PRODUCTO- Componente III</w:t>
            </w:r>
          </w:p>
        </w:tc>
        <w:tc>
          <w:tcPr>
            <w:tcW w:w="819" w:type="pct"/>
            <w:vAlign w:val="center"/>
          </w:tcPr>
          <w:p w:rsidR="00E0224C" w:rsidRPr="00416654" w:rsidRDefault="00E0224C" w:rsidP="006E39AB">
            <w:pPr>
              <w:rPr>
                <w:sz w:val="18"/>
                <w:szCs w:val="18"/>
                <w:lang w:val="es-MX"/>
              </w:rPr>
            </w:pPr>
            <w:r w:rsidRPr="00416654">
              <w:rPr>
                <w:sz w:val="18"/>
                <w:szCs w:val="18"/>
                <w:lang w:val="es-MX"/>
              </w:rPr>
              <w:t>Indicador-Apoyo a la ejecución por EED</w:t>
            </w:r>
          </w:p>
        </w:tc>
        <w:tc>
          <w:tcPr>
            <w:tcW w:w="818" w:type="pct"/>
            <w:vAlign w:val="center"/>
          </w:tcPr>
          <w:p w:rsidR="00E0224C" w:rsidRPr="00416654" w:rsidRDefault="00E0224C" w:rsidP="006E39AB">
            <w:pPr>
              <w:rPr>
                <w:sz w:val="18"/>
                <w:szCs w:val="18"/>
                <w:lang w:val="es-MX"/>
              </w:rPr>
            </w:pPr>
            <w:r w:rsidRPr="00416654">
              <w:rPr>
                <w:sz w:val="18"/>
                <w:szCs w:val="18"/>
                <w:lang w:val="es-MX"/>
              </w:rPr>
              <w:t xml:space="preserve">Se consideró como </w:t>
            </w:r>
            <w:r w:rsidRPr="00416654">
              <w:rPr>
                <w:i/>
                <w:sz w:val="18"/>
                <w:szCs w:val="18"/>
                <w:lang w:val="es-MX"/>
              </w:rPr>
              <w:t>costos asociados</w:t>
            </w:r>
            <w:r w:rsidRPr="00416654">
              <w:rPr>
                <w:sz w:val="18"/>
                <w:szCs w:val="18"/>
                <w:lang w:val="es-MX"/>
              </w:rPr>
              <w:t xml:space="preserve"> a la ejecución y no como producto. Se trasladaron los recursos a Administración del proyecto.</w:t>
            </w:r>
          </w:p>
        </w:tc>
        <w:tc>
          <w:tcPr>
            <w:tcW w:w="819" w:type="pct"/>
            <w:vAlign w:val="center"/>
          </w:tcPr>
          <w:p w:rsidR="00E0224C" w:rsidRPr="00416654" w:rsidRDefault="00FF2553" w:rsidP="006E39AB">
            <w:pPr>
              <w:rPr>
                <w:sz w:val="18"/>
                <w:szCs w:val="18"/>
                <w:lang w:val="es-MX"/>
              </w:rPr>
            </w:pPr>
            <w:r>
              <w:rPr>
                <w:sz w:val="18"/>
                <w:szCs w:val="18"/>
                <w:lang w:val="es-MX"/>
              </w:rPr>
              <w:t>Mayor</w:t>
            </w:r>
            <w:r w:rsidR="00E0224C" w:rsidRPr="00416654">
              <w:rPr>
                <w:sz w:val="18"/>
                <w:szCs w:val="18"/>
                <w:lang w:val="es-MX"/>
              </w:rPr>
              <w:t xml:space="preserve"> claridad en definición de productos.</w:t>
            </w:r>
          </w:p>
        </w:tc>
        <w:tc>
          <w:tcPr>
            <w:tcW w:w="818" w:type="pct"/>
            <w:vAlign w:val="center"/>
          </w:tcPr>
          <w:p w:rsidR="00E0224C" w:rsidRPr="00416654" w:rsidRDefault="00510BD1" w:rsidP="00B25517">
            <w:pPr>
              <w:rPr>
                <w:sz w:val="18"/>
                <w:szCs w:val="18"/>
                <w:lang w:val="es-MX"/>
              </w:rPr>
            </w:pPr>
            <w:r w:rsidRPr="00416654">
              <w:rPr>
                <w:sz w:val="18"/>
                <w:szCs w:val="18"/>
                <w:lang w:val="es-MX"/>
              </w:rPr>
              <w:t>31 Jul 2014</w:t>
            </w:r>
          </w:p>
        </w:tc>
        <w:tc>
          <w:tcPr>
            <w:tcW w:w="818" w:type="pct"/>
            <w:vAlign w:val="center"/>
          </w:tcPr>
          <w:p w:rsidR="00E0224C" w:rsidRPr="00416654" w:rsidRDefault="00E0224C" w:rsidP="00416654">
            <w:pPr>
              <w:jc w:val="center"/>
              <w:rPr>
                <w:sz w:val="18"/>
                <w:szCs w:val="18"/>
                <w:lang w:val="es-MX"/>
              </w:rPr>
            </w:pPr>
            <w:r w:rsidRPr="00416654">
              <w:rPr>
                <w:sz w:val="18"/>
                <w:szCs w:val="18"/>
                <w:lang w:val="es-MX"/>
              </w:rPr>
              <w:t>04 de mayo, 2015</w:t>
            </w:r>
          </w:p>
        </w:tc>
      </w:tr>
      <w:tr w:rsidR="00E0224C" w:rsidRPr="001556E9" w:rsidTr="00416654">
        <w:tc>
          <w:tcPr>
            <w:tcW w:w="908" w:type="pct"/>
            <w:vAlign w:val="center"/>
          </w:tcPr>
          <w:p w:rsidR="00E0224C" w:rsidRPr="00416654" w:rsidRDefault="00E0224C" w:rsidP="006E39AB">
            <w:pPr>
              <w:rPr>
                <w:sz w:val="18"/>
                <w:szCs w:val="18"/>
                <w:lang w:val="es-MX"/>
              </w:rPr>
            </w:pPr>
            <w:r w:rsidRPr="00416654">
              <w:rPr>
                <w:sz w:val="18"/>
                <w:szCs w:val="18"/>
                <w:lang w:val="es-MX"/>
              </w:rPr>
              <w:t>PRODUCTO- Componente III</w:t>
            </w:r>
          </w:p>
        </w:tc>
        <w:tc>
          <w:tcPr>
            <w:tcW w:w="819" w:type="pct"/>
            <w:vAlign w:val="center"/>
          </w:tcPr>
          <w:p w:rsidR="00E0224C" w:rsidRPr="00416654" w:rsidRDefault="00E0224C" w:rsidP="006E39AB">
            <w:pPr>
              <w:rPr>
                <w:sz w:val="18"/>
                <w:szCs w:val="18"/>
                <w:lang w:val="es-MX"/>
              </w:rPr>
            </w:pPr>
            <w:r w:rsidRPr="00416654">
              <w:rPr>
                <w:sz w:val="18"/>
                <w:szCs w:val="18"/>
                <w:lang w:val="es-MX"/>
              </w:rPr>
              <w:t>Diseños Definitivos para proyectos del RSND</w:t>
            </w:r>
          </w:p>
        </w:tc>
        <w:tc>
          <w:tcPr>
            <w:tcW w:w="818" w:type="pct"/>
            <w:vAlign w:val="center"/>
          </w:tcPr>
          <w:p w:rsidR="00E0224C" w:rsidRPr="00416654" w:rsidRDefault="00E0224C" w:rsidP="006E39AB">
            <w:pPr>
              <w:rPr>
                <w:sz w:val="18"/>
                <w:szCs w:val="18"/>
                <w:lang w:val="es-MX"/>
              </w:rPr>
            </w:pPr>
            <w:r w:rsidRPr="00416654">
              <w:rPr>
                <w:sz w:val="18"/>
                <w:szCs w:val="18"/>
                <w:lang w:val="es-MX"/>
              </w:rPr>
              <w:t>Se incluyó este nuevo indicador</w:t>
            </w:r>
          </w:p>
        </w:tc>
        <w:tc>
          <w:tcPr>
            <w:tcW w:w="819" w:type="pct"/>
            <w:vAlign w:val="center"/>
          </w:tcPr>
          <w:p w:rsidR="00E0224C" w:rsidRPr="00416654" w:rsidRDefault="00E0224C" w:rsidP="006E39AB">
            <w:pPr>
              <w:rPr>
                <w:sz w:val="18"/>
                <w:szCs w:val="18"/>
                <w:lang w:val="es-MX"/>
              </w:rPr>
            </w:pPr>
            <w:r w:rsidRPr="00416654">
              <w:rPr>
                <w:sz w:val="18"/>
                <w:szCs w:val="18"/>
                <w:lang w:val="es-MX"/>
              </w:rPr>
              <w:t>Mejor monitoreo de los recursos bajo este componente.</w:t>
            </w:r>
          </w:p>
        </w:tc>
        <w:tc>
          <w:tcPr>
            <w:tcW w:w="818" w:type="pct"/>
            <w:vAlign w:val="center"/>
          </w:tcPr>
          <w:p w:rsidR="00E0224C" w:rsidRPr="00416654" w:rsidRDefault="00510BD1" w:rsidP="00B25517">
            <w:pPr>
              <w:rPr>
                <w:sz w:val="18"/>
                <w:szCs w:val="18"/>
                <w:lang w:val="es-MX"/>
              </w:rPr>
            </w:pPr>
            <w:r w:rsidRPr="00416654">
              <w:rPr>
                <w:sz w:val="18"/>
                <w:szCs w:val="18"/>
                <w:lang w:val="es-MX"/>
              </w:rPr>
              <w:t>31 Jul 2014</w:t>
            </w:r>
          </w:p>
        </w:tc>
        <w:tc>
          <w:tcPr>
            <w:tcW w:w="818" w:type="pct"/>
            <w:vAlign w:val="center"/>
          </w:tcPr>
          <w:p w:rsidR="00E0224C" w:rsidRPr="00416654" w:rsidRDefault="00E0224C" w:rsidP="00416654">
            <w:pPr>
              <w:jc w:val="center"/>
              <w:rPr>
                <w:sz w:val="18"/>
                <w:szCs w:val="18"/>
                <w:lang w:val="es-MX"/>
              </w:rPr>
            </w:pPr>
            <w:r w:rsidRPr="00416654">
              <w:rPr>
                <w:sz w:val="18"/>
                <w:szCs w:val="18"/>
                <w:lang w:val="es-MX"/>
              </w:rPr>
              <w:t>04 de mayo, 2015</w:t>
            </w:r>
          </w:p>
        </w:tc>
      </w:tr>
    </w:tbl>
    <w:p w:rsidR="004C1CD1" w:rsidRDefault="004C1CD1" w:rsidP="00416654">
      <w:pPr>
        <w:tabs>
          <w:tab w:val="left" w:pos="5340"/>
        </w:tabs>
        <w:rPr>
          <w:lang w:val="es-MX"/>
        </w:rPr>
      </w:pPr>
    </w:p>
    <w:p w:rsidR="008E2947" w:rsidRDefault="008E2947" w:rsidP="00416654">
      <w:pPr>
        <w:tabs>
          <w:tab w:val="left" w:pos="5340"/>
        </w:tabs>
        <w:rPr>
          <w:lang w:val="es-MX"/>
        </w:rPr>
      </w:pPr>
      <w:r>
        <w:rPr>
          <w:lang w:val="es-MX"/>
        </w:rPr>
        <w:lastRenderedPageBreak/>
        <w:t>Los indicadores de la MR reportados en este informe, fueron medidos según meta anual establecida para el caso de los productos acordados, y en función</w:t>
      </w:r>
      <w:r w:rsidR="00E36E02">
        <w:rPr>
          <w:lang w:val="es-MX"/>
        </w:rPr>
        <w:t xml:space="preserve"> del avance hacia la meta final, ambos </w:t>
      </w:r>
      <w:r>
        <w:rPr>
          <w:lang w:val="es-MX"/>
        </w:rPr>
        <w:t xml:space="preserve">según </w:t>
      </w:r>
      <w:r w:rsidR="00366246">
        <w:rPr>
          <w:lang w:val="es-MX"/>
        </w:rPr>
        <w:t>MR</w:t>
      </w:r>
      <w:r>
        <w:rPr>
          <w:lang w:val="es-MX"/>
        </w:rPr>
        <w:t xml:space="preserve">. </w:t>
      </w:r>
      <w:r w:rsidR="00366246" w:rsidRPr="001905AF">
        <w:rPr>
          <w:lang w:val="es-MX"/>
        </w:rPr>
        <w:t>La MR final del programa fue acordada con SPD el 04 de mayo, 2015</w:t>
      </w:r>
      <w:r w:rsidR="00366246">
        <w:rPr>
          <w:lang w:val="es-MX"/>
        </w:rPr>
        <w:t xml:space="preserve">. En función del alcance de la MR </w:t>
      </w:r>
      <w:r w:rsidR="00192FC1">
        <w:rPr>
          <w:lang w:val="es-MX"/>
        </w:rPr>
        <w:t>reflejada en el PMR correspondiente, se analizan en esta evaluación intermedia, los resultados alcanzados por el programa al 30 de marzo de 2015.</w:t>
      </w:r>
      <w:r w:rsidR="00366246">
        <w:rPr>
          <w:lang w:val="es-MX"/>
        </w:rPr>
        <w:t xml:space="preserve"> </w:t>
      </w:r>
    </w:p>
    <w:p w:rsidR="00116CDA" w:rsidRDefault="00561615" w:rsidP="00416654">
      <w:pPr>
        <w:tabs>
          <w:tab w:val="left" w:pos="5340"/>
        </w:tabs>
        <w:spacing w:before="120" w:after="120"/>
        <w:rPr>
          <w:lang w:val="es-MX"/>
        </w:rPr>
      </w:pPr>
      <w:r>
        <w:rPr>
          <w:lang w:val="es-MX"/>
        </w:rPr>
        <w:t xml:space="preserve">El avance en los productos comprometidos para el primer año es favorable. </w:t>
      </w:r>
      <w:r w:rsidR="000B7233">
        <w:rPr>
          <w:lang w:val="es-MX"/>
        </w:rPr>
        <w:t xml:space="preserve">El avance evaluado incluye seis meses efectivos de ejecución entre agosto 2014 a marzo 2015. </w:t>
      </w:r>
      <w:r w:rsidR="006501C2">
        <w:rPr>
          <w:lang w:val="es-MX"/>
        </w:rPr>
        <w:t xml:space="preserve">Los productos del Componente I </w:t>
      </w:r>
      <w:r w:rsidR="000B7233">
        <w:rPr>
          <w:lang w:val="es-MX"/>
        </w:rPr>
        <w:t>representan más de 90% de los recursos de financiamiento del programa. E</w:t>
      </w:r>
      <w:r w:rsidR="006501C2">
        <w:rPr>
          <w:lang w:val="es-MX"/>
        </w:rPr>
        <w:t xml:space="preserve">n cuanto a </w:t>
      </w:r>
      <w:r w:rsidR="000B7233">
        <w:rPr>
          <w:lang w:val="es-MX"/>
        </w:rPr>
        <w:t xml:space="preserve">km de </w:t>
      </w:r>
      <w:r w:rsidR="006501C2">
        <w:rPr>
          <w:lang w:val="es-MX"/>
        </w:rPr>
        <w:t xml:space="preserve">líneas de </w:t>
      </w:r>
      <w:proofErr w:type="spellStart"/>
      <w:r w:rsidR="006501C2">
        <w:rPr>
          <w:lang w:val="es-MX"/>
        </w:rPr>
        <w:t>subtransmisión</w:t>
      </w:r>
      <w:proofErr w:type="spellEnd"/>
      <w:r w:rsidR="006501C2">
        <w:rPr>
          <w:lang w:val="es-MX"/>
        </w:rPr>
        <w:t xml:space="preserve"> </w:t>
      </w:r>
      <w:r w:rsidR="000B7233">
        <w:rPr>
          <w:lang w:val="es-MX"/>
        </w:rPr>
        <w:t>ejecutadas, se</w:t>
      </w:r>
      <w:r w:rsidR="006501C2">
        <w:rPr>
          <w:lang w:val="es-MX"/>
        </w:rPr>
        <w:t xml:space="preserve"> </w:t>
      </w:r>
      <w:r w:rsidR="000B7233">
        <w:rPr>
          <w:lang w:val="es-MX"/>
        </w:rPr>
        <w:t>muestra un</w:t>
      </w:r>
      <w:r w:rsidR="006501C2">
        <w:rPr>
          <w:lang w:val="es-MX"/>
        </w:rPr>
        <w:t xml:space="preserve"> avance de 37%</w:t>
      </w:r>
      <w:r w:rsidR="000B7233">
        <w:rPr>
          <w:lang w:val="es-MX"/>
        </w:rPr>
        <w:t>. El monitoreo de las Subestaciones Eléctricas (S/E), se incorporó recientemente a la MR. Estos productos ya fueron contratados</w:t>
      </w:r>
      <w:r w:rsidR="00DF1AC0">
        <w:rPr>
          <w:lang w:val="es-MX"/>
        </w:rPr>
        <w:t xml:space="preserve"> y presentan avance físico de ejecución</w:t>
      </w:r>
      <w:r w:rsidR="000B7233">
        <w:rPr>
          <w:lang w:val="es-MX"/>
        </w:rPr>
        <w:t>, sin embargo</w:t>
      </w:r>
      <w:r w:rsidR="00DF1AC0">
        <w:rPr>
          <w:lang w:val="es-MX"/>
        </w:rPr>
        <w:t xml:space="preserve">, la unidad de medida definida es # proyectos (terminado) y </w:t>
      </w:r>
      <w:r w:rsidR="000B7233">
        <w:rPr>
          <w:lang w:val="es-MX"/>
        </w:rPr>
        <w:t xml:space="preserve"> su tiempo </w:t>
      </w:r>
      <w:r w:rsidR="00DF1AC0">
        <w:rPr>
          <w:lang w:val="es-MX"/>
        </w:rPr>
        <w:t xml:space="preserve">de </w:t>
      </w:r>
      <w:r w:rsidR="000B7233">
        <w:rPr>
          <w:lang w:val="es-MX"/>
        </w:rPr>
        <w:t>ejecución es mayor</w:t>
      </w:r>
      <w:r w:rsidR="001905AF">
        <w:rPr>
          <w:lang w:val="es-MX"/>
        </w:rPr>
        <w:t>. D</w:t>
      </w:r>
      <w:r w:rsidR="000B7233">
        <w:rPr>
          <w:lang w:val="es-MX"/>
        </w:rPr>
        <w:t xml:space="preserve">e acuerdo con lo mencionado por el OE, se observaran los primeros resultados a partir del año 2. </w:t>
      </w:r>
      <w:r w:rsidR="00DF1AC0">
        <w:rPr>
          <w:lang w:val="es-MX"/>
        </w:rPr>
        <w:t>El avance del producto de km líneas de distribución ejecutadas alcanza 50%.</w:t>
      </w:r>
    </w:p>
    <w:p w:rsidR="00561615" w:rsidRPr="0021026D" w:rsidRDefault="00561615" w:rsidP="00416654">
      <w:pPr>
        <w:tabs>
          <w:tab w:val="left" w:pos="5340"/>
        </w:tabs>
        <w:spacing w:before="120" w:after="120"/>
        <w:jc w:val="center"/>
        <w:rPr>
          <w:b/>
          <w:lang w:val="es-MX"/>
        </w:rPr>
      </w:pPr>
      <w:r>
        <w:rPr>
          <w:b/>
          <w:lang w:val="es-MX"/>
        </w:rPr>
        <w:t>Tabla 2</w:t>
      </w:r>
      <w:r w:rsidRPr="0021026D">
        <w:rPr>
          <w:b/>
          <w:lang w:val="es-MX"/>
        </w:rPr>
        <w:t xml:space="preserve">- </w:t>
      </w:r>
      <w:r>
        <w:rPr>
          <w:b/>
          <w:lang w:val="es-MX"/>
        </w:rPr>
        <w:t>Avances de la</w:t>
      </w:r>
      <w:r w:rsidRPr="0021026D">
        <w:rPr>
          <w:b/>
          <w:lang w:val="es-MX"/>
        </w:rPr>
        <w:t xml:space="preserve"> Matriz de Resultados</w:t>
      </w:r>
    </w:p>
    <w:tbl>
      <w:tblPr>
        <w:tblStyle w:val="TableGrid"/>
        <w:tblW w:w="10388" w:type="dxa"/>
        <w:tblInd w:w="-85" w:type="dxa"/>
        <w:tblLayout w:type="fixed"/>
        <w:tblCellMar>
          <w:left w:w="57" w:type="dxa"/>
          <w:right w:w="57" w:type="dxa"/>
        </w:tblCellMar>
        <w:tblLook w:val="04A0" w:firstRow="1" w:lastRow="0" w:firstColumn="1" w:lastColumn="0" w:noHBand="0" w:noVBand="1"/>
      </w:tblPr>
      <w:tblGrid>
        <w:gridCol w:w="2699"/>
        <w:gridCol w:w="1091"/>
        <w:gridCol w:w="824"/>
        <w:gridCol w:w="1468"/>
        <w:gridCol w:w="990"/>
        <w:gridCol w:w="990"/>
        <w:gridCol w:w="1163"/>
        <w:gridCol w:w="1163"/>
      </w:tblGrid>
      <w:tr w:rsidR="00E36E02" w:rsidRPr="00883A0A" w:rsidTr="00416654">
        <w:trPr>
          <w:tblHeader/>
        </w:trPr>
        <w:tc>
          <w:tcPr>
            <w:tcW w:w="10388" w:type="dxa"/>
            <w:gridSpan w:val="8"/>
            <w:shd w:val="clear" w:color="auto" w:fill="B8CCE4" w:themeFill="accent1" w:themeFillTint="66"/>
            <w:vAlign w:val="center"/>
          </w:tcPr>
          <w:p w:rsidR="00E36E02" w:rsidRPr="00164A31" w:rsidRDefault="00E36E02" w:rsidP="00E807B0">
            <w:pPr>
              <w:jc w:val="center"/>
              <w:rPr>
                <w:b/>
                <w:smallCaps/>
                <w:sz w:val="20"/>
                <w:lang w:val="es-MX"/>
              </w:rPr>
            </w:pPr>
            <w:r w:rsidRPr="00164A31">
              <w:rPr>
                <w:b/>
                <w:smallCaps/>
                <w:sz w:val="20"/>
                <w:lang w:val="es-MX"/>
              </w:rPr>
              <w:t>Matriz de Resultados EC-L1136 – Nivel de Productos</w:t>
            </w:r>
          </w:p>
        </w:tc>
      </w:tr>
      <w:tr w:rsidR="002A3206" w:rsidRPr="00116CDA" w:rsidTr="00416654">
        <w:trPr>
          <w:tblHeader/>
        </w:trPr>
        <w:tc>
          <w:tcPr>
            <w:tcW w:w="2699" w:type="dxa"/>
            <w:shd w:val="clear" w:color="auto" w:fill="B8CCE4" w:themeFill="accent1" w:themeFillTint="66"/>
            <w:vAlign w:val="center"/>
          </w:tcPr>
          <w:p w:rsidR="002A3206" w:rsidRPr="00416654" w:rsidRDefault="002A3206" w:rsidP="007E7043">
            <w:pPr>
              <w:jc w:val="center"/>
              <w:rPr>
                <w:b/>
                <w:sz w:val="18"/>
                <w:lang w:val="es-MX"/>
              </w:rPr>
            </w:pPr>
            <w:r w:rsidRPr="00416654">
              <w:rPr>
                <w:b/>
                <w:sz w:val="18"/>
                <w:lang w:val="es-MX"/>
              </w:rPr>
              <w:t>Indicador</w:t>
            </w:r>
          </w:p>
        </w:tc>
        <w:tc>
          <w:tcPr>
            <w:tcW w:w="1091" w:type="dxa"/>
            <w:shd w:val="clear" w:color="auto" w:fill="B8CCE4" w:themeFill="accent1" w:themeFillTint="66"/>
            <w:vAlign w:val="center"/>
          </w:tcPr>
          <w:p w:rsidR="002A3206" w:rsidRPr="00416654" w:rsidRDefault="002A3206" w:rsidP="007E7043">
            <w:pPr>
              <w:jc w:val="center"/>
              <w:rPr>
                <w:b/>
                <w:sz w:val="18"/>
                <w:lang w:val="es-MX"/>
              </w:rPr>
            </w:pPr>
            <w:r w:rsidRPr="00416654">
              <w:rPr>
                <w:b/>
                <w:sz w:val="18"/>
                <w:lang w:val="es-MX"/>
              </w:rPr>
              <w:t>Unidad</w:t>
            </w:r>
          </w:p>
        </w:tc>
        <w:tc>
          <w:tcPr>
            <w:tcW w:w="824" w:type="dxa"/>
            <w:shd w:val="clear" w:color="auto" w:fill="B8CCE4" w:themeFill="accent1" w:themeFillTint="66"/>
            <w:vAlign w:val="center"/>
          </w:tcPr>
          <w:p w:rsidR="002A3206" w:rsidRPr="00416654" w:rsidRDefault="002A3206" w:rsidP="007E7043">
            <w:pPr>
              <w:jc w:val="center"/>
              <w:rPr>
                <w:b/>
                <w:sz w:val="18"/>
                <w:lang w:val="es-MX"/>
              </w:rPr>
            </w:pPr>
            <w:r w:rsidRPr="00416654">
              <w:rPr>
                <w:b/>
                <w:sz w:val="18"/>
                <w:lang w:val="es-MX"/>
              </w:rPr>
              <w:t>Línea base (2013)</w:t>
            </w:r>
          </w:p>
        </w:tc>
        <w:tc>
          <w:tcPr>
            <w:tcW w:w="1468" w:type="dxa"/>
            <w:shd w:val="clear" w:color="auto" w:fill="B8CCE4" w:themeFill="accent1" w:themeFillTint="66"/>
            <w:vAlign w:val="center"/>
          </w:tcPr>
          <w:p w:rsidR="002A3206" w:rsidRPr="00416654" w:rsidRDefault="002A3206" w:rsidP="007279BB">
            <w:pPr>
              <w:jc w:val="center"/>
              <w:rPr>
                <w:b/>
                <w:sz w:val="18"/>
                <w:lang w:val="es-MX"/>
              </w:rPr>
            </w:pPr>
            <w:r w:rsidRPr="00416654">
              <w:rPr>
                <w:b/>
                <w:sz w:val="18"/>
                <w:lang w:val="es-MX"/>
              </w:rPr>
              <w:t>Medio de Verificación</w:t>
            </w:r>
          </w:p>
        </w:tc>
        <w:tc>
          <w:tcPr>
            <w:tcW w:w="990" w:type="dxa"/>
            <w:shd w:val="clear" w:color="auto" w:fill="B8CCE4" w:themeFill="accent1" w:themeFillTint="66"/>
            <w:vAlign w:val="center"/>
          </w:tcPr>
          <w:p w:rsidR="002A3206" w:rsidRPr="00116CDA" w:rsidRDefault="002A3206">
            <w:pPr>
              <w:jc w:val="center"/>
              <w:rPr>
                <w:b/>
                <w:sz w:val="18"/>
                <w:lang w:val="es-MX"/>
              </w:rPr>
            </w:pPr>
          </w:p>
        </w:tc>
        <w:tc>
          <w:tcPr>
            <w:tcW w:w="990" w:type="dxa"/>
            <w:shd w:val="clear" w:color="auto" w:fill="B8CCE4" w:themeFill="accent1" w:themeFillTint="66"/>
            <w:vAlign w:val="center"/>
          </w:tcPr>
          <w:p w:rsidR="002A3206" w:rsidRDefault="002A3206" w:rsidP="007E7043">
            <w:pPr>
              <w:jc w:val="center"/>
              <w:rPr>
                <w:b/>
                <w:sz w:val="18"/>
                <w:lang w:val="es-MX"/>
              </w:rPr>
            </w:pPr>
            <w:r>
              <w:rPr>
                <w:b/>
                <w:sz w:val="18"/>
                <w:lang w:val="es-MX"/>
              </w:rPr>
              <w:t>2014</w:t>
            </w:r>
          </w:p>
          <w:p w:rsidR="00057E73" w:rsidRPr="00416654" w:rsidRDefault="00057E73">
            <w:pPr>
              <w:jc w:val="center"/>
              <w:rPr>
                <w:b/>
                <w:sz w:val="18"/>
                <w:lang w:val="es-MX"/>
              </w:rPr>
            </w:pPr>
            <w:r>
              <w:rPr>
                <w:b/>
                <w:sz w:val="18"/>
                <w:lang w:val="es-MX"/>
              </w:rPr>
              <w:t>(</w:t>
            </w:r>
            <w:proofErr w:type="spellStart"/>
            <w:r>
              <w:rPr>
                <w:b/>
                <w:sz w:val="18"/>
                <w:lang w:val="es-MX"/>
              </w:rPr>
              <w:t>Agos</w:t>
            </w:r>
            <w:proofErr w:type="spellEnd"/>
            <w:r>
              <w:rPr>
                <w:b/>
                <w:sz w:val="18"/>
                <w:lang w:val="es-MX"/>
              </w:rPr>
              <w:t>-Dic)</w:t>
            </w:r>
          </w:p>
        </w:tc>
        <w:tc>
          <w:tcPr>
            <w:tcW w:w="1163" w:type="dxa"/>
            <w:shd w:val="clear" w:color="auto" w:fill="B8CCE4" w:themeFill="accent1" w:themeFillTint="66"/>
            <w:vAlign w:val="center"/>
          </w:tcPr>
          <w:p w:rsidR="002A3206" w:rsidRDefault="002A3206" w:rsidP="007279BB">
            <w:pPr>
              <w:jc w:val="center"/>
              <w:rPr>
                <w:b/>
                <w:sz w:val="18"/>
                <w:lang w:val="es-MX"/>
              </w:rPr>
            </w:pPr>
            <w:r>
              <w:rPr>
                <w:b/>
                <w:sz w:val="18"/>
                <w:lang w:val="es-MX"/>
              </w:rPr>
              <w:t>2015</w:t>
            </w:r>
          </w:p>
          <w:p w:rsidR="002A3206" w:rsidRPr="00416654" w:rsidRDefault="002A3206">
            <w:pPr>
              <w:jc w:val="center"/>
              <w:rPr>
                <w:b/>
                <w:sz w:val="18"/>
                <w:lang w:val="es-MX"/>
              </w:rPr>
            </w:pPr>
            <w:r>
              <w:rPr>
                <w:b/>
                <w:sz w:val="18"/>
                <w:lang w:val="es-MX"/>
              </w:rPr>
              <w:t>(</w:t>
            </w:r>
            <w:r w:rsidR="00057E73">
              <w:rPr>
                <w:b/>
                <w:sz w:val="18"/>
                <w:lang w:val="es-MX"/>
              </w:rPr>
              <w:t>ene - mar</w:t>
            </w:r>
            <w:r>
              <w:rPr>
                <w:b/>
                <w:sz w:val="18"/>
                <w:lang w:val="es-MX"/>
              </w:rPr>
              <w:t>)</w:t>
            </w:r>
          </w:p>
        </w:tc>
        <w:tc>
          <w:tcPr>
            <w:tcW w:w="1163" w:type="dxa"/>
            <w:shd w:val="clear" w:color="auto" w:fill="B8CCE4" w:themeFill="accent1" w:themeFillTint="66"/>
            <w:vAlign w:val="center"/>
          </w:tcPr>
          <w:p w:rsidR="003F453A" w:rsidRDefault="003F453A">
            <w:pPr>
              <w:jc w:val="center"/>
              <w:rPr>
                <w:b/>
                <w:sz w:val="18"/>
                <w:lang w:val="es-MX"/>
              </w:rPr>
            </w:pPr>
            <w:r>
              <w:rPr>
                <w:b/>
                <w:sz w:val="18"/>
                <w:lang w:val="es-MX"/>
              </w:rPr>
              <w:t>2018</w:t>
            </w:r>
          </w:p>
          <w:p w:rsidR="002A3206" w:rsidRPr="00116CDA" w:rsidRDefault="002A3206">
            <w:pPr>
              <w:jc w:val="center"/>
              <w:rPr>
                <w:b/>
                <w:sz w:val="18"/>
                <w:lang w:val="es-MX"/>
              </w:rPr>
            </w:pPr>
            <w:r>
              <w:rPr>
                <w:b/>
                <w:sz w:val="18"/>
                <w:lang w:val="es-MX"/>
              </w:rPr>
              <w:t>Meta Final</w:t>
            </w:r>
          </w:p>
        </w:tc>
      </w:tr>
      <w:tr w:rsidR="002A3206" w:rsidRPr="00883A0A" w:rsidTr="00416654">
        <w:tc>
          <w:tcPr>
            <w:tcW w:w="9225" w:type="dxa"/>
            <w:gridSpan w:val="7"/>
          </w:tcPr>
          <w:p w:rsidR="002A3206" w:rsidRPr="00416654" w:rsidRDefault="002A3206" w:rsidP="00E807B0">
            <w:pPr>
              <w:rPr>
                <w:b/>
                <w:sz w:val="18"/>
                <w:lang w:val="es-MX"/>
              </w:rPr>
            </w:pPr>
            <w:r w:rsidRPr="00416654">
              <w:rPr>
                <w:b/>
                <w:smallCaps/>
                <w:sz w:val="18"/>
                <w:lang w:val="es-MX"/>
              </w:rPr>
              <w:t>Componente I – Reforzamiento del Sistema Nacional de Distribución</w:t>
            </w:r>
          </w:p>
        </w:tc>
        <w:tc>
          <w:tcPr>
            <w:tcW w:w="1163" w:type="dxa"/>
          </w:tcPr>
          <w:p w:rsidR="002A3206" w:rsidRPr="0067646A" w:rsidRDefault="002A3206" w:rsidP="00E807B0">
            <w:pPr>
              <w:rPr>
                <w:b/>
                <w:smallCaps/>
                <w:sz w:val="18"/>
                <w:lang w:val="es-MX"/>
              </w:rPr>
            </w:pPr>
          </w:p>
        </w:tc>
      </w:tr>
      <w:tr w:rsidR="002A3206" w:rsidRPr="00164A31" w:rsidTr="00416654">
        <w:tc>
          <w:tcPr>
            <w:tcW w:w="2699" w:type="dxa"/>
            <w:vMerge w:val="restart"/>
          </w:tcPr>
          <w:p w:rsidR="002A3206" w:rsidRPr="00164A31" w:rsidRDefault="002A3206" w:rsidP="007E7043">
            <w:pPr>
              <w:jc w:val="left"/>
              <w:rPr>
                <w:sz w:val="18"/>
                <w:lang w:val="es-MX"/>
              </w:rPr>
            </w:pPr>
            <w:r w:rsidRPr="00164A31">
              <w:rPr>
                <w:sz w:val="18"/>
                <w:lang w:val="es-MX"/>
              </w:rPr>
              <w:t xml:space="preserve">I-1: </w:t>
            </w:r>
            <w:r w:rsidRPr="00116B96">
              <w:rPr>
                <w:sz w:val="18"/>
                <w:lang w:val="es-MX"/>
              </w:rPr>
              <w:t xml:space="preserve">Proyectos de líneas de </w:t>
            </w:r>
            <w:proofErr w:type="spellStart"/>
            <w:r w:rsidRPr="00116B96">
              <w:rPr>
                <w:sz w:val="18"/>
                <w:lang w:val="es-MX"/>
              </w:rPr>
              <w:t>Subtransmisión</w:t>
            </w:r>
            <w:proofErr w:type="spellEnd"/>
            <w:r w:rsidRPr="00116B96">
              <w:rPr>
                <w:sz w:val="18"/>
                <w:lang w:val="es-MX"/>
              </w:rPr>
              <w:t xml:space="preserve"> nuevas y/o repotenciadas, ejecutados</w:t>
            </w:r>
          </w:p>
        </w:tc>
        <w:tc>
          <w:tcPr>
            <w:tcW w:w="1091" w:type="dxa"/>
            <w:vMerge w:val="restart"/>
          </w:tcPr>
          <w:p w:rsidR="002A3206" w:rsidRPr="00164A31" w:rsidRDefault="002A3206" w:rsidP="007E7043">
            <w:pPr>
              <w:jc w:val="center"/>
              <w:rPr>
                <w:sz w:val="18"/>
                <w:lang w:val="es-MX"/>
              </w:rPr>
            </w:pPr>
            <w:r w:rsidRPr="00164A31">
              <w:rPr>
                <w:sz w:val="18"/>
                <w:lang w:val="es-MX"/>
              </w:rPr>
              <w:t>kilómetros de línea</w:t>
            </w:r>
          </w:p>
        </w:tc>
        <w:tc>
          <w:tcPr>
            <w:tcW w:w="824" w:type="dxa"/>
            <w:vMerge w:val="restart"/>
          </w:tcPr>
          <w:p w:rsidR="002A3206" w:rsidRPr="00164A31" w:rsidRDefault="002A3206" w:rsidP="007E7043">
            <w:pPr>
              <w:jc w:val="center"/>
              <w:rPr>
                <w:sz w:val="18"/>
                <w:lang w:val="es-MX"/>
              </w:rPr>
            </w:pPr>
            <w:r w:rsidRPr="00164A31">
              <w:rPr>
                <w:sz w:val="18"/>
                <w:lang w:val="es-MX"/>
              </w:rPr>
              <w:t>0</w:t>
            </w:r>
          </w:p>
        </w:tc>
        <w:tc>
          <w:tcPr>
            <w:tcW w:w="1468" w:type="dxa"/>
            <w:vMerge w:val="restart"/>
          </w:tcPr>
          <w:p w:rsidR="002A3206" w:rsidRPr="00164A31" w:rsidRDefault="002A3206" w:rsidP="007279BB">
            <w:pPr>
              <w:rPr>
                <w:sz w:val="18"/>
                <w:lang w:val="es-MX"/>
              </w:rPr>
            </w:pPr>
            <w:r w:rsidRPr="00164A31">
              <w:rPr>
                <w:sz w:val="18"/>
                <w:lang w:val="es-MX"/>
              </w:rPr>
              <w:t>Informe de avance del proyecto</w:t>
            </w:r>
          </w:p>
        </w:tc>
        <w:tc>
          <w:tcPr>
            <w:tcW w:w="990" w:type="dxa"/>
          </w:tcPr>
          <w:p w:rsidR="002A3206" w:rsidRPr="00164A31" w:rsidRDefault="002A3206" w:rsidP="007279BB">
            <w:pPr>
              <w:rPr>
                <w:sz w:val="18"/>
                <w:lang w:val="es-MX"/>
              </w:rPr>
            </w:pPr>
            <w:r w:rsidRPr="00164A31">
              <w:rPr>
                <w:sz w:val="18"/>
                <w:lang w:val="es-MX"/>
              </w:rPr>
              <w:t>Prevista</w:t>
            </w:r>
          </w:p>
        </w:tc>
        <w:tc>
          <w:tcPr>
            <w:tcW w:w="990" w:type="dxa"/>
            <w:vAlign w:val="center"/>
          </w:tcPr>
          <w:p w:rsidR="002A3206" w:rsidRPr="00164A31" w:rsidRDefault="002A3206">
            <w:pPr>
              <w:jc w:val="center"/>
              <w:rPr>
                <w:sz w:val="18"/>
                <w:lang w:val="es-MX"/>
              </w:rPr>
            </w:pPr>
            <w:r>
              <w:rPr>
                <w:sz w:val="18"/>
                <w:lang w:val="es-MX"/>
              </w:rPr>
              <w:t>28</w:t>
            </w:r>
          </w:p>
        </w:tc>
        <w:tc>
          <w:tcPr>
            <w:tcW w:w="1163" w:type="dxa"/>
            <w:vAlign w:val="center"/>
          </w:tcPr>
          <w:p w:rsidR="002A3206" w:rsidRPr="00164A31" w:rsidRDefault="002A3206" w:rsidP="00416654">
            <w:pPr>
              <w:jc w:val="center"/>
              <w:rPr>
                <w:sz w:val="18"/>
                <w:lang w:val="es-MX"/>
              </w:rPr>
            </w:pPr>
            <w:r>
              <w:rPr>
                <w:sz w:val="18"/>
                <w:lang w:val="es-MX"/>
              </w:rPr>
              <w:t>N/A</w:t>
            </w:r>
          </w:p>
        </w:tc>
        <w:tc>
          <w:tcPr>
            <w:tcW w:w="1163" w:type="dxa"/>
            <w:vAlign w:val="center"/>
          </w:tcPr>
          <w:p w:rsidR="002A3206" w:rsidRPr="00164A31" w:rsidRDefault="002A3206" w:rsidP="00416654">
            <w:pPr>
              <w:jc w:val="center"/>
              <w:rPr>
                <w:sz w:val="18"/>
                <w:lang w:val="es-MX"/>
              </w:rPr>
            </w:pPr>
            <w:r>
              <w:rPr>
                <w:sz w:val="18"/>
                <w:lang w:val="es-MX"/>
              </w:rPr>
              <w:t>178</w:t>
            </w:r>
          </w:p>
        </w:tc>
      </w:tr>
      <w:tr w:rsidR="002A3206" w:rsidRPr="00164A31" w:rsidTr="00416654">
        <w:tc>
          <w:tcPr>
            <w:tcW w:w="2699" w:type="dxa"/>
            <w:vMerge/>
          </w:tcPr>
          <w:p w:rsidR="002A3206" w:rsidRPr="00164A31" w:rsidRDefault="002A3206" w:rsidP="007E7043">
            <w:pPr>
              <w:jc w:val="left"/>
              <w:rPr>
                <w:sz w:val="18"/>
                <w:lang w:val="es-MX"/>
              </w:rPr>
            </w:pPr>
          </w:p>
        </w:tc>
        <w:tc>
          <w:tcPr>
            <w:tcW w:w="1091" w:type="dxa"/>
            <w:vMerge/>
          </w:tcPr>
          <w:p w:rsidR="002A3206" w:rsidRPr="00164A31" w:rsidRDefault="002A3206" w:rsidP="007E7043">
            <w:pPr>
              <w:jc w:val="center"/>
              <w:rPr>
                <w:sz w:val="18"/>
                <w:lang w:val="es-MX"/>
              </w:rPr>
            </w:pPr>
          </w:p>
        </w:tc>
        <w:tc>
          <w:tcPr>
            <w:tcW w:w="824" w:type="dxa"/>
            <w:vMerge/>
          </w:tcPr>
          <w:p w:rsidR="002A3206" w:rsidRPr="00164A31" w:rsidRDefault="002A3206" w:rsidP="007E7043">
            <w:pPr>
              <w:jc w:val="center"/>
              <w:rPr>
                <w:sz w:val="18"/>
                <w:lang w:val="es-MX"/>
              </w:rPr>
            </w:pPr>
          </w:p>
        </w:tc>
        <w:tc>
          <w:tcPr>
            <w:tcW w:w="1468" w:type="dxa"/>
            <w:vMerge/>
          </w:tcPr>
          <w:p w:rsidR="002A3206" w:rsidRPr="00164A31" w:rsidRDefault="002A3206" w:rsidP="007279BB">
            <w:pPr>
              <w:rPr>
                <w:sz w:val="18"/>
                <w:lang w:val="es-MX"/>
              </w:rPr>
            </w:pPr>
          </w:p>
        </w:tc>
        <w:tc>
          <w:tcPr>
            <w:tcW w:w="990" w:type="dxa"/>
          </w:tcPr>
          <w:p w:rsidR="002A3206" w:rsidRPr="00164A31" w:rsidRDefault="002A3206">
            <w:pPr>
              <w:rPr>
                <w:sz w:val="18"/>
                <w:lang w:val="es-MX"/>
              </w:rPr>
            </w:pPr>
            <w:r>
              <w:rPr>
                <w:sz w:val="18"/>
                <w:lang w:val="es-MX"/>
              </w:rPr>
              <w:t>Avance</w:t>
            </w:r>
          </w:p>
        </w:tc>
        <w:tc>
          <w:tcPr>
            <w:tcW w:w="990" w:type="dxa"/>
            <w:vAlign w:val="center"/>
          </w:tcPr>
          <w:p w:rsidR="002A3206" w:rsidRPr="00164A31" w:rsidRDefault="002A3206">
            <w:pPr>
              <w:jc w:val="center"/>
              <w:rPr>
                <w:sz w:val="18"/>
                <w:lang w:val="es-MX"/>
              </w:rPr>
            </w:pPr>
            <w:r>
              <w:rPr>
                <w:sz w:val="18"/>
                <w:lang w:val="es-MX"/>
              </w:rPr>
              <w:t>28</w:t>
            </w:r>
          </w:p>
        </w:tc>
        <w:tc>
          <w:tcPr>
            <w:tcW w:w="1163" w:type="dxa"/>
            <w:vAlign w:val="center"/>
          </w:tcPr>
          <w:p w:rsidR="002A3206" w:rsidRPr="00164A31" w:rsidRDefault="002A3206" w:rsidP="00416654">
            <w:pPr>
              <w:jc w:val="center"/>
              <w:rPr>
                <w:sz w:val="18"/>
                <w:lang w:val="es-MX"/>
              </w:rPr>
            </w:pPr>
            <w:r>
              <w:rPr>
                <w:sz w:val="18"/>
                <w:lang w:val="es-MX"/>
              </w:rPr>
              <w:t>3</w:t>
            </w:r>
            <w:r w:rsidR="003F453A">
              <w:rPr>
                <w:sz w:val="18"/>
                <w:lang w:val="es-MX"/>
              </w:rPr>
              <w:t>8</w:t>
            </w:r>
          </w:p>
        </w:tc>
        <w:tc>
          <w:tcPr>
            <w:tcW w:w="1163" w:type="dxa"/>
            <w:vAlign w:val="center"/>
          </w:tcPr>
          <w:p w:rsidR="002A3206" w:rsidRPr="00164A31" w:rsidDel="00E71BA7" w:rsidRDefault="003F453A" w:rsidP="00416654">
            <w:pPr>
              <w:jc w:val="center"/>
              <w:rPr>
                <w:sz w:val="18"/>
                <w:lang w:val="es-MX"/>
              </w:rPr>
            </w:pPr>
            <w:r>
              <w:rPr>
                <w:sz w:val="18"/>
                <w:lang w:val="es-MX"/>
              </w:rPr>
              <w:t>66</w:t>
            </w:r>
            <w:r w:rsidR="002A3206">
              <w:rPr>
                <w:sz w:val="18"/>
                <w:lang w:val="es-MX"/>
              </w:rPr>
              <w:t xml:space="preserve"> (37%)</w:t>
            </w:r>
          </w:p>
        </w:tc>
      </w:tr>
      <w:tr w:rsidR="00B20DDB" w:rsidRPr="00164A31" w:rsidTr="006E39AB">
        <w:tc>
          <w:tcPr>
            <w:tcW w:w="2699" w:type="dxa"/>
            <w:vMerge w:val="restart"/>
            <w:vAlign w:val="center"/>
          </w:tcPr>
          <w:p w:rsidR="00B20DDB" w:rsidRPr="00164A31" w:rsidRDefault="00B20DDB" w:rsidP="00B20DDB">
            <w:pPr>
              <w:jc w:val="left"/>
              <w:rPr>
                <w:sz w:val="18"/>
                <w:lang w:val="es-MX"/>
              </w:rPr>
            </w:pPr>
            <w:r>
              <w:rPr>
                <w:sz w:val="18"/>
                <w:lang w:val="es-MX"/>
              </w:rPr>
              <w:t xml:space="preserve">I-2. </w:t>
            </w:r>
            <w:r w:rsidRPr="00116B96">
              <w:rPr>
                <w:sz w:val="18"/>
                <w:lang w:val="es-MX"/>
              </w:rPr>
              <w:t>Proyectos de Subestaciones, nuevas y/o repotenciadas, ejecutados</w:t>
            </w:r>
            <w:r>
              <w:rPr>
                <w:sz w:val="18"/>
                <w:lang w:val="es-MX"/>
              </w:rPr>
              <w:t>.</w:t>
            </w:r>
          </w:p>
        </w:tc>
        <w:tc>
          <w:tcPr>
            <w:tcW w:w="1091" w:type="dxa"/>
            <w:vMerge w:val="restart"/>
            <w:vAlign w:val="center"/>
          </w:tcPr>
          <w:p w:rsidR="00B20DDB" w:rsidRPr="00164A31" w:rsidRDefault="00B20DDB" w:rsidP="000F3D12">
            <w:pPr>
              <w:jc w:val="center"/>
              <w:rPr>
                <w:sz w:val="18"/>
                <w:lang w:val="es-MX"/>
              </w:rPr>
            </w:pPr>
            <w:r>
              <w:rPr>
                <w:sz w:val="18"/>
                <w:lang w:val="es-MX"/>
              </w:rPr>
              <w:t>#proyectos</w:t>
            </w:r>
          </w:p>
        </w:tc>
        <w:tc>
          <w:tcPr>
            <w:tcW w:w="824" w:type="dxa"/>
            <w:vMerge w:val="restart"/>
            <w:vAlign w:val="center"/>
          </w:tcPr>
          <w:p w:rsidR="00B20DDB" w:rsidRPr="00164A31" w:rsidRDefault="00B20DDB" w:rsidP="000F3D12">
            <w:pPr>
              <w:jc w:val="center"/>
              <w:rPr>
                <w:sz w:val="18"/>
                <w:lang w:val="es-MX"/>
              </w:rPr>
            </w:pPr>
            <w:r>
              <w:rPr>
                <w:sz w:val="18"/>
                <w:lang w:val="es-MX"/>
              </w:rPr>
              <w:t>0</w:t>
            </w:r>
          </w:p>
        </w:tc>
        <w:tc>
          <w:tcPr>
            <w:tcW w:w="1468" w:type="dxa"/>
            <w:vMerge w:val="restart"/>
            <w:vAlign w:val="center"/>
          </w:tcPr>
          <w:p w:rsidR="00B20DDB" w:rsidRPr="00164A31" w:rsidRDefault="00B20DDB" w:rsidP="000F3D12">
            <w:pPr>
              <w:rPr>
                <w:sz w:val="18"/>
                <w:lang w:val="es-MX"/>
              </w:rPr>
            </w:pPr>
            <w:r w:rsidRPr="00164A31">
              <w:rPr>
                <w:sz w:val="18"/>
                <w:lang w:val="es-MX"/>
              </w:rPr>
              <w:t>Informe de avance del proyecto</w:t>
            </w:r>
          </w:p>
        </w:tc>
        <w:tc>
          <w:tcPr>
            <w:tcW w:w="990" w:type="dxa"/>
          </w:tcPr>
          <w:p w:rsidR="00B20DDB" w:rsidRPr="00164A31" w:rsidRDefault="00B20DDB" w:rsidP="000F3D12">
            <w:pPr>
              <w:rPr>
                <w:sz w:val="18"/>
                <w:lang w:val="es-MX"/>
              </w:rPr>
            </w:pPr>
            <w:r w:rsidRPr="00164A31">
              <w:rPr>
                <w:sz w:val="18"/>
                <w:lang w:val="es-MX"/>
              </w:rPr>
              <w:t>Prevista</w:t>
            </w:r>
          </w:p>
        </w:tc>
        <w:tc>
          <w:tcPr>
            <w:tcW w:w="990" w:type="dxa"/>
            <w:vAlign w:val="center"/>
          </w:tcPr>
          <w:p w:rsidR="00B20DDB" w:rsidRPr="00164A31" w:rsidRDefault="00B20DDB">
            <w:pPr>
              <w:jc w:val="center"/>
              <w:rPr>
                <w:sz w:val="18"/>
                <w:lang w:val="es-MX"/>
              </w:rPr>
            </w:pPr>
            <w:r>
              <w:rPr>
                <w:sz w:val="18"/>
                <w:lang w:val="es-MX"/>
              </w:rPr>
              <w:t>0</w:t>
            </w:r>
          </w:p>
        </w:tc>
        <w:tc>
          <w:tcPr>
            <w:tcW w:w="1163" w:type="dxa"/>
            <w:vAlign w:val="center"/>
          </w:tcPr>
          <w:p w:rsidR="00B20DDB" w:rsidRPr="00164A31" w:rsidRDefault="00B20DDB" w:rsidP="00416654">
            <w:pPr>
              <w:jc w:val="center"/>
              <w:rPr>
                <w:sz w:val="18"/>
                <w:lang w:val="es-MX"/>
              </w:rPr>
            </w:pPr>
            <w:r>
              <w:rPr>
                <w:sz w:val="18"/>
                <w:lang w:val="es-MX"/>
              </w:rPr>
              <w:t>N/A</w:t>
            </w:r>
            <w:r w:rsidR="00DF1AC0">
              <w:rPr>
                <w:sz w:val="18"/>
                <w:lang w:val="es-MX"/>
              </w:rPr>
              <w:t xml:space="preserve"> </w:t>
            </w:r>
          </w:p>
        </w:tc>
        <w:tc>
          <w:tcPr>
            <w:tcW w:w="1163" w:type="dxa"/>
            <w:vAlign w:val="center"/>
          </w:tcPr>
          <w:p w:rsidR="00B20DDB" w:rsidRPr="00164A31" w:rsidRDefault="00B20DDB" w:rsidP="00416654">
            <w:pPr>
              <w:jc w:val="center"/>
              <w:rPr>
                <w:sz w:val="18"/>
                <w:lang w:val="es-MX"/>
              </w:rPr>
            </w:pPr>
            <w:r>
              <w:rPr>
                <w:sz w:val="18"/>
                <w:lang w:val="es-MX"/>
              </w:rPr>
              <w:t>78</w:t>
            </w:r>
          </w:p>
        </w:tc>
      </w:tr>
      <w:tr w:rsidR="00B20DDB" w:rsidRPr="00164A31" w:rsidTr="00416654">
        <w:tc>
          <w:tcPr>
            <w:tcW w:w="2699" w:type="dxa"/>
            <w:vMerge/>
          </w:tcPr>
          <w:p w:rsidR="00B20DDB" w:rsidRPr="00164A31" w:rsidRDefault="00B20DDB" w:rsidP="000F3D12">
            <w:pPr>
              <w:jc w:val="left"/>
              <w:rPr>
                <w:sz w:val="18"/>
                <w:lang w:val="es-MX"/>
              </w:rPr>
            </w:pPr>
          </w:p>
        </w:tc>
        <w:tc>
          <w:tcPr>
            <w:tcW w:w="1091" w:type="dxa"/>
            <w:vMerge/>
          </w:tcPr>
          <w:p w:rsidR="00B20DDB" w:rsidRPr="00164A31" w:rsidRDefault="00B20DDB" w:rsidP="000F3D12">
            <w:pPr>
              <w:jc w:val="center"/>
              <w:rPr>
                <w:sz w:val="18"/>
                <w:lang w:val="es-MX"/>
              </w:rPr>
            </w:pPr>
          </w:p>
        </w:tc>
        <w:tc>
          <w:tcPr>
            <w:tcW w:w="824" w:type="dxa"/>
            <w:vMerge/>
          </w:tcPr>
          <w:p w:rsidR="00B20DDB" w:rsidRPr="00164A31" w:rsidRDefault="00B20DDB" w:rsidP="000F3D12">
            <w:pPr>
              <w:jc w:val="center"/>
              <w:rPr>
                <w:sz w:val="18"/>
                <w:lang w:val="es-MX"/>
              </w:rPr>
            </w:pPr>
          </w:p>
        </w:tc>
        <w:tc>
          <w:tcPr>
            <w:tcW w:w="1468" w:type="dxa"/>
            <w:vMerge/>
          </w:tcPr>
          <w:p w:rsidR="00B20DDB" w:rsidRPr="00164A31" w:rsidRDefault="00B20DDB" w:rsidP="000F3D12">
            <w:pPr>
              <w:rPr>
                <w:sz w:val="18"/>
                <w:lang w:val="es-MX"/>
              </w:rPr>
            </w:pPr>
          </w:p>
        </w:tc>
        <w:tc>
          <w:tcPr>
            <w:tcW w:w="990" w:type="dxa"/>
          </w:tcPr>
          <w:p w:rsidR="00B20DDB" w:rsidRPr="00164A31" w:rsidRDefault="00B20DDB">
            <w:pPr>
              <w:rPr>
                <w:sz w:val="18"/>
                <w:lang w:val="es-MX"/>
              </w:rPr>
            </w:pPr>
            <w:r>
              <w:rPr>
                <w:sz w:val="18"/>
                <w:lang w:val="es-MX"/>
              </w:rPr>
              <w:t>Avance</w:t>
            </w:r>
            <w:r w:rsidRPr="00164A31">
              <w:rPr>
                <w:sz w:val="18"/>
                <w:lang w:val="es-MX"/>
              </w:rPr>
              <w:t xml:space="preserve"> </w:t>
            </w:r>
          </w:p>
        </w:tc>
        <w:tc>
          <w:tcPr>
            <w:tcW w:w="990" w:type="dxa"/>
            <w:vAlign w:val="center"/>
          </w:tcPr>
          <w:p w:rsidR="00B20DDB" w:rsidRPr="00164A31" w:rsidRDefault="00B20DDB">
            <w:pPr>
              <w:jc w:val="center"/>
              <w:rPr>
                <w:sz w:val="18"/>
                <w:lang w:val="es-MX"/>
              </w:rPr>
            </w:pPr>
            <w:r>
              <w:rPr>
                <w:sz w:val="18"/>
                <w:lang w:val="es-MX"/>
              </w:rPr>
              <w:t>0</w:t>
            </w:r>
          </w:p>
        </w:tc>
        <w:tc>
          <w:tcPr>
            <w:tcW w:w="1163" w:type="dxa"/>
            <w:vAlign w:val="center"/>
          </w:tcPr>
          <w:p w:rsidR="00B20DDB" w:rsidRPr="00164A31" w:rsidRDefault="00B20DDB" w:rsidP="00416654">
            <w:pPr>
              <w:jc w:val="center"/>
              <w:rPr>
                <w:sz w:val="18"/>
                <w:lang w:val="es-MX"/>
              </w:rPr>
            </w:pPr>
            <w:r>
              <w:rPr>
                <w:sz w:val="18"/>
                <w:lang w:val="es-MX"/>
              </w:rPr>
              <w:t>0</w:t>
            </w:r>
          </w:p>
        </w:tc>
        <w:tc>
          <w:tcPr>
            <w:tcW w:w="1163" w:type="dxa"/>
            <w:vAlign w:val="center"/>
          </w:tcPr>
          <w:p w:rsidR="00B20DDB" w:rsidRDefault="00B20DDB" w:rsidP="00416654">
            <w:pPr>
              <w:jc w:val="center"/>
              <w:rPr>
                <w:sz w:val="18"/>
                <w:lang w:val="es-MX"/>
              </w:rPr>
            </w:pPr>
            <w:r>
              <w:rPr>
                <w:sz w:val="18"/>
                <w:lang w:val="es-MX"/>
              </w:rPr>
              <w:t>0</w:t>
            </w:r>
          </w:p>
        </w:tc>
      </w:tr>
      <w:tr w:rsidR="00B20DDB" w:rsidRPr="00164A31" w:rsidTr="00416654">
        <w:tc>
          <w:tcPr>
            <w:tcW w:w="2699" w:type="dxa"/>
            <w:vMerge w:val="restart"/>
          </w:tcPr>
          <w:p w:rsidR="00B20DDB" w:rsidRPr="00164A31" w:rsidRDefault="00B20DDB" w:rsidP="000F3D12">
            <w:pPr>
              <w:jc w:val="left"/>
              <w:rPr>
                <w:sz w:val="18"/>
                <w:lang w:val="es-MX"/>
              </w:rPr>
            </w:pPr>
            <w:r>
              <w:rPr>
                <w:sz w:val="18"/>
                <w:lang w:val="es-MX"/>
              </w:rPr>
              <w:t>I-3</w:t>
            </w:r>
            <w:r w:rsidRPr="00164A31">
              <w:rPr>
                <w:sz w:val="18"/>
                <w:lang w:val="es-MX"/>
              </w:rPr>
              <w:t xml:space="preserve">: </w:t>
            </w:r>
            <w:r w:rsidRPr="00116B96">
              <w:rPr>
                <w:sz w:val="18"/>
                <w:lang w:val="es-MX"/>
              </w:rPr>
              <w:t>Proyectos de línea Distribución, nuevos y/o repotenciados, ejecutados</w:t>
            </w:r>
          </w:p>
        </w:tc>
        <w:tc>
          <w:tcPr>
            <w:tcW w:w="1091" w:type="dxa"/>
            <w:vMerge w:val="restart"/>
          </w:tcPr>
          <w:p w:rsidR="00B20DDB" w:rsidRPr="00164A31" w:rsidRDefault="00B20DDB" w:rsidP="000F3D12">
            <w:pPr>
              <w:jc w:val="center"/>
              <w:rPr>
                <w:sz w:val="18"/>
                <w:lang w:val="es-MX"/>
              </w:rPr>
            </w:pPr>
            <w:r w:rsidRPr="00164A31">
              <w:rPr>
                <w:sz w:val="18"/>
                <w:lang w:val="es-MX"/>
              </w:rPr>
              <w:t>kilómetros de línea</w:t>
            </w:r>
          </w:p>
        </w:tc>
        <w:tc>
          <w:tcPr>
            <w:tcW w:w="824" w:type="dxa"/>
            <w:vMerge w:val="restart"/>
          </w:tcPr>
          <w:p w:rsidR="00B20DDB" w:rsidRPr="00164A31" w:rsidRDefault="00B20DDB" w:rsidP="000F3D12">
            <w:pPr>
              <w:jc w:val="center"/>
              <w:rPr>
                <w:sz w:val="18"/>
                <w:lang w:val="es-MX"/>
              </w:rPr>
            </w:pPr>
            <w:r>
              <w:rPr>
                <w:sz w:val="18"/>
                <w:lang w:val="es-MX"/>
              </w:rPr>
              <w:t>0</w:t>
            </w:r>
          </w:p>
        </w:tc>
        <w:tc>
          <w:tcPr>
            <w:tcW w:w="1468" w:type="dxa"/>
            <w:vMerge w:val="restart"/>
          </w:tcPr>
          <w:p w:rsidR="00B20DDB" w:rsidRPr="00164A31" w:rsidRDefault="00B20DDB" w:rsidP="000F3D12">
            <w:pPr>
              <w:rPr>
                <w:sz w:val="18"/>
                <w:lang w:val="es-MX"/>
              </w:rPr>
            </w:pPr>
            <w:r w:rsidRPr="00164A31">
              <w:rPr>
                <w:sz w:val="18"/>
                <w:lang w:val="es-MX"/>
              </w:rPr>
              <w:t>Informe de avance del proyecto</w:t>
            </w:r>
          </w:p>
        </w:tc>
        <w:tc>
          <w:tcPr>
            <w:tcW w:w="990" w:type="dxa"/>
          </w:tcPr>
          <w:p w:rsidR="00B20DDB" w:rsidRDefault="00B20DDB">
            <w:pPr>
              <w:rPr>
                <w:sz w:val="18"/>
                <w:lang w:val="es-MX"/>
              </w:rPr>
            </w:pPr>
            <w:r w:rsidRPr="00164A31">
              <w:rPr>
                <w:sz w:val="18"/>
                <w:lang w:val="es-MX"/>
              </w:rPr>
              <w:t>Prevista</w:t>
            </w:r>
          </w:p>
        </w:tc>
        <w:tc>
          <w:tcPr>
            <w:tcW w:w="990" w:type="dxa"/>
            <w:vAlign w:val="center"/>
          </w:tcPr>
          <w:p w:rsidR="00B20DDB" w:rsidRDefault="00B20DDB">
            <w:pPr>
              <w:jc w:val="center"/>
              <w:rPr>
                <w:sz w:val="18"/>
                <w:lang w:val="es-MX"/>
              </w:rPr>
            </w:pPr>
            <w:r>
              <w:rPr>
                <w:sz w:val="18"/>
                <w:lang w:val="es-MX"/>
              </w:rPr>
              <w:t>582</w:t>
            </w:r>
          </w:p>
        </w:tc>
        <w:tc>
          <w:tcPr>
            <w:tcW w:w="1163" w:type="dxa"/>
            <w:vAlign w:val="center"/>
          </w:tcPr>
          <w:p w:rsidR="00B20DDB" w:rsidRDefault="00B20DDB" w:rsidP="00416654">
            <w:pPr>
              <w:jc w:val="center"/>
              <w:rPr>
                <w:sz w:val="18"/>
                <w:lang w:val="es-MX"/>
              </w:rPr>
            </w:pPr>
            <w:r>
              <w:rPr>
                <w:sz w:val="18"/>
                <w:lang w:val="es-MX"/>
              </w:rPr>
              <w:t xml:space="preserve"> N/A</w:t>
            </w:r>
          </w:p>
        </w:tc>
        <w:tc>
          <w:tcPr>
            <w:tcW w:w="1163" w:type="dxa"/>
            <w:vAlign w:val="center"/>
          </w:tcPr>
          <w:p w:rsidR="00B20DDB" w:rsidRDefault="00B20DDB" w:rsidP="00416654">
            <w:pPr>
              <w:jc w:val="center"/>
              <w:rPr>
                <w:sz w:val="18"/>
                <w:lang w:val="es-MX"/>
              </w:rPr>
            </w:pPr>
            <w:r>
              <w:rPr>
                <w:sz w:val="18"/>
                <w:lang w:val="es-MX"/>
              </w:rPr>
              <w:t>2.737</w:t>
            </w:r>
          </w:p>
        </w:tc>
      </w:tr>
      <w:tr w:rsidR="00B20DDB" w:rsidRPr="00164A31" w:rsidTr="00416654">
        <w:tc>
          <w:tcPr>
            <w:tcW w:w="2699" w:type="dxa"/>
            <w:vMerge/>
          </w:tcPr>
          <w:p w:rsidR="00B20DDB" w:rsidRPr="00164A31" w:rsidRDefault="00B20DDB" w:rsidP="000F3D12">
            <w:pPr>
              <w:jc w:val="left"/>
              <w:rPr>
                <w:sz w:val="18"/>
                <w:lang w:val="es-MX"/>
              </w:rPr>
            </w:pPr>
          </w:p>
        </w:tc>
        <w:tc>
          <w:tcPr>
            <w:tcW w:w="1091" w:type="dxa"/>
            <w:vMerge/>
          </w:tcPr>
          <w:p w:rsidR="00B20DDB" w:rsidRPr="00164A31" w:rsidRDefault="00B20DDB" w:rsidP="000F3D12">
            <w:pPr>
              <w:jc w:val="center"/>
              <w:rPr>
                <w:sz w:val="18"/>
                <w:lang w:val="es-MX"/>
              </w:rPr>
            </w:pPr>
          </w:p>
        </w:tc>
        <w:tc>
          <w:tcPr>
            <w:tcW w:w="824" w:type="dxa"/>
            <w:vMerge/>
          </w:tcPr>
          <w:p w:rsidR="00B20DDB" w:rsidRPr="00164A31" w:rsidRDefault="00B20DDB" w:rsidP="000F3D12">
            <w:pPr>
              <w:jc w:val="center"/>
              <w:rPr>
                <w:sz w:val="18"/>
                <w:lang w:val="es-MX"/>
              </w:rPr>
            </w:pPr>
          </w:p>
        </w:tc>
        <w:tc>
          <w:tcPr>
            <w:tcW w:w="1468" w:type="dxa"/>
            <w:vMerge/>
          </w:tcPr>
          <w:p w:rsidR="00B20DDB" w:rsidRPr="00164A31" w:rsidRDefault="00B20DDB" w:rsidP="000F3D12">
            <w:pPr>
              <w:rPr>
                <w:sz w:val="18"/>
                <w:lang w:val="es-MX"/>
              </w:rPr>
            </w:pPr>
          </w:p>
        </w:tc>
        <w:tc>
          <w:tcPr>
            <w:tcW w:w="990" w:type="dxa"/>
          </w:tcPr>
          <w:p w:rsidR="00B20DDB" w:rsidRDefault="00B20DDB">
            <w:pPr>
              <w:rPr>
                <w:sz w:val="18"/>
                <w:lang w:val="es-MX"/>
              </w:rPr>
            </w:pPr>
            <w:r>
              <w:rPr>
                <w:sz w:val="18"/>
                <w:lang w:val="es-MX"/>
              </w:rPr>
              <w:t>Avance</w:t>
            </w:r>
            <w:r w:rsidRPr="00164A31">
              <w:rPr>
                <w:sz w:val="18"/>
                <w:lang w:val="es-MX"/>
              </w:rPr>
              <w:t xml:space="preserve"> </w:t>
            </w:r>
          </w:p>
        </w:tc>
        <w:tc>
          <w:tcPr>
            <w:tcW w:w="990" w:type="dxa"/>
            <w:vAlign w:val="center"/>
          </w:tcPr>
          <w:p w:rsidR="00B20DDB" w:rsidRDefault="00B20DDB">
            <w:pPr>
              <w:jc w:val="center"/>
              <w:rPr>
                <w:sz w:val="18"/>
                <w:lang w:val="es-MX"/>
              </w:rPr>
            </w:pPr>
            <w:r>
              <w:rPr>
                <w:sz w:val="18"/>
                <w:lang w:val="es-MX"/>
              </w:rPr>
              <w:t>582</w:t>
            </w:r>
          </w:p>
        </w:tc>
        <w:tc>
          <w:tcPr>
            <w:tcW w:w="1163" w:type="dxa"/>
            <w:vAlign w:val="center"/>
          </w:tcPr>
          <w:p w:rsidR="00B20DDB" w:rsidRDefault="00B20DDB" w:rsidP="00416654">
            <w:pPr>
              <w:jc w:val="center"/>
              <w:rPr>
                <w:sz w:val="18"/>
                <w:lang w:val="es-MX"/>
              </w:rPr>
            </w:pPr>
            <w:r>
              <w:rPr>
                <w:sz w:val="18"/>
                <w:lang w:val="es-MX"/>
              </w:rPr>
              <w:t>788</w:t>
            </w:r>
          </w:p>
        </w:tc>
        <w:tc>
          <w:tcPr>
            <w:tcW w:w="1163" w:type="dxa"/>
            <w:vAlign w:val="center"/>
          </w:tcPr>
          <w:p w:rsidR="00B20DDB" w:rsidRDefault="00B20DDB" w:rsidP="00416654">
            <w:pPr>
              <w:jc w:val="center"/>
              <w:rPr>
                <w:sz w:val="18"/>
                <w:lang w:val="es-MX"/>
              </w:rPr>
            </w:pPr>
            <w:r>
              <w:rPr>
                <w:sz w:val="18"/>
                <w:lang w:val="es-MX"/>
              </w:rPr>
              <w:t>1.370 (50%)</w:t>
            </w:r>
          </w:p>
        </w:tc>
      </w:tr>
      <w:tr w:rsidR="00B20DDB" w:rsidRPr="008B2F94" w:rsidTr="00416654">
        <w:tc>
          <w:tcPr>
            <w:tcW w:w="2699" w:type="dxa"/>
            <w:vMerge w:val="restart"/>
            <w:vAlign w:val="center"/>
          </w:tcPr>
          <w:p w:rsidR="00B20DDB" w:rsidRPr="00164A31" w:rsidRDefault="00B20DDB">
            <w:pPr>
              <w:jc w:val="left"/>
              <w:rPr>
                <w:sz w:val="18"/>
                <w:lang w:val="es-MX"/>
              </w:rPr>
            </w:pPr>
          </w:p>
        </w:tc>
        <w:tc>
          <w:tcPr>
            <w:tcW w:w="1091" w:type="dxa"/>
            <w:vMerge w:val="restart"/>
            <w:vAlign w:val="center"/>
          </w:tcPr>
          <w:p w:rsidR="00B20DDB" w:rsidRPr="00164A31" w:rsidRDefault="00B20DDB" w:rsidP="00416654">
            <w:pPr>
              <w:jc w:val="left"/>
              <w:rPr>
                <w:sz w:val="18"/>
                <w:lang w:val="es-MX"/>
              </w:rPr>
            </w:pPr>
          </w:p>
        </w:tc>
        <w:tc>
          <w:tcPr>
            <w:tcW w:w="824" w:type="dxa"/>
            <w:vMerge w:val="restart"/>
            <w:vAlign w:val="center"/>
          </w:tcPr>
          <w:p w:rsidR="00B20DDB" w:rsidRPr="00164A31" w:rsidRDefault="00B20DDB">
            <w:pPr>
              <w:jc w:val="center"/>
              <w:rPr>
                <w:sz w:val="18"/>
                <w:lang w:val="es-MX"/>
              </w:rPr>
            </w:pPr>
          </w:p>
        </w:tc>
        <w:tc>
          <w:tcPr>
            <w:tcW w:w="1468" w:type="dxa"/>
            <w:vMerge w:val="restart"/>
            <w:vAlign w:val="center"/>
          </w:tcPr>
          <w:p w:rsidR="00B20DDB" w:rsidRPr="00164A31" w:rsidRDefault="00B20DDB" w:rsidP="00416654">
            <w:pPr>
              <w:jc w:val="left"/>
              <w:rPr>
                <w:sz w:val="18"/>
                <w:lang w:val="es-MX"/>
              </w:rPr>
            </w:pPr>
          </w:p>
        </w:tc>
        <w:tc>
          <w:tcPr>
            <w:tcW w:w="990" w:type="dxa"/>
          </w:tcPr>
          <w:p w:rsidR="00B20DDB" w:rsidRDefault="00B20DDB">
            <w:pPr>
              <w:rPr>
                <w:sz w:val="18"/>
                <w:lang w:val="es-MX"/>
              </w:rPr>
            </w:pPr>
          </w:p>
        </w:tc>
        <w:tc>
          <w:tcPr>
            <w:tcW w:w="990" w:type="dxa"/>
            <w:vAlign w:val="center"/>
          </w:tcPr>
          <w:p w:rsidR="00B20DDB" w:rsidRPr="00164A31" w:rsidDel="00E71BA7" w:rsidRDefault="00B20DDB">
            <w:pPr>
              <w:jc w:val="center"/>
              <w:rPr>
                <w:sz w:val="18"/>
                <w:lang w:val="es-MX"/>
              </w:rPr>
            </w:pPr>
          </w:p>
        </w:tc>
        <w:tc>
          <w:tcPr>
            <w:tcW w:w="1163" w:type="dxa"/>
            <w:vAlign w:val="center"/>
          </w:tcPr>
          <w:p w:rsidR="00B20DDB" w:rsidRDefault="00B20DDB" w:rsidP="00416654">
            <w:pPr>
              <w:jc w:val="center"/>
              <w:rPr>
                <w:sz w:val="18"/>
                <w:lang w:val="es-MX"/>
              </w:rPr>
            </w:pPr>
          </w:p>
        </w:tc>
        <w:tc>
          <w:tcPr>
            <w:tcW w:w="1163" w:type="dxa"/>
            <w:vAlign w:val="center"/>
          </w:tcPr>
          <w:p w:rsidR="00B20DDB" w:rsidRPr="00164A31" w:rsidRDefault="00B20DDB" w:rsidP="00416654">
            <w:pPr>
              <w:jc w:val="center"/>
              <w:rPr>
                <w:sz w:val="18"/>
                <w:lang w:val="es-MX"/>
              </w:rPr>
            </w:pPr>
          </w:p>
        </w:tc>
      </w:tr>
      <w:tr w:rsidR="00B20DDB" w:rsidRPr="008B2F94" w:rsidTr="00416654">
        <w:tc>
          <w:tcPr>
            <w:tcW w:w="2699" w:type="dxa"/>
            <w:vMerge/>
          </w:tcPr>
          <w:p w:rsidR="00B20DDB" w:rsidRPr="00164A31" w:rsidRDefault="00B20DDB" w:rsidP="000F3D12">
            <w:pPr>
              <w:jc w:val="left"/>
              <w:rPr>
                <w:sz w:val="18"/>
                <w:lang w:val="es-MX"/>
              </w:rPr>
            </w:pPr>
          </w:p>
        </w:tc>
        <w:tc>
          <w:tcPr>
            <w:tcW w:w="1091" w:type="dxa"/>
            <w:vMerge/>
          </w:tcPr>
          <w:p w:rsidR="00B20DDB" w:rsidRPr="00164A31" w:rsidRDefault="00B20DDB" w:rsidP="000F3D12">
            <w:pPr>
              <w:jc w:val="center"/>
              <w:rPr>
                <w:sz w:val="18"/>
                <w:lang w:val="es-MX"/>
              </w:rPr>
            </w:pPr>
          </w:p>
        </w:tc>
        <w:tc>
          <w:tcPr>
            <w:tcW w:w="824" w:type="dxa"/>
            <w:vMerge/>
          </w:tcPr>
          <w:p w:rsidR="00B20DDB" w:rsidRPr="00164A31" w:rsidRDefault="00B20DDB" w:rsidP="000F3D12">
            <w:pPr>
              <w:jc w:val="center"/>
              <w:rPr>
                <w:sz w:val="18"/>
                <w:lang w:val="es-MX"/>
              </w:rPr>
            </w:pPr>
          </w:p>
        </w:tc>
        <w:tc>
          <w:tcPr>
            <w:tcW w:w="1468" w:type="dxa"/>
            <w:vMerge/>
          </w:tcPr>
          <w:p w:rsidR="00B20DDB" w:rsidRPr="00164A31" w:rsidRDefault="00B20DDB" w:rsidP="000F3D12">
            <w:pPr>
              <w:rPr>
                <w:sz w:val="18"/>
                <w:lang w:val="es-MX"/>
              </w:rPr>
            </w:pPr>
          </w:p>
        </w:tc>
        <w:tc>
          <w:tcPr>
            <w:tcW w:w="990" w:type="dxa"/>
          </w:tcPr>
          <w:p w:rsidR="00B20DDB" w:rsidRDefault="00B20DDB">
            <w:pPr>
              <w:rPr>
                <w:sz w:val="18"/>
                <w:lang w:val="es-MX"/>
              </w:rPr>
            </w:pPr>
          </w:p>
        </w:tc>
        <w:tc>
          <w:tcPr>
            <w:tcW w:w="990" w:type="dxa"/>
            <w:vAlign w:val="center"/>
          </w:tcPr>
          <w:p w:rsidR="00B20DDB" w:rsidRPr="00164A31" w:rsidDel="00E71BA7" w:rsidRDefault="00B20DDB">
            <w:pPr>
              <w:jc w:val="center"/>
              <w:rPr>
                <w:sz w:val="18"/>
                <w:lang w:val="es-MX"/>
              </w:rPr>
            </w:pPr>
          </w:p>
        </w:tc>
        <w:tc>
          <w:tcPr>
            <w:tcW w:w="1163" w:type="dxa"/>
            <w:vAlign w:val="center"/>
          </w:tcPr>
          <w:p w:rsidR="00B20DDB" w:rsidRDefault="00B20DDB" w:rsidP="00416654">
            <w:pPr>
              <w:jc w:val="center"/>
              <w:rPr>
                <w:sz w:val="18"/>
                <w:lang w:val="es-MX"/>
              </w:rPr>
            </w:pPr>
          </w:p>
        </w:tc>
        <w:tc>
          <w:tcPr>
            <w:tcW w:w="1163" w:type="dxa"/>
            <w:vAlign w:val="center"/>
          </w:tcPr>
          <w:p w:rsidR="00B20DDB" w:rsidRDefault="00B20DDB" w:rsidP="00416654">
            <w:pPr>
              <w:jc w:val="center"/>
              <w:rPr>
                <w:sz w:val="18"/>
                <w:lang w:val="es-MX"/>
              </w:rPr>
            </w:pPr>
          </w:p>
        </w:tc>
      </w:tr>
      <w:tr w:rsidR="00B20DDB" w:rsidRPr="00164A31" w:rsidTr="00416654">
        <w:tc>
          <w:tcPr>
            <w:tcW w:w="2699" w:type="dxa"/>
            <w:vMerge w:val="restart"/>
            <w:vAlign w:val="center"/>
          </w:tcPr>
          <w:p w:rsidR="00B20DDB" w:rsidRPr="00164A31" w:rsidRDefault="00B20DDB" w:rsidP="000F3D12">
            <w:pPr>
              <w:jc w:val="left"/>
              <w:rPr>
                <w:sz w:val="18"/>
                <w:lang w:val="es-MX"/>
              </w:rPr>
            </w:pPr>
            <w:r w:rsidRPr="00164A31">
              <w:rPr>
                <w:sz w:val="18"/>
                <w:lang w:val="es-MX"/>
              </w:rPr>
              <w:t xml:space="preserve">I-4: </w:t>
            </w:r>
            <w:r w:rsidRPr="00116B96">
              <w:rPr>
                <w:sz w:val="18"/>
                <w:lang w:val="es-MX"/>
              </w:rPr>
              <w:t>Campañas de Socialización implementadas, para la construcción de proyectos del SND</w:t>
            </w:r>
          </w:p>
        </w:tc>
        <w:tc>
          <w:tcPr>
            <w:tcW w:w="1091" w:type="dxa"/>
            <w:vMerge w:val="restart"/>
            <w:vAlign w:val="center"/>
          </w:tcPr>
          <w:p w:rsidR="00B20DDB" w:rsidRPr="00164A31" w:rsidRDefault="00B20DDB" w:rsidP="000F3D12">
            <w:pPr>
              <w:jc w:val="center"/>
              <w:rPr>
                <w:sz w:val="18"/>
                <w:lang w:val="es-MX"/>
              </w:rPr>
            </w:pPr>
            <w:r>
              <w:rPr>
                <w:sz w:val="18"/>
                <w:lang w:val="es-MX"/>
              </w:rPr>
              <w:t>Núm. campañas</w:t>
            </w:r>
          </w:p>
        </w:tc>
        <w:tc>
          <w:tcPr>
            <w:tcW w:w="824" w:type="dxa"/>
            <w:vMerge w:val="restart"/>
            <w:vAlign w:val="center"/>
          </w:tcPr>
          <w:p w:rsidR="00B20DDB" w:rsidRPr="00164A31" w:rsidRDefault="00B20DDB" w:rsidP="000F3D12">
            <w:pPr>
              <w:jc w:val="center"/>
              <w:rPr>
                <w:sz w:val="18"/>
                <w:lang w:val="es-MX"/>
              </w:rPr>
            </w:pPr>
            <w:r w:rsidRPr="00164A31">
              <w:rPr>
                <w:sz w:val="18"/>
                <w:lang w:val="es-MX"/>
              </w:rPr>
              <w:t>0</w:t>
            </w:r>
          </w:p>
        </w:tc>
        <w:tc>
          <w:tcPr>
            <w:tcW w:w="1468" w:type="dxa"/>
            <w:vMerge w:val="restart"/>
            <w:vAlign w:val="center"/>
          </w:tcPr>
          <w:p w:rsidR="00B20DDB" w:rsidRPr="00164A31" w:rsidRDefault="00B20DDB" w:rsidP="00416654">
            <w:pPr>
              <w:rPr>
                <w:sz w:val="18"/>
                <w:lang w:val="es-MX"/>
              </w:rPr>
            </w:pPr>
            <w:r w:rsidRPr="00164A31">
              <w:rPr>
                <w:sz w:val="18"/>
                <w:lang w:val="es-MX"/>
              </w:rPr>
              <w:t>Informe de avance del proyecto</w:t>
            </w:r>
          </w:p>
        </w:tc>
        <w:tc>
          <w:tcPr>
            <w:tcW w:w="990" w:type="dxa"/>
          </w:tcPr>
          <w:p w:rsidR="00B20DDB" w:rsidRPr="00164A31" w:rsidRDefault="00B20DDB" w:rsidP="000F3D12">
            <w:pPr>
              <w:rPr>
                <w:sz w:val="18"/>
                <w:lang w:val="es-MX"/>
              </w:rPr>
            </w:pPr>
            <w:r w:rsidRPr="00164A31">
              <w:rPr>
                <w:sz w:val="18"/>
                <w:lang w:val="es-MX"/>
              </w:rPr>
              <w:t>Prevista</w:t>
            </w:r>
          </w:p>
        </w:tc>
        <w:tc>
          <w:tcPr>
            <w:tcW w:w="990" w:type="dxa"/>
            <w:vAlign w:val="center"/>
          </w:tcPr>
          <w:p w:rsidR="00B20DDB" w:rsidRPr="00164A31" w:rsidRDefault="00B20DDB">
            <w:pPr>
              <w:jc w:val="center"/>
              <w:rPr>
                <w:sz w:val="18"/>
                <w:lang w:val="es-MX"/>
              </w:rPr>
            </w:pPr>
            <w:r>
              <w:rPr>
                <w:sz w:val="18"/>
                <w:lang w:val="es-MX"/>
              </w:rPr>
              <w:t>0</w:t>
            </w:r>
          </w:p>
        </w:tc>
        <w:tc>
          <w:tcPr>
            <w:tcW w:w="1163" w:type="dxa"/>
            <w:vAlign w:val="center"/>
          </w:tcPr>
          <w:p w:rsidR="00B20DDB" w:rsidRPr="00164A31" w:rsidRDefault="00B20DDB" w:rsidP="00416654">
            <w:pPr>
              <w:jc w:val="center"/>
              <w:rPr>
                <w:sz w:val="18"/>
                <w:lang w:val="es-MX"/>
              </w:rPr>
            </w:pPr>
            <w:r>
              <w:rPr>
                <w:sz w:val="18"/>
                <w:lang w:val="es-MX"/>
              </w:rPr>
              <w:t>N/A</w:t>
            </w:r>
          </w:p>
        </w:tc>
        <w:tc>
          <w:tcPr>
            <w:tcW w:w="1163" w:type="dxa"/>
            <w:vAlign w:val="center"/>
          </w:tcPr>
          <w:p w:rsidR="00B20DDB" w:rsidRPr="00164A31" w:rsidRDefault="00B20DDB" w:rsidP="00416654">
            <w:pPr>
              <w:jc w:val="center"/>
              <w:rPr>
                <w:sz w:val="18"/>
                <w:lang w:val="es-MX"/>
              </w:rPr>
            </w:pPr>
            <w:r>
              <w:rPr>
                <w:sz w:val="18"/>
                <w:lang w:val="es-MX"/>
              </w:rPr>
              <w:t>20</w:t>
            </w:r>
          </w:p>
        </w:tc>
      </w:tr>
      <w:tr w:rsidR="00B20DDB" w:rsidRPr="00164A31" w:rsidTr="00416654">
        <w:tc>
          <w:tcPr>
            <w:tcW w:w="2699" w:type="dxa"/>
            <w:vMerge/>
          </w:tcPr>
          <w:p w:rsidR="00B20DDB" w:rsidRPr="00164A31" w:rsidRDefault="00B20DDB" w:rsidP="000F3D12">
            <w:pPr>
              <w:rPr>
                <w:sz w:val="18"/>
                <w:lang w:val="es-MX"/>
              </w:rPr>
            </w:pPr>
          </w:p>
        </w:tc>
        <w:tc>
          <w:tcPr>
            <w:tcW w:w="1091" w:type="dxa"/>
            <w:vMerge/>
          </w:tcPr>
          <w:p w:rsidR="00B20DDB" w:rsidRPr="00164A31" w:rsidRDefault="00B20DDB" w:rsidP="000F3D12">
            <w:pPr>
              <w:rPr>
                <w:sz w:val="18"/>
                <w:lang w:val="es-MX"/>
              </w:rPr>
            </w:pPr>
          </w:p>
        </w:tc>
        <w:tc>
          <w:tcPr>
            <w:tcW w:w="824" w:type="dxa"/>
            <w:vMerge/>
          </w:tcPr>
          <w:p w:rsidR="00B20DDB" w:rsidRPr="00164A31" w:rsidRDefault="00B20DDB" w:rsidP="000F3D12">
            <w:pPr>
              <w:rPr>
                <w:sz w:val="18"/>
                <w:lang w:val="es-MX"/>
              </w:rPr>
            </w:pPr>
          </w:p>
        </w:tc>
        <w:tc>
          <w:tcPr>
            <w:tcW w:w="1468" w:type="dxa"/>
            <w:vMerge/>
          </w:tcPr>
          <w:p w:rsidR="00B20DDB" w:rsidRPr="00164A31" w:rsidRDefault="00B20DDB" w:rsidP="000F3D12">
            <w:pPr>
              <w:rPr>
                <w:sz w:val="18"/>
                <w:lang w:val="es-MX"/>
              </w:rPr>
            </w:pPr>
          </w:p>
        </w:tc>
        <w:tc>
          <w:tcPr>
            <w:tcW w:w="990" w:type="dxa"/>
          </w:tcPr>
          <w:p w:rsidR="00B20DDB" w:rsidRPr="00164A31" w:rsidRDefault="00B20DDB" w:rsidP="000F3D12">
            <w:pPr>
              <w:rPr>
                <w:sz w:val="18"/>
                <w:lang w:val="es-MX"/>
              </w:rPr>
            </w:pPr>
            <w:r>
              <w:rPr>
                <w:sz w:val="18"/>
                <w:lang w:val="es-MX"/>
              </w:rPr>
              <w:t>Avance</w:t>
            </w:r>
          </w:p>
        </w:tc>
        <w:tc>
          <w:tcPr>
            <w:tcW w:w="990" w:type="dxa"/>
            <w:vAlign w:val="center"/>
          </w:tcPr>
          <w:p w:rsidR="00B20DDB" w:rsidRPr="00164A31" w:rsidRDefault="00B20DDB">
            <w:pPr>
              <w:jc w:val="center"/>
              <w:rPr>
                <w:sz w:val="18"/>
                <w:lang w:val="es-MX"/>
              </w:rPr>
            </w:pPr>
            <w:r>
              <w:rPr>
                <w:sz w:val="18"/>
                <w:lang w:val="es-MX"/>
              </w:rPr>
              <w:t>0</w:t>
            </w:r>
          </w:p>
        </w:tc>
        <w:tc>
          <w:tcPr>
            <w:tcW w:w="1163" w:type="dxa"/>
            <w:vAlign w:val="center"/>
          </w:tcPr>
          <w:p w:rsidR="00B20DDB" w:rsidRPr="00164A31" w:rsidRDefault="00B20DDB" w:rsidP="00416654">
            <w:pPr>
              <w:jc w:val="center"/>
              <w:rPr>
                <w:sz w:val="18"/>
                <w:lang w:val="es-MX"/>
              </w:rPr>
            </w:pPr>
            <w:r>
              <w:rPr>
                <w:sz w:val="18"/>
                <w:lang w:val="es-MX"/>
              </w:rPr>
              <w:t>0</w:t>
            </w:r>
          </w:p>
        </w:tc>
        <w:tc>
          <w:tcPr>
            <w:tcW w:w="1163" w:type="dxa"/>
            <w:vAlign w:val="center"/>
          </w:tcPr>
          <w:p w:rsidR="00B20DDB" w:rsidRDefault="00B20DDB" w:rsidP="00416654">
            <w:pPr>
              <w:jc w:val="center"/>
              <w:rPr>
                <w:sz w:val="18"/>
                <w:lang w:val="es-MX"/>
              </w:rPr>
            </w:pPr>
            <w:r>
              <w:rPr>
                <w:sz w:val="18"/>
                <w:lang w:val="es-MX"/>
              </w:rPr>
              <w:t>0</w:t>
            </w:r>
          </w:p>
        </w:tc>
      </w:tr>
      <w:tr w:rsidR="00B20DDB" w:rsidRPr="00883A0A" w:rsidTr="00E36E02">
        <w:tc>
          <w:tcPr>
            <w:tcW w:w="10388" w:type="dxa"/>
            <w:gridSpan w:val="8"/>
            <w:vAlign w:val="center"/>
          </w:tcPr>
          <w:p w:rsidR="00B20DDB" w:rsidRPr="0067646A" w:rsidRDefault="00B20DDB" w:rsidP="00E807B0">
            <w:pPr>
              <w:rPr>
                <w:b/>
                <w:smallCaps/>
                <w:sz w:val="18"/>
                <w:lang w:val="es-MX"/>
              </w:rPr>
            </w:pPr>
            <w:r w:rsidRPr="00416654">
              <w:rPr>
                <w:b/>
                <w:smallCaps/>
                <w:sz w:val="18"/>
                <w:lang w:val="es-MX"/>
              </w:rPr>
              <w:t>Componente II – Diseño para Implementación de la Estrategia para la Migración de GLP a Electricidad en el Sector Residencial</w:t>
            </w:r>
            <w:r>
              <w:rPr>
                <w:b/>
                <w:smallCaps/>
                <w:sz w:val="18"/>
                <w:lang w:val="es-MX"/>
              </w:rPr>
              <w:t xml:space="preserve"> </w:t>
            </w:r>
          </w:p>
        </w:tc>
      </w:tr>
      <w:tr w:rsidR="00B20DDB" w:rsidRPr="00164A31" w:rsidTr="00416654">
        <w:tc>
          <w:tcPr>
            <w:tcW w:w="2699" w:type="dxa"/>
            <w:vMerge w:val="restart"/>
            <w:vAlign w:val="center"/>
          </w:tcPr>
          <w:p w:rsidR="00B20DDB" w:rsidRPr="00164A31" w:rsidRDefault="00B20DDB">
            <w:pPr>
              <w:jc w:val="left"/>
              <w:rPr>
                <w:sz w:val="18"/>
                <w:lang w:val="es-MX"/>
              </w:rPr>
            </w:pPr>
            <w:r w:rsidRPr="00164A31">
              <w:rPr>
                <w:sz w:val="18"/>
                <w:lang w:val="es-MX"/>
              </w:rPr>
              <w:t>II-1:</w:t>
            </w:r>
            <w:r>
              <w:rPr>
                <w:sz w:val="18"/>
                <w:lang w:val="es-MX"/>
              </w:rPr>
              <w:t xml:space="preserve"> A</w:t>
            </w:r>
            <w:r w:rsidRPr="007D13A2">
              <w:rPr>
                <w:sz w:val="18"/>
                <w:lang w:val="es-MX"/>
              </w:rPr>
              <w:t>nálisis integral del mercado de GLP</w:t>
            </w:r>
            <w:r w:rsidRPr="00164A31">
              <w:rPr>
                <w:sz w:val="18"/>
                <w:lang w:val="es-MX"/>
              </w:rPr>
              <w:t>, aprobado</w:t>
            </w:r>
          </w:p>
        </w:tc>
        <w:tc>
          <w:tcPr>
            <w:tcW w:w="1091" w:type="dxa"/>
            <w:vMerge w:val="restart"/>
            <w:vAlign w:val="center"/>
          </w:tcPr>
          <w:p w:rsidR="00B20DDB" w:rsidRPr="00164A31" w:rsidRDefault="00B20DDB" w:rsidP="006C225B">
            <w:pPr>
              <w:jc w:val="center"/>
              <w:rPr>
                <w:i/>
                <w:sz w:val="18"/>
                <w:lang w:val="es-MX"/>
              </w:rPr>
            </w:pPr>
            <w:r w:rsidRPr="00164A31">
              <w:rPr>
                <w:sz w:val="18"/>
                <w:lang w:val="es-MX"/>
              </w:rPr>
              <w:t># estudios</w:t>
            </w:r>
          </w:p>
        </w:tc>
        <w:tc>
          <w:tcPr>
            <w:tcW w:w="824" w:type="dxa"/>
            <w:vMerge w:val="restart"/>
            <w:vAlign w:val="center"/>
          </w:tcPr>
          <w:p w:rsidR="00B20DDB" w:rsidRPr="00164A31" w:rsidRDefault="00B20DDB" w:rsidP="006C225B">
            <w:pPr>
              <w:jc w:val="center"/>
              <w:rPr>
                <w:sz w:val="18"/>
                <w:lang w:val="es-MX"/>
              </w:rPr>
            </w:pPr>
            <w:r w:rsidRPr="00164A31">
              <w:rPr>
                <w:sz w:val="18"/>
                <w:lang w:val="es-MX"/>
              </w:rPr>
              <w:t>0</w:t>
            </w:r>
          </w:p>
        </w:tc>
        <w:tc>
          <w:tcPr>
            <w:tcW w:w="1468" w:type="dxa"/>
            <w:vMerge w:val="restart"/>
            <w:vAlign w:val="center"/>
          </w:tcPr>
          <w:p w:rsidR="00B20DDB" w:rsidRPr="00164A31" w:rsidRDefault="00B20DDB" w:rsidP="006C225B">
            <w:pPr>
              <w:jc w:val="center"/>
              <w:rPr>
                <w:sz w:val="18"/>
                <w:lang w:val="es-MX"/>
              </w:rPr>
            </w:pPr>
            <w:r w:rsidRPr="00164A31">
              <w:rPr>
                <w:sz w:val="18"/>
                <w:lang w:val="es-MX"/>
              </w:rPr>
              <w:t>Informe de avance del proyecto</w:t>
            </w:r>
          </w:p>
        </w:tc>
        <w:tc>
          <w:tcPr>
            <w:tcW w:w="990" w:type="dxa"/>
          </w:tcPr>
          <w:p w:rsidR="00B20DDB" w:rsidRPr="00164A31" w:rsidRDefault="00B20DDB" w:rsidP="006C225B">
            <w:pPr>
              <w:rPr>
                <w:sz w:val="18"/>
                <w:lang w:val="es-MX"/>
              </w:rPr>
            </w:pPr>
            <w:r w:rsidRPr="00164A31">
              <w:rPr>
                <w:sz w:val="18"/>
                <w:lang w:val="es-MX"/>
              </w:rPr>
              <w:t>Prevista</w:t>
            </w:r>
          </w:p>
        </w:tc>
        <w:tc>
          <w:tcPr>
            <w:tcW w:w="990" w:type="dxa"/>
            <w:vAlign w:val="center"/>
          </w:tcPr>
          <w:p w:rsidR="00B20DDB" w:rsidRPr="00164A31" w:rsidRDefault="00B20DDB">
            <w:pPr>
              <w:jc w:val="center"/>
              <w:rPr>
                <w:sz w:val="18"/>
                <w:lang w:val="es-MX"/>
              </w:rPr>
            </w:pPr>
            <w:r>
              <w:rPr>
                <w:sz w:val="18"/>
                <w:lang w:val="es-MX"/>
              </w:rPr>
              <w:t>0</w:t>
            </w:r>
          </w:p>
        </w:tc>
        <w:tc>
          <w:tcPr>
            <w:tcW w:w="1163" w:type="dxa"/>
            <w:vAlign w:val="center"/>
          </w:tcPr>
          <w:p w:rsidR="00B20DDB" w:rsidRPr="00164A31" w:rsidRDefault="00B20DDB" w:rsidP="00416654">
            <w:pPr>
              <w:jc w:val="center"/>
              <w:rPr>
                <w:sz w:val="18"/>
                <w:lang w:val="es-MX"/>
              </w:rPr>
            </w:pPr>
            <w:r>
              <w:rPr>
                <w:sz w:val="18"/>
                <w:lang w:val="es-MX"/>
              </w:rPr>
              <w:t>N/A</w:t>
            </w:r>
          </w:p>
        </w:tc>
        <w:tc>
          <w:tcPr>
            <w:tcW w:w="1163" w:type="dxa"/>
            <w:vAlign w:val="center"/>
          </w:tcPr>
          <w:p w:rsidR="00B20DDB" w:rsidRPr="00164A31" w:rsidRDefault="00B20DDB" w:rsidP="00416654">
            <w:pPr>
              <w:jc w:val="center"/>
              <w:rPr>
                <w:sz w:val="18"/>
                <w:lang w:val="es-MX"/>
              </w:rPr>
            </w:pPr>
            <w:r>
              <w:rPr>
                <w:sz w:val="18"/>
                <w:lang w:val="es-MX"/>
              </w:rPr>
              <w:t>1</w:t>
            </w:r>
          </w:p>
        </w:tc>
      </w:tr>
      <w:tr w:rsidR="00B20DDB" w:rsidRPr="00164A31" w:rsidTr="00416654">
        <w:tc>
          <w:tcPr>
            <w:tcW w:w="2699" w:type="dxa"/>
            <w:vMerge/>
            <w:vAlign w:val="center"/>
          </w:tcPr>
          <w:p w:rsidR="00B20DDB" w:rsidRPr="00164A31" w:rsidRDefault="00B20DDB" w:rsidP="006C225B">
            <w:pPr>
              <w:jc w:val="left"/>
              <w:rPr>
                <w:sz w:val="18"/>
                <w:lang w:val="es-MX"/>
              </w:rPr>
            </w:pPr>
          </w:p>
        </w:tc>
        <w:tc>
          <w:tcPr>
            <w:tcW w:w="1091" w:type="dxa"/>
            <w:vMerge/>
            <w:vAlign w:val="center"/>
          </w:tcPr>
          <w:p w:rsidR="00B20DDB" w:rsidRPr="00164A31" w:rsidRDefault="00B20DDB" w:rsidP="006C225B">
            <w:pPr>
              <w:jc w:val="center"/>
              <w:rPr>
                <w:sz w:val="18"/>
                <w:lang w:val="es-MX"/>
              </w:rPr>
            </w:pPr>
          </w:p>
        </w:tc>
        <w:tc>
          <w:tcPr>
            <w:tcW w:w="824" w:type="dxa"/>
            <w:vMerge/>
            <w:vAlign w:val="center"/>
          </w:tcPr>
          <w:p w:rsidR="00B20DDB" w:rsidRPr="00164A31" w:rsidRDefault="00B20DDB" w:rsidP="006C225B">
            <w:pPr>
              <w:jc w:val="center"/>
              <w:rPr>
                <w:sz w:val="18"/>
                <w:lang w:val="es-MX"/>
              </w:rPr>
            </w:pPr>
          </w:p>
        </w:tc>
        <w:tc>
          <w:tcPr>
            <w:tcW w:w="1468" w:type="dxa"/>
            <w:vMerge/>
            <w:vAlign w:val="center"/>
          </w:tcPr>
          <w:p w:rsidR="00B20DDB" w:rsidRPr="00164A31" w:rsidRDefault="00B20DDB" w:rsidP="006C225B">
            <w:pPr>
              <w:jc w:val="center"/>
              <w:rPr>
                <w:sz w:val="18"/>
                <w:lang w:val="es-MX"/>
              </w:rPr>
            </w:pPr>
          </w:p>
        </w:tc>
        <w:tc>
          <w:tcPr>
            <w:tcW w:w="990" w:type="dxa"/>
          </w:tcPr>
          <w:p w:rsidR="00B20DDB" w:rsidRPr="00164A31" w:rsidRDefault="00B20DDB" w:rsidP="006C225B">
            <w:pPr>
              <w:rPr>
                <w:sz w:val="18"/>
                <w:lang w:val="es-MX"/>
              </w:rPr>
            </w:pPr>
            <w:r>
              <w:rPr>
                <w:sz w:val="18"/>
                <w:lang w:val="es-MX"/>
              </w:rPr>
              <w:t>Avance</w:t>
            </w:r>
          </w:p>
        </w:tc>
        <w:tc>
          <w:tcPr>
            <w:tcW w:w="990" w:type="dxa"/>
            <w:vAlign w:val="center"/>
          </w:tcPr>
          <w:p w:rsidR="00B20DDB" w:rsidRPr="00164A31" w:rsidRDefault="00B20DDB">
            <w:pPr>
              <w:jc w:val="center"/>
              <w:rPr>
                <w:sz w:val="18"/>
                <w:lang w:val="es-MX"/>
              </w:rPr>
            </w:pPr>
            <w:r>
              <w:rPr>
                <w:sz w:val="18"/>
                <w:lang w:val="es-MX"/>
              </w:rPr>
              <w:t>0</w:t>
            </w:r>
          </w:p>
        </w:tc>
        <w:tc>
          <w:tcPr>
            <w:tcW w:w="1163" w:type="dxa"/>
            <w:vAlign w:val="center"/>
          </w:tcPr>
          <w:p w:rsidR="00B20DDB" w:rsidRPr="00164A31" w:rsidRDefault="00B20DDB" w:rsidP="00416654">
            <w:pPr>
              <w:jc w:val="center"/>
              <w:rPr>
                <w:sz w:val="18"/>
                <w:lang w:val="es-MX"/>
              </w:rPr>
            </w:pPr>
            <w:r>
              <w:rPr>
                <w:sz w:val="18"/>
                <w:lang w:val="es-MX"/>
              </w:rPr>
              <w:t>1</w:t>
            </w:r>
          </w:p>
        </w:tc>
        <w:tc>
          <w:tcPr>
            <w:tcW w:w="1163" w:type="dxa"/>
            <w:vAlign w:val="center"/>
          </w:tcPr>
          <w:p w:rsidR="00B20DDB" w:rsidRDefault="00B20DDB" w:rsidP="00416654">
            <w:pPr>
              <w:jc w:val="center"/>
              <w:rPr>
                <w:sz w:val="18"/>
                <w:lang w:val="es-MX"/>
              </w:rPr>
            </w:pPr>
            <w:r>
              <w:rPr>
                <w:sz w:val="18"/>
                <w:lang w:val="es-MX"/>
              </w:rPr>
              <w:t>1 (100%)</w:t>
            </w:r>
          </w:p>
        </w:tc>
      </w:tr>
      <w:tr w:rsidR="00B20DDB" w:rsidRPr="00164A31" w:rsidTr="00416654">
        <w:tc>
          <w:tcPr>
            <w:tcW w:w="2699" w:type="dxa"/>
            <w:vMerge w:val="restart"/>
            <w:vAlign w:val="center"/>
          </w:tcPr>
          <w:p w:rsidR="00B20DDB" w:rsidRPr="00164A31" w:rsidRDefault="00B20DDB">
            <w:pPr>
              <w:jc w:val="left"/>
              <w:rPr>
                <w:sz w:val="18"/>
                <w:lang w:val="es-MX"/>
              </w:rPr>
            </w:pPr>
            <w:r w:rsidRPr="00164A31">
              <w:rPr>
                <w:sz w:val="18"/>
                <w:lang w:val="es-MX"/>
              </w:rPr>
              <w:t xml:space="preserve">II-2: </w:t>
            </w:r>
            <w:r>
              <w:rPr>
                <w:sz w:val="18"/>
                <w:lang w:val="es-MX"/>
              </w:rPr>
              <w:t>A</w:t>
            </w:r>
            <w:r w:rsidRPr="00116B96">
              <w:rPr>
                <w:sz w:val="18"/>
                <w:lang w:val="es-MX"/>
              </w:rPr>
              <w:t>nálisis de los Hábitos de Consumo Energético en el Sector Residencial, aprobado</w:t>
            </w:r>
          </w:p>
        </w:tc>
        <w:tc>
          <w:tcPr>
            <w:tcW w:w="1091" w:type="dxa"/>
            <w:vMerge w:val="restart"/>
            <w:vAlign w:val="center"/>
          </w:tcPr>
          <w:p w:rsidR="00B20DDB" w:rsidRPr="00164A31" w:rsidRDefault="00B20DDB" w:rsidP="006C225B">
            <w:pPr>
              <w:jc w:val="center"/>
              <w:rPr>
                <w:sz w:val="18"/>
                <w:lang w:val="es-MX"/>
              </w:rPr>
            </w:pPr>
            <w:r w:rsidRPr="00164A31">
              <w:rPr>
                <w:sz w:val="18"/>
                <w:lang w:val="es-MX"/>
              </w:rPr>
              <w:t># estudios</w:t>
            </w:r>
          </w:p>
        </w:tc>
        <w:tc>
          <w:tcPr>
            <w:tcW w:w="824" w:type="dxa"/>
            <w:vMerge w:val="restart"/>
            <w:vAlign w:val="center"/>
          </w:tcPr>
          <w:p w:rsidR="00B20DDB" w:rsidRPr="00164A31" w:rsidRDefault="00B20DDB" w:rsidP="006C225B">
            <w:pPr>
              <w:jc w:val="center"/>
              <w:rPr>
                <w:sz w:val="18"/>
                <w:lang w:val="es-MX"/>
              </w:rPr>
            </w:pPr>
            <w:r w:rsidRPr="00164A31">
              <w:rPr>
                <w:sz w:val="18"/>
                <w:lang w:val="es-MX"/>
              </w:rPr>
              <w:t>0</w:t>
            </w:r>
          </w:p>
        </w:tc>
        <w:tc>
          <w:tcPr>
            <w:tcW w:w="1468" w:type="dxa"/>
            <w:vMerge w:val="restart"/>
            <w:vAlign w:val="center"/>
          </w:tcPr>
          <w:p w:rsidR="00B20DDB" w:rsidRPr="00164A31" w:rsidRDefault="00B20DDB" w:rsidP="00416654">
            <w:pPr>
              <w:jc w:val="left"/>
              <w:rPr>
                <w:sz w:val="18"/>
                <w:lang w:val="es-MX"/>
              </w:rPr>
            </w:pPr>
            <w:r w:rsidRPr="00164A31">
              <w:rPr>
                <w:sz w:val="18"/>
                <w:lang w:val="es-MX"/>
              </w:rPr>
              <w:t>Informe de avance del proyecto</w:t>
            </w:r>
          </w:p>
        </w:tc>
        <w:tc>
          <w:tcPr>
            <w:tcW w:w="990" w:type="dxa"/>
          </w:tcPr>
          <w:p w:rsidR="00B20DDB" w:rsidRPr="00164A31" w:rsidRDefault="00B20DDB" w:rsidP="006C225B">
            <w:pPr>
              <w:rPr>
                <w:sz w:val="18"/>
                <w:lang w:val="es-MX"/>
              </w:rPr>
            </w:pPr>
            <w:r w:rsidRPr="00164A31">
              <w:rPr>
                <w:sz w:val="18"/>
                <w:lang w:val="es-MX"/>
              </w:rPr>
              <w:t>Prevista</w:t>
            </w:r>
          </w:p>
        </w:tc>
        <w:tc>
          <w:tcPr>
            <w:tcW w:w="990" w:type="dxa"/>
            <w:vAlign w:val="center"/>
          </w:tcPr>
          <w:p w:rsidR="00B20DDB" w:rsidRPr="00164A31" w:rsidRDefault="00B20DDB">
            <w:pPr>
              <w:jc w:val="center"/>
              <w:rPr>
                <w:sz w:val="18"/>
                <w:lang w:val="es-MX"/>
              </w:rPr>
            </w:pPr>
            <w:r w:rsidRPr="00164A31">
              <w:rPr>
                <w:sz w:val="18"/>
                <w:lang w:val="es-MX"/>
              </w:rPr>
              <w:t>1</w:t>
            </w:r>
          </w:p>
        </w:tc>
        <w:tc>
          <w:tcPr>
            <w:tcW w:w="1163" w:type="dxa"/>
            <w:vAlign w:val="center"/>
          </w:tcPr>
          <w:p w:rsidR="00B20DDB" w:rsidRPr="00164A31" w:rsidRDefault="00B20DDB" w:rsidP="00416654">
            <w:pPr>
              <w:jc w:val="center"/>
              <w:rPr>
                <w:sz w:val="18"/>
                <w:lang w:val="es-MX"/>
              </w:rPr>
            </w:pPr>
            <w:r>
              <w:rPr>
                <w:sz w:val="18"/>
                <w:lang w:val="es-MX"/>
              </w:rPr>
              <w:t>N/A</w:t>
            </w:r>
          </w:p>
        </w:tc>
        <w:tc>
          <w:tcPr>
            <w:tcW w:w="1163" w:type="dxa"/>
            <w:vAlign w:val="center"/>
          </w:tcPr>
          <w:p w:rsidR="00B20DDB" w:rsidRPr="00164A31" w:rsidRDefault="00B20DDB" w:rsidP="00416654">
            <w:pPr>
              <w:jc w:val="center"/>
              <w:rPr>
                <w:sz w:val="18"/>
                <w:lang w:val="es-MX"/>
              </w:rPr>
            </w:pPr>
            <w:r>
              <w:rPr>
                <w:sz w:val="18"/>
                <w:lang w:val="es-MX"/>
              </w:rPr>
              <w:t>1</w:t>
            </w:r>
          </w:p>
        </w:tc>
      </w:tr>
      <w:tr w:rsidR="00B20DDB" w:rsidRPr="00164A31" w:rsidTr="00416654">
        <w:tc>
          <w:tcPr>
            <w:tcW w:w="2699" w:type="dxa"/>
            <w:vMerge/>
            <w:vAlign w:val="center"/>
          </w:tcPr>
          <w:p w:rsidR="00B20DDB" w:rsidRPr="00164A31" w:rsidRDefault="00B20DDB" w:rsidP="006C225B">
            <w:pPr>
              <w:jc w:val="left"/>
              <w:rPr>
                <w:sz w:val="18"/>
                <w:lang w:val="es-MX"/>
              </w:rPr>
            </w:pPr>
          </w:p>
        </w:tc>
        <w:tc>
          <w:tcPr>
            <w:tcW w:w="1091" w:type="dxa"/>
            <w:vMerge/>
            <w:vAlign w:val="center"/>
          </w:tcPr>
          <w:p w:rsidR="00B20DDB" w:rsidRPr="00164A31" w:rsidRDefault="00B20DDB" w:rsidP="006C225B">
            <w:pPr>
              <w:jc w:val="center"/>
              <w:rPr>
                <w:sz w:val="18"/>
                <w:lang w:val="es-MX"/>
              </w:rPr>
            </w:pPr>
          </w:p>
        </w:tc>
        <w:tc>
          <w:tcPr>
            <w:tcW w:w="824" w:type="dxa"/>
            <w:vMerge/>
            <w:vAlign w:val="center"/>
          </w:tcPr>
          <w:p w:rsidR="00B20DDB" w:rsidRPr="00164A31" w:rsidRDefault="00B20DDB" w:rsidP="006C225B">
            <w:pPr>
              <w:jc w:val="center"/>
              <w:rPr>
                <w:sz w:val="18"/>
                <w:lang w:val="es-MX"/>
              </w:rPr>
            </w:pPr>
          </w:p>
        </w:tc>
        <w:tc>
          <w:tcPr>
            <w:tcW w:w="1468" w:type="dxa"/>
            <w:vMerge/>
            <w:vAlign w:val="center"/>
          </w:tcPr>
          <w:p w:rsidR="00B20DDB" w:rsidRPr="00164A31" w:rsidRDefault="00B20DDB" w:rsidP="006C225B">
            <w:pPr>
              <w:jc w:val="center"/>
              <w:rPr>
                <w:sz w:val="18"/>
                <w:lang w:val="es-MX"/>
              </w:rPr>
            </w:pPr>
          </w:p>
        </w:tc>
        <w:tc>
          <w:tcPr>
            <w:tcW w:w="990" w:type="dxa"/>
          </w:tcPr>
          <w:p w:rsidR="00B20DDB" w:rsidRPr="00164A31" w:rsidRDefault="00B20DDB">
            <w:pPr>
              <w:rPr>
                <w:sz w:val="18"/>
                <w:lang w:val="es-MX"/>
              </w:rPr>
            </w:pPr>
            <w:r>
              <w:rPr>
                <w:sz w:val="18"/>
                <w:lang w:val="es-MX"/>
              </w:rPr>
              <w:t>Avance</w:t>
            </w:r>
            <w:r w:rsidRPr="00164A31">
              <w:rPr>
                <w:sz w:val="18"/>
                <w:lang w:val="es-MX"/>
              </w:rPr>
              <w:t xml:space="preserve"> </w:t>
            </w:r>
          </w:p>
        </w:tc>
        <w:tc>
          <w:tcPr>
            <w:tcW w:w="990" w:type="dxa"/>
            <w:vAlign w:val="center"/>
          </w:tcPr>
          <w:p w:rsidR="00B20DDB" w:rsidRPr="00164A31" w:rsidRDefault="00B20DDB">
            <w:pPr>
              <w:jc w:val="center"/>
              <w:rPr>
                <w:sz w:val="18"/>
                <w:lang w:val="es-MX"/>
              </w:rPr>
            </w:pPr>
            <w:r w:rsidRPr="00164A31">
              <w:rPr>
                <w:sz w:val="18"/>
                <w:lang w:val="es-MX"/>
              </w:rPr>
              <w:t>1</w:t>
            </w:r>
          </w:p>
        </w:tc>
        <w:tc>
          <w:tcPr>
            <w:tcW w:w="1163" w:type="dxa"/>
            <w:vAlign w:val="center"/>
          </w:tcPr>
          <w:p w:rsidR="00B20DDB" w:rsidRPr="00164A31" w:rsidRDefault="00B20DDB" w:rsidP="00416654">
            <w:pPr>
              <w:jc w:val="center"/>
              <w:rPr>
                <w:sz w:val="18"/>
                <w:lang w:val="es-MX"/>
              </w:rPr>
            </w:pPr>
            <w:r>
              <w:rPr>
                <w:sz w:val="18"/>
                <w:lang w:val="es-MX"/>
              </w:rPr>
              <w:t>0</w:t>
            </w:r>
          </w:p>
        </w:tc>
        <w:tc>
          <w:tcPr>
            <w:tcW w:w="1163" w:type="dxa"/>
            <w:vAlign w:val="center"/>
          </w:tcPr>
          <w:p w:rsidR="00B20DDB" w:rsidRDefault="00B20DDB" w:rsidP="00416654">
            <w:pPr>
              <w:jc w:val="center"/>
              <w:rPr>
                <w:sz w:val="18"/>
                <w:lang w:val="es-MX"/>
              </w:rPr>
            </w:pPr>
            <w:r>
              <w:rPr>
                <w:sz w:val="18"/>
                <w:lang w:val="es-MX"/>
              </w:rPr>
              <w:t>1 (100%)</w:t>
            </w:r>
          </w:p>
        </w:tc>
      </w:tr>
      <w:tr w:rsidR="00B20DDB" w:rsidRPr="00164A31" w:rsidTr="00416654">
        <w:tc>
          <w:tcPr>
            <w:tcW w:w="2699" w:type="dxa"/>
            <w:vMerge w:val="restart"/>
            <w:vAlign w:val="center"/>
          </w:tcPr>
          <w:p w:rsidR="00B20DDB" w:rsidRPr="00164A31" w:rsidRDefault="00B20DDB">
            <w:pPr>
              <w:jc w:val="left"/>
              <w:rPr>
                <w:sz w:val="18"/>
                <w:lang w:val="es-MX"/>
              </w:rPr>
            </w:pPr>
            <w:r w:rsidRPr="00164A31">
              <w:rPr>
                <w:sz w:val="18"/>
                <w:lang w:val="es-MX"/>
              </w:rPr>
              <w:t xml:space="preserve">II-3: </w:t>
            </w:r>
            <w:r w:rsidRPr="00116B96">
              <w:rPr>
                <w:sz w:val="18"/>
                <w:lang w:val="es-MX"/>
              </w:rPr>
              <w:t>Un modelo de gestión del Programa de Cocción Eficiente, aprobado</w:t>
            </w:r>
          </w:p>
        </w:tc>
        <w:tc>
          <w:tcPr>
            <w:tcW w:w="1091" w:type="dxa"/>
            <w:vMerge w:val="restart"/>
            <w:vAlign w:val="center"/>
          </w:tcPr>
          <w:p w:rsidR="00B20DDB" w:rsidRPr="00164A31" w:rsidRDefault="00B20DDB" w:rsidP="006C225B">
            <w:pPr>
              <w:jc w:val="center"/>
              <w:rPr>
                <w:sz w:val="18"/>
                <w:lang w:val="es-MX"/>
              </w:rPr>
            </w:pPr>
            <w:r>
              <w:rPr>
                <w:sz w:val="18"/>
                <w:lang w:val="es-MX"/>
              </w:rPr>
              <w:t># Modelo de gestión</w:t>
            </w:r>
          </w:p>
        </w:tc>
        <w:tc>
          <w:tcPr>
            <w:tcW w:w="824" w:type="dxa"/>
            <w:vMerge w:val="restart"/>
            <w:vAlign w:val="center"/>
          </w:tcPr>
          <w:p w:rsidR="00B20DDB" w:rsidRPr="00164A31" w:rsidRDefault="00B20DDB" w:rsidP="006C225B">
            <w:pPr>
              <w:jc w:val="center"/>
              <w:rPr>
                <w:sz w:val="18"/>
                <w:lang w:val="es-MX"/>
              </w:rPr>
            </w:pPr>
            <w:r w:rsidRPr="00164A31">
              <w:rPr>
                <w:sz w:val="18"/>
                <w:lang w:val="es-MX"/>
              </w:rPr>
              <w:t>0</w:t>
            </w:r>
          </w:p>
        </w:tc>
        <w:tc>
          <w:tcPr>
            <w:tcW w:w="1468" w:type="dxa"/>
            <w:vMerge w:val="restart"/>
            <w:vAlign w:val="center"/>
          </w:tcPr>
          <w:p w:rsidR="00B20DDB" w:rsidRPr="00164A31" w:rsidRDefault="00B20DDB" w:rsidP="00416654">
            <w:pPr>
              <w:jc w:val="left"/>
              <w:rPr>
                <w:sz w:val="18"/>
                <w:lang w:val="es-MX"/>
              </w:rPr>
            </w:pPr>
            <w:r w:rsidRPr="00164A31">
              <w:rPr>
                <w:sz w:val="18"/>
                <w:lang w:val="es-MX"/>
              </w:rPr>
              <w:t>Informe de avance del proyecto</w:t>
            </w:r>
          </w:p>
        </w:tc>
        <w:tc>
          <w:tcPr>
            <w:tcW w:w="990" w:type="dxa"/>
          </w:tcPr>
          <w:p w:rsidR="00B20DDB" w:rsidRPr="00164A31" w:rsidRDefault="00B20DDB" w:rsidP="006C225B">
            <w:pPr>
              <w:rPr>
                <w:sz w:val="18"/>
                <w:lang w:val="es-MX"/>
              </w:rPr>
            </w:pPr>
            <w:r w:rsidRPr="00164A31">
              <w:rPr>
                <w:sz w:val="18"/>
                <w:lang w:val="es-MX"/>
              </w:rPr>
              <w:t>Prevista</w:t>
            </w:r>
          </w:p>
        </w:tc>
        <w:tc>
          <w:tcPr>
            <w:tcW w:w="990" w:type="dxa"/>
            <w:vAlign w:val="center"/>
          </w:tcPr>
          <w:p w:rsidR="00B20DDB" w:rsidRPr="00164A31" w:rsidRDefault="00B20DDB">
            <w:pPr>
              <w:jc w:val="center"/>
              <w:rPr>
                <w:sz w:val="18"/>
                <w:lang w:val="es-MX"/>
              </w:rPr>
            </w:pPr>
            <w:r>
              <w:rPr>
                <w:sz w:val="18"/>
                <w:lang w:val="es-MX"/>
              </w:rPr>
              <w:t>0</w:t>
            </w:r>
          </w:p>
        </w:tc>
        <w:tc>
          <w:tcPr>
            <w:tcW w:w="1163" w:type="dxa"/>
            <w:vAlign w:val="center"/>
          </w:tcPr>
          <w:p w:rsidR="00B20DDB" w:rsidRPr="00164A31" w:rsidRDefault="00B20DDB" w:rsidP="00416654">
            <w:pPr>
              <w:jc w:val="center"/>
              <w:rPr>
                <w:sz w:val="18"/>
                <w:lang w:val="es-MX"/>
              </w:rPr>
            </w:pPr>
            <w:r>
              <w:rPr>
                <w:sz w:val="18"/>
                <w:lang w:val="es-MX"/>
              </w:rPr>
              <w:t>N/A</w:t>
            </w:r>
          </w:p>
        </w:tc>
        <w:tc>
          <w:tcPr>
            <w:tcW w:w="1163" w:type="dxa"/>
            <w:vAlign w:val="center"/>
          </w:tcPr>
          <w:p w:rsidR="00B20DDB" w:rsidRPr="00164A31" w:rsidRDefault="00B20DDB" w:rsidP="00416654">
            <w:pPr>
              <w:jc w:val="center"/>
              <w:rPr>
                <w:sz w:val="18"/>
                <w:lang w:val="es-MX"/>
              </w:rPr>
            </w:pPr>
            <w:r>
              <w:rPr>
                <w:sz w:val="18"/>
                <w:lang w:val="es-MX"/>
              </w:rPr>
              <w:t>1</w:t>
            </w:r>
          </w:p>
        </w:tc>
      </w:tr>
      <w:tr w:rsidR="00B20DDB" w:rsidRPr="00164A31" w:rsidTr="00416654">
        <w:tc>
          <w:tcPr>
            <w:tcW w:w="2699" w:type="dxa"/>
            <w:vMerge/>
            <w:vAlign w:val="center"/>
          </w:tcPr>
          <w:p w:rsidR="00B20DDB" w:rsidRPr="00164A31" w:rsidRDefault="00B20DDB" w:rsidP="006C225B">
            <w:pPr>
              <w:jc w:val="left"/>
              <w:rPr>
                <w:sz w:val="18"/>
                <w:lang w:val="es-MX"/>
              </w:rPr>
            </w:pPr>
          </w:p>
        </w:tc>
        <w:tc>
          <w:tcPr>
            <w:tcW w:w="1091" w:type="dxa"/>
            <w:vMerge/>
            <w:vAlign w:val="center"/>
          </w:tcPr>
          <w:p w:rsidR="00B20DDB" w:rsidRPr="00164A31" w:rsidRDefault="00B20DDB" w:rsidP="006C225B">
            <w:pPr>
              <w:jc w:val="center"/>
              <w:rPr>
                <w:sz w:val="18"/>
                <w:lang w:val="es-MX"/>
              </w:rPr>
            </w:pPr>
          </w:p>
        </w:tc>
        <w:tc>
          <w:tcPr>
            <w:tcW w:w="824" w:type="dxa"/>
            <w:vMerge/>
            <w:vAlign w:val="center"/>
          </w:tcPr>
          <w:p w:rsidR="00B20DDB" w:rsidRPr="00164A31" w:rsidRDefault="00B20DDB" w:rsidP="006C225B">
            <w:pPr>
              <w:jc w:val="center"/>
              <w:rPr>
                <w:sz w:val="18"/>
                <w:lang w:val="es-MX"/>
              </w:rPr>
            </w:pPr>
          </w:p>
        </w:tc>
        <w:tc>
          <w:tcPr>
            <w:tcW w:w="1468" w:type="dxa"/>
            <w:vMerge/>
            <w:vAlign w:val="center"/>
          </w:tcPr>
          <w:p w:rsidR="00B20DDB" w:rsidRPr="00164A31" w:rsidRDefault="00B20DDB" w:rsidP="00416654">
            <w:pPr>
              <w:jc w:val="left"/>
              <w:rPr>
                <w:sz w:val="18"/>
                <w:lang w:val="es-MX"/>
              </w:rPr>
            </w:pPr>
          </w:p>
        </w:tc>
        <w:tc>
          <w:tcPr>
            <w:tcW w:w="990" w:type="dxa"/>
          </w:tcPr>
          <w:p w:rsidR="00B20DDB" w:rsidRPr="00164A31" w:rsidRDefault="00B20DDB" w:rsidP="006C225B">
            <w:pPr>
              <w:rPr>
                <w:sz w:val="18"/>
                <w:lang w:val="es-MX"/>
              </w:rPr>
            </w:pPr>
            <w:r>
              <w:rPr>
                <w:sz w:val="18"/>
                <w:lang w:val="es-MX"/>
              </w:rPr>
              <w:t>Avance</w:t>
            </w:r>
          </w:p>
        </w:tc>
        <w:tc>
          <w:tcPr>
            <w:tcW w:w="990" w:type="dxa"/>
            <w:vAlign w:val="center"/>
          </w:tcPr>
          <w:p w:rsidR="00B20DDB" w:rsidRPr="00164A31" w:rsidRDefault="00B20DDB">
            <w:pPr>
              <w:jc w:val="center"/>
              <w:rPr>
                <w:sz w:val="18"/>
                <w:lang w:val="es-MX"/>
              </w:rPr>
            </w:pPr>
            <w:r>
              <w:rPr>
                <w:sz w:val="18"/>
                <w:lang w:val="es-MX"/>
              </w:rPr>
              <w:t>0</w:t>
            </w:r>
          </w:p>
        </w:tc>
        <w:tc>
          <w:tcPr>
            <w:tcW w:w="1163" w:type="dxa"/>
            <w:vAlign w:val="center"/>
          </w:tcPr>
          <w:p w:rsidR="00B20DDB" w:rsidRPr="00164A31" w:rsidRDefault="00B20DDB" w:rsidP="00416654">
            <w:pPr>
              <w:jc w:val="center"/>
              <w:rPr>
                <w:sz w:val="18"/>
                <w:lang w:val="es-MX"/>
              </w:rPr>
            </w:pPr>
            <w:r>
              <w:rPr>
                <w:sz w:val="18"/>
                <w:lang w:val="es-MX"/>
              </w:rPr>
              <w:t>0</w:t>
            </w:r>
          </w:p>
        </w:tc>
        <w:tc>
          <w:tcPr>
            <w:tcW w:w="1163" w:type="dxa"/>
            <w:vAlign w:val="center"/>
          </w:tcPr>
          <w:p w:rsidR="00B20DDB" w:rsidRDefault="00B20DDB" w:rsidP="00416654">
            <w:pPr>
              <w:jc w:val="center"/>
              <w:rPr>
                <w:sz w:val="18"/>
                <w:lang w:val="es-MX"/>
              </w:rPr>
            </w:pPr>
            <w:r>
              <w:rPr>
                <w:sz w:val="18"/>
                <w:lang w:val="es-MX"/>
              </w:rPr>
              <w:t>0</w:t>
            </w:r>
          </w:p>
        </w:tc>
      </w:tr>
      <w:tr w:rsidR="00B20DDB" w:rsidRPr="00116B96" w:rsidTr="00416654">
        <w:trPr>
          <w:trHeight w:val="360"/>
        </w:trPr>
        <w:tc>
          <w:tcPr>
            <w:tcW w:w="2699" w:type="dxa"/>
            <w:vMerge w:val="restart"/>
            <w:vAlign w:val="center"/>
          </w:tcPr>
          <w:p w:rsidR="00B20DDB" w:rsidRPr="00416654" w:rsidRDefault="00B20DDB" w:rsidP="00416654">
            <w:pPr>
              <w:jc w:val="right"/>
              <w:rPr>
                <w:i/>
                <w:sz w:val="16"/>
                <w:szCs w:val="16"/>
                <w:lang w:val="es-MX"/>
              </w:rPr>
            </w:pPr>
            <w:r w:rsidRPr="00416654">
              <w:rPr>
                <w:i/>
                <w:sz w:val="16"/>
                <w:szCs w:val="16"/>
                <w:lang w:val="es-MX"/>
              </w:rPr>
              <w:t>II-3.1-Un sistema de logística para la distribución masiva de kits de cocción por inducción eléctrica de alta eficiencia, aprobado - SIPEC</w:t>
            </w:r>
          </w:p>
        </w:tc>
        <w:tc>
          <w:tcPr>
            <w:tcW w:w="1091" w:type="dxa"/>
            <w:vMerge w:val="restart"/>
            <w:vAlign w:val="center"/>
          </w:tcPr>
          <w:p w:rsidR="00B20DDB" w:rsidRPr="00416654" w:rsidRDefault="00B20DDB">
            <w:pPr>
              <w:jc w:val="center"/>
              <w:rPr>
                <w:sz w:val="16"/>
                <w:szCs w:val="16"/>
                <w:lang w:val="es-MX"/>
              </w:rPr>
            </w:pPr>
            <w:r w:rsidRPr="00416654">
              <w:rPr>
                <w:sz w:val="16"/>
                <w:szCs w:val="16"/>
                <w:lang w:val="es-MX"/>
              </w:rPr>
              <w:t>#Sistema</w:t>
            </w:r>
          </w:p>
        </w:tc>
        <w:tc>
          <w:tcPr>
            <w:tcW w:w="824" w:type="dxa"/>
            <w:vMerge w:val="restart"/>
            <w:vAlign w:val="center"/>
          </w:tcPr>
          <w:p w:rsidR="00B20DDB" w:rsidRPr="00164A31" w:rsidRDefault="00B20DDB" w:rsidP="006C225B">
            <w:pPr>
              <w:jc w:val="center"/>
              <w:rPr>
                <w:sz w:val="18"/>
                <w:lang w:val="es-MX"/>
              </w:rPr>
            </w:pPr>
            <w:r>
              <w:rPr>
                <w:sz w:val="18"/>
                <w:lang w:val="es-MX"/>
              </w:rPr>
              <w:t>0</w:t>
            </w:r>
          </w:p>
        </w:tc>
        <w:tc>
          <w:tcPr>
            <w:tcW w:w="1468" w:type="dxa"/>
            <w:vMerge w:val="restart"/>
            <w:vAlign w:val="center"/>
          </w:tcPr>
          <w:p w:rsidR="00B20DDB" w:rsidRPr="00164A31" w:rsidRDefault="00B20DDB" w:rsidP="00403C46">
            <w:pPr>
              <w:jc w:val="left"/>
              <w:rPr>
                <w:sz w:val="18"/>
                <w:lang w:val="es-MX"/>
              </w:rPr>
            </w:pPr>
            <w:r w:rsidRPr="00164A31">
              <w:rPr>
                <w:sz w:val="18"/>
                <w:lang w:val="es-MX"/>
              </w:rPr>
              <w:t>Informe de avance del proyecto</w:t>
            </w:r>
          </w:p>
        </w:tc>
        <w:tc>
          <w:tcPr>
            <w:tcW w:w="990" w:type="dxa"/>
            <w:vAlign w:val="center"/>
          </w:tcPr>
          <w:p w:rsidR="00B20DDB" w:rsidRPr="00164A31" w:rsidRDefault="00B20DDB" w:rsidP="00416654">
            <w:pPr>
              <w:jc w:val="left"/>
              <w:rPr>
                <w:sz w:val="18"/>
                <w:lang w:val="es-MX"/>
              </w:rPr>
            </w:pPr>
            <w:r w:rsidRPr="00164A31">
              <w:rPr>
                <w:sz w:val="18"/>
                <w:lang w:val="es-MX"/>
              </w:rPr>
              <w:t>Prevista</w:t>
            </w:r>
          </w:p>
        </w:tc>
        <w:tc>
          <w:tcPr>
            <w:tcW w:w="990" w:type="dxa"/>
            <w:vAlign w:val="center"/>
          </w:tcPr>
          <w:p w:rsidR="00B20DDB" w:rsidRPr="00164A31" w:rsidRDefault="00B20DDB">
            <w:pPr>
              <w:jc w:val="center"/>
              <w:rPr>
                <w:sz w:val="18"/>
                <w:lang w:val="es-MX"/>
              </w:rPr>
            </w:pPr>
            <w:r>
              <w:rPr>
                <w:sz w:val="18"/>
                <w:lang w:val="es-MX"/>
              </w:rPr>
              <w:t>0</w:t>
            </w:r>
          </w:p>
        </w:tc>
        <w:tc>
          <w:tcPr>
            <w:tcW w:w="1163" w:type="dxa"/>
            <w:vAlign w:val="center"/>
          </w:tcPr>
          <w:p w:rsidR="00B20DDB" w:rsidRPr="00164A31" w:rsidRDefault="00B20DDB" w:rsidP="00416654">
            <w:pPr>
              <w:jc w:val="center"/>
              <w:rPr>
                <w:sz w:val="18"/>
                <w:lang w:val="es-MX"/>
              </w:rPr>
            </w:pPr>
            <w:r>
              <w:rPr>
                <w:sz w:val="18"/>
                <w:lang w:val="es-MX"/>
              </w:rPr>
              <w:t>N/A</w:t>
            </w:r>
          </w:p>
        </w:tc>
        <w:tc>
          <w:tcPr>
            <w:tcW w:w="1163" w:type="dxa"/>
            <w:vAlign w:val="center"/>
          </w:tcPr>
          <w:p w:rsidR="00B20DDB" w:rsidRPr="00164A31" w:rsidRDefault="00B20DDB" w:rsidP="00416654">
            <w:pPr>
              <w:jc w:val="center"/>
              <w:rPr>
                <w:sz w:val="18"/>
                <w:lang w:val="es-MX"/>
              </w:rPr>
            </w:pPr>
            <w:r>
              <w:rPr>
                <w:sz w:val="18"/>
                <w:lang w:val="es-MX"/>
              </w:rPr>
              <w:t>1</w:t>
            </w:r>
          </w:p>
        </w:tc>
      </w:tr>
      <w:tr w:rsidR="00B20DDB" w:rsidRPr="00116B96" w:rsidTr="00416654">
        <w:trPr>
          <w:trHeight w:val="360"/>
        </w:trPr>
        <w:tc>
          <w:tcPr>
            <w:tcW w:w="2699" w:type="dxa"/>
            <w:vMerge/>
            <w:vAlign w:val="center"/>
          </w:tcPr>
          <w:p w:rsidR="00B20DDB" w:rsidRDefault="00B20DDB" w:rsidP="00116B96">
            <w:pPr>
              <w:jc w:val="right"/>
              <w:rPr>
                <w:i/>
                <w:sz w:val="18"/>
                <w:lang w:val="es-MX"/>
              </w:rPr>
            </w:pPr>
          </w:p>
        </w:tc>
        <w:tc>
          <w:tcPr>
            <w:tcW w:w="1091" w:type="dxa"/>
            <w:vMerge/>
            <w:vAlign w:val="center"/>
          </w:tcPr>
          <w:p w:rsidR="00B20DDB" w:rsidRDefault="00B20DDB">
            <w:pPr>
              <w:jc w:val="center"/>
              <w:rPr>
                <w:sz w:val="18"/>
                <w:lang w:val="es-MX"/>
              </w:rPr>
            </w:pPr>
          </w:p>
        </w:tc>
        <w:tc>
          <w:tcPr>
            <w:tcW w:w="824" w:type="dxa"/>
            <w:vMerge/>
            <w:vAlign w:val="center"/>
          </w:tcPr>
          <w:p w:rsidR="00B20DDB" w:rsidRDefault="00B20DDB" w:rsidP="006C225B">
            <w:pPr>
              <w:jc w:val="center"/>
              <w:rPr>
                <w:sz w:val="18"/>
                <w:lang w:val="es-MX"/>
              </w:rPr>
            </w:pPr>
          </w:p>
        </w:tc>
        <w:tc>
          <w:tcPr>
            <w:tcW w:w="1468" w:type="dxa"/>
            <w:vMerge/>
            <w:vAlign w:val="center"/>
          </w:tcPr>
          <w:p w:rsidR="00B20DDB" w:rsidRPr="00164A31" w:rsidRDefault="00B20DDB" w:rsidP="00403C46">
            <w:pPr>
              <w:jc w:val="left"/>
              <w:rPr>
                <w:sz w:val="18"/>
                <w:lang w:val="es-MX"/>
              </w:rPr>
            </w:pPr>
          </w:p>
        </w:tc>
        <w:tc>
          <w:tcPr>
            <w:tcW w:w="990" w:type="dxa"/>
            <w:vAlign w:val="center"/>
          </w:tcPr>
          <w:p w:rsidR="00B20DDB" w:rsidRPr="00164A31" w:rsidRDefault="00B20DDB" w:rsidP="00416654">
            <w:pPr>
              <w:jc w:val="left"/>
              <w:rPr>
                <w:sz w:val="18"/>
                <w:lang w:val="es-MX"/>
              </w:rPr>
            </w:pPr>
            <w:r>
              <w:rPr>
                <w:sz w:val="18"/>
                <w:lang w:val="es-MX"/>
              </w:rPr>
              <w:t>Avance</w:t>
            </w:r>
          </w:p>
        </w:tc>
        <w:tc>
          <w:tcPr>
            <w:tcW w:w="990" w:type="dxa"/>
            <w:vAlign w:val="center"/>
          </w:tcPr>
          <w:p w:rsidR="00B20DDB" w:rsidRPr="00164A31" w:rsidRDefault="00B20DDB">
            <w:pPr>
              <w:jc w:val="center"/>
              <w:rPr>
                <w:sz w:val="18"/>
                <w:lang w:val="es-MX"/>
              </w:rPr>
            </w:pPr>
            <w:r>
              <w:rPr>
                <w:sz w:val="18"/>
                <w:lang w:val="es-MX"/>
              </w:rPr>
              <w:t>0</w:t>
            </w:r>
          </w:p>
        </w:tc>
        <w:tc>
          <w:tcPr>
            <w:tcW w:w="1163" w:type="dxa"/>
            <w:vAlign w:val="center"/>
          </w:tcPr>
          <w:p w:rsidR="00B20DDB" w:rsidRPr="00164A31" w:rsidRDefault="00B20DDB" w:rsidP="00416654">
            <w:pPr>
              <w:jc w:val="center"/>
              <w:rPr>
                <w:sz w:val="18"/>
                <w:lang w:val="es-MX"/>
              </w:rPr>
            </w:pPr>
            <w:r>
              <w:rPr>
                <w:sz w:val="18"/>
                <w:lang w:val="es-MX"/>
              </w:rPr>
              <w:t>0</w:t>
            </w:r>
          </w:p>
        </w:tc>
        <w:tc>
          <w:tcPr>
            <w:tcW w:w="1163" w:type="dxa"/>
            <w:vAlign w:val="center"/>
          </w:tcPr>
          <w:p w:rsidR="00B20DDB" w:rsidRDefault="00B20DDB" w:rsidP="00416654">
            <w:pPr>
              <w:jc w:val="center"/>
              <w:rPr>
                <w:sz w:val="18"/>
                <w:lang w:val="es-MX"/>
              </w:rPr>
            </w:pPr>
            <w:r>
              <w:rPr>
                <w:sz w:val="18"/>
                <w:lang w:val="es-MX"/>
              </w:rPr>
              <w:t>0</w:t>
            </w:r>
          </w:p>
        </w:tc>
      </w:tr>
      <w:tr w:rsidR="00B20DDB" w:rsidRPr="00116B96" w:rsidTr="00416654">
        <w:trPr>
          <w:trHeight w:val="150"/>
        </w:trPr>
        <w:tc>
          <w:tcPr>
            <w:tcW w:w="2699" w:type="dxa"/>
            <w:vMerge w:val="restart"/>
            <w:vAlign w:val="center"/>
          </w:tcPr>
          <w:p w:rsidR="00B20DDB" w:rsidRPr="00416654" w:rsidRDefault="00B20DDB" w:rsidP="00416654">
            <w:pPr>
              <w:jc w:val="right"/>
              <w:rPr>
                <w:sz w:val="16"/>
                <w:szCs w:val="16"/>
                <w:lang w:val="es-MX"/>
              </w:rPr>
            </w:pPr>
            <w:r w:rsidRPr="00416654">
              <w:rPr>
                <w:i/>
                <w:sz w:val="16"/>
                <w:szCs w:val="16"/>
                <w:lang w:val="es-MX"/>
              </w:rPr>
              <w:t>II-3.2-Campañas de Comunicación del PEC</w:t>
            </w:r>
          </w:p>
        </w:tc>
        <w:tc>
          <w:tcPr>
            <w:tcW w:w="1091" w:type="dxa"/>
            <w:vMerge w:val="restart"/>
            <w:vAlign w:val="center"/>
          </w:tcPr>
          <w:p w:rsidR="00B20DDB" w:rsidRPr="00416654" w:rsidRDefault="00B20DDB">
            <w:pPr>
              <w:jc w:val="center"/>
              <w:rPr>
                <w:sz w:val="16"/>
                <w:szCs w:val="16"/>
                <w:lang w:val="es-MX"/>
              </w:rPr>
            </w:pPr>
            <w:r w:rsidRPr="00416654">
              <w:rPr>
                <w:sz w:val="16"/>
                <w:szCs w:val="16"/>
                <w:lang w:val="es-MX"/>
              </w:rPr>
              <w:t>#Campañas</w:t>
            </w:r>
          </w:p>
        </w:tc>
        <w:tc>
          <w:tcPr>
            <w:tcW w:w="824" w:type="dxa"/>
            <w:vMerge w:val="restart"/>
            <w:vAlign w:val="center"/>
          </w:tcPr>
          <w:p w:rsidR="00B20DDB" w:rsidRPr="00164A31" w:rsidRDefault="00B20DDB" w:rsidP="006C225B">
            <w:pPr>
              <w:jc w:val="center"/>
              <w:rPr>
                <w:sz w:val="18"/>
                <w:lang w:val="es-MX"/>
              </w:rPr>
            </w:pPr>
            <w:r>
              <w:rPr>
                <w:sz w:val="18"/>
                <w:lang w:val="es-MX"/>
              </w:rPr>
              <w:t>0</w:t>
            </w:r>
          </w:p>
        </w:tc>
        <w:tc>
          <w:tcPr>
            <w:tcW w:w="1468" w:type="dxa"/>
            <w:vMerge/>
            <w:vAlign w:val="center"/>
          </w:tcPr>
          <w:p w:rsidR="00B20DDB" w:rsidRPr="00164A31" w:rsidRDefault="00B20DDB">
            <w:pPr>
              <w:jc w:val="left"/>
              <w:rPr>
                <w:sz w:val="18"/>
                <w:lang w:val="es-MX"/>
              </w:rPr>
            </w:pPr>
          </w:p>
        </w:tc>
        <w:tc>
          <w:tcPr>
            <w:tcW w:w="990" w:type="dxa"/>
            <w:vAlign w:val="center"/>
          </w:tcPr>
          <w:p w:rsidR="00B20DDB" w:rsidRPr="00164A31" w:rsidRDefault="00B20DDB" w:rsidP="00416654">
            <w:pPr>
              <w:jc w:val="left"/>
              <w:rPr>
                <w:sz w:val="18"/>
                <w:lang w:val="es-MX"/>
              </w:rPr>
            </w:pPr>
            <w:r w:rsidRPr="00164A31">
              <w:rPr>
                <w:sz w:val="18"/>
                <w:lang w:val="es-MX"/>
              </w:rPr>
              <w:t>Prevista</w:t>
            </w:r>
          </w:p>
        </w:tc>
        <w:tc>
          <w:tcPr>
            <w:tcW w:w="990" w:type="dxa"/>
            <w:vAlign w:val="center"/>
          </w:tcPr>
          <w:p w:rsidR="00B20DDB" w:rsidRPr="00164A31" w:rsidRDefault="00B20DDB">
            <w:pPr>
              <w:jc w:val="center"/>
              <w:rPr>
                <w:sz w:val="18"/>
                <w:lang w:val="es-MX"/>
              </w:rPr>
            </w:pPr>
            <w:r>
              <w:rPr>
                <w:sz w:val="18"/>
                <w:lang w:val="es-MX"/>
              </w:rPr>
              <w:t>0</w:t>
            </w:r>
          </w:p>
        </w:tc>
        <w:tc>
          <w:tcPr>
            <w:tcW w:w="1163" w:type="dxa"/>
            <w:vAlign w:val="center"/>
          </w:tcPr>
          <w:p w:rsidR="00B20DDB" w:rsidRPr="00164A31" w:rsidRDefault="00B20DDB" w:rsidP="00416654">
            <w:pPr>
              <w:jc w:val="center"/>
              <w:rPr>
                <w:sz w:val="18"/>
                <w:lang w:val="es-MX"/>
              </w:rPr>
            </w:pPr>
            <w:r>
              <w:rPr>
                <w:sz w:val="18"/>
                <w:lang w:val="es-MX"/>
              </w:rPr>
              <w:t>N/A</w:t>
            </w:r>
          </w:p>
        </w:tc>
        <w:tc>
          <w:tcPr>
            <w:tcW w:w="1163" w:type="dxa"/>
            <w:vAlign w:val="center"/>
          </w:tcPr>
          <w:p w:rsidR="00B20DDB" w:rsidRPr="00164A31" w:rsidRDefault="00B20DDB" w:rsidP="00416654">
            <w:pPr>
              <w:jc w:val="center"/>
              <w:rPr>
                <w:sz w:val="18"/>
                <w:lang w:val="es-MX"/>
              </w:rPr>
            </w:pPr>
            <w:r>
              <w:rPr>
                <w:sz w:val="18"/>
                <w:lang w:val="es-MX"/>
              </w:rPr>
              <w:t>1</w:t>
            </w:r>
          </w:p>
        </w:tc>
      </w:tr>
      <w:tr w:rsidR="00B20DDB" w:rsidRPr="00116B96" w:rsidTr="00416654">
        <w:trPr>
          <w:trHeight w:val="149"/>
        </w:trPr>
        <w:tc>
          <w:tcPr>
            <w:tcW w:w="2699" w:type="dxa"/>
            <w:vMerge/>
            <w:vAlign w:val="center"/>
          </w:tcPr>
          <w:p w:rsidR="00B20DDB" w:rsidRDefault="00B20DDB" w:rsidP="00116B96">
            <w:pPr>
              <w:jc w:val="right"/>
              <w:rPr>
                <w:i/>
                <w:sz w:val="18"/>
                <w:lang w:val="es-MX"/>
              </w:rPr>
            </w:pPr>
          </w:p>
        </w:tc>
        <w:tc>
          <w:tcPr>
            <w:tcW w:w="1091" w:type="dxa"/>
            <w:vMerge/>
            <w:vAlign w:val="center"/>
          </w:tcPr>
          <w:p w:rsidR="00B20DDB" w:rsidRDefault="00B20DDB">
            <w:pPr>
              <w:jc w:val="center"/>
              <w:rPr>
                <w:sz w:val="18"/>
                <w:lang w:val="es-MX"/>
              </w:rPr>
            </w:pPr>
          </w:p>
        </w:tc>
        <w:tc>
          <w:tcPr>
            <w:tcW w:w="824" w:type="dxa"/>
            <w:vMerge/>
            <w:vAlign w:val="center"/>
          </w:tcPr>
          <w:p w:rsidR="00B20DDB" w:rsidRDefault="00B20DDB" w:rsidP="006C225B">
            <w:pPr>
              <w:jc w:val="center"/>
              <w:rPr>
                <w:sz w:val="18"/>
                <w:lang w:val="es-MX"/>
              </w:rPr>
            </w:pPr>
          </w:p>
        </w:tc>
        <w:tc>
          <w:tcPr>
            <w:tcW w:w="1468" w:type="dxa"/>
            <w:vMerge/>
            <w:vAlign w:val="center"/>
          </w:tcPr>
          <w:p w:rsidR="00B20DDB" w:rsidRPr="00164A31" w:rsidRDefault="00B20DDB">
            <w:pPr>
              <w:jc w:val="left"/>
              <w:rPr>
                <w:sz w:val="18"/>
                <w:lang w:val="es-MX"/>
              </w:rPr>
            </w:pPr>
          </w:p>
        </w:tc>
        <w:tc>
          <w:tcPr>
            <w:tcW w:w="990" w:type="dxa"/>
            <w:vAlign w:val="center"/>
          </w:tcPr>
          <w:p w:rsidR="00B20DDB" w:rsidRPr="00164A31" w:rsidRDefault="00B20DDB" w:rsidP="00416654">
            <w:pPr>
              <w:jc w:val="left"/>
              <w:rPr>
                <w:sz w:val="18"/>
                <w:lang w:val="es-MX"/>
              </w:rPr>
            </w:pPr>
            <w:r>
              <w:rPr>
                <w:sz w:val="18"/>
                <w:lang w:val="es-MX"/>
              </w:rPr>
              <w:t>Avance</w:t>
            </w:r>
          </w:p>
        </w:tc>
        <w:tc>
          <w:tcPr>
            <w:tcW w:w="990" w:type="dxa"/>
            <w:vAlign w:val="center"/>
          </w:tcPr>
          <w:p w:rsidR="00B20DDB" w:rsidRPr="00164A31" w:rsidRDefault="00B20DDB">
            <w:pPr>
              <w:jc w:val="center"/>
              <w:rPr>
                <w:sz w:val="18"/>
                <w:lang w:val="es-MX"/>
              </w:rPr>
            </w:pPr>
            <w:r>
              <w:rPr>
                <w:sz w:val="18"/>
                <w:lang w:val="es-MX"/>
              </w:rPr>
              <w:t>0</w:t>
            </w:r>
          </w:p>
        </w:tc>
        <w:tc>
          <w:tcPr>
            <w:tcW w:w="1163" w:type="dxa"/>
            <w:vAlign w:val="center"/>
          </w:tcPr>
          <w:p w:rsidR="00B20DDB" w:rsidRPr="00164A31" w:rsidRDefault="00B20DDB" w:rsidP="00416654">
            <w:pPr>
              <w:jc w:val="center"/>
              <w:rPr>
                <w:sz w:val="18"/>
                <w:lang w:val="es-MX"/>
              </w:rPr>
            </w:pPr>
            <w:r>
              <w:rPr>
                <w:sz w:val="18"/>
                <w:lang w:val="es-MX"/>
              </w:rPr>
              <w:t>0</w:t>
            </w:r>
          </w:p>
        </w:tc>
        <w:tc>
          <w:tcPr>
            <w:tcW w:w="1163" w:type="dxa"/>
            <w:vAlign w:val="center"/>
          </w:tcPr>
          <w:p w:rsidR="00B20DDB" w:rsidRDefault="00B20DDB" w:rsidP="00416654">
            <w:pPr>
              <w:jc w:val="center"/>
              <w:rPr>
                <w:sz w:val="18"/>
                <w:lang w:val="es-MX"/>
              </w:rPr>
            </w:pPr>
            <w:r>
              <w:rPr>
                <w:sz w:val="18"/>
                <w:lang w:val="es-MX"/>
              </w:rPr>
              <w:t>0</w:t>
            </w:r>
          </w:p>
        </w:tc>
      </w:tr>
      <w:tr w:rsidR="00B20DDB" w:rsidRPr="00164A31" w:rsidTr="00416654">
        <w:tc>
          <w:tcPr>
            <w:tcW w:w="2699" w:type="dxa"/>
            <w:vMerge w:val="restart"/>
            <w:vAlign w:val="center"/>
          </w:tcPr>
          <w:p w:rsidR="00B20DDB" w:rsidRPr="00164A31" w:rsidRDefault="00B20DDB">
            <w:pPr>
              <w:jc w:val="left"/>
              <w:rPr>
                <w:sz w:val="18"/>
                <w:lang w:val="es-MX"/>
              </w:rPr>
            </w:pPr>
            <w:r w:rsidRPr="00164A31">
              <w:rPr>
                <w:sz w:val="18"/>
                <w:lang w:val="es-MX"/>
              </w:rPr>
              <w:t>II-5: Plan de monitoreo de indicadores energéticos, sociales, económicos y ambientales, aprobado</w:t>
            </w:r>
          </w:p>
        </w:tc>
        <w:tc>
          <w:tcPr>
            <w:tcW w:w="1091" w:type="dxa"/>
            <w:vMerge w:val="restart"/>
            <w:vAlign w:val="center"/>
          </w:tcPr>
          <w:p w:rsidR="00B20DDB" w:rsidRPr="00164A31" w:rsidRDefault="00B20DDB">
            <w:pPr>
              <w:jc w:val="center"/>
              <w:rPr>
                <w:sz w:val="18"/>
                <w:lang w:val="es-MX"/>
              </w:rPr>
            </w:pPr>
            <w:r w:rsidRPr="00164A31">
              <w:rPr>
                <w:sz w:val="18"/>
                <w:lang w:val="es-MX"/>
              </w:rPr>
              <w:t xml:space="preserve"># </w:t>
            </w:r>
            <w:r>
              <w:rPr>
                <w:sz w:val="18"/>
                <w:lang w:val="es-MX"/>
              </w:rPr>
              <w:t>Planes</w:t>
            </w:r>
          </w:p>
        </w:tc>
        <w:tc>
          <w:tcPr>
            <w:tcW w:w="824" w:type="dxa"/>
            <w:vMerge w:val="restart"/>
            <w:vAlign w:val="center"/>
          </w:tcPr>
          <w:p w:rsidR="00B20DDB" w:rsidRPr="00164A31" w:rsidRDefault="00B20DDB" w:rsidP="006C225B">
            <w:pPr>
              <w:jc w:val="center"/>
              <w:rPr>
                <w:sz w:val="18"/>
                <w:lang w:val="es-MX"/>
              </w:rPr>
            </w:pPr>
            <w:r w:rsidRPr="00164A31">
              <w:rPr>
                <w:sz w:val="18"/>
                <w:lang w:val="es-MX"/>
              </w:rPr>
              <w:t>0</w:t>
            </w:r>
          </w:p>
        </w:tc>
        <w:tc>
          <w:tcPr>
            <w:tcW w:w="1468" w:type="dxa"/>
            <w:vMerge w:val="restart"/>
            <w:vAlign w:val="center"/>
          </w:tcPr>
          <w:p w:rsidR="00B20DDB" w:rsidRPr="00164A31" w:rsidRDefault="00B20DDB" w:rsidP="00416654">
            <w:pPr>
              <w:jc w:val="left"/>
              <w:rPr>
                <w:sz w:val="18"/>
                <w:lang w:val="es-MX"/>
              </w:rPr>
            </w:pPr>
            <w:r w:rsidRPr="00164A31">
              <w:rPr>
                <w:sz w:val="18"/>
                <w:lang w:val="es-MX"/>
              </w:rPr>
              <w:t>Informe de avance del proyecto</w:t>
            </w:r>
          </w:p>
        </w:tc>
        <w:tc>
          <w:tcPr>
            <w:tcW w:w="990" w:type="dxa"/>
            <w:vAlign w:val="center"/>
          </w:tcPr>
          <w:p w:rsidR="00B20DDB" w:rsidRPr="00164A31" w:rsidRDefault="00B20DDB" w:rsidP="00416654">
            <w:pPr>
              <w:jc w:val="left"/>
              <w:rPr>
                <w:sz w:val="18"/>
                <w:lang w:val="es-MX"/>
              </w:rPr>
            </w:pPr>
            <w:r w:rsidRPr="00164A31">
              <w:rPr>
                <w:sz w:val="18"/>
                <w:lang w:val="es-MX"/>
              </w:rPr>
              <w:t>Prevista</w:t>
            </w:r>
          </w:p>
        </w:tc>
        <w:tc>
          <w:tcPr>
            <w:tcW w:w="990" w:type="dxa"/>
            <w:vAlign w:val="center"/>
          </w:tcPr>
          <w:p w:rsidR="00B20DDB" w:rsidRPr="00164A31" w:rsidRDefault="00B20DDB">
            <w:pPr>
              <w:jc w:val="center"/>
              <w:rPr>
                <w:sz w:val="18"/>
                <w:lang w:val="es-MX"/>
              </w:rPr>
            </w:pPr>
            <w:r w:rsidRPr="00164A31">
              <w:rPr>
                <w:sz w:val="18"/>
                <w:lang w:val="es-MX"/>
              </w:rPr>
              <w:t>1</w:t>
            </w:r>
          </w:p>
        </w:tc>
        <w:tc>
          <w:tcPr>
            <w:tcW w:w="1163" w:type="dxa"/>
            <w:vAlign w:val="center"/>
          </w:tcPr>
          <w:p w:rsidR="00B20DDB" w:rsidRPr="00164A31" w:rsidRDefault="00B20DDB" w:rsidP="00416654">
            <w:pPr>
              <w:jc w:val="center"/>
              <w:rPr>
                <w:sz w:val="18"/>
                <w:lang w:val="es-MX"/>
              </w:rPr>
            </w:pPr>
            <w:r>
              <w:rPr>
                <w:sz w:val="18"/>
                <w:lang w:val="es-MX"/>
              </w:rPr>
              <w:t>N/A</w:t>
            </w:r>
          </w:p>
        </w:tc>
        <w:tc>
          <w:tcPr>
            <w:tcW w:w="1163" w:type="dxa"/>
            <w:vAlign w:val="center"/>
          </w:tcPr>
          <w:p w:rsidR="00B20DDB" w:rsidRPr="00164A31" w:rsidRDefault="00B20DDB" w:rsidP="00416654">
            <w:pPr>
              <w:jc w:val="center"/>
              <w:rPr>
                <w:sz w:val="18"/>
                <w:lang w:val="es-MX"/>
              </w:rPr>
            </w:pPr>
            <w:r>
              <w:rPr>
                <w:sz w:val="18"/>
                <w:lang w:val="es-MX"/>
              </w:rPr>
              <w:t>1</w:t>
            </w:r>
          </w:p>
        </w:tc>
      </w:tr>
      <w:tr w:rsidR="00B20DDB" w:rsidRPr="00164A31" w:rsidTr="00416654">
        <w:tc>
          <w:tcPr>
            <w:tcW w:w="2699" w:type="dxa"/>
            <w:vMerge/>
          </w:tcPr>
          <w:p w:rsidR="00B20DDB" w:rsidRPr="00164A31" w:rsidRDefault="00B20DDB" w:rsidP="006C225B">
            <w:pPr>
              <w:rPr>
                <w:sz w:val="18"/>
                <w:lang w:val="es-MX"/>
              </w:rPr>
            </w:pPr>
          </w:p>
        </w:tc>
        <w:tc>
          <w:tcPr>
            <w:tcW w:w="1091" w:type="dxa"/>
            <w:vMerge/>
          </w:tcPr>
          <w:p w:rsidR="00B20DDB" w:rsidRPr="00164A31" w:rsidRDefault="00B20DDB" w:rsidP="006C225B">
            <w:pPr>
              <w:rPr>
                <w:sz w:val="18"/>
                <w:lang w:val="es-MX"/>
              </w:rPr>
            </w:pPr>
          </w:p>
        </w:tc>
        <w:tc>
          <w:tcPr>
            <w:tcW w:w="824" w:type="dxa"/>
            <w:vMerge/>
          </w:tcPr>
          <w:p w:rsidR="00B20DDB" w:rsidRPr="00164A31" w:rsidRDefault="00B20DDB" w:rsidP="006C225B">
            <w:pPr>
              <w:rPr>
                <w:sz w:val="18"/>
                <w:lang w:val="es-MX"/>
              </w:rPr>
            </w:pPr>
          </w:p>
        </w:tc>
        <w:tc>
          <w:tcPr>
            <w:tcW w:w="1468" w:type="dxa"/>
            <w:vMerge/>
          </w:tcPr>
          <w:p w:rsidR="00B20DDB" w:rsidRPr="00164A31" w:rsidRDefault="00B20DDB" w:rsidP="006C225B">
            <w:pPr>
              <w:rPr>
                <w:sz w:val="18"/>
                <w:lang w:val="es-MX"/>
              </w:rPr>
            </w:pPr>
          </w:p>
        </w:tc>
        <w:tc>
          <w:tcPr>
            <w:tcW w:w="990" w:type="dxa"/>
            <w:vAlign w:val="center"/>
          </w:tcPr>
          <w:p w:rsidR="00B20DDB" w:rsidRPr="00164A31" w:rsidRDefault="00B20DDB" w:rsidP="00416654">
            <w:pPr>
              <w:jc w:val="left"/>
              <w:rPr>
                <w:sz w:val="18"/>
                <w:lang w:val="es-MX"/>
              </w:rPr>
            </w:pPr>
            <w:r>
              <w:rPr>
                <w:sz w:val="18"/>
                <w:lang w:val="es-MX"/>
              </w:rPr>
              <w:t>Avance</w:t>
            </w:r>
          </w:p>
        </w:tc>
        <w:tc>
          <w:tcPr>
            <w:tcW w:w="990" w:type="dxa"/>
            <w:vAlign w:val="center"/>
          </w:tcPr>
          <w:p w:rsidR="00B20DDB" w:rsidRPr="00164A31" w:rsidRDefault="00B20DDB">
            <w:pPr>
              <w:jc w:val="center"/>
              <w:rPr>
                <w:sz w:val="18"/>
                <w:lang w:val="es-MX"/>
              </w:rPr>
            </w:pPr>
            <w:r>
              <w:rPr>
                <w:sz w:val="18"/>
                <w:lang w:val="es-MX"/>
              </w:rPr>
              <w:t>0</w:t>
            </w:r>
          </w:p>
        </w:tc>
        <w:tc>
          <w:tcPr>
            <w:tcW w:w="1163" w:type="dxa"/>
            <w:vAlign w:val="center"/>
          </w:tcPr>
          <w:p w:rsidR="00B20DDB" w:rsidRPr="00164A31" w:rsidRDefault="00B20DDB" w:rsidP="00416654">
            <w:pPr>
              <w:jc w:val="center"/>
              <w:rPr>
                <w:sz w:val="18"/>
                <w:lang w:val="es-MX"/>
              </w:rPr>
            </w:pPr>
            <w:r>
              <w:rPr>
                <w:sz w:val="18"/>
                <w:lang w:val="es-MX"/>
              </w:rPr>
              <w:t>0</w:t>
            </w:r>
          </w:p>
        </w:tc>
        <w:tc>
          <w:tcPr>
            <w:tcW w:w="1163" w:type="dxa"/>
            <w:vAlign w:val="center"/>
          </w:tcPr>
          <w:p w:rsidR="00B20DDB" w:rsidRDefault="00B20DDB" w:rsidP="00416654">
            <w:pPr>
              <w:jc w:val="center"/>
              <w:rPr>
                <w:sz w:val="18"/>
                <w:lang w:val="es-MX"/>
              </w:rPr>
            </w:pPr>
            <w:r>
              <w:rPr>
                <w:sz w:val="18"/>
                <w:lang w:val="es-MX"/>
              </w:rPr>
              <w:t>0</w:t>
            </w:r>
          </w:p>
        </w:tc>
      </w:tr>
      <w:tr w:rsidR="00B20DDB" w:rsidRPr="0067646A" w:rsidTr="00416654">
        <w:tc>
          <w:tcPr>
            <w:tcW w:w="9225" w:type="dxa"/>
            <w:gridSpan w:val="7"/>
            <w:vAlign w:val="center"/>
          </w:tcPr>
          <w:p w:rsidR="00B20DDB" w:rsidRPr="00416654" w:rsidRDefault="00B20DDB" w:rsidP="00E807B0">
            <w:pPr>
              <w:rPr>
                <w:b/>
                <w:smallCaps/>
                <w:sz w:val="18"/>
                <w:lang w:val="es-MX"/>
              </w:rPr>
            </w:pPr>
            <w:r w:rsidRPr="00416654">
              <w:rPr>
                <w:b/>
                <w:smallCaps/>
                <w:sz w:val="18"/>
                <w:lang w:val="es-MX"/>
              </w:rPr>
              <w:t>Componente III – Fortalecimiento Institucional</w:t>
            </w:r>
          </w:p>
        </w:tc>
        <w:tc>
          <w:tcPr>
            <w:tcW w:w="1163" w:type="dxa"/>
            <w:vAlign w:val="center"/>
          </w:tcPr>
          <w:p w:rsidR="00B20DDB" w:rsidRPr="0067646A" w:rsidRDefault="00B20DDB" w:rsidP="00416654">
            <w:pPr>
              <w:jc w:val="center"/>
              <w:rPr>
                <w:b/>
                <w:smallCaps/>
                <w:sz w:val="18"/>
                <w:lang w:val="es-MX"/>
              </w:rPr>
            </w:pPr>
          </w:p>
        </w:tc>
      </w:tr>
      <w:tr w:rsidR="00B20DDB" w:rsidRPr="00164A31" w:rsidTr="00416654">
        <w:tc>
          <w:tcPr>
            <w:tcW w:w="2699" w:type="dxa"/>
            <w:vMerge w:val="restart"/>
            <w:vAlign w:val="center"/>
          </w:tcPr>
          <w:p w:rsidR="00B20DDB" w:rsidRPr="00164A31" w:rsidRDefault="00B20DDB">
            <w:pPr>
              <w:jc w:val="left"/>
              <w:rPr>
                <w:sz w:val="18"/>
                <w:lang w:val="es-MX"/>
              </w:rPr>
            </w:pPr>
            <w:r w:rsidRPr="00164A31">
              <w:rPr>
                <w:sz w:val="18"/>
                <w:lang w:val="es-MX"/>
              </w:rPr>
              <w:lastRenderedPageBreak/>
              <w:t xml:space="preserve">III-1: </w:t>
            </w:r>
            <w:r w:rsidRPr="00254D9D">
              <w:rPr>
                <w:sz w:val="18"/>
                <w:lang w:val="es-MX"/>
              </w:rPr>
              <w:t>Cursos de capacitación a las EED</w:t>
            </w:r>
            <w:r>
              <w:rPr>
                <w:sz w:val="18"/>
                <w:lang w:val="es-MX"/>
              </w:rPr>
              <w:t>,</w:t>
            </w:r>
            <w:r w:rsidRPr="00254D9D">
              <w:rPr>
                <w:sz w:val="18"/>
                <w:lang w:val="es-MX"/>
              </w:rPr>
              <w:t xml:space="preserve"> </w:t>
            </w:r>
            <w:r>
              <w:rPr>
                <w:sz w:val="18"/>
                <w:lang w:val="es-MX"/>
              </w:rPr>
              <w:t>implementados.</w:t>
            </w:r>
          </w:p>
        </w:tc>
        <w:tc>
          <w:tcPr>
            <w:tcW w:w="1091" w:type="dxa"/>
            <w:vMerge w:val="restart"/>
            <w:vAlign w:val="center"/>
          </w:tcPr>
          <w:p w:rsidR="00B20DDB" w:rsidRPr="00164A31" w:rsidRDefault="00B20DDB" w:rsidP="006C225B">
            <w:pPr>
              <w:jc w:val="center"/>
              <w:rPr>
                <w:sz w:val="18"/>
                <w:lang w:val="es-MX"/>
              </w:rPr>
            </w:pPr>
            <w:r w:rsidRPr="00164A31">
              <w:rPr>
                <w:sz w:val="18"/>
                <w:lang w:val="es-MX"/>
              </w:rPr>
              <w:t># cursos</w:t>
            </w:r>
          </w:p>
        </w:tc>
        <w:tc>
          <w:tcPr>
            <w:tcW w:w="824" w:type="dxa"/>
            <w:vMerge w:val="restart"/>
            <w:vAlign w:val="center"/>
          </w:tcPr>
          <w:p w:rsidR="00B20DDB" w:rsidRPr="00164A31" w:rsidRDefault="00B20DDB" w:rsidP="006C225B">
            <w:pPr>
              <w:jc w:val="center"/>
              <w:rPr>
                <w:sz w:val="18"/>
                <w:lang w:val="es-MX"/>
              </w:rPr>
            </w:pPr>
            <w:r w:rsidRPr="00164A31">
              <w:rPr>
                <w:sz w:val="18"/>
                <w:lang w:val="es-MX"/>
              </w:rPr>
              <w:t>0</w:t>
            </w:r>
          </w:p>
        </w:tc>
        <w:tc>
          <w:tcPr>
            <w:tcW w:w="1468" w:type="dxa"/>
            <w:vMerge w:val="restart"/>
            <w:vAlign w:val="center"/>
          </w:tcPr>
          <w:p w:rsidR="00B20DDB" w:rsidRPr="00164A31" w:rsidRDefault="00B20DDB" w:rsidP="00416654">
            <w:pPr>
              <w:jc w:val="left"/>
              <w:rPr>
                <w:sz w:val="18"/>
                <w:lang w:val="es-MX"/>
              </w:rPr>
            </w:pPr>
            <w:r w:rsidRPr="00164A31">
              <w:rPr>
                <w:sz w:val="18"/>
                <w:lang w:val="es-MX"/>
              </w:rPr>
              <w:t>Informe de avance del proyecto</w:t>
            </w:r>
          </w:p>
        </w:tc>
        <w:tc>
          <w:tcPr>
            <w:tcW w:w="990" w:type="dxa"/>
          </w:tcPr>
          <w:p w:rsidR="00B20DDB" w:rsidRPr="00164A31" w:rsidRDefault="00B20DDB" w:rsidP="006C225B">
            <w:pPr>
              <w:rPr>
                <w:sz w:val="18"/>
                <w:lang w:val="es-MX"/>
              </w:rPr>
            </w:pPr>
            <w:r w:rsidRPr="00164A31">
              <w:rPr>
                <w:sz w:val="18"/>
                <w:lang w:val="es-MX"/>
              </w:rPr>
              <w:t>Prevista</w:t>
            </w:r>
          </w:p>
        </w:tc>
        <w:tc>
          <w:tcPr>
            <w:tcW w:w="990" w:type="dxa"/>
            <w:vAlign w:val="center"/>
          </w:tcPr>
          <w:p w:rsidR="00B20DDB" w:rsidRPr="00164A31" w:rsidRDefault="00B20DDB">
            <w:pPr>
              <w:jc w:val="center"/>
              <w:rPr>
                <w:sz w:val="18"/>
                <w:lang w:val="es-MX"/>
              </w:rPr>
            </w:pPr>
            <w:r>
              <w:rPr>
                <w:sz w:val="18"/>
                <w:lang w:val="es-MX"/>
              </w:rPr>
              <w:t>0</w:t>
            </w:r>
          </w:p>
        </w:tc>
        <w:tc>
          <w:tcPr>
            <w:tcW w:w="1163" w:type="dxa"/>
            <w:vAlign w:val="center"/>
          </w:tcPr>
          <w:p w:rsidR="00B20DDB" w:rsidRPr="00164A31" w:rsidRDefault="00B20DDB" w:rsidP="00416654">
            <w:pPr>
              <w:jc w:val="center"/>
              <w:rPr>
                <w:sz w:val="18"/>
                <w:lang w:val="es-MX"/>
              </w:rPr>
            </w:pPr>
            <w:r>
              <w:rPr>
                <w:sz w:val="18"/>
                <w:lang w:val="es-MX"/>
              </w:rPr>
              <w:t>N/A</w:t>
            </w:r>
          </w:p>
        </w:tc>
        <w:tc>
          <w:tcPr>
            <w:tcW w:w="1163" w:type="dxa"/>
            <w:vAlign w:val="center"/>
          </w:tcPr>
          <w:p w:rsidR="00B20DDB" w:rsidRPr="00164A31" w:rsidRDefault="00B20DDB" w:rsidP="00416654">
            <w:pPr>
              <w:jc w:val="center"/>
              <w:rPr>
                <w:sz w:val="18"/>
                <w:lang w:val="es-MX"/>
              </w:rPr>
            </w:pPr>
            <w:r>
              <w:rPr>
                <w:sz w:val="18"/>
                <w:lang w:val="es-MX"/>
              </w:rPr>
              <w:t>17</w:t>
            </w:r>
          </w:p>
        </w:tc>
      </w:tr>
      <w:tr w:rsidR="00B20DDB" w:rsidRPr="00164A31" w:rsidTr="00416654">
        <w:tc>
          <w:tcPr>
            <w:tcW w:w="2699" w:type="dxa"/>
            <w:vMerge/>
            <w:vAlign w:val="center"/>
          </w:tcPr>
          <w:p w:rsidR="00B20DDB" w:rsidRPr="00164A31" w:rsidRDefault="00B20DDB" w:rsidP="006C225B">
            <w:pPr>
              <w:jc w:val="left"/>
              <w:rPr>
                <w:sz w:val="18"/>
                <w:lang w:val="es-MX"/>
              </w:rPr>
            </w:pPr>
          </w:p>
        </w:tc>
        <w:tc>
          <w:tcPr>
            <w:tcW w:w="1091" w:type="dxa"/>
            <w:vMerge/>
            <w:vAlign w:val="center"/>
          </w:tcPr>
          <w:p w:rsidR="00B20DDB" w:rsidRPr="00164A31" w:rsidRDefault="00B20DDB" w:rsidP="006C225B">
            <w:pPr>
              <w:jc w:val="center"/>
              <w:rPr>
                <w:sz w:val="18"/>
                <w:lang w:val="es-MX"/>
              </w:rPr>
            </w:pPr>
          </w:p>
        </w:tc>
        <w:tc>
          <w:tcPr>
            <w:tcW w:w="824" w:type="dxa"/>
            <w:vMerge/>
            <w:vAlign w:val="center"/>
          </w:tcPr>
          <w:p w:rsidR="00B20DDB" w:rsidRPr="00164A31" w:rsidRDefault="00B20DDB" w:rsidP="006C225B">
            <w:pPr>
              <w:jc w:val="center"/>
              <w:rPr>
                <w:sz w:val="18"/>
                <w:lang w:val="es-MX"/>
              </w:rPr>
            </w:pPr>
          </w:p>
        </w:tc>
        <w:tc>
          <w:tcPr>
            <w:tcW w:w="1468" w:type="dxa"/>
            <w:vMerge/>
            <w:vAlign w:val="center"/>
          </w:tcPr>
          <w:p w:rsidR="00B20DDB" w:rsidRPr="00164A31" w:rsidRDefault="00B20DDB" w:rsidP="00416654">
            <w:pPr>
              <w:jc w:val="left"/>
              <w:rPr>
                <w:sz w:val="18"/>
                <w:lang w:val="es-MX"/>
              </w:rPr>
            </w:pPr>
          </w:p>
        </w:tc>
        <w:tc>
          <w:tcPr>
            <w:tcW w:w="990" w:type="dxa"/>
          </w:tcPr>
          <w:p w:rsidR="00B20DDB" w:rsidRPr="00164A31" w:rsidRDefault="00B20DDB" w:rsidP="006C225B">
            <w:pPr>
              <w:rPr>
                <w:sz w:val="18"/>
                <w:lang w:val="es-MX"/>
              </w:rPr>
            </w:pPr>
            <w:r>
              <w:rPr>
                <w:sz w:val="18"/>
                <w:lang w:val="es-MX"/>
              </w:rPr>
              <w:t>Avance</w:t>
            </w:r>
          </w:p>
        </w:tc>
        <w:tc>
          <w:tcPr>
            <w:tcW w:w="990" w:type="dxa"/>
            <w:vAlign w:val="center"/>
          </w:tcPr>
          <w:p w:rsidR="00B20DDB" w:rsidRPr="00164A31" w:rsidRDefault="00B20DDB">
            <w:pPr>
              <w:jc w:val="center"/>
              <w:rPr>
                <w:sz w:val="18"/>
                <w:lang w:val="es-MX"/>
              </w:rPr>
            </w:pPr>
            <w:r>
              <w:rPr>
                <w:sz w:val="18"/>
                <w:lang w:val="es-MX"/>
              </w:rPr>
              <w:t>0</w:t>
            </w:r>
          </w:p>
        </w:tc>
        <w:tc>
          <w:tcPr>
            <w:tcW w:w="1163" w:type="dxa"/>
            <w:vAlign w:val="center"/>
          </w:tcPr>
          <w:p w:rsidR="00B20DDB" w:rsidRPr="00164A31" w:rsidRDefault="00B20DDB" w:rsidP="00416654">
            <w:pPr>
              <w:jc w:val="center"/>
              <w:rPr>
                <w:sz w:val="18"/>
                <w:lang w:val="es-MX"/>
              </w:rPr>
            </w:pPr>
            <w:r>
              <w:rPr>
                <w:sz w:val="18"/>
                <w:lang w:val="es-MX"/>
              </w:rPr>
              <w:t>0</w:t>
            </w:r>
          </w:p>
        </w:tc>
        <w:tc>
          <w:tcPr>
            <w:tcW w:w="1163" w:type="dxa"/>
            <w:vAlign w:val="center"/>
          </w:tcPr>
          <w:p w:rsidR="00B20DDB" w:rsidRDefault="00B20DDB" w:rsidP="00416654">
            <w:pPr>
              <w:jc w:val="center"/>
              <w:rPr>
                <w:sz w:val="18"/>
                <w:lang w:val="es-MX"/>
              </w:rPr>
            </w:pPr>
            <w:r>
              <w:rPr>
                <w:sz w:val="18"/>
                <w:lang w:val="es-MX"/>
              </w:rPr>
              <w:t>0</w:t>
            </w:r>
          </w:p>
        </w:tc>
      </w:tr>
      <w:tr w:rsidR="00B20DDB" w:rsidRPr="00164A31" w:rsidTr="00416654">
        <w:tc>
          <w:tcPr>
            <w:tcW w:w="2699" w:type="dxa"/>
            <w:vMerge w:val="restart"/>
            <w:vAlign w:val="center"/>
          </w:tcPr>
          <w:p w:rsidR="00B20DDB" w:rsidRPr="00164A31" w:rsidRDefault="00B20DDB">
            <w:pPr>
              <w:jc w:val="left"/>
              <w:rPr>
                <w:sz w:val="18"/>
                <w:lang w:val="es-MX"/>
              </w:rPr>
            </w:pPr>
            <w:r w:rsidRPr="00164A31">
              <w:rPr>
                <w:sz w:val="18"/>
                <w:lang w:val="es-MX"/>
              </w:rPr>
              <w:t xml:space="preserve">III-2: </w:t>
            </w:r>
            <w:r>
              <w:rPr>
                <w:sz w:val="18"/>
                <w:lang w:val="es-MX"/>
              </w:rPr>
              <w:t>Nuevos d</w:t>
            </w:r>
            <w:r w:rsidRPr="00E36E02">
              <w:rPr>
                <w:sz w:val="18"/>
                <w:lang w:val="es-MX"/>
              </w:rPr>
              <w:t>iseños para proyectos del RSND</w:t>
            </w:r>
            <w:r>
              <w:rPr>
                <w:sz w:val="18"/>
                <w:lang w:val="es-MX"/>
              </w:rPr>
              <w:t>, aprobados.</w:t>
            </w:r>
          </w:p>
        </w:tc>
        <w:tc>
          <w:tcPr>
            <w:tcW w:w="1091" w:type="dxa"/>
            <w:vMerge w:val="restart"/>
            <w:vAlign w:val="center"/>
          </w:tcPr>
          <w:p w:rsidR="00B20DDB" w:rsidRPr="00164A31" w:rsidRDefault="00B20DDB" w:rsidP="006C225B">
            <w:pPr>
              <w:jc w:val="center"/>
              <w:rPr>
                <w:sz w:val="18"/>
                <w:lang w:val="es-MX"/>
              </w:rPr>
            </w:pPr>
            <w:r w:rsidRPr="00164A31">
              <w:rPr>
                <w:sz w:val="18"/>
                <w:lang w:val="es-MX"/>
              </w:rPr>
              <w:t># procesos</w:t>
            </w:r>
          </w:p>
        </w:tc>
        <w:tc>
          <w:tcPr>
            <w:tcW w:w="824" w:type="dxa"/>
            <w:vMerge w:val="restart"/>
            <w:vAlign w:val="center"/>
          </w:tcPr>
          <w:p w:rsidR="00B20DDB" w:rsidRPr="00164A31" w:rsidRDefault="00B20DDB" w:rsidP="006C225B">
            <w:pPr>
              <w:jc w:val="center"/>
              <w:rPr>
                <w:sz w:val="18"/>
                <w:lang w:val="es-MX"/>
              </w:rPr>
            </w:pPr>
            <w:r w:rsidRPr="00164A31">
              <w:rPr>
                <w:sz w:val="18"/>
                <w:lang w:val="es-MX"/>
              </w:rPr>
              <w:t>0</w:t>
            </w:r>
          </w:p>
        </w:tc>
        <w:tc>
          <w:tcPr>
            <w:tcW w:w="1468" w:type="dxa"/>
            <w:vMerge w:val="restart"/>
            <w:vAlign w:val="center"/>
          </w:tcPr>
          <w:p w:rsidR="00B20DDB" w:rsidRPr="00164A31" w:rsidRDefault="00B20DDB" w:rsidP="00416654">
            <w:pPr>
              <w:jc w:val="left"/>
              <w:rPr>
                <w:sz w:val="18"/>
                <w:lang w:val="es-MX"/>
              </w:rPr>
            </w:pPr>
            <w:r w:rsidRPr="00164A31">
              <w:rPr>
                <w:sz w:val="18"/>
                <w:lang w:val="es-MX"/>
              </w:rPr>
              <w:t>Informe de avance del proyecto</w:t>
            </w:r>
          </w:p>
        </w:tc>
        <w:tc>
          <w:tcPr>
            <w:tcW w:w="990" w:type="dxa"/>
          </w:tcPr>
          <w:p w:rsidR="00B20DDB" w:rsidRPr="00164A31" w:rsidRDefault="00B20DDB" w:rsidP="006C225B">
            <w:pPr>
              <w:rPr>
                <w:sz w:val="18"/>
                <w:lang w:val="es-MX"/>
              </w:rPr>
            </w:pPr>
            <w:r w:rsidRPr="00164A31">
              <w:rPr>
                <w:sz w:val="18"/>
                <w:lang w:val="es-MX"/>
              </w:rPr>
              <w:t>Prevista</w:t>
            </w:r>
          </w:p>
        </w:tc>
        <w:tc>
          <w:tcPr>
            <w:tcW w:w="990" w:type="dxa"/>
            <w:vAlign w:val="center"/>
          </w:tcPr>
          <w:p w:rsidR="00B20DDB" w:rsidRPr="00164A31" w:rsidRDefault="00B20DDB">
            <w:pPr>
              <w:jc w:val="center"/>
              <w:rPr>
                <w:sz w:val="18"/>
                <w:lang w:val="es-MX"/>
              </w:rPr>
            </w:pPr>
            <w:r>
              <w:rPr>
                <w:sz w:val="18"/>
                <w:lang w:val="es-MX"/>
              </w:rPr>
              <w:t>0</w:t>
            </w:r>
          </w:p>
        </w:tc>
        <w:tc>
          <w:tcPr>
            <w:tcW w:w="1163" w:type="dxa"/>
            <w:vAlign w:val="center"/>
          </w:tcPr>
          <w:p w:rsidR="00B20DDB" w:rsidRPr="00164A31" w:rsidRDefault="00B20DDB" w:rsidP="00416654">
            <w:pPr>
              <w:jc w:val="center"/>
              <w:rPr>
                <w:sz w:val="18"/>
                <w:lang w:val="es-MX"/>
              </w:rPr>
            </w:pPr>
            <w:r>
              <w:rPr>
                <w:sz w:val="18"/>
                <w:lang w:val="es-MX"/>
              </w:rPr>
              <w:t>N/A</w:t>
            </w:r>
          </w:p>
        </w:tc>
        <w:tc>
          <w:tcPr>
            <w:tcW w:w="1163" w:type="dxa"/>
            <w:vAlign w:val="center"/>
          </w:tcPr>
          <w:p w:rsidR="00B20DDB" w:rsidRPr="00164A31" w:rsidRDefault="00B20DDB" w:rsidP="00416654">
            <w:pPr>
              <w:jc w:val="center"/>
              <w:rPr>
                <w:sz w:val="18"/>
                <w:lang w:val="es-MX"/>
              </w:rPr>
            </w:pPr>
            <w:r>
              <w:rPr>
                <w:sz w:val="18"/>
                <w:lang w:val="es-MX"/>
              </w:rPr>
              <w:t>51</w:t>
            </w:r>
          </w:p>
        </w:tc>
      </w:tr>
      <w:tr w:rsidR="00B20DDB" w:rsidRPr="00164A31" w:rsidTr="00416654">
        <w:tc>
          <w:tcPr>
            <w:tcW w:w="2699" w:type="dxa"/>
            <w:vMerge/>
            <w:vAlign w:val="center"/>
          </w:tcPr>
          <w:p w:rsidR="00B20DDB" w:rsidRPr="00164A31" w:rsidRDefault="00B20DDB" w:rsidP="00254D9D">
            <w:pPr>
              <w:jc w:val="left"/>
              <w:rPr>
                <w:sz w:val="18"/>
                <w:lang w:val="es-MX"/>
              </w:rPr>
            </w:pPr>
          </w:p>
        </w:tc>
        <w:tc>
          <w:tcPr>
            <w:tcW w:w="1091" w:type="dxa"/>
            <w:vMerge/>
            <w:vAlign w:val="center"/>
          </w:tcPr>
          <w:p w:rsidR="00B20DDB" w:rsidRPr="00164A31" w:rsidRDefault="00B20DDB" w:rsidP="006C225B">
            <w:pPr>
              <w:jc w:val="center"/>
              <w:rPr>
                <w:sz w:val="18"/>
                <w:lang w:val="es-MX"/>
              </w:rPr>
            </w:pPr>
          </w:p>
        </w:tc>
        <w:tc>
          <w:tcPr>
            <w:tcW w:w="824" w:type="dxa"/>
            <w:vMerge/>
            <w:vAlign w:val="center"/>
          </w:tcPr>
          <w:p w:rsidR="00B20DDB" w:rsidRPr="00164A31" w:rsidRDefault="00B20DDB" w:rsidP="006C225B">
            <w:pPr>
              <w:jc w:val="center"/>
              <w:rPr>
                <w:sz w:val="18"/>
                <w:lang w:val="es-MX"/>
              </w:rPr>
            </w:pPr>
          </w:p>
        </w:tc>
        <w:tc>
          <w:tcPr>
            <w:tcW w:w="1468" w:type="dxa"/>
            <w:vMerge/>
            <w:vAlign w:val="center"/>
          </w:tcPr>
          <w:p w:rsidR="00B20DDB" w:rsidRPr="00164A31" w:rsidRDefault="00B20DDB" w:rsidP="00254D9D">
            <w:pPr>
              <w:jc w:val="left"/>
              <w:rPr>
                <w:sz w:val="18"/>
                <w:lang w:val="es-MX"/>
              </w:rPr>
            </w:pPr>
          </w:p>
        </w:tc>
        <w:tc>
          <w:tcPr>
            <w:tcW w:w="990" w:type="dxa"/>
          </w:tcPr>
          <w:p w:rsidR="00B20DDB" w:rsidRPr="00164A31" w:rsidRDefault="00B20DDB" w:rsidP="006C225B">
            <w:pPr>
              <w:rPr>
                <w:sz w:val="18"/>
                <w:lang w:val="es-MX"/>
              </w:rPr>
            </w:pPr>
            <w:r>
              <w:rPr>
                <w:sz w:val="18"/>
                <w:lang w:val="es-MX"/>
              </w:rPr>
              <w:t>Avance</w:t>
            </w:r>
          </w:p>
        </w:tc>
        <w:tc>
          <w:tcPr>
            <w:tcW w:w="990" w:type="dxa"/>
            <w:vAlign w:val="center"/>
          </w:tcPr>
          <w:p w:rsidR="00B20DDB" w:rsidRPr="00164A31" w:rsidRDefault="00B20DDB">
            <w:pPr>
              <w:jc w:val="center"/>
              <w:rPr>
                <w:sz w:val="18"/>
                <w:lang w:val="es-MX"/>
              </w:rPr>
            </w:pPr>
            <w:r>
              <w:rPr>
                <w:sz w:val="18"/>
                <w:lang w:val="es-MX"/>
              </w:rPr>
              <w:t>0</w:t>
            </w:r>
          </w:p>
        </w:tc>
        <w:tc>
          <w:tcPr>
            <w:tcW w:w="1163" w:type="dxa"/>
            <w:vAlign w:val="center"/>
          </w:tcPr>
          <w:p w:rsidR="00B20DDB" w:rsidRPr="00164A31" w:rsidRDefault="00B20DDB" w:rsidP="00416654">
            <w:pPr>
              <w:jc w:val="center"/>
              <w:rPr>
                <w:sz w:val="18"/>
                <w:lang w:val="es-MX"/>
              </w:rPr>
            </w:pPr>
            <w:r>
              <w:rPr>
                <w:sz w:val="18"/>
                <w:lang w:val="es-MX"/>
              </w:rPr>
              <w:t>1</w:t>
            </w:r>
          </w:p>
        </w:tc>
        <w:tc>
          <w:tcPr>
            <w:tcW w:w="1163" w:type="dxa"/>
            <w:vAlign w:val="center"/>
          </w:tcPr>
          <w:p w:rsidR="00B20DDB" w:rsidRDefault="00B20DDB" w:rsidP="00416654">
            <w:pPr>
              <w:jc w:val="center"/>
              <w:rPr>
                <w:sz w:val="18"/>
                <w:lang w:val="es-MX"/>
              </w:rPr>
            </w:pPr>
            <w:r>
              <w:rPr>
                <w:sz w:val="18"/>
                <w:lang w:val="es-MX"/>
              </w:rPr>
              <w:t>1 (2 %)</w:t>
            </w:r>
          </w:p>
        </w:tc>
      </w:tr>
    </w:tbl>
    <w:p w:rsidR="00AF0638" w:rsidRDefault="00AF0638">
      <w:pPr>
        <w:rPr>
          <w:lang w:val="es-MX"/>
        </w:rPr>
      </w:pPr>
    </w:p>
    <w:p w:rsidR="00AF0638" w:rsidRPr="00416654" w:rsidRDefault="00AF0638">
      <w:pPr>
        <w:rPr>
          <w:lang w:val="es-ES"/>
        </w:rPr>
      </w:pPr>
      <w:r>
        <w:rPr>
          <w:lang w:val="es-MX"/>
        </w:rPr>
        <w:t xml:space="preserve">A nivel de resultados, se evaluaron los indicadores del programa según avance al 30 de marzo, contra la meta final </w:t>
      </w:r>
      <w:r w:rsidR="006A35D9">
        <w:rPr>
          <w:lang w:val="es-MX"/>
        </w:rPr>
        <w:t>al 2018</w:t>
      </w:r>
      <w:r>
        <w:rPr>
          <w:lang w:val="es-MX"/>
        </w:rPr>
        <w:t>.</w:t>
      </w:r>
      <w:r w:rsidR="001F1E00">
        <w:rPr>
          <w:lang w:val="es-MX"/>
        </w:rPr>
        <w:t xml:space="preserve"> Los indicadores del Componente I relacionados con la calidad del servicio, </w:t>
      </w:r>
      <w:proofErr w:type="spellStart"/>
      <w:r w:rsidR="001F1E00">
        <w:rPr>
          <w:lang w:val="es-MX"/>
        </w:rPr>
        <w:t>FMik</w:t>
      </w:r>
      <w:proofErr w:type="spellEnd"/>
      <w:r w:rsidR="001F1E00">
        <w:rPr>
          <w:lang w:val="es-MX"/>
        </w:rPr>
        <w:t xml:space="preserve"> y </w:t>
      </w:r>
      <w:proofErr w:type="spellStart"/>
      <w:r w:rsidR="001F1E00">
        <w:rPr>
          <w:lang w:val="es-MX"/>
        </w:rPr>
        <w:t>TTik</w:t>
      </w:r>
      <w:proofErr w:type="spellEnd"/>
      <w:r w:rsidR="001F1E00">
        <w:rPr>
          <w:lang w:val="es-MX"/>
        </w:rPr>
        <w:t xml:space="preserve">, muestran un avance favorable </w:t>
      </w:r>
      <w:r w:rsidR="001F1E00" w:rsidRPr="00E51930">
        <w:rPr>
          <w:lang w:val="es-MX"/>
        </w:rPr>
        <w:t>de 40% y 76% respectivamente.</w:t>
      </w:r>
      <w:r w:rsidR="001F1E00">
        <w:rPr>
          <w:lang w:val="es-MX"/>
        </w:rPr>
        <w:t xml:space="preserve"> </w:t>
      </w:r>
      <w:r w:rsidR="00CD7344">
        <w:rPr>
          <w:lang w:val="es-MX"/>
        </w:rPr>
        <w:t xml:space="preserve">La medición de estos indicadores </w:t>
      </w:r>
      <w:r w:rsidR="00CD7344" w:rsidRPr="00CD7344">
        <w:rPr>
          <w:lang w:val="es-MX"/>
        </w:rPr>
        <w:t xml:space="preserve">corresponde a la evolución a nivel nacional </w:t>
      </w:r>
      <w:r w:rsidR="006501C2">
        <w:rPr>
          <w:lang w:val="es-MX"/>
        </w:rPr>
        <w:t xml:space="preserve">en función de valores </w:t>
      </w:r>
      <w:r w:rsidR="00CD7344" w:rsidRPr="00CD7344">
        <w:rPr>
          <w:lang w:val="es-MX"/>
        </w:rPr>
        <w:t>anuales</w:t>
      </w:r>
      <w:r w:rsidR="006501C2">
        <w:rPr>
          <w:lang w:val="es-MX"/>
        </w:rPr>
        <w:t xml:space="preserve"> considerando: (i) que e</w:t>
      </w:r>
      <w:r w:rsidR="006501C2" w:rsidRPr="006501C2">
        <w:rPr>
          <w:lang w:val="es-MX"/>
        </w:rPr>
        <w:t>l cálculo es actualizado mes a mes, en base al año móvil que precede al mes de cálculo</w:t>
      </w:r>
      <w:r w:rsidR="006501C2">
        <w:rPr>
          <w:lang w:val="es-MX"/>
        </w:rPr>
        <w:t>; (ii) e</w:t>
      </w:r>
      <w:r w:rsidR="006501C2" w:rsidRPr="006501C2">
        <w:rPr>
          <w:lang w:val="es-MX"/>
        </w:rPr>
        <w:t>l mes de presentación de los Índices de Calidad de Servicio alcanzado, corresponde al año móvil n-2 (es decir, los indicadores del año móvil enero-diciembre de 2014, se determinaron durante el mes de febrero de 2015)</w:t>
      </w:r>
      <w:r w:rsidR="006501C2">
        <w:rPr>
          <w:lang w:val="es-MX"/>
        </w:rPr>
        <w:t xml:space="preserve">. </w:t>
      </w:r>
      <w:r w:rsidR="006501C2" w:rsidRPr="006501C2">
        <w:rPr>
          <w:lang w:val="es-MX"/>
        </w:rPr>
        <w:t xml:space="preserve">La fuente oficial que emite los valores alcanzados en indicadores de calidad de servicio y pérdidas de energía a nivel nacional y por empresas distribuidoras, mes a mes, es el MEER.  El respaldo de los valores puntuales alcanzados en cada semestre de control, podrá entonces, ser acompañado de la evolución mensual de </w:t>
      </w:r>
      <w:r w:rsidR="000B7233">
        <w:rPr>
          <w:lang w:val="es-MX"/>
        </w:rPr>
        <w:t>las</w:t>
      </w:r>
      <w:r w:rsidR="006501C2" w:rsidRPr="006501C2">
        <w:rPr>
          <w:lang w:val="es-MX"/>
        </w:rPr>
        <w:t xml:space="preserve"> Tasas Anuales Medias</w:t>
      </w:r>
      <w:r w:rsidR="00F758D6">
        <w:rPr>
          <w:lang w:val="es-MX"/>
        </w:rPr>
        <w:t>.</w:t>
      </w:r>
    </w:p>
    <w:p w:rsidR="00511296" w:rsidRDefault="001F1E00" w:rsidP="00C11D63">
      <w:pPr>
        <w:spacing w:before="120" w:after="120"/>
        <w:rPr>
          <w:lang w:val="es-MX"/>
        </w:rPr>
      </w:pPr>
      <w:r>
        <w:rPr>
          <w:lang w:val="es-MX"/>
        </w:rPr>
        <w:t>Para el Componente II,</w:t>
      </w:r>
      <w:r w:rsidR="00ED4FEB">
        <w:rPr>
          <w:lang w:val="es-MX"/>
        </w:rPr>
        <w:t xml:space="preserve"> el indicador relacionado con el esquema tarifario aprobado para el PNCE, se cumplió durante el primer año</w:t>
      </w:r>
      <w:r w:rsidR="001905AF">
        <w:rPr>
          <w:lang w:val="es-MX"/>
        </w:rPr>
        <w:t>,</w:t>
      </w:r>
      <w:r w:rsidR="00667587">
        <w:rPr>
          <w:lang w:val="es-MX"/>
        </w:rPr>
        <w:t xml:space="preserve"> y en el Componente III se han logrado resultados a nivel de</w:t>
      </w:r>
      <w:r w:rsidR="00667587" w:rsidRPr="00667587">
        <w:rPr>
          <w:sz w:val="18"/>
          <w:lang w:val="es-MX"/>
        </w:rPr>
        <w:t xml:space="preserve"> </w:t>
      </w:r>
      <w:r w:rsidR="00667587" w:rsidRPr="00667587">
        <w:rPr>
          <w:lang w:val="es-MX"/>
        </w:rPr>
        <w:t>Número mujeres contratadas en las consultorías de las EED</w:t>
      </w:r>
      <w:r w:rsidR="00667587">
        <w:rPr>
          <w:lang w:val="es-MX"/>
        </w:rPr>
        <w:t xml:space="preserve"> (Componente III-3), con 95% de cumplimiento</w:t>
      </w:r>
      <w:r w:rsidR="00ED4FEB">
        <w:rPr>
          <w:lang w:val="es-MX"/>
        </w:rPr>
        <w:t xml:space="preserve">. </w:t>
      </w:r>
    </w:p>
    <w:tbl>
      <w:tblPr>
        <w:tblStyle w:val="TableGrid"/>
        <w:tblW w:w="0" w:type="auto"/>
        <w:tblInd w:w="-85" w:type="dxa"/>
        <w:tblLayout w:type="fixed"/>
        <w:tblCellMar>
          <w:left w:w="28" w:type="dxa"/>
          <w:right w:w="28" w:type="dxa"/>
        </w:tblCellMar>
        <w:tblLook w:val="04A0" w:firstRow="1" w:lastRow="0" w:firstColumn="1" w:lastColumn="0" w:noHBand="0" w:noVBand="1"/>
      </w:tblPr>
      <w:tblGrid>
        <w:gridCol w:w="2622"/>
        <w:gridCol w:w="1086"/>
        <w:gridCol w:w="836"/>
        <w:gridCol w:w="1959"/>
        <w:gridCol w:w="811"/>
        <w:gridCol w:w="831"/>
        <w:gridCol w:w="1022"/>
      </w:tblGrid>
      <w:tr w:rsidR="00DD44C3" w:rsidRPr="00164A31" w:rsidTr="00416654">
        <w:trPr>
          <w:tblHeader/>
        </w:trPr>
        <w:tc>
          <w:tcPr>
            <w:tcW w:w="9167" w:type="dxa"/>
            <w:gridSpan w:val="7"/>
            <w:shd w:val="clear" w:color="auto" w:fill="B8CCE4" w:themeFill="accent1" w:themeFillTint="66"/>
            <w:vAlign w:val="center"/>
          </w:tcPr>
          <w:p w:rsidR="00DD44C3" w:rsidRPr="00164A31" w:rsidRDefault="00DD44C3" w:rsidP="00416654">
            <w:pPr>
              <w:spacing w:before="120" w:after="120"/>
              <w:jc w:val="center"/>
              <w:rPr>
                <w:sz w:val="18"/>
                <w:lang w:val="es-MX"/>
              </w:rPr>
            </w:pPr>
            <w:r w:rsidRPr="00164A31">
              <w:rPr>
                <w:b/>
                <w:smallCaps/>
                <w:sz w:val="20"/>
                <w:lang w:val="es-MX"/>
              </w:rPr>
              <w:t>Matriz de Resultados EC-L1136 – Nivel de Resultados</w:t>
            </w:r>
          </w:p>
        </w:tc>
      </w:tr>
      <w:tr w:rsidR="00DD44C3" w:rsidRPr="00164A31" w:rsidTr="00416654">
        <w:trPr>
          <w:tblHeader/>
        </w:trPr>
        <w:tc>
          <w:tcPr>
            <w:tcW w:w="2622" w:type="dxa"/>
            <w:shd w:val="clear" w:color="auto" w:fill="B8CCE4" w:themeFill="accent1" w:themeFillTint="66"/>
            <w:vAlign w:val="center"/>
          </w:tcPr>
          <w:p w:rsidR="00DD44C3" w:rsidRPr="00416654" w:rsidRDefault="00DD44C3" w:rsidP="00DD44C3">
            <w:pPr>
              <w:jc w:val="center"/>
              <w:rPr>
                <w:b/>
                <w:sz w:val="18"/>
                <w:lang w:val="es-MX"/>
              </w:rPr>
            </w:pPr>
            <w:r w:rsidRPr="00416654">
              <w:rPr>
                <w:b/>
                <w:sz w:val="18"/>
                <w:lang w:val="es-MX"/>
              </w:rPr>
              <w:t>Indicador</w:t>
            </w:r>
          </w:p>
        </w:tc>
        <w:tc>
          <w:tcPr>
            <w:tcW w:w="1086" w:type="dxa"/>
            <w:shd w:val="clear" w:color="auto" w:fill="B8CCE4" w:themeFill="accent1" w:themeFillTint="66"/>
            <w:vAlign w:val="center"/>
          </w:tcPr>
          <w:p w:rsidR="00DD44C3" w:rsidRPr="00416654" w:rsidRDefault="00DD44C3" w:rsidP="00DD44C3">
            <w:pPr>
              <w:jc w:val="center"/>
              <w:rPr>
                <w:b/>
                <w:sz w:val="18"/>
                <w:lang w:val="es-MX"/>
              </w:rPr>
            </w:pPr>
            <w:r w:rsidRPr="00416654">
              <w:rPr>
                <w:b/>
                <w:sz w:val="18"/>
                <w:lang w:val="es-MX"/>
              </w:rPr>
              <w:t>Unidad</w:t>
            </w:r>
          </w:p>
        </w:tc>
        <w:tc>
          <w:tcPr>
            <w:tcW w:w="836" w:type="dxa"/>
            <w:shd w:val="clear" w:color="auto" w:fill="B8CCE4" w:themeFill="accent1" w:themeFillTint="66"/>
            <w:vAlign w:val="center"/>
          </w:tcPr>
          <w:p w:rsidR="00DD44C3" w:rsidRPr="00416654" w:rsidRDefault="00DD44C3" w:rsidP="00DD44C3">
            <w:pPr>
              <w:jc w:val="center"/>
              <w:rPr>
                <w:b/>
                <w:sz w:val="18"/>
                <w:lang w:val="es-MX"/>
              </w:rPr>
            </w:pPr>
            <w:r w:rsidRPr="00416654">
              <w:rPr>
                <w:b/>
                <w:sz w:val="18"/>
                <w:lang w:val="es-MX"/>
              </w:rPr>
              <w:t>L</w:t>
            </w:r>
            <w:r w:rsidR="00A20EF7" w:rsidRPr="00416654">
              <w:rPr>
                <w:b/>
                <w:sz w:val="18"/>
                <w:lang w:val="es-MX"/>
              </w:rPr>
              <w:t xml:space="preserve">ínea base </w:t>
            </w:r>
            <w:r w:rsidRPr="00416654">
              <w:rPr>
                <w:b/>
                <w:sz w:val="18"/>
                <w:lang w:val="es-MX"/>
              </w:rPr>
              <w:t>(2013)</w:t>
            </w:r>
          </w:p>
        </w:tc>
        <w:tc>
          <w:tcPr>
            <w:tcW w:w="1959" w:type="dxa"/>
            <w:shd w:val="clear" w:color="auto" w:fill="B8CCE4" w:themeFill="accent1" w:themeFillTint="66"/>
            <w:vAlign w:val="center"/>
          </w:tcPr>
          <w:p w:rsidR="00DD44C3" w:rsidRPr="00416654" w:rsidRDefault="00DD44C3" w:rsidP="00DD44C3">
            <w:pPr>
              <w:jc w:val="center"/>
              <w:rPr>
                <w:b/>
                <w:sz w:val="18"/>
                <w:lang w:val="es-MX"/>
              </w:rPr>
            </w:pPr>
            <w:r w:rsidRPr="00416654">
              <w:rPr>
                <w:b/>
                <w:sz w:val="18"/>
                <w:lang w:val="es-MX"/>
              </w:rPr>
              <w:t>Medio de Verificación</w:t>
            </w:r>
          </w:p>
        </w:tc>
        <w:tc>
          <w:tcPr>
            <w:tcW w:w="1642" w:type="dxa"/>
            <w:gridSpan w:val="2"/>
            <w:shd w:val="clear" w:color="auto" w:fill="B8CCE4" w:themeFill="accent1" w:themeFillTint="66"/>
            <w:vAlign w:val="center"/>
          </w:tcPr>
          <w:p w:rsidR="00F029D7" w:rsidRPr="00416654" w:rsidRDefault="00883A0A">
            <w:pPr>
              <w:jc w:val="center"/>
              <w:rPr>
                <w:b/>
                <w:sz w:val="18"/>
                <w:lang w:val="es-MX"/>
              </w:rPr>
            </w:pPr>
            <w:r>
              <w:rPr>
                <w:b/>
                <w:sz w:val="18"/>
                <w:lang w:val="es-MX"/>
              </w:rPr>
              <w:t>Avance a la m</w:t>
            </w:r>
            <w:r w:rsidR="00DD44C3" w:rsidRPr="00416654">
              <w:rPr>
                <w:b/>
                <w:sz w:val="18"/>
                <w:lang w:val="es-MX"/>
              </w:rPr>
              <w:t>eta</w:t>
            </w:r>
            <w:r w:rsidR="006640BF" w:rsidRPr="00416654">
              <w:rPr>
                <w:b/>
                <w:sz w:val="18"/>
                <w:lang w:val="es-MX"/>
              </w:rPr>
              <w:t xml:space="preserve"> </w:t>
            </w:r>
          </w:p>
          <w:p w:rsidR="00DD44C3" w:rsidRPr="00416654" w:rsidRDefault="00F029D7">
            <w:pPr>
              <w:jc w:val="center"/>
              <w:rPr>
                <w:b/>
                <w:sz w:val="18"/>
                <w:lang w:val="es-MX"/>
              </w:rPr>
            </w:pPr>
            <w:r w:rsidRPr="00416654">
              <w:rPr>
                <w:b/>
                <w:sz w:val="18"/>
                <w:lang w:val="es-MX"/>
              </w:rPr>
              <w:t>2018</w:t>
            </w:r>
          </w:p>
        </w:tc>
        <w:tc>
          <w:tcPr>
            <w:tcW w:w="1022" w:type="dxa"/>
            <w:shd w:val="clear" w:color="auto" w:fill="B8CCE4" w:themeFill="accent1" w:themeFillTint="66"/>
            <w:vAlign w:val="center"/>
          </w:tcPr>
          <w:p w:rsidR="00DD44C3" w:rsidRPr="00416654" w:rsidRDefault="00DD44C3" w:rsidP="00DD44C3">
            <w:pPr>
              <w:jc w:val="center"/>
              <w:rPr>
                <w:b/>
                <w:sz w:val="18"/>
                <w:lang w:val="es-MX"/>
              </w:rPr>
            </w:pPr>
            <w:r w:rsidRPr="00416654">
              <w:rPr>
                <w:b/>
                <w:sz w:val="18"/>
                <w:lang w:val="es-MX"/>
              </w:rPr>
              <w:t>Fecha</w:t>
            </w:r>
          </w:p>
        </w:tc>
      </w:tr>
      <w:tr w:rsidR="00DD44C3" w:rsidRPr="00883A0A" w:rsidTr="00416654">
        <w:tc>
          <w:tcPr>
            <w:tcW w:w="9167" w:type="dxa"/>
            <w:gridSpan w:val="7"/>
          </w:tcPr>
          <w:p w:rsidR="00DD44C3" w:rsidRPr="00416654" w:rsidRDefault="00DD44C3" w:rsidP="00DD44C3">
            <w:pPr>
              <w:rPr>
                <w:b/>
                <w:sz w:val="18"/>
                <w:lang w:val="es-MX"/>
              </w:rPr>
            </w:pPr>
            <w:r w:rsidRPr="00416654">
              <w:rPr>
                <w:b/>
                <w:smallCaps/>
                <w:sz w:val="18"/>
                <w:lang w:val="es-MX"/>
              </w:rPr>
              <w:t>Componente I – Reforzamiento del Sistema Nacional de Distribución</w:t>
            </w:r>
          </w:p>
        </w:tc>
      </w:tr>
      <w:tr w:rsidR="00E0224C" w:rsidRPr="00164A31" w:rsidTr="00416654">
        <w:tc>
          <w:tcPr>
            <w:tcW w:w="2622" w:type="dxa"/>
            <w:vMerge w:val="restart"/>
            <w:vAlign w:val="center"/>
          </w:tcPr>
          <w:p w:rsidR="00E0224C" w:rsidRPr="00164A31" w:rsidRDefault="00E0224C">
            <w:pPr>
              <w:jc w:val="left"/>
              <w:rPr>
                <w:sz w:val="18"/>
                <w:lang w:val="es-MX"/>
              </w:rPr>
            </w:pPr>
            <w:r w:rsidRPr="00164A31">
              <w:rPr>
                <w:sz w:val="18"/>
                <w:lang w:val="es-MX"/>
              </w:rPr>
              <w:t xml:space="preserve">I-1: </w:t>
            </w:r>
            <w:proofErr w:type="spellStart"/>
            <w:r w:rsidRPr="00164A31">
              <w:rPr>
                <w:sz w:val="18"/>
                <w:lang w:val="es-MX"/>
              </w:rPr>
              <w:t>FMIk_RED</w:t>
            </w:r>
            <w:proofErr w:type="spellEnd"/>
            <w:r w:rsidRPr="00164A31">
              <w:rPr>
                <w:sz w:val="18"/>
                <w:lang w:val="es-MX"/>
              </w:rPr>
              <w:t xml:space="preserve">: </w:t>
            </w:r>
            <w:r w:rsidRPr="00192FC1">
              <w:rPr>
                <w:sz w:val="18"/>
                <w:lang w:val="es-MX"/>
              </w:rPr>
              <w:t>Frecuencia Media de Interrupciones del SND</w:t>
            </w:r>
            <w:r>
              <w:rPr>
                <w:sz w:val="18"/>
                <w:lang w:val="es-MX"/>
              </w:rPr>
              <w:t>.</w:t>
            </w:r>
            <w:r w:rsidRPr="00192FC1">
              <w:rPr>
                <w:sz w:val="18"/>
                <w:lang w:val="es-MX"/>
              </w:rPr>
              <w:t xml:space="preserve"> </w:t>
            </w:r>
          </w:p>
        </w:tc>
        <w:tc>
          <w:tcPr>
            <w:tcW w:w="1086" w:type="dxa"/>
            <w:vMerge w:val="restart"/>
            <w:vAlign w:val="center"/>
          </w:tcPr>
          <w:p w:rsidR="00E0224C" w:rsidRPr="00164A31" w:rsidRDefault="00E0224C">
            <w:pPr>
              <w:jc w:val="center"/>
              <w:rPr>
                <w:sz w:val="18"/>
                <w:lang w:val="es-MX"/>
              </w:rPr>
            </w:pPr>
            <w:r w:rsidRPr="00164A31">
              <w:rPr>
                <w:sz w:val="18"/>
                <w:lang w:val="es-MX"/>
              </w:rPr>
              <w:t xml:space="preserve"># fallas del SND, por </w:t>
            </w:r>
            <w:proofErr w:type="spellStart"/>
            <w:r w:rsidRPr="00164A31">
              <w:rPr>
                <w:sz w:val="18"/>
                <w:lang w:val="es-MX"/>
              </w:rPr>
              <w:t>kVA</w:t>
            </w:r>
            <w:proofErr w:type="spellEnd"/>
          </w:p>
        </w:tc>
        <w:tc>
          <w:tcPr>
            <w:tcW w:w="836" w:type="dxa"/>
            <w:vMerge w:val="restart"/>
            <w:vAlign w:val="center"/>
          </w:tcPr>
          <w:p w:rsidR="00E0224C" w:rsidRPr="00164A31" w:rsidRDefault="00E0224C" w:rsidP="00A20EF7">
            <w:pPr>
              <w:jc w:val="center"/>
              <w:rPr>
                <w:sz w:val="18"/>
                <w:lang w:val="es-MX"/>
              </w:rPr>
            </w:pPr>
            <w:r w:rsidRPr="00164A31">
              <w:rPr>
                <w:sz w:val="18"/>
                <w:lang w:val="es-MX"/>
              </w:rPr>
              <w:t>13.72</w:t>
            </w:r>
          </w:p>
        </w:tc>
        <w:tc>
          <w:tcPr>
            <w:tcW w:w="1959" w:type="dxa"/>
            <w:vMerge w:val="restart"/>
            <w:vAlign w:val="center"/>
          </w:tcPr>
          <w:p w:rsidR="00E0224C" w:rsidRPr="00164A31" w:rsidRDefault="00E0224C" w:rsidP="00416654">
            <w:pPr>
              <w:jc w:val="left"/>
              <w:rPr>
                <w:sz w:val="18"/>
                <w:lang w:val="es-MX"/>
              </w:rPr>
            </w:pPr>
            <w:r w:rsidRPr="00164A31">
              <w:rPr>
                <w:sz w:val="18"/>
                <w:lang w:val="es-MX"/>
              </w:rPr>
              <w:t>Informe de avance del proyecto</w:t>
            </w:r>
          </w:p>
        </w:tc>
        <w:tc>
          <w:tcPr>
            <w:tcW w:w="811" w:type="dxa"/>
            <w:vAlign w:val="center"/>
          </w:tcPr>
          <w:p w:rsidR="00E0224C" w:rsidRPr="00164A31" w:rsidRDefault="00E0224C" w:rsidP="00416654">
            <w:pPr>
              <w:jc w:val="left"/>
              <w:rPr>
                <w:sz w:val="18"/>
                <w:lang w:val="es-MX"/>
              </w:rPr>
            </w:pPr>
            <w:r w:rsidRPr="00164A31">
              <w:rPr>
                <w:sz w:val="18"/>
                <w:lang w:val="es-MX"/>
              </w:rPr>
              <w:t>Prevista</w:t>
            </w:r>
          </w:p>
        </w:tc>
        <w:tc>
          <w:tcPr>
            <w:tcW w:w="831" w:type="dxa"/>
            <w:vAlign w:val="center"/>
          </w:tcPr>
          <w:p w:rsidR="00E0224C" w:rsidRPr="00164A31" w:rsidRDefault="00E0224C">
            <w:pPr>
              <w:jc w:val="center"/>
              <w:rPr>
                <w:sz w:val="18"/>
                <w:lang w:val="es-MX"/>
              </w:rPr>
            </w:pPr>
            <w:r>
              <w:rPr>
                <w:sz w:val="18"/>
                <w:lang w:val="es-MX"/>
              </w:rPr>
              <w:t>9.6</w:t>
            </w:r>
          </w:p>
        </w:tc>
        <w:tc>
          <w:tcPr>
            <w:tcW w:w="1022" w:type="dxa"/>
            <w:vAlign w:val="center"/>
          </w:tcPr>
          <w:p w:rsidR="00E0224C" w:rsidRPr="00164A31" w:rsidRDefault="00E0224C" w:rsidP="00416654">
            <w:pPr>
              <w:jc w:val="left"/>
              <w:rPr>
                <w:sz w:val="18"/>
                <w:lang w:val="es-MX"/>
              </w:rPr>
            </w:pPr>
            <w:r w:rsidRPr="00164A31">
              <w:rPr>
                <w:sz w:val="18"/>
                <w:lang w:val="es-MX"/>
              </w:rPr>
              <w:t>31 Jul 2014</w:t>
            </w:r>
          </w:p>
        </w:tc>
      </w:tr>
      <w:tr w:rsidR="00995B10" w:rsidRPr="00164A31" w:rsidTr="00416654">
        <w:tc>
          <w:tcPr>
            <w:tcW w:w="2622" w:type="dxa"/>
            <w:vMerge/>
          </w:tcPr>
          <w:p w:rsidR="00995B10" w:rsidRPr="00164A31" w:rsidRDefault="00995B10" w:rsidP="00A20EF7">
            <w:pPr>
              <w:jc w:val="left"/>
              <w:rPr>
                <w:sz w:val="18"/>
                <w:lang w:val="es-MX"/>
              </w:rPr>
            </w:pPr>
          </w:p>
        </w:tc>
        <w:tc>
          <w:tcPr>
            <w:tcW w:w="1086" w:type="dxa"/>
            <w:vMerge/>
            <w:vAlign w:val="center"/>
          </w:tcPr>
          <w:p w:rsidR="00995B10" w:rsidRPr="00164A31" w:rsidRDefault="00995B10" w:rsidP="00A20EF7">
            <w:pPr>
              <w:jc w:val="center"/>
              <w:rPr>
                <w:sz w:val="18"/>
                <w:lang w:val="es-MX"/>
              </w:rPr>
            </w:pPr>
          </w:p>
        </w:tc>
        <w:tc>
          <w:tcPr>
            <w:tcW w:w="836" w:type="dxa"/>
            <w:vMerge/>
            <w:vAlign w:val="center"/>
          </w:tcPr>
          <w:p w:rsidR="00995B10" w:rsidRPr="00164A31" w:rsidRDefault="00995B10" w:rsidP="00A20EF7">
            <w:pPr>
              <w:jc w:val="center"/>
              <w:rPr>
                <w:sz w:val="18"/>
                <w:lang w:val="es-MX"/>
              </w:rPr>
            </w:pPr>
          </w:p>
        </w:tc>
        <w:tc>
          <w:tcPr>
            <w:tcW w:w="1959" w:type="dxa"/>
            <w:vMerge/>
            <w:vAlign w:val="center"/>
          </w:tcPr>
          <w:p w:rsidR="00995B10" w:rsidRPr="00164A31" w:rsidRDefault="00995B10" w:rsidP="00416654">
            <w:pPr>
              <w:jc w:val="left"/>
              <w:rPr>
                <w:sz w:val="18"/>
                <w:lang w:val="es-MX"/>
              </w:rPr>
            </w:pPr>
          </w:p>
        </w:tc>
        <w:tc>
          <w:tcPr>
            <w:tcW w:w="811" w:type="dxa"/>
            <w:vAlign w:val="center"/>
          </w:tcPr>
          <w:p w:rsidR="00995B10" w:rsidRPr="00164A31" w:rsidRDefault="00D7727A" w:rsidP="00416654">
            <w:pPr>
              <w:jc w:val="left"/>
              <w:rPr>
                <w:sz w:val="18"/>
                <w:lang w:val="es-MX"/>
              </w:rPr>
            </w:pPr>
            <w:r>
              <w:rPr>
                <w:sz w:val="18"/>
                <w:lang w:val="es-MX"/>
              </w:rPr>
              <w:t>Avance</w:t>
            </w:r>
          </w:p>
        </w:tc>
        <w:tc>
          <w:tcPr>
            <w:tcW w:w="831" w:type="dxa"/>
            <w:vAlign w:val="center"/>
          </w:tcPr>
          <w:p w:rsidR="00995B10" w:rsidRPr="00164A31" w:rsidRDefault="00D7727A">
            <w:pPr>
              <w:jc w:val="center"/>
              <w:rPr>
                <w:sz w:val="18"/>
                <w:lang w:val="es-MX"/>
              </w:rPr>
            </w:pPr>
            <w:r>
              <w:rPr>
                <w:sz w:val="18"/>
                <w:lang w:val="es-MX"/>
              </w:rPr>
              <w:t>12.11</w:t>
            </w:r>
          </w:p>
        </w:tc>
        <w:tc>
          <w:tcPr>
            <w:tcW w:w="1022" w:type="dxa"/>
            <w:vAlign w:val="center"/>
          </w:tcPr>
          <w:p w:rsidR="00995B10" w:rsidRPr="00164A31" w:rsidRDefault="00995B10" w:rsidP="00416654">
            <w:pPr>
              <w:jc w:val="center"/>
              <w:rPr>
                <w:sz w:val="18"/>
                <w:lang w:val="es-MX"/>
              </w:rPr>
            </w:pPr>
            <w:r>
              <w:rPr>
                <w:sz w:val="18"/>
                <w:lang w:val="es-MX"/>
              </w:rPr>
              <w:t>30 Mar</w:t>
            </w:r>
            <w:r w:rsidRPr="00164A31">
              <w:rPr>
                <w:sz w:val="18"/>
                <w:lang w:val="es-MX"/>
              </w:rPr>
              <w:t xml:space="preserve"> 201</w:t>
            </w:r>
            <w:r>
              <w:rPr>
                <w:sz w:val="18"/>
                <w:lang w:val="es-MX"/>
              </w:rPr>
              <w:t>5</w:t>
            </w:r>
          </w:p>
        </w:tc>
      </w:tr>
      <w:tr w:rsidR="006A0568" w:rsidRPr="00164A31" w:rsidTr="00416654">
        <w:tc>
          <w:tcPr>
            <w:tcW w:w="2622" w:type="dxa"/>
            <w:vMerge w:val="restart"/>
            <w:vAlign w:val="center"/>
          </w:tcPr>
          <w:p w:rsidR="006A0568" w:rsidRPr="00164A31" w:rsidRDefault="006A0568" w:rsidP="00416654">
            <w:pPr>
              <w:jc w:val="center"/>
              <w:rPr>
                <w:sz w:val="18"/>
                <w:lang w:val="es-MX"/>
              </w:rPr>
            </w:pPr>
            <w:r w:rsidRPr="00164A31">
              <w:rPr>
                <w:sz w:val="18"/>
                <w:lang w:val="es-MX"/>
              </w:rPr>
              <w:t xml:space="preserve">I-2: </w:t>
            </w:r>
            <w:proofErr w:type="spellStart"/>
            <w:r w:rsidRPr="00164A31">
              <w:rPr>
                <w:sz w:val="18"/>
                <w:lang w:val="es-MX"/>
              </w:rPr>
              <w:t>TTIk_RED</w:t>
            </w:r>
            <w:proofErr w:type="spellEnd"/>
            <w:r w:rsidRPr="00164A31">
              <w:rPr>
                <w:sz w:val="18"/>
                <w:lang w:val="es-MX"/>
              </w:rPr>
              <w:t xml:space="preserve">: </w:t>
            </w:r>
            <w:r w:rsidRPr="00710915">
              <w:rPr>
                <w:sz w:val="18"/>
                <w:lang w:val="es-MX"/>
              </w:rPr>
              <w:t>Tiempo Total de interrupciones del SND.</w:t>
            </w:r>
            <w:r w:rsidRPr="00164A31">
              <w:rPr>
                <w:sz w:val="18"/>
                <w:lang w:val="es-MX"/>
              </w:rPr>
              <w:t xml:space="preserve"> </w:t>
            </w:r>
          </w:p>
        </w:tc>
        <w:tc>
          <w:tcPr>
            <w:tcW w:w="1086" w:type="dxa"/>
            <w:vMerge w:val="restart"/>
            <w:vAlign w:val="center"/>
          </w:tcPr>
          <w:p w:rsidR="006A0568" w:rsidRPr="00D7727A" w:rsidRDefault="006A0568">
            <w:pPr>
              <w:jc w:val="center"/>
              <w:rPr>
                <w:sz w:val="18"/>
                <w:lang w:val="es-MX"/>
              </w:rPr>
            </w:pPr>
            <w:r w:rsidRPr="00416654">
              <w:rPr>
                <w:sz w:val="18"/>
                <w:lang w:val="es-MX"/>
              </w:rPr>
              <w:t xml:space="preserve">horas </w:t>
            </w:r>
          </w:p>
        </w:tc>
        <w:tc>
          <w:tcPr>
            <w:tcW w:w="836" w:type="dxa"/>
            <w:vMerge w:val="restart"/>
            <w:vAlign w:val="center"/>
          </w:tcPr>
          <w:p w:rsidR="006A0568" w:rsidRPr="00164A31" w:rsidRDefault="006A0568" w:rsidP="00A20EF7">
            <w:pPr>
              <w:jc w:val="center"/>
              <w:rPr>
                <w:sz w:val="18"/>
                <w:lang w:val="es-MX"/>
              </w:rPr>
            </w:pPr>
            <w:r w:rsidRPr="00164A31">
              <w:rPr>
                <w:sz w:val="18"/>
                <w:lang w:val="es-MX"/>
              </w:rPr>
              <w:t>15.23</w:t>
            </w:r>
          </w:p>
        </w:tc>
        <w:tc>
          <w:tcPr>
            <w:tcW w:w="1959" w:type="dxa"/>
            <w:vMerge w:val="restart"/>
            <w:vAlign w:val="center"/>
          </w:tcPr>
          <w:p w:rsidR="006A0568" w:rsidRPr="00164A31" w:rsidRDefault="006A0568" w:rsidP="00416654">
            <w:pPr>
              <w:jc w:val="left"/>
              <w:rPr>
                <w:sz w:val="18"/>
                <w:lang w:val="es-MX"/>
              </w:rPr>
            </w:pPr>
            <w:r w:rsidRPr="00164A31">
              <w:rPr>
                <w:sz w:val="18"/>
                <w:lang w:val="es-MX"/>
              </w:rPr>
              <w:t>Informe de avance del proyecto</w:t>
            </w:r>
          </w:p>
        </w:tc>
        <w:tc>
          <w:tcPr>
            <w:tcW w:w="811" w:type="dxa"/>
            <w:vAlign w:val="center"/>
          </w:tcPr>
          <w:p w:rsidR="006A0568" w:rsidRPr="00164A31" w:rsidRDefault="006A0568" w:rsidP="00416654">
            <w:pPr>
              <w:jc w:val="left"/>
              <w:rPr>
                <w:sz w:val="18"/>
                <w:lang w:val="es-MX"/>
              </w:rPr>
            </w:pPr>
            <w:r w:rsidRPr="00164A31">
              <w:rPr>
                <w:sz w:val="18"/>
                <w:lang w:val="es-MX"/>
              </w:rPr>
              <w:t>Prevista</w:t>
            </w:r>
          </w:p>
        </w:tc>
        <w:tc>
          <w:tcPr>
            <w:tcW w:w="831" w:type="dxa"/>
            <w:vAlign w:val="center"/>
          </w:tcPr>
          <w:p w:rsidR="006A0568" w:rsidRPr="00164A31" w:rsidRDefault="006A0568">
            <w:pPr>
              <w:jc w:val="center"/>
              <w:rPr>
                <w:sz w:val="18"/>
                <w:lang w:val="es-MX"/>
              </w:rPr>
            </w:pPr>
            <w:r w:rsidRPr="00164A31">
              <w:rPr>
                <w:sz w:val="18"/>
                <w:lang w:val="es-MX"/>
              </w:rPr>
              <w:t>10.5</w:t>
            </w:r>
          </w:p>
        </w:tc>
        <w:tc>
          <w:tcPr>
            <w:tcW w:w="1022" w:type="dxa"/>
            <w:vAlign w:val="center"/>
          </w:tcPr>
          <w:p w:rsidR="006A0568" w:rsidRPr="00164A31" w:rsidRDefault="006A0568" w:rsidP="00416654">
            <w:pPr>
              <w:jc w:val="center"/>
              <w:rPr>
                <w:sz w:val="18"/>
                <w:lang w:val="es-MX"/>
              </w:rPr>
            </w:pPr>
            <w:r w:rsidRPr="00164A31">
              <w:rPr>
                <w:sz w:val="18"/>
                <w:lang w:val="es-MX"/>
              </w:rPr>
              <w:t>31 Jul 2014</w:t>
            </w:r>
          </w:p>
        </w:tc>
      </w:tr>
      <w:tr w:rsidR="006A0568" w:rsidRPr="00164A31" w:rsidTr="00416654">
        <w:tc>
          <w:tcPr>
            <w:tcW w:w="2622" w:type="dxa"/>
            <w:vMerge/>
          </w:tcPr>
          <w:p w:rsidR="006A0568" w:rsidRPr="00164A31" w:rsidRDefault="006A0568" w:rsidP="00A20EF7">
            <w:pPr>
              <w:rPr>
                <w:sz w:val="18"/>
                <w:lang w:val="es-MX"/>
              </w:rPr>
            </w:pPr>
          </w:p>
        </w:tc>
        <w:tc>
          <w:tcPr>
            <w:tcW w:w="1086" w:type="dxa"/>
            <w:vMerge/>
          </w:tcPr>
          <w:p w:rsidR="006A0568" w:rsidRPr="00164A31" w:rsidRDefault="006A0568" w:rsidP="00A20EF7">
            <w:pPr>
              <w:rPr>
                <w:sz w:val="18"/>
                <w:lang w:val="es-MX"/>
              </w:rPr>
            </w:pPr>
          </w:p>
        </w:tc>
        <w:tc>
          <w:tcPr>
            <w:tcW w:w="836" w:type="dxa"/>
            <w:vMerge/>
          </w:tcPr>
          <w:p w:rsidR="006A0568" w:rsidRPr="00164A31" w:rsidRDefault="006A0568" w:rsidP="00A20EF7">
            <w:pPr>
              <w:rPr>
                <w:sz w:val="18"/>
                <w:lang w:val="es-MX"/>
              </w:rPr>
            </w:pPr>
          </w:p>
        </w:tc>
        <w:tc>
          <w:tcPr>
            <w:tcW w:w="1959" w:type="dxa"/>
            <w:vMerge/>
          </w:tcPr>
          <w:p w:rsidR="006A0568" w:rsidRPr="00164A31" w:rsidRDefault="006A0568" w:rsidP="00A20EF7">
            <w:pPr>
              <w:rPr>
                <w:sz w:val="18"/>
                <w:lang w:val="es-MX"/>
              </w:rPr>
            </w:pPr>
          </w:p>
        </w:tc>
        <w:tc>
          <w:tcPr>
            <w:tcW w:w="811" w:type="dxa"/>
            <w:vAlign w:val="center"/>
          </w:tcPr>
          <w:p w:rsidR="006A0568" w:rsidRPr="00164A31" w:rsidRDefault="006A0568" w:rsidP="00416654">
            <w:pPr>
              <w:jc w:val="left"/>
              <w:rPr>
                <w:sz w:val="18"/>
                <w:lang w:val="es-MX"/>
              </w:rPr>
            </w:pPr>
            <w:r>
              <w:rPr>
                <w:sz w:val="18"/>
                <w:lang w:val="es-MX"/>
              </w:rPr>
              <w:t>Avance</w:t>
            </w:r>
          </w:p>
        </w:tc>
        <w:tc>
          <w:tcPr>
            <w:tcW w:w="831" w:type="dxa"/>
            <w:vAlign w:val="center"/>
          </w:tcPr>
          <w:p w:rsidR="006A0568" w:rsidRPr="00164A31" w:rsidRDefault="006A0568">
            <w:pPr>
              <w:jc w:val="center"/>
              <w:rPr>
                <w:sz w:val="18"/>
                <w:lang w:val="es-MX"/>
              </w:rPr>
            </w:pPr>
            <w:r>
              <w:rPr>
                <w:sz w:val="18"/>
                <w:lang w:val="es-MX"/>
              </w:rPr>
              <w:t>11.63</w:t>
            </w:r>
          </w:p>
        </w:tc>
        <w:tc>
          <w:tcPr>
            <w:tcW w:w="1022" w:type="dxa"/>
            <w:vAlign w:val="center"/>
          </w:tcPr>
          <w:p w:rsidR="006A0568" w:rsidRPr="00164A31" w:rsidRDefault="006A0568" w:rsidP="00416654">
            <w:pPr>
              <w:jc w:val="center"/>
              <w:rPr>
                <w:sz w:val="18"/>
                <w:lang w:val="es-MX"/>
              </w:rPr>
            </w:pPr>
            <w:r>
              <w:rPr>
                <w:sz w:val="18"/>
                <w:lang w:val="es-MX"/>
              </w:rPr>
              <w:t>30 Mar</w:t>
            </w:r>
            <w:r w:rsidRPr="00164A31">
              <w:rPr>
                <w:sz w:val="18"/>
                <w:lang w:val="es-MX"/>
              </w:rPr>
              <w:t xml:space="preserve"> 201</w:t>
            </w:r>
            <w:r>
              <w:rPr>
                <w:sz w:val="18"/>
                <w:lang w:val="es-MX"/>
              </w:rPr>
              <w:t>5</w:t>
            </w:r>
          </w:p>
        </w:tc>
      </w:tr>
      <w:tr w:rsidR="006A0568" w:rsidRPr="00883A0A" w:rsidTr="00416654">
        <w:tc>
          <w:tcPr>
            <w:tcW w:w="9167" w:type="dxa"/>
            <w:gridSpan w:val="7"/>
          </w:tcPr>
          <w:p w:rsidR="006A0568" w:rsidRPr="00416654" w:rsidRDefault="006A0568" w:rsidP="00A20EF7">
            <w:pPr>
              <w:rPr>
                <w:b/>
                <w:smallCaps/>
                <w:sz w:val="18"/>
                <w:lang w:val="es-MX"/>
              </w:rPr>
            </w:pPr>
            <w:r w:rsidRPr="00416654">
              <w:rPr>
                <w:b/>
                <w:smallCaps/>
                <w:sz w:val="18"/>
                <w:lang w:val="es-MX"/>
              </w:rPr>
              <w:t>Componente II – Diseño para Implementación de la Estrategia para la Migración de GLP a Electricidad en el Sector Residencial</w:t>
            </w:r>
          </w:p>
        </w:tc>
      </w:tr>
      <w:tr w:rsidR="005471AB" w:rsidRPr="00164A31" w:rsidTr="00416654">
        <w:tc>
          <w:tcPr>
            <w:tcW w:w="2622" w:type="dxa"/>
            <w:vMerge w:val="restart"/>
            <w:vAlign w:val="center"/>
          </w:tcPr>
          <w:p w:rsidR="005471AB" w:rsidRPr="00164A31" w:rsidRDefault="005471AB">
            <w:pPr>
              <w:jc w:val="left"/>
              <w:rPr>
                <w:sz w:val="18"/>
                <w:lang w:val="es-MX"/>
              </w:rPr>
            </w:pPr>
            <w:r w:rsidRPr="00164A31">
              <w:rPr>
                <w:sz w:val="18"/>
                <w:lang w:val="es-MX"/>
              </w:rPr>
              <w:t xml:space="preserve">II-1: Estrategia para el desplazamiento de GLP por electricidad, </w:t>
            </w:r>
            <w:r w:rsidR="00ED4FEB">
              <w:rPr>
                <w:sz w:val="18"/>
                <w:lang w:val="es-MX"/>
              </w:rPr>
              <w:t>preparado</w:t>
            </w:r>
          </w:p>
        </w:tc>
        <w:tc>
          <w:tcPr>
            <w:tcW w:w="1086" w:type="dxa"/>
            <w:vMerge w:val="restart"/>
            <w:vAlign w:val="center"/>
          </w:tcPr>
          <w:p w:rsidR="005471AB" w:rsidRPr="00164A31" w:rsidRDefault="005471AB">
            <w:pPr>
              <w:jc w:val="center"/>
              <w:rPr>
                <w:sz w:val="18"/>
                <w:lang w:val="es-MX"/>
              </w:rPr>
            </w:pPr>
            <w:r w:rsidRPr="00164A31">
              <w:rPr>
                <w:sz w:val="18"/>
                <w:lang w:val="es-MX"/>
              </w:rPr>
              <w:t xml:space="preserve"># </w:t>
            </w:r>
            <w:r>
              <w:rPr>
                <w:sz w:val="18"/>
                <w:lang w:val="es-MX"/>
              </w:rPr>
              <w:t>estrategia</w:t>
            </w:r>
          </w:p>
        </w:tc>
        <w:tc>
          <w:tcPr>
            <w:tcW w:w="836" w:type="dxa"/>
            <w:vMerge w:val="restart"/>
            <w:vAlign w:val="center"/>
          </w:tcPr>
          <w:p w:rsidR="005471AB" w:rsidRPr="00164A31" w:rsidRDefault="005471AB" w:rsidP="00A20EF7">
            <w:pPr>
              <w:jc w:val="center"/>
              <w:rPr>
                <w:sz w:val="18"/>
                <w:lang w:val="es-MX"/>
              </w:rPr>
            </w:pPr>
            <w:r w:rsidRPr="00164A31">
              <w:rPr>
                <w:sz w:val="18"/>
                <w:lang w:val="es-MX"/>
              </w:rPr>
              <w:t>0</w:t>
            </w:r>
          </w:p>
        </w:tc>
        <w:tc>
          <w:tcPr>
            <w:tcW w:w="1959" w:type="dxa"/>
            <w:vMerge w:val="restart"/>
            <w:vAlign w:val="center"/>
          </w:tcPr>
          <w:p w:rsidR="005471AB" w:rsidRPr="00164A31" w:rsidRDefault="005471AB" w:rsidP="00416654">
            <w:pPr>
              <w:jc w:val="left"/>
              <w:rPr>
                <w:sz w:val="18"/>
                <w:lang w:val="es-MX"/>
              </w:rPr>
            </w:pPr>
            <w:r w:rsidRPr="00164A31">
              <w:rPr>
                <w:sz w:val="18"/>
                <w:lang w:val="es-MX"/>
              </w:rPr>
              <w:t>Informe de avance del proyecto</w:t>
            </w:r>
          </w:p>
        </w:tc>
        <w:tc>
          <w:tcPr>
            <w:tcW w:w="811" w:type="dxa"/>
            <w:vAlign w:val="center"/>
          </w:tcPr>
          <w:p w:rsidR="005471AB" w:rsidRPr="00164A31" w:rsidRDefault="005471AB" w:rsidP="00A20EF7">
            <w:pPr>
              <w:rPr>
                <w:sz w:val="18"/>
                <w:lang w:val="es-MX"/>
              </w:rPr>
            </w:pPr>
            <w:r w:rsidRPr="00164A31">
              <w:rPr>
                <w:sz w:val="18"/>
                <w:lang w:val="es-MX"/>
              </w:rPr>
              <w:t>Prevista</w:t>
            </w:r>
          </w:p>
        </w:tc>
        <w:tc>
          <w:tcPr>
            <w:tcW w:w="831" w:type="dxa"/>
            <w:vAlign w:val="center"/>
          </w:tcPr>
          <w:p w:rsidR="005471AB" w:rsidRPr="00164A31" w:rsidRDefault="00ED4FEB" w:rsidP="00A20EF7">
            <w:pPr>
              <w:jc w:val="center"/>
              <w:rPr>
                <w:sz w:val="18"/>
                <w:lang w:val="es-MX"/>
              </w:rPr>
            </w:pPr>
            <w:r>
              <w:rPr>
                <w:sz w:val="18"/>
                <w:lang w:val="es-MX"/>
              </w:rPr>
              <w:t>1</w:t>
            </w:r>
          </w:p>
        </w:tc>
        <w:tc>
          <w:tcPr>
            <w:tcW w:w="1022" w:type="dxa"/>
          </w:tcPr>
          <w:p w:rsidR="005471AB" w:rsidRPr="00164A31" w:rsidRDefault="005471AB" w:rsidP="00A20EF7">
            <w:pPr>
              <w:rPr>
                <w:sz w:val="18"/>
                <w:lang w:val="es-MX"/>
              </w:rPr>
            </w:pPr>
            <w:r w:rsidRPr="00164A31">
              <w:rPr>
                <w:sz w:val="18"/>
                <w:lang w:val="es-MX"/>
              </w:rPr>
              <w:t>31 Jul 2014</w:t>
            </w:r>
          </w:p>
        </w:tc>
      </w:tr>
      <w:tr w:rsidR="005471AB" w:rsidRPr="00164A31" w:rsidTr="00416654">
        <w:tc>
          <w:tcPr>
            <w:tcW w:w="2622" w:type="dxa"/>
            <w:vMerge/>
          </w:tcPr>
          <w:p w:rsidR="005471AB" w:rsidRPr="00164A31" w:rsidRDefault="005471AB" w:rsidP="00A20EF7">
            <w:pPr>
              <w:rPr>
                <w:sz w:val="18"/>
                <w:lang w:val="es-MX"/>
              </w:rPr>
            </w:pPr>
          </w:p>
        </w:tc>
        <w:tc>
          <w:tcPr>
            <w:tcW w:w="1086" w:type="dxa"/>
            <w:vMerge/>
          </w:tcPr>
          <w:p w:rsidR="005471AB" w:rsidRPr="00164A31" w:rsidRDefault="005471AB" w:rsidP="00A20EF7">
            <w:pPr>
              <w:rPr>
                <w:sz w:val="18"/>
                <w:lang w:val="es-MX"/>
              </w:rPr>
            </w:pPr>
          </w:p>
        </w:tc>
        <w:tc>
          <w:tcPr>
            <w:tcW w:w="836" w:type="dxa"/>
            <w:vMerge/>
          </w:tcPr>
          <w:p w:rsidR="005471AB" w:rsidRPr="00164A31" w:rsidRDefault="005471AB" w:rsidP="00A20EF7">
            <w:pPr>
              <w:rPr>
                <w:sz w:val="18"/>
                <w:lang w:val="es-MX"/>
              </w:rPr>
            </w:pPr>
          </w:p>
        </w:tc>
        <w:tc>
          <w:tcPr>
            <w:tcW w:w="1959" w:type="dxa"/>
            <w:vMerge/>
            <w:vAlign w:val="center"/>
          </w:tcPr>
          <w:p w:rsidR="005471AB" w:rsidRPr="00164A31" w:rsidRDefault="005471AB" w:rsidP="00416654">
            <w:pPr>
              <w:jc w:val="left"/>
              <w:rPr>
                <w:sz w:val="18"/>
                <w:lang w:val="es-MX"/>
              </w:rPr>
            </w:pPr>
          </w:p>
        </w:tc>
        <w:tc>
          <w:tcPr>
            <w:tcW w:w="811" w:type="dxa"/>
            <w:vAlign w:val="center"/>
          </w:tcPr>
          <w:p w:rsidR="005471AB" w:rsidRPr="00164A31" w:rsidRDefault="005471AB" w:rsidP="00A20EF7">
            <w:pPr>
              <w:rPr>
                <w:sz w:val="18"/>
                <w:lang w:val="es-MX"/>
              </w:rPr>
            </w:pPr>
            <w:r>
              <w:rPr>
                <w:sz w:val="18"/>
                <w:lang w:val="es-MX"/>
              </w:rPr>
              <w:t>Avance</w:t>
            </w:r>
          </w:p>
        </w:tc>
        <w:tc>
          <w:tcPr>
            <w:tcW w:w="831" w:type="dxa"/>
            <w:vAlign w:val="center"/>
          </w:tcPr>
          <w:p w:rsidR="005471AB" w:rsidRPr="00164A31" w:rsidRDefault="005471AB" w:rsidP="00A20EF7">
            <w:pPr>
              <w:jc w:val="center"/>
              <w:rPr>
                <w:sz w:val="18"/>
                <w:lang w:val="es-MX"/>
              </w:rPr>
            </w:pPr>
            <w:r>
              <w:rPr>
                <w:sz w:val="18"/>
                <w:lang w:val="es-MX"/>
              </w:rPr>
              <w:t>0</w:t>
            </w:r>
          </w:p>
        </w:tc>
        <w:tc>
          <w:tcPr>
            <w:tcW w:w="1022" w:type="dxa"/>
            <w:vAlign w:val="center"/>
          </w:tcPr>
          <w:p w:rsidR="005471AB" w:rsidRPr="00164A31" w:rsidRDefault="005471AB" w:rsidP="00A20EF7">
            <w:pPr>
              <w:rPr>
                <w:sz w:val="18"/>
                <w:lang w:val="es-MX"/>
              </w:rPr>
            </w:pPr>
            <w:r>
              <w:rPr>
                <w:sz w:val="18"/>
                <w:lang w:val="es-MX"/>
              </w:rPr>
              <w:t>30 Mar</w:t>
            </w:r>
            <w:r w:rsidRPr="00164A31">
              <w:rPr>
                <w:sz w:val="18"/>
                <w:lang w:val="es-MX"/>
              </w:rPr>
              <w:t xml:space="preserve"> 201</w:t>
            </w:r>
            <w:r>
              <w:rPr>
                <w:sz w:val="18"/>
                <w:lang w:val="es-MX"/>
              </w:rPr>
              <w:t>5</w:t>
            </w:r>
          </w:p>
        </w:tc>
      </w:tr>
      <w:tr w:rsidR="005471AB" w:rsidRPr="00164A31" w:rsidTr="00416654">
        <w:tc>
          <w:tcPr>
            <w:tcW w:w="2622" w:type="dxa"/>
            <w:vMerge w:val="restart"/>
            <w:vAlign w:val="center"/>
          </w:tcPr>
          <w:p w:rsidR="005471AB" w:rsidRPr="00164A31" w:rsidRDefault="005471AB">
            <w:pPr>
              <w:jc w:val="left"/>
              <w:rPr>
                <w:sz w:val="18"/>
                <w:lang w:val="es-MX"/>
              </w:rPr>
            </w:pPr>
            <w:r w:rsidRPr="00164A31">
              <w:rPr>
                <w:sz w:val="18"/>
                <w:lang w:val="es-MX"/>
              </w:rPr>
              <w:t xml:space="preserve">II-2: Esquema de tarifa eléctrica para el desplazamiento de GLP por electricidad, </w:t>
            </w:r>
            <w:r>
              <w:rPr>
                <w:sz w:val="18"/>
                <w:lang w:val="es-MX"/>
              </w:rPr>
              <w:t>en vigencia.</w:t>
            </w:r>
          </w:p>
        </w:tc>
        <w:tc>
          <w:tcPr>
            <w:tcW w:w="1086" w:type="dxa"/>
            <w:vMerge w:val="restart"/>
            <w:vAlign w:val="center"/>
          </w:tcPr>
          <w:p w:rsidR="005471AB" w:rsidRPr="00164A31" w:rsidRDefault="005471AB">
            <w:pPr>
              <w:jc w:val="center"/>
              <w:rPr>
                <w:sz w:val="18"/>
                <w:lang w:val="es-MX"/>
              </w:rPr>
            </w:pPr>
            <w:r w:rsidRPr="00164A31">
              <w:rPr>
                <w:sz w:val="18"/>
                <w:lang w:val="es-MX"/>
              </w:rPr>
              <w:t xml:space="preserve"># </w:t>
            </w:r>
            <w:r>
              <w:rPr>
                <w:sz w:val="18"/>
                <w:lang w:val="es-MX"/>
              </w:rPr>
              <w:t>esquema</w:t>
            </w:r>
          </w:p>
        </w:tc>
        <w:tc>
          <w:tcPr>
            <w:tcW w:w="836" w:type="dxa"/>
            <w:vMerge w:val="restart"/>
            <w:vAlign w:val="center"/>
          </w:tcPr>
          <w:p w:rsidR="005471AB" w:rsidRPr="00164A31" w:rsidRDefault="005471AB" w:rsidP="00547136">
            <w:pPr>
              <w:jc w:val="center"/>
              <w:rPr>
                <w:sz w:val="18"/>
                <w:lang w:val="es-MX"/>
              </w:rPr>
            </w:pPr>
            <w:r w:rsidRPr="00164A31">
              <w:rPr>
                <w:sz w:val="18"/>
                <w:lang w:val="es-MX"/>
              </w:rPr>
              <w:t>0</w:t>
            </w:r>
          </w:p>
        </w:tc>
        <w:tc>
          <w:tcPr>
            <w:tcW w:w="1959" w:type="dxa"/>
            <w:vMerge w:val="restart"/>
            <w:vAlign w:val="center"/>
          </w:tcPr>
          <w:p w:rsidR="005471AB" w:rsidRPr="00164A31" w:rsidRDefault="005471AB" w:rsidP="00416654">
            <w:pPr>
              <w:jc w:val="left"/>
              <w:rPr>
                <w:sz w:val="18"/>
                <w:lang w:val="es-MX"/>
              </w:rPr>
            </w:pPr>
            <w:r w:rsidRPr="00164A31">
              <w:rPr>
                <w:sz w:val="18"/>
                <w:lang w:val="es-MX"/>
              </w:rPr>
              <w:t>Informe de avance del proyecto</w:t>
            </w:r>
          </w:p>
        </w:tc>
        <w:tc>
          <w:tcPr>
            <w:tcW w:w="811" w:type="dxa"/>
            <w:vAlign w:val="center"/>
          </w:tcPr>
          <w:p w:rsidR="005471AB" w:rsidRPr="00164A31" w:rsidRDefault="005471AB" w:rsidP="00A20EF7">
            <w:pPr>
              <w:rPr>
                <w:sz w:val="18"/>
                <w:lang w:val="es-MX"/>
              </w:rPr>
            </w:pPr>
            <w:r w:rsidRPr="00164A31">
              <w:rPr>
                <w:sz w:val="18"/>
                <w:lang w:val="es-MX"/>
              </w:rPr>
              <w:t>Prevista</w:t>
            </w:r>
          </w:p>
        </w:tc>
        <w:tc>
          <w:tcPr>
            <w:tcW w:w="831" w:type="dxa"/>
            <w:vAlign w:val="center"/>
          </w:tcPr>
          <w:p w:rsidR="005471AB" w:rsidRPr="00164A31" w:rsidRDefault="005471AB" w:rsidP="00A20EF7">
            <w:pPr>
              <w:jc w:val="center"/>
              <w:rPr>
                <w:sz w:val="18"/>
                <w:lang w:val="es-MX"/>
              </w:rPr>
            </w:pPr>
            <w:r w:rsidRPr="00164A31">
              <w:rPr>
                <w:sz w:val="18"/>
                <w:lang w:val="es-MX"/>
              </w:rPr>
              <w:t>1</w:t>
            </w:r>
          </w:p>
        </w:tc>
        <w:tc>
          <w:tcPr>
            <w:tcW w:w="1022" w:type="dxa"/>
          </w:tcPr>
          <w:p w:rsidR="005471AB" w:rsidRPr="00164A31" w:rsidRDefault="005471AB" w:rsidP="00A20EF7">
            <w:pPr>
              <w:rPr>
                <w:sz w:val="18"/>
                <w:lang w:val="es-MX"/>
              </w:rPr>
            </w:pPr>
            <w:r w:rsidRPr="00164A31">
              <w:rPr>
                <w:sz w:val="18"/>
                <w:lang w:val="es-MX"/>
              </w:rPr>
              <w:t>31 Jul 2014</w:t>
            </w:r>
          </w:p>
        </w:tc>
      </w:tr>
      <w:tr w:rsidR="005471AB" w:rsidRPr="00164A31" w:rsidTr="00416654">
        <w:tc>
          <w:tcPr>
            <w:tcW w:w="2622" w:type="dxa"/>
            <w:vMerge/>
          </w:tcPr>
          <w:p w:rsidR="005471AB" w:rsidRPr="00164A31" w:rsidRDefault="005471AB" w:rsidP="00A20EF7">
            <w:pPr>
              <w:rPr>
                <w:sz w:val="18"/>
                <w:lang w:val="es-MX"/>
              </w:rPr>
            </w:pPr>
          </w:p>
        </w:tc>
        <w:tc>
          <w:tcPr>
            <w:tcW w:w="1086" w:type="dxa"/>
            <w:vMerge/>
          </w:tcPr>
          <w:p w:rsidR="005471AB" w:rsidRPr="00164A31" w:rsidRDefault="005471AB" w:rsidP="00A20EF7">
            <w:pPr>
              <w:rPr>
                <w:sz w:val="18"/>
                <w:lang w:val="es-MX"/>
              </w:rPr>
            </w:pPr>
          </w:p>
        </w:tc>
        <w:tc>
          <w:tcPr>
            <w:tcW w:w="836" w:type="dxa"/>
            <w:vMerge/>
          </w:tcPr>
          <w:p w:rsidR="005471AB" w:rsidRPr="00164A31" w:rsidRDefault="005471AB" w:rsidP="00A20EF7">
            <w:pPr>
              <w:rPr>
                <w:sz w:val="18"/>
                <w:lang w:val="es-MX"/>
              </w:rPr>
            </w:pPr>
          </w:p>
        </w:tc>
        <w:tc>
          <w:tcPr>
            <w:tcW w:w="1959" w:type="dxa"/>
            <w:vMerge/>
          </w:tcPr>
          <w:p w:rsidR="005471AB" w:rsidRPr="00164A31" w:rsidRDefault="005471AB" w:rsidP="00A20EF7">
            <w:pPr>
              <w:rPr>
                <w:sz w:val="18"/>
                <w:lang w:val="es-MX"/>
              </w:rPr>
            </w:pPr>
          </w:p>
        </w:tc>
        <w:tc>
          <w:tcPr>
            <w:tcW w:w="811" w:type="dxa"/>
            <w:vAlign w:val="center"/>
          </w:tcPr>
          <w:p w:rsidR="005471AB" w:rsidRPr="00164A31" w:rsidRDefault="005471AB" w:rsidP="00A20EF7">
            <w:pPr>
              <w:rPr>
                <w:sz w:val="18"/>
                <w:lang w:val="es-MX"/>
              </w:rPr>
            </w:pPr>
            <w:r>
              <w:rPr>
                <w:sz w:val="18"/>
                <w:lang w:val="es-MX"/>
              </w:rPr>
              <w:t>Avance</w:t>
            </w:r>
          </w:p>
        </w:tc>
        <w:tc>
          <w:tcPr>
            <w:tcW w:w="831" w:type="dxa"/>
            <w:vAlign w:val="center"/>
          </w:tcPr>
          <w:p w:rsidR="005471AB" w:rsidRPr="00164A31" w:rsidRDefault="005471AB" w:rsidP="00A20EF7">
            <w:pPr>
              <w:jc w:val="center"/>
              <w:rPr>
                <w:sz w:val="18"/>
                <w:lang w:val="es-MX"/>
              </w:rPr>
            </w:pPr>
            <w:r w:rsidRPr="00164A31">
              <w:rPr>
                <w:sz w:val="18"/>
                <w:lang w:val="es-MX"/>
              </w:rPr>
              <w:t>1</w:t>
            </w:r>
          </w:p>
        </w:tc>
        <w:tc>
          <w:tcPr>
            <w:tcW w:w="1022" w:type="dxa"/>
            <w:vAlign w:val="center"/>
          </w:tcPr>
          <w:p w:rsidR="005471AB" w:rsidRPr="00164A31" w:rsidRDefault="005471AB" w:rsidP="00A20EF7">
            <w:pPr>
              <w:rPr>
                <w:sz w:val="18"/>
                <w:lang w:val="es-MX"/>
              </w:rPr>
            </w:pPr>
            <w:r>
              <w:rPr>
                <w:sz w:val="18"/>
                <w:lang w:val="es-MX"/>
              </w:rPr>
              <w:t>30 Mar</w:t>
            </w:r>
            <w:r w:rsidRPr="00164A31">
              <w:rPr>
                <w:sz w:val="18"/>
                <w:lang w:val="es-MX"/>
              </w:rPr>
              <w:t xml:space="preserve"> 201</w:t>
            </w:r>
            <w:r>
              <w:rPr>
                <w:sz w:val="18"/>
                <w:lang w:val="es-MX"/>
              </w:rPr>
              <w:t>5</w:t>
            </w:r>
          </w:p>
        </w:tc>
      </w:tr>
      <w:tr w:rsidR="006A0568" w:rsidRPr="00CD6433" w:rsidTr="00416654">
        <w:tc>
          <w:tcPr>
            <w:tcW w:w="9167" w:type="dxa"/>
            <w:gridSpan w:val="7"/>
          </w:tcPr>
          <w:p w:rsidR="006A0568" w:rsidRPr="00416654" w:rsidRDefault="006A0568" w:rsidP="0081185A">
            <w:pPr>
              <w:rPr>
                <w:b/>
                <w:sz w:val="18"/>
                <w:lang w:val="es-MX"/>
              </w:rPr>
            </w:pPr>
            <w:r w:rsidRPr="00416654">
              <w:rPr>
                <w:b/>
                <w:smallCaps/>
                <w:sz w:val="18"/>
                <w:lang w:val="es-MX"/>
              </w:rPr>
              <w:t>Componente III – Fortalecimiento Institucional</w:t>
            </w:r>
          </w:p>
        </w:tc>
      </w:tr>
      <w:tr w:rsidR="005471AB" w:rsidRPr="00164A31" w:rsidTr="00416654">
        <w:tc>
          <w:tcPr>
            <w:tcW w:w="2622" w:type="dxa"/>
            <w:vMerge w:val="restart"/>
            <w:vAlign w:val="center"/>
          </w:tcPr>
          <w:p w:rsidR="005471AB" w:rsidRPr="00164A31" w:rsidRDefault="005471AB">
            <w:pPr>
              <w:jc w:val="left"/>
              <w:rPr>
                <w:sz w:val="18"/>
                <w:lang w:val="es-MX"/>
              </w:rPr>
            </w:pPr>
            <w:r w:rsidRPr="00164A31">
              <w:rPr>
                <w:sz w:val="18"/>
                <w:lang w:val="es-MX"/>
              </w:rPr>
              <w:t xml:space="preserve">III-1: </w:t>
            </w:r>
            <w:r w:rsidRPr="00024669">
              <w:rPr>
                <w:sz w:val="18"/>
                <w:lang w:val="es-MX"/>
              </w:rPr>
              <w:t>Número de empleados de las EED capacitadas en operación y mantenimiento del SND</w:t>
            </w:r>
          </w:p>
        </w:tc>
        <w:tc>
          <w:tcPr>
            <w:tcW w:w="1086" w:type="dxa"/>
            <w:vMerge w:val="restart"/>
            <w:vAlign w:val="center"/>
          </w:tcPr>
          <w:p w:rsidR="005471AB" w:rsidRPr="00164A31" w:rsidRDefault="005471AB">
            <w:pPr>
              <w:jc w:val="center"/>
              <w:rPr>
                <w:sz w:val="18"/>
                <w:lang w:val="es-MX"/>
              </w:rPr>
            </w:pPr>
            <w:r w:rsidRPr="00164A31">
              <w:rPr>
                <w:sz w:val="18"/>
                <w:lang w:val="es-MX"/>
              </w:rPr>
              <w:t xml:space="preserve"># </w:t>
            </w:r>
            <w:r>
              <w:rPr>
                <w:sz w:val="18"/>
                <w:lang w:val="es-MX"/>
              </w:rPr>
              <w:t>empleados</w:t>
            </w:r>
          </w:p>
        </w:tc>
        <w:tc>
          <w:tcPr>
            <w:tcW w:w="836" w:type="dxa"/>
            <w:vMerge w:val="restart"/>
            <w:vAlign w:val="center"/>
          </w:tcPr>
          <w:p w:rsidR="005471AB" w:rsidRPr="00164A31" w:rsidRDefault="005471AB" w:rsidP="00A20EF7">
            <w:pPr>
              <w:jc w:val="center"/>
              <w:rPr>
                <w:sz w:val="18"/>
                <w:lang w:val="es-MX"/>
              </w:rPr>
            </w:pPr>
            <w:r w:rsidRPr="00164A31">
              <w:rPr>
                <w:sz w:val="18"/>
                <w:lang w:val="es-MX"/>
              </w:rPr>
              <w:t>0</w:t>
            </w:r>
          </w:p>
        </w:tc>
        <w:tc>
          <w:tcPr>
            <w:tcW w:w="1959" w:type="dxa"/>
            <w:vMerge w:val="restart"/>
            <w:vAlign w:val="center"/>
          </w:tcPr>
          <w:p w:rsidR="005471AB" w:rsidRPr="00164A31" w:rsidRDefault="005471AB" w:rsidP="00416654">
            <w:pPr>
              <w:jc w:val="left"/>
              <w:rPr>
                <w:sz w:val="18"/>
                <w:lang w:val="es-MX"/>
              </w:rPr>
            </w:pPr>
            <w:r w:rsidRPr="00164A31">
              <w:rPr>
                <w:sz w:val="18"/>
                <w:lang w:val="es-MX"/>
              </w:rPr>
              <w:t>Informe de avance del proyecto</w:t>
            </w:r>
          </w:p>
        </w:tc>
        <w:tc>
          <w:tcPr>
            <w:tcW w:w="811" w:type="dxa"/>
            <w:vAlign w:val="center"/>
          </w:tcPr>
          <w:p w:rsidR="005471AB" w:rsidRPr="00164A31" w:rsidRDefault="005471AB" w:rsidP="00A20EF7">
            <w:pPr>
              <w:rPr>
                <w:sz w:val="18"/>
                <w:lang w:val="es-MX"/>
              </w:rPr>
            </w:pPr>
            <w:r w:rsidRPr="00164A31">
              <w:rPr>
                <w:sz w:val="18"/>
                <w:lang w:val="es-MX"/>
              </w:rPr>
              <w:t>Prevista</w:t>
            </w:r>
          </w:p>
        </w:tc>
        <w:tc>
          <w:tcPr>
            <w:tcW w:w="831" w:type="dxa"/>
          </w:tcPr>
          <w:p w:rsidR="005471AB" w:rsidRPr="00164A31" w:rsidRDefault="00145594">
            <w:pPr>
              <w:jc w:val="center"/>
              <w:rPr>
                <w:sz w:val="18"/>
                <w:lang w:val="es-MX"/>
              </w:rPr>
            </w:pPr>
            <w:r>
              <w:rPr>
                <w:sz w:val="18"/>
                <w:lang w:val="es-MX"/>
              </w:rPr>
              <w:t>1</w:t>
            </w:r>
            <w:r w:rsidR="00E51930">
              <w:rPr>
                <w:sz w:val="18"/>
                <w:lang w:val="es-MX"/>
              </w:rPr>
              <w:t>.</w:t>
            </w:r>
            <w:r>
              <w:rPr>
                <w:sz w:val="18"/>
                <w:lang w:val="es-MX"/>
              </w:rPr>
              <w:t>200</w:t>
            </w:r>
          </w:p>
        </w:tc>
        <w:tc>
          <w:tcPr>
            <w:tcW w:w="1022" w:type="dxa"/>
          </w:tcPr>
          <w:p w:rsidR="005471AB" w:rsidRPr="00164A31" w:rsidRDefault="005471AB" w:rsidP="00A20EF7">
            <w:pPr>
              <w:rPr>
                <w:sz w:val="18"/>
                <w:lang w:val="es-MX"/>
              </w:rPr>
            </w:pPr>
            <w:r w:rsidRPr="00164A31">
              <w:rPr>
                <w:sz w:val="18"/>
                <w:lang w:val="es-MX"/>
              </w:rPr>
              <w:t>31 Jul 2014</w:t>
            </w:r>
          </w:p>
        </w:tc>
      </w:tr>
      <w:tr w:rsidR="005471AB" w:rsidRPr="00164A31" w:rsidTr="00416654">
        <w:tc>
          <w:tcPr>
            <w:tcW w:w="2622" w:type="dxa"/>
            <w:vMerge/>
          </w:tcPr>
          <w:p w:rsidR="005471AB" w:rsidRPr="00164A31" w:rsidRDefault="005471AB" w:rsidP="00A20EF7">
            <w:pPr>
              <w:rPr>
                <w:sz w:val="18"/>
                <w:lang w:val="es-MX"/>
              </w:rPr>
            </w:pPr>
          </w:p>
        </w:tc>
        <w:tc>
          <w:tcPr>
            <w:tcW w:w="1086" w:type="dxa"/>
            <w:vMerge/>
            <w:vAlign w:val="center"/>
          </w:tcPr>
          <w:p w:rsidR="005471AB" w:rsidRPr="00164A31" w:rsidRDefault="005471AB" w:rsidP="00A20EF7">
            <w:pPr>
              <w:jc w:val="center"/>
              <w:rPr>
                <w:sz w:val="18"/>
                <w:lang w:val="es-MX"/>
              </w:rPr>
            </w:pPr>
          </w:p>
        </w:tc>
        <w:tc>
          <w:tcPr>
            <w:tcW w:w="836" w:type="dxa"/>
            <w:vMerge/>
            <w:vAlign w:val="center"/>
          </w:tcPr>
          <w:p w:rsidR="005471AB" w:rsidRPr="00164A31" w:rsidRDefault="005471AB" w:rsidP="00A20EF7">
            <w:pPr>
              <w:jc w:val="center"/>
              <w:rPr>
                <w:sz w:val="18"/>
                <w:lang w:val="es-MX"/>
              </w:rPr>
            </w:pPr>
          </w:p>
        </w:tc>
        <w:tc>
          <w:tcPr>
            <w:tcW w:w="1959" w:type="dxa"/>
            <w:vMerge/>
            <w:vAlign w:val="center"/>
          </w:tcPr>
          <w:p w:rsidR="005471AB" w:rsidRPr="00164A31" w:rsidRDefault="005471AB" w:rsidP="00416654">
            <w:pPr>
              <w:jc w:val="left"/>
              <w:rPr>
                <w:sz w:val="18"/>
                <w:lang w:val="es-MX"/>
              </w:rPr>
            </w:pPr>
          </w:p>
        </w:tc>
        <w:tc>
          <w:tcPr>
            <w:tcW w:w="811" w:type="dxa"/>
            <w:vAlign w:val="center"/>
          </w:tcPr>
          <w:p w:rsidR="005471AB" w:rsidRPr="00164A31" w:rsidRDefault="005471AB" w:rsidP="00A20EF7">
            <w:pPr>
              <w:rPr>
                <w:sz w:val="18"/>
                <w:lang w:val="es-MX"/>
              </w:rPr>
            </w:pPr>
            <w:r>
              <w:rPr>
                <w:sz w:val="18"/>
                <w:lang w:val="es-MX"/>
              </w:rPr>
              <w:t>Avance</w:t>
            </w:r>
          </w:p>
        </w:tc>
        <w:tc>
          <w:tcPr>
            <w:tcW w:w="831" w:type="dxa"/>
          </w:tcPr>
          <w:p w:rsidR="005471AB" w:rsidRPr="00164A31" w:rsidRDefault="005471AB" w:rsidP="00547136">
            <w:pPr>
              <w:jc w:val="center"/>
              <w:rPr>
                <w:sz w:val="18"/>
                <w:lang w:val="es-MX"/>
              </w:rPr>
            </w:pPr>
            <w:r>
              <w:rPr>
                <w:sz w:val="18"/>
                <w:lang w:val="es-MX"/>
              </w:rPr>
              <w:t>0</w:t>
            </w:r>
          </w:p>
        </w:tc>
        <w:tc>
          <w:tcPr>
            <w:tcW w:w="1022" w:type="dxa"/>
            <w:vAlign w:val="center"/>
          </w:tcPr>
          <w:p w:rsidR="005471AB" w:rsidRPr="00164A31" w:rsidRDefault="005471AB" w:rsidP="00A20EF7">
            <w:pPr>
              <w:rPr>
                <w:sz w:val="18"/>
                <w:lang w:val="es-MX"/>
              </w:rPr>
            </w:pPr>
            <w:r>
              <w:rPr>
                <w:sz w:val="18"/>
                <w:lang w:val="es-MX"/>
              </w:rPr>
              <w:t>30 Mar</w:t>
            </w:r>
            <w:r w:rsidRPr="00164A31">
              <w:rPr>
                <w:sz w:val="18"/>
                <w:lang w:val="es-MX"/>
              </w:rPr>
              <w:t xml:space="preserve"> 201</w:t>
            </w:r>
            <w:r>
              <w:rPr>
                <w:sz w:val="18"/>
                <w:lang w:val="es-MX"/>
              </w:rPr>
              <w:t>5</w:t>
            </w:r>
          </w:p>
        </w:tc>
      </w:tr>
      <w:tr w:rsidR="005471AB" w:rsidRPr="00164A31" w:rsidTr="00416654">
        <w:tc>
          <w:tcPr>
            <w:tcW w:w="2622" w:type="dxa"/>
            <w:vMerge w:val="restart"/>
            <w:vAlign w:val="center"/>
          </w:tcPr>
          <w:p w:rsidR="005471AB" w:rsidRPr="00164A31" w:rsidRDefault="005471AB">
            <w:pPr>
              <w:jc w:val="left"/>
              <w:rPr>
                <w:sz w:val="18"/>
                <w:lang w:val="es-MX"/>
              </w:rPr>
            </w:pPr>
            <w:r w:rsidRPr="00164A31">
              <w:rPr>
                <w:sz w:val="18"/>
                <w:lang w:val="es-MX"/>
              </w:rPr>
              <w:t xml:space="preserve">III-2: </w:t>
            </w:r>
            <w:r w:rsidRPr="00024669">
              <w:rPr>
                <w:sz w:val="18"/>
                <w:lang w:val="es-MX"/>
              </w:rPr>
              <w:t>Porcentaje mujeres capacitadas</w:t>
            </w:r>
            <w:r w:rsidR="00145594">
              <w:rPr>
                <w:sz w:val="18"/>
                <w:lang w:val="es-MX"/>
              </w:rPr>
              <w:t xml:space="preserve"> bajo el programa</w:t>
            </w:r>
          </w:p>
        </w:tc>
        <w:tc>
          <w:tcPr>
            <w:tcW w:w="1086" w:type="dxa"/>
            <w:vMerge w:val="restart"/>
            <w:vAlign w:val="center"/>
          </w:tcPr>
          <w:p w:rsidR="005471AB" w:rsidRPr="00164A31" w:rsidRDefault="00145594" w:rsidP="00547136">
            <w:pPr>
              <w:jc w:val="center"/>
              <w:rPr>
                <w:sz w:val="18"/>
                <w:lang w:val="es-MX"/>
              </w:rPr>
            </w:pPr>
            <w:r>
              <w:rPr>
                <w:sz w:val="18"/>
                <w:lang w:val="es-MX"/>
              </w:rPr>
              <w:t>%</w:t>
            </w:r>
          </w:p>
        </w:tc>
        <w:tc>
          <w:tcPr>
            <w:tcW w:w="836" w:type="dxa"/>
            <w:vMerge w:val="restart"/>
            <w:vAlign w:val="center"/>
          </w:tcPr>
          <w:p w:rsidR="005471AB" w:rsidRPr="00164A31" w:rsidRDefault="005471AB" w:rsidP="00A20EF7">
            <w:pPr>
              <w:jc w:val="center"/>
              <w:rPr>
                <w:sz w:val="18"/>
                <w:lang w:val="es-MX"/>
              </w:rPr>
            </w:pPr>
            <w:r w:rsidRPr="00164A31">
              <w:rPr>
                <w:sz w:val="18"/>
                <w:lang w:val="es-MX"/>
              </w:rPr>
              <w:t>0</w:t>
            </w:r>
          </w:p>
        </w:tc>
        <w:tc>
          <w:tcPr>
            <w:tcW w:w="1959" w:type="dxa"/>
            <w:vMerge w:val="restart"/>
            <w:vAlign w:val="center"/>
          </w:tcPr>
          <w:p w:rsidR="005471AB" w:rsidRPr="00164A31" w:rsidRDefault="005471AB" w:rsidP="00416654">
            <w:pPr>
              <w:jc w:val="left"/>
              <w:rPr>
                <w:sz w:val="18"/>
                <w:lang w:val="es-MX"/>
              </w:rPr>
            </w:pPr>
            <w:r w:rsidRPr="00164A31">
              <w:rPr>
                <w:sz w:val="18"/>
                <w:lang w:val="es-MX"/>
              </w:rPr>
              <w:t>Informe de avance del proyecto</w:t>
            </w:r>
          </w:p>
        </w:tc>
        <w:tc>
          <w:tcPr>
            <w:tcW w:w="811" w:type="dxa"/>
            <w:vAlign w:val="center"/>
          </w:tcPr>
          <w:p w:rsidR="005471AB" w:rsidRPr="00164A31" w:rsidRDefault="005471AB" w:rsidP="00A20EF7">
            <w:pPr>
              <w:rPr>
                <w:sz w:val="18"/>
                <w:lang w:val="es-MX"/>
              </w:rPr>
            </w:pPr>
            <w:r>
              <w:rPr>
                <w:sz w:val="18"/>
                <w:lang w:val="es-MX"/>
              </w:rPr>
              <w:t>Avance</w:t>
            </w:r>
          </w:p>
        </w:tc>
        <w:tc>
          <w:tcPr>
            <w:tcW w:w="831" w:type="dxa"/>
          </w:tcPr>
          <w:p w:rsidR="005471AB" w:rsidRPr="00164A31" w:rsidRDefault="00E51930">
            <w:pPr>
              <w:jc w:val="center"/>
              <w:rPr>
                <w:sz w:val="18"/>
                <w:lang w:val="es-MX"/>
              </w:rPr>
            </w:pPr>
            <w:r>
              <w:rPr>
                <w:sz w:val="18"/>
                <w:lang w:val="es-MX"/>
              </w:rPr>
              <w:t>0</w:t>
            </w:r>
          </w:p>
        </w:tc>
        <w:tc>
          <w:tcPr>
            <w:tcW w:w="1022" w:type="dxa"/>
          </w:tcPr>
          <w:p w:rsidR="005471AB" w:rsidRPr="00164A31" w:rsidRDefault="005471AB" w:rsidP="00A20EF7">
            <w:pPr>
              <w:rPr>
                <w:sz w:val="18"/>
                <w:lang w:val="es-MX"/>
              </w:rPr>
            </w:pPr>
            <w:r w:rsidRPr="00164A31">
              <w:rPr>
                <w:sz w:val="18"/>
                <w:lang w:val="es-MX"/>
              </w:rPr>
              <w:t>31 Jul 2014</w:t>
            </w:r>
          </w:p>
        </w:tc>
      </w:tr>
      <w:tr w:rsidR="005471AB" w:rsidRPr="00164A31" w:rsidTr="00416654">
        <w:tc>
          <w:tcPr>
            <w:tcW w:w="2622" w:type="dxa"/>
            <w:vMerge/>
            <w:vAlign w:val="center"/>
          </w:tcPr>
          <w:p w:rsidR="005471AB" w:rsidRPr="00164A31" w:rsidRDefault="005471AB" w:rsidP="00A20EF7">
            <w:pPr>
              <w:jc w:val="left"/>
              <w:rPr>
                <w:sz w:val="18"/>
                <w:lang w:val="es-MX"/>
              </w:rPr>
            </w:pPr>
          </w:p>
        </w:tc>
        <w:tc>
          <w:tcPr>
            <w:tcW w:w="1086" w:type="dxa"/>
            <w:vMerge/>
            <w:vAlign w:val="center"/>
          </w:tcPr>
          <w:p w:rsidR="005471AB" w:rsidRPr="00164A31" w:rsidRDefault="005471AB" w:rsidP="00A20EF7">
            <w:pPr>
              <w:jc w:val="center"/>
              <w:rPr>
                <w:sz w:val="18"/>
                <w:lang w:val="es-MX"/>
              </w:rPr>
            </w:pPr>
          </w:p>
        </w:tc>
        <w:tc>
          <w:tcPr>
            <w:tcW w:w="836" w:type="dxa"/>
            <w:vMerge/>
            <w:vAlign w:val="center"/>
          </w:tcPr>
          <w:p w:rsidR="005471AB" w:rsidRPr="00164A31" w:rsidRDefault="005471AB" w:rsidP="00A20EF7">
            <w:pPr>
              <w:jc w:val="center"/>
              <w:rPr>
                <w:sz w:val="18"/>
                <w:lang w:val="es-MX"/>
              </w:rPr>
            </w:pPr>
          </w:p>
        </w:tc>
        <w:tc>
          <w:tcPr>
            <w:tcW w:w="1959" w:type="dxa"/>
            <w:vMerge/>
            <w:vAlign w:val="center"/>
          </w:tcPr>
          <w:p w:rsidR="005471AB" w:rsidRPr="00164A31" w:rsidRDefault="005471AB" w:rsidP="00A20EF7">
            <w:pPr>
              <w:jc w:val="center"/>
              <w:rPr>
                <w:sz w:val="18"/>
                <w:lang w:val="es-MX"/>
              </w:rPr>
            </w:pPr>
          </w:p>
        </w:tc>
        <w:tc>
          <w:tcPr>
            <w:tcW w:w="811" w:type="dxa"/>
            <w:vAlign w:val="center"/>
          </w:tcPr>
          <w:p w:rsidR="005471AB" w:rsidRPr="00164A31" w:rsidRDefault="005471AB" w:rsidP="00A20EF7">
            <w:pPr>
              <w:rPr>
                <w:sz w:val="18"/>
                <w:lang w:val="es-MX"/>
              </w:rPr>
            </w:pPr>
            <w:r w:rsidRPr="00164A31">
              <w:rPr>
                <w:sz w:val="18"/>
                <w:lang w:val="es-MX"/>
              </w:rPr>
              <w:t>Prevista</w:t>
            </w:r>
          </w:p>
        </w:tc>
        <w:tc>
          <w:tcPr>
            <w:tcW w:w="831" w:type="dxa"/>
          </w:tcPr>
          <w:p w:rsidR="005471AB" w:rsidRPr="00164A31" w:rsidRDefault="00E51930" w:rsidP="00547136">
            <w:pPr>
              <w:jc w:val="center"/>
              <w:rPr>
                <w:sz w:val="18"/>
                <w:lang w:val="es-MX"/>
              </w:rPr>
            </w:pPr>
            <w:r>
              <w:rPr>
                <w:sz w:val="18"/>
                <w:lang w:val="es-MX"/>
              </w:rPr>
              <w:t>40%</w:t>
            </w:r>
          </w:p>
        </w:tc>
        <w:tc>
          <w:tcPr>
            <w:tcW w:w="1022" w:type="dxa"/>
            <w:vAlign w:val="center"/>
          </w:tcPr>
          <w:p w:rsidR="005471AB" w:rsidRPr="00164A31" w:rsidRDefault="005471AB" w:rsidP="00A20EF7">
            <w:pPr>
              <w:rPr>
                <w:sz w:val="18"/>
                <w:lang w:val="es-MX"/>
              </w:rPr>
            </w:pPr>
            <w:r>
              <w:rPr>
                <w:sz w:val="18"/>
                <w:lang w:val="es-MX"/>
              </w:rPr>
              <w:t>30 Mar</w:t>
            </w:r>
            <w:r w:rsidRPr="00164A31">
              <w:rPr>
                <w:sz w:val="18"/>
                <w:lang w:val="es-MX"/>
              </w:rPr>
              <w:t xml:space="preserve"> 201</w:t>
            </w:r>
            <w:r>
              <w:rPr>
                <w:sz w:val="18"/>
                <w:lang w:val="es-MX"/>
              </w:rPr>
              <w:t>5</w:t>
            </w:r>
          </w:p>
        </w:tc>
      </w:tr>
      <w:tr w:rsidR="00256F21" w:rsidRPr="001A21FF" w:rsidTr="00416654">
        <w:trPr>
          <w:trHeight w:val="225"/>
        </w:trPr>
        <w:tc>
          <w:tcPr>
            <w:tcW w:w="2622" w:type="dxa"/>
            <w:vMerge w:val="restart"/>
            <w:vAlign w:val="center"/>
          </w:tcPr>
          <w:p w:rsidR="00256F21" w:rsidRPr="00164A31" w:rsidRDefault="00256F21">
            <w:pPr>
              <w:jc w:val="left"/>
              <w:rPr>
                <w:sz w:val="18"/>
                <w:lang w:val="es-MX"/>
              </w:rPr>
            </w:pPr>
            <w:r>
              <w:rPr>
                <w:sz w:val="18"/>
                <w:lang w:val="es-MX"/>
              </w:rPr>
              <w:t xml:space="preserve">III-3: </w:t>
            </w:r>
            <w:r w:rsidRPr="001A21FF">
              <w:rPr>
                <w:sz w:val="18"/>
                <w:lang w:val="es-MX"/>
              </w:rPr>
              <w:t>Número mujeres contra</w:t>
            </w:r>
            <w:r>
              <w:rPr>
                <w:sz w:val="18"/>
                <w:lang w:val="es-MX"/>
              </w:rPr>
              <w:t>ta</w:t>
            </w:r>
            <w:r w:rsidRPr="001A21FF">
              <w:rPr>
                <w:sz w:val="18"/>
                <w:lang w:val="es-MX"/>
              </w:rPr>
              <w:t>das en las consultorías de las EED</w:t>
            </w:r>
          </w:p>
        </w:tc>
        <w:tc>
          <w:tcPr>
            <w:tcW w:w="1086" w:type="dxa"/>
            <w:vMerge w:val="restart"/>
            <w:vAlign w:val="center"/>
          </w:tcPr>
          <w:p w:rsidR="00256F21" w:rsidRPr="00164A31" w:rsidRDefault="00256F21">
            <w:pPr>
              <w:jc w:val="center"/>
              <w:rPr>
                <w:sz w:val="18"/>
                <w:lang w:val="es-MX"/>
              </w:rPr>
            </w:pPr>
            <w:r w:rsidRPr="00164A31">
              <w:rPr>
                <w:sz w:val="18"/>
                <w:lang w:val="es-MX"/>
              </w:rPr>
              <w:t xml:space="preserve"># </w:t>
            </w:r>
            <w:r>
              <w:rPr>
                <w:sz w:val="18"/>
                <w:lang w:val="es-MX"/>
              </w:rPr>
              <w:t>mujeres</w:t>
            </w:r>
          </w:p>
        </w:tc>
        <w:tc>
          <w:tcPr>
            <w:tcW w:w="836" w:type="dxa"/>
            <w:vMerge w:val="restart"/>
            <w:vAlign w:val="center"/>
          </w:tcPr>
          <w:p w:rsidR="00256F21" w:rsidRPr="00164A31" w:rsidRDefault="00256F21" w:rsidP="00A20EF7">
            <w:pPr>
              <w:jc w:val="center"/>
              <w:rPr>
                <w:sz w:val="18"/>
                <w:lang w:val="es-MX"/>
              </w:rPr>
            </w:pPr>
          </w:p>
        </w:tc>
        <w:tc>
          <w:tcPr>
            <w:tcW w:w="1959" w:type="dxa"/>
            <w:vMerge w:val="restart"/>
            <w:vAlign w:val="center"/>
          </w:tcPr>
          <w:p w:rsidR="00256F21" w:rsidRPr="00164A31" w:rsidRDefault="00256F21" w:rsidP="00416654">
            <w:pPr>
              <w:jc w:val="left"/>
              <w:rPr>
                <w:sz w:val="18"/>
                <w:lang w:val="es-MX"/>
              </w:rPr>
            </w:pPr>
            <w:r w:rsidRPr="00164A31">
              <w:rPr>
                <w:sz w:val="18"/>
                <w:lang w:val="es-MX"/>
              </w:rPr>
              <w:t>Informe de avance del proyecto</w:t>
            </w:r>
          </w:p>
        </w:tc>
        <w:tc>
          <w:tcPr>
            <w:tcW w:w="811" w:type="dxa"/>
            <w:vAlign w:val="center"/>
          </w:tcPr>
          <w:p w:rsidR="00256F21" w:rsidRPr="00164A31" w:rsidRDefault="00256F21" w:rsidP="00A20EF7">
            <w:pPr>
              <w:rPr>
                <w:sz w:val="18"/>
                <w:lang w:val="es-MX"/>
              </w:rPr>
            </w:pPr>
            <w:r w:rsidRPr="00164A31">
              <w:rPr>
                <w:sz w:val="18"/>
                <w:lang w:val="es-MX"/>
              </w:rPr>
              <w:t>Prevista</w:t>
            </w:r>
          </w:p>
        </w:tc>
        <w:tc>
          <w:tcPr>
            <w:tcW w:w="831" w:type="dxa"/>
          </w:tcPr>
          <w:p w:rsidR="00256F21" w:rsidRPr="00164A31" w:rsidDel="001A21FF" w:rsidRDefault="00145594" w:rsidP="00547136">
            <w:pPr>
              <w:jc w:val="center"/>
              <w:rPr>
                <w:sz w:val="18"/>
                <w:lang w:val="es-MX"/>
              </w:rPr>
            </w:pPr>
            <w:r>
              <w:rPr>
                <w:sz w:val="18"/>
                <w:lang w:val="es-MX"/>
              </w:rPr>
              <w:t>20</w:t>
            </w:r>
          </w:p>
        </w:tc>
        <w:tc>
          <w:tcPr>
            <w:tcW w:w="1022" w:type="dxa"/>
          </w:tcPr>
          <w:p w:rsidR="00256F21" w:rsidRDefault="00256F21" w:rsidP="00A20EF7">
            <w:pPr>
              <w:rPr>
                <w:sz w:val="18"/>
                <w:lang w:val="es-MX"/>
              </w:rPr>
            </w:pPr>
            <w:r w:rsidRPr="00164A31">
              <w:rPr>
                <w:sz w:val="18"/>
                <w:lang w:val="es-MX"/>
              </w:rPr>
              <w:t>31 Jul 2014</w:t>
            </w:r>
          </w:p>
        </w:tc>
      </w:tr>
      <w:tr w:rsidR="00256F21" w:rsidRPr="001A21FF" w:rsidTr="00416654">
        <w:trPr>
          <w:trHeight w:val="225"/>
        </w:trPr>
        <w:tc>
          <w:tcPr>
            <w:tcW w:w="2622" w:type="dxa"/>
            <w:vMerge/>
            <w:vAlign w:val="center"/>
          </w:tcPr>
          <w:p w:rsidR="00256F21" w:rsidRDefault="00256F21" w:rsidP="00A20EF7">
            <w:pPr>
              <w:jc w:val="left"/>
              <w:rPr>
                <w:sz w:val="18"/>
                <w:lang w:val="es-MX"/>
              </w:rPr>
            </w:pPr>
          </w:p>
        </w:tc>
        <w:tc>
          <w:tcPr>
            <w:tcW w:w="1086" w:type="dxa"/>
            <w:vMerge/>
            <w:vAlign w:val="center"/>
          </w:tcPr>
          <w:p w:rsidR="00256F21" w:rsidRPr="00164A31" w:rsidRDefault="00256F21" w:rsidP="001A21FF">
            <w:pPr>
              <w:jc w:val="center"/>
              <w:rPr>
                <w:sz w:val="18"/>
                <w:lang w:val="es-MX"/>
              </w:rPr>
            </w:pPr>
          </w:p>
        </w:tc>
        <w:tc>
          <w:tcPr>
            <w:tcW w:w="836" w:type="dxa"/>
            <w:vMerge/>
            <w:vAlign w:val="center"/>
          </w:tcPr>
          <w:p w:rsidR="00256F21" w:rsidRPr="00164A31" w:rsidRDefault="00256F21" w:rsidP="00A20EF7">
            <w:pPr>
              <w:jc w:val="center"/>
              <w:rPr>
                <w:sz w:val="18"/>
                <w:lang w:val="es-MX"/>
              </w:rPr>
            </w:pPr>
          </w:p>
        </w:tc>
        <w:tc>
          <w:tcPr>
            <w:tcW w:w="1959" w:type="dxa"/>
            <w:vMerge/>
            <w:vAlign w:val="center"/>
          </w:tcPr>
          <w:p w:rsidR="00256F21" w:rsidRPr="00164A31" w:rsidRDefault="00256F21" w:rsidP="00A20EF7">
            <w:pPr>
              <w:jc w:val="center"/>
              <w:rPr>
                <w:sz w:val="18"/>
                <w:lang w:val="es-MX"/>
              </w:rPr>
            </w:pPr>
          </w:p>
        </w:tc>
        <w:tc>
          <w:tcPr>
            <w:tcW w:w="811" w:type="dxa"/>
            <w:vAlign w:val="center"/>
          </w:tcPr>
          <w:p w:rsidR="00256F21" w:rsidRPr="00164A31" w:rsidRDefault="00256F21" w:rsidP="00A20EF7">
            <w:pPr>
              <w:rPr>
                <w:sz w:val="18"/>
                <w:lang w:val="es-MX"/>
              </w:rPr>
            </w:pPr>
            <w:r>
              <w:rPr>
                <w:sz w:val="18"/>
                <w:lang w:val="es-MX"/>
              </w:rPr>
              <w:t>Avance</w:t>
            </w:r>
          </w:p>
        </w:tc>
        <w:tc>
          <w:tcPr>
            <w:tcW w:w="831" w:type="dxa"/>
          </w:tcPr>
          <w:p w:rsidR="00256F21" w:rsidRPr="00164A31" w:rsidDel="001A21FF" w:rsidRDefault="00145594" w:rsidP="00547136">
            <w:pPr>
              <w:jc w:val="center"/>
              <w:rPr>
                <w:sz w:val="18"/>
                <w:lang w:val="es-MX"/>
              </w:rPr>
            </w:pPr>
            <w:r>
              <w:rPr>
                <w:sz w:val="18"/>
                <w:lang w:val="es-MX"/>
              </w:rPr>
              <w:t>19</w:t>
            </w:r>
          </w:p>
        </w:tc>
        <w:tc>
          <w:tcPr>
            <w:tcW w:w="1022" w:type="dxa"/>
            <w:vAlign w:val="center"/>
          </w:tcPr>
          <w:p w:rsidR="00256F21" w:rsidRDefault="00256F21" w:rsidP="00A20EF7">
            <w:pPr>
              <w:rPr>
                <w:sz w:val="18"/>
                <w:lang w:val="es-MX"/>
              </w:rPr>
            </w:pPr>
            <w:r>
              <w:rPr>
                <w:sz w:val="18"/>
                <w:lang w:val="es-MX"/>
              </w:rPr>
              <w:t>30 Mar</w:t>
            </w:r>
            <w:r w:rsidRPr="00164A31">
              <w:rPr>
                <w:sz w:val="18"/>
                <w:lang w:val="es-MX"/>
              </w:rPr>
              <w:t xml:space="preserve"> 201</w:t>
            </w:r>
            <w:r>
              <w:rPr>
                <w:sz w:val="18"/>
                <w:lang w:val="es-MX"/>
              </w:rPr>
              <w:t>5</w:t>
            </w:r>
          </w:p>
        </w:tc>
      </w:tr>
    </w:tbl>
    <w:p w:rsidR="00DD44C3" w:rsidRDefault="00ED4FEB" w:rsidP="00416654">
      <w:pPr>
        <w:spacing w:before="120" w:after="120"/>
        <w:rPr>
          <w:lang w:val="es-MX"/>
        </w:rPr>
      </w:pPr>
      <w:r>
        <w:rPr>
          <w:lang w:val="es-MX"/>
        </w:rPr>
        <w:t xml:space="preserve">En cuanto a los indicadores de impacto, el indicador de pérdidas </w:t>
      </w:r>
      <w:r w:rsidR="00E6069D">
        <w:rPr>
          <w:lang w:val="es-MX"/>
        </w:rPr>
        <w:t>eléctricas mide la cantidad de energía facturada</w:t>
      </w:r>
      <w:r w:rsidR="001F41F4">
        <w:rPr>
          <w:lang w:val="es-MX"/>
        </w:rPr>
        <w:t xml:space="preserve"> en el año móvil inmediatamente anterior al mes de cálculo, </w:t>
      </w:r>
      <w:r w:rsidR="00E6069D">
        <w:rPr>
          <w:lang w:val="es-MX"/>
        </w:rPr>
        <w:t xml:space="preserve"> con relación a la energía </w:t>
      </w:r>
      <w:r w:rsidR="00667587">
        <w:rPr>
          <w:lang w:val="es-MX"/>
        </w:rPr>
        <w:t>ingresada al sistema de distribuci</w:t>
      </w:r>
      <w:r w:rsidR="001F41F4">
        <w:rPr>
          <w:lang w:val="es-MX"/>
        </w:rPr>
        <w:t>ón en igual período,</w:t>
      </w:r>
      <w:r w:rsidR="00667587">
        <w:rPr>
          <w:lang w:val="es-MX"/>
        </w:rPr>
        <w:t xml:space="preserve"> </w:t>
      </w:r>
      <w:r w:rsidR="00E6069D">
        <w:rPr>
          <w:lang w:val="es-MX"/>
        </w:rPr>
        <w:t xml:space="preserve">a nivel nacional. A la fecha este indicador </w:t>
      </w:r>
      <w:r w:rsidR="00E6069D">
        <w:rPr>
          <w:lang w:val="es-MX"/>
        </w:rPr>
        <w:lastRenderedPageBreak/>
        <w:t xml:space="preserve">muestra un avance </w:t>
      </w:r>
      <w:r>
        <w:rPr>
          <w:lang w:val="es-MX"/>
        </w:rPr>
        <w:t xml:space="preserve">de </w:t>
      </w:r>
      <w:r w:rsidR="00E82F60">
        <w:rPr>
          <w:lang w:val="es-MX"/>
        </w:rPr>
        <w:t>37</w:t>
      </w:r>
      <w:r>
        <w:rPr>
          <w:lang w:val="es-MX"/>
        </w:rPr>
        <w:t>% con relación a la meta establecida al año 4. El indicador de CO</w:t>
      </w:r>
      <w:r w:rsidRPr="00416654">
        <w:rPr>
          <w:vertAlign w:val="subscript"/>
          <w:lang w:val="es-MX"/>
        </w:rPr>
        <w:t>2</w:t>
      </w:r>
      <w:r>
        <w:rPr>
          <w:lang w:val="es-MX"/>
        </w:rPr>
        <w:t xml:space="preserve"> evitado muestra un avance de </w:t>
      </w:r>
      <w:r w:rsidR="00703A9A" w:rsidRPr="00703A9A">
        <w:rPr>
          <w:lang w:val="es-MX"/>
        </w:rPr>
        <w:t>1.8%</w:t>
      </w:r>
      <w:r w:rsidR="00703A9A" w:rsidRPr="00703A9A">
        <w:rPr>
          <w:rStyle w:val="FootnoteReference"/>
          <w:lang w:val="es-MX"/>
        </w:rPr>
        <w:footnoteReference w:id="12"/>
      </w:r>
      <w:r w:rsidR="00703A9A" w:rsidRPr="00703A9A">
        <w:rPr>
          <w:lang w:val="es-MX"/>
        </w:rPr>
        <w:t>,</w:t>
      </w:r>
      <w:r w:rsidR="00E6069D" w:rsidRPr="00703A9A">
        <w:rPr>
          <w:lang w:val="es-MX"/>
        </w:rPr>
        <w:t xml:space="preserve"> el</w:t>
      </w:r>
      <w:r w:rsidR="00E6069D">
        <w:rPr>
          <w:lang w:val="es-MX"/>
        </w:rPr>
        <w:t xml:space="preserve"> cual podría estar rezagado con relación a la meta del año 4, debido a que depende directamente del número de clientes residenciales que decidan migrar al uso de electricidad en la cocción de alimentos, en sustitución al Gas Licuado de Petróleo (GLP). El cálculo de este indicador se da considerando que el PEC busca migrar 3,5 millones de usuarios de GLP a electricidad </w:t>
      </w:r>
      <w:r w:rsidR="004D795D">
        <w:rPr>
          <w:lang w:val="es-MX"/>
        </w:rPr>
        <w:t>para</w:t>
      </w:r>
      <w:r w:rsidR="00E6069D">
        <w:rPr>
          <w:lang w:val="es-MX"/>
        </w:rPr>
        <w:t xml:space="preserve"> la cocción de alimentos al 2018</w:t>
      </w:r>
      <w:r w:rsidR="004D795D">
        <w:rPr>
          <w:lang w:val="es-MX"/>
        </w:rPr>
        <w:t>, tomando como condición de base un SND reforzado en 220 voltios</w:t>
      </w:r>
      <w:r w:rsidR="00E6069D">
        <w:rPr>
          <w:lang w:val="es-MX"/>
        </w:rPr>
        <w:t xml:space="preserve">. El consumo promedio </w:t>
      </w:r>
      <w:r w:rsidR="004D795D">
        <w:rPr>
          <w:lang w:val="es-MX"/>
        </w:rPr>
        <w:t xml:space="preserve">nacional </w:t>
      </w:r>
      <w:r w:rsidR="00E6069D">
        <w:rPr>
          <w:lang w:val="es-MX"/>
        </w:rPr>
        <w:t xml:space="preserve">por </w:t>
      </w:r>
      <w:r w:rsidR="004D795D">
        <w:rPr>
          <w:lang w:val="es-MX"/>
        </w:rPr>
        <w:t>vivienda</w:t>
      </w:r>
      <w:r w:rsidR="00E6069D">
        <w:rPr>
          <w:lang w:val="es-MX"/>
        </w:rPr>
        <w:t xml:space="preserve"> es de 1,6 cilindros</w:t>
      </w:r>
      <w:r w:rsidR="00E6069D">
        <w:rPr>
          <w:rStyle w:val="FootnoteReference"/>
          <w:lang w:val="es-MX"/>
        </w:rPr>
        <w:footnoteReference w:id="13"/>
      </w:r>
      <w:r w:rsidR="00E6069D">
        <w:rPr>
          <w:lang w:val="es-MX"/>
        </w:rPr>
        <w:t xml:space="preserve"> de GLP por mes.</w:t>
      </w:r>
      <w:r w:rsidR="004D795D">
        <w:rPr>
          <w:lang w:val="es-MX"/>
        </w:rPr>
        <w:t xml:space="preserve"> </w:t>
      </w:r>
    </w:p>
    <w:tbl>
      <w:tblPr>
        <w:tblStyle w:val="TableGrid"/>
        <w:tblW w:w="9254" w:type="dxa"/>
        <w:tblInd w:w="-114" w:type="dxa"/>
        <w:tblLayout w:type="fixed"/>
        <w:tblCellMar>
          <w:left w:w="28" w:type="dxa"/>
          <w:right w:w="57" w:type="dxa"/>
        </w:tblCellMar>
        <w:tblLook w:val="04A0" w:firstRow="1" w:lastRow="0" w:firstColumn="1" w:lastColumn="0" w:noHBand="0" w:noVBand="1"/>
      </w:tblPr>
      <w:tblGrid>
        <w:gridCol w:w="2836"/>
        <w:gridCol w:w="1134"/>
        <w:gridCol w:w="879"/>
        <w:gridCol w:w="1559"/>
        <w:gridCol w:w="851"/>
        <w:gridCol w:w="878"/>
        <w:gridCol w:w="1117"/>
      </w:tblGrid>
      <w:tr w:rsidR="00F309BD" w:rsidRPr="006640BF" w:rsidTr="00416654">
        <w:tc>
          <w:tcPr>
            <w:tcW w:w="9254" w:type="dxa"/>
            <w:gridSpan w:val="7"/>
            <w:shd w:val="clear" w:color="auto" w:fill="B8CCE4" w:themeFill="accent1" w:themeFillTint="66"/>
            <w:vAlign w:val="center"/>
          </w:tcPr>
          <w:p w:rsidR="00F309BD" w:rsidRPr="006640BF" w:rsidRDefault="00F309BD" w:rsidP="00416654">
            <w:pPr>
              <w:spacing w:before="120" w:after="120"/>
              <w:jc w:val="center"/>
              <w:rPr>
                <w:sz w:val="18"/>
                <w:lang w:val="es-MX"/>
              </w:rPr>
            </w:pPr>
            <w:r w:rsidRPr="006640BF">
              <w:rPr>
                <w:b/>
                <w:smallCaps/>
                <w:sz w:val="20"/>
                <w:lang w:val="es-MX"/>
              </w:rPr>
              <w:t>Matriz de Resultados EC-L1136 – Nivel de Impacto</w:t>
            </w:r>
          </w:p>
        </w:tc>
      </w:tr>
      <w:tr w:rsidR="00F309BD" w:rsidRPr="006640BF" w:rsidTr="00416654">
        <w:tc>
          <w:tcPr>
            <w:tcW w:w="2836" w:type="dxa"/>
            <w:shd w:val="clear" w:color="auto" w:fill="B8CCE4" w:themeFill="accent1" w:themeFillTint="66"/>
            <w:vAlign w:val="center"/>
          </w:tcPr>
          <w:p w:rsidR="00F309BD" w:rsidRPr="00416654" w:rsidRDefault="00F309BD" w:rsidP="00F309BD">
            <w:pPr>
              <w:jc w:val="center"/>
              <w:rPr>
                <w:b/>
                <w:sz w:val="18"/>
                <w:lang w:val="es-MX"/>
              </w:rPr>
            </w:pPr>
            <w:r w:rsidRPr="00416654">
              <w:rPr>
                <w:b/>
                <w:sz w:val="18"/>
                <w:lang w:val="es-MX"/>
              </w:rPr>
              <w:t>Indicador</w:t>
            </w:r>
          </w:p>
        </w:tc>
        <w:tc>
          <w:tcPr>
            <w:tcW w:w="1134" w:type="dxa"/>
            <w:shd w:val="clear" w:color="auto" w:fill="B8CCE4" w:themeFill="accent1" w:themeFillTint="66"/>
            <w:vAlign w:val="center"/>
          </w:tcPr>
          <w:p w:rsidR="00F309BD" w:rsidRPr="00416654" w:rsidRDefault="00F309BD" w:rsidP="00F309BD">
            <w:pPr>
              <w:jc w:val="center"/>
              <w:rPr>
                <w:b/>
                <w:sz w:val="18"/>
                <w:lang w:val="es-MX"/>
              </w:rPr>
            </w:pPr>
            <w:r w:rsidRPr="00416654">
              <w:rPr>
                <w:b/>
                <w:sz w:val="18"/>
                <w:lang w:val="es-MX"/>
              </w:rPr>
              <w:t>Unidad</w:t>
            </w:r>
          </w:p>
        </w:tc>
        <w:tc>
          <w:tcPr>
            <w:tcW w:w="879" w:type="dxa"/>
            <w:shd w:val="clear" w:color="auto" w:fill="B8CCE4" w:themeFill="accent1" w:themeFillTint="66"/>
            <w:vAlign w:val="center"/>
          </w:tcPr>
          <w:p w:rsidR="00F309BD" w:rsidRPr="00416654" w:rsidRDefault="00F309BD" w:rsidP="00F309BD">
            <w:pPr>
              <w:jc w:val="center"/>
              <w:rPr>
                <w:b/>
                <w:sz w:val="18"/>
                <w:lang w:val="es-MX"/>
              </w:rPr>
            </w:pPr>
            <w:r w:rsidRPr="00416654">
              <w:rPr>
                <w:b/>
                <w:sz w:val="18"/>
                <w:lang w:val="es-MX"/>
              </w:rPr>
              <w:t>Línea base (2013)</w:t>
            </w:r>
          </w:p>
        </w:tc>
        <w:tc>
          <w:tcPr>
            <w:tcW w:w="1559" w:type="dxa"/>
            <w:shd w:val="clear" w:color="auto" w:fill="B8CCE4" w:themeFill="accent1" w:themeFillTint="66"/>
            <w:vAlign w:val="center"/>
          </w:tcPr>
          <w:p w:rsidR="00F309BD" w:rsidRPr="00416654" w:rsidRDefault="00F309BD" w:rsidP="00F309BD">
            <w:pPr>
              <w:jc w:val="center"/>
              <w:rPr>
                <w:b/>
                <w:sz w:val="18"/>
                <w:lang w:val="es-MX"/>
              </w:rPr>
            </w:pPr>
            <w:r w:rsidRPr="00416654">
              <w:rPr>
                <w:b/>
                <w:sz w:val="18"/>
                <w:lang w:val="es-MX"/>
              </w:rPr>
              <w:t>Medio de Verificación</w:t>
            </w:r>
          </w:p>
        </w:tc>
        <w:tc>
          <w:tcPr>
            <w:tcW w:w="1729" w:type="dxa"/>
            <w:gridSpan w:val="2"/>
            <w:shd w:val="clear" w:color="auto" w:fill="B8CCE4" w:themeFill="accent1" w:themeFillTint="66"/>
            <w:vAlign w:val="center"/>
          </w:tcPr>
          <w:p w:rsidR="00F309BD" w:rsidRPr="00416654" w:rsidRDefault="00883A0A" w:rsidP="00F309BD">
            <w:pPr>
              <w:jc w:val="center"/>
              <w:rPr>
                <w:b/>
                <w:sz w:val="18"/>
                <w:lang w:val="es-MX"/>
              </w:rPr>
            </w:pPr>
            <w:r>
              <w:rPr>
                <w:b/>
                <w:sz w:val="18"/>
                <w:lang w:val="es-MX"/>
              </w:rPr>
              <w:t>Avance a la m</w:t>
            </w:r>
            <w:r w:rsidR="00F309BD" w:rsidRPr="00416654">
              <w:rPr>
                <w:b/>
                <w:sz w:val="18"/>
                <w:lang w:val="es-MX"/>
              </w:rPr>
              <w:t>eta</w:t>
            </w:r>
          </w:p>
          <w:p w:rsidR="00FE5173" w:rsidRPr="00416654" w:rsidRDefault="00FE5173" w:rsidP="00F309BD">
            <w:pPr>
              <w:jc w:val="center"/>
              <w:rPr>
                <w:b/>
                <w:sz w:val="18"/>
                <w:lang w:val="es-MX"/>
              </w:rPr>
            </w:pPr>
            <w:r w:rsidRPr="00416654">
              <w:rPr>
                <w:b/>
                <w:sz w:val="18"/>
                <w:lang w:val="es-MX"/>
              </w:rPr>
              <w:t>2018</w:t>
            </w:r>
          </w:p>
        </w:tc>
        <w:tc>
          <w:tcPr>
            <w:tcW w:w="1117" w:type="dxa"/>
            <w:shd w:val="clear" w:color="auto" w:fill="B8CCE4" w:themeFill="accent1" w:themeFillTint="66"/>
            <w:vAlign w:val="center"/>
          </w:tcPr>
          <w:p w:rsidR="00F309BD" w:rsidRPr="00416654" w:rsidRDefault="00F309BD">
            <w:pPr>
              <w:jc w:val="center"/>
              <w:rPr>
                <w:b/>
                <w:sz w:val="18"/>
                <w:lang w:val="es-MX"/>
              </w:rPr>
            </w:pPr>
            <w:r w:rsidRPr="00416654">
              <w:rPr>
                <w:b/>
                <w:sz w:val="18"/>
                <w:lang w:val="es-MX"/>
              </w:rPr>
              <w:t>Fecha</w:t>
            </w:r>
          </w:p>
        </w:tc>
      </w:tr>
      <w:tr w:rsidR="00F309BD" w:rsidRPr="00883A0A" w:rsidTr="00F309BD">
        <w:tc>
          <w:tcPr>
            <w:tcW w:w="9254" w:type="dxa"/>
            <w:gridSpan w:val="7"/>
            <w:vAlign w:val="center"/>
          </w:tcPr>
          <w:p w:rsidR="00F309BD" w:rsidRPr="006640BF" w:rsidRDefault="00F309BD" w:rsidP="00F309BD">
            <w:pPr>
              <w:rPr>
                <w:smallCaps/>
                <w:sz w:val="18"/>
                <w:lang w:val="es-MX"/>
              </w:rPr>
            </w:pPr>
            <w:r w:rsidRPr="006640BF">
              <w:rPr>
                <w:smallCaps/>
                <w:sz w:val="18"/>
                <w:lang w:val="es-MX"/>
              </w:rPr>
              <w:t>Impacto #1: Mitigación del Cambio Climático</w:t>
            </w:r>
          </w:p>
        </w:tc>
      </w:tr>
      <w:tr w:rsidR="00F92F61" w:rsidRPr="006640BF" w:rsidTr="00F309BD">
        <w:tc>
          <w:tcPr>
            <w:tcW w:w="2836" w:type="dxa"/>
            <w:vMerge w:val="restart"/>
            <w:vAlign w:val="center"/>
          </w:tcPr>
          <w:p w:rsidR="00F92F61" w:rsidRPr="006640BF" w:rsidRDefault="00F92F61" w:rsidP="00F309BD">
            <w:pPr>
              <w:jc w:val="left"/>
              <w:rPr>
                <w:sz w:val="18"/>
                <w:lang w:val="es-MX"/>
              </w:rPr>
            </w:pPr>
            <w:r w:rsidRPr="006640BF">
              <w:rPr>
                <w:sz w:val="18"/>
                <w:lang w:val="es-MX"/>
              </w:rPr>
              <w:t>Indicador #1: CO2 evitado a través del Programa</w:t>
            </w:r>
          </w:p>
        </w:tc>
        <w:tc>
          <w:tcPr>
            <w:tcW w:w="1134" w:type="dxa"/>
            <w:vMerge w:val="restart"/>
            <w:vAlign w:val="center"/>
          </w:tcPr>
          <w:p w:rsidR="00F92F61" w:rsidRPr="006640BF" w:rsidRDefault="00F92F61" w:rsidP="00F309BD">
            <w:pPr>
              <w:jc w:val="center"/>
              <w:rPr>
                <w:sz w:val="18"/>
                <w:lang w:val="es-MX"/>
              </w:rPr>
            </w:pPr>
            <w:proofErr w:type="spellStart"/>
            <w:r>
              <w:rPr>
                <w:sz w:val="18"/>
                <w:lang w:val="es-MX"/>
              </w:rPr>
              <w:t>k</w:t>
            </w:r>
            <w:r w:rsidRPr="006640BF">
              <w:rPr>
                <w:sz w:val="18"/>
                <w:lang w:val="es-MX"/>
              </w:rPr>
              <w:t>ton</w:t>
            </w:r>
            <w:proofErr w:type="spellEnd"/>
            <w:r w:rsidRPr="006640BF">
              <w:rPr>
                <w:sz w:val="18"/>
                <w:lang w:val="es-MX"/>
              </w:rPr>
              <w:t xml:space="preserve"> CO2</w:t>
            </w:r>
            <w:r w:rsidRPr="006640BF">
              <w:rPr>
                <w:sz w:val="18"/>
                <w:vertAlign w:val="subscript"/>
                <w:lang w:val="es-MX"/>
              </w:rPr>
              <w:t>eq</w:t>
            </w:r>
            <w:r w:rsidRPr="006640BF">
              <w:rPr>
                <w:sz w:val="18"/>
                <w:lang w:val="es-MX"/>
              </w:rPr>
              <w:t xml:space="preserve"> por año</w:t>
            </w:r>
          </w:p>
        </w:tc>
        <w:tc>
          <w:tcPr>
            <w:tcW w:w="879" w:type="dxa"/>
            <w:vMerge w:val="restart"/>
            <w:vAlign w:val="center"/>
          </w:tcPr>
          <w:p w:rsidR="00F92F61" w:rsidRPr="00703A9A" w:rsidRDefault="00703A9A">
            <w:pPr>
              <w:jc w:val="center"/>
              <w:rPr>
                <w:sz w:val="18"/>
                <w:szCs w:val="18"/>
                <w:lang w:val="es-MX"/>
              </w:rPr>
            </w:pPr>
            <w:r w:rsidRPr="00703A9A">
              <w:rPr>
                <w:sz w:val="18"/>
                <w:szCs w:val="18"/>
                <w:lang w:val="es-MX"/>
              </w:rPr>
              <w:t>3.015</w:t>
            </w:r>
            <w:r w:rsidRPr="00703A9A">
              <w:rPr>
                <w:rStyle w:val="FootnoteReference"/>
                <w:sz w:val="18"/>
                <w:szCs w:val="18"/>
                <w:lang w:val="es-MX"/>
              </w:rPr>
              <w:footnoteReference w:id="14"/>
            </w:r>
          </w:p>
        </w:tc>
        <w:tc>
          <w:tcPr>
            <w:tcW w:w="1559" w:type="dxa"/>
            <w:vMerge w:val="restart"/>
            <w:vAlign w:val="center"/>
          </w:tcPr>
          <w:p w:rsidR="00F92F61" w:rsidRPr="006640BF" w:rsidRDefault="00F92F61" w:rsidP="00416654">
            <w:pPr>
              <w:jc w:val="left"/>
              <w:rPr>
                <w:sz w:val="18"/>
                <w:lang w:val="es-MX"/>
              </w:rPr>
            </w:pPr>
            <w:r w:rsidRPr="00164A31">
              <w:rPr>
                <w:sz w:val="18"/>
                <w:lang w:val="es-MX"/>
              </w:rPr>
              <w:t>Informe de avance del proyecto</w:t>
            </w:r>
          </w:p>
        </w:tc>
        <w:tc>
          <w:tcPr>
            <w:tcW w:w="851" w:type="dxa"/>
          </w:tcPr>
          <w:p w:rsidR="00F92F61" w:rsidRPr="006640BF" w:rsidRDefault="00F92F61" w:rsidP="00F309BD">
            <w:pPr>
              <w:rPr>
                <w:sz w:val="18"/>
                <w:lang w:val="es-MX"/>
              </w:rPr>
            </w:pPr>
            <w:r w:rsidRPr="006640BF">
              <w:rPr>
                <w:sz w:val="18"/>
                <w:lang w:val="es-MX"/>
              </w:rPr>
              <w:t>Prevista</w:t>
            </w:r>
          </w:p>
        </w:tc>
        <w:tc>
          <w:tcPr>
            <w:tcW w:w="878" w:type="dxa"/>
          </w:tcPr>
          <w:p w:rsidR="00F92F61" w:rsidRPr="006640BF" w:rsidRDefault="00703A9A" w:rsidP="00F309BD">
            <w:pPr>
              <w:jc w:val="center"/>
              <w:rPr>
                <w:sz w:val="18"/>
                <w:lang w:val="es-MX"/>
              </w:rPr>
            </w:pPr>
            <w:r>
              <w:rPr>
                <w:sz w:val="18"/>
                <w:lang w:val="es-MX"/>
              </w:rPr>
              <w:t>443</w:t>
            </w:r>
          </w:p>
        </w:tc>
        <w:tc>
          <w:tcPr>
            <w:tcW w:w="1117" w:type="dxa"/>
          </w:tcPr>
          <w:p w:rsidR="00F92F61" w:rsidRPr="006640BF" w:rsidRDefault="00F92F61" w:rsidP="00F309BD">
            <w:pPr>
              <w:rPr>
                <w:sz w:val="18"/>
                <w:lang w:val="es-MX"/>
              </w:rPr>
            </w:pPr>
            <w:r w:rsidRPr="006640BF">
              <w:rPr>
                <w:sz w:val="18"/>
                <w:lang w:val="es-MX"/>
              </w:rPr>
              <w:t>31 Jul 2014</w:t>
            </w:r>
          </w:p>
        </w:tc>
      </w:tr>
      <w:tr w:rsidR="00F92F61" w:rsidRPr="006640BF" w:rsidTr="00416654">
        <w:tc>
          <w:tcPr>
            <w:tcW w:w="2836" w:type="dxa"/>
            <w:vMerge/>
          </w:tcPr>
          <w:p w:rsidR="00F92F61" w:rsidRPr="006640BF" w:rsidRDefault="00F92F61" w:rsidP="00F309BD">
            <w:pPr>
              <w:rPr>
                <w:sz w:val="18"/>
                <w:lang w:val="es-MX"/>
              </w:rPr>
            </w:pPr>
          </w:p>
        </w:tc>
        <w:tc>
          <w:tcPr>
            <w:tcW w:w="1134" w:type="dxa"/>
            <w:vMerge/>
          </w:tcPr>
          <w:p w:rsidR="00F92F61" w:rsidRPr="006640BF" w:rsidRDefault="00F92F61" w:rsidP="00F309BD">
            <w:pPr>
              <w:rPr>
                <w:sz w:val="18"/>
                <w:lang w:val="es-MX"/>
              </w:rPr>
            </w:pPr>
          </w:p>
        </w:tc>
        <w:tc>
          <w:tcPr>
            <w:tcW w:w="879" w:type="dxa"/>
            <w:vMerge/>
          </w:tcPr>
          <w:p w:rsidR="00F92F61" w:rsidRPr="006640BF" w:rsidRDefault="00F92F61" w:rsidP="00F309BD">
            <w:pPr>
              <w:rPr>
                <w:sz w:val="18"/>
                <w:lang w:val="es-MX"/>
              </w:rPr>
            </w:pPr>
          </w:p>
        </w:tc>
        <w:tc>
          <w:tcPr>
            <w:tcW w:w="1559" w:type="dxa"/>
            <w:vMerge/>
          </w:tcPr>
          <w:p w:rsidR="00F92F61" w:rsidRPr="006640BF" w:rsidRDefault="00F92F61" w:rsidP="00F309BD">
            <w:pPr>
              <w:rPr>
                <w:sz w:val="18"/>
                <w:lang w:val="es-MX"/>
              </w:rPr>
            </w:pPr>
          </w:p>
        </w:tc>
        <w:tc>
          <w:tcPr>
            <w:tcW w:w="851" w:type="dxa"/>
          </w:tcPr>
          <w:p w:rsidR="00F92F61" w:rsidRPr="006640BF" w:rsidRDefault="00F92F61" w:rsidP="00F309BD">
            <w:pPr>
              <w:rPr>
                <w:sz w:val="18"/>
                <w:lang w:val="es-MX"/>
              </w:rPr>
            </w:pPr>
            <w:r w:rsidRPr="006640BF">
              <w:rPr>
                <w:sz w:val="18"/>
                <w:lang w:val="es-MX"/>
              </w:rPr>
              <w:t>Lograda</w:t>
            </w:r>
          </w:p>
        </w:tc>
        <w:tc>
          <w:tcPr>
            <w:tcW w:w="878" w:type="dxa"/>
          </w:tcPr>
          <w:p w:rsidR="00F92F61" w:rsidRPr="00703A9A" w:rsidRDefault="00703A9A">
            <w:pPr>
              <w:jc w:val="center"/>
              <w:rPr>
                <w:sz w:val="18"/>
                <w:szCs w:val="18"/>
                <w:lang w:val="es-MX"/>
              </w:rPr>
            </w:pPr>
            <w:r w:rsidRPr="00703A9A">
              <w:rPr>
                <w:sz w:val="18"/>
                <w:szCs w:val="18"/>
                <w:lang w:val="es-MX"/>
              </w:rPr>
              <w:t>3.049</w:t>
            </w:r>
            <w:r w:rsidRPr="00703A9A">
              <w:rPr>
                <w:rStyle w:val="FootnoteReference"/>
                <w:sz w:val="18"/>
                <w:szCs w:val="18"/>
                <w:lang w:val="es-MX"/>
              </w:rPr>
              <w:footnoteReference w:id="15"/>
            </w:r>
          </w:p>
        </w:tc>
        <w:tc>
          <w:tcPr>
            <w:tcW w:w="1117" w:type="dxa"/>
            <w:vAlign w:val="center"/>
          </w:tcPr>
          <w:p w:rsidR="00F92F61" w:rsidRPr="006640BF" w:rsidRDefault="00F92F61" w:rsidP="00F309BD">
            <w:pPr>
              <w:rPr>
                <w:sz w:val="18"/>
                <w:lang w:val="es-MX"/>
              </w:rPr>
            </w:pPr>
            <w:r w:rsidRPr="006640BF">
              <w:rPr>
                <w:sz w:val="18"/>
                <w:lang w:val="es-MX"/>
              </w:rPr>
              <w:t>30 Mar 2015</w:t>
            </w:r>
          </w:p>
        </w:tc>
      </w:tr>
      <w:tr w:rsidR="00116CDA" w:rsidRPr="00883A0A" w:rsidTr="00416654">
        <w:tc>
          <w:tcPr>
            <w:tcW w:w="9254" w:type="dxa"/>
            <w:gridSpan w:val="7"/>
            <w:tcBorders>
              <w:bottom w:val="single" w:sz="4" w:space="0" w:color="auto"/>
            </w:tcBorders>
          </w:tcPr>
          <w:p w:rsidR="00116CDA" w:rsidRPr="00416654" w:rsidRDefault="00116CDA" w:rsidP="00F309BD">
            <w:pPr>
              <w:rPr>
                <w:b/>
                <w:smallCaps/>
                <w:sz w:val="18"/>
                <w:lang w:val="es-MX"/>
              </w:rPr>
            </w:pPr>
            <w:r w:rsidRPr="00416654">
              <w:rPr>
                <w:b/>
                <w:smallCaps/>
                <w:sz w:val="18"/>
                <w:lang w:val="es-MX"/>
              </w:rPr>
              <w:t>Impacto #2: Eficiencia en la Distribución</w:t>
            </w:r>
          </w:p>
        </w:tc>
      </w:tr>
      <w:tr w:rsidR="00AF0638" w:rsidRPr="006640BF" w:rsidTr="00416654">
        <w:tc>
          <w:tcPr>
            <w:tcW w:w="2836" w:type="dxa"/>
            <w:vMerge w:val="restart"/>
            <w:tcBorders>
              <w:top w:val="single" w:sz="4" w:space="0" w:color="auto"/>
              <w:left w:val="single" w:sz="4" w:space="0" w:color="auto"/>
              <w:bottom w:val="single" w:sz="4" w:space="0" w:color="auto"/>
              <w:right w:val="single" w:sz="4" w:space="0" w:color="auto"/>
            </w:tcBorders>
            <w:vAlign w:val="center"/>
          </w:tcPr>
          <w:p w:rsidR="00AF0638" w:rsidRPr="006640BF" w:rsidRDefault="00AF0638" w:rsidP="00F309BD">
            <w:pPr>
              <w:jc w:val="left"/>
              <w:rPr>
                <w:sz w:val="18"/>
                <w:lang w:val="es-MX"/>
              </w:rPr>
            </w:pPr>
            <w:r w:rsidRPr="006640BF">
              <w:rPr>
                <w:sz w:val="18"/>
                <w:lang w:val="es-MX"/>
              </w:rPr>
              <w:t>Indicador #2: Nivel de pérdidas eléctricas promedio en el SND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F0638" w:rsidRPr="006640BF" w:rsidRDefault="00AF0638" w:rsidP="00F309BD">
            <w:pPr>
              <w:jc w:val="center"/>
              <w:rPr>
                <w:sz w:val="18"/>
                <w:lang w:val="es-MX"/>
              </w:rPr>
            </w:pPr>
            <w:r w:rsidRPr="006640BF">
              <w:rPr>
                <w:sz w:val="18"/>
                <w:lang w:val="es-MX"/>
              </w:rPr>
              <w:t>porcentaje</w:t>
            </w:r>
          </w:p>
        </w:tc>
        <w:tc>
          <w:tcPr>
            <w:tcW w:w="879" w:type="dxa"/>
            <w:vMerge w:val="restart"/>
            <w:tcBorders>
              <w:top w:val="single" w:sz="4" w:space="0" w:color="auto"/>
              <w:left w:val="single" w:sz="4" w:space="0" w:color="auto"/>
              <w:bottom w:val="single" w:sz="4" w:space="0" w:color="auto"/>
              <w:right w:val="single" w:sz="4" w:space="0" w:color="auto"/>
            </w:tcBorders>
            <w:vAlign w:val="center"/>
          </w:tcPr>
          <w:p w:rsidR="00AF0638" w:rsidRPr="006640BF" w:rsidRDefault="00AF0638" w:rsidP="00F309BD">
            <w:pPr>
              <w:jc w:val="center"/>
              <w:rPr>
                <w:sz w:val="18"/>
                <w:lang w:val="es-MX"/>
              </w:rPr>
            </w:pPr>
            <w:r w:rsidRPr="006640BF">
              <w:rPr>
                <w:sz w:val="18"/>
                <w:lang w:val="es-MX"/>
              </w:rPr>
              <w:t>12.7</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AF0638" w:rsidRPr="006640BF" w:rsidRDefault="00AF0638" w:rsidP="00416654">
            <w:pPr>
              <w:jc w:val="left"/>
              <w:rPr>
                <w:sz w:val="18"/>
                <w:lang w:val="es-MX"/>
              </w:rPr>
            </w:pPr>
            <w:r w:rsidRPr="00164A31">
              <w:rPr>
                <w:sz w:val="18"/>
                <w:lang w:val="es-MX"/>
              </w:rPr>
              <w:t>Informe de avance del proyecto</w:t>
            </w:r>
          </w:p>
        </w:tc>
        <w:tc>
          <w:tcPr>
            <w:tcW w:w="851" w:type="dxa"/>
            <w:tcBorders>
              <w:top w:val="single" w:sz="4" w:space="0" w:color="auto"/>
              <w:left w:val="single" w:sz="4" w:space="0" w:color="auto"/>
              <w:bottom w:val="single" w:sz="4" w:space="0" w:color="auto"/>
              <w:right w:val="single" w:sz="4" w:space="0" w:color="auto"/>
            </w:tcBorders>
          </w:tcPr>
          <w:p w:rsidR="00AF0638" w:rsidRPr="006640BF" w:rsidRDefault="00AF0638" w:rsidP="00F309BD">
            <w:pPr>
              <w:rPr>
                <w:sz w:val="18"/>
                <w:lang w:val="es-MX"/>
              </w:rPr>
            </w:pPr>
            <w:r w:rsidRPr="006640BF">
              <w:rPr>
                <w:sz w:val="18"/>
                <w:lang w:val="es-MX"/>
              </w:rPr>
              <w:t>Prevista</w:t>
            </w:r>
          </w:p>
        </w:tc>
        <w:tc>
          <w:tcPr>
            <w:tcW w:w="878" w:type="dxa"/>
            <w:tcBorders>
              <w:top w:val="single" w:sz="4" w:space="0" w:color="auto"/>
              <w:left w:val="single" w:sz="4" w:space="0" w:color="auto"/>
              <w:bottom w:val="single" w:sz="4" w:space="0" w:color="auto"/>
              <w:right w:val="single" w:sz="4" w:space="0" w:color="auto"/>
            </w:tcBorders>
          </w:tcPr>
          <w:p w:rsidR="00AF0638" w:rsidRPr="006640BF" w:rsidRDefault="00AF0638" w:rsidP="00F309BD">
            <w:pPr>
              <w:jc w:val="center"/>
              <w:rPr>
                <w:sz w:val="18"/>
                <w:lang w:val="es-MX"/>
              </w:rPr>
            </w:pPr>
            <w:r w:rsidRPr="006640BF">
              <w:rPr>
                <w:sz w:val="18"/>
                <w:lang w:val="es-MX"/>
              </w:rPr>
              <w:t>11.4</w:t>
            </w:r>
          </w:p>
        </w:tc>
        <w:tc>
          <w:tcPr>
            <w:tcW w:w="1117" w:type="dxa"/>
            <w:tcBorders>
              <w:top w:val="single" w:sz="4" w:space="0" w:color="auto"/>
              <w:left w:val="single" w:sz="4" w:space="0" w:color="auto"/>
              <w:bottom w:val="single" w:sz="4" w:space="0" w:color="auto"/>
              <w:right w:val="single" w:sz="4" w:space="0" w:color="auto"/>
            </w:tcBorders>
          </w:tcPr>
          <w:p w:rsidR="00AF0638" w:rsidRPr="006640BF" w:rsidRDefault="00AF0638" w:rsidP="00F309BD">
            <w:pPr>
              <w:rPr>
                <w:sz w:val="18"/>
                <w:lang w:val="es-MX"/>
              </w:rPr>
            </w:pPr>
            <w:r w:rsidRPr="006640BF">
              <w:rPr>
                <w:sz w:val="18"/>
                <w:lang w:val="es-MX"/>
              </w:rPr>
              <w:t>31 Jul 2014</w:t>
            </w:r>
          </w:p>
        </w:tc>
      </w:tr>
      <w:tr w:rsidR="00AF0638" w:rsidRPr="006640BF" w:rsidTr="00416654">
        <w:tc>
          <w:tcPr>
            <w:tcW w:w="2836" w:type="dxa"/>
            <w:vMerge/>
            <w:tcBorders>
              <w:top w:val="single" w:sz="4" w:space="0" w:color="auto"/>
              <w:left w:val="single" w:sz="4" w:space="0" w:color="auto"/>
              <w:bottom w:val="single" w:sz="4" w:space="0" w:color="auto"/>
              <w:right w:val="single" w:sz="4" w:space="0" w:color="auto"/>
            </w:tcBorders>
          </w:tcPr>
          <w:p w:rsidR="00AF0638" w:rsidRPr="006640BF" w:rsidRDefault="00AF0638" w:rsidP="00F309BD">
            <w:pPr>
              <w:rPr>
                <w:sz w:val="18"/>
                <w:lang w:val="es-MX"/>
              </w:rPr>
            </w:pPr>
          </w:p>
        </w:tc>
        <w:tc>
          <w:tcPr>
            <w:tcW w:w="1134" w:type="dxa"/>
            <w:vMerge/>
            <w:tcBorders>
              <w:top w:val="single" w:sz="4" w:space="0" w:color="auto"/>
              <w:left w:val="single" w:sz="4" w:space="0" w:color="auto"/>
              <w:bottom w:val="single" w:sz="4" w:space="0" w:color="auto"/>
              <w:right w:val="single" w:sz="4" w:space="0" w:color="auto"/>
            </w:tcBorders>
          </w:tcPr>
          <w:p w:rsidR="00AF0638" w:rsidRPr="006640BF" w:rsidRDefault="00AF0638" w:rsidP="00F309BD">
            <w:pPr>
              <w:rPr>
                <w:sz w:val="18"/>
                <w:lang w:val="es-MX"/>
              </w:rPr>
            </w:pPr>
          </w:p>
        </w:tc>
        <w:tc>
          <w:tcPr>
            <w:tcW w:w="879" w:type="dxa"/>
            <w:vMerge/>
            <w:tcBorders>
              <w:top w:val="single" w:sz="4" w:space="0" w:color="auto"/>
              <w:left w:val="single" w:sz="4" w:space="0" w:color="auto"/>
              <w:bottom w:val="single" w:sz="4" w:space="0" w:color="auto"/>
              <w:right w:val="single" w:sz="4" w:space="0" w:color="auto"/>
            </w:tcBorders>
          </w:tcPr>
          <w:p w:rsidR="00AF0638" w:rsidRPr="006640BF" w:rsidRDefault="00AF0638" w:rsidP="00F309BD">
            <w:pPr>
              <w:rPr>
                <w:sz w:val="18"/>
                <w:lang w:val="es-MX"/>
              </w:rPr>
            </w:pPr>
          </w:p>
        </w:tc>
        <w:tc>
          <w:tcPr>
            <w:tcW w:w="1559" w:type="dxa"/>
            <w:vMerge/>
            <w:tcBorders>
              <w:top w:val="single" w:sz="4" w:space="0" w:color="auto"/>
              <w:left w:val="single" w:sz="4" w:space="0" w:color="auto"/>
              <w:bottom w:val="single" w:sz="4" w:space="0" w:color="auto"/>
              <w:right w:val="single" w:sz="4" w:space="0" w:color="auto"/>
            </w:tcBorders>
          </w:tcPr>
          <w:p w:rsidR="00AF0638" w:rsidRPr="006640BF" w:rsidRDefault="00AF0638" w:rsidP="00F309BD">
            <w:pPr>
              <w:rPr>
                <w:sz w:val="18"/>
                <w:lang w:val="es-MX"/>
              </w:rPr>
            </w:pPr>
          </w:p>
        </w:tc>
        <w:tc>
          <w:tcPr>
            <w:tcW w:w="851" w:type="dxa"/>
            <w:tcBorders>
              <w:top w:val="single" w:sz="4" w:space="0" w:color="auto"/>
              <w:left w:val="single" w:sz="4" w:space="0" w:color="auto"/>
              <w:bottom w:val="single" w:sz="4" w:space="0" w:color="auto"/>
              <w:right w:val="single" w:sz="4" w:space="0" w:color="auto"/>
            </w:tcBorders>
          </w:tcPr>
          <w:p w:rsidR="00AF0638" w:rsidRPr="006640BF" w:rsidRDefault="00AF0638" w:rsidP="00F309BD">
            <w:pPr>
              <w:rPr>
                <w:sz w:val="18"/>
                <w:lang w:val="es-MX"/>
              </w:rPr>
            </w:pPr>
            <w:r w:rsidRPr="006640BF">
              <w:rPr>
                <w:sz w:val="18"/>
                <w:lang w:val="es-MX"/>
              </w:rPr>
              <w:t>Lograda</w:t>
            </w:r>
          </w:p>
        </w:tc>
        <w:tc>
          <w:tcPr>
            <w:tcW w:w="878" w:type="dxa"/>
            <w:tcBorders>
              <w:top w:val="single" w:sz="4" w:space="0" w:color="auto"/>
              <w:left w:val="single" w:sz="4" w:space="0" w:color="auto"/>
              <w:bottom w:val="single" w:sz="4" w:space="0" w:color="auto"/>
              <w:right w:val="single" w:sz="4" w:space="0" w:color="auto"/>
            </w:tcBorders>
          </w:tcPr>
          <w:p w:rsidR="00AF0638" w:rsidRPr="006640BF" w:rsidRDefault="00AF0638">
            <w:pPr>
              <w:jc w:val="center"/>
              <w:rPr>
                <w:sz w:val="18"/>
                <w:lang w:val="es-MX"/>
              </w:rPr>
            </w:pPr>
            <w:r w:rsidRPr="006640BF">
              <w:rPr>
                <w:sz w:val="18"/>
                <w:lang w:val="es-MX"/>
              </w:rPr>
              <w:t>1</w:t>
            </w:r>
            <w:r>
              <w:rPr>
                <w:sz w:val="18"/>
                <w:lang w:val="es-MX"/>
              </w:rPr>
              <w:t>2</w:t>
            </w:r>
            <w:r w:rsidRPr="006640BF">
              <w:rPr>
                <w:sz w:val="18"/>
                <w:lang w:val="es-MX"/>
              </w:rPr>
              <w:t>.</w:t>
            </w:r>
            <w:r w:rsidR="00FE5173">
              <w:rPr>
                <w:sz w:val="18"/>
                <w:lang w:val="es-MX"/>
              </w:rPr>
              <w:t>22</w:t>
            </w:r>
          </w:p>
        </w:tc>
        <w:tc>
          <w:tcPr>
            <w:tcW w:w="1117" w:type="dxa"/>
            <w:tcBorders>
              <w:top w:val="single" w:sz="4" w:space="0" w:color="auto"/>
              <w:left w:val="single" w:sz="4" w:space="0" w:color="auto"/>
              <w:bottom w:val="single" w:sz="4" w:space="0" w:color="auto"/>
              <w:right w:val="single" w:sz="4" w:space="0" w:color="auto"/>
            </w:tcBorders>
            <w:vAlign w:val="center"/>
          </w:tcPr>
          <w:p w:rsidR="00AF0638" w:rsidRPr="006640BF" w:rsidRDefault="00AF0638" w:rsidP="00F309BD">
            <w:pPr>
              <w:rPr>
                <w:sz w:val="18"/>
                <w:lang w:val="es-MX"/>
              </w:rPr>
            </w:pPr>
            <w:r w:rsidRPr="006640BF">
              <w:rPr>
                <w:sz w:val="18"/>
                <w:lang w:val="es-MX"/>
              </w:rPr>
              <w:t>30 Mar 2015</w:t>
            </w:r>
          </w:p>
        </w:tc>
      </w:tr>
    </w:tbl>
    <w:p w:rsidR="00F309BD" w:rsidRPr="00164A31" w:rsidRDefault="00F309BD" w:rsidP="00F309BD">
      <w:pPr>
        <w:rPr>
          <w:lang w:val="es-MX"/>
        </w:rPr>
      </w:pPr>
    </w:p>
    <w:p w:rsidR="00696247" w:rsidRDefault="00CF3A42">
      <w:pPr>
        <w:rPr>
          <w:lang w:val="es-MX"/>
        </w:rPr>
      </w:pPr>
      <w:r>
        <w:rPr>
          <w:i/>
          <w:lang w:val="es-MX"/>
        </w:rPr>
        <w:t>Análisis</w:t>
      </w:r>
      <w:r w:rsidR="00FE270D">
        <w:rPr>
          <w:i/>
          <w:lang w:val="es-MX"/>
        </w:rPr>
        <w:t xml:space="preserve"> de atribución de resultados</w:t>
      </w:r>
      <w:r w:rsidR="00696247">
        <w:rPr>
          <w:lang w:val="es-MX"/>
        </w:rPr>
        <w:t xml:space="preserve">: Los cambios </w:t>
      </w:r>
      <w:r w:rsidR="00555CA0">
        <w:rPr>
          <w:lang w:val="es-MX"/>
        </w:rPr>
        <w:t>observados</w:t>
      </w:r>
      <w:r w:rsidR="00696247">
        <w:rPr>
          <w:lang w:val="es-MX"/>
        </w:rPr>
        <w:t xml:space="preserve"> en la MR reflejada en el PMR contra la MR de diseño, </w:t>
      </w:r>
      <w:r w:rsidR="00555CA0">
        <w:rPr>
          <w:lang w:val="es-MX"/>
        </w:rPr>
        <w:t>contribuyen a reforzar el monitoreo de los productos. Los valores meta de los productos también fueron ajustados durante el taller de arranque en línea con los ajustes en los indicadores. Estos cambios no afectaron</w:t>
      </w:r>
      <w:r w:rsidR="00696247">
        <w:rPr>
          <w:lang w:val="es-MX"/>
        </w:rPr>
        <w:t xml:space="preserve"> la lógica vertical del programa, ni al avance de los indicadores evaluados a la fecha. Los cambios se dieron al inicio de la ejecución del programa y fueron validados por SPD.</w:t>
      </w:r>
    </w:p>
    <w:p w:rsidR="00EB1F80" w:rsidRDefault="00696247" w:rsidP="00416654">
      <w:pPr>
        <w:spacing w:before="120" w:after="120"/>
        <w:rPr>
          <w:lang w:val="es-MX"/>
        </w:rPr>
      </w:pPr>
      <w:r>
        <w:rPr>
          <w:lang w:val="es-MX"/>
        </w:rPr>
        <w:t xml:space="preserve">Todos los indicadores fueron medidos al 30 de marzo 2015, periodo considerado para la evaluación de medio término del programa. Los criterios de evaluación considerados durante el diseño, según lógica vertical de la MR se </w:t>
      </w:r>
      <w:r w:rsidR="00FE270D">
        <w:rPr>
          <w:lang w:val="es-MX"/>
        </w:rPr>
        <w:t>mantuvieron</w:t>
      </w:r>
      <w:r>
        <w:rPr>
          <w:lang w:val="es-MX"/>
        </w:rPr>
        <w:t xml:space="preserve"> durante esta evaluación. </w:t>
      </w:r>
    </w:p>
    <w:p w:rsidR="00FE270D" w:rsidRPr="00164A31" w:rsidRDefault="00FE270D" w:rsidP="00416654">
      <w:pPr>
        <w:spacing w:before="120" w:after="120"/>
        <w:rPr>
          <w:lang w:val="es-MX"/>
        </w:rPr>
      </w:pPr>
      <w:r>
        <w:rPr>
          <w:lang w:val="es-MX"/>
        </w:rPr>
        <w:t xml:space="preserve">El avance en los indicadores de resultados y de impacto a la fecha de esta evaluación, </w:t>
      </w:r>
      <w:r w:rsidR="0041313D">
        <w:rPr>
          <w:lang w:val="es-MX"/>
        </w:rPr>
        <w:t xml:space="preserve">está fuertemente relacionado con </w:t>
      </w:r>
      <w:r>
        <w:rPr>
          <w:lang w:val="es-MX"/>
        </w:rPr>
        <w:t>el avance en los indicadores de producto</w:t>
      </w:r>
      <w:r w:rsidR="0041313D">
        <w:rPr>
          <w:lang w:val="es-MX"/>
        </w:rPr>
        <w:t>. El reforzamiento del SND para operar a 220 volts, como productos del Componente I, contribuye de manera directa con la mejora de los indicadores de calidad del servicio (</w:t>
      </w:r>
      <w:proofErr w:type="spellStart"/>
      <w:r w:rsidR="0041313D">
        <w:rPr>
          <w:lang w:val="es-MX"/>
        </w:rPr>
        <w:t>FMik</w:t>
      </w:r>
      <w:proofErr w:type="spellEnd"/>
      <w:r w:rsidR="0041313D">
        <w:rPr>
          <w:lang w:val="es-MX"/>
        </w:rPr>
        <w:t xml:space="preserve">, </w:t>
      </w:r>
      <w:proofErr w:type="spellStart"/>
      <w:r w:rsidR="0041313D">
        <w:rPr>
          <w:lang w:val="es-MX"/>
        </w:rPr>
        <w:t>TTik</w:t>
      </w:r>
      <w:proofErr w:type="spellEnd"/>
      <w:r w:rsidR="0041313D">
        <w:rPr>
          <w:lang w:val="es-MX"/>
        </w:rPr>
        <w:t>), y en el avance del PNCE. El avance paralelo del PNCE a través del programa y por acciones adicionales</w:t>
      </w:r>
      <w:r w:rsidR="00E51930">
        <w:rPr>
          <w:lang w:val="es-MX"/>
        </w:rPr>
        <w:t xml:space="preserve"> implementadas por el </w:t>
      </w:r>
      <w:proofErr w:type="spellStart"/>
      <w:r w:rsidR="00E51930">
        <w:rPr>
          <w:lang w:val="es-MX"/>
        </w:rPr>
        <w:t>GdE</w:t>
      </w:r>
      <w:proofErr w:type="spellEnd"/>
      <w:r w:rsidR="0041313D">
        <w:rPr>
          <w:lang w:val="es-MX"/>
        </w:rPr>
        <w:t>, contribuyen con el avance en los indicadores de impacto de reducción de CO</w:t>
      </w:r>
      <w:r w:rsidR="0041313D" w:rsidRPr="00416654">
        <w:rPr>
          <w:vertAlign w:val="subscript"/>
          <w:lang w:val="es-MX"/>
        </w:rPr>
        <w:t>2</w:t>
      </w:r>
      <w:r w:rsidR="0041313D">
        <w:rPr>
          <w:lang w:val="es-MX"/>
        </w:rPr>
        <w:t xml:space="preserve"> y GLP, al migra</w:t>
      </w:r>
      <w:r w:rsidR="00367729">
        <w:rPr>
          <w:lang w:val="es-MX"/>
        </w:rPr>
        <w:t>r</w:t>
      </w:r>
      <w:r w:rsidR="0041313D">
        <w:rPr>
          <w:lang w:val="es-MX"/>
        </w:rPr>
        <w:t xml:space="preserve"> al uso de electricidad para la cocción de alimentos en los clientes residenciales. </w:t>
      </w:r>
    </w:p>
    <w:p w:rsidR="005F7ECF" w:rsidRPr="00416654" w:rsidRDefault="005F7ECF" w:rsidP="00416654">
      <w:pPr>
        <w:pStyle w:val="Heading2"/>
        <w:spacing w:before="120" w:after="120"/>
        <w:rPr>
          <w:b/>
          <w:lang w:val="es-MX"/>
        </w:rPr>
      </w:pPr>
      <w:bookmarkStart w:id="8" w:name="_Toc416868840"/>
      <w:r w:rsidRPr="00416654">
        <w:rPr>
          <w:b/>
          <w:lang w:val="es-MX"/>
        </w:rPr>
        <w:t>Eficiencia</w:t>
      </w:r>
      <w:bookmarkEnd w:id="8"/>
    </w:p>
    <w:p w:rsidR="00367729" w:rsidRDefault="00367729" w:rsidP="00016B21">
      <w:pPr>
        <w:rPr>
          <w:szCs w:val="24"/>
          <w:lang w:val="es-ES_tradnl"/>
        </w:rPr>
      </w:pPr>
      <w:r>
        <w:rPr>
          <w:szCs w:val="24"/>
          <w:lang w:val="es-ES_tradnl"/>
        </w:rPr>
        <w:t>La evaluación de medio término del programa no contempla una evaluación costo-beneficio. Según</w:t>
      </w:r>
      <w:r w:rsidR="00471344">
        <w:rPr>
          <w:szCs w:val="24"/>
          <w:lang w:val="es-ES_tradnl"/>
        </w:rPr>
        <w:t xml:space="preserve"> convenio de ejecución.</w:t>
      </w:r>
      <w:r>
        <w:rPr>
          <w:szCs w:val="24"/>
          <w:lang w:val="es-ES_tradnl"/>
        </w:rPr>
        <w:t xml:space="preserve"> </w:t>
      </w:r>
      <w:r w:rsidR="00471344">
        <w:rPr>
          <w:szCs w:val="24"/>
          <w:lang w:val="es-ES_tradnl"/>
        </w:rPr>
        <w:t>U</w:t>
      </w:r>
      <w:r>
        <w:rPr>
          <w:szCs w:val="24"/>
          <w:lang w:val="es-ES_tradnl"/>
        </w:rPr>
        <w:t xml:space="preserve">na evaluación costo beneficio </w:t>
      </w:r>
      <w:proofErr w:type="spellStart"/>
      <w:r w:rsidRPr="00416654">
        <w:rPr>
          <w:i/>
          <w:szCs w:val="24"/>
          <w:lang w:val="es-ES_tradnl"/>
        </w:rPr>
        <w:t>expost</w:t>
      </w:r>
      <w:proofErr w:type="spellEnd"/>
      <w:r>
        <w:rPr>
          <w:szCs w:val="24"/>
          <w:lang w:val="es-ES_tradnl"/>
        </w:rPr>
        <w:t xml:space="preserve"> se llevará a cabo al final del programa. Para evaluar la eficiencia en el avance del programa a la fecha, se analizó el avanece financiero del programa. </w:t>
      </w:r>
    </w:p>
    <w:p w:rsidR="00C11D63" w:rsidRDefault="00555CA0" w:rsidP="00416654">
      <w:pPr>
        <w:spacing w:before="120" w:after="120"/>
        <w:rPr>
          <w:szCs w:val="24"/>
          <w:lang w:val="es-ES_tradnl"/>
        </w:rPr>
      </w:pPr>
      <w:r w:rsidRPr="00600D7A">
        <w:rPr>
          <w:szCs w:val="24"/>
          <w:lang w:val="es-ES_tradnl"/>
        </w:rPr>
        <w:t>A marzo de 2015, se adjudicaron 599 contratos</w:t>
      </w:r>
      <w:r w:rsidR="00F8562F">
        <w:rPr>
          <w:rStyle w:val="FootnoteReference"/>
          <w:szCs w:val="24"/>
          <w:lang w:val="es-ES_tradnl"/>
        </w:rPr>
        <w:footnoteReference w:id="16"/>
      </w:r>
      <w:r w:rsidRPr="00600D7A">
        <w:rPr>
          <w:szCs w:val="24"/>
          <w:lang w:val="es-ES_tradnl"/>
        </w:rPr>
        <w:t xml:space="preserve"> de proyectos de reforzamiento por US$197,5 millones, de los cuales se han pagado US$93 millones </w:t>
      </w:r>
      <w:r w:rsidR="00C11D63">
        <w:rPr>
          <w:szCs w:val="24"/>
          <w:lang w:val="es-ES_tradnl"/>
        </w:rPr>
        <w:t>según avance de los productos del programa, incluyendo otros gastos</w:t>
      </w:r>
      <w:r w:rsidRPr="00600D7A">
        <w:rPr>
          <w:szCs w:val="24"/>
          <w:lang w:val="es-ES_tradnl"/>
        </w:rPr>
        <w:t xml:space="preserve">. </w:t>
      </w:r>
    </w:p>
    <w:p w:rsidR="00044A7D" w:rsidRPr="0021026D" w:rsidRDefault="00044A7D" w:rsidP="00044A7D">
      <w:pPr>
        <w:tabs>
          <w:tab w:val="left" w:pos="5340"/>
        </w:tabs>
        <w:spacing w:before="120" w:after="120"/>
        <w:jc w:val="center"/>
        <w:rPr>
          <w:b/>
          <w:lang w:val="es-MX"/>
        </w:rPr>
      </w:pPr>
      <w:r>
        <w:rPr>
          <w:b/>
          <w:lang w:val="es-MX"/>
        </w:rPr>
        <w:lastRenderedPageBreak/>
        <w:t>Tabla 3</w:t>
      </w:r>
      <w:r w:rsidRPr="0021026D">
        <w:rPr>
          <w:b/>
          <w:lang w:val="es-MX"/>
        </w:rPr>
        <w:t xml:space="preserve">- </w:t>
      </w:r>
      <w:r>
        <w:rPr>
          <w:b/>
          <w:lang w:val="es-MX"/>
        </w:rPr>
        <w:t>Avances financiero</w:t>
      </w:r>
    </w:p>
    <w:tbl>
      <w:tblPr>
        <w:tblStyle w:val="TableGrid"/>
        <w:tblW w:w="9682" w:type="dxa"/>
        <w:tblInd w:w="-85" w:type="dxa"/>
        <w:tblLayout w:type="fixed"/>
        <w:tblCellMar>
          <w:left w:w="57" w:type="dxa"/>
          <w:right w:w="57" w:type="dxa"/>
        </w:tblCellMar>
        <w:tblLook w:val="04A0" w:firstRow="1" w:lastRow="0" w:firstColumn="1" w:lastColumn="0" w:noHBand="0" w:noVBand="1"/>
      </w:tblPr>
      <w:tblGrid>
        <w:gridCol w:w="2122"/>
        <w:gridCol w:w="1080"/>
        <w:gridCol w:w="1440"/>
        <w:gridCol w:w="1800"/>
        <w:gridCol w:w="1620"/>
        <w:gridCol w:w="1620"/>
      </w:tblGrid>
      <w:tr w:rsidR="00DF04B5" w:rsidRPr="00883A0A" w:rsidTr="00416654">
        <w:trPr>
          <w:tblHeader/>
        </w:trPr>
        <w:tc>
          <w:tcPr>
            <w:tcW w:w="9682" w:type="dxa"/>
            <w:gridSpan w:val="6"/>
            <w:shd w:val="clear" w:color="auto" w:fill="C6D9F1" w:themeFill="text2" w:themeFillTint="33"/>
          </w:tcPr>
          <w:p w:rsidR="00DF04B5" w:rsidRPr="00164A31" w:rsidRDefault="00DF04B5">
            <w:pPr>
              <w:spacing w:before="120" w:after="120"/>
              <w:jc w:val="center"/>
              <w:rPr>
                <w:b/>
                <w:smallCaps/>
                <w:sz w:val="20"/>
                <w:lang w:val="es-MX"/>
              </w:rPr>
            </w:pPr>
            <w:r w:rsidRPr="00471344">
              <w:rPr>
                <w:b/>
                <w:smallCaps/>
                <w:sz w:val="20"/>
                <w:lang w:val="es-MX"/>
              </w:rPr>
              <w:t>Matriz de Resultados EC-L1136 – Ejecución Financiera</w:t>
            </w:r>
            <w:r w:rsidRPr="00164A31">
              <w:rPr>
                <w:b/>
                <w:smallCaps/>
                <w:sz w:val="20"/>
                <w:lang w:val="es-MX"/>
              </w:rPr>
              <w:t xml:space="preserve"> </w:t>
            </w:r>
          </w:p>
        </w:tc>
      </w:tr>
      <w:tr w:rsidR="00DF04B5" w:rsidRPr="00164A31" w:rsidTr="00416654">
        <w:trPr>
          <w:tblHeader/>
        </w:trPr>
        <w:tc>
          <w:tcPr>
            <w:tcW w:w="2122" w:type="dxa"/>
            <w:shd w:val="clear" w:color="auto" w:fill="C6D9F1" w:themeFill="text2" w:themeFillTint="33"/>
            <w:vAlign w:val="center"/>
          </w:tcPr>
          <w:p w:rsidR="00DF04B5" w:rsidRPr="00416654" w:rsidRDefault="00DF04B5" w:rsidP="00EF15A3">
            <w:pPr>
              <w:jc w:val="center"/>
              <w:rPr>
                <w:b/>
                <w:sz w:val="18"/>
                <w:lang w:val="es-MX"/>
              </w:rPr>
            </w:pPr>
            <w:r w:rsidRPr="00416654">
              <w:rPr>
                <w:b/>
                <w:sz w:val="18"/>
                <w:lang w:val="es-MX"/>
              </w:rPr>
              <w:t>Indicador</w:t>
            </w:r>
          </w:p>
        </w:tc>
        <w:tc>
          <w:tcPr>
            <w:tcW w:w="4320" w:type="dxa"/>
            <w:gridSpan w:val="3"/>
            <w:shd w:val="clear" w:color="auto" w:fill="C6D9F1" w:themeFill="text2" w:themeFillTint="33"/>
            <w:vAlign w:val="center"/>
          </w:tcPr>
          <w:p w:rsidR="00DF04B5" w:rsidRPr="00416654" w:rsidRDefault="00DF04B5">
            <w:pPr>
              <w:jc w:val="center"/>
              <w:rPr>
                <w:b/>
                <w:sz w:val="18"/>
                <w:lang w:val="es-MX"/>
              </w:rPr>
            </w:pPr>
            <w:r w:rsidRPr="00416654">
              <w:rPr>
                <w:b/>
                <w:sz w:val="18"/>
                <w:lang w:val="es-MX"/>
              </w:rPr>
              <w:t>Presupuesto (US$)</w:t>
            </w:r>
          </w:p>
        </w:tc>
        <w:tc>
          <w:tcPr>
            <w:tcW w:w="1620" w:type="dxa"/>
            <w:vMerge w:val="restart"/>
            <w:shd w:val="clear" w:color="auto" w:fill="C6D9F1" w:themeFill="text2" w:themeFillTint="33"/>
            <w:vAlign w:val="center"/>
          </w:tcPr>
          <w:p w:rsidR="00DF04B5" w:rsidRDefault="00883A0A">
            <w:pPr>
              <w:jc w:val="center"/>
              <w:rPr>
                <w:b/>
                <w:sz w:val="18"/>
                <w:lang w:val="es-MX"/>
              </w:rPr>
            </w:pPr>
            <w:r>
              <w:rPr>
                <w:b/>
                <w:sz w:val="18"/>
                <w:lang w:val="es-MX"/>
              </w:rPr>
              <w:t>Avance a la m</w:t>
            </w:r>
            <w:r w:rsidR="00DF04B5">
              <w:rPr>
                <w:b/>
                <w:sz w:val="18"/>
                <w:lang w:val="es-MX"/>
              </w:rPr>
              <w:t>eta</w:t>
            </w:r>
          </w:p>
          <w:p w:rsidR="00DF04B5" w:rsidRPr="00471344" w:rsidRDefault="00DF04B5">
            <w:pPr>
              <w:jc w:val="center"/>
              <w:rPr>
                <w:b/>
                <w:sz w:val="18"/>
                <w:lang w:val="es-MX"/>
              </w:rPr>
            </w:pPr>
            <w:r>
              <w:rPr>
                <w:b/>
                <w:sz w:val="18"/>
                <w:lang w:val="es-MX"/>
              </w:rPr>
              <w:t>2018</w:t>
            </w:r>
          </w:p>
        </w:tc>
        <w:tc>
          <w:tcPr>
            <w:tcW w:w="1620" w:type="dxa"/>
            <w:vMerge w:val="restart"/>
            <w:shd w:val="clear" w:color="auto" w:fill="C6D9F1" w:themeFill="text2" w:themeFillTint="33"/>
            <w:vAlign w:val="center"/>
          </w:tcPr>
          <w:p w:rsidR="00DF04B5" w:rsidRDefault="00DF04B5">
            <w:pPr>
              <w:jc w:val="center"/>
              <w:rPr>
                <w:b/>
                <w:sz w:val="18"/>
                <w:lang w:val="es-MX"/>
              </w:rPr>
            </w:pPr>
            <w:r w:rsidRPr="00416654">
              <w:rPr>
                <w:b/>
                <w:sz w:val="18"/>
                <w:lang w:val="es-MX"/>
              </w:rPr>
              <w:t>Avance total</w:t>
            </w:r>
            <w:r>
              <w:rPr>
                <w:b/>
                <w:sz w:val="18"/>
                <w:lang w:val="es-MX"/>
              </w:rPr>
              <w:t xml:space="preserve"> (%)</w:t>
            </w:r>
          </w:p>
          <w:p w:rsidR="00DF04B5" w:rsidRPr="00416654" w:rsidRDefault="00DF04B5">
            <w:pPr>
              <w:jc w:val="center"/>
              <w:rPr>
                <w:b/>
                <w:sz w:val="18"/>
                <w:lang w:val="es-MX"/>
              </w:rPr>
            </w:pPr>
            <w:r>
              <w:rPr>
                <w:b/>
                <w:sz w:val="18"/>
                <w:lang w:val="es-MX"/>
              </w:rPr>
              <w:t>30 mar 2015</w:t>
            </w:r>
          </w:p>
        </w:tc>
      </w:tr>
      <w:tr w:rsidR="00DF04B5" w:rsidRPr="00164A31" w:rsidTr="00416654">
        <w:trPr>
          <w:tblHeader/>
        </w:trPr>
        <w:tc>
          <w:tcPr>
            <w:tcW w:w="2122" w:type="dxa"/>
            <w:shd w:val="clear" w:color="auto" w:fill="C6D9F1" w:themeFill="text2" w:themeFillTint="33"/>
            <w:vAlign w:val="center"/>
          </w:tcPr>
          <w:p w:rsidR="00DF04B5" w:rsidRPr="00416654" w:rsidRDefault="00DF04B5" w:rsidP="00EF15A3">
            <w:pPr>
              <w:jc w:val="center"/>
              <w:rPr>
                <w:b/>
                <w:sz w:val="18"/>
                <w:lang w:val="es-MX"/>
              </w:rPr>
            </w:pPr>
          </w:p>
        </w:tc>
        <w:tc>
          <w:tcPr>
            <w:tcW w:w="1080" w:type="dxa"/>
            <w:shd w:val="clear" w:color="auto" w:fill="C6D9F1" w:themeFill="text2" w:themeFillTint="33"/>
            <w:vAlign w:val="center"/>
          </w:tcPr>
          <w:p w:rsidR="00DF04B5" w:rsidRPr="00416654" w:rsidRDefault="00DF04B5">
            <w:pPr>
              <w:jc w:val="center"/>
              <w:rPr>
                <w:b/>
                <w:sz w:val="18"/>
                <w:lang w:val="es-MX"/>
              </w:rPr>
            </w:pPr>
            <w:r w:rsidRPr="00416654">
              <w:rPr>
                <w:b/>
                <w:sz w:val="18"/>
                <w:lang w:val="es-MX"/>
              </w:rPr>
              <w:t xml:space="preserve">Planificado </w:t>
            </w:r>
            <w:r>
              <w:rPr>
                <w:b/>
                <w:sz w:val="18"/>
                <w:lang w:val="es-MX"/>
              </w:rPr>
              <w:t>2014</w:t>
            </w:r>
          </w:p>
        </w:tc>
        <w:tc>
          <w:tcPr>
            <w:tcW w:w="1440" w:type="dxa"/>
            <w:shd w:val="clear" w:color="auto" w:fill="C6D9F1" w:themeFill="text2" w:themeFillTint="33"/>
            <w:vAlign w:val="center"/>
          </w:tcPr>
          <w:p w:rsidR="00DF04B5" w:rsidRDefault="00DF04B5">
            <w:pPr>
              <w:jc w:val="center"/>
              <w:rPr>
                <w:b/>
                <w:sz w:val="18"/>
                <w:lang w:val="es-MX"/>
              </w:rPr>
            </w:pPr>
            <w:r w:rsidRPr="00416654">
              <w:rPr>
                <w:b/>
                <w:sz w:val="18"/>
                <w:lang w:val="es-MX"/>
              </w:rPr>
              <w:t xml:space="preserve">Ejecutado </w:t>
            </w:r>
          </w:p>
          <w:p w:rsidR="00DF04B5" w:rsidRPr="00416654" w:rsidRDefault="00DF04B5">
            <w:pPr>
              <w:jc w:val="center"/>
              <w:rPr>
                <w:b/>
                <w:sz w:val="18"/>
                <w:lang w:val="es-MX"/>
              </w:rPr>
            </w:pPr>
            <w:proofErr w:type="spellStart"/>
            <w:r>
              <w:rPr>
                <w:b/>
                <w:sz w:val="18"/>
                <w:lang w:val="es-MX"/>
              </w:rPr>
              <w:t>Agos</w:t>
            </w:r>
            <w:proofErr w:type="spellEnd"/>
            <w:r>
              <w:rPr>
                <w:b/>
                <w:sz w:val="18"/>
                <w:lang w:val="es-MX"/>
              </w:rPr>
              <w:t>- dic 2014</w:t>
            </w:r>
          </w:p>
        </w:tc>
        <w:tc>
          <w:tcPr>
            <w:tcW w:w="1800" w:type="dxa"/>
            <w:shd w:val="clear" w:color="auto" w:fill="C6D9F1" w:themeFill="text2" w:themeFillTint="33"/>
            <w:vAlign w:val="center"/>
          </w:tcPr>
          <w:p w:rsidR="00DF04B5" w:rsidRDefault="00DF04B5" w:rsidP="00EF15A3">
            <w:pPr>
              <w:jc w:val="center"/>
              <w:rPr>
                <w:b/>
                <w:sz w:val="18"/>
                <w:lang w:val="es-MX"/>
              </w:rPr>
            </w:pPr>
            <w:r w:rsidRPr="00D67F1F">
              <w:rPr>
                <w:b/>
                <w:sz w:val="18"/>
                <w:lang w:val="es-MX"/>
              </w:rPr>
              <w:t xml:space="preserve">Ejecutado </w:t>
            </w:r>
          </w:p>
          <w:p w:rsidR="00DF04B5" w:rsidRPr="00416654" w:rsidRDefault="00DF04B5" w:rsidP="00EF15A3">
            <w:pPr>
              <w:jc w:val="center"/>
              <w:rPr>
                <w:b/>
                <w:sz w:val="18"/>
                <w:lang w:val="es-MX"/>
              </w:rPr>
            </w:pPr>
            <w:r>
              <w:rPr>
                <w:b/>
                <w:sz w:val="18"/>
                <w:lang w:val="es-MX"/>
              </w:rPr>
              <w:t>Ene-marzo 2015</w:t>
            </w:r>
          </w:p>
        </w:tc>
        <w:tc>
          <w:tcPr>
            <w:tcW w:w="1620" w:type="dxa"/>
            <w:vMerge/>
            <w:shd w:val="clear" w:color="auto" w:fill="C6D9F1" w:themeFill="text2" w:themeFillTint="33"/>
          </w:tcPr>
          <w:p w:rsidR="00DF04B5" w:rsidRPr="00471344" w:rsidRDefault="00DF04B5" w:rsidP="00EF15A3">
            <w:pPr>
              <w:jc w:val="center"/>
              <w:rPr>
                <w:b/>
                <w:sz w:val="18"/>
                <w:lang w:val="es-MX"/>
              </w:rPr>
            </w:pPr>
          </w:p>
        </w:tc>
        <w:tc>
          <w:tcPr>
            <w:tcW w:w="1620" w:type="dxa"/>
            <w:vMerge/>
            <w:shd w:val="clear" w:color="auto" w:fill="C6D9F1" w:themeFill="text2" w:themeFillTint="33"/>
            <w:vAlign w:val="center"/>
          </w:tcPr>
          <w:p w:rsidR="00DF04B5" w:rsidRPr="00416654" w:rsidRDefault="00DF04B5" w:rsidP="00EF15A3">
            <w:pPr>
              <w:jc w:val="center"/>
              <w:rPr>
                <w:b/>
                <w:sz w:val="18"/>
                <w:lang w:val="es-MX"/>
              </w:rPr>
            </w:pPr>
          </w:p>
        </w:tc>
      </w:tr>
      <w:tr w:rsidR="00DF04B5" w:rsidRPr="00883A0A" w:rsidTr="00416654">
        <w:tc>
          <w:tcPr>
            <w:tcW w:w="9682" w:type="dxa"/>
            <w:gridSpan w:val="6"/>
          </w:tcPr>
          <w:p w:rsidR="00DF04B5" w:rsidRPr="00416654" w:rsidRDefault="00DF04B5">
            <w:pPr>
              <w:rPr>
                <w:b/>
                <w:sz w:val="18"/>
                <w:lang w:val="es-MX"/>
              </w:rPr>
            </w:pPr>
            <w:r w:rsidRPr="00416654">
              <w:rPr>
                <w:b/>
                <w:smallCaps/>
                <w:sz w:val="18"/>
                <w:lang w:val="es-MX"/>
              </w:rPr>
              <w:t>Componente I – Reforzamiento del Sistema Nacional de Distribución (US$2</w:t>
            </w:r>
            <w:r>
              <w:rPr>
                <w:b/>
                <w:smallCaps/>
                <w:sz w:val="18"/>
                <w:lang w:val="es-MX"/>
              </w:rPr>
              <w:t>08.264.656</w:t>
            </w:r>
            <w:r w:rsidRPr="00416654">
              <w:rPr>
                <w:b/>
                <w:smallCaps/>
                <w:sz w:val="18"/>
                <w:lang w:val="es-MX"/>
              </w:rPr>
              <w:t>)</w:t>
            </w:r>
          </w:p>
        </w:tc>
      </w:tr>
      <w:tr w:rsidR="00DF04B5" w:rsidRPr="00B23413" w:rsidTr="00416654">
        <w:trPr>
          <w:trHeight w:val="438"/>
        </w:trPr>
        <w:tc>
          <w:tcPr>
            <w:tcW w:w="2122" w:type="dxa"/>
          </w:tcPr>
          <w:p w:rsidR="00DF04B5" w:rsidRPr="00164A31" w:rsidRDefault="00DF04B5" w:rsidP="00315E8F">
            <w:pPr>
              <w:jc w:val="left"/>
              <w:rPr>
                <w:sz w:val="18"/>
                <w:lang w:val="es-MX"/>
              </w:rPr>
            </w:pPr>
            <w:r w:rsidRPr="00164A31">
              <w:rPr>
                <w:sz w:val="18"/>
                <w:lang w:val="es-MX"/>
              </w:rPr>
              <w:t xml:space="preserve">I-1: </w:t>
            </w:r>
            <w:r w:rsidRPr="00116B96">
              <w:rPr>
                <w:sz w:val="18"/>
                <w:lang w:val="es-MX"/>
              </w:rPr>
              <w:t xml:space="preserve">Proyectos de líneas de </w:t>
            </w:r>
            <w:proofErr w:type="spellStart"/>
            <w:r w:rsidRPr="00116B96">
              <w:rPr>
                <w:sz w:val="18"/>
                <w:lang w:val="es-MX"/>
              </w:rPr>
              <w:t>Subtransmisión</w:t>
            </w:r>
            <w:proofErr w:type="spellEnd"/>
            <w:r w:rsidRPr="00116B96">
              <w:rPr>
                <w:sz w:val="18"/>
                <w:lang w:val="es-MX"/>
              </w:rPr>
              <w:t xml:space="preserve"> nuevas y/o repotenciadas, ejecutados</w:t>
            </w:r>
          </w:p>
        </w:tc>
        <w:tc>
          <w:tcPr>
            <w:tcW w:w="1080" w:type="dxa"/>
            <w:vAlign w:val="center"/>
          </w:tcPr>
          <w:p w:rsidR="00DF04B5" w:rsidRPr="00416654" w:rsidRDefault="00DF04B5" w:rsidP="00315E8F">
            <w:pPr>
              <w:jc w:val="center"/>
              <w:rPr>
                <w:sz w:val="18"/>
                <w:szCs w:val="18"/>
                <w:lang w:val="es-MX"/>
              </w:rPr>
            </w:pPr>
            <w:r w:rsidRPr="00416654">
              <w:rPr>
                <w:sz w:val="18"/>
                <w:szCs w:val="18"/>
                <w:lang w:val="es-MX"/>
              </w:rPr>
              <w:t>6.085.161</w:t>
            </w:r>
          </w:p>
        </w:tc>
        <w:tc>
          <w:tcPr>
            <w:tcW w:w="1440" w:type="dxa"/>
            <w:vAlign w:val="center"/>
          </w:tcPr>
          <w:p w:rsidR="00DF04B5" w:rsidRPr="00416654" w:rsidRDefault="00DF04B5" w:rsidP="00315E8F">
            <w:pPr>
              <w:jc w:val="center"/>
              <w:rPr>
                <w:sz w:val="18"/>
                <w:szCs w:val="18"/>
                <w:lang w:val="es-MX"/>
              </w:rPr>
            </w:pPr>
            <w:r w:rsidRPr="00416654">
              <w:rPr>
                <w:sz w:val="18"/>
                <w:szCs w:val="18"/>
                <w:lang w:val="es-MX"/>
              </w:rPr>
              <w:t>6.085.161</w:t>
            </w:r>
          </w:p>
        </w:tc>
        <w:tc>
          <w:tcPr>
            <w:tcW w:w="1800" w:type="dxa"/>
            <w:vAlign w:val="center"/>
          </w:tcPr>
          <w:p w:rsidR="00DF04B5" w:rsidRPr="00416654" w:rsidRDefault="00DF04B5">
            <w:pPr>
              <w:jc w:val="center"/>
              <w:rPr>
                <w:sz w:val="18"/>
                <w:szCs w:val="18"/>
                <w:lang w:val="es-MX"/>
              </w:rPr>
            </w:pPr>
            <w:r w:rsidRPr="00416654">
              <w:rPr>
                <w:sz w:val="18"/>
                <w:szCs w:val="18"/>
                <w:lang w:val="es-MX"/>
              </w:rPr>
              <w:t>1.361.638</w:t>
            </w:r>
          </w:p>
        </w:tc>
        <w:tc>
          <w:tcPr>
            <w:tcW w:w="1620" w:type="dxa"/>
            <w:vAlign w:val="center"/>
          </w:tcPr>
          <w:p w:rsidR="00DF04B5" w:rsidRPr="00416654" w:rsidDel="00DD6EEC" w:rsidRDefault="00DF04B5">
            <w:pPr>
              <w:jc w:val="center"/>
              <w:rPr>
                <w:sz w:val="18"/>
                <w:szCs w:val="18"/>
                <w:lang w:val="es-MX"/>
              </w:rPr>
            </w:pPr>
            <w:r w:rsidRPr="00416654">
              <w:rPr>
                <w:sz w:val="18"/>
                <w:szCs w:val="18"/>
                <w:lang w:val="es-MX"/>
              </w:rPr>
              <w:t>14.005.223</w:t>
            </w:r>
          </w:p>
        </w:tc>
        <w:tc>
          <w:tcPr>
            <w:tcW w:w="1620" w:type="dxa"/>
            <w:vAlign w:val="center"/>
          </w:tcPr>
          <w:p w:rsidR="00DF04B5" w:rsidRPr="00416654" w:rsidRDefault="00DF04B5">
            <w:pPr>
              <w:jc w:val="center"/>
              <w:rPr>
                <w:rFonts w:ascii="Calibri" w:hAnsi="Calibri"/>
                <w:color w:val="000000"/>
                <w:sz w:val="18"/>
                <w:szCs w:val="18"/>
              </w:rPr>
            </w:pPr>
            <w:r w:rsidRPr="00416654">
              <w:rPr>
                <w:rFonts w:ascii="Calibri" w:hAnsi="Calibri"/>
                <w:color w:val="000000"/>
                <w:sz w:val="18"/>
                <w:szCs w:val="18"/>
              </w:rPr>
              <w:t>53%</w:t>
            </w:r>
          </w:p>
        </w:tc>
      </w:tr>
      <w:tr w:rsidR="00DF04B5" w:rsidRPr="00B23413" w:rsidTr="00416654">
        <w:trPr>
          <w:trHeight w:val="474"/>
        </w:trPr>
        <w:tc>
          <w:tcPr>
            <w:tcW w:w="2122" w:type="dxa"/>
          </w:tcPr>
          <w:p w:rsidR="00DF04B5" w:rsidRPr="00164A31" w:rsidRDefault="00DF04B5" w:rsidP="00315E8F">
            <w:pPr>
              <w:jc w:val="left"/>
              <w:rPr>
                <w:sz w:val="18"/>
                <w:lang w:val="es-MX"/>
              </w:rPr>
            </w:pPr>
            <w:r w:rsidRPr="00164A31">
              <w:rPr>
                <w:sz w:val="18"/>
                <w:lang w:val="es-MX"/>
              </w:rPr>
              <w:t xml:space="preserve">I-2: </w:t>
            </w:r>
            <w:r w:rsidRPr="00116B96">
              <w:rPr>
                <w:sz w:val="18"/>
                <w:lang w:val="es-MX"/>
              </w:rPr>
              <w:t>Proyectos de línea Distribución, nuevos y/o repotenciados, ejecutados</w:t>
            </w:r>
          </w:p>
        </w:tc>
        <w:tc>
          <w:tcPr>
            <w:tcW w:w="1080" w:type="dxa"/>
            <w:vAlign w:val="center"/>
          </w:tcPr>
          <w:p w:rsidR="00DF04B5" w:rsidRPr="00416654" w:rsidRDefault="00DF04B5" w:rsidP="00315E8F">
            <w:pPr>
              <w:jc w:val="center"/>
              <w:rPr>
                <w:sz w:val="18"/>
                <w:szCs w:val="18"/>
                <w:lang w:val="es-MX"/>
              </w:rPr>
            </w:pPr>
            <w:r w:rsidRPr="00416654">
              <w:rPr>
                <w:sz w:val="18"/>
                <w:szCs w:val="18"/>
                <w:lang w:val="es-MX"/>
              </w:rPr>
              <w:t>49.128.220</w:t>
            </w:r>
          </w:p>
        </w:tc>
        <w:tc>
          <w:tcPr>
            <w:tcW w:w="1440" w:type="dxa"/>
            <w:vAlign w:val="center"/>
          </w:tcPr>
          <w:p w:rsidR="00DF04B5" w:rsidRPr="00416654" w:rsidRDefault="00DF04B5" w:rsidP="00315E8F">
            <w:pPr>
              <w:jc w:val="center"/>
              <w:rPr>
                <w:sz w:val="18"/>
                <w:szCs w:val="18"/>
                <w:lang w:val="es-MX"/>
              </w:rPr>
            </w:pPr>
            <w:r w:rsidRPr="00416654">
              <w:rPr>
                <w:sz w:val="18"/>
                <w:szCs w:val="18"/>
                <w:lang w:val="es-MX"/>
              </w:rPr>
              <w:t>49.128.220</w:t>
            </w:r>
          </w:p>
        </w:tc>
        <w:tc>
          <w:tcPr>
            <w:tcW w:w="1800" w:type="dxa"/>
            <w:vAlign w:val="center"/>
          </w:tcPr>
          <w:p w:rsidR="00DF04B5" w:rsidRPr="00416654" w:rsidRDefault="00DF04B5">
            <w:pPr>
              <w:jc w:val="center"/>
              <w:rPr>
                <w:sz w:val="18"/>
                <w:szCs w:val="18"/>
                <w:lang w:val="es-MX"/>
              </w:rPr>
            </w:pPr>
            <w:r w:rsidRPr="00416654">
              <w:rPr>
                <w:sz w:val="18"/>
                <w:szCs w:val="18"/>
                <w:lang w:val="es-MX"/>
              </w:rPr>
              <w:t xml:space="preserve">4.189.372 </w:t>
            </w:r>
          </w:p>
        </w:tc>
        <w:tc>
          <w:tcPr>
            <w:tcW w:w="1620" w:type="dxa"/>
            <w:vAlign w:val="center"/>
          </w:tcPr>
          <w:p w:rsidR="00DF04B5" w:rsidRPr="00416654" w:rsidDel="0090468E" w:rsidRDefault="00DF04B5">
            <w:pPr>
              <w:jc w:val="center"/>
              <w:rPr>
                <w:sz w:val="18"/>
                <w:szCs w:val="18"/>
                <w:lang w:val="es-MX"/>
              </w:rPr>
            </w:pPr>
            <w:r w:rsidRPr="00416654">
              <w:rPr>
                <w:sz w:val="18"/>
                <w:szCs w:val="18"/>
                <w:lang w:val="es-MX"/>
              </w:rPr>
              <w:t>120.886.676</w:t>
            </w:r>
          </w:p>
        </w:tc>
        <w:tc>
          <w:tcPr>
            <w:tcW w:w="1620" w:type="dxa"/>
            <w:vAlign w:val="center"/>
          </w:tcPr>
          <w:p w:rsidR="00DF04B5" w:rsidRPr="00416654" w:rsidRDefault="00DF04B5">
            <w:pPr>
              <w:jc w:val="center"/>
              <w:rPr>
                <w:rFonts w:ascii="Calibri" w:hAnsi="Calibri"/>
                <w:color w:val="000000"/>
                <w:sz w:val="18"/>
                <w:szCs w:val="18"/>
              </w:rPr>
            </w:pPr>
            <w:r w:rsidRPr="00416654">
              <w:rPr>
                <w:rFonts w:ascii="Calibri" w:hAnsi="Calibri"/>
                <w:color w:val="000000"/>
                <w:sz w:val="18"/>
                <w:szCs w:val="18"/>
              </w:rPr>
              <w:t>41%</w:t>
            </w:r>
          </w:p>
        </w:tc>
      </w:tr>
      <w:tr w:rsidR="00DF04B5" w:rsidRPr="00B23413" w:rsidTr="00416654">
        <w:trPr>
          <w:trHeight w:val="608"/>
        </w:trPr>
        <w:tc>
          <w:tcPr>
            <w:tcW w:w="2122" w:type="dxa"/>
            <w:vAlign w:val="center"/>
          </w:tcPr>
          <w:p w:rsidR="00DF04B5" w:rsidRPr="00164A31" w:rsidRDefault="00DF04B5" w:rsidP="00315E8F">
            <w:pPr>
              <w:jc w:val="left"/>
              <w:rPr>
                <w:sz w:val="18"/>
                <w:lang w:val="es-MX"/>
              </w:rPr>
            </w:pPr>
            <w:r>
              <w:rPr>
                <w:sz w:val="18"/>
                <w:lang w:val="es-MX"/>
              </w:rPr>
              <w:t xml:space="preserve">I-3. </w:t>
            </w:r>
            <w:r w:rsidRPr="00116B96">
              <w:rPr>
                <w:sz w:val="18"/>
                <w:lang w:val="es-MX"/>
              </w:rPr>
              <w:t>Proyectos de Subestaciones, nuevas y/o repotenciadas, ejecutados</w:t>
            </w:r>
            <w:r>
              <w:rPr>
                <w:sz w:val="18"/>
                <w:lang w:val="es-MX"/>
              </w:rPr>
              <w:t>.</w:t>
            </w:r>
          </w:p>
        </w:tc>
        <w:tc>
          <w:tcPr>
            <w:tcW w:w="1080" w:type="dxa"/>
            <w:vAlign w:val="center"/>
          </w:tcPr>
          <w:p w:rsidR="00DF04B5" w:rsidRPr="00416654" w:rsidRDefault="00DF04B5" w:rsidP="00315E8F">
            <w:pPr>
              <w:jc w:val="center"/>
              <w:rPr>
                <w:sz w:val="18"/>
                <w:szCs w:val="18"/>
                <w:lang w:val="es-MX"/>
              </w:rPr>
            </w:pPr>
            <w:r w:rsidRPr="00416654">
              <w:rPr>
                <w:sz w:val="18"/>
                <w:szCs w:val="18"/>
                <w:lang w:val="es-MX"/>
              </w:rPr>
              <w:t>25.322.017</w:t>
            </w:r>
          </w:p>
        </w:tc>
        <w:tc>
          <w:tcPr>
            <w:tcW w:w="1440" w:type="dxa"/>
            <w:vAlign w:val="center"/>
          </w:tcPr>
          <w:p w:rsidR="00DF04B5" w:rsidRPr="00416654" w:rsidRDefault="00DF04B5" w:rsidP="00315E8F">
            <w:pPr>
              <w:jc w:val="center"/>
              <w:rPr>
                <w:sz w:val="18"/>
                <w:szCs w:val="18"/>
                <w:lang w:val="es-MX"/>
              </w:rPr>
            </w:pPr>
            <w:r w:rsidRPr="00416654">
              <w:rPr>
                <w:sz w:val="18"/>
                <w:szCs w:val="18"/>
                <w:lang w:val="es-MX"/>
              </w:rPr>
              <w:t>25.322.017</w:t>
            </w:r>
          </w:p>
        </w:tc>
        <w:tc>
          <w:tcPr>
            <w:tcW w:w="1800" w:type="dxa"/>
            <w:vAlign w:val="center"/>
          </w:tcPr>
          <w:p w:rsidR="00DF04B5" w:rsidRPr="00416654" w:rsidRDefault="00DF04B5">
            <w:pPr>
              <w:jc w:val="center"/>
              <w:rPr>
                <w:sz w:val="18"/>
                <w:szCs w:val="18"/>
                <w:lang w:val="es-MX"/>
              </w:rPr>
            </w:pPr>
            <w:r w:rsidRPr="00416654">
              <w:rPr>
                <w:sz w:val="18"/>
                <w:szCs w:val="18"/>
                <w:lang w:val="es-MX"/>
              </w:rPr>
              <w:t xml:space="preserve">5.804.879 </w:t>
            </w:r>
          </w:p>
        </w:tc>
        <w:tc>
          <w:tcPr>
            <w:tcW w:w="1620" w:type="dxa"/>
            <w:vAlign w:val="center"/>
          </w:tcPr>
          <w:p w:rsidR="00DF04B5" w:rsidRPr="00416654" w:rsidDel="0090468E" w:rsidRDefault="00DF04B5">
            <w:pPr>
              <w:jc w:val="center"/>
              <w:rPr>
                <w:sz w:val="18"/>
                <w:szCs w:val="18"/>
                <w:lang w:val="es-MX"/>
              </w:rPr>
            </w:pPr>
            <w:r w:rsidRPr="00416654">
              <w:rPr>
                <w:sz w:val="18"/>
                <w:szCs w:val="18"/>
                <w:lang w:val="es-MX"/>
              </w:rPr>
              <w:t>73.093.008</w:t>
            </w:r>
          </w:p>
        </w:tc>
        <w:tc>
          <w:tcPr>
            <w:tcW w:w="1620" w:type="dxa"/>
            <w:vAlign w:val="center"/>
          </w:tcPr>
          <w:p w:rsidR="00DF04B5" w:rsidRPr="00416654" w:rsidRDefault="00DF04B5">
            <w:pPr>
              <w:jc w:val="center"/>
              <w:rPr>
                <w:rFonts w:ascii="Calibri" w:hAnsi="Calibri"/>
                <w:color w:val="000000"/>
                <w:sz w:val="18"/>
                <w:szCs w:val="18"/>
              </w:rPr>
            </w:pPr>
            <w:r w:rsidRPr="00416654">
              <w:rPr>
                <w:rFonts w:ascii="Calibri" w:hAnsi="Calibri"/>
                <w:color w:val="000000"/>
                <w:sz w:val="18"/>
                <w:szCs w:val="18"/>
              </w:rPr>
              <w:t>43%</w:t>
            </w:r>
          </w:p>
        </w:tc>
      </w:tr>
      <w:tr w:rsidR="00DF04B5" w:rsidRPr="00164A31" w:rsidTr="00416654">
        <w:trPr>
          <w:trHeight w:val="560"/>
        </w:trPr>
        <w:tc>
          <w:tcPr>
            <w:tcW w:w="2122" w:type="dxa"/>
            <w:vAlign w:val="center"/>
          </w:tcPr>
          <w:p w:rsidR="00DF04B5" w:rsidRPr="00367729" w:rsidRDefault="00DF04B5" w:rsidP="00315E8F">
            <w:pPr>
              <w:jc w:val="left"/>
              <w:rPr>
                <w:sz w:val="18"/>
                <w:lang w:val="es-MX"/>
              </w:rPr>
            </w:pPr>
            <w:r w:rsidRPr="00164A31">
              <w:rPr>
                <w:sz w:val="18"/>
                <w:lang w:val="es-MX"/>
              </w:rPr>
              <w:t xml:space="preserve">I-4: </w:t>
            </w:r>
            <w:r w:rsidRPr="00116B96">
              <w:rPr>
                <w:sz w:val="18"/>
                <w:lang w:val="es-MX"/>
              </w:rPr>
              <w:t>Campañas de Socialización implementadas, para la construcción de proyectos del SND</w:t>
            </w:r>
          </w:p>
        </w:tc>
        <w:tc>
          <w:tcPr>
            <w:tcW w:w="1080" w:type="dxa"/>
            <w:vAlign w:val="center"/>
          </w:tcPr>
          <w:p w:rsidR="00DF04B5" w:rsidRPr="00416654" w:rsidRDefault="00DF04B5" w:rsidP="00315E8F">
            <w:pPr>
              <w:jc w:val="center"/>
              <w:rPr>
                <w:sz w:val="18"/>
                <w:szCs w:val="18"/>
                <w:lang w:val="es-MX"/>
              </w:rPr>
            </w:pPr>
            <w:r w:rsidRPr="00416654">
              <w:rPr>
                <w:sz w:val="18"/>
                <w:szCs w:val="18"/>
                <w:lang w:val="es-MX"/>
              </w:rPr>
              <w:t>0</w:t>
            </w:r>
          </w:p>
        </w:tc>
        <w:tc>
          <w:tcPr>
            <w:tcW w:w="1440" w:type="dxa"/>
            <w:vAlign w:val="center"/>
          </w:tcPr>
          <w:p w:rsidR="00DF04B5" w:rsidRPr="00416654" w:rsidRDefault="00DF04B5" w:rsidP="00315E8F">
            <w:pPr>
              <w:jc w:val="center"/>
              <w:rPr>
                <w:sz w:val="18"/>
                <w:szCs w:val="18"/>
                <w:lang w:val="es-MX"/>
              </w:rPr>
            </w:pPr>
            <w:r w:rsidRPr="00416654">
              <w:rPr>
                <w:sz w:val="18"/>
                <w:szCs w:val="18"/>
                <w:lang w:val="es-MX"/>
              </w:rPr>
              <w:t>0</w:t>
            </w:r>
          </w:p>
        </w:tc>
        <w:tc>
          <w:tcPr>
            <w:tcW w:w="1800" w:type="dxa"/>
            <w:vAlign w:val="center"/>
          </w:tcPr>
          <w:p w:rsidR="00DF04B5" w:rsidRPr="00416654" w:rsidRDefault="00DF04B5">
            <w:pPr>
              <w:jc w:val="center"/>
              <w:rPr>
                <w:sz w:val="18"/>
                <w:szCs w:val="18"/>
                <w:lang w:val="es-MX"/>
              </w:rPr>
            </w:pPr>
            <w:r w:rsidRPr="00416654">
              <w:rPr>
                <w:sz w:val="18"/>
                <w:szCs w:val="18"/>
                <w:lang w:val="es-MX"/>
              </w:rPr>
              <w:t>34</w:t>
            </w:r>
            <w:r>
              <w:rPr>
                <w:sz w:val="18"/>
                <w:szCs w:val="18"/>
                <w:lang w:val="es-MX"/>
              </w:rPr>
              <w:t>.</w:t>
            </w:r>
            <w:r w:rsidRPr="00416654">
              <w:rPr>
                <w:sz w:val="18"/>
                <w:szCs w:val="18"/>
                <w:lang w:val="es-MX"/>
              </w:rPr>
              <w:t>306.58</w:t>
            </w:r>
          </w:p>
        </w:tc>
        <w:tc>
          <w:tcPr>
            <w:tcW w:w="1620" w:type="dxa"/>
            <w:vAlign w:val="center"/>
          </w:tcPr>
          <w:p w:rsidR="00DF04B5" w:rsidRPr="00416654" w:rsidDel="0090468E" w:rsidRDefault="00DF04B5">
            <w:pPr>
              <w:jc w:val="center"/>
              <w:rPr>
                <w:sz w:val="18"/>
                <w:szCs w:val="18"/>
                <w:lang w:val="es-MX"/>
              </w:rPr>
            </w:pPr>
            <w:r w:rsidRPr="00416654">
              <w:rPr>
                <w:sz w:val="18"/>
                <w:szCs w:val="18"/>
                <w:lang w:val="es-MX"/>
              </w:rPr>
              <w:t>279</w:t>
            </w:r>
            <w:r>
              <w:rPr>
                <w:sz w:val="18"/>
                <w:szCs w:val="18"/>
                <w:lang w:val="es-MX"/>
              </w:rPr>
              <w:t>.</w:t>
            </w:r>
            <w:r w:rsidRPr="00416654">
              <w:rPr>
                <w:sz w:val="18"/>
                <w:szCs w:val="18"/>
                <w:lang w:val="es-MX"/>
              </w:rPr>
              <w:t>747</w:t>
            </w:r>
          </w:p>
        </w:tc>
        <w:tc>
          <w:tcPr>
            <w:tcW w:w="1620" w:type="dxa"/>
            <w:vAlign w:val="center"/>
          </w:tcPr>
          <w:p w:rsidR="00DF04B5" w:rsidRPr="00416654" w:rsidRDefault="00DF04B5">
            <w:pPr>
              <w:jc w:val="center"/>
              <w:rPr>
                <w:rFonts w:ascii="Calibri" w:hAnsi="Calibri"/>
                <w:color w:val="000000"/>
                <w:sz w:val="18"/>
                <w:szCs w:val="18"/>
              </w:rPr>
            </w:pPr>
            <w:r w:rsidRPr="00416654">
              <w:rPr>
                <w:rFonts w:ascii="Calibri" w:hAnsi="Calibri"/>
                <w:color w:val="000000"/>
                <w:sz w:val="18"/>
                <w:szCs w:val="18"/>
              </w:rPr>
              <w:t>12%</w:t>
            </w:r>
          </w:p>
        </w:tc>
      </w:tr>
      <w:tr w:rsidR="00DF04B5" w:rsidRPr="00883A0A" w:rsidTr="00416654">
        <w:tc>
          <w:tcPr>
            <w:tcW w:w="9682" w:type="dxa"/>
            <w:gridSpan w:val="6"/>
          </w:tcPr>
          <w:p w:rsidR="00DF04B5" w:rsidRPr="00367729" w:rsidRDefault="00DF04B5" w:rsidP="00EF15A3">
            <w:pPr>
              <w:rPr>
                <w:b/>
                <w:smallCaps/>
                <w:sz w:val="18"/>
                <w:lang w:val="es-MX"/>
              </w:rPr>
            </w:pPr>
            <w:r w:rsidRPr="00416654">
              <w:rPr>
                <w:b/>
                <w:smallCaps/>
                <w:sz w:val="18"/>
                <w:lang w:val="es-MX"/>
              </w:rPr>
              <w:t>Componente II – Diseño para Implementación de la Estrategia para la Migración de GLP a Electricidad en el Sector Residencial (US$ 1,000,000)</w:t>
            </w:r>
          </w:p>
        </w:tc>
      </w:tr>
      <w:tr w:rsidR="00DF04B5" w:rsidRPr="00164A31" w:rsidTr="00416654">
        <w:trPr>
          <w:trHeight w:val="648"/>
        </w:trPr>
        <w:tc>
          <w:tcPr>
            <w:tcW w:w="2122" w:type="dxa"/>
            <w:vAlign w:val="center"/>
          </w:tcPr>
          <w:p w:rsidR="00DF04B5" w:rsidRPr="00164A31" w:rsidRDefault="00DF04B5" w:rsidP="00EF15A3">
            <w:pPr>
              <w:jc w:val="left"/>
              <w:rPr>
                <w:sz w:val="18"/>
                <w:lang w:val="es-MX"/>
              </w:rPr>
            </w:pPr>
            <w:r w:rsidRPr="00164A31">
              <w:rPr>
                <w:sz w:val="18"/>
                <w:lang w:val="es-MX"/>
              </w:rPr>
              <w:t>II-1:</w:t>
            </w:r>
            <w:r>
              <w:rPr>
                <w:sz w:val="18"/>
                <w:lang w:val="es-MX"/>
              </w:rPr>
              <w:t xml:space="preserve"> A</w:t>
            </w:r>
            <w:r w:rsidRPr="007D13A2">
              <w:rPr>
                <w:sz w:val="18"/>
                <w:lang w:val="es-MX"/>
              </w:rPr>
              <w:t>nálisis integral del mercado de GLP</w:t>
            </w:r>
            <w:r w:rsidRPr="00164A31">
              <w:rPr>
                <w:sz w:val="18"/>
                <w:lang w:val="es-MX"/>
              </w:rPr>
              <w:t>, aprobado</w:t>
            </w:r>
          </w:p>
        </w:tc>
        <w:tc>
          <w:tcPr>
            <w:tcW w:w="1080" w:type="dxa"/>
            <w:vAlign w:val="center"/>
          </w:tcPr>
          <w:p w:rsidR="00DF04B5" w:rsidRPr="00164A31" w:rsidRDefault="00DF04B5" w:rsidP="00315E8F">
            <w:pPr>
              <w:jc w:val="center"/>
              <w:rPr>
                <w:sz w:val="18"/>
                <w:lang w:val="es-MX"/>
              </w:rPr>
            </w:pPr>
            <w:r>
              <w:rPr>
                <w:sz w:val="18"/>
                <w:lang w:val="es-MX"/>
              </w:rPr>
              <w:t>0</w:t>
            </w:r>
          </w:p>
        </w:tc>
        <w:tc>
          <w:tcPr>
            <w:tcW w:w="1440" w:type="dxa"/>
            <w:vAlign w:val="center"/>
          </w:tcPr>
          <w:p w:rsidR="00DF04B5" w:rsidRPr="00885869" w:rsidRDefault="00DF04B5" w:rsidP="00315E8F">
            <w:pPr>
              <w:jc w:val="center"/>
              <w:rPr>
                <w:sz w:val="18"/>
                <w:lang w:val="es-MX"/>
              </w:rPr>
            </w:pPr>
            <w:r w:rsidRPr="00416654">
              <w:rPr>
                <w:sz w:val="18"/>
                <w:lang w:val="es-MX"/>
              </w:rPr>
              <w:t>0</w:t>
            </w:r>
          </w:p>
        </w:tc>
        <w:tc>
          <w:tcPr>
            <w:tcW w:w="1800" w:type="dxa"/>
            <w:vAlign w:val="center"/>
          </w:tcPr>
          <w:p w:rsidR="00DF04B5" w:rsidRPr="00164A31" w:rsidRDefault="00DF04B5" w:rsidP="00315E8F">
            <w:pPr>
              <w:jc w:val="center"/>
              <w:rPr>
                <w:sz w:val="18"/>
                <w:lang w:val="es-MX"/>
              </w:rPr>
            </w:pPr>
            <w:r>
              <w:rPr>
                <w:sz w:val="18"/>
                <w:lang w:val="es-MX"/>
              </w:rPr>
              <w:t>184.301</w:t>
            </w:r>
          </w:p>
        </w:tc>
        <w:tc>
          <w:tcPr>
            <w:tcW w:w="1620" w:type="dxa"/>
          </w:tcPr>
          <w:p w:rsidR="00DF04B5" w:rsidRDefault="00DF04B5" w:rsidP="00315E8F">
            <w:pPr>
              <w:jc w:val="center"/>
              <w:rPr>
                <w:sz w:val="18"/>
                <w:lang w:val="es-MX"/>
              </w:rPr>
            </w:pPr>
          </w:p>
          <w:p w:rsidR="00DF04B5" w:rsidRPr="00164A31" w:rsidDel="00170F0E" w:rsidRDefault="00DF04B5" w:rsidP="00315E8F">
            <w:pPr>
              <w:jc w:val="center"/>
              <w:rPr>
                <w:sz w:val="18"/>
                <w:lang w:val="es-MX"/>
              </w:rPr>
            </w:pPr>
            <w:r>
              <w:rPr>
                <w:sz w:val="18"/>
                <w:lang w:val="es-MX"/>
              </w:rPr>
              <w:t>184.301</w:t>
            </w:r>
          </w:p>
        </w:tc>
        <w:tc>
          <w:tcPr>
            <w:tcW w:w="1620" w:type="dxa"/>
            <w:vAlign w:val="center"/>
          </w:tcPr>
          <w:p w:rsidR="00DF04B5" w:rsidRPr="00164A31" w:rsidRDefault="00DF04B5" w:rsidP="00315E8F">
            <w:pPr>
              <w:jc w:val="center"/>
              <w:rPr>
                <w:sz w:val="18"/>
                <w:lang w:val="es-MX"/>
              </w:rPr>
            </w:pPr>
            <w:r>
              <w:rPr>
                <w:sz w:val="18"/>
                <w:lang w:val="es-MX"/>
              </w:rPr>
              <w:t>0%</w:t>
            </w:r>
          </w:p>
        </w:tc>
      </w:tr>
      <w:tr w:rsidR="00DF04B5" w:rsidRPr="00164A31" w:rsidTr="00416654">
        <w:trPr>
          <w:trHeight w:val="531"/>
        </w:trPr>
        <w:tc>
          <w:tcPr>
            <w:tcW w:w="2122" w:type="dxa"/>
            <w:vAlign w:val="center"/>
          </w:tcPr>
          <w:p w:rsidR="00DF04B5" w:rsidRPr="00164A31" w:rsidRDefault="00DF04B5" w:rsidP="00A379BC">
            <w:pPr>
              <w:jc w:val="left"/>
              <w:rPr>
                <w:sz w:val="18"/>
                <w:lang w:val="es-MX"/>
              </w:rPr>
            </w:pPr>
            <w:r w:rsidRPr="00164A31">
              <w:rPr>
                <w:sz w:val="18"/>
                <w:lang w:val="es-MX"/>
              </w:rPr>
              <w:t xml:space="preserve">II-2: </w:t>
            </w:r>
            <w:r w:rsidRPr="00C3365D">
              <w:rPr>
                <w:sz w:val="18"/>
                <w:lang w:val="es-MX"/>
              </w:rPr>
              <w:t>Análisis de los Hábitos de Consumo Energético en el Sector Residencial, aprobado</w:t>
            </w:r>
          </w:p>
        </w:tc>
        <w:tc>
          <w:tcPr>
            <w:tcW w:w="1080" w:type="dxa"/>
            <w:vAlign w:val="center"/>
          </w:tcPr>
          <w:p w:rsidR="00DF04B5" w:rsidRPr="00164A31" w:rsidRDefault="00DF04B5" w:rsidP="00315E8F">
            <w:pPr>
              <w:jc w:val="center"/>
              <w:rPr>
                <w:sz w:val="18"/>
                <w:lang w:val="es-MX"/>
              </w:rPr>
            </w:pPr>
            <w:r>
              <w:rPr>
                <w:sz w:val="18"/>
                <w:lang w:val="es-MX"/>
              </w:rPr>
              <w:t>90.686</w:t>
            </w:r>
          </w:p>
        </w:tc>
        <w:tc>
          <w:tcPr>
            <w:tcW w:w="1440" w:type="dxa"/>
            <w:vAlign w:val="center"/>
          </w:tcPr>
          <w:p w:rsidR="00DF04B5" w:rsidRPr="00164A31" w:rsidRDefault="00DF04B5" w:rsidP="00315E8F">
            <w:pPr>
              <w:jc w:val="center"/>
              <w:rPr>
                <w:sz w:val="18"/>
                <w:lang w:val="es-MX"/>
              </w:rPr>
            </w:pPr>
            <w:r>
              <w:rPr>
                <w:sz w:val="18"/>
                <w:lang w:val="es-MX"/>
              </w:rPr>
              <w:t>90.686</w:t>
            </w:r>
          </w:p>
        </w:tc>
        <w:tc>
          <w:tcPr>
            <w:tcW w:w="1800" w:type="dxa"/>
            <w:vAlign w:val="center"/>
          </w:tcPr>
          <w:p w:rsidR="00DF04B5" w:rsidRPr="00164A31" w:rsidRDefault="00DF04B5" w:rsidP="00315E8F">
            <w:pPr>
              <w:jc w:val="center"/>
              <w:rPr>
                <w:sz w:val="18"/>
                <w:lang w:val="es-MX"/>
              </w:rPr>
            </w:pPr>
            <w:r>
              <w:rPr>
                <w:sz w:val="18"/>
                <w:lang w:val="es-MX"/>
              </w:rPr>
              <w:t>0</w:t>
            </w:r>
          </w:p>
        </w:tc>
        <w:tc>
          <w:tcPr>
            <w:tcW w:w="1620" w:type="dxa"/>
          </w:tcPr>
          <w:p w:rsidR="00DF04B5" w:rsidRDefault="00DF04B5" w:rsidP="00315E8F">
            <w:pPr>
              <w:jc w:val="center"/>
              <w:rPr>
                <w:sz w:val="18"/>
                <w:lang w:val="es-MX"/>
              </w:rPr>
            </w:pPr>
          </w:p>
          <w:p w:rsidR="00DF04B5" w:rsidRDefault="00DF04B5" w:rsidP="00315E8F">
            <w:pPr>
              <w:jc w:val="center"/>
              <w:rPr>
                <w:sz w:val="18"/>
                <w:lang w:val="es-MX"/>
              </w:rPr>
            </w:pPr>
            <w:r>
              <w:rPr>
                <w:sz w:val="18"/>
                <w:lang w:val="es-MX"/>
              </w:rPr>
              <w:t>90.686</w:t>
            </w:r>
          </w:p>
        </w:tc>
        <w:tc>
          <w:tcPr>
            <w:tcW w:w="1620" w:type="dxa"/>
            <w:vAlign w:val="center"/>
          </w:tcPr>
          <w:p w:rsidR="00DF04B5" w:rsidRPr="00164A31" w:rsidRDefault="00DF04B5" w:rsidP="00315E8F">
            <w:pPr>
              <w:jc w:val="center"/>
              <w:rPr>
                <w:sz w:val="18"/>
                <w:lang w:val="es-MX"/>
              </w:rPr>
            </w:pPr>
            <w:r>
              <w:rPr>
                <w:sz w:val="18"/>
                <w:lang w:val="es-MX"/>
              </w:rPr>
              <w:t>100%</w:t>
            </w:r>
          </w:p>
        </w:tc>
      </w:tr>
      <w:tr w:rsidR="00DF04B5" w:rsidRPr="00164A31" w:rsidTr="00416654">
        <w:trPr>
          <w:trHeight w:val="552"/>
        </w:trPr>
        <w:tc>
          <w:tcPr>
            <w:tcW w:w="2122" w:type="dxa"/>
            <w:vAlign w:val="center"/>
          </w:tcPr>
          <w:p w:rsidR="00DF04B5" w:rsidRPr="00164A31" w:rsidRDefault="00DF04B5">
            <w:pPr>
              <w:jc w:val="left"/>
              <w:rPr>
                <w:sz w:val="18"/>
                <w:lang w:val="es-MX"/>
              </w:rPr>
            </w:pPr>
            <w:r w:rsidRPr="00164A31">
              <w:rPr>
                <w:sz w:val="18"/>
                <w:lang w:val="es-MX"/>
              </w:rPr>
              <w:t xml:space="preserve">II-3: </w:t>
            </w:r>
            <w:r w:rsidRPr="00C3365D">
              <w:rPr>
                <w:sz w:val="18"/>
                <w:lang w:val="es-MX"/>
              </w:rPr>
              <w:t>Un modelo de gestión del Programa de Cocción Eficiente, aprobado</w:t>
            </w:r>
          </w:p>
        </w:tc>
        <w:tc>
          <w:tcPr>
            <w:tcW w:w="1080" w:type="dxa"/>
            <w:vAlign w:val="center"/>
          </w:tcPr>
          <w:p w:rsidR="00DF04B5" w:rsidRPr="00164A31" w:rsidRDefault="00DF04B5" w:rsidP="00315E8F">
            <w:pPr>
              <w:jc w:val="center"/>
              <w:rPr>
                <w:sz w:val="18"/>
                <w:lang w:val="es-MX"/>
              </w:rPr>
            </w:pPr>
            <w:r>
              <w:rPr>
                <w:sz w:val="18"/>
                <w:lang w:val="es-MX"/>
              </w:rPr>
              <w:t>0</w:t>
            </w:r>
          </w:p>
        </w:tc>
        <w:tc>
          <w:tcPr>
            <w:tcW w:w="1440" w:type="dxa"/>
            <w:vAlign w:val="center"/>
          </w:tcPr>
          <w:p w:rsidR="00DF04B5" w:rsidRPr="00164A31" w:rsidRDefault="00DF04B5" w:rsidP="00315E8F">
            <w:pPr>
              <w:jc w:val="center"/>
              <w:rPr>
                <w:sz w:val="18"/>
                <w:lang w:val="es-MX"/>
              </w:rPr>
            </w:pPr>
            <w:r>
              <w:rPr>
                <w:sz w:val="18"/>
                <w:lang w:val="es-MX"/>
              </w:rPr>
              <w:t>0</w:t>
            </w:r>
          </w:p>
        </w:tc>
        <w:tc>
          <w:tcPr>
            <w:tcW w:w="1800" w:type="dxa"/>
            <w:vAlign w:val="center"/>
          </w:tcPr>
          <w:p w:rsidR="00DF04B5" w:rsidRPr="00164A31" w:rsidRDefault="00DF04B5" w:rsidP="00315E8F">
            <w:pPr>
              <w:jc w:val="center"/>
              <w:rPr>
                <w:sz w:val="18"/>
                <w:lang w:val="es-MX"/>
              </w:rPr>
            </w:pPr>
            <w:r>
              <w:rPr>
                <w:sz w:val="18"/>
                <w:lang w:val="es-MX"/>
              </w:rPr>
              <w:t>99,424</w:t>
            </w:r>
          </w:p>
        </w:tc>
        <w:tc>
          <w:tcPr>
            <w:tcW w:w="1620" w:type="dxa"/>
          </w:tcPr>
          <w:p w:rsidR="00DF04B5" w:rsidRDefault="00DF04B5" w:rsidP="00315E8F">
            <w:pPr>
              <w:jc w:val="center"/>
              <w:rPr>
                <w:sz w:val="18"/>
                <w:lang w:val="es-MX"/>
              </w:rPr>
            </w:pPr>
          </w:p>
          <w:p w:rsidR="00DF04B5" w:rsidRPr="00164A31" w:rsidDel="00170F0E" w:rsidRDefault="00DF04B5" w:rsidP="00315E8F">
            <w:pPr>
              <w:jc w:val="center"/>
              <w:rPr>
                <w:sz w:val="18"/>
                <w:lang w:val="es-MX"/>
              </w:rPr>
            </w:pPr>
            <w:r>
              <w:rPr>
                <w:sz w:val="18"/>
                <w:lang w:val="es-MX"/>
              </w:rPr>
              <w:t>448.560</w:t>
            </w:r>
          </w:p>
        </w:tc>
        <w:tc>
          <w:tcPr>
            <w:tcW w:w="1620" w:type="dxa"/>
            <w:vAlign w:val="center"/>
          </w:tcPr>
          <w:p w:rsidR="00DF04B5" w:rsidRPr="00164A31" w:rsidRDefault="00DF04B5" w:rsidP="00315E8F">
            <w:pPr>
              <w:jc w:val="center"/>
              <w:rPr>
                <w:sz w:val="18"/>
                <w:lang w:val="es-MX"/>
              </w:rPr>
            </w:pPr>
            <w:r>
              <w:rPr>
                <w:sz w:val="18"/>
                <w:lang w:val="es-MX"/>
              </w:rPr>
              <w:t>22%</w:t>
            </w:r>
          </w:p>
        </w:tc>
      </w:tr>
      <w:tr w:rsidR="00DF04B5" w:rsidRPr="00690CA3" w:rsidTr="00416654">
        <w:trPr>
          <w:trHeight w:val="552"/>
        </w:trPr>
        <w:tc>
          <w:tcPr>
            <w:tcW w:w="2122" w:type="dxa"/>
            <w:vAlign w:val="center"/>
          </w:tcPr>
          <w:p w:rsidR="00DF04B5" w:rsidRPr="00164A31" w:rsidRDefault="00DF04B5" w:rsidP="00416654">
            <w:pPr>
              <w:jc w:val="right"/>
              <w:rPr>
                <w:sz w:val="18"/>
                <w:lang w:val="es-MX"/>
              </w:rPr>
            </w:pPr>
            <w:r w:rsidRPr="00F953A4">
              <w:rPr>
                <w:i/>
                <w:sz w:val="16"/>
                <w:szCs w:val="16"/>
                <w:lang w:val="es-MX"/>
              </w:rPr>
              <w:t>II-3.1-Un sistema de logística para la distribución masiva de kits de cocción por inducción eléctrica de alta eficiencia, aprobado - SIPEC</w:t>
            </w:r>
          </w:p>
        </w:tc>
        <w:tc>
          <w:tcPr>
            <w:tcW w:w="1080" w:type="dxa"/>
            <w:vAlign w:val="center"/>
          </w:tcPr>
          <w:p w:rsidR="00DF04B5" w:rsidRPr="00164A31" w:rsidRDefault="00DF04B5">
            <w:pPr>
              <w:jc w:val="center"/>
              <w:rPr>
                <w:sz w:val="18"/>
                <w:lang w:val="es-MX"/>
              </w:rPr>
            </w:pPr>
            <w:r>
              <w:rPr>
                <w:sz w:val="18"/>
                <w:lang w:val="es-MX"/>
              </w:rPr>
              <w:t>0</w:t>
            </w:r>
          </w:p>
        </w:tc>
        <w:tc>
          <w:tcPr>
            <w:tcW w:w="1440" w:type="dxa"/>
            <w:vAlign w:val="center"/>
          </w:tcPr>
          <w:p w:rsidR="00DF04B5" w:rsidRPr="00164A31" w:rsidRDefault="00DF04B5">
            <w:pPr>
              <w:jc w:val="center"/>
              <w:rPr>
                <w:sz w:val="18"/>
                <w:lang w:val="es-MX"/>
              </w:rPr>
            </w:pPr>
            <w:r>
              <w:rPr>
                <w:sz w:val="18"/>
                <w:lang w:val="es-MX"/>
              </w:rPr>
              <w:t>0</w:t>
            </w:r>
          </w:p>
        </w:tc>
        <w:tc>
          <w:tcPr>
            <w:tcW w:w="1800" w:type="dxa"/>
            <w:vAlign w:val="center"/>
          </w:tcPr>
          <w:p w:rsidR="00DF04B5" w:rsidRPr="00164A31" w:rsidRDefault="00DF04B5">
            <w:pPr>
              <w:jc w:val="center"/>
              <w:rPr>
                <w:sz w:val="18"/>
                <w:lang w:val="es-MX"/>
              </w:rPr>
            </w:pPr>
            <w:r>
              <w:rPr>
                <w:sz w:val="18"/>
                <w:lang w:val="es-MX"/>
              </w:rPr>
              <w:t>99,424</w:t>
            </w:r>
          </w:p>
        </w:tc>
        <w:tc>
          <w:tcPr>
            <w:tcW w:w="1620" w:type="dxa"/>
            <w:vAlign w:val="center"/>
          </w:tcPr>
          <w:p w:rsidR="00DF04B5" w:rsidRDefault="00DF04B5">
            <w:pPr>
              <w:jc w:val="center"/>
              <w:rPr>
                <w:sz w:val="18"/>
                <w:lang w:val="es-MX"/>
              </w:rPr>
            </w:pPr>
            <w:r>
              <w:rPr>
                <w:sz w:val="18"/>
                <w:lang w:val="es-MX"/>
              </w:rPr>
              <w:t>248.560</w:t>
            </w:r>
          </w:p>
        </w:tc>
        <w:tc>
          <w:tcPr>
            <w:tcW w:w="1620" w:type="dxa"/>
            <w:vAlign w:val="center"/>
          </w:tcPr>
          <w:p w:rsidR="00DF04B5" w:rsidRPr="00164A31" w:rsidRDefault="00DF04B5">
            <w:pPr>
              <w:jc w:val="center"/>
              <w:rPr>
                <w:sz w:val="18"/>
                <w:lang w:val="es-MX"/>
              </w:rPr>
            </w:pPr>
            <w:r>
              <w:rPr>
                <w:sz w:val="18"/>
                <w:lang w:val="es-MX"/>
              </w:rPr>
              <w:t>40%</w:t>
            </w:r>
          </w:p>
        </w:tc>
      </w:tr>
      <w:tr w:rsidR="00DF04B5" w:rsidRPr="00690CA3" w:rsidTr="00416654">
        <w:trPr>
          <w:trHeight w:val="552"/>
        </w:trPr>
        <w:tc>
          <w:tcPr>
            <w:tcW w:w="2122" w:type="dxa"/>
            <w:vAlign w:val="center"/>
          </w:tcPr>
          <w:p w:rsidR="00DF04B5" w:rsidRPr="00164A31" w:rsidRDefault="00DF04B5" w:rsidP="00416654">
            <w:pPr>
              <w:jc w:val="right"/>
              <w:rPr>
                <w:sz w:val="18"/>
                <w:lang w:val="es-MX"/>
              </w:rPr>
            </w:pPr>
            <w:r w:rsidRPr="00F953A4">
              <w:rPr>
                <w:i/>
                <w:sz w:val="16"/>
                <w:szCs w:val="16"/>
                <w:lang w:val="es-MX"/>
              </w:rPr>
              <w:t>II-3.2-Campañas de Comunicación del PEC</w:t>
            </w:r>
          </w:p>
        </w:tc>
        <w:tc>
          <w:tcPr>
            <w:tcW w:w="1080" w:type="dxa"/>
            <w:vAlign w:val="center"/>
          </w:tcPr>
          <w:p w:rsidR="00DF04B5" w:rsidRPr="00164A31" w:rsidRDefault="00DF04B5">
            <w:pPr>
              <w:jc w:val="center"/>
              <w:rPr>
                <w:sz w:val="18"/>
                <w:lang w:val="es-MX"/>
              </w:rPr>
            </w:pPr>
            <w:r>
              <w:rPr>
                <w:sz w:val="18"/>
                <w:lang w:val="es-MX"/>
              </w:rPr>
              <w:t>0</w:t>
            </w:r>
          </w:p>
        </w:tc>
        <w:tc>
          <w:tcPr>
            <w:tcW w:w="1440" w:type="dxa"/>
            <w:vAlign w:val="center"/>
          </w:tcPr>
          <w:p w:rsidR="00DF04B5" w:rsidRPr="00164A31" w:rsidRDefault="00DF04B5">
            <w:pPr>
              <w:jc w:val="center"/>
              <w:rPr>
                <w:sz w:val="18"/>
                <w:lang w:val="es-MX"/>
              </w:rPr>
            </w:pPr>
            <w:r>
              <w:rPr>
                <w:sz w:val="18"/>
                <w:lang w:val="es-MX"/>
              </w:rPr>
              <w:t>0</w:t>
            </w:r>
          </w:p>
        </w:tc>
        <w:tc>
          <w:tcPr>
            <w:tcW w:w="1800" w:type="dxa"/>
            <w:vAlign w:val="center"/>
          </w:tcPr>
          <w:p w:rsidR="00DF04B5" w:rsidRPr="00164A31" w:rsidRDefault="00DF04B5">
            <w:pPr>
              <w:jc w:val="center"/>
              <w:rPr>
                <w:sz w:val="18"/>
                <w:lang w:val="es-MX"/>
              </w:rPr>
            </w:pPr>
            <w:r>
              <w:rPr>
                <w:sz w:val="18"/>
                <w:lang w:val="es-MX"/>
              </w:rPr>
              <w:t>0</w:t>
            </w:r>
          </w:p>
        </w:tc>
        <w:tc>
          <w:tcPr>
            <w:tcW w:w="1620" w:type="dxa"/>
            <w:vAlign w:val="center"/>
          </w:tcPr>
          <w:p w:rsidR="00DF04B5" w:rsidRDefault="00DF04B5">
            <w:pPr>
              <w:jc w:val="center"/>
              <w:rPr>
                <w:sz w:val="18"/>
                <w:lang w:val="es-MX"/>
              </w:rPr>
            </w:pPr>
            <w:r>
              <w:rPr>
                <w:sz w:val="18"/>
                <w:lang w:val="es-MX"/>
              </w:rPr>
              <w:t>200.000</w:t>
            </w:r>
          </w:p>
        </w:tc>
        <w:tc>
          <w:tcPr>
            <w:tcW w:w="1620" w:type="dxa"/>
            <w:vAlign w:val="center"/>
          </w:tcPr>
          <w:p w:rsidR="00DF04B5" w:rsidRPr="00164A31" w:rsidRDefault="00DF04B5">
            <w:pPr>
              <w:jc w:val="center"/>
              <w:rPr>
                <w:sz w:val="18"/>
                <w:lang w:val="es-MX"/>
              </w:rPr>
            </w:pPr>
            <w:r>
              <w:rPr>
                <w:sz w:val="18"/>
                <w:lang w:val="es-MX"/>
              </w:rPr>
              <w:t>0%</w:t>
            </w:r>
          </w:p>
        </w:tc>
      </w:tr>
      <w:tr w:rsidR="00DF04B5" w:rsidRPr="00164A31" w:rsidTr="00416654">
        <w:trPr>
          <w:trHeight w:val="435"/>
        </w:trPr>
        <w:tc>
          <w:tcPr>
            <w:tcW w:w="2122" w:type="dxa"/>
            <w:vAlign w:val="center"/>
          </w:tcPr>
          <w:p w:rsidR="00DF04B5" w:rsidRPr="00164A31" w:rsidRDefault="00DF04B5" w:rsidP="00EF15A3">
            <w:pPr>
              <w:jc w:val="left"/>
              <w:rPr>
                <w:sz w:val="18"/>
                <w:lang w:val="es-MX"/>
              </w:rPr>
            </w:pPr>
            <w:r w:rsidRPr="00164A31">
              <w:rPr>
                <w:sz w:val="18"/>
                <w:lang w:val="es-MX"/>
              </w:rPr>
              <w:t>II-5: Plan de monitoreo de indicadores energéticos, sociales, económicos y ambientales, aprobado</w:t>
            </w:r>
          </w:p>
        </w:tc>
        <w:tc>
          <w:tcPr>
            <w:tcW w:w="1080" w:type="dxa"/>
            <w:vAlign w:val="center"/>
          </w:tcPr>
          <w:p w:rsidR="00DF04B5" w:rsidRPr="00164A31" w:rsidRDefault="00DF04B5">
            <w:pPr>
              <w:jc w:val="center"/>
              <w:rPr>
                <w:sz w:val="18"/>
                <w:lang w:val="es-MX"/>
              </w:rPr>
            </w:pPr>
            <w:r>
              <w:rPr>
                <w:sz w:val="18"/>
                <w:lang w:val="es-MX"/>
              </w:rPr>
              <w:t>0</w:t>
            </w:r>
          </w:p>
        </w:tc>
        <w:tc>
          <w:tcPr>
            <w:tcW w:w="1440" w:type="dxa"/>
            <w:vAlign w:val="center"/>
          </w:tcPr>
          <w:p w:rsidR="00DF04B5" w:rsidRPr="00164A31" w:rsidRDefault="00DF04B5">
            <w:pPr>
              <w:jc w:val="center"/>
              <w:rPr>
                <w:sz w:val="18"/>
                <w:lang w:val="es-MX"/>
              </w:rPr>
            </w:pPr>
            <w:r w:rsidRPr="00164A31">
              <w:rPr>
                <w:sz w:val="18"/>
                <w:lang w:val="es-MX"/>
              </w:rPr>
              <w:t>0</w:t>
            </w:r>
          </w:p>
        </w:tc>
        <w:tc>
          <w:tcPr>
            <w:tcW w:w="1800" w:type="dxa"/>
            <w:vAlign w:val="center"/>
          </w:tcPr>
          <w:p w:rsidR="00DF04B5" w:rsidRPr="00164A31" w:rsidRDefault="00DF04B5">
            <w:pPr>
              <w:jc w:val="center"/>
              <w:rPr>
                <w:sz w:val="18"/>
                <w:lang w:val="es-MX"/>
              </w:rPr>
            </w:pPr>
            <w:r>
              <w:rPr>
                <w:sz w:val="18"/>
                <w:lang w:val="es-MX"/>
              </w:rPr>
              <w:t>0</w:t>
            </w:r>
          </w:p>
        </w:tc>
        <w:tc>
          <w:tcPr>
            <w:tcW w:w="1620" w:type="dxa"/>
            <w:vAlign w:val="center"/>
          </w:tcPr>
          <w:p w:rsidR="00DF04B5" w:rsidRDefault="00DF04B5">
            <w:pPr>
              <w:jc w:val="center"/>
              <w:rPr>
                <w:sz w:val="18"/>
                <w:lang w:val="es-MX"/>
              </w:rPr>
            </w:pPr>
            <w:r>
              <w:rPr>
                <w:sz w:val="18"/>
                <w:lang w:val="es-MX"/>
              </w:rPr>
              <w:t>276.452</w:t>
            </w:r>
          </w:p>
        </w:tc>
        <w:tc>
          <w:tcPr>
            <w:tcW w:w="1620" w:type="dxa"/>
            <w:vAlign w:val="center"/>
          </w:tcPr>
          <w:p w:rsidR="00DF04B5" w:rsidRPr="00164A31" w:rsidRDefault="00DF04B5">
            <w:pPr>
              <w:jc w:val="center"/>
              <w:rPr>
                <w:sz w:val="18"/>
                <w:lang w:val="es-MX"/>
              </w:rPr>
            </w:pPr>
            <w:r>
              <w:rPr>
                <w:sz w:val="18"/>
                <w:lang w:val="es-MX"/>
              </w:rPr>
              <w:t>0%</w:t>
            </w:r>
          </w:p>
        </w:tc>
      </w:tr>
      <w:tr w:rsidR="00DF04B5" w:rsidRPr="00367729" w:rsidTr="00CB2590">
        <w:tc>
          <w:tcPr>
            <w:tcW w:w="9682" w:type="dxa"/>
            <w:gridSpan w:val="6"/>
          </w:tcPr>
          <w:p w:rsidR="00DF04B5" w:rsidRPr="00416654" w:rsidRDefault="00DF04B5">
            <w:pPr>
              <w:rPr>
                <w:b/>
                <w:smallCaps/>
                <w:sz w:val="18"/>
                <w:lang w:val="es-MX"/>
              </w:rPr>
            </w:pPr>
            <w:r w:rsidRPr="00416654">
              <w:rPr>
                <w:b/>
                <w:smallCaps/>
                <w:sz w:val="18"/>
                <w:lang w:val="es-MX"/>
              </w:rPr>
              <w:t>Componente III – Fortalecimiento Institucional (US$ </w:t>
            </w:r>
            <w:r>
              <w:rPr>
                <w:b/>
                <w:smallCaps/>
                <w:sz w:val="18"/>
                <w:lang w:val="es-MX"/>
              </w:rPr>
              <w:t>6</w:t>
            </w:r>
            <w:r w:rsidR="00044A7D">
              <w:rPr>
                <w:b/>
                <w:smallCaps/>
                <w:sz w:val="18"/>
                <w:lang w:val="es-MX"/>
              </w:rPr>
              <w:t>.</w:t>
            </w:r>
            <w:r>
              <w:rPr>
                <w:b/>
                <w:smallCaps/>
                <w:sz w:val="18"/>
                <w:lang w:val="es-MX"/>
              </w:rPr>
              <w:t>378</w:t>
            </w:r>
            <w:r w:rsidR="00044A7D">
              <w:rPr>
                <w:b/>
                <w:smallCaps/>
                <w:sz w:val="18"/>
                <w:lang w:val="es-MX"/>
              </w:rPr>
              <w:t>.</w:t>
            </w:r>
            <w:r>
              <w:rPr>
                <w:b/>
                <w:smallCaps/>
                <w:sz w:val="18"/>
                <w:lang w:val="es-MX"/>
              </w:rPr>
              <w:t>715</w:t>
            </w:r>
            <w:r w:rsidRPr="00416654">
              <w:rPr>
                <w:b/>
                <w:smallCaps/>
                <w:sz w:val="18"/>
                <w:lang w:val="es-MX"/>
              </w:rPr>
              <w:t>)</w:t>
            </w:r>
          </w:p>
        </w:tc>
      </w:tr>
      <w:tr w:rsidR="00DF04B5" w:rsidRPr="00164A31" w:rsidTr="00416654">
        <w:trPr>
          <w:trHeight w:val="682"/>
        </w:trPr>
        <w:tc>
          <w:tcPr>
            <w:tcW w:w="2122" w:type="dxa"/>
            <w:vAlign w:val="center"/>
          </w:tcPr>
          <w:p w:rsidR="00DF04B5" w:rsidRPr="00164A31" w:rsidRDefault="00DF04B5">
            <w:pPr>
              <w:jc w:val="left"/>
              <w:rPr>
                <w:sz w:val="18"/>
                <w:lang w:val="es-MX"/>
              </w:rPr>
            </w:pPr>
            <w:r w:rsidRPr="00164A31">
              <w:rPr>
                <w:sz w:val="18"/>
                <w:lang w:val="es-MX"/>
              </w:rPr>
              <w:t xml:space="preserve">III-1: </w:t>
            </w:r>
            <w:r w:rsidRPr="00254D9D">
              <w:rPr>
                <w:sz w:val="18"/>
                <w:lang w:val="es-MX"/>
              </w:rPr>
              <w:t>Cursos de capacitación a las EED</w:t>
            </w:r>
            <w:r>
              <w:rPr>
                <w:sz w:val="18"/>
                <w:lang w:val="es-MX"/>
              </w:rPr>
              <w:t>,</w:t>
            </w:r>
            <w:r w:rsidRPr="00254D9D">
              <w:rPr>
                <w:sz w:val="18"/>
                <w:lang w:val="es-MX"/>
              </w:rPr>
              <w:t xml:space="preserve"> </w:t>
            </w:r>
            <w:r>
              <w:rPr>
                <w:sz w:val="18"/>
                <w:lang w:val="es-MX"/>
              </w:rPr>
              <w:t>implementados.</w:t>
            </w:r>
          </w:p>
        </w:tc>
        <w:tc>
          <w:tcPr>
            <w:tcW w:w="1080" w:type="dxa"/>
            <w:vAlign w:val="center"/>
          </w:tcPr>
          <w:p w:rsidR="00DF04B5" w:rsidRPr="00416654" w:rsidRDefault="00DF04B5">
            <w:pPr>
              <w:jc w:val="center"/>
              <w:rPr>
                <w:sz w:val="18"/>
                <w:szCs w:val="18"/>
                <w:lang w:val="es-MX"/>
              </w:rPr>
            </w:pPr>
            <w:r w:rsidRPr="00416654">
              <w:rPr>
                <w:sz w:val="18"/>
                <w:szCs w:val="18"/>
                <w:lang w:val="es-MX"/>
              </w:rPr>
              <w:t>0</w:t>
            </w:r>
          </w:p>
        </w:tc>
        <w:tc>
          <w:tcPr>
            <w:tcW w:w="1440" w:type="dxa"/>
            <w:vAlign w:val="center"/>
          </w:tcPr>
          <w:p w:rsidR="00DF04B5" w:rsidRPr="00416654" w:rsidRDefault="00DF04B5">
            <w:pPr>
              <w:jc w:val="center"/>
              <w:rPr>
                <w:sz w:val="18"/>
                <w:szCs w:val="18"/>
                <w:lang w:val="es-MX"/>
              </w:rPr>
            </w:pPr>
            <w:r w:rsidRPr="00416654">
              <w:rPr>
                <w:sz w:val="18"/>
                <w:szCs w:val="18"/>
                <w:lang w:val="es-MX"/>
              </w:rPr>
              <w:t>0</w:t>
            </w:r>
          </w:p>
        </w:tc>
        <w:tc>
          <w:tcPr>
            <w:tcW w:w="1800" w:type="dxa"/>
            <w:vAlign w:val="center"/>
          </w:tcPr>
          <w:p w:rsidR="00DF04B5" w:rsidRPr="00416654" w:rsidRDefault="00DF04B5">
            <w:pPr>
              <w:jc w:val="center"/>
              <w:rPr>
                <w:sz w:val="18"/>
                <w:szCs w:val="18"/>
                <w:lang w:val="es-MX"/>
              </w:rPr>
            </w:pPr>
            <w:r w:rsidRPr="00416654">
              <w:rPr>
                <w:sz w:val="18"/>
                <w:szCs w:val="18"/>
                <w:lang w:val="es-MX"/>
              </w:rPr>
              <w:t>0</w:t>
            </w:r>
          </w:p>
        </w:tc>
        <w:tc>
          <w:tcPr>
            <w:tcW w:w="1620" w:type="dxa"/>
            <w:vAlign w:val="center"/>
          </w:tcPr>
          <w:p w:rsidR="00DF04B5" w:rsidRPr="00416654" w:rsidDel="00CA6A1B" w:rsidRDefault="00DF04B5">
            <w:pPr>
              <w:jc w:val="center"/>
              <w:rPr>
                <w:sz w:val="18"/>
                <w:szCs w:val="18"/>
                <w:lang w:val="es-MX"/>
              </w:rPr>
            </w:pPr>
            <w:r w:rsidRPr="00416654">
              <w:rPr>
                <w:sz w:val="18"/>
                <w:szCs w:val="18"/>
                <w:lang w:val="es-MX"/>
              </w:rPr>
              <w:t>1.500.000</w:t>
            </w:r>
          </w:p>
        </w:tc>
        <w:tc>
          <w:tcPr>
            <w:tcW w:w="1620" w:type="dxa"/>
            <w:vAlign w:val="center"/>
          </w:tcPr>
          <w:p w:rsidR="00DF04B5" w:rsidRPr="00416654" w:rsidRDefault="00DF04B5">
            <w:pPr>
              <w:jc w:val="center"/>
              <w:rPr>
                <w:sz w:val="18"/>
                <w:szCs w:val="18"/>
                <w:lang w:val="es-MX"/>
              </w:rPr>
            </w:pPr>
            <w:r w:rsidRPr="00416654">
              <w:rPr>
                <w:sz w:val="18"/>
                <w:szCs w:val="18"/>
                <w:lang w:val="es-MX"/>
              </w:rPr>
              <w:t>0%</w:t>
            </w:r>
          </w:p>
        </w:tc>
      </w:tr>
      <w:tr w:rsidR="00DF04B5" w:rsidRPr="00367729" w:rsidTr="00416654">
        <w:trPr>
          <w:trHeight w:val="564"/>
        </w:trPr>
        <w:tc>
          <w:tcPr>
            <w:tcW w:w="2122" w:type="dxa"/>
            <w:vAlign w:val="center"/>
          </w:tcPr>
          <w:p w:rsidR="00DF04B5" w:rsidRPr="00164A31" w:rsidRDefault="00DF04B5">
            <w:pPr>
              <w:jc w:val="left"/>
              <w:rPr>
                <w:sz w:val="18"/>
                <w:lang w:val="es-MX"/>
              </w:rPr>
            </w:pPr>
            <w:r w:rsidRPr="00164A31">
              <w:rPr>
                <w:sz w:val="18"/>
                <w:lang w:val="es-MX"/>
              </w:rPr>
              <w:t xml:space="preserve">III-2: </w:t>
            </w:r>
            <w:r w:rsidRPr="00C3365D">
              <w:rPr>
                <w:sz w:val="18"/>
                <w:lang w:val="es-MX"/>
              </w:rPr>
              <w:t xml:space="preserve">Diseños </w:t>
            </w:r>
            <w:r>
              <w:rPr>
                <w:sz w:val="18"/>
                <w:lang w:val="es-MX"/>
              </w:rPr>
              <w:t>d</w:t>
            </w:r>
            <w:r w:rsidRPr="00C3365D">
              <w:rPr>
                <w:sz w:val="18"/>
                <w:lang w:val="es-MX"/>
              </w:rPr>
              <w:t xml:space="preserve">efinitivos </w:t>
            </w:r>
            <w:r>
              <w:rPr>
                <w:sz w:val="18"/>
                <w:lang w:val="es-MX"/>
              </w:rPr>
              <w:t>de nuevos</w:t>
            </w:r>
            <w:r w:rsidRPr="00C3365D">
              <w:rPr>
                <w:sz w:val="18"/>
                <w:lang w:val="es-MX"/>
              </w:rPr>
              <w:t xml:space="preserve"> proyectos del RSND</w:t>
            </w:r>
            <w:r>
              <w:rPr>
                <w:sz w:val="18"/>
                <w:lang w:val="es-MX"/>
              </w:rPr>
              <w:t>.</w:t>
            </w:r>
          </w:p>
        </w:tc>
        <w:tc>
          <w:tcPr>
            <w:tcW w:w="1080" w:type="dxa"/>
            <w:vAlign w:val="center"/>
          </w:tcPr>
          <w:p w:rsidR="00DF04B5" w:rsidRPr="00416654" w:rsidRDefault="00DF04B5">
            <w:pPr>
              <w:jc w:val="center"/>
              <w:rPr>
                <w:sz w:val="18"/>
                <w:szCs w:val="18"/>
                <w:lang w:val="es-MX"/>
              </w:rPr>
            </w:pPr>
            <w:r w:rsidRPr="00416654">
              <w:rPr>
                <w:sz w:val="18"/>
                <w:szCs w:val="18"/>
                <w:lang w:val="es-MX"/>
              </w:rPr>
              <w:t>648.496</w:t>
            </w:r>
          </w:p>
        </w:tc>
        <w:tc>
          <w:tcPr>
            <w:tcW w:w="1440" w:type="dxa"/>
            <w:vAlign w:val="center"/>
          </w:tcPr>
          <w:p w:rsidR="00DF04B5" w:rsidRPr="00416654" w:rsidRDefault="00DF04B5">
            <w:pPr>
              <w:jc w:val="center"/>
              <w:rPr>
                <w:sz w:val="18"/>
                <w:szCs w:val="18"/>
                <w:lang w:val="es-MX"/>
              </w:rPr>
            </w:pPr>
            <w:r w:rsidRPr="00416654">
              <w:rPr>
                <w:sz w:val="18"/>
                <w:szCs w:val="18"/>
                <w:lang w:val="es-MX"/>
              </w:rPr>
              <w:t>648.496</w:t>
            </w:r>
          </w:p>
        </w:tc>
        <w:tc>
          <w:tcPr>
            <w:tcW w:w="1800" w:type="dxa"/>
            <w:vAlign w:val="center"/>
          </w:tcPr>
          <w:p w:rsidR="00DF04B5" w:rsidRPr="00416654" w:rsidRDefault="00DF04B5">
            <w:pPr>
              <w:jc w:val="center"/>
              <w:rPr>
                <w:rFonts w:ascii="Calibri" w:hAnsi="Calibri"/>
                <w:color w:val="000000"/>
                <w:sz w:val="18"/>
                <w:szCs w:val="18"/>
              </w:rPr>
            </w:pPr>
            <w:r w:rsidRPr="00416654">
              <w:rPr>
                <w:rFonts w:ascii="Calibri" w:hAnsi="Calibri"/>
                <w:color w:val="000000"/>
                <w:sz w:val="18"/>
                <w:szCs w:val="18"/>
              </w:rPr>
              <w:t xml:space="preserve">306.492.49 </w:t>
            </w:r>
          </w:p>
        </w:tc>
        <w:tc>
          <w:tcPr>
            <w:tcW w:w="1620" w:type="dxa"/>
            <w:vAlign w:val="center"/>
          </w:tcPr>
          <w:p w:rsidR="00DF04B5" w:rsidRPr="00416654" w:rsidRDefault="00DF04B5">
            <w:pPr>
              <w:jc w:val="center"/>
              <w:rPr>
                <w:sz w:val="18"/>
                <w:szCs w:val="18"/>
                <w:lang w:val="es-MX"/>
              </w:rPr>
            </w:pPr>
            <w:r w:rsidRPr="00416654">
              <w:rPr>
                <w:sz w:val="18"/>
                <w:szCs w:val="18"/>
                <w:lang w:val="es-MX"/>
              </w:rPr>
              <w:t>4.878.715</w:t>
            </w:r>
          </w:p>
        </w:tc>
        <w:tc>
          <w:tcPr>
            <w:tcW w:w="1620" w:type="dxa"/>
            <w:vAlign w:val="center"/>
          </w:tcPr>
          <w:p w:rsidR="00DF04B5" w:rsidRPr="00416654" w:rsidRDefault="00DF04B5">
            <w:pPr>
              <w:jc w:val="center"/>
              <w:rPr>
                <w:sz w:val="18"/>
                <w:szCs w:val="18"/>
                <w:lang w:val="es-MX"/>
              </w:rPr>
            </w:pPr>
            <w:r w:rsidRPr="00416654">
              <w:rPr>
                <w:sz w:val="18"/>
                <w:szCs w:val="18"/>
                <w:lang w:val="es-MX"/>
              </w:rPr>
              <w:t>13%</w:t>
            </w:r>
          </w:p>
        </w:tc>
      </w:tr>
    </w:tbl>
    <w:p w:rsidR="00E807B0" w:rsidRDefault="00E807B0" w:rsidP="00BC1A73">
      <w:pPr>
        <w:rPr>
          <w:lang w:val="es-MX"/>
        </w:rPr>
      </w:pPr>
    </w:p>
    <w:tbl>
      <w:tblPr>
        <w:tblStyle w:val="TableGrid"/>
        <w:tblW w:w="9648" w:type="dxa"/>
        <w:tblLook w:val="04A0" w:firstRow="1" w:lastRow="0" w:firstColumn="1" w:lastColumn="0" w:noHBand="0" w:noVBand="1"/>
      </w:tblPr>
      <w:tblGrid>
        <w:gridCol w:w="1763"/>
        <w:gridCol w:w="1495"/>
        <w:gridCol w:w="1532"/>
        <w:gridCol w:w="1618"/>
        <w:gridCol w:w="1620"/>
        <w:gridCol w:w="1620"/>
      </w:tblGrid>
      <w:tr w:rsidR="001556E9" w:rsidRPr="00885869" w:rsidTr="00416654">
        <w:tc>
          <w:tcPr>
            <w:tcW w:w="9648" w:type="dxa"/>
            <w:gridSpan w:val="6"/>
          </w:tcPr>
          <w:p w:rsidR="001556E9" w:rsidRDefault="001556E9">
            <w:pPr>
              <w:jc w:val="left"/>
              <w:rPr>
                <w:b/>
                <w:sz w:val="18"/>
                <w:lang w:val="es-MX"/>
              </w:rPr>
            </w:pPr>
            <w:r w:rsidRPr="00173336">
              <w:rPr>
                <w:b/>
                <w:sz w:val="18"/>
                <w:lang w:val="es-MX"/>
              </w:rPr>
              <w:t>Otros costos</w:t>
            </w:r>
            <w:r>
              <w:rPr>
                <w:b/>
                <w:sz w:val="18"/>
                <w:lang w:val="es-MX"/>
              </w:rPr>
              <w:t xml:space="preserve"> (US$4.356.630)</w:t>
            </w:r>
          </w:p>
        </w:tc>
      </w:tr>
      <w:tr w:rsidR="001556E9" w:rsidRPr="00885869" w:rsidTr="00416654">
        <w:tc>
          <w:tcPr>
            <w:tcW w:w="1763" w:type="dxa"/>
          </w:tcPr>
          <w:p w:rsidR="001556E9" w:rsidRPr="00416654" w:rsidRDefault="001556E9" w:rsidP="00416654">
            <w:pPr>
              <w:jc w:val="center"/>
              <w:rPr>
                <w:b/>
                <w:sz w:val="18"/>
                <w:lang w:val="es-MX"/>
              </w:rPr>
            </w:pPr>
          </w:p>
        </w:tc>
        <w:tc>
          <w:tcPr>
            <w:tcW w:w="1495" w:type="dxa"/>
            <w:vAlign w:val="center"/>
          </w:tcPr>
          <w:p w:rsidR="001556E9" w:rsidRDefault="001556E9" w:rsidP="00416654">
            <w:pPr>
              <w:jc w:val="center"/>
              <w:rPr>
                <w:b/>
                <w:sz w:val="18"/>
                <w:lang w:val="es-MX"/>
              </w:rPr>
            </w:pPr>
            <w:r w:rsidRPr="00D67F1F">
              <w:rPr>
                <w:b/>
                <w:sz w:val="18"/>
                <w:lang w:val="es-MX"/>
              </w:rPr>
              <w:t xml:space="preserve">Planificado </w:t>
            </w:r>
          </w:p>
          <w:p w:rsidR="001556E9" w:rsidRPr="00416654" w:rsidRDefault="001556E9" w:rsidP="00416654">
            <w:pPr>
              <w:jc w:val="center"/>
              <w:rPr>
                <w:b/>
                <w:sz w:val="18"/>
                <w:lang w:val="es-MX"/>
              </w:rPr>
            </w:pPr>
            <w:r>
              <w:rPr>
                <w:b/>
                <w:sz w:val="18"/>
                <w:lang w:val="es-MX"/>
              </w:rPr>
              <w:t>2014</w:t>
            </w:r>
          </w:p>
        </w:tc>
        <w:tc>
          <w:tcPr>
            <w:tcW w:w="1532" w:type="dxa"/>
            <w:vAlign w:val="center"/>
          </w:tcPr>
          <w:p w:rsidR="001556E9" w:rsidRDefault="001556E9" w:rsidP="00416654">
            <w:pPr>
              <w:jc w:val="center"/>
              <w:rPr>
                <w:b/>
                <w:sz w:val="18"/>
                <w:lang w:val="es-MX"/>
              </w:rPr>
            </w:pPr>
            <w:r w:rsidRPr="00D67F1F">
              <w:rPr>
                <w:b/>
                <w:sz w:val="18"/>
                <w:lang w:val="es-MX"/>
              </w:rPr>
              <w:t xml:space="preserve">Ejecutado </w:t>
            </w:r>
          </w:p>
          <w:p w:rsidR="001556E9" w:rsidRPr="00416654" w:rsidRDefault="001556E9" w:rsidP="00416654">
            <w:pPr>
              <w:jc w:val="center"/>
              <w:rPr>
                <w:b/>
                <w:sz w:val="18"/>
                <w:lang w:val="es-MX"/>
              </w:rPr>
            </w:pPr>
            <w:proofErr w:type="spellStart"/>
            <w:r>
              <w:rPr>
                <w:b/>
                <w:sz w:val="18"/>
                <w:lang w:val="es-MX"/>
              </w:rPr>
              <w:t>Agos</w:t>
            </w:r>
            <w:proofErr w:type="spellEnd"/>
            <w:r>
              <w:rPr>
                <w:b/>
                <w:sz w:val="18"/>
                <w:lang w:val="es-MX"/>
              </w:rPr>
              <w:t>- dic 2014</w:t>
            </w:r>
          </w:p>
        </w:tc>
        <w:tc>
          <w:tcPr>
            <w:tcW w:w="1618" w:type="dxa"/>
            <w:vAlign w:val="center"/>
          </w:tcPr>
          <w:p w:rsidR="001556E9" w:rsidRDefault="001556E9" w:rsidP="00E36E02">
            <w:pPr>
              <w:jc w:val="center"/>
              <w:rPr>
                <w:b/>
                <w:sz w:val="18"/>
                <w:lang w:val="es-MX"/>
              </w:rPr>
            </w:pPr>
            <w:r w:rsidRPr="00D67F1F">
              <w:rPr>
                <w:b/>
                <w:sz w:val="18"/>
                <w:lang w:val="es-MX"/>
              </w:rPr>
              <w:t xml:space="preserve">Ejecutado </w:t>
            </w:r>
          </w:p>
          <w:p w:rsidR="001556E9" w:rsidRPr="00416654" w:rsidRDefault="001556E9" w:rsidP="00416654">
            <w:pPr>
              <w:jc w:val="center"/>
              <w:rPr>
                <w:b/>
                <w:sz w:val="18"/>
                <w:lang w:val="es-MX"/>
              </w:rPr>
            </w:pPr>
            <w:r>
              <w:rPr>
                <w:b/>
                <w:sz w:val="18"/>
                <w:lang w:val="es-MX"/>
              </w:rPr>
              <w:t>Ene-marzo 2015</w:t>
            </w:r>
          </w:p>
        </w:tc>
        <w:tc>
          <w:tcPr>
            <w:tcW w:w="1620" w:type="dxa"/>
          </w:tcPr>
          <w:p w:rsidR="001556E9" w:rsidRDefault="00883A0A" w:rsidP="00E36E02">
            <w:pPr>
              <w:jc w:val="center"/>
              <w:rPr>
                <w:b/>
                <w:sz w:val="18"/>
                <w:lang w:val="es-MX"/>
              </w:rPr>
            </w:pPr>
            <w:r>
              <w:rPr>
                <w:b/>
                <w:sz w:val="18"/>
                <w:lang w:val="es-MX"/>
              </w:rPr>
              <w:t>Avance a la m</w:t>
            </w:r>
            <w:r w:rsidR="001556E9">
              <w:rPr>
                <w:b/>
                <w:sz w:val="18"/>
                <w:lang w:val="es-MX"/>
              </w:rPr>
              <w:t xml:space="preserve">eta </w:t>
            </w:r>
          </w:p>
          <w:p w:rsidR="001556E9" w:rsidRPr="00885869" w:rsidRDefault="001556E9">
            <w:pPr>
              <w:jc w:val="center"/>
              <w:rPr>
                <w:b/>
                <w:sz w:val="18"/>
                <w:lang w:val="es-MX"/>
              </w:rPr>
            </w:pPr>
            <w:r>
              <w:rPr>
                <w:b/>
                <w:sz w:val="18"/>
                <w:lang w:val="es-MX"/>
              </w:rPr>
              <w:t>2018</w:t>
            </w:r>
          </w:p>
        </w:tc>
        <w:tc>
          <w:tcPr>
            <w:tcW w:w="1620" w:type="dxa"/>
            <w:vAlign w:val="center"/>
          </w:tcPr>
          <w:p w:rsidR="001556E9" w:rsidRDefault="001556E9" w:rsidP="00DF04B5">
            <w:pPr>
              <w:jc w:val="center"/>
              <w:rPr>
                <w:b/>
                <w:sz w:val="18"/>
                <w:lang w:val="es-MX"/>
              </w:rPr>
            </w:pPr>
            <w:r w:rsidRPr="00F26B76">
              <w:rPr>
                <w:b/>
                <w:sz w:val="18"/>
                <w:lang w:val="es-MX"/>
              </w:rPr>
              <w:t>Avance total</w:t>
            </w:r>
            <w:r>
              <w:rPr>
                <w:b/>
                <w:sz w:val="18"/>
                <w:lang w:val="es-MX"/>
              </w:rPr>
              <w:t xml:space="preserve"> (%)</w:t>
            </w:r>
          </w:p>
          <w:p w:rsidR="001556E9" w:rsidRPr="00416654" w:rsidRDefault="001556E9" w:rsidP="00416654">
            <w:pPr>
              <w:jc w:val="center"/>
              <w:rPr>
                <w:b/>
                <w:sz w:val="18"/>
                <w:lang w:val="es-MX"/>
              </w:rPr>
            </w:pPr>
            <w:r>
              <w:rPr>
                <w:b/>
                <w:sz w:val="18"/>
                <w:lang w:val="es-MX"/>
              </w:rPr>
              <w:t>30 mar 2015</w:t>
            </w:r>
          </w:p>
        </w:tc>
      </w:tr>
      <w:tr w:rsidR="001556E9" w:rsidRPr="00885869" w:rsidTr="00416654">
        <w:tc>
          <w:tcPr>
            <w:tcW w:w="1763" w:type="dxa"/>
          </w:tcPr>
          <w:p w:rsidR="001556E9" w:rsidRPr="00885869" w:rsidRDefault="001556E9" w:rsidP="00145594">
            <w:pPr>
              <w:rPr>
                <w:sz w:val="18"/>
                <w:lang w:val="es-MX"/>
              </w:rPr>
            </w:pPr>
            <w:r w:rsidRPr="00885869">
              <w:rPr>
                <w:sz w:val="18"/>
                <w:lang w:val="es-MX"/>
              </w:rPr>
              <w:lastRenderedPageBreak/>
              <w:t>Apoyo a la ejecución del Programa en las EED, contratados</w:t>
            </w:r>
          </w:p>
        </w:tc>
        <w:tc>
          <w:tcPr>
            <w:tcW w:w="1495" w:type="dxa"/>
            <w:vAlign w:val="center"/>
          </w:tcPr>
          <w:p w:rsidR="001556E9" w:rsidRPr="00885869" w:rsidRDefault="001556E9" w:rsidP="00416654">
            <w:pPr>
              <w:jc w:val="center"/>
              <w:rPr>
                <w:sz w:val="18"/>
                <w:lang w:val="es-MX"/>
              </w:rPr>
            </w:pPr>
            <w:r>
              <w:rPr>
                <w:sz w:val="18"/>
                <w:lang w:val="es-MX"/>
              </w:rPr>
              <w:t>0</w:t>
            </w:r>
          </w:p>
        </w:tc>
        <w:tc>
          <w:tcPr>
            <w:tcW w:w="1532" w:type="dxa"/>
            <w:vAlign w:val="center"/>
          </w:tcPr>
          <w:p w:rsidR="001556E9" w:rsidRPr="00885869" w:rsidRDefault="001556E9" w:rsidP="00416654">
            <w:pPr>
              <w:jc w:val="center"/>
              <w:rPr>
                <w:sz w:val="18"/>
                <w:lang w:val="es-MX"/>
              </w:rPr>
            </w:pPr>
            <w:r>
              <w:rPr>
                <w:sz w:val="18"/>
                <w:lang w:val="es-MX"/>
              </w:rPr>
              <w:t>0</w:t>
            </w:r>
          </w:p>
        </w:tc>
        <w:tc>
          <w:tcPr>
            <w:tcW w:w="1618" w:type="dxa"/>
            <w:vAlign w:val="center"/>
          </w:tcPr>
          <w:p w:rsidR="001556E9" w:rsidRPr="00885869" w:rsidRDefault="001556E9" w:rsidP="00416654">
            <w:pPr>
              <w:jc w:val="center"/>
              <w:rPr>
                <w:sz w:val="18"/>
                <w:lang w:val="es-MX"/>
              </w:rPr>
            </w:pPr>
            <w:r>
              <w:rPr>
                <w:sz w:val="18"/>
                <w:lang w:val="es-MX"/>
              </w:rPr>
              <w:t>0</w:t>
            </w:r>
          </w:p>
        </w:tc>
        <w:tc>
          <w:tcPr>
            <w:tcW w:w="1620" w:type="dxa"/>
            <w:vAlign w:val="center"/>
          </w:tcPr>
          <w:p w:rsidR="001556E9" w:rsidRPr="00885869" w:rsidRDefault="001556E9">
            <w:pPr>
              <w:jc w:val="center"/>
              <w:rPr>
                <w:sz w:val="18"/>
                <w:lang w:val="es-MX"/>
              </w:rPr>
            </w:pPr>
            <w:r>
              <w:rPr>
                <w:sz w:val="18"/>
                <w:lang w:val="es-MX"/>
              </w:rPr>
              <w:t>1.998.258</w:t>
            </w:r>
          </w:p>
        </w:tc>
        <w:tc>
          <w:tcPr>
            <w:tcW w:w="1620" w:type="dxa"/>
            <w:vAlign w:val="center"/>
          </w:tcPr>
          <w:p w:rsidR="001556E9" w:rsidRPr="00885869" w:rsidRDefault="001556E9" w:rsidP="00416654">
            <w:pPr>
              <w:jc w:val="center"/>
              <w:rPr>
                <w:sz w:val="18"/>
                <w:lang w:val="es-MX"/>
              </w:rPr>
            </w:pPr>
            <w:r>
              <w:rPr>
                <w:sz w:val="18"/>
                <w:lang w:val="es-MX"/>
              </w:rPr>
              <w:t>0%</w:t>
            </w:r>
          </w:p>
        </w:tc>
      </w:tr>
      <w:tr w:rsidR="001556E9" w:rsidRPr="00885869" w:rsidTr="00416654">
        <w:tc>
          <w:tcPr>
            <w:tcW w:w="1763" w:type="dxa"/>
          </w:tcPr>
          <w:p w:rsidR="001556E9" w:rsidRPr="00885869" w:rsidRDefault="001556E9" w:rsidP="00145594">
            <w:pPr>
              <w:rPr>
                <w:sz w:val="18"/>
                <w:lang w:val="es-MX"/>
              </w:rPr>
            </w:pPr>
            <w:r w:rsidRPr="00885869">
              <w:rPr>
                <w:sz w:val="18"/>
                <w:lang w:val="es-MX"/>
              </w:rPr>
              <w:t>Equipos, software, Informáticos para mejora en la Gestión del Servicio</w:t>
            </w:r>
          </w:p>
        </w:tc>
        <w:tc>
          <w:tcPr>
            <w:tcW w:w="1495" w:type="dxa"/>
            <w:vAlign w:val="center"/>
          </w:tcPr>
          <w:p w:rsidR="001556E9" w:rsidRPr="00885869" w:rsidRDefault="001556E9" w:rsidP="00416654">
            <w:pPr>
              <w:jc w:val="center"/>
              <w:rPr>
                <w:sz w:val="18"/>
                <w:lang w:val="es-MX"/>
              </w:rPr>
            </w:pPr>
            <w:r>
              <w:rPr>
                <w:sz w:val="18"/>
                <w:lang w:val="es-MX"/>
              </w:rPr>
              <w:t>0</w:t>
            </w:r>
          </w:p>
        </w:tc>
        <w:tc>
          <w:tcPr>
            <w:tcW w:w="1532" w:type="dxa"/>
            <w:vAlign w:val="center"/>
          </w:tcPr>
          <w:p w:rsidR="001556E9" w:rsidRPr="00885869" w:rsidRDefault="001556E9" w:rsidP="00416654">
            <w:pPr>
              <w:jc w:val="center"/>
              <w:rPr>
                <w:sz w:val="18"/>
                <w:lang w:val="es-MX"/>
              </w:rPr>
            </w:pPr>
            <w:r>
              <w:rPr>
                <w:sz w:val="18"/>
                <w:lang w:val="es-MX"/>
              </w:rPr>
              <w:t>0</w:t>
            </w:r>
          </w:p>
        </w:tc>
        <w:tc>
          <w:tcPr>
            <w:tcW w:w="1618" w:type="dxa"/>
            <w:vAlign w:val="center"/>
          </w:tcPr>
          <w:p w:rsidR="001556E9" w:rsidRPr="00416654" w:rsidRDefault="001556E9">
            <w:pPr>
              <w:jc w:val="center"/>
              <w:rPr>
                <w:rFonts w:ascii="Calibri" w:hAnsi="Calibri"/>
                <w:color w:val="000000"/>
                <w:sz w:val="18"/>
                <w:szCs w:val="18"/>
              </w:rPr>
            </w:pPr>
            <w:r w:rsidRPr="00416654">
              <w:rPr>
                <w:rFonts w:ascii="Calibri" w:hAnsi="Calibri"/>
                <w:color w:val="000000"/>
                <w:sz w:val="18"/>
                <w:szCs w:val="18"/>
              </w:rPr>
              <w:t>336</w:t>
            </w:r>
            <w:r>
              <w:rPr>
                <w:rFonts w:ascii="Calibri" w:hAnsi="Calibri"/>
                <w:color w:val="000000"/>
                <w:sz w:val="18"/>
                <w:szCs w:val="18"/>
              </w:rPr>
              <w:t>.</w:t>
            </w:r>
            <w:r w:rsidRPr="00416654">
              <w:rPr>
                <w:rFonts w:ascii="Calibri" w:hAnsi="Calibri"/>
                <w:color w:val="000000"/>
                <w:sz w:val="18"/>
                <w:szCs w:val="18"/>
              </w:rPr>
              <w:t>094.17</w:t>
            </w:r>
          </w:p>
          <w:p w:rsidR="001556E9" w:rsidRPr="00416654" w:rsidRDefault="001556E9" w:rsidP="00416654">
            <w:pPr>
              <w:jc w:val="center"/>
              <w:rPr>
                <w:sz w:val="18"/>
                <w:szCs w:val="18"/>
                <w:lang w:val="es-MX"/>
              </w:rPr>
            </w:pPr>
          </w:p>
        </w:tc>
        <w:tc>
          <w:tcPr>
            <w:tcW w:w="1620" w:type="dxa"/>
            <w:vAlign w:val="center"/>
          </w:tcPr>
          <w:p w:rsidR="001556E9" w:rsidRPr="00885869" w:rsidRDefault="001556E9">
            <w:pPr>
              <w:jc w:val="center"/>
              <w:rPr>
                <w:sz w:val="18"/>
                <w:lang w:val="es-MX"/>
              </w:rPr>
            </w:pPr>
            <w:r>
              <w:rPr>
                <w:sz w:val="18"/>
                <w:lang w:val="es-MX"/>
              </w:rPr>
              <w:t>2.358.371</w:t>
            </w:r>
          </w:p>
        </w:tc>
        <w:tc>
          <w:tcPr>
            <w:tcW w:w="1620" w:type="dxa"/>
            <w:vAlign w:val="center"/>
          </w:tcPr>
          <w:p w:rsidR="001556E9" w:rsidRPr="00885869" w:rsidRDefault="001556E9" w:rsidP="00416654">
            <w:pPr>
              <w:jc w:val="center"/>
              <w:rPr>
                <w:sz w:val="18"/>
                <w:lang w:val="es-MX"/>
              </w:rPr>
            </w:pPr>
            <w:r>
              <w:rPr>
                <w:sz w:val="18"/>
                <w:lang w:val="es-MX"/>
              </w:rPr>
              <w:t>14%</w:t>
            </w:r>
          </w:p>
        </w:tc>
      </w:tr>
    </w:tbl>
    <w:p w:rsidR="00885869" w:rsidRDefault="00885869" w:rsidP="00BC1A73">
      <w:pPr>
        <w:rPr>
          <w:lang w:val="es-MX"/>
        </w:rPr>
      </w:pPr>
    </w:p>
    <w:tbl>
      <w:tblPr>
        <w:tblStyle w:val="TableGrid"/>
        <w:tblW w:w="9648" w:type="dxa"/>
        <w:tblLook w:val="04A0" w:firstRow="1" w:lastRow="0" w:firstColumn="1" w:lastColumn="0" w:noHBand="0" w:noVBand="1"/>
      </w:tblPr>
      <w:tblGrid>
        <w:gridCol w:w="1673"/>
        <w:gridCol w:w="1585"/>
        <w:gridCol w:w="1579"/>
        <w:gridCol w:w="1571"/>
        <w:gridCol w:w="1620"/>
        <w:gridCol w:w="1620"/>
      </w:tblGrid>
      <w:tr w:rsidR="001556E9" w:rsidRPr="001556E9" w:rsidTr="00416654">
        <w:tc>
          <w:tcPr>
            <w:tcW w:w="1673" w:type="dxa"/>
            <w:vAlign w:val="center"/>
          </w:tcPr>
          <w:p w:rsidR="001556E9" w:rsidRPr="00416654" w:rsidRDefault="001556E9" w:rsidP="00416654">
            <w:pPr>
              <w:jc w:val="center"/>
              <w:rPr>
                <w:b/>
                <w:sz w:val="18"/>
                <w:lang w:val="es-MX"/>
              </w:rPr>
            </w:pPr>
            <w:r w:rsidRPr="00416654">
              <w:rPr>
                <w:b/>
                <w:sz w:val="18"/>
                <w:lang w:val="es-MX"/>
              </w:rPr>
              <w:t>Total</w:t>
            </w:r>
          </w:p>
        </w:tc>
        <w:tc>
          <w:tcPr>
            <w:tcW w:w="1585" w:type="dxa"/>
            <w:vAlign w:val="center"/>
          </w:tcPr>
          <w:p w:rsidR="001556E9" w:rsidRPr="00416654" w:rsidRDefault="001556E9" w:rsidP="00416654">
            <w:pPr>
              <w:jc w:val="center"/>
              <w:rPr>
                <w:b/>
                <w:sz w:val="18"/>
                <w:lang w:val="es-MX"/>
              </w:rPr>
            </w:pPr>
            <w:r w:rsidRPr="00416654">
              <w:rPr>
                <w:b/>
                <w:sz w:val="18"/>
                <w:lang w:val="es-MX"/>
              </w:rPr>
              <w:t>81.274.581</w:t>
            </w:r>
          </w:p>
        </w:tc>
        <w:tc>
          <w:tcPr>
            <w:tcW w:w="1579" w:type="dxa"/>
            <w:vAlign w:val="center"/>
          </w:tcPr>
          <w:p w:rsidR="001556E9" w:rsidRPr="00416654" w:rsidRDefault="001556E9" w:rsidP="00416654">
            <w:pPr>
              <w:jc w:val="center"/>
              <w:rPr>
                <w:b/>
                <w:sz w:val="18"/>
                <w:lang w:val="es-MX"/>
              </w:rPr>
            </w:pPr>
            <w:r w:rsidRPr="00416654">
              <w:rPr>
                <w:b/>
                <w:sz w:val="18"/>
                <w:lang w:val="es-MX"/>
              </w:rPr>
              <w:t>81.274.581</w:t>
            </w:r>
          </w:p>
        </w:tc>
        <w:tc>
          <w:tcPr>
            <w:tcW w:w="1571" w:type="dxa"/>
            <w:vAlign w:val="center"/>
          </w:tcPr>
          <w:p w:rsidR="001556E9" w:rsidRPr="00416654" w:rsidRDefault="001556E9" w:rsidP="00416654">
            <w:pPr>
              <w:jc w:val="center"/>
              <w:rPr>
                <w:b/>
                <w:sz w:val="18"/>
                <w:lang w:val="es-MX"/>
              </w:rPr>
            </w:pPr>
            <w:r w:rsidRPr="00416654">
              <w:rPr>
                <w:b/>
                <w:sz w:val="18"/>
                <w:lang w:val="es-MX"/>
              </w:rPr>
              <w:t>12</w:t>
            </w:r>
            <w:r>
              <w:rPr>
                <w:b/>
                <w:sz w:val="18"/>
                <w:lang w:val="es-MX"/>
              </w:rPr>
              <w:t>.</w:t>
            </w:r>
            <w:r w:rsidRPr="00416654">
              <w:rPr>
                <w:b/>
                <w:sz w:val="18"/>
                <w:lang w:val="es-MX"/>
              </w:rPr>
              <w:t>222</w:t>
            </w:r>
            <w:r>
              <w:rPr>
                <w:b/>
                <w:sz w:val="18"/>
                <w:lang w:val="es-MX"/>
              </w:rPr>
              <w:t>.</w:t>
            </w:r>
            <w:r w:rsidRPr="00416654">
              <w:rPr>
                <w:b/>
                <w:sz w:val="18"/>
                <w:lang w:val="es-MX"/>
              </w:rPr>
              <w:t xml:space="preserve">893 </w:t>
            </w:r>
          </w:p>
        </w:tc>
        <w:tc>
          <w:tcPr>
            <w:tcW w:w="1620" w:type="dxa"/>
          </w:tcPr>
          <w:p w:rsidR="001556E9" w:rsidRDefault="001556E9">
            <w:pPr>
              <w:jc w:val="center"/>
              <w:rPr>
                <w:b/>
                <w:sz w:val="18"/>
                <w:lang w:val="es-MX"/>
              </w:rPr>
            </w:pPr>
            <w:r w:rsidRPr="00D67F1F">
              <w:rPr>
                <w:b/>
                <w:sz w:val="18"/>
                <w:lang w:val="es-MX"/>
              </w:rPr>
              <w:t>220.000.000</w:t>
            </w:r>
          </w:p>
        </w:tc>
        <w:tc>
          <w:tcPr>
            <w:tcW w:w="1620" w:type="dxa"/>
            <w:vAlign w:val="center"/>
          </w:tcPr>
          <w:p w:rsidR="001556E9" w:rsidRPr="00416654" w:rsidRDefault="001556E9">
            <w:pPr>
              <w:jc w:val="center"/>
              <w:rPr>
                <w:b/>
                <w:sz w:val="18"/>
                <w:lang w:val="es-MX"/>
              </w:rPr>
            </w:pPr>
            <w:r>
              <w:rPr>
                <w:b/>
                <w:sz w:val="18"/>
                <w:lang w:val="es-MX"/>
              </w:rPr>
              <w:t>42,4%</w:t>
            </w:r>
          </w:p>
        </w:tc>
      </w:tr>
    </w:tbl>
    <w:p w:rsidR="007F5B48" w:rsidRPr="00416654" w:rsidRDefault="007F5B48" w:rsidP="00416654">
      <w:pPr>
        <w:jc w:val="center"/>
        <w:rPr>
          <w:b/>
          <w:sz w:val="18"/>
          <w:lang w:val="es-MX"/>
        </w:rPr>
      </w:pPr>
    </w:p>
    <w:p w:rsidR="007F5B48" w:rsidRPr="00DE47D0" w:rsidRDefault="00EF15A3" w:rsidP="00416654">
      <w:pPr>
        <w:rPr>
          <w:lang w:val="es-MX"/>
        </w:rPr>
      </w:pPr>
      <w:r w:rsidRPr="00DE47D0">
        <w:rPr>
          <w:lang w:val="es-MX"/>
        </w:rPr>
        <w:t>L</w:t>
      </w:r>
      <w:r w:rsidR="007F5B48" w:rsidRPr="00DE47D0">
        <w:rPr>
          <w:lang w:val="es-MX"/>
        </w:rPr>
        <w:t>as ofertas recibidas de los contratistas están</w:t>
      </w:r>
      <w:r w:rsidRPr="00DE47D0">
        <w:rPr>
          <w:lang w:val="es-MX"/>
        </w:rPr>
        <w:t xml:space="preserve"> en promedio</w:t>
      </w:r>
      <w:r w:rsidR="007F5B48" w:rsidRPr="00DE47D0">
        <w:rPr>
          <w:lang w:val="es-MX"/>
        </w:rPr>
        <w:t xml:space="preserve"> ligeramente por debajo de los precios de referencia manejados por las EED. El primer Informe Semestral </w:t>
      </w:r>
      <w:r w:rsidR="00044A7D">
        <w:rPr>
          <w:lang w:val="es-MX"/>
        </w:rPr>
        <w:t xml:space="preserve">del OE </w:t>
      </w:r>
      <w:r w:rsidR="007F5B48" w:rsidRPr="00DE47D0">
        <w:rPr>
          <w:lang w:val="es-MX"/>
        </w:rPr>
        <w:t xml:space="preserve">indica un ahorro de aprox. USD 5 millones sobre un volumen adjudicado, que se </w:t>
      </w:r>
      <w:r w:rsidR="00B674AA" w:rsidRPr="00DE47D0">
        <w:rPr>
          <w:lang w:val="es-MX"/>
        </w:rPr>
        <w:t>propone utilizar</w:t>
      </w:r>
      <w:r w:rsidR="007F5B48" w:rsidRPr="00DE47D0">
        <w:rPr>
          <w:lang w:val="es-MX"/>
        </w:rPr>
        <w:t xml:space="preserve"> para ejecutar proyectos adicionales</w:t>
      </w:r>
      <w:r w:rsidR="007F5B48" w:rsidRPr="00164A31">
        <w:rPr>
          <w:rStyle w:val="FootnoteReference"/>
          <w:lang w:val="es-MX"/>
        </w:rPr>
        <w:footnoteReference w:id="17"/>
      </w:r>
      <w:r w:rsidR="007F5B48" w:rsidRPr="00DE47D0">
        <w:rPr>
          <w:lang w:val="es-MX"/>
        </w:rPr>
        <w:t xml:space="preserve">. </w:t>
      </w:r>
    </w:p>
    <w:p w:rsidR="00294850" w:rsidRPr="00164A31" w:rsidRDefault="00294850" w:rsidP="0079207E">
      <w:pPr>
        <w:pStyle w:val="Heading3"/>
        <w:rPr>
          <w:lang w:val="es-MX"/>
        </w:rPr>
      </w:pPr>
      <w:r w:rsidRPr="00044A7D">
        <w:rPr>
          <w:lang w:val="es-MX"/>
        </w:rPr>
        <w:t>Discusión</w:t>
      </w:r>
    </w:p>
    <w:p w:rsidR="00294850" w:rsidRPr="00164A31" w:rsidRDefault="00294850" w:rsidP="00016B21">
      <w:pPr>
        <w:rPr>
          <w:lang w:val="es-MX"/>
        </w:rPr>
      </w:pPr>
      <w:r w:rsidRPr="00164A31">
        <w:rPr>
          <w:lang w:val="es-MX"/>
        </w:rPr>
        <w:t xml:space="preserve">La Evaluación estima que la eficiencia de la Operación </w:t>
      </w:r>
      <w:r w:rsidR="002A24EA" w:rsidRPr="00164A31">
        <w:rPr>
          <w:lang w:val="es-MX"/>
        </w:rPr>
        <w:t>se apega a lo previsto</w:t>
      </w:r>
      <w:r w:rsidRPr="00164A31">
        <w:rPr>
          <w:lang w:val="es-MX"/>
        </w:rPr>
        <w:t xml:space="preserve">. </w:t>
      </w:r>
    </w:p>
    <w:p w:rsidR="00294850" w:rsidRPr="00164A31" w:rsidRDefault="00294850" w:rsidP="00016B21">
      <w:pPr>
        <w:rPr>
          <w:lang w:val="es-MX"/>
        </w:rPr>
      </w:pPr>
    </w:p>
    <w:p w:rsidR="00DC2F38" w:rsidRPr="00416654" w:rsidRDefault="00DC2F38" w:rsidP="0079207E">
      <w:pPr>
        <w:pStyle w:val="Heading2"/>
        <w:rPr>
          <w:b/>
          <w:lang w:val="es-MX"/>
        </w:rPr>
      </w:pPr>
      <w:bookmarkStart w:id="9" w:name="_Toc416868841"/>
      <w:r w:rsidRPr="00416654">
        <w:rPr>
          <w:b/>
          <w:lang w:val="es-MX"/>
        </w:rPr>
        <w:t>Relevancia</w:t>
      </w:r>
      <w:bookmarkEnd w:id="9"/>
    </w:p>
    <w:p w:rsidR="00871232" w:rsidRPr="00164A31" w:rsidRDefault="007E450A" w:rsidP="0030383A">
      <w:pPr>
        <w:rPr>
          <w:lang w:val="es-MX"/>
        </w:rPr>
      </w:pPr>
      <w:r w:rsidRPr="00164A31">
        <w:rPr>
          <w:lang w:val="es-MX"/>
        </w:rPr>
        <w:t xml:space="preserve">La Evaluación </w:t>
      </w:r>
      <w:r w:rsidR="001B08B1">
        <w:rPr>
          <w:lang w:val="es-MX"/>
        </w:rPr>
        <w:t>confirma</w:t>
      </w:r>
      <w:r w:rsidRPr="00164A31">
        <w:rPr>
          <w:lang w:val="es-MX"/>
        </w:rPr>
        <w:t xml:space="preserve"> la relevancia de la Operación como instrumento para contribuir a los objetivos estratégicos y sectoriales del Ecuador.</w:t>
      </w:r>
      <w:r w:rsidR="0030383A" w:rsidRPr="00164A31">
        <w:rPr>
          <w:lang w:val="es-MX"/>
        </w:rPr>
        <w:t xml:space="preserve"> A este nivel, pueden considerarse: (i) </w:t>
      </w:r>
      <w:r w:rsidR="00824AF9" w:rsidRPr="00164A31">
        <w:rPr>
          <w:lang w:val="es-MX"/>
        </w:rPr>
        <w:t xml:space="preserve">el rol fundamental del Programa RSND para facilitar la transición energética, estratégica para el país; (ii) </w:t>
      </w:r>
      <w:r w:rsidR="0030383A" w:rsidRPr="00164A31">
        <w:rPr>
          <w:lang w:val="es-MX"/>
        </w:rPr>
        <w:t>el impacto de una mejor calidad del servicio eléctrico en la población, servicios públicos y sistemas productivos; (</w:t>
      </w:r>
      <w:r w:rsidR="00824AF9" w:rsidRPr="00164A31">
        <w:rPr>
          <w:lang w:val="es-MX"/>
        </w:rPr>
        <w:t>i</w:t>
      </w:r>
      <w:r w:rsidR="0030383A" w:rsidRPr="00164A31">
        <w:rPr>
          <w:lang w:val="es-MX"/>
        </w:rPr>
        <w:t>ii) el incremento de eficiencia en el uso de energías primaria, implicando ahorros en costos operativos (combustible para generación térmica) y costos de capital (postergación de nuevos centrales); (i</w:t>
      </w:r>
      <w:r w:rsidR="00824AF9" w:rsidRPr="00164A31">
        <w:rPr>
          <w:lang w:val="es-MX"/>
        </w:rPr>
        <w:t>v</w:t>
      </w:r>
      <w:r w:rsidR="0030383A" w:rsidRPr="00164A31">
        <w:rPr>
          <w:lang w:val="es-MX"/>
        </w:rPr>
        <w:t xml:space="preserve">) una probable reducción en los costos de operación y mantenimiento de los sistemas de </w:t>
      </w:r>
      <w:proofErr w:type="spellStart"/>
      <w:r w:rsidR="0030383A" w:rsidRPr="00164A31">
        <w:rPr>
          <w:lang w:val="es-MX"/>
        </w:rPr>
        <w:t>subtransmisión</w:t>
      </w:r>
      <w:proofErr w:type="spellEnd"/>
      <w:r w:rsidR="0030383A" w:rsidRPr="00164A31">
        <w:rPr>
          <w:lang w:val="es-MX"/>
        </w:rPr>
        <w:t xml:space="preserve"> y distribución</w:t>
      </w:r>
      <w:r w:rsidR="0036412F">
        <w:rPr>
          <w:lang w:val="es-MX"/>
        </w:rPr>
        <w:t xml:space="preserve">; (v) contribución para facilitar la incorporación de cargas al SND que promuevan la sustitución de combustibles fósiles por electricidad. </w:t>
      </w:r>
      <w:r w:rsidR="00824AF9" w:rsidRPr="00164A31">
        <w:rPr>
          <w:lang w:val="es-MX"/>
        </w:rPr>
        <w:t>E</w:t>
      </w:r>
      <w:r w:rsidRPr="00164A31">
        <w:rPr>
          <w:lang w:val="es-MX"/>
        </w:rPr>
        <w:t>l desarrollo de iniciativas paralelas enfocadas al mejoramiento de la infraestructura eléctrica del país</w:t>
      </w:r>
      <w:r w:rsidR="00824AF9" w:rsidRPr="00164A31">
        <w:rPr>
          <w:rStyle w:val="FootnoteReference"/>
          <w:lang w:val="es-MX"/>
        </w:rPr>
        <w:footnoteReference w:id="18"/>
      </w:r>
      <w:r w:rsidR="00824AF9" w:rsidRPr="00164A31">
        <w:rPr>
          <w:lang w:val="es-MX"/>
        </w:rPr>
        <w:t xml:space="preserve"> reconfirma la relevancia de la Operación, y demuestra claramente la importancia de f</w:t>
      </w:r>
      <w:r w:rsidR="00EC0BC4" w:rsidRPr="00164A31">
        <w:rPr>
          <w:lang w:val="es-MX"/>
        </w:rPr>
        <w:t>uentes de financiamiento externas</w:t>
      </w:r>
      <w:r w:rsidR="00824AF9" w:rsidRPr="00164A31">
        <w:rPr>
          <w:lang w:val="es-MX"/>
        </w:rPr>
        <w:t xml:space="preserve"> para el Ecuador</w:t>
      </w:r>
      <w:r w:rsidRPr="00164A31">
        <w:rPr>
          <w:lang w:val="es-MX"/>
        </w:rPr>
        <w:t>.</w:t>
      </w:r>
    </w:p>
    <w:p w:rsidR="00D12CF8" w:rsidRPr="00164A31" w:rsidRDefault="0079207E" w:rsidP="0079207E">
      <w:pPr>
        <w:pStyle w:val="Heading3"/>
        <w:rPr>
          <w:lang w:val="es-MX"/>
        </w:rPr>
      </w:pPr>
      <w:r w:rsidRPr="00164A31">
        <w:rPr>
          <w:lang w:val="es-MX"/>
        </w:rPr>
        <w:t>Nivel de I</w:t>
      </w:r>
      <w:r w:rsidR="00D12CF8" w:rsidRPr="00164A31">
        <w:rPr>
          <w:lang w:val="es-MX"/>
        </w:rPr>
        <w:t>mpacto</w:t>
      </w:r>
    </w:p>
    <w:p w:rsidR="0036412F" w:rsidRDefault="00871232" w:rsidP="00016B21">
      <w:pPr>
        <w:rPr>
          <w:lang w:val="es-MX"/>
        </w:rPr>
      </w:pPr>
      <w:r w:rsidRPr="00164A31">
        <w:rPr>
          <w:lang w:val="es-MX"/>
        </w:rPr>
        <w:t xml:space="preserve">A nivel de impacto, se mantiene la necesidad de avanzar en reducir emisiones de Gases de Efecto Invernadero (GEI) por el sector </w:t>
      </w:r>
      <w:r w:rsidR="007975DC" w:rsidRPr="00164A31">
        <w:rPr>
          <w:lang w:val="es-MX"/>
        </w:rPr>
        <w:t>eléctrico</w:t>
      </w:r>
      <w:r w:rsidR="001B08B1">
        <w:rPr>
          <w:lang w:val="es-MX"/>
        </w:rPr>
        <w:t xml:space="preserve"> </w:t>
      </w:r>
      <w:r w:rsidR="007975DC" w:rsidRPr="00164A31">
        <w:rPr>
          <w:lang w:val="es-MX"/>
        </w:rPr>
        <w:t xml:space="preserve">(Indicador #1) </w:t>
      </w:r>
      <w:r w:rsidRPr="00164A31">
        <w:rPr>
          <w:lang w:val="es-MX"/>
        </w:rPr>
        <w:t xml:space="preserve">como parte de los compromisos (voluntarios) del Ecuador en el marco la Convención Marco de la Naciones Unidas para el Cambio Climático (UNFCCC). </w:t>
      </w:r>
      <w:r w:rsidR="0036412F">
        <w:rPr>
          <w:lang w:val="es-MX"/>
        </w:rPr>
        <w:t xml:space="preserve">El programa contribuye directamente con este indicador al facilitar las condiciones para la incorporación de nuevas cargas al SND que faciliten la sustitución de combustibles fósiles por electricidad. De manera directa el programa promueve el desplazamiento de GLP por electricidad en la cocción de alimentos al adecuar la infraestructura eléctrica para operar a 220 voltios y permitir el uso de cocinas de inducción eficientes, así como para el diseño de la estrategia que permita el avance del PNCE. La contribución a este indicador se mide por el número de usuarios residenciales que deciden migran a electricidad en sustitución de GLP. </w:t>
      </w:r>
    </w:p>
    <w:p w:rsidR="007975DC" w:rsidRPr="00164A31" w:rsidRDefault="007975DC" w:rsidP="00416654">
      <w:pPr>
        <w:spacing w:before="120" w:after="120"/>
        <w:rPr>
          <w:lang w:val="es-MX"/>
        </w:rPr>
      </w:pPr>
      <w:r w:rsidRPr="004B5C4F">
        <w:rPr>
          <w:lang w:val="es-MX"/>
        </w:rPr>
        <w:t xml:space="preserve">En cuanto a la progresiva reducción de pérdidas del sistema (Indicador #2), la Operación adquiere mayor relevancia al preparar el SND para </w:t>
      </w:r>
      <w:r w:rsidR="0036412F" w:rsidRPr="004B5C4F">
        <w:rPr>
          <w:lang w:val="es-MX"/>
        </w:rPr>
        <w:t xml:space="preserve">mitigar el efecto negativo que podría generar </w:t>
      </w:r>
      <w:r w:rsidRPr="004B5C4F">
        <w:rPr>
          <w:lang w:val="es-MX"/>
        </w:rPr>
        <w:t>la introducción masiva de las cocinas de inducción</w:t>
      </w:r>
      <w:r w:rsidR="0036412F" w:rsidRPr="004B5C4F">
        <w:rPr>
          <w:lang w:val="es-MX"/>
        </w:rPr>
        <w:t xml:space="preserve"> que demandan potencia y energía en horas de mayor demanda</w:t>
      </w:r>
      <w:r w:rsidRPr="004B5C4F">
        <w:rPr>
          <w:lang w:val="es-MX"/>
        </w:rPr>
        <w:t>.</w:t>
      </w:r>
      <w:r w:rsidR="0036412F" w:rsidRPr="004B5C4F">
        <w:rPr>
          <w:lang w:val="es-MX"/>
        </w:rPr>
        <w:t xml:space="preserve"> </w:t>
      </w:r>
      <w:r w:rsidR="00017D61" w:rsidRPr="004B5C4F">
        <w:rPr>
          <w:lang w:val="es-MX"/>
        </w:rPr>
        <w:t>De manera proactiva el programa considera además, una reducción adicional de las perdidas eléctricas en línea con las metas del sector al 2022 de alcanzar valores por debajo de 10%</w:t>
      </w:r>
      <w:r w:rsidR="00017D61" w:rsidRPr="004B5C4F">
        <w:rPr>
          <w:rStyle w:val="FootnoteReference"/>
          <w:lang w:val="es-MX"/>
        </w:rPr>
        <w:footnoteReference w:id="19"/>
      </w:r>
      <w:r w:rsidR="00017D61" w:rsidRPr="004B5C4F">
        <w:rPr>
          <w:lang w:val="es-MX"/>
        </w:rPr>
        <w:t>.</w:t>
      </w:r>
    </w:p>
    <w:p w:rsidR="00595253" w:rsidRPr="00416654" w:rsidRDefault="009C6815" w:rsidP="00416654">
      <w:pPr>
        <w:pStyle w:val="Heading2"/>
        <w:spacing w:before="120" w:after="120"/>
        <w:rPr>
          <w:b/>
          <w:lang w:val="es-MX"/>
        </w:rPr>
      </w:pPr>
      <w:bookmarkStart w:id="10" w:name="_Toc416868842"/>
      <w:r w:rsidRPr="00416654">
        <w:rPr>
          <w:b/>
          <w:lang w:val="es-MX"/>
        </w:rPr>
        <w:lastRenderedPageBreak/>
        <w:t>Sostenibilidad</w:t>
      </w:r>
      <w:bookmarkEnd w:id="10"/>
    </w:p>
    <w:p w:rsidR="00296D23" w:rsidRPr="00164A31" w:rsidRDefault="00CB7AB8" w:rsidP="00016B21">
      <w:pPr>
        <w:rPr>
          <w:lang w:val="es-MX"/>
        </w:rPr>
      </w:pPr>
      <w:r w:rsidRPr="00164A31">
        <w:rPr>
          <w:lang w:val="es-MX"/>
        </w:rPr>
        <w:t xml:space="preserve">La sostenibilidad del Programa toma relevancia a </w:t>
      </w:r>
      <w:r w:rsidR="00A70098" w:rsidRPr="00164A31">
        <w:rPr>
          <w:lang w:val="es-MX"/>
        </w:rPr>
        <w:t>nivel de resultados e impacto</w:t>
      </w:r>
      <w:r w:rsidRPr="00164A31">
        <w:rPr>
          <w:lang w:val="es-MX"/>
        </w:rPr>
        <w:t xml:space="preserve"> ya que estos representan cambios </w:t>
      </w:r>
      <w:r w:rsidR="003C176A">
        <w:rPr>
          <w:lang w:val="es-MX"/>
        </w:rPr>
        <w:t>positivos</w:t>
      </w:r>
      <w:r w:rsidR="00A70098" w:rsidRPr="00164A31">
        <w:rPr>
          <w:lang w:val="es-MX"/>
        </w:rPr>
        <w:t xml:space="preserve"> </w:t>
      </w:r>
      <w:r w:rsidRPr="00164A31">
        <w:rPr>
          <w:lang w:val="es-MX"/>
        </w:rPr>
        <w:t>en</w:t>
      </w:r>
      <w:r w:rsidR="00A70098" w:rsidRPr="00164A31">
        <w:rPr>
          <w:lang w:val="es-MX"/>
        </w:rPr>
        <w:t xml:space="preserve"> las </w:t>
      </w:r>
      <w:r w:rsidR="00A70098" w:rsidRPr="00B674AA">
        <w:rPr>
          <w:lang w:val="es-MX"/>
        </w:rPr>
        <w:t xml:space="preserve">condiciones de desarrollo del sector y del país. Se espera que estos </w:t>
      </w:r>
      <w:r w:rsidR="003C176A">
        <w:rPr>
          <w:lang w:val="es-MX"/>
        </w:rPr>
        <w:t xml:space="preserve">cambios </w:t>
      </w:r>
      <w:r w:rsidRPr="00B674AA">
        <w:rPr>
          <w:lang w:val="es-MX"/>
        </w:rPr>
        <w:t xml:space="preserve">persistan terminada la </w:t>
      </w:r>
      <w:r w:rsidR="00B674AA" w:rsidRPr="00B674AA">
        <w:rPr>
          <w:lang w:val="es-MX"/>
        </w:rPr>
        <w:t>Operación.</w:t>
      </w:r>
      <w:r w:rsidR="00B674AA">
        <w:rPr>
          <w:lang w:val="es-MX"/>
        </w:rPr>
        <w:t xml:space="preserve"> La</w:t>
      </w:r>
      <w:r w:rsidR="008A0C9C" w:rsidRPr="00B674AA">
        <w:rPr>
          <w:lang w:val="es-MX"/>
        </w:rPr>
        <w:t xml:space="preserve"> Evaluación no ha identificado factores que pudieran afectar la sostenibili</w:t>
      </w:r>
      <w:r w:rsidR="00A70098" w:rsidRPr="00B674AA">
        <w:rPr>
          <w:lang w:val="es-MX"/>
        </w:rPr>
        <w:t xml:space="preserve">dad de los resultados y que estén </w:t>
      </w:r>
      <w:r w:rsidR="008A0C9C" w:rsidRPr="00B674AA">
        <w:rPr>
          <w:lang w:val="es-MX"/>
        </w:rPr>
        <w:t>dentro de</w:t>
      </w:r>
      <w:r w:rsidR="003C176A">
        <w:rPr>
          <w:lang w:val="es-MX"/>
        </w:rPr>
        <w:t>l</w:t>
      </w:r>
      <w:r w:rsidR="008A0C9C" w:rsidRPr="00B674AA">
        <w:rPr>
          <w:lang w:val="es-MX"/>
        </w:rPr>
        <w:t xml:space="preserve"> control de</w:t>
      </w:r>
      <w:r w:rsidR="003C176A">
        <w:rPr>
          <w:lang w:val="es-MX"/>
        </w:rPr>
        <w:t xml:space="preserve"> </w:t>
      </w:r>
      <w:r w:rsidR="008A0C9C" w:rsidRPr="00B674AA">
        <w:rPr>
          <w:lang w:val="es-MX"/>
        </w:rPr>
        <w:t>l</w:t>
      </w:r>
      <w:r w:rsidR="003C176A">
        <w:rPr>
          <w:lang w:val="es-MX"/>
        </w:rPr>
        <w:t>a</w:t>
      </w:r>
      <w:r w:rsidR="008A0C9C" w:rsidRPr="00B674AA">
        <w:rPr>
          <w:lang w:val="es-MX"/>
        </w:rPr>
        <w:t xml:space="preserve"> </w:t>
      </w:r>
      <w:r w:rsidR="003C176A">
        <w:rPr>
          <w:lang w:val="es-MX"/>
        </w:rPr>
        <w:t>Operación</w:t>
      </w:r>
      <w:r w:rsidR="008A0C9C" w:rsidRPr="00B674AA">
        <w:rPr>
          <w:lang w:val="es-MX"/>
        </w:rPr>
        <w:t>.</w:t>
      </w:r>
      <w:r w:rsidR="008A0C9C" w:rsidRPr="00164A31">
        <w:rPr>
          <w:lang w:val="es-MX"/>
        </w:rPr>
        <w:t xml:space="preserve"> </w:t>
      </w:r>
    </w:p>
    <w:p w:rsidR="00017D61" w:rsidRPr="00017D61" w:rsidRDefault="00FD69DA" w:rsidP="00416654">
      <w:pPr>
        <w:rPr>
          <w:lang w:val="es-MX"/>
        </w:rPr>
      </w:pPr>
      <w:r w:rsidRPr="00017D61">
        <w:rPr>
          <w:lang w:val="es-MX"/>
        </w:rPr>
        <w:t xml:space="preserve">A largo plazo, la sostenibilidad del Componente I dependerá de la gestión integral del SND, estrechamente vinculada a: </w:t>
      </w:r>
    </w:p>
    <w:p w:rsidR="00017D61" w:rsidRDefault="00FD69DA" w:rsidP="0071276C">
      <w:pPr>
        <w:pStyle w:val="ListParagraph"/>
        <w:numPr>
          <w:ilvl w:val="0"/>
          <w:numId w:val="4"/>
        </w:numPr>
        <w:rPr>
          <w:lang w:val="es-MX"/>
        </w:rPr>
      </w:pPr>
      <w:r w:rsidRPr="00164A31">
        <w:rPr>
          <w:lang w:val="es-MX"/>
        </w:rPr>
        <w:t xml:space="preserve">(i) la existencia </w:t>
      </w:r>
      <w:r w:rsidR="00017D61">
        <w:rPr>
          <w:lang w:val="es-MX"/>
        </w:rPr>
        <w:t>de nuevas</w:t>
      </w:r>
      <w:r w:rsidRPr="00164A31">
        <w:rPr>
          <w:lang w:val="es-MX"/>
        </w:rPr>
        <w:t xml:space="preserve"> inversi</w:t>
      </w:r>
      <w:r w:rsidR="00584CEA">
        <w:rPr>
          <w:lang w:val="es-MX"/>
        </w:rPr>
        <w:t xml:space="preserve">ones, </w:t>
      </w:r>
      <w:r w:rsidRPr="00164A31">
        <w:rPr>
          <w:lang w:val="es-MX"/>
        </w:rPr>
        <w:t xml:space="preserve"> </w:t>
      </w:r>
      <w:r w:rsidR="00017D61">
        <w:rPr>
          <w:lang w:val="es-MX"/>
        </w:rPr>
        <w:t xml:space="preserve">que permitan completar el Programa de Reforzamiento del Sistema Nacional de Distribución del Ecuador, cuyo costo asciende a US$600 millones en el </w:t>
      </w:r>
      <w:r w:rsidR="0071276C">
        <w:rPr>
          <w:lang w:val="es-MX"/>
        </w:rPr>
        <w:t>componente</w:t>
      </w:r>
      <w:r w:rsidR="00017D61">
        <w:rPr>
          <w:lang w:val="es-MX"/>
        </w:rPr>
        <w:t xml:space="preserve"> de cambio de 110 voltios a 220 </w:t>
      </w:r>
      <w:r w:rsidR="0071276C">
        <w:rPr>
          <w:lang w:val="es-MX"/>
        </w:rPr>
        <w:t>voltios</w:t>
      </w:r>
      <w:r w:rsidR="00017D61">
        <w:rPr>
          <w:lang w:val="es-MX"/>
        </w:rPr>
        <w:t>.</w:t>
      </w:r>
      <w:r w:rsidR="0071276C">
        <w:rPr>
          <w:lang w:val="es-MX"/>
        </w:rPr>
        <w:t xml:space="preserve"> </w:t>
      </w:r>
      <w:r w:rsidR="00584CEA">
        <w:rPr>
          <w:lang w:val="es-MX"/>
        </w:rPr>
        <w:t xml:space="preserve"> D</w:t>
      </w:r>
      <w:r w:rsidR="0071276C" w:rsidRPr="0071276C">
        <w:rPr>
          <w:lang w:val="es-MX"/>
        </w:rPr>
        <w:t>esde 2014</w:t>
      </w:r>
      <w:r w:rsidR="00584CEA">
        <w:rPr>
          <w:lang w:val="es-MX"/>
        </w:rPr>
        <w:t xml:space="preserve">, </w:t>
      </w:r>
      <w:r w:rsidR="0071276C" w:rsidRPr="0071276C">
        <w:rPr>
          <w:lang w:val="es-MX"/>
        </w:rPr>
        <w:t>tres organismos multilaterales financian la cartera de proyectos del PRSND de la siguiente manera: US$220  millones con fondos del BID a través de la operación EC-L1136; US$200 millones con fondos del Banco de Desarrollo de América Latina (CAF), aprobados en diciembre de 2014; US$100 millones con fondos de la Agencia Francesa de Desarrollo (AFD) en proceso de aprobación</w:t>
      </w:r>
      <w:r w:rsidR="0071276C">
        <w:rPr>
          <w:lang w:val="es-MX"/>
        </w:rPr>
        <w:t>; y US$80 millones con fondos del BID en proceso de aprobación durante el primer semestre de 2015</w:t>
      </w:r>
      <w:r w:rsidR="0071276C" w:rsidRPr="0071276C">
        <w:rPr>
          <w:lang w:val="es-MX"/>
        </w:rPr>
        <w:t>.</w:t>
      </w:r>
    </w:p>
    <w:p w:rsidR="0071276C" w:rsidRPr="0071276C" w:rsidRDefault="00FD69DA" w:rsidP="00416654">
      <w:pPr>
        <w:pStyle w:val="ListParagraph"/>
        <w:numPr>
          <w:ilvl w:val="0"/>
          <w:numId w:val="4"/>
        </w:numPr>
        <w:spacing w:before="120" w:after="120"/>
        <w:contextualSpacing w:val="0"/>
        <w:rPr>
          <w:lang w:val="es-MX"/>
        </w:rPr>
      </w:pPr>
      <w:r w:rsidRPr="0071276C">
        <w:rPr>
          <w:lang w:val="es-MX"/>
        </w:rPr>
        <w:t xml:space="preserve">(ii) adecuada </w:t>
      </w:r>
      <w:r w:rsidR="0071276C" w:rsidRPr="0071276C">
        <w:rPr>
          <w:lang w:val="es-MX"/>
        </w:rPr>
        <w:t xml:space="preserve">Operación </w:t>
      </w:r>
      <w:r w:rsidRPr="0071276C">
        <w:rPr>
          <w:lang w:val="es-MX"/>
        </w:rPr>
        <w:t xml:space="preserve">y </w:t>
      </w:r>
      <w:r w:rsidR="0071276C" w:rsidRPr="0071276C">
        <w:rPr>
          <w:lang w:val="es-MX"/>
        </w:rPr>
        <w:t>M</w:t>
      </w:r>
      <w:r w:rsidRPr="0071276C">
        <w:rPr>
          <w:lang w:val="es-MX"/>
        </w:rPr>
        <w:t>antenimiento</w:t>
      </w:r>
      <w:r w:rsidR="0071276C" w:rsidRPr="0071276C">
        <w:rPr>
          <w:lang w:val="es-MX"/>
        </w:rPr>
        <w:t xml:space="preserve"> (O&amp;M)</w:t>
      </w:r>
      <w:r w:rsidRPr="0071276C">
        <w:rPr>
          <w:lang w:val="es-MX"/>
        </w:rPr>
        <w:t>, tanto preventivo como correctivo.</w:t>
      </w:r>
      <w:r w:rsidR="0071276C" w:rsidRPr="0071276C">
        <w:rPr>
          <w:lang w:val="es-MX"/>
        </w:rPr>
        <w:t xml:space="preserve"> En línea con esta recomendación, y tomando como referencia estándares de la International </w:t>
      </w:r>
      <w:proofErr w:type="spellStart"/>
      <w:r w:rsidR="0071276C" w:rsidRPr="0071276C">
        <w:rPr>
          <w:lang w:val="es-MX"/>
        </w:rPr>
        <w:t>Electrotechnical</w:t>
      </w:r>
      <w:proofErr w:type="spellEnd"/>
      <w:r w:rsidR="0071276C" w:rsidRPr="0071276C">
        <w:rPr>
          <w:lang w:val="es-MX"/>
        </w:rPr>
        <w:t xml:space="preserve"> </w:t>
      </w:r>
      <w:proofErr w:type="spellStart"/>
      <w:r w:rsidR="0071276C" w:rsidRPr="0071276C">
        <w:rPr>
          <w:lang w:val="es-MX"/>
        </w:rPr>
        <w:t>Commission</w:t>
      </w:r>
      <w:proofErr w:type="spellEnd"/>
      <w:r w:rsidR="0071276C" w:rsidRPr="0071276C">
        <w:rPr>
          <w:lang w:val="es-MX"/>
        </w:rPr>
        <w:t xml:space="preserve"> (IEC), los nuevos financiamientos del PRSND incluyen componentes dedicados al manejo en tiempo real del SND, a través de la operación eficiente de transformadores de distribución, minimizando fallas en el suministro eléctrico, y reduciendo costos de O&amp;M. Entre estas acciones se encuentran</w:t>
      </w:r>
      <w:r w:rsidR="0071276C">
        <w:rPr>
          <w:lang w:val="es-MX"/>
        </w:rPr>
        <w:t>: (a</w:t>
      </w:r>
      <w:r w:rsidR="0071276C" w:rsidRPr="0071276C">
        <w:rPr>
          <w:lang w:val="es-MX"/>
        </w:rPr>
        <w:t xml:space="preserve">) habilitación de accionamiento, medición y control a distancia en equipos de operación/protección del SND , en complemento con el </w:t>
      </w:r>
      <w:proofErr w:type="spellStart"/>
      <w:r w:rsidR="0071276C" w:rsidRPr="0071276C">
        <w:rPr>
          <w:lang w:val="es-MX"/>
        </w:rPr>
        <w:t>Supervisory</w:t>
      </w:r>
      <w:proofErr w:type="spellEnd"/>
      <w:r w:rsidR="0071276C" w:rsidRPr="0071276C">
        <w:rPr>
          <w:lang w:val="es-MX"/>
        </w:rPr>
        <w:t xml:space="preserve"> Control and Data </w:t>
      </w:r>
      <w:proofErr w:type="spellStart"/>
      <w:r w:rsidR="0071276C" w:rsidRPr="0071276C">
        <w:rPr>
          <w:lang w:val="es-MX"/>
        </w:rPr>
        <w:t>Acquisition</w:t>
      </w:r>
      <w:proofErr w:type="spellEnd"/>
      <w:r w:rsidR="0071276C" w:rsidRPr="0071276C">
        <w:rPr>
          <w:lang w:val="es-MX"/>
        </w:rPr>
        <w:t xml:space="preserve"> (SCADA); </w:t>
      </w:r>
      <w:r w:rsidR="0071276C">
        <w:rPr>
          <w:lang w:val="es-MX"/>
        </w:rPr>
        <w:t xml:space="preserve">(b) </w:t>
      </w:r>
      <w:r w:rsidR="0071276C" w:rsidRPr="0071276C">
        <w:rPr>
          <w:lang w:val="es-MX"/>
        </w:rPr>
        <w:t>mejora del monitoreo de la demanda y del balance energético del SND, por habilitación de medición inteligente en transformadores de distribución y en alimentadores de MT;</w:t>
      </w:r>
      <w:r w:rsidR="0071276C">
        <w:rPr>
          <w:lang w:val="es-MX"/>
        </w:rPr>
        <w:t xml:space="preserve"> (c)</w:t>
      </w:r>
      <w:r w:rsidR="0071276C" w:rsidRPr="0071276C">
        <w:rPr>
          <w:lang w:val="es-MX"/>
        </w:rPr>
        <w:t xml:space="preserve"> incorporación de medición inteligente en consumos importantes (clientes industriales y comerciales), en refuerzo al sistema de gestión comercial; y</w:t>
      </w:r>
      <w:r w:rsidR="0071276C">
        <w:rPr>
          <w:lang w:val="es-MX"/>
        </w:rPr>
        <w:t xml:space="preserve"> (d)</w:t>
      </w:r>
      <w:r w:rsidR="0071276C" w:rsidRPr="0071276C">
        <w:rPr>
          <w:lang w:val="es-MX"/>
        </w:rPr>
        <w:t xml:space="preserve"> habilitación de centros de monitoreo y gestión con prioridad en EED con pérdidas eléctricas mayores a 10%. </w:t>
      </w:r>
    </w:p>
    <w:p w:rsidR="008A0C9C" w:rsidRPr="00164A31" w:rsidRDefault="00FD69DA" w:rsidP="00416654">
      <w:pPr>
        <w:pStyle w:val="ListParagraph"/>
        <w:numPr>
          <w:ilvl w:val="0"/>
          <w:numId w:val="4"/>
        </w:numPr>
        <w:spacing w:before="120" w:after="120"/>
        <w:contextualSpacing w:val="0"/>
        <w:rPr>
          <w:lang w:val="es-MX"/>
        </w:rPr>
      </w:pPr>
      <w:r w:rsidRPr="00164A31">
        <w:rPr>
          <w:lang w:val="es-MX"/>
        </w:rPr>
        <w:t xml:space="preserve"> </w:t>
      </w:r>
      <w:r w:rsidR="008A0C9C" w:rsidRPr="00164A31">
        <w:rPr>
          <w:lang w:val="es-MX"/>
        </w:rPr>
        <w:t xml:space="preserve">En las áreas de intervención (los proyectos en cartera), </w:t>
      </w:r>
      <w:r w:rsidR="003C176A">
        <w:rPr>
          <w:lang w:val="es-MX"/>
        </w:rPr>
        <w:t xml:space="preserve">el </w:t>
      </w:r>
      <w:r w:rsidR="008A0C9C" w:rsidRPr="00164A31">
        <w:rPr>
          <w:lang w:val="es-MX"/>
        </w:rPr>
        <w:t>Componente I sienta las bases físicas para un servicio de calidad con un horizonte de tiempo previsto de 35 años</w:t>
      </w:r>
      <w:r w:rsidR="000F398D" w:rsidRPr="00164A31">
        <w:rPr>
          <w:lang w:val="es-MX"/>
        </w:rPr>
        <w:t xml:space="preserve">. Es preciso reconocer la importancia del fortalecimiento de capacidades de gestión de las EED, y la gobernanza del sector por el MEER y ARCONEL para hacer efectivos los estándares de calidad del servicio eléctrico. En este sentido, el Componente III del Programa </w:t>
      </w:r>
      <w:r w:rsidR="003C176A">
        <w:rPr>
          <w:lang w:val="es-MX"/>
        </w:rPr>
        <w:t>contribuye</w:t>
      </w:r>
      <w:r w:rsidR="000F398D" w:rsidRPr="00164A31">
        <w:rPr>
          <w:lang w:val="es-MX"/>
        </w:rPr>
        <w:t xml:space="preserve"> a la sostenibilidad del Componente I.</w:t>
      </w:r>
    </w:p>
    <w:p w:rsidR="00FB4A0A" w:rsidRDefault="00C32434" w:rsidP="00416654">
      <w:pPr>
        <w:pStyle w:val="ListParagraph"/>
        <w:numPr>
          <w:ilvl w:val="0"/>
          <w:numId w:val="4"/>
        </w:numPr>
        <w:spacing w:before="120" w:after="120"/>
        <w:contextualSpacing w:val="0"/>
        <w:rPr>
          <w:lang w:val="es-MX"/>
        </w:rPr>
      </w:pPr>
      <w:r w:rsidRPr="00164A31">
        <w:rPr>
          <w:lang w:val="es-MX"/>
        </w:rPr>
        <w:t xml:space="preserve">La sostenibilidad del </w:t>
      </w:r>
      <w:r w:rsidR="009E156C" w:rsidRPr="00164A31">
        <w:rPr>
          <w:lang w:val="es-MX"/>
        </w:rPr>
        <w:t>Componente II</w:t>
      </w:r>
      <w:r w:rsidR="004A72D0" w:rsidRPr="00164A31">
        <w:rPr>
          <w:lang w:val="es-MX"/>
        </w:rPr>
        <w:t xml:space="preserve"> </w:t>
      </w:r>
      <w:r w:rsidR="009E156C" w:rsidRPr="00164A31">
        <w:rPr>
          <w:lang w:val="es-MX"/>
        </w:rPr>
        <w:t xml:space="preserve">puede formularse como el éxito duradero de la migración de GLP a </w:t>
      </w:r>
      <w:r w:rsidR="00FD69DA" w:rsidRPr="00164A31">
        <w:rPr>
          <w:lang w:val="es-MX"/>
        </w:rPr>
        <w:t>electricidad</w:t>
      </w:r>
      <w:r w:rsidR="009E156C" w:rsidRPr="00164A31">
        <w:rPr>
          <w:lang w:val="es-MX"/>
        </w:rPr>
        <w:t xml:space="preserve">, es decir, que la migración sea permanente. </w:t>
      </w:r>
      <w:r w:rsidR="004C7D99" w:rsidRPr="00164A31">
        <w:rPr>
          <w:lang w:val="es-MX"/>
        </w:rPr>
        <w:t xml:space="preserve">El </w:t>
      </w:r>
      <w:r w:rsidR="009E156C" w:rsidRPr="00164A31">
        <w:rPr>
          <w:lang w:val="es-MX"/>
        </w:rPr>
        <w:t xml:space="preserve">Programa </w:t>
      </w:r>
      <w:r w:rsidR="004C7D99" w:rsidRPr="00164A31">
        <w:rPr>
          <w:lang w:val="es-MX"/>
        </w:rPr>
        <w:t xml:space="preserve">apoya a este resultado </w:t>
      </w:r>
      <w:r w:rsidR="00FB4A0A" w:rsidRPr="00164A31">
        <w:rPr>
          <w:lang w:val="es-MX"/>
        </w:rPr>
        <w:t xml:space="preserve">al </w:t>
      </w:r>
      <w:r w:rsidR="00FD69DA" w:rsidRPr="00164A31">
        <w:rPr>
          <w:lang w:val="es-MX"/>
        </w:rPr>
        <w:t>facilitar</w:t>
      </w:r>
      <w:r w:rsidR="00FB4A0A" w:rsidRPr="00164A31">
        <w:rPr>
          <w:lang w:val="es-MX"/>
        </w:rPr>
        <w:t xml:space="preserve"> los insumos para </w:t>
      </w:r>
      <w:r w:rsidR="009E156C" w:rsidRPr="00164A31">
        <w:rPr>
          <w:lang w:val="es-MX"/>
        </w:rPr>
        <w:t>el diseño de una estrategia de implementación inteligente.</w:t>
      </w:r>
      <w:r w:rsidR="003C176A">
        <w:rPr>
          <w:lang w:val="es-MX"/>
        </w:rPr>
        <w:t xml:space="preserve"> Tratándose de estudios, la calificación de sostenibilidad de este Componente no es muy relevante.</w:t>
      </w:r>
    </w:p>
    <w:p w:rsidR="00E61EB7" w:rsidRPr="00164A31" w:rsidRDefault="00E61EB7" w:rsidP="00416654">
      <w:pPr>
        <w:pStyle w:val="ListParagraph"/>
        <w:numPr>
          <w:ilvl w:val="0"/>
          <w:numId w:val="4"/>
        </w:numPr>
        <w:spacing w:before="120" w:after="120"/>
        <w:contextualSpacing w:val="0"/>
        <w:rPr>
          <w:lang w:val="es-MX"/>
        </w:rPr>
      </w:pPr>
      <w:r>
        <w:rPr>
          <w:lang w:val="es-MX"/>
        </w:rPr>
        <w:t>El avance del PNCE a través del PRSND permitirá asegurar la reducción de CO</w:t>
      </w:r>
      <w:r w:rsidRPr="00416654">
        <w:rPr>
          <w:vertAlign w:val="subscript"/>
          <w:lang w:val="es-MX"/>
        </w:rPr>
        <w:t>2</w:t>
      </w:r>
      <w:r>
        <w:rPr>
          <w:lang w:val="es-MX"/>
        </w:rPr>
        <w:t xml:space="preserve"> y de GLP asociados a la cocción y calentamiento de agua en el sector residencial. Más allá de los beneficios ambientales, el programa contribuye a la reducción en el consumo de derivados del petróleo, mayoritariamente importados y subsidiados en el país, generando beneficios macroeconómicos en la reducción de la cuenta corriente de la balan</w:t>
      </w:r>
      <w:r w:rsidR="00321F7D">
        <w:rPr>
          <w:lang w:val="es-MX"/>
        </w:rPr>
        <w:t xml:space="preserve">za </w:t>
      </w:r>
      <w:r>
        <w:rPr>
          <w:lang w:val="es-MX"/>
        </w:rPr>
        <w:t xml:space="preserve"> comercial por reducción de importaciones, y en la reducción del déficit fiscal por eliminación de subsidios. </w:t>
      </w:r>
    </w:p>
    <w:p w:rsidR="00124662" w:rsidRPr="00416654" w:rsidRDefault="006152A1" w:rsidP="00416654">
      <w:pPr>
        <w:pStyle w:val="Heading1"/>
        <w:spacing w:before="120" w:after="120"/>
        <w:rPr>
          <w:b/>
          <w:lang w:val="es-MX"/>
        </w:rPr>
      </w:pPr>
      <w:bookmarkStart w:id="11" w:name="_Toc416868843"/>
      <w:r w:rsidRPr="00416654">
        <w:rPr>
          <w:b/>
          <w:lang w:val="es-MX"/>
        </w:rPr>
        <w:t>Criterios no-centrales</w:t>
      </w:r>
      <w:bookmarkEnd w:id="11"/>
    </w:p>
    <w:p w:rsidR="006152A1" w:rsidRPr="00416654" w:rsidRDefault="006152A1" w:rsidP="00416654">
      <w:pPr>
        <w:pStyle w:val="Heading2"/>
        <w:spacing w:before="120" w:after="120"/>
        <w:rPr>
          <w:b/>
          <w:lang w:val="es-MX"/>
        </w:rPr>
      </w:pPr>
      <w:bookmarkStart w:id="12" w:name="_Toc416868844"/>
      <w:r w:rsidRPr="00416654">
        <w:rPr>
          <w:b/>
          <w:lang w:val="es-MX"/>
        </w:rPr>
        <w:t>Contribución a los Objetivos Corporativos de Desarrollo del Banco</w:t>
      </w:r>
      <w:bookmarkEnd w:id="12"/>
    </w:p>
    <w:p w:rsidR="00C155D4" w:rsidRPr="00164A31" w:rsidRDefault="00E176D5" w:rsidP="00416654">
      <w:pPr>
        <w:spacing w:before="120" w:after="120"/>
        <w:rPr>
          <w:lang w:val="es-MX"/>
        </w:rPr>
      </w:pPr>
      <w:r w:rsidRPr="00164A31">
        <w:rPr>
          <w:lang w:val="es-MX"/>
        </w:rPr>
        <w:t>La Evaluación estima que la contribución de</w:t>
      </w:r>
      <w:r w:rsidR="0098516E" w:rsidRPr="00164A31">
        <w:rPr>
          <w:lang w:val="es-MX"/>
        </w:rPr>
        <w:t xml:space="preserve">l Programa </w:t>
      </w:r>
      <w:r w:rsidRPr="00164A31">
        <w:rPr>
          <w:lang w:val="es-MX"/>
        </w:rPr>
        <w:t>a los objetivos corporativos del Banco queda ampliamente documentada y justificada en la Propuesta de Préstamo y otros documentos relevantes</w:t>
      </w:r>
      <w:r w:rsidRPr="00164A31">
        <w:rPr>
          <w:rStyle w:val="FootnoteReference"/>
          <w:lang w:val="es-MX"/>
        </w:rPr>
        <w:footnoteReference w:id="20"/>
      </w:r>
      <w:r w:rsidRPr="00164A31">
        <w:rPr>
          <w:lang w:val="es-MX"/>
        </w:rPr>
        <w:t>.</w:t>
      </w:r>
      <w:r w:rsidR="00453D5B" w:rsidRPr="00164A31">
        <w:rPr>
          <w:lang w:val="es-MX"/>
        </w:rPr>
        <w:t xml:space="preserve"> </w:t>
      </w:r>
      <w:r w:rsidR="00453D5B" w:rsidRPr="00164A31">
        <w:rPr>
          <w:lang w:val="es-MX"/>
        </w:rPr>
        <w:lastRenderedPageBreak/>
        <w:t xml:space="preserve">No </w:t>
      </w:r>
      <w:r w:rsidR="00B674AA" w:rsidRPr="00164A31">
        <w:rPr>
          <w:lang w:val="es-MX"/>
        </w:rPr>
        <w:t>ha habido</w:t>
      </w:r>
      <w:r w:rsidR="00853C98" w:rsidRPr="00164A31">
        <w:rPr>
          <w:lang w:val="es-MX"/>
        </w:rPr>
        <w:t xml:space="preserve"> </w:t>
      </w:r>
      <w:r w:rsidR="00453D5B" w:rsidRPr="00164A31">
        <w:rPr>
          <w:lang w:val="es-MX"/>
        </w:rPr>
        <w:t xml:space="preserve">cambios </w:t>
      </w:r>
      <w:r w:rsidR="00853C98" w:rsidRPr="00164A31">
        <w:rPr>
          <w:lang w:val="es-MX"/>
        </w:rPr>
        <w:t>en las políticas del Banco y el Programa de País en el período entre la firma del Contrato de Préstamo y el momento de esta Evaluación.</w:t>
      </w:r>
    </w:p>
    <w:p w:rsidR="006152A1" w:rsidRPr="00416654" w:rsidRDefault="006152A1" w:rsidP="00416654">
      <w:pPr>
        <w:pStyle w:val="Heading2"/>
        <w:spacing w:before="120" w:after="120"/>
        <w:rPr>
          <w:b/>
          <w:lang w:val="es-MX"/>
        </w:rPr>
      </w:pPr>
      <w:bookmarkStart w:id="13" w:name="_Toc416868845"/>
      <w:r w:rsidRPr="00416654">
        <w:rPr>
          <w:b/>
          <w:lang w:val="es-MX"/>
        </w:rPr>
        <w:t>Contribución a los Objetivos Estratégicos de Desarrollo del País</w:t>
      </w:r>
      <w:bookmarkEnd w:id="13"/>
    </w:p>
    <w:p w:rsidR="00453D5B" w:rsidRPr="00164A31" w:rsidRDefault="00853C98" w:rsidP="00416654">
      <w:pPr>
        <w:spacing w:before="120" w:after="120"/>
        <w:rPr>
          <w:lang w:val="es-MX"/>
        </w:rPr>
      </w:pPr>
      <w:r w:rsidRPr="00164A31">
        <w:rPr>
          <w:lang w:val="es-MX"/>
        </w:rPr>
        <w:t xml:space="preserve">La Operación responde a los </w:t>
      </w:r>
      <w:r w:rsidR="003166C4" w:rsidRPr="00164A31">
        <w:rPr>
          <w:lang w:val="es-MX"/>
        </w:rPr>
        <w:t>objetivos estratégicos de desarrollo del Ecuador, plasmados en</w:t>
      </w:r>
      <w:r w:rsidR="00E922F6" w:rsidRPr="00164A31">
        <w:rPr>
          <w:lang w:val="es-MX"/>
        </w:rPr>
        <w:t xml:space="preserve"> el Plan Nacional del Buen Vivir (</w:t>
      </w:r>
      <w:r w:rsidR="003166C4" w:rsidRPr="00164A31">
        <w:rPr>
          <w:lang w:val="es-MX"/>
        </w:rPr>
        <w:t>PNBV</w:t>
      </w:r>
      <w:r w:rsidR="00E922F6" w:rsidRPr="00164A31">
        <w:rPr>
          <w:lang w:val="es-MX"/>
        </w:rPr>
        <w:t>), Plan Maestro de Electrificación de Ecuador (PME), Plan de Reducción de Pérdidas Eléctricas (PLANREP), y otros</w:t>
      </w:r>
      <w:r w:rsidR="003166C4" w:rsidRPr="00164A31">
        <w:rPr>
          <w:lang w:val="es-MX"/>
        </w:rPr>
        <w:t xml:space="preserve">. La contribución de la Operación a estos objetivos </w:t>
      </w:r>
      <w:r w:rsidR="005B43FD" w:rsidRPr="00164A31">
        <w:rPr>
          <w:lang w:val="es-MX"/>
        </w:rPr>
        <w:t xml:space="preserve">se detalla </w:t>
      </w:r>
      <w:r w:rsidR="003166C4" w:rsidRPr="00164A31">
        <w:rPr>
          <w:lang w:val="es-MX"/>
        </w:rPr>
        <w:t xml:space="preserve">en la Propuesta de Préstamo </w:t>
      </w:r>
      <w:r w:rsidR="005B43FD" w:rsidRPr="00164A31">
        <w:rPr>
          <w:lang w:val="es-MX"/>
        </w:rPr>
        <w:t xml:space="preserve">EC-L1136 </w:t>
      </w:r>
      <w:r w:rsidR="003166C4" w:rsidRPr="00164A31">
        <w:rPr>
          <w:lang w:val="es-MX"/>
        </w:rPr>
        <w:t xml:space="preserve">y otros documentos relevantes. La Operación es instrumental para el éxito del </w:t>
      </w:r>
      <w:r w:rsidR="00E61EB7">
        <w:rPr>
          <w:lang w:val="es-MX"/>
        </w:rPr>
        <w:t>PNCE</w:t>
      </w:r>
      <w:r w:rsidR="00E61EB7" w:rsidRPr="00164A31">
        <w:rPr>
          <w:lang w:val="es-MX"/>
        </w:rPr>
        <w:t xml:space="preserve"> </w:t>
      </w:r>
      <w:r w:rsidR="003166C4" w:rsidRPr="00164A31">
        <w:rPr>
          <w:lang w:val="es-MX"/>
        </w:rPr>
        <w:t xml:space="preserve">y su relevancia para el sector energético es </w:t>
      </w:r>
      <w:r w:rsidR="006F40CA" w:rsidRPr="00164A31">
        <w:rPr>
          <w:lang w:val="es-MX"/>
        </w:rPr>
        <w:t xml:space="preserve">ampliamente </w:t>
      </w:r>
      <w:r w:rsidR="003166C4" w:rsidRPr="00164A31">
        <w:rPr>
          <w:lang w:val="es-MX"/>
        </w:rPr>
        <w:t>reconocida por el MEER.</w:t>
      </w:r>
      <w:r w:rsidR="00680FFD" w:rsidRPr="00164A31">
        <w:rPr>
          <w:lang w:val="es-MX"/>
        </w:rPr>
        <w:t xml:space="preserve"> No </w:t>
      </w:r>
      <w:r w:rsidR="00E61EB7" w:rsidRPr="00164A31">
        <w:rPr>
          <w:lang w:val="es-MX"/>
        </w:rPr>
        <w:t>ha</w:t>
      </w:r>
      <w:r w:rsidR="00680FFD" w:rsidRPr="00164A31">
        <w:rPr>
          <w:lang w:val="es-MX"/>
        </w:rPr>
        <w:t xml:space="preserve"> habido cambios en este contexto.</w:t>
      </w:r>
    </w:p>
    <w:p w:rsidR="006152A1" w:rsidRPr="00416654" w:rsidRDefault="006152A1" w:rsidP="00416654">
      <w:pPr>
        <w:pStyle w:val="Heading2"/>
        <w:spacing w:before="120" w:after="120"/>
        <w:rPr>
          <w:b/>
          <w:lang w:val="es-MX"/>
        </w:rPr>
      </w:pPr>
      <w:bookmarkStart w:id="14" w:name="_Toc416868846"/>
      <w:r w:rsidRPr="00416654">
        <w:rPr>
          <w:b/>
          <w:lang w:val="es-MX"/>
        </w:rPr>
        <w:t>Seguimiento y Evaluación (M&amp;E)</w:t>
      </w:r>
      <w:bookmarkEnd w:id="14"/>
    </w:p>
    <w:p w:rsidR="00DA49F3" w:rsidRPr="00164A31" w:rsidRDefault="00387F51" w:rsidP="00387F51">
      <w:pPr>
        <w:rPr>
          <w:lang w:val="es-MX"/>
        </w:rPr>
      </w:pPr>
      <w:r w:rsidRPr="00164A31">
        <w:rPr>
          <w:lang w:val="es-MX"/>
        </w:rPr>
        <w:t xml:space="preserve">El Plan de Monitoreo y </w:t>
      </w:r>
      <w:r w:rsidR="00B63B76" w:rsidRPr="00164A31">
        <w:rPr>
          <w:lang w:val="es-MX"/>
        </w:rPr>
        <w:t>Evaluación</w:t>
      </w:r>
      <w:r w:rsidRPr="00164A31">
        <w:rPr>
          <w:lang w:val="es-MX"/>
        </w:rPr>
        <w:t xml:space="preserve"> </w:t>
      </w:r>
      <w:r w:rsidR="00D13023">
        <w:rPr>
          <w:lang w:val="es-MX"/>
        </w:rPr>
        <w:t>abarca</w:t>
      </w:r>
      <w:r w:rsidRPr="00164A31">
        <w:rPr>
          <w:lang w:val="es-MX"/>
        </w:rPr>
        <w:t xml:space="preserve"> tres </w:t>
      </w:r>
      <w:r w:rsidR="00D13023">
        <w:rPr>
          <w:lang w:val="es-MX"/>
        </w:rPr>
        <w:t>ámbitos</w:t>
      </w:r>
      <w:r w:rsidR="00DA49F3" w:rsidRPr="00164A31">
        <w:rPr>
          <w:rStyle w:val="FootnoteReference"/>
          <w:lang w:val="es-MX"/>
        </w:rPr>
        <w:footnoteReference w:id="21"/>
      </w:r>
      <w:r w:rsidRPr="00164A31">
        <w:rPr>
          <w:lang w:val="es-MX"/>
        </w:rPr>
        <w:t>: (a) seguimiento de resultados y logros del Programa, (b) seguimiento de actividades; y (c) seguimiento administrativo y control. El avance en los resultados se reportará en los informes semestrales y anuales. El seguimi</w:t>
      </w:r>
      <w:r w:rsidR="00F67C73">
        <w:rPr>
          <w:lang w:val="es-MX"/>
        </w:rPr>
        <w:t>ento de las actividades enfoca</w:t>
      </w:r>
      <w:r w:rsidRPr="00164A31">
        <w:rPr>
          <w:lang w:val="es-MX"/>
        </w:rPr>
        <w:t xml:space="preserve"> en el avance físico y financiero de los contratos, y la obtención de los productos indicados en la MR. Elementos es</w:t>
      </w:r>
      <w:r w:rsidR="00F67C73">
        <w:rPr>
          <w:lang w:val="es-MX"/>
        </w:rPr>
        <w:t>enciales para el monitoreo son</w:t>
      </w:r>
      <w:r w:rsidRPr="00164A31">
        <w:rPr>
          <w:lang w:val="es-MX"/>
        </w:rPr>
        <w:t xml:space="preserve"> el Plan Operativo Anual (POA), el Plan de Adquisic</w:t>
      </w:r>
      <w:r w:rsidR="00B63B76" w:rsidRPr="00164A31">
        <w:rPr>
          <w:lang w:val="es-MX"/>
        </w:rPr>
        <w:t>iones (PA) y el p</w:t>
      </w:r>
      <w:r w:rsidRPr="00164A31">
        <w:rPr>
          <w:lang w:val="es-MX"/>
        </w:rPr>
        <w:t xml:space="preserve">resupuesto, actualizados periódicamente. La adquisición de bienes y obras es supervisada de manera </w:t>
      </w:r>
      <w:proofErr w:type="spellStart"/>
      <w:r w:rsidRPr="00416654">
        <w:rPr>
          <w:i/>
          <w:lang w:val="es-MX"/>
        </w:rPr>
        <w:t>exante</w:t>
      </w:r>
      <w:proofErr w:type="spellEnd"/>
      <w:r w:rsidRPr="00164A31">
        <w:rPr>
          <w:lang w:val="es-MX"/>
        </w:rPr>
        <w:t xml:space="preserve"> y de conformidad con lo establecido en el PA y el Anexo III-Acuerdos Fiduciarios del Programa</w:t>
      </w:r>
      <w:r w:rsidRPr="00164A31">
        <w:rPr>
          <w:rStyle w:val="FootnoteReference"/>
          <w:lang w:val="es-MX"/>
        </w:rPr>
        <w:footnoteReference w:id="22"/>
      </w:r>
      <w:r w:rsidRPr="00164A31">
        <w:rPr>
          <w:lang w:val="es-MX"/>
        </w:rPr>
        <w:t xml:space="preserve">.  </w:t>
      </w:r>
    </w:p>
    <w:p w:rsidR="00387F51" w:rsidRPr="00164A31" w:rsidRDefault="00DA49F3" w:rsidP="00387F51">
      <w:pPr>
        <w:rPr>
          <w:lang w:val="es-MX"/>
        </w:rPr>
      </w:pPr>
      <w:r w:rsidRPr="00164A31">
        <w:rPr>
          <w:lang w:val="es-MX"/>
        </w:rPr>
        <w:t xml:space="preserve">Las </w:t>
      </w:r>
      <w:r w:rsidR="00387F51" w:rsidRPr="00164A31">
        <w:rPr>
          <w:lang w:val="es-MX"/>
        </w:rPr>
        <w:t>responsabilidades</w:t>
      </w:r>
      <w:r w:rsidRPr="00164A31">
        <w:rPr>
          <w:lang w:val="es-MX"/>
        </w:rPr>
        <w:t xml:space="preserve"> del OE son las siguientes</w:t>
      </w:r>
      <w:r w:rsidR="00387F51" w:rsidRPr="00164A31">
        <w:rPr>
          <w:lang w:val="es-MX"/>
        </w:rPr>
        <w:t>: (i) supervisar el cumplimiento de los componentes</w:t>
      </w:r>
      <w:r w:rsidRPr="00164A31">
        <w:rPr>
          <w:lang w:val="es-MX"/>
        </w:rPr>
        <w:t xml:space="preserve"> del Programa</w:t>
      </w:r>
      <w:r w:rsidR="00387F51" w:rsidRPr="00164A31">
        <w:rPr>
          <w:lang w:val="es-MX"/>
        </w:rPr>
        <w:t>; (ii) entregar los informe</w:t>
      </w:r>
      <w:r w:rsidRPr="00164A31">
        <w:rPr>
          <w:lang w:val="es-MX"/>
        </w:rPr>
        <w:t>s y evidencia del avance de la O</w:t>
      </w:r>
      <w:r w:rsidR="00387F51" w:rsidRPr="00164A31">
        <w:rPr>
          <w:lang w:val="es-MX"/>
        </w:rPr>
        <w:t xml:space="preserve">peración, y demás información que el BID pueda requerir; (iii) impulsar las acciones tendientes al logro de los objetivos definidos en el Programa y en particular aquéllas incluidas en la MR; y (iv) reunir, archivar y entregar al BID toda la información, indicadores y parámetros que contribuyan a que el </w:t>
      </w:r>
      <w:proofErr w:type="spellStart"/>
      <w:r w:rsidR="00387F51" w:rsidRPr="00164A31">
        <w:rPr>
          <w:lang w:val="es-MX"/>
        </w:rPr>
        <w:t>GdE</w:t>
      </w:r>
      <w:proofErr w:type="spellEnd"/>
      <w:r w:rsidR="00387F51" w:rsidRPr="00164A31">
        <w:rPr>
          <w:lang w:val="es-MX"/>
        </w:rPr>
        <w:t xml:space="preserve"> y el BID puedan dar seguimiento, medir y evaluar los resultados del Programa.</w:t>
      </w:r>
    </w:p>
    <w:p w:rsidR="006C6761" w:rsidRPr="00164A31" w:rsidRDefault="006C6761" w:rsidP="00416654">
      <w:pPr>
        <w:spacing w:before="120" w:after="120"/>
        <w:rPr>
          <w:lang w:val="es-MX"/>
        </w:rPr>
      </w:pPr>
      <w:r w:rsidRPr="00164A31">
        <w:rPr>
          <w:lang w:val="es-MX"/>
        </w:rPr>
        <w:t xml:space="preserve">El seguimiento administrativo y </w:t>
      </w:r>
      <w:r w:rsidR="00F67C73">
        <w:rPr>
          <w:lang w:val="es-MX"/>
        </w:rPr>
        <w:t>control del Programa se enfoca</w:t>
      </w:r>
      <w:r w:rsidRPr="00164A31">
        <w:rPr>
          <w:lang w:val="es-MX"/>
        </w:rPr>
        <w:t xml:space="preserve"> en el seguimiento y documentación del cumplimiento de las normas en materia administrativa, financiera y contable, y jurídica de acuerdo a los lineamientos nacionales y del BID; así como en el monitoreo del cumplimiento de las estipulaciones administrativas y legales establecidas en el MOP y el Convenio suscrito entre la República del Ecuador y el B</w:t>
      </w:r>
      <w:r w:rsidR="007D4243" w:rsidRPr="00164A31">
        <w:rPr>
          <w:lang w:val="es-MX"/>
        </w:rPr>
        <w:t xml:space="preserve">ID. </w:t>
      </w:r>
      <w:r w:rsidRPr="00164A31">
        <w:rPr>
          <w:lang w:val="es-MX"/>
        </w:rPr>
        <w:t xml:space="preserve">También se </w:t>
      </w:r>
      <w:r w:rsidR="00F67C73">
        <w:rPr>
          <w:lang w:val="es-MX"/>
        </w:rPr>
        <w:t>hace</w:t>
      </w:r>
      <w:r w:rsidRPr="00164A31">
        <w:rPr>
          <w:lang w:val="es-MX"/>
        </w:rPr>
        <w:t xml:space="preserve"> seguimiento de los convenios de cooperación y colaboración que se suscriban en el marco del P</w:t>
      </w:r>
      <w:r w:rsidR="00F67C73">
        <w:rPr>
          <w:lang w:val="es-MX"/>
        </w:rPr>
        <w:t>rograma. Anualmente se realiza</w:t>
      </w:r>
      <w:r w:rsidRPr="00164A31">
        <w:rPr>
          <w:lang w:val="es-MX"/>
        </w:rPr>
        <w:t xml:space="preserve">n auditorías financieras a cargo de una firma </w:t>
      </w:r>
      <w:r w:rsidR="00B674AA" w:rsidRPr="00164A31">
        <w:rPr>
          <w:lang w:val="es-MX"/>
        </w:rPr>
        <w:t>externa.</w:t>
      </w:r>
      <w:r w:rsidR="00B674AA">
        <w:rPr>
          <w:lang w:val="es-MX"/>
        </w:rPr>
        <w:t xml:space="preserve"> </w:t>
      </w:r>
      <w:r w:rsidR="00B674AA" w:rsidRPr="00164A31">
        <w:rPr>
          <w:lang w:val="es-MX"/>
        </w:rPr>
        <w:t>El</w:t>
      </w:r>
      <w:r w:rsidR="00F67C73">
        <w:rPr>
          <w:lang w:val="es-MX"/>
        </w:rPr>
        <w:t xml:space="preserve"> BID realiza</w:t>
      </w:r>
      <w:r w:rsidRPr="00164A31">
        <w:rPr>
          <w:lang w:val="es-MX"/>
        </w:rPr>
        <w:t xml:space="preserve"> visitas técnicas y socio-ambientales semestrales para revisar el avance de los proyectos financiados y hacer los ajustes que se deriven de su ejecución.</w:t>
      </w:r>
    </w:p>
    <w:p w:rsidR="00D75A3B" w:rsidRPr="00416654" w:rsidRDefault="0079207E" w:rsidP="00416654">
      <w:pPr>
        <w:pStyle w:val="Heading2"/>
        <w:spacing w:before="120" w:after="120"/>
        <w:rPr>
          <w:b/>
          <w:lang w:val="es-MX"/>
        </w:rPr>
      </w:pPr>
      <w:bookmarkStart w:id="15" w:name="_Toc416868847"/>
      <w:r w:rsidRPr="00416654">
        <w:rPr>
          <w:b/>
          <w:lang w:val="es-MX"/>
        </w:rPr>
        <w:t>Instrumentos de Gestión</w:t>
      </w:r>
      <w:bookmarkEnd w:id="15"/>
    </w:p>
    <w:p w:rsidR="00A71D3D" w:rsidRPr="00164A31" w:rsidRDefault="00A71D3D" w:rsidP="00A71D3D">
      <w:pPr>
        <w:rPr>
          <w:lang w:val="es-MX"/>
        </w:rPr>
      </w:pPr>
      <w:r w:rsidRPr="00164A31">
        <w:rPr>
          <w:lang w:val="es-MX"/>
        </w:rPr>
        <w:t xml:space="preserve">La Evaluación pudo apreciar el activo seguimiento de las actividades del Programa por parte </w:t>
      </w:r>
      <w:r w:rsidR="00FD69DA" w:rsidRPr="00164A31">
        <w:rPr>
          <w:lang w:val="es-MX"/>
        </w:rPr>
        <w:t>del</w:t>
      </w:r>
      <w:r w:rsidRPr="00164A31">
        <w:rPr>
          <w:lang w:val="es-MX"/>
        </w:rPr>
        <w:t xml:space="preserve"> personal del MEER y ARCONEL asignado a la UEP. El MEER cuenta con un grupo de ingenieros que actúa como enlace con las EED, donde se han creado equipos de gestión del Programa. El componente III ha contribuido a esta estructura mediante la contratación de 20 personas asignadas a las EED. El BID ha contratado un consultor internacional asignado al MEER que brinda asistencia técnica general al Programa y, entre otras tareas, da seguimiento a las obras físicas</w:t>
      </w:r>
      <w:r w:rsidR="00A26DBC">
        <w:rPr>
          <w:lang w:val="es-MX"/>
        </w:rPr>
        <w:t>.</w:t>
      </w:r>
      <w:r w:rsidRPr="00164A31">
        <w:rPr>
          <w:lang w:val="es-MX"/>
        </w:rPr>
        <w:t xml:space="preserve"> </w:t>
      </w:r>
    </w:p>
    <w:p w:rsidR="0079279C" w:rsidRPr="00164A31" w:rsidRDefault="00A71D3D" w:rsidP="00387F51">
      <w:pPr>
        <w:rPr>
          <w:lang w:val="es-MX"/>
        </w:rPr>
      </w:pPr>
      <w:r w:rsidRPr="00164A31">
        <w:rPr>
          <w:lang w:val="es-MX"/>
        </w:rPr>
        <w:t xml:space="preserve">El MEER </w:t>
      </w:r>
      <w:r w:rsidR="0010426D" w:rsidRPr="00164A31">
        <w:rPr>
          <w:lang w:val="es-MX"/>
        </w:rPr>
        <w:t>utiliza el e-</w:t>
      </w:r>
      <w:r w:rsidR="00B674AA" w:rsidRPr="00164A31">
        <w:rPr>
          <w:lang w:val="es-MX"/>
        </w:rPr>
        <w:t>SIGEF</w:t>
      </w:r>
      <w:r w:rsidR="00B674AA">
        <w:rPr>
          <w:lang w:val="es-MX"/>
        </w:rPr>
        <w:t xml:space="preserve"> </w:t>
      </w:r>
      <w:r w:rsidR="00B674AA" w:rsidRPr="00164A31">
        <w:rPr>
          <w:lang w:val="es-MX"/>
        </w:rPr>
        <w:t>como</w:t>
      </w:r>
      <w:r w:rsidR="0010426D" w:rsidRPr="00164A31">
        <w:rPr>
          <w:lang w:val="es-MX"/>
        </w:rPr>
        <w:t xml:space="preserve"> sistema de gestión financiera. </w:t>
      </w:r>
      <w:r w:rsidR="00FD69DA" w:rsidRPr="00164A31">
        <w:rPr>
          <w:lang w:val="es-MX"/>
        </w:rPr>
        <w:t xml:space="preserve">La evaluación fiduciaria por parte del Banco (2013) concluyó que el sistema tiene un adecuado nivel de desarrollo, requiriendo ser complementado para los proyectos que financia el Banco en lo referente a reporte financiero específico y a auditoría </w:t>
      </w:r>
      <w:r w:rsidR="00B674AA" w:rsidRPr="00164A31">
        <w:rPr>
          <w:lang w:val="es-MX"/>
        </w:rPr>
        <w:t>externa. En</w:t>
      </w:r>
      <w:r w:rsidR="0010426D" w:rsidRPr="00164A31">
        <w:rPr>
          <w:lang w:val="es-MX"/>
        </w:rPr>
        <w:t xml:space="preserve"> febrero 2013 el Directorio Ejecutivo del Banco </w:t>
      </w:r>
      <w:r w:rsidR="00B674AA" w:rsidRPr="00164A31">
        <w:rPr>
          <w:lang w:val="es-MX"/>
        </w:rPr>
        <w:t>aprobó</w:t>
      </w:r>
      <w:r w:rsidR="00B674AA">
        <w:rPr>
          <w:lang w:val="es-MX"/>
        </w:rPr>
        <w:t xml:space="preserve"> </w:t>
      </w:r>
      <w:r w:rsidR="00B674AA" w:rsidRPr="00164A31">
        <w:rPr>
          <w:lang w:val="es-MX"/>
        </w:rPr>
        <w:t>la</w:t>
      </w:r>
      <w:r w:rsidR="0010426D" w:rsidRPr="00164A31">
        <w:rPr>
          <w:lang w:val="es-MX"/>
        </w:rPr>
        <w:t xml:space="preserve"> utilización del Sistema Nacional de Contratación Pública (SNCP), </w:t>
      </w:r>
      <w:r w:rsidR="00B674AA" w:rsidRPr="00164A31">
        <w:rPr>
          <w:lang w:val="es-MX"/>
        </w:rPr>
        <w:t>para adquisiciones</w:t>
      </w:r>
      <w:r w:rsidR="0010426D" w:rsidRPr="00164A31">
        <w:rPr>
          <w:lang w:val="es-MX"/>
        </w:rPr>
        <w:t xml:space="preserve"> por debajo del límite de licitación pública internacional</w:t>
      </w:r>
      <w:r w:rsidR="0079279C" w:rsidRPr="00164A31">
        <w:rPr>
          <w:lang w:val="es-MX"/>
        </w:rPr>
        <w:t>.</w:t>
      </w:r>
      <w:r w:rsidR="0010426D" w:rsidRPr="00164A31">
        <w:rPr>
          <w:rStyle w:val="FootnoteReference"/>
          <w:lang w:val="es-MX"/>
        </w:rPr>
        <w:footnoteReference w:id="23"/>
      </w:r>
      <w:r w:rsidR="00F67C73">
        <w:rPr>
          <w:lang w:val="es-MX"/>
        </w:rPr>
        <w:t xml:space="preserve"> </w:t>
      </w:r>
      <w:r w:rsidR="00016E91" w:rsidRPr="00164A31">
        <w:rPr>
          <w:lang w:val="es-MX"/>
        </w:rPr>
        <w:t xml:space="preserve">Los mecanismos de desembolsos y flujo de fondos están basados en el uso de la Cuenta Única del Tesoro Nacional (CUT) y cuentas especiales en el Banco </w:t>
      </w:r>
      <w:r w:rsidR="00016E91" w:rsidRPr="00164A31">
        <w:rPr>
          <w:lang w:val="es-MX"/>
        </w:rPr>
        <w:lastRenderedPageBreak/>
        <w:t>Central de Ecuador (BCE)</w:t>
      </w:r>
      <w:r w:rsidR="00016E91" w:rsidRPr="00164A31">
        <w:rPr>
          <w:rStyle w:val="FootnoteReference"/>
          <w:lang w:val="es-MX"/>
        </w:rPr>
        <w:footnoteReference w:id="24"/>
      </w:r>
      <w:r w:rsidR="00016E91" w:rsidRPr="00164A31">
        <w:rPr>
          <w:lang w:val="es-MX"/>
        </w:rPr>
        <w:t xml:space="preserve">. </w:t>
      </w:r>
      <w:r w:rsidRPr="00164A31">
        <w:rPr>
          <w:lang w:val="es-MX"/>
        </w:rPr>
        <w:t xml:space="preserve">Los </w:t>
      </w:r>
      <w:r w:rsidR="0079279C" w:rsidRPr="00164A31">
        <w:rPr>
          <w:lang w:val="es-MX"/>
        </w:rPr>
        <w:t xml:space="preserve">especialistas financiera y de contratación expusieron </w:t>
      </w:r>
      <w:r w:rsidRPr="00164A31">
        <w:rPr>
          <w:lang w:val="es-MX"/>
        </w:rPr>
        <w:t xml:space="preserve">al Evaluador </w:t>
      </w:r>
      <w:r w:rsidR="0079279C" w:rsidRPr="00164A31">
        <w:rPr>
          <w:lang w:val="es-MX"/>
        </w:rPr>
        <w:t xml:space="preserve">el uso de </w:t>
      </w:r>
      <w:r w:rsidR="00016E91" w:rsidRPr="00164A31">
        <w:rPr>
          <w:lang w:val="es-MX"/>
        </w:rPr>
        <w:t xml:space="preserve">estos </w:t>
      </w:r>
      <w:r w:rsidR="0079279C" w:rsidRPr="00164A31">
        <w:rPr>
          <w:lang w:val="es-MX"/>
        </w:rPr>
        <w:t xml:space="preserve"> sistemas</w:t>
      </w:r>
      <w:r w:rsidRPr="00164A31">
        <w:rPr>
          <w:lang w:val="es-MX"/>
        </w:rPr>
        <w:t xml:space="preserve"> por el Programa, </w:t>
      </w:r>
      <w:r w:rsidR="00016E91" w:rsidRPr="00164A31">
        <w:rPr>
          <w:lang w:val="es-MX"/>
        </w:rPr>
        <w:t>que parece en conformidad con los arreglos estipulados</w:t>
      </w:r>
      <w:r w:rsidRPr="00164A31">
        <w:rPr>
          <w:lang w:val="es-MX"/>
        </w:rPr>
        <w:t>.</w:t>
      </w:r>
    </w:p>
    <w:p w:rsidR="006C6761" w:rsidRPr="00164A31" w:rsidRDefault="00B8715F" w:rsidP="00387F51">
      <w:pPr>
        <w:rPr>
          <w:lang w:val="es-MX"/>
        </w:rPr>
      </w:pPr>
      <w:r w:rsidRPr="00164A31">
        <w:rPr>
          <w:lang w:val="es-MX"/>
        </w:rPr>
        <w:t>L</w:t>
      </w:r>
      <w:r w:rsidR="000B6933" w:rsidRPr="00164A31">
        <w:rPr>
          <w:lang w:val="es-MX"/>
        </w:rPr>
        <w:t xml:space="preserve">as herramientas de seguimiento del </w:t>
      </w:r>
      <w:r w:rsidR="000B6933" w:rsidRPr="006E39AB">
        <w:rPr>
          <w:lang w:val="es-MX"/>
        </w:rPr>
        <w:t xml:space="preserve">avance </w:t>
      </w:r>
      <w:r w:rsidRPr="006E39AB">
        <w:rPr>
          <w:lang w:val="es-MX"/>
        </w:rPr>
        <w:t>técnico-</w:t>
      </w:r>
      <w:r w:rsidR="000B6933" w:rsidRPr="006E39AB">
        <w:rPr>
          <w:lang w:val="es-MX"/>
        </w:rPr>
        <w:t>financiero</w:t>
      </w:r>
      <w:r w:rsidR="000B6933" w:rsidRPr="006E39AB">
        <w:rPr>
          <w:vertAlign w:val="superscript"/>
        </w:rPr>
        <w:footnoteReference w:id="25"/>
      </w:r>
      <w:r w:rsidR="001B401C" w:rsidRPr="006E39AB">
        <w:rPr>
          <w:vertAlign w:val="superscript"/>
          <w:lang w:val="es-MX"/>
        </w:rPr>
        <w:t xml:space="preserve"> </w:t>
      </w:r>
      <w:r w:rsidR="00A71D3D" w:rsidRPr="006E39AB">
        <w:rPr>
          <w:lang w:val="es-MX"/>
        </w:rPr>
        <w:t>del Programa</w:t>
      </w:r>
      <w:r w:rsidR="00A71D3D" w:rsidRPr="00164A31">
        <w:rPr>
          <w:lang w:val="es-MX"/>
        </w:rPr>
        <w:t xml:space="preserve"> </w:t>
      </w:r>
      <w:r w:rsidR="000B6933" w:rsidRPr="00164A31">
        <w:rPr>
          <w:lang w:val="es-MX"/>
        </w:rPr>
        <w:t>están basadas en un conjunto de hoj</w:t>
      </w:r>
      <w:r w:rsidR="00DB5B67" w:rsidRPr="00164A31">
        <w:rPr>
          <w:lang w:val="es-MX"/>
        </w:rPr>
        <w:t xml:space="preserve">as de cálculo (en formato XLS). La UEP, ARCONEL y los gestores en las </w:t>
      </w:r>
      <w:r w:rsidR="00FD69DA" w:rsidRPr="00164A31">
        <w:rPr>
          <w:lang w:val="es-MX"/>
        </w:rPr>
        <w:t>EED</w:t>
      </w:r>
      <w:r w:rsidR="00DB5B67" w:rsidRPr="00164A31">
        <w:rPr>
          <w:lang w:val="es-MX"/>
        </w:rPr>
        <w:t xml:space="preserve"> trabajan en conjunto para incorporar </w:t>
      </w:r>
      <w:r w:rsidR="00A71D3D" w:rsidRPr="00164A31">
        <w:rPr>
          <w:lang w:val="es-MX"/>
        </w:rPr>
        <w:t xml:space="preserve">y verificar </w:t>
      </w:r>
      <w:r w:rsidR="00DB5B67" w:rsidRPr="00164A31">
        <w:rPr>
          <w:lang w:val="es-MX"/>
        </w:rPr>
        <w:t>la información de los procesos</w:t>
      </w:r>
      <w:r w:rsidR="00A71D3D" w:rsidRPr="00164A31">
        <w:rPr>
          <w:rStyle w:val="FootnoteReference"/>
          <w:lang w:val="es-MX"/>
        </w:rPr>
        <w:footnoteReference w:id="26"/>
      </w:r>
      <w:r w:rsidR="00DB5B67" w:rsidRPr="00164A31">
        <w:rPr>
          <w:lang w:val="es-MX"/>
        </w:rPr>
        <w:t xml:space="preserve">. Debido al gran número de procesos y la actualización diaria de información, la funcionalidad del PEP/POA </w:t>
      </w:r>
      <w:r w:rsidR="00A71D3D" w:rsidRPr="00164A31">
        <w:rPr>
          <w:lang w:val="es-MX"/>
        </w:rPr>
        <w:t>(</w:t>
      </w:r>
      <w:r w:rsidRPr="00164A31">
        <w:rPr>
          <w:lang w:val="es-MX"/>
        </w:rPr>
        <w:t xml:space="preserve">que es </w:t>
      </w:r>
      <w:r w:rsidR="00DB5B67" w:rsidRPr="00164A31">
        <w:rPr>
          <w:lang w:val="es-MX"/>
        </w:rPr>
        <w:t>gestio</w:t>
      </w:r>
      <w:r w:rsidR="00A71D3D" w:rsidRPr="00164A31">
        <w:rPr>
          <w:lang w:val="es-MX"/>
        </w:rPr>
        <w:t>nado al nivel central de la UEP)</w:t>
      </w:r>
      <w:r w:rsidR="00DB5B67" w:rsidRPr="00164A31">
        <w:rPr>
          <w:lang w:val="es-MX"/>
        </w:rPr>
        <w:t xml:space="preserve"> se limita a fines de planificación</w:t>
      </w:r>
      <w:r w:rsidR="006E2A4C" w:rsidRPr="00164A31">
        <w:rPr>
          <w:lang w:val="es-MX"/>
        </w:rPr>
        <w:t xml:space="preserve">, ya que </w:t>
      </w:r>
      <w:r w:rsidR="007D4243" w:rsidRPr="00164A31">
        <w:rPr>
          <w:lang w:val="es-MX"/>
        </w:rPr>
        <w:t xml:space="preserve">su </w:t>
      </w:r>
      <w:r w:rsidR="006E2A4C" w:rsidRPr="00164A31">
        <w:rPr>
          <w:lang w:val="es-MX"/>
        </w:rPr>
        <w:t>actualización es retroactiva</w:t>
      </w:r>
      <w:r w:rsidR="00A71D3D" w:rsidRPr="00164A31">
        <w:rPr>
          <w:rStyle w:val="FootnoteReference"/>
          <w:lang w:val="es-MX"/>
        </w:rPr>
        <w:footnoteReference w:id="27"/>
      </w:r>
      <w:r w:rsidR="00DB5B67" w:rsidRPr="00164A31">
        <w:rPr>
          <w:lang w:val="es-MX"/>
        </w:rPr>
        <w:t xml:space="preserve">. La Evaluación espera importantes beneficios de la </w:t>
      </w:r>
      <w:r w:rsidR="006E2A4C" w:rsidRPr="00164A31">
        <w:rPr>
          <w:lang w:val="es-MX"/>
        </w:rPr>
        <w:t xml:space="preserve">inminente </w:t>
      </w:r>
      <w:r w:rsidR="00DB5B67" w:rsidRPr="00164A31">
        <w:rPr>
          <w:lang w:val="es-MX"/>
        </w:rPr>
        <w:t>migración a la plataforma SIGPRO en aspectos de robustez, asignación de diferentes niveles de usuarios</w:t>
      </w:r>
      <w:r w:rsidRPr="00164A31">
        <w:rPr>
          <w:rStyle w:val="FootnoteReference"/>
          <w:lang w:val="es-MX"/>
        </w:rPr>
        <w:footnoteReference w:id="28"/>
      </w:r>
      <w:r w:rsidR="00DB5B67" w:rsidRPr="00164A31">
        <w:rPr>
          <w:lang w:val="es-MX"/>
        </w:rPr>
        <w:t xml:space="preserve">, incorporación de indicadores de seguimiento, y oportunidades de crear </w:t>
      </w:r>
      <w:r w:rsidR="00FD69DA" w:rsidRPr="00164A31">
        <w:rPr>
          <w:lang w:val="es-MX"/>
        </w:rPr>
        <w:t>módulos</w:t>
      </w:r>
      <w:r w:rsidR="00DB5B67" w:rsidRPr="00164A31">
        <w:rPr>
          <w:lang w:val="es-MX"/>
        </w:rPr>
        <w:t xml:space="preserve"> de consulta y análisis a nivel ejecutivo. Esta plataforma, según la UEP, debe entrar en operación </w:t>
      </w:r>
      <w:r w:rsidR="000856F0">
        <w:rPr>
          <w:lang w:val="es-MX"/>
        </w:rPr>
        <w:t xml:space="preserve">total en </w:t>
      </w:r>
      <w:r w:rsidR="00DB5B67" w:rsidRPr="00164A31">
        <w:rPr>
          <w:lang w:val="es-MX"/>
        </w:rPr>
        <w:t>mayo 2015.</w:t>
      </w:r>
    </w:p>
    <w:p w:rsidR="00D75A3B" w:rsidRPr="00164A31" w:rsidRDefault="00794C86" w:rsidP="00794C86">
      <w:pPr>
        <w:pStyle w:val="Heading3"/>
        <w:rPr>
          <w:lang w:val="es-MX"/>
        </w:rPr>
      </w:pPr>
      <w:r w:rsidRPr="00164A31">
        <w:rPr>
          <w:lang w:val="es-MX"/>
        </w:rPr>
        <w:t>Reportes y Documentos I</w:t>
      </w:r>
      <w:r w:rsidR="00D75A3B" w:rsidRPr="00164A31">
        <w:rPr>
          <w:lang w:val="es-MX"/>
        </w:rPr>
        <w:t>nternos</w:t>
      </w:r>
    </w:p>
    <w:p w:rsidR="00171ABB" w:rsidRPr="00164A31" w:rsidRDefault="00171ABB" w:rsidP="00171ABB">
      <w:pPr>
        <w:rPr>
          <w:lang w:val="es-MX"/>
        </w:rPr>
      </w:pPr>
      <w:r w:rsidRPr="00164A31">
        <w:rPr>
          <w:lang w:val="es-MX"/>
        </w:rPr>
        <w:t>Para la preparación de los informes semestrales, la UEP se basa en información recopilada por ARCONEL, que genera informes de avance mensuales, que son revisados por el MEER. Basado en la revisión del primer Informe Semestral, la Evaluación ha constatado varias oportunidades de mejora: (i) homologar el uso de conceptos de M&amp;E: específicamente, el uso del término línea base; (ii) cubrir los tres componentes del Programa</w:t>
      </w:r>
      <w:r w:rsidRPr="00164A31">
        <w:rPr>
          <w:rStyle w:val="FootnoteReference"/>
          <w:lang w:val="es-MX"/>
        </w:rPr>
        <w:footnoteReference w:id="29"/>
      </w:r>
      <w:r w:rsidRPr="00164A31">
        <w:rPr>
          <w:lang w:val="es-MX"/>
        </w:rPr>
        <w:t>; (iii) evitar confundir los impactos esperados con los avances objetivamente verificables; (iv) extender la parte narrativa más allá de la gestión administrativa-financiera de los procesos; (v) crear una jerarquía consistente entre los medios de verificación</w:t>
      </w:r>
      <w:r w:rsidRPr="00164A31">
        <w:rPr>
          <w:rStyle w:val="FootnoteReference"/>
          <w:lang w:val="es-MX"/>
        </w:rPr>
        <w:footnoteReference w:id="30"/>
      </w:r>
      <w:r w:rsidRPr="00164A31">
        <w:rPr>
          <w:lang w:val="es-MX"/>
        </w:rPr>
        <w:t>; y (vi) sistematizar el seguimiento de riesgos y acciones correctivas (ver abajo).</w:t>
      </w:r>
      <w:r w:rsidRPr="00164A31">
        <w:rPr>
          <w:rStyle w:val="FootnoteReference"/>
          <w:lang w:val="es-MX"/>
        </w:rPr>
        <w:footnoteReference w:id="31"/>
      </w:r>
    </w:p>
    <w:p w:rsidR="00665D5D" w:rsidRPr="00164A31" w:rsidRDefault="00AB4662" w:rsidP="00387F51">
      <w:pPr>
        <w:rPr>
          <w:lang w:val="es-MX"/>
        </w:rPr>
      </w:pPr>
      <w:r w:rsidRPr="00281CD8">
        <w:rPr>
          <w:lang w:val="es-MX"/>
        </w:rPr>
        <w:t>Basado</w:t>
      </w:r>
      <w:r w:rsidR="00665D5D" w:rsidRPr="00281CD8">
        <w:rPr>
          <w:lang w:val="es-MX"/>
        </w:rPr>
        <w:t xml:space="preserve"> en una revisión del Manual de Operaciones del Programa (MOP), se observa que las responsabilidades de la UEP definidas en el Plan de Monitoreo y Evaluación (PME) </w:t>
      </w:r>
      <w:r w:rsidR="00665D5D" w:rsidRPr="006E39AB">
        <w:rPr>
          <w:lang w:val="es-MX"/>
        </w:rPr>
        <w:t>no quedan debidamente plasmadas en el MOP</w:t>
      </w:r>
      <w:r w:rsidR="00FD62D3" w:rsidRPr="006E39AB">
        <w:rPr>
          <w:vertAlign w:val="superscript"/>
        </w:rPr>
        <w:footnoteReference w:id="32"/>
      </w:r>
      <w:r w:rsidR="00665D5D" w:rsidRPr="006E39AB">
        <w:rPr>
          <w:lang w:val="es-MX"/>
        </w:rPr>
        <w:t>.</w:t>
      </w:r>
      <w:r w:rsidR="00665D5D" w:rsidRPr="00281CD8">
        <w:rPr>
          <w:lang w:val="es-MX"/>
        </w:rPr>
        <w:t xml:space="preserve"> En entrevista, el Especialista en M&amp;E comentó que no estaba familiarizado con el alcance del M&amp;E, el cual va más allá de un seguimiento meramente operativo. En este contexto, se observa que el cronograma de </w:t>
      </w:r>
      <w:r w:rsidR="00217702" w:rsidRPr="00281CD8">
        <w:rPr>
          <w:lang w:val="es-MX"/>
        </w:rPr>
        <w:t xml:space="preserve">talleres </w:t>
      </w:r>
      <w:r w:rsidR="002A03D1" w:rsidRPr="00281CD8">
        <w:rPr>
          <w:lang w:val="es-MX"/>
        </w:rPr>
        <w:t xml:space="preserve">de apoyo </w:t>
      </w:r>
      <w:r w:rsidR="00665D5D" w:rsidRPr="00281CD8">
        <w:rPr>
          <w:lang w:val="es-MX"/>
        </w:rPr>
        <w:t>al M&amp;E</w:t>
      </w:r>
      <w:r w:rsidR="00665D5D" w:rsidRPr="00281CD8">
        <w:rPr>
          <w:rStyle w:val="FootnoteReference"/>
          <w:lang w:val="es-MX"/>
        </w:rPr>
        <w:footnoteReference w:id="33"/>
      </w:r>
      <w:r w:rsidR="00665D5D" w:rsidRPr="00281CD8">
        <w:rPr>
          <w:lang w:val="es-MX"/>
        </w:rPr>
        <w:t xml:space="preserve"> ha quedado obsoleto debido al rápido despliegue del Programa.</w:t>
      </w:r>
      <w:r w:rsidR="007C6BC9" w:rsidRPr="00281CD8">
        <w:rPr>
          <w:lang w:val="es-MX"/>
        </w:rPr>
        <w:t xml:space="preserve"> Es importante que la UEP se familiarice con el alcance de la evaluación final del Programa para poder asumir responsabilidad por la recolección de datos relevantes</w:t>
      </w:r>
      <w:r w:rsidR="007C6BC9" w:rsidRPr="00281CD8">
        <w:rPr>
          <w:rStyle w:val="FootnoteReference"/>
          <w:lang w:val="es-MX"/>
        </w:rPr>
        <w:footnoteReference w:id="34"/>
      </w:r>
      <w:r w:rsidR="007C6BC9" w:rsidRPr="00281CD8">
        <w:rPr>
          <w:lang w:val="es-MX"/>
        </w:rPr>
        <w:t>.</w:t>
      </w:r>
      <w:r w:rsidR="007C6BC9" w:rsidRPr="00164A31">
        <w:rPr>
          <w:lang w:val="es-MX"/>
        </w:rPr>
        <w:t xml:space="preserve"> </w:t>
      </w:r>
    </w:p>
    <w:p w:rsidR="00665D5D" w:rsidRPr="00164A31" w:rsidRDefault="00171ABB" w:rsidP="00D24873">
      <w:pPr>
        <w:rPr>
          <w:lang w:val="es-MX"/>
        </w:rPr>
      </w:pPr>
      <w:r w:rsidRPr="00164A31">
        <w:rPr>
          <w:lang w:val="es-MX"/>
        </w:rPr>
        <w:t xml:space="preserve">Se recomienda </w:t>
      </w:r>
      <w:r w:rsidR="00DC5BFA">
        <w:rPr>
          <w:lang w:val="es-MX"/>
        </w:rPr>
        <w:t>revisar de nuevo</w:t>
      </w:r>
      <w:r w:rsidR="00DC5BFA" w:rsidRPr="00164A31">
        <w:rPr>
          <w:lang w:val="es-MX"/>
        </w:rPr>
        <w:t xml:space="preserve"> </w:t>
      </w:r>
      <w:r w:rsidRPr="00164A31">
        <w:rPr>
          <w:lang w:val="es-MX"/>
        </w:rPr>
        <w:t xml:space="preserve">el MOP, precisando las responsabilidades de los </w:t>
      </w:r>
      <w:r w:rsidR="00FD69DA" w:rsidRPr="00164A31">
        <w:rPr>
          <w:lang w:val="es-MX"/>
        </w:rPr>
        <w:t>miembros</w:t>
      </w:r>
      <w:r w:rsidRPr="00164A31">
        <w:rPr>
          <w:lang w:val="es-MX"/>
        </w:rPr>
        <w:t xml:space="preserve"> de la UEP y fortaleciendo la consistencia con otros documentos</w:t>
      </w:r>
      <w:r w:rsidR="00DC5BFA">
        <w:rPr>
          <w:lang w:val="es-MX"/>
        </w:rPr>
        <w:t>, lo cual contribuirá a una mejor coordinación de responsabilidades en la UEP y a reducir cargas de trabajo</w:t>
      </w:r>
      <w:r w:rsidRPr="00164A31">
        <w:rPr>
          <w:lang w:val="es-MX"/>
        </w:rPr>
        <w:t xml:space="preserve">. Cabe notar que </w:t>
      </w:r>
      <w:r w:rsidR="00D24873" w:rsidRPr="00164A31">
        <w:rPr>
          <w:lang w:val="es-MX"/>
        </w:rPr>
        <w:t>la UEP cuenta</w:t>
      </w:r>
      <w:r w:rsidRPr="00164A31">
        <w:rPr>
          <w:lang w:val="es-MX"/>
        </w:rPr>
        <w:t xml:space="preserve"> con instructivos que detallan el uso de las herramientas de seguimiento, los mecanismos de licitación pública, procedimientos del sector, etcétera</w:t>
      </w:r>
      <w:r w:rsidR="00D24873" w:rsidRPr="00164A31">
        <w:rPr>
          <w:lang w:val="es-MX"/>
        </w:rPr>
        <w:t>; s</w:t>
      </w:r>
      <w:r w:rsidRPr="00164A31">
        <w:rPr>
          <w:lang w:val="es-MX"/>
        </w:rPr>
        <w:t xml:space="preserve">e recomienda </w:t>
      </w:r>
      <w:r w:rsidR="00D24873" w:rsidRPr="00164A31">
        <w:rPr>
          <w:lang w:val="es-MX"/>
        </w:rPr>
        <w:t>incluir</w:t>
      </w:r>
      <w:r w:rsidRPr="00164A31">
        <w:rPr>
          <w:lang w:val="es-MX"/>
        </w:rPr>
        <w:t xml:space="preserve"> referencias </w:t>
      </w:r>
      <w:r w:rsidR="00D24873" w:rsidRPr="00164A31">
        <w:rPr>
          <w:lang w:val="es-MX"/>
        </w:rPr>
        <w:t xml:space="preserve">a estos </w:t>
      </w:r>
      <w:r w:rsidRPr="00164A31">
        <w:rPr>
          <w:lang w:val="es-MX"/>
        </w:rPr>
        <w:t xml:space="preserve">manuales e instructivos. Así mismo, se recomienda </w:t>
      </w:r>
      <w:r w:rsidR="00D24873" w:rsidRPr="00164A31">
        <w:rPr>
          <w:lang w:val="es-MX"/>
        </w:rPr>
        <w:t xml:space="preserve">fortalecer la gestión </w:t>
      </w:r>
      <w:r w:rsidRPr="00164A31">
        <w:rPr>
          <w:lang w:val="es-MX"/>
        </w:rPr>
        <w:t xml:space="preserve">de documentos al asignar un número de versión y fecha de aprobación, y posiblemente asignar </w:t>
      </w:r>
      <w:r w:rsidR="00D24873" w:rsidRPr="00164A31">
        <w:rPr>
          <w:lang w:val="es-MX"/>
        </w:rPr>
        <w:t xml:space="preserve">a </w:t>
      </w:r>
      <w:r w:rsidRPr="00164A31">
        <w:rPr>
          <w:lang w:val="es-MX"/>
        </w:rPr>
        <w:t>una persona responsa</w:t>
      </w:r>
      <w:r w:rsidR="00D24873" w:rsidRPr="00164A31">
        <w:rPr>
          <w:lang w:val="es-MX"/>
        </w:rPr>
        <w:t>b</w:t>
      </w:r>
      <w:r w:rsidRPr="00164A31">
        <w:rPr>
          <w:lang w:val="es-MX"/>
        </w:rPr>
        <w:t xml:space="preserve">le de </w:t>
      </w:r>
      <w:r w:rsidR="00D24873" w:rsidRPr="00164A31">
        <w:rPr>
          <w:lang w:val="es-MX"/>
        </w:rPr>
        <w:t xml:space="preserve">cada </w:t>
      </w:r>
      <w:r w:rsidRPr="00164A31">
        <w:rPr>
          <w:lang w:val="es-MX"/>
        </w:rPr>
        <w:t xml:space="preserve">documento. </w:t>
      </w:r>
      <w:r w:rsidR="00D24873" w:rsidRPr="00164A31">
        <w:rPr>
          <w:lang w:val="es-MX"/>
        </w:rPr>
        <w:t xml:space="preserve">También se podría enriquecer el MOP con </w:t>
      </w:r>
      <w:r w:rsidRPr="00164A31">
        <w:rPr>
          <w:lang w:val="es-MX"/>
        </w:rPr>
        <w:t xml:space="preserve">organigramas y diagramas de flujo </w:t>
      </w:r>
      <w:r w:rsidR="00D24873" w:rsidRPr="00164A31">
        <w:rPr>
          <w:lang w:val="es-MX"/>
        </w:rPr>
        <w:t xml:space="preserve">para clarificar roles, responsabilidades y protocolos de comunicación. </w:t>
      </w:r>
    </w:p>
    <w:p w:rsidR="00EF7324" w:rsidRPr="00416654" w:rsidRDefault="00794C86" w:rsidP="00416654">
      <w:pPr>
        <w:pStyle w:val="Heading2"/>
        <w:spacing w:before="120" w:after="120"/>
        <w:rPr>
          <w:b/>
          <w:lang w:val="es-MX"/>
        </w:rPr>
      </w:pPr>
      <w:bookmarkStart w:id="16" w:name="_Toc416868848"/>
      <w:r w:rsidRPr="00416654">
        <w:rPr>
          <w:b/>
          <w:lang w:val="es-MX"/>
        </w:rPr>
        <w:lastRenderedPageBreak/>
        <w:t>Gestión de R</w:t>
      </w:r>
      <w:r w:rsidR="00EF7324" w:rsidRPr="00416654">
        <w:rPr>
          <w:b/>
          <w:lang w:val="es-MX"/>
        </w:rPr>
        <w:t>iesgos</w:t>
      </w:r>
      <w:bookmarkEnd w:id="16"/>
    </w:p>
    <w:p w:rsidR="00445BCA" w:rsidRPr="00164A31" w:rsidRDefault="00C23C4B" w:rsidP="00973F1D">
      <w:pPr>
        <w:rPr>
          <w:lang w:val="es-MX"/>
        </w:rPr>
      </w:pPr>
      <w:r w:rsidRPr="00164A31">
        <w:rPr>
          <w:lang w:val="es-MX"/>
        </w:rPr>
        <w:t xml:space="preserve">La </w:t>
      </w:r>
      <w:r w:rsidR="00DA5C25" w:rsidRPr="00164A31">
        <w:rPr>
          <w:lang w:val="es-MX"/>
        </w:rPr>
        <w:t>herramienta "</w:t>
      </w:r>
      <w:r w:rsidRPr="00164A31">
        <w:rPr>
          <w:lang w:val="es-MX"/>
        </w:rPr>
        <w:t>Matriz de Evaluación de Riesgos</w:t>
      </w:r>
      <w:r w:rsidR="00DA5C25" w:rsidRPr="00164A31">
        <w:rPr>
          <w:lang w:val="es-MX"/>
        </w:rPr>
        <w:t>"</w:t>
      </w:r>
      <w:r w:rsidRPr="00164A31">
        <w:rPr>
          <w:lang w:val="es-MX"/>
        </w:rPr>
        <w:t xml:space="preserve"> del Banco distingue </w:t>
      </w:r>
      <w:r w:rsidR="00482619" w:rsidRPr="00164A31">
        <w:rPr>
          <w:lang w:val="es-MX"/>
        </w:rPr>
        <w:t>siete</w:t>
      </w:r>
      <w:r w:rsidRPr="00164A31">
        <w:rPr>
          <w:lang w:val="es-MX"/>
        </w:rPr>
        <w:t xml:space="preserve"> clases de riesgos: (i) de desarrollo; (ii) de gestión pública y gobernanza; (iii) de estabilidad macro-económica y fiscal; (iv) de sostenibilidad; (v) de reputación; (vi) de monitoreo y rendición </w:t>
      </w:r>
      <w:r w:rsidR="00E954C0" w:rsidRPr="00164A31">
        <w:rPr>
          <w:lang w:val="es-MX"/>
        </w:rPr>
        <w:t>de cuentas; y (vii) fiduciario.</w:t>
      </w:r>
      <w:r w:rsidR="002D3496" w:rsidRPr="00164A31">
        <w:rPr>
          <w:lang w:val="es-MX"/>
        </w:rPr>
        <w:t xml:space="preserve"> El Evaluador considera este conjunto de clases </w:t>
      </w:r>
      <w:r w:rsidR="00E2406D" w:rsidRPr="00164A31">
        <w:rPr>
          <w:lang w:val="es-MX"/>
        </w:rPr>
        <w:t>como</w:t>
      </w:r>
      <w:r w:rsidR="002D3496" w:rsidRPr="00164A31">
        <w:rPr>
          <w:lang w:val="es-MX"/>
        </w:rPr>
        <w:t xml:space="preserve"> adecuado</w:t>
      </w:r>
      <w:bookmarkStart w:id="17" w:name="_Ref416445653"/>
      <w:r w:rsidR="00DB5036" w:rsidRPr="00164A31">
        <w:rPr>
          <w:rStyle w:val="FootnoteReference"/>
          <w:lang w:val="es-MX"/>
        </w:rPr>
        <w:footnoteReference w:id="35"/>
      </w:r>
      <w:bookmarkEnd w:id="17"/>
      <w:r w:rsidR="00DB5036" w:rsidRPr="00164A31">
        <w:rPr>
          <w:lang w:val="es-MX"/>
        </w:rPr>
        <w:t>.</w:t>
      </w:r>
      <w:r w:rsidR="00FB745E">
        <w:rPr>
          <w:lang w:val="es-MX"/>
        </w:rPr>
        <w:t xml:space="preserve"> </w:t>
      </w:r>
      <w:r w:rsidR="00252BF3" w:rsidRPr="00164A31">
        <w:rPr>
          <w:lang w:val="es-MX"/>
        </w:rPr>
        <w:t>El primer Informe Semestral</w:t>
      </w:r>
      <w:r w:rsidR="00FB745E">
        <w:rPr>
          <w:lang w:val="es-MX"/>
        </w:rPr>
        <w:t xml:space="preserve"> del OE</w:t>
      </w:r>
      <w:r w:rsidR="00252BF3" w:rsidRPr="00164A31">
        <w:rPr>
          <w:lang w:val="es-MX"/>
        </w:rPr>
        <w:t xml:space="preserve"> </w:t>
      </w:r>
      <w:r w:rsidR="00AF17CF" w:rsidRPr="00164A31">
        <w:rPr>
          <w:lang w:val="es-MX"/>
        </w:rPr>
        <w:t xml:space="preserve">desglosa algunos </w:t>
      </w:r>
      <w:r w:rsidR="00B86D9C" w:rsidRPr="00164A31">
        <w:rPr>
          <w:lang w:val="es-MX"/>
        </w:rPr>
        <w:t xml:space="preserve">de estos </w:t>
      </w:r>
      <w:r w:rsidR="00252BF3" w:rsidRPr="00164A31">
        <w:rPr>
          <w:lang w:val="es-MX"/>
        </w:rPr>
        <w:t>riesgos</w:t>
      </w:r>
      <w:r w:rsidR="00AF17CF" w:rsidRPr="00164A31">
        <w:rPr>
          <w:lang w:val="es-MX"/>
        </w:rPr>
        <w:t xml:space="preserve"> y agrega </w:t>
      </w:r>
      <w:r w:rsidR="00F65B2E" w:rsidRPr="00164A31">
        <w:rPr>
          <w:lang w:val="es-MX"/>
        </w:rPr>
        <w:t>otros</w:t>
      </w:r>
      <w:r w:rsidR="00445BCA" w:rsidRPr="00164A31">
        <w:rPr>
          <w:lang w:val="es-MX"/>
        </w:rPr>
        <w:t xml:space="preserve">, </w:t>
      </w:r>
      <w:r w:rsidR="00B86D9C" w:rsidRPr="00164A31">
        <w:rPr>
          <w:lang w:val="es-MX"/>
        </w:rPr>
        <w:t xml:space="preserve">que a continuación son reformulados </w:t>
      </w:r>
      <w:r w:rsidR="00445BCA" w:rsidRPr="00164A31">
        <w:rPr>
          <w:lang w:val="es-MX"/>
        </w:rPr>
        <w:t xml:space="preserve">por </w:t>
      </w:r>
      <w:r w:rsidR="00B86D9C" w:rsidRPr="00164A31">
        <w:rPr>
          <w:lang w:val="es-MX"/>
        </w:rPr>
        <w:t xml:space="preserve">el </w:t>
      </w:r>
      <w:r w:rsidR="00445BCA" w:rsidRPr="00164A31">
        <w:rPr>
          <w:lang w:val="es-MX"/>
        </w:rPr>
        <w:t xml:space="preserve">Evaluador para </w:t>
      </w:r>
      <w:r w:rsidR="0084024A" w:rsidRPr="00164A31">
        <w:rPr>
          <w:lang w:val="es-MX"/>
        </w:rPr>
        <w:t>explicitar</w:t>
      </w:r>
      <w:r w:rsidR="00445BCA" w:rsidRPr="00164A31">
        <w:rPr>
          <w:lang w:val="es-MX"/>
        </w:rPr>
        <w:t xml:space="preserve"> la relación causa-efecto</w:t>
      </w:r>
      <w:r w:rsidR="00C559D7" w:rsidRPr="00164A31">
        <w:rPr>
          <w:lang w:val="es-MX"/>
        </w:rPr>
        <w:t>:</w:t>
      </w:r>
    </w:p>
    <w:p w:rsidR="00445BCA" w:rsidRPr="00164A31" w:rsidRDefault="00445BCA" w:rsidP="00EF072F">
      <w:pPr>
        <w:pStyle w:val="ListParagraph"/>
        <w:numPr>
          <w:ilvl w:val="0"/>
          <w:numId w:val="15"/>
        </w:numPr>
        <w:rPr>
          <w:lang w:val="es-MX"/>
        </w:rPr>
      </w:pPr>
      <w:r w:rsidRPr="00164A31">
        <w:rPr>
          <w:lang w:val="es-MX"/>
        </w:rPr>
        <w:t xml:space="preserve">Riesgo de que </w:t>
      </w:r>
      <w:r w:rsidR="000C572A" w:rsidRPr="00164A31">
        <w:rPr>
          <w:lang w:val="es-MX"/>
        </w:rPr>
        <w:t xml:space="preserve">(i) </w:t>
      </w:r>
      <w:r w:rsidRPr="00164A31">
        <w:rPr>
          <w:lang w:val="es-MX"/>
        </w:rPr>
        <w:t>la provisión del servicio (eléctrico) no sea sostenible a lo largo de la vida útil de los proyectos, y (ii) de que se produzca un cambio del modelo de gestión del sector el</w:t>
      </w:r>
      <w:r w:rsidR="001B62DE">
        <w:rPr>
          <w:lang w:val="es-MX"/>
        </w:rPr>
        <w:t xml:space="preserve">éctrico, afectando el Programa </w:t>
      </w:r>
      <w:r w:rsidRPr="00164A31">
        <w:rPr>
          <w:lang w:val="es-MX"/>
        </w:rPr>
        <w:t xml:space="preserve">(gestión pública y gobernabilidad). Se observa que estos riesgos </w:t>
      </w:r>
      <w:r w:rsidR="00281CD8">
        <w:rPr>
          <w:lang w:val="es-MX"/>
        </w:rPr>
        <w:t xml:space="preserve">no están dentro del área de control </w:t>
      </w:r>
      <w:r w:rsidRPr="00164A31">
        <w:rPr>
          <w:lang w:val="es-MX"/>
        </w:rPr>
        <w:t xml:space="preserve">del Programa. Los supuestos han sido validados al nivel del Programa de País del Banco en Ecuador, así que se sugiere darles seguimiento a nivel institucional y no de </w:t>
      </w:r>
      <w:r w:rsidR="001B62DE">
        <w:rPr>
          <w:lang w:val="es-MX"/>
        </w:rPr>
        <w:t>la O</w:t>
      </w:r>
      <w:r w:rsidRPr="00164A31">
        <w:rPr>
          <w:lang w:val="es-MX"/>
        </w:rPr>
        <w:t>peración</w:t>
      </w:r>
      <w:r w:rsidR="001B62DE">
        <w:rPr>
          <w:lang w:val="es-MX"/>
        </w:rPr>
        <w:t>.</w:t>
      </w:r>
    </w:p>
    <w:p w:rsidR="00445BCA" w:rsidRPr="00164A31" w:rsidRDefault="00C559D7" w:rsidP="00EF072F">
      <w:pPr>
        <w:pStyle w:val="ListParagraph"/>
        <w:numPr>
          <w:ilvl w:val="0"/>
          <w:numId w:val="15"/>
        </w:numPr>
        <w:rPr>
          <w:lang w:val="es-MX"/>
        </w:rPr>
      </w:pPr>
      <w:r w:rsidRPr="00164A31">
        <w:rPr>
          <w:lang w:val="es-MX"/>
        </w:rPr>
        <w:t xml:space="preserve">Riesgo de que existan limitaciones presupuestales para pago del IVA en los proyectos bajo el Programa. Es cuestionable si este riesgo </w:t>
      </w:r>
      <w:r w:rsidR="0096463C">
        <w:rPr>
          <w:lang w:val="es-MX"/>
        </w:rPr>
        <w:t>es</w:t>
      </w:r>
      <w:r w:rsidR="0096463C" w:rsidRPr="00164A31">
        <w:rPr>
          <w:lang w:val="es-MX"/>
        </w:rPr>
        <w:t xml:space="preserve"> </w:t>
      </w:r>
      <w:r w:rsidRPr="00164A31">
        <w:rPr>
          <w:lang w:val="es-MX"/>
        </w:rPr>
        <w:t xml:space="preserve">controlable por el OE. El IVA ha sido comprometido como contrapartida nacional y por ende, su correcta </w:t>
      </w:r>
      <w:proofErr w:type="spellStart"/>
      <w:r w:rsidRPr="00164A31">
        <w:rPr>
          <w:lang w:val="es-MX"/>
        </w:rPr>
        <w:t>presupuestación</w:t>
      </w:r>
      <w:proofErr w:type="spellEnd"/>
      <w:r w:rsidRPr="00164A31">
        <w:rPr>
          <w:lang w:val="es-MX"/>
        </w:rPr>
        <w:t xml:space="preserve"> por el </w:t>
      </w:r>
      <w:proofErr w:type="spellStart"/>
      <w:r w:rsidRPr="00164A31">
        <w:rPr>
          <w:lang w:val="es-MX"/>
        </w:rPr>
        <w:t>GdE</w:t>
      </w:r>
      <w:proofErr w:type="spellEnd"/>
      <w:r w:rsidRPr="00164A31">
        <w:rPr>
          <w:lang w:val="es-MX"/>
        </w:rPr>
        <w:t xml:space="preserve"> es un supuesto validado. En caso contrario, se recomienda al OE, con apoyo del Banco, tratar este tema con las entidades del </w:t>
      </w:r>
      <w:proofErr w:type="spellStart"/>
      <w:r w:rsidRPr="00164A31">
        <w:rPr>
          <w:lang w:val="es-MX"/>
        </w:rPr>
        <w:t>GdE</w:t>
      </w:r>
      <w:proofErr w:type="spellEnd"/>
      <w:r w:rsidRPr="00164A31">
        <w:rPr>
          <w:lang w:val="es-MX"/>
        </w:rPr>
        <w:t xml:space="preserve"> competentes en esta materia.</w:t>
      </w:r>
    </w:p>
    <w:p w:rsidR="00C559D7" w:rsidRPr="00164A31" w:rsidRDefault="000C572A" w:rsidP="00EF072F">
      <w:pPr>
        <w:pStyle w:val="ListParagraph"/>
        <w:numPr>
          <w:ilvl w:val="0"/>
          <w:numId w:val="15"/>
        </w:numPr>
        <w:rPr>
          <w:lang w:val="es-MX"/>
        </w:rPr>
      </w:pPr>
      <w:r w:rsidRPr="00164A31">
        <w:rPr>
          <w:lang w:val="es-MX"/>
        </w:rPr>
        <w:t>Riesgo de elevados presupuestos referenciales de los proyectos afecten la eficiencia del Programa. A juicio del Evaluador, los precios de referencia son un parámetro en los procesos de licitación y no tanto un riesgo. No obstante, es importante dar seguimiento a los precios ofertados y extraer lecciones aprendidas en cuanto a los precios de referencia.</w:t>
      </w:r>
    </w:p>
    <w:p w:rsidR="000C572A" w:rsidRPr="00CC50CA" w:rsidRDefault="000C572A" w:rsidP="00416654">
      <w:pPr>
        <w:pStyle w:val="ListParagraph"/>
        <w:numPr>
          <w:ilvl w:val="0"/>
          <w:numId w:val="15"/>
        </w:numPr>
        <w:spacing w:before="120" w:after="120"/>
        <w:contextualSpacing w:val="0"/>
        <w:rPr>
          <w:lang w:val="es-MX"/>
        </w:rPr>
      </w:pPr>
      <w:r w:rsidRPr="00164A31">
        <w:rPr>
          <w:lang w:val="es-MX"/>
        </w:rPr>
        <w:t>Riesgo de que (i) retraso en las adquisiciones, o imposibilidad de hacerlas, afecten la ejecución  del Programa, y (ii) que incumplimiento por los contratistas afecte la ejecución de las obras. Estos riesgos se componen de factores fiduciarios (controlados por el OE y contratante), causas atribuibles a los contratistas (sujetas a las condiciones y cláusulas de contrato), factores de mercado (</w:t>
      </w:r>
      <w:r w:rsidRPr="00CC50CA">
        <w:rPr>
          <w:lang w:val="es-MX"/>
        </w:rPr>
        <w:t xml:space="preserve">fuera de control de contratante y contratista), y situaciones de fuerza mayor (no considerados). Se sugiere desglosar este riesgo en un factor fiduciario y otro de desarrollo, o de implementación. </w:t>
      </w:r>
    </w:p>
    <w:p w:rsidR="00FA60D2" w:rsidRPr="00164A31" w:rsidRDefault="00C067DC" w:rsidP="00416654">
      <w:pPr>
        <w:pStyle w:val="ListParagraph"/>
        <w:numPr>
          <w:ilvl w:val="0"/>
          <w:numId w:val="15"/>
        </w:numPr>
        <w:spacing w:before="120" w:after="120"/>
        <w:contextualSpacing w:val="0"/>
        <w:rPr>
          <w:lang w:val="es-MX"/>
        </w:rPr>
      </w:pPr>
      <w:r w:rsidRPr="00164A31">
        <w:rPr>
          <w:lang w:val="es-MX"/>
        </w:rPr>
        <w:t>Riesgo de q</w:t>
      </w:r>
      <w:r w:rsidR="00313AC2" w:rsidRPr="00164A31">
        <w:rPr>
          <w:lang w:val="es-MX"/>
        </w:rPr>
        <w:t xml:space="preserve">ue existan limitaciones ambientales y/o sociales que impiden </w:t>
      </w:r>
      <w:r w:rsidR="00252BF3" w:rsidRPr="00164A31">
        <w:rPr>
          <w:lang w:val="es-MX"/>
        </w:rPr>
        <w:t xml:space="preserve">la ejecución de </w:t>
      </w:r>
      <w:r w:rsidR="00313AC2" w:rsidRPr="00164A31">
        <w:rPr>
          <w:lang w:val="es-MX"/>
        </w:rPr>
        <w:t xml:space="preserve">las </w:t>
      </w:r>
      <w:r w:rsidR="00252BF3" w:rsidRPr="00164A31">
        <w:rPr>
          <w:lang w:val="es-MX"/>
        </w:rPr>
        <w:t>obras</w:t>
      </w:r>
      <w:r w:rsidRPr="00164A31">
        <w:rPr>
          <w:lang w:val="es-MX"/>
        </w:rPr>
        <w:t>. Este riesgo</w:t>
      </w:r>
      <w:r w:rsidR="00FB745E">
        <w:rPr>
          <w:lang w:val="es-MX"/>
        </w:rPr>
        <w:t xml:space="preserve"> no debería incluirse ya que las condiciones de índole social y ambiental </w:t>
      </w:r>
      <w:r w:rsidR="001F7FE1">
        <w:rPr>
          <w:lang w:val="es-MX"/>
        </w:rPr>
        <w:t>estipulad</w:t>
      </w:r>
      <w:r w:rsidR="00FB745E">
        <w:rPr>
          <w:lang w:val="es-MX"/>
        </w:rPr>
        <w:t>as</w:t>
      </w:r>
      <w:r w:rsidR="001F7FE1">
        <w:rPr>
          <w:lang w:val="es-MX"/>
        </w:rPr>
        <w:t xml:space="preserve"> en la </w:t>
      </w:r>
      <w:r w:rsidR="00CA53B7" w:rsidRPr="00164A31">
        <w:rPr>
          <w:lang w:val="es-MX"/>
        </w:rPr>
        <w:t xml:space="preserve">Propuesta de Préstamo, Anexo III, </w:t>
      </w:r>
      <w:r w:rsidRPr="00164A31">
        <w:rPr>
          <w:lang w:val="es-MX"/>
        </w:rPr>
        <w:t xml:space="preserve">pár. 2.9, </w:t>
      </w:r>
      <w:r w:rsidR="00FB745E">
        <w:rPr>
          <w:lang w:val="es-MX"/>
        </w:rPr>
        <w:t>es</w:t>
      </w:r>
      <w:r w:rsidR="00EF77B0" w:rsidRPr="00164A31">
        <w:rPr>
          <w:lang w:val="es-MX"/>
        </w:rPr>
        <w:t xml:space="preserve"> parte de la diligencia debida previo a llevar</w:t>
      </w:r>
      <w:r w:rsidR="001F7FE1">
        <w:rPr>
          <w:lang w:val="es-MX"/>
        </w:rPr>
        <w:t xml:space="preserve"> </w:t>
      </w:r>
      <w:r w:rsidR="00EF77B0" w:rsidRPr="00164A31">
        <w:rPr>
          <w:lang w:val="es-MX"/>
        </w:rPr>
        <w:t xml:space="preserve">las </w:t>
      </w:r>
      <w:r w:rsidR="001F7FE1">
        <w:rPr>
          <w:lang w:val="es-MX"/>
        </w:rPr>
        <w:t xml:space="preserve">obras </w:t>
      </w:r>
      <w:r w:rsidR="00EF77B0" w:rsidRPr="00164A31">
        <w:rPr>
          <w:lang w:val="es-MX"/>
        </w:rPr>
        <w:t xml:space="preserve">a licitación. Fallas al respecto pueden </w:t>
      </w:r>
      <w:r w:rsidRPr="00164A31">
        <w:rPr>
          <w:lang w:val="es-MX"/>
        </w:rPr>
        <w:t>clasificarse</w:t>
      </w:r>
      <w:r w:rsidR="00291F7E" w:rsidRPr="00164A31">
        <w:rPr>
          <w:lang w:val="es-MX"/>
        </w:rPr>
        <w:t xml:space="preserve"> como riesgo fiduciario</w:t>
      </w:r>
      <w:r w:rsidRPr="00164A31">
        <w:rPr>
          <w:lang w:val="es-MX"/>
        </w:rPr>
        <w:t xml:space="preserve">, pero su </w:t>
      </w:r>
      <w:r w:rsidR="00EF77B0" w:rsidRPr="00164A31">
        <w:rPr>
          <w:lang w:val="es-MX"/>
        </w:rPr>
        <w:t xml:space="preserve">incidencia en </w:t>
      </w:r>
      <w:r w:rsidRPr="00164A31">
        <w:rPr>
          <w:lang w:val="es-MX"/>
        </w:rPr>
        <w:t>la cartera total</w:t>
      </w:r>
      <w:r w:rsidR="00EF77B0" w:rsidRPr="00164A31">
        <w:rPr>
          <w:lang w:val="es-MX"/>
        </w:rPr>
        <w:t xml:space="preserve"> debe ser </w:t>
      </w:r>
      <w:r w:rsidR="00EF77B0" w:rsidRPr="006E39AB">
        <w:rPr>
          <w:lang w:val="es-MX"/>
        </w:rPr>
        <w:t>mínima</w:t>
      </w:r>
      <w:r w:rsidR="004304E9" w:rsidRPr="006E39AB">
        <w:rPr>
          <w:rStyle w:val="FootnoteReference"/>
          <w:lang w:val="es-MX"/>
        </w:rPr>
        <w:footnoteReference w:id="36"/>
      </w:r>
      <w:r w:rsidRPr="006E39AB">
        <w:rPr>
          <w:lang w:val="es-MX"/>
        </w:rPr>
        <w:t>.</w:t>
      </w:r>
      <w:r w:rsidRPr="00164A31">
        <w:rPr>
          <w:lang w:val="es-MX"/>
        </w:rPr>
        <w:t xml:space="preserve"> </w:t>
      </w:r>
    </w:p>
    <w:p w:rsidR="00EF77B0" w:rsidRPr="00164A31" w:rsidRDefault="00EF072F" w:rsidP="00416654">
      <w:pPr>
        <w:spacing w:after="240"/>
        <w:rPr>
          <w:lang w:val="es-MX"/>
        </w:rPr>
      </w:pPr>
      <w:r w:rsidRPr="00164A31">
        <w:rPr>
          <w:lang w:val="es-MX"/>
        </w:rPr>
        <w:t>Se concluye</w:t>
      </w:r>
      <w:r w:rsidR="00CC4CB2" w:rsidRPr="00164A31">
        <w:rPr>
          <w:lang w:val="es-MX"/>
        </w:rPr>
        <w:t>:</w:t>
      </w:r>
      <w:r w:rsidRPr="00164A31">
        <w:rPr>
          <w:lang w:val="es-MX"/>
        </w:rPr>
        <w:t xml:space="preserve"> (1) </w:t>
      </w:r>
      <w:r w:rsidR="001F7FE1">
        <w:rPr>
          <w:lang w:val="es-MX"/>
        </w:rPr>
        <w:t>que algunos riesgos pueden ser re</w:t>
      </w:r>
      <w:r w:rsidRPr="00164A31">
        <w:rPr>
          <w:lang w:val="es-MX"/>
        </w:rPr>
        <w:t>movidos de la matriz, ya que están fuera del control de la Operación; y (2) que convendría tratar los riesgos asociados con los proyectos físicos (ries</w:t>
      </w:r>
      <w:r w:rsidR="001F7FE1">
        <w:rPr>
          <w:lang w:val="es-MX"/>
        </w:rPr>
        <w:t>gos de desarrollo, fiduciarios y</w:t>
      </w:r>
      <w:r w:rsidRPr="00164A31">
        <w:rPr>
          <w:lang w:val="es-MX"/>
        </w:rPr>
        <w:t xml:space="preserve"> de implementación) de forma desagregada (por proyecto), ya que </w:t>
      </w:r>
      <w:r w:rsidR="004D0D97" w:rsidRPr="00164A31">
        <w:rPr>
          <w:lang w:val="es-MX"/>
        </w:rPr>
        <w:t>son específicos para cada proyecto, EED y contratista.</w:t>
      </w:r>
      <w:r w:rsidR="008E7B0D">
        <w:rPr>
          <w:lang w:val="es-MX"/>
        </w:rPr>
        <w:t xml:space="preserve"> </w:t>
      </w:r>
      <w:r w:rsidR="0000501F" w:rsidRPr="00164A31">
        <w:rPr>
          <w:lang w:val="es-MX"/>
        </w:rPr>
        <w:t xml:space="preserve">Para controlar los riesgos, conviene identificar medios de seguimiento correspondientes. </w:t>
      </w:r>
      <w:r w:rsidR="008E7B0D">
        <w:rPr>
          <w:lang w:val="es-MX"/>
        </w:rPr>
        <w:t>Sin embargo, c</w:t>
      </w:r>
      <w:r w:rsidR="00FD69DA" w:rsidRPr="00164A31">
        <w:rPr>
          <w:lang w:val="es-MX"/>
        </w:rPr>
        <w:t>on la introducción del SIGPRO, que facilita la captura de información por las EED, se visualiza una estructura que captura los riesgo</w:t>
      </w:r>
      <w:r w:rsidR="001F7FE1">
        <w:rPr>
          <w:lang w:val="es-MX"/>
        </w:rPr>
        <w:t>s</w:t>
      </w:r>
      <w:r w:rsidR="00FD69DA" w:rsidRPr="00164A31">
        <w:rPr>
          <w:lang w:val="es-MX"/>
        </w:rPr>
        <w:t xml:space="preserve"> por proyecto</w:t>
      </w:r>
      <w:r w:rsidR="00FD69DA" w:rsidRPr="00164A31">
        <w:rPr>
          <w:rStyle w:val="FootnoteReference"/>
          <w:lang w:val="es-MX"/>
        </w:rPr>
        <w:footnoteReference w:id="37"/>
      </w:r>
      <w:r w:rsidR="00FD69DA" w:rsidRPr="00164A31">
        <w:rPr>
          <w:lang w:val="es-MX"/>
        </w:rPr>
        <w:t>, que permit</w:t>
      </w:r>
      <w:r w:rsidR="008E7B0D">
        <w:rPr>
          <w:lang w:val="es-MX"/>
        </w:rPr>
        <w:t>e</w:t>
      </w:r>
      <w:r w:rsidR="00FD69DA" w:rsidRPr="00164A31">
        <w:rPr>
          <w:lang w:val="es-MX"/>
        </w:rPr>
        <w:t xml:space="preserve"> </w:t>
      </w:r>
      <w:r w:rsidR="001F7FE1">
        <w:rPr>
          <w:lang w:val="es-MX"/>
        </w:rPr>
        <w:t xml:space="preserve">un </w:t>
      </w:r>
      <w:r w:rsidR="00FD69DA" w:rsidRPr="00164A31">
        <w:rPr>
          <w:lang w:val="es-MX"/>
        </w:rPr>
        <w:t xml:space="preserve">seguimiento tanto </w:t>
      </w:r>
      <w:r w:rsidR="001F7FE1" w:rsidRPr="00164A31">
        <w:rPr>
          <w:lang w:val="es-MX"/>
        </w:rPr>
        <w:t>individual</w:t>
      </w:r>
      <w:r w:rsidR="001F7FE1">
        <w:rPr>
          <w:lang w:val="es-MX"/>
        </w:rPr>
        <w:t>izado</w:t>
      </w:r>
      <w:r w:rsidR="001F7FE1" w:rsidRPr="00164A31">
        <w:rPr>
          <w:lang w:val="es-MX"/>
        </w:rPr>
        <w:t xml:space="preserve"> </w:t>
      </w:r>
      <w:r w:rsidR="00FD69DA" w:rsidRPr="00164A31">
        <w:rPr>
          <w:lang w:val="es-MX"/>
        </w:rPr>
        <w:t>como de la cartera en su conjunto</w:t>
      </w:r>
      <w:r w:rsidR="008E7B0D">
        <w:rPr>
          <w:lang w:val="es-MX"/>
        </w:rPr>
        <w:t>, este riesgo esta mitigado</w:t>
      </w:r>
      <w:r w:rsidR="00FD69DA" w:rsidRPr="00164A31">
        <w:rPr>
          <w:lang w:val="es-MX"/>
        </w:rPr>
        <w:t>.</w:t>
      </w:r>
    </w:p>
    <w:p w:rsidR="00124662" w:rsidRPr="00416654" w:rsidRDefault="006152A1" w:rsidP="00416654">
      <w:pPr>
        <w:pStyle w:val="Heading2"/>
        <w:spacing w:after="240"/>
        <w:rPr>
          <w:b/>
          <w:lang w:val="es-MX"/>
        </w:rPr>
      </w:pPr>
      <w:bookmarkStart w:id="18" w:name="_Toc416868849"/>
      <w:r w:rsidRPr="00416654">
        <w:rPr>
          <w:b/>
          <w:lang w:val="es-MX"/>
        </w:rPr>
        <w:lastRenderedPageBreak/>
        <w:t>Uso de Sistemas de País</w:t>
      </w:r>
      <w:bookmarkEnd w:id="18"/>
    </w:p>
    <w:p w:rsidR="002F18CC" w:rsidRPr="00164A31" w:rsidRDefault="00E30108" w:rsidP="00416654">
      <w:pPr>
        <w:spacing w:before="120" w:after="120"/>
        <w:rPr>
          <w:lang w:val="es-MX"/>
        </w:rPr>
      </w:pPr>
      <w:r w:rsidRPr="00164A31">
        <w:rPr>
          <w:lang w:val="es-MX"/>
        </w:rPr>
        <w:t>La Evaluación ha observado un alto grado de integración del Programa en los sistemas de país, limitándose el rol del Banco al de acompañar y facilitar el proceso de ejecución mediante acciones de apoyo puntuales, como talleres</w:t>
      </w:r>
      <w:r w:rsidR="00896A9B" w:rsidRPr="00164A31">
        <w:rPr>
          <w:lang w:val="es-MX"/>
        </w:rPr>
        <w:t>, revi</w:t>
      </w:r>
      <w:r w:rsidR="00AC36F4">
        <w:rPr>
          <w:lang w:val="es-MX"/>
        </w:rPr>
        <w:t>siones y respaldo institucional</w:t>
      </w:r>
      <w:r w:rsidR="00896A9B" w:rsidRPr="00164A31">
        <w:rPr>
          <w:lang w:val="es-MX"/>
        </w:rPr>
        <w:t xml:space="preserve"> en temas que rebasen en ámbito de la Operación. Los sistemas de país más relevantes están </w:t>
      </w:r>
      <w:r w:rsidR="002F18CC" w:rsidRPr="00164A31">
        <w:rPr>
          <w:lang w:val="es-MX"/>
        </w:rPr>
        <w:t>descrito</w:t>
      </w:r>
      <w:r w:rsidR="00896A9B" w:rsidRPr="00164A31">
        <w:rPr>
          <w:lang w:val="es-MX"/>
        </w:rPr>
        <w:t>s</w:t>
      </w:r>
      <w:r w:rsidR="002F18CC" w:rsidRPr="00164A31">
        <w:rPr>
          <w:lang w:val="es-MX"/>
        </w:rPr>
        <w:t xml:space="preserve"> en la P</w:t>
      </w:r>
      <w:r w:rsidR="00AC36F4">
        <w:rPr>
          <w:lang w:val="es-MX"/>
        </w:rPr>
        <w:t>ropuesta</w:t>
      </w:r>
      <w:r w:rsidR="00896A9B" w:rsidRPr="00164A31">
        <w:rPr>
          <w:lang w:val="es-MX"/>
        </w:rPr>
        <w:t xml:space="preserve"> de Préstamo</w:t>
      </w:r>
      <w:r w:rsidR="002F18CC" w:rsidRPr="00164A31">
        <w:rPr>
          <w:lang w:val="es-MX"/>
        </w:rPr>
        <w:t>-Anexo III</w:t>
      </w:r>
      <w:r w:rsidR="00896A9B" w:rsidRPr="00164A31">
        <w:rPr>
          <w:lang w:val="es-MX"/>
        </w:rPr>
        <w:t>, pár. 1.1-2.1-2 (sistemas de administración pública), 3.1 (sistemas del sector eléctrico) y 7.1-7.4 (sistemas financieros y auditorías)</w:t>
      </w:r>
      <w:r w:rsidR="002F18CC" w:rsidRPr="00164A31">
        <w:rPr>
          <w:lang w:val="es-MX"/>
        </w:rPr>
        <w:t>.</w:t>
      </w:r>
    </w:p>
    <w:p w:rsidR="00124662" w:rsidRPr="00416654" w:rsidRDefault="006152A1" w:rsidP="00416654">
      <w:pPr>
        <w:pStyle w:val="Heading2"/>
        <w:spacing w:before="120" w:after="120"/>
        <w:rPr>
          <w:b/>
          <w:lang w:val="es-MX"/>
        </w:rPr>
      </w:pPr>
      <w:bookmarkStart w:id="19" w:name="_Toc416868850"/>
      <w:r w:rsidRPr="00416654">
        <w:rPr>
          <w:b/>
          <w:lang w:val="es-MX"/>
        </w:rPr>
        <w:t>Salvaguardias Ambientales y Sociales</w:t>
      </w:r>
      <w:bookmarkEnd w:id="19"/>
    </w:p>
    <w:p w:rsidR="00477E20" w:rsidRPr="00164A31" w:rsidRDefault="0040744E" w:rsidP="00546131">
      <w:pPr>
        <w:rPr>
          <w:lang w:val="es-MX"/>
        </w:rPr>
      </w:pPr>
      <w:r w:rsidRPr="00164A31">
        <w:rPr>
          <w:lang w:val="es-MX"/>
        </w:rPr>
        <w:t>La Propuesta de Préstamo</w:t>
      </w:r>
      <w:r w:rsidR="00415B17" w:rsidRPr="00164A31">
        <w:rPr>
          <w:rStyle w:val="FootnoteReference"/>
          <w:lang w:val="es-MX"/>
        </w:rPr>
        <w:footnoteReference w:id="38"/>
      </w:r>
      <w:r w:rsidRPr="00164A31">
        <w:rPr>
          <w:lang w:val="es-MX"/>
        </w:rPr>
        <w:t xml:space="preserve"> señala que no se producirán reasentamientos involuntarios de personas</w:t>
      </w:r>
      <w:r w:rsidR="00AC36F4">
        <w:rPr>
          <w:lang w:val="es-MX"/>
        </w:rPr>
        <w:t>,</w:t>
      </w:r>
      <w:r w:rsidRPr="00164A31">
        <w:rPr>
          <w:lang w:val="es-MX"/>
        </w:rPr>
        <w:t xml:space="preserve"> o su desplazamiento económico. </w:t>
      </w:r>
      <w:r w:rsidR="00B674AA" w:rsidRPr="00164A31">
        <w:rPr>
          <w:lang w:val="es-MX"/>
        </w:rPr>
        <w:t>Se prevén posibles impactos</w:t>
      </w:r>
      <w:r w:rsidR="00B674AA">
        <w:rPr>
          <w:lang w:val="es-MX"/>
        </w:rPr>
        <w:t xml:space="preserve"> </w:t>
      </w:r>
      <w:r w:rsidR="00B674AA" w:rsidRPr="00164A31">
        <w:rPr>
          <w:lang w:val="es-MX"/>
        </w:rPr>
        <w:t>negativos bajos o moderados durante la fase de</w:t>
      </w:r>
      <w:r w:rsidR="00B674AA">
        <w:rPr>
          <w:lang w:val="es-MX"/>
        </w:rPr>
        <w:t xml:space="preserve"> </w:t>
      </w:r>
      <w:r w:rsidR="00B674AA" w:rsidRPr="00164A31">
        <w:rPr>
          <w:lang w:val="es-MX"/>
        </w:rPr>
        <w:t>rehabilitación y construcción</w:t>
      </w:r>
      <w:r w:rsidR="00B674AA">
        <w:rPr>
          <w:lang w:val="es-MX"/>
        </w:rPr>
        <w:t xml:space="preserve"> </w:t>
      </w:r>
      <w:r w:rsidR="00B674AA" w:rsidRPr="00164A31">
        <w:rPr>
          <w:lang w:val="es-MX"/>
        </w:rPr>
        <w:t>de las redes, y en</w:t>
      </w:r>
      <w:r w:rsidR="00B674AA">
        <w:rPr>
          <w:lang w:val="es-MX"/>
        </w:rPr>
        <w:t xml:space="preserve"> </w:t>
      </w:r>
      <w:r w:rsidR="00B674AA" w:rsidRPr="00164A31">
        <w:rPr>
          <w:lang w:val="es-MX"/>
        </w:rPr>
        <w:t>menor grado durante su operación; se estima que estos impactos pueden ser manejados a través de los procedimientos estándar.</w:t>
      </w:r>
      <w:r w:rsidR="00B674AA">
        <w:rPr>
          <w:lang w:val="es-MX"/>
        </w:rPr>
        <w:t xml:space="preserve"> </w:t>
      </w:r>
      <w:r w:rsidR="00B674AA" w:rsidRPr="00164A31">
        <w:rPr>
          <w:lang w:val="es-MX"/>
        </w:rPr>
        <w:t>Por lo tanto, el Banco clasificó el Programa como Categoría “B”, implicando la existencia de evaluaciones ambientales y Planes de Manejo y Gestión Ambiental y Social (PGAS) para cada proyecto previo al inicio de los trabajos</w:t>
      </w:r>
      <w:r w:rsidR="00B674AA">
        <w:rPr>
          <w:lang w:val="es-MX"/>
        </w:rPr>
        <w:t xml:space="preserve"> </w:t>
      </w:r>
      <w:r w:rsidR="00B674AA" w:rsidRPr="00164A31">
        <w:rPr>
          <w:lang w:val="es-MX"/>
        </w:rPr>
        <w:t>y, entre otros requisitos, la obligación de realizar al menos una consulta pública.</w:t>
      </w:r>
      <w:r w:rsidR="00B674AA" w:rsidRPr="00164A31">
        <w:rPr>
          <w:rStyle w:val="FootnoteReference"/>
          <w:lang w:val="es-MX"/>
        </w:rPr>
        <w:footnoteReference w:id="39"/>
      </w:r>
      <w:r w:rsidR="00AC36F4">
        <w:rPr>
          <w:lang w:val="es-MX"/>
        </w:rPr>
        <w:t xml:space="preserve"> La Evaluación </w:t>
      </w:r>
      <w:r w:rsidR="00477E20" w:rsidRPr="00164A31">
        <w:rPr>
          <w:lang w:val="es-MX"/>
        </w:rPr>
        <w:t xml:space="preserve">considera este proceso en línea con las mejores prácticas de diligencia debida en la fase de preparación de obras de este tipo. </w:t>
      </w:r>
    </w:p>
    <w:p w:rsidR="006B2BF0" w:rsidRPr="00164A31" w:rsidRDefault="006B2BF0" w:rsidP="006B2BF0">
      <w:pPr>
        <w:rPr>
          <w:lang w:val="es-MX"/>
        </w:rPr>
      </w:pPr>
      <w:r w:rsidRPr="00164A31">
        <w:rPr>
          <w:lang w:val="es-MX"/>
        </w:rPr>
        <w:t xml:space="preserve">Cabe mencionar que ARCONEL, corresponsable </w:t>
      </w:r>
      <w:r w:rsidR="00AC36F4">
        <w:rPr>
          <w:lang w:val="es-MX"/>
        </w:rPr>
        <w:t>d</w:t>
      </w:r>
      <w:r w:rsidRPr="00164A31">
        <w:rPr>
          <w:lang w:val="es-MX"/>
        </w:rPr>
        <w:t xml:space="preserve">el Programa, es la entidad </w:t>
      </w:r>
      <w:r w:rsidR="00B674AA" w:rsidRPr="00164A31">
        <w:rPr>
          <w:lang w:val="es-MX"/>
        </w:rPr>
        <w:t>encargada</w:t>
      </w:r>
      <w:r w:rsidR="00B674AA">
        <w:rPr>
          <w:lang w:val="es-MX"/>
        </w:rPr>
        <w:t xml:space="preserve"> </w:t>
      </w:r>
      <w:r w:rsidR="00B674AA" w:rsidRPr="00164A31">
        <w:rPr>
          <w:lang w:val="es-MX"/>
        </w:rPr>
        <w:t>del</w:t>
      </w:r>
      <w:r w:rsidRPr="00164A31">
        <w:rPr>
          <w:lang w:val="es-MX"/>
        </w:rPr>
        <w:t xml:space="preserve"> </w:t>
      </w:r>
      <w:r w:rsidR="00B674AA" w:rsidRPr="00164A31">
        <w:rPr>
          <w:lang w:val="es-MX"/>
        </w:rPr>
        <w:t>monitoreo</w:t>
      </w:r>
      <w:r w:rsidR="00B674AA">
        <w:rPr>
          <w:lang w:val="es-MX"/>
        </w:rPr>
        <w:t xml:space="preserve"> </w:t>
      </w:r>
      <w:r w:rsidR="00B674AA" w:rsidRPr="00164A31">
        <w:rPr>
          <w:lang w:val="es-MX"/>
        </w:rPr>
        <w:t>de</w:t>
      </w:r>
      <w:r w:rsidRPr="00164A31">
        <w:rPr>
          <w:lang w:val="es-MX"/>
        </w:rPr>
        <w:t xml:space="preserve"> cumplimiento de las normas que regulan la materia</w:t>
      </w:r>
      <w:r w:rsidR="00AC36F4">
        <w:rPr>
          <w:lang w:val="es-MX"/>
        </w:rPr>
        <w:t xml:space="preserve">, </w:t>
      </w:r>
      <w:r w:rsidR="00AC36F4" w:rsidRPr="00164A31">
        <w:rPr>
          <w:lang w:val="es-MX"/>
        </w:rPr>
        <w:t>dentro</w:t>
      </w:r>
      <w:r w:rsidR="00AC36F4">
        <w:rPr>
          <w:lang w:val="es-MX"/>
        </w:rPr>
        <w:t xml:space="preserve"> </w:t>
      </w:r>
      <w:r w:rsidR="00AC36F4" w:rsidRPr="00164A31">
        <w:rPr>
          <w:lang w:val="es-MX"/>
        </w:rPr>
        <w:t>del ámbito de su competencia y en coordinación con la</w:t>
      </w:r>
      <w:r w:rsidR="00AC36F4">
        <w:rPr>
          <w:lang w:val="es-MX"/>
        </w:rPr>
        <w:t xml:space="preserve"> </w:t>
      </w:r>
      <w:r w:rsidR="00AC36F4" w:rsidRPr="00164A31">
        <w:rPr>
          <w:lang w:val="es-MX"/>
        </w:rPr>
        <w:t>Autoridad</w:t>
      </w:r>
      <w:r w:rsidR="00AC36F4">
        <w:rPr>
          <w:lang w:val="es-MX"/>
        </w:rPr>
        <w:t xml:space="preserve"> Ambiental Nacional</w:t>
      </w:r>
      <w:r w:rsidRPr="00164A31">
        <w:rPr>
          <w:lang w:val="es-MX"/>
        </w:rPr>
        <w:t xml:space="preserve">. Las </w:t>
      </w:r>
      <w:r w:rsidR="00B674AA" w:rsidRPr="00164A31">
        <w:rPr>
          <w:lang w:val="es-MX"/>
        </w:rPr>
        <w:t>empresas</w:t>
      </w:r>
      <w:r w:rsidR="00B674AA">
        <w:rPr>
          <w:lang w:val="es-MX"/>
        </w:rPr>
        <w:t xml:space="preserve"> </w:t>
      </w:r>
      <w:r w:rsidR="00B674AA" w:rsidRPr="00164A31">
        <w:rPr>
          <w:lang w:val="es-MX"/>
        </w:rPr>
        <w:t>eléctricas</w:t>
      </w:r>
      <w:r w:rsidRPr="00164A31">
        <w:rPr>
          <w:lang w:val="es-MX"/>
        </w:rPr>
        <w:t xml:space="preserve"> (socios del Programa) tienen la obligación de prevenir, </w:t>
      </w:r>
      <w:r w:rsidR="00B674AA" w:rsidRPr="00164A31">
        <w:rPr>
          <w:lang w:val="es-MX"/>
        </w:rPr>
        <w:t>mitigar,</w:t>
      </w:r>
      <w:r w:rsidR="00B674AA">
        <w:rPr>
          <w:lang w:val="es-MX"/>
        </w:rPr>
        <w:t xml:space="preserve"> </w:t>
      </w:r>
      <w:r w:rsidR="00B674AA" w:rsidRPr="00164A31">
        <w:rPr>
          <w:lang w:val="es-MX"/>
        </w:rPr>
        <w:t>remediar</w:t>
      </w:r>
      <w:r w:rsidRPr="00164A31">
        <w:rPr>
          <w:lang w:val="es-MX"/>
        </w:rPr>
        <w:t xml:space="preserve"> y/o compensar los </w:t>
      </w:r>
      <w:r w:rsidR="00B674AA" w:rsidRPr="00164A31">
        <w:rPr>
          <w:lang w:val="es-MX"/>
        </w:rPr>
        <w:t>impactos</w:t>
      </w:r>
      <w:r w:rsidR="00B674AA">
        <w:rPr>
          <w:lang w:val="es-MX"/>
        </w:rPr>
        <w:t xml:space="preserve"> </w:t>
      </w:r>
      <w:r w:rsidR="00B674AA" w:rsidRPr="00164A31">
        <w:rPr>
          <w:lang w:val="es-MX"/>
        </w:rPr>
        <w:t>negativos</w:t>
      </w:r>
      <w:r w:rsidRPr="00164A31">
        <w:rPr>
          <w:lang w:val="es-MX"/>
        </w:rPr>
        <w:t xml:space="preserve"> que se produzcan sobre el ambiente, por </w:t>
      </w:r>
      <w:r w:rsidR="00B674AA" w:rsidRPr="00164A31">
        <w:rPr>
          <w:lang w:val="es-MX"/>
        </w:rPr>
        <w:t>el</w:t>
      </w:r>
      <w:r w:rsidR="00B674AA">
        <w:rPr>
          <w:lang w:val="es-MX"/>
        </w:rPr>
        <w:t xml:space="preserve"> </w:t>
      </w:r>
      <w:r w:rsidR="00B674AA" w:rsidRPr="00164A31">
        <w:rPr>
          <w:lang w:val="es-MX"/>
        </w:rPr>
        <w:t>desarrollo</w:t>
      </w:r>
      <w:r w:rsidRPr="00164A31">
        <w:rPr>
          <w:lang w:val="es-MX"/>
        </w:rPr>
        <w:t xml:space="preserve"> de sus actividades de construcción, operación </w:t>
      </w:r>
      <w:r w:rsidR="00B674AA" w:rsidRPr="00164A31">
        <w:rPr>
          <w:lang w:val="es-MX"/>
        </w:rPr>
        <w:t>y</w:t>
      </w:r>
      <w:r w:rsidR="00B674AA">
        <w:rPr>
          <w:lang w:val="es-MX"/>
        </w:rPr>
        <w:t xml:space="preserve"> </w:t>
      </w:r>
      <w:r w:rsidR="00B674AA" w:rsidRPr="00164A31">
        <w:rPr>
          <w:lang w:val="es-MX"/>
        </w:rPr>
        <w:t>mantenimiento</w:t>
      </w:r>
      <w:r w:rsidRPr="00164A31">
        <w:rPr>
          <w:rStyle w:val="FootnoteReference"/>
          <w:lang w:val="es-MX"/>
        </w:rPr>
        <w:footnoteReference w:id="40"/>
      </w:r>
      <w:r w:rsidRPr="00164A31">
        <w:rPr>
          <w:lang w:val="es-MX"/>
        </w:rPr>
        <w:t>.</w:t>
      </w:r>
    </w:p>
    <w:p w:rsidR="009D2AE6" w:rsidRPr="00164A31" w:rsidRDefault="009D2AE6" w:rsidP="00416654">
      <w:pPr>
        <w:pStyle w:val="Heading3"/>
        <w:spacing w:before="120" w:after="120"/>
        <w:rPr>
          <w:lang w:val="es-MX"/>
        </w:rPr>
      </w:pPr>
      <w:r w:rsidRPr="00164A31">
        <w:rPr>
          <w:lang w:val="es-MX"/>
        </w:rPr>
        <w:t>Impactos No-Previstos</w:t>
      </w:r>
    </w:p>
    <w:p w:rsidR="00713F3D" w:rsidRPr="00164A31" w:rsidRDefault="00A7031D" w:rsidP="00416654">
      <w:pPr>
        <w:spacing w:before="120" w:after="120"/>
        <w:rPr>
          <w:lang w:val="es-MX"/>
        </w:rPr>
      </w:pPr>
      <w:r w:rsidRPr="00164A31">
        <w:rPr>
          <w:lang w:val="es-MX"/>
        </w:rPr>
        <w:t>La</w:t>
      </w:r>
      <w:r>
        <w:rPr>
          <w:lang w:val="es-MX"/>
        </w:rPr>
        <w:t xml:space="preserve"> </w:t>
      </w:r>
      <w:r w:rsidRPr="00164A31">
        <w:rPr>
          <w:lang w:val="es-MX"/>
        </w:rPr>
        <w:t>Evaluación</w:t>
      </w:r>
      <w:r w:rsidR="00ED35CF" w:rsidRPr="00164A31">
        <w:rPr>
          <w:lang w:val="es-MX"/>
        </w:rPr>
        <w:t xml:space="preserve"> ha diagnosticado algunos efectos de segundo orden</w:t>
      </w:r>
      <w:r w:rsidR="00474CB4" w:rsidRPr="00164A31">
        <w:rPr>
          <w:lang w:val="es-MX"/>
        </w:rPr>
        <w:t xml:space="preserve"> en el </w:t>
      </w:r>
      <w:r w:rsidR="00ED35CF" w:rsidRPr="00164A31">
        <w:rPr>
          <w:lang w:val="es-MX"/>
        </w:rPr>
        <w:t xml:space="preserve">mercado nacional por </w:t>
      </w:r>
      <w:r w:rsidR="00AC36F4">
        <w:rPr>
          <w:lang w:val="es-MX"/>
        </w:rPr>
        <w:t xml:space="preserve">el volumen </w:t>
      </w:r>
      <w:r w:rsidRPr="00164A31">
        <w:rPr>
          <w:lang w:val="es-MX"/>
        </w:rPr>
        <w:t>de</w:t>
      </w:r>
      <w:r>
        <w:rPr>
          <w:lang w:val="es-MX"/>
        </w:rPr>
        <w:t xml:space="preserve"> </w:t>
      </w:r>
      <w:r w:rsidRPr="00164A31">
        <w:rPr>
          <w:lang w:val="es-MX"/>
        </w:rPr>
        <w:t>la</w:t>
      </w:r>
      <w:r>
        <w:rPr>
          <w:lang w:val="es-MX"/>
        </w:rPr>
        <w:t xml:space="preserve"> </w:t>
      </w:r>
      <w:r w:rsidRPr="00164A31">
        <w:rPr>
          <w:lang w:val="es-MX"/>
        </w:rPr>
        <w:t>Operación</w:t>
      </w:r>
      <w:r w:rsidR="004B1344" w:rsidRPr="00164A31">
        <w:rPr>
          <w:lang w:val="es-MX"/>
        </w:rPr>
        <w:t xml:space="preserve"> </w:t>
      </w:r>
      <w:r w:rsidR="00AC36F4">
        <w:rPr>
          <w:lang w:val="es-MX"/>
        </w:rPr>
        <w:t xml:space="preserve">y de </w:t>
      </w:r>
      <w:r w:rsidR="00474CB4" w:rsidRPr="00164A31">
        <w:rPr>
          <w:lang w:val="es-MX"/>
        </w:rPr>
        <w:t xml:space="preserve">los </w:t>
      </w:r>
      <w:r w:rsidR="004B1344" w:rsidRPr="00164A31">
        <w:rPr>
          <w:lang w:val="es-MX"/>
        </w:rPr>
        <w:t>programas paralelos de inversión en el sector</w:t>
      </w:r>
      <w:r w:rsidR="00474CB4" w:rsidRPr="00164A31">
        <w:rPr>
          <w:lang w:val="es-MX"/>
        </w:rPr>
        <w:t xml:space="preserve"> eléctrico</w:t>
      </w:r>
      <w:r w:rsidR="004B1344" w:rsidRPr="00164A31">
        <w:rPr>
          <w:lang w:val="es-MX"/>
        </w:rPr>
        <w:t>. Estos efectos incluyen:</w:t>
      </w:r>
    </w:p>
    <w:p w:rsidR="004266C0" w:rsidRPr="00164A31" w:rsidRDefault="00A4369C">
      <w:pPr>
        <w:pStyle w:val="ListParagraph"/>
        <w:numPr>
          <w:ilvl w:val="0"/>
          <w:numId w:val="18"/>
        </w:numPr>
        <w:rPr>
          <w:lang w:val="es-MX"/>
        </w:rPr>
      </w:pPr>
      <w:r w:rsidRPr="00164A31">
        <w:rPr>
          <w:lang w:val="es-MX"/>
        </w:rPr>
        <w:t>El a</w:t>
      </w:r>
      <w:r w:rsidR="004266C0" w:rsidRPr="00164A31">
        <w:rPr>
          <w:lang w:val="es-MX"/>
        </w:rPr>
        <w:t>gotamiento de las existencias de materiales en el mercado</w:t>
      </w:r>
      <w:r w:rsidRPr="00164A31">
        <w:rPr>
          <w:lang w:val="es-MX"/>
        </w:rPr>
        <w:t xml:space="preserve"> en combinación con las </w:t>
      </w:r>
      <w:r w:rsidR="0014044A" w:rsidRPr="00164A31">
        <w:rPr>
          <w:lang w:val="es-MX"/>
        </w:rPr>
        <w:t>"</w:t>
      </w:r>
      <w:r w:rsidRPr="00164A31">
        <w:rPr>
          <w:lang w:val="es-MX"/>
        </w:rPr>
        <w:t>salvaguardias</w:t>
      </w:r>
      <w:r w:rsidR="0014044A" w:rsidRPr="00164A31">
        <w:rPr>
          <w:lang w:val="es-MX"/>
        </w:rPr>
        <w:t xml:space="preserve">" </w:t>
      </w:r>
      <w:r w:rsidRPr="00164A31">
        <w:rPr>
          <w:lang w:val="es-MX"/>
        </w:rPr>
        <w:t xml:space="preserve">recientemente </w:t>
      </w:r>
      <w:r w:rsidR="0014044A" w:rsidRPr="00164A31">
        <w:rPr>
          <w:lang w:val="es-MX"/>
        </w:rPr>
        <w:t xml:space="preserve">establecidas </w:t>
      </w:r>
      <w:r w:rsidRPr="00164A31">
        <w:rPr>
          <w:lang w:val="es-MX"/>
        </w:rPr>
        <w:t xml:space="preserve">por el </w:t>
      </w:r>
      <w:proofErr w:type="spellStart"/>
      <w:r w:rsidRPr="00164A31">
        <w:rPr>
          <w:lang w:val="es-MX"/>
        </w:rPr>
        <w:t>GdE</w:t>
      </w:r>
      <w:proofErr w:type="spellEnd"/>
      <w:r w:rsidR="0014044A" w:rsidRPr="00164A31">
        <w:rPr>
          <w:rStyle w:val="FootnoteReference"/>
          <w:lang w:val="es-MX"/>
        </w:rPr>
        <w:footnoteReference w:id="41"/>
      </w:r>
      <w:r w:rsidRPr="00164A31">
        <w:rPr>
          <w:lang w:val="es-MX"/>
        </w:rPr>
        <w:t>, que</w:t>
      </w:r>
      <w:r w:rsidR="00C16BBE" w:rsidRPr="00164A31">
        <w:rPr>
          <w:lang w:val="es-MX"/>
        </w:rPr>
        <w:t xml:space="preserve"> encarece</w:t>
      </w:r>
      <w:r w:rsidRPr="00164A31">
        <w:rPr>
          <w:lang w:val="es-MX"/>
        </w:rPr>
        <w:t xml:space="preserve"> los materiales importados. </w:t>
      </w:r>
      <w:r w:rsidR="00150D84">
        <w:rPr>
          <w:lang w:val="es-MX"/>
        </w:rPr>
        <w:t>Hasta el momento esto no ha afectado el avance del programa</w:t>
      </w:r>
      <w:r w:rsidR="00E96001">
        <w:rPr>
          <w:lang w:val="es-MX"/>
        </w:rPr>
        <w:t xml:space="preserve"> como se demostró con el avance de los indicadores de producto</w:t>
      </w:r>
      <w:r w:rsidR="00150D84">
        <w:rPr>
          <w:lang w:val="es-MX"/>
        </w:rPr>
        <w:t xml:space="preserve">. Los contratistas pueden hacer compras a nombre de las EED lo que mitiga el tema de las salvaguardias y aranceles a la importación. </w:t>
      </w:r>
    </w:p>
    <w:p w:rsidR="00A01113" w:rsidRPr="00164A31" w:rsidRDefault="00A01113" w:rsidP="00416654">
      <w:pPr>
        <w:pStyle w:val="ListParagraph"/>
        <w:numPr>
          <w:ilvl w:val="0"/>
          <w:numId w:val="18"/>
        </w:numPr>
        <w:spacing w:before="120" w:after="120"/>
        <w:contextualSpacing w:val="0"/>
        <w:rPr>
          <w:lang w:val="es-MX"/>
        </w:rPr>
      </w:pPr>
      <w:r w:rsidRPr="00164A31">
        <w:rPr>
          <w:lang w:val="es-MX"/>
        </w:rPr>
        <w:t>La incorporación progresiva de mano de obra no-calificada por parte de los contratistas para poder cumplir con los plazos establecidos en el Programa</w:t>
      </w:r>
      <w:r w:rsidR="00AD3F41" w:rsidRPr="00164A31">
        <w:rPr>
          <w:lang w:val="es-MX"/>
        </w:rPr>
        <w:t xml:space="preserve">, resultando en </w:t>
      </w:r>
      <w:r w:rsidR="00464863">
        <w:rPr>
          <w:lang w:val="es-MX"/>
        </w:rPr>
        <w:t xml:space="preserve">potenciales </w:t>
      </w:r>
      <w:r w:rsidR="00AD3F41" w:rsidRPr="00164A31">
        <w:rPr>
          <w:lang w:val="es-MX"/>
        </w:rPr>
        <w:t>deficiencias en aspectos como: seguridad laboral, trabajo de inferior calidad, desconocimiento de buenas prácticas ambientales, incorporación de trabajadores informales, incremento de accidentes.</w:t>
      </w:r>
      <w:r w:rsidR="00E96001">
        <w:rPr>
          <w:lang w:val="es-MX"/>
        </w:rPr>
        <w:t xml:space="preserve"> Si bien esto no se ha demostrado, s</w:t>
      </w:r>
      <w:r w:rsidR="00AD3F41" w:rsidRPr="00164A31">
        <w:rPr>
          <w:lang w:val="es-MX"/>
        </w:rPr>
        <w:t xml:space="preserve">e recomienda cuantificar este efecto e identificar </w:t>
      </w:r>
      <w:r w:rsidR="00BC7F97" w:rsidRPr="00164A31">
        <w:rPr>
          <w:lang w:val="es-MX"/>
        </w:rPr>
        <w:t xml:space="preserve">los casos, </w:t>
      </w:r>
      <w:r w:rsidR="00AD3F41" w:rsidRPr="00164A31">
        <w:rPr>
          <w:lang w:val="es-MX"/>
        </w:rPr>
        <w:t xml:space="preserve">regiones y empresas en que tome relevancia. </w:t>
      </w:r>
      <w:r w:rsidR="00BC7F97" w:rsidRPr="00164A31">
        <w:rPr>
          <w:lang w:val="es-MX"/>
        </w:rPr>
        <w:t>Posibles m</w:t>
      </w:r>
      <w:r w:rsidR="00AD3F41" w:rsidRPr="00164A31">
        <w:rPr>
          <w:lang w:val="es-MX"/>
        </w:rPr>
        <w:t>edidas de mitigación</w:t>
      </w:r>
      <w:r w:rsidR="00BC7F97" w:rsidRPr="00164A31">
        <w:rPr>
          <w:lang w:val="es-MX"/>
        </w:rPr>
        <w:t xml:space="preserve">, </w:t>
      </w:r>
      <w:r w:rsidR="00E96001">
        <w:rPr>
          <w:lang w:val="es-MX"/>
        </w:rPr>
        <w:t xml:space="preserve">además de una adecuada fiscalización de las obras contratadas por parte de las EED, </w:t>
      </w:r>
      <w:r w:rsidR="00AD3F41" w:rsidRPr="00164A31">
        <w:rPr>
          <w:lang w:val="es-MX"/>
        </w:rPr>
        <w:t xml:space="preserve">incluyen: talleres de capacitación, visitas cortas </w:t>
      </w:r>
      <w:r w:rsidR="00BC7F97" w:rsidRPr="00164A31">
        <w:rPr>
          <w:lang w:val="es-MX"/>
        </w:rPr>
        <w:t xml:space="preserve">para </w:t>
      </w:r>
      <w:r w:rsidR="00AD3F41" w:rsidRPr="00164A31">
        <w:rPr>
          <w:lang w:val="es-MX"/>
        </w:rPr>
        <w:t>divulgación de buenas prácticas de seguridad laboral y protección ambiental, provisión de material de protección</w:t>
      </w:r>
      <w:r w:rsidR="00BC7F97" w:rsidRPr="00164A31">
        <w:rPr>
          <w:lang w:val="es-MX"/>
        </w:rPr>
        <w:t xml:space="preserve">. En el caso de grave negligencia de parte del contratista puede considerarse rescisión de contrato, sanciones y </w:t>
      </w:r>
      <w:r w:rsidR="00AD3F41" w:rsidRPr="00164A31">
        <w:rPr>
          <w:lang w:val="es-MX"/>
        </w:rPr>
        <w:t xml:space="preserve">cumplimiento forzoso de </w:t>
      </w:r>
      <w:r w:rsidR="00BC7F97" w:rsidRPr="00164A31">
        <w:rPr>
          <w:lang w:val="es-MX"/>
        </w:rPr>
        <w:t xml:space="preserve">la </w:t>
      </w:r>
      <w:r w:rsidR="00AD3F41" w:rsidRPr="00164A31">
        <w:rPr>
          <w:lang w:val="es-MX"/>
        </w:rPr>
        <w:t xml:space="preserve">regulación </w:t>
      </w:r>
      <w:r w:rsidR="00BC7F97" w:rsidRPr="00164A31">
        <w:rPr>
          <w:lang w:val="es-MX"/>
        </w:rPr>
        <w:t>pertinente.</w:t>
      </w:r>
    </w:p>
    <w:p w:rsidR="004B1344" w:rsidRPr="00164A31" w:rsidRDefault="004B1344" w:rsidP="00416654">
      <w:pPr>
        <w:pStyle w:val="ListParagraph"/>
        <w:numPr>
          <w:ilvl w:val="0"/>
          <w:numId w:val="18"/>
        </w:numPr>
        <w:spacing w:before="120" w:after="120"/>
        <w:contextualSpacing w:val="0"/>
        <w:rPr>
          <w:lang w:val="es-MX"/>
        </w:rPr>
      </w:pPr>
      <w:r w:rsidRPr="00164A31">
        <w:rPr>
          <w:lang w:val="es-MX"/>
        </w:rPr>
        <w:lastRenderedPageBreak/>
        <w:t xml:space="preserve">Un </w:t>
      </w:r>
      <w:r w:rsidR="00A7031D">
        <w:rPr>
          <w:lang w:val="es-MX"/>
        </w:rPr>
        <w:t>potenc</w:t>
      </w:r>
      <w:r w:rsidR="00A7031D" w:rsidRPr="00164A31">
        <w:rPr>
          <w:lang w:val="es-MX"/>
        </w:rPr>
        <w:t>ial</w:t>
      </w:r>
      <w:r w:rsidRPr="00164A31">
        <w:rPr>
          <w:lang w:val="es-MX"/>
        </w:rPr>
        <w:t xml:space="preserve"> desplazamiento de manufactura de equipamiento nacional hacia el extranjero como resultado de la falta de capacidad de producción dentro del Ecuador. Este efecto se traduce en la pérdida de oportunidades para la economía nacional de agregar valor y sostener empleos, y la salida de divisas del Ecuador. Por otro lado, el rápido reforzamiento del SND facilita el crecimiento económico y acelera el proceso de sustitución del GLP subsidiado. Se recomienda cuantificar el efecto de desplazamiento y tomar medidas de mitigación si fuese necesario.</w:t>
      </w:r>
    </w:p>
    <w:p w:rsidR="00DC44B1" w:rsidRPr="00164A31" w:rsidRDefault="00DC44B1" w:rsidP="00416654">
      <w:pPr>
        <w:pStyle w:val="Heading1"/>
        <w:spacing w:before="120" w:after="120"/>
        <w:rPr>
          <w:lang w:val="es-MX"/>
        </w:rPr>
      </w:pPr>
      <w:bookmarkStart w:id="20" w:name="_Toc416868851"/>
      <w:r w:rsidRPr="00164A31">
        <w:rPr>
          <w:lang w:val="es-MX"/>
        </w:rPr>
        <w:t>Conclusiones y Recomendacione</w:t>
      </w:r>
      <w:r w:rsidR="00CE6214" w:rsidRPr="00164A31">
        <w:rPr>
          <w:lang w:val="es-MX"/>
        </w:rPr>
        <w:t>s</w:t>
      </w:r>
      <w:bookmarkEnd w:id="20"/>
    </w:p>
    <w:tbl>
      <w:tblPr>
        <w:tblStyle w:val="TableGrid"/>
        <w:tblW w:w="0" w:type="auto"/>
        <w:tblCellMar>
          <w:left w:w="57" w:type="dxa"/>
          <w:right w:w="57" w:type="dxa"/>
        </w:tblCellMar>
        <w:tblLook w:val="04A0" w:firstRow="1" w:lastRow="0" w:firstColumn="1" w:lastColumn="0" w:noHBand="0" w:noVBand="1"/>
      </w:tblPr>
      <w:tblGrid>
        <w:gridCol w:w="4565"/>
        <w:gridCol w:w="4575"/>
      </w:tblGrid>
      <w:tr w:rsidR="00AC705F" w:rsidRPr="00883A0A" w:rsidTr="00C16BBE">
        <w:trPr>
          <w:tblHeader/>
        </w:trPr>
        <w:tc>
          <w:tcPr>
            <w:tcW w:w="9140" w:type="dxa"/>
            <w:gridSpan w:val="2"/>
            <w:vAlign w:val="center"/>
          </w:tcPr>
          <w:p w:rsidR="00AC705F" w:rsidRPr="00164A31" w:rsidRDefault="00AC705F" w:rsidP="00416654">
            <w:pPr>
              <w:spacing w:before="120" w:after="120"/>
              <w:jc w:val="center"/>
              <w:rPr>
                <w:sz w:val="18"/>
                <w:lang w:val="es-MX"/>
              </w:rPr>
            </w:pPr>
            <w:r w:rsidRPr="00164A31">
              <w:rPr>
                <w:b/>
                <w:smallCaps/>
                <w:sz w:val="20"/>
                <w:lang w:val="es-MX"/>
              </w:rPr>
              <w:t xml:space="preserve">Programa RSND (EC-L1136) - </w:t>
            </w:r>
            <w:r w:rsidR="007D0F45" w:rsidRPr="00164A31">
              <w:rPr>
                <w:b/>
                <w:smallCaps/>
                <w:sz w:val="20"/>
                <w:lang w:val="es-MX"/>
              </w:rPr>
              <w:t>Conclusiones y Recomendaciones</w:t>
            </w:r>
          </w:p>
        </w:tc>
      </w:tr>
      <w:tr w:rsidR="00D14790" w:rsidRPr="00164A31" w:rsidTr="00C16BBE">
        <w:trPr>
          <w:tblHeader/>
        </w:trPr>
        <w:tc>
          <w:tcPr>
            <w:tcW w:w="4565" w:type="dxa"/>
            <w:vAlign w:val="center"/>
          </w:tcPr>
          <w:p w:rsidR="00D14790" w:rsidRPr="00164A31" w:rsidRDefault="00453D5B" w:rsidP="00D14790">
            <w:pPr>
              <w:jc w:val="center"/>
              <w:rPr>
                <w:b/>
                <w:sz w:val="18"/>
                <w:lang w:val="es-MX"/>
              </w:rPr>
            </w:pPr>
            <w:r w:rsidRPr="00164A31">
              <w:rPr>
                <w:b/>
                <w:sz w:val="18"/>
                <w:lang w:val="es-MX"/>
              </w:rPr>
              <w:t>Conclusiones</w:t>
            </w:r>
          </w:p>
        </w:tc>
        <w:tc>
          <w:tcPr>
            <w:tcW w:w="4575" w:type="dxa"/>
            <w:vAlign w:val="center"/>
          </w:tcPr>
          <w:p w:rsidR="00D14790" w:rsidRPr="00164A31" w:rsidRDefault="00453D5B" w:rsidP="00D14790">
            <w:pPr>
              <w:jc w:val="center"/>
              <w:rPr>
                <w:b/>
                <w:sz w:val="18"/>
                <w:lang w:val="es-MX"/>
              </w:rPr>
            </w:pPr>
            <w:r w:rsidRPr="00164A31">
              <w:rPr>
                <w:b/>
                <w:sz w:val="18"/>
                <w:lang w:val="es-MX"/>
              </w:rPr>
              <w:t>Recomendaciones</w:t>
            </w:r>
          </w:p>
        </w:tc>
      </w:tr>
      <w:tr w:rsidR="00D14790" w:rsidRPr="00164A31" w:rsidTr="00B37CAA">
        <w:tc>
          <w:tcPr>
            <w:tcW w:w="9140" w:type="dxa"/>
            <w:gridSpan w:val="2"/>
          </w:tcPr>
          <w:p w:rsidR="00D14790" w:rsidRPr="00164A31" w:rsidRDefault="00453D5B">
            <w:pPr>
              <w:rPr>
                <w:smallCaps/>
                <w:sz w:val="18"/>
                <w:lang w:val="es-MX"/>
              </w:rPr>
            </w:pPr>
            <w:r w:rsidRPr="00164A31">
              <w:rPr>
                <w:smallCaps/>
                <w:sz w:val="18"/>
                <w:lang w:val="es-MX"/>
              </w:rPr>
              <w:t>Lógica Vertical</w:t>
            </w:r>
          </w:p>
        </w:tc>
      </w:tr>
      <w:tr w:rsidR="00C16BBE" w:rsidRPr="00D82344" w:rsidTr="00BC5AC8">
        <w:trPr>
          <w:trHeight w:val="776"/>
        </w:trPr>
        <w:tc>
          <w:tcPr>
            <w:tcW w:w="4565" w:type="dxa"/>
          </w:tcPr>
          <w:p w:rsidR="00C16BBE" w:rsidRPr="00164A31" w:rsidRDefault="00C16BBE" w:rsidP="00BC5AC8">
            <w:pPr>
              <w:rPr>
                <w:sz w:val="18"/>
                <w:lang w:val="es-MX"/>
              </w:rPr>
            </w:pPr>
            <w:r w:rsidRPr="00164A31">
              <w:rPr>
                <w:sz w:val="18"/>
                <w:lang w:val="es-MX"/>
              </w:rPr>
              <w:t>Se confirmó la relevancia de la Operación como instrumento para contribuir a los objetivos estratégicos y sectoriales del Ecuador</w:t>
            </w:r>
            <w:r w:rsidR="00BC5AC8">
              <w:rPr>
                <w:sz w:val="18"/>
                <w:lang w:val="es-MX"/>
              </w:rPr>
              <w:t xml:space="preserve">. </w:t>
            </w:r>
          </w:p>
        </w:tc>
        <w:tc>
          <w:tcPr>
            <w:tcW w:w="4575" w:type="dxa"/>
          </w:tcPr>
          <w:p w:rsidR="00C16BBE" w:rsidRPr="00164A31" w:rsidRDefault="00432CEE" w:rsidP="00BC5AC8">
            <w:pPr>
              <w:rPr>
                <w:sz w:val="18"/>
                <w:lang w:val="es-MX"/>
              </w:rPr>
            </w:pPr>
            <w:r>
              <w:rPr>
                <w:sz w:val="18"/>
                <w:lang w:val="es-MX"/>
              </w:rPr>
              <w:t>-</w:t>
            </w:r>
          </w:p>
        </w:tc>
      </w:tr>
      <w:tr w:rsidR="00432CEE" w:rsidRPr="00D82344" w:rsidTr="00BC5AC8">
        <w:trPr>
          <w:trHeight w:val="776"/>
        </w:trPr>
        <w:tc>
          <w:tcPr>
            <w:tcW w:w="4565" w:type="dxa"/>
          </w:tcPr>
          <w:p w:rsidR="00432CEE" w:rsidRPr="00164A31" w:rsidRDefault="00432CEE" w:rsidP="00BC5AC8">
            <w:pPr>
              <w:rPr>
                <w:sz w:val="18"/>
                <w:lang w:val="es-MX"/>
              </w:rPr>
            </w:pPr>
            <w:r>
              <w:rPr>
                <w:sz w:val="18"/>
                <w:lang w:val="es-MX"/>
              </w:rPr>
              <w:t>Los cambios en la matriz de resultados se dieron al principio de la ejecución y no afectan la lógica vertical. Los ajustes contribuyen a mejor monitorear la operación como acordado con SPD.</w:t>
            </w:r>
          </w:p>
        </w:tc>
        <w:tc>
          <w:tcPr>
            <w:tcW w:w="4575" w:type="dxa"/>
          </w:tcPr>
          <w:p w:rsidR="00432CEE" w:rsidRDefault="00432CEE" w:rsidP="00BC5AC8">
            <w:pPr>
              <w:rPr>
                <w:sz w:val="18"/>
                <w:lang w:val="es-MX"/>
              </w:rPr>
            </w:pPr>
            <w:r>
              <w:rPr>
                <w:sz w:val="18"/>
                <w:lang w:val="es-MX"/>
              </w:rPr>
              <w:t>-</w:t>
            </w:r>
          </w:p>
        </w:tc>
      </w:tr>
      <w:tr w:rsidR="00966FEC" w:rsidRPr="00164A31" w:rsidTr="0035541A">
        <w:trPr>
          <w:trHeight w:val="751"/>
        </w:trPr>
        <w:tc>
          <w:tcPr>
            <w:tcW w:w="4565" w:type="dxa"/>
          </w:tcPr>
          <w:p w:rsidR="00966FEC" w:rsidRPr="00164A31" w:rsidRDefault="00966FEC" w:rsidP="00E52896">
            <w:pPr>
              <w:rPr>
                <w:sz w:val="18"/>
                <w:lang w:val="es-MX"/>
              </w:rPr>
            </w:pPr>
            <w:r w:rsidRPr="00164A31">
              <w:rPr>
                <w:sz w:val="18"/>
                <w:lang w:val="es-MX"/>
              </w:rPr>
              <w:t>Los cambios en el contexto del Programa son menores; no han restado validez a los supuestos y no han socavado la efectividad de la estrategia del Programa.</w:t>
            </w:r>
          </w:p>
        </w:tc>
        <w:tc>
          <w:tcPr>
            <w:tcW w:w="4575" w:type="dxa"/>
          </w:tcPr>
          <w:p w:rsidR="00966FEC" w:rsidRPr="00164A31" w:rsidRDefault="001B0168" w:rsidP="00966FEC">
            <w:pPr>
              <w:rPr>
                <w:sz w:val="18"/>
                <w:lang w:val="es-MX"/>
              </w:rPr>
            </w:pPr>
            <w:r w:rsidRPr="00164A31">
              <w:rPr>
                <w:sz w:val="18"/>
                <w:lang w:val="es-MX"/>
              </w:rPr>
              <w:t xml:space="preserve"> - </w:t>
            </w:r>
          </w:p>
        </w:tc>
      </w:tr>
      <w:tr w:rsidR="006C4822" w:rsidRPr="00883A0A" w:rsidTr="0035541A">
        <w:trPr>
          <w:trHeight w:val="751"/>
        </w:trPr>
        <w:tc>
          <w:tcPr>
            <w:tcW w:w="4565" w:type="dxa"/>
          </w:tcPr>
          <w:p w:rsidR="006C4822" w:rsidRPr="00164A31" w:rsidRDefault="006C4822" w:rsidP="00E52896">
            <w:pPr>
              <w:rPr>
                <w:sz w:val="18"/>
                <w:lang w:val="es-MX"/>
              </w:rPr>
            </w:pPr>
            <w:r w:rsidRPr="006C4822">
              <w:rPr>
                <w:sz w:val="18"/>
                <w:lang w:val="es-MX"/>
              </w:rPr>
              <w:t>Existe una oportunidad de vincular los indicadores técnicos de los procesos con los impactos socio-económicos locales (calidad de vida para la población y sistemas productivos nacionales).</w:t>
            </w:r>
          </w:p>
        </w:tc>
        <w:tc>
          <w:tcPr>
            <w:tcW w:w="4575" w:type="dxa"/>
          </w:tcPr>
          <w:p w:rsidR="006C4822" w:rsidRPr="00164A31" w:rsidRDefault="006C4822" w:rsidP="00966FEC">
            <w:pPr>
              <w:rPr>
                <w:sz w:val="18"/>
                <w:lang w:val="es-MX"/>
              </w:rPr>
            </w:pPr>
            <w:r w:rsidRPr="006C4822">
              <w:rPr>
                <w:sz w:val="18"/>
                <w:lang w:val="es-MX"/>
              </w:rPr>
              <w:t xml:space="preserve">Se sugiere obtener por parte del OE un pronunciamiento sustentado de la posibilidad de vincular los impactos técnicos del Programa con datos socio-económicos </w:t>
            </w:r>
            <w:proofErr w:type="spellStart"/>
            <w:r w:rsidRPr="006C4822">
              <w:rPr>
                <w:sz w:val="18"/>
                <w:lang w:val="es-MX"/>
              </w:rPr>
              <w:t>georeferenciados</w:t>
            </w:r>
            <w:proofErr w:type="spellEnd"/>
            <w:r w:rsidRPr="006C4822">
              <w:rPr>
                <w:sz w:val="18"/>
                <w:lang w:val="es-MX"/>
              </w:rPr>
              <w:t>.</w:t>
            </w:r>
          </w:p>
        </w:tc>
      </w:tr>
      <w:tr w:rsidR="00D14790" w:rsidRPr="00164A31" w:rsidTr="00B37CAA">
        <w:tc>
          <w:tcPr>
            <w:tcW w:w="9140" w:type="dxa"/>
            <w:gridSpan w:val="2"/>
          </w:tcPr>
          <w:p w:rsidR="00D14790" w:rsidRPr="00164A31" w:rsidRDefault="00453D5B">
            <w:pPr>
              <w:rPr>
                <w:smallCaps/>
                <w:sz w:val="18"/>
                <w:lang w:val="es-MX"/>
              </w:rPr>
            </w:pPr>
            <w:r w:rsidRPr="00164A31">
              <w:rPr>
                <w:smallCaps/>
                <w:sz w:val="18"/>
                <w:lang w:val="es-MX"/>
              </w:rPr>
              <w:t>Ejecución y Presupuesto</w:t>
            </w:r>
          </w:p>
        </w:tc>
      </w:tr>
      <w:tr w:rsidR="00664F5B" w:rsidRPr="00164A31" w:rsidTr="00BC5AC8">
        <w:trPr>
          <w:trHeight w:val="456"/>
        </w:trPr>
        <w:tc>
          <w:tcPr>
            <w:tcW w:w="4565" w:type="dxa"/>
          </w:tcPr>
          <w:p w:rsidR="00664F5B" w:rsidRPr="00164A31" w:rsidRDefault="00664F5B" w:rsidP="003505A4">
            <w:pPr>
              <w:rPr>
                <w:sz w:val="18"/>
                <w:lang w:val="es-MX"/>
              </w:rPr>
            </w:pPr>
            <w:r w:rsidRPr="00164A31">
              <w:rPr>
                <w:sz w:val="18"/>
                <w:lang w:val="es-MX"/>
              </w:rPr>
              <w:t xml:space="preserve">Las ofertas recibidas de los contratistas </w:t>
            </w:r>
            <w:r w:rsidR="003505A4" w:rsidRPr="00164A31">
              <w:rPr>
                <w:sz w:val="18"/>
                <w:lang w:val="es-MX"/>
              </w:rPr>
              <w:t xml:space="preserve">están ligeramente por debajo </w:t>
            </w:r>
            <w:r w:rsidRPr="00164A31">
              <w:rPr>
                <w:sz w:val="18"/>
                <w:lang w:val="es-MX"/>
              </w:rPr>
              <w:t>de los precios de referencia manejados por las EED.</w:t>
            </w:r>
          </w:p>
        </w:tc>
        <w:tc>
          <w:tcPr>
            <w:tcW w:w="4575" w:type="dxa"/>
          </w:tcPr>
          <w:p w:rsidR="00664F5B" w:rsidRPr="00164A31" w:rsidRDefault="00664F5B">
            <w:pPr>
              <w:rPr>
                <w:sz w:val="18"/>
                <w:lang w:val="es-MX"/>
              </w:rPr>
            </w:pPr>
            <w:r w:rsidRPr="00164A31">
              <w:rPr>
                <w:sz w:val="18"/>
                <w:lang w:val="es-MX"/>
              </w:rPr>
              <w:t xml:space="preserve"> -</w:t>
            </w:r>
          </w:p>
        </w:tc>
      </w:tr>
      <w:tr w:rsidR="00664F5B" w:rsidRPr="00883A0A" w:rsidTr="00BC6EC6">
        <w:trPr>
          <w:trHeight w:val="717"/>
        </w:trPr>
        <w:tc>
          <w:tcPr>
            <w:tcW w:w="4565" w:type="dxa"/>
          </w:tcPr>
          <w:p w:rsidR="00664F5B" w:rsidRPr="00164A31" w:rsidRDefault="0040746D">
            <w:pPr>
              <w:rPr>
                <w:sz w:val="18"/>
                <w:lang w:val="es-MX"/>
              </w:rPr>
            </w:pPr>
            <w:r>
              <w:rPr>
                <w:sz w:val="18"/>
                <w:lang w:val="es-MX"/>
              </w:rPr>
              <w:t>Algunos funcionarios de las EED han mencionado que</w:t>
            </w:r>
            <w:r w:rsidR="00664F5B" w:rsidRPr="00164A31">
              <w:rPr>
                <w:sz w:val="18"/>
                <w:lang w:val="es-MX"/>
              </w:rPr>
              <w:t xml:space="preserve"> la modalidad "llave en mano" </w:t>
            </w:r>
            <w:r>
              <w:rPr>
                <w:sz w:val="18"/>
                <w:lang w:val="es-MX"/>
              </w:rPr>
              <w:t>resulta en proyectos más caros.</w:t>
            </w:r>
          </w:p>
        </w:tc>
        <w:tc>
          <w:tcPr>
            <w:tcW w:w="4575" w:type="dxa"/>
          </w:tcPr>
          <w:p w:rsidR="0040746D" w:rsidRDefault="0040746D" w:rsidP="00531172">
            <w:pPr>
              <w:rPr>
                <w:sz w:val="18"/>
                <w:lang w:val="es-MX"/>
              </w:rPr>
            </w:pPr>
            <w:r>
              <w:rPr>
                <w:sz w:val="18"/>
                <w:lang w:val="es-MX"/>
              </w:rPr>
              <w:t>El diseño el programa consideró este hecho al evaluar los proyectos a financiar. El MEER optó por esta opción de licitación que facilita el monitoreo de las obras durante su ejecución, como se observó durante la ejecución de la operación 2608/OC-EC.</w:t>
            </w:r>
          </w:p>
          <w:p w:rsidR="0040746D" w:rsidRDefault="0040746D" w:rsidP="00531172">
            <w:pPr>
              <w:rPr>
                <w:sz w:val="18"/>
                <w:lang w:val="es-MX"/>
              </w:rPr>
            </w:pPr>
            <w:r>
              <w:rPr>
                <w:sz w:val="18"/>
                <w:lang w:val="es-MX"/>
              </w:rPr>
              <w:t xml:space="preserve">El uso de compras corporativas sigue dentro de las opciones para ejecución del MEER, pero solo en casos de importación mayor de bienes, en caso de especificaciones técnicas estrictas, que no son producidos localmente o que en los cuales el mercado actual no tiene capacidad de suministro. </w:t>
            </w:r>
          </w:p>
          <w:p w:rsidR="00664F5B" w:rsidRPr="00164A31" w:rsidRDefault="00664F5B" w:rsidP="00531172">
            <w:pPr>
              <w:rPr>
                <w:sz w:val="18"/>
                <w:lang w:val="es-MX"/>
              </w:rPr>
            </w:pPr>
          </w:p>
        </w:tc>
      </w:tr>
      <w:tr w:rsidR="00664F5B" w:rsidRPr="00883A0A" w:rsidTr="00664F5B">
        <w:trPr>
          <w:trHeight w:val="397"/>
        </w:trPr>
        <w:tc>
          <w:tcPr>
            <w:tcW w:w="4565" w:type="dxa"/>
          </w:tcPr>
          <w:p w:rsidR="00664F5B" w:rsidRPr="00164A31" w:rsidRDefault="00FD7A26" w:rsidP="00BC5AC8">
            <w:pPr>
              <w:rPr>
                <w:sz w:val="18"/>
                <w:lang w:val="es-MX"/>
              </w:rPr>
            </w:pPr>
            <w:r w:rsidRPr="00164A31">
              <w:rPr>
                <w:sz w:val="18"/>
                <w:lang w:val="es-MX"/>
              </w:rPr>
              <w:t>Existe una oportunidad para recabar información financiera de los procesos para dar seguimiento a los costos y beneficios según tipo de proyecto, zona, región, contratista, etc.</w:t>
            </w:r>
          </w:p>
        </w:tc>
        <w:tc>
          <w:tcPr>
            <w:tcW w:w="4575" w:type="dxa"/>
          </w:tcPr>
          <w:p w:rsidR="00664F5B" w:rsidRPr="00164A31" w:rsidRDefault="00FD7A26" w:rsidP="00BC5AC8">
            <w:pPr>
              <w:rPr>
                <w:sz w:val="18"/>
                <w:lang w:val="es-MX"/>
              </w:rPr>
            </w:pPr>
            <w:r w:rsidRPr="00164A31">
              <w:rPr>
                <w:sz w:val="18"/>
                <w:lang w:val="es-MX"/>
              </w:rPr>
              <w:t xml:space="preserve">Se </w:t>
            </w:r>
            <w:r w:rsidR="00BC6EC6" w:rsidRPr="00164A31">
              <w:rPr>
                <w:sz w:val="18"/>
                <w:lang w:val="es-MX"/>
              </w:rPr>
              <w:t xml:space="preserve">recomienda </w:t>
            </w:r>
            <w:r w:rsidR="00531172" w:rsidRPr="00164A31">
              <w:rPr>
                <w:sz w:val="18"/>
                <w:lang w:val="es-MX"/>
              </w:rPr>
              <w:t xml:space="preserve">a la UEP </w:t>
            </w:r>
            <w:r w:rsidRPr="00164A31">
              <w:rPr>
                <w:sz w:val="18"/>
                <w:lang w:val="es-MX"/>
              </w:rPr>
              <w:t xml:space="preserve">asignar indicadores unitarios a los procesos individuales </w:t>
            </w:r>
            <w:r w:rsidR="00BC5AC8">
              <w:rPr>
                <w:sz w:val="18"/>
                <w:lang w:val="es-MX"/>
              </w:rPr>
              <w:t xml:space="preserve">en SIGPRO </w:t>
            </w:r>
            <w:r w:rsidRPr="00164A31">
              <w:rPr>
                <w:sz w:val="18"/>
                <w:lang w:val="es-MX"/>
              </w:rPr>
              <w:t>para facilitar la propagación de información hacia un nivel agregado.</w:t>
            </w:r>
          </w:p>
        </w:tc>
      </w:tr>
      <w:tr w:rsidR="00D14790" w:rsidRPr="00883A0A" w:rsidTr="00B37CAA">
        <w:tc>
          <w:tcPr>
            <w:tcW w:w="9140" w:type="dxa"/>
            <w:gridSpan w:val="2"/>
          </w:tcPr>
          <w:p w:rsidR="00D14790" w:rsidRPr="00164A31" w:rsidRDefault="00453D5B">
            <w:pPr>
              <w:rPr>
                <w:smallCaps/>
                <w:sz w:val="18"/>
                <w:lang w:val="es-MX"/>
              </w:rPr>
            </w:pPr>
            <w:r w:rsidRPr="00164A31">
              <w:rPr>
                <w:smallCaps/>
                <w:sz w:val="18"/>
                <w:lang w:val="es-MX"/>
              </w:rPr>
              <w:t>Experiencias Globales con la Gestión del Programa</w:t>
            </w:r>
          </w:p>
        </w:tc>
      </w:tr>
      <w:tr w:rsidR="009078D4" w:rsidRPr="00164A31" w:rsidTr="009078D4">
        <w:trPr>
          <w:trHeight w:val="551"/>
        </w:trPr>
        <w:tc>
          <w:tcPr>
            <w:tcW w:w="4565" w:type="dxa"/>
          </w:tcPr>
          <w:p w:rsidR="009078D4" w:rsidRPr="00164A31" w:rsidRDefault="009078D4" w:rsidP="00BC6EC6">
            <w:pPr>
              <w:rPr>
                <w:sz w:val="18"/>
                <w:lang w:val="es-MX"/>
              </w:rPr>
            </w:pPr>
            <w:r w:rsidRPr="00164A31">
              <w:rPr>
                <w:sz w:val="18"/>
                <w:lang w:val="es-MX"/>
              </w:rPr>
              <w:t>La Evaluación pudo apreciar el activo seguimiento de las actividades del Programa por parte d</w:t>
            </w:r>
            <w:r w:rsidR="00BC6EC6" w:rsidRPr="00164A31">
              <w:rPr>
                <w:sz w:val="18"/>
                <w:lang w:val="es-MX"/>
              </w:rPr>
              <w:t>e</w:t>
            </w:r>
            <w:r w:rsidRPr="00164A31">
              <w:rPr>
                <w:sz w:val="18"/>
                <w:lang w:val="es-MX"/>
              </w:rPr>
              <w:t xml:space="preserve">l personal </w:t>
            </w:r>
            <w:r w:rsidR="00BC6EC6" w:rsidRPr="00164A31">
              <w:rPr>
                <w:sz w:val="18"/>
                <w:lang w:val="es-MX"/>
              </w:rPr>
              <w:t xml:space="preserve">de </w:t>
            </w:r>
            <w:r w:rsidRPr="00164A31">
              <w:rPr>
                <w:sz w:val="18"/>
                <w:lang w:val="es-MX"/>
              </w:rPr>
              <w:t>la UEP. Los sistemas financieros y de contratación parecen en conformidad con los arreglos estipulados.</w:t>
            </w:r>
          </w:p>
        </w:tc>
        <w:tc>
          <w:tcPr>
            <w:tcW w:w="4575" w:type="dxa"/>
          </w:tcPr>
          <w:p w:rsidR="009078D4" w:rsidRPr="00164A31" w:rsidRDefault="000728B9" w:rsidP="00464F53">
            <w:pPr>
              <w:tabs>
                <w:tab w:val="center" w:pos="2230"/>
              </w:tabs>
              <w:rPr>
                <w:sz w:val="18"/>
                <w:lang w:val="es-MX"/>
              </w:rPr>
            </w:pPr>
            <w:r w:rsidRPr="00164A31">
              <w:rPr>
                <w:sz w:val="18"/>
                <w:lang w:val="es-MX"/>
              </w:rPr>
              <w:t xml:space="preserve"> - </w:t>
            </w:r>
          </w:p>
        </w:tc>
      </w:tr>
      <w:tr w:rsidR="009078D4" w:rsidRPr="00883A0A" w:rsidTr="009078D4">
        <w:trPr>
          <w:trHeight w:val="551"/>
        </w:trPr>
        <w:tc>
          <w:tcPr>
            <w:tcW w:w="4565" w:type="dxa"/>
          </w:tcPr>
          <w:p w:rsidR="009078D4" w:rsidRPr="00164A31" w:rsidRDefault="009078D4" w:rsidP="009078D4">
            <w:pPr>
              <w:rPr>
                <w:sz w:val="18"/>
                <w:lang w:val="es-MX"/>
              </w:rPr>
            </w:pPr>
            <w:r w:rsidRPr="00164A31">
              <w:rPr>
                <w:sz w:val="18"/>
                <w:lang w:val="es-MX"/>
              </w:rPr>
              <w:t>La Evaluación espera importantes beneficios de la inminente migración a la plataforma SIGPRO.</w:t>
            </w:r>
          </w:p>
        </w:tc>
        <w:tc>
          <w:tcPr>
            <w:tcW w:w="4575" w:type="dxa"/>
          </w:tcPr>
          <w:p w:rsidR="009078D4" w:rsidRPr="00164A31" w:rsidRDefault="009078D4" w:rsidP="00BC6EC6">
            <w:pPr>
              <w:tabs>
                <w:tab w:val="center" w:pos="2230"/>
              </w:tabs>
              <w:rPr>
                <w:sz w:val="18"/>
                <w:lang w:val="es-MX"/>
              </w:rPr>
            </w:pPr>
            <w:r w:rsidRPr="00164A31">
              <w:rPr>
                <w:sz w:val="18"/>
                <w:lang w:val="es-MX"/>
              </w:rPr>
              <w:t xml:space="preserve">Se recomienda al Banco dar un estrecho seguimiento a este proceso para garantizar la continuidad en </w:t>
            </w:r>
            <w:r w:rsidR="00BC6EC6" w:rsidRPr="00164A31">
              <w:rPr>
                <w:sz w:val="18"/>
                <w:lang w:val="es-MX"/>
              </w:rPr>
              <w:t xml:space="preserve">la ejecución </w:t>
            </w:r>
            <w:r w:rsidRPr="00164A31">
              <w:rPr>
                <w:sz w:val="18"/>
                <w:lang w:val="es-MX"/>
              </w:rPr>
              <w:t>de la Operación y fortalecer los mecanismos de recopilación de datos.</w:t>
            </w:r>
          </w:p>
        </w:tc>
      </w:tr>
      <w:tr w:rsidR="009078D4" w:rsidRPr="00883A0A" w:rsidTr="009078D4">
        <w:trPr>
          <w:trHeight w:val="551"/>
        </w:trPr>
        <w:tc>
          <w:tcPr>
            <w:tcW w:w="4565" w:type="dxa"/>
          </w:tcPr>
          <w:p w:rsidR="009078D4" w:rsidRPr="00164A31" w:rsidRDefault="009078D4" w:rsidP="009078D4">
            <w:pPr>
              <w:rPr>
                <w:sz w:val="18"/>
                <w:lang w:val="es-MX"/>
              </w:rPr>
            </w:pPr>
            <w:r w:rsidRPr="00164A31">
              <w:rPr>
                <w:sz w:val="18"/>
                <w:lang w:val="es-MX"/>
              </w:rPr>
              <w:t>La Evaluación ha constatado varias oportunidades de mejora de los informes de avance y documentos internos.</w:t>
            </w:r>
          </w:p>
        </w:tc>
        <w:tc>
          <w:tcPr>
            <w:tcW w:w="4575" w:type="dxa"/>
          </w:tcPr>
          <w:p w:rsidR="009078D4" w:rsidRPr="00164A31" w:rsidRDefault="009078D4" w:rsidP="009078D4">
            <w:pPr>
              <w:tabs>
                <w:tab w:val="center" w:pos="2230"/>
              </w:tabs>
              <w:rPr>
                <w:sz w:val="18"/>
                <w:lang w:val="es-MX"/>
              </w:rPr>
            </w:pPr>
            <w:r w:rsidRPr="00164A31">
              <w:rPr>
                <w:sz w:val="18"/>
                <w:lang w:val="es-MX"/>
              </w:rPr>
              <w:t xml:space="preserve">Se recomienda </w:t>
            </w:r>
            <w:r w:rsidR="00531172" w:rsidRPr="00164A31">
              <w:rPr>
                <w:sz w:val="18"/>
                <w:lang w:val="es-MX"/>
              </w:rPr>
              <w:t xml:space="preserve">a la UEP </w:t>
            </w:r>
            <w:r w:rsidRPr="00164A31">
              <w:rPr>
                <w:sz w:val="18"/>
                <w:lang w:val="es-MX"/>
              </w:rPr>
              <w:t>extender el alcance de los informes. Se recomienda actualizar el MOP, precisando las responsabilidades de los miembros de la UEP y fortaleciendo la co</w:t>
            </w:r>
            <w:r w:rsidR="00BC6EC6" w:rsidRPr="00164A31">
              <w:rPr>
                <w:sz w:val="18"/>
                <w:lang w:val="es-MX"/>
              </w:rPr>
              <w:t>nsistencia con otros documentos.</w:t>
            </w:r>
          </w:p>
        </w:tc>
      </w:tr>
      <w:tr w:rsidR="009078D4" w:rsidRPr="00883A0A" w:rsidTr="00780E1B">
        <w:trPr>
          <w:trHeight w:val="693"/>
        </w:trPr>
        <w:tc>
          <w:tcPr>
            <w:tcW w:w="4565" w:type="dxa"/>
          </w:tcPr>
          <w:p w:rsidR="009078D4" w:rsidRPr="00164A31" w:rsidRDefault="00780E1B" w:rsidP="00774622">
            <w:pPr>
              <w:rPr>
                <w:sz w:val="18"/>
                <w:lang w:val="es-MX"/>
              </w:rPr>
            </w:pPr>
            <w:r w:rsidRPr="00164A31">
              <w:rPr>
                <w:sz w:val="18"/>
                <w:lang w:val="es-MX"/>
              </w:rPr>
              <w:lastRenderedPageBreak/>
              <w:t xml:space="preserve">Se puede fortalecer </w:t>
            </w:r>
            <w:r w:rsidR="00774622" w:rsidRPr="00164A31">
              <w:rPr>
                <w:sz w:val="18"/>
                <w:lang w:val="es-MX"/>
              </w:rPr>
              <w:t xml:space="preserve">el </w:t>
            </w:r>
            <w:r w:rsidR="009078D4" w:rsidRPr="00164A31">
              <w:rPr>
                <w:sz w:val="18"/>
                <w:lang w:val="es-MX"/>
              </w:rPr>
              <w:t xml:space="preserve">seguimiento a </w:t>
            </w:r>
            <w:r w:rsidR="00774622" w:rsidRPr="00164A31">
              <w:rPr>
                <w:sz w:val="18"/>
                <w:lang w:val="es-MX"/>
              </w:rPr>
              <w:t xml:space="preserve">los </w:t>
            </w:r>
            <w:r w:rsidR="009078D4" w:rsidRPr="00164A31">
              <w:rPr>
                <w:sz w:val="18"/>
                <w:lang w:val="es-MX"/>
              </w:rPr>
              <w:t xml:space="preserve">factores que pudieran </w:t>
            </w:r>
            <w:r w:rsidRPr="00164A31">
              <w:rPr>
                <w:sz w:val="18"/>
                <w:lang w:val="es-MX"/>
              </w:rPr>
              <w:t xml:space="preserve">afectar la implementación y sostenibilidad del </w:t>
            </w:r>
            <w:r w:rsidR="00774622" w:rsidRPr="00164A31">
              <w:rPr>
                <w:sz w:val="18"/>
                <w:lang w:val="es-MX"/>
              </w:rPr>
              <w:t>Programa, y de los procesos individuales.</w:t>
            </w:r>
          </w:p>
        </w:tc>
        <w:tc>
          <w:tcPr>
            <w:tcW w:w="4575" w:type="dxa"/>
          </w:tcPr>
          <w:p w:rsidR="009078D4" w:rsidRPr="00164A31" w:rsidRDefault="009078D4" w:rsidP="00780E1B">
            <w:pPr>
              <w:tabs>
                <w:tab w:val="center" w:pos="2230"/>
              </w:tabs>
              <w:rPr>
                <w:sz w:val="18"/>
                <w:lang w:val="es-MX"/>
              </w:rPr>
            </w:pPr>
            <w:r w:rsidRPr="00164A31">
              <w:rPr>
                <w:sz w:val="18"/>
                <w:lang w:val="es-MX"/>
              </w:rPr>
              <w:t xml:space="preserve">Se recomienda </w:t>
            </w:r>
            <w:r w:rsidR="00531172" w:rsidRPr="00164A31">
              <w:rPr>
                <w:sz w:val="18"/>
                <w:lang w:val="es-MX"/>
              </w:rPr>
              <w:t xml:space="preserve">a la UEP </w:t>
            </w:r>
            <w:r w:rsidRPr="00164A31">
              <w:rPr>
                <w:sz w:val="18"/>
                <w:lang w:val="es-MX"/>
              </w:rPr>
              <w:t xml:space="preserve">hacer uso eficaz de la Matriz de Riesgos para controlar los factores que puedan incidir en el Programa, y dar seguimiento a los riesgos por proceso. </w:t>
            </w:r>
          </w:p>
        </w:tc>
      </w:tr>
      <w:tr w:rsidR="00780E1B" w:rsidRPr="00883A0A" w:rsidTr="00780E1B">
        <w:trPr>
          <w:trHeight w:val="909"/>
        </w:trPr>
        <w:tc>
          <w:tcPr>
            <w:tcW w:w="4565" w:type="dxa"/>
          </w:tcPr>
          <w:p w:rsidR="00780E1B" w:rsidRPr="00164A31" w:rsidRDefault="00780E1B" w:rsidP="009078D4">
            <w:pPr>
              <w:rPr>
                <w:sz w:val="18"/>
                <w:lang w:val="es-MX"/>
              </w:rPr>
            </w:pPr>
            <w:r w:rsidRPr="00164A31">
              <w:rPr>
                <w:sz w:val="18"/>
                <w:lang w:val="es-MX"/>
              </w:rPr>
              <w:t>El Evaluador considera las salvaguardias socio-ambientales en línea con las mejores prácticas de diligencia debida en la fase de preparación de obras de este tipo.</w:t>
            </w:r>
            <w:r w:rsidR="00531172" w:rsidRPr="00164A31">
              <w:rPr>
                <w:sz w:val="18"/>
                <w:lang w:val="es-MX"/>
              </w:rPr>
              <w:t xml:space="preserve"> Sin embargo, existen casos aislados en que los vecinos protestan contra las obras.</w:t>
            </w:r>
          </w:p>
        </w:tc>
        <w:tc>
          <w:tcPr>
            <w:tcW w:w="4575" w:type="dxa"/>
          </w:tcPr>
          <w:p w:rsidR="00780E1B" w:rsidRPr="00164A31" w:rsidRDefault="00BC5AC8">
            <w:pPr>
              <w:tabs>
                <w:tab w:val="center" w:pos="2230"/>
              </w:tabs>
              <w:rPr>
                <w:sz w:val="18"/>
                <w:lang w:val="es-MX"/>
              </w:rPr>
            </w:pPr>
            <w:r>
              <w:rPr>
                <w:sz w:val="18"/>
                <w:lang w:val="es-MX"/>
              </w:rPr>
              <w:t>S</w:t>
            </w:r>
            <w:r w:rsidR="00774622" w:rsidRPr="00164A31">
              <w:rPr>
                <w:sz w:val="18"/>
                <w:lang w:val="es-MX"/>
              </w:rPr>
              <w:t xml:space="preserve">e sugiere analizar </w:t>
            </w:r>
            <w:r>
              <w:rPr>
                <w:sz w:val="18"/>
                <w:lang w:val="es-MX"/>
              </w:rPr>
              <w:t xml:space="preserve">los casos aislados </w:t>
            </w:r>
            <w:r w:rsidR="00780E1B" w:rsidRPr="00164A31">
              <w:rPr>
                <w:sz w:val="18"/>
                <w:lang w:val="es-MX"/>
              </w:rPr>
              <w:t>y considerar un proceso de mediación entre la empresa eléctrica y los vecinos interesados.</w:t>
            </w:r>
            <w:r w:rsidR="00531172" w:rsidRPr="00164A31">
              <w:rPr>
                <w:sz w:val="18"/>
                <w:lang w:val="es-MX"/>
              </w:rPr>
              <w:t xml:space="preserve"> </w:t>
            </w:r>
          </w:p>
        </w:tc>
      </w:tr>
      <w:tr w:rsidR="009078D4" w:rsidRPr="00164A31" w:rsidTr="0035541A">
        <w:trPr>
          <w:trHeight w:val="544"/>
        </w:trPr>
        <w:tc>
          <w:tcPr>
            <w:tcW w:w="4565" w:type="dxa"/>
          </w:tcPr>
          <w:p w:rsidR="009078D4" w:rsidRPr="00164A31" w:rsidRDefault="009078D4" w:rsidP="00774622">
            <w:pPr>
              <w:rPr>
                <w:sz w:val="18"/>
                <w:lang w:val="es-MX"/>
              </w:rPr>
            </w:pPr>
            <w:r w:rsidRPr="00164A31">
              <w:rPr>
                <w:sz w:val="18"/>
                <w:lang w:val="es-MX"/>
              </w:rPr>
              <w:t xml:space="preserve">La Evaluación ha observado un alto </w:t>
            </w:r>
            <w:r w:rsidR="00774622" w:rsidRPr="00164A31">
              <w:rPr>
                <w:sz w:val="18"/>
                <w:lang w:val="es-MX"/>
              </w:rPr>
              <w:t xml:space="preserve">nivel </w:t>
            </w:r>
            <w:r w:rsidRPr="00164A31">
              <w:rPr>
                <w:sz w:val="18"/>
                <w:lang w:val="es-MX"/>
              </w:rPr>
              <w:t>de integración del Programa en los sistemas de país.</w:t>
            </w:r>
          </w:p>
        </w:tc>
        <w:tc>
          <w:tcPr>
            <w:tcW w:w="4575" w:type="dxa"/>
          </w:tcPr>
          <w:p w:rsidR="009078D4" w:rsidRPr="00164A31" w:rsidRDefault="009078D4" w:rsidP="00B37CAA">
            <w:pPr>
              <w:rPr>
                <w:sz w:val="18"/>
                <w:lang w:val="es-MX"/>
              </w:rPr>
            </w:pPr>
            <w:r w:rsidRPr="00164A31">
              <w:rPr>
                <w:sz w:val="18"/>
                <w:lang w:val="es-MX"/>
              </w:rPr>
              <w:t xml:space="preserve"> -</w:t>
            </w:r>
          </w:p>
        </w:tc>
      </w:tr>
      <w:tr w:rsidR="00D14790" w:rsidRPr="00164A31" w:rsidTr="00B37CAA">
        <w:tc>
          <w:tcPr>
            <w:tcW w:w="9140" w:type="dxa"/>
            <w:gridSpan w:val="2"/>
          </w:tcPr>
          <w:p w:rsidR="00D14790" w:rsidRPr="00164A31" w:rsidRDefault="00453D5B">
            <w:pPr>
              <w:rPr>
                <w:smallCaps/>
                <w:sz w:val="18"/>
                <w:lang w:val="es-MX"/>
              </w:rPr>
            </w:pPr>
            <w:r w:rsidRPr="00164A31">
              <w:rPr>
                <w:smallCaps/>
                <w:sz w:val="18"/>
                <w:lang w:val="es-MX"/>
              </w:rPr>
              <w:t>Evaluación de Impactos</w:t>
            </w:r>
          </w:p>
        </w:tc>
      </w:tr>
      <w:tr w:rsidR="007B6B87" w:rsidRPr="00E761C9" w:rsidTr="0078518A">
        <w:trPr>
          <w:trHeight w:val="796"/>
        </w:trPr>
        <w:tc>
          <w:tcPr>
            <w:tcW w:w="4565" w:type="dxa"/>
          </w:tcPr>
          <w:p w:rsidR="007B6B87" w:rsidRPr="00164A31" w:rsidRDefault="002C054F">
            <w:pPr>
              <w:rPr>
                <w:sz w:val="18"/>
                <w:lang w:val="es-MX"/>
              </w:rPr>
            </w:pPr>
            <w:r>
              <w:rPr>
                <w:sz w:val="18"/>
                <w:lang w:val="es-MX"/>
              </w:rPr>
              <w:t>Los productos de la MR</w:t>
            </w:r>
            <w:r w:rsidR="007B6B87" w:rsidRPr="00164A31">
              <w:rPr>
                <w:sz w:val="18"/>
                <w:lang w:val="es-MX"/>
              </w:rPr>
              <w:t xml:space="preserve"> muestra</w:t>
            </w:r>
            <w:r>
              <w:rPr>
                <w:sz w:val="18"/>
                <w:lang w:val="es-MX"/>
              </w:rPr>
              <w:t>n</w:t>
            </w:r>
            <w:r w:rsidR="007B6B87" w:rsidRPr="00164A31">
              <w:rPr>
                <w:sz w:val="18"/>
                <w:lang w:val="es-MX"/>
              </w:rPr>
              <w:t xml:space="preserve"> un avance </w:t>
            </w:r>
            <w:r w:rsidR="00E761C9">
              <w:rPr>
                <w:sz w:val="18"/>
                <w:lang w:val="es-MX"/>
              </w:rPr>
              <w:t xml:space="preserve">proporcional al avance planeado al </w:t>
            </w:r>
            <w:r>
              <w:rPr>
                <w:sz w:val="18"/>
                <w:lang w:val="es-MX"/>
              </w:rPr>
              <w:t>Año</w:t>
            </w:r>
            <w:r w:rsidR="00E761C9">
              <w:rPr>
                <w:sz w:val="18"/>
                <w:lang w:val="es-MX"/>
              </w:rPr>
              <w:t xml:space="preserve"> 1.</w:t>
            </w:r>
          </w:p>
        </w:tc>
        <w:tc>
          <w:tcPr>
            <w:tcW w:w="4575" w:type="dxa"/>
          </w:tcPr>
          <w:p w:rsidR="007B6B87" w:rsidRPr="00164A31" w:rsidRDefault="0078518A" w:rsidP="00B37CAA">
            <w:pPr>
              <w:rPr>
                <w:sz w:val="18"/>
                <w:lang w:val="es-MX"/>
              </w:rPr>
            </w:pPr>
            <w:r w:rsidRPr="00164A31">
              <w:rPr>
                <w:sz w:val="18"/>
                <w:lang w:val="es-MX"/>
              </w:rPr>
              <w:t xml:space="preserve"> -</w:t>
            </w:r>
          </w:p>
        </w:tc>
      </w:tr>
      <w:tr w:rsidR="0078518A" w:rsidRPr="00D82344" w:rsidTr="0030362D">
        <w:trPr>
          <w:trHeight w:val="752"/>
        </w:trPr>
        <w:tc>
          <w:tcPr>
            <w:tcW w:w="4565" w:type="dxa"/>
          </w:tcPr>
          <w:p w:rsidR="0078518A" w:rsidRPr="00164A31" w:rsidRDefault="002C054F">
            <w:pPr>
              <w:rPr>
                <w:sz w:val="18"/>
                <w:lang w:val="es-MX"/>
              </w:rPr>
            </w:pPr>
            <w:r>
              <w:rPr>
                <w:sz w:val="18"/>
                <w:lang w:val="es-MX"/>
              </w:rPr>
              <w:t>El avance en el PRSND con diferentes fuentes de financiamiento, incluyendo el BID, así como el avance paralelo del PNCE, contribuyen con la reducción de CO2 y el uso de GLP.</w:t>
            </w:r>
          </w:p>
        </w:tc>
        <w:tc>
          <w:tcPr>
            <w:tcW w:w="4575" w:type="dxa"/>
          </w:tcPr>
          <w:p w:rsidR="0078518A" w:rsidRPr="00164A31" w:rsidRDefault="002C054F" w:rsidP="009F315B">
            <w:pPr>
              <w:rPr>
                <w:sz w:val="18"/>
                <w:lang w:val="es-MX"/>
              </w:rPr>
            </w:pPr>
            <w:r>
              <w:rPr>
                <w:sz w:val="18"/>
                <w:lang w:val="es-MX"/>
              </w:rPr>
              <w:t>-</w:t>
            </w:r>
          </w:p>
        </w:tc>
      </w:tr>
      <w:tr w:rsidR="0078518A" w:rsidRPr="00164A31" w:rsidTr="0078518A">
        <w:trPr>
          <w:trHeight w:val="667"/>
        </w:trPr>
        <w:tc>
          <w:tcPr>
            <w:tcW w:w="4565" w:type="dxa"/>
          </w:tcPr>
          <w:p w:rsidR="0078518A" w:rsidRPr="00164A31" w:rsidRDefault="0078518A" w:rsidP="00966FEC">
            <w:pPr>
              <w:rPr>
                <w:sz w:val="18"/>
                <w:lang w:val="es-MX"/>
              </w:rPr>
            </w:pPr>
            <w:r w:rsidRPr="00164A31">
              <w:rPr>
                <w:sz w:val="18"/>
                <w:lang w:val="es-MX"/>
              </w:rPr>
              <w:t>La Evaluación no ha identificado factores que pudieran afectar la sostenibilidad de los resultados y que estén dentro de control del Programa.</w:t>
            </w:r>
          </w:p>
        </w:tc>
        <w:tc>
          <w:tcPr>
            <w:tcW w:w="4575" w:type="dxa"/>
          </w:tcPr>
          <w:p w:rsidR="0078518A" w:rsidRPr="00164A31" w:rsidRDefault="00665406" w:rsidP="00B37CAA">
            <w:pPr>
              <w:rPr>
                <w:sz w:val="18"/>
                <w:lang w:val="es-MX"/>
              </w:rPr>
            </w:pPr>
            <w:r w:rsidRPr="00164A31">
              <w:rPr>
                <w:sz w:val="18"/>
                <w:lang w:val="es-MX"/>
              </w:rPr>
              <w:t xml:space="preserve"> - </w:t>
            </w:r>
          </w:p>
        </w:tc>
      </w:tr>
      <w:tr w:rsidR="00D14790" w:rsidRPr="00164A31" w:rsidTr="00B37CAA">
        <w:tc>
          <w:tcPr>
            <w:tcW w:w="9140" w:type="dxa"/>
            <w:gridSpan w:val="2"/>
          </w:tcPr>
          <w:p w:rsidR="00D14790" w:rsidRPr="00164A31" w:rsidRDefault="00453D5B">
            <w:pPr>
              <w:rPr>
                <w:smallCaps/>
                <w:sz w:val="18"/>
                <w:lang w:val="es-MX"/>
              </w:rPr>
            </w:pPr>
            <w:r w:rsidRPr="00164A31">
              <w:rPr>
                <w:smallCaps/>
                <w:sz w:val="18"/>
                <w:lang w:val="es-MX"/>
              </w:rPr>
              <w:t>Temas No-resueltos</w:t>
            </w:r>
          </w:p>
        </w:tc>
      </w:tr>
      <w:tr w:rsidR="007B6B87" w:rsidRPr="00883A0A" w:rsidTr="007B6B87">
        <w:trPr>
          <w:trHeight w:val="403"/>
        </w:trPr>
        <w:tc>
          <w:tcPr>
            <w:tcW w:w="4565" w:type="dxa"/>
          </w:tcPr>
          <w:p w:rsidR="007B6B87" w:rsidRPr="00164A31" w:rsidRDefault="007B6B87">
            <w:pPr>
              <w:rPr>
                <w:sz w:val="18"/>
                <w:lang w:val="es-MX"/>
              </w:rPr>
            </w:pPr>
            <w:r w:rsidRPr="00164A31">
              <w:rPr>
                <w:sz w:val="18"/>
                <w:lang w:val="es-MX"/>
              </w:rPr>
              <w:t xml:space="preserve">Persisten los cambios frecuentes en UEP, aunque </w:t>
            </w:r>
            <w:r w:rsidR="002C054F">
              <w:rPr>
                <w:sz w:val="18"/>
                <w:lang w:val="es-MX"/>
              </w:rPr>
              <w:t>su</w:t>
            </w:r>
            <w:r w:rsidR="002C054F" w:rsidRPr="00164A31">
              <w:rPr>
                <w:sz w:val="18"/>
                <w:lang w:val="es-MX"/>
              </w:rPr>
              <w:t xml:space="preserve"> </w:t>
            </w:r>
            <w:r w:rsidRPr="00164A31">
              <w:rPr>
                <w:sz w:val="18"/>
                <w:lang w:val="es-MX"/>
              </w:rPr>
              <w:t>impacto en la calidad de la gestión es leve.</w:t>
            </w:r>
          </w:p>
        </w:tc>
        <w:tc>
          <w:tcPr>
            <w:tcW w:w="4575" w:type="dxa"/>
          </w:tcPr>
          <w:p w:rsidR="007B6B87" w:rsidRPr="00164A31" w:rsidRDefault="00665406" w:rsidP="00F20B2E">
            <w:pPr>
              <w:rPr>
                <w:sz w:val="18"/>
                <w:lang w:val="es-MX"/>
              </w:rPr>
            </w:pPr>
            <w:r w:rsidRPr="00164A31">
              <w:rPr>
                <w:sz w:val="18"/>
                <w:lang w:val="es-MX"/>
              </w:rPr>
              <w:t>Se recomienda al Banco dar seguimiento a la</w:t>
            </w:r>
            <w:r w:rsidR="00F20B2E" w:rsidRPr="00164A31">
              <w:rPr>
                <w:sz w:val="18"/>
                <w:lang w:val="es-MX"/>
              </w:rPr>
              <w:t xml:space="preserve"> rotación de personal en la UEP.</w:t>
            </w:r>
          </w:p>
        </w:tc>
      </w:tr>
      <w:tr w:rsidR="00AE389D" w:rsidRPr="00883A0A" w:rsidTr="00E224D4">
        <w:trPr>
          <w:trHeight w:val="268"/>
        </w:trPr>
        <w:tc>
          <w:tcPr>
            <w:tcW w:w="4565" w:type="dxa"/>
          </w:tcPr>
          <w:p w:rsidR="00AE389D" w:rsidRPr="00164A31" w:rsidRDefault="00F20B2E" w:rsidP="00BC5AC8">
            <w:pPr>
              <w:rPr>
                <w:sz w:val="18"/>
                <w:lang w:val="es-MX"/>
              </w:rPr>
            </w:pPr>
            <w:r w:rsidRPr="00164A31">
              <w:rPr>
                <w:sz w:val="18"/>
                <w:lang w:val="es-MX"/>
              </w:rPr>
              <w:t xml:space="preserve">El incremento de aranceles y </w:t>
            </w:r>
            <w:r w:rsidR="00BC5AC8">
              <w:rPr>
                <w:sz w:val="18"/>
                <w:lang w:val="es-MX"/>
              </w:rPr>
              <w:t>las sobretasas</w:t>
            </w:r>
            <w:r w:rsidRPr="00164A31">
              <w:rPr>
                <w:sz w:val="18"/>
                <w:lang w:val="es-MX"/>
              </w:rPr>
              <w:t xml:space="preserve"> para productos importados afectará los precios de materiales para los contratistas, </w:t>
            </w:r>
            <w:r w:rsidR="00A7031D">
              <w:rPr>
                <w:sz w:val="18"/>
                <w:lang w:val="es-MX"/>
              </w:rPr>
              <w:t>potenc</w:t>
            </w:r>
            <w:r w:rsidR="00A7031D" w:rsidRPr="00164A31">
              <w:rPr>
                <w:sz w:val="18"/>
                <w:lang w:val="es-MX"/>
              </w:rPr>
              <w:t>ialmente</w:t>
            </w:r>
            <w:r w:rsidRPr="00164A31">
              <w:rPr>
                <w:sz w:val="18"/>
                <w:lang w:val="es-MX"/>
              </w:rPr>
              <w:t xml:space="preserve"> reduciendo la eficiencia de la Operación.</w:t>
            </w:r>
          </w:p>
        </w:tc>
        <w:tc>
          <w:tcPr>
            <w:tcW w:w="4575" w:type="dxa"/>
          </w:tcPr>
          <w:p w:rsidR="00AE389D" w:rsidRPr="00164A31" w:rsidRDefault="00F20B2E" w:rsidP="00BC5AC8">
            <w:pPr>
              <w:rPr>
                <w:sz w:val="18"/>
                <w:lang w:val="es-MX"/>
              </w:rPr>
            </w:pPr>
            <w:r w:rsidRPr="00164A31">
              <w:rPr>
                <w:sz w:val="18"/>
                <w:lang w:val="es-MX"/>
              </w:rPr>
              <w:t xml:space="preserve">Se recomienda a la UEP cuantificar </w:t>
            </w:r>
            <w:r w:rsidR="00BC5AC8">
              <w:rPr>
                <w:sz w:val="18"/>
                <w:lang w:val="es-MX"/>
              </w:rPr>
              <w:t xml:space="preserve">el impacto de estas medidas </w:t>
            </w:r>
            <w:r w:rsidR="00E224D4" w:rsidRPr="00164A31">
              <w:rPr>
                <w:sz w:val="18"/>
                <w:lang w:val="es-MX"/>
              </w:rPr>
              <w:t>en la Operación</w:t>
            </w:r>
            <w:r w:rsidRPr="00164A31">
              <w:rPr>
                <w:sz w:val="18"/>
                <w:lang w:val="es-MX"/>
              </w:rPr>
              <w:t xml:space="preserve">. </w:t>
            </w:r>
            <w:r w:rsidR="00E224D4" w:rsidRPr="00164A31">
              <w:rPr>
                <w:sz w:val="18"/>
                <w:lang w:val="es-MX"/>
              </w:rPr>
              <w:t>Si es relevante, s</w:t>
            </w:r>
            <w:r w:rsidR="00BC5AC8">
              <w:rPr>
                <w:sz w:val="18"/>
                <w:lang w:val="es-MX"/>
              </w:rPr>
              <w:t>e recomienda al MEER y al Banco</w:t>
            </w:r>
            <w:r w:rsidRPr="00164A31">
              <w:rPr>
                <w:sz w:val="18"/>
                <w:lang w:val="es-MX"/>
              </w:rPr>
              <w:t xml:space="preserve"> negociar una solución con las entidades de Gobierno</w:t>
            </w:r>
            <w:r w:rsidR="0001038C" w:rsidRPr="00164A31">
              <w:rPr>
                <w:sz w:val="18"/>
                <w:lang w:val="es-MX"/>
              </w:rPr>
              <w:t xml:space="preserve"> </w:t>
            </w:r>
            <w:r w:rsidRPr="00164A31">
              <w:rPr>
                <w:sz w:val="18"/>
                <w:lang w:val="es-MX"/>
              </w:rPr>
              <w:t>pertinentes</w:t>
            </w:r>
            <w:r w:rsidR="0001038C" w:rsidRPr="00164A31">
              <w:rPr>
                <w:sz w:val="18"/>
                <w:lang w:val="es-MX"/>
              </w:rPr>
              <w:t xml:space="preserve"> (</w:t>
            </w:r>
            <w:r w:rsidR="007D667E" w:rsidRPr="00164A31">
              <w:rPr>
                <w:sz w:val="18"/>
                <w:lang w:val="es-MX"/>
              </w:rPr>
              <w:t xml:space="preserve">en primera instancia </w:t>
            </w:r>
            <w:r w:rsidR="0001038C" w:rsidRPr="00164A31">
              <w:rPr>
                <w:sz w:val="18"/>
                <w:lang w:val="es-MX"/>
              </w:rPr>
              <w:t>el COMEX)</w:t>
            </w:r>
            <w:r w:rsidR="005E087E" w:rsidRPr="00164A31">
              <w:rPr>
                <w:sz w:val="18"/>
                <w:lang w:val="es-MX"/>
              </w:rPr>
              <w:t>.</w:t>
            </w:r>
            <w:r w:rsidR="0001038C" w:rsidRPr="00164A31">
              <w:rPr>
                <w:rStyle w:val="FootnoteReference"/>
                <w:sz w:val="18"/>
                <w:lang w:val="es-MX"/>
              </w:rPr>
              <w:footnoteReference w:id="42"/>
            </w:r>
          </w:p>
        </w:tc>
      </w:tr>
    </w:tbl>
    <w:p w:rsidR="006E2DCE" w:rsidRPr="00164A31" w:rsidRDefault="006E2DCE">
      <w:pPr>
        <w:rPr>
          <w:lang w:val="es-MX"/>
        </w:rPr>
      </w:pPr>
    </w:p>
    <w:p w:rsidR="006E2DCE" w:rsidRPr="00416654" w:rsidRDefault="006E2DCE" w:rsidP="00416654">
      <w:pPr>
        <w:pStyle w:val="Heading2"/>
        <w:spacing w:before="120" w:after="120"/>
        <w:rPr>
          <w:b/>
          <w:lang w:val="es-MX"/>
        </w:rPr>
      </w:pPr>
      <w:bookmarkStart w:id="21" w:name="_Toc416868852"/>
      <w:r w:rsidRPr="00416654">
        <w:rPr>
          <w:b/>
          <w:lang w:val="es-MX"/>
        </w:rPr>
        <w:t>Evaluación de los Criterios Centrales</w:t>
      </w:r>
      <w:bookmarkEnd w:id="21"/>
    </w:p>
    <w:tbl>
      <w:tblPr>
        <w:tblStyle w:val="TableGrid"/>
        <w:tblW w:w="0" w:type="auto"/>
        <w:tblCellMar>
          <w:left w:w="57" w:type="dxa"/>
          <w:right w:w="57" w:type="dxa"/>
        </w:tblCellMar>
        <w:tblLook w:val="04A0" w:firstRow="1" w:lastRow="0" w:firstColumn="1" w:lastColumn="0" w:noHBand="0" w:noVBand="1"/>
      </w:tblPr>
      <w:tblGrid>
        <w:gridCol w:w="1900"/>
        <w:gridCol w:w="1134"/>
        <w:gridCol w:w="5296"/>
      </w:tblGrid>
      <w:tr w:rsidR="006E2DCE" w:rsidRPr="00883A0A" w:rsidTr="0081122C">
        <w:trPr>
          <w:tblHeader/>
        </w:trPr>
        <w:tc>
          <w:tcPr>
            <w:tcW w:w="8330" w:type="dxa"/>
            <w:gridSpan w:val="3"/>
          </w:tcPr>
          <w:p w:rsidR="006E2DCE" w:rsidRPr="00164A31" w:rsidRDefault="006E2DCE" w:rsidP="00416654">
            <w:pPr>
              <w:spacing w:before="120" w:after="120"/>
              <w:jc w:val="center"/>
              <w:rPr>
                <w:b/>
                <w:smallCaps/>
                <w:lang w:val="es-MX"/>
              </w:rPr>
            </w:pPr>
            <w:r w:rsidRPr="00164A31">
              <w:rPr>
                <w:b/>
                <w:smallCaps/>
                <w:sz w:val="20"/>
                <w:lang w:val="es-MX"/>
              </w:rPr>
              <w:t>Programa RSND (EC-L1136) - Evaluación de los Criterios Centrales</w:t>
            </w:r>
          </w:p>
        </w:tc>
      </w:tr>
      <w:tr w:rsidR="006E2DCE" w:rsidRPr="00164A31" w:rsidTr="0081122C">
        <w:trPr>
          <w:tblHeader/>
        </w:trPr>
        <w:tc>
          <w:tcPr>
            <w:tcW w:w="1900" w:type="dxa"/>
          </w:tcPr>
          <w:p w:rsidR="006E2DCE" w:rsidRPr="00164A31" w:rsidRDefault="006E2DCE" w:rsidP="0081122C">
            <w:pPr>
              <w:rPr>
                <w:sz w:val="18"/>
                <w:lang w:val="es-MX"/>
              </w:rPr>
            </w:pPr>
            <w:r w:rsidRPr="00164A31">
              <w:rPr>
                <w:sz w:val="18"/>
                <w:lang w:val="es-MX"/>
              </w:rPr>
              <w:t>Criterio</w:t>
            </w:r>
          </w:p>
        </w:tc>
        <w:tc>
          <w:tcPr>
            <w:tcW w:w="1134" w:type="dxa"/>
          </w:tcPr>
          <w:p w:rsidR="006E2DCE" w:rsidRPr="00164A31" w:rsidRDefault="006E2DCE" w:rsidP="0081122C">
            <w:pPr>
              <w:jc w:val="center"/>
              <w:rPr>
                <w:sz w:val="18"/>
                <w:lang w:val="es-MX"/>
              </w:rPr>
            </w:pPr>
            <w:r w:rsidRPr="00164A31">
              <w:rPr>
                <w:sz w:val="18"/>
                <w:lang w:val="es-MX"/>
              </w:rPr>
              <w:t>Evaluación</w:t>
            </w:r>
          </w:p>
        </w:tc>
        <w:tc>
          <w:tcPr>
            <w:tcW w:w="5296" w:type="dxa"/>
          </w:tcPr>
          <w:p w:rsidR="006E2DCE" w:rsidRPr="00164A31" w:rsidRDefault="006E2DCE" w:rsidP="0081122C">
            <w:pPr>
              <w:rPr>
                <w:sz w:val="18"/>
                <w:lang w:val="es-MX"/>
              </w:rPr>
            </w:pPr>
            <w:r w:rsidRPr="00164A31">
              <w:rPr>
                <w:sz w:val="18"/>
                <w:lang w:val="es-MX"/>
              </w:rPr>
              <w:t>Motivación</w:t>
            </w:r>
          </w:p>
        </w:tc>
      </w:tr>
      <w:tr w:rsidR="006E2DCE" w:rsidRPr="00883A0A" w:rsidTr="0081122C">
        <w:tc>
          <w:tcPr>
            <w:tcW w:w="8330" w:type="dxa"/>
            <w:gridSpan w:val="3"/>
          </w:tcPr>
          <w:p w:rsidR="006E2DCE" w:rsidRPr="00164A31" w:rsidRDefault="006E2DCE" w:rsidP="0081122C">
            <w:pPr>
              <w:rPr>
                <w:lang w:val="es-MX"/>
              </w:rPr>
            </w:pPr>
            <w:r w:rsidRPr="00164A31">
              <w:rPr>
                <w:smallCaps/>
                <w:sz w:val="18"/>
                <w:lang w:val="es-MX"/>
              </w:rPr>
              <w:t>Componente I – Reforzamiento del Sistema Nacional de Distribución</w:t>
            </w:r>
          </w:p>
        </w:tc>
      </w:tr>
      <w:tr w:rsidR="006E2DCE" w:rsidRPr="00883A0A" w:rsidTr="00077991">
        <w:trPr>
          <w:trHeight w:val="257"/>
        </w:trPr>
        <w:tc>
          <w:tcPr>
            <w:tcW w:w="1900" w:type="dxa"/>
          </w:tcPr>
          <w:p w:rsidR="006E2DCE" w:rsidRPr="00164A31" w:rsidRDefault="006E2DCE" w:rsidP="0081122C">
            <w:pPr>
              <w:rPr>
                <w:i/>
                <w:sz w:val="18"/>
                <w:lang w:val="es-MX"/>
              </w:rPr>
            </w:pPr>
            <w:r w:rsidRPr="00164A31">
              <w:rPr>
                <w:i/>
                <w:sz w:val="18"/>
                <w:lang w:val="es-MX"/>
              </w:rPr>
              <w:t>Efectividad</w:t>
            </w:r>
          </w:p>
        </w:tc>
        <w:tc>
          <w:tcPr>
            <w:tcW w:w="1134" w:type="dxa"/>
          </w:tcPr>
          <w:p w:rsidR="006E2DCE" w:rsidRPr="00164A31" w:rsidRDefault="006E2DCE" w:rsidP="0081122C">
            <w:pPr>
              <w:jc w:val="center"/>
              <w:rPr>
                <w:sz w:val="18"/>
                <w:lang w:val="es-MX"/>
              </w:rPr>
            </w:pPr>
            <w:r w:rsidRPr="00164A31">
              <w:rPr>
                <w:sz w:val="18"/>
                <w:lang w:val="es-MX"/>
              </w:rPr>
              <w:t>HS</w:t>
            </w:r>
          </w:p>
        </w:tc>
        <w:tc>
          <w:tcPr>
            <w:tcW w:w="5296" w:type="dxa"/>
          </w:tcPr>
          <w:p w:rsidR="006E2DCE" w:rsidRPr="00164A31" w:rsidRDefault="00C0056C" w:rsidP="00C0056C">
            <w:pPr>
              <w:rPr>
                <w:sz w:val="18"/>
                <w:lang w:val="es-MX"/>
              </w:rPr>
            </w:pPr>
            <w:r w:rsidRPr="00164A31">
              <w:rPr>
                <w:sz w:val="18"/>
                <w:lang w:val="es-MX"/>
              </w:rPr>
              <w:t>Las obras y servicios anticipados bajo Comp. I son necesarios y suficientes para generar los resultados previstos (reforzar el SND).</w:t>
            </w:r>
          </w:p>
        </w:tc>
      </w:tr>
      <w:tr w:rsidR="006E2DCE" w:rsidRPr="00883A0A" w:rsidTr="0081122C">
        <w:tc>
          <w:tcPr>
            <w:tcW w:w="1900" w:type="dxa"/>
          </w:tcPr>
          <w:p w:rsidR="006E2DCE" w:rsidRPr="00164A31" w:rsidRDefault="006E2DCE" w:rsidP="0081122C">
            <w:pPr>
              <w:rPr>
                <w:i/>
                <w:sz w:val="18"/>
                <w:lang w:val="es-MX"/>
              </w:rPr>
            </w:pPr>
            <w:r w:rsidRPr="00164A31">
              <w:rPr>
                <w:i/>
                <w:sz w:val="18"/>
                <w:lang w:val="es-MX"/>
              </w:rPr>
              <w:t>Eficiencia</w:t>
            </w:r>
          </w:p>
        </w:tc>
        <w:tc>
          <w:tcPr>
            <w:tcW w:w="1134" w:type="dxa"/>
          </w:tcPr>
          <w:p w:rsidR="006E2DCE" w:rsidRPr="00164A31" w:rsidRDefault="006E2DCE" w:rsidP="0081122C">
            <w:pPr>
              <w:jc w:val="center"/>
              <w:rPr>
                <w:sz w:val="18"/>
                <w:lang w:val="es-MX"/>
              </w:rPr>
            </w:pPr>
            <w:r w:rsidRPr="00164A31">
              <w:rPr>
                <w:sz w:val="18"/>
                <w:lang w:val="es-MX"/>
              </w:rPr>
              <w:t>S</w:t>
            </w:r>
          </w:p>
        </w:tc>
        <w:tc>
          <w:tcPr>
            <w:tcW w:w="5296" w:type="dxa"/>
          </w:tcPr>
          <w:p w:rsidR="006E2DCE" w:rsidRPr="00164A31" w:rsidRDefault="00C0056C">
            <w:pPr>
              <w:rPr>
                <w:sz w:val="18"/>
                <w:lang w:val="es-MX"/>
              </w:rPr>
            </w:pPr>
            <w:r w:rsidRPr="00164A31">
              <w:rPr>
                <w:sz w:val="18"/>
                <w:lang w:val="es-MX"/>
              </w:rPr>
              <w:t>La Operación se apega a los precios de referencia anticipados</w:t>
            </w:r>
            <w:r w:rsidR="00CC50CA">
              <w:rPr>
                <w:sz w:val="18"/>
                <w:lang w:val="es-MX"/>
              </w:rPr>
              <w:t>.</w:t>
            </w:r>
          </w:p>
        </w:tc>
      </w:tr>
      <w:tr w:rsidR="006E2DCE" w:rsidRPr="00883A0A" w:rsidTr="0081122C">
        <w:tc>
          <w:tcPr>
            <w:tcW w:w="1900" w:type="dxa"/>
          </w:tcPr>
          <w:p w:rsidR="006E2DCE" w:rsidRPr="00164A31" w:rsidRDefault="006E2DCE" w:rsidP="0081122C">
            <w:pPr>
              <w:rPr>
                <w:i/>
                <w:sz w:val="18"/>
                <w:lang w:val="es-MX"/>
              </w:rPr>
            </w:pPr>
            <w:r w:rsidRPr="00164A31">
              <w:rPr>
                <w:i/>
                <w:sz w:val="18"/>
                <w:lang w:val="es-MX"/>
              </w:rPr>
              <w:t>Relevancia</w:t>
            </w:r>
          </w:p>
        </w:tc>
        <w:tc>
          <w:tcPr>
            <w:tcW w:w="1134" w:type="dxa"/>
          </w:tcPr>
          <w:p w:rsidR="006E2DCE" w:rsidRPr="00164A31" w:rsidRDefault="006E2DCE" w:rsidP="0081122C">
            <w:pPr>
              <w:jc w:val="center"/>
              <w:rPr>
                <w:sz w:val="18"/>
                <w:lang w:val="es-MX"/>
              </w:rPr>
            </w:pPr>
            <w:r w:rsidRPr="00164A31">
              <w:rPr>
                <w:sz w:val="18"/>
                <w:lang w:val="es-MX"/>
              </w:rPr>
              <w:t>HS</w:t>
            </w:r>
          </w:p>
        </w:tc>
        <w:tc>
          <w:tcPr>
            <w:tcW w:w="5296" w:type="dxa"/>
          </w:tcPr>
          <w:p w:rsidR="006E2DCE" w:rsidRPr="00164A31" w:rsidRDefault="00C0056C" w:rsidP="00976D75">
            <w:pPr>
              <w:rPr>
                <w:sz w:val="18"/>
                <w:lang w:val="es-MX"/>
              </w:rPr>
            </w:pPr>
            <w:r w:rsidRPr="00164A31">
              <w:rPr>
                <w:sz w:val="18"/>
                <w:lang w:val="es-MX"/>
              </w:rPr>
              <w:t xml:space="preserve">El Programa </w:t>
            </w:r>
            <w:r w:rsidR="00976D75">
              <w:rPr>
                <w:sz w:val="18"/>
                <w:lang w:val="es-MX"/>
              </w:rPr>
              <w:t xml:space="preserve">es instrumental para </w:t>
            </w:r>
            <w:r w:rsidR="00174088">
              <w:rPr>
                <w:sz w:val="18"/>
                <w:lang w:val="es-MX"/>
              </w:rPr>
              <w:t>alcanzar</w:t>
            </w:r>
            <w:r w:rsidR="00976D75">
              <w:rPr>
                <w:sz w:val="18"/>
                <w:lang w:val="es-MX"/>
              </w:rPr>
              <w:t xml:space="preserve"> objetivos estratégicos del Ecuador</w:t>
            </w:r>
            <w:r w:rsidRPr="00164A31">
              <w:rPr>
                <w:sz w:val="18"/>
                <w:lang w:val="es-MX"/>
              </w:rPr>
              <w:t xml:space="preserve">; no ha habido cambios en el contexto. </w:t>
            </w:r>
          </w:p>
        </w:tc>
      </w:tr>
      <w:tr w:rsidR="006E2DCE" w:rsidRPr="00883A0A" w:rsidTr="0081122C">
        <w:tc>
          <w:tcPr>
            <w:tcW w:w="1900" w:type="dxa"/>
          </w:tcPr>
          <w:p w:rsidR="006E2DCE" w:rsidRPr="00164A31" w:rsidRDefault="006E2DCE" w:rsidP="0081122C">
            <w:pPr>
              <w:rPr>
                <w:i/>
                <w:sz w:val="18"/>
                <w:lang w:val="es-MX"/>
              </w:rPr>
            </w:pPr>
            <w:r w:rsidRPr="00164A31">
              <w:rPr>
                <w:i/>
                <w:sz w:val="18"/>
                <w:lang w:val="es-MX"/>
              </w:rPr>
              <w:t>Sostenibilidad</w:t>
            </w:r>
          </w:p>
        </w:tc>
        <w:tc>
          <w:tcPr>
            <w:tcW w:w="1134" w:type="dxa"/>
          </w:tcPr>
          <w:p w:rsidR="006E2DCE" w:rsidRPr="00164A31" w:rsidRDefault="006E2DCE" w:rsidP="0081122C">
            <w:pPr>
              <w:jc w:val="center"/>
              <w:rPr>
                <w:sz w:val="18"/>
                <w:lang w:val="es-MX"/>
              </w:rPr>
            </w:pPr>
            <w:r w:rsidRPr="00164A31">
              <w:rPr>
                <w:sz w:val="18"/>
                <w:lang w:val="es-MX"/>
              </w:rPr>
              <w:t>HS</w:t>
            </w:r>
          </w:p>
        </w:tc>
        <w:tc>
          <w:tcPr>
            <w:tcW w:w="5296" w:type="dxa"/>
          </w:tcPr>
          <w:p w:rsidR="006E2DCE" w:rsidRPr="00164A31" w:rsidRDefault="001331D5" w:rsidP="00976D75">
            <w:pPr>
              <w:rPr>
                <w:sz w:val="18"/>
                <w:lang w:val="es-MX"/>
              </w:rPr>
            </w:pPr>
            <w:r w:rsidRPr="00164A31">
              <w:rPr>
                <w:sz w:val="18"/>
                <w:lang w:val="es-MX"/>
              </w:rPr>
              <w:t xml:space="preserve">La </w:t>
            </w:r>
            <w:r w:rsidR="00C564A1" w:rsidRPr="00164A31">
              <w:rPr>
                <w:sz w:val="18"/>
                <w:lang w:val="es-MX"/>
              </w:rPr>
              <w:t xml:space="preserve">Evaluación estima que </w:t>
            </w:r>
            <w:r w:rsidR="00976D75">
              <w:rPr>
                <w:sz w:val="18"/>
                <w:lang w:val="es-MX"/>
              </w:rPr>
              <w:t xml:space="preserve">la </w:t>
            </w:r>
            <w:r w:rsidRPr="00164A31">
              <w:rPr>
                <w:sz w:val="18"/>
                <w:lang w:val="es-MX"/>
              </w:rPr>
              <w:t xml:space="preserve">sostenibilidad de las obras </w:t>
            </w:r>
            <w:r w:rsidR="00C564A1" w:rsidRPr="00164A31">
              <w:rPr>
                <w:sz w:val="18"/>
                <w:lang w:val="es-MX"/>
              </w:rPr>
              <w:t xml:space="preserve">es buena, ya que se aplican las mejores prácticas. </w:t>
            </w:r>
            <w:r w:rsidR="00976D75">
              <w:rPr>
                <w:sz w:val="18"/>
                <w:lang w:val="es-MX"/>
              </w:rPr>
              <w:t xml:space="preserve">Sin embargo, </w:t>
            </w:r>
            <w:r w:rsidR="00C564A1" w:rsidRPr="00164A31">
              <w:rPr>
                <w:sz w:val="18"/>
                <w:lang w:val="es-MX"/>
              </w:rPr>
              <w:t xml:space="preserve">depende también </w:t>
            </w:r>
            <w:r w:rsidRPr="00164A31">
              <w:rPr>
                <w:sz w:val="18"/>
                <w:lang w:val="es-MX"/>
              </w:rPr>
              <w:t xml:space="preserve">de factores sistémicos </w:t>
            </w:r>
            <w:r w:rsidR="00C564A1" w:rsidRPr="00164A31">
              <w:rPr>
                <w:sz w:val="18"/>
                <w:lang w:val="es-MX"/>
              </w:rPr>
              <w:t>del sector eléctrico (como su capacidad técnica y financiera)</w:t>
            </w:r>
            <w:r w:rsidRPr="00164A31">
              <w:rPr>
                <w:sz w:val="18"/>
                <w:lang w:val="es-MX"/>
              </w:rPr>
              <w:t xml:space="preserve"> </w:t>
            </w:r>
            <w:r w:rsidR="00C564A1" w:rsidRPr="00164A31">
              <w:rPr>
                <w:sz w:val="18"/>
                <w:lang w:val="es-MX"/>
              </w:rPr>
              <w:t xml:space="preserve">que </w:t>
            </w:r>
            <w:r w:rsidRPr="00164A31">
              <w:rPr>
                <w:sz w:val="18"/>
                <w:lang w:val="es-MX"/>
              </w:rPr>
              <w:t xml:space="preserve">están fuera de control del Programa. </w:t>
            </w:r>
          </w:p>
        </w:tc>
      </w:tr>
      <w:tr w:rsidR="006E2DCE" w:rsidRPr="00883A0A" w:rsidTr="0081122C">
        <w:tc>
          <w:tcPr>
            <w:tcW w:w="8330" w:type="dxa"/>
            <w:gridSpan w:val="3"/>
          </w:tcPr>
          <w:p w:rsidR="006E2DCE" w:rsidRPr="00164A31" w:rsidRDefault="006E2DCE" w:rsidP="0081122C">
            <w:pPr>
              <w:rPr>
                <w:lang w:val="es-MX"/>
              </w:rPr>
            </w:pPr>
            <w:r w:rsidRPr="00164A31">
              <w:rPr>
                <w:smallCaps/>
                <w:sz w:val="18"/>
                <w:lang w:val="es-MX"/>
              </w:rPr>
              <w:t>Componente II – Diseño para Implementación de la Estrategia para la Migración de GLP a Electricidad en el Sector Residencial</w:t>
            </w:r>
          </w:p>
        </w:tc>
      </w:tr>
      <w:tr w:rsidR="006E2DCE" w:rsidRPr="00490323" w:rsidTr="0081122C">
        <w:tc>
          <w:tcPr>
            <w:tcW w:w="1900" w:type="dxa"/>
          </w:tcPr>
          <w:p w:rsidR="006E2DCE" w:rsidRPr="00164A31" w:rsidRDefault="006E2DCE" w:rsidP="0081122C">
            <w:pPr>
              <w:rPr>
                <w:i/>
                <w:sz w:val="18"/>
                <w:lang w:val="es-MX"/>
              </w:rPr>
            </w:pPr>
            <w:r w:rsidRPr="00164A31">
              <w:rPr>
                <w:i/>
                <w:sz w:val="18"/>
                <w:lang w:val="es-MX"/>
              </w:rPr>
              <w:t>Efectividad</w:t>
            </w:r>
          </w:p>
        </w:tc>
        <w:tc>
          <w:tcPr>
            <w:tcW w:w="1134" w:type="dxa"/>
          </w:tcPr>
          <w:p w:rsidR="006E2DCE" w:rsidRPr="00164A31" w:rsidRDefault="006E2DCE" w:rsidP="0081122C">
            <w:pPr>
              <w:jc w:val="center"/>
              <w:rPr>
                <w:sz w:val="18"/>
                <w:lang w:val="es-MX"/>
              </w:rPr>
            </w:pPr>
            <w:r w:rsidRPr="00164A31">
              <w:rPr>
                <w:sz w:val="18"/>
                <w:lang w:val="es-MX"/>
              </w:rPr>
              <w:t>S</w:t>
            </w:r>
          </w:p>
        </w:tc>
        <w:tc>
          <w:tcPr>
            <w:tcW w:w="5296" w:type="dxa"/>
          </w:tcPr>
          <w:p w:rsidR="006E2DCE" w:rsidRPr="00164A31" w:rsidRDefault="00681291">
            <w:pPr>
              <w:rPr>
                <w:sz w:val="18"/>
                <w:lang w:val="es-MX"/>
              </w:rPr>
            </w:pPr>
            <w:r w:rsidRPr="00164A31">
              <w:rPr>
                <w:sz w:val="18"/>
                <w:lang w:val="es-MX"/>
              </w:rPr>
              <w:t xml:space="preserve">El Programa </w:t>
            </w:r>
            <w:r w:rsidR="00976D75">
              <w:rPr>
                <w:sz w:val="18"/>
                <w:lang w:val="es-MX"/>
              </w:rPr>
              <w:t>genera</w:t>
            </w:r>
            <w:r w:rsidRPr="00164A31">
              <w:rPr>
                <w:sz w:val="18"/>
                <w:lang w:val="es-MX"/>
              </w:rPr>
              <w:t xml:space="preserve"> insumos útiles para articular la estrategia</w:t>
            </w:r>
            <w:r w:rsidR="00650E68" w:rsidRPr="00164A31">
              <w:rPr>
                <w:sz w:val="18"/>
                <w:lang w:val="es-MX"/>
              </w:rPr>
              <w:t xml:space="preserve"> </w:t>
            </w:r>
            <w:r w:rsidR="00D30EBB">
              <w:rPr>
                <w:sz w:val="18"/>
                <w:lang w:val="es-MX"/>
              </w:rPr>
              <w:t>PNCE</w:t>
            </w:r>
            <w:r w:rsidRPr="00164A31">
              <w:rPr>
                <w:sz w:val="18"/>
                <w:lang w:val="es-MX"/>
              </w:rPr>
              <w:t>.</w:t>
            </w:r>
            <w:r w:rsidR="00D30EBB">
              <w:rPr>
                <w:sz w:val="18"/>
                <w:lang w:val="es-MX"/>
              </w:rPr>
              <w:t xml:space="preserve"> Su desarrollo contribuye a la migración de clientes de GLP a electricidad contribuyendo con el avance de los indicadores de impacto en cuanto a la reducción de CO2</w:t>
            </w:r>
            <w:proofErr w:type="gramStart"/>
            <w:r w:rsidR="00D30EBB">
              <w:rPr>
                <w:sz w:val="18"/>
                <w:lang w:val="es-MX"/>
              </w:rPr>
              <w:t>.</w:t>
            </w:r>
            <w:r w:rsidR="00650E68" w:rsidRPr="00164A31">
              <w:rPr>
                <w:sz w:val="18"/>
                <w:lang w:val="es-MX"/>
              </w:rPr>
              <w:t>.</w:t>
            </w:r>
            <w:proofErr w:type="gramEnd"/>
          </w:p>
        </w:tc>
      </w:tr>
      <w:tr w:rsidR="006E2DCE" w:rsidRPr="00883A0A" w:rsidTr="0081122C">
        <w:tc>
          <w:tcPr>
            <w:tcW w:w="1900" w:type="dxa"/>
          </w:tcPr>
          <w:p w:rsidR="006E2DCE" w:rsidRPr="00164A31" w:rsidRDefault="006E2DCE" w:rsidP="0081122C">
            <w:pPr>
              <w:rPr>
                <w:i/>
                <w:sz w:val="18"/>
                <w:lang w:val="es-MX"/>
              </w:rPr>
            </w:pPr>
            <w:r w:rsidRPr="00164A31">
              <w:rPr>
                <w:i/>
                <w:sz w:val="18"/>
                <w:lang w:val="es-MX"/>
              </w:rPr>
              <w:lastRenderedPageBreak/>
              <w:t>Eficiencia</w:t>
            </w:r>
          </w:p>
        </w:tc>
        <w:tc>
          <w:tcPr>
            <w:tcW w:w="1134" w:type="dxa"/>
          </w:tcPr>
          <w:p w:rsidR="006E2DCE" w:rsidRPr="00164A31" w:rsidRDefault="00DF1386" w:rsidP="0081122C">
            <w:pPr>
              <w:jc w:val="center"/>
              <w:rPr>
                <w:sz w:val="18"/>
                <w:lang w:val="es-MX"/>
              </w:rPr>
            </w:pPr>
            <w:r w:rsidRPr="00164A31">
              <w:rPr>
                <w:sz w:val="18"/>
                <w:lang w:val="es-MX"/>
              </w:rPr>
              <w:t>M</w:t>
            </w:r>
            <w:r w:rsidR="006E2DCE" w:rsidRPr="00164A31">
              <w:rPr>
                <w:sz w:val="18"/>
                <w:lang w:val="es-MX"/>
              </w:rPr>
              <w:t>S</w:t>
            </w:r>
          </w:p>
        </w:tc>
        <w:tc>
          <w:tcPr>
            <w:tcW w:w="5296" w:type="dxa"/>
          </w:tcPr>
          <w:p w:rsidR="006E2DCE" w:rsidRPr="00164A31" w:rsidRDefault="001624E4">
            <w:pPr>
              <w:rPr>
                <w:sz w:val="18"/>
                <w:lang w:val="es-MX"/>
              </w:rPr>
            </w:pPr>
            <w:r>
              <w:rPr>
                <w:sz w:val="18"/>
                <w:lang w:val="es-MX"/>
              </w:rPr>
              <w:t xml:space="preserve"> La r</w:t>
            </w:r>
            <w:r w:rsidR="00650E68" w:rsidRPr="00164A31">
              <w:rPr>
                <w:sz w:val="18"/>
                <w:lang w:val="es-MX"/>
              </w:rPr>
              <w:t>elación efectividad-costo es adecuada</w:t>
            </w:r>
          </w:p>
        </w:tc>
      </w:tr>
      <w:tr w:rsidR="006E2DCE" w:rsidRPr="00883A0A" w:rsidTr="0081122C">
        <w:tc>
          <w:tcPr>
            <w:tcW w:w="1900" w:type="dxa"/>
          </w:tcPr>
          <w:p w:rsidR="006E2DCE" w:rsidRPr="00164A31" w:rsidRDefault="006E2DCE" w:rsidP="0081122C">
            <w:pPr>
              <w:rPr>
                <w:i/>
                <w:sz w:val="18"/>
                <w:lang w:val="es-MX"/>
              </w:rPr>
            </w:pPr>
            <w:r w:rsidRPr="00164A31">
              <w:rPr>
                <w:i/>
                <w:sz w:val="18"/>
                <w:lang w:val="es-MX"/>
              </w:rPr>
              <w:t>Relevancia</w:t>
            </w:r>
          </w:p>
        </w:tc>
        <w:tc>
          <w:tcPr>
            <w:tcW w:w="1134" w:type="dxa"/>
          </w:tcPr>
          <w:p w:rsidR="006E2DCE" w:rsidRPr="00164A31" w:rsidRDefault="006E2DCE" w:rsidP="0081122C">
            <w:pPr>
              <w:jc w:val="center"/>
              <w:rPr>
                <w:sz w:val="18"/>
                <w:lang w:val="es-MX"/>
              </w:rPr>
            </w:pPr>
            <w:r w:rsidRPr="00164A31">
              <w:rPr>
                <w:sz w:val="18"/>
                <w:lang w:val="es-MX"/>
              </w:rPr>
              <w:t>MS</w:t>
            </w:r>
          </w:p>
        </w:tc>
        <w:tc>
          <w:tcPr>
            <w:tcW w:w="5296" w:type="dxa"/>
          </w:tcPr>
          <w:p w:rsidR="006E2DCE" w:rsidRPr="00164A31" w:rsidRDefault="00D30EBB">
            <w:pPr>
              <w:rPr>
                <w:sz w:val="18"/>
                <w:lang w:val="es-MX"/>
              </w:rPr>
            </w:pPr>
            <w:r>
              <w:rPr>
                <w:sz w:val="18"/>
                <w:lang w:val="es-MX"/>
              </w:rPr>
              <w:t>La prioridad en la implementación</w:t>
            </w:r>
            <w:r w:rsidR="00650E68" w:rsidRPr="00164A31">
              <w:rPr>
                <w:sz w:val="18"/>
                <w:lang w:val="es-MX"/>
              </w:rPr>
              <w:t xml:space="preserve"> del PEC ha</w:t>
            </w:r>
            <w:r>
              <w:rPr>
                <w:sz w:val="18"/>
                <w:lang w:val="es-MX"/>
              </w:rPr>
              <w:t xml:space="preserve"> permitido cumplir con varios de los productos planeados de la MR en su etapa temprana de ejecución. </w:t>
            </w:r>
          </w:p>
        </w:tc>
      </w:tr>
      <w:tr w:rsidR="006E2DCE" w:rsidRPr="00883A0A" w:rsidTr="0081122C">
        <w:tc>
          <w:tcPr>
            <w:tcW w:w="1900" w:type="dxa"/>
          </w:tcPr>
          <w:p w:rsidR="006E2DCE" w:rsidRPr="00164A31" w:rsidRDefault="006E2DCE" w:rsidP="0081122C">
            <w:pPr>
              <w:rPr>
                <w:i/>
                <w:sz w:val="18"/>
                <w:lang w:val="es-MX"/>
              </w:rPr>
            </w:pPr>
            <w:r w:rsidRPr="00164A31">
              <w:rPr>
                <w:i/>
                <w:sz w:val="18"/>
                <w:lang w:val="es-MX"/>
              </w:rPr>
              <w:t>Sostenibilidad</w:t>
            </w:r>
          </w:p>
        </w:tc>
        <w:tc>
          <w:tcPr>
            <w:tcW w:w="1134" w:type="dxa"/>
          </w:tcPr>
          <w:p w:rsidR="006E2DCE" w:rsidRPr="00164A31" w:rsidRDefault="006E2DCE" w:rsidP="0081122C">
            <w:pPr>
              <w:jc w:val="center"/>
              <w:rPr>
                <w:sz w:val="18"/>
                <w:lang w:val="es-MX"/>
              </w:rPr>
            </w:pPr>
            <w:r w:rsidRPr="00164A31">
              <w:rPr>
                <w:sz w:val="18"/>
                <w:lang w:val="es-MX"/>
              </w:rPr>
              <w:t>S</w:t>
            </w:r>
          </w:p>
        </w:tc>
        <w:tc>
          <w:tcPr>
            <w:tcW w:w="5296" w:type="dxa"/>
          </w:tcPr>
          <w:p w:rsidR="006E2DCE" w:rsidRPr="00164A31" w:rsidRDefault="00D30EBB">
            <w:pPr>
              <w:rPr>
                <w:sz w:val="18"/>
                <w:lang w:val="es-MX"/>
              </w:rPr>
            </w:pPr>
            <w:r>
              <w:rPr>
                <w:sz w:val="18"/>
                <w:lang w:val="es-MX"/>
              </w:rPr>
              <w:t xml:space="preserve">Si bien la sostenibilidad  no se atribuye directamente al programa, dado que la implementación del PNCE se financia con recursos paralelos del </w:t>
            </w:r>
            <w:proofErr w:type="spellStart"/>
            <w:r>
              <w:rPr>
                <w:sz w:val="18"/>
                <w:lang w:val="es-MX"/>
              </w:rPr>
              <w:t>GdE</w:t>
            </w:r>
            <w:proofErr w:type="spellEnd"/>
            <w:r>
              <w:rPr>
                <w:sz w:val="18"/>
                <w:lang w:val="es-MX"/>
              </w:rPr>
              <w:t xml:space="preserve">, el programa contribuye a dar seguridad a los clientes en la calidad del servicio a través del reforzamiento del SND. </w:t>
            </w:r>
          </w:p>
        </w:tc>
      </w:tr>
      <w:tr w:rsidR="006E2DCE" w:rsidRPr="00164A31" w:rsidTr="0081122C">
        <w:tc>
          <w:tcPr>
            <w:tcW w:w="8330" w:type="dxa"/>
            <w:gridSpan w:val="3"/>
          </w:tcPr>
          <w:p w:rsidR="006E2DCE" w:rsidRPr="00164A31" w:rsidRDefault="006E2DCE" w:rsidP="0081122C">
            <w:pPr>
              <w:rPr>
                <w:lang w:val="es-MX"/>
              </w:rPr>
            </w:pPr>
            <w:r w:rsidRPr="00164A31">
              <w:rPr>
                <w:smallCaps/>
                <w:sz w:val="18"/>
                <w:lang w:val="es-MX"/>
              </w:rPr>
              <w:t>Componente III – Fortalecimiento Institucional</w:t>
            </w:r>
          </w:p>
        </w:tc>
      </w:tr>
      <w:tr w:rsidR="006E2DCE" w:rsidRPr="00883A0A" w:rsidTr="0081122C">
        <w:tc>
          <w:tcPr>
            <w:tcW w:w="1900" w:type="dxa"/>
          </w:tcPr>
          <w:p w:rsidR="006E2DCE" w:rsidRPr="00164A31" w:rsidRDefault="006E2DCE" w:rsidP="0081122C">
            <w:pPr>
              <w:rPr>
                <w:i/>
                <w:sz w:val="18"/>
                <w:lang w:val="es-MX"/>
              </w:rPr>
            </w:pPr>
            <w:r w:rsidRPr="00164A31">
              <w:rPr>
                <w:i/>
                <w:sz w:val="18"/>
                <w:lang w:val="es-MX"/>
              </w:rPr>
              <w:t>Efectividad</w:t>
            </w:r>
          </w:p>
        </w:tc>
        <w:tc>
          <w:tcPr>
            <w:tcW w:w="1134" w:type="dxa"/>
          </w:tcPr>
          <w:p w:rsidR="006E2DCE" w:rsidRPr="00164A31" w:rsidRDefault="006E2DCE" w:rsidP="0081122C">
            <w:pPr>
              <w:jc w:val="center"/>
              <w:rPr>
                <w:sz w:val="18"/>
                <w:lang w:val="es-MX"/>
              </w:rPr>
            </w:pPr>
            <w:r w:rsidRPr="00164A31">
              <w:rPr>
                <w:sz w:val="18"/>
                <w:lang w:val="es-MX"/>
              </w:rPr>
              <w:t>S</w:t>
            </w:r>
          </w:p>
        </w:tc>
        <w:tc>
          <w:tcPr>
            <w:tcW w:w="5296" w:type="dxa"/>
          </w:tcPr>
          <w:p w:rsidR="006E2DCE" w:rsidRPr="00164A31" w:rsidRDefault="00DF1386" w:rsidP="00E501E9">
            <w:pPr>
              <w:rPr>
                <w:sz w:val="18"/>
                <w:lang w:val="es-MX"/>
              </w:rPr>
            </w:pPr>
            <w:r w:rsidRPr="00164A31">
              <w:rPr>
                <w:sz w:val="18"/>
                <w:lang w:val="es-MX"/>
              </w:rPr>
              <w:t>Los productos anticipados (material, consultorías) apoyan la ejecución de</w:t>
            </w:r>
            <w:r w:rsidR="004A72D0" w:rsidRPr="00164A31">
              <w:rPr>
                <w:sz w:val="18"/>
                <w:lang w:val="es-MX"/>
              </w:rPr>
              <w:t xml:space="preserve"> </w:t>
            </w:r>
            <w:r w:rsidRPr="00164A31">
              <w:rPr>
                <w:sz w:val="18"/>
                <w:lang w:val="es-MX"/>
              </w:rPr>
              <w:t>l</w:t>
            </w:r>
            <w:r w:rsidR="004A72D0" w:rsidRPr="00164A31">
              <w:rPr>
                <w:sz w:val="18"/>
                <w:lang w:val="es-MX"/>
              </w:rPr>
              <w:t>as obras</w:t>
            </w:r>
            <w:r w:rsidRPr="00164A31">
              <w:rPr>
                <w:sz w:val="18"/>
                <w:lang w:val="es-MX"/>
              </w:rPr>
              <w:t xml:space="preserve"> </w:t>
            </w:r>
            <w:r w:rsidR="004A72D0" w:rsidRPr="00164A31">
              <w:rPr>
                <w:sz w:val="18"/>
                <w:lang w:val="es-MX"/>
              </w:rPr>
              <w:t>(</w:t>
            </w:r>
            <w:r w:rsidRPr="00164A31">
              <w:rPr>
                <w:sz w:val="18"/>
                <w:lang w:val="es-MX"/>
              </w:rPr>
              <w:t>Componente I</w:t>
            </w:r>
            <w:r w:rsidR="004A72D0" w:rsidRPr="00164A31">
              <w:rPr>
                <w:sz w:val="18"/>
                <w:lang w:val="es-MX"/>
              </w:rPr>
              <w:t>)</w:t>
            </w:r>
            <w:r w:rsidRPr="00164A31">
              <w:rPr>
                <w:sz w:val="18"/>
                <w:lang w:val="es-MX"/>
              </w:rPr>
              <w:t xml:space="preserve">, </w:t>
            </w:r>
            <w:r w:rsidR="004A72D0" w:rsidRPr="00164A31">
              <w:rPr>
                <w:sz w:val="18"/>
                <w:lang w:val="es-MX"/>
              </w:rPr>
              <w:t xml:space="preserve"> </w:t>
            </w:r>
            <w:r w:rsidRPr="00164A31">
              <w:rPr>
                <w:sz w:val="18"/>
                <w:lang w:val="es-MX"/>
              </w:rPr>
              <w:t>pero</w:t>
            </w:r>
            <w:r w:rsidR="004A72D0" w:rsidRPr="00164A31">
              <w:rPr>
                <w:sz w:val="18"/>
                <w:lang w:val="es-MX"/>
              </w:rPr>
              <w:t xml:space="preserve"> existen múltiples factores externos</w:t>
            </w:r>
            <w:r w:rsidR="00E501E9">
              <w:rPr>
                <w:sz w:val="18"/>
                <w:lang w:val="es-MX"/>
              </w:rPr>
              <w:t xml:space="preserve"> que influyen en el resultado.</w:t>
            </w:r>
          </w:p>
        </w:tc>
      </w:tr>
      <w:tr w:rsidR="006E2DCE" w:rsidRPr="00883A0A" w:rsidTr="0081122C">
        <w:tc>
          <w:tcPr>
            <w:tcW w:w="1900" w:type="dxa"/>
          </w:tcPr>
          <w:p w:rsidR="006E2DCE" w:rsidRPr="00164A31" w:rsidRDefault="006E2DCE" w:rsidP="0081122C">
            <w:pPr>
              <w:rPr>
                <w:i/>
                <w:sz w:val="18"/>
                <w:lang w:val="es-MX"/>
              </w:rPr>
            </w:pPr>
            <w:r w:rsidRPr="00164A31">
              <w:rPr>
                <w:i/>
                <w:sz w:val="18"/>
                <w:lang w:val="es-MX"/>
              </w:rPr>
              <w:t>Eficiencia</w:t>
            </w:r>
          </w:p>
        </w:tc>
        <w:tc>
          <w:tcPr>
            <w:tcW w:w="1134" w:type="dxa"/>
          </w:tcPr>
          <w:p w:rsidR="006E2DCE" w:rsidRPr="00164A31" w:rsidRDefault="006E2DCE" w:rsidP="0081122C">
            <w:pPr>
              <w:jc w:val="center"/>
              <w:rPr>
                <w:sz w:val="18"/>
                <w:lang w:val="es-MX"/>
              </w:rPr>
            </w:pPr>
            <w:r w:rsidRPr="00164A31">
              <w:rPr>
                <w:sz w:val="18"/>
                <w:lang w:val="es-MX"/>
              </w:rPr>
              <w:t>S</w:t>
            </w:r>
          </w:p>
        </w:tc>
        <w:tc>
          <w:tcPr>
            <w:tcW w:w="5296" w:type="dxa"/>
          </w:tcPr>
          <w:p w:rsidR="006E2DCE" w:rsidRPr="00164A31" w:rsidRDefault="00DF1386" w:rsidP="004A72D0">
            <w:pPr>
              <w:rPr>
                <w:sz w:val="18"/>
                <w:lang w:val="es-MX"/>
              </w:rPr>
            </w:pPr>
            <w:r w:rsidRPr="00164A31">
              <w:rPr>
                <w:sz w:val="18"/>
                <w:lang w:val="es-MX"/>
              </w:rPr>
              <w:t>Los productos se obtienen a precio de referencia</w:t>
            </w:r>
            <w:r w:rsidR="004A72D0" w:rsidRPr="00164A31">
              <w:rPr>
                <w:sz w:val="18"/>
                <w:lang w:val="es-MX"/>
              </w:rPr>
              <w:t>.</w:t>
            </w:r>
          </w:p>
        </w:tc>
      </w:tr>
      <w:tr w:rsidR="006E2DCE" w:rsidRPr="00883A0A" w:rsidTr="0081122C">
        <w:tc>
          <w:tcPr>
            <w:tcW w:w="1900" w:type="dxa"/>
          </w:tcPr>
          <w:p w:rsidR="006E2DCE" w:rsidRPr="00164A31" w:rsidRDefault="006E2DCE" w:rsidP="0081122C">
            <w:pPr>
              <w:rPr>
                <w:i/>
                <w:sz w:val="18"/>
                <w:lang w:val="es-MX"/>
              </w:rPr>
            </w:pPr>
            <w:r w:rsidRPr="00164A31">
              <w:rPr>
                <w:i/>
                <w:sz w:val="18"/>
                <w:lang w:val="es-MX"/>
              </w:rPr>
              <w:t>Relevancia</w:t>
            </w:r>
          </w:p>
        </w:tc>
        <w:tc>
          <w:tcPr>
            <w:tcW w:w="1134" w:type="dxa"/>
          </w:tcPr>
          <w:p w:rsidR="006E2DCE" w:rsidRPr="00164A31" w:rsidRDefault="006E2DCE" w:rsidP="0081122C">
            <w:pPr>
              <w:jc w:val="center"/>
              <w:rPr>
                <w:sz w:val="18"/>
                <w:lang w:val="es-MX"/>
              </w:rPr>
            </w:pPr>
            <w:r w:rsidRPr="00164A31">
              <w:rPr>
                <w:sz w:val="18"/>
                <w:lang w:val="es-MX"/>
              </w:rPr>
              <w:t>HS</w:t>
            </w:r>
          </w:p>
        </w:tc>
        <w:tc>
          <w:tcPr>
            <w:tcW w:w="5296" w:type="dxa"/>
          </w:tcPr>
          <w:p w:rsidR="006E2DCE" w:rsidRPr="00164A31" w:rsidRDefault="004A72D0" w:rsidP="004A72D0">
            <w:pPr>
              <w:rPr>
                <w:sz w:val="18"/>
                <w:lang w:val="es-MX"/>
              </w:rPr>
            </w:pPr>
            <w:r w:rsidRPr="00164A31">
              <w:rPr>
                <w:sz w:val="18"/>
                <w:lang w:val="es-MX"/>
              </w:rPr>
              <w:t>Los productos anticipados son altamente relevantes para apoyar la ejecución y supervisión de las obras.</w:t>
            </w:r>
          </w:p>
        </w:tc>
      </w:tr>
      <w:tr w:rsidR="006E2DCE" w:rsidRPr="00883A0A" w:rsidTr="0081122C">
        <w:tc>
          <w:tcPr>
            <w:tcW w:w="1900" w:type="dxa"/>
          </w:tcPr>
          <w:p w:rsidR="006E2DCE" w:rsidRPr="00164A31" w:rsidRDefault="006E2DCE" w:rsidP="0081122C">
            <w:pPr>
              <w:rPr>
                <w:i/>
                <w:sz w:val="18"/>
                <w:lang w:val="es-MX"/>
              </w:rPr>
            </w:pPr>
            <w:r w:rsidRPr="00164A31">
              <w:rPr>
                <w:i/>
                <w:sz w:val="18"/>
                <w:lang w:val="es-MX"/>
              </w:rPr>
              <w:t>Sostenibilidad</w:t>
            </w:r>
          </w:p>
        </w:tc>
        <w:tc>
          <w:tcPr>
            <w:tcW w:w="1134" w:type="dxa"/>
          </w:tcPr>
          <w:p w:rsidR="006E2DCE" w:rsidRPr="00164A31" w:rsidRDefault="006E2DCE" w:rsidP="0081122C">
            <w:pPr>
              <w:jc w:val="center"/>
              <w:rPr>
                <w:sz w:val="18"/>
                <w:lang w:val="es-MX"/>
              </w:rPr>
            </w:pPr>
            <w:r w:rsidRPr="00164A31">
              <w:rPr>
                <w:sz w:val="18"/>
                <w:lang w:val="es-MX"/>
              </w:rPr>
              <w:t>S</w:t>
            </w:r>
          </w:p>
        </w:tc>
        <w:tc>
          <w:tcPr>
            <w:tcW w:w="5296" w:type="dxa"/>
          </w:tcPr>
          <w:p w:rsidR="006E2DCE" w:rsidRPr="00164A31" w:rsidRDefault="004A72D0" w:rsidP="009E032D">
            <w:pPr>
              <w:rPr>
                <w:sz w:val="18"/>
                <w:lang w:val="es-MX"/>
              </w:rPr>
            </w:pPr>
            <w:r w:rsidRPr="00164A31">
              <w:rPr>
                <w:sz w:val="18"/>
                <w:lang w:val="es-MX"/>
              </w:rPr>
              <w:t xml:space="preserve">Los productos </w:t>
            </w:r>
            <w:r w:rsidR="00E501E9">
              <w:rPr>
                <w:sz w:val="18"/>
                <w:lang w:val="es-MX"/>
              </w:rPr>
              <w:t>pueden ayudar</w:t>
            </w:r>
            <w:r w:rsidRPr="00164A31">
              <w:rPr>
                <w:sz w:val="18"/>
                <w:lang w:val="es-MX"/>
              </w:rPr>
              <w:t xml:space="preserve"> a internalizar buenas prácticas</w:t>
            </w:r>
            <w:r w:rsidR="00E501E9">
              <w:rPr>
                <w:sz w:val="18"/>
                <w:lang w:val="es-MX"/>
              </w:rPr>
              <w:t>,</w:t>
            </w:r>
            <w:r w:rsidR="004B5E70" w:rsidRPr="00164A31">
              <w:rPr>
                <w:sz w:val="18"/>
                <w:lang w:val="es-MX"/>
              </w:rPr>
              <w:t xml:space="preserve"> </w:t>
            </w:r>
            <w:r w:rsidRPr="00164A31">
              <w:rPr>
                <w:sz w:val="18"/>
                <w:lang w:val="es-MX"/>
              </w:rPr>
              <w:t xml:space="preserve">pero </w:t>
            </w:r>
            <w:r w:rsidR="004B5E70" w:rsidRPr="00164A31">
              <w:rPr>
                <w:sz w:val="18"/>
                <w:lang w:val="es-MX"/>
              </w:rPr>
              <w:t xml:space="preserve">no son parte de planes </w:t>
            </w:r>
            <w:r w:rsidR="00E501E9" w:rsidRPr="00164A31">
              <w:rPr>
                <w:sz w:val="18"/>
                <w:lang w:val="es-MX"/>
              </w:rPr>
              <w:t xml:space="preserve">corporativos </w:t>
            </w:r>
            <w:r w:rsidR="00E501E9">
              <w:rPr>
                <w:sz w:val="18"/>
                <w:lang w:val="es-MX"/>
              </w:rPr>
              <w:t xml:space="preserve">hacia el </w:t>
            </w:r>
            <w:r w:rsidRPr="00164A31">
              <w:rPr>
                <w:sz w:val="18"/>
                <w:lang w:val="es-MX"/>
              </w:rPr>
              <w:t xml:space="preserve">fortalecimiento institucional </w:t>
            </w:r>
            <w:r w:rsidR="004B5E70" w:rsidRPr="00164A31">
              <w:rPr>
                <w:sz w:val="18"/>
                <w:lang w:val="es-MX"/>
              </w:rPr>
              <w:t>de las EED.</w:t>
            </w:r>
          </w:p>
        </w:tc>
      </w:tr>
    </w:tbl>
    <w:p w:rsidR="006E2DCE" w:rsidRPr="00164A31" w:rsidRDefault="006E2DCE" w:rsidP="006E2DCE">
      <w:pPr>
        <w:rPr>
          <w:lang w:val="es-MX"/>
        </w:rPr>
      </w:pPr>
    </w:p>
    <w:p w:rsidR="00C21EB9" w:rsidRPr="00164A31" w:rsidRDefault="00C21EB9" w:rsidP="00743D31">
      <w:pPr>
        <w:spacing w:before="200" w:after="0"/>
        <w:ind w:left="714" w:hanging="357"/>
        <w:rPr>
          <w:lang w:val="es-MX"/>
        </w:rPr>
      </w:pPr>
    </w:p>
    <w:sectPr w:rsidR="00C21EB9" w:rsidRPr="00164A31" w:rsidSect="00E520C5">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FD9" w:rsidRDefault="007B4FD9" w:rsidP="00D53546">
      <w:pPr>
        <w:spacing w:after="0"/>
      </w:pPr>
      <w:r>
        <w:separator/>
      </w:r>
    </w:p>
  </w:endnote>
  <w:endnote w:type="continuationSeparator" w:id="0">
    <w:p w:rsidR="007B4FD9" w:rsidRDefault="007B4FD9" w:rsidP="00D535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3334"/>
      <w:docPartObj>
        <w:docPartGallery w:val="Page Numbers (Bottom of Page)"/>
        <w:docPartUnique/>
      </w:docPartObj>
    </w:sdtPr>
    <w:sdtEndPr/>
    <w:sdtContent>
      <w:p w:rsidR="001905AF" w:rsidRDefault="001905AF">
        <w:pPr>
          <w:pStyle w:val="Footer"/>
          <w:jc w:val="center"/>
        </w:pPr>
        <w:r>
          <w:fldChar w:fldCharType="begin"/>
        </w:r>
        <w:r>
          <w:instrText xml:space="preserve"> PAGE   \* MERGEFORMAT </w:instrText>
        </w:r>
        <w:r>
          <w:fldChar w:fldCharType="separate"/>
        </w:r>
        <w:r w:rsidR="00490323">
          <w:rPr>
            <w:noProof/>
          </w:rPr>
          <w:t>1</w:t>
        </w:r>
        <w:r>
          <w:rPr>
            <w:noProof/>
          </w:rPr>
          <w:fldChar w:fldCharType="end"/>
        </w:r>
        <w:r>
          <w:t>/</w:t>
        </w:r>
        <w:fldSimple w:instr=" NUMPAGES   \* MERGEFORMAT ">
          <w:r w:rsidR="00490323">
            <w:rPr>
              <w:noProof/>
            </w:rPr>
            <w:t>21</w:t>
          </w:r>
        </w:fldSimple>
      </w:p>
    </w:sdtContent>
  </w:sdt>
  <w:p w:rsidR="001905AF" w:rsidRDefault="001905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FD9" w:rsidRDefault="007B4FD9" w:rsidP="00D53546">
      <w:pPr>
        <w:spacing w:after="0"/>
      </w:pPr>
      <w:r>
        <w:separator/>
      </w:r>
    </w:p>
  </w:footnote>
  <w:footnote w:type="continuationSeparator" w:id="0">
    <w:p w:rsidR="007B4FD9" w:rsidRDefault="007B4FD9" w:rsidP="00D53546">
      <w:pPr>
        <w:spacing w:after="0"/>
      </w:pPr>
      <w:r>
        <w:continuationSeparator/>
      </w:r>
    </w:p>
  </w:footnote>
  <w:footnote w:id="1">
    <w:p w:rsidR="001905AF" w:rsidRPr="00416654" w:rsidRDefault="001905AF" w:rsidP="00416654">
      <w:pPr>
        <w:pStyle w:val="FootnoteText"/>
        <w:ind w:left="270" w:hanging="270"/>
        <w:rPr>
          <w:rStyle w:val="FootnoteReference"/>
          <w:vertAlign w:val="baseline"/>
          <w:lang w:val="es-ES_tradnl"/>
        </w:rPr>
      </w:pPr>
      <w:r w:rsidRPr="00416654">
        <w:rPr>
          <w:rStyle w:val="FootnoteReference"/>
          <w:lang w:val="es-ES_tradnl"/>
        </w:rPr>
        <w:footnoteRef/>
      </w:r>
      <w:r w:rsidRPr="00416654">
        <w:rPr>
          <w:rStyle w:val="FootnoteReference"/>
          <w:lang w:val="es-ES_tradnl"/>
        </w:rPr>
        <w:t xml:space="preserve"> </w:t>
      </w:r>
      <w:r w:rsidRPr="007B7518">
        <w:rPr>
          <w:lang w:val="es-ES_tradnl"/>
        </w:rPr>
        <w:tab/>
      </w:r>
      <w:r w:rsidRPr="00416654">
        <w:rPr>
          <w:rStyle w:val="FootnoteReference"/>
          <w:vertAlign w:val="baseline"/>
          <w:lang w:val="es-ES_tradnl"/>
        </w:rPr>
        <w:t xml:space="preserve">Como contrapartida, el </w:t>
      </w:r>
      <w:proofErr w:type="spellStart"/>
      <w:r w:rsidRPr="00416654">
        <w:rPr>
          <w:rStyle w:val="FootnoteReference"/>
          <w:vertAlign w:val="baseline"/>
          <w:lang w:val="es-ES_tradnl"/>
        </w:rPr>
        <w:t>GdE</w:t>
      </w:r>
      <w:proofErr w:type="spellEnd"/>
      <w:r w:rsidRPr="00416654">
        <w:rPr>
          <w:rStyle w:val="FootnoteReference"/>
          <w:vertAlign w:val="baseline"/>
          <w:lang w:val="es-ES_tradnl"/>
        </w:rPr>
        <w:t xml:space="preserve"> asumirá el IVA asociado con la adquisición de bienes y servicios, que asciende a un monto total de US$ 27,400,000. </w:t>
      </w:r>
    </w:p>
  </w:footnote>
  <w:footnote w:id="2">
    <w:p w:rsidR="001905AF" w:rsidRPr="00416654" w:rsidRDefault="001905AF" w:rsidP="006A35D9">
      <w:pPr>
        <w:pStyle w:val="FootnoteText"/>
        <w:ind w:left="270" w:hanging="270"/>
        <w:rPr>
          <w:rStyle w:val="FootnoteReference"/>
          <w:sz w:val="24"/>
          <w:vertAlign w:val="baseline"/>
          <w:lang w:val="es-ES_tradnl" w:eastAsia="en-US"/>
        </w:rPr>
      </w:pPr>
      <w:r w:rsidRPr="007B7518">
        <w:rPr>
          <w:rStyle w:val="FootnoteReference"/>
          <w:lang w:val="es-ES_tradnl"/>
        </w:rPr>
        <w:footnoteRef/>
      </w:r>
      <w:r w:rsidRPr="007B7518">
        <w:rPr>
          <w:rStyle w:val="FootnoteReference"/>
          <w:lang w:val="es-ES_tradnl"/>
        </w:rPr>
        <w:t xml:space="preserve"> </w:t>
      </w:r>
      <w:r w:rsidRPr="007B7518">
        <w:rPr>
          <w:lang w:val="es-ES_tradnl"/>
        </w:rPr>
        <w:tab/>
      </w:r>
      <w:r w:rsidRPr="00416654">
        <w:rPr>
          <w:rStyle w:val="FootnoteReference"/>
          <w:vertAlign w:val="baseline"/>
          <w:lang w:val="es-ES_tradnl"/>
        </w:rPr>
        <w:t>El avance físico</w:t>
      </w:r>
      <w:r w:rsidRPr="006A35D9">
        <w:rPr>
          <w:lang w:val="es-ES_tradnl"/>
        </w:rPr>
        <w:t xml:space="preserve"> a diciembre 2014</w:t>
      </w:r>
      <w:r w:rsidRPr="00416654">
        <w:rPr>
          <w:rStyle w:val="FootnoteReference"/>
          <w:vertAlign w:val="baseline"/>
          <w:lang w:val="es-ES_tradnl"/>
        </w:rPr>
        <w:t xml:space="preserve"> está relacionado</w:t>
      </w:r>
      <w:r w:rsidRPr="006A35D9">
        <w:rPr>
          <w:lang w:val="es-ES_tradnl"/>
        </w:rPr>
        <w:t xml:space="preserve"> </w:t>
      </w:r>
      <w:r w:rsidRPr="00416654">
        <w:rPr>
          <w:rStyle w:val="FootnoteReference"/>
          <w:vertAlign w:val="baseline"/>
          <w:lang w:val="es-ES_tradnl"/>
        </w:rPr>
        <w:t>principalmente con la compra de materiales, instalaciones de transformadores, reemplazo de circuitos de media y baja tensión</w:t>
      </w:r>
      <w:r w:rsidRPr="006A35D9">
        <w:rPr>
          <w:lang w:val="es-ES_tradnl"/>
        </w:rPr>
        <w:t>.</w:t>
      </w:r>
    </w:p>
  </w:footnote>
  <w:footnote w:id="3">
    <w:p w:rsidR="001905AF" w:rsidRPr="00416654" w:rsidRDefault="001905AF" w:rsidP="00416654">
      <w:pPr>
        <w:pStyle w:val="FootnoteText"/>
        <w:ind w:left="270" w:hanging="270"/>
        <w:rPr>
          <w:rStyle w:val="FootnoteReference"/>
          <w:vertAlign w:val="baseline"/>
          <w:lang w:val="es-ES_tradnl"/>
        </w:rPr>
      </w:pPr>
      <w:r w:rsidRPr="00416654">
        <w:rPr>
          <w:rStyle w:val="FootnoteReference"/>
          <w:lang w:val="es-ES_tradnl"/>
        </w:rPr>
        <w:footnoteRef/>
      </w:r>
      <w:r w:rsidRPr="007B7518">
        <w:rPr>
          <w:lang w:val="es-ES_tradnl"/>
        </w:rPr>
        <w:tab/>
      </w:r>
      <w:r w:rsidRPr="00416654">
        <w:rPr>
          <w:rStyle w:val="FootnoteReference"/>
          <w:vertAlign w:val="baseline"/>
          <w:lang w:val="es-ES_tradnl"/>
        </w:rPr>
        <w:t>EC-L1136 Sección III-B, pár. 3.8.</w:t>
      </w:r>
    </w:p>
  </w:footnote>
  <w:footnote w:id="4">
    <w:p w:rsidR="001905AF" w:rsidRPr="00416654" w:rsidRDefault="001905AF" w:rsidP="00416654">
      <w:pPr>
        <w:pStyle w:val="FootnoteText"/>
        <w:ind w:left="270" w:hanging="270"/>
        <w:rPr>
          <w:rStyle w:val="FootnoteReference"/>
          <w:vertAlign w:val="baseline"/>
          <w:lang w:val="es-ES_tradnl"/>
        </w:rPr>
      </w:pPr>
      <w:r w:rsidRPr="00416654">
        <w:rPr>
          <w:rStyle w:val="FootnoteReference"/>
          <w:lang w:val="es-ES_tradnl"/>
        </w:rPr>
        <w:footnoteRef/>
      </w:r>
      <w:r w:rsidRPr="007B7518">
        <w:rPr>
          <w:lang w:val="es-ES_tradnl"/>
        </w:rPr>
        <w:tab/>
      </w:r>
      <w:r w:rsidRPr="00416654">
        <w:rPr>
          <w:rStyle w:val="FootnoteReference"/>
          <w:vertAlign w:val="baseline"/>
          <w:lang w:val="es-ES_tradnl"/>
        </w:rPr>
        <w:t>Nótese que mediante la reciente aprobada Ley Orgánica del Servicio Público de Energía Eléctrica (Registro Oficial No. 418, 16 de enero 2015), el CONELEC se convierte en la Agencia de Regulación y Control de Electricidad (ARCONEL) con las mismas funciones y también adscrito al MEER.</w:t>
      </w:r>
    </w:p>
  </w:footnote>
  <w:footnote w:id="5">
    <w:p w:rsidR="001905AF" w:rsidRPr="00416654" w:rsidRDefault="001905AF" w:rsidP="00416654">
      <w:pPr>
        <w:pStyle w:val="FootnoteText"/>
        <w:ind w:left="270" w:hanging="270"/>
        <w:rPr>
          <w:rStyle w:val="FootnoteReference"/>
          <w:vertAlign w:val="baseline"/>
          <w:lang w:val="es-ES_tradnl"/>
        </w:rPr>
      </w:pPr>
      <w:r w:rsidRPr="00416654">
        <w:rPr>
          <w:rStyle w:val="FootnoteReference"/>
          <w:lang w:val="es-ES_tradnl"/>
        </w:rPr>
        <w:footnoteRef/>
      </w:r>
      <w:r w:rsidRPr="007B7518">
        <w:rPr>
          <w:lang w:val="es-ES_tradnl"/>
        </w:rPr>
        <w:tab/>
      </w:r>
      <w:r w:rsidRPr="00416654">
        <w:rPr>
          <w:rStyle w:val="FootnoteReference"/>
          <w:vertAlign w:val="baseline"/>
          <w:lang w:val="es-ES_tradnl"/>
        </w:rPr>
        <w:t xml:space="preserve">Project </w:t>
      </w:r>
      <w:proofErr w:type="spellStart"/>
      <w:r w:rsidRPr="00416654">
        <w:rPr>
          <w:rStyle w:val="FootnoteReference"/>
          <w:vertAlign w:val="baseline"/>
          <w:lang w:val="es-ES_tradnl"/>
        </w:rPr>
        <w:t>Completion</w:t>
      </w:r>
      <w:proofErr w:type="spellEnd"/>
      <w:r w:rsidRPr="00416654">
        <w:rPr>
          <w:rStyle w:val="FootnoteReference"/>
          <w:vertAlign w:val="baseline"/>
          <w:lang w:val="es-ES_tradnl"/>
        </w:rPr>
        <w:t xml:space="preserve"> </w:t>
      </w:r>
      <w:proofErr w:type="spellStart"/>
      <w:r w:rsidRPr="00416654">
        <w:rPr>
          <w:rStyle w:val="FootnoteReference"/>
          <w:vertAlign w:val="baseline"/>
          <w:lang w:val="es-ES_tradnl"/>
        </w:rPr>
        <w:t>Report</w:t>
      </w:r>
      <w:proofErr w:type="spellEnd"/>
      <w:r w:rsidRPr="00416654">
        <w:rPr>
          <w:rStyle w:val="FootnoteReference"/>
          <w:vertAlign w:val="baseline"/>
          <w:lang w:val="es-ES_tradnl"/>
        </w:rPr>
        <w:t xml:space="preserve"> - </w:t>
      </w:r>
      <w:proofErr w:type="spellStart"/>
      <w:r w:rsidRPr="00416654">
        <w:rPr>
          <w:rStyle w:val="FootnoteReference"/>
          <w:vertAlign w:val="baseline"/>
          <w:lang w:val="es-ES_tradnl"/>
        </w:rPr>
        <w:t>Principles</w:t>
      </w:r>
      <w:proofErr w:type="spellEnd"/>
      <w:r w:rsidRPr="00416654">
        <w:rPr>
          <w:rStyle w:val="FootnoteReference"/>
          <w:vertAlign w:val="baseline"/>
          <w:lang w:val="es-ES_tradnl"/>
        </w:rPr>
        <w:t xml:space="preserve"> and </w:t>
      </w:r>
      <w:proofErr w:type="spellStart"/>
      <w:r w:rsidRPr="00416654">
        <w:rPr>
          <w:rStyle w:val="FootnoteReference"/>
          <w:vertAlign w:val="baseline"/>
          <w:lang w:val="es-ES_tradnl"/>
        </w:rPr>
        <w:t>Guidelines</w:t>
      </w:r>
      <w:proofErr w:type="spellEnd"/>
      <w:r w:rsidRPr="00416654">
        <w:rPr>
          <w:rStyle w:val="FootnoteReference"/>
          <w:vertAlign w:val="baseline"/>
          <w:lang w:val="es-ES_tradnl"/>
        </w:rPr>
        <w:t>, IDB.</w:t>
      </w:r>
    </w:p>
  </w:footnote>
  <w:footnote w:id="6">
    <w:p w:rsidR="001905AF" w:rsidRPr="00164A31" w:rsidRDefault="001905AF" w:rsidP="00D85412">
      <w:pPr>
        <w:pStyle w:val="FootnoteText"/>
        <w:rPr>
          <w:lang w:val="es-MX"/>
        </w:rPr>
      </w:pPr>
      <w:r w:rsidRPr="00164A31">
        <w:rPr>
          <w:rStyle w:val="FootnoteReference"/>
          <w:lang w:val="es-MX"/>
        </w:rPr>
        <w:footnoteRef/>
      </w:r>
      <w:r w:rsidRPr="00164A31">
        <w:rPr>
          <w:lang w:val="es-MX"/>
        </w:rPr>
        <w:t xml:space="preserve"> Pár. 1.46: “La evaluación de la relevancia, efectividad y eficiencia será lo más objetiva posible e incluirá evidencia empírica suficiente y convincente. Idealmente, el sistema de monitoreo del programa debe entregar información cuantificable que puede conducir a una sólida evaluación de la eficacia y la eficiencia del programa.  Los resultados se clasifican de la siguiente</w:t>
      </w:r>
      <w:r>
        <w:rPr>
          <w:lang w:val="es-MX"/>
        </w:rPr>
        <w:t xml:space="preserve"> manera</w:t>
      </w:r>
      <w:r w:rsidRPr="00164A31">
        <w:rPr>
          <w:lang w:val="es-MX"/>
        </w:rPr>
        <w:t>: (i) Altamente satisfactorio (HS): el programa no tuvo deficiencias en el cumplimiento de sus objetivos en términos de relevancia, efectividad o eficiencia; (ii) Satisfactorio (S): el programa tuvo deficiencias de menor importancia en el logro de sus objetivos en términos de relevancia, efectividad o eficiencia; (iii) Moderadamente Satisfactorio (MS): el programa tuvo moderadamente deficiencias de menor importancia en el logro de sus objetivos en términos de relevancia, efectividad o eficiencia; (iv) Moderadamente Insatisfactorio (MI): El programa tuvo deficiencias en el alcance de sus objetivos en términos de relevancia, efectividad o eficiencia; (v): Insatisfactorio (I): el programa tuvo importantes deficiencias en el alcance de sus objetivos en términos de relevancia, efectividad y eficiencia; y (vi) Altamente Insatisfactorio (AI): el programa tuvo deficiencias graves en el cumplimiento de sus objetivos en términos de relevancia, efectividad o eficiencia.”</w:t>
      </w:r>
    </w:p>
  </w:footnote>
  <w:footnote w:id="7">
    <w:p w:rsidR="001905AF" w:rsidRPr="00164A31" w:rsidRDefault="001905AF">
      <w:pPr>
        <w:pStyle w:val="FootnoteText"/>
        <w:rPr>
          <w:lang w:val="es-MX"/>
        </w:rPr>
      </w:pPr>
      <w:r w:rsidRPr="00164A31">
        <w:rPr>
          <w:rStyle w:val="FootnoteReference"/>
          <w:lang w:val="es-MX"/>
        </w:rPr>
        <w:footnoteRef/>
      </w:r>
      <w:r w:rsidRPr="00164A31">
        <w:rPr>
          <w:lang w:val="es-MX"/>
        </w:rPr>
        <w:t xml:space="preserve"> Esta medida debe verse en el contexto de la dolarización de la economía ecuatoriana.</w:t>
      </w:r>
    </w:p>
  </w:footnote>
  <w:footnote w:id="8">
    <w:p w:rsidR="001905AF" w:rsidRPr="00164A31" w:rsidRDefault="001905AF">
      <w:pPr>
        <w:pStyle w:val="FootnoteText"/>
        <w:rPr>
          <w:lang w:val="es-MX"/>
        </w:rPr>
      </w:pPr>
      <w:r w:rsidRPr="00164A31">
        <w:rPr>
          <w:rStyle w:val="FootnoteReference"/>
          <w:lang w:val="es-MX"/>
        </w:rPr>
        <w:footnoteRef/>
      </w:r>
      <w:r w:rsidRPr="00164A31">
        <w:rPr>
          <w:lang w:val="es-MX"/>
        </w:rPr>
        <w:t xml:space="preserve"> Ver nota de pie </w:t>
      </w:r>
      <w:r w:rsidRPr="00164A31">
        <w:rPr>
          <w:lang w:val="es-MX"/>
        </w:rPr>
        <w:fldChar w:fldCharType="begin"/>
      </w:r>
      <w:r w:rsidRPr="00164A31">
        <w:rPr>
          <w:lang w:val="es-MX"/>
        </w:rPr>
        <w:instrText xml:space="preserve"> NOTEREF _Ref416471792 \h </w:instrText>
      </w:r>
      <w:r w:rsidRPr="00164A31">
        <w:rPr>
          <w:lang w:val="es-MX"/>
        </w:rPr>
      </w:r>
      <w:r w:rsidRPr="00164A31">
        <w:rPr>
          <w:lang w:val="es-MX"/>
        </w:rPr>
        <w:fldChar w:fldCharType="separate"/>
      </w:r>
      <w:r>
        <w:rPr>
          <w:lang w:val="es-MX"/>
        </w:rPr>
        <w:t>5</w:t>
      </w:r>
      <w:r w:rsidRPr="00164A31">
        <w:rPr>
          <w:lang w:val="es-MX"/>
        </w:rPr>
        <w:fldChar w:fldCharType="end"/>
      </w:r>
      <w:r w:rsidRPr="00164A31">
        <w:rPr>
          <w:lang w:val="es-MX"/>
        </w:rPr>
        <w:t>.</w:t>
      </w:r>
    </w:p>
  </w:footnote>
  <w:footnote w:id="9">
    <w:p w:rsidR="001905AF" w:rsidRPr="00164A31" w:rsidRDefault="001905AF">
      <w:pPr>
        <w:pStyle w:val="FootnoteText"/>
        <w:rPr>
          <w:lang w:val="es-MX"/>
        </w:rPr>
      </w:pPr>
      <w:r w:rsidRPr="00164A31">
        <w:rPr>
          <w:rStyle w:val="FootnoteReference"/>
          <w:lang w:val="es-MX"/>
        </w:rPr>
        <w:footnoteRef/>
      </w:r>
      <w:r w:rsidRPr="00164A31">
        <w:rPr>
          <w:lang w:val="es-MX"/>
        </w:rPr>
        <w:t xml:space="preserve"> Ver, por ejemplo: http://www.elcomercio.com/actualidad/gobierno-entrega-cocinas-induccion-bono.html.</w:t>
      </w:r>
    </w:p>
  </w:footnote>
  <w:footnote w:id="10">
    <w:p w:rsidR="001905AF" w:rsidRPr="00416654" w:rsidRDefault="001905AF">
      <w:pPr>
        <w:pStyle w:val="FootnoteText"/>
        <w:rPr>
          <w:lang w:val="es-ES"/>
        </w:rPr>
      </w:pPr>
      <w:r>
        <w:rPr>
          <w:rStyle w:val="FootnoteReference"/>
        </w:rPr>
        <w:footnoteRef/>
      </w:r>
      <w:r w:rsidRPr="00416654">
        <w:rPr>
          <w:lang w:val="es-ES"/>
        </w:rPr>
        <w:t xml:space="preserve"> Fecha del taller de arranque de la operación con el OE</w:t>
      </w:r>
    </w:p>
  </w:footnote>
  <w:footnote w:id="11">
    <w:p w:rsidR="001905AF" w:rsidRPr="00416654" w:rsidRDefault="001905AF">
      <w:pPr>
        <w:pStyle w:val="FootnoteText"/>
        <w:rPr>
          <w:lang w:val="es-ES"/>
        </w:rPr>
      </w:pPr>
      <w:r>
        <w:rPr>
          <w:rStyle w:val="FootnoteReference"/>
        </w:rPr>
        <w:footnoteRef/>
      </w:r>
      <w:r w:rsidRPr="00416654">
        <w:rPr>
          <w:lang w:val="es-ES"/>
        </w:rPr>
        <w:t xml:space="preserve"> Fecha de validación </w:t>
      </w:r>
      <w:r>
        <w:rPr>
          <w:lang w:val="es-ES"/>
        </w:rPr>
        <w:t>del</w:t>
      </w:r>
      <w:r w:rsidRPr="00416654">
        <w:rPr>
          <w:lang w:val="es-ES"/>
        </w:rPr>
        <w:t xml:space="preserve"> 1er PMR de la operación</w:t>
      </w:r>
    </w:p>
  </w:footnote>
  <w:footnote w:id="12">
    <w:p w:rsidR="00703A9A" w:rsidRPr="00703A9A" w:rsidRDefault="00703A9A" w:rsidP="00703A9A">
      <w:pPr>
        <w:pStyle w:val="FootnoteText"/>
        <w:rPr>
          <w:lang w:val="es-ES"/>
        </w:rPr>
      </w:pPr>
      <w:r>
        <w:rPr>
          <w:rStyle w:val="FootnoteReference"/>
        </w:rPr>
        <w:footnoteRef/>
      </w:r>
      <w:r w:rsidRPr="00703A9A">
        <w:rPr>
          <w:lang w:val="es-ES"/>
        </w:rPr>
        <w:t xml:space="preserve">  Avance neto resultante de la relación Línea base 2013  (3.015  </w:t>
      </w:r>
      <w:proofErr w:type="spellStart"/>
      <w:r w:rsidRPr="00703A9A">
        <w:rPr>
          <w:lang w:val="es-ES"/>
        </w:rPr>
        <w:t>kTon</w:t>
      </w:r>
      <w:proofErr w:type="spellEnd"/>
      <w:r w:rsidRPr="00703A9A">
        <w:rPr>
          <w:lang w:val="es-ES"/>
        </w:rPr>
        <w:t xml:space="preserve"> CO2eq /año)  y Meta 2018  (443  </w:t>
      </w:r>
      <w:proofErr w:type="spellStart"/>
      <w:r w:rsidRPr="00703A9A">
        <w:rPr>
          <w:lang w:val="es-ES"/>
        </w:rPr>
        <w:t>kTon</w:t>
      </w:r>
      <w:proofErr w:type="spellEnd"/>
      <w:r w:rsidRPr="00703A9A">
        <w:rPr>
          <w:lang w:val="es-ES"/>
        </w:rPr>
        <w:t xml:space="preserve"> CO2eq /año) versus logros a la fecha por 46  </w:t>
      </w:r>
      <w:proofErr w:type="spellStart"/>
      <w:r w:rsidRPr="00703A9A">
        <w:rPr>
          <w:lang w:val="es-ES"/>
        </w:rPr>
        <w:t>kTon</w:t>
      </w:r>
      <w:proofErr w:type="spellEnd"/>
      <w:r w:rsidRPr="00703A9A">
        <w:rPr>
          <w:lang w:val="es-ES"/>
        </w:rPr>
        <w:t xml:space="preserve"> CO2eq/año.  </w:t>
      </w:r>
    </w:p>
  </w:footnote>
  <w:footnote w:id="13">
    <w:p w:rsidR="001905AF" w:rsidRPr="006E39AB" w:rsidRDefault="001905AF">
      <w:pPr>
        <w:pStyle w:val="FootnoteText"/>
        <w:rPr>
          <w:lang w:val="es-ES"/>
        </w:rPr>
      </w:pPr>
      <w:r>
        <w:rPr>
          <w:rStyle w:val="FootnoteReference"/>
        </w:rPr>
        <w:footnoteRef/>
      </w:r>
      <w:r w:rsidRPr="006E39AB">
        <w:rPr>
          <w:lang w:val="es-ES"/>
        </w:rPr>
        <w:t xml:space="preserve"> Cada cilindro contiene 15 kg de GLP.</w:t>
      </w:r>
    </w:p>
  </w:footnote>
  <w:footnote w:id="14">
    <w:p w:rsidR="00703A9A" w:rsidRPr="00703A9A" w:rsidRDefault="00703A9A" w:rsidP="00703A9A">
      <w:pPr>
        <w:pStyle w:val="FootnoteText"/>
        <w:rPr>
          <w:lang w:val="es-ES"/>
        </w:rPr>
      </w:pPr>
      <w:r>
        <w:rPr>
          <w:rStyle w:val="FootnoteReference"/>
        </w:rPr>
        <w:footnoteRef/>
      </w:r>
      <w:r w:rsidRPr="00703A9A">
        <w:rPr>
          <w:lang w:val="es-ES"/>
        </w:rPr>
        <w:t xml:space="preserve">  En un escenario sin proyecto y según lo indicado en el documento PROGRAMA DE  COCCIÓN EFICIENTE – PCE, de agosto de 2013,  emitido por el MEER (SUBSECRETARÍA DE ENERGÍA RENOVABLE Y EFICIENCIA ENERGÉTICA), el valor de Línea Base crece a 3.055 en 2014 y 3.095 en 2.015. </w:t>
      </w:r>
    </w:p>
  </w:footnote>
  <w:footnote w:id="15">
    <w:p w:rsidR="00703A9A" w:rsidRPr="00703A9A" w:rsidRDefault="00703A9A" w:rsidP="00703A9A">
      <w:pPr>
        <w:pStyle w:val="FootnoteText"/>
        <w:rPr>
          <w:lang w:val="es-ES"/>
        </w:rPr>
      </w:pPr>
      <w:r>
        <w:rPr>
          <w:rStyle w:val="FootnoteReference"/>
        </w:rPr>
        <w:footnoteRef/>
      </w:r>
      <w:r w:rsidRPr="00703A9A">
        <w:rPr>
          <w:lang w:val="es-ES"/>
        </w:rPr>
        <w:t xml:space="preserve"> Las Máximas emisiones de CO2 proyectadas para el año 2015 (por efecto de uso de GLP en Hogares)  son de  3.095 kTon de CO2 eq/año (escenario sin proyecto). Esto significa que el avance del PCE a marzo de 2015,  ha logrado disminuir uso de GLP en hogares,  cuyo impacto  en disminución de emisiones al ambiente es de 46 kTon de CO2 eq/año.</w:t>
      </w:r>
    </w:p>
  </w:footnote>
  <w:footnote w:id="16">
    <w:p w:rsidR="001905AF" w:rsidRPr="006E39AB" w:rsidRDefault="001905AF">
      <w:pPr>
        <w:pStyle w:val="FootnoteText"/>
        <w:rPr>
          <w:lang w:val="es-CL"/>
        </w:rPr>
      </w:pPr>
      <w:r>
        <w:rPr>
          <w:rStyle w:val="FootnoteReference"/>
        </w:rPr>
        <w:footnoteRef/>
      </w:r>
      <w:r w:rsidRPr="006E39AB">
        <w:rPr>
          <w:lang w:val="es-ES"/>
        </w:rPr>
        <w:t xml:space="preserve"> </w:t>
      </w:r>
      <w:r>
        <w:rPr>
          <w:lang w:val="es-CL"/>
        </w:rPr>
        <w:t xml:space="preserve">De los cuales 305 contratos corresponden a ejecución de obras en el SND y 295 a labores de apoyo (supervisión, fiscalización, socialización y estudios). </w:t>
      </w:r>
    </w:p>
  </w:footnote>
  <w:footnote w:id="17">
    <w:p w:rsidR="001905AF" w:rsidRPr="00164A31" w:rsidRDefault="001905AF" w:rsidP="007F5B48">
      <w:pPr>
        <w:pStyle w:val="FootnoteText"/>
        <w:rPr>
          <w:lang w:val="es-MX"/>
        </w:rPr>
      </w:pPr>
      <w:r w:rsidRPr="00164A31">
        <w:rPr>
          <w:rStyle w:val="FootnoteReference"/>
          <w:lang w:val="es-MX"/>
        </w:rPr>
        <w:footnoteRef/>
      </w:r>
      <w:r w:rsidRPr="00164A31">
        <w:rPr>
          <w:lang w:val="es-MX"/>
        </w:rPr>
        <w:t xml:space="preserve"> MEER-UEP, Primer Informe Semestral RSND, 01 Julio – 31 Dic 2015, p.9. </w:t>
      </w:r>
    </w:p>
  </w:footnote>
  <w:footnote w:id="18">
    <w:p w:rsidR="001905AF" w:rsidRPr="00164A31" w:rsidRDefault="001905AF">
      <w:pPr>
        <w:pStyle w:val="FootnoteText"/>
        <w:rPr>
          <w:lang w:val="es-MX"/>
        </w:rPr>
      </w:pPr>
      <w:r w:rsidRPr="00164A31">
        <w:rPr>
          <w:rStyle w:val="FootnoteReference"/>
          <w:lang w:val="es-MX"/>
        </w:rPr>
        <w:footnoteRef/>
      </w:r>
      <w:r w:rsidRPr="00164A31">
        <w:rPr>
          <w:lang w:val="es-MX"/>
        </w:rPr>
        <w:t xml:space="preserve"> Como CAF, BID, FERUM II, y AFD</w:t>
      </w:r>
    </w:p>
  </w:footnote>
  <w:footnote w:id="19">
    <w:p w:rsidR="001905AF" w:rsidRPr="00416654" w:rsidRDefault="001905AF">
      <w:pPr>
        <w:pStyle w:val="FootnoteText"/>
        <w:rPr>
          <w:lang w:val="es-ES"/>
        </w:rPr>
      </w:pPr>
      <w:r>
        <w:rPr>
          <w:rStyle w:val="FootnoteReference"/>
        </w:rPr>
        <w:footnoteRef/>
      </w:r>
      <w:r w:rsidRPr="00416654">
        <w:rPr>
          <w:lang w:val="es-ES"/>
        </w:rPr>
        <w:t xml:space="preserve"> </w:t>
      </w:r>
      <w:r>
        <w:rPr>
          <w:lang w:val="es-ES"/>
        </w:rPr>
        <w:t>Plan Maestro de Electrificación 2013-2022</w:t>
      </w:r>
    </w:p>
  </w:footnote>
  <w:footnote w:id="20">
    <w:p w:rsidR="001905AF" w:rsidRPr="00164A31" w:rsidRDefault="001905AF">
      <w:pPr>
        <w:pStyle w:val="FootnoteText"/>
        <w:rPr>
          <w:lang w:val="es-MX"/>
        </w:rPr>
      </w:pPr>
      <w:r w:rsidRPr="00164A31">
        <w:rPr>
          <w:rStyle w:val="FootnoteReference"/>
          <w:lang w:val="es-MX"/>
        </w:rPr>
        <w:footnoteRef/>
      </w:r>
      <w:r w:rsidRPr="00164A31">
        <w:rPr>
          <w:lang w:val="es-MX"/>
        </w:rPr>
        <w:t xml:space="preserve"> Ver, entre otros, Propuesta de Préstamo EC-L1136, pár. 1.7, 1.9, y 1.15.</w:t>
      </w:r>
    </w:p>
  </w:footnote>
  <w:footnote w:id="21">
    <w:p w:rsidR="001905AF" w:rsidRPr="00164A31" w:rsidRDefault="001905AF" w:rsidP="00DA49F3">
      <w:pPr>
        <w:pStyle w:val="FootnoteText"/>
        <w:rPr>
          <w:lang w:val="es-MX"/>
        </w:rPr>
      </w:pPr>
      <w:r w:rsidRPr="00164A31">
        <w:rPr>
          <w:rStyle w:val="FootnoteReference"/>
          <w:lang w:val="es-MX"/>
        </w:rPr>
        <w:footnoteRef/>
      </w:r>
      <w:r w:rsidRPr="00164A31">
        <w:rPr>
          <w:lang w:val="es-MX"/>
        </w:rPr>
        <w:t xml:space="preserve"> Ver Plan de Monitoreo y Evaluación, pár. 1.21-1.24; 1.27-1.28.</w:t>
      </w:r>
    </w:p>
  </w:footnote>
  <w:footnote w:id="22">
    <w:p w:rsidR="001905AF" w:rsidRPr="00164A31" w:rsidRDefault="001905AF">
      <w:pPr>
        <w:pStyle w:val="FootnoteText"/>
        <w:rPr>
          <w:lang w:val="es-MX"/>
        </w:rPr>
      </w:pPr>
      <w:r w:rsidRPr="00164A31">
        <w:rPr>
          <w:rStyle w:val="FootnoteReference"/>
          <w:lang w:val="es-MX"/>
        </w:rPr>
        <w:footnoteRef/>
      </w:r>
      <w:r w:rsidRPr="00164A31">
        <w:rPr>
          <w:lang w:val="es-MX"/>
        </w:rPr>
        <w:t xml:space="preserve"> Para las modalidades de contratación Licitación Pública Internacional (LPI) y Licitación Pública Nacional (LPN)</w:t>
      </w:r>
      <w:proofErr w:type="gramStart"/>
      <w:r w:rsidRPr="00164A31">
        <w:rPr>
          <w:lang w:val="es-MX"/>
        </w:rPr>
        <w:t>..</w:t>
      </w:r>
      <w:proofErr w:type="gramEnd"/>
    </w:p>
  </w:footnote>
  <w:footnote w:id="23">
    <w:p w:rsidR="001905AF" w:rsidRPr="00164A31" w:rsidRDefault="001905AF">
      <w:pPr>
        <w:pStyle w:val="FootnoteText"/>
        <w:rPr>
          <w:lang w:val="es-MX"/>
        </w:rPr>
      </w:pPr>
      <w:r w:rsidRPr="00164A31">
        <w:rPr>
          <w:rStyle w:val="FootnoteReference"/>
          <w:lang w:val="es-MX"/>
        </w:rPr>
        <w:footnoteRef/>
      </w:r>
      <w:r w:rsidRPr="00164A31">
        <w:rPr>
          <w:lang w:val="es-MX"/>
        </w:rPr>
        <w:t xml:space="preserve"> Propuesta de Préstamo EC-L1136 Anexo III, pár. 1.1 y 2.1-2.</w:t>
      </w:r>
    </w:p>
  </w:footnote>
  <w:footnote w:id="24">
    <w:p w:rsidR="001905AF" w:rsidRPr="00164A31" w:rsidRDefault="001905AF">
      <w:pPr>
        <w:pStyle w:val="FootnoteText"/>
        <w:rPr>
          <w:lang w:val="es-MX"/>
        </w:rPr>
      </w:pPr>
      <w:r w:rsidRPr="00164A31">
        <w:rPr>
          <w:rStyle w:val="FootnoteReference"/>
          <w:lang w:val="es-MX"/>
        </w:rPr>
        <w:footnoteRef/>
      </w:r>
      <w:r w:rsidRPr="00164A31">
        <w:rPr>
          <w:lang w:val="es-MX"/>
        </w:rPr>
        <w:t xml:space="preserve"> Propuesta de Préstamo EC-L1136 Anexo III, </w:t>
      </w:r>
      <w:proofErr w:type="spellStart"/>
      <w:r w:rsidRPr="00164A31">
        <w:rPr>
          <w:lang w:val="es-MX"/>
        </w:rPr>
        <w:t>pár</w:t>
      </w:r>
      <w:proofErr w:type="spellEnd"/>
      <w:r w:rsidRPr="00164A31">
        <w:rPr>
          <w:lang w:val="es-MX"/>
        </w:rPr>
        <w:t xml:space="preserve"> 7.3.</w:t>
      </w:r>
    </w:p>
  </w:footnote>
  <w:footnote w:id="25">
    <w:p w:rsidR="001905AF" w:rsidRPr="00164A31" w:rsidRDefault="001905AF">
      <w:pPr>
        <w:pStyle w:val="FootnoteText"/>
        <w:rPr>
          <w:lang w:val="es-MX"/>
        </w:rPr>
      </w:pPr>
      <w:r w:rsidRPr="006E39AB">
        <w:rPr>
          <w:vertAlign w:val="superscript"/>
        </w:rPr>
        <w:footnoteRef/>
      </w:r>
      <w:r w:rsidRPr="006E39AB">
        <w:rPr>
          <w:lang w:val="es-MX"/>
        </w:rPr>
        <w:t xml:space="preserve"> Explicar avance contractual, físico y liquidación.</w:t>
      </w:r>
    </w:p>
  </w:footnote>
  <w:footnote w:id="26">
    <w:p w:rsidR="001905AF" w:rsidRPr="00164A31" w:rsidRDefault="001905AF" w:rsidP="00A71D3D">
      <w:pPr>
        <w:pStyle w:val="FootnoteText"/>
        <w:rPr>
          <w:lang w:val="es-MX"/>
        </w:rPr>
      </w:pPr>
      <w:r w:rsidRPr="00164A31">
        <w:rPr>
          <w:rStyle w:val="FootnoteReference"/>
          <w:lang w:val="es-MX"/>
        </w:rPr>
        <w:footnoteRef/>
      </w:r>
      <w:r w:rsidRPr="00164A31">
        <w:rPr>
          <w:lang w:val="es-MX"/>
        </w:rPr>
        <w:t xml:space="preserve"> Actualizando los expedientes de los procesos a través de una cuenta en la plataforma web Dropbox.</w:t>
      </w:r>
    </w:p>
  </w:footnote>
  <w:footnote w:id="27">
    <w:p w:rsidR="001905AF" w:rsidRPr="00164A31" w:rsidRDefault="001905AF">
      <w:pPr>
        <w:pStyle w:val="FootnoteText"/>
        <w:rPr>
          <w:lang w:val="es-MX"/>
        </w:rPr>
      </w:pPr>
      <w:r w:rsidRPr="00164A31">
        <w:rPr>
          <w:rStyle w:val="FootnoteReference"/>
          <w:lang w:val="es-MX"/>
        </w:rPr>
        <w:footnoteRef/>
      </w:r>
      <w:r w:rsidRPr="00164A31">
        <w:rPr>
          <w:lang w:val="es-MX"/>
        </w:rPr>
        <w:t xml:space="preserve"> El PEP/POA es manejado en formato MPP (MS-Project) y no puede ser usado por varios usuarios en paralelo.</w:t>
      </w:r>
    </w:p>
  </w:footnote>
  <w:footnote w:id="28">
    <w:p w:rsidR="001905AF" w:rsidRPr="00164A31" w:rsidRDefault="001905AF" w:rsidP="008655AF">
      <w:pPr>
        <w:pStyle w:val="FootnoteText"/>
        <w:rPr>
          <w:lang w:val="es-MX"/>
        </w:rPr>
      </w:pPr>
      <w:r w:rsidRPr="00164A31">
        <w:rPr>
          <w:rStyle w:val="FootnoteReference"/>
          <w:lang w:val="es-MX"/>
        </w:rPr>
        <w:footnoteRef/>
      </w:r>
      <w:r w:rsidRPr="00164A31">
        <w:rPr>
          <w:lang w:val="es-MX"/>
        </w:rPr>
        <w:t xml:space="preserve"> Una ventaja importante del SIGPRO es su diseño como aplicación web que, en combinación con la asignación de múltiples usuarios con derechos limitados, permite que las mismas EED podrán incorporar sus datos actualizados al sistema sin perjudicar la robustez del sistema.</w:t>
      </w:r>
    </w:p>
  </w:footnote>
  <w:footnote w:id="29">
    <w:p w:rsidR="001905AF" w:rsidRPr="00164A31" w:rsidRDefault="001905AF" w:rsidP="00171ABB">
      <w:pPr>
        <w:pStyle w:val="FootnoteText"/>
        <w:rPr>
          <w:lang w:val="es-MX"/>
        </w:rPr>
      </w:pPr>
      <w:r w:rsidRPr="00164A31">
        <w:rPr>
          <w:rStyle w:val="FootnoteReference"/>
          <w:lang w:val="es-MX"/>
        </w:rPr>
        <w:footnoteRef/>
      </w:r>
      <w:r w:rsidRPr="00164A31">
        <w:rPr>
          <w:lang w:val="es-MX"/>
        </w:rPr>
        <w:t xml:space="preserve"> Incluyendo el Componente II, que es implementado por otra Subsecretaría. Cabe mencionar que el Coordinador General del Programa debe estar en posición de responder ante solicitudes de información del Banco, y es responsable para todos los componentes del Programa, preservando la lógica vertical de la intervención.</w:t>
      </w:r>
    </w:p>
  </w:footnote>
  <w:footnote w:id="30">
    <w:p w:rsidR="001905AF" w:rsidRPr="00164A31" w:rsidRDefault="001905AF" w:rsidP="00171ABB">
      <w:pPr>
        <w:pStyle w:val="FootnoteText"/>
        <w:rPr>
          <w:lang w:val="es-MX"/>
        </w:rPr>
      </w:pPr>
      <w:r w:rsidRPr="00164A31">
        <w:rPr>
          <w:rStyle w:val="FootnoteReference"/>
          <w:lang w:val="es-MX"/>
        </w:rPr>
        <w:footnoteRef/>
      </w:r>
      <w:r w:rsidRPr="00164A31">
        <w:rPr>
          <w:lang w:val="es-MX"/>
        </w:rPr>
        <w:t xml:space="preserve"> La UEP explicó que el Informe Semestral está basado en los documentos mensuales proporcionados por ARCONEL. Cabe notar que los medios de verificación indicados en la MR están definidos desde la perspectiva del Banco (o de un observador externo). Por ende, los medios de verificación indicados en el PME (pár. 1.30) no son de mucha ayuda para la UEP al momento de estructurar los mecanismos de recopilación de información. Se recomienda hacer explícita la cadena de propagación de información y, posiblemente, implementarla en la plataforma SIGPRO. </w:t>
      </w:r>
    </w:p>
  </w:footnote>
  <w:footnote w:id="31">
    <w:p w:rsidR="001905AF" w:rsidRPr="00164A31" w:rsidRDefault="001905AF" w:rsidP="00171ABB">
      <w:pPr>
        <w:pStyle w:val="FootnoteText"/>
        <w:rPr>
          <w:lang w:val="es-MX"/>
        </w:rPr>
      </w:pPr>
      <w:r w:rsidRPr="00164A31">
        <w:rPr>
          <w:rStyle w:val="FootnoteReference"/>
          <w:lang w:val="es-MX"/>
        </w:rPr>
        <w:footnoteRef/>
      </w:r>
      <w:r w:rsidRPr="00164A31">
        <w:rPr>
          <w:lang w:val="es-MX"/>
        </w:rPr>
        <w:t xml:space="preserve"> Ver PME pár. 1.31 para una descripción del contenido de los informes semestrales.</w:t>
      </w:r>
    </w:p>
  </w:footnote>
  <w:footnote w:id="32">
    <w:p w:rsidR="001905AF" w:rsidRPr="00164A31" w:rsidRDefault="001905AF">
      <w:pPr>
        <w:pStyle w:val="FootnoteText"/>
        <w:rPr>
          <w:lang w:val="es-MX"/>
        </w:rPr>
      </w:pPr>
      <w:r w:rsidRPr="006E39AB">
        <w:rPr>
          <w:vertAlign w:val="superscript"/>
        </w:rPr>
        <w:footnoteRef/>
      </w:r>
      <w:r w:rsidRPr="006E39AB">
        <w:rPr>
          <w:lang w:val="es-MX"/>
        </w:rPr>
        <w:t xml:space="preserve"> En la misma línea, el PME contiene información importante que complementa los </w:t>
      </w:r>
      <w:proofErr w:type="spellStart"/>
      <w:r w:rsidRPr="006E39AB">
        <w:rPr>
          <w:lang w:val="es-MX"/>
        </w:rPr>
        <w:t>TdR</w:t>
      </w:r>
      <w:proofErr w:type="spellEnd"/>
      <w:r w:rsidRPr="006E39AB">
        <w:rPr>
          <w:lang w:val="es-MX"/>
        </w:rPr>
        <w:t xml:space="preserve"> de esta Evaluación.</w:t>
      </w:r>
    </w:p>
  </w:footnote>
  <w:footnote w:id="33">
    <w:p w:rsidR="001905AF" w:rsidRPr="00164A31" w:rsidRDefault="001905AF">
      <w:pPr>
        <w:pStyle w:val="FootnoteText"/>
        <w:rPr>
          <w:lang w:val="es-MX"/>
        </w:rPr>
      </w:pPr>
      <w:r w:rsidRPr="00164A31">
        <w:rPr>
          <w:rStyle w:val="FootnoteReference"/>
          <w:lang w:val="es-MX"/>
        </w:rPr>
        <w:footnoteRef/>
      </w:r>
      <w:r w:rsidRPr="00164A31">
        <w:rPr>
          <w:lang w:val="es-MX"/>
        </w:rPr>
        <w:t xml:space="preserve"> Tabla PME, pár. 1.39.</w:t>
      </w:r>
    </w:p>
  </w:footnote>
  <w:footnote w:id="34">
    <w:p w:rsidR="001905AF" w:rsidRPr="00164A31" w:rsidRDefault="001905AF">
      <w:pPr>
        <w:pStyle w:val="FootnoteText"/>
        <w:rPr>
          <w:lang w:val="es-MX"/>
        </w:rPr>
      </w:pPr>
      <w:r w:rsidRPr="00164A31">
        <w:rPr>
          <w:rStyle w:val="FootnoteReference"/>
          <w:lang w:val="es-MX"/>
        </w:rPr>
        <w:footnoteRef/>
      </w:r>
      <w:r w:rsidRPr="00164A31">
        <w:rPr>
          <w:lang w:val="es-MX"/>
        </w:rPr>
        <w:t xml:space="preserve"> Para </w:t>
      </w:r>
      <w:proofErr w:type="gramStart"/>
      <w:r w:rsidRPr="00164A31">
        <w:rPr>
          <w:lang w:val="es-MX"/>
        </w:rPr>
        <w:t>un</w:t>
      </w:r>
      <w:proofErr w:type="gramEnd"/>
      <w:r w:rsidRPr="00164A31">
        <w:rPr>
          <w:lang w:val="es-MX"/>
        </w:rPr>
        <w:t xml:space="preserve"> descripción del propósito y alcance la evaluación final, ver PME pár.1.43-1.64.</w:t>
      </w:r>
    </w:p>
  </w:footnote>
  <w:footnote w:id="35">
    <w:p w:rsidR="001905AF" w:rsidRPr="00164A31" w:rsidRDefault="001905AF">
      <w:pPr>
        <w:pStyle w:val="FootnoteText"/>
        <w:rPr>
          <w:lang w:val="es-MX"/>
        </w:rPr>
      </w:pPr>
      <w:r w:rsidRPr="00164A31">
        <w:rPr>
          <w:rStyle w:val="FootnoteReference"/>
          <w:lang w:val="es-MX"/>
        </w:rPr>
        <w:footnoteRef/>
      </w:r>
      <w:r w:rsidRPr="00164A31">
        <w:rPr>
          <w:lang w:val="es-MX"/>
        </w:rPr>
        <w:t xml:space="preserve"> Podría agregarse otra clase, la “de implementación”, refiriéndose a aquellos factores que afecten la ejecución y pudieran retrasar el logro de los resultados e impactos, pero son ajenos a la OE y sus socios (y por ende, no son fiduciarios), pero sobre los cuales el Programa todavía puede ejercer cierto control (capacidades de actores, condiciones del mercado).</w:t>
      </w:r>
    </w:p>
  </w:footnote>
  <w:footnote w:id="36">
    <w:p w:rsidR="001905AF" w:rsidRPr="006E39AB" w:rsidRDefault="001905AF">
      <w:pPr>
        <w:pStyle w:val="FootnoteText"/>
        <w:rPr>
          <w:lang w:val="es-CL"/>
        </w:rPr>
      </w:pPr>
      <w:r>
        <w:rPr>
          <w:rStyle w:val="FootnoteReference"/>
        </w:rPr>
        <w:footnoteRef/>
      </w:r>
      <w:r w:rsidRPr="006E39AB">
        <w:rPr>
          <w:lang w:val="es-ES"/>
        </w:rPr>
        <w:t xml:space="preserve">  Es el caso de </w:t>
      </w:r>
      <w:r w:rsidR="009E032D">
        <w:rPr>
          <w:lang w:val="es-ES"/>
        </w:rPr>
        <w:t xml:space="preserve">un solo </w:t>
      </w:r>
      <w:r w:rsidRPr="006E39AB">
        <w:rPr>
          <w:lang w:val="es-ES"/>
        </w:rPr>
        <w:t>proyecto en la cartera de la</w:t>
      </w:r>
      <w:r w:rsidR="009E032D">
        <w:rPr>
          <w:lang w:val="es-ES"/>
        </w:rPr>
        <w:t xml:space="preserve"> EED</w:t>
      </w:r>
      <w:r w:rsidRPr="006E39AB">
        <w:rPr>
          <w:lang w:val="es-ES"/>
        </w:rPr>
        <w:t xml:space="preserve"> CNEL Guayaquil (S/E Mucho Lote, visitado 1ro abril 2015)</w:t>
      </w:r>
      <w:r w:rsidR="009E032D">
        <w:rPr>
          <w:lang w:val="es-ES"/>
        </w:rPr>
        <w:t xml:space="preserve">. </w:t>
      </w:r>
      <w:r w:rsidR="009E032D" w:rsidRPr="004304E9">
        <w:rPr>
          <w:lang w:val="es-MX"/>
        </w:rPr>
        <w:t>la EED en cumplimiento de la Ley</w:t>
      </w:r>
      <w:r w:rsidR="009E032D">
        <w:rPr>
          <w:lang w:val="es-MX"/>
        </w:rPr>
        <w:t xml:space="preserve"> de Gestión Ambiental (Art. 28)</w:t>
      </w:r>
      <w:r w:rsidR="009E032D">
        <w:rPr>
          <w:rStyle w:val="FootnoteReference"/>
          <w:lang w:val="es-MX"/>
        </w:rPr>
        <w:footnoteRef/>
      </w:r>
      <w:r w:rsidR="009E032D" w:rsidRPr="004304E9">
        <w:rPr>
          <w:lang w:val="es-MX"/>
        </w:rPr>
        <w:t>, aplicó los mecanismos de Participación Social, establecidos en la legislación. Sin embargo, en la jornada de Audiencia Pública, durante el foro de diálogo y participación del público asistente, se reciben opiniones y consultas diversas, que aun cuando son respondidas, no se consigue un total consenso</w:t>
      </w:r>
      <w:r w:rsidR="009E032D">
        <w:rPr>
          <w:lang w:val="es-MX"/>
        </w:rPr>
        <w:t xml:space="preserve">. La EED mantuvo apego a los procedimientos y no avanzó en la construcción del proyecto hasta no contar con una solución. </w:t>
      </w:r>
    </w:p>
  </w:footnote>
  <w:footnote w:id="37">
    <w:p w:rsidR="001905AF" w:rsidRPr="00164A31" w:rsidRDefault="001905AF">
      <w:pPr>
        <w:pStyle w:val="FootnoteText"/>
        <w:rPr>
          <w:lang w:val="es-MX"/>
        </w:rPr>
      </w:pPr>
      <w:r w:rsidRPr="00164A31">
        <w:rPr>
          <w:rStyle w:val="FootnoteReference"/>
          <w:lang w:val="es-MX"/>
        </w:rPr>
        <w:footnoteRef/>
      </w:r>
      <w:r w:rsidRPr="00164A31">
        <w:rPr>
          <w:lang w:val="es-MX"/>
        </w:rPr>
        <w:t xml:space="preserve"> Que pueden ser binarios (falso/verdad), por ejemplo: solicitud de prórroga de contrato; retraso verificado; existencia de problemas socio-ambientales; deficiencias de calidad observadas, etc.</w:t>
      </w:r>
    </w:p>
  </w:footnote>
  <w:footnote w:id="38">
    <w:p w:rsidR="001905AF" w:rsidRPr="00164A31" w:rsidRDefault="001905AF">
      <w:pPr>
        <w:pStyle w:val="FootnoteText"/>
        <w:rPr>
          <w:lang w:val="es-MX"/>
        </w:rPr>
      </w:pPr>
      <w:r w:rsidRPr="00164A31">
        <w:rPr>
          <w:rStyle w:val="FootnoteReference"/>
          <w:lang w:val="es-MX"/>
        </w:rPr>
        <w:footnoteRef/>
      </w:r>
      <w:r>
        <w:rPr>
          <w:lang w:val="es-MX"/>
        </w:rPr>
        <w:t xml:space="preserve">Propuesta de Préstamo EC-L1136 </w:t>
      </w:r>
      <w:r w:rsidRPr="00164A31">
        <w:rPr>
          <w:lang w:val="es-MX"/>
        </w:rPr>
        <w:t>Anexo III, pár. 2.4-5.</w:t>
      </w:r>
    </w:p>
  </w:footnote>
  <w:footnote w:id="39">
    <w:p w:rsidR="001905AF" w:rsidRPr="00164A31" w:rsidRDefault="001905AF">
      <w:pPr>
        <w:pStyle w:val="FootnoteText"/>
        <w:rPr>
          <w:lang w:val="es-MX"/>
        </w:rPr>
      </w:pPr>
      <w:r w:rsidRPr="00164A31">
        <w:rPr>
          <w:rStyle w:val="FootnoteReference"/>
          <w:lang w:val="es-MX"/>
        </w:rPr>
        <w:footnoteRef/>
      </w:r>
      <w:r w:rsidRPr="00164A31">
        <w:rPr>
          <w:lang w:val="es-MX"/>
        </w:rPr>
        <w:t>Así como el cumplimiento con exigencias legales y acceso de terreno, incluyendo: licencia ambiental y permisos legales pertinentes; resolución de imposición de servidumbre para líneas nuevas; evidencia de tenencia legal de terrenos para ubicación de S/E; inclusión de especificaciones técnicas ambientales; evidencia de haber realizado al menos una consulta pública para cada proyecto.</w:t>
      </w:r>
    </w:p>
  </w:footnote>
  <w:footnote w:id="40">
    <w:p w:rsidR="001905AF" w:rsidRPr="00164A31" w:rsidRDefault="001905AF">
      <w:pPr>
        <w:pStyle w:val="FootnoteText"/>
        <w:rPr>
          <w:lang w:val="es-MX"/>
        </w:rPr>
      </w:pPr>
      <w:r w:rsidRPr="00164A31">
        <w:rPr>
          <w:rStyle w:val="FootnoteReference"/>
          <w:lang w:val="es-MX"/>
        </w:rPr>
        <w:footnoteRef/>
      </w:r>
      <w:r w:rsidRPr="00164A31">
        <w:rPr>
          <w:lang w:val="es-MX"/>
        </w:rPr>
        <w:t xml:space="preserve"> Ley Orgánica del Servicio Público de Energía Eléctrica (2015), Art, 77, 80.</w:t>
      </w:r>
    </w:p>
  </w:footnote>
  <w:footnote w:id="41">
    <w:p w:rsidR="001905AF" w:rsidRPr="00164A31" w:rsidRDefault="001905AF">
      <w:pPr>
        <w:pStyle w:val="FootnoteText"/>
        <w:rPr>
          <w:lang w:val="es-MX"/>
        </w:rPr>
      </w:pPr>
      <w:r w:rsidRPr="00164A31">
        <w:rPr>
          <w:rStyle w:val="FootnoteReference"/>
          <w:lang w:val="es-MX"/>
        </w:rPr>
        <w:footnoteRef/>
      </w:r>
      <w:r w:rsidRPr="00164A31">
        <w:rPr>
          <w:lang w:val="es-MX"/>
        </w:rPr>
        <w:t xml:space="preserve"> Las salvaguardias se refieren a las sobretasas arancelarias, establecidas por el Comité de Comercio Exterior (COMEX), Resolución  No. 011-2015,  entrando en vigor 11 de marzo 2015.</w:t>
      </w:r>
    </w:p>
  </w:footnote>
  <w:footnote w:id="42">
    <w:p w:rsidR="001905AF" w:rsidRPr="00164A31" w:rsidRDefault="001905AF">
      <w:pPr>
        <w:pStyle w:val="FootnoteText"/>
        <w:rPr>
          <w:lang w:val="es-MX"/>
        </w:rPr>
      </w:pPr>
      <w:r w:rsidRPr="00164A31">
        <w:rPr>
          <w:rStyle w:val="FootnoteReference"/>
          <w:lang w:val="es-MX"/>
        </w:rPr>
        <w:footnoteRef/>
      </w:r>
      <w:r w:rsidRPr="00164A31">
        <w:rPr>
          <w:lang w:val="es-MX"/>
        </w:rPr>
        <w:t xml:space="preserve"> Nótese que COMEX Resolución No. 011-2015, Art. 2d abre la posibilidad de exención arancelaria: </w:t>
      </w:r>
      <w:r w:rsidRPr="00164A31">
        <w:rPr>
          <w:i/>
          <w:lang w:val="es-MX"/>
        </w:rPr>
        <w:t>"Aquellas mercancías que provengan de la cooperación internacional en favor de una población beneficiaria del Ecuador que reciba dicha ayuda, sea a través del sector público, organizaciones no gubernamentales (ONG) o las entidades de cooperación correspondientes".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11466"/>
    <w:multiLevelType w:val="hybridMultilevel"/>
    <w:tmpl w:val="7744FA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5B53AA"/>
    <w:multiLevelType w:val="hybridMultilevel"/>
    <w:tmpl w:val="D7F6955A"/>
    <w:lvl w:ilvl="0" w:tplc="E850E174">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6A1149"/>
    <w:multiLevelType w:val="hybridMultilevel"/>
    <w:tmpl w:val="7F42829E"/>
    <w:lvl w:ilvl="0" w:tplc="08090017">
      <w:start w:val="1"/>
      <w:numFmt w:val="lowerLetter"/>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3">
    <w:nsid w:val="0FFF64FF"/>
    <w:multiLevelType w:val="hybridMultilevel"/>
    <w:tmpl w:val="A3F6B6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69A3F47"/>
    <w:multiLevelType w:val="hybridMultilevel"/>
    <w:tmpl w:val="8AFC4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F90D0D"/>
    <w:multiLevelType w:val="hybridMultilevel"/>
    <w:tmpl w:val="C27EFF98"/>
    <w:lvl w:ilvl="0" w:tplc="09380362">
      <w:start w:val="1"/>
      <w:numFmt w:val="upp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CD00624"/>
    <w:multiLevelType w:val="hybridMultilevel"/>
    <w:tmpl w:val="664C1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3A1CFC"/>
    <w:multiLevelType w:val="hybridMultilevel"/>
    <w:tmpl w:val="283CEC00"/>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nsid w:val="210D2FED"/>
    <w:multiLevelType w:val="hybridMultilevel"/>
    <w:tmpl w:val="9976CE62"/>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9AC7156"/>
    <w:multiLevelType w:val="hybridMultilevel"/>
    <w:tmpl w:val="067E7A1E"/>
    <w:lvl w:ilvl="0" w:tplc="E6FCE4EE">
      <w:start w:val="1"/>
      <w:numFmt w:val="upperLetter"/>
      <w:lvlText w:val="(%1)"/>
      <w:lvlJc w:val="left"/>
      <w:pPr>
        <w:ind w:left="1095" w:hanging="37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444D011B"/>
    <w:multiLevelType w:val="hybridMultilevel"/>
    <w:tmpl w:val="0FCA0ABE"/>
    <w:lvl w:ilvl="0" w:tplc="101085FE">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BEA080F"/>
    <w:multiLevelType w:val="hybridMultilevel"/>
    <w:tmpl w:val="93B868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4C13753"/>
    <w:multiLevelType w:val="hybridMultilevel"/>
    <w:tmpl w:val="4CE439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7B91EA0"/>
    <w:multiLevelType w:val="hybridMultilevel"/>
    <w:tmpl w:val="16BA40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12C75D7"/>
    <w:multiLevelType w:val="hybridMultilevel"/>
    <w:tmpl w:val="55BA1CBC"/>
    <w:lvl w:ilvl="0" w:tplc="6E2AD642">
      <w:start w:val="1"/>
      <w:numFmt w:val="upperRoman"/>
      <w:pStyle w:val="Heading1"/>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5F17565"/>
    <w:multiLevelType w:val="hybridMultilevel"/>
    <w:tmpl w:val="D6E6E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74404A"/>
    <w:multiLevelType w:val="hybridMultilevel"/>
    <w:tmpl w:val="442CD14E"/>
    <w:lvl w:ilvl="0" w:tplc="0809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nsid w:val="7E2A6549"/>
    <w:multiLevelType w:val="hybridMultilevel"/>
    <w:tmpl w:val="022C9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7"/>
  </w:num>
  <w:num w:numId="3">
    <w:abstractNumId w:val="6"/>
  </w:num>
  <w:num w:numId="4">
    <w:abstractNumId w:val="3"/>
  </w:num>
  <w:num w:numId="5">
    <w:abstractNumId w:val="15"/>
  </w:num>
  <w:num w:numId="6">
    <w:abstractNumId w:val="14"/>
  </w:num>
  <w:num w:numId="7">
    <w:abstractNumId w:val="5"/>
  </w:num>
  <w:num w:numId="8">
    <w:abstractNumId w:val="1"/>
  </w:num>
  <w:num w:numId="9">
    <w:abstractNumId w:val="11"/>
  </w:num>
  <w:num w:numId="10">
    <w:abstractNumId w:val="16"/>
  </w:num>
  <w:num w:numId="11">
    <w:abstractNumId w:val="9"/>
  </w:num>
  <w:num w:numId="12">
    <w:abstractNumId w:val="0"/>
  </w:num>
  <w:num w:numId="13">
    <w:abstractNumId w:val="10"/>
  </w:num>
  <w:num w:numId="14">
    <w:abstractNumId w:val="8"/>
  </w:num>
  <w:num w:numId="15">
    <w:abstractNumId w:val="13"/>
  </w:num>
  <w:num w:numId="16">
    <w:abstractNumId w:val="7"/>
  </w:num>
  <w:num w:numId="17">
    <w:abstractNumId w:val="2"/>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1AA"/>
    <w:rsid w:val="00002B03"/>
    <w:rsid w:val="0000501F"/>
    <w:rsid w:val="0001038C"/>
    <w:rsid w:val="00011E9A"/>
    <w:rsid w:val="00016B21"/>
    <w:rsid w:val="00016E91"/>
    <w:rsid w:val="00017D61"/>
    <w:rsid w:val="000202DF"/>
    <w:rsid w:val="00023DFC"/>
    <w:rsid w:val="00024669"/>
    <w:rsid w:val="00026664"/>
    <w:rsid w:val="00027840"/>
    <w:rsid w:val="00031DCE"/>
    <w:rsid w:val="00042F4F"/>
    <w:rsid w:val="00044A7D"/>
    <w:rsid w:val="0005079A"/>
    <w:rsid w:val="00054537"/>
    <w:rsid w:val="0005570E"/>
    <w:rsid w:val="00057E73"/>
    <w:rsid w:val="00062206"/>
    <w:rsid w:val="000624BF"/>
    <w:rsid w:val="00062570"/>
    <w:rsid w:val="00065B6E"/>
    <w:rsid w:val="00071774"/>
    <w:rsid w:val="000728B9"/>
    <w:rsid w:val="00074C33"/>
    <w:rsid w:val="00077991"/>
    <w:rsid w:val="00080008"/>
    <w:rsid w:val="000856F0"/>
    <w:rsid w:val="000972B8"/>
    <w:rsid w:val="000A0DAE"/>
    <w:rsid w:val="000B13EF"/>
    <w:rsid w:val="000B6658"/>
    <w:rsid w:val="000B6933"/>
    <w:rsid w:val="000B7233"/>
    <w:rsid w:val="000C572A"/>
    <w:rsid w:val="000C63DE"/>
    <w:rsid w:val="000D4F52"/>
    <w:rsid w:val="000D7F9C"/>
    <w:rsid w:val="000F398D"/>
    <w:rsid w:val="000F3D12"/>
    <w:rsid w:val="000F6048"/>
    <w:rsid w:val="00100AD9"/>
    <w:rsid w:val="001018D5"/>
    <w:rsid w:val="0010426D"/>
    <w:rsid w:val="001075A5"/>
    <w:rsid w:val="00116B96"/>
    <w:rsid w:val="00116BB4"/>
    <w:rsid w:val="00116CDA"/>
    <w:rsid w:val="00117A60"/>
    <w:rsid w:val="00121092"/>
    <w:rsid w:val="00124662"/>
    <w:rsid w:val="001331D5"/>
    <w:rsid w:val="00133B5F"/>
    <w:rsid w:val="00134D11"/>
    <w:rsid w:val="0014044A"/>
    <w:rsid w:val="00141072"/>
    <w:rsid w:val="00142DEA"/>
    <w:rsid w:val="00145594"/>
    <w:rsid w:val="00145A1C"/>
    <w:rsid w:val="00150D84"/>
    <w:rsid w:val="00152708"/>
    <w:rsid w:val="001556E9"/>
    <w:rsid w:val="001624E4"/>
    <w:rsid w:val="0016339A"/>
    <w:rsid w:val="00164A31"/>
    <w:rsid w:val="00171ABB"/>
    <w:rsid w:val="00174088"/>
    <w:rsid w:val="001905AF"/>
    <w:rsid w:val="0019199C"/>
    <w:rsid w:val="00192FC1"/>
    <w:rsid w:val="00195287"/>
    <w:rsid w:val="00195C87"/>
    <w:rsid w:val="001A21FF"/>
    <w:rsid w:val="001A500D"/>
    <w:rsid w:val="001B0168"/>
    <w:rsid w:val="001B08B1"/>
    <w:rsid w:val="001B0F0F"/>
    <w:rsid w:val="001B401C"/>
    <w:rsid w:val="001B46E7"/>
    <w:rsid w:val="001B62DE"/>
    <w:rsid w:val="001D60CD"/>
    <w:rsid w:val="001E2357"/>
    <w:rsid w:val="001F1E00"/>
    <w:rsid w:val="001F2740"/>
    <w:rsid w:val="001F41F4"/>
    <w:rsid w:val="001F6B72"/>
    <w:rsid w:val="001F7F92"/>
    <w:rsid w:val="001F7FE1"/>
    <w:rsid w:val="00200408"/>
    <w:rsid w:val="00205E9C"/>
    <w:rsid w:val="00211CCA"/>
    <w:rsid w:val="00217702"/>
    <w:rsid w:val="00220FFC"/>
    <w:rsid w:val="00232A4E"/>
    <w:rsid w:val="0023395C"/>
    <w:rsid w:val="0023650C"/>
    <w:rsid w:val="0024300D"/>
    <w:rsid w:val="00243335"/>
    <w:rsid w:val="00247C85"/>
    <w:rsid w:val="00252BF3"/>
    <w:rsid w:val="002544A6"/>
    <w:rsid w:val="00254D9D"/>
    <w:rsid w:val="00256F21"/>
    <w:rsid w:val="0026198D"/>
    <w:rsid w:val="00265ECE"/>
    <w:rsid w:val="002665C9"/>
    <w:rsid w:val="00274B14"/>
    <w:rsid w:val="00281CD8"/>
    <w:rsid w:val="00282D9F"/>
    <w:rsid w:val="0028489D"/>
    <w:rsid w:val="00291F7E"/>
    <w:rsid w:val="00293EFD"/>
    <w:rsid w:val="00294850"/>
    <w:rsid w:val="00296D23"/>
    <w:rsid w:val="002A03D1"/>
    <w:rsid w:val="002A24EA"/>
    <w:rsid w:val="002A3206"/>
    <w:rsid w:val="002A442F"/>
    <w:rsid w:val="002A4770"/>
    <w:rsid w:val="002A49A2"/>
    <w:rsid w:val="002B5CFB"/>
    <w:rsid w:val="002C054F"/>
    <w:rsid w:val="002C07FA"/>
    <w:rsid w:val="002C0FC3"/>
    <w:rsid w:val="002C4EC0"/>
    <w:rsid w:val="002C66E7"/>
    <w:rsid w:val="002D0F71"/>
    <w:rsid w:val="002D1DA4"/>
    <w:rsid w:val="002D3496"/>
    <w:rsid w:val="002F18CC"/>
    <w:rsid w:val="002F5068"/>
    <w:rsid w:val="0030301B"/>
    <w:rsid w:val="0030362D"/>
    <w:rsid w:val="0030383A"/>
    <w:rsid w:val="00303FEB"/>
    <w:rsid w:val="00307661"/>
    <w:rsid w:val="00313AC2"/>
    <w:rsid w:val="00315E8F"/>
    <w:rsid w:val="003166C4"/>
    <w:rsid w:val="00321F7D"/>
    <w:rsid w:val="00325095"/>
    <w:rsid w:val="003324E2"/>
    <w:rsid w:val="00333156"/>
    <w:rsid w:val="00336B37"/>
    <w:rsid w:val="00337D29"/>
    <w:rsid w:val="003452D7"/>
    <w:rsid w:val="003452FA"/>
    <w:rsid w:val="003505A4"/>
    <w:rsid w:val="00351136"/>
    <w:rsid w:val="003533D5"/>
    <w:rsid w:val="0035541A"/>
    <w:rsid w:val="003579B4"/>
    <w:rsid w:val="0036412F"/>
    <w:rsid w:val="00364812"/>
    <w:rsid w:val="00366246"/>
    <w:rsid w:val="00367729"/>
    <w:rsid w:val="00372910"/>
    <w:rsid w:val="00387F51"/>
    <w:rsid w:val="00394534"/>
    <w:rsid w:val="003A74D9"/>
    <w:rsid w:val="003B20CE"/>
    <w:rsid w:val="003B52DF"/>
    <w:rsid w:val="003C176A"/>
    <w:rsid w:val="003C59C8"/>
    <w:rsid w:val="003D26D8"/>
    <w:rsid w:val="003D34D5"/>
    <w:rsid w:val="003E2DEB"/>
    <w:rsid w:val="003F286D"/>
    <w:rsid w:val="003F453A"/>
    <w:rsid w:val="003F51B4"/>
    <w:rsid w:val="00402F36"/>
    <w:rsid w:val="00403C46"/>
    <w:rsid w:val="00405F62"/>
    <w:rsid w:val="0040744E"/>
    <w:rsid w:val="0040746D"/>
    <w:rsid w:val="00412060"/>
    <w:rsid w:val="0041313D"/>
    <w:rsid w:val="00414A35"/>
    <w:rsid w:val="00415B17"/>
    <w:rsid w:val="00416654"/>
    <w:rsid w:val="00416DD7"/>
    <w:rsid w:val="00420CD8"/>
    <w:rsid w:val="004225BE"/>
    <w:rsid w:val="004266C0"/>
    <w:rsid w:val="004304E9"/>
    <w:rsid w:val="004328C5"/>
    <w:rsid w:val="00432CEE"/>
    <w:rsid w:val="00440E15"/>
    <w:rsid w:val="00445BCA"/>
    <w:rsid w:val="00453D5B"/>
    <w:rsid w:val="004543E0"/>
    <w:rsid w:val="00464863"/>
    <w:rsid w:val="00464F53"/>
    <w:rsid w:val="00471344"/>
    <w:rsid w:val="004719B2"/>
    <w:rsid w:val="00474CB4"/>
    <w:rsid w:val="00477E20"/>
    <w:rsid w:val="00480885"/>
    <w:rsid w:val="0048165C"/>
    <w:rsid w:val="00482619"/>
    <w:rsid w:val="0048331C"/>
    <w:rsid w:val="0048761E"/>
    <w:rsid w:val="00487818"/>
    <w:rsid w:val="00490323"/>
    <w:rsid w:val="00494160"/>
    <w:rsid w:val="00494748"/>
    <w:rsid w:val="00497BF3"/>
    <w:rsid w:val="004A0D61"/>
    <w:rsid w:val="004A4510"/>
    <w:rsid w:val="004A72D0"/>
    <w:rsid w:val="004B1344"/>
    <w:rsid w:val="004B5C4F"/>
    <w:rsid w:val="004B5E70"/>
    <w:rsid w:val="004B6B1F"/>
    <w:rsid w:val="004C1CD1"/>
    <w:rsid w:val="004C2BEA"/>
    <w:rsid w:val="004C41D6"/>
    <w:rsid w:val="004C7D99"/>
    <w:rsid w:val="004D0D97"/>
    <w:rsid w:val="004D291C"/>
    <w:rsid w:val="004D795D"/>
    <w:rsid w:val="004D7CD8"/>
    <w:rsid w:val="004E6B7C"/>
    <w:rsid w:val="004E7F99"/>
    <w:rsid w:val="004F3F77"/>
    <w:rsid w:val="0050441D"/>
    <w:rsid w:val="005048B8"/>
    <w:rsid w:val="0050598D"/>
    <w:rsid w:val="005100FE"/>
    <w:rsid w:val="0051029F"/>
    <w:rsid w:val="00510BD1"/>
    <w:rsid w:val="00511296"/>
    <w:rsid w:val="00511703"/>
    <w:rsid w:val="00522D68"/>
    <w:rsid w:val="00526D8E"/>
    <w:rsid w:val="00531096"/>
    <w:rsid w:val="00531172"/>
    <w:rsid w:val="0053784D"/>
    <w:rsid w:val="00542723"/>
    <w:rsid w:val="00546131"/>
    <w:rsid w:val="00547136"/>
    <w:rsid w:val="005471AB"/>
    <w:rsid w:val="00551B8D"/>
    <w:rsid w:val="00555CA0"/>
    <w:rsid w:val="00555D43"/>
    <w:rsid w:val="00557BF3"/>
    <w:rsid w:val="00561615"/>
    <w:rsid w:val="00571F8D"/>
    <w:rsid w:val="00582E2B"/>
    <w:rsid w:val="00584CEA"/>
    <w:rsid w:val="00586D4F"/>
    <w:rsid w:val="00591EC2"/>
    <w:rsid w:val="005928FA"/>
    <w:rsid w:val="00592921"/>
    <w:rsid w:val="00595253"/>
    <w:rsid w:val="00596ACE"/>
    <w:rsid w:val="005A16C7"/>
    <w:rsid w:val="005A44DD"/>
    <w:rsid w:val="005A7CAE"/>
    <w:rsid w:val="005B0098"/>
    <w:rsid w:val="005B43FD"/>
    <w:rsid w:val="005B6B0B"/>
    <w:rsid w:val="005B74AE"/>
    <w:rsid w:val="005D14E5"/>
    <w:rsid w:val="005E087E"/>
    <w:rsid w:val="005E16DF"/>
    <w:rsid w:val="005E6BA6"/>
    <w:rsid w:val="005F7ECF"/>
    <w:rsid w:val="006025A8"/>
    <w:rsid w:val="00612C43"/>
    <w:rsid w:val="006152A1"/>
    <w:rsid w:val="00615F3D"/>
    <w:rsid w:val="00630AA3"/>
    <w:rsid w:val="0063296C"/>
    <w:rsid w:val="006352A2"/>
    <w:rsid w:val="00636930"/>
    <w:rsid w:val="00636A9E"/>
    <w:rsid w:val="006501C2"/>
    <w:rsid w:val="00650E68"/>
    <w:rsid w:val="00652D5B"/>
    <w:rsid w:val="00654AD9"/>
    <w:rsid w:val="006551B2"/>
    <w:rsid w:val="00656177"/>
    <w:rsid w:val="006640BF"/>
    <w:rsid w:val="00664874"/>
    <w:rsid w:val="00664F5B"/>
    <w:rsid w:val="00665406"/>
    <w:rsid w:val="00665D5D"/>
    <w:rsid w:val="00667587"/>
    <w:rsid w:val="006720DD"/>
    <w:rsid w:val="0067646A"/>
    <w:rsid w:val="00680FFD"/>
    <w:rsid w:val="00681291"/>
    <w:rsid w:val="0068194A"/>
    <w:rsid w:val="00690CA3"/>
    <w:rsid w:val="00690F29"/>
    <w:rsid w:val="00693FFB"/>
    <w:rsid w:val="00696247"/>
    <w:rsid w:val="00696DFA"/>
    <w:rsid w:val="006A0568"/>
    <w:rsid w:val="006A0C8F"/>
    <w:rsid w:val="006A35D9"/>
    <w:rsid w:val="006B0EEC"/>
    <w:rsid w:val="006B2BF0"/>
    <w:rsid w:val="006B68EC"/>
    <w:rsid w:val="006B6D98"/>
    <w:rsid w:val="006C0326"/>
    <w:rsid w:val="006C225B"/>
    <w:rsid w:val="006C4822"/>
    <w:rsid w:val="006C6761"/>
    <w:rsid w:val="006D3E51"/>
    <w:rsid w:val="006D53AD"/>
    <w:rsid w:val="006D6FE4"/>
    <w:rsid w:val="006E1E2C"/>
    <w:rsid w:val="006E2228"/>
    <w:rsid w:val="006E2A4C"/>
    <w:rsid w:val="006E2DCE"/>
    <w:rsid w:val="006E39AB"/>
    <w:rsid w:val="006E524B"/>
    <w:rsid w:val="006E79FF"/>
    <w:rsid w:val="006F40CA"/>
    <w:rsid w:val="006F671B"/>
    <w:rsid w:val="006F6F63"/>
    <w:rsid w:val="006F78EF"/>
    <w:rsid w:val="00703A9A"/>
    <w:rsid w:val="007070B1"/>
    <w:rsid w:val="00710357"/>
    <w:rsid w:val="00710915"/>
    <w:rsid w:val="0071276C"/>
    <w:rsid w:val="007136B1"/>
    <w:rsid w:val="00713F3D"/>
    <w:rsid w:val="00722A48"/>
    <w:rsid w:val="00722C3F"/>
    <w:rsid w:val="007279BB"/>
    <w:rsid w:val="0073292B"/>
    <w:rsid w:val="007339C6"/>
    <w:rsid w:val="00737018"/>
    <w:rsid w:val="00742C94"/>
    <w:rsid w:val="00743D31"/>
    <w:rsid w:val="0074553A"/>
    <w:rsid w:val="0074739B"/>
    <w:rsid w:val="0075212D"/>
    <w:rsid w:val="007571AA"/>
    <w:rsid w:val="00773CD8"/>
    <w:rsid w:val="00774622"/>
    <w:rsid w:val="00780E1B"/>
    <w:rsid w:val="00782138"/>
    <w:rsid w:val="0078518A"/>
    <w:rsid w:val="0079207E"/>
    <w:rsid w:val="0079279C"/>
    <w:rsid w:val="00794C86"/>
    <w:rsid w:val="007975DC"/>
    <w:rsid w:val="007A155E"/>
    <w:rsid w:val="007A5FBC"/>
    <w:rsid w:val="007B4ECF"/>
    <w:rsid w:val="007B4FD9"/>
    <w:rsid w:val="007B6B87"/>
    <w:rsid w:val="007C4AC4"/>
    <w:rsid w:val="007C68B7"/>
    <w:rsid w:val="007C6BC9"/>
    <w:rsid w:val="007D0F45"/>
    <w:rsid w:val="007D13A2"/>
    <w:rsid w:val="007D4243"/>
    <w:rsid w:val="007D4E8D"/>
    <w:rsid w:val="007D667E"/>
    <w:rsid w:val="007D73DD"/>
    <w:rsid w:val="007E3303"/>
    <w:rsid w:val="007E450A"/>
    <w:rsid w:val="007E4FE2"/>
    <w:rsid w:val="007E51A7"/>
    <w:rsid w:val="007E558C"/>
    <w:rsid w:val="007E7043"/>
    <w:rsid w:val="007F5B48"/>
    <w:rsid w:val="007F6CE7"/>
    <w:rsid w:val="008030D9"/>
    <w:rsid w:val="008038EC"/>
    <w:rsid w:val="00805AB6"/>
    <w:rsid w:val="00806488"/>
    <w:rsid w:val="0081122C"/>
    <w:rsid w:val="0081185A"/>
    <w:rsid w:val="00811DC1"/>
    <w:rsid w:val="00813ED5"/>
    <w:rsid w:val="00824AF9"/>
    <w:rsid w:val="00840127"/>
    <w:rsid w:val="0084024A"/>
    <w:rsid w:val="00842406"/>
    <w:rsid w:val="00853C98"/>
    <w:rsid w:val="00863262"/>
    <w:rsid w:val="008655AF"/>
    <w:rsid w:val="00871232"/>
    <w:rsid w:val="008733B2"/>
    <w:rsid w:val="0087670B"/>
    <w:rsid w:val="008824AB"/>
    <w:rsid w:val="00883A0A"/>
    <w:rsid w:val="00885869"/>
    <w:rsid w:val="008858AB"/>
    <w:rsid w:val="008926AC"/>
    <w:rsid w:val="00893E23"/>
    <w:rsid w:val="00896A9B"/>
    <w:rsid w:val="008975E4"/>
    <w:rsid w:val="008A0C9C"/>
    <w:rsid w:val="008A7EDA"/>
    <w:rsid w:val="008B0EA0"/>
    <w:rsid w:val="008B27C4"/>
    <w:rsid w:val="008B2F94"/>
    <w:rsid w:val="008B4D65"/>
    <w:rsid w:val="008B7E4C"/>
    <w:rsid w:val="008C0DB8"/>
    <w:rsid w:val="008C2CF6"/>
    <w:rsid w:val="008C322B"/>
    <w:rsid w:val="008C4084"/>
    <w:rsid w:val="008D7904"/>
    <w:rsid w:val="008E2947"/>
    <w:rsid w:val="008E73AE"/>
    <w:rsid w:val="008E7B0D"/>
    <w:rsid w:val="00902BB8"/>
    <w:rsid w:val="009078D4"/>
    <w:rsid w:val="00920E2A"/>
    <w:rsid w:val="0092233C"/>
    <w:rsid w:val="0092251D"/>
    <w:rsid w:val="0095496F"/>
    <w:rsid w:val="00954E9D"/>
    <w:rsid w:val="0095749A"/>
    <w:rsid w:val="00961A29"/>
    <w:rsid w:val="0096463C"/>
    <w:rsid w:val="009664A2"/>
    <w:rsid w:val="00966B2E"/>
    <w:rsid w:val="00966FEC"/>
    <w:rsid w:val="00973F1D"/>
    <w:rsid w:val="00976D75"/>
    <w:rsid w:val="009770B0"/>
    <w:rsid w:val="009840C5"/>
    <w:rsid w:val="0098516E"/>
    <w:rsid w:val="009920A6"/>
    <w:rsid w:val="00995B10"/>
    <w:rsid w:val="009B2ED0"/>
    <w:rsid w:val="009B2F02"/>
    <w:rsid w:val="009C229C"/>
    <w:rsid w:val="009C3247"/>
    <w:rsid w:val="009C6815"/>
    <w:rsid w:val="009D2AE6"/>
    <w:rsid w:val="009D373D"/>
    <w:rsid w:val="009D4A3E"/>
    <w:rsid w:val="009D5AB4"/>
    <w:rsid w:val="009E032D"/>
    <w:rsid w:val="009E0CC4"/>
    <w:rsid w:val="009E156C"/>
    <w:rsid w:val="009E17F8"/>
    <w:rsid w:val="009F06AF"/>
    <w:rsid w:val="009F315B"/>
    <w:rsid w:val="00A01113"/>
    <w:rsid w:val="00A02E0B"/>
    <w:rsid w:val="00A120E0"/>
    <w:rsid w:val="00A164C1"/>
    <w:rsid w:val="00A208E0"/>
    <w:rsid w:val="00A20EF7"/>
    <w:rsid w:val="00A26DBC"/>
    <w:rsid w:val="00A32F1D"/>
    <w:rsid w:val="00A33670"/>
    <w:rsid w:val="00A36B54"/>
    <w:rsid w:val="00A379BC"/>
    <w:rsid w:val="00A4369C"/>
    <w:rsid w:val="00A4497D"/>
    <w:rsid w:val="00A460FD"/>
    <w:rsid w:val="00A50818"/>
    <w:rsid w:val="00A56D0C"/>
    <w:rsid w:val="00A651CE"/>
    <w:rsid w:val="00A70098"/>
    <w:rsid w:val="00A7031D"/>
    <w:rsid w:val="00A710F7"/>
    <w:rsid w:val="00A71D3D"/>
    <w:rsid w:val="00A72261"/>
    <w:rsid w:val="00A76055"/>
    <w:rsid w:val="00A85637"/>
    <w:rsid w:val="00A86240"/>
    <w:rsid w:val="00A87EB9"/>
    <w:rsid w:val="00A946B1"/>
    <w:rsid w:val="00A97417"/>
    <w:rsid w:val="00AA3BB8"/>
    <w:rsid w:val="00AA445F"/>
    <w:rsid w:val="00AB2B45"/>
    <w:rsid w:val="00AB32DA"/>
    <w:rsid w:val="00AB4662"/>
    <w:rsid w:val="00AB76F6"/>
    <w:rsid w:val="00AC36F4"/>
    <w:rsid w:val="00AC5D3A"/>
    <w:rsid w:val="00AC6A52"/>
    <w:rsid w:val="00AC705F"/>
    <w:rsid w:val="00AC747D"/>
    <w:rsid w:val="00AD1A55"/>
    <w:rsid w:val="00AD2E63"/>
    <w:rsid w:val="00AD3F41"/>
    <w:rsid w:val="00AE25CA"/>
    <w:rsid w:val="00AE2B5F"/>
    <w:rsid w:val="00AE389D"/>
    <w:rsid w:val="00AE5894"/>
    <w:rsid w:val="00AF0638"/>
    <w:rsid w:val="00AF09BF"/>
    <w:rsid w:val="00AF17CF"/>
    <w:rsid w:val="00AF2ACD"/>
    <w:rsid w:val="00B030D6"/>
    <w:rsid w:val="00B06121"/>
    <w:rsid w:val="00B07177"/>
    <w:rsid w:val="00B15F19"/>
    <w:rsid w:val="00B20482"/>
    <w:rsid w:val="00B20DDB"/>
    <w:rsid w:val="00B2293B"/>
    <w:rsid w:val="00B23413"/>
    <w:rsid w:val="00B25517"/>
    <w:rsid w:val="00B27347"/>
    <w:rsid w:val="00B325F5"/>
    <w:rsid w:val="00B34ABD"/>
    <w:rsid w:val="00B37CAA"/>
    <w:rsid w:val="00B431C5"/>
    <w:rsid w:val="00B4600A"/>
    <w:rsid w:val="00B63B76"/>
    <w:rsid w:val="00B674AA"/>
    <w:rsid w:val="00B67FCD"/>
    <w:rsid w:val="00B7728E"/>
    <w:rsid w:val="00B775B5"/>
    <w:rsid w:val="00B800CD"/>
    <w:rsid w:val="00B81302"/>
    <w:rsid w:val="00B842B9"/>
    <w:rsid w:val="00B84B68"/>
    <w:rsid w:val="00B86D9C"/>
    <w:rsid w:val="00B8715F"/>
    <w:rsid w:val="00B90F1D"/>
    <w:rsid w:val="00B9287D"/>
    <w:rsid w:val="00B93268"/>
    <w:rsid w:val="00BB5BFF"/>
    <w:rsid w:val="00BB715D"/>
    <w:rsid w:val="00BC1A73"/>
    <w:rsid w:val="00BC2FE4"/>
    <w:rsid w:val="00BC3B2B"/>
    <w:rsid w:val="00BC5AC8"/>
    <w:rsid w:val="00BC6EC6"/>
    <w:rsid w:val="00BC7F97"/>
    <w:rsid w:val="00BD0E93"/>
    <w:rsid w:val="00BD2DDD"/>
    <w:rsid w:val="00BE69E4"/>
    <w:rsid w:val="00BF0004"/>
    <w:rsid w:val="00BF22C6"/>
    <w:rsid w:val="00BF294E"/>
    <w:rsid w:val="00BF6777"/>
    <w:rsid w:val="00BF7D71"/>
    <w:rsid w:val="00C0056C"/>
    <w:rsid w:val="00C03E92"/>
    <w:rsid w:val="00C04FCF"/>
    <w:rsid w:val="00C05A4C"/>
    <w:rsid w:val="00C067DC"/>
    <w:rsid w:val="00C11D63"/>
    <w:rsid w:val="00C14971"/>
    <w:rsid w:val="00C14DDF"/>
    <w:rsid w:val="00C155D4"/>
    <w:rsid w:val="00C16BBE"/>
    <w:rsid w:val="00C21A53"/>
    <w:rsid w:val="00C21EB9"/>
    <w:rsid w:val="00C23C4B"/>
    <w:rsid w:val="00C25818"/>
    <w:rsid w:val="00C25A77"/>
    <w:rsid w:val="00C30827"/>
    <w:rsid w:val="00C32434"/>
    <w:rsid w:val="00C3365D"/>
    <w:rsid w:val="00C437BD"/>
    <w:rsid w:val="00C448A0"/>
    <w:rsid w:val="00C559D7"/>
    <w:rsid w:val="00C564A1"/>
    <w:rsid w:val="00C66C42"/>
    <w:rsid w:val="00C6755B"/>
    <w:rsid w:val="00C75981"/>
    <w:rsid w:val="00C9297B"/>
    <w:rsid w:val="00C95DB6"/>
    <w:rsid w:val="00CA0F2A"/>
    <w:rsid w:val="00CA1C6E"/>
    <w:rsid w:val="00CA53B7"/>
    <w:rsid w:val="00CB10A3"/>
    <w:rsid w:val="00CB2590"/>
    <w:rsid w:val="00CB7AB8"/>
    <w:rsid w:val="00CC0F89"/>
    <w:rsid w:val="00CC4CB2"/>
    <w:rsid w:val="00CC4E27"/>
    <w:rsid w:val="00CC50CA"/>
    <w:rsid w:val="00CC6451"/>
    <w:rsid w:val="00CD6433"/>
    <w:rsid w:val="00CD7344"/>
    <w:rsid w:val="00CE6214"/>
    <w:rsid w:val="00CF2F45"/>
    <w:rsid w:val="00CF37FE"/>
    <w:rsid w:val="00CF3A42"/>
    <w:rsid w:val="00CF77D8"/>
    <w:rsid w:val="00D01F5D"/>
    <w:rsid w:val="00D12B0F"/>
    <w:rsid w:val="00D12CF8"/>
    <w:rsid w:val="00D13023"/>
    <w:rsid w:val="00D14790"/>
    <w:rsid w:val="00D14E87"/>
    <w:rsid w:val="00D24873"/>
    <w:rsid w:val="00D24CCD"/>
    <w:rsid w:val="00D30EBB"/>
    <w:rsid w:val="00D319E5"/>
    <w:rsid w:val="00D359EB"/>
    <w:rsid w:val="00D369AA"/>
    <w:rsid w:val="00D43F66"/>
    <w:rsid w:val="00D517CC"/>
    <w:rsid w:val="00D53546"/>
    <w:rsid w:val="00D54266"/>
    <w:rsid w:val="00D55157"/>
    <w:rsid w:val="00D56012"/>
    <w:rsid w:val="00D56F8A"/>
    <w:rsid w:val="00D75A3B"/>
    <w:rsid w:val="00D7727A"/>
    <w:rsid w:val="00D818B4"/>
    <w:rsid w:val="00D82344"/>
    <w:rsid w:val="00D85412"/>
    <w:rsid w:val="00DA45B9"/>
    <w:rsid w:val="00DA49F3"/>
    <w:rsid w:val="00DA5C25"/>
    <w:rsid w:val="00DA6C76"/>
    <w:rsid w:val="00DA72D5"/>
    <w:rsid w:val="00DB5036"/>
    <w:rsid w:val="00DB5B67"/>
    <w:rsid w:val="00DC2F38"/>
    <w:rsid w:val="00DC44B1"/>
    <w:rsid w:val="00DC5BFA"/>
    <w:rsid w:val="00DD44C3"/>
    <w:rsid w:val="00DD5AE2"/>
    <w:rsid w:val="00DD6EEC"/>
    <w:rsid w:val="00DE0F26"/>
    <w:rsid w:val="00DE18AF"/>
    <w:rsid w:val="00DE1ED5"/>
    <w:rsid w:val="00DE47D0"/>
    <w:rsid w:val="00DF04B5"/>
    <w:rsid w:val="00DF1386"/>
    <w:rsid w:val="00DF1AC0"/>
    <w:rsid w:val="00DF3A0B"/>
    <w:rsid w:val="00DF4039"/>
    <w:rsid w:val="00DF54BF"/>
    <w:rsid w:val="00E000F8"/>
    <w:rsid w:val="00E000FB"/>
    <w:rsid w:val="00E0224C"/>
    <w:rsid w:val="00E03632"/>
    <w:rsid w:val="00E0529C"/>
    <w:rsid w:val="00E176D5"/>
    <w:rsid w:val="00E224D4"/>
    <w:rsid w:val="00E2406D"/>
    <w:rsid w:val="00E30108"/>
    <w:rsid w:val="00E30C95"/>
    <w:rsid w:val="00E35C77"/>
    <w:rsid w:val="00E36E02"/>
    <w:rsid w:val="00E501E9"/>
    <w:rsid w:val="00E51930"/>
    <w:rsid w:val="00E520C5"/>
    <w:rsid w:val="00E52896"/>
    <w:rsid w:val="00E6069D"/>
    <w:rsid w:val="00E61EB7"/>
    <w:rsid w:val="00E71BA7"/>
    <w:rsid w:val="00E74CBA"/>
    <w:rsid w:val="00E761C9"/>
    <w:rsid w:val="00E76C4A"/>
    <w:rsid w:val="00E807B0"/>
    <w:rsid w:val="00E82F60"/>
    <w:rsid w:val="00E84FA4"/>
    <w:rsid w:val="00E922F6"/>
    <w:rsid w:val="00E93C44"/>
    <w:rsid w:val="00E951EA"/>
    <w:rsid w:val="00E954C0"/>
    <w:rsid w:val="00E96001"/>
    <w:rsid w:val="00EA0408"/>
    <w:rsid w:val="00EA34FB"/>
    <w:rsid w:val="00EB03B7"/>
    <w:rsid w:val="00EB1285"/>
    <w:rsid w:val="00EB1F80"/>
    <w:rsid w:val="00EB5BB9"/>
    <w:rsid w:val="00EC0BC4"/>
    <w:rsid w:val="00EC3D8F"/>
    <w:rsid w:val="00EC4E7A"/>
    <w:rsid w:val="00EC5113"/>
    <w:rsid w:val="00ED23C3"/>
    <w:rsid w:val="00ED35CF"/>
    <w:rsid w:val="00ED4FEB"/>
    <w:rsid w:val="00EE726C"/>
    <w:rsid w:val="00EF072F"/>
    <w:rsid w:val="00EF0A98"/>
    <w:rsid w:val="00EF15A3"/>
    <w:rsid w:val="00EF28BA"/>
    <w:rsid w:val="00EF349F"/>
    <w:rsid w:val="00EF5F29"/>
    <w:rsid w:val="00EF7324"/>
    <w:rsid w:val="00EF77B0"/>
    <w:rsid w:val="00F029D7"/>
    <w:rsid w:val="00F060BF"/>
    <w:rsid w:val="00F07910"/>
    <w:rsid w:val="00F10D8F"/>
    <w:rsid w:val="00F1382A"/>
    <w:rsid w:val="00F20B2E"/>
    <w:rsid w:val="00F232E4"/>
    <w:rsid w:val="00F26202"/>
    <w:rsid w:val="00F309BD"/>
    <w:rsid w:val="00F34815"/>
    <w:rsid w:val="00F408F5"/>
    <w:rsid w:val="00F42CCA"/>
    <w:rsid w:val="00F60B26"/>
    <w:rsid w:val="00F65B2E"/>
    <w:rsid w:val="00F66E74"/>
    <w:rsid w:val="00F67C73"/>
    <w:rsid w:val="00F758D6"/>
    <w:rsid w:val="00F76F76"/>
    <w:rsid w:val="00F8562F"/>
    <w:rsid w:val="00F92F2E"/>
    <w:rsid w:val="00F92F61"/>
    <w:rsid w:val="00FA60D2"/>
    <w:rsid w:val="00FB2B26"/>
    <w:rsid w:val="00FB2F4C"/>
    <w:rsid w:val="00FB4A0A"/>
    <w:rsid w:val="00FB72F5"/>
    <w:rsid w:val="00FB745E"/>
    <w:rsid w:val="00FC61C6"/>
    <w:rsid w:val="00FD1FD0"/>
    <w:rsid w:val="00FD2496"/>
    <w:rsid w:val="00FD5F22"/>
    <w:rsid w:val="00FD62D3"/>
    <w:rsid w:val="00FD69DA"/>
    <w:rsid w:val="00FD6B48"/>
    <w:rsid w:val="00FD6E0B"/>
    <w:rsid w:val="00FD7A26"/>
    <w:rsid w:val="00FE0AF3"/>
    <w:rsid w:val="00FE270D"/>
    <w:rsid w:val="00FE5173"/>
    <w:rsid w:val="00FF0387"/>
    <w:rsid w:val="00FF255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before="200"/>
        <w:ind w:left="714"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DAE"/>
    <w:pPr>
      <w:spacing w:before="0" w:after="60"/>
      <w:ind w:left="0" w:firstLine="0"/>
    </w:pPr>
    <w:rPr>
      <w:rFonts w:ascii="Times New Roman" w:hAnsi="Times New Roman"/>
    </w:rPr>
  </w:style>
  <w:style w:type="paragraph" w:styleId="Heading1">
    <w:name w:val="heading 1"/>
    <w:basedOn w:val="Normal"/>
    <w:next w:val="Normal"/>
    <w:link w:val="Heading1Char"/>
    <w:uiPriority w:val="9"/>
    <w:qFormat/>
    <w:rsid w:val="0079207E"/>
    <w:pPr>
      <w:keepNext/>
      <w:keepLines/>
      <w:numPr>
        <w:numId w:val="6"/>
      </w:numPr>
      <w:spacing w:before="480" w:after="0"/>
      <w:outlineLvl w:val="0"/>
    </w:pPr>
    <w:rPr>
      <w:rFonts w:eastAsiaTheme="majorEastAsia" w:cstheme="majorBidi"/>
      <w:bCs/>
      <w:smallCaps/>
      <w:sz w:val="28"/>
      <w:szCs w:val="28"/>
    </w:rPr>
  </w:style>
  <w:style w:type="paragraph" w:styleId="Heading2">
    <w:name w:val="heading 2"/>
    <w:basedOn w:val="Normal"/>
    <w:next w:val="Normal"/>
    <w:link w:val="Heading2Char"/>
    <w:uiPriority w:val="9"/>
    <w:unhideWhenUsed/>
    <w:qFormat/>
    <w:rsid w:val="0079207E"/>
    <w:pPr>
      <w:keepNext/>
      <w:keepLines/>
      <w:spacing w:after="0"/>
      <w:outlineLvl w:val="1"/>
    </w:pPr>
    <w:rPr>
      <w:rFonts w:eastAsiaTheme="majorEastAsia" w:cstheme="majorBidi"/>
      <w:bCs/>
      <w:smallCaps/>
      <w:szCs w:val="26"/>
    </w:rPr>
  </w:style>
  <w:style w:type="paragraph" w:styleId="Heading3">
    <w:name w:val="heading 3"/>
    <w:basedOn w:val="Normal"/>
    <w:next w:val="Normal"/>
    <w:link w:val="Heading3Char"/>
    <w:uiPriority w:val="9"/>
    <w:unhideWhenUsed/>
    <w:qFormat/>
    <w:rsid w:val="00031DCE"/>
    <w:pPr>
      <w:keepNext/>
      <w:keepLines/>
      <w:spacing w:before="200" w:after="0"/>
      <w:outlineLvl w:val="2"/>
    </w:pPr>
    <w:rPr>
      <w:rFonts w:eastAsiaTheme="majorEastAsia" w:cstheme="majorBidi"/>
      <w:bCs/>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12B0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aliases w:val="fn,Texto de rodapé,nota_rodapé,nota de rodapé,footnote,single space,FOOTNOTES,Footnote Text Char Char,foottextf,Geneva 9,Font: Geneva 9,Boston 10,f,footnote text,foottextfr,Footnote Text arial11"/>
    <w:basedOn w:val="Normal"/>
    <w:link w:val="FootnoteTextChar"/>
    <w:uiPriority w:val="99"/>
    <w:unhideWhenUsed/>
    <w:rsid w:val="008655AF"/>
    <w:pPr>
      <w:spacing w:after="0"/>
    </w:pPr>
    <w:rPr>
      <w:sz w:val="18"/>
      <w:szCs w:val="20"/>
    </w:rPr>
  </w:style>
  <w:style w:type="character" w:customStyle="1" w:styleId="FootnoteTextChar">
    <w:name w:val="Footnote Text Char"/>
    <w:aliases w:val="fn Char1,Texto de rodapé Char1,nota_rodapé Char1,nota de rodapé Char1,footnote Char1,single space Char1,FOOTNOTES Char1,Footnote Text Char Char Char1,foottextf Char1,Geneva 9 Char1,Font: Geneva 9 Char1,Boston 10 Char1,f Char"/>
    <w:basedOn w:val="DefaultParagraphFont"/>
    <w:link w:val="FootnoteText"/>
    <w:uiPriority w:val="99"/>
    <w:rsid w:val="008655AF"/>
    <w:rPr>
      <w:rFonts w:ascii="Times New Roman" w:hAnsi="Times New Roman"/>
      <w:sz w:val="18"/>
      <w:szCs w:val="20"/>
    </w:rPr>
  </w:style>
  <w:style w:type="character" w:styleId="FootnoteReference">
    <w:name w:val="footnote reference"/>
    <w:aliases w:val="Footnote Referencef,FC,16 Point,Superscript 6 Point,Footnote Referencefr,Style 24,F1,Footnote Referencefra,de nota al pie,(Ref. de nota al pie)"/>
    <w:basedOn w:val="DefaultParagraphFont"/>
    <w:uiPriority w:val="99"/>
    <w:unhideWhenUsed/>
    <w:rsid w:val="00D53546"/>
    <w:rPr>
      <w:vertAlign w:val="superscript"/>
    </w:rPr>
  </w:style>
  <w:style w:type="paragraph" w:styleId="ListParagraph">
    <w:name w:val="List Paragraph"/>
    <w:basedOn w:val="Normal"/>
    <w:uiPriority w:val="34"/>
    <w:qFormat/>
    <w:rsid w:val="00805AB6"/>
    <w:pPr>
      <w:ind w:left="357"/>
      <w:contextualSpacing/>
    </w:pPr>
  </w:style>
  <w:style w:type="character" w:customStyle="1" w:styleId="Heading1Char">
    <w:name w:val="Heading 1 Char"/>
    <w:basedOn w:val="DefaultParagraphFont"/>
    <w:link w:val="Heading1"/>
    <w:uiPriority w:val="9"/>
    <w:rsid w:val="0079207E"/>
    <w:rPr>
      <w:rFonts w:ascii="Times New Roman" w:eastAsiaTheme="majorEastAsia" w:hAnsi="Times New Roman" w:cstheme="majorBidi"/>
      <w:bCs/>
      <w:smallCaps/>
      <w:sz w:val="28"/>
      <w:szCs w:val="28"/>
    </w:rPr>
  </w:style>
  <w:style w:type="character" w:customStyle="1" w:styleId="Heading2Char">
    <w:name w:val="Heading 2 Char"/>
    <w:basedOn w:val="DefaultParagraphFont"/>
    <w:link w:val="Heading2"/>
    <w:uiPriority w:val="9"/>
    <w:rsid w:val="0079207E"/>
    <w:rPr>
      <w:rFonts w:ascii="Times New Roman" w:eastAsiaTheme="majorEastAsia" w:hAnsi="Times New Roman" w:cstheme="majorBidi"/>
      <w:bCs/>
      <w:smallCaps/>
      <w:szCs w:val="26"/>
    </w:rPr>
  </w:style>
  <w:style w:type="character" w:customStyle="1" w:styleId="Heading3Char">
    <w:name w:val="Heading 3 Char"/>
    <w:basedOn w:val="DefaultParagraphFont"/>
    <w:link w:val="Heading3"/>
    <w:uiPriority w:val="9"/>
    <w:rsid w:val="000A0DAE"/>
    <w:rPr>
      <w:rFonts w:ascii="Times New Roman" w:eastAsiaTheme="majorEastAsia" w:hAnsi="Times New Roman" w:cstheme="majorBidi"/>
      <w:bCs/>
      <w:i/>
      <w:u w:val="single"/>
    </w:rPr>
  </w:style>
  <w:style w:type="paragraph" w:styleId="TOCHeading">
    <w:name w:val="TOC Heading"/>
    <w:basedOn w:val="Heading1"/>
    <w:next w:val="Normal"/>
    <w:uiPriority w:val="39"/>
    <w:unhideWhenUsed/>
    <w:qFormat/>
    <w:rsid w:val="001E2357"/>
    <w:pPr>
      <w:numPr>
        <w:numId w:val="0"/>
      </w:numPr>
      <w:spacing w:line="276" w:lineRule="auto"/>
      <w:jc w:val="left"/>
      <w:outlineLvl w:val="9"/>
    </w:pPr>
    <w:rPr>
      <w:rFonts w:asciiTheme="majorHAnsi" w:hAnsiTheme="majorHAnsi"/>
      <w:b/>
      <w:smallCaps w:val="0"/>
      <w:color w:val="365F91" w:themeColor="accent1" w:themeShade="BF"/>
      <w:lang w:val="en-US" w:eastAsia="en-US"/>
    </w:rPr>
  </w:style>
  <w:style w:type="paragraph" w:styleId="TOC1">
    <w:name w:val="toc 1"/>
    <w:basedOn w:val="Normal"/>
    <w:next w:val="Normal"/>
    <w:autoRedefine/>
    <w:uiPriority w:val="39"/>
    <w:unhideWhenUsed/>
    <w:rsid w:val="001E2357"/>
    <w:pPr>
      <w:spacing w:after="100"/>
    </w:pPr>
  </w:style>
  <w:style w:type="paragraph" w:styleId="TOC2">
    <w:name w:val="toc 2"/>
    <w:basedOn w:val="Normal"/>
    <w:next w:val="Normal"/>
    <w:autoRedefine/>
    <w:uiPriority w:val="39"/>
    <w:unhideWhenUsed/>
    <w:rsid w:val="00303FEB"/>
    <w:pPr>
      <w:tabs>
        <w:tab w:val="left" w:pos="660"/>
        <w:tab w:val="right" w:leader="dot" w:pos="9016"/>
      </w:tabs>
      <w:spacing w:after="100"/>
      <w:ind w:left="220"/>
    </w:pPr>
  </w:style>
  <w:style w:type="character" w:styleId="Hyperlink">
    <w:name w:val="Hyperlink"/>
    <w:basedOn w:val="DefaultParagraphFont"/>
    <w:uiPriority w:val="99"/>
    <w:unhideWhenUsed/>
    <w:rsid w:val="001E2357"/>
    <w:rPr>
      <w:color w:val="0000FF" w:themeColor="hyperlink"/>
      <w:u w:val="single"/>
    </w:rPr>
  </w:style>
  <w:style w:type="paragraph" w:styleId="BalloonText">
    <w:name w:val="Balloon Text"/>
    <w:basedOn w:val="Normal"/>
    <w:link w:val="BalloonTextChar"/>
    <w:uiPriority w:val="99"/>
    <w:semiHidden/>
    <w:unhideWhenUsed/>
    <w:rsid w:val="001E235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357"/>
    <w:rPr>
      <w:rFonts w:ascii="Tahoma" w:hAnsi="Tahoma" w:cs="Tahoma"/>
      <w:sz w:val="16"/>
      <w:szCs w:val="16"/>
    </w:rPr>
  </w:style>
  <w:style w:type="paragraph" w:styleId="TOC3">
    <w:name w:val="toc 3"/>
    <w:basedOn w:val="Normal"/>
    <w:next w:val="Normal"/>
    <w:autoRedefine/>
    <w:uiPriority w:val="39"/>
    <w:unhideWhenUsed/>
    <w:rsid w:val="003F286D"/>
    <w:pPr>
      <w:spacing w:after="100"/>
      <w:ind w:left="440"/>
    </w:pPr>
  </w:style>
  <w:style w:type="paragraph" w:styleId="Header">
    <w:name w:val="header"/>
    <w:basedOn w:val="Normal"/>
    <w:link w:val="HeaderChar"/>
    <w:uiPriority w:val="99"/>
    <w:semiHidden/>
    <w:unhideWhenUsed/>
    <w:rsid w:val="004543E0"/>
    <w:pPr>
      <w:tabs>
        <w:tab w:val="center" w:pos="4513"/>
        <w:tab w:val="right" w:pos="9026"/>
      </w:tabs>
      <w:spacing w:after="0"/>
    </w:pPr>
  </w:style>
  <w:style w:type="character" w:customStyle="1" w:styleId="HeaderChar">
    <w:name w:val="Header Char"/>
    <w:basedOn w:val="DefaultParagraphFont"/>
    <w:link w:val="Header"/>
    <w:uiPriority w:val="99"/>
    <w:semiHidden/>
    <w:rsid w:val="004543E0"/>
    <w:rPr>
      <w:rFonts w:ascii="Times New Roman" w:hAnsi="Times New Roman"/>
    </w:rPr>
  </w:style>
  <w:style w:type="paragraph" w:styleId="Footer">
    <w:name w:val="footer"/>
    <w:basedOn w:val="Normal"/>
    <w:link w:val="FooterChar"/>
    <w:uiPriority w:val="99"/>
    <w:unhideWhenUsed/>
    <w:rsid w:val="004543E0"/>
    <w:pPr>
      <w:tabs>
        <w:tab w:val="center" w:pos="4513"/>
        <w:tab w:val="right" w:pos="9026"/>
      </w:tabs>
      <w:spacing w:after="0"/>
    </w:pPr>
  </w:style>
  <w:style w:type="character" w:customStyle="1" w:styleId="FooterChar">
    <w:name w:val="Footer Char"/>
    <w:basedOn w:val="DefaultParagraphFont"/>
    <w:link w:val="Footer"/>
    <w:uiPriority w:val="99"/>
    <w:rsid w:val="004543E0"/>
    <w:rPr>
      <w:rFonts w:ascii="Times New Roman" w:hAnsi="Times New Roman"/>
    </w:rPr>
  </w:style>
  <w:style w:type="character" w:styleId="CommentReference">
    <w:name w:val="annotation reference"/>
    <w:basedOn w:val="DefaultParagraphFont"/>
    <w:uiPriority w:val="99"/>
    <w:semiHidden/>
    <w:unhideWhenUsed/>
    <w:rsid w:val="00282D9F"/>
    <w:rPr>
      <w:sz w:val="16"/>
      <w:szCs w:val="16"/>
    </w:rPr>
  </w:style>
  <w:style w:type="paragraph" w:styleId="CommentText">
    <w:name w:val="annotation text"/>
    <w:basedOn w:val="Normal"/>
    <w:link w:val="CommentTextChar"/>
    <w:uiPriority w:val="99"/>
    <w:semiHidden/>
    <w:unhideWhenUsed/>
    <w:rsid w:val="00282D9F"/>
    <w:rPr>
      <w:sz w:val="20"/>
      <w:szCs w:val="20"/>
    </w:rPr>
  </w:style>
  <w:style w:type="character" w:customStyle="1" w:styleId="CommentTextChar">
    <w:name w:val="Comment Text Char"/>
    <w:basedOn w:val="DefaultParagraphFont"/>
    <w:link w:val="CommentText"/>
    <w:uiPriority w:val="99"/>
    <w:semiHidden/>
    <w:rsid w:val="00282D9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82D9F"/>
    <w:rPr>
      <w:b/>
      <w:bCs/>
    </w:rPr>
  </w:style>
  <w:style w:type="character" w:customStyle="1" w:styleId="CommentSubjectChar">
    <w:name w:val="Comment Subject Char"/>
    <w:basedOn w:val="CommentTextChar"/>
    <w:link w:val="CommentSubject"/>
    <w:uiPriority w:val="99"/>
    <w:semiHidden/>
    <w:rsid w:val="00282D9F"/>
    <w:rPr>
      <w:rFonts w:ascii="Times New Roman" w:hAnsi="Times New Roman"/>
      <w:b/>
      <w:bCs/>
      <w:sz w:val="20"/>
      <w:szCs w:val="20"/>
    </w:rPr>
  </w:style>
  <w:style w:type="paragraph" w:styleId="Revision">
    <w:name w:val="Revision"/>
    <w:hidden/>
    <w:uiPriority w:val="99"/>
    <w:semiHidden/>
    <w:rsid w:val="00282D9F"/>
    <w:pPr>
      <w:spacing w:before="0"/>
      <w:ind w:left="0" w:firstLine="0"/>
      <w:jc w:val="left"/>
    </w:pPr>
    <w:rPr>
      <w:rFonts w:ascii="Times New Roman" w:hAnsi="Times New Roman"/>
    </w:rPr>
  </w:style>
  <w:style w:type="character" w:customStyle="1" w:styleId="FootnoteTextChar1">
    <w:name w:val="Footnote Text Char1"/>
    <w:aliases w:val="fn Char,Texto de rodapé Char,nota_rodapé Char,nota de rodapé Char,footnote Char,single space Char,FOOTNOTES Char,Footnote Text Char Char Char,Footnote Text Char Char1,foottextf Char,Geneva 9 Char,Font: Geneva 9 Char,Boston 10 Char"/>
    <w:rsid w:val="00555CA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before="200"/>
        <w:ind w:left="714"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DAE"/>
    <w:pPr>
      <w:spacing w:before="0" w:after="60"/>
      <w:ind w:left="0" w:firstLine="0"/>
    </w:pPr>
    <w:rPr>
      <w:rFonts w:ascii="Times New Roman" w:hAnsi="Times New Roman"/>
    </w:rPr>
  </w:style>
  <w:style w:type="paragraph" w:styleId="Heading1">
    <w:name w:val="heading 1"/>
    <w:basedOn w:val="Normal"/>
    <w:next w:val="Normal"/>
    <w:link w:val="Heading1Char"/>
    <w:uiPriority w:val="9"/>
    <w:qFormat/>
    <w:rsid w:val="0079207E"/>
    <w:pPr>
      <w:keepNext/>
      <w:keepLines/>
      <w:numPr>
        <w:numId w:val="6"/>
      </w:numPr>
      <w:spacing w:before="480" w:after="0"/>
      <w:outlineLvl w:val="0"/>
    </w:pPr>
    <w:rPr>
      <w:rFonts w:eastAsiaTheme="majorEastAsia" w:cstheme="majorBidi"/>
      <w:bCs/>
      <w:smallCaps/>
      <w:sz w:val="28"/>
      <w:szCs w:val="28"/>
    </w:rPr>
  </w:style>
  <w:style w:type="paragraph" w:styleId="Heading2">
    <w:name w:val="heading 2"/>
    <w:basedOn w:val="Normal"/>
    <w:next w:val="Normal"/>
    <w:link w:val="Heading2Char"/>
    <w:uiPriority w:val="9"/>
    <w:unhideWhenUsed/>
    <w:qFormat/>
    <w:rsid w:val="0079207E"/>
    <w:pPr>
      <w:keepNext/>
      <w:keepLines/>
      <w:spacing w:after="0"/>
      <w:outlineLvl w:val="1"/>
    </w:pPr>
    <w:rPr>
      <w:rFonts w:eastAsiaTheme="majorEastAsia" w:cstheme="majorBidi"/>
      <w:bCs/>
      <w:smallCaps/>
      <w:szCs w:val="26"/>
    </w:rPr>
  </w:style>
  <w:style w:type="paragraph" w:styleId="Heading3">
    <w:name w:val="heading 3"/>
    <w:basedOn w:val="Normal"/>
    <w:next w:val="Normal"/>
    <w:link w:val="Heading3Char"/>
    <w:uiPriority w:val="9"/>
    <w:unhideWhenUsed/>
    <w:qFormat/>
    <w:rsid w:val="00031DCE"/>
    <w:pPr>
      <w:keepNext/>
      <w:keepLines/>
      <w:spacing w:before="200" w:after="0"/>
      <w:outlineLvl w:val="2"/>
    </w:pPr>
    <w:rPr>
      <w:rFonts w:eastAsiaTheme="majorEastAsia" w:cstheme="majorBidi"/>
      <w:bCs/>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12B0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aliases w:val="fn,Texto de rodapé,nota_rodapé,nota de rodapé,footnote,single space,FOOTNOTES,Footnote Text Char Char,foottextf,Geneva 9,Font: Geneva 9,Boston 10,f,footnote text,foottextfr,Footnote Text arial11"/>
    <w:basedOn w:val="Normal"/>
    <w:link w:val="FootnoteTextChar"/>
    <w:uiPriority w:val="99"/>
    <w:unhideWhenUsed/>
    <w:rsid w:val="008655AF"/>
    <w:pPr>
      <w:spacing w:after="0"/>
    </w:pPr>
    <w:rPr>
      <w:sz w:val="18"/>
      <w:szCs w:val="20"/>
    </w:rPr>
  </w:style>
  <w:style w:type="character" w:customStyle="1" w:styleId="FootnoteTextChar">
    <w:name w:val="Footnote Text Char"/>
    <w:aliases w:val="fn Char1,Texto de rodapé Char1,nota_rodapé Char1,nota de rodapé Char1,footnote Char1,single space Char1,FOOTNOTES Char1,Footnote Text Char Char Char1,foottextf Char1,Geneva 9 Char1,Font: Geneva 9 Char1,Boston 10 Char1,f Char"/>
    <w:basedOn w:val="DefaultParagraphFont"/>
    <w:link w:val="FootnoteText"/>
    <w:uiPriority w:val="99"/>
    <w:rsid w:val="008655AF"/>
    <w:rPr>
      <w:rFonts w:ascii="Times New Roman" w:hAnsi="Times New Roman"/>
      <w:sz w:val="18"/>
      <w:szCs w:val="20"/>
    </w:rPr>
  </w:style>
  <w:style w:type="character" w:styleId="FootnoteReference">
    <w:name w:val="footnote reference"/>
    <w:aliases w:val="Footnote Referencef,FC,16 Point,Superscript 6 Point,Footnote Referencefr,Style 24,F1,Footnote Referencefra,de nota al pie,(Ref. de nota al pie)"/>
    <w:basedOn w:val="DefaultParagraphFont"/>
    <w:uiPriority w:val="99"/>
    <w:unhideWhenUsed/>
    <w:rsid w:val="00D53546"/>
    <w:rPr>
      <w:vertAlign w:val="superscript"/>
    </w:rPr>
  </w:style>
  <w:style w:type="paragraph" w:styleId="ListParagraph">
    <w:name w:val="List Paragraph"/>
    <w:basedOn w:val="Normal"/>
    <w:uiPriority w:val="34"/>
    <w:qFormat/>
    <w:rsid w:val="00805AB6"/>
    <w:pPr>
      <w:ind w:left="357"/>
      <w:contextualSpacing/>
    </w:pPr>
  </w:style>
  <w:style w:type="character" w:customStyle="1" w:styleId="Heading1Char">
    <w:name w:val="Heading 1 Char"/>
    <w:basedOn w:val="DefaultParagraphFont"/>
    <w:link w:val="Heading1"/>
    <w:uiPriority w:val="9"/>
    <w:rsid w:val="0079207E"/>
    <w:rPr>
      <w:rFonts w:ascii="Times New Roman" w:eastAsiaTheme="majorEastAsia" w:hAnsi="Times New Roman" w:cstheme="majorBidi"/>
      <w:bCs/>
      <w:smallCaps/>
      <w:sz w:val="28"/>
      <w:szCs w:val="28"/>
    </w:rPr>
  </w:style>
  <w:style w:type="character" w:customStyle="1" w:styleId="Heading2Char">
    <w:name w:val="Heading 2 Char"/>
    <w:basedOn w:val="DefaultParagraphFont"/>
    <w:link w:val="Heading2"/>
    <w:uiPriority w:val="9"/>
    <w:rsid w:val="0079207E"/>
    <w:rPr>
      <w:rFonts w:ascii="Times New Roman" w:eastAsiaTheme="majorEastAsia" w:hAnsi="Times New Roman" w:cstheme="majorBidi"/>
      <w:bCs/>
      <w:smallCaps/>
      <w:szCs w:val="26"/>
    </w:rPr>
  </w:style>
  <w:style w:type="character" w:customStyle="1" w:styleId="Heading3Char">
    <w:name w:val="Heading 3 Char"/>
    <w:basedOn w:val="DefaultParagraphFont"/>
    <w:link w:val="Heading3"/>
    <w:uiPriority w:val="9"/>
    <w:rsid w:val="000A0DAE"/>
    <w:rPr>
      <w:rFonts w:ascii="Times New Roman" w:eastAsiaTheme="majorEastAsia" w:hAnsi="Times New Roman" w:cstheme="majorBidi"/>
      <w:bCs/>
      <w:i/>
      <w:u w:val="single"/>
    </w:rPr>
  </w:style>
  <w:style w:type="paragraph" w:styleId="TOCHeading">
    <w:name w:val="TOC Heading"/>
    <w:basedOn w:val="Heading1"/>
    <w:next w:val="Normal"/>
    <w:uiPriority w:val="39"/>
    <w:unhideWhenUsed/>
    <w:qFormat/>
    <w:rsid w:val="001E2357"/>
    <w:pPr>
      <w:numPr>
        <w:numId w:val="0"/>
      </w:numPr>
      <w:spacing w:line="276" w:lineRule="auto"/>
      <w:jc w:val="left"/>
      <w:outlineLvl w:val="9"/>
    </w:pPr>
    <w:rPr>
      <w:rFonts w:asciiTheme="majorHAnsi" w:hAnsiTheme="majorHAnsi"/>
      <w:b/>
      <w:smallCaps w:val="0"/>
      <w:color w:val="365F91" w:themeColor="accent1" w:themeShade="BF"/>
      <w:lang w:val="en-US" w:eastAsia="en-US"/>
    </w:rPr>
  </w:style>
  <w:style w:type="paragraph" w:styleId="TOC1">
    <w:name w:val="toc 1"/>
    <w:basedOn w:val="Normal"/>
    <w:next w:val="Normal"/>
    <w:autoRedefine/>
    <w:uiPriority w:val="39"/>
    <w:unhideWhenUsed/>
    <w:rsid w:val="001E2357"/>
    <w:pPr>
      <w:spacing w:after="100"/>
    </w:pPr>
  </w:style>
  <w:style w:type="paragraph" w:styleId="TOC2">
    <w:name w:val="toc 2"/>
    <w:basedOn w:val="Normal"/>
    <w:next w:val="Normal"/>
    <w:autoRedefine/>
    <w:uiPriority w:val="39"/>
    <w:unhideWhenUsed/>
    <w:rsid w:val="00303FEB"/>
    <w:pPr>
      <w:tabs>
        <w:tab w:val="left" w:pos="660"/>
        <w:tab w:val="right" w:leader="dot" w:pos="9016"/>
      </w:tabs>
      <w:spacing w:after="100"/>
      <w:ind w:left="220"/>
    </w:pPr>
  </w:style>
  <w:style w:type="character" w:styleId="Hyperlink">
    <w:name w:val="Hyperlink"/>
    <w:basedOn w:val="DefaultParagraphFont"/>
    <w:uiPriority w:val="99"/>
    <w:unhideWhenUsed/>
    <w:rsid w:val="001E2357"/>
    <w:rPr>
      <w:color w:val="0000FF" w:themeColor="hyperlink"/>
      <w:u w:val="single"/>
    </w:rPr>
  </w:style>
  <w:style w:type="paragraph" w:styleId="BalloonText">
    <w:name w:val="Balloon Text"/>
    <w:basedOn w:val="Normal"/>
    <w:link w:val="BalloonTextChar"/>
    <w:uiPriority w:val="99"/>
    <w:semiHidden/>
    <w:unhideWhenUsed/>
    <w:rsid w:val="001E235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357"/>
    <w:rPr>
      <w:rFonts w:ascii="Tahoma" w:hAnsi="Tahoma" w:cs="Tahoma"/>
      <w:sz w:val="16"/>
      <w:szCs w:val="16"/>
    </w:rPr>
  </w:style>
  <w:style w:type="paragraph" w:styleId="TOC3">
    <w:name w:val="toc 3"/>
    <w:basedOn w:val="Normal"/>
    <w:next w:val="Normal"/>
    <w:autoRedefine/>
    <w:uiPriority w:val="39"/>
    <w:unhideWhenUsed/>
    <w:rsid w:val="003F286D"/>
    <w:pPr>
      <w:spacing w:after="100"/>
      <w:ind w:left="440"/>
    </w:pPr>
  </w:style>
  <w:style w:type="paragraph" w:styleId="Header">
    <w:name w:val="header"/>
    <w:basedOn w:val="Normal"/>
    <w:link w:val="HeaderChar"/>
    <w:uiPriority w:val="99"/>
    <w:semiHidden/>
    <w:unhideWhenUsed/>
    <w:rsid w:val="004543E0"/>
    <w:pPr>
      <w:tabs>
        <w:tab w:val="center" w:pos="4513"/>
        <w:tab w:val="right" w:pos="9026"/>
      </w:tabs>
      <w:spacing w:after="0"/>
    </w:pPr>
  </w:style>
  <w:style w:type="character" w:customStyle="1" w:styleId="HeaderChar">
    <w:name w:val="Header Char"/>
    <w:basedOn w:val="DefaultParagraphFont"/>
    <w:link w:val="Header"/>
    <w:uiPriority w:val="99"/>
    <w:semiHidden/>
    <w:rsid w:val="004543E0"/>
    <w:rPr>
      <w:rFonts w:ascii="Times New Roman" w:hAnsi="Times New Roman"/>
    </w:rPr>
  </w:style>
  <w:style w:type="paragraph" w:styleId="Footer">
    <w:name w:val="footer"/>
    <w:basedOn w:val="Normal"/>
    <w:link w:val="FooterChar"/>
    <w:uiPriority w:val="99"/>
    <w:unhideWhenUsed/>
    <w:rsid w:val="004543E0"/>
    <w:pPr>
      <w:tabs>
        <w:tab w:val="center" w:pos="4513"/>
        <w:tab w:val="right" w:pos="9026"/>
      </w:tabs>
      <w:spacing w:after="0"/>
    </w:pPr>
  </w:style>
  <w:style w:type="character" w:customStyle="1" w:styleId="FooterChar">
    <w:name w:val="Footer Char"/>
    <w:basedOn w:val="DefaultParagraphFont"/>
    <w:link w:val="Footer"/>
    <w:uiPriority w:val="99"/>
    <w:rsid w:val="004543E0"/>
    <w:rPr>
      <w:rFonts w:ascii="Times New Roman" w:hAnsi="Times New Roman"/>
    </w:rPr>
  </w:style>
  <w:style w:type="character" w:styleId="CommentReference">
    <w:name w:val="annotation reference"/>
    <w:basedOn w:val="DefaultParagraphFont"/>
    <w:uiPriority w:val="99"/>
    <w:semiHidden/>
    <w:unhideWhenUsed/>
    <w:rsid w:val="00282D9F"/>
    <w:rPr>
      <w:sz w:val="16"/>
      <w:szCs w:val="16"/>
    </w:rPr>
  </w:style>
  <w:style w:type="paragraph" w:styleId="CommentText">
    <w:name w:val="annotation text"/>
    <w:basedOn w:val="Normal"/>
    <w:link w:val="CommentTextChar"/>
    <w:uiPriority w:val="99"/>
    <w:semiHidden/>
    <w:unhideWhenUsed/>
    <w:rsid w:val="00282D9F"/>
    <w:rPr>
      <w:sz w:val="20"/>
      <w:szCs w:val="20"/>
    </w:rPr>
  </w:style>
  <w:style w:type="character" w:customStyle="1" w:styleId="CommentTextChar">
    <w:name w:val="Comment Text Char"/>
    <w:basedOn w:val="DefaultParagraphFont"/>
    <w:link w:val="CommentText"/>
    <w:uiPriority w:val="99"/>
    <w:semiHidden/>
    <w:rsid w:val="00282D9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82D9F"/>
    <w:rPr>
      <w:b/>
      <w:bCs/>
    </w:rPr>
  </w:style>
  <w:style w:type="character" w:customStyle="1" w:styleId="CommentSubjectChar">
    <w:name w:val="Comment Subject Char"/>
    <w:basedOn w:val="CommentTextChar"/>
    <w:link w:val="CommentSubject"/>
    <w:uiPriority w:val="99"/>
    <w:semiHidden/>
    <w:rsid w:val="00282D9F"/>
    <w:rPr>
      <w:rFonts w:ascii="Times New Roman" w:hAnsi="Times New Roman"/>
      <w:b/>
      <w:bCs/>
      <w:sz w:val="20"/>
      <w:szCs w:val="20"/>
    </w:rPr>
  </w:style>
  <w:style w:type="paragraph" w:styleId="Revision">
    <w:name w:val="Revision"/>
    <w:hidden/>
    <w:uiPriority w:val="99"/>
    <w:semiHidden/>
    <w:rsid w:val="00282D9F"/>
    <w:pPr>
      <w:spacing w:before="0"/>
      <w:ind w:left="0" w:firstLine="0"/>
      <w:jc w:val="left"/>
    </w:pPr>
    <w:rPr>
      <w:rFonts w:ascii="Times New Roman" w:hAnsi="Times New Roman"/>
    </w:rPr>
  </w:style>
  <w:style w:type="character" w:customStyle="1" w:styleId="FootnoteTextChar1">
    <w:name w:val="Footnote Text Char1"/>
    <w:aliases w:val="fn Char,Texto de rodapé Char,nota_rodapé Char,nota de rodapé Char,footnote Char,single space Char,FOOTNOTES Char,Footnote Text Char Char Char,Footnote Text Char Char1,foottextf Char,Geneva 9 Char,Font: Geneva 9 Char,Boston 10 Char"/>
    <w:rsid w:val="00555CA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47131">
      <w:bodyDiv w:val="1"/>
      <w:marLeft w:val="0"/>
      <w:marRight w:val="0"/>
      <w:marTop w:val="0"/>
      <w:marBottom w:val="0"/>
      <w:divBdr>
        <w:top w:val="none" w:sz="0" w:space="0" w:color="auto"/>
        <w:left w:val="none" w:sz="0" w:space="0" w:color="auto"/>
        <w:bottom w:val="none" w:sz="0" w:space="0" w:color="auto"/>
        <w:right w:val="none" w:sz="0" w:space="0" w:color="auto"/>
      </w:divBdr>
    </w:div>
    <w:div w:id="275479169">
      <w:bodyDiv w:val="1"/>
      <w:marLeft w:val="0"/>
      <w:marRight w:val="0"/>
      <w:marTop w:val="0"/>
      <w:marBottom w:val="0"/>
      <w:divBdr>
        <w:top w:val="none" w:sz="0" w:space="0" w:color="auto"/>
        <w:left w:val="none" w:sz="0" w:space="0" w:color="auto"/>
        <w:bottom w:val="none" w:sz="0" w:space="0" w:color="auto"/>
        <w:right w:val="none" w:sz="0" w:space="0" w:color="auto"/>
      </w:divBdr>
    </w:div>
    <w:div w:id="291132791">
      <w:bodyDiv w:val="1"/>
      <w:marLeft w:val="0"/>
      <w:marRight w:val="0"/>
      <w:marTop w:val="0"/>
      <w:marBottom w:val="0"/>
      <w:divBdr>
        <w:top w:val="none" w:sz="0" w:space="0" w:color="auto"/>
        <w:left w:val="none" w:sz="0" w:space="0" w:color="auto"/>
        <w:bottom w:val="none" w:sz="0" w:space="0" w:color="auto"/>
        <w:right w:val="none" w:sz="0" w:space="0" w:color="auto"/>
      </w:divBdr>
    </w:div>
    <w:div w:id="549001432">
      <w:bodyDiv w:val="1"/>
      <w:marLeft w:val="0"/>
      <w:marRight w:val="0"/>
      <w:marTop w:val="0"/>
      <w:marBottom w:val="0"/>
      <w:divBdr>
        <w:top w:val="none" w:sz="0" w:space="0" w:color="auto"/>
        <w:left w:val="none" w:sz="0" w:space="0" w:color="auto"/>
        <w:bottom w:val="none" w:sz="0" w:space="0" w:color="auto"/>
        <w:right w:val="none" w:sz="0" w:space="0" w:color="auto"/>
      </w:divBdr>
    </w:div>
    <w:div w:id="823935084">
      <w:bodyDiv w:val="1"/>
      <w:marLeft w:val="0"/>
      <w:marRight w:val="0"/>
      <w:marTop w:val="0"/>
      <w:marBottom w:val="0"/>
      <w:divBdr>
        <w:top w:val="none" w:sz="0" w:space="0" w:color="auto"/>
        <w:left w:val="none" w:sz="0" w:space="0" w:color="auto"/>
        <w:bottom w:val="none" w:sz="0" w:space="0" w:color="auto"/>
        <w:right w:val="none" w:sz="0" w:space="0" w:color="auto"/>
      </w:divBdr>
    </w:div>
    <w:div w:id="828445941">
      <w:bodyDiv w:val="1"/>
      <w:marLeft w:val="0"/>
      <w:marRight w:val="0"/>
      <w:marTop w:val="0"/>
      <w:marBottom w:val="0"/>
      <w:divBdr>
        <w:top w:val="none" w:sz="0" w:space="0" w:color="auto"/>
        <w:left w:val="none" w:sz="0" w:space="0" w:color="auto"/>
        <w:bottom w:val="none" w:sz="0" w:space="0" w:color="auto"/>
        <w:right w:val="none" w:sz="0" w:space="0" w:color="auto"/>
      </w:divBdr>
    </w:div>
    <w:div w:id="886063200">
      <w:bodyDiv w:val="1"/>
      <w:marLeft w:val="0"/>
      <w:marRight w:val="0"/>
      <w:marTop w:val="0"/>
      <w:marBottom w:val="0"/>
      <w:divBdr>
        <w:top w:val="none" w:sz="0" w:space="0" w:color="auto"/>
        <w:left w:val="none" w:sz="0" w:space="0" w:color="auto"/>
        <w:bottom w:val="none" w:sz="0" w:space="0" w:color="auto"/>
        <w:right w:val="none" w:sz="0" w:space="0" w:color="auto"/>
      </w:divBdr>
    </w:div>
    <w:div w:id="1201699819">
      <w:bodyDiv w:val="1"/>
      <w:marLeft w:val="0"/>
      <w:marRight w:val="0"/>
      <w:marTop w:val="0"/>
      <w:marBottom w:val="0"/>
      <w:divBdr>
        <w:top w:val="none" w:sz="0" w:space="0" w:color="auto"/>
        <w:left w:val="none" w:sz="0" w:space="0" w:color="auto"/>
        <w:bottom w:val="none" w:sz="0" w:space="0" w:color="auto"/>
        <w:right w:val="none" w:sz="0" w:space="0" w:color="auto"/>
      </w:divBdr>
    </w:div>
    <w:div w:id="1211650922">
      <w:bodyDiv w:val="1"/>
      <w:marLeft w:val="0"/>
      <w:marRight w:val="0"/>
      <w:marTop w:val="0"/>
      <w:marBottom w:val="0"/>
      <w:divBdr>
        <w:top w:val="none" w:sz="0" w:space="0" w:color="auto"/>
        <w:left w:val="none" w:sz="0" w:space="0" w:color="auto"/>
        <w:bottom w:val="none" w:sz="0" w:space="0" w:color="auto"/>
        <w:right w:val="none" w:sz="0" w:space="0" w:color="auto"/>
      </w:divBdr>
    </w:div>
    <w:div w:id="1338459818">
      <w:bodyDiv w:val="1"/>
      <w:marLeft w:val="0"/>
      <w:marRight w:val="0"/>
      <w:marTop w:val="0"/>
      <w:marBottom w:val="0"/>
      <w:divBdr>
        <w:top w:val="none" w:sz="0" w:space="0" w:color="auto"/>
        <w:left w:val="none" w:sz="0" w:space="0" w:color="auto"/>
        <w:bottom w:val="none" w:sz="0" w:space="0" w:color="auto"/>
        <w:right w:val="none" w:sz="0" w:space="0" w:color="auto"/>
      </w:divBdr>
    </w:div>
    <w:div w:id="1405567684">
      <w:bodyDiv w:val="1"/>
      <w:marLeft w:val="0"/>
      <w:marRight w:val="0"/>
      <w:marTop w:val="0"/>
      <w:marBottom w:val="0"/>
      <w:divBdr>
        <w:top w:val="none" w:sz="0" w:space="0" w:color="auto"/>
        <w:left w:val="none" w:sz="0" w:space="0" w:color="auto"/>
        <w:bottom w:val="none" w:sz="0" w:space="0" w:color="auto"/>
        <w:right w:val="none" w:sz="0" w:space="0" w:color="auto"/>
      </w:divBdr>
    </w:div>
    <w:div w:id="1438871146">
      <w:bodyDiv w:val="1"/>
      <w:marLeft w:val="0"/>
      <w:marRight w:val="0"/>
      <w:marTop w:val="0"/>
      <w:marBottom w:val="0"/>
      <w:divBdr>
        <w:top w:val="none" w:sz="0" w:space="0" w:color="auto"/>
        <w:left w:val="none" w:sz="0" w:space="0" w:color="auto"/>
        <w:bottom w:val="none" w:sz="0" w:space="0" w:color="auto"/>
        <w:right w:val="none" w:sz="0" w:space="0" w:color="auto"/>
      </w:divBdr>
    </w:div>
    <w:div w:id="1445464065">
      <w:bodyDiv w:val="1"/>
      <w:marLeft w:val="0"/>
      <w:marRight w:val="0"/>
      <w:marTop w:val="0"/>
      <w:marBottom w:val="0"/>
      <w:divBdr>
        <w:top w:val="none" w:sz="0" w:space="0" w:color="auto"/>
        <w:left w:val="none" w:sz="0" w:space="0" w:color="auto"/>
        <w:bottom w:val="none" w:sz="0" w:space="0" w:color="auto"/>
        <w:right w:val="none" w:sz="0" w:space="0" w:color="auto"/>
      </w:divBdr>
    </w:div>
    <w:div w:id="1450396994">
      <w:bodyDiv w:val="1"/>
      <w:marLeft w:val="0"/>
      <w:marRight w:val="0"/>
      <w:marTop w:val="0"/>
      <w:marBottom w:val="0"/>
      <w:divBdr>
        <w:top w:val="none" w:sz="0" w:space="0" w:color="auto"/>
        <w:left w:val="none" w:sz="0" w:space="0" w:color="auto"/>
        <w:bottom w:val="none" w:sz="0" w:space="0" w:color="auto"/>
        <w:right w:val="none" w:sz="0" w:space="0" w:color="auto"/>
      </w:divBdr>
    </w:div>
    <w:div w:id="1626816344">
      <w:bodyDiv w:val="1"/>
      <w:marLeft w:val="0"/>
      <w:marRight w:val="0"/>
      <w:marTop w:val="0"/>
      <w:marBottom w:val="0"/>
      <w:divBdr>
        <w:top w:val="none" w:sz="0" w:space="0" w:color="auto"/>
        <w:left w:val="none" w:sz="0" w:space="0" w:color="auto"/>
        <w:bottom w:val="none" w:sz="0" w:space="0" w:color="auto"/>
        <w:right w:val="none" w:sz="0" w:space="0" w:color="auto"/>
      </w:divBdr>
    </w:div>
    <w:div w:id="1889489987">
      <w:bodyDiv w:val="1"/>
      <w:marLeft w:val="0"/>
      <w:marRight w:val="0"/>
      <w:marTop w:val="0"/>
      <w:marBottom w:val="0"/>
      <w:divBdr>
        <w:top w:val="none" w:sz="0" w:space="0" w:color="auto"/>
        <w:left w:val="none" w:sz="0" w:space="0" w:color="auto"/>
        <w:bottom w:val="none" w:sz="0" w:space="0" w:color="auto"/>
        <w:right w:val="none" w:sz="0" w:space="0" w:color="auto"/>
      </w:divBdr>
    </w:div>
    <w:div w:id="2018458656">
      <w:bodyDiv w:val="1"/>
      <w:marLeft w:val="0"/>
      <w:marRight w:val="0"/>
      <w:marTop w:val="0"/>
      <w:marBottom w:val="0"/>
      <w:divBdr>
        <w:top w:val="none" w:sz="0" w:space="0" w:color="auto"/>
        <w:left w:val="none" w:sz="0" w:space="0" w:color="auto"/>
        <w:bottom w:val="none" w:sz="0" w:space="0" w:color="auto"/>
        <w:right w:val="none" w:sz="0" w:space="0" w:color="auto"/>
      </w:divBdr>
    </w:div>
    <w:div w:id="20999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FA02C282B722D44A066B622461B39C3" ma:contentTypeVersion="0" ma:contentTypeDescription="A content type to manage public (operations) IDB documents" ma:contentTypeScope="" ma:versionID="6d173f3cd5648c39b600bbc4133b8e10">
  <xsd:schema xmlns:xsd="http://www.w3.org/2001/XMLSchema" xmlns:xs="http://www.w3.org/2001/XMLSchema" xmlns:p="http://schemas.microsoft.com/office/2006/metadata/properties" xmlns:ns2="9c571b2f-e523-4ab2-ba2e-09e151a03ef4" targetNamespace="http://schemas.microsoft.com/office/2006/metadata/properties" ma:root="true" ma:fieldsID="45da323492fbefc348bae8ba3d48cd8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d045b0c-8341-4af3-9263-b3f75b940832}" ma:internalName="TaxCatchAll" ma:showField="CatchAllData"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d045b0c-8341-4af3-9263-b3f75b940832}" ma:internalName="TaxCatchAllLabel" ma:readOnly="true" ma:showField="CatchAllDataLabel"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CLAUSE DOCUMENT</Project_x0020_Document_x0020_Typ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39593365</IDBDocs_x0020_Number>
    <Document_x0020_Author xmlns="9c571b2f-e523-4ab2-ba2e-09e151a03ef4">Cova Leon,Haydemar</Document_x0020_Author>
    <Publication_x0020_Type xmlns="9c571b2f-e523-4ab2-ba2e-09e151a03ef4" xsi:nil="true"/>
    <Operation_x0020_Type xmlns="9c571b2f-e523-4ab2-ba2e-09e151a03ef4" xsi:nil="true"/>
    <TaxCatchAll xmlns="9c571b2f-e523-4ab2-ba2e-09e151a03ef4">
      <Value>11</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EC-L1147</Project_x0020_Number>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Clauses</Business_x0020_Area>
    <SISCOR_x0020_Number xmlns="9c571b2f-e523-4ab2-ba2e-09e151a03ef4" xsi:nil="true"/>
    <Webtopic xmlns="9c571b2f-e523-4ab2-ba2e-09e151a03ef4">EN-ENG</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Legal</TermName>
          <TermId xmlns="http://schemas.microsoft.com/office/infopath/2007/PartnerControls">4a833e0c-b04e-4136-8e27-6c06cac1e274</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E7F1F45D-3E3E-471C-B139-F271F90F7D56}"/>
</file>

<file path=customXml/itemProps2.xml><?xml version="1.0" encoding="utf-8"?>
<ds:datastoreItem xmlns:ds="http://schemas.openxmlformats.org/officeDocument/2006/customXml" ds:itemID="{5F985869-EA54-4468-9572-DED760B280F7}"/>
</file>

<file path=customXml/itemProps3.xml><?xml version="1.0" encoding="utf-8"?>
<ds:datastoreItem xmlns:ds="http://schemas.openxmlformats.org/officeDocument/2006/customXml" ds:itemID="{EC3E7612-96E7-4AD7-BACB-BAF018C3CFC8}"/>
</file>

<file path=customXml/itemProps4.xml><?xml version="1.0" encoding="utf-8"?>
<ds:datastoreItem xmlns:ds="http://schemas.openxmlformats.org/officeDocument/2006/customXml" ds:itemID="{89DD638A-BB4F-48B6-83F8-5852E17E3602}"/>
</file>

<file path=customXml/itemProps5.xml><?xml version="1.0" encoding="utf-8"?>
<ds:datastoreItem xmlns:ds="http://schemas.openxmlformats.org/officeDocument/2006/customXml" ds:itemID="{EA6BDC88-4800-4ADC-9BF3-4107AC94E5C2}"/>
</file>

<file path=customXml/itemProps6.xml><?xml version="1.0" encoding="utf-8"?>
<ds:datastoreItem xmlns:ds="http://schemas.openxmlformats.org/officeDocument/2006/customXml" ds:itemID="{19DB942E-1406-4F94-B824-091DA02BB40F}"/>
</file>

<file path=docProps/app.xml><?xml version="1.0" encoding="utf-8"?>
<Properties xmlns="http://schemas.openxmlformats.org/officeDocument/2006/extended-properties" xmlns:vt="http://schemas.openxmlformats.org/officeDocument/2006/docPropsVTypes">
  <Template>Normal.dotm</Template>
  <TotalTime>0</TotalTime>
  <Pages>21</Pages>
  <Words>8794</Words>
  <Characters>50131</Characters>
  <Application>Microsoft Office Word</Application>
  <DocSecurity>4</DocSecurity>
  <Lines>417</Lines>
  <Paragraphs>117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EOLOGICA</Company>
  <LinksUpToDate>false</LinksUpToDate>
  <CharactersWithSpaces>58808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Borrador Evaluacion de Medio Termino</dc:title>
  <dc:creator>Remi Rijs</dc:creator>
  <cp:lastModifiedBy>Virginia Snyder</cp:lastModifiedBy>
  <cp:revision>2</cp:revision>
  <cp:lastPrinted>2015-04-30T23:10:00Z</cp:lastPrinted>
  <dcterms:created xsi:type="dcterms:W3CDTF">2015-06-11T20:46:00Z</dcterms:created>
  <dcterms:modified xsi:type="dcterms:W3CDTF">2015-06-11T20:46:00Z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0x01010046CF21643EE8D14686A648AA6DAD089200BFA02C282B722D44A066B622461B39C3</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11;#Legal|4a833e0c-b04e-4136-8e27-6c06cac1e274</vt:lpwstr>
  </property>
</Properties>
</file>