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A0B" w:rsidRPr="0055290E" w:rsidRDefault="00657861" w:rsidP="00E52DD9">
      <w:pPr>
        <w:jc w:val="right"/>
        <w:rPr>
          <w:b/>
          <w:bCs/>
          <w:sz w:val="16"/>
          <w:szCs w:val="16"/>
          <w:lang w:val="es-ES"/>
        </w:rPr>
      </w:pPr>
      <w:r>
        <w:rPr>
          <w:noProof/>
        </w:rPr>
        <w:drawing>
          <wp:anchor distT="0" distB="0" distL="114300" distR="114300" simplePos="0" relativeHeight="251657728" behindDoc="1" locked="0" layoutInCell="1" allowOverlap="1">
            <wp:simplePos x="0" y="0"/>
            <wp:positionH relativeFrom="column">
              <wp:posOffset>-914400</wp:posOffset>
            </wp:positionH>
            <wp:positionV relativeFrom="paragraph">
              <wp:posOffset>-457200</wp:posOffset>
            </wp:positionV>
            <wp:extent cx="2019300" cy="609600"/>
            <wp:effectExtent l="19050" t="0" r="0" b="0"/>
            <wp:wrapTight wrapText="bothSides">
              <wp:wrapPolygon edited="0">
                <wp:start x="8151" y="0"/>
                <wp:lineTo x="7947" y="10800"/>
                <wp:lineTo x="611" y="14850"/>
                <wp:lineTo x="-204" y="16200"/>
                <wp:lineTo x="-204" y="20925"/>
                <wp:lineTo x="21600" y="20925"/>
                <wp:lineTo x="21600" y="3375"/>
                <wp:lineTo x="20989" y="0"/>
                <wp:lineTo x="8151"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19300" cy="609600"/>
                    </a:xfrm>
                    <a:prstGeom prst="rect">
                      <a:avLst/>
                    </a:prstGeom>
                    <a:noFill/>
                    <a:ln w="9525">
                      <a:noFill/>
                      <a:miter lim="800000"/>
                      <a:headEnd/>
                      <a:tailEnd/>
                    </a:ln>
                  </pic:spPr>
                </pic:pic>
              </a:graphicData>
            </a:graphic>
          </wp:anchor>
        </w:drawing>
      </w:r>
      <w:r w:rsidR="00607A0B" w:rsidRPr="0055290E">
        <w:rPr>
          <w:sz w:val="16"/>
          <w:szCs w:val="16"/>
          <w:lang w:val="es-ES"/>
        </w:rPr>
        <w:t>LEG/SGO</w:t>
      </w:r>
      <w:r w:rsidR="002F7E11" w:rsidRPr="0055290E">
        <w:rPr>
          <w:sz w:val="16"/>
          <w:szCs w:val="16"/>
          <w:lang w:val="es-ES"/>
        </w:rPr>
        <w:t>/</w:t>
      </w:r>
      <w:r w:rsidR="00F41BA1" w:rsidRPr="0055290E">
        <w:rPr>
          <w:sz w:val="16"/>
          <w:szCs w:val="16"/>
          <w:lang w:val="es-ES"/>
        </w:rPr>
        <w:t>CSC/</w:t>
      </w:r>
      <w:r w:rsidR="00607A0B" w:rsidRPr="0055290E">
        <w:rPr>
          <w:sz w:val="16"/>
          <w:szCs w:val="16"/>
          <w:lang w:val="es-ES"/>
        </w:rPr>
        <w:t xml:space="preserve">IDBDOCS: </w:t>
      </w:r>
      <w:r w:rsidR="00F66DB6">
        <w:rPr>
          <w:sz w:val="16"/>
          <w:szCs w:val="16"/>
          <w:lang w:val="es-ES"/>
        </w:rPr>
        <w:t>35022134</w:t>
      </w:r>
    </w:p>
    <w:p w:rsidR="00607A0B" w:rsidRPr="001D609F" w:rsidRDefault="00607A0B">
      <w:pPr>
        <w:tabs>
          <w:tab w:val="left" w:pos="0"/>
          <w:tab w:val="left" w:pos="480"/>
          <w:tab w:val="left" w:pos="960"/>
          <w:tab w:val="left" w:pos="1560"/>
          <w:tab w:val="left" w:pos="2160"/>
        </w:tabs>
        <w:jc w:val="both"/>
        <w:rPr>
          <w:spacing w:val="-3"/>
          <w:lang w:val="es-ES"/>
        </w:rPr>
      </w:pPr>
    </w:p>
    <w:p w:rsidR="00576E4C" w:rsidRDefault="00576E4C">
      <w:pPr>
        <w:tabs>
          <w:tab w:val="left" w:pos="0"/>
          <w:tab w:val="left" w:pos="480"/>
          <w:tab w:val="left" w:pos="960"/>
          <w:tab w:val="left" w:pos="1560"/>
          <w:tab w:val="left" w:pos="2160"/>
        </w:tabs>
        <w:jc w:val="both"/>
        <w:rPr>
          <w:spacing w:val="-3"/>
          <w:lang w:val="es-ES"/>
        </w:rPr>
      </w:pPr>
    </w:p>
    <w:p w:rsidR="00B9326D" w:rsidRDefault="00B9326D">
      <w:pPr>
        <w:tabs>
          <w:tab w:val="left" w:pos="0"/>
          <w:tab w:val="left" w:pos="480"/>
          <w:tab w:val="left" w:pos="960"/>
          <w:tab w:val="left" w:pos="1560"/>
          <w:tab w:val="left" w:pos="2160"/>
        </w:tabs>
        <w:jc w:val="both"/>
        <w:rPr>
          <w:spacing w:val="-3"/>
          <w:lang w:val="es-ES"/>
        </w:rPr>
      </w:pPr>
    </w:p>
    <w:p w:rsidR="00607A0B" w:rsidRDefault="003C31B1" w:rsidP="00482CC9">
      <w:pPr>
        <w:tabs>
          <w:tab w:val="left" w:pos="0"/>
          <w:tab w:val="left" w:pos="480"/>
          <w:tab w:val="left" w:pos="960"/>
          <w:tab w:val="left" w:pos="1560"/>
          <w:tab w:val="left" w:pos="2160"/>
        </w:tabs>
        <w:jc w:val="both"/>
        <w:rPr>
          <w:spacing w:val="-3"/>
          <w:lang w:val="es-ES"/>
        </w:rPr>
      </w:pPr>
      <w:r w:rsidRPr="001D609F">
        <w:rPr>
          <w:spacing w:val="-3"/>
          <w:lang w:val="es-ES"/>
        </w:rPr>
        <w:t>Señor</w:t>
      </w:r>
    </w:p>
    <w:p w:rsidR="00482CC9" w:rsidRPr="00482CC9" w:rsidRDefault="00594885" w:rsidP="00482CC9">
      <w:pPr>
        <w:tabs>
          <w:tab w:val="left" w:pos="0"/>
          <w:tab w:val="left" w:pos="480"/>
          <w:tab w:val="left" w:pos="960"/>
          <w:tab w:val="left" w:pos="1560"/>
          <w:tab w:val="left" w:pos="2160"/>
        </w:tabs>
        <w:jc w:val="both"/>
        <w:rPr>
          <w:spacing w:val="-3"/>
          <w:lang w:val="es-ES"/>
        </w:rPr>
      </w:pPr>
      <w:r>
        <w:rPr>
          <w:spacing w:val="-3"/>
          <w:lang w:val="es-ES"/>
        </w:rPr>
        <w:t>Ing. Daniel Cameron</w:t>
      </w:r>
    </w:p>
    <w:p w:rsidR="00E52DD9" w:rsidRDefault="00E52DD9">
      <w:pPr>
        <w:tabs>
          <w:tab w:val="left" w:pos="0"/>
          <w:tab w:val="left" w:pos="480"/>
          <w:tab w:val="left" w:pos="960"/>
          <w:tab w:val="left" w:pos="1560"/>
          <w:tab w:val="left" w:pos="2160"/>
        </w:tabs>
        <w:jc w:val="both"/>
        <w:rPr>
          <w:lang w:val="es-ES_tradnl"/>
        </w:rPr>
      </w:pPr>
      <w:r>
        <w:rPr>
          <w:lang w:val="es-ES_tradnl"/>
        </w:rPr>
        <w:t>Secretario</w:t>
      </w:r>
    </w:p>
    <w:p w:rsidR="00607A0B" w:rsidRDefault="00482CC9">
      <w:pPr>
        <w:tabs>
          <w:tab w:val="left" w:pos="0"/>
          <w:tab w:val="left" w:pos="480"/>
          <w:tab w:val="left" w:pos="960"/>
          <w:tab w:val="left" w:pos="1560"/>
          <w:tab w:val="left" w:pos="2160"/>
        </w:tabs>
        <w:jc w:val="both"/>
        <w:rPr>
          <w:lang w:val="es-ES_tradnl"/>
        </w:rPr>
      </w:pPr>
      <w:r>
        <w:rPr>
          <w:lang w:val="es-ES_tradnl"/>
        </w:rPr>
        <w:t>Secretar</w:t>
      </w:r>
      <w:r>
        <w:rPr>
          <w:lang w:val="es-AR"/>
        </w:rPr>
        <w:t>ía</w:t>
      </w:r>
      <w:r>
        <w:rPr>
          <w:lang w:val="es-ES_tradnl"/>
        </w:rPr>
        <w:t xml:space="preserve"> de Energía</w:t>
      </w:r>
    </w:p>
    <w:p w:rsidR="00482CC9" w:rsidRDefault="00482CC9" w:rsidP="003C31B1">
      <w:pPr>
        <w:tabs>
          <w:tab w:val="left" w:pos="0"/>
          <w:tab w:val="left" w:pos="480"/>
          <w:tab w:val="left" w:pos="960"/>
          <w:tab w:val="left" w:pos="1560"/>
          <w:tab w:val="left" w:pos="2160"/>
        </w:tabs>
        <w:jc w:val="both"/>
        <w:rPr>
          <w:lang w:val="es-ES"/>
        </w:rPr>
      </w:pPr>
      <w:r w:rsidRPr="00482CC9">
        <w:rPr>
          <w:lang w:val="es-ES"/>
        </w:rPr>
        <w:t xml:space="preserve">Av. Paseo Colón 171 </w:t>
      </w:r>
    </w:p>
    <w:p w:rsidR="00607A0B" w:rsidRPr="001D609F" w:rsidRDefault="00576E4C" w:rsidP="003C31B1">
      <w:pPr>
        <w:tabs>
          <w:tab w:val="left" w:pos="0"/>
          <w:tab w:val="left" w:pos="480"/>
          <w:tab w:val="left" w:pos="960"/>
          <w:tab w:val="left" w:pos="1560"/>
          <w:tab w:val="left" w:pos="2160"/>
        </w:tabs>
        <w:jc w:val="both"/>
        <w:rPr>
          <w:spacing w:val="-3"/>
          <w:lang w:val="es-ES"/>
        </w:rPr>
      </w:pPr>
      <w:r>
        <w:rPr>
          <w:lang w:val="es-ES"/>
        </w:rPr>
        <w:t>Buenos Aires, Argentina</w:t>
      </w:r>
    </w:p>
    <w:p w:rsidR="00607A0B" w:rsidRPr="001D609F" w:rsidRDefault="00607A0B">
      <w:pPr>
        <w:tabs>
          <w:tab w:val="left" w:pos="0"/>
          <w:tab w:val="left" w:pos="704"/>
          <w:tab w:val="left" w:pos="3672"/>
          <w:tab w:val="left" w:pos="4038"/>
          <w:tab w:val="left" w:pos="4405"/>
          <w:tab w:val="left" w:pos="4772"/>
          <w:tab w:val="left" w:pos="5055"/>
          <w:tab w:val="left" w:pos="5760"/>
        </w:tabs>
        <w:jc w:val="both"/>
        <w:rPr>
          <w:spacing w:val="-3"/>
          <w:lang w:val="es-ES"/>
        </w:rPr>
      </w:pPr>
    </w:p>
    <w:p w:rsidR="00607A0B" w:rsidRPr="001D609F" w:rsidRDefault="00607A0B">
      <w:pPr>
        <w:pStyle w:val="BodyTextIndent"/>
        <w:widowControl w:val="0"/>
        <w:ind w:left="4500" w:hanging="900"/>
      </w:pPr>
      <w:r w:rsidRPr="001D609F">
        <w:t>Ref.:</w:t>
      </w:r>
      <w:r w:rsidRPr="001D609F">
        <w:tab/>
      </w:r>
      <w:r w:rsidR="00576E4C">
        <w:t>ARGENTINA</w:t>
      </w:r>
      <w:r w:rsidR="0066446F" w:rsidRPr="001D609F">
        <w:t xml:space="preserve">. </w:t>
      </w:r>
      <w:r w:rsidRPr="001D609F">
        <w:t xml:space="preserve">Convenio de Cooperación Técnica No Reembolsable No. </w:t>
      </w:r>
      <w:r w:rsidR="00F66DB6" w:rsidRPr="00F66DB6">
        <w:t xml:space="preserve">ATN/KK-11892-AR </w:t>
      </w:r>
      <w:r w:rsidR="00F66DB6">
        <w:t xml:space="preserve">y </w:t>
      </w:r>
      <w:r w:rsidR="00F66DB6" w:rsidRPr="00F66DB6">
        <w:t>No. ATN/OC-11899-AR</w:t>
      </w:r>
      <w:r w:rsidRPr="001D609F">
        <w:t xml:space="preserve">. </w:t>
      </w:r>
      <w:r w:rsidR="00482CC9" w:rsidRPr="00AA3B31">
        <w:rPr>
          <w:bCs/>
          <w:lang w:val="es-ES_tradnl"/>
        </w:rPr>
        <w:t xml:space="preserve">Apoyo al Programa de Energía Renovable </w:t>
      </w:r>
      <w:r w:rsidR="00311841">
        <w:rPr>
          <w:bCs/>
          <w:lang w:val="es-ES_tradnl"/>
        </w:rPr>
        <w:t>“</w:t>
      </w:r>
      <w:r w:rsidR="00482CC9" w:rsidRPr="00AA3B31">
        <w:rPr>
          <w:bCs/>
          <w:lang w:val="es-ES_tradnl"/>
        </w:rPr>
        <w:t>Centrales Eólicas del Sur</w:t>
      </w:r>
      <w:r w:rsidR="00311841">
        <w:rPr>
          <w:bCs/>
          <w:lang w:val="es-ES_tradnl"/>
        </w:rPr>
        <w:t>”</w:t>
      </w:r>
      <w:r w:rsidRPr="001D609F">
        <w:t>.</w:t>
      </w:r>
    </w:p>
    <w:p w:rsidR="000B45FD" w:rsidRPr="001D609F" w:rsidRDefault="000B45FD">
      <w:pPr>
        <w:tabs>
          <w:tab w:val="left" w:pos="0"/>
          <w:tab w:val="left" w:pos="704"/>
          <w:tab w:val="left" w:pos="3672"/>
          <w:tab w:val="left" w:pos="4038"/>
          <w:tab w:val="left" w:pos="4405"/>
          <w:tab w:val="left" w:pos="4772"/>
          <w:tab w:val="left" w:pos="5055"/>
          <w:tab w:val="left" w:pos="5760"/>
        </w:tabs>
        <w:jc w:val="both"/>
        <w:rPr>
          <w:spacing w:val="-3"/>
          <w:lang w:val="es-ES"/>
        </w:rPr>
      </w:pPr>
    </w:p>
    <w:p w:rsidR="00607A0B" w:rsidRPr="001D609F" w:rsidRDefault="00607A0B">
      <w:pPr>
        <w:tabs>
          <w:tab w:val="left" w:pos="0"/>
          <w:tab w:val="left" w:pos="480"/>
          <w:tab w:val="left" w:pos="960"/>
          <w:tab w:val="left" w:pos="1560"/>
          <w:tab w:val="left" w:pos="2160"/>
        </w:tabs>
        <w:jc w:val="both"/>
        <w:rPr>
          <w:lang w:val="es-ES"/>
        </w:rPr>
      </w:pPr>
      <w:r w:rsidRPr="001D609F">
        <w:rPr>
          <w:spacing w:val="-3"/>
          <w:lang w:val="es-ES"/>
        </w:rPr>
        <w:t xml:space="preserve">Estimado </w:t>
      </w:r>
      <w:r w:rsidR="001F46F7">
        <w:rPr>
          <w:spacing w:val="-3"/>
          <w:lang w:val="es-ES"/>
        </w:rPr>
        <w:t>S</w:t>
      </w:r>
      <w:r w:rsidR="00113C85" w:rsidRPr="001D609F">
        <w:rPr>
          <w:spacing w:val="-3"/>
          <w:lang w:val="es-ES"/>
        </w:rPr>
        <w:t>e</w:t>
      </w:r>
      <w:r w:rsidRPr="001D609F">
        <w:rPr>
          <w:spacing w:val="-3"/>
          <w:lang w:val="es-ES"/>
        </w:rPr>
        <w:t>ñor</w:t>
      </w:r>
      <w:r w:rsidR="00113C85" w:rsidRPr="001D609F">
        <w:rPr>
          <w:spacing w:val="-3"/>
          <w:lang w:val="es-ES"/>
        </w:rPr>
        <w:t xml:space="preserve"> </w:t>
      </w:r>
      <w:r w:rsidR="0048444D">
        <w:rPr>
          <w:spacing w:val="-3"/>
          <w:lang w:val="es-ES"/>
        </w:rPr>
        <w:t>Secretario de Energía</w:t>
      </w:r>
      <w:r w:rsidRPr="001D609F">
        <w:rPr>
          <w:spacing w:val="-3"/>
          <w:lang w:val="es-ES"/>
        </w:rPr>
        <w:t>:</w:t>
      </w:r>
    </w:p>
    <w:p w:rsidR="00607A0B" w:rsidRPr="001D609F" w:rsidRDefault="00607A0B">
      <w:pPr>
        <w:tabs>
          <w:tab w:val="left" w:pos="0"/>
          <w:tab w:val="left" w:pos="704"/>
          <w:tab w:val="left" w:pos="3672"/>
          <w:tab w:val="left" w:pos="4038"/>
          <w:tab w:val="left" w:pos="4405"/>
          <w:tab w:val="left" w:pos="4772"/>
          <w:tab w:val="left" w:pos="5055"/>
          <w:tab w:val="left" w:pos="5760"/>
        </w:tabs>
        <w:jc w:val="both"/>
        <w:rPr>
          <w:lang w:val="es-ES"/>
        </w:rPr>
      </w:pPr>
    </w:p>
    <w:p w:rsidR="00607A0B" w:rsidRPr="00E74409" w:rsidRDefault="00607A0B" w:rsidP="00E74409">
      <w:pPr>
        <w:ind w:firstLine="720"/>
        <w:jc w:val="both"/>
        <w:rPr>
          <w:lang w:val="es-ES_tradnl"/>
        </w:rPr>
      </w:pPr>
      <w:r w:rsidRPr="001D609F">
        <w:rPr>
          <w:lang w:val="es-ES"/>
        </w:rPr>
        <w:t xml:space="preserve">Esta carta-convenio (en adelante denominada el “Convenio”) entre </w:t>
      </w:r>
      <w:r w:rsidR="0048444D">
        <w:rPr>
          <w:lang w:val="es-ES"/>
        </w:rPr>
        <w:t>la</w:t>
      </w:r>
      <w:r w:rsidR="00E74409">
        <w:rPr>
          <w:lang w:val="es-ES"/>
        </w:rPr>
        <w:t xml:space="preserve"> </w:t>
      </w:r>
      <w:r w:rsidR="0048444D">
        <w:rPr>
          <w:lang w:val="es-ES_tradnl"/>
        </w:rPr>
        <w:t xml:space="preserve">Secretaría de Energía </w:t>
      </w:r>
      <w:r w:rsidRPr="001D609F">
        <w:rPr>
          <w:lang w:val="es-ES"/>
        </w:rPr>
        <w:t>(en adelante denominad</w:t>
      </w:r>
      <w:r w:rsidR="0048444D">
        <w:rPr>
          <w:lang w:val="es-ES"/>
        </w:rPr>
        <w:t>a</w:t>
      </w:r>
      <w:r w:rsidRPr="001D609F">
        <w:rPr>
          <w:lang w:val="es-ES"/>
        </w:rPr>
        <w:t xml:space="preserve"> “</w:t>
      </w:r>
      <w:r w:rsidR="0048444D">
        <w:rPr>
          <w:lang w:val="es-ES"/>
        </w:rPr>
        <w:t>Secretaría</w:t>
      </w:r>
      <w:r w:rsidRPr="001D609F">
        <w:rPr>
          <w:lang w:val="es-ES"/>
        </w:rPr>
        <w:t>” y/o el “Beneficiario”)</w:t>
      </w:r>
      <w:r w:rsidR="0048444D">
        <w:rPr>
          <w:lang w:val="es-ES"/>
        </w:rPr>
        <w:t xml:space="preserve"> </w:t>
      </w:r>
      <w:r w:rsidRPr="001D609F">
        <w:rPr>
          <w:lang w:val="es-ES"/>
        </w:rPr>
        <w:t xml:space="preserve">y el Banco Interamericano de Desarrollo, en su calidad de Administrador del </w:t>
      </w:r>
      <w:r w:rsidR="0048444D">
        <w:rPr>
          <w:lang w:val="es-ES"/>
        </w:rPr>
        <w:t>Fondo Coreano de Tecnología</w:t>
      </w:r>
      <w:r w:rsidR="009915B9">
        <w:rPr>
          <w:lang w:val="es-ES"/>
        </w:rPr>
        <w:t xml:space="preserve">, así como en su calidad </w:t>
      </w:r>
      <w:r w:rsidR="009915B9" w:rsidRPr="00BA69DF">
        <w:rPr>
          <w:lang w:val="es-ES"/>
        </w:rPr>
        <w:t>de Administrador del Fondo para la Preparación de Proyectos de Infraestructura (“InfraFondo”)</w:t>
      </w:r>
      <w:r w:rsidR="009915B9" w:rsidRPr="001D609F">
        <w:rPr>
          <w:lang w:val="es-ES"/>
        </w:rPr>
        <w:t xml:space="preserve"> </w:t>
      </w:r>
      <w:r w:rsidRPr="001D609F">
        <w:rPr>
          <w:lang w:val="es-ES"/>
        </w:rPr>
        <w:t xml:space="preserve">(en adelante denominado el “Banco”), que sometemos a su consideración, tiene el propósito de formalizar los términos del otorgamiento de una cooperación técnica no reembolsable al Beneficiario, hasta por el monto de </w:t>
      </w:r>
      <w:r w:rsidR="00311841">
        <w:rPr>
          <w:lang w:val="es-ES"/>
        </w:rPr>
        <w:t>ochocientos</w:t>
      </w:r>
      <w:r w:rsidRPr="001D609F">
        <w:rPr>
          <w:lang w:val="es-ES"/>
        </w:rPr>
        <w:t xml:space="preserve"> mil dólares de los Estados Unidos de América (US$</w:t>
      </w:r>
      <w:r w:rsidR="00311841">
        <w:rPr>
          <w:lang w:val="es-ES"/>
        </w:rPr>
        <w:t>8</w:t>
      </w:r>
      <w:r w:rsidRPr="001D609F">
        <w:rPr>
          <w:lang w:val="es-ES"/>
        </w:rPr>
        <w:t>00.000), que se desembolsará con ca</w:t>
      </w:r>
      <w:r w:rsidR="00F41BA1" w:rsidRPr="001D609F">
        <w:rPr>
          <w:lang w:val="es-ES"/>
        </w:rPr>
        <w:t xml:space="preserve">rgo a los recursos del </w:t>
      </w:r>
      <w:r w:rsidR="00311841">
        <w:rPr>
          <w:lang w:val="es-ES"/>
        </w:rPr>
        <w:t xml:space="preserve">Fondo Coreano de </w:t>
      </w:r>
      <w:r w:rsidR="00311841" w:rsidRPr="009915B9">
        <w:rPr>
          <w:lang w:val="es-ES"/>
        </w:rPr>
        <w:t xml:space="preserve">Tecnología y del </w:t>
      </w:r>
      <w:r w:rsidR="009915B9">
        <w:rPr>
          <w:lang w:val="es-ES"/>
        </w:rPr>
        <w:t>InfraF</w:t>
      </w:r>
      <w:r w:rsidR="009915B9" w:rsidRPr="009915B9">
        <w:rPr>
          <w:lang w:val="es-ES"/>
        </w:rPr>
        <w:t>ondo</w:t>
      </w:r>
      <w:r w:rsidRPr="001D609F">
        <w:rPr>
          <w:lang w:val="es-ES"/>
        </w:rPr>
        <w:t xml:space="preserve"> (en adelante denominada la “Contribución”), para financiar la contratación de servicios de consultoría y la adquisición de bienes, necesarios para la realización de un proyecto de </w:t>
      </w:r>
      <w:r w:rsidR="00311841">
        <w:rPr>
          <w:lang w:val="es-ES_tradnl"/>
        </w:rPr>
        <w:t>apoyo a</w:t>
      </w:r>
      <w:r w:rsidR="00E74409" w:rsidRPr="00E74409">
        <w:rPr>
          <w:lang w:val="es-ES_tradnl"/>
        </w:rPr>
        <w:t xml:space="preserve"> la </w:t>
      </w:r>
      <w:r w:rsidR="00311841" w:rsidRPr="00AA3B31">
        <w:rPr>
          <w:bCs/>
          <w:lang w:val="es-ES_tradnl"/>
        </w:rPr>
        <w:t xml:space="preserve">energía renovable </w:t>
      </w:r>
      <w:r w:rsidR="00311841">
        <w:rPr>
          <w:bCs/>
          <w:lang w:val="es-ES_tradnl"/>
        </w:rPr>
        <w:t>“</w:t>
      </w:r>
      <w:r w:rsidR="00311841" w:rsidRPr="00AA3B31">
        <w:rPr>
          <w:bCs/>
          <w:lang w:val="es-ES_tradnl"/>
        </w:rPr>
        <w:t xml:space="preserve">Centrales Eólicas </w:t>
      </w:r>
      <w:r w:rsidR="00311841">
        <w:rPr>
          <w:bCs/>
          <w:lang w:val="es-ES_tradnl"/>
        </w:rPr>
        <w:t>d</w:t>
      </w:r>
      <w:r w:rsidR="00311841" w:rsidRPr="00AA3B31">
        <w:rPr>
          <w:bCs/>
          <w:lang w:val="es-ES_tradnl"/>
        </w:rPr>
        <w:t>el Sur</w:t>
      </w:r>
      <w:r w:rsidR="00311841">
        <w:rPr>
          <w:bCs/>
          <w:lang w:val="es-ES_tradnl"/>
        </w:rPr>
        <w:t>”</w:t>
      </w:r>
      <w:r w:rsidR="00311841" w:rsidRPr="001D609F">
        <w:rPr>
          <w:lang w:val="es-ES"/>
        </w:rPr>
        <w:t xml:space="preserve"> </w:t>
      </w:r>
      <w:r w:rsidRPr="001D609F">
        <w:rPr>
          <w:lang w:val="es-ES"/>
        </w:rPr>
        <w:t>(en adelante denominado el “Programa”), que se describe en el Anexo Único de este Convenio. Salvo que en este Convenio se exprese lo contrario, en adelante el término “dólares” significa la moneda de curso legal en</w:t>
      </w:r>
      <w:r w:rsidR="00D66AAC">
        <w:rPr>
          <w:lang w:val="es-ES"/>
        </w:rPr>
        <w:t xml:space="preserve"> los Estados Unidos de América.</w:t>
      </w:r>
    </w:p>
    <w:p w:rsidR="00607A0B" w:rsidRDefault="00607A0B">
      <w:pPr>
        <w:jc w:val="both"/>
        <w:rPr>
          <w:lang w:val="es-ES"/>
        </w:rPr>
      </w:pPr>
    </w:p>
    <w:p w:rsidR="009915B9" w:rsidRPr="00BA69DF" w:rsidRDefault="009915B9" w:rsidP="009915B9">
      <w:pPr>
        <w:ind w:firstLine="720"/>
        <w:jc w:val="both"/>
        <w:rPr>
          <w:lang w:val="es-ES"/>
        </w:rPr>
      </w:pPr>
      <w:r w:rsidRPr="00BA69DF">
        <w:rPr>
          <w:lang w:val="es-ES"/>
        </w:rPr>
        <w:t xml:space="preserve">Este Convenio se celebra en virtud del Documento del Banco Interamericano de Desarrollo que establece el </w:t>
      </w:r>
      <w:r>
        <w:rPr>
          <w:lang w:val="es-ES"/>
        </w:rPr>
        <w:t>InfraFondo</w:t>
      </w:r>
      <w:r w:rsidRPr="00BA69DF">
        <w:rPr>
          <w:lang w:val="es-ES"/>
        </w:rPr>
        <w:t xml:space="preserve"> y que fue aprobado por Resolución del Directorio Ejecutivo DE-29/06, de fecha 22 de marzo de 2006 y sus modificaciones.</w:t>
      </w:r>
    </w:p>
    <w:p w:rsidR="0064281E" w:rsidRDefault="0064281E" w:rsidP="0064281E">
      <w:pPr>
        <w:ind w:firstLine="720"/>
        <w:jc w:val="both"/>
        <w:rPr>
          <w:lang w:val="es-ES"/>
        </w:rPr>
      </w:pPr>
    </w:p>
    <w:p w:rsidR="0064281E" w:rsidRDefault="0064281E" w:rsidP="0064281E">
      <w:pPr>
        <w:ind w:firstLine="720"/>
        <w:jc w:val="both"/>
        <w:rPr>
          <w:lang w:val="es-ES"/>
        </w:rPr>
      </w:pPr>
      <w:r w:rsidRPr="00D0586D">
        <w:rPr>
          <w:lang w:val="es-ES"/>
        </w:rPr>
        <w:t>Asimismo, este Convenio se celebra en virtud del acuerdo suscrito el 27 de julio de 2005 entre el Gobierno de la República de Corea y el Banco</w:t>
      </w:r>
      <w:r w:rsidR="00D0586D" w:rsidRPr="00D0586D">
        <w:rPr>
          <w:lang w:val="es-ES"/>
        </w:rPr>
        <w:t>, con sus modifica</w:t>
      </w:r>
      <w:r w:rsidR="00BA7C01">
        <w:rPr>
          <w:lang w:val="es-ES"/>
        </w:rPr>
        <w:t>ciones</w:t>
      </w:r>
      <w:r w:rsidR="00D0586D" w:rsidRPr="00D0586D">
        <w:rPr>
          <w:lang w:val="es-ES"/>
        </w:rPr>
        <w:t xml:space="preserve"> del 24 de mayo de 2006 y 6 de abril de 2008</w:t>
      </w:r>
      <w:r w:rsidRPr="00D0586D">
        <w:rPr>
          <w:lang w:val="es-ES"/>
        </w:rPr>
        <w:t>.</w:t>
      </w:r>
    </w:p>
    <w:p w:rsidR="009915B9" w:rsidRPr="001D609F" w:rsidRDefault="009915B9">
      <w:pPr>
        <w:jc w:val="both"/>
        <w:rPr>
          <w:lang w:val="es-ES"/>
        </w:rPr>
      </w:pPr>
    </w:p>
    <w:p w:rsidR="00607A0B" w:rsidRPr="001D609F" w:rsidRDefault="00607A0B">
      <w:pPr>
        <w:ind w:firstLine="720"/>
        <w:jc w:val="both"/>
        <w:rPr>
          <w:lang w:val="es-ES"/>
        </w:rPr>
      </w:pPr>
      <w:r w:rsidRPr="001D609F">
        <w:rPr>
          <w:lang w:val="es-ES"/>
        </w:rPr>
        <w:t>El Banco y el Organismo Ejecutor convienen lo siguiente:</w:t>
      </w:r>
    </w:p>
    <w:p w:rsidR="00607A0B" w:rsidRPr="001D609F" w:rsidRDefault="00607A0B">
      <w:pPr>
        <w:jc w:val="both"/>
        <w:rPr>
          <w:lang w:val="es-ES"/>
        </w:rPr>
      </w:pPr>
    </w:p>
    <w:p w:rsidR="00607A0B" w:rsidRPr="001D609F" w:rsidRDefault="00607A0B">
      <w:pPr>
        <w:ind w:firstLine="720"/>
        <w:jc w:val="both"/>
        <w:rPr>
          <w:lang w:val="es-ES"/>
        </w:rPr>
      </w:pPr>
      <w:r w:rsidRPr="001D609F">
        <w:rPr>
          <w:b/>
          <w:lang w:val="es-ES"/>
        </w:rPr>
        <w:t>Primero.</w:t>
      </w:r>
      <w:r w:rsidRPr="001D609F">
        <w:rPr>
          <w:b/>
          <w:lang w:val="es-ES"/>
        </w:rPr>
        <w:tab/>
      </w:r>
      <w:r w:rsidRPr="001D609F">
        <w:rPr>
          <w:b/>
          <w:u w:val="single"/>
          <w:lang w:val="es-ES"/>
        </w:rPr>
        <w:t>Partes integrantes del Convenio</w:t>
      </w:r>
      <w:r w:rsidRPr="001D609F">
        <w:rPr>
          <w:b/>
          <w:lang w:val="es-ES"/>
        </w:rPr>
        <w:t>.</w:t>
      </w:r>
      <w:r w:rsidRPr="001D609F">
        <w:rPr>
          <w:lang w:val="es-ES"/>
        </w:rPr>
        <w:t xml:space="preserve"> Este Convenio está integrado por esta primera parte, denominada las “Estipulaciones Especiales”; una segunda parte, denominada las “Normas Generales” y el </w:t>
      </w:r>
      <w:r w:rsidR="00E74409">
        <w:rPr>
          <w:lang w:val="es-ES"/>
        </w:rPr>
        <w:t>“</w:t>
      </w:r>
      <w:r w:rsidRPr="001D609F">
        <w:rPr>
          <w:lang w:val="es-ES"/>
        </w:rPr>
        <w:t>Anexo Único</w:t>
      </w:r>
      <w:r w:rsidR="00E74409">
        <w:rPr>
          <w:lang w:val="es-ES"/>
        </w:rPr>
        <w:t>”</w:t>
      </w:r>
      <w:r w:rsidRPr="001D609F">
        <w:rPr>
          <w:lang w:val="es-ES"/>
        </w:rPr>
        <w:t>, que se agrega. En el Artículo 1 de las Normas Generales, se establece la primacía entre las referidas partes y el Anexo.</w:t>
      </w:r>
    </w:p>
    <w:p w:rsidR="00607A0B" w:rsidRPr="001D609F" w:rsidRDefault="00607A0B" w:rsidP="00BA7C01">
      <w:pPr>
        <w:tabs>
          <w:tab w:val="left" w:pos="2520"/>
        </w:tabs>
        <w:ind w:firstLine="720"/>
        <w:jc w:val="both"/>
        <w:rPr>
          <w:lang w:val="es-ES"/>
        </w:rPr>
      </w:pPr>
      <w:r w:rsidRPr="001D609F">
        <w:rPr>
          <w:b/>
          <w:lang w:val="es-ES"/>
        </w:rPr>
        <w:lastRenderedPageBreak/>
        <w:t>Segundo.</w:t>
      </w:r>
      <w:r w:rsidRPr="001D609F">
        <w:rPr>
          <w:b/>
          <w:lang w:val="es-ES"/>
        </w:rPr>
        <w:tab/>
      </w:r>
      <w:r w:rsidRPr="001D609F">
        <w:rPr>
          <w:b/>
          <w:u w:val="single"/>
          <w:lang w:val="es-ES"/>
        </w:rPr>
        <w:t>Organismo Ejecutor</w:t>
      </w:r>
      <w:r w:rsidRPr="001D609F">
        <w:rPr>
          <w:b/>
          <w:lang w:val="es-ES"/>
        </w:rPr>
        <w:t>.</w:t>
      </w:r>
      <w:r w:rsidRPr="001D609F">
        <w:rPr>
          <w:lang w:val="es-ES"/>
        </w:rPr>
        <w:t xml:space="preserve"> El Organismo Ejecutor de este Programa será </w:t>
      </w:r>
      <w:r w:rsidR="00311841">
        <w:rPr>
          <w:lang w:val="es-ES"/>
        </w:rPr>
        <w:t xml:space="preserve">la </w:t>
      </w:r>
      <w:r w:rsidR="00311841">
        <w:rPr>
          <w:lang w:val="es-ES_tradnl"/>
        </w:rPr>
        <w:t xml:space="preserve">Secretaría de Energía </w:t>
      </w:r>
      <w:r w:rsidRPr="001D609F">
        <w:rPr>
          <w:lang w:val="es-ES"/>
        </w:rPr>
        <w:t>(en adelante denominado indistintamente el “Organismo Ejecutor”, “</w:t>
      </w:r>
      <w:r w:rsidR="00311841">
        <w:rPr>
          <w:lang w:val="es-ES"/>
        </w:rPr>
        <w:t>Secretaría</w:t>
      </w:r>
      <w:r w:rsidRPr="001D609F">
        <w:rPr>
          <w:lang w:val="es-ES"/>
        </w:rPr>
        <w:t>” y/o “Beneficiario”).</w:t>
      </w:r>
    </w:p>
    <w:p w:rsidR="00607A0B" w:rsidRPr="001D609F" w:rsidRDefault="00607A0B">
      <w:pPr>
        <w:jc w:val="both"/>
        <w:rPr>
          <w:lang w:val="es-ES"/>
        </w:rPr>
      </w:pPr>
    </w:p>
    <w:p w:rsidR="00F235AC" w:rsidRPr="001D609F" w:rsidRDefault="00607A0B" w:rsidP="00BA7C01">
      <w:pPr>
        <w:tabs>
          <w:tab w:val="left" w:pos="2520"/>
        </w:tabs>
        <w:ind w:firstLine="720"/>
        <w:jc w:val="both"/>
        <w:rPr>
          <w:lang w:val="es-ES"/>
        </w:rPr>
      </w:pPr>
      <w:r w:rsidRPr="001D609F">
        <w:rPr>
          <w:b/>
          <w:lang w:val="es-ES"/>
        </w:rPr>
        <w:t>Tercero.</w:t>
      </w:r>
      <w:r w:rsidRPr="001D609F">
        <w:rPr>
          <w:b/>
          <w:lang w:val="es-ES"/>
        </w:rPr>
        <w:tab/>
      </w:r>
      <w:r w:rsidRPr="001D609F">
        <w:rPr>
          <w:b/>
          <w:u w:val="single"/>
          <w:lang w:val="es-ES"/>
        </w:rPr>
        <w:t>Condiciones previas al primer desembolso</w:t>
      </w:r>
      <w:r w:rsidRPr="001D609F">
        <w:rPr>
          <w:b/>
          <w:lang w:val="es-ES"/>
        </w:rPr>
        <w:t>.</w:t>
      </w:r>
      <w:r w:rsidRPr="001D609F">
        <w:rPr>
          <w:lang w:val="es-ES"/>
        </w:rPr>
        <w:t xml:space="preserve"> </w:t>
      </w:r>
      <w:r w:rsidR="00AA7263">
        <w:rPr>
          <w:lang w:val="es-ES"/>
        </w:rPr>
        <w:t>El primer desembolso de los recursos de la Contribución está condicionado a que se cum</w:t>
      </w:r>
      <w:r w:rsidR="00311841">
        <w:rPr>
          <w:lang w:val="es-ES"/>
        </w:rPr>
        <w:t xml:space="preserve">plan, a satisfacción del Banco, </w:t>
      </w:r>
      <w:r w:rsidR="00AA7263">
        <w:rPr>
          <w:lang w:val="es-ES"/>
        </w:rPr>
        <w:t>las condiciones previas estipuladas en el Artí</w:t>
      </w:r>
      <w:r w:rsidR="00594885">
        <w:rPr>
          <w:lang w:val="es-ES"/>
        </w:rPr>
        <w:t>culo 2 de las Normas Generales.</w:t>
      </w:r>
    </w:p>
    <w:p w:rsidR="001F40C6" w:rsidRDefault="001F40C6">
      <w:pPr>
        <w:tabs>
          <w:tab w:val="left" w:pos="-1440"/>
        </w:tabs>
        <w:jc w:val="both"/>
        <w:rPr>
          <w:lang w:val="es-ES"/>
        </w:rPr>
      </w:pPr>
    </w:p>
    <w:p w:rsidR="00607A0B" w:rsidRPr="001D609F" w:rsidRDefault="002E011E" w:rsidP="00BA7C01">
      <w:pPr>
        <w:tabs>
          <w:tab w:val="left" w:pos="-1440"/>
          <w:tab w:val="left" w:pos="2520"/>
        </w:tabs>
        <w:ind w:firstLine="720"/>
        <w:jc w:val="both"/>
        <w:rPr>
          <w:lang w:val="es-ES"/>
        </w:rPr>
      </w:pPr>
      <w:r>
        <w:rPr>
          <w:b/>
          <w:lang w:val="es-ES"/>
        </w:rPr>
        <w:t>Cuarto</w:t>
      </w:r>
      <w:r w:rsidR="00607A0B" w:rsidRPr="001D609F">
        <w:rPr>
          <w:b/>
          <w:lang w:val="es-ES"/>
        </w:rPr>
        <w:t>.</w:t>
      </w:r>
      <w:r w:rsidR="00607A0B" w:rsidRPr="001D609F">
        <w:rPr>
          <w:b/>
          <w:lang w:val="es-ES"/>
        </w:rPr>
        <w:tab/>
      </w:r>
      <w:r w:rsidR="00607A0B" w:rsidRPr="001D609F">
        <w:rPr>
          <w:b/>
          <w:u w:val="single"/>
          <w:lang w:val="es-ES"/>
        </w:rPr>
        <w:t xml:space="preserve">Reembolso de gastos con cargo a </w:t>
      </w:r>
      <w:smartTag w:uri="urn:schemas-microsoft-com:office:smarttags" w:element="PersonName">
        <w:smartTagPr>
          <w:attr w:name="ProductID" w:val="la Contribuci￳n. Con"/>
        </w:smartTagPr>
        <w:r w:rsidR="00607A0B" w:rsidRPr="001D609F">
          <w:rPr>
            <w:b/>
            <w:u w:val="single"/>
            <w:lang w:val="es-ES"/>
          </w:rPr>
          <w:t>la Contribución</w:t>
        </w:r>
        <w:r w:rsidR="00607A0B" w:rsidRPr="001D609F">
          <w:rPr>
            <w:b/>
            <w:bCs/>
            <w:lang w:val="es-ES"/>
          </w:rPr>
          <w:t>.</w:t>
        </w:r>
        <w:r w:rsidR="00607A0B" w:rsidRPr="001D609F">
          <w:rPr>
            <w:lang w:val="es-ES"/>
          </w:rPr>
          <w:t xml:space="preserve"> Con</w:t>
        </w:r>
      </w:smartTag>
      <w:r w:rsidR="00607A0B" w:rsidRPr="001D609F">
        <w:rPr>
          <w:lang w:val="es-ES"/>
        </w:rPr>
        <w:t xml:space="preserve"> la aceptación del Banco, se podrán utilizar recursos de </w:t>
      </w:r>
      <w:smartTag w:uri="urn:schemas-microsoft-com:office:smarttags" w:element="PersonName">
        <w:smartTagPr>
          <w:attr w:name="ProductID" w:val="la Contribuci￳n"/>
        </w:smartTagPr>
        <w:r w:rsidR="00607A0B" w:rsidRPr="001D609F">
          <w:rPr>
            <w:lang w:val="es-ES"/>
          </w:rPr>
          <w:t>la Contribución</w:t>
        </w:r>
      </w:smartTag>
      <w:r w:rsidR="00607A0B" w:rsidRPr="001D609F">
        <w:rPr>
          <w:lang w:val="es-ES"/>
        </w:rPr>
        <w:t xml:space="preserve"> para reembolsar gastos efectuados o financiar los que se efectúen en el Programa a partir del</w:t>
      </w:r>
      <w:r w:rsidR="00A63623">
        <w:rPr>
          <w:lang w:val="es-ES"/>
        </w:rPr>
        <w:t xml:space="preserve"> </w:t>
      </w:r>
      <w:r>
        <w:rPr>
          <w:lang w:val="es-ES"/>
        </w:rPr>
        <w:t>18</w:t>
      </w:r>
      <w:r w:rsidR="00607A0B" w:rsidRPr="001D609F">
        <w:rPr>
          <w:lang w:val="es-ES"/>
        </w:rPr>
        <w:t xml:space="preserve"> de </w:t>
      </w:r>
      <w:r>
        <w:rPr>
          <w:lang w:val="es-ES"/>
        </w:rPr>
        <w:t>noviembre</w:t>
      </w:r>
      <w:r w:rsidR="00EF4B40" w:rsidRPr="001D609F">
        <w:rPr>
          <w:lang w:val="es-ES"/>
        </w:rPr>
        <w:t xml:space="preserve"> de 200</w:t>
      </w:r>
      <w:r>
        <w:rPr>
          <w:lang w:val="es-ES"/>
        </w:rPr>
        <w:t>9</w:t>
      </w:r>
      <w:r w:rsidR="00EF4B40" w:rsidRPr="001D609F">
        <w:rPr>
          <w:lang w:val="es-ES"/>
        </w:rPr>
        <w:t xml:space="preserve"> </w:t>
      </w:r>
      <w:r w:rsidR="00607A0B" w:rsidRPr="001D609F">
        <w:rPr>
          <w:lang w:val="es-ES"/>
        </w:rPr>
        <w:t>y hasta la fecha del presente Convenio, siempre que se hayan cumplido requisitos sustancialmente análogos a los establecidos en este Convenio.</w:t>
      </w:r>
    </w:p>
    <w:p w:rsidR="00607A0B" w:rsidRPr="001D609F" w:rsidRDefault="00607A0B">
      <w:pPr>
        <w:tabs>
          <w:tab w:val="left" w:pos="-1440"/>
        </w:tabs>
        <w:jc w:val="both"/>
        <w:rPr>
          <w:lang w:val="es-ES"/>
        </w:rPr>
      </w:pPr>
    </w:p>
    <w:p w:rsidR="008E5B3C" w:rsidRDefault="008E5B3C" w:rsidP="00874579">
      <w:pPr>
        <w:tabs>
          <w:tab w:val="left" w:pos="2520"/>
        </w:tabs>
        <w:ind w:firstLine="720"/>
        <w:jc w:val="both"/>
        <w:rPr>
          <w:b/>
          <w:lang w:val="es-ES"/>
        </w:rPr>
      </w:pPr>
      <w:r w:rsidRPr="00DB7C1D">
        <w:rPr>
          <w:b/>
          <w:lang w:val="es-ES_tradnl"/>
        </w:rPr>
        <w:t>Quinto.</w:t>
      </w:r>
      <w:r w:rsidRPr="00DB7C1D">
        <w:rPr>
          <w:b/>
          <w:lang w:val="es-ES_tradnl"/>
        </w:rPr>
        <w:tab/>
      </w:r>
      <w:r w:rsidRPr="00DB7C1D">
        <w:rPr>
          <w:b/>
          <w:u w:val="single"/>
          <w:lang w:val="es-ES_tradnl"/>
        </w:rPr>
        <w:t>Forma de desembolsos de la Contribución</w:t>
      </w:r>
      <w:r w:rsidRPr="005A1AA5">
        <w:rPr>
          <w:b/>
          <w:lang w:val="es-ES_tradnl"/>
        </w:rPr>
        <w:t>.</w:t>
      </w:r>
      <w:r w:rsidR="00B576C7">
        <w:rPr>
          <w:lang w:val="es-ES_tradnl"/>
        </w:rPr>
        <w:t xml:space="preserve"> </w:t>
      </w:r>
      <w:r w:rsidRPr="00DB7C1D">
        <w:rPr>
          <w:lang w:val="es-ES_tradnl"/>
        </w:rPr>
        <w:t>El Banco hará el desembolso de la Contribución al Beneficiario en la forma descrita en el Artículo 3 de las Normas Generales.</w:t>
      </w:r>
      <w:r w:rsidR="00B576C7">
        <w:rPr>
          <w:lang w:val="es-ES_tradnl"/>
        </w:rPr>
        <w:t xml:space="preserve"> </w:t>
      </w:r>
      <w:r w:rsidRPr="00DB7C1D">
        <w:rPr>
          <w:lang w:val="es-ES_tradnl"/>
        </w:rPr>
        <w:t xml:space="preserve">Para efecto de lo establecido en los incisos (b) y (c) del Artículo 3 mencionado, el monto del fondo rotatorio para este Programa, será de </w:t>
      </w:r>
      <w:r>
        <w:rPr>
          <w:lang w:val="es-ES_tradnl"/>
        </w:rPr>
        <w:t>veinte</w:t>
      </w:r>
      <w:r w:rsidRPr="00DB7C1D">
        <w:rPr>
          <w:lang w:val="es-ES_tradnl"/>
        </w:rPr>
        <w:t xml:space="preserve"> por ciento (</w:t>
      </w:r>
      <w:r>
        <w:rPr>
          <w:lang w:val="es-ES_tradnl"/>
        </w:rPr>
        <w:t>20</w:t>
      </w:r>
      <w:r w:rsidRPr="00DB7C1D">
        <w:rPr>
          <w:lang w:val="es-ES_tradnl"/>
        </w:rPr>
        <w:t>%) de la Contribución</w:t>
      </w:r>
      <w:r w:rsidR="00594885">
        <w:rPr>
          <w:lang w:val="es-ES_tradnl"/>
        </w:rPr>
        <w:t>.</w:t>
      </w:r>
    </w:p>
    <w:p w:rsidR="008E5B3C" w:rsidRDefault="008E5B3C">
      <w:pPr>
        <w:tabs>
          <w:tab w:val="left" w:pos="2160"/>
        </w:tabs>
        <w:ind w:firstLine="720"/>
        <w:jc w:val="both"/>
        <w:rPr>
          <w:b/>
          <w:lang w:val="es-ES"/>
        </w:rPr>
      </w:pPr>
    </w:p>
    <w:p w:rsidR="00607A0B" w:rsidRPr="001D609F" w:rsidRDefault="008E5B3C" w:rsidP="00874579">
      <w:pPr>
        <w:tabs>
          <w:tab w:val="left" w:pos="2520"/>
        </w:tabs>
        <w:ind w:firstLine="720"/>
        <w:jc w:val="both"/>
        <w:rPr>
          <w:lang w:val="es-ES"/>
        </w:rPr>
      </w:pPr>
      <w:r>
        <w:rPr>
          <w:b/>
          <w:lang w:val="es-ES"/>
        </w:rPr>
        <w:t>Sexto</w:t>
      </w:r>
      <w:r w:rsidR="00607A0B" w:rsidRPr="001D609F">
        <w:rPr>
          <w:b/>
          <w:lang w:val="es-ES"/>
        </w:rPr>
        <w:t>.</w:t>
      </w:r>
      <w:r w:rsidR="00607A0B" w:rsidRPr="001D609F">
        <w:rPr>
          <w:b/>
          <w:lang w:val="es-ES"/>
        </w:rPr>
        <w:tab/>
      </w:r>
      <w:r w:rsidR="00607A0B" w:rsidRPr="001D609F">
        <w:rPr>
          <w:b/>
          <w:u w:val="single"/>
          <w:lang w:val="es-ES"/>
        </w:rPr>
        <w:t>Plazos</w:t>
      </w:r>
      <w:r w:rsidR="00607A0B" w:rsidRPr="001D609F">
        <w:rPr>
          <w:b/>
          <w:lang w:val="es-ES"/>
        </w:rPr>
        <w:t>.</w:t>
      </w:r>
      <w:r w:rsidR="00607A0B" w:rsidRPr="001D609F">
        <w:rPr>
          <w:lang w:val="es-ES"/>
        </w:rPr>
        <w:t xml:space="preserve"> (a) El plazo para la ejecución del Programa será de </w:t>
      </w:r>
      <w:r>
        <w:rPr>
          <w:lang w:val="es-ES"/>
        </w:rPr>
        <w:t>diez</w:t>
      </w:r>
      <w:r w:rsidR="00607A0B" w:rsidRPr="001D609F">
        <w:rPr>
          <w:lang w:val="es-ES"/>
        </w:rPr>
        <w:t xml:space="preserve"> (</w:t>
      </w:r>
      <w:r w:rsidR="00A4030C">
        <w:rPr>
          <w:lang w:val="es-ES"/>
        </w:rPr>
        <w:t>1</w:t>
      </w:r>
      <w:r>
        <w:rPr>
          <w:lang w:val="es-ES"/>
        </w:rPr>
        <w:t>0</w:t>
      </w:r>
      <w:r w:rsidR="00607A0B" w:rsidRPr="001D609F">
        <w:rPr>
          <w:lang w:val="es-ES"/>
        </w:rPr>
        <w:t>) meses, contados a partir de la fecha de vigencia de este Convenio.</w:t>
      </w:r>
    </w:p>
    <w:p w:rsidR="00607A0B" w:rsidRPr="001D609F" w:rsidRDefault="00607A0B">
      <w:pPr>
        <w:jc w:val="both"/>
        <w:rPr>
          <w:lang w:val="es-ES"/>
        </w:rPr>
      </w:pPr>
    </w:p>
    <w:p w:rsidR="00607A0B" w:rsidRPr="001D609F" w:rsidRDefault="00607A0B">
      <w:pPr>
        <w:ind w:firstLine="720"/>
        <w:jc w:val="both"/>
        <w:rPr>
          <w:lang w:val="es-ES"/>
        </w:rPr>
      </w:pPr>
      <w:r w:rsidRPr="001D609F">
        <w:rPr>
          <w:lang w:val="es-ES"/>
        </w:rPr>
        <w:t>(b)</w:t>
      </w:r>
      <w:r w:rsidRPr="001D609F">
        <w:rPr>
          <w:lang w:val="es-ES"/>
        </w:rPr>
        <w:tab/>
        <w:t xml:space="preserve">El plazo para el último desembolso de los recursos de </w:t>
      </w:r>
      <w:smartTag w:uri="urn:schemas-microsoft-com:office:smarttags" w:element="PersonName">
        <w:smartTagPr>
          <w:attr w:name="ProductID" w:val="la Contribuci￳n"/>
        </w:smartTagPr>
        <w:r w:rsidRPr="001D609F">
          <w:rPr>
            <w:lang w:val="es-ES"/>
          </w:rPr>
          <w:t>la Contribución</w:t>
        </w:r>
      </w:smartTag>
      <w:r w:rsidRPr="001D609F">
        <w:rPr>
          <w:lang w:val="es-ES"/>
        </w:rPr>
        <w:t xml:space="preserve"> será de </w:t>
      </w:r>
      <w:r w:rsidR="008E5B3C">
        <w:rPr>
          <w:lang w:val="es-ES"/>
        </w:rPr>
        <w:t>doce</w:t>
      </w:r>
      <w:r w:rsidRPr="001D609F">
        <w:rPr>
          <w:lang w:val="es-ES"/>
        </w:rPr>
        <w:t xml:space="preserve"> (</w:t>
      </w:r>
      <w:r w:rsidR="008E5B3C">
        <w:rPr>
          <w:lang w:val="es-ES"/>
        </w:rPr>
        <w:t>12</w:t>
      </w:r>
      <w:r w:rsidRPr="001D609F">
        <w:rPr>
          <w:lang w:val="es-ES"/>
        </w:rPr>
        <w:t xml:space="preserve">) meses, contados a partir de esa misma fecha. El desembolso de los recursos necesarios para pagar el servicio de auditoría a que se refiere el Artículo 11 de las Normas Generales deberá efectuarse dentro de este plazo. Cualquier parte de </w:t>
      </w:r>
      <w:smartTag w:uri="urn:schemas-microsoft-com:office:smarttags" w:element="PersonName">
        <w:smartTagPr>
          <w:attr w:name="ProductID" w:val="la Contribuci￳n"/>
        </w:smartTagPr>
        <w:r w:rsidRPr="001D609F">
          <w:rPr>
            <w:lang w:val="es-ES"/>
          </w:rPr>
          <w:t>la Contribución</w:t>
        </w:r>
      </w:smartTag>
      <w:r w:rsidRPr="001D609F">
        <w:rPr>
          <w:lang w:val="es-ES"/>
        </w:rPr>
        <w:t xml:space="preserve"> no utilizada vencido el plazo antedicho quedará cancelada.</w:t>
      </w:r>
    </w:p>
    <w:p w:rsidR="00607A0B" w:rsidRPr="001D609F" w:rsidRDefault="00607A0B">
      <w:pPr>
        <w:jc w:val="both"/>
        <w:rPr>
          <w:lang w:val="es-ES"/>
        </w:rPr>
      </w:pPr>
    </w:p>
    <w:p w:rsidR="00607A0B" w:rsidRPr="001D609F" w:rsidRDefault="00607A0B">
      <w:pPr>
        <w:ind w:firstLine="720"/>
        <w:jc w:val="both"/>
        <w:rPr>
          <w:lang w:val="es-ES"/>
        </w:rPr>
      </w:pPr>
      <w:r w:rsidRPr="001D609F">
        <w:rPr>
          <w:lang w:val="es-ES"/>
        </w:rPr>
        <w:t>(c)</w:t>
      </w:r>
      <w:r w:rsidRPr="001D609F">
        <w:rPr>
          <w:lang w:val="es-ES"/>
        </w:rPr>
        <w:tab/>
        <w:t>Los plazos indicados anteriormente y otros que se establezcan en este Convenio sólo podrán ser ampliados, por razones justificadas, con el consentimiento escrito del Banco.</w:t>
      </w:r>
    </w:p>
    <w:p w:rsidR="00D952AD" w:rsidRPr="001D609F" w:rsidRDefault="00D952AD">
      <w:pPr>
        <w:jc w:val="both"/>
        <w:rPr>
          <w:lang w:val="es-ES"/>
        </w:rPr>
      </w:pPr>
    </w:p>
    <w:p w:rsidR="00607A0B" w:rsidRPr="001D609F" w:rsidRDefault="002E011E" w:rsidP="00874579">
      <w:pPr>
        <w:tabs>
          <w:tab w:val="left" w:pos="2520"/>
        </w:tabs>
        <w:ind w:firstLine="720"/>
        <w:jc w:val="both"/>
        <w:rPr>
          <w:lang w:val="es-ES"/>
        </w:rPr>
      </w:pPr>
      <w:r>
        <w:rPr>
          <w:b/>
          <w:lang w:val="es-ES"/>
        </w:rPr>
        <w:t>Séptimo</w:t>
      </w:r>
      <w:r w:rsidR="00607A0B" w:rsidRPr="001D609F">
        <w:rPr>
          <w:b/>
          <w:lang w:val="es-ES"/>
        </w:rPr>
        <w:t>.</w:t>
      </w:r>
      <w:r w:rsidR="00607A0B" w:rsidRPr="001D609F">
        <w:rPr>
          <w:b/>
          <w:lang w:val="es-ES"/>
        </w:rPr>
        <w:tab/>
      </w:r>
      <w:r w:rsidR="00607A0B" w:rsidRPr="001D609F">
        <w:rPr>
          <w:b/>
          <w:u w:val="single"/>
          <w:lang w:val="es-ES"/>
        </w:rPr>
        <w:t xml:space="preserve">Costo total del </w:t>
      </w:r>
      <w:r w:rsidR="004438BF">
        <w:rPr>
          <w:b/>
          <w:u w:val="single"/>
          <w:lang w:val="es-ES"/>
        </w:rPr>
        <w:t>Programa</w:t>
      </w:r>
      <w:r w:rsidR="00607A0B" w:rsidRPr="001D609F">
        <w:rPr>
          <w:b/>
          <w:u w:val="single"/>
          <w:lang w:val="es-ES"/>
        </w:rPr>
        <w:t xml:space="preserve"> y recursos adicionales</w:t>
      </w:r>
      <w:r w:rsidR="00607A0B" w:rsidRPr="001D609F">
        <w:rPr>
          <w:b/>
          <w:bCs/>
          <w:lang w:val="es-ES"/>
        </w:rPr>
        <w:t>.</w:t>
      </w:r>
      <w:r w:rsidR="00607A0B" w:rsidRPr="001D609F">
        <w:rPr>
          <w:lang w:val="es-ES"/>
        </w:rPr>
        <w:t xml:space="preserve"> (a) El Organismo Ejecutor se compromete a realizar oportunamente, los aportes que se requieran, (en adelante el “Aporte”), en adición a </w:t>
      </w:r>
      <w:smartTag w:uri="urn:schemas-microsoft-com:office:smarttags" w:element="PersonName">
        <w:smartTagPr>
          <w:attr w:name="ProductID" w:val="la Contribuci￳n"/>
        </w:smartTagPr>
        <w:r w:rsidR="00607A0B" w:rsidRPr="001D609F">
          <w:rPr>
            <w:lang w:val="es-ES"/>
          </w:rPr>
          <w:t>la Contribución</w:t>
        </w:r>
      </w:smartTag>
      <w:r w:rsidR="00607A0B" w:rsidRPr="001D609F">
        <w:rPr>
          <w:lang w:val="es-ES"/>
        </w:rPr>
        <w:t xml:space="preserve">, para la completa e ininterrumpida ejecución del Programa. El total del Aporte del Organismo Ejecutor se estima en el equivalente de </w:t>
      </w:r>
      <w:r w:rsidR="00D952AD">
        <w:rPr>
          <w:lang w:val="es-ES"/>
        </w:rPr>
        <w:t>doscientos</w:t>
      </w:r>
      <w:r w:rsidR="00607A0B" w:rsidRPr="001D609F">
        <w:rPr>
          <w:lang w:val="es-ES"/>
        </w:rPr>
        <w:t xml:space="preserve"> </w:t>
      </w:r>
      <w:r>
        <w:rPr>
          <w:lang w:val="es-ES"/>
        </w:rPr>
        <w:t xml:space="preserve">ochenta </w:t>
      </w:r>
      <w:r w:rsidR="00607A0B" w:rsidRPr="001D609F">
        <w:rPr>
          <w:lang w:val="es-ES"/>
        </w:rPr>
        <w:t>mil dólares (US$</w:t>
      </w:r>
      <w:r w:rsidR="00D952AD">
        <w:rPr>
          <w:lang w:val="es-ES"/>
        </w:rPr>
        <w:t>2</w:t>
      </w:r>
      <w:r>
        <w:rPr>
          <w:lang w:val="es-ES"/>
        </w:rPr>
        <w:t>8</w:t>
      </w:r>
      <w:r w:rsidR="00D952AD">
        <w:rPr>
          <w:lang w:val="es-ES"/>
        </w:rPr>
        <w:t>0</w:t>
      </w:r>
      <w:r w:rsidR="00607A0B" w:rsidRPr="001D609F">
        <w:rPr>
          <w:lang w:val="es-ES"/>
        </w:rPr>
        <w:t xml:space="preserve">.000) con el fin de completar la suma equivalente a </w:t>
      </w:r>
      <w:r>
        <w:rPr>
          <w:lang w:val="es-ES"/>
        </w:rPr>
        <w:t>un millón</w:t>
      </w:r>
      <w:r w:rsidR="00607A0B" w:rsidRPr="001D609F">
        <w:rPr>
          <w:lang w:val="es-ES"/>
        </w:rPr>
        <w:t xml:space="preserve"> </w:t>
      </w:r>
      <w:r>
        <w:rPr>
          <w:lang w:val="es-ES"/>
        </w:rPr>
        <w:t>ochenta</w:t>
      </w:r>
      <w:r w:rsidR="00607A0B" w:rsidRPr="001D609F">
        <w:rPr>
          <w:lang w:val="es-ES"/>
        </w:rPr>
        <w:t xml:space="preserve"> mil dólares (US$</w:t>
      </w:r>
      <w:r>
        <w:rPr>
          <w:lang w:val="es-ES"/>
        </w:rPr>
        <w:t>1</w:t>
      </w:r>
      <w:r w:rsidR="00607A0B" w:rsidRPr="001D609F">
        <w:rPr>
          <w:lang w:val="es-ES"/>
        </w:rPr>
        <w:t>.</w:t>
      </w:r>
      <w:r>
        <w:rPr>
          <w:lang w:val="es-ES"/>
        </w:rPr>
        <w:t>08</w:t>
      </w:r>
      <w:r w:rsidR="00D952AD">
        <w:rPr>
          <w:lang w:val="es-ES"/>
        </w:rPr>
        <w:t>0</w:t>
      </w:r>
      <w:r w:rsidR="00607A0B" w:rsidRPr="001D609F">
        <w:rPr>
          <w:lang w:val="es-ES"/>
        </w:rPr>
        <w:t>.000), en que se estima el costo total del Programa, sin que estas estimaciones reduzcan la obligación del Organismo Ejecutor de aportar los recursos adicionales que se requieran para completar el Programa.</w:t>
      </w:r>
    </w:p>
    <w:p w:rsidR="00607A0B" w:rsidRPr="001D609F" w:rsidRDefault="00607A0B">
      <w:pPr>
        <w:jc w:val="both"/>
        <w:rPr>
          <w:lang w:val="es-ES"/>
        </w:rPr>
      </w:pPr>
    </w:p>
    <w:p w:rsidR="00607A0B" w:rsidRPr="001D609F" w:rsidRDefault="00607A0B">
      <w:pPr>
        <w:ind w:firstLine="720"/>
        <w:jc w:val="both"/>
        <w:rPr>
          <w:lang w:val="es-ES"/>
        </w:rPr>
      </w:pPr>
      <w:r w:rsidRPr="001D609F">
        <w:rPr>
          <w:lang w:val="es-ES"/>
        </w:rPr>
        <w:t>(b)</w:t>
      </w:r>
      <w:r w:rsidRPr="001D609F">
        <w:rPr>
          <w:lang w:val="es-ES"/>
        </w:rPr>
        <w:tab/>
        <w:t>El Aporte del Beneficiario se destinará a financiar las categorías que, con cargo al mismo, se establecen en el presupuesto del Programa que aparece en el Anexo Único.</w:t>
      </w:r>
    </w:p>
    <w:p w:rsidR="00607A0B" w:rsidRPr="001D609F" w:rsidRDefault="00607A0B">
      <w:pPr>
        <w:jc w:val="both"/>
        <w:rPr>
          <w:lang w:val="es-ES"/>
        </w:rPr>
      </w:pPr>
    </w:p>
    <w:p w:rsidR="00874579" w:rsidRDefault="00874579">
      <w:pPr>
        <w:rPr>
          <w:b/>
          <w:lang w:val="es-ES"/>
        </w:rPr>
      </w:pPr>
      <w:r>
        <w:rPr>
          <w:b/>
          <w:lang w:val="es-ES"/>
        </w:rPr>
        <w:br w:type="page"/>
      </w:r>
    </w:p>
    <w:p w:rsidR="00607A0B" w:rsidRPr="001D609F" w:rsidRDefault="00874579" w:rsidP="00874579">
      <w:pPr>
        <w:tabs>
          <w:tab w:val="left" w:pos="630"/>
          <w:tab w:val="left" w:pos="2520"/>
        </w:tabs>
        <w:jc w:val="both"/>
        <w:rPr>
          <w:lang w:val="es-ES"/>
        </w:rPr>
      </w:pPr>
      <w:r>
        <w:rPr>
          <w:b/>
          <w:lang w:val="es-ES"/>
        </w:rPr>
        <w:lastRenderedPageBreak/>
        <w:tab/>
      </w:r>
      <w:r w:rsidR="002E011E">
        <w:rPr>
          <w:b/>
          <w:lang w:val="es-ES"/>
        </w:rPr>
        <w:t>Octavo</w:t>
      </w:r>
      <w:r w:rsidR="00607A0B" w:rsidRPr="001D609F">
        <w:rPr>
          <w:b/>
          <w:lang w:val="es-ES"/>
        </w:rPr>
        <w:t>.</w:t>
      </w:r>
      <w:r w:rsidR="00607A0B" w:rsidRPr="001D609F">
        <w:rPr>
          <w:b/>
          <w:lang w:val="es-ES"/>
        </w:rPr>
        <w:tab/>
      </w:r>
      <w:r w:rsidR="00607A0B" w:rsidRPr="001D609F">
        <w:rPr>
          <w:b/>
          <w:u w:val="single"/>
          <w:lang w:val="es-ES"/>
        </w:rPr>
        <w:t>Reconocimiento de gastos con cargo al Aporte</w:t>
      </w:r>
      <w:r w:rsidR="00607A0B" w:rsidRPr="001D609F">
        <w:rPr>
          <w:b/>
          <w:lang w:val="es-ES"/>
        </w:rPr>
        <w:t>.</w:t>
      </w:r>
      <w:r w:rsidR="00607A0B" w:rsidRPr="001D609F">
        <w:rPr>
          <w:lang w:val="es-ES"/>
        </w:rPr>
        <w:t xml:space="preserve"> El Banco podrá reconocer como parte de los recursos de la contrapartida local al Programa, los gastos efectuados o los que se efectúen en el mismo a partir del </w:t>
      </w:r>
      <w:r w:rsidR="002E011E">
        <w:rPr>
          <w:lang w:val="es-ES"/>
        </w:rPr>
        <w:t>18</w:t>
      </w:r>
      <w:r w:rsidR="00D952AD" w:rsidRPr="001D609F">
        <w:rPr>
          <w:lang w:val="es-ES"/>
        </w:rPr>
        <w:t xml:space="preserve"> de </w:t>
      </w:r>
      <w:r w:rsidR="002E011E">
        <w:rPr>
          <w:lang w:val="es-ES"/>
        </w:rPr>
        <w:t>noviembre</w:t>
      </w:r>
      <w:r w:rsidR="00D952AD" w:rsidRPr="001D609F">
        <w:rPr>
          <w:lang w:val="es-ES"/>
        </w:rPr>
        <w:t xml:space="preserve"> de 200</w:t>
      </w:r>
      <w:r w:rsidR="002E011E">
        <w:rPr>
          <w:lang w:val="es-ES"/>
        </w:rPr>
        <w:t>9</w:t>
      </w:r>
      <w:r w:rsidR="00607A0B" w:rsidRPr="001D609F">
        <w:rPr>
          <w:lang w:val="es-ES"/>
        </w:rPr>
        <w:t xml:space="preserve"> y hasta la fecha del presente Convenio, siempre que se hayan cumplido requisitos sustancialmente análogos a los establecidos en este Convenio.</w:t>
      </w:r>
    </w:p>
    <w:p w:rsidR="00607A0B" w:rsidRPr="001D609F" w:rsidRDefault="00607A0B">
      <w:pPr>
        <w:jc w:val="both"/>
        <w:rPr>
          <w:b/>
          <w:lang w:val="es-ES"/>
        </w:rPr>
      </w:pPr>
    </w:p>
    <w:p w:rsidR="00607A0B" w:rsidRPr="001D609F" w:rsidRDefault="002E011E" w:rsidP="009637A2">
      <w:pPr>
        <w:tabs>
          <w:tab w:val="left" w:pos="2520"/>
        </w:tabs>
        <w:ind w:firstLine="720"/>
        <w:jc w:val="both"/>
        <w:rPr>
          <w:lang w:val="es-ES"/>
        </w:rPr>
      </w:pPr>
      <w:r>
        <w:rPr>
          <w:b/>
          <w:bCs/>
          <w:lang w:val="es-ES"/>
        </w:rPr>
        <w:t>Noveno</w:t>
      </w:r>
      <w:r w:rsidR="00607A0B" w:rsidRPr="001D609F">
        <w:rPr>
          <w:b/>
          <w:lang w:val="es-ES"/>
        </w:rPr>
        <w:t>.</w:t>
      </w:r>
      <w:r w:rsidR="00607A0B" w:rsidRPr="001D609F">
        <w:rPr>
          <w:b/>
          <w:lang w:val="es-ES"/>
        </w:rPr>
        <w:tab/>
      </w:r>
      <w:r w:rsidR="00607A0B" w:rsidRPr="001D609F">
        <w:rPr>
          <w:b/>
          <w:u w:val="single"/>
          <w:lang w:val="es-ES"/>
        </w:rPr>
        <w:t>Monedas para los desembolsos</w:t>
      </w:r>
      <w:r w:rsidR="00607A0B" w:rsidRPr="001D609F">
        <w:rPr>
          <w:b/>
          <w:lang w:val="es-ES"/>
        </w:rPr>
        <w:t>.</w:t>
      </w:r>
      <w:r w:rsidR="00607A0B" w:rsidRPr="001D609F">
        <w:rPr>
          <w:lang w:val="es-ES"/>
        </w:rPr>
        <w:t xml:space="preserve"> El Banco hará el desembolso de </w:t>
      </w:r>
      <w:smartTag w:uri="urn:schemas-microsoft-com:office:smarttags" w:element="PersonName">
        <w:smartTagPr>
          <w:attr w:name="ProductID" w:val="la Contribuci￳n"/>
        </w:smartTagPr>
        <w:r w:rsidR="00607A0B" w:rsidRPr="001D609F">
          <w:rPr>
            <w:lang w:val="es-ES"/>
          </w:rPr>
          <w:t>la Contribución</w:t>
        </w:r>
      </w:smartTag>
      <w:r w:rsidR="00607A0B" w:rsidRPr="001D609F">
        <w:rPr>
          <w:lang w:val="es-ES"/>
        </w:rPr>
        <w:t xml:space="preserve"> en dólares. El Banco, aplicando la tasa de cambio indicada en el Artículo 7 de las Normas Generales, podrá convertir dichas monedas convertibles en otras monedas, incluyendo moneda local.</w:t>
      </w:r>
    </w:p>
    <w:p w:rsidR="00607A0B" w:rsidRPr="001D609F" w:rsidRDefault="00607A0B">
      <w:pPr>
        <w:jc w:val="both"/>
        <w:rPr>
          <w:lang w:val="es-ES"/>
        </w:rPr>
      </w:pPr>
    </w:p>
    <w:p w:rsidR="00607A0B" w:rsidRPr="001D609F" w:rsidRDefault="002E011E" w:rsidP="009637A2">
      <w:pPr>
        <w:tabs>
          <w:tab w:val="left" w:pos="2520"/>
        </w:tabs>
        <w:ind w:firstLine="720"/>
        <w:jc w:val="both"/>
        <w:rPr>
          <w:lang w:val="es-ES"/>
        </w:rPr>
      </w:pPr>
      <w:r>
        <w:rPr>
          <w:b/>
          <w:bCs/>
          <w:lang w:val="es-ES"/>
        </w:rPr>
        <w:t>Décimo</w:t>
      </w:r>
      <w:r w:rsidR="00607A0B" w:rsidRPr="001D609F">
        <w:rPr>
          <w:b/>
          <w:lang w:val="es-ES"/>
        </w:rPr>
        <w:t>.</w:t>
      </w:r>
      <w:r w:rsidR="00607A0B" w:rsidRPr="001D609F">
        <w:rPr>
          <w:b/>
          <w:lang w:val="es-ES"/>
        </w:rPr>
        <w:tab/>
      </w:r>
      <w:r w:rsidR="00607A0B" w:rsidRPr="001D609F">
        <w:rPr>
          <w:rStyle w:val="Strong"/>
          <w:u w:val="single"/>
          <w:lang w:val="es-ES"/>
        </w:rPr>
        <w:t xml:space="preserve">Uso de </w:t>
      </w:r>
      <w:smartTag w:uri="urn:schemas-microsoft-com:office:smarttags" w:element="PersonName">
        <w:smartTagPr>
          <w:attr w:name="ProductID" w:val="la Contribuci￳n."/>
        </w:smartTagPr>
        <w:r w:rsidR="00607A0B" w:rsidRPr="001D609F">
          <w:rPr>
            <w:rStyle w:val="Strong"/>
            <w:u w:val="single"/>
            <w:lang w:val="es-ES"/>
          </w:rPr>
          <w:t>la Contribución</w:t>
        </w:r>
        <w:r w:rsidR="00607A0B" w:rsidRPr="001D609F">
          <w:rPr>
            <w:rStyle w:val="Strong"/>
            <w:lang w:val="es-ES"/>
          </w:rPr>
          <w:t>.</w:t>
        </w:r>
      </w:smartTag>
      <w:r w:rsidR="00607A0B" w:rsidRPr="001D609F">
        <w:rPr>
          <w:rStyle w:val="Strong"/>
          <w:lang w:val="es-ES"/>
        </w:rPr>
        <w:t xml:space="preserve"> </w:t>
      </w:r>
      <w:r w:rsidR="00607A0B" w:rsidRPr="001D609F">
        <w:rPr>
          <w:rStyle w:val="Strong"/>
          <w:b w:val="0"/>
          <w:bCs/>
          <w:lang w:val="es-ES"/>
        </w:rPr>
        <w:t>(a)</w:t>
      </w:r>
      <w:r w:rsidR="00607A0B" w:rsidRPr="001D609F">
        <w:rPr>
          <w:rStyle w:val="Strong"/>
          <w:lang w:val="es-ES"/>
        </w:rPr>
        <w:t xml:space="preserve"> </w:t>
      </w:r>
      <w:r w:rsidR="00607A0B" w:rsidRPr="001D609F">
        <w:rPr>
          <w:lang w:val="es-ES"/>
        </w:rPr>
        <w:t xml:space="preserve">Sólo podrán usarse los recursos de </w:t>
      </w:r>
      <w:smartTag w:uri="urn:schemas-microsoft-com:office:smarttags" w:element="PersonName">
        <w:smartTagPr>
          <w:attr w:name="ProductID" w:val="la Contribuci￳n"/>
        </w:smartTagPr>
        <w:r w:rsidR="00607A0B" w:rsidRPr="001D609F">
          <w:rPr>
            <w:lang w:val="es-ES"/>
          </w:rPr>
          <w:t>la Contribución</w:t>
        </w:r>
      </w:smartTag>
      <w:r w:rsidR="00607A0B" w:rsidRPr="001D609F">
        <w:rPr>
          <w:lang w:val="es-ES"/>
        </w:rPr>
        <w:t xml:space="preserve"> para el pago de servicios de consultores y la adquisición de bienes originarios de los países miembros del Banco.</w:t>
      </w:r>
    </w:p>
    <w:p w:rsidR="00607A0B" w:rsidRPr="001D609F" w:rsidRDefault="00607A0B">
      <w:pPr>
        <w:jc w:val="both"/>
        <w:rPr>
          <w:lang w:val="es-ES"/>
        </w:rPr>
      </w:pPr>
    </w:p>
    <w:p w:rsidR="00607A0B" w:rsidRPr="001D609F" w:rsidRDefault="00607A0B">
      <w:pPr>
        <w:pStyle w:val="BodyTextIndent"/>
        <w:rPr>
          <w:snapToGrid/>
        </w:rPr>
      </w:pPr>
      <w:r w:rsidRPr="001D609F">
        <w:rPr>
          <w:snapToGrid/>
        </w:rPr>
        <w:t>(b)</w:t>
      </w:r>
      <w:r w:rsidRPr="001D609F">
        <w:rPr>
          <w:snapToGrid/>
        </w:rPr>
        <w:tab/>
        <w:t xml:space="preserve">El Beneficiario se compromete a que los bienes adquiridos con los recursos de </w:t>
      </w:r>
      <w:smartTag w:uri="urn:schemas-microsoft-com:office:smarttags" w:element="PersonName">
        <w:smartTagPr>
          <w:attr w:name="ProductID" w:val="la Contribuci￳n"/>
        </w:smartTagPr>
        <w:r w:rsidRPr="001D609F">
          <w:rPr>
            <w:snapToGrid/>
          </w:rPr>
          <w:t>la Contribución</w:t>
        </w:r>
      </w:smartTag>
      <w:r w:rsidRPr="001D609F">
        <w:rPr>
          <w:snapToGrid/>
        </w:rPr>
        <w:t xml:space="preserve"> serán</w:t>
      </w:r>
      <w:r w:rsidR="001F46F7">
        <w:rPr>
          <w:snapToGrid/>
        </w:rPr>
        <w:t>, en lo posible,</w:t>
      </w:r>
      <w:r w:rsidRPr="001D609F">
        <w:rPr>
          <w:snapToGrid/>
        </w:rPr>
        <w:t xml:space="preserve"> debidamente identificados con una etiqueta o rótulo que indique que dichos bienes o equipos han sido financiados con recursos provenientes del Programa.</w:t>
      </w:r>
    </w:p>
    <w:p w:rsidR="00D952AD" w:rsidRPr="001D609F" w:rsidRDefault="00D952AD">
      <w:pPr>
        <w:jc w:val="both"/>
        <w:rPr>
          <w:lang w:val="es-ES"/>
        </w:rPr>
      </w:pPr>
    </w:p>
    <w:p w:rsidR="00607A0B" w:rsidRPr="001D609F" w:rsidRDefault="002E011E" w:rsidP="009637A2">
      <w:pPr>
        <w:tabs>
          <w:tab w:val="left" w:pos="2520"/>
        </w:tabs>
        <w:ind w:firstLine="720"/>
        <w:jc w:val="both"/>
        <w:rPr>
          <w:lang w:val="es-ES"/>
        </w:rPr>
      </w:pPr>
      <w:r>
        <w:rPr>
          <w:b/>
          <w:bCs/>
          <w:lang w:val="es-ES"/>
        </w:rPr>
        <w:t>Undécimo</w:t>
      </w:r>
      <w:r w:rsidR="00607A0B" w:rsidRPr="001D609F">
        <w:rPr>
          <w:b/>
          <w:bCs/>
          <w:lang w:val="es-ES"/>
        </w:rPr>
        <w:t>.</w:t>
      </w:r>
      <w:r w:rsidR="00607A0B" w:rsidRPr="001D609F">
        <w:rPr>
          <w:b/>
          <w:lang w:val="es-ES"/>
        </w:rPr>
        <w:tab/>
      </w:r>
      <w:r w:rsidR="00607A0B" w:rsidRPr="001D609F">
        <w:rPr>
          <w:b/>
          <w:u w:val="single"/>
          <w:lang w:val="es-ES"/>
        </w:rPr>
        <w:t>Adquisición de bienes y servicios</w:t>
      </w:r>
      <w:r w:rsidR="00607A0B" w:rsidRPr="001D609F">
        <w:rPr>
          <w:b/>
          <w:bCs/>
          <w:lang w:val="es-ES"/>
        </w:rPr>
        <w:t>.</w:t>
      </w:r>
      <w:r w:rsidR="00607A0B" w:rsidRPr="001D609F">
        <w:rPr>
          <w:lang w:val="es-ES"/>
        </w:rPr>
        <w:t xml:space="preserve"> La adquisición de bienes y servicios (diferentes a los de consultores) se llevará a cabo de conformidad con las disposiciones establecidas en el Documento GN-2349-7 (“Políticas para la adquisición de obras y bienes financiados por el Banco Interamericano de Desarrollo”), de julio de 2006 (en adelante denominado las “Políticas de Adquisiciones”), que el Organismo Ejecutor declara conocer, y por las siguiente </w:t>
      </w:r>
      <w:r>
        <w:rPr>
          <w:lang w:val="es-ES"/>
        </w:rPr>
        <w:t>disposición</w:t>
      </w:r>
      <w:r w:rsidR="00607A0B" w:rsidRPr="001D609F">
        <w:rPr>
          <w:lang w:val="es-ES"/>
        </w:rPr>
        <w:t>:</w:t>
      </w:r>
    </w:p>
    <w:p w:rsidR="00607A0B" w:rsidRPr="001D609F" w:rsidRDefault="00607A0B">
      <w:pPr>
        <w:jc w:val="both"/>
        <w:rPr>
          <w:lang w:val="es-ES"/>
        </w:rPr>
      </w:pPr>
    </w:p>
    <w:p w:rsidR="00607A0B" w:rsidRPr="001D609F" w:rsidRDefault="00607A0B" w:rsidP="00E52DD9">
      <w:pPr>
        <w:pStyle w:val="BodyText"/>
        <w:widowControl w:val="0"/>
        <w:ind w:firstLine="720"/>
      </w:pPr>
      <w:r w:rsidRPr="001D609F">
        <w:t>(a)</w:t>
      </w:r>
      <w:r w:rsidRPr="001D609F">
        <w:tab/>
        <w:t>El Beneficiario podrá utilizar, para la adquisición de los bienes y servicios (diferentes a los de consultores), el método de Comparación de Precios, de conformidad con lo dispuesto en el párrafo 3.5 de dichas Políticas</w:t>
      </w:r>
      <w:r w:rsidR="00E52DD9">
        <w:t>.</w:t>
      </w:r>
    </w:p>
    <w:p w:rsidR="00607A0B" w:rsidRPr="001D609F" w:rsidRDefault="00607A0B">
      <w:pPr>
        <w:jc w:val="both"/>
        <w:rPr>
          <w:lang w:val="es-ES"/>
        </w:rPr>
      </w:pPr>
    </w:p>
    <w:p w:rsidR="00607A0B" w:rsidRPr="001D609F" w:rsidRDefault="002E011E" w:rsidP="009637A2">
      <w:pPr>
        <w:tabs>
          <w:tab w:val="left" w:pos="2520"/>
        </w:tabs>
        <w:ind w:firstLine="720"/>
        <w:jc w:val="both"/>
        <w:rPr>
          <w:lang w:val="es-ES"/>
        </w:rPr>
      </w:pPr>
      <w:r>
        <w:rPr>
          <w:b/>
          <w:bCs/>
          <w:lang w:val="es-ES"/>
        </w:rPr>
        <w:t>Duodécimo</w:t>
      </w:r>
      <w:r w:rsidR="00607A0B" w:rsidRPr="001D609F">
        <w:rPr>
          <w:b/>
          <w:bCs/>
          <w:lang w:val="es-ES"/>
        </w:rPr>
        <w:t>.</w:t>
      </w:r>
      <w:r w:rsidR="00607A0B" w:rsidRPr="001D609F">
        <w:rPr>
          <w:b/>
          <w:bCs/>
          <w:lang w:val="es-ES"/>
        </w:rPr>
        <w:tab/>
      </w:r>
      <w:r w:rsidR="00607A0B" w:rsidRPr="001D609F">
        <w:rPr>
          <w:b/>
          <w:bCs/>
          <w:u w:val="single"/>
          <w:lang w:val="es-ES"/>
        </w:rPr>
        <w:t>Selección y contratación de consultores</w:t>
      </w:r>
      <w:r w:rsidR="00607A0B" w:rsidRPr="001D609F">
        <w:rPr>
          <w:b/>
          <w:bCs/>
          <w:lang w:val="es-ES"/>
        </w:rPr>
        <w:t>.</w:t>
      </w:r>
      <w:r w:rsidR="00607A0B" w:rsidRPr="001D609F">
        <w:rPr>
          <w:lang w:val="es-ES"/>
        </w:rPr>
        <w:t xml:space="preserve"> La selección y contratación de consultores deberá ser llevada a cabo de conformidad con las disposiciones establecidas en el Documento GN-2350-7 (“Políticas para la selección y contratación de consultores financiados por el Banco Interamericano de Desarrollo”), de julio de 2006 (en adelante denominado las “Políticas de Consultores”), que el Organismo Ejecutor declara conocer, y por la</w:t>
      </w:r>
      <w:r w:rsidR="00EF4B40" w:rsidRPr="001D609F">
        <w:rPr>
          <w:lang w:val="es-ES"/>
        </w:rPr>
        <w:t xml:space="preserve"> siguiente</w:t>
      </w:r>
      <w:r w:rsidR="00607A0B" w:rsidRPr="001D609F">
        <w:rPr>
          <w:lang w:val="es-ES"/>
        </w:rPr>
        <w:t xml:space="preserve"> disposici</w:t>
      </w:r>
      <w:r w:rsidR="00EF4B40" w:rsidRPr="001D609F">
        <w:rPr>
          <w:lang w:val="es-ES"/>
        </w:rPr>
        <w:t>ón</w:t>
      </w:r>
      <w:r w:rsidR="00607A0B" w:rsidRPr="001D609F">
        <w:rPr>
          <w:lang w:val="es-ES"/>
        </w:rPr>
        <w:t>:</w:t>
      </w:r>
    </w:p>
    <w:p w:rsidR="00607A0B" w:rsidRPr="001D609F" w:rsidRDefault="00607A0B">
      <w:pPr>
        <w:jc w:val="both"/>
        <w:rPr>
          <w:lang w:val="es-ES"/>
        </w:rPr>
      </w:pPr>
    </w:p>
    <w:p w:rsidR="00607A0B" w:rsidRPr="001D609F" w:rsidRDefault="00607A0B">
      <w:pPr>
        <w:pStyle w:val="BodyTextIndent"/>
        <w:rPr>
          <w:snapToGrid/>
        </w:rPr>
      </w:pPr>
      <w:r w:rsidRPr="001D609F">
        <w:rPr>
          <w:snapToGrid/>
        </w:rPr>
        <w:t>(a)</w:t>
      </w:r>
      <w:r w:rsidRPr="001D609F">
        <w:rPr>
          <w:snapToGrid/>
        </w:rPr>
        <w:tab/>
        <w:t xml:space="preserve">El Organismo Ejecutor, podrá utilizar el método establecido en </w:t>
      </w:r>
      <w:smartTag w:uri="urn:schemas-microsoft-com:office:smarttags" w:element="PersonName">
        <w:smartTagPr>
          <w:attr w:name="ProductID" w:val="la Secci￳n II"/>
        </w:smartTagPr>
        <w:r w:rsidRPr="001D609F">
          <w:rPr>
            <w:snapToGrid/>
          </w:rPr>
          <w:t>la Sección II</w:t>
        </w:r>
      </w:smartTag>
      <w:r w:rsidRPr="001D609F">
        <w:rPr>
          <w:snapToGrid/>
        </w:rPr>
        <w:t xml:space="preserve"> y en los párrafos </w:t>
      </w:r>
      <w:smartTag w:uri="urn:schemas-microsoft-com:office:smarttags" w:element="metricconverter">
        <w:smartTagPr>
          <w:attr w:name="ProductID" w:val="3.16 a"/>
        </w:smartTagPr>
        <w:r w:rsidRPr="001D609F">
          <w:rPr>
            <w:snapToGrid/>
          </w:rPr>
          <w:t>3.16 a</w:t>
        </w:r>
      </w:smartTag>
      <w:r w:rsidRPr="001D609F">
        <w:rPr>
          <w:snapToGrid/>
        </w:rPr>
        <w:t xml:space="preserve"> 3.20 de las Políticas de Consultores para la selección de consultores basada en la calidad y el costo; y cualquiera de los métodos establecidos en las Secciones III y V de dichas políticas para la selección de firmas consultoras y de consultores individuales, respectivamente.</w:t>
      </w:r>
    </w:p>
    <w:p w:rsidR="008C515F" w:rsidRPr="008C515F" w:rsidRDefault="008C515F">
      <w:pPr>
        <w:tabs>
          <w:tab w:val="left" w:pos="600"/>
          <w:tab w:val="left" w:pos="1200"/>
          <w:tab w:val="left" w:pos="2040"/>
          <w:tab w:val="left" w:pos="2520"/>
        </w:tabs>
        <w:jc w:val="both"/>
        <w:rPr>
          <w:lang w:val="es-ES_tradnl"/>
        </w:rPr>
      </w:pPr>
    </w:p>
    <w:p w:rsidR="00607A0B" w:rsidRPr="001D609F" w:rsidRDefault="002E011E">
      <w:pPr>
        <w:tabs>
          <w:tab w:val="left" w:pos="2520"/>
        </w:tabs>
        <w:ind w:firstLine="720"/>
        <w:jc w:val="both"/>
        <w:rPr>
          <w:lang w:val="es-ES"/>
        </w:rPr>
      </w:pPr>
      <w:r>
        <w:rPr>
          <w:b/>
          <w:lang w:val="es-ES"/>
        </w:rPr>
        <w:t>Decimotercero</w:t>
      </w:r>
      <w:r w:rsidR="00607A0B" w:rsidRPr="001D609F">
        <w:rPr>
          <w:b/>
          <w:bCs/>
          <w:lang w:val="es-ES"/>
        </w:rPr>
        <w:t>.</w:t>
      </w:r>
      <w:r w:rsidR="00607A0B" w:rsidRPr="001D609F">
        <w:rPr>
          <w:b/>
          <w:bCs/>
          <w:lang w:val="es-ES"/>
        </w:rPr>
        <w:tab/>
      </w:r>
      <w:r w:rsidR="00607A0B" w:rsidRPr="001D609F">
        <w:rPr>
          <w:b/>
          <w:bCs/>
          <w:u w:val="single"/>
          <w:lang w:val="es-ES"/>
        </w:rPr>
        <w:t xml:space="preserve">Plan de </w:t>
      </w:r>
      <w:r w:rsidR="008E5B3C">
        <w:rPr>
          <w:b/>
          <w:bCs/>
          <w:u w:val="single"/>
          <w:lang w:val="es-ES"/>
        </w:rPr>
        <w:t>Adquisiciones</w:t>
      </w:r>
      <w:r w:rsidR="00607A0B" w:rsidRPr="001D609F">
        <w:rPr>
          <w:b/>
          <w:bCs/>
          <w:lang w:val="es-ES"/>
        </w:rPr>
        <w:t>.</w:t>
      </w:r>
      <w:r w:rsidR="00607A0B" w:rsidRPr="001D609F">
        <w:rPr>
          <w:lang w:val="es-ES"/>
        </w:rPr>
        <w:t xml:space="preserve"> Antes de que pueda efectuarse cualquier llamado de licitación en el caso de bienes y servicios (diferentes de los de consultoría) o cualquier solicitud de propuestas a los consultores, el Organismo Ejecutor, deberá presentar a la </w:t>
      </w:r>
      <w:r w:rsidR="00607A0B" w:rsidRPr="001D609F">
        <w:rPr>
          <w:lang w:val="es-ES"/>
        </w:rPr>
        <w:lastRenderedPageBreak/>
        <w:t xml:space="preserve">revisión y aprobación del Banco, el Plan de </w:t>
      </w:r>
      <w:r w:rsidR="008E5B3C">
        <w:rPr>
          <w:lang w:val="es-ES"/>
        </w:rPr>
        <w:t>Adquisiciones</w:t>
      </w:r>
      <w:r w:rsidR="00607A0B" w:rsidRPr="001D609F">
        <w:rPr>
          <w:lang w:val="es-ES"/>
        </w:rPr>
        <w:t xml:space="preserve"> propuesto para el Programa, que deberá incluir el costo estimado de cada contrato, la agrupación de los contratos y los métodos de adquisición y selección aplicables, de conformidad con lo dispuesto en los párrafos 1 de los Apéndices 1 de las Políticas de Adquisiciones y de Consultores respectivamente. Este plan deberá ser actualizado cada</w:t>
      </w:r>
      <w:r w:rsidR="009D7906" w:rsidRPr="001D609F">
        <w:rPr>
          <w:lang w:val="es-ES"/>
        </w:rPr>
        <w:t xml:space="preserve"> seis (</w:t>
      </w:r>
      <w:r w:rsidR="00607A0B" w:rsidRPr="001D609F">
        <w:rPr>
          <w:lang w:val="es-ES"/>
        </w:rPr>
        <w:t>6</w:t>
      </w:r>
      <w:r w:rsidR="009D7906" w:rsidRPr="001D609F">
        <w:rPr>
          <w:lang w:val="es-ES"/>
        </w:rPr>
        <w:t>)</w:t>
      </w:r>
      <w:r w:rsidR="00607A0B" w:rsidRPr="001D609F">
        <w:rPr>
          <w:lang w:val="es-ES"/>
        </w:rPr>
        <w:t xml:space="preserve"> meses durante la ejecución del Programa, y cada versión actualizada será sometida a la revisión y aprobación del Banco. La adquisición de los bienes y servicios (diferentes de los de consultoría) y la selección y contratación de consultores deberán ser llevados a cabo de conformidad con el Plan de </w:t>
      </w:r>
      <w:r w:rsidR="008E5B3C">
        <w:rPr>
          <w:lang w:val="es-ES"/>
        </w:rPr>
        <w:t>Adquisiciones</w:t>
      </w:r>
      <w:r w:rsidR="00607A0B" w:rsidRPr="001D609F">
        <w:rPr>
          <w:lang w:val="es-ES"/>
        </w:rPr>
        <w:t xml:space="preserve"> aprobado por el Banco y sus respectivas modificaciones.</w:t>
      </w:r>
    </w:p>
    <w:p w:rsidR="00607A0B" w:rsidRPr="001D609F" w:rsidRDefault="00607A0B">
      <w:pPr>
        <w:tabs>
          <w:tab w:val="left" w:pos="600"/>
          <w:tab w:val="left" w:pos="2040"/>
          <w:tab w:val="left" w:pos="2520"/>
        </w:tabs>
        <w:ind w:left="600" w:hanging="600"/>
        <w:jc w:val="both"/>
        <w:rPr>
          <w:u w:val="single"/>
          <w:lang w:val="es-ES"/>
        </w:rPr>
      </w:pPr>
    </w:p>
    <w:p w:rsidR="00607A0B" w:rsidRPr="001D609F" w:rsidRDefault="002E011E" w:rsidP="007D1A05">
      <w:pPr>
        <w:tabs>
          <w:tab w:val="left" w:pos="720"/>
          <w:tab w:val="left" w:pos="1440"/>
          <w:tab w:val="left" w:pos="2520"/>
        </w:tabs>
        <w:ind w:firstLine="720"/>
        <w:jc w:val="both"/>
        <w:rPr>
          <w:lang w:val="es-ES"/>
        </w:rPr>
      </w:pPr>
      <w:r>
        <w:rPr>
          <w:b/>
          <w:szCs w:val="24"/>
          <w:lang w:val="es-ES"/>
        </w:rPr>
        <w:t>Decimocuarto</w:t>
      </w:r>
      <w:r w:rsidR="00607A0B" w:rsidRPr="001D609F">
        <w:rPr>
          <w:b/>
          <w:bCs/>
          <w:lang w:val="es-ES"/>
        </w:rPr>
        <w:t>.</w:t>
      </w:r>
      <w:r w:rsidR="00607A0B" w:rsidRPr="001D609F">
        <w:rPr>
          <w:b/>
          <w:bCs/>
          <w:lang w:val="es-ES"/>
        </w:rPr>
        <w:tab/>
      </w:r>
      <w:r w:rsidR="00607A0B" w:rsidRPr="001D609F">
        <w:rPr>
          <w:b/>
          <w:bCs/>
          <w:u w:val="single"/>
          <w:lang w:val="es-ES"/>
        </w:rPr>
        <w:t>Revisión de los contratos</w:t>
      </w:r>
      <w:r w:rsidR="00607A0B" w:rsidRPr="001D609F">
        <w:rPr>
          <w:b/>
          <w:bCs/>
          <w:lang w:val="es-ES"/>
        </w:rPr>
        <w:t>.</w:t>
      </w:r>
      <w:r w:rsidR="00607A0B" w:rsidRPr="001D609F">
        <w:rPr>
          <w:lang w:val="es-ES"/>
        </w:rPr>
        <w:t xml:space="preserve"> (a) Salvo que el Banco determine por escrito lo contrario, cada contrato para la adquisición de los bienes y servicios (diferentes de los de consultoría) y la contratación de consultores serán revisados en forma ex-ante, de conformidad con los procedimientos establecidos en los párrafos 2 y 3 de los Apéndices 1 de las Políticas de Adquisiciones y de Consultores respectivamente.</w:t>
      </w:r>
    </w:p>
    <w:p w:rsidR="00607A0B" w:rsidRPr="001D609F" w:rsidRDefault="00607A0B">
      <w:pPr>
        <w:jc w:val="both"/>
        <w:rPr>
          <w:lang w:val="es-ES"/>
        </w:rPr>
      </w:pPr>
      <w:bookmarkStart w:id="0" w:name="OLE_LINK1"/>
    </w:p>
    <w:p w:rsidR="00607A0B" w:rsidRPr="001D609F" w:rsidRDefault="00607A0B">
      <w:pPr>
        <w:pStyle w:val="BodyTextIndent"/>
        <w:rPr>
          <w:snapToGrid/>
        </w:rPr>
      </w:pPr>
      <w:r w:rsidRPr="001D609F">
        <w:rPr>
          <w:snapToGrid/>
        </w:rPr>
        <w:t>(b)</w:t>
      </w:r>
      <w:r w:rsidRPr="001D609F">
        <w:rPr>
          <w:snapToGrid/>
        </w:rPr>
        <w:tab/>
        <w:t>Como resultado de las revisiones que efectúe el Banco, éste podrá determinar que ciertos contratos, a su criterio, para la adquisición de bienes y servicios (diferentes de los de consultoría) y la contratación de consultores, serán revisados en forma ex</w:t>
      </w:r>
      <w:r w:rsidRPr="001D609F">
        <w:t>-</w:t>
      </w:r>
      <w:r w:rsidRPr="001D609F">
        <w:rPr>
          <w:snapToGrid/>
        </w:rPr>
        <w:t xml:space="preserve">post, de conformidad con los procedimientos establecidos en los párrafos 2 y 3 de los Apéndices 1 de las Políticas de Adquisiciones y de Consultores. </w:t>
      </w:r>
    </w:p>
    <w:p w:rsidR="00607A0B" w:rsidRPr="001D609F" w:rsidRDefault="00607A0B">
      <w:pPr>
        <w:jc w:val="both"/>
        <w:rPr>
          <w:lang w:val="es-ES"/>
        </w:rPr>
      </w:pPr>
    </w:p>
    <w:bookmarkEnd w:id="0"/>
    <w:p w:rsidR="00607A0B" w:rsidRPr="001D609F" w:rsidRDefault="002E011E">
      <w:pPr>
        <w:pStyle w:val="FootnoteText"/>
        <w:tabs>
          <w:tab w:val="left" w:pos="2520"/>
        </w:tabs>
        <w:ind w:firstLine="720"/>
        <w:jc w:val="both"/>
        <w:rPr>
          <w:sz w:val="24"/>
          <w:lang w:val="es-ES"/>
        </w:rPr>
      </w:pPr>
      <w:r>
        <w:rPr>
          <w:b/>
          <w:sz w:val="24"/>
          <w:szCs w:val="24"/>
          <w:lang w:val="es-ES"/>
        </w:rPr>
        <w:t>Decimoquinto</w:t>
      </w:r>
      <w:r w:rsidR="00607A0B" w:rsidRPr="00531724">
        <w:rPr>
          <w:b/>
          <w:sz w:val="24"/>
          <w:szCs w:val="24"/>
          <w:lang w:val="es-ES"/>
        </w:rPr>
        <w:t>.</w:t>
      </w:r>
      <w:r w:rsidR="00607A0B" w:rsidRPr="00531724">
        <w:rPr>
          <w:b/>
          <w:bCs/>
          <w:sz w:val="24"/>
          <w:szCs w:val="24"/>
          <w:lang w:val="es-ES"/>
        </w:rPr>
        <w:tab/>
      </w:r>
      <w:r w:rsidR="00607A0B" w:rsidRPr="001D609F">
        <w:rPr>
          <w:b/>
          <w:sz w:val="24"/>
          <w:u w:val="single"/>
          <w:lang w:val="es-ES"/>
        </w:rPr>
        <w:t>Disponibilidad de información</w:t>
      </w:r>
      <w:r w:rsidR="00607A0B" w:rsidRPr="001D609F">
        <w:rPr>
          <w:b/>
          <w:sz w:val="24"/>
          <w:lang w:val="es-ES"/>
        </w:rPr>
        <w:t>.</w:t>
      </w:r>
      <w:r w:rsidR="00607A0B" w:rsidRPr="001D609F">
        <w:rPr>
          <w:sz w:val="24"/>
          <w:lang w:val="es-ES"/>
        </w:rPr>
        <w:t xml:space="preserve"> El Beneficiario se compromete a comunicar al Banco, por escrito, dentro de un plazo máximo de diez (10) días hábiles, contados a partir de la fecha de suscripción del presente Convenio, si considera alguna parte de este Convenio </w:t>
      </w:r>
      <w:r w:rsidR="00607A0B" w:rsidRPr="001D609F">
        <w:rPr>
          <w:color w:val="000000"/>
          <w:sz w:val="24"/>
          <w:lang w:val="es-ES"/>
        </w:rPr>
        <w:t>como confidencial o delicada, o que pueda afectar negativamente las relaciones entre</w:t>
      </w:r>
      <w:r w:rsidR="001D609F" w:rsidRPr="001D609F">
        <w:rPr>
          <w:color w:val="000000"/>
          <w:sz w:val="24"/>
          <w:lang w:val="es-ES"/>
        </w:rPr>
        <w:t xml:space="preserve"> </w:t>
      </w:r>
      <w:r w:rsidR="00607A0B" w:rsidRPr="001D609F">
        <w:rPr>
          <w:color w:val="000000"/>
          <w:sz w:val="24"/>
          <w:lang w:val="es-ES"/>
        </w:rPr>
        <w:t>los países miembros</w:t>
      </w:r>
      <w:r w:rsidR="00607A0B" w:rsidRPr="001D609F">
        <w:rPr>
          <w:color w:val="000000"/>
          <w:sz w:val="24"/>
          <w:vertAlign w:val="superscript"/>
          <w:lang w:val="es-ES"/>
        </w:rPr>
        <w:t xml:space="preserve"> </w:t>
      </w:r>
      <w:r w:rsidR="00607A0B" w:rsidRPr="001D609F">
        <w:rPr>
          <w:color w:val="000000"/>
          <w:sz w:val="24"/>
          <w:lang w:val="es-ES"/>
        </w:rPr>
        <w:t>y el Banco o entre los clientes del sector privado y el Banco, en cuyo caso el Beneficiario se compromete a señalar las disposiciones consideradas como tales. De conformidad con la política sobre disponibilidad de información del Banco, éste procederá a poner a disposición del público el texto del presente Convenio, una vez que el mismo haya sido suscrito y haya entrado en vigencia, excluyendo solamente aquella información que el Beneficiario haya identificado como confidencial, delicada o perjudicial a las relaciones con el Banco en la forma señalada en este párrafo.</w:t>
      </w:r>
    </w:p>
    <w:p w:rsidR="00607A0B" w:rsidRPr="001D609F" w:rsidRDefault="00607A0B">
      <w:pPr>
        <w:jc w:val="both"/>
        <w:rPr>
          <w:lang w:val="es-ES"/>
        </w:rPr>
      </w:pPr>
    </w:p>
    <w:p w:rsidR="00607A0B" w:rsidRPr="001D609F" w:rsidRDefault="00531724">
      <w:pPr>
        <w:tabs>
          <w:tab w:val="left" w:pos="2520"/>
        </w:tabs>
        <w:ind w:firstLine="720"/>
        <w:jc w:val="both"/>
        <w:rPr>
          <w:lang w:val="es-ES"/>
        </w:rPr>
      </w:pPr>
      <w:r>
        <w:rPr>
          <w:b/>
          <w:lang w:val="es-ES"/>
        </w:rPr>
        <w:t>Decimo</w:t>
      </w:r>
      <w:r w:rsidR="002E011E">
        <w:rPr>
          <w:b/>
          <w:lang w:val="es-ES"/>
        </w:rPr>
        <w:t>sexto</w:t>
      </w:r>
      <w:r w:rsidR="00607A0B" w:rsidRPr="001D609F">
        <w:rPr>
          <w:b/>
          <w:lang w:val="es-ES"/>
        </w:rPr>
        <w:t>.</w:t>
      </w:r>
      <w:r w:rsidR="00607A0B" w:rsidRPr="001D609F">
        <w:rPr>
          <w:b/>
          <w:lang w:val="es-ES"/>
        </w:rPr>
        <w:tab/>
      </w:r>
      <w:r w:rsidR="00607A0B" w:rsidRPr="001D609F">
        <w:rPr>
          <w:b/>
          <w:u w:val="single"/>
          <w:lang w:val="es-ES"/>
        </w:rPr>
        <w:t>Comunicaciones</w:t>
      </w:r>
      <w:r w:rsidR="00607A0B" w:rsidRPr="00DD0B30">
        <w:rPr>
          <w:b/>
          <w:lang w:val="es-ES"/>
        </w:rPr>
        <w:t>.</w:t>
      </w:r>
      <w:r w:rsidR="00607A0B" w:rsidRPr="001D609F">
        <w:rPr>
          <w:lang w:val="es-ES"/>
        </w:rPr>
        <w:t xml:space="preserve"> Todos los avisos, solicitudes, comunicaciones o notificaciones que las partes deban dirigirse en virtud de este Convenio, se efectuarán por escrito y se considerarán realizados desde el momento en que el documento correspondiente se entregue al destinatario en la dirección indicada a continuación, a menos que las partes acordasen por escrito de otra manera:</w:t>
      </w:r>
    </w:p>
    <w:p w:rsidR="00607A0B" w:rsidRPr="001D609F" w:rsidRDefault="00607A0B">
      <w:pPr>
        <w:jc w:val="both"/>
        <w:rPr>
          <w:lang w:val="es-ES"/>
        </w:rPr>
      </w:pPr>
    </w:p>
    <w:p w:rsidR="00607A0B" w:rsidRPr="001D609F" w:rsidRDefault="00607A0B">
      <w:pPr>
        <w:ind w:firstLine="720"/>
        <w:jc w:val="both"/>
        <w:rPr>
          <w:lang w:val="es-ES"/>
        </w:rPr>
      </w:pPr>
      <w:r w:rsidRPr="001D609F">
        <w:rPr>
          <w:lang w:val="es-ES"/>
        </w:rPr>
        <w:t>Del Beneficiario: La dirección correspondiente será la indicada en la primera página de este Convenio.</w:t>
      </w:r>
    </w:p>
    <w:p w:rsidR="00607A0B" w:rsidRPr="001D609F" w:rsidRDefault="00607A0B">
      <w:pPr>
        <w:jc w:val="both"/>
        <w:rPr>
          <w:lang w:val="es-ES"/>
        </w:rPr>
      </w:pPr>
    </w:p>
    <w:p w:rsidR="007D1A05" w:rsidRDefault="007D1A05">
      <w:pPr>
        <w:rPr>
          <w:lang w:val="es-ES"/>
        </w:rPr>
      </w:pPr>
      <w:r>
        <w:rPr>
          <w:lang w:val="es-ES"/>
        </w:rPr>
        <w:br w:type="page"/>
      </w:r>
    </w:p>
    <w:p w:rsidR="00607A0B" w:rsidRPr="001D609F" w:rsidRDefault="00607A0B" w:rsidP="00594885">
      <w:pPr>
        <w:keepNext/>
        <w:ind w:firstLine="720"/>
        <w:jc w:val="both"/>
        <w:rPr>
          <w:lang w:val="es-ES"/>
        </w:rPr>
      </w:pPr>
      <w:r w:rsidRPr="001D609F">
        <w:rPr>
          <w:lang w:val="es-ES"/>
        </w:rPr>
        <w:lastRenderedPageBreak/>
        <w:t>Del Banco:</w:t>
      </w:r>
    </w:p>
    <w:p w:rsidR="007D1A05" w:rsidRDefault="007D1A05" w:rsidP="00594885">
      <w:pPr>
        <w:keepNext/>
        <w:ind w:firstLine="1440"/>
        <w:jc w:val="both"/>
        <w:rPr>
          <w:lang w:val="es-ES"/>
        </w:rPr>
      </w:pPr>
    </w:p>
    <w:p w:rsidR="00607A0B" w:rsidRPr="001D609F" w:rsidRDefault="00607A0B" w:rsidP="00594885">
      <w:pPr>
        <w:keepNext/>
        <w:ind w:firstLine="1440"/>
        <w:jc w:val="both"/>
        <w:rPr>
          <w:lang w:val="es-ES"/>
        </w:rPr>
      </w:pPr>
      <w:r w:rsidRPr="001D609F">
        <w:rPr>
          <w:lang w:val="es-ES"/>
        </w:rPr>
        <w:t>Banco Interamericano de Desarrollo</w:t>
      </w:r>
    </w:p>
    <w:p w:rsidR="00607A0B" w:rsidRPr="00594885" w:rsidRDefault="00607A0B">
      <w:pPr>
        <w:ind w:firstLine="1440"/>
        <w:jc w:val="both"/>
      </w:pPr>
      <w:r w:rsidRPr="00594885">
        <w:t>1300 New York Avenue, N.W.</w:t>
      </w:r>
    </w:p>
    <w:p w:rsidR="00EF4B40" w:rsidRPr="001D609F" w:rsidRDefault="00607A0B" w:rsidP="00EF4B40">
      <w:pPr>
        <w:ind w:firstLine="1440"/>
        <w:jc w:val="both"/>
        <w:rPr>
          <w:lang w:val="es-ES"/>
        </w:rPr>
      </w:pPr>
      <w:r w:rsidRPr="001D609F">
        <w:rPr>
          <w:lang w:val="es-ES"/>
        </w:rPr>
        <w:t>Washington, D.C. 20577</w:t>
      </w:r>
    </w:p>
    <w:p w:rsidR="009D7906" w:rsidRPr="001D609F" w:rsidRDefault="009D7906" w:rsidP="00EF4B40">
      <w:pPr>
        <w:ind w:firstLine="1440"/>
        <w:jc w:val="both"/>
        <w:rPr>
          <w:lang w:val="es-ES"/>
        </w:rPr>
      </w:pPr>
      <w:r w:rsidRPr="001D609F">
        <w:rPr>
          <w:lang w:val="es-ES"/>
        </w:rPr>
        <w:t>Estados Unidos de América</w:t>
      </w:r>
    </w:p>
    <w:p w:rsidR="009D7906" w:rsidRPr="001D609F" w:rsidRDefault="009D7906" w:rsidP="00EF4B40">
      <w:pPr>
        <w:ind w:firstLine="1440"/>
        <w:jc w:val="both"/>
        <w:rPr>
          <w:lang w:val="es-ES"/>
        </w:rPr>
      </w:pPr>
    </w:p>
    <w:p w:rsidR="00607A0B" w:rsidRPr="001D609F" w:rsidRDefault="00607A0B" w:rsidP="00EF4B40">
      <w:pPr>
        <w:ind w:firstLine="1440"/>
        <w:jc w:val="both"/>
        <w:rPr>
          <w:lang w:val="es-ES"/>
        </w:rPr>
      </w:pPr>
      <w:r w:rsidRPr="001D609F">
        <w:rPr>
          <w:lang w:val="es-ES"/>
        </w:rPr>
        <w:t>Facsímil: (202) 623-3096</w:t>
      </w:r>
    </w:p>
    <w:p w:rsidR="00607A0B" w:rsidRPr="001D609F" w:rsidRDefault="00607A0B">
      <w:pPr>
        <w:jc w:val="both"/>
        <w:rPr>
          <w:lang w:val="es-ES"/>
        </w:rPr>
      </w:pPr>
    </w:p>
    <w:p w:rsidR="00607A0B" w:rsidRPr="001D609F" w:rsidRDefault="00607A0B">
      <w:pPr>
        <w:ind w:firstLine="720"/>
        <w:jc w:val="both"/>
        <w:rPr>
          <w:lang w:val="es-ES"/>
        </w:rPr>
      </w:pPr>
      <w:r w:rsidRPr="001D609F">
        <w:rPr>
          <w:lang w:val="es-ES"/>
        </w:rPr>
        <w:t xml:space="preserve">Le ruego manifestar su aceptación a los términos del presente Convenio, en representación del Beneficiario, mediante la suscripción y entrega de uno de los ejemplares originales en las oficinas de la Representación del Banco en </w:t>
      </w:r>
      <w:r w:rsidR="00F84D00">
        <w:rPr>
          <w:lang w:val="es-ES"/>
        </w:rPr>
        <w:t>Argentina</w:t>
      </w:r>
      <w:r w:rsidRPr="001D609F">
        <w:rPr>
          <w:lang w:val="es-ES"/>
        </w:rPr>
        <w:t>.</w:t>
      </w:r>
    </w:p>
    <w:p w:rsidR="009915B9" w:rsidRDefault="009915B9" w:rsidP="009915B9">
      <w:pPr>
        <w:jc w:val="both"/>
        <w:rPr>
          <w:lang w:val="es-ES"/>
        </w:rPr>
      </w:pPr>
    </w:p>
    <w:p w:rsidR="00607A0B" w:rsidRPr="009915B9" w:rsidRDefault="00607A0B" w:rsidP="009915B9">
      <w:pPr>
        <w:ind w:firstLine="720"/>
        <w:jc w:val="both"/>
        <w:rPr>
          <w:lang w:val="es-ES"/>
        </w:rPr>
      </w:pPr>
      <w:r w:rsidRPr="001D609F">
        <w:rPr>
          <w:lang w:val="es-ES"/>
        </w:rPr>
        <w:t>Este Convenio se suscribe en dos (2) ejemplares originales de igual tenor, por representantes debidamente autorizados para ello, y entrará en vigencia en la fecha de su suscripción por el Beneficiario.</w:t>
      </w:r>
    </w:p>
    <w:p w:rsidR="009D7906" w:rsidRPr="001D609F" w:rsidRDefault="009D7906">
      <w:pPr>
        <w:tabs>
          <w:tab w:val="left" w:pos="0"/>
          <w:tab w:val="left" w:pos="704"/>
          <w:tab w:val="left" w:pos="3672"/>
          <w:tab w:val="left" w:pos="4038"/>
          <w:tab w:val="left" w:pos="4405"/>
          <w:tab w:val="left" w:pos="4772"/>
          <w:tab w:val="left" w:pos="5055"/>
          <w:tab w:val="left" w:pos="5760"/>
        </w:tabs>
        <w:jc w:val="both"/>
        <w:rPr>
          <w:spacing w:val="-3"/>
          <w:lang w:val="es-ES"/>
        </w:rPr>
      </w:pPr>
    </w:p>
    <w:tbl>
      <w:tblPr>
        <w:tblW w:w="0" w:type="auto"/>
        <w:tblLook w:val="0000"/>
      </w:tblPr>
      <w:tblGrid>
        <w:gridCol w:w="4788"/>
        <w:gridCol w:w="4788"/>
      </w:tblGrid>
      <w:tr w:rsidR="00607A0B" w:rsidRPr="006C4D53">
        <w:tc>
          <w:tcPr>
            <w:tcW w:w="4788" w:type="dxa"/>
          </w:tcPr>
          <w:p w:rsidR="00607A0B" w:rsidRPr="001D609F" w:rsidRDefault="00607A0B">
            <w:pPr>
              <w:tabs>
                <w:tab w:val="left" w:pos="0"/>
                <w:tab w:val="left" w:pos="704"/>
                <w:tab w:val="left" w:pos="3672"/>
                <w:tab w:val="left" w:pos="4038"/>
                <w:tab w:val="left" w:pos="4405"/>
                <w:tab w:val="left" w:pos="4772"/>
                <w:tab w:val="left" w:pos="5055"/>
                <w:tab w:val="left" w:pos="5760"/>
              </w:tabs>
              <w:jc w:val="both"/>
              <w:rPr>
                <w:spacing w:val="-3"/>
                <w:lang w:val="es-ES"/>
              </w:rPr>
            </w:pPr>
          </w:p>
        </w:tc>
        <w:tc>
          <w:tcPr>
            <w:tcW w:w="4788" w:type="dxa"/>
          </w:tcPr>
          <w:p w:rsidR="00607A0B" w:rsidRPr="001D609F" w:rsidRDefault="00607A0B">
            <w:pPr>
              <w:tabs>
                <w:tab w:val="left" w:pos="0"/>
                <w:tab w:val="left" w:pos="704"/>
                <w:tab w:val="left" w:pos="3672"/>
                <w:tab w:val="left" w:pos="4038"/>
                <w:tab w:val="left" w:pos="4405"/>
                <w:tab w:val="left" w:pos="4772"/>
                <w:tab w:val="left" w:pos="5055"/>
                <w:tab w:val="left" w:pos="5760"/>
              </w:tabs>
              <w:jc w:val="center"/>
              <w:rPr>
                <w:spacing w:val="-3"/>
                <w:lang w:val="es-ES"/>
              </w:rPr>
            </w:pPr>
            <w:r w:rsidRPr="001D609F">
              <w:rPr>
                <w:spacing w:val="-3"/>
                <w:lang w:val="es-ES"/>
              </w:rPr>
              <w:t>Muy atentamente,</w:t>
            </w:r>
          </w:p>
          <w:p w:rsidR="00607A0B" w:rsidRPr="001D609F" w:rsidRDefault="00607A0B">
            <w:pPr>
              <w:tabs>
                <w:tab w:val="left" w:pos="0"/>
                <w:tab w:val="left" w:pos="704"/>
                <w:tab w:val="left" w:pos="3672"/>
                <w:tab w:val="left" w:pos="4038"/>
                <w:tab w:val="left" w:pos="4405"/>
                <w:tab w:val="left" w:pos="4772"/>
                <w:tab w:val="left" w:pos="5055"/>
                <w:tab w:val="left" w:pos="5760"/>
              </w:tabs>
              <w:rPr>
                <w:spacing w:val="-3"/>
                <w:lang w:val="es-ES"/>
              </w:rPr>
            </w:pPr>
          </w:p>
          <w:p w:rsidR="00607A0B" w:rsidRDefault="00607A0B">
            <w:pPr>
              <w:tabs>
                <w:tab w:val="left" w:pos="0"/>
                <w:tab w:val="left" w:pos="704"/>
                <w:tab w:val="left" w:pos="3672"/>
                <w:tab w:val="left" w:pos="4038"/>
                <w:tab w:val="left" w:pos="4405"/>
                <w:tab w:val="left" w:pos="4772"/>
                <w:tab w:val="left" w:pos="5055"/>
                <w:tab w:val="left" w:pos="5760"/>
              </w:tabs>
              <w:rPr>
                <w:spacing w:val="-3"/>
                <w:lang w:val="es-ES"/>
              </w:rPr>
            </w:pPr>
          </w:p>
          <w:p w:rsidR="00594885" w:rsidRDefault="00594885">
            <w:pPr>
              <w:tabs>
                <w:tab w:val="left" w:pos="0"/>
                <w:tab w:val="left" w:pos="704"/>
                <w:tab w:val="left" w:pos="3672"/>
                <w:tab w:val="left" w:pos="4038"/>
                <w:tab w:val="left" w:pos="4405"/>
                <w:tab w:val="left" w:pos="4772"/>
                <w:tab w:val="left" w:pos="5055"/>
                <w:tab w:val="left" w:pos="5760"/>
              </w:tabs>
              <w:rPr>
                <w:spacing w:val="-3"/>
                <w:lang w:val="es-ES"/>
              </w:rPr>
            </w:pPr>
          </w:p>
          <w:p w:rsidR="001F40C6" w:rsidRPr="001D609F" w:rsidRDefault="001F40C6">
            <w:pPr>
              <w:tabs>
                <w:tab w:val="left" w:pos="0"/>
                <w:tab w:val="left" w:pos="704"/>
                <w:tab w:val="left" w:pos="3672"/>
                <w:tab w:val="left" w:pos="4038"/>
                <w:tab w:val="left" w:pos="4405"/>
                <w:tab w:val="left" w:pos="4772"/>
                <w:tab w:val="left" w:pos="5055"/>
                <w:tab w:val="left" w:pos="5760"/>
              </w:tabs>
              <w:rPr>
                <w:spacing w:val="-3"/>
                <w:lang w:val="es-ES"/>
              </w:rPr>
            </w:pPr>
          </w:p>
          <w:p w:rsidR="00607A0B" w:rsidRPr="006C4D53" w:rsidRDefault="00607A0B" w:rsidP="00BB469B">
            <w:pPr>
              <w:tabs>
                <w:tab w:val="left" w:pos="0"/>
                <w:tab w:val="left" w:pos="704"/>
                <w:tab w:val="left" w:pos="3672"/>
                <w:tab w:val="left" w:pos="4038"/>
                <w:tab w:val="left" w:pos="4405"/>
                <w:tab w:val="left" w:pos="4772"/>
                <w:tab w:val="left" w:pos="5055"/>
                <w:tab w:val="left" w:pos="5760"/>
              </w:tabs>
              <w:jc w:val="center"/>
              <w:rPr>
                <w:spacing w:val="-3"/>
                <w:lang w:val="pt-BR"/>
              </w:rPr>
            </w:pPr>
            <w:r w:rsidRPr="006C4D53">
              <w:rPr>
                <w:spacing w:val="-3"/>
                <w:lang w:val="pt-BR"/>
              </w:rPr>
              <w:t>________________</w:t>
            </w:r>
            <w:r w:rsidR="003B21C9" w:rsidRPr="006C4D53">
              <w:rPr>
                <w:spacing w:val="-3"/>
                <w:lang w:val="pt-BR"/>
              </w:rPr>
              <w:t>__________</w:t>
            </w:r>
            <w:r w:rsidRPr="006C4D53">
              <w:rPr>
                <w:spacing w:val="-3"/>
                <w:lang w:val="pt-BR"/>
              </w:rPr>
              <w:t>___</w:t>
            </w:r>
          </w:p>
          <w:p w:rsidR="00607A0B" w:rsidRPr="006C4D53" w:rsidRDefault="006C4D53">
            <w:pPr>
              <w:tabs>
                <w:tab w:val="left" w:pos="0"/>
                <w:tab w:val="left" w:pos="704"/>
                <w:tab w:val="left" w:pos="3672"/>
                <w:tab w:val="left" w:pos="4038"/>
                <w:tab w:val="left" w:pos="4405"/>
                <w:tab w:val="left" w:pos="4772"/>
                <w:tab w:val="left" w:pos="5055"/>
                <w:tab w:val="left" w:pos="5760"/>
              </w:tabs>
              <w:jc w:val="center"/>
              <w:rPr>
                <w:spacing w:val="-3"/>
                <w:lang w:val="pt-BR"/>
              </w:rPr>
            </w:pPr>
            <w:r w:rsidRPr="006C4D53">
              <w:rPr>
                <w:spacing w:val="-3"/>
                <w:lang w:val="pt-BR"/>
              </w:rPr>
              <w:t>Daniel Oliveira</w:t>
            </w:r>
          </w:p>
          <w:p w:rsidR="00607A0B" w:rsidRPr="006C4D53" w:rsidRDefault="00607A0B">
            <w:pPr>
              <w:tabs>
                <w:tab w:val="left" w:pos="0"/>
                <w:tab w:val="left" w:pos="704"/>
                <w:tab w:val="left" w:pos="3672"/>
                <w:tab w:val="left" w:pos="4038"/>
                <w:tab w:val="left" w:pos="4405"/>
                <w:tab w:val="left" w:pos="4772"/>
                <w:tab w:val="left" w:pos="5055"/>
                <w:tab w:val="left" w:pos="5760"/>
              </w:tabs>
              <w:jc w:val="center"/>
              <w:rPr>
                <w:spacing w:val="-3"/>
                <w:lang w:val="pt-BR"/>
              </w:rPr>
            </w:pPr>
            <w:r w:rsidRPr="006C4D53">
              <w:rPr>
                <w:spacing w:val="-3"/>
                <w:lang w:val="pt-BR"/>
              </w:rPr>
              <w:t>Representante</w:t>
            </w:r>
            <w:r w:rsidR="003B21C9" w:rsidRPr="006C4D53">
              <w:rPr>
                <w:spacing w:val="-3"/>
                <w:lang w:val="pt-BR"/>
              </w:rPr>
              <w:t xml:space="preserve"> en </w:t>
            </w:r>
            <w:r w:rsidR="006C4D53" w:rsidRPr="006C4D53">
              <w:rPr>
                <w:spacing w:val="-3"/>
                <w:lang w:val="pt-BR"/>
              </w:rPr>
              <w:t>A</w:t>
            </w:r>
            <w:r w:rsidR="006C4D53">
              <w:rPr>
                <w:spacing w:val="-3"/>
                <w:lang w:val="pt-BR"/>
              </w:rPr>
              <w:t>rgentina</w:t>
            </w:r>
          </w:p>
        </w:tc>
      </w:tr>
      <w:tr w:rsidR="00607A0B" w:rsidRPr="001601EC">
        <w:tc>
          <w:tcPr>
            <w:tcW w:w="4788" w:type="dxa"/>
          </w:tcPr>
          <w:p w:rsidR="00607A0B" w:rsidRPr="001D609F" w:rsidRDefault="00607A0B" w:rsidP="00166C93">
            <w:pPr>
              <w:tabs>
                <w:tab w:val="left" w:pos="0"/>
                <w:tab w:val="left" w:pos="704"/>
                <w:tab w:val="left" w:pos="3672"/>
                <w:tab w:val="left" w:pos="4038"/>
                <w:tab w:val="left" w:pos="4405"/>
                <w:tab w:val="left" w:pos="4772"/>
                <w:tab w:val="left" w:pos="5055"/>
                <w:tab w:val="left" w:pos="5760"/>
              </w:tabs>
              <w:jc w:val="center"/>
              <w:rPr>
                <w:spacing w:val="-3"/>
                <w:lang w:val="es-ES"/>
              </w:rPr>
            </w:pPr>
            <w:r w:rsidRPr="001D609F">
              <w:rPr>
                <w:spacing w:val="-3"/>
                <w:lang w:val="es-ES"/>
              </w:rPr>
              <w:t>CONFORME:</w:t>
            </w:r>
          </w:p>
          <w:p w:rsidR="00607A0B" w:rsidRPr="001D609F" w:rsidRDefault="00607A0B">
            <w:pPr>
              <w:tabs>
                <w:tab w:val="left" w:pos="0"/>
                <w:tab w:val="left" w:pos="704"/>
                <w:tab w:val="left" w:pos="3672"/>
                <w:tab w:val="left" w:pos="4038"/>
                <w:tab w:val="left" w:pos="4405"/>
                <w:tab w:val="left" w:pos="4772"/>
                <w:tab w:val="left" w:pos="5055"/>
                <w:tab w:val="left" w:pos="5760"/>
              </w:tabs>
              <w:jc w:val="center"/>
              <w:rPr>
                <w:spacing w:val="-3"/>
                <w:lang w:val="es-ES"/>
              </w:rPr>
            </w:pPr>
          </w:p>
          <w:p w:rsidR="00607A0B" w:rsidRPr="006C4D53" w:rsidRDefault="002E011E" w:rsidP="006C4D53">
            <w:pPr>
              <w:tabs>
                <w:tab w:val="left" w:pos="0"/>
                <w:tab w:val="left" w:pos="480"/>
                <w:tab w:val="left" w:pos="960"/>
                <w:tab w:val="left" w:pos="1560"/>
                <w:tab w:val="left" w:pos="2160"/>
              </w:tabs>
              <w:jc w:val="center"/>
              <w:rPr>
                <w:lang w:val="es-ES_tradnl"/>
              </w:rPr>
            </w:pPr>
            <w:r>
              <w:rPr>
                <w:lang w:val="es-ES_tradnl"/>
              </w:rPr>
              <w:t>Secretaría de Energía</w:t>
            </w:r>
          </w:p>
          <w:p w:rsidR="00607A0B" w:rsidRPr="001D609F" w:rsidRDefault="00607A0B">
            <w:pPr>
              <w:tabs>
                <w:tab w:val="left" w:pos="0"/>
                <w:tab w:val="left" w:pos="704"/>
                <w:tab w:val="left" w:pos="3672"/>
                <w:tab w:val="left" w:pos="4038"/>
                <w:tab w:val="left" w:pos="4405"/>
                <w:tab w:val="left" w:pos="4772"/>
                <w:tab w:val="left" w:pos="5055"/>
                <w:tab w:val="left" w:pos="5760"/>
              </w:tabs>
              <w:jc w:val="center"/>
              <w:rPr>
                <w:spacing w:val="-3"/>
                <w:lang w:val="es-ES"/>
              </w:rPr>
            </w:pPr>
          </w:p>
          <w:p w:rsidR="003C31B1" w:rsidRDefault="003C31B1">
            <w:pPr>
              <w:tabs>
                <w:tab w:val="left" w:pos="0"/>
                <w:tab w:val="left" w:pos="704"/>
                <w:tab w:val="left" w:pos="3672"/>
                <w:tab w:val="left" w:pos="4038"/>
                <w:tab w:val="left" w:pos="4405"/>
                <w:tab w:val="left" w:pos="4772"/>
                <w:tab w:val="left" w:pos="5055"/>
                <w:tab w:val="left" w:pos="5760"/>
              </w:tabs>
              <w:jc w:val="center"/>
              <w:rPr>
                <w:spacing w:val="-3"/>
                <w:lang w:val="es-ES"/>
              </w:rPr>
            </w:pPr>
          </w:p>
          <w:p w:rsidR="00594885" w:rsidRPr="001D609F" w:rsidRDefault="00594885">
            <w:pPr>
              <w:tabs>
                <w:tab w:val="left" w:pos="0"/>
                <w:tab w:val="left" w:pos="704"/>
                <w:tab w:val="left" w:pos="3672"/>
                <w:tab w:val="left" w:pos="4038"/>
                <w:tab w:val="left" w:pos="4405"/>
                <w:tab w:val="left" w:pos="4772"/>
                <w:tab w:val="left" w:pos="5055"/>
                <w:tab w:val="left" w:pos="5760"/>
              </w:tabs>
              <w:jc w:val="center"/>
              <w:rPr>
                <w:spacing w:val="-3"/>
                <w:lang w:val="es-ES"/>
              </w:rPr>
            </w:pPr>
          </w:p>
          <w:p w:rsidR="002E011E" w:rsidRDefault="001601EC">
            <w:pPr>
              <w:tabs>
                <w:tab w:val="left" w:pos="0"/>
                <w:tab w:val="left" w:pos="704"/>
                <w:tab w:val="left" w:pos="3672"/>
                <w:tab w:val="left" w:pos="4038"/>
                <w:tab w:val="left" w:pos="4405"/>
                <w:tab w:val="left" w:pos="4772"/>
                <w:tab w:val="left" w:pos="5055"/>
                <w:tab w:val="left" w:pos="5760"/>
              </w:tabs>
              <w:jc w:val="center"/>
              <w:rPr>
                <w:spacing w:val="-3"/>
                <w:lang w:val="es-ES"/>
              </w:rPr>
            </w:pPr>
            <w:r>
              <w:rPr>
                <w:spacing w:val="-3"/>
                <w:lang w:val="es-ES"/>
              </w:rPr>
              <w:t>/f/</w:t>
            </w:r>
          </w:p>
          <w:p w:rsidR="00607A0B" w:rsidRPr="001D609F" w:rsidRDefault="00607A0B">
            <w:pPr>
              <w:tabs>
                <w:tab w:val="left" w:pos="0"/>
                <w:tab w:val="left" w:pos="704"/>
                <w:tab w:val="left" w:pos="3672"/>
                <w:tab w:val="left" w:pos="4038"/>
                <w:tab w:val="left" w:pos="4405"/>
                <w:tab w:val="left" w:pos="4772"/>
                <w:tab w:val="left" w:pos="5055"/>
                <w:tab w:val="left" w:pos="5760"/>
              </w:tabs>
              <w:jc w:val="center"/>
              <w:rPr>
                <w:spacing w:val="-3"/>
                <w:lang w:val="es-ES"/>
              </w:rPr>
            </w:pPr>
            <w:r w:rsidRPr="001D609F">
              <w:rPr>
                <w:spacing w:val="-3"/>
                <w:lang w:val="es-ES"/>
              </w:rPr>
              <w:t>________________________</w:t>
            </w:r>
          </w:p>
          <w:p w:rsidR="009D7906" w:rsidRPr="0043349B" w:rsidRDefault="002E011E" w:rsidP="009D7906">
            <w:pPr>
              <w:jc w:val="center"/>
              <w:rPr>
                <w:szCs w:val="24"/>
                <w:lang w:val="es-ES"/>
              </w:rPr>
            </w:pPr>
            <w:r>
              <w:rPr>
                <w:szCs w:val="24"/>
                <w:lang w:val="es-ES"/>
              </w:rPr>
              <w:t>Daniel Cameron</w:t>
            </w:r>
          </w:p>
          <w:p w:rsidR="009D7906" w:rsidRPr="0043349B" w:rsidRDefault="002E011E" w:rsidP="009D7906">
            <w:pPr>
              <w:tabs>
                <w:tab w:val="left" w:pos="0"/>
                <w:tab w:val="left" w:pos="480"/>
                <w:tab w:val="left" w:pos="960"/>
                <w:tab w:val="left" w:pos="1560"/>
                <w:tab w:val="left" w:pos="2160"/>
              </w:tabs>
              <w:jc w:val="center"/>
              <w:rPr>
                <w:sz w:val="20"/>
                <w:lang w:val="es-ES"/>
              </w:rPr>
            </w:pPr>
            <w:r>
              <w:rPr>
                <w:szCs w:val="24"/>
                <w:lang w:val="es-ES"/>
              </w:rPr>
              <w:t>Secretario</w:t>
            </w:r>
          </w:p>
          <w:p w:rsidR="00607A0B" w:rsidRDefault="00607A0B" w:rsidP="00166C93">
            <w:pPr>
              <w:tabs>
                <w:tab w:val="left" w:pos="0"/>
                <w:tab w:val="left" w:pos="704"/>
                <w:tab w:val="left" w:pos="3672"/>
                <w:tab w:val="left" w:pos="4038"/>
                <w:tab w:val="left" w:pos="4405"/>
                <w:tab w:val="left" w:pos="4772"/>
                <w:tab w:val="left" w:pos="5055"/>
                <w:tab w:val="left" w:pos="5760"/>
              </w:tabs>
              <w:jc w:val="center"/>
              <w:rPr>
                <w:spacing w:val="-3"/>
                <w:lang w:val="es-ES"/>
              </w:rPr>
            </w:pPr>
          </w:p>
          <w:p w:rsidR="007D1A05" w:rsidRDefault="007D1A05" w:rsidP="00166C93">
            <w:pPr>
              <w:tabs>
                <w:tab w:val="left" w:pos="0"/>
                <w:tab w:val="left" w:pos="704"/>
                <w:tab w:val="left" w:pos="3672"/>
                <w:tab w:val="left" w:pos="4038"/>
                <w:tab w:val="left" w:pos="4405"/>
                <w:tab w:val="left" w:pos="4772"/>
                <w:tab w:val="left" w:pos="5055"/>
                <w:tab w:val="left" w:pos="5760"/>
              </w:tabs>
              <w:jc w:val="center"/>
              <w:rPr>
                <w:spacing w:val="-3"/>
                <w:lang w:val="es-ES"/>
              </w:rPr>
            </w:pPr>
          </w:p>
          <w:p w:rsidR="007D1A05" w:rsidRPr="001D609F" w:rsidRDefault="007D1A05" w:rsidP="00166C93">
            <w:pPr>
              <w:tabs>
                <w:tab w:val="left" w:pos="0"/>
                <w:tab w:val="left" w:pos="704"/>
                <w:tab w:val="left" w:pos="3672"/>
                <w:tab w:val="left" w:pos="4038"/>
                <w:tab w:val="left" w:pos="4405"/>
                <w:tab w:val="left" w:pos="4772"/>
                <w:tab w:val="left" w:pos="5055"/>
                <w:tab w:val="left" w:pos="5760"/>
              </w:tabs>
              <w:jc w:val="center"/>
              <w:rPr>
                <w:spacing w:val="-3"/>
                <w:lang w:val="es-ES"/>
              </w:rPr>
            </w:pPr>
          </w:p>
          <w:p w:rsidR="009D7906" w:rsidRPr="001D609F" w:rsidRDefault="009D7906">
            <w:pPr>
              <w:tabs>
                <w:tab w:val="left" w:pos="0"/>
                <w:tab w:val="left" w:pos="704"/>
                <w:tab w:val="left" w:pos="3672"/>
                <w:tab w:val="left" w:pos="4038"/>
                <w:tab w:val="left" w:pos="4405"/>
                <w:tab w:val="left" w:pos="4772"/>
                <w:tab w:val="left" w:pos="5055"/>
                <w:tab w:val="left" w:pos="5760"/>
              </w:tabs>
              <w:jc w:val="center"/>
              <w:rPr>
                <w:spacing w:val="-3"/>
                <w:lang w:val="es-ES"/>
              </w:rPr>
            </w:pPr>
          </w:p>
          <w:p w:rsidR="00607A0B" w:rsidRPr="001601EC" w:rsidRDefault="00607A0B" w:rsidP="001601EC">
            <w:pPr>
              <w:tabs>
                <w:tab w:val="left" w:pos="0"/>
                <w:tab w:val="left" w:pos="704"/>
                <w:tab w:val="left" w:pos="3672"/>
                <w:tab w:val="left" w:pos="4038"/>
                <w:tab w:val="left" w:pos="4405"/>
                <w:tab w:val="left" w:pos="4772"/>
                <w:tab w:val="left" w:pos="5055"/>
                <w:tab w:val="left" w:pos="5760"/>
              </w:tabs>
              <w:jc w:val="center"/>
              <w:rPr>
                <w:spacing w:val="-3"/>
                <w:lang w:val="es-ES_tradnl"/>
              </w:rPr>
            </w:pPr>
            <w:r w:rsidRPr="001D609F">
              <w:rPr>
                <w:spacing w:val="-3"/>
                <w:lang w:val="es-ES"/>
              </w:rPr>
              <w:t xml:space="preserve">Fecha: </w:t>
            </w:r>
            <w:r w:rsidR="001601EC">
              <w:rPr>
                <w:spacing w:val="-3"/>
                <w:lang w:val="es-ES"/>
              </w:rPr>
              <w:t>7 de abril de 2010</w:t>
            </w:r>
          </w:p>
        </w:tc>
        <w:tc>
          <w:tcPr>
            <w:tcW w:w="4788" w:type="dxa"/>
          </w:tcPr>
          <w:p w:rsidR="00607A0B" w:rsidRPr="001D609F" w:rsidRDefault="00607A0B">
            <w:pPr>
              <w:tabs>
                <w:tab w:val="left" w:pos="0"/>
                <w:tab w:val="left" w:pos="704"/>
                <w:tab w:val="left" w:pos="3672"/>
                <w:tab w:val="left" w:pos="4038"/>
                <w:tab w:val="left" w:pos="4405"/>
                <w:tab w:val="left" w:pos="4772"/>
                <w:tab w:val="left" w:pos="5055"/>
                <w:tab w:val="left" w:pos="5760"/>
              </w:tabs>
              <w:jc w:val="both"/>
              <w:rPr>
                <w:spacing w:val="-3"/>
                <w:lang w:val="es-ES"/>
              </w:rPr>
            </w:pPr>
          </w:p>
        </w:tc>
      </w:tr>
    </w:tbl>
    <w:p w:rsidR="00607A0B" w:rsidRPr="001D609F" w:rsidRDefault="00607A0B">
      <w:pPr>
        <w:pStyle w:val="Header"/>
        <w:widowControl/>
        <w:tabs>
          <w:tab w:val="clear" w:pos="4320"/>
          <w:tab w:val="clear" w:pos="8640"/>
          <w:tab w:val="left" w:pos="900"/>
        </w:tabs>
        <w:rPr>
          <w:lang w:val="es-ES"/>
        </w:rPr>
      </w:pPr>
    </w:p>
    <w:sectPr w:rsidR="00607A0B" w:rsidRPr="001D609F" w:rsidSect="002961BD">
      <w:headerReference w:type="even" r:id="rId8"/>
      <w:headerReference w:type="default" r:id="rId9"/>
      <w:footerReference w:type="even" r:id="rId10"/>
      <w:footerReference w:type="default" r:id="rId11"/>
      <w:footerReference w:type="first" r:id="rId12"/>
      <w:pgSz w:w="12240" w:h="15840" w:code="1"/>
      <w:pgMar w:top="1440" w:right="1440" w:bottom="1440" w:left="1440" w:header="720" w:footer="72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0C6" w:rsidRDefault="001F40C6">
      <w:r>
        <w:separator/>
      </w:r>
    </w:p>
  </w:endnote>
  <w:endnote w:type="continuationSeparator" w:id="0">
    <w:p w:rsidR="001F40C6" w:rsidRDefault="001F40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0C6" w:rsidRDefault="00A2780B">
    <w:pPr>
      <w:pStyle w:val="Footer"/>
      <w:framePr w:wrap="around" w:vAnchor="text" w:hAnchor="margin" w:xAlign="center" w:y="1"/>
      <w:rPr>
        <w:rStyle w:val="PageNumber"/>
      </w:rPr>
    </w:pPr>
    <w:r>
      <w:rPr>
        <w:rStyle w:val="PageNumber"/>
      </w:rPr>
      <w:fldChar w:fldCharType="begin"/>
    </w:r>
    <w:r w:rsidR="001F40C6">
      <w:rPr>
        <w:rStyle w:val="PageNumber"/>
      </w:rPr>
      <w:instrText xml:space="preserve">PAGE  </w:instrText>
    </w:r>
    <w:r>
      <w:rPr>
        <w:rStyle w:val="PageNumber"/>
      </w:rPr>
      <w:fldChar w:fldCharType="end"/>
    </w:r>
  </w:p>
  <w:p w:rsidR="001F40C6" w:rsidRDefault="001F40C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0C6" w:rsidRPr="00594885" w:rsidRDefault="001F40C6" w:rsidP="001F40C6">
    <w:pPr>
      <w:tabs>
        <w:tab w:val="center" w:pos="4680"/>
      </w:tabs>
      <w:jc w:val="center"/>
      <w:rPr>
        <w:lang w:val="pt-BR"/>
      </w:rPr>
    </w:pPr>
    <w:r w:rsidRPr="00594885">
      <w:rPr>
        <w:lang w:val="pt-BR"/>
      </w:rPr>
      <w:t>ATN/KK-11892-AR</w:t>
    </w:r>
  </w:p>
  <w:p w:rsidR="001F40C6" w:rsidRPr="00594885" w:rsidRDefault="001F40C6" w:rsidP="00B7612C">
    <w:pPr>
      <w:tabs>
        <w:tab w:val="center" w:pos="4680"/>
      </w:tabs>
      <w:jc w:val="center"/>
      <w:rPr>
        <w:lang w:val="pt-BR"/>
      </w:rPr>
    </w:pPr>
    <w:r w:rsidRPr="00594885">
      <w:rPr>
        <w:lang w:val="pt-BR"/>
      </w:rPr>
      <w:t>ATN/OC-11899-AR</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0C6" w:rsidRPr="00594885" w:rsidRDefault="001F40C6">
    <w:pPr>
      <w:tabs>
        <w:tab w:val="center" w:pos="4680"/>
      </w:tabs>
      <w:jc w:val="center"/>
      <w:rPr>
        <w:lang w:val="pt-BR"/>
      </w:rPr>
    </w:pPr>
    <w:r w:rsidRPr="00594885">
      <w:rPr>
        <w:lang w:val="pt-BR"/>
      </w:rPr>
      <w:t>ATN/KK-11892-AR</w:t>
    </w:r>
  </w:p>
  <w:p w:rsidR="001F40C6" w:rsidRPr="00594885" w:rsidRDefault="001F40C6">
    <w:pPr>
      <w:tabs>
        <w:tab w:val="center" w:pos="4680"/>
      </w:tabs>
      <w:jc w:val="center"/>
      <w:rPr>
        <w:lang w:val="pt-BR"/>
      </w:rPr>
    </w:pPr>
    <w:r w:rsidRPr="00594885">
      <w:rPr>
        <w:lang w:val="pt-BR"/>
      </w:rPr>
      <w:t>ATN/OC-11899-AR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0C6" w:rsidRDefault="001F40C6">
      <w:r>
        <w:separator/>
      </w:r>
    </w:p>
  </w:footnote>
  <w:footnote w:type="continuationSeparator" w:id="0">
    <w:p w:rsidR="001F40C6" w:rsidRDefault="001F40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0C6" w:rsidRDefault="00A2780B">
    <w:pPr>
      <w:pStyle w:val="Header"/>
      <w:framePr w:wrap="around" w:vAnchor="text" w:hAnchor="margin" w:xAlign="center" w:y="1"/>
      <w:rPr>
        <w:rStyle w:val="PageNumber"/>
      </w:rPr>
    </w:pPr>
    <w:r>
      <w:rPr>
        <w:rStyle w:val="PageNumber"/>
      </w:rPr>
      <w:fldChar w:fldCharType="begin"/>
    </w:r>
    <w:r w:rsidR="001F40C6">
      <w:rPr>
        <w:rStyle w:val="PageNumber"/>
      </w:rPr>
      <w:instrText xml:space="preserve">PAGE  </w:instrText>
    </w:r>
    <w:r>
      <w:rPr>
        <w:rStyle w:val="PageNumber"/>
      </w:rPr>
      <w:fldChar w:fldCharType="separate"/>
    </w:r>
    <w:r w:rsidR="001F40C6">
      <w:rPr>
        <w:rStyle w:val="PageNumber"/>
        <w:noProof/>
      </w:rPr>
      <w:t>10</w:t>
    </w:r>
    <w:r>
      <w:rPr>
        <w:rStyle w:val="PageNumber"/>
      </w:rPr>
      <w:fldChar w:fldCharType="end"/>
    </w:r>
  </w:p>
  <w:p w:rsidR="001F40C6" w:rsidRDefault="001F40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0C6" w:rsidRDefault="001F40C6">
    <w:pPr>
      <w:pStyle w:val="Header"/>
      <w:framePr w:wrap="around" w:vAnchor="text" w:hAnchor="margin" w:xAlign="center" w:y="1"/>
      <w:rPr>
        <w:rStyle w:val="PageNumber"/>
      </w:rPr>
    </w:pPr>
    <w:r>
      <w:rPr>
        <w:rStyle w:val="PageNumber"/>
      </w:rPr>
      <w:t xml:space="preserve">- </w:t>
    </w:r>
    <w:r w:rsidR="00A2780B">
      <w:rPr>
        <w:rStyle w:val="PageNumber"/>
      </w:rPr>
      <w:fldChar w:fldCharType="begin"/>
    </w:r>
    <w:r>
      <w:rPr>
        <w:rStyle w:val="PageNumber"/>
      </w:rPr>
      <w:instrText xml:space="preserve">PAGE  </w:instrText>
    </w:r>
    <w:r w:rsidR="00A2780B">
      <w:rPr>
        <w:rStyle w:val="PageNumber"/>
      </w:rPr>
      <w:fldChar w:fldCharType="separate"/>
    </w:r>
    <w:r w:rsidR="001601EC">
      <w:rPr>
        <w:rStyle w:val="PageNumber"/>
        <w:noProof/>
      </w:rPr>
      <w:t>5</w:t>
    </w:r>
    <w:r w:rsidR="00A2780B">
      <w:rPr>
        <w:rStyle w:val="PageNumber"/>
      </w:rPr>
      <w:fldChar w:fldCharType="end"/>
    </w:r>
    <w:r>
      <w:rPr>
        <w:rStyle w:val="PageNumber"/>
      </w:rPr>
      <w:t xml:space="preserve"> -</w:t>
    </w:r>
  </w:p>
  <w:p w:rsidR="001F40C6" w:rsidRDefault="001F40C6">
    <w:pPr>
      <w:jc w:val="both"/>
      <w:rPr>
        <w:lang w:val="es-ES_tradn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82A88"/>
    <w:multiLevelType w:val="hybridMultilevel"/>
    <w:tmpl w:val="3EF0E254"/>
    <w:lvl w:ilvl="0" w:tplc="5B647EAE">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
    <w:nsid w:val="35FD61AF"/>
    <w:multiLevelType w:val="hybridMultilevel"/>
    <w:tmpl w:val="A3CEBBB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6A77260"/>
    <w:multiLevelType w:val="hybridMultilevel"/>
    <w:tmpl w:val="FC76F00A"/>
    <w:lvl w:ilvl="0" w:tplc="64F2F3A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7C9950DE"/>
    <w:multiLevelType w:val="hybridMultilevel"/>
    <w:tmpl w:val="5AA85610"/>
    <w:lvl w:ilvl="0" w:tplc="0F5A3D1A">
      <w:start w:val="1"/>
      <w:numFmt w:val="lowerRoman"/>
      <w:lvlText w:val="(%1)"/>
      <w:lvlJc w:val="left"/>
      <w:pPr>
        <w:tabs>
          <w:tab w:val="num" w:pos="1320"/>
        </w:tabs>
        <w:ind w:left="1320" w:hanging="72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readOnly"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607A0B"/>
    <w:rsid w:val="000269FE"/>
    <w:rsid w:val="000B45FD"/>
    <w:rsid w:val="00113C85"/>
    <w:rsid w:val="001601EC"/>
    <w:rsid w:val="00166C93"/>
    <w:rsid w:val="001D609F"/>
    <w:rsid w:val="001F40C6"/>
    <w:rsid w:val="001F46F7"/>
    <w:rsid w:val="00276BC4"/>
    <w:rsid w:val="002961BD"/>
    <w:rsid w:val="002E011E"/>
    <w:rsid w:val="002F2044"/>
    <w:rsid w:val="002F7E11"/>
    <w:rsid w:val="00311841"/>
    <w:rsid w:val="00361355"/>
    <w:rsid w:val="003A1343"/>
    <w:rsid w:val="003B21C9"/>
    <w:rsid w:val="003C31B1"/>
    <w:rsid w:val="003C4DF3"/>
    <w:rsid w:val="00404BDE"/>
    <w:rsid w:val="0043349B"/>
    <w:rsid w:val="004438BF"/>
    <w:rsid w:val="00482CC9"/>
    <w:rsid w:val="0048444D"/>
    <w:rsid w:val="00531724"/>
    <w:rsid w:val="00550A16"/>
    <w:rsid w:val="0055290E"/>
    <w:rsid w:val="00576E4C"/>
    <w:rsid w:val="00594885"/>
    <w:rsid w:val="005A1AA5"/>
    <w:rsid w:val="005B5021"/>
    <w:rsid w:val="005C2C48"/>
    <w:rsid w:val="005E2B53"/>
    <w:rsid w:val="00607A0B"/>
    <w:rsid w:val="00625D2B"/>
    <w:rsid w:val="0064281E"/>
    <w:rsid w:val="00656569"/>
    <w:rsid w:val="006566B1"/>
    <w:rsid w:val="00657861"/>
    <w:rsid w:val="0066446F"/>
    <w:rsid w:val="006C4D53"/>
    <w:rsid w:val="007A7690"/>
    <w:rsid w:val="007B1B5C"/>
    <w:rsid w:val="007C2FAA"/>
    <w:rsid w:val="007C747E"/>
    <w:rsid w:val="007D1A05"/>
    <w:rsid w:val="00822DF3"/>
    <w:rsid w:val="00874579"/>
    <w:rsid w:val="008C352E"/>
    <w:rsid w:val="008C515F"/>
    <w:rsid w:val="008D6DA5"/>
    <w:rsid w:val="008E4AA6"/>
    <w:rsid w:val="008E5B3C"/>
    <w:rsid w:val="00902CD6"/>
    <w:rsid w:val="0090616C"/>
    <w:rsid w:val="009637A2"/>
    <w:rsid w:val="009915B9"/>
    <w:rsid w:val="009D7906"/>
    <w:rsid w:val="00A2780B"/>
    <w:rsid w:val="00A4030C"/>
    <w:rsid w:val="00A63623"/>
    <w:rsid w:val="00AA7263"/>
    <w:rsid w:val="00AE5286"/>
    <w:rsid w:val="00B114C9"/>
    <w:rsid w:val="00B50F9E"/>
    <w:rsid w:val="00B576C7"/>
    <w:rsid w:val="00B7612C"/>
    <w:rsid w:val="00B9326D"/>
    <w:rsid w:val="00BA7C01"/>
    <w:rsid w:val="00BB0F7E"/>
    <w:rsid w:val="00BB469B"/>
    <w:rsid w:val="00BC16E4"/>
    <w:rsid w:val="00BD317F"/>
    <w:rsid w:val="00C05402"/>
    <w:rsid w:val="00CF3C9E"/>
    <w:rsid w:val="00D0586D"/>
    <w:rsid w:val="00D26ED5"/>
    <w:rsid w:val="00D346DF"/>
    <w:rsid w:val="00D41F7D"/>
    <w:rsid w:val="00D66AAC"/>
    <w:rsid w:val="00D952AD"/>
    <w:rsid w:val="00DD0B30"/>
    <w:rsid w:val="00DE6956"/>
    <w:rsid w:val="00E00A3B"/>
    <w:rsid w:val="00E23CAE"/>
    <w:rsid w:val="00E265E5"/>
    <w:rsid w:val="00E44D15"/>
    <w:rsid w:val="00E50DAC"/>
    <w:rsid w:val="00E52DD9"/>
    <w:rsid w:val="00E74409"/>
    <w:rsid w:val="00EA4D81"/>
    <w:rsid w:val="00EF4B40"/>
    <w:rsid w:val="00F235AC"/>
    <w:rsid w:val="00F40F79"/>
    <w:rsid w:val="00F41BA1"/>
    <w:rsid w:val="00F66DB6"/>
    <w:rsid w:val="00F84D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6BC4"/>
    <w:rPr>
      <w:sz w:val="24"/>
    </w:rPr>
  </w:style>
  <w:style w:type="paragraph" w:styleId="Heading2">
    <w:name w:val="heading 2"/>
    <w:basedOn w:val="Normal"/>
    <w:next w:val="Normal"/>
    <w:qFormat/>
    <w:rsid w:val="00276BC4"/>
    <w:pPr>
      <w:keepNext/>
      <w:jc w:val="right"/>
      <w:outlineLvl w:val="1"/>
    </w:pPr>
    <w:rPr>
      <w:b/>
      <w:bCs/>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76BC4"/>
    <w:pPr>
      <w:jc w:val="center"/>
      <w:outlineLvl w:val="0"/>
    </w:pPr>
    <w:rPr>
      <w:b/>
    </w:rPr>
  </w:style>
  <w:style w:type="paragraph" w:styleId="BodyTextIndent">
    <w:name w:val="Body Text Indent"/>
    <w:basedOn w:val="Normal"/>
    <w:rsid w:val="00276BC4"/>
    <w:pPr>
      <w:ind w:firstLine="720"/>
      <w:jc w:val="both"/>
    </w:pPr>
    <w:rPr>
      <w:snapToGrid w:val="0"/>
      <w:lang w:val="es-ES"/>
    </w:rPr>
  </w:style>
  <w:style w:type="paragraph" w:styleId="BodyText">
    <w:name w:val="Body Text"/>
    <w:basedOn w:val="Normal"/>
    <w:rsid w:val="00276BC4"/>
    <w:pPr>
      <w:jc w:val="both"/>
    </w:pPr>
    <w:rPr>
      <w:snapToGrid w:val="0"/>
      <w:lang w:val="es-ES"/>
    </w:rPr>
  </w:style>
  <w:style w:type="character" w:styleId="Strong">
    <w:name w:val="Strong"/>
    <w:basedOn w:val="DefaultParagraphFont"/>
    <w:qFormat/>
    <w:rsid w:val="00276BC4"/>
    <w:rPr>
      <w:b/>
    </w:rPr>
  </w:style>
  <w:style w:type="paragraph" w:styleId="FootnoteText">
    <w:name w:val="footnote text"/>
    <w:basedOn w:val="Normal"/>
    <w:semiHidden/>
    <w:rsid w:val="00276BC4"/>
    <w:pPr>
      <w:widowControl w:val="0"/>
    </w:pPr>
    <w:rPr>
      <w:snapToGrid w:val="0"/>
      <w:sz w:val="20"/>
    </w:rPr>
  </w:style>
  <w:style w:type="character" w:styleId="PageNumber">
    <w:name w:val="page number"/>
    <w:basedOn w:val="DefaultParagraphFont"/>
    <w:rsid w:val="00276BC4"/>
  </w:style>
  <w:style w:type="paragraph" w:styleId="Header">
    <w:name w:val="header"/>
    <w:basedOn w:val="Normal"/>
    <w:rsid w:val="00276BC4"/>
    <w:pPr>
      <w:widowControl w:val="0"/>
      <w:tabs>
        <w:tab w:val="center" w:pos="4320"/>
        <w:tab w:val="right" w:pos="8640"/>
      </w:tabs>
    </w:pPr>
    <w:rPr>
      <w:snapToGrid w:val="0"/>
    </w:rPr>
  </w:style>
  <w:style w:type="paragraph" w:styleId="Footer">
    <w:name w:val="footer"/>
    <w:basedOn w:val="Normal"/>
    <w:rsid w:val="00276BC4"/>
    <w:pPr>
      <w:widowControl w:val="0"/>
      <w:tabs>
        <w:tab w:val="center" w:pos="4320"/>
        <w:tab w:val="right" w:pos="8640"/>
      </w:tabs>
    </w:pPr>
    <w:rPr>
      <w:snapToGrid w:val="0"/>
    </w:rPr>
  </w:style>
  <w:style w:type="paragraph" w:styleId="BodyTextIndent2">
    <w:name w:val="Body Text Indent 2"/>
    <w:basedOn w:val="Normal"/>
    <w:rsid w:val="00276BC4"/>
    <w:pPr>
      <w:tabs>
        <w:tab w:val="left" w:pos="-1440"/>
      </w:tabs>
      <w:ind w:left="1440" w:hanging="720"/>
      <w:jc w:val="both"/>
    </w:pPr>
    <w:rPr>
      <w:lang w:val="es-ES"/>
    </w:rPr>
  </w:style>
  <w:style w:type="paragraph" w:styleId="Caption">
    <w:name w:val="caption"/>
    <w:basedOn w:val="Normal"/>
    <w:next w:val="Normal"/>
    <w:qFormat/>
    <w:rsid w:val="00276BC4"/>
    <w:pPr>
      <w:jc w:val="center"/>
    </w:pPr>
    <w:rPr>
      <w:b/>
      <w:bCs/>
      <w:sz w:val="16"/>
    </w:rPr>
  </w:style>
  <w:style w:type="paragraph" w:styleId="BalloonText">
    <w:name w:val="Balloon Text"/>
    <w:basedOn w:val="Normal"/>
    <w:semiHidden/>
    <w:rsid w:val="008C51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6180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66B06E59AB175241BBFB297522263BEB" PreviousValue="false"/>
</file>

<file path=customXml/item4.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19E0C42C95086E4C870ECCEDA805AFD2" ma:contentTypeVersion="32" ma:contentTypeDescription="A content type to manage public (corporate) IDB documents" ma:contentTypeScope="" ma:versionID="3db9712ccd0ecf6fa5bc178120e10d84">
  <xsd:schema xmlns:xsd="http://www.w3.org/2001/XMLSchema" xmlns:xs="http://www.w3.org/2001/XMLSchema" xmlns:p="http://schemas.microsoft.com/office/2006/metadata/properties" xmlns:ns2="cdc7663a-08f0-4737-9e8c-148ce897a09c" targetNamespace="http://schemas.microsoft.com/office/2006/metadata/properties" ma:root="true" ma:fieldsID="45189ff02c69c208c8642bfefeaa947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c5c54932-c2bd-47cd-9086-3a77da424455}" ma:internalName="TaxCatchAll" ma:showField="CatchAllData"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c5c54932-c2bd-47cd-9086-3a77da424455}" ma:internalName="TaxCatchAllLabel" ma:readOnly="true" ma:showField="CatchAllDataLabel"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dexed="true"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6.xml><?xml version="1.0" encoding="utf-8"?>
<p:properties xmlns:p="http://schemas.microsoft.com/office/2006/metadata/properties" xmlns:xsi="http://www.w3.org/2001/XMLSchema-instance" xmlns:pc="http://schemas.microsoft.com/office/infopath/2007/PartnerControls">
  <documentManagement>
    <Disclosure_x0020_Activity xmlns="cdc7663a-08f0-4737-9e8c-148ce897a09c">Technical Cooperation Agreement</Disclosure_x0020_Activity>
    <Division_x0020_or_x0020_Unit xmlns="cdc7663a-08f0-4737-9e8c-148ce897a09c">LEG/SGO</Division_x0020_or_x0020_Unit>
    <IDBDocs_x0020_Number xmlns="cdc7663a-08f0-4737-9e8c-148ce897a09c">35022134</IDBDocs_x0020_Number>
    <Document_x0020_Author xmlns="cdc7663a-08f0-4737-9e8c-148ce897a09c">GERONIMOF</Document_x0020_Author>
    <TaxCatchAll xmlns="cdc7663a-08f0-4737-9e8c-148ce897a09c">
      <Value>26</Value>
      <Value>23</Value>
      <Value>40</Value>
    </TaxCatchAll>
    <Fiscal_x0020_Year_x0020_IDB xmlns="cdc7663a-08f0-4737-9e8c-148ce897a09c">2010</Fiscal_x0020_Year_x0020_IDB>
    <Migration_x0020_Info xmlns="cdc7663a-08f0-4737-9e8c-148ce897a09c">&lt;Data&gt;&lt;APPLICATION&gt;MS WORD&lt;/APPLICATION&gt;&lt;STAGE_CODE&gt;AGREE-TC&lt;/STAGE_CODE&gt;&lt;USER_STAGE&gt;Technical Cooperation Agreement&lt;/USER_STAGE&gt;&lt;APPROVAL_CODE&gt;MANAGER&lt;/APPROVAL_CODE&gt;&lt;APPROVAL_DESC&gt;Manager&lt;/APPROVAL_DESC&gt;&lt;PD_OBJ_TYPE&gt;1&lt;/PD_OBJ_TYPE&gt;&lt;MAKERECORD&gt;Y&lt;/MAKERECORD&gt;&lt;PD_FILEPT_NO&gt;PO-AR-T1072-Agree&lt;/PD_FILEPT_NO&gt;&lt;PD_FILE_PART&gt;84895131&lt;/PD_FILE_PART&gt;&lt;/Data&gt;</Migration_x0020_Info>
    <SISCOR_x0020_Number xmlns="cdc7663a-08f0-4737-9e8c-148ce897a09c" xsi:nil="true"/>
    <Identifier xmlns="cdc7663a-08f0-4737-9e8c-148ce897a09c"> EE</Identifier>
    <Document_x0020_Language_x0020_IDB xmlns="cdc7663a-08f0-4737-9e8c-148ce897a09c">Spanish</Document_x0020_Language_x0020_IDB>
    <Other_x0020_Author xmlns="cdc7663a-08f0-4737-9e8c-148ce897a09c" xsi:nil="true"/>
    <Access_x0020_to_x0020_Information_x00a0_Policy xmlns="cdc7663a-08f0-4737-9e8c-148ce897a09c">Confidential</Access_x0020_to_x0020_Information_x00a0_Policy>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POM-01 Project Operations Management General</TermName>
          <TermId xmlns="http://schemas.microsoft.com/office/infopath/2007/PartnerControls">19d55793-e085-4277-a248-a5fc31bdbf37</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6 Project Operations Management</TermName>
          <TermId xmlns="http://schemas.microsoft.com/office/infopath/2007/PartnerControls">03af0c7d-3415-46d8-bacc-6351250af69c</TermId>
        </TermInfo>
      </Terms>
    </cf0f1ca6d90e4583ad80995bcde0e58a>
    <_dlc_DocId xmlns="cdc7663a-08f0-4737-9e8c-148ce897a09c">EZSHARE-1044359933-3113</_dlc_DocId>
    <Abstract xmlns="cdc7663a-08f0-4737-9e8c-148ce897a09c">Cooperación Técnica - Estipulaciones Especiales</Abstract>
    <Region xmlns="cdc7663a-08f0-4737-9e8c-148ce897a09c" xsi:nil="true"/>
    <Related_x0020_SisCor_x0020_Number xmlns="cdc7663a-08f0-4737-9e8c-148ce897a09c" xsi:nil="true"/>
    <Webtopic xmlns="cdc7663a-08f0-4737-9e8c-148ce897a09c">Energy</Webtopic>
    <Publishing_x0020_House xmlns="cdc7663a-08f0-4737-9e8c-148ce897a09c" xsi:nil="true"/>
    <Disclosed xmlns="cdc7663a-08f0-4737-9e8c-148ce897a09c">false</Disclosed>
    <KP_x0020_Topics xmlns="cdc7663a-08f0-4737-9e8c-148ce897a09c" xsi:nil="true"/>
    <Editor1 xmlns="cdc7663a-08f0-4737-9e8c-148ce897a09c" xsi:nil="true"/>
    <Publication_x0020_Type xmlns="cdc7663a-08f0-4737-9e8c-148ce897a09c" xsi:nil="true"/>
    <Issue_x0020_Date xmlns="cdc7663a-08f0-4737-9e8c-148ce897a09c" xsi:nil="true"/>
    <_dlc_DocIdUrl xmlns="cdc7663a-08f0-4737-9e8c-148ce897a09c">
      <Url>https://idbg.sharepoint.com/teams/ez-LEG/Operations/_layouts/15/DocIdRedir.aspx?ID=EZSHARE-1044359933-3113</Url>
      <Description>EZSHARE-1044359933-3113</Description>
    </_dlc_DocIdUrl>
  </documentManagement>
</p:properties>
</file>

<file path=customXml/itemProps1.xml><?xml version="1.0" encoding="utf-8"?>
<ds:datastoreItem xmlns:ds="http://schemas.openxmlformats.org/officeDocument/2006/customXml" ds:itemID="{79586856-21AC-4623-88BD-3A2C85058318}"/>
</file>

<file path=customXml/itemProps2.xml><?xml version="1.0" encoding="utf-8"?>
<ds:datastoreItem xmlns:ds="http://schemas.openxmlformats.org/officeDocument/2006/customXml" ds:itemID="{6775A943-DAB2-4ACC-9C2B-AB5CD72A6DDD}"/>
</file>

<file path=customXml/itemProps3.xml><?xml version="1.0" encoding="utf-8"?>
<ds:datastoreItem xmlns:ds="http://schemas.openxmlformats.org/officeDocument/2006/customXml" ds:itemID="{DFB8BFCA-08A9-4DDC-976D-00C1C7BB3668}"/>
</file>

<file path=customXml/itemProps4.xml><?xml version="1.0" encoding="utf-8"?>
<ds:datastoreItem xmlns:ds="http://schemas.openxmlformats.org/officeDocument/2006/customXml" ds:itemID="{2A760919-800A-43B7-B1AE-FAD385305BD0}"/>
</file>

<file path=customXml/itemProps5.xml><?xml version="1.0" encoding="utf-8"?>
<ds:datastoreItem xmlns:ds="http://schemas.openxmlformats.org/officeDocument/2006/customXml" ds:itemID="{63558F1A-20F5-435C-AA0B-E407CF2E8E34}"/>
</file>

<file path=customXml/itemProps6.xml><?xml version="1.0" encoding="utf-8"?>
<ds:datastoreItem xmlns:ds="http://schemas.openxmlformats.org/officeDocument/2006/customXml" ds:itemID="{2FA37A85-CEC9-4608-BDF4-268C36E9D772}"/>
</file>

<file path=docProps/app.xml><?xml version="1.0" encoding="utf-8"?>
<Properties xmlns="http://schemas.openxmlformats.org/officeDocument/2006/extended-properties" xmlns:vt="http://schemas.openxmlformats.org/officeDocument/2006/docPropsVTypes">
  <Template>Normal.dotm</Template>
  <TotalTime>1</TotalTime>
  <Pages>5</Pages>
  <Words>1841</Words>
  <Characters>10196</Characters>
  <Application>Microsoft Office Word</Application>
  <DocSecurity>0</DocSecurity>
  <Lines>84</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BANCO INTERAMERICANO DE DESARROLLO</vt:lpstr>
      <vt:lpstr>BANCO INTERAMERICANO DE DESARROLLO</vt:lpstr>
    </vt:vector>
  </TitlesOfParts>
  <Company>Inter-American Development Bank</Company>
  <LinksUpToDate>false</LinksUpToDate>
  <CharactersWithSpaces>12013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Parte I - Apoyo al Programa de Energía Renovable _Centrales Eólicas del Sur_</dc:title>
  <dc:subject/>
  <dc:creator>GERONIMOF</dc:creator>
  <cp:keywords/>
  <dc:description/>
  <cp:lastModifiedBy>ceciliapa</cp:lastModifiedBy>
  <cp:revision>2</cp:revision>
  <cp:lastPrinted>2010-01-12T19:35:00Z</cp:lastPrinted>
  <dcterms:created xsi:type="dcterms:W3CDTF">2010-04-26T20:00:00Z</dcterms:created>
  <dcterms:modified xsi:type="dcterms:W3CDTF">2010-04-26T20:00:00Z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Key Document">
    <vt:bool>false</vt:bool>
  </property>
  <property fmtid="{D5CDD505-2E9C-101B-9397-08002B2CF9AE}" pid="5" name="Function_x0020_Operations_x0020_IDB">
    <vt:lpwstr/>
  </property>
  <property fmtid="{D5CDD505-2E9C-101B-9397-08002B2CF9AE}" pid="6" name="Series Corporate IDB">
    <vt:lpwstr>26;#POM-01 Project Operations Management General|19d55793-e085-4277-a248-a5fc31bdbf37</vt:lpwstr>
  </property>
  <property fmtid="{D5CDD505-2E9C-101B-9397-08002B2CF9AE}" pid="7" name="ContentTypeId">
    <vt:lpwstr>0x01010066B06E59AB175241BBFB297522263BEB0019E0C42C95086E4C870ECCEDA805AFD2</vt:lpwstr>
  </property>
  <property fmtid="{D5CDD505-2E9C-101B-9397-08002B2CF9AE}" pid="8" name="TaxKeywordTaxHTField">
    <vt:lpwstr/>
  </property>
  <property fmtid="{D5CDD505-2E9C-101B-9397-08002B2CF9AE}" pid="9" name="m555d3814edf4817b4410a4e57f94ce9">
    <vt:lpwstr/>
  </property>
  <property fmtid="{D5CDD505-2E9C-101B-9397-08002B2CF9AE}" pid="10" name="Project Number">
    <vt:lpwstr>AR-T1072</vt:lpwstr>
  </property>
  <property fmtid="{D5CDD505-2E9C-101B-9397-08002B2CF9AE}" pid="11" name="Legal Taxonomy">
    <vt:lpwstr/>
  </property>
  <property fmtid="{D5CDD505-2E9C-101B-9397-08002B2CF9AE}" pid="13" name="o5138a91267540169645e33d09c9ddc6">
    <vt:lpwstr/>
  </property>
  <property fmtid="{D5CDD505-2E9C-101B-9397-08002B2CF9AE}" pid="14" name="Series Operations IDB">
    <vt:lpwstr/>
  </property>
  <property fmtid="{D5CDD505-2E9C-101B-9397-08002B2CF9AE}" pid="15" name="Approval Number">
    <vt:lpwstr>AR-T1072;AR-T1074;ATN/KK-11892-AR;ATN/OC-11899-AR</vt:lpwstr>
  </property>
  <property fmtid="{D5CDD505-2E9C-101B-9397-08002B2CF9AE}" pid="16" name="Fund IDB">
    <vt:lpwstr/>
  </property>
  <property fmtid="{D5CDD505-2E9C-101B-9397-08002B2CF9AE}" pid="17" name="Country">
    <vt:lpwstr>40;#Argentina|eb1b705c-195f-4c3b-9661-b201f2fee3c5</vt:lpwstr>
  </property>
  <property fmtid="{D5CDD505-2E9C-101B-9397-08002B2CF9AE}" pid="18" name="Legal Basis">
    <vt:lpwstr/>
  </property>
  <property fmtid="{D5CDD505-2E9C-101B-9397-08002B2CF9AE}" pid="19" name="gaf487fafdd442a2b6050eaae514d0b5">
    <vt:lpwstr/>
  </property>
  <property fmtid="{D5CDD505-2E9C-101B-9397-08002B2CF9AE}" pid="20" name="Series_x0020_Operations_x0020_IDB">
    <vt:lpwstr/>
  </property>
  <property fmtid="{D5CDD505-2E9C-101B-9397-08002B2CF9AE}" pid="21" name="Document Type IDB">
    <vt:lpwstr/>
  </property>
  <property fmtid="{D5CDD505-2E9C-101B-9397-08002B2CF9AE}" pid="24" name="Sector IDB">
    <vt:lpwstr/>
  </property>
  <property fmtid="{D5CDD505-2E9C-101B-9397-08002B2CF9AE}" pid="25" name="Function Corporate IDB">
    <vt:lpwstr>23;#6 Project Operations Management|03af0c7d-3415-46d8-bacc-6351250af69c</vt:lpwstr>
  </property>
  <property fmtid="{D5CDD505-2E9C-101B-9397-08002B2CF9AE}" pid="26" name="Document_x0020_Type_x0020_IDB">
    <vt:lpwstr/>
  </property>
  <property fmtid="{D5CDD505-2E9C-101B-9397-08002B2CF9AE}" pid="27" name="fd0e48b6a66848a9885f717e5bbf40c4">
    <vt:lpwstr/>
  </property>
  <property fmtid="{D5CDD505-2E9C-101B-9397-08002B2CF9AE}" pid="28" name="e559ffcc31d34167856647188be35015">
    <vt:lpwstr/>
  </property>
  <property fmtid="{D5CDD505-2E9C-101B-9397-08002B2CF9AE}" pid="29" name="Legal_x0020_Basis">
    <vt:lpwstr/>
  </property>
  <property fmtid="{D5CDD505-2E9C-101B-9397-08002B2CF9AE}" pid="30" name="Function Operations IDB">
    <vt:lpwstr/>
  </property>
  <property fmtid="{D5CDD505-2E9C-101B-9397-08002B2CF9AE}" pid="31" name="Legal_x0020_Taxonomy">
    <vt:lpwstr/>
  </property>
  <property fmtid="{D5CDD505-2E9C-101B-9397-08002B2CF9AE}" pid="32" name="Abstract">
    <vt:lpwstr>Cooperación Técnica - Estipulaciones Especiales</vt:lpwstr>
  </property>
  <property fmtid="{D5CDD505-2E9C-101B-9397-08002B2CF9AE}" pid="35" name="Webtopic">
    <vt:lpwstr>Energy</vt:lpwstr>
  </property>
  <property fmtid="{D5CDD505-2E9C-101B-9397-08002B2CF9AE}" pid="37" name="Disclosed">
    <vt:bool>false</vt:bool>
  </property>
  <property fmtid="{D5CDD505-2E9C-101B-9397-08002B2CF9AE}" pid="40" name="URL">
    <vt:lpwstr/>
  </property>
  <property fmtid="{D5CDD505-2E9C-101B-9397-08002B2CF9AE}" pid="41" name="ATI Undisclose Document Workflow">
    <vt:lpwstr/>
  </property>
  <property fmtid="{D5CDD505-2E9C-101B-9397-08002B2CF9AE}" pid="42" name="ATI Disclose Document Workflow v5">
    <vt:lpwstr/>
  </property>
  <property fmtid="{D5CDD505-2E9C-101B-9397-08002B2CF9AE}" pid="43" name="Project Document Type">
    <vt:lpwstr/>
  </property>
  <property fmtid="{D5CDD505-2E9C-101B-9397-08002B2CF9AE}" pid="44" name="Record Number">
    <vt:lpwstr/>
  </property>
  <property fmtid="{D5CDD505-2E9C-101B-9397-08002B2CF9AE}" pid="45" name="Legal Country">
    <vt:lpwstr/>
  </property>
  <property fmtid="{D5CDD505-2E9C-101B-9397-08002B2CF9AE}" pid="47" name="Attorney">
    <vt:lpwstr/>
  </property>
  <property fmtid="{D5CDD505-2E9C-101B-9397-08002B2CF9AE}" pid="48" name="Doc Copy">
    <vt:lpwstr/>
  </property>
  <property fmtid="{D5CDD505-2E9C-101B-9397-08002B2CF9AE}" pid="49" name="b26cdb1da78c4bb4b1c1bac2f6ac5911">
    <vt:lpwstr/>
  </property>
  <property fmtid="{D5CDD505-2E9C-101B-9397-08002B2CF9AE}" pid="50" name="Pipeline Number">
    <vt:lpwstr/>
  </property>
  <property fmtid="{D5CDD505-2E9C-101B-9397-08002B2CF9AE}" pid="51" name="Package Code">
    <vt:lpwstr/>
  </property>
  <property fmtid="{D5CDD505-2E9C-101B-9397-08002B2CF9AE}" pid="52" name="Annual Meeting">
    <vt:lpwstr/>
  </property>
  <property fmtid="{D5CDD505-2E9C-101B-9397-08002B2CF9AE}" pid="53" name="n2077c22f1e24496a073d1eb26f4ff79">
    <vt:lpwstr/>
  </property>
  <property fmtid="{D5CDD505-2E9C-101B-9397-08002B2CF9AE}" pid="54" name="Business Area">
    <vt:lpwstr/>
  </property>
  <property fmtid="{D5CDD505-2E9C-101B-9397-08002B2CF9AE}" pid="55" name="e46fe2894295491da65140ffd2369f49">
    <vt:lpwstr/>
  </property>
  <property fmtid="{D5CDD505-2E9C-101B-9397-08002B2CF9AE}" pid="56" name="nddeef1749674d76abdbe4b239a70bc6">
    <vt:lpwstr/>
  </property>
  <property fmtid="{D5CDD505-2E9C-101B-9397-08002B2CF9AE}" pid="57" name="g511464f9e53401d84b16fa9b379a574">
    <vt:lpwstr/>
  </property>
  <property fmtid="{D5CDD505-2E9C-101B-9397-08002B2CF9AE}" pid="58" name="Phase">
    <vt:lpwstr/>
  </property>
  <property fmtid="{D5CDD505-2E9C-101B-9397-08002B2CF9AE}" pid="60" name="Instrument">
    <vt:lpwstr/>
  </property>
  <property fmtid="{D5CDD505-2E9C-101B-9397-08002B2CF9AE}" pid="61" name="Operation Type">
    <vt:lpwstr/>
  </property>
  <property fmtid="{D5CDD505-2E9C-101B-9397-08002B2CF9AE}" pid="62" name="_dlc_DocIdItemGuid">
    <vt:lpwstr>ccbc58be-7286-411a-ac44-66907dc87bbd</vt:lpwstr>
  </property>
</Properties>
</file>