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16E" w:rsidRPr="00C6516E" w:rsidRDefault="00C6516E" w:rsidP="00C6516E">
      <w:pPr>
        <w:widowControl w:val="0"/>
        <w:tabs>
          <w:tab w:val="left" w:pos="0"/>
        </w:tabs>
        <w:jc w:val="right"/>
        <w:rPr>
          <w:lang w:val="es-ES_tradnl"/>
        </w:rPr>
      </w:pPr>
      <w:bookmarkStart w:id="0" w:name="_GoBack"/>
      <w:bookmarkEnd w:id="0"/>
      <w:r>
        <w:rPr>
          <w:lang w:val="es-ES_tradnl"/>
        </w:rPr>
        <w:t>LEG/SGO/CSC/IDBDOCS:</w:t>
      </w:r>
      <w:r w:rsidR="000313AE">
        <w:rPr>
          <w:lang w:val="es-ES_tradnl"/>
        </w:rPr>
        <w:t>37363085</w:t>
      </w:r>
      <w:r w:rsidRPr="00C6516E">
        <w:rPr>
          <w:color w:val="808080"/>
          <w:lang w:val="es-ES_tradnl"/>
        </w:rPr>
        <w:t xml:space="preserve"> </w:t>
      </w:r>
    </w:p>
    <w:p w:rsidR="00C6516E" w:rsidRPr="00C6516E" w:rsidRDefault="00C6516E" w:rsidP="00C6516E">
      <w:pPr>
        <w:jc w:val="center"/>
        <w:rPr>
          <w:lang w:val="es-ES_tradnl"/>
        </w:rPr>
      </w:pPr>
    </w:p>
    <w:p w:rsidR="00C6516E" w:rsidRPr="00C6516E" w:rsidRDefault="00C6516E" w:rsidP="00C6516E">
      <w:pPr>
        <w:pStyle w:val="Heading2"/>
        <w:rPr>
          <w:lang w:val="es-ES_tradnl"/>
        </w:rPr>
      </w:pPr>
    </w:p>
    <w:p w:rsidR="00C6516E" w:rsidRDefault="00C6516E" w:rsidP="00C6516E">
      <w:pPr>
        <w:pStyle w:val="Heading2"/>
        <w:rPr>
          <w:b/>
          <w:lang w:val="es-ES_tradnl"/>
        </w:rPr>
      </w:pPr>
      <w:r>
        <w:rPr>
          <w:b/>
          <w:lang w:val="es-ES_tradnl"/>
        </w:rPr>
        <w:t>NORMAS GENERALES APLICABLES A LAS COOPERACIONES</w:t>
      </w:r>
    </w:p>
    <w:p w:rsidR="00C6516E" w:rsidRDefault="00C6516E" w:rsidP="00C6516E">
      <w:pPr>
        <w:pStyle w:val="Heading2"/>
        <w:rPr>
          <w:b/>
          <w:lang w:val="es-ES_tradnl"/>
        </w:rPr>
      </w:pPr>
      <w:r>
        <w:rPr>
          <w:b/>
          <w:lang w:val="es-ES_tradnl"/>
        </w:rPr>
        <w:t>TECNICAS NO REEMBOLSABLES</w:t>
      </w:r>
    </w:p>
    <w:p w:rsidR="00C6516E" w:rsidRDefault="00C6516E" w:rsidP="00C6516E">
      <w:pPr>
        <w:pStyle w:val="Heading3"/>
        <w:rPr>
          <w:lang w:val="es-ES_tradnl"/>
        </w:rPr>
      </w:pPr>
    </w:p>
    <w:p w:rsidR="00C6516E" w:rsidRDefault="00C6516E" w:rsidP="00C6516E">
      <w:pPr>
        <w:jc w:val="both"/>
        <w:rPr>
          <w:sz w:val="24"/>
          <w:lang w:val="es-ES_tradnl"/>
        </w:rPr>
      </w:pPr>
    </w:p>
    <w:p w:rsidR="00C6516E" w:rsidRDefault="00C6516E" w:rsidP="00C6516E">
      <w:pPr>
        <w:jc w:val="both"/>
        <w:rPr>
          <w:sz w:val="24"/>
          <w:lang w:val="es-ES_tradnl"/>
        </w:rPr>
      </w:pPr>
      <w:r>
        <w:rPr>
          <w:b/>
          <w:sz w:val="24"/>
          <w:lang w:val="es-ES_tradnl"/>
        </w:rPr>
        <w:t>Artículo 1.</w:t>
      </w:r>
      <w:r>
        <w:rPr>
          <w:b/>
          <w:sz w:val="24"/>
          <w:lang w:val="es-ES_tradnl"/>
        </w:rPr>
        <w:tab/>
      </w:r>
      <w:r>
        <w:rPr>
          <w:b/>
          <w:sz w:val="24"/>
          <w:u w:val="single"/>
          <w:lang w:val="es-ES_tradnl"/>
        </w:rPr>
        <w:t>Aplicación y alcance de las Normas Generales</w:t>
      </w:r>
      <w:r>
        <w:rPr>
          <w:sz w:val="24"/>
          <w:lang w:val="es-ES_tradnl"/>
        </w:rPr>
        <w:t>. (a) Estas Normas Generales establecen términos y condiciones aplicables en general a todas las cooperaciones técnicas no reembolsables del Banco, y sus disposiciones constituyen parte integrante de este Convenio. Cualquier excepción a estas Normas Generales será expresamente indicada en el texto de las Estipulaciones Especiales.</w:t>
      </w:r>
    </w:p>
    <w:p w:rsidR="00C6516E" w:rsidRDefault="00C6516E" w:rsidP="00C6516E">
      <w:pPr>
        <w:jc w:val="both"/>
        <w:rPr>
          <w:sz w:val="24"/>
          <w:lang w:val="es-ES_tradnl"/>
        </w:rPr>
      </w:pPr>
    </w:p>
    <w:p w:rsidR="00C6516E" w:rsidRDefault="00C6516E" w:rsidP="00C6516E">
      <w:pPr>
        <w:pStyle w:val="BodyText"/>
        <w:ind w:firstLine="720"/>
        <w:jc w:val="both"/>
        <w:rPr>
          <w:lang w:val="es-ES_tradnl"/>
        </w:rPr>
      </w:pPr>
      <w:r>
        <w:rPr>
          <w:lang w:val="es-ES_tradnl"/>
        </w:rPr>
        <w:t>(b)</w:t>
      </w:r>
      <w:r>
        <w:rPr>
          <w:lang w:val="es-ES_tradnl"/>
        </w:rPr>
        <w:tab/>
        <w:t>Si alguna disposición de las Estipulaciones Especiales o del Anexo o los Anexos no guardare consonancia o estuviere en contradicción con estas Normas Generales, prevalecerá lo previsto en las Estipulaciones Especiales o en el Anexo respectivo. Cuando existiere falta de consonancia o contradicción entre disposiciones de las Estipulaciones Especiales y del Anexo o de los Anexos respectivos, prevalecerá el principio de que la disposición específica prima sobre la general.</w:t>
      </w:r>
    </w:p>
    <w:p w:rsidR="00C6516E" w:rsidRDefault="00C6516E" w:rsidP="00C6516E">
      <w:pPr>
        <w:jc w:val="both"/>
        <w:rPr>
          <w:sz w:val="24"/>
          <w:lang w:val="es-ES_tradnl"/>
        </w:rPr>
      </w:pPr>
    </w:p>
    <w:p w:rsidR="00C6516E" w:rsidRDefault="00C6516E" w:rsidP="00C6516E">
      <w:pPr>
        <w:jc w:val="both"/>
        <w:rPr>
          <w:sz w:val="24"/>
          <w:lang w:val="es-ES_tradnl"/>
        </w:rPr>
      </w:pPr>
      <w:r>
        <w:rPr>
          <w:b/>
          <w:sz w:val="24"/>
          <w:lang w:val="es-ES_tradnl"/>
        </w:rPr>
        <w:t>Artículo 2.</w:t>
      </w:r>
      <w:r>
        <w:rPr>
          <w:b/>
          <w:sz w:val="24"/>
          <w:lang w:val="es-ES_tradnl"/>
        </w:rPr>
        <w:tab/>
      </w:r>
      <w:r>
        <w:rPr>
          <w:b/>
          <w:sz w:val="24"/>
          <w:u w:val="single"/>
          <w:lang w:val="es-ES_tradnl"/>
        </w:rPr>
        <w:t>Condiciones previas al primer desembolso</w:t>
      </w:r>
      <w:r>
        <w:rPr>
          <w:sz w:val="24"/>
          <w:lang w:val="es-ES_tradnl"/>
        </w:rPr>
        <w:t>.</w:t>
      </w:r>
      <w:r>
        <w:rPr>
          <w:b/>
          <w:sz w:val="24"/>
          <w:lang w:val="es-ES_tradnl"/>
        </w:rPr>
        <w:t xml:space="preserve"> </w:t>
      </w:r>
      <w:r>
        <w:rPr>
          <w:sz w:val="24"/>
          <w:lang w:val="es-ES_tradnl"/>
        </w:rPr>
        <w:t xml:space="preserve">(a) El primer desembolso de la Contribución está condicionado a que el Beneficiario, por sí o por medio del Organismo Ejecutor, haya: </w:t>
      </w:r>
    </w:p>
    <w:p w:rsidR="00C6516E" w:rsidRDefault="00C6516E" w:rsidP="00C6516E">
      <w:pPr>
        <w:jc w:val="both"/>
        <w:rPr>
          <w:sz w:val="24"/>
          <w:lang w:val="es-ES_tradnl"/>
        </w:rPr>
      </w:pPr>
    </w:p>
    <w:p w:rsidR="00C6516E" w:rsidRDefault="00C6516E" w:rsidP="00C6516E">
      <w:pPr>
        <w:ind w:left="1800" w:hanging="630"/>
        <w:jc w:val="both"/>
        <w:rPr>
          <w:sz w:val="24"/>
          <w:lang w:val="es-ES_tradnl"/>
        </w:rPr>
      </w:pPr>
      <w:r>
        <w:rPr>
          <w:sz w:val="24"/>
          <w:lang w:val="es-ES_tradnl"/>
        </w:rPr>
        <w:t>(i)</w:t>
      </w:r>
      <w:r>
        <w:rPr>
          <w:sz w:val="24"/>
          <w:lang w:val="es-ES_tradnl"/>
        </w:rPr>
        <w:tab/>
        <w:t>Designado uno o más funcionarios que puedan representarlo en todos los actos relacionados con la ejecución de este Convenio y haya hecho llegar al Banco ejemplares auténticos de las firmas de dichos representantes. Si se designaren dos o más funcionarios, corresponderá señalar si los designados pueden actuar separadamente o si tienen que hacerlo de manera conjunta; y</w:t>
      </w:r>
    </w:p>
    <w:p w:rsidR="00C6516E" w:rsidRDefault="00C6516E" w:rsidP="00C6516E">
      <w:pPr>
        <w:ind w:left="1800" w:hanging="630"/>
        <w:jc w:val="both"/>
        <w:rPr>
          <w:sz w:val="24"/>
          <w:lang w:val="es-ES_tradnl"/>
        </w:rPr>
      </w:pPr>
    </w:p>
    <w:p w:rsidR="00C6516E" w:rsidRDefault="00C6516E" w:rsidP="00C6516E">
      <w:pPr>
        <w:ind w:left="1800" w:hanging="630"/>
        <w:jc w:val="both"/>
        <w:rPr>
          <w:sz w:val="24"/>
          <w:lang w:val="es-ES_tradnl"/>
        </w:rPr>
      </w:pPr>
      <w:r>
        <w:rPr>
          <w:sz w:val="24"/>
          <w:lang w:val="es-ES_tradnl"/>
        </w:rPr>
        <w:t>(ii)</w:t>
      </w:r>
      <w:r>
        <w:rPr>
          <w:sz w:val="24"/>
          <w:lang w:val="es-ES_tradnl"/>
        </w:rPr>
        <w:tab/>
        <w:t>Presentado un cronograma para la utilización del Aporte.</w:t>
      </w:r>
    </w:p>
    <w:p w:rsidR="00C6516E" w:rsidRDefault="00C6516E" w:rsidP="00C6516E">
      <w:pPr>
        <w:jc w:val="both"/>
        <w:rPr>
          <w:sz w:val="24"/>
          <w:lang w:val="es-ES_tradnl"/>
        </w:rPr>
      </w:pPr>
    </w:p>
    <w:p w:rsidR="00C6516E" w:rsidRDefault="00C6516E" w:rsidP="00C6516E">
      <w:pPr>
        <w:ind w:firstLine="720"/>
        <w:jc w:val="both"/>
        <w:rPr>
          <w:sz w:val="24"/>
          <w:lang w:val="es-ES_tradnl"/>
        </w:rPr>
      </w:pPr>
      <w:r>
        <w:rPr>
          <w:sz w:val="24"/>
          <w:lang w:val="es-ES_tradnl"/>
        </w:rPr>
        <w:t>(b)</w:t>
      </w:r>
      <w:r>
        <w:rPr>
          <w:sz w:val="24"/>
          <w:lang w:val="es-ES_tradnl"/>
        </w:rPr>
        <w:tab/>
        <w:t>Si dentro de los ciento ochenta (180) días contados a partir de la vigencia de este Convenio, o de un plazo más amplio que las partes acuerden por escrito, no se cumplieren las condiciones previas al primer desembolso establecidas en este Artículo y en las Estipulaciones Especiales, el Banco podrá poner término a este Convenio dando al Beneficiario o al Organismo Ejecutor, según corresponda, el aviso correspondiente.</w:t>
      </w:r>
    </w:p>
    <w:p w:rsidR="00C6516E" w:rsidRDefault="00C6516E" w:rsidP="00C6516E">
      <w:pPr>
        <w:ind w:firstLine="720"/>
        <w:jc w:val="both"/>
        <w:rPr>
          <w:sz w:val="24"/>
          <w:lang w:val="es-ES_tradnl"/>
        </w:rPr>
      </w:pPr>
    </w:p>
    <w:p w:rsidR="00C6516E" w:rsidRDefault="00C6516E" w:rsidP="00C6516E">
      <w:pPr>
        <w:jc w:val="both"/>
        <w:rPr>
          <w:sz w:val="24"/>
          <w:lang w:val="es-ES_tradnl"/>
        </w:rPr>
      </w:pPr>
      <w:r>
        <w:rPr>
          <w:b/>
          <w:sz w:val="24"/>
          <w:lang w:val="es-ES_tradnl"/>
        </w:rPr>
        <w:t>Artículo 3.</w:t>
      </w:r>
      <w:r>
        <w:rPr>
          <w:sz w:val="24"/>
          <w:lang w:val="es-ES_tradnl"/>
        </w:rPr>
        <w:tab/>
      </w:r>
      <w:r>
        <w:rPr>
          <w:b/>
          <w:sz w:val="24"/>
          <w:u w:val="single"/>
          <w:lang w:val="es-ES_tradnl"/>
        </w:rPr>
        <w:t>Requisitos para todo desembolso</w:t>
      </w:r>
      <w:r>
        <w:rPr>
          <w:sz w:val="24"/>
          <w:lang w:val="es-ES_tradnl"/>
        </w:rPr>
        <w:t xml:space="preserve">. Para que el Banco efectúe cualquier desembolso será menester: (a) que el Beneficiario o el Organismo Ejecutor en su caso, haya presentado por escrito, o por medios electrónicos según la forma y las condiciones especificadas por el Banco, una solicitud de desembolso y que, en apoyo de dicha solicitud, se hayan suministrado al Banco, los pertinentes documentos y demás antecedentes que éste pueda haberle requerido; (b) que el Beneficiario o el Organismo Ejecutor en su caso, haya abierto y mantenga una o más cuentas bancarias en una institución financiera en la cual el Banco realizará los desembolsos de la Contribución; (c) salvo que el Banco acuerde lo contrario, las solicitudes deberán ser presentadas, a más tardar, con treinta (30) días calendario de anticipación a la fecha </w:t>
      </w:r>
      <w:r>
        <w:rPr>
          <w:sz w:val="24"/>
          <w:lang w:val="es-ES_tradnl"/>
        </w:rPr>
        <w:lastRenderedPageBreak/>
        <w:t>de expiración del plazo para desembolsos o de la prórroga del mismo, que el Beneficiario o el Organismo Ejecutor, según corresponda, y el Banco hubieren acordado por escrito; y (d) que no haya surgido alguna de las circunstancias descritas en el Artículo 7 de estas Normas Generales.</w:t>
      </w:r>
    </w:p>
    <w:p w:rsidR="00C6516E" w:rsidRDefault="00C6516E" w:rsidP="00C6516E">
      <w:pPr>
        <w:jc w:val="both"/>
        <w:rPr>
          <w:sz w:val="24"/>
          <w:lang w:val="es-ES_tradnl"/>
        </w:rPr>
      </w:pPr>
    </w:p>
    <w:p w:rsidR="00C6516E" w:rsidRDefault="00C6516E" w:rsidP="00C6516E">
      <w:pPr>
        <w:tabs>
          <w:tab w:val="left" w:pos="-1440"/>
          <w:tab w:val="left" w:pos="-720"/>
          <w:tab w:val="left" w:pos="720"/>
          <w:tab w:val="left" w:pos="1320"/>
          <w:tab w:val="left" w:pos="2160"/>
        </w:tabs>
        <w:jc w:val="both"/>
        <w:rPr>
          <w:sz w:val="24"/>
          <w:lang w:val="es-ES_tradnl"/>
        </w:rPr>
      </w:pPr>
      <w:r>
        <w:rPr>
          <w:b/>
          <w:sz w:val="24"/>
          <w:lang w:val="es-ES_tradnl"/>
        </w:rPr>
        <w:t>Artículo 4.</w:t>
      </w:r>
      <w:r>
        <w:rPr>
          <w:b/>
          <w:sz w:val="24"/>
          <w:lang w:val="es-ES_tradnl"/>
        </w:rPr>
        <w:tab/>
      </w:r>
      <w:r>
        <w:rPr>
          <w:b/>
          <w:sz w:val="24"/>
          <w:u w:val="single"/>
          <w:lang w:val="es-ES_tradnl"/>
        </w:rPr>
        <w:t>Forma de desembolsos de la Contribución</w:t>
      </w:r>
      <w:r>
        <w:rPr>
          <w:sz w:val="24"/>
          <w:lang w:val="es-ES_tradnl"/>
        </w:rPr>
        <w:t>. (a) El Banco podrá efectuar desembolsos con cargo a la Contribución, de la siguiente manera: (i) mediante giros en favor del Beneficiario o del Organismo Ejecutor, según corresponda, de las sumas a que tenga derecho de conformidad con este Convenio bajo la modalidad de reembolso de gastos o de anticipo de fondos;</w:t>
      </w:r>
      <w:r>
        <w:rPr>
          <w:rStyle w:val="FootnoteReference"/>
          <w:sz w:val="24"/>
          <w:lang w:val="es-ES_tradnl"/>
        </w:rPr>
        <w:footnoteReference w:id="1"/>
      </w:r>
      <w:r>
        <w:rPr>
          <w:sz w:val="24"/>
          <w:lang w:val="es-ES_tradnl"/>
        </w:rPr>
        <w:t xml:space="preserve"> (ii) mediante pagos por cuenta del Beneficiario o del Organismo Ejecutor, según corresponda, y de acuerdo con él a terceros u otras instituciones bancarias; y (iii) mediante otra modalidad que las partes acuerden por escrito.  Cualquier gasto bancario que cobre un tercero con motivo de los desembolsos será por cuenta del Beneficiario o del Organismo Ejecutor, según corresponda. </w:t>
      </w:r>
    </w:p>
    <w:p w:rsidR="00C6516E" w:rsidRDefault="00C6516E" w:rsidP="00C6516E">
      <w:pPr>
        <w:jc w:val="both"/>
        <w:rPr>
          <w:sz w:val="24"/>
          <w:lang w:val="es-ES_tradnl"/>
        </w:rPr>
      </w:pPr>
    </w:p>
    <w:p w:rsidR="00C6516E" w:rsidRDefault="00C6516E" w:rsidP="00C6516E">
      <w:pPr>
        <w:tabs>
          <w:tab w:val="left" w:pos="-1440"/>
          <w:tab w:val="left" w:pos="-720"/>
          <w:tab w:val="left" w:pos="720"/>
          <w:tab w:val="left" w:pos="1320"/>
          <w:tab w:val="left" w:pos="2160"/>
        </w:tabs>
        <w:jc w:val="both"/>
        <w:rPr>
          <w:sz w:val="24"/>
          <w:lang w:val="es-ES_tradnl"/>
        </w:rPr>
      </w:pPr>
      <w:r>
        <w:rPr>
          <w:sz w:val="24"/>
          <w:lang w:val="es-ES_tradnl"/>
        </w:rPr>
        <w:tab/>
        <w:t>(b)</w:t>
      </w:r>
      <w:r>
        <w:rPr>
          <w:sz w:val="24"/>
          <w:lang w:val="es-ES_tradnl"/>
        </w:rPr>
        <w:tab/>
        <w:t>Con cargo a la Contribución y cumplidos los requisitos previstos en los Artículos 2 y 3 de estas Normas Generales y los que fueren pertinentes de las Estipulaciones Especiales, el Banco podrá efectuar el desembolso de recursos de la Contribución para:</w:t>
      </w:r>
    </w:p>
    <w:p w:rsidR="00C6516E" w:rsidRDefault="00C6516E" w:rsidP="00C6516E">
      <w:pPr>
        <w:tabs>
          <w:tab w:val="left" w:pos="-1440"/>
          <w:tab w:val="left" w:pos="-720"/>
          <w:tab w:val="left" w:pos="720"/>
          <w:tab w:val="left" w:pos="1320"/>
          <w:tab w:val="left" w:pos="2160"/>
        </w:tabs>
        <w:jc w:val="both"/>
        <w:rPr>
          <w:sz w:val="24"/>
          <w:lang w:val="es-ES_tradnl"/>
        </w:rPr>
      </w:pPr>
    </w:p>
    <w:p w:rsidR="00C6516E" w:rsidRDefault="00C6516E" w:rsidP="00C6516E">
      <w:pPr>
        <w:numPr>
          <w:ilvl w:val="0"/>
          <w:numId w:val="1"/>
        </w:numPr>
        <w:tabs>
          <w:tab w:val="left" w:pos="-1440"/>
          <w:tab w:val="left" w:pos="-720"/>
          <w:tab w:val="left" w:pos="720"/>
          <w:tab w:val="left" w:pos="1440"/>
          <w:tab w:val="left" w:pos="2160"/>
        </w:tabs>
        <w:jc w:val="both"/>
        <w:rPr>
          <w:sz w:val="24"/>
          <w:lang w:val="es-ES_tradnl"/>
        </w:rPr>
      </w:pPr>
      <w:r>
        <w:rPr>
          <w:sz w:val="24"/>
          <w:lang w:val="es-ES_tradnl"/>
        </w:rPr>
        <w:t>Reembolsar al Beneficiario o al Organismo Ejecutor, según corresponda, los gastos relacionados con la ejecución del Proyecto que haya financiado con sus recursos o con otras fuentes de financiamiento, que sean financiables con recursos de la Contribución, de acuerdo con las disposiciones de este Convenio. Salvo expreso acuerdo entre las partes, las solicitudes de desembolso para reembolsar gastos financiados por el Beneficiario o el Organismo Ejecutor, según corresponda, deberán realizarse prontamente a medida que el Beneficiario o el Organismo Ejecutor, según corresponda, incurra en dichos gastos o, a más tardar, dentro de los sesenta (60) días siguientes a la finalización de cada semestre calendario o en otro plazo que las partes acuerden; y</w:t>
      </w:r>
    </w:p>
    <w:p w:rsidR="00C6516E" w:rsidRDefault="00C6516E" w:rsidP="00C6516E">
      <w:pPr>
        <w:tabs>
          <w:tab w:val="left" w:pos="-1440"/>
          <w:tab w:val="left" w:pos="-720"/>
          <w:tab w:val="left" w:pos="720"/>
          <w:tab w:val="left" w:pos="1320"/>
          <w:tab w:val="left" w:pos="2160"/>
        </w:tabs>
        <w:ind w:left="1350"/>
        <w:jc w:val="both"/>
        <w:rPr>
          <w:sz w:val="24"/>
          <w:lang w:val="es-ES_tradnl"/>
        </w:rPr>
      </w:pPr>
    </w:p>
    <w:p w:rsidR="00C6516E" w:rsidRDefault="00C6516E" w:rsidP="00C6516E">
      <w:pPr>
        <w:numPr>
          <w:ilvl w:val="0"/>
          <w:numId w:val="1"/>
        </w:numPr>
        <w:tabs>
          <w:tab w:val="left" w:pos="-1440"/>
          <w:tab w:val="left" w:pos="-720"/>
          <w:tab w:val="left" w:pos="720"/>
          <w:tab w:val="left" w:pos="1440"/>
          <w:tab w:val="left" w:pos="2160"/>
        </w:tabs>
        <w:jc w:val="both"/>
        <w:rPr>
          <w:sz w:val="24"/>
          <w:lang w:val="es-ES_tradnl"/>
        </w:rPr>
      </w:pPr>
      <w:r>
        <w:rPr>
          <w:sz w:val="24"/>
          <w:lang w:val="es-ES_tradnl"/>
        </w:rPr>
        <w:t xml:space="preserve">Adelantar recursos al Beneficiario o al Organismo Ejecutor, según corresponda, </w:t>
      </w:r>
      <w:r>
        <w:rPr>
          <w:sz w:val="24"/>
          <w:szCs w:val="24"/>
          <w:lang w:val="es-ES_tradnl"/>
        </w:rPr>
        <w:t xml:space="preserve">con base en las necesidades de liquidez del Proyecto </w:t>
      </w:r>
      <w:r>
        <w:rPr>
          <w:sz w:val="24"/>
          <w:lang w:val="es-ES_tradnl"/>
        </w:rPr>
        <w:t>para cubrir los gastos relacionados con su ejecución que sean financiables con cargo a la Contribución, de acuerdo con las disposiciones de este Convenio. El monto máximo de cada anticipo de fondos será fijado por el Banco y consistirá en una cantidad determinada con base en las necesidades de liquidez del Proyecto para cubrir previsiones periódicas de gastos relacionados con su ejecución que sean financiables con cargo a la Contribución. En ningún momento, el monto máximo de un anticipo de fondos podrá exceder la suma requerida para el financiamiento de dichos gastos, durante un período de hasta seis (6) meses, de conformidad con el cronograma de inversiones y el flujo de recursos requeridos para dichos propósitos, y la capacidad demostrada del Beneficiario o del Organismo Ejecutor, según corresponda, para administrar en forma eficiente los recursos de la Contribución.</w:t>
      </w:r>
    </w:p>
    <w:p w:rsidR="00C6516E" w:rsidRDefault="00C6516E" w:rsidP="00C6516E">
      <w:pPr>
        <w:tabs>
          <w:tab w:val="left" w:pos="-1440"/>
          <w:tab w:val="left" w:pos="-720"/>
          <w:tab w:val="left" w:pos="720"/>
          <w:tab w:val="left" w:pos="1260"/>
        </w:tabs>
        <w:ind w:left="1440"/>
        <w:jc w:val="both"/>
        <w:rPr>
          <w:sz w:val="24"/>
          <w:lang w:val="es-ES_tradnl"/>
        </w:rPr>
      </w:pPr>
    </w:p>
    <w:p w:rsidR="00C6516E" w:rsidRDefault="00C6516E" w:rsidP="00C6516E">
      <w:pPr>
        <w:numPr>
          <w:ilvl w:val="0"/>
          <w:numId w:val="2"/>
        </w:numPr>
        <w:tabs>
          <w:tab w:val="left" w:pos="-1440"/>
          <w:tab w:val="left" w:pos="-720"/>
          <w:tab w:val="left" w:pos="0"/>
        </w:tabs>
        <w:ind w:left="0" w:firstLine="720"/>
        <w:jc w:val="both"/>
        <w:rPr>
          <w:sz w:val="24"/>
          <w:lang w:val="es-ES_tradnl"/>
        </w:rPr>
      </w:pPr>
      <w:r>
        <w:rPr>
          <w:sz w:val="24"/>
          <w:lang w:val="es-ES_tradnl"/>
        </w:rPr>
        <w:lastRenderedPageBreak/>
        <w:t xml:space="preserve">El Banco podrá: (i) ampliar el monto máximo de un anticipo de fondos vigente cuando hayan surgido necesidades inmediatas de recursos que, a juicio del Banco, lo ameriten, siempre que haya sido justificadamente solicitado por el Beneficiario o el Organismo Ejecutor, según corresponda, y se haya presentado, a satisfacción del Banco, un estado de los gastos programados para la ejecución del Proyecto correspondiente al período del anticipo de fondos vigente; o (ii) efectuar un nuevo anticipo de fondos con base en lo indicado en el inciso (b)(ii) anterior, cuando se haya justificado, al menos, el ochenta por ciento (80%) del saldo total acumulado del(os) anticipo(s) de fondos anterior(es). </w:t>
      </w:r>
    </w:p>
    <w:p w:rsidR="00C6516E" w:rsidRDefault="00C6516E" w:rsidP="00C6516E">
      <w:pPr>
        <w:tabs>
          <w:tab w:val="left" w:pos="-1440"/>
          <w:tab w:val="left" w:pos="-720"/>
          <w:tab w:val="left" w:pos="0"/>
        </w:tabs>
        <w:ind w:left="720"/>
        <w:jc w:val="both"/>
        <w:rPr>
          <w:sz w:val="24"/>
          <w:lang w:val="es-ES_tradnl"/>
        </w:rPr>
      </w:pPr>
    </w:p>
    <w:p w:rsidR="00C6516E" w:rsidRDefault="00C6516E" w:rsidP="00C6516E">
      <w:pPr>
        <w:tabs>
          <w:tab w:val="left" w:pos="-1440"/>
          <w:tab w:val="left" w:pos="-720"/>
          <w:tab w:val="left" w:pos="0"/>
          <w:tab w:val="left" w:pos="720"/>
          <w:tab w:val="left" w:pos="1530"/>
        </w:tabs>
        <w:jc w:val="both"/>
        <w:rPr>
          <w:sz w:val="24"/>
          <w:lang w:val="es-ES_tradnl"/>
        </w:rPr>
      </w:pPr>
      <w:r>
        <w:rPr>
          <w:sz w:val="24"/>
          <w:lang w:val="es-ES_tradnl"/>
        </w:rPr>
        <w:tab/>
        <w:t>(d)</w:t>
      </w:r>
      <w:r>
        <w:rPr>
          <w:sz w:val="24"/>
          <w:lang w:val="es-ES_tradnl"/>
        </w:rPr>
        <w:tab/>
        <w:t xml:space="preserve">El Banco podrá también reducir o cancelar el saldo total acumulado del(os) anticipo(s) de fondos en el caso de que determine que los recursos desembolsados de la Contribución no hayan sido utilizados o justificados debida y oportunamente, a satisfacción del Banco, de conformidad con las disposiciones establecidas en este Convenio. </w:t>
      </w:r>
    </w:p>
    <w:p w:rsidR="00C6516E" w:rsidRDefault="00C6516E" w:rsidP="00C6516E">
      <w:pPr>
        <w:tabs>
          <w:tab w:val="left" w:pos="-1440"/>
          <w:tab w:val="left" w:pos="-720"/>
          <w:tab w:val="left" w:pos="720"/>
          <w:tab w:val="left" w:pos="1320"/>
          <w:tab w:val="left" w:pos="2160"/>
        </w:tabs>
        <w:ind w:left="1350"/>
        <w:jc w:val="both"/>
        <w:rPr>
          <w:sz w:val="24"/>
          <w:lang w:val="es-ES_tradnl"/>
        </w:rPr>
      </w:pPr>
    </w:p>
    <w:p w:rsidR="00C6516E" w:rsidRDefault="00C6516E" w:rsidP="00C6516E">
      <w:pPr>
        <w:tabs>
          <w:tab w:val="left" w:pos="-1440"/>
          <w:tab w:val="left" w:pos="-720"/>
          <w:tab w:val="left" w:pos="0"/>
          <w:tab w:val="left" w:pos="720"/>
          <w:tab w:val="left" w:pos="1440"/>
          <w:tab w:val="left" w:pos="2250"/>
        </w:tabs>
        <w:jc w:val="both"/>
        <w:rPr>
          <w:sz w:val="24"/>
          <w:lang w:val="es-ES_tradnl"/>
        </w:rPr>
      </w:pPr>
      <w:r>
        <w:rPr>
          <w:b/>
          <w:sz w:val="24"/>
          <w:lang w:val="es-ES_tradnl"/>
        </w:rPr>
        <w:t>Artículo 5.</w:t>
      </w:r>
      <w:r>
        <w:rPr>
          <w:b/>
          <w:sz w:val="24"/>
          <w:lang w:val="es-ES_tradnl"/>
        </w:rPr>
        <w:tab/>
      </w:r>
      <w:r>
        <w:rPr>
          <w:b/>
          <w:sz w:val="24"/>
          <w:u w:val="single"/>
          <w:lang w:val="es-ES_tradnl"/>
        </w:rPr>
        <w:t>Período de Cierre</w:t>
      </w:r>
      <w:r>
        <w:rPr>
          <w:sz w:val="24"/>
          <w:lang w:val="es-ES_tradnl"/>
        </w:rPr>
        <w:t>.</w:t>
      </w:r>
      <w:r>
        <w:rPr>
          <w:rStyle w:val="FootnoteReference"/>
          <w:sz w:val="24"/>
          <w:lang w:val="es-ES_tradnl"/>
        </w:rPr>
        <w:footnoteReference w:id="2"/>
      </w:r>
      <w:r>
        <w:rPr>
          <w:sz w:val="24"/>
          <w:lang w:val="es-ES_tradnl"/>
        </w:rPr>
        <w:t xml:space="preserve">  El Beneficiario o el Organismo Ejecutor, según corresponda, deberá: (a) presentar a la satisfacción del Banco, dentro del plazo de noventa (90) días contado a partir de la fecha estipulada para el último desembolso de la Contribución, la documentación de respaldo de los gastos efectuados con cargo al Proyecto y demás información que el Banco hubiera solicitado; y (b) restituir al Banco, a más tardar, el último día de vencimiento del Período de Cierre, el saldo no utilizado o no debidamente justificado de los recursos desembolsados de la Contribución. En el caso de que los servicios de auditoría estén previstos de ser financiados con cargo a los recursos de la Contribución y de que dichos servicios no se terminen y paguen antes del vencimiento del Período de Cierre a que se refiere el inciso (a) anterior, el Beneficiario o el Organismo Ejecutor, según corresponda, deberá informar y acordar con el Banco la forma sobre cómo se viabilizará el pago de dichos servicios, y restituir los recursos de la Contribución destinados para este fin, en el caso de que el Banco no reciba los estados financieros y demás informes auditados dentro de los plazos estipulados en este Convenio.</w:t>
      </w:r>
    </w:p>
    <w:p w:rsidR="00C6516E" w:rsidRDefault="00C6516E" w:rsidP="00C6516E">
      <w:pPr>
        <w:tabs>
          <w:tab w:val="left" w:pos="-1440"/>
          <w:tab w:val="left" w:pos="-720"/>
          <w:tab w:val="left" w:pos="0"/>
          <w:tab w:val="left" w:pos="720"/>
          <w:tab w:val="left" w:pos="2160"/>
        </w:tabs>
        <w:ind w:firstLine="720"/>
        <w:jc w:val="both"/>
        <w:rPr>
          <w:sz w:val="24"/>
          <w:lang w:val="es-ES_tradnl"/>
        </w:rPr>
      </w:pPr>
    </w:p>
    <w:p w:rsidR="00C6516E" w:rsidRDefault="00C6516E" w:rsidP="00C6516E">
      <w:pPr>
        <w:jc w:val="both"/>
        <w:rPr>
          <w:sz w:val="24"/>
          <w:lang w:val="es-ES_tradnl"/>
        </w:rPr>
      </w:pPr>
      <w:r>
        <w:rPr>
          <w:b/>
          <w:sz w:val="24"/>
          <w:lang w:val="es-ES_tradnl"/>
        </w:rPr>
        <w:t>Artículo 6.</w:t>
      </w:r>
      <w:r>
        <w:rPr>
          <w:b/>
          <w:sz w:val="24"/>
          <w:lang w:val="es-ES_tradnl"/>
        </w:rPr>
        <w:tab/>
      </w:r>
      <w:r>
        <w:rPr>
          <w:b/>
          <w:sz w:val="24"/>
          <w:u w:val="single"/>
          <w:lang w:val="es-ES_tradnl"/>
        </w:rPr>
        <w:t>Gastos con cargo a la Contribución</w:t>
      </w:r>
      <w:r>
        <w:rPr>
          <w:sz w:val="24"/>
          <w:lang w:val="es-ES_tradnl"/>
        </w:rPr>
        <w:t xml:space="preserve">. La Contribución se destinará exclusivamente para cubrir las categorías que, con cargo a la misma, se establecen en el presupuesto del Proyecto incluido en el Anexo Único que describe el Proyecto. Sólo podrán cargarse a la Contribución los gastos reales y directos efectuados para la ejecución del Proyecto. No podrán cargarse gastos indirectos o servicios de funcionamiento general, no incluidos en el presupuesto de este Proyecto. </w:t>
      </w:r>
    </w:p>
    <w:p w:rsidR="00C6516E" w:rsidRDefault="00C6516E" w:rsidP="00C6516E">
      <w:pPr>
        <w:jc w:val="both"/>
        <w:rPr>
          <w:b/>
          <w:sz w:val="24"/>
          <w:lang w:val="es-ES_tradnl"/>
        </w:rPr>
      </w:pPr>
    </w:p>
    <w:p w:rsidR="00C6516E" w:rsidRDefault="00C6516E" w:rsidP="00C6516E">
      <w:pPr>
        <w:jc w:val="both"/>
        <w:rPr>
          <w:sz w:val="24"/>
          <w:lang w:val="es-ES_tradnl"/>
        </w:rPr>
      </w:pPr>
      <w:r>
        <w:rPr>
          <w:b/>
          <w:sz w:val="24"/>
          <w:lang w:val="es-ES_tradnl"/>
        </w:rPr>
        <w:t>Artículo 7.</w:t>
      </w:r>
      <w:r>
        <w:rPr>
          <w:b/>
          <w:sz w:val="24"/>
          <w:lang w:val="es-ES_tradnl"/>
        </w:rPr>
        <w:tab/>
      </w:r>
      <w:r>
        <w:rPr>
          <w:b/>
          <w:sz w:val="24"/>
          <w:u w:val="single"/>
          <w:lang w:val="es-ES_tradnl"/>
        </w:rPr>
        <w:t>Suspensión y cancelación de desembolsos</w:t>
      </w:r>
      <w:r>
        <w:rPr>
          <w:sz w:val="24"/>
          <w:lang w:val="es-ES_tradnl"/>
        </w:rPr>
        <w:t xml:space="preserve">. (a) El Banco podrá suspender los desembolsos o cancelar la parte no desembolsada de la Contribución si llegara a surgir alguna de las siguientes circunstancias: (i) el incumplimiento por parte del Beneficiario o del Organismo Ejecutor, según corresponda, de cualquier obligación estipulada en el presente Convenio; y (ii) cualquier circunstancia que, a juicio del Banco, pudiera hacer improbable la obtención de los </w:t>
      </w:r>
      <w:r>
        <w:rPr>
          <w:sz w:val="24"/>
          <w:lang w:val="es-ES_tradnl"/>
        </w:rPr>
        <w:lastRenderedPageBreak/>
        <w:t>objetivos del Proyecto. En estos casos, el Banco lo notificará por escrito al Beneficiario o al Organismo Ejecutor, según corresponda, a fin de que presente sus puntos de vista y después de transcurridos treinta (30) días de la fecha de la comunicación dirigida por el Banco, éste podrá suspender los desembolsos o cancelar la parte no desembolsada de la Contribución.</w:t>
      </w:r>
    </w:p>
    <w:p w:rsidR="00C6516E" w:rsidRDefault="00C6516E" w:rsidP="00C6516E">
      <w:pPr>
        <w:jc w:val="both"/>
        <w:rPr>
          <w:sz w:val="24"/>
          <w:lang w:val="es-ES_tradnl"/>
        </w:rPr>
      </w:pPr>
    </w:p>
    <w:p w:rsidR="00C6516E" w:rsidRDefault="00C6516E" w:rsidP="00C6516E">
      <w:pPr>
        <w:ind w:firstLine="720"/>
        <w:jc w:val="both"/>
        <w:rPr>
          <w:sz w:val="24"/>
          <w:lang w:val="es-ES_tradnl"/>
        </w:rPr>
      </w:pPr>
      <w:r>
        <w:rPr>
          <w:sz w:val="24"/>
          <w:lang w:val="es-ES_tradnl"/>
        </w:rPr>
        <w:t>(b)</w:t>
      </w:r>
      <w:r>
        <w:rPr>
          <w:sz w:val="24"/>
          <w:lang w:val="es-ES_tradnl"/>
        </w:rPr>
        <w:tab/>
        <w:t>En virtud de lo dispuesto en el párrafo (a) anterior, las partes acuerdan que en caso de producirse cambios institucionales o de organización en el Beneficiario o el Organismo Ejecutor que, a juicio del Banco, puedan afectar la consecución oportuna de los objetivos del Proyecto, el Banco revisará y evaluará las posibilidades de consecución de los objetivos y, a su discreción, podrá suspender, condicionar o cancelar los desembolsos de la Contribución.</w:t>
      </w:r>
    </w:p>
    <w:p w:rsidR="00C6516E" w:rsidRDefault="00C6516E" w:rsidP="00C6516E">
      <w:pPr>
        <w:jc w:val="both"/>
        <w:rPr>
          <w:sz w:val="24"/>
          <w:lang w:val="es-ES_tradnl"/>
        </w:rPr>
      </w:pPr>
    </w:p>
    <w:p w:rsidR="00C6516E" w:rsidRDefault="00C6516E" w:rsidP="00C6516E">
      <w:pPr>
        <w:ind w:firstLine="720"/>
        <w:jc w:val="both"/>
        <w:rPr>
          <w:sz w:val="24"/>
          <w:lang w:val="es-ES_tradnl"/>
        </w:rPr>
      </w:pPr>
      <w:r>
        <w:rPr>
          <w:sz w:val="24"/>
          <w:lang w:val="es-ES_tradnl"/>
        </w:rPr>
        <w:t>(c)</w:t>
      </w:r>
      <w:r>
        <w:rPr>
          <w:sz w:val="24"/>
          <w:lang w:val="es-ES_tradnl"/>
        </w:rPr>
        <w:tab/>
        <w:t xml:space="preserve">En adición a lo previsto en el párrafo (a) anterior, el Banco podrá: (i) suspender los desembolsos si, de conformidad con los procedimientos de sanciones del Banco, se determina, en cualquier etapa, que un empleado, agente o representante del Beneficiario o del Organismo Ejecutor, ha cometido una práctica prohibida, según éstas se definen en el Artículo 8 de estas Normas Generales (en adelante “Prácticas Prohibidas”) durante el proceso de contratación o durante la ejecución de un contrato; y (ii) cancelar la parte no desembolsada de la Contribución que estuviese relacionada inequívocamente a una adquisición determinada de bienes, obras, servicios relacionados o servicios de consultoría, si: (A) en cualquier momento determinare que dicha adquisición se llevó a cabo sin seguir los procedimientos indicados en este Convenio; o (B) de conformidad con los procedimientos de sanciones del Banco, se determina que cualquier firma, entidad o individuo actuando como oferente o participando en una actividad financiada por el Banco incluidos, entre otros, solicitantes, oferentes, contratistas, empresas de consultoría y consultores individuales, miembros del personal, subcontratistas, </w:t>
      </w:r>
      <w:proofErr w:type="spellStart"/>
      <w:r>
        <w:rPr>
          <w:sz w:val="24"/>
          <w:lang w:val="es-ES_tradnl"/>
        </w:rPr>
        <w:t>subconsultores</w:t>
      </w:r>
      <w:proofErr w:type="spellEnd"/>
      <w:r>
        <w:rPr>
          <w:sz w:val="24"/>
          <w:lang w:val="es-ES_tradnl"/>
        </w:rPr>
        <w:t xml:space="preserve">, proveedores de bienes o servicios, concesionarios, el Beneficiario o el Organismo Ejecutor (incluidos sus respectivos funcionarios, empleados y representantes, ya sean sus atribuciones expresas o implícitas) ha cometido una Práctica Prohibida en cualquier etapa del proceso de contratación o durante la ejecución de un contrato, cuando exista evidencia de que el representante del Beneficiario o del Organismo Ejecutor no ha tomado las medidas correctivas adecuadas (lo que incluye, entre otras cosas, la notificación adecuada al Banco tras tener conocimiento de la comisión de la Práctica Prohibida) en un plazo que el Banco considere razonable. </w:t>
      </w:r>
    </w:p>
    <w:p w:rsidR="00C6516E" w:rsidRDefault="00C6516E" w:rsidP="00C6516E">
      <w:pPr>
        <w:tabs>
          <w:tab w:val="left" w:pos="-1440"/>
          <w:tab w:val="left" w:pos="-720"/>
          <w:tab w:val="left" w:pos="720"/>
          <w:tab w:val="left" w:pos="1440"/>
        </w:tabs>
        <w:jc w:val="both"/>
        <w:rPr>
          <w:sz w:val="24"/>
          <w:lang w:val="es-ES_tradnl"/>
        </w:rPr>
      </w:pPr>
    </w:p>
    <w:p w:rsidR="00C6516E" w:rsidRDefault="00C6516E" w:rsidP="00C6516E">
      <w:pPr>
        <w:jc w:val="both"/>
        <w:rPr>
          <w:sz w:val="24"/>
          <w:lang w:val="es-ES_tradnl"/>
        </w:rPr>
      </w:pPr>
      <w:r>
        <w:rPr>
          <w:b/>
          <w:sz w:val="24"/>
          <w:lang w:val="es-ES_tradnl"/>
        </w:rPr>
        <w:t>Artículo 8.</w:t>
      </w:r>
      <w:r>
        <w:rPr>
          <w:b/>
          <w:sz w:val="24"/>
          <w:lang w:val="es-ES_tradnl"/>
        </w:rPr>
        <w:tab/>
      </w:r>
      <w:r>
        <w:rPr>
          <w:b/>
          <w:sz w:val="24"/>
          <w:u w:val="single"/>
          <w:lang w:val="es-ES_tradnl"/>
        </w:rPr>
        <w:t>Prácticas Prohibidas</w:t>
      </w:r>
      <w:r>
        <w:rPr>
          <w:sz w:val="24"/>
          <w:lang w:val="es-ES_tradnl"/>
        </w:rPr>
        <w:t>. (a) Para los efectos de este Convenio, se entenderá que una Práctica Prohibida incluye las siguientes prácticas: (i) una “práctica corrupta” consiste en ofrecer, dar, recibir, o solicitar, directa o indirectamente, cualquier cosa de valor para influenciar indebidamente las acciones de otra parte; (ii) una “práctica fraudulenta” es cualquier acto u omisión, incluida la tergiversación de hechos y circunstancias, que deliberada o imprudentemente engañen, o intenten engañar, a alguna parte para obtener un beneficio financiero o de otra naturaleza o para evadir una obligación; (iii) una “práctica coercitiva” consiste en perjudicar o causar daño, o amenazar con perjudicar o causar daño, directa o indirectamente, a cualquier parte o a sus bienes para influenciar indebidamente las acciones de una parte; (iv) una “práctica colusoria” es un acuerdo entre dos o más partes realizado con la intención de alcanzar un propósito inapropiado, lo que incluye influenciar en forma inapropiada las acciones de otra parte; y (v)</w:t>
      </w:r>
      <w:r>
        <w:rPr>
          <w:sz w:val="24"/>
          <w:szCs w:val="24"/>
          <w:lang w:val="es-ES_tradnl"/>
        </w:rPr>
        <w:t xml:space="preserve"> una “práctica obstructiva” consiste en: (A) destruir, falsificar, alterar u ocultar deliberadamente evidencia significativa para la investigación o realizar </w:t>
      </w:r>
      <w:r>
        <w:rPr>
          <w:sz w:val="24"/>
          <w:szCs w:val="24"/>
          <w:lang w:val="es-ES_tradnl"/>
        </w:rPr>
        <w:lastRenderedPageBreak/>
        <w:t>declaraciones falsas ante los investigadores con el fin de impedir materialmente una investigación del Grupo del Banco sobre denuncias de una práctica corrupta, fraudulenta, coercitiva o colusoria; y/o amenazar, hostigar o intimidar a cualquier parte para impedir que divulgue su conocimiento de asuntos que son importantes para la investigación o que prosiga la investigación, o (B) todo acto dirigido a impedir materialmente el ejercicio de inspección del Banco y los derechos de auditoría previstos en los Artículos 13(c), 14(g) y 15(e) de estas Normas Generales.</w:t>
      </w:r>
    </w:p>
    <w:p w:rsidR="00C6516E" w:rsidRDefault="00C6516E" w:rsidP="00C6516E">
      <w:pPr>
        <w:autoSpaceDE w:val="0"/>
        <w:autoSpaceDN w:val="0"/>
        <w:adjustRightInd w:val="0"/>
        <w:jc w:val="both"/>
        <w:rPr>
          <w:sz w:val="24"/>
          <w:lang w:val="es-ES_tradnl"/>
        </w:rPr>
      </w:pPr>
    </w:p>
    <w:p w:rsidR="00C6516E" w:rsidRDefault="00C6516E" w:rsidP="00C6516E">
      <w:pPr>
        <w:autoSpaceDE w:val="0"/>
        <w:autoSpaceDN w:val="0"/>
        <w:adjustRightInd w:val="0"/>
        <w:ind w:firstLine="720"/>
        <w:jc w:val="both"/>
        <w:rPr>
          <w:sz w:val="24"/>
          <w:lang w:val="es-ES_tradnl"/>
        </w:rPr>
      </w:pPr>
      <w:r>
        <w:rPr>
          <w:sz w:val="24"/>
          <w:lang w:val="es-ES_tradnl"/>
        </w:rPr>
        <w:t>(b)</w:t>
      </w:r>
      <w:r>
        <w:rPr>
          <w:sz w:val="24"/>
          <w:lang w:val="es-ES_tradnl"/>
        </w:rPr>
        <w:tab/>
        <w:t xml:space="preserve">En adición a lo establecido en los Artículos 7(c)(i) y 7(c)(ii)(B) de estas Normas Generales, si se determina que, de conformidad con los procedimientos de sanciones del Banco, cualquier firma, entidad o individuo actuando como oferente o participando en una actividad financiada por el Banco incluidos, entre otros, solicitantes, oferentes, contratistas, empresas de consultoría y consultores individuales, miembros del personal, subcontratistas, </w:t>
      </w:r>
      <w:proofErr w:type="spellStart"/>
      <w:r>
        <w:rPr>
          <w:sz w:val="24"/>
          <w:lang w:val="es-ES_tradnl"/>
        </w:rPr>
        <w:t>subconsultores</w:t>
      </w:r>
      <w:proofErr w:type="spellEnd"/>
      <w:r>
        <w:rPr>
          <w:sz w:val="24"/>
          <w:lang w:val="es-ES_tradnl"/>
        </w:rPr>
        <w:t>, proveedores de bienes o servicios, concesionarios, el Beneficiario o el Organismo Ejecutor (incluidos sus respectivos funcionarios, empleados y representantes, ya sean sus atribuciones expresas o implícitas) ha cometido una Práctica Prohibida en cualquier etapa del proceso de contratación o durante la ejecución de un contrato, el Banco podrá:</w:t>
      </w:r>
    </w:p>
    <w:p w:rsidR="00C6516E" w:rsidRDefault="00C6516E" w:rsidP="00C6516E">
      <w:pPr>
        <w:jc w:val="both"/>
        <w:rPr>
          <w:sz w:val="24"/>
          <w:szCs w:val="24"/>
          <w:lang w:val="es-ES_tradnl"/>
        </w:rPr>
      </w:pPr>
    </w:p>
    <w:p w:rsidR="00C6516E" w:rsidRDefault="00C6516E" w:rsidP="00C6516E">
      <w:pPr>
        <w:numPr>
          <w:ilvl w:val="0"/>
          <w:numId w:val="3"/>
        </w:numPr>
        <w:ind w:left="1440" w:hanging="720"/>
        <w:jc w:val="both"/>
        <w:rPr>
          <w:sz w:val="24"/>
          <w:szCs w:val="24"/>
          <w:lang w:val="es-ES_tradnl"/>
        </w:rPr>
      </w:pPr>
      <w:r>
        <w:rPr>
          <w:sz w:val="24"/>
          <w:szCs w:val="24"/>
          <w:lang w:val="es-ES_tradnl"/>
        </w:rPr>
        <w:t xml:space="preserve">no financiar ninguna propuesta de adjudicación de un contrato para la adquisición de obras, bienes, servicios relacionados y la contratación de servicios de consultoría; </w:t>
      </w:r>
    </w:p>
    <w:p w:rsidR="00C6516E" w:rsidRDefault="00C6516E" w:rsidP="00C6516E">
      <w:pPr>
        <w:ind w:left="1980" w:hanging="540"/>
        <w:jc w:val="both"/>
        <w:rPr>
          <w:sz w:val="24"/>
          <w:szCs w:val="24"/>
          <w:lang w:val="es-ES_tradnl"/>
        </w:rPr>
      </w:pPr>
    </w:p>
    <w:p w:rsidR="00C6516E" w:rsidRDefault="00C6516E" w:rsidP="00C6516E">
      <w:pPr>
        <w:pStyle w:val="BodyTextIndent2"/>
        <w:ind w:left="1440" w:hanging="720"/>
        <w:rPr>
          <w:szCs w:val="24"/>
        </w:rPr>
      </w:pPr>
      <w:r>
        <w:rPr>
          <w:szCs w:val="24"/>
        </w:rPr>
        <w:t>(ii)</w:t>
      </w:r>
      <w:r>
        <w:rPr>
          <w:szCs w:val="24"/>
        </w:rPr>
        <w:tab/>
        <w:t xml:space="preserve">declarar una contratación no elegible para financiamiento del Banco, cuando exista evidencia de que el representante del Beneficiario o del Organismo Ejecutor no ha tomado las medidas correctivas adecuadas (lo que incluye, entre otras cosas, la notificación adecuada al Banco tras tener conocimiento de la comisión de la Práctica Prohibida) en un plazo que el Banco considere razonable; </w:t>
      </w:r>
    </w:p>
    <w:p w:rsidR="00C6516E" w:rsidRDefault="00C6516E" w:rsidP="00C6516E">
      <w:pPr>
        <w:ind w:left="1980" w:hanging="540"/>
        <w:rPr>
          <w:sz w:val="24"/>
          <w:szCs w:val="24"/>
          <w:lang w:val="es-ES_tradnl"/>
        </w:rPr>
      </w:pPr>
    </w:p>
    <w:p w:rsidR="00C6516E" w:rsidRDefault="00C6516E" w:rsidP="00C6516E">
      <w:pPr>
        <w:ind w:left="1440" w:hanging="720"/>
        <w:jc w:val="both"/>
        <w:rPr>
          <w:sz w:val="24"/>
          <w:lang w:val="es-ES_tradnl"/>
        </w:rPr>
      </w:pPr>
      <w:r>
        <w:rPr>
          <w:sz w:val="24"/>
          <w:lang w:val="es-ES_tradnl"/>
        </w:rPr>
        <w:t>(iii)</w:t>
      </w:r>
      <w:r>
        <w:rPr>
          <w:sz w:val="24"/>
          <w:lang w:val="es-ES_tradnl"/>
        </w:rPr>
        <w:tab/>
        <w:t>emitir una amonestación a la firma, entidad o individuo en formato de una carta formal de censura por su conducta;</w:t>
      </w:r>
    </w:p>
    <w:p w:rsidR="00C6516E" w:rsidRDefault="00C6516E" w:rsidP="00C6516E">
      <w:pPr>
        <w:ind w:left="1980" w:hanging="540"/>
        <w:jc w:val="both"/>
        <w:rPr>
          <w:sz w:val="24"/>
          <w:lang w:val="es-ES_tradnl"/>
        </w:rPr>
      </w:pPr>
    </w:p>
    <w:p w:rsidR="00C6516E" w:rsidRDefault="00C6516E" w:rsidP="00C6516E">
      <w:pPr>
        <w:ind w:left="1440" w:hanging="720"/>
        <w:jc w:val="both"/>
        <w:rPr>
          <w:sz w:val="24"/>
          <w:lang w:val="es-ES_tradnl"/>
        </w:rPr>
      </w:pPr>
      <w:r>
        <w:rPr>
          <w:sz w:val="24"/>
          <w:lang w:val="es-ES_tradnl"/>
        </w:rPr>
        <w:t>(iv)</w:t>
      </w:r>
      <w:r>
        <w:rPr>
          <w:sz w:val="24"/>
          <w:lang w:val="es-ES_tradnl"/>
        </w:rPr>
        <w:tab/>
      </w:r>
      <w:proofErr w:type="gramStart"/>
      <w:r>
        <w:rPr>
          <w:sz w:val="24"/>
          <w:lang w:val="es-ES_tradnl"/>
        </w:rPr>
        <w:t>declarar</w:t>
      </w:r>
      <w:proofErr w:type="gramEnd"/>
      <w:r>
        <w:rPr>
          <w:sz w:val="24"/>
          <w:lang w:val="es-ES_tradnl"/>
        </w:rPr>
        <w:t xml:space="preserve"> a una firma, entidad o individuo inelegible, en forma permanente o por un determinado período de tiempo, para que (A) se le adjudiquen o participe en actividades financiadas por el Banco, y (B) sea designado </w:t>
      </w:r>
      <w:proofErr w:type="spellStart"/>
      <w:r>
        <w:rPr>
          <w:sz w:val="24"/>
          <w:lang w:val="es-ES_tradnl"/>
        </w:rPr>
        <w:t>subconsultor</w:t>
      </w:r>
      <w:proofErr w:type="spellEnd"/>
      <w:r>
        <w:rPr>
          <w:sz w:val="24"/>
          <w:lang w:val="es-ES_tradnl"/>
        </w:rPr>
        <w:t>, subcontratista o proveedor de bienes o servicios por otra firma elegible a la que se adjudique un contrato para ejecutar actividades financiadas por el Banco;</w:t>
      </w:r>
    </w:p>
    <w:p w:rsidR="00C6516E" w:rsidRDefault="00C6516E" w:rsidP="00C6516E">
      <w:pPr>
        <w:ind w:left="1980" w:hanging="540"/>
        <w:jc w:val="both"/>
        <w:rPr>
          <w:sz w:val="24"/>
          <w:lang w:val="es-ES_tradnl"/>
        </w:rPr>
      </w:pPr>
    </w:p>
    <w:p w:rsidR="00C6516E" w:rsidRDefault="00C6516E" w:rsidP="00C6516E">
      <w:pPr>
        <w:ind w:left="1440" w:hanging="720"/>
        <w:jc w:val="both"/>
        <w:rPr>
          <w:sz w:val="24"/>
          <w:lang w:val="es-ES_tradnl"/>
        </w:rPr>
      </w:pPr>
      <w:r>
        <w:rPr>
          <w:sz w:val="24"/>
          <w:lang w:val="es-ES_tradnl"/>
        </w:rPr>
        <w:t>(v)</w:t>
      </w:r>
      <w:r>
        <w:rPr>
          <w:sz w:val="24"/>
          <w:lang w:val="es-ES_tradnl"/>
        </w:rPr>
        <w:tab/>
        <w:t>remitir el tema a las autoridades pertinentes encargadas de hacer cumplir las leyes; y/o;</w:t>
      </w:r>
    </w:p>
    <w:p w:rsidR="00C6516E" w:rsidRDefault="00C6516E" w:rsidP="00C6516E">
      <w:pPr>
        <w:ind w:left="1980" w:hanging="540"/>
        <w:jc w:val="both"/>
        <w:rPr>
          <w:sz w:val="24"/>
          <w:lang w:val="es-ES_tradnl"/>
        </w:rPr>
      </w:pPr>
    </w:p>
    <w:p w:rsidR="00C6516E" w:rsidRDefault="00C6516E" w:rsidP="00C6516E">
      <w:pPr>
        <w:numPr>
          <w:ilvl w:val="0"/>
          <w:numId w:val="4"/>
        </w:numPr>
        <w:tabs>
          <w:tab w:val="left" w:pos="1440"/>
        </w:tabs>
        <w:ind w:left="1440"/>
        <w:jc w:val="both"/>
        <w:rPr>
          <w:sz w:val="24"/>
          <w:lang w:val="es-ES_tradnl"/>
        </w:rPr>
      </w:pPr>
      <w:r>
        <w:rPr>
          <w:sz w:val="24"/>
          <w:lang w:val="es-ES_tradnl"/>
        </w:rPr>
        <w:t>imponer otras sanciones que considere apropiadas bajo las circunstancias del caso, incluida la imposición de multas que representen para el Banco un reembolso de los costos vinculados con las investigaciones y actuaciones. Dichas sanciones podrán ser impuestas en forma adicional o en sustitución de las sanciones mencionadas en el Artículo 7(c)(i), en el Artículo 7(c)(ii)(B) y en este Artículo 8(b), numerales (i) al (v).</w:t>
      </w:r>
    </w:p>
    <w:p w:rsidR="00C6516E" w:rsidRDefault="00C6516E" w:rsidP="00C6516E">
      <w:pPr>
        <w:jc w:val="both"/>
        <w:rPr>
          <w:sz w:val="24"/>
          <w:lang w:val="es-ES_tradnl"/>
        </w:rPr>
      </w:pPr>
    </w:p>
    <w:p w:rsidR="00C6516E" w:rsidRDefault="00C6516E" w:rsidP="00C6516E">
      <w:pPr>
        <w:tabs>
          <w:tab w:val="left" w:pos="720"/>
        </w:tabs>
        <w:jc w:val="both"/>
        <w:rPr>
          <w:sz w:val="24"/>
          <w:lang w:val="es-ES_tradnl"/>
        </w:rPr>
      </w:pPr>
      <w:r>
        <w:rPr>
          <w:sz w:val="24"/>
          <w:lang w:val="es-ES_tradnl"/>
        </w:rPr>
        <w:tab/>
        <w:t>(c)</w:t>
      </w:r>
      <w:r>
        <w:rPr>
          <w:sz w:val="24"/>
          <w:lang w:val="es-ES_tradnl"/>
        </w:rPr>
        <w:tab/>
        <w:t>Lo dispuesto en el Artículo 7(c</w:t>
      </w:r>
      <w:proofErr w:type="gramStart"/>
      <w:r>
        <w:rPr>
          <w:sz w:val="24"/>
          <w:lang w:val="es-ES_tradnl"/>
        </w:rPr>
        <w:t>)(</w:t>
      </w:r>
      <w:proofErr w:type="gramEnd"/>
      <w:r>
        <w:rPr>
          <w:sz w:val="24"/>
          <w:lang w:val="es-ES_tradnl"/>
        </w:rPr>
        <w:t>i) y en el Artículo 8(b)(i) se aplicará también en casos en los que las partes hayan sido temporalmente declaradas inelegibles</w:t>
      </w:r>
      <w:r>
        <w:rPr>
          <w:color w:val="FF0000"/>
          <w:sz w:val="24"/>
          <w:lang w:val="es-ES_tradnl"/>
        </w:rPr>
        <w:t xml:space="preserve"> </w:t>
      </w:r>
      <w:r>
        <w:rPr>
          <w:sz w:val="24"/>
          <w:lang w:val="es-ES_tradnl"/>
        </w:rPr>
        <w:t>para la adjudicación de nuevos contratos en espera de que se adopte una decisión definitiva en un proceso de sanción, o cualquier resolución.</w:t>
      </w:r>
    </w:p>
    <w:p w:rsidR="00C6516E" w:rsidRDefault="00C6516E" w:rsidP="00C6516E">
      <w:pPr>
        <w:jc w:val="both"/>
        <w:rPr>
          <w:sz w:val="24"/>
          <w:lang w:val="es-ES_tradnl"/>
        </w:rPr>
      </w:pPr>
    </w:p>
    <w:p w:rsidR="00C6516E" w:rsidRDefault="00C6516E" w:rsidP="00C6516E">
      <w:pPr>
        <w:jc w:val="both"/>
        <w:rPr>
          <w:sz w:val="24"/>
          <w:lang w:val="es-ES_tradnl"/>
        </w:rPr>
      </w:pPr>
      <w:r>
        <w:rPr>
          <w:sz w:val="24"/>
          <w:lang w:val="es-ES_tradnl"/>
        </w:rPr>
        <w:tab/>
        <w:t>(d)</w:t>
      </w:r>
      <w:r>
        <w:rPr>
          <w:sz w:val="24"/>
          <w:lang w:val="es-ES_tradnl"/>
        </w:rPr>
        <w:tab/>
        <w:t>La imposición de cualquier medida que sea tomada por el Banco de conformidad con las disposiciones referidas anteriormente será de carácter público.</w:t>
      </w:r>
    </w:p>
    <w:p w:rsidR="00C6516E" w:rsidRDefault="00C6516E" w:rsidP="00C6516E">
      <w:pPr>
        <w:jc w:val="both"/>
        <w:rPr>
          <w:sz w:val="24"/>
          <w:lang w:val="es-ES_tradnl"/>
        </w:rPr>
      </w:pPr>
    </w:p>
    <w:p w:rsidR="00C6516E" w:rsidRDefault="00C6516E" w:rsidP="00C6516E">
      <w:pPr>
        <w:jc w:val="both"/>
        <w:rPr>
          <w:rFonts w:eastAsia="Calibri"/>
          <w:sz w:val="24"/>
          <w:szCs w:val="24"/>
          <w:lang w:val="es-ES_tradnl"/>
        </w:rPr>
      </w:pPr>
      <w:r>
        <w:rPr>
          <w:sz w:val="24"/>
          <w:lang w:val="es-ES_tradnl"/>
        </w:rPr>
        <w:tab/>
        <w:t>(e)</w:t>
      </w:r>
      <w:r>
        <w:rPr>
          <w:sz w:val="24"/>
          <w:lang w:val="es-ES_tradnl"/>
        </w:rPr>
        <w:tab/>
      </w:r>
      <w:r>
        <w:rPr>
          <w:rFonts w:eastAsia="Calibri"/>
          <w:sz w:val="24"/>
          <w:szCs w:val="24"/>
          <w:lang w:val="es-ES_tradnl"/>
        </w:rPr>
        <w:t xml:space="preserve">Cualquier </w:t>
      </w:r>
      <w:r>
        <w:rPr>
          <w:sz w:val="24"/>
          <w:lang w:val="es-ES_tradnl"/>
        </w:rPr>
        <w:t xml:space="preserve">firma, entidad o individuo actuando como oferente o participando en una actividad financiada por el Banco incluido, entre otros, solicitantes, oferentes, contratistas, empresas de consultoría y consultores individuales, miembros del personal, subcontratistas, </w:t>
      </w:r>
      <w:proofErr w:type="spellStart"/>
      <w:r>
        <w:rPr>
          <w:sz w:val="24"/>
          <w:lang w:val="es-ES_tradnl"/>
        </w:rPr>
        <w:t>subconsultores</w:t>
      </w:r>
      <w:proofErr w:type="spellEnd"/>
      <w:r>
        <w:rPr>
          <w:sz w:val="24"/>
          <w:lang w:val="es-ES_tradnl"/>
        </w:rPr>
        <w:t>, proveedores de bienes o servicios, concesionarios, el Beneficiario o el Organismo Ejecutor (incluidos sus respectivos funcionarios, empleados y representantes, ya sean sus atribuciones expresas o implícitas)</w:t>
      </w:r>
      <w:r>
        <w:rPr>
          <w:rFonts w:eastAsia="Calibri"/>
          <w:sz w:val="24"/>
          <w:szCs w:val="24"/>
          <w:lang w:val="es-ES_tradnl"/>
        </w:rPr>
        <w:t xml:space="preserve"> podrá verse sujeto a sanción, de conformidad con lo dispuesto en acuerdos suscritos por el Banco con otra institución financiera internacional concernientes al reconocimiento recíproco de decisiones en materia de inhabilitación. Para efectos de lo dispuesto en este literal (e), el término “sanción” incluye toda inhabilitación permanente, imposición de condiciones para la participación en futuros contratos o adopción pública de medidas en respuesta a una contravención del marco vigente de una institución financiera internacional aplicable a la resolución de denuncias de comisión de Prácticas Prohibidas.</w:t>
      </w:r>
    </w:p>
    <w:p w:rsidR="00C6516E" w:rsidRDefault="00C6516E" w:rsidP="00C6516E">
      <w:pPr>
        <w:pStyle w:val="ListParagraph"/>
        <w:autoSpaceDE w:val="0"/>
        <w:autoSpaceDN w:val="0"/>
        <w:adjustRightInd w:val="0"/>
        <w:ind w:left="90" w:firstLine="810"/>
        <w:jc w:val="both"/>
        <w:rPr>
          <w:sz w:val="24"/>
          <w:lang w:val="es-ES_tradnl"/>
        </w:rPr>
      </w:pPr>
    </w:p>
    <w:p w:rsidR="00C6516E" w:rsidRDefault="00C6516E" w:rsidP="00C6516E">
      <w:pPr>
        <w:pStyle w:val="ListParagraph"/>
        <w:autoSpaceDE w:val="0"/>
        <w:autoSpaceDN w:val="0"/>
        <w:adjustRightInd w:val="0"/>
        <w:ind w:left="90" w:firstLine="630"/>
        <w:jc w:val="both"/>
        <w:rPr>
          <w:sz w:val="24"/>
          <w:lang w:val="es-ES_tradnl"/>
        </w:rPr>
      </w:pPr>
      <w:r>
        <w:rPr>
          <w:sz w:val="24"/>
          <w:lang w:val="es-ES_tradnl"/>
        </w:rPr>
        <w:t>(f)</w:t>
      </w:r>
      <w:r>
        <w:rPr>
          <w:rFonts w:eastAsia="Calibri"/>
          <w:szCs w:val="24"/>
          <w:lang w:val="es-ES_tradnl"/>
        </w:rPr>
        <w:tab/>
      </w:r>
      <w:r>
        <w:rPr>
          <w:rFonts w:eastAsia="Calibri"/>
          <w:sz w:val="24"/>
          <w:szCs w:val="24"/>
          <w:lang w:val="es-ES_tradnl"/>
        </w:rPr>
        <w:t xml:space="preserve">Cuando el Beneficiario adquiera bienes, obras o servicios distintos de los servicios de consultoría directamente de una agencia especializada o contrate a una agencia especializada para prestar servicios de asistencia técnica en el marco de un acuerdo entre el Beneficiario y dicha agencia especializada, todas las disposiciones contempladas en este Convenio relativas a sanciones y Prácticas Prohibidas se aplicarán íntegramente a los solicitantes, oferentes, contratistas, empresas de consultoría o consultores individuales, miembros del personal, subcontratistas, </w:t>
      </w:r>
      <w:proofErr w:type="spellStart"/>
      <w:r>
        <w:rPr>
          <w:rFonts w:eastAsia="Calibri"/>
          <w:sz w:val="24"/>
          <w:szCs w:val="24"/>
          <w:lang w:val="es-ES_tradnl"/>
        </w:rPr>
        <w:t>subconsultores</w:t>
      </w:r>
      <w:proofErr w:type="spellEnd"/>
      <w:r>
        <w:rPr>
          <w:rFonts w:eastAsia="Calibri"/>
          <w:sz w:val="24"/>
          <w:szCs w:val="24"/>
          <w:lang w:val="es-ES_tradnl"/>
        </w:rPr>
        <w:t>, proveedores de bienes o servicios (incluidos sus respectivos funcionarios, empleados y representantes, ya sean sus atribuciones expresas o implícitas) o cualquier otra entidad que haya suscrito contratos con dicha agencia especializada para la provisión de bienes, obras o servicios conexos relacionados con actividades financiadas por el Banco.  El Banco se reserva el derecho de obligar al Beneficiario a que se acoja a recursos tales como la suspensión o la rescisión. El Beneficiario se compromete a que los contratos con agencias especializadas incluyan disposiciones para que éstas consulten la lista de firmas e individuos declarados inelegibles de forma temporal o permanente por el Banco. En caso de que una agencia especializada suscriba un contrato o una orden de compra con una firma o individuo declarado inelegible de forma temporal o permanente por el Banco, el Banco no financiará los gastos conexos y se acogerá a otras medidas que considere convenientes.</w:t>
      </w:r>
    </w:p>
    <w:p w:rsidR="00C6516E" w:rsidRDefault="00C6516E" w:rsidP="00C6516E">
      <w:pPr>
        <w:tabs>
          <w:tab w:val="left" w:pos="720"/>
          <w:tab w:val="left" w:pos="1350"/>
        </w:tabs>
        <w:jc w:val="both"/>
        <w:rPr>
          <w:sz w:val="24"/>
          <w:lang w:val="es-ES_tradnl"/>
        </w:rPr>
      </w:pPr>
    </w:p>
    <w:p w:rsidR="00C6516E" w:rsidRDefault="00C6516E" w:rsidP="00C6516E">
      <w:pPr>
        <w:keepNext/>
        <w:jc w:val="both"/>
        <w:rPr>
          <w:sz w:val="24"/>
          <w:lang w:val="es-ES_tradnl"/>
        </w:rPr>
      </w:pPr>
      <w:r>
        <w:rPr>
          <w:b/>
          <w:sz w:val="24"/>
          <w:lang w:val="es-ES_tradnl"/>
        </w:rPr>
        <w:lastRenderedPageBreak/>
        <w:t>Artículo 9.</w:t>
      </w:r>
      <w:r>
        <w:rPr>
          <w:b/>
          <w:sz w:val="24"/>
          <w:lang w:val="es-ES_tradnl"/>
        </w:rPr>
        <w:tab/>
      </w:r>
      <w:r>
        <w:rPr>
          <w:b/>
          <w:sz w:val="24"/>
          <w:u w:val="single"/>
          <w:lang w:val="es-ES_tradnl"/>
        </w:rPr>
        <w:t>Tipo de cambio para Proyectos financiados con fondos denominados en dólares de los Estados Unidos de América</w:t>
      </w:r>
      <w:r>
        <w:rPr>
          <w:bCs/>
          <w:sz w:val="24"/>
          <w:lang w:val="es-ES_tradnl"/>
        </w:rPr>
        <w:t>.</w:t>
      </w:r>
      <w:r>
        <w:rPr>
          <w:sz w:val="24"/>
          <w:lang w:val="es-ES_tradnl"/>
        </w:rPr>
        <w:t xml:space="preserve"> </w:t>
      </w:r>
    </w:p>
    <w:p w:rsidR="00C6516E" w:rsidRDefault="00C6516E" w:rsidP="00C6516E">
      <w:pPr>
        <w:keepNext/>
        <w:jc w:val="both"/>
        <w:rPr>
          <w:sz w:val="24"/>
          <w:lang w:val="es-ES_tradnl"/>
        </w:rPr>
      </w:pPr>
    </w:p>
    <w:p w:rsidR="00C6516E" w:rsidRDefault="00C6516E" w:rsidP="00C6516E">
      <w:pPr>
        <w:keepNext/>
        <w:jc w:val="both"/>
        <w:rPr>
          <w:sz w:val="24"/>
          <w:lang w:val="es-ES_tradnl"/>
        </w:rPr>
      </w:pPr>
      <w:r>
        <w:rPr>
          <w:sz w:val="24"/>
          <w:lang w:val="es-ES_tradnl"/>
        </w:rPr>
        <w:tab/>
        <w:t>(a)</w:t>
      </w:r>
      <w:r>
        <w:rPr>
          <w:sz w:val="24"/>
          <w:lang w:val="es-ES_tradnl"/>
        </w:rPr>
        <w:tab/>
      </w:r>
      <w:r>
        <w:rPr>
          <w:sz w:val="24"/>
          <w:u w:val="single"/>
          <w:lang w:val="es-ES_tradnl"/>
        </w:rPr>
        <w:t>Desembolsos</w:t>
      </w:r>
      <w:r>
        <w:rPr>
          <w:sz w:val="24"/>
          <w:lang w:val="es-ES_tradnl"/>
        </w:rPr>
        <w:t>:</w:t>
      </w:r>
    </w:p>
    <w:p w:rsidR="00C6516E" w:rsidRDefault="00C6516E" w:rsidP="00C6516E">
      <w:pPr>
        <w:keepNext/>
        <w:jc w:val="both"/>
        <w:rPr>
          <w:sz w:val="24"/>
          <w:lang w:val="es-ES_tradnl"/>
        </w:rPr>
      </w:pPr>
    </w:p>
    <w:p w:rsidR="00C6516E" w:rsidRDefault="00C6516E" w:rsidP="00C6516E">
      <w:pPr>
        <w:keepNext/>
        <w:ind w:left="2160" w:hanging="720"/>
        <w:jc w:val="both"/>
        <w:rPr>
          <w:sz w:val="24"/>
          <w:lang w:val="es-ES_tradnl"/>
        </w:rPr>
      </w:pPr>
      <w:r>
        <w:rPr>
          <w:sz w:val="24"/>
          <w:lang w:val="es-ES_tradnl"/>
        </w:rPr>
        <w:t>(i)</w:t>
      </w:r>
      <w:r>
        <w:rPr>
          <w:sz w:val="24"/>
          <w:lang w:val="es-ES_tradnl"/>
        </w:rPr>
        <w:tab/>
        <w:t xml:space="preserve">La equivalencia en dólares de los Estados Unidos de América de otras monedas convertibles en que puedan ser hechos los desembolsos de la Contribución, se calculará aplicando el tipo de cambio vigente en el mercado en la fecha del desembolso; y </w:t>
      </w:r>
    </w:p>
    <w:p w:rsidR="00C6516E" w:rsidRDefault="00C6516E" w:rsidP="00C6516E">
      <w:pPr>
        <w:jc w:val="both"/>
        <w:rPr>
          <w:sz w:val="24"/>
          <w:lang w:val="es-ES_tradnl"/>
        </w:rPr>
      </w:pPr>
    </w:p>
    <w:p w:rsidR="00C6516E" w:rsidRDefault="00C6516E" w:rsidP="00C6516E">
      <w:pPr>
        <w:ind w:left="2160" w:hanging="720"/>
        <w:jc w:val="both"/>
        <w:rPr>
          <w:sz w:val="24"/>
          <w:lang w:val="es-ES_tradnl"/>
        </w:rPr>
      </w:pPr>
      <w:r>
        <w:rPr>
          <w:sz w:val="24"/>
          <w:lang w:val="es-ES_tradnl"/>
        </w:rPr>
        <w:t>(ii)</w:t>
      </w:r>
      <w:r>
        <w:rPr>
          <w:sz w:val="24"/>
          <w:lang w:val="es-ES_tradnl"/>
        </w:rPr>
        <w:tab/>
        <w:t>La equivalencia en dólares de los Estados Unidos de América de la moneda local u otras monedas no convertibles, en caso de Proyectos regionales, en que puedan ser hechos los desembolsos de la Contribución, se calculará aplicando, en la fecha del desembolso, el tipo de cambio que corresponda al entendimiento vigente entre el Banco y el respectivo país para los efectos de mantener el valor de esta moneda u otras monedas no convertibles, en caso de Proyectos regionales, en poder del Banco.</w:t>
      </w:r>
    </w:p>
    <w:p w:rsidR="00C6516E" w:rsidRDefault="00C6516E" w:rsidP="00C6516E">
      <w:pPr>
        <w:jc w:val="both"/>
        <w:rPr>
          <w:sz w:val="24"/>
          <w:lang w:val="es-ES_tradnl"/>
        </w:rPr>
      </w:pPr>
    </w:p>
    <w:p w:rsidR="00C6516E" w:rsidRDefault="00C6516E" w:rsidP="00C6516E">
      <w:pPr>
        <w:ind w:left="720"/>
        <w:jc w:val="both"/>
        <w:rPr>
          <w:sz w:val="24"/>
          <w:lang w:val="es-ES_tradnl"/>
        </w:rPr>
      </w:pPr>
      <w:r>
        <w:rPr>
          <w:sz w:val="24"/>
          <w:lang w:val="es-ES_tradnl"/>
        </w:rPr>
        <w:t>(b)</w:t>
      </w:r>
      <w:r>
        <w:rPr>
          <w:sz w:val="24"/>
          <w:lang w:val="es-ES_tradnl"/>
        </w:rPr>
        <w:tab/>
      </w:r>
      <w:r>
        <w:rPr>
          <w:sz w:val="24"/>
          <w:u w:val="single"/>
          <w:lang w:val="es-ES_tradnl"/>
        </w:rPr>
        <w:t>Gastos efectuados</w:t>
      </w:r>
      <w:r>
        <w:rPr>
          <w:sz w:val="24"/>
          <w:lang w:val="es-ES_tradnl"/>
        </w:rPr>
        <w:t xml:space="preserve">: </w:t>
      </w:r>
    </w:p>
    <w:p w:rsidR="00C6516E" w:rsidRDefault="00C6516E" w:rsidP="00C6516E">
      <w:pPr>
        <w:jc w:val="both"/>
        <w:rPr>
          <w:sz w:val="24"/>
          <w:lang w:val="es-ES_tradnl"/>
        </w:rPr>
      </w:pPr>
    </w:p>
    <w:p w:rsidR="00C6516E" w:rsidRDefault="00C6516E" w:rsidP="00C6516E">
      <w:pPr>
        <w:tabs>
          <w:tab w:val="left" w:pos="-1440"/>
          <w:tab w:val="left" w:pos="-720"/>
          <w:tab w:val="left" w:pos="720"/>
          <w:tab w:val="left" w:pos="2160"/>
        </w:tabs>
        <w:ind w:left="1440"/>
        <w:jc w:val="both"/>
        <w:rPr>
          <w:sz w:val="24"/>
          <w:lang w:val="es-ES_tradnl"/>
        </w:rPr>
      </w:pPr>
      <w:r>
        <w:rPr>
          <w:sz w:val="24"/>
          <w:lang w:val="es-ES_tradnl"/>
        </w:rPr>
        <w:t xml:space="preserve">La equivalencia en la moneda de la Contribución de un gasto que se efectúe en moneda del país del Beneficiario o del Organismo Ejecutor, según corresponda, se calculará utilizando uno de los siguientes tipos de cambio, de conformidad con lo estipulado en las Estipulaciones Especiales de este Convenio: (i) el mismo tipo de cambio utilizado para la conversión de los recursos desembolsados en la moneda de la Contribución a la moneda del país del Beneficiario o del Organismo Ejecutor. En este caso, para efectos del reembolso de gastos con cargo a la Contribución y del reconocimiento de gastos con cargo al Aporte, se aplicará el tipo de cambio vigente en la fecha de presentación de la solicitud de reembolso al Banco; o (ii) el tipo de cambio vigente en el país del Beneficiario o del Organismo Ejecutor, según corresponda, en la fecha efectiva del pago del gasto en la moneda del país del Beneficiario o del Organismo Ejecutor. </w:t>
      </w:r>
    </w:p>
    <w:p w:rsidR="00C6516E" w:rsidRDefault="00C6516E" w:rsidP="00C6516E">
      <w:pPr>
        <w:jc w:val="both"/>
        <w:rPr>
          <w:sz w:val="24"/>
          <w:lang w:val="es-ES_tradnl"/>
        </w:rPr>
      </w:pPr>
    </w:p>
    <w:p w:rsidR="00C6516E" w:rsidRDefault="00C6516E" w:rsidP="00C6516E">
      <w:pPr>
        <w:jc w:val="both"/>
        <w:rPr>
          <w:sz w:val="24"/>
          <w:lang w:val="es-ES_tradnl"/>
        </w:rPr>
      </w:pPr>
      <w:r>
        <w:rPr>
          <w:b/>
          <w:sz w:val="24"/>
          <w:lang w:val="es-ES_tradnl"/>
        </w:rPr>
        <w:t>Artículo 10.</w:t>
      </w:r>
      <w:r>
        <w:rPr>
          <w:b/>
          <w:sz w:val="24"/>
          <w:lang w:val="es-ES_tradnl"/>
        </w:rPr>
        <w:tab/>
      </w:r>
      <w:r>
        <w:rPr>
          <w:b/>
          <w:sz w:val="24"/>
          <w:u w:val="single"/>
          <w:lang w:val="es-ES_tradnl"/>
        </w:rPr>
        <w:t>Tipo de cambio para Proyectos financiados con fondos constituidos en monedas convertibles diferentes al dólar de los Estados Unidos de América</w:t>
      </w:r>
      <w:r>
        <w:rPr>
          <w:sz w:val="24"/>
          <w:lang w:val="es-ES_tradnl"/>
        </w:rPr>
        <w:t>. (a) </w:t>
      </w:r>
      <w:r>
        <w:rPr>
          <w:sz w:val="24"/>
          <w:u w:val="single"/>
          <w:lang w:val="es-ES_tradnl"/>
        </w:rPr>
        <w:t>Desembolsos</w:t>
      </w:r>
      <w:r>
        <w:rPr>
          <w:sz w:val="24"/>
          <w:lang w:val="es-ES_tradnl"/>
        </w:rPr>
        <w:t>. El Banco podrá convertir la moneda desembolsada con cargo a los recursos del fondo en fideicomiso indicado en las Estipulaciones Especiales en:</w:t>
      </w:r>
    </w:p>
    <w:p w:rsidR="00C6516E" w:rsidRDefault="00C6516E" w:rsidP="00C6516E">
      <w:pPr>
        <w:jc w:val="both"/>
        <w:rPr>
          <w:sz w:val="24"/>
          <w:lang w:val="es-ES_tradnl"/>
        </w:rPr>
      </w:pPr>
    </w:p>
    <w:p w:rsidR="00C6516E" w:rsidRDefault="00C6516E" w:rsidP="00C6516E">
      <w:pPr>
        <w:ind w:left="2160" w:hanging="720"/>
        <w:jc w:val="both"/>
        <w:rPr>
          <w:sz w:val="24"/>
          <w:lang w:val="es-ES_tradnl"/>
        </w:rPr>
      </w:pPr>
      <w:r>
        <w:rPr>
          <w:sz w:val="24"/>
          <w:lang w:val="es-ES_tradnl"/>
        </w:rPr>
        <w:t>(i)</w:t>
      </w:r>
      <w:r>
        <w:rPr>
          <w:sz w:val="24"/>
          <w:lang w:val="es-ES_tradnl"/>
        </w:rPr>
        <w:tab/>
        <w:t xml:space="preserve">Otras monedas convertibles aplicando el tipo de cambio vigente en el mercado en la fecha del desembolso; o </w:t>
      </w:r>
    </w:p>
    <w:p w:rsidR="00C6516E" w:rsidRDefault="00C6516E" w:rsidP="00C6516E">
      <w:pPr>
        <w:ind w:left="2160" w:hanging="720"/>
        <w:jc w:val="both"/>
        <w:rPr>
          <w:sz w:val="24"/>
          <w:lang w:val="es-ES_tradnl"/>
        </w:rPr>
      </w:pPr>
    </w:p>
    <w:p w:rsidR="00C6516E" w:rsidRDefault="00C6516E" w:rsidP="00C6516E">
      <w:pPr>
        <w:ind w:left="2160" w:hanging="720"/>
        <w:jc w:val="both"/>
        <w:rPr>
          <w:sz w:val="24"/>
          <w:lang w:val="es-ES_tradnl"/>
        </w:rPr>
      </w:pPr>
      <w:r>
        <w:rPr>
          <w:sz w:val="24"/>
          <w:lang w:val="es-ES_tradnl"/>
        </w:rPr>
        <w:t>(ii)</w:t>
      </w:r>
      <w:r>
        <w:rPr>
          <w:sz w:val="24"/>
          <w:lang w:val="es-ES_tradnl"/>
        </w:rPr>
        <w:tab/>
        <w:t xml:space="preserve">La moneda local u otras monedas no convertibles, en caso de Proyectos regionales, aplicando, en la fecha del desembolso, el siguiente procedimiento: (A) se calculará la equivalencia de la moneda del fondo en fideicomiso indicado en las Estipulaciones Especiales en dólares aplicando el tipo de cambio vigente en el mercado; (B) posteriormente, se calculará </w:t>
      </w:r>
      <w:r>
        <w:rPr>
          <w:sz w:val="24"/>
          <w:lang w:val="es-ES_tradnl"/>
        </w:rPr>
        <w:lastRenderedPageBreak/>
        <w:t>la equivalencia de estos dólares en moneda local u otras monedas no convertibles, en caso de Proyectos regionales, aplicando el tipo de cambio que corresponda al entendimiento vigente entre el Banco y el respectivo país para los efectos de mantener el valor de esta moneda en poder del Banco.</w:t>
      </w:r>
    </w:p>
    <w:p w:rsidR="00C6516E" w:rsidRDefault="00C6516E" w:rsidP="00C6516E">
      <w:pPr>
        <w:jc w:val="both"/>
        <w:rPr>
          <w:sz w:val="24"/>
          <w:lang w:val="es-ES_tradnl"/>
        </w:rPr>
      </w:pPr>
    </w:p>
    <w:p w:rsidR="00C6516E" w:rsidRDefault="00C6516E" w:rsidP="00C6516E">
      <w:pPr>
        <w:numPr>
          <w:ilvl w:val="0"/>
          <w:numId w:val="5"/>
        </w:numPr>
        <w:jc w:val="both"/>
        <w:rPr>
          <w:sz w:val="24"/>
          <w:lang w:val="es-ES_tradnl"/>
        </w:rPr>
      </w:pPr>
      <w:r>
        <w:rPr>
          <w:sz w:val="24"/>
          <w:u w:val="single"/>
          <w:lang w:val="es-ES_tradnl"/>
        </w:rPr>
        <w:t>Gastos efectuados:</w:t>
      </w:r>
      <w:r>
        <w:rPr>
          <w:sz w:val="24"/>
          <w:lang w:val="es-ES_tradnl"/>
        </w:rPr>
        <w:t xml:space="preserve"> </w:t>
      </w:r>
    </w:p>
    <w:p w:rsidR="00C6516E" w:rsidRDefault="00C6516E" w:rsidP="00C6516E">
      <w:pPr>
        <w:jc w:val="both"/>
        <w:rPr>
          <w:sz w:val="24"/>
          <w:lang w:val="es-ES_tradnl"/>
        </w:rPr>
      </w:pPr>
    </w:p>
    <w:p w:rsidR="00C6516E" w:rsidRDefault="00C6516E" w:rsidP="00C6516E">
      <w:pPr>
        <w:ind w:left="1440"/>
        <w:jc w:val="both"/>
        <w:rPr>
          <w:b/>
          <w:sz w:val="24"/>
          <w:lang w:val="es-ES_tradnl"/>
        </w:rPr>
      </w:pPr>
      <w:r>
        <w:rPr>
          <w:sz w:val="24"/>
          <w:lang w:val="es-ES_tradnl"/>
        </w:rPr>
        <w:t xml:space="preserve">La equivalencia en la moneda de la Contribución de un gasto que se efectúe en moneda del país del Beneficiario o del Organismo Ejecutor, según corresponda, se calculará utilizando uno de los siguientes tipos de cambio, de conformidad con lo estipulado en las Estipulaciones Especiales de este Convenio: (i) el mismo tipo de cambio utilizado para la conversión de los recursos desembolsados en la moneda de la Contribución a la moneda del país del Beneficiario o del Organismo Ejecutor. En este caso, para efectos del reembolso de gastos con cargo a la Contribución y del reconocimiento de gastos con cargo al Aporte, se aplicará el tipo de cambio vigente en la fecha de presentación de la solicitud al Banco; o (ii) el tipo de cambio vigente en el país del Beneficiario o del Organismo Ejecutor, según corresponda, en la fecha efectiva del pago del gasto en la moneda del país del Beneficiario o del Organismo Ejecutor. </w:t>
      </w:r>
    </w:p>
    <w:p w:rsidR="00C6516E" w:rsidRDefault="00C6516E" w:rsidP="00C6516E">
      <w:pPr>
        <w:jc w:val="both"/>
        <w:rPr>
          <w:b/>
          <w:sz w:val="24"/>
          <w:lang w:val="es-ES_tradnl"/>
        </w:rPr>
      </w:pPr>
    </w:p>
    <w:p w:rsidR="00C6516E" w:rsidRDefault="00C6516E" w:rsidP="00C6516E">
      <w:pPr>
        <w:jc w:val="both"/>
        <w:rPr>
          <w:sz w:val="24"/>
          <w:lang w:val="es-ES_tradnl"/>
        </w:rPr>
      </w:pPr>
      <w:r>
        <w:rPr>
          <w:b/>
          <w:sz w:val="24"/>
          <w:lang w:val="es-ES_tradnl"/>
        </w:rPr>
        <w:t>Artículo 11.</w:t>
      </w:r>
      <w:r>
        <w:rPr>
          <w:b/>
          <w:sz w:val="24"/>
          <w:lang w:val="es-ES_tradnl"/>
        </w:rPr>
        <w:tab/>
      </w:r>
      <w:r>
        <w:rPr>
          <w:b/>
          <w:sz w:val="24"/>
          <w:u w:val="single"/>
          <w:lang w:val="es-ES_tradnl"/>
        </w:rPr>
        <w:t>Adquisición de bienes y servicios relacionados y contratación de consultores</w:t>
      </w:r>
      <w:r>
        <w:rPr>
          <w:sz w:val="24"/>
          <w:lang w:val="es-ES_tradnl"/>
        </w:rPr>
        <w:t>. (a) Con cargo a la Contribución y hasta por el monto destinado para tal fin en el presupuesto incluido en el Anexo Único que describe el Proyecto, el Beneficiario o el Organismo Ejecutor, según corresponda, podrá adquirir los bienes y servicios relacionados y contratar los consultores previstos en el Proyecto.</w:t>
      </w:r>
    </w:p>
    <w:p w:rsidR="00C6516E" w:rsidRDefault="00C6516E" w:rsidP="00C6516E">
      <w:pPr>
        <w:jc w:val="both"/>
        <w:rPr>
          <w:sz w:val="24"/>
          <w:lang w:val="es-ES_tradnl"/>
        </w:rPr>
      </w:pPr>
    </w:p>
    <w:p w:rsidR="00C6516E" w:rsidRDefault="00C6516E" w:rsidP="00C6516E">
      <w:pPr>
        <w:ind w:firstLine="720"/>
        <w:jc w:val="both"/>
        <w:rPr>
          <w:sz w:val="24"/>
          <w:lang w:val="es-ES_tradnl"/>
        </w:rPr>
      </w:pPr>
      <w:r>
        <w:rPr>
          <w:sz w:val="24"/>
          <w:lang w:val="es-ES_tradnl"/>
        </w:rPr>
        <w:t>(b)</w:t>
      </w:r>
      <w:r>
        <w:rPr>
          <w:sz w:val="24"/>
          <w:lang w:val="es-ES_tradnl"/>
        </w:rPr>
        <w:tab/>
        <w:t>Cuando los bienes y servicios relacionados y los consultores que se adquieran y contraten para el Proyecto se financien con recursos del Aporte, el Beneficiario o el Organismo Ejecutor, según corresponda, utilizará, en lo posible, procedimientos que permitan la participación de varios proponentes y oferentes, y prestará debida atención a los aspectos de economía, eficiencia y razonabilidad de precios.</w:t>
      </w:r>
    </w:p>
    <w:p w:rsidR="00C6516E" w:rsidRDefault="00C6516E" w:rsidP="00C6516E">
      <w:pPr>
        <w:jc w:val="both"/>
        <w:rPr>
          <w:sz w:val="24"/>
          <w:lang w:val="es-ES_tradnl"/>
        </w:rPr>
      </w:pPr>
    </w:p>
    <w:p w:rsidR="00C6516E" w:rsidRDefault="00C6516E" w:rsidP="00C6516E">
      <w:pPr>
        <w:ind w:firstLine="720"/>
        <w:jc w:val="both"/>
        <w:rPr>
          <w:sz w:val="24"/>
          <w:lang w:val="es-ES_tradnl"/>
        </w:rPr>
      </w:pPr>
      <w:r>
        <w:rPr>
          <w:sz w:val="24"/>
          <w:lang w:val="es-ES_tradnl"/>
        </w:rPr>
        <w:t>(c)</w:t>
      </w:r>
      <w:r>
        <w:rPr>
          <w:sz w:val="24"/>
          <w:lang w:val="es-ES_tradnl"/>
        </w:rPr>
        <w:tab/>
        <w:t xml:space="preserve">Cuando se utilicen otras fuentes de financiamiento que no sean los recursos de la Contribución ni los del Aporte, el Beneficiario o el Organismo Ejecutor, según corresponda, podrá convenir con el financiador el procedimiento que deba seguirse para la adquisición de bienes y servicios relacionados y la contratación de consultores. Sin embargo, a solicitud del Banco, el Beneficiario o el Organismo Ejecutor, según corresponda, deberá demostrar la razonabilidad tanto del precio pactado o pagado por la adquisición de dichos bienes y servicios relacionados o la contratación de consultores, como de las condiciones financieras de los créditos. El Beneficiario o el Organismo Ejecutor, según corresponda, </w:t>
      </w:r>
      <w:proofErr w:type="gramStart"/>
      <w:r>
        <w:rPr>
          <w:sz w:val="24"/>
          <w:lang w:val="es-ES_tradnl"/>
        </w:rPr>
        <w:t>deberá</w:t>
      </w:r>
      <w:proofErr w:type="gramEnd"/>
      <w:r>
        <w:rPr>
          <w:sz w:val="24"/>
          <w:lang w:val="es-ES_tradnl"/>
        </w:rPr>
        <w:t xml:space="preserve"> demostrar, asimismo, que la calidad de los bienes y servicios relacionados y de los consultores satisface los requerimientos técnicos del Proyecto.</w:t>
      </w:r>
    </w:p>
    <w:p w:rsidR="00C6516E" w:rsidRDefault="00C6516E" w:rsidP="00C6516E">
      <w:pPr>
        <w:ind w:firstLine="720"/>
        <w:jc w:val="both"/>
        <w:rPr>
          <w:sz w:val="24"/>
          <w:lang w:val="es-ES_tradnl"/>
        </w:rPr>
      </w:pPr>
    </w:p>
    <w:p w:rsidR="00C6516E" w:rsidRDefault="00C6516E" w:rsidP="00C6516E">
      <w:pPr>
        <w:ind w:firstLine="720"/>
        <w:jc w:val="both"/>
        <w:rPr>
          <w:sz w:val="24"/>
          <w:lang w:val="es-ES_tradnl"/>
        </w:rPr>
      </w:pPr>
      <w:r>
        <w:rPr>
          <w:sz w:val="24"/>
          <w:lang w:val="es-ES_tradnl"/>
        </w:rPr>
        <w:t>(d)</w:t>
      </w:r>
      <w:r>
        <w:rPr>
          <w:sz w:val="24"/>
          <w:lang w:val="es-ES_tradnl"/>
        </w:rPr>
        <w:tab/>
        <w:t>Durante la ejecución del Proyecto, los bienes a que se refiere el inciso (a) anterior se utilizarán exclusivamente para la realización del Proyecto.</w:t>
      </w:r>
    </w:p>
    <w:p w:rsidR="00C6516E" w:rsidRDefault="00C6516E" w:rsidP="00C6516E">
      <w:pPr>
        <w:jc w:val="both"/>
        <w:rPr>
          <w:sz w:val="24"/>
          <w:lang w:val="es-ES_tradnl"/>
        </w:rPr>
      </w:pPr>
    </w:p>
    <w:p w:rsidR="00C6516E" w:rsidRDefault="00C6516E" w:rsidP="00C6516E">
      <w:pPr>
        <w:ind w:firstLine="720"/>
        <w:jc w:val="both"/>
        <w:rPr>
          <w:sz w:val="24"/>
          <w:lang w:val="es-ES_tradnl"/>
        </w:rPr>
      </w:pPr>
      <w:r>
        <w:rPr>
          <w:sz w:val="24"/>
          <w:lang w:val="es-ES_tradnl"/>
        </w:rPr>
        <w:t>(e)</w:t>
      </w:r>
      <w:r>
        <w:rPr>
          <w:sz w:val="24"/>
          <w:lang w:val="es-ES_tradnl"/>
        </w:rPr>
        <w:tab/>
        <w:t>Los bienes comprendidos en el Proyecto serán mantenidos adecuadamente de acuerdo con normas técnicas generalmente aceptadas dentro de un nivel compatible con los servicios que deban prestar.</w:t>
      </w:r>
    </w:p>
    <w:p w:rsidR="00C6516E" w:rsidRDefault="00C6516E" w:rsidP="00C6516E">
      <w:pPr>
        <w:jc w:val="both"/>
        <w:rPr>
          <w:b/>
          <w:sz w:val="24"/>
          <w:lang w:val="es-ES_tradnl"/>
        </w:rPr>
      </w:pPr>
    </w:p>
    <w:p w:rsidR="00C6516E" w:rsidRDefault="00C6516E" w:rsidP="00C6516E">
      <w:pPr>
        <w:jc w:val="both"/>
        <w:rPr>
          <w:sz w:val="24"/>
          <w:lang w:val="es-ES_tradnl"/>
        </w:rPr>
      </w:pPr>
      <w:r>
        <w:rPr>
          <w:b/>
          <w:sz w:val="24"/>
          <w:lang w:val="es-ES_tradnl"/>
        </w:rPr>
        <w:t>Artículo 12.</w:t>
      </w:r>
      <w:r>
        <w:rPr>
          <w:b/>
          <w:sz w:val="24"/>
          <w:lang w:val="es-ES_tradnl"/>
        </w:rPr>
        <w:tab/>
      </w:r>
      <w:r>
        <w:rPr>
          <w:b/>
          <w:sz w:val="24"/>
          <w:u w:val="single"/>
          <w:lang w:val="es-ES_tradnl"/>
        </w:rPr>
        <w:t>Otras obligaciones contractuales de los consultores</w:t>
      </w:r>
      <w:r>
        <w:rPr>
          <w:sz w:val="24"/>
          <w:lang w:val="es-ES_tradnl"/>
        </w:rPr>
        <w:t>. (a) En adición a los requisitos especiales incluidos en el Artículo 13(c), Artículo 14(g) y Artículo 15(e) de estas Normas Generales, en las Estipulaciones Especiales, en el o los Anexos y en los respectivos términos de referencia, el Beneficiario o el Organismo Ejecutor, según corresponda, acuerda que los contratos que se suscriban con los consultores establecerán igualmente las obligaciones de éstos de:</w:t>
      </w:r>
    </w:p>
    <w:p w:rsidR="00C6516E" w:rsidRDefault="00C6516E" w:rsidP="00C6516E">
      <w:pPr>
        <w:ind w:left="2160" w:hanging="720"/>
        <w:jc w:val="both"/>
        <w:rPr>
          <w:sz w:val="24"/>
          <w:lang w:val="es-ES_tradnl"/>
        </w:rPr>
      </w:pPr>
      <w:r>
        <w:rPr>
          <w:sz w:val="24"/>
          <w:lang w:val="es-ES_tradnl"/>
        </w:rPr>
        <w:t>(i)</w:t>
      </w:r>
      <w:r>
        <w:rPr>
          <w:sz w:val="24"/>
          <w:lang w:val="es-ES_tradnl"/>
        </w:rPr>
        <w:tab/>
        <w:t>Hacer las aclaraciones o ampliaciones que el Beneficiario o el Organismo Ejecutor o el Banco estimen necesarias acerca de los informes que tienen obligación de presentar los consultores, dentro de los términos de referencia que se establezcan en sus respectivos contratos;</w:t>
      </w:r>
    </w:p>
    <w:p w:rsidR="00C6516E" w:rsidRDefault="00C6516E" w:rsidP="00C6516E">
      <w:pPr>
        <w:jc w:val="both"/>
        <w:rPr>
          <w:sz w:val="24"/>
          <w:lang w:val="es-ES_tradnl"/>
        </w:rPr>
      </w:pPr>
    </w:p>
    <w:p w:rsidR="00C6516E" w:rsidRDefault="00C6516E" w:rsidP="00C6516E">
      <w:pPr>
        <w:ind w:left="2160" w:hanging="720"/>
        <w:jc w:val="both"/>
        <w:rPr>
          <w:sz w:val="24"/>
          <w:lang w:val="es-ES_tradnl"/>
        </w:rPr>
      </w:pPr>
      <w:r>
        <w:rPr>
          <w:sz w:val="24"/>
          <w:lang w:val="es-ES_tradnl"/>
        </w:rPr>
        <w:t>(ii)</w:t>
      </w:r>
      <w:r>
        <w:rPr>
          <w:sz w:val="24"/>
          <w:lang w:val="es-ES_tradnl"/>
        </w:rPr>
        <w:tab/>
        <w:t xml:space="preserve">Suministrar al Beneficiario o al Organismo Ejecutor y al Banco cualquier información adicional que cualquiera de éstos razonablemente le soliciten en relación con el desarrollo de sus trabajos; </w:t>
      </w:r>
    </w:p>
    <w:p w:rsidR="00C6516E" w:rsidRDefault="00C6516E" w:rsidP="00C6516E">
      <w:pPr>
        <w:jc w:val="both"/>
        <w:rPr>
          <w:sz w:val="24"/>
          <w:lang w:val="es-ES_tradnl"/>
        </w:rPr>
      </w:pPr>
    </w:p>
    <w:p w:rsidR="00C6516E" w:rsidRDefault="00C6516E" w:rsidP="00C6516E">
      <w:pPr>
        <w:ind w:left="2160" w:hanging="720"/>
        <w:jc w:val="both"/>
        <w:rPr>
          <w:sz w:val="24"/>
          <w:lang w:val="es-ES_tradnl"/>
        </w:rPr>
      </w:pPr>
      <w:r>
        <w:rPr>
          <w:sz w:val="24"/>
          <w:lang w:val="es-ES_tradnl"/>
        </w:rPr>
        <w:t>(iii)</w:t>
      </w:r>
      <w:r>
        <w:rPr>
          <w:sz w:val="24"/>
          <w:lang w:val="es-ES_tradnl"/>
        </w:rPr>
        <w:tab/>
        <w:t xml:space="preserve">En el caso de consultores internacionales, desempeñar sus trabajos en forma integrada con el personal profesional local que asigne o contrate el Beneficiario o el Organismo Ejecutor para participar en la realización del Proyecto, a fin de alcanzar a la terminación de los trabajos, un adiestramiento técnico y operativo de dicho personal; </w:t>
      </w:r>
    </w:p>
    <w:p w:rsidR="00C6516E" w:rsidRDefault="00C6516E" w:rsidP="00C6516E">
      <w:pPr>
        <w:jc w:val="both"/>
        <w:rPr>
          <w:sz w:val="24"/>
          <w:lang w:val="es-ES_tradnl"/>
        </w:rPr>
      </w:pPr>
    </w:p>
    <w:p w:rsidR="00C6516E" w:rsidRDefault="00C6516E" w:rsidP="00C6516E">
      <w:pPr>
        <w:ind w:left="2160" w:hanging="720"/>
        <w:jc w:val="both"/>
        <w:rPr>
          <w:sz w:val="24"/>
          <w:lang w:val="es-ES_tradnl"/>
        </w:rPr>
      </w:pPr>
      <w:r>
        <w:rPr>
          <w:sz w:val="24"/>
          <w:lang w:val="es-ES_tradnl"/>
        </w:rPr>
        <w:t>(iv)</w:t>
      </w:r>
      <w:r>
        <w:rPr>
          <w:sz w:val="24"/>
          <w:lang w:val="es-ES_tradnl"/>
        </w:rPr>
        <w:tab/>
        <w:t>Ceder al Banco los derechos de autor, patentes y cualquier otro derecho de propiedad industrial, en los casos en que procedan esos derechos, sobre los trabajos y documentos producidos por los consultores dentro de los contratos de consultoría financiados con los recursos del Proyecto.</w:t>
      </w:r>
    </w:p>
    <w:p w:rsidR="00C6516E" w:rsidRDefault="00C6516E" w:rsidP="00C6516E">
      <w:pPr>
        <w:jc w:val="both"/>
        <w:rPr>
          <w:sz w:val="24"/>
          <w:lang w:val="es-ES_tradnl"/>
        </w:rPr>
      </w:pPr>
    </w:p>
    <w:p w:rsidR="00C6516E" w:rsidRDefault="00C6516E" w:rsidP="00C6516E">
      <w:pPr>
        <w:ind w:firstLine="720"/>
        <w:jc w:val="both"/>
        <w:rPr>
          <w:sz w:val="24"/>
          <w:lang w:val="es-ES_tradnl"/>
        </w:rPr>
      </w:pPr>
      <w:r>
        <w:rPr>
          <w:sz w:val="24"/>
          <w:lang w:val="es-ES_tradnl"/>
        </w:rPr>
        <w:t>(b)</w:t>
      </w:r>
      <w:r>
        <w:rPr>
          <w:sz w:val="24"/>
          <w:lang w:val="es-ES_tradnl"/>
        </w:rPr>
        <w:tab/>
        <w:t>No obstante lo estipulado en el inciso (a</w:t>
      </w:r>
      <w:proofErr w:type="gramStart"/>
      <w:r>
        <w:rPr>
          <w:sz w:val="24"/>
          <w:lang w:val="es-ES_tradnl"/>
        </w:rPr>
        <w:t>)(</w:t>
      </w:r>
      <w:proofErr w:type="gramEnd"/>
      <w:r>
        <w:rPr>
          <w:sz w:val="24"/>
          <w:lang w:val="es-ES_tradnl"/>
        </w:rPr>
        <w:t>iv) anterior, para dar la difusión oportuna de los resultados del Proyecto, el Banco autoriza al Beneficiario o al Organismo Ejecutor, el derecho de uso y aprovechamiento de los productos de las consultorías financiadas con recursos del Proyecto, en el entendido de que el Beneficiario o el Organismo Ejecutor utilizarán dichos productos de consultoría sujeto a lo establecido en el Artículo 17 de estas Normas Generales.</w:t>
      </w:r>
    </w:p>
    <w:p w:rsidR="00C6516E" w:rsidRDefault="00C6516E" w:rsidP="00C6516E">
      <w:pPr>
        <w:jc w:val="both"/>
        <w:rPr>
          <w:b/>
          <w:sz w:val="24"/>
          <w:lang w:val="es-ES_tradnl"/>
        </w:rPr>
      </w:pPr>
    </w:p>
    <w:p w:rsidR="00C6516E" w:rsidRDefault="00C6516E" w:rsidP="00C6516E">
      <w:pPr>
        <w:jc w:val="both"/>
        <w:rPr>
          <w:sz w:val="24"/>
          <w:lang w:val="es-ES_tradnl"/>
        </w:rPr>
      </w:pPr>
      <w:r>
        <w:rPr>
          <w:b/>
          <w:sz w:val="24"/>
          <w:lang w:val="es-ES_tradnl"/>
        </w:rPr>
        <w:t>Artículo 13.</w:t>
      </w:r>
      <w:r>
        <w:rPr>
          <w:b/>
          <w:sz w:val="24"/>
          <w:lang w:val="es-ES_tradnl"/>
        </w:rPr>
        <w:tab/>
      </w:r>
      <w:r>
        <w:rPr>
          <w:b/>
          <w:sz w:val="24"/>
          <w:u w:val="single"/>
          <w:lang w:val="es-ES_tradnl"/>
        </w:rPr>
        <w:t>Sistema de Información Financiera y Control Interno</w:t>
      </w:r>
      <w:r>
        <w:rPr>
          <w:sz w:val="24"/>
          <w:lang w:val="es-ES_tradnl"/>
        </w:rPr>
        <w:t xml:space="preserve">.  (a) El Beneficiario o el Organismo Ejecutor, según corresponda, deberá mantener: (i) un sistema de información financiera aceptable al Banco que permita el registro contable, presupuestario y financiero, y la emisión de estados financieros y otros informes relacionados con los recursos de la Contribución y de otras fuentes de financiamiento, si fuera el caso; y (ii) una estructura de control interno que permita el manejo efectivo del Proyecto, proporcione confiabilidad sobre la información financiera, registros y archivos físicos, magnéticos y electrónicos, y permita el cumplimiento de las disposiciones previstas en este Convenio. </w:t>
      </w:r>
    </w:p>
    <w:p w:rsidR="00C6516E" w:rsidRDefault="00C6516E" w:rsidP="00C6516E">
      <w:pPr>
        <w:tabs>
          <w:tab w:val="left" w:pos="-1440"/>
          <w:tab w:val="left" w:pos="-720"/>
          <w:tab w:val="left" w:pos="720"/>
          <w:tab w:val="left" w:pos="1320"/>
          <w:tab w:val="left" w:pos="2160"/>
        </w:tabs>
        <w:jc w:val="both"/>
        <w:rPr>
          <w:b/>
          <w:sz w:val="24"/>
          <w:lang w:val="es-ES_tradnl"/>
        </w:rPr>
      </w:pPr>
    </w:p>
    <w:p w:rsidR="00C6516E" w:rsidRDefault="00C6516E" w:rsidP="00C6516E">
      <w:pPr>
        <w:tabs>
          <w:tab w:val="left" w:pos="-1440"/>
          <w:tab w:val="left" w:pos="-720"/>
          <w:tab w:val="left" w:pos="0"/>
          <w:tab w:val="left" w:pos="720"/>
          <w:tab w:val="left" w:pos="1440"/>
        </w:tabs>
        <w:jc w:val="both"/>
        <w:rPr>
          <w:sz w:val="24"/>
          <w:lang w:val="es-ES_tradnl"/>
        </w:rPr>
      </w:pPr>
      <w:r>
        <w:rPr>
          <w:sz w:val="24"/>
          <w:lang w:val="es-ES_tradnl"/>
        </w:rPr>
        <w:tab/>
        <w:t>(b)</w:t>
      </w:r>
      <w:r>
        <w:rPr>
          <w:sz w:val="24"/>
          <w:lang w:val="es-ES_tradnl"/>
        </w:rPr>
        <w:tab/>
        <w:t xml:space="preserve">El Beneficiario o el Organismo Ejecutor, según corresponda, se compromete a conservar los registros originales del Proyecto por un período mínimo de tres (3) años después de la fecha estipulada para el último desembolso de la Contribución de manera que: (i) permitan identificar las sumas recibidas de las distintas fuentes; (ii) consignen, de conformidad con el sistema de información financiera que el Banco haya aprobado, los gastos realizados con cargo al Proyecto, tanto con los recursos de la Contribución como con los demás fondos que deban aportarse para su total ejecución; (iii) incluyan el detalle necesario para identificar los servicios contratados y los bienes adquiridos, si es del caso, así como la utilización de dichos bienes y servicios; (iv) evidencien la conformidad en la autorización, recepción y pago del servicio contratado o del bien adquirido, si es del caso; (v) incluyan la documentación relacionada con el proceso de contratación, adquisición y ejecución de los contratos financiados por el Banco y otras fuentes de financiamiento, lo que comprende, pero no se limita a, los llamados a licitación, los paquetes de ofertas, los resúmenes, las evaluaciones de las ofertas, los contratos, la correspondencia, los productos y borradores de trabajo, las facturas, los certificados e informes de aceptación, y recibos, incluyendo documentos relacionados con el pago de comisiones, y pagos a representantes, consultores y contratistas; y (vi) demuestren el costo del Proyecto en relación con cada categoría del presupuesto del mismo </w:t>
      </w:r>
    </w:p>
    <w:p w:rsidR="00C6516E" w:rsidRDefault="00C6516E" w:rsidP="00C6516E">
      <w:pPr>
        <w:tabs>
          <w:tab w:val="left" w:pos="-1440"/>
          <w:tab w:val="left" w:pos="-720"/>
          <w:tab w:val="left" w:pos="0"/>
          <w:tab w:val="left" w:pos="720"/>
          <w:tab w:val="left" w:pos="1440"/>
        </w:tabs>
        <w:jc w:val="both"/>
        <w:rPr>
          <w:sz w:val="24"/>
          <w:lang w:val="es-ES_tradnl"/>
        </w:rPr>
      </w:pPr>
    </w:p>
    <w:p w:rsidR="00C6516E" w:rsidRDefault="00C6516E" w:rsidP="00C6516E">
      <w:pPr>
        <w:autoSpaceDE w:val="0"/>
        <w:autoSpaceDN w:val="0"/>
        <w:adjustRightInd w:val="0"/>
        <w:ind w:firstLine="720"/>
        <w:jc w:val="both"/>
        <w:rPr>
          <w:rFonts w:eastAsia="Calibri"/>
          <w:sz w:val="24"/>
          <w:szCs w:val="24"/>
          <w:lang w:val="es-ES_tradnl"/>
        </w:rPr>
      </w:pPr>
      <w:r>
        <w:rPr>
          <w:sz w:val="24"/>
          <w:lang w:val="es-ES_tradnl"/>
        </w:rPr>
        <w:t>(c)</w:t>
      </w:r>
      <w:r>
        <w:rPr>
          <w:sz w:val="24"/>
          <w:lang w:val="es-ES_tradnl"/>
        </w:rPr>
        <w:tab/>
        <w:t xml:space="preserve">El Beneficiario se compromete a que en los documentos de licitación, las solicitudes de propuesta y los contratos financiados con los recursos de la Contribución que el Beneficiario o el Organismo Ejecutor celebre, se incluya una disposición que exija a los proveedores de bienes o servicios, contratistas, subcontratistas, consultores y sus representantes, miembros del personal, </w:t>
      </w:r>
      <w:proofErr w:type="spellStart"/>
      <w:r>
        <w:rPr>
          <w:sz w:val="24"/>
          <w:lang w:val="es-ES_tradnl"/>
        </w:rPr>
        <w:t>subconsultores</w:t>
      </w:r>
      <w:proofErr w:type="spellEnd"/>
      <w:r>
        <w:rPr>
          <w:sz w:val="24"/>
          <w:lang w:val="es-ES_tradnl"/>
        </w:rPr>
        <w:t xml:space="preserve">, subcontratistas, o concesionarios, a conservar todos los documentos y registros relacionados con </w:t>
      </w:r>
      <w:r>
        <w:rPr>
          <w:rFonts w:eastAsia="Calibri"/>
          <w:sz w:val="24"/>
          <w:szCs w:val="24"/>
          <w:lang w:val="es-ES_tradnl"/>
        </w:rPr>
        <w:t xml:space="preserve">actividades financiadas por el Banco por un período de siete (7) años luego de terminado el trabajo contemplado en el respectivo contrato. </w:t>
      </w:r>
    </w:p>
    <w:p w:rsidR="00C6516E" w:rsidRDefault="00C6516E" w:rsidP="00C6516E">
      <w:pPr>
        <w:autoSpaceDE w:val="0"/>
        <w:autoSpaceDN w:val="0"/>
        <w:adjustRightInd w:val="0"/>
        <w:ind w:firstLine="720"/>
        <w:jc w:val="both"/>
        <w:rPr>
          <w:rFonts w:eastAsia="Calibri"/>
          <w:sz w:val="24"/>
          <w:szCs w:val="24"/>
          <w:lang w:val="es-ES_tradnl"/>
        </w:rPr>
      </w:pPr>
    </w:p>
    <w:p w:rsidR="00C6516E" w:rsidRDefault="00C6516E" w:rsidP="00C6516E">
      <w:pPr>
        <w:tabs>
          <w:tab w:val="left" w:pos="-1440"/>
          <w:tab w:val="left" w:pos="-720"/>
          <w:tab w:val="left" w:pos="0"/>
          <w:tab w:val="left" w:pos="720"/>
          <w:tab w:val="left" w:pos="1440"/>
        </w:tabs>
        <w:jc w:val="both"/>
        <w:rPr>
          <w:sz w:val="24"/>
          <w:lang w:val="es-ES_tradnl"/>
        </w:rPr>
      </w:pPr>
      <w:r>
        <w:rPr>
          <w:b/>
          <w:sz w:val="24"/>
          <w:lang w:val="es-ES_tradnl"/>
        </w:rPr>
        <w:t>Artículo 14.</w:t>
      </w:r>
      <w:r>
        <w:rPr>
          <w:b/>
          <w:sz w:val="24"/>
          <w:lang w:val="es-ES_tradnl"/>
        </w:rPr>
        <w:tab/>
      </w:r>
      <w:r>
        <w:rPr>
          <w:b/>
          <w:sz w:val="24"/>
          <w:u w:val="single"/>
          <w:lang w:val="es-ES_tradnl"/>
        </w:rPr>
        <w:t>Auditoría Externa.</w:t>
      </w:r>
      <w:r>
        <w:rPr>
          <w:sz w:val="24"/>
          <w:lang w:val="es-ES_tradnl"/>
        </w:rPr>
        <w:t xml:space="preserve"> (a) El Beneficiario o el Organismo Ejecutor, según corresponda, se compromete a presentar al Banco, durante el período de ejecución del Proyecto y dentro de los plazos y con la frecuencia señalados en las Estipulaciones Especiales de este Convenio, los estados financieros del Proyecto y otros informes que razonablemente le solicite el Banco, así como la información financiera adicional relativa a éstos que el Banco le solicitare, de conformidad con estándares y principios de contabilidad aceptables al Banco. </w:t>
      </w:r>
    </w:p>
    <w:p w:rsidR="00C6516E" w:rsidRDefault="00C6516E" w:rsidP="00C6516E">
      <w:pPr>
        <w:tabs>
          <w:tab w:val="left" w:pos="-1440"/>
          <w:tab w:val="left" w:pos="-720"/>
          <w:tab w:val="left" w:pos="0"/>
          <w:tab w:val="left" w:pos="720"/>
          <w:tab w:val="left" w:pos="1440"/>
        </w:tabs>
        <w:jc w:val="both"/>
        <w:rPr>
          <w:sz w:val="24"/>
          <w:szCs w:val="24"/>
          <w:lang w:val="es-ES_tradnl"/>
        </w:rPr>
      </w:pPr>
    </w:p>
    <w:p w:rsidR="00C6516E" w:rsidRDefault="00C6516E" w:rsidP="00C6516E">
      <w:pPr>
        <w:tabs>
          <w:tab w:val="left" w:pos="-1440"/>
          <w:tab w:val="left" w:pos="-720"/>
          <w:tab w:val="left" w:pos="0"/>
          <w:tab w:val="left" w:pos="720"/>
          <w:tab w:val="left" w:pos="1440"/>
        </w:tabs>
        <w:jc w:val="both"/>
        <w:rPr>
          <w:sz w:val="24"/>
          <w:lang w:val="es-ES_tradnl"/>
        </w:rPr>
      </w:pPr>
      <w:r>
        <w:rPr>
          <w:sz w:val="24"/>
          <w:szCs w:val="24"/>
          <w:lang w:val="es-ES_tradnl"/>
        </w:rPr>
        <w:tab/>
        <w:t>(b)</w:t>
      </w:r>
      <w:r>
        <w:rPr>
          <w:lang w:val="es-ES_tradnl"/>
        </w:rPr>
        <w:tab/>
      </w:r>
      <w:r>
        <w:rPr>
          <w:sz w:val="24"/>
          <w:lang w:val="es-ES_tradnl"/>
        </w:rPr>
        <w:t>El Beneficiario se compromete a que los estados financieros y los demás informes señalados en las Estipulaciones Especiales de este Convenio sean auditados por auditores independientes aceptables al Banco, de conformidad con estándares y principios de auditoría aceptables al Banco, y a presentar, a satisfacción del Banco, la información relacionada con los auditores independientes contratados que éste le solicitare.</w:t>
      </w:r>
    </w:p>
    <w:p w:rsidR="00C6516E" w:rsidRDefault="00C6516E" w:rsidP="00C6516E">
      <w:pPr>
        <w:pStyle w:val="BodyText"/>
        <w:tabs>
          <w:tab w:val="left" w:pos="1440"/>
        </w:tabs>
        <w:ind w:firstLine="720"/>
        <w:jc w:val="both"/>
        <w:rPr>
          <w:lang w:val="es-ES_tradnl"/>
        </w:rPr>
      </w:pPr>
    </w:p>
    <w:p w:rsidR="00C6516E" w:rsidRDefault="00C6516E" w:rsidP="00C6516E">
      <w:pPr>
        <w:pStyle w:val="BodyText"/>
        <w:tabs>
          <w:tab w:val="left" w:pos="1440"/>
        </w:tabs>
        <w:ind w:firstLine="720"/>
        <w:jc w:val="both"/>
        <w:rPr>
          <w:lang w:val="es-ES_tradnl"/>
        </w:rPr>
      </w:pPr>
      <w:r>
        <w:rPr>
          <w:lang w:val="es-ES_tradnl"/>
        </w:rPr>
        <w:t>(c)</w:t>
      </w:r>
      <w:r>
        <w:rPr>
          <w:lang w:val="es-ES_tradnl"/>
        </w:rPr>
        <w:tab/>
        <w:t xml:space="preserve">El Beneficiario se compromete a seleccionar y contratar, por sí mismo o por intermedio del Organismo Ejecutor, los auditores independientes necesarios para la presentación oportuna de los estados financieros y demás informes mencionados en el inciso (b) anterior, a más tardar, cuatro (4) meses antes del cierre de cada ejercicio económico del país del Beneficiario, a partir de la fecha en que se inicie la vigencia del presente Convenio o en otro plazo que las partes acuerden, de conformidad con los procedimientos y los términos de </w:t>
      </w:r>
      <w:r>
        <w:rPr>
          <w:lang w:val="es-ES_tradnl"/>
        </w:rPr>
        <w:lastRenderedPageBreak/>
        <w:t xml:space="preserve">referencia previamente acordados con el Banco.  El Beneficiario o el Organismo Ejecutor, según corresponda, </w:t>
      </w:r>
      <w:proofErr w:type="gramStart"/>
      <w:r>
        <w:rPr>
          <w:lang w:val="es-ES_tradnl"/>
        </w:rPr>
        <w:t>deberá</w:t>
      </w:r>
      <w:proofErr w:type="gramEnd"/>
      <w:r>
        <w:rPr>
          <w:lang w:val="es-ES_tradnl"/>
        </w:rPr>
        <w:t xml:space="preserve"> autorizar a los auditores para que proporcionen al Banco la información adicional que éste razonablemente pueda solicitarle, en relación con los estados financieros y otros informes auditados.</w:t>
      </w:r>
    </w:p>
    <w:p w:rsidR="00C6516E" w:rsidRDefault="00C6516E" w:rsidP="00C6516E">
      <w:pPr>
        <w:tabs>
          <w:tab w:val="left" w:pos="-1440"/>
          <w:tab w:val="left" w:pos="-720"/>
          <w:tab w:val="left" w:pos="720"/>
          <w:tab w:val="left" w:pos="1320"/>
          <w:tab w:val="left" w:pos="2160"/>
        </w:tabs>
        <w:jc w:val="both"/>
        <w:rPr>
          <w:sz w:val="24"/>
          <w:lang w:val="es-ES_tradnl"/>
        </w:rPr>
      </w:pPr>
    </w:p>
    <w:p w:rsidR="00C6516E" w:rsidRDefault="00C6516E" w:rsidP="00C6516E">
      <w:pPr>
        <w:tabs>
          <w:tab w:val="left" w:pos="0"/>
        </w:tabs>
        <w:ind w:firstLine="720"/>
        <w:jc w:val="both"/>
        <w:rPr>
          <w:sz w:val="24"/>
          <w:lang w:val="es-ES_tradnl"/>
        </w:rPr>
      </w:pPr>
      <w:r>
        <w:rPr>
          <w:sz w:val="24"/>
          <w:lang w:val="es-ES_tradnl"/>
        </w:rPr>
        <w:t>(d)</w:t>
      </w:r>
      <w:r>
        <w:rPr>
          <w:sz w:val="24"/>
          <w:lang w:val="es-ES_tradnl"/>
        </w:rPr>
        <w:tab/>
        <w:t xml:space="preserve">En los casos en que la auditoría esté a cargo de un organismo oficial de fiscalización y éste no pudiere efectuar su labor de acuerdo con requisitos satisfactorios al Banco o dentro de los plazos, durante el período y la frecuencia estipulados en este Convenio, el Beneficiario o el Organismo Ejecutor, según corresponda, seleccionará y contratará los servicios de auditores independientes aceptables al Banco de conformidad con lo indicado en el inciso (c) anterior. </w:t>
      </w:r>
    </w:p>
    <w:p w:rsidR="00C6516E" w:rsidRDefault="00C6516E" w:rsidP="00C6516E">
      <w:pPr>
        <w:tabs>
          <w:tab w:val="left" w:pos="0"/>
        </w:tabs>
        <w:ind w:firstLine="720"/>
        <w:jc w:val="both"/>
        <w:rPr>
          <w:sz w:val="24"/>
          <w:lang w:val="es-ES_tradnl"/>
        </w:rPr>
      </w:pPr>
    </w:p>
    <w:p w:rsidR="00C6516E" w:rsidRDefault="00C6516E" w:rsidP="00C6516E">
      <w:pPr>
        <w:tabs>
          <w:tab w:val="left" w:pos="0"/>
        </w:tabs>
        <w:ind w:firstLine="720"/>
        <w:jc w:val="both"/>
        <w:rPr>
          <w:sz w:val="24"/>
          <w:lang w:val="es-ES_tradnl"/>
        </w:rPr>
      </w:pPr>
      <w:r>
        <w:rPr>
          <w:sz w:val="24"/>
          <w:lang w:val="es-ES_tradnl"/>
        </w:rPr>
        <w:t>(e)</w:t>
      </w:r>
      <w:r>
        <w:rPr>
          <w:sz w:val="24"/>
          <w:lang w:val="es-ES_tradnl"/>
        </w:rPr>
        <w:tab/>
        <w:t>Sin perjuicio de lo establecido en los incisos anteriores, el Banco, en forma excepcional y previo acuerdo entre las partes, podrá seleccionar y contratar los servicios de auditores independientes para realizar la auditoría de los estados financieros y otros informes auditados previstos en este Convenio cuando: (i) los beneficios de que el Banco seleccione y contrate dichos servicios sean mayores; o (ii) los servicios de firmas privadas y contadores públicos independientes calificados en el país sean limitados; o (iii) cuando existan circunstancias especiales que justifiquen que el Banco seleccione y contrate dichos servicios.</w:t>
      </w:r>
    </w:p>
    <w:p w:rsidR="00C6516E" w:rsidRDefault="00C6516E" w:rsidP="00C6516E">
      <w:pPr>
        <w:tabs>
          <w:tab w:val="left" w:pos="0"/>
        </w:tabs>
        <w:ind w:firstLine="720"/>
        <w:jc w:val="both"/>
        <w:rPr>
          <w:sz w:val="24"/>
          <w:lang w:val="es-ES_tradnl"/>
        </w:rPr>
      </w:pPr>
    </w:p>
    <w:p w:rsidR="00C6516E" w:rsidRDefault="00C6516E" w:rsidP="00C6516E">
      <w:pPr>
        <w:ind w:firstLine="720"/>
        <w:jc w:val="both"/>
        <w:rPr>
          <w:sz w:val="24"/>
          <w:lang w:val="es-ES_tradnl"/>
        </w:rPr>
      </w:pPr>
      <w:r>
        <w:rPr>
          <w:sz w:val="24"/>
          <w:lang w:val="es-ES_tradnl"/>
        </w:rPr>
        <w:t>(f)</w:t>
      </w:r>
      <w:r>
        <w:rPr>
          <w:sz w:val="24"/>
          <w:lang w:val="es-ES_tradnl"/>
        </w:rPr>
        <w:tab/>
        <w:t>El Banco se reserva el derecho de solicitar al Beneficiario o al Organismo Ejecutor, según corresponda, la realización de otra clase de auditorías externas o de trabajos relacionados con la auditoría de proyectos, del Organismo Ejecutor y de entidades relacionadas, del sistema de información financiera y de las cuentas bancarias del Proyecto, entre otras. La naturaleza, frecuencia, alcance, oportunidad, metodología, tipo de normas de auditoría aplicables, informes, procedimientos de selección y términos de referencia serán establecidos de común acuerdo entre la partes.</w:t>
      </w:r>
    </w:p>
    <w:p w:rsidR="00C6516E" w:rsidRDefault="00C6516E" w:rsidP="00C6516E">
      <w:pPr>
        <w:ind w:firstLine="720"/>
        <w:jc w:val="both"/>
        <w:rPr>
          <w:sz w:val="24"/>
          <w:lang w:val="es-ES_tradnl"/>
        </w:rPr>
      </w:pPr>
    </w:p>
    <w:p w:rsidR="00C6516E" w:rsidRDefault="00C6516E" w:rsidP="00C6516E">
      <w:pPr>
        <w:ind w:firstLine="720"/>
        <w:jc w:val="both"/>
        <w:rPr>
          <w:sz w:val="24"/>
          <w:lang w:val="es-ES_tradnl"/>
        </w:rPr>
      </w:pPr>
      <w:r>
        <w:rPr>
          <w:sz w:val="24"/>
          <w:lang w:val="es-ES_tradnl"/>
        </w:rPr>
        <w:t>(g)</w:t>
      </w:r>
      <w:r>
        <w:rPr>
          <w:sz w:val="24"/>
          <w:lang w:val="es-ES_tradnl"/>
        </w:rPr>
        <w:tab/>
        <w:t xml:space="preserve">Los documentos de licitación y los contratos que el Beneficiario o el Organismo Ejecutor celebren con un proveedor de bienes o servicios, contratista, subcontratista, consultor, </w:t>
      </w:r>
      <w:proofErr w:type="spellStart"/>
      <w:r>
        <w:rPr>
          <w:sz w:val="24"/>
          <w:lang w:val="es-ES_tradnl"/>
        </w:rPr>
        <w:t>subconsultor</w:t>
      </w:r>
      <w:proofErr w:type="spellEnd"/>
      <w:r>
        <w:rPr>
          <w:sz w:val="24"/>
          <w:lang w:val="es-ES_tradnl"/>
        </w:rPr>
        <w:t xml:space="preserve">, miembro del personal o concesionario deberán incluir una disposición que permita al Banco revisar cualesquiera cuentas, registros y otros documentos relacionados con la presentación de propuestas y con el cumplimiento del contrato y someterlos a una auditoría por auditores designados por el Banco. </w:t>
      </w:r>
    </w:p>
    <w:p w:rsidR="00C6516E" w:rsidRDefault="00C6516E" w:rsidP="00C6516E">
      <w:pPr>
        <w:ind w:firstLine="720"/>
        <w:jc w:val="both"/>
        <w:rPr>
          <w:sz w:val="24"/>
          <w:lang w:val="es-ES_tradnl"/>
        </w:rPr>
      </w:pPr>
    </w:p>
    <w:p w:rsidR="00C6516E" w:rsidRDefault="00C6516E" w:rsidP="00C6516E">
      <w:pPr>
        <w:tabs>
          <w:tab w:val="left" w:pos="-1440"/>
          <w:tab w:val="left" w:pos="-720"/>
          <w:tab w:val="left" w:pos="720"/>
          <w:tab w:val="left" w:pos="1440"/>
          <w:tab w:val="left" w:pos="2160"/>
        </w:tabs>
        <w:jc w:val="both"/>
        <w:rPr>
          <w:sz w:val="24"/>
          <w:lang w:val="es-ES_tradnl"/>
        </w:rPr>
      </w:pPr>
      <w:r>
        <w:rPr>
          <w:b/>
          <w:bCs/>
          <w:sz w:val="24"/>
          <w:lang w:val="es-ES_tradnl"/>
        </w:rPr>
        <w:t>Artículo 15</w:t>
      </w:r>
      <w:r>
        <w:rPr>
          <w:sz w:val="24"/>
          <w:lang w:val="es-ES_tradnl"/>
        </w:rPr>
        <w:t>.</w:t>
      </w:r>
      <w:r>
        <w:rPr>
          <w:sz w:val="24"/>
          <w:lang w:val="es-ES_tradnl"/>
        </w:rPr>
        <w:tab/>
      </w:r>
      <w:r>
        <w:rPr>
          <w:b/>
          <w:sz w:val="24"/>
          <w:u w:val="single"/>
          <w:lang w:val="es-ES_tradnl"/>
        </w:rPr>
        <w:t>Inspecciones</w:t>
      </w:r>
      <w:r>
        <w:rPr>
          <w:bCs/>
          <w:sz w:val="24"/>
          <w:lang w:val="es-ES_tradnl"/>
        </w:rPr>
        <w:t>.</w:t>
      </w:r>
      <w:r>
        <w:rPr>
          <w:sz w:val="24"/>
          <w:lang w:val="es-ES_tradnl"/>
        </w:rPr>
        <w:t xml:space="preserve"> (a) El Banco podrá establecer los procedimientos de inspección que juzgue necesarios para asegurar el desarrollo satisfactorio del Proyecto.</w:t>
      </w:r>
    </w:p>
    <w:p w:rsidR="00C6516E" w:rsidRDefault="00C6516E" w:rsidP="00C6516E">
      <w:pPr>
        <w:ind w:firstLine="720"/>
        <w:jc w:val="both"/>
        <w:rPr>
          <w:sz w:val="24"/>
          <w:lang w:val="es-ES_tradnl"/>
        </w:rPr>
      </w:pPr>
    </w:p>
    <w:p w:rsidR="00C6516E" w:rsidRDefault="00C6516E" w:rsidP="00C6516E">
      <w:pPr>
        <w:ind w:firstLine="720"/>
        <w:jc w:val="both"/>
        <w:rPr>
          <w:sz w:val="24"/>
          <w:lang w:val="es-ES_tradnl"/>
        </w:rPr>
      </w:pPr>
      <w:r>
        <w:rPr>
          <w:sz w:val="24"/>
          <w:lang w:val="es-ES_tradnl"/>
        </w:rPr>
        <w:t>(b)</w:t>
      </w:r>
      <w:r>
        <w:rPr>
          <w:sz w:val="24"/>
          <w:lang w:val="es-ES_tradnl"/>
        </w:rPr>
        <w:tab/>
        <w:t>El Beneficiario o el Organismo Ejecutor, en su caso, deberán permitir al Banco que inspeccione en cualquier momento el Proyecto, el equipo y los materiales correspondientes y revise los registros y documentos que el Banco estime pertinente conocer. El personal que envíe o designe el Banco para el cumplimiento de este propósito como investigadores, representantes o auditores o expertos deberá contar con la más amplia colaboración de las autoridades respectivas. Todos los costos relativos al transporte, salario y demás gastos de dicho personal, serán pagados por el Banco.</w:t>
      </w:r>
    </w:p>
    <w:p w:rsidR="00C6516E" w:rsidRDefault="00C6516E" w:rsidP="00C6516E">
      <w:pPr>
        <w:tabs>
          <w:tab w:val="left" w:pos="-1440"/>
          <w:tab w:val="left" w:pos="-720"/>
          <w:tab w:val="left" w:pos="720"/>
          <w:tab w:val="left" w:pos="1320"/>
          <w:tab w:val="left" w:pos="2160"/>
        </w:tabs>
        <w:jc w:val="both"/>
        <w:rPr>
          <w:sz w:val="24"/>
          <w:lang w:val="es-ES_tradnl"/>
        </w:rPr>
      </w:pPr>
    </w:p>
    <w:p w:rsidR="00C6516E" w:rsidRDefault="00C6516E" w:rsidP="00C6516E">
      <w:pPr>
        <w:ind w:firstLine="720"/>
        <w:jc w:val="both"/>
        <w:rPr>
          <w:sz w:val="24"/>
          <w:lang w:val="es-ES_tradnl"/>
        </w:rPr>
      </w:pPr>
      <w:r>
        <w:rPr>
          <w:sz w:val="24"/>
          <w:lang w:val="es-ES_tradnl"/>
        </w:rPr>
        <w:lastRenderedPageBreak/>
        <w:t>(c)</w:t>
      </w:r>
      <w:r>
        <w:rPr>
          <w:sz w:val="24"/>
          <w:lang w:val="es-ES_tradnl"/>
        </w:rPr>
        <w:tab/>
        <w:t>El Beneficiario o el Organismo Ejecutor, en su caso, deberán proporcionar al Banco, si un representante autorizado de éste lo solicita, todos los documentos, incluidos los relacionados con las adquisiciones, que el Banco pueda solicitar razonablemente. Adicionalmente, el Beneficiario y el Organismo Ejecutor deberán poner su personal a la disposición del Banco, si así se les solicita con una anticipación razonable, para que responda a las preguntas que el personal del Banco pueda tener de la revisión o auditoría de los documentos. El Beneficiario o el Organismo Ejecutor, en su caso, deberá presentar los documentos en un tiempo preciso, o una declaración jurada en la que consten las razones por las cuales la documentación solicitada no está disponible o está siendo retenida.</w:t>
      </w:r>
    </w:p>
    <w:p w:rsidR="00C6516E" w:rsidRDefault="00C6516E" w:rsidP="00C6516E">
      <w:pPr>
        <w:pStyle w:val="BodyText2"/>
        <w:rPr>
          <w:b w:val="0"/>
          <w:bCs w:val="0"/>
          <w:lang w:val="es-ES_tradnl"/>
        </w:rPr>
      </w:pPr>
    </w:p>
    <w:p w:rsidR="00C6516E" w:rsidRDefault="00C6516E" w:rsidP="00C6516E">
      <w:pPr>
        <w:tabs>
          <w:tab w:val="left" w:pos="-1440"/>
          <w:tab w:val="left" w:pos="-720"/>
          <w:tab w:val="left" w:pos="720"/>
          <w:tab w:val="left" w:pos="1440"/>
          <w:tab w:val="left" w:pos="2160"/>
        </w:tabs>
        <w:ind w:firstLine="720"/>
        <w:jc w:val="both"/>
        <w:rPr>
          <w:sz w:val="24"/>
          <w:lang w:val="es-ES_tradnl"/>
        </w:rPr>
      </w:pPr>
      <w:r>
        <w:rPr>
          <w:sz w:val="24"/>
          <w:lang w:val="es-ES_tradnl"/>
        </w:rPr>
        <w:t>(d)</w:t>
      </w:r>
      <w:r>
        <w:rPr>
          <w:sz w:val="24"/>
          <w:lang w:val="es-ES_tradnl"/>
        </w:rPr>
        <w:tab/>
        <w:t>Si el Beneficiario o el Organismo Ejecutor, en su caso, se rehúsa a cumplir con la solicitud presentada por el Banco, o de alguna otra forma obstaculiza la revisión del asunto por parte del Banco, el Banco, bajo su sola discreción, podrá adoptar las medidas que considere apropiadas en contra del Beneficiario o el Organismo Ejecutor, según sea del caso.</w:t>
      </w:r>
    </w:p>
    <w:p w:rsidR="00C6516E" w:rsidRDefault="00C6516E" w:rsidP="00C6516E">
      <w:pPr>
        <w:jc w:val="both"/>
        <w:rPr>
          <w:sz w:val="24"/>
          <w:lang w:val="es-ES_tradnl"/>
        </w:rPr>
      </w:pPr>
    </w:p>
    <w:p w:rsidR="00C6516E" w:rsidRDefault="00C6516E" w:rsidP="00C6516E">
      <w:pPr>
        <w:ind w:firstLine="720"/>
        <w:jc w:val="both"/>
        <w:rPr>
          <w:sz w:val="24"/>
          <w:lang w:val="es-ES_tradnl"/>
        </w:rPr>
      </w:pPr>
      <w:r>
        <w:rPr>
          <w:sz w:val="24"/>
          <w:lang w:val="es-ES_tradnl"/>
        </w:rPr>
        <w:t>(e)</w:t>
      </w:r>
      <w:r>
        <w:rPr>
          <w:sz w:val="24"/>
          <w:lang w:val="es-ES_tradnl"/>
        </w:rPr>
        <w:tab/>
        <w:t xml:space="preserve">El Beneficiario se compromete a que en los documentos de licitación, las solicitudes de propuesta y los contratos financiados con la Contribución que el Beneficiario o el Organismo Ejecutor celebre, se incluya una disposición que exija que los solicitantes, oferentes, proveedores de bienes o servicios y su representante, contratistas, subcontratistas, consultores y sus representantes, miembros del personal, </w:t>
      </w:r>
      <w:proofErr w:type="spellStart"/>
      <w:r>
        <w:rPr>
          <w:sz w:val="24"/>
          <w:lang w:val="es-ES_tradnl"/>
        </w:rPr>
        <w:t>subconsultores</w:t>
      </w:r>
      <w:proofErr w:type="spellEnd"/>
      <w:r>
        <w:rPr>
          <w:sz w:val="24"/>
          <w:lang w:val="es-ES_tradnl"/>
        </w:rPr>
        <w:t xml:space="preserve">, subcontratistas, o concesionarios: (i) permitan al Banco revisar cualesquiera cuentas, registros y otros documentos relacionados con la presentación de propuestas y con el cumplimiento del contrato y someterlos a una auditoría por auditores designados por el Banco; (ii) presten plena asistencia al Banco en su investigación; y (iii) entreguen al Banco </w:t>
      </w:r>
      <w:r>
        <w:rPr>
          <w:rFonts w:eastAsia="Calibri"/>
          <w:sz w:val="24"/>
          <w:szCs w:val="24"/>
          <w:lang w:val="es-ES_tradnl"/>
        </w:rPr>
        <w:t xml:space="preserve">cualquier documento necesario para la investigación de denuncias de comisión de Prácticas Prohibidas y hagan que sus empleados o agentes que tengan conocimiento de las actividades financiadas por el Banco estén disponibles para responder a las consultas relacionadas con la investigación provenientes de personal del Banco o de cualquier investigador, agente, auditor, o consultor apropiadamente designado. Si el solicitante, oferente, proveedor de bienes o servicios y su representante, contratista, consultor, miembro del personal, subcontratista, </w:t>
      </w:r>
      <w:proofErr w:type="spellStart"/>
      <w:r>
        <w:rPr>
          <w:rFonts w:eastAsia="Calibri"/>
          <w:sz w:val="24"/>
          <w:szCs w:val="24"/>
          <w:lang w:val="es-ES_tradnl"/>
        </w:rPr>
        <w:t>subconsultor</w:t>
      </w:r>
      <w:proofErr w:type="spellEnd"/>
      <w:r>
        <w:rPr>
          <w:rFonts w:eastAsia="Calibri"/>
          <w:sz w:val="24"/>
          <w:szCs w:val="24"/>
          <w:lang w:val="es-ES_tradnl"/>
        </w:rPr>
        <w:t xml:space="preserve"> y sus representantes o concesionario se niega a cooperar o incumple el requerimiento del Banco, o de cualquier otra forma obstaculiza la investigación por parte del Banco, el Banco, bajo su sola discreción, podrá tomar las medidas apropiadas contra el solicitante, oferente, proveedor de bienes o servicios y su representante, contratista, consultor, miembro del personal, subcontratista, </w:t>
      </w:r>
      <w:proofErr w:type="spellStart"/>
      <w:r>
        <w:rPr>
          <w:rFonts w:eastAsia="Calibri"/>
          <w:sz w:val="24"/>
          <w:szCs w:val="24"/>
          <w:lang w:val="es-ES_tradnl"/>
        </w:rPr>
        <w:t>subconsultor</w:t>
      </w:r>
      <w:proofErr w:type="spellEnd"/>
      <w:r>
        <w:rPr>
          <w:rFonts w:eastAsia="Calibri"/>
          <w:sz w:val="24"/>
          <w:szCs w:val="24"/>
          <w:lang w:val="es-ES_tradnl"/>
        </w:rPr>
        <w:t xml:space="preserve"> y sus representantes o concesionario.</w:t>
      </w:r>
    </w:p>
    <w:p w:rsidR="00C6516E" w:rsidRDefault="00C6516E" w:rsidP="00C6516E">
      <w:pPr>
        <w:jc w:val="both"/>
        <w:rPr>
          <w:b/>
          <w:sz w:val="24"/>
          <w:lang w:val="es-ES_tradnl"/>
        </w:rPr>
      </w:pPr>
    </w:p>
    <w:p w:rsidR="00C6516E" w:rsidRDefault="00C6516E" w:rsidP="00C6516E">
      <w:pPr>
        <w:jc w:val="both"/>
        <w:rPr>
          <w:sz w:val="24"/>
          <w:lang w:val="es-ES_tradnl"/>
        </w:rPr>
      </w:pPr>
      <w:r>
        <w:rPr>
          <w:b/>
          <w:sz w:val="24"/>
          <w:lang w:val="es-ES_tradnl"/>
        </w:rPr>
        <w:t>Artículo 16.</w:t>
      </w:r>
      <w:r>
        <w:rPr>
          <w:b/>
          <w:sz w:val="24"/>
          <w:lang w:val="es-ES_tradnl"/>
        </w:rPr>
        <w:tab/>
      </w:r>
      <w:r>
        <w:rPr>
          <w:b/>
          <w:sz w:val="24"/>
          <w:u w:val="single"/>
          <w:lang w:val="es-ES_tradnl"/>
        </w:rPr>
        <w:t>Otros compromisos</w:t>
      </w:r>
      <w:r>
        <w:rPr>
          <w:sz w:val="24"/>
          <w:lang w:val="es-ES_tradnl"/>
        </w:rPr>
        <w:t>. El Beneficiario por sí o por medio del Organismo Ejecutor, asimismo, deberá:</w:t>
      </w:r>
    </w:p>
    <w:p w:rsidR="00C6516E" w:rsidRDefault="00C6516E" w:rsidP="00C6516E">
      <w:pPr>
        <w:jc w:val="both"/>
        <w:rPr>
          <w:sz w:val="24"/>
          <w:lang w:val="es-ES_tradnl"/>
        </w:rPr>
      </w:pPr>
    </w:p>
    <w:p w:rsidR="00C6516E" w:rsidRDefault="00C6516E" w:rsidP="00C6516E">
      <w:pPr>
        <w:ind w:left="1440" w:hanging="720"/>
        <w:jc w:val="both"/>
        <w:rPr>
          <w:sz w:val="24"/>
          <w:lang w:val="es-ES_tradnl"/>
        </w:rPr>
      </w:pPr>
      <w:r>
        <w:rPr>
          <w:sz w:val="24"/>
          <w:lang w:val="es-ES_tradnl"/>
        </w:rPr>
        <w:t>(a)</w:t>
      </w:r>
      <w:r>
        <w:rPr>
          <w:sz w:val="24"/>
          <w:lang w:val="es-ES_tradnl"/>
        </w:rPr>
        <w:tab/>
        <w:t>Proporcionar a los consultores y a los expertos locales, servicios de secretaría, oficinas, útiles de escritorio, comunicaciones, transporte y cualquier otro apoyo logístico que requieran para la realización de su trabajo;</w:t>
      </w:r>
    </w:p>
    <w:p w:rsidR="00C6516E" w:rsidRDefault="00C6516E" w:rsidP="00C6516E">
      <w:pPr>
        <w:jc w:val="both"/>
        <w:rPr>
          <w:sz w:val="24"/>
          <w:lang w:val="es-ES_tradnl"/>
        </w:rPr>
      </w:pPr>
    </w:p>
    <w:p w:rsidR="00C6516E" w:rsidRDefault="00C6516E" w:rsidP="00C6516E">
      <w:pPr>
        <w:ind w:left="1440" w:hanging="720"/>
        <w:jc w:val="both"/>
        <w:rPr>
          <w:sz w:val="24"/>
          <w:lang w:val="es-ES_tradnl"/>
        </w:rPr>
      </w:pPr>
      <w:r>
        <w:rPr>
          <w:sz w:val="24"/>
          <w:lang w:val="es-ES_tradnl"/>
        </w:rPr>
        <w:t>(b)</w:t>
      </w:r>
      <w:r>
        <w:rPr>
          <w:sz w:val="24"/>
          <w:lang w:val="es-ES_tradnl"/>
        </w:rPr>
        <w:tab/>
        <w:t>Presentar al Banco copia de los informes de los consultores y sus observaciones sobre los mismos;</w:t>
      </w:r>
    </w:p>
    <w:p w:rsidR="00C6516E" w:rsidRDefault="00C6516E" w:rsidP="00C6516E">
      <w:pPr>
        <w:jc w:val="both"/>
        <w:rPr>
          <w:sz w:val="24"/>
          <w:lang w:val="es-ES_tradnl"/>
        </w:rPr>
      </w:pPr>
    </w:p>
    <w:p w:rsidR="00C6516E" w:rsidRDefault="00C6516E" w:rsidP="00C6516E">
      <w:pPr>
        <w:ind w:left="1440" w:hanging="720"/>
        <w:jc w:val="both"/>
        <w:rPr>
          <w:sz w:val="24"/>
          <w:lang w:val="es-ES_tradnl"/>
        </w:rPr>
      </w:pPr>
      <w:r>
        <w:rPr>
          <w:sz w:val="24"/>
          <w:lang w:val="es-ES_tradnl"/>
        </w:rPr>
        <w:lastRenderedPageBreak/>
        <w:t>(c)</w:t>
      </w:r>
      <w:r>
        <w:rPr>
          <w:sz w:val="24"/>
          <w:lang w:val="es-ES_tradnl"/>
        </w:rPr>
        <w:tab/>
        <w:t>Suministrar al Banco cualquier otra información adicional ó informes jurídicos que éste razonablemente le solicite respecto de la realización del Proyecto y de la utilización de la Contribución y del Aporte; y</w:t>
      </w:r>
    </w:p>
    <w:p w:rsidR="00C6516E" w:rsidRDefault="00C6516E" w:rsidP="00C6516E">
      <w:pPr>
        <w:jc w:val="both"/>
        <w:rPr>
          <w:sz w:val="24"/>
          <w:lang w:val="es-ES_tradnl"/>
        </w:rPr>
      </w:pPr>
    </w:p>
    <w:p w:rsidR="00C6516E" w:rsidRDefault="00C6516E" w:rsidP="00C6516E">
      <w:pPr>
        <w:ind w:left="1440" w:hanging="720"/>
        <w:jc w:val="both"/>
        <w:rPr>
          <w:sz w:val="24"/>
          <w:lang w:val="es-ES_tradnl"/>
        </w:rPr>
      </w:pPr>
      <w:r>
        <w:rPr>
          <w:sz w:val="24"/>
          <w:lang w:val="es-ES_tradnl"/>
        </w:rPr>
        <w:t>(d)</w:t>
      </w:r>
      <w:r>
        <w:rPr>
          <w:sz w:val="24"/>
          <w:lang w:val="es-ES_tradnl"/>
        </w:rPr>
        <w:tab/>
        <w:t>Mantener informado al Representante del Banco en el respectivo país o países sobre todos los aspectos del Proyecto.</w:t>
      </w:r>
    </w:p>
    <w:p w:rsidR="00C6516E" w:rsidRDefault="00C6516E" w:rsidP="00C6516E">
      <w:pPr>
        <w:jc w:val="both"/>
        <w:rPr>
          <w:sz w:val="24"/>
          <w:lang w:val="es-ES_tradnl"/>
        </w:rPr>
      </w:pPr>
    </w:p>
    <w:p w:rsidR="00C6516E" w:rsidRDefault="00C6516E" w:rsidP="00C6516E">
      <w:pPr>
        <w:jc w:val="both"/>
        <w:rPr>
          <w:sz w:val="24"/>
          <w:lang w:val="es-ES_tradnl"/>
        </w:rPr>
      </w:pPr>
      <w:r>
        <w:rPr>
          <w:b/>
          <w:sz w:val="24"/>
          <w:lang w:val="es-ES_tradnl"/>
        </w:rPr>
        <w:t>Artículo 17.</w:t>
      </w:r>
      <w:r>
        <w:rPr>
          <w:b/>
          <w:sz w:val="24"/>
          <w:lang w:val="es-ES_tradnl"/>
        </w:rPr>
        <w:tab/>
      </w:r>
      <w:r>
        <w:rPr>
          <w:b/>
          <w:sz w:val="24"/>
          <w:u w:val="single"/>
          <w:lang w:val="es-ES_tradnl"/>
        </w:rPr>
        <w:t>Publicación de documentos</w:t>
      </w:r>
      <w:r>
        <w:rPr>
          <w:sz w:val="24"/>
          <w:lang w:val="es-ES_tradnl"/>
        </w:rPr>
        <w:t>. Cualquier documento a ser emitido bajo el nombre del Banco o usando su logotipo, que se desee publicar como parte de un proyecto especial, programa conjunto, esfuerzo de investigación o cualquier otra actividad financiada con los recursos del Proyecto, deberá ser aprobado previamente por el Banco.</w:t>
      </w:r>
    </w:p>
    <w:p w:rsidR="00C6516E" w:rsidRDefault="00C6516E" w:rsidP="00C6516E">
      <w:pPr>
        <w:jc w:val="both"/>
        <w:rPr>
          <w:sz w:val="24"/>
          <w:lang w:val="es-ES_tradnl"/>
        </w:rPr>
      </w:pPr>
    </w:p>
    <w:p w:rsidR="00C6516E" w:rsidRDefault="00C6516E" w:rsidP="00C6516E">
      <w:pPr>
        <w:jc w:val="both"/>
        <w:rPr>
          <w:sz w:val="24"/>
          <w:lang w:val="es-ES_tradnl"/>
        </w:rPr>
      </w:pPr>
      <w:r>
        <w:rPr>
          <w:b/>
          <w:sz w:val="24"/>
          <w:lang w:val="es-ES_tradnl"/>
        </w:rPr>
        <w:t>Artículo 18.</w:t>
      </w:r>
      <w:r>
        <w:rPr>
          <w:b/>
          <w:sz w:val="24"/>
          <w:lang w:val="es-ES_tradnl"/>
        </w:rPr>
        <w:tab/>
      </w:r>
      <w:r>
        <w:rPr>
          <w:b/>
          <w:sz w:val="24"/>
          <w:u w:val="single"/>
          <w:lang w:val="es-ES_tradnl"/>
        </w:rPr>
        <w:t>Supervisión en el terreno</w:t>
      </w:r>
      <w:r>
        <w:rPr>
          <w:sz w:val="24"/>
          <w:lang w:val="es-ES_tradnl"/>
        </w:rPr>
        <w:t>. Sin perjuicio de la supervisión de los trabajos del Proyecto que lleve a cabo el Beneficiario o el Organismo Ejecutor, según corresponda, el Banco podrá realizar la supervisión del Proyecto en el terreno.</w:t>
      </w:r>
    </w:p>
    <w:p w:rsidR="00C6516E" w:rsidRDefault="00C6516E" w:rsidP="00C6516E">
      <w:pPr>
        <w:jc w:val="both"/>
        <w:rPr>
          <w:sz w:val="24"/>
          <w:lang w:val="es-ES_tradnl"/>
        </w:rPr>
      </w:pPr>
    </w:p>
    <w:p w:rsidR="00C6516E" w:rsidRDefault="00C6516E" w:rsidP="00C6516E">
      <w:pPr>
        <w:jc w:val="both"/>
        <w:rPr>
          <w:sz w:val="24"/>
          <w:lang w:val="es-ES_tradnl"/>
        </w:rPr>
      </w:pPr>
      <w:r>
        <w:rPr>
          <w:b/>
          <w:sz w:val="24"/>
          <w:lang w:val="es-ES_tradnl"/>
        </w:rPr>
        <w:t>Artículo 19.</w:t>
      </w:r>
      <w:r>
        <w:rPr>
          <w:b/>
          <w:sz w:val="24"/>
          <w:lang w:val="es-ES_tradnl"/>
        </w:rPr>
        <w:tab/>
      </w:r>
      <w:r>
        <w:rPr>
          <w:b/>
          <w:sz w:val="24"/>
          <w:u w:val="single"/>
          <w:lang w:val="es-ES_tradnl"/>
        </w:rPr>
        <w:t>Alcance del compromiso del Banco</w:t>
      </w:r>
      <w:r>
        <w:rPr>
          <w:sz w:val="24"/>
          <w:lang w:val="es-ES_tradnl"/>
        </w:rPr>
        <w:t>.</w:t>
      </w:r>
      <w:r>
        <w:rPr>
          <w:b/>
          <w:sz w:val="24"/>
          <w:lang w:val="es-ES_tradnl"/>
        </w:rPr>
        <w:t xml:space="preserve"> </w:t>
      </w:r>
      <w:r>
        <w:rPr>
          <w:sz w:val="24"/>
          <w:lang w:val="es-ES_tradnl"/>
        </w:rPr>
        <w:t>Queda entendido que el otorgamiento de la Contribución por el Banco no implica compromiso alguno de su parte para financiar total o parcialmente cualquier programa o proyecto que directa o indirectamente pudiera resultar de la realización del Proyecto.</w:t>
      </w:r>
    </w:p>
    <w:p w:rsidR="00C6516E" w:rsidRDefault="00C6516E" w:rsidP="00C6516E">
      <w:pPr>
        <w:jc w:val="both"/>
        <w:rPr>
          <w:sz w:val="24"/>
          <w:lang w:val="es-ES_tradnl"/>
        </w:rPr>
      </w:pPr>
    </w:p>
    <w:p w:rsidR="00C6516E" w:rsidRDefault="00C6516E" w:rsidP="00C6516E">
      <w:pPr>
        <w:jc w:val="both"/>
        <w:rPr>
          <w:sz w:val="24"/>
          <w:lang w:val="es-ES_tradnl"/>
        </w:rPr>
      </w:pPr>
      <w:r>
        <w:rPr>
          <w:b/>
          <w:sz w:val="24"/>
          <w:lang w:val="es-ES_tradnl"/>
        </w:rPr>
        <w:t>Artículo 20.</w:t>
      </w:r>
      <w:r>
        <w:rPr>
          <w:b/>
          <w:sz w:val="24"/>
          <w:lang w:val="es-ES_tradnl"/>
        </w:rPr>
        <w:tab/>
      </w:r>
      <w:r>
        <w:rPr>
          <w:b/>
          <w:sz w:val="24"/>
          <w:u w:val="single"/>
          <w:lang w:val="es-ES_tradnl"/>
        </w:rPr>
        <w:t>Arbitraje</w:t>
      </w:r>
      <w:r>
        <w:rPr>
          <w:sz w:val="24"/>
          <w:lang w:val="es-ES_tradnl"/>
        </w:rPr>
        <w:t>. Para la solución de cualquier controversia que se derive de este Convenio y que no se resuelva por acuerdo entre las partes, éstas se someten incondicional e irrevocablemente al siguiente procedimiento y fallo arbitrales:</w:t>
      </w:r>
    </w:p>
    <w:p w:rsidR="00C6516E" w:rsidRDefault="00C6516E" w:rsidP="00C6516E">
      <w:pPr>
        <w:jc w:val="both"/>
        <w:rPr>
          <w:sz w:val="24"/>
          <w:lang w:val="es-ES_tradnl"/>
        </w:rPr>
      </w:pPr>
    </w:p>
    <w:p w:rsidR="00C6516E" w:rsidRDefault="00C6516E" w:rsidP="00C6516E">
      <w:pPr>
        <w:ind w:left="1440" w:hanging="720"/>
        <w:jc w:val="both"/>
        <w:rPr>
          <w:sz w:val="24"/>
          <w:lang w:val="es-ES_tradnl"/>
        </w:rPr>
      </w:pPr>
      <w:r>
        <w:rPr>
          <w:sz w:val="24"/>
          <w:lang w:val="es-ES_tradnl"/>
        </w:rPr>
        <w:t>(a)</w:t>
      </w:r>
      <w:r>
        <w:rPr>
          <w:sz w:val="24"/>
          <w:lang w:val="es-ES_tradnl"/>
        </w:rPr>
        <w:tab/>
      </w:r>
      <w:r>
        <w:rPr>
          <w:b/>
          <w:sz w:val="24"/>
          <w:lang w:val="es-ES_tradnl"/>
        </w:rPr>
        <w:t>Composición del Tribunal.</w:t>
      </w:r>
      <w:r>
        <w:rPr>
          <w:sz w:val="24"/>
          <w:lang w:val="es-ES_tradnl"/>
        </w:rPr>
        <w:t xml:space="preserve"> El Tribunal de Arbitraje se compondrá de tres (3) miembros, que serán designados en la forma siguiente: uno, por el Banco, otro, por el Beneficiario, y un tercero, en adelante denominado el "Dirimente", por acuerdo directo entre las partes, o por intermedio de los respectivos árbitros. Si las partes o los árbitros no se pusieren de acuerdo con respecto a la persona del Dirimente, o si una de las partes no pudiera designar árbitros, el Dirimente será designado a petición de cualquiera de las partes por el Secretario General de la Organización de los Estados Americanos. Si una de las partes no designare árbitro, éste será designado por el Dirimente. Si alguno de los árbitros designados o el Dirimente no </w:t>
      </w:r>
      <w:proofErr w:type="gramStart"/>
      <w:r>
        <w:rPr>
          <w:sz w:val="24"/>
          <w:lang w:val="es-ES_tradnl"/>
        </w:rPr>
        <w:t>quisiere</w:t>
      </w:r>
      <w:proofErr w:type="gramEnd"/>
      <w:r>
        <w:rPr>
          <w:sz w:val="24"/>
          <w:lang w:val="es-ES_tradnl"/>
        </w:rPr>
        <w:t xml:space="preserve"> o no pudiere actuar o seguir actuando, se procederá a su reemplazo en igual forma que para la designación original. El sucesor tendrá las mismas funciones y atribuciones que el antecesor.</w:t>
      </w:r>
    </w:p>
    <w:p w:rsidR="00C6516E" w:rsidRDefault="00C6516E" w:rsidP="00C6516E">
      <w:pPr>
        <w:ind w:left="1440" w:hanging="720"/>
        <w:jc w:val="both"/>
        <w:rPr>
          <w:sz w:val="24"/>
          <w:lang w:val="es-ES_tradnl"/>
        </w:rPr>
      </w:pPr>
    </w:p>
    <w:p w:rsidR="00C6516E" w:rsidRDefault="00C6516E" w:rsidP="00C6516E">
      <w:pPr>
        <w:numPr>
          <w:ilvl w:val="0"/>
          <w:numId w:val="6"/>
        </w:numPr>
        <w:jc w:val="both"/>
        <w:rPr>
          <w:sz w:val="24"/>
          <w:lang w:val="es-ES_tradnl"/>
        </w:rPr>
      </w:pPr>
      <w:r>
        <w:rPr>
          <w:b/>
          <w:sz w:val="24"/>
          <w:lang w:val="es-ES_tradnl"/>
        </w:rPr>
        <w:t>Iniciación del Procedimiento.</w:t>
      </w:r>
      <w:r>
        <w:rPr>
          <w:sz w:val="24"/>
          <w:lang w:val="es-ES_tradnl"/>
        </w:rPr>
        <w:t xml:space="preserve"> Para someter la controversia al procedimiento de arbitraje, la parte reclamante dirigirá a la otra una comunicación escrita exponiendo la naturaleza del reclamo, la satisfacción o reparación que persigue y el nombre del árbitro que designa. La parte que hubiere recibido dicha comunicación deberá, dentro del plazo de cuarenta y cinco (45) días, comunicar a la parte contraria el nombre de la persona que designe como árbitro. Si dentro del plazo de treinta (30) días contados desde la entrega de la comunicación referida al reclamante, las partes no se hubieren puesto de acuerdo en cuanto a la persona del </w:t>
      </w:r>
      <w:r>
        <w:rPr>
          <w:sz w:val="24"/>
          <w:lang w:val="es-ES_tradnl"/>
        </w:rPr>
        <w:lastRenderedPageBreak/>
        <w:t>Dirimente, cualquiera de ellas podrá recurrir ante el Secretario General de la Organización de los Estados Americanos para que éste proceda a la designación.</w:t>
      </w:r>
    </w:p>
    <w:p w:rsidR="00C6516E" w:rsidRDefault="00C6516E" w:rsidP="00C6516E">
      <w:pPr>
        <w:ind w:left="720"/>
        <w:jc w:val="both"/>
        <w:rPr>
          <w:sz w:val="24"/>
          <w:lang w:val="es-ES_tradnl"/>
        </w:rPr>
      </w:pPr>
    </w:p>
    <w:p w:rsidR="00C6516E" w:rsidRDefault="00C6516E" w:rsidP="00C6516E">
      <w:pPr>
        <w:pStyle w:val="BodyTextIndent2"/>
        <w:ind w:left="0" w:firstLine="720"/>
      </w:pPr>
      <w:r>
        <w:t>En los casos de convenios con Argentina, las partes acuerdan que en los párrafos (a) y (b) anteriores, donde dice “Secretario General de la Organización de los Estados Americanos”, debe leerse “Presidente de la Corte Internacional de Justicia de la Haya”.</w:t>
      </w:r>
    </w:p>
    <w:p w:rsidR="00C6516E" w:rsidRDefault="00C6516E" w:rsidP="00C6516E">
      <w:pPr>
        <w:jc w:val="both"/>
        <w:rPr>
          <w:sz w:val="24"/>
          <w:lang w:val="es-ES_tradnl"/>
        </w:rPr>
      </w:pPr>
    </w:p>
    <w:p w:rsidR="00C6516E" w:rsidRDefault="00C6516E" w:rsidP="00C6516E">
      <w:pPr>
        <w:numPr>
          <w:ilvl w:val="0"/>
          <w:numId w:val="6"/>
        </w:numPr>
        <w:jc w:val="both"/>
        <w:rPr>
          <w:sz w:val="24"/>
          <w:lang w:val="es-ES_tradnl"/>
        </w:rPr>
      </w:pPr>
      <w:r>
        <w:rPr>
          <w:b/>
          <w:sz w:val="24"/>
          <w:lang w:val="es-ES_tradnl"/>
        </w:rPr>
        <w:t>Constitución del Tribunal.</w:t>
      </w:r>
      <w:r>
        <w:rPr>
          <w:sz w:val="24"/>
          <w:lang w:val="es-ES_tradnl"/>
        </w:rPr>
        <w:t xml:space="preserve"> El Tribunal de Arbitraje se constituirá en Washington, Distrito de Columbia, Estados Unidos de América, en la fecha que el Dirimente designe y, constituido, funcionará en las fechas que fije el propio Tribunal.</w:t>
      </w:r>
    </w:p>
    <w:p w:rsidR="00C6516E" w:rsidRDefault="00C6516E" w:rsidP="00C6516E">
      <w:pPr>
        <w:ind w:left="720"/>
        <w:jc w:val="both"/>
        <w:rPr>
          <w:sz w:val="24"/>
          <w:lang w:val="es-ES_tradnl"/>
        </w:rPr>
      </w:pPr>
    </w:p>
    <w:p w:rsidR="00C6516E" w:rsidRDefault="00C6516E" w:rsidP="00C6516E">
      <w:pPr>
        <w:pStyle w:val="BodyTextIndent3"/>
        <w:ind w:left="0" w:firstLine="720"/>
      </w:pPr>
      <w:r>
        <w:t>En los casos de convenios con Argentina, las partes acuerdan que el texto de este párrafo (c) dirá así: “El Tribunal de Arbitraje se constituirá en el lugar y en la fecha que éste designe y, constituido, funcionará en la fecha que fije el Tribunal”.</w:t>
      </w:r>
    </w:p>
    <w:p w:rsidR="00C6516E" w:rsidRDefault="00C6516E" w:rsidP="00C6516E">
      <w:pPr>
        <w:jc w:val="both"/>
        <w:rPr>
          <w:sz w:val="24"/>
          <w:lang w:val="es-ES_tradnl"/>
        </w:rPr>
      </w:pPr>
    </w:p>
    <w:p w:rsidR="00C6516E" w:rsidRDefault="00C6516E" w:rsidP="00C6516E">
      <w:pPr>
        <w:jc w:val="both"/>
        <w:rPr>
          <w:sz w:val="24"/>
          <w:lang w:val="es-ES_tradnl"/>
        </w:rPr>
      </w:pPr>
      <w:r>
        <w:rPr>
          <w:sz w:val="24"/>
          <w:lang w:val="es-ES_tradnl"/>
        </w:rPr>
        <w:tab/>
        <w:t>(d)</w:t>
      </w:r>
      <w:r>
        <w:rPr>
          <w:sz w:val="24"/>
          <w:lang w:val="es-ES_tradnl"/>
        </w:rPr>
        <w:tab/>
      </w:r>
      <w:r>
        <w:rPr>
          <w:b/>
          <w:sz w:val="24"/>
          <w:lang w:val="es-ES_tradnl"/>
        </w:rPr>
        <w:t>Procedimiento.</w:t>
      </w:r>
    </w:p>
    <w:p w:rsidR="00C6516E" w:rsidRDefault="00C6516E" w:rsidP="00C6516E">
      <w:pPr>
        <w:jc w:val="both"/>
        <w:rPr>
          <w:sz w:val="24"/>
          <w:lang w:val="es-ES_tradnl"/>
        </w:rPr>
      </w:pPr>
    </w:p>
    <w:p w:rsidR="00C6516E" w:rsidRDefault="00C6516E" w:rsidP="00C6516E">
      <w:pPr>
        <w:ind w:left="2160" w:hanging="720"/>
        <w:jc w:val="both"/>
        <w:rPr>
          <w:sz w:val="24"/>
          <w:lang w:val="es-ES_tradnl"/>
        </w:rPr>
      </w:pPr>
      <w:r>
        <w:rPr>
          <w:sz w:val="24"/>
          <w:lang w:val="es-ES_tradnl"/>
        </w:rPr>
        <w:t>(i)</w:t>
      </w:r>
      <w:r>
        <w:rPr>
          <w:sz w:val="24"/>
          <w:lang w:val="es-ES_tradnl"/>
        </w:rPr>
        <w:tab/>
        <w:t>El Tribunal sólo tendrá competencia para conocer de los puntos de la controversia. Adoptará su propio procedimiento y podrá por propia iniciativa designar los peritos que estime necesarios. En todo caso, deberá dar a las partes la oportunidad de presentar exposiciones en audiencia.</w:t>
      </w:r>
    </w:p>
    <w:p w:rsidR="00C6516E" w:rsidRDefault="00C6516E" w:rsidP="00C6516E">
      <w:pPr>
        <w:jc w:val="both"/>
        <w:rPr>
          <w:sz w:val="24"/>
          <w:lang w:val="es-ES_tradnl"/>
        </w:rPr>
      </w:pPr>
    </w:p>
    <w:p w:rsidR="00C6516E" w:rsidRDefault="00C6516E" w:rsidP="00C6516E">
      <w:pPr>
        <w:ind w:left="2160" w:hanging="720"/>
        <w:jc w:val="both"/>
        <w:rPr>
          <w:sz w:val="24"/>
          <w:lang w:val="es-ES_tradnl"/>
        </w:rPr>
      </w:pPr>
      <w:r>
        <w:rPr>
          <w:sz w:val="24"/>
          <w:lang w:val="es-ES_tradnl"/>
        </w:rPr>
        <w:t>(ii)</w:t>
      </w:r>
      <w:r>
        <w:rPr>
          <w:sz w:val="24"/>
          <w:lang w:val="es-ES_tradnl"/>
        </w:rPr>
        <w:tab/>
        <w:t>El Tribunal fallará en conciencia, basándose en los términos del Convenio, y pronunciará su fallo aún en el caso de que alguna de las partes actúe en rebeldía.</w:t>
      </w:r>
    </w:p>
    <w:p w:rsidR="00C6516E" w:rsidRDefault="00C6516E" w:rsidP="00C6516E">
      <w:pPr>
        <w:jc w:val="both"/>
        <w:rPr>
          <w:sz w:val="24"/>
          <w:lang w:val="es-ES_tradnl"/>
        </w:rPr>
      </w:pPr>
    </w:p>
    <w:p w:rsidR="00C6516E" w:rsidRDefault="00C6516E" w:rsidP="00C6516E">
      <w:pPr>
        <w:ind w:left="2160" w:hanging="720"/>
        <w:jc w:val="both"/>
        <w:rPr>
          <w:sz w:val="24"/>
          <w:lang w:val="es-ES_tradnl"/>
        </w:rPr>
      </w:pPr>
      <w:r>
        <w:rPr>
          <w:sz w:val="24"/>
          <w:lang w:val="es-ES_tradnl"/>
        </w:rPr>
        <w:t>(iii)</w:t>
      </w:r>
      <w:r>
        <w:rPr>
          <w:sz w:val="24"/>
          <w:lang w:val="es-ES_tradnl"/>
        </w:rPr>
        <w:tab/>
        <w:t>El fallo se hará constar por escrito y se adoptará con el voto concurrente de dos miembros del Tribunal, por lo menos. Deberá dictarse dentro del plazo de sesenta (60) días a partir de la fecha del nombramiento del Dirimente, a menos que el Tribunal determine que por circunstancias especiales e imprevistas debe ampliarse dicho plazo. El fallo será notificado a las partes mediante comunicación suscrita, cuando menos, por dos miembros del Tribunal. Las partes acuerdan que cualquier fallo del Tribunal deberá cumplirse dentro del plazo de treinta (30) días a partir de la fecha de la notificación, tendrá mérito ejecutivo y no admitirá recurso alguno.</w:t>
      </w:r>
    </w:p>
    <w:p w:rsidR="00C6516E" w:rsidRDefault="00C6516E" w:rsidP="00C6516E">
      <w:pPr>
        <w:jc w:val="both"/>
        <w:rPr>
          <w:sz w:val="24"/>
          <w:lang w:val="es-ES_tradnl"/>
        </w:rPr>
      </w:pPr>
    </w:p>
    <w:p w:rsidR="00C6516E" w:rsidRDefault="00C6516E" w:rsidP="00C6516E">
      <w:pPr>
        <w:ind w:left="1440" w:hanging="720"/>
        <w:jc w:val="both"/>
        <w:rPr>
          <w:sz w:val="24"/>
          <w:lang w:val="es-ES_tradnl"/>
        </w:rPr>
      </w:pPr>
      <w:r>
        <w:rPr>
          <w:sz w:val="24"/>
          <w:lang w:val="es-ES_tradnl"/>
        </w:rPr>
        <w:t>(e)</w:t>
      </w:r>
      <w:r>
        <w:rPr>
          <w:sz w:val="24"/>
          <w:lang w:val="es-ES_tradnl"/>
        </w:rPr>
        <w:tab/>
      </w:r>
      <w:r>
        <w:rPr>
          <w:b/>
          <w:sz w:val="24"/>
          <w:lang w:val="es-ES_tradnl"/>
        </w:rPr>
        <w:t>Gastos.</w:t>
      </w:r>
      <w:r>
        <w:rPr>
          <w:sz w:val="24"/>
          <w:lang w:val="es-ES_tradnl"/>
        </w:rPr>
        <w:t xml:space="preserve"> Los honorarios de cada árbitro serán cubiertos por la parte que lo hubiere designado y los honorarios del Dirimente serán cubiertos por ambas partes en igual proporción. Antes de constituirse el Tribunal, las partes acordarán los honorarios de las demás personas que de mutuo acuerdo convengan que deben intervenir en el procedimiento de arbitraje. Si el acuerdo no se produjere oportunamente, el propio Tribunal fijará la compensación que sea razonable para dichas personas, tomando en cuenta las circunstancias. Cada parte sufragará sus costos en el procedimiento de arbitraje, pero los gastos del Tribunal serán </w:t>
      </w:r>
      <w:r>
        <w:rPr>
          <w:sz w:val="24"/>
          <w:lang w:val="es-ES_tradnl"/>
        </w:rPr>
        <w:lastRenderedPageBreak/>
        <w:t>sufragados por las partes en igual proporción. Toda duda respecto a la división de los gastos o a la forma en que deban pagarse será resuelta sin ulterior recurso por el Tribunal.</w:t>
      </w:r>
    </w:p>
    <w:p w:rsidR="00C6516E" w:rsidRDefault="00C6516E" w:rsidP="00C6516E">
      <w:pPr>
        <w:jc w:val="both"/>
        <w:rPr>
          <w:sz w:val="24"/>
          <w:lang w:val="es-ES_tradnl"/>
        </w:rPr>
      </w:pPr>
    </w:p>
    <w:p w:rsidR="00C6516E" w:rsidRDefault="00C6516E" w:rsidP="00C6516E">
      <w:pPr>
        <w:ind w:left="1440" w:hanging="720"/>
        <w:jc w:val="both"/>
        <w:rPr>
          <w:sz w:val="24"/>
          <w:lang w:val="es-ES_tradnl"/>
        </w:rPr>
      </w:pPr>
      <w:r>
        <w:rPr>
          <w:sz w:val="24"/>
          <w:lang w:val="es-ES_tradnl"/>
        </w:rPr>
        <w:t>(f)</w:t>
      </w:r>
      <w:r>
        <w:rPr>
          <w:sz w:val="24"/>
          <w:lang w:val="es-ES_tradnl"/>
        </w:rPr>
        <w:tab/>
      </w:r>
      <w:r>
        <w:rPr>
          <w:b/>
          <w:sz w:val="24"/>
          <w:lang w:val="es-ES_tradnl"/>
        </w:rPr>
        <w:t>Notificaciones.</w:t>
      </w:r>
      <w:r>
        <w:rPr>
          <w:sz w:val="24"/>
          <w:lang w:val="es-ES_tradnl"/>
        </w:rPr>
        <w:t xml:space="preserve"> Toda notificación relativa al arbitraje o al fallo será hecha en la forma prevista en este Artículo. Las partes renuncian a cualquier otra forma de notificación.</w:t>
      </w:r>
    </w:p>
    <w:p w:rsidR="00C6516E" w:rsidRDefault="00C6516E" w:rsidP="00C6516E">
      <w:pPr>
        <w:ind w:left="720"/>
        <w:jc w:val="both"/>
        <w:rPr>
          <w:sz w:val="24"/>
          <w:lang w:val="es-ES_tradnl"/>
        </w:rPr>
      </w:pPr>
    </w:p>
    <w:p w:rsidR="00C6516E" w:rsidRPr="00C6516E" w:rsidRDefault="00C6516E" w:rsidP="00C6516E">
      <w:pPr>
        <w:rPr>
          <w:sz w:val="24"/>
          <w:szCs w:val="24"/>
          <w:lang w:val="es-ES_tradnl"/>
        </w:rPr>
      </w:pPr>
      <w:r>
        <w:rPr>
          <w:sz w:val="24"/>
          <w:lang w:val="es-ES_tradnl"/>
        </w:rPr>
        <w:t>En los casos de convenios con Ecuador, las partes acuerdan que el texto de este párrafo (f) así dirá: “Toda notificación relacionada al arbitraje o al fallo será hecha en la forma prevista en estas Normas Generales. Las partes renuncian a cualquier otra forma de notificación. Sin embargo, obligatoriamente deberá notificarse al Procurador General del Estado.”</w:t>
      </w:r>
      <w:r w:rsidRPr="00C6516E">
        <w:rPr>
          <w:sz w:val="24"/>
          <w:szCs w:val="24"/>
          <w:lang w:val="es-ES_tradnl"/>
        </w:rPr>
        <w:t xml:space="preserve"> </w:t>
      </w:r>
    </w:p>
    <w:p w:rsidR="00182A06" w:rsidRPr="00C6516E" w:rsidRDefault="00182A06">
      <w:pPr>
        <w:rPr>
          <w:lang w:val="es-ES_tradnl"/>
        </w:rPr>
      </w:pPr>
    </w:p>
    <w:sectPr w:rsidR="00182A06" w:rsidRPr="00C6516E">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16E" w:rsidRDefault="00C6516E" w:rsidP="00C6516E">
      <w:r>
        <w:separator/>
      </w:r>
    </w:p>
  </w:endnote>
  <w:endnote w:type="continuationSeparator" w:id="0">
    <w:p w:rsidR="00C6516E" w:rsidRDefault="00C6516E" w:rsidP="00C65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16E" w:rsidRPr="00C6516E" w:rsidRDefault="00C6516E" w:rsidP="00C6516E">
    <w:pPr>
      <w:pStyle w:val="Footer"/>
      <w:jc w:val="center"/>
      <w:rPr>
        <w:sz w:val="24"/>
        <w:szCs w:val="24"/>
      </w:rPr>
    </w:pPr>
    <w:r w:rsidRPr="00C6516E">
      <w:rPr>
        <w:sz w:val="24"/>
        <w:szCs w:val="24"/>
      </w:rPr>
      <w:t>ATN/OC-13538-AR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16E" w:rsidRDefault="00C6516E" w:rsidP="00C6516E">
      <w:r>
        <w:separator/>
      </w:r>
    </w:p>
  </w:footnote>
  <w:footnote w:type="continuationSeparator" w:id="0">
    <w:p w:rsidR="00C6516E" w:rsidRDefault="00C6516E" w:rsidP="00C6516E">
      <w:r>
        <w:continuationSeparator/>
      </w:r>
    </w:p>
  </w:footnote>
  <w:footnote w:id="1">
    <w:p w:rsidR="00C6516E" w:rsidRDefault="00C6516E" w:rsidP="00C6516E">
      <w:pPr>
        <w:pStyle w:val="BodyText"/>
        <w:tabs>
          <w:tab w:val="left" w:pos="-1440"/>
          <w:tab w:val="left" w:pos="-720"/>
          <w:tab w:val="left" w:pos="720"/>
          <w:tab w:val="left" w:pos="2160"/>
        </w:tabs>
        <w:jc w:val="both"/>
        <w:rPr>
          <w:lang w:val="es-ES_tradnl"/>
        </w:rPr>
      </w:pPr>
      <w:r>
        <w:rPr>
          <w:rStyle w:val="FootnoteReference"/>
          <w:sz w:val="20"/>
        </w:rPr>
        <w:footnoteRef/>
      </w:r>
      <w:r>
        <w:rPr>
          <w:sz w:val="20"/>
          <w:lang w:val="es-ES_tradnl"/>
        </w:rPr>
        <w:t xml:space="preserve"> "Anticipo de fondos" significa el monto de recursos adelantados por el Banco al Beneficiario o al Organismo Ejecutor, según corresponda, con cargo a los recursos de la Contribución, para atender gastos elegibles del Proyecto. </w:t>
      </w:r>
    </w:p>
  </w:footnote>
  <w:footnote w:id="2">
    <w:p w:rsidR="00C6516E" w:rsidRDefault="00C6516E" w:rsidP="00C6516E">
      <w:pPr>
        <w:tabs>
          <w:tab w:val="left" w:pos="-1440"/>
          <w:tab w:val="left" w:pos="-720"/>
          <w:tab w:val="left" w:pos="720"/>
          <w:tab w:val="left" w:pos="2160"/>
        </w:tabs>
        <w:jc w:val="both"/>
        <w:rPr>
          <w:lang w:val="es-ES_tradnl"/>
        </w:rPr>
      </w:pPr>
      <w:r>
        <w:rPr>
          <w:rStyle w:val="FootnoteReference"/>
        </w:rPr>
        <w:footnoteRef/>
      </w:r>
      <w:r>
        <w:rPr>
          <w:lang w:val="es-ES_tradnl"/>
        </w:rPr>
        <w:t xml:space="preserve"> "Período de Cierre" significa el plazo de noventa (90) días contado a partir de la fecha estipulada para el último desembolso de los recursos de la Contribución, para la finalización de los pagos pendientes a terceros, la presentación de la justificación final de los gastos efectuados, la reconciliación de registros y la devolución al Banco de los recursos de la Contribución desembolsados y no justificados.</w:t>
      </w:r>
    </w:p>
    <w:p w:rsidR="00C6516E" w:rsidRDefault="00C6516E" w:rsidP="00C6516E">
      <w:pPr>
        <w:pStyle w:val="FootnoteText"/>
        <w:rPr>
          <w:lang w:val="es-ES_tradn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973095"/>
      <w:docPartObj>
        <w:docPartGallery w:val="Page Numbers (Top of Page)"/>
        <w:docPartUnique/>
      </w:docPartObj>
    </w:sdtPr>
    <w:sdtEndPr>
      <w:rPr>
        <w:noProof/>
      </w:rPr>
    </w:sdtEndPr>
    <w:sdtContent>
      <w:p w:rsidR="00053620" w:rsidRDefault="00053620">
        <w:pPr>
          <w:pStyle w:val="Header"/>
          <w:jc w:val="center"/>
        </w:pPr>
        <w:r>
          <w:fldChar w:fldCharType="begin"/>
        </w:r>
        <w:r>
          <w:instrText xml:space="preserve"> PAGE   \* MERGEFORMAT </w:instrText>
        </w:r>
        <w:r>
          <w:fldChar w:fldCharType="separate"/>
        </w:r>
        <w:r>
          <w:rPr>
            <w:noProof/>
          </w:rPr>
          <w:t>1</w:t>
        </w:r>
        <w:r>
          <w:rPr>
            <w:noProof/>
          </w:rPr>
          <w:fldChar w:fldCharType="end"/>
        </w:r>
      </w:p>
    </w:sdtContent>
  </w:sdt>
  <w:p w:rsidR="00053620" w:rsidRDefault="000536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D510B"/>
    <w:multiLevelType w:val="hybridMultilevel"/>
    <w:tmpl w:val="4BC084EE"/>
    <w:lvl w:ilvl="0" w:tplc="58C03F78">
      <w:start w:val="100"/>
      <w:numFmt w:val="lowerRoman"/>
      <w:lvlText w:val="(%1)"/>
      <w:lvlJc w:val="left"/>
      <w:pPr>
        <w:ind w:left="162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39C630D5"/>
    <w:multiLevelType w:val="hybridMultilevel"/>
    <w:tmpl w:val="38DA54C0"/>
    <w:lvl w:ilvl="0" w:tplc="8962F734">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5E634ADF"/>
    <w:multiLevelType w:val="hybridMultilevel"/>
    <w:tmpl w:val="7AB27608"/>
    <w:lvl w:ilvl="0" w:tplc="6D3C259E">
      <w:start w:val="9"/>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3">
    <w:nsid w:val="643B6DC7"/>
    <w:multiLevelType w:val="hybridMultilevel"/>
    <w:tmpl w:val="680E63E8"/>
    <w:lvl w:ilvl="0" w:tplc="CBF65A80">
      <w:start w:val="6"/>
      <w:numFmt w:val="lowerRoman"/>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4">
    <w:nsid w:val="78F6473F"/>
    <w:multiLevelType w:val="singleLevel"/>
    <w:tmpl w:val="01B0FF1C"/>
    <w:lvl w:ilvl="0">
      <w:start w:val="2"/>
      <w:numFmt w:val="lowerLetter"/>
      <w:lvlText w:val="(%1)"/>
      <w:lvlJc w:val="left"/>
      <w:pPr>
        <w:tabs>
          <w:tab w:val="num" w:pos="1440"/>
        </w:tabs>
        <w:ind w:left="1440" w:hanging="720"/>
      </w:pPr>
    </w:lvl>
  </w:abstractNum>
  <w:abstractNum w:abstractNumId="5">
    <w:nsid w:val="79AA52D4"/>
    <w:multiLevelType w:val="singleLevel"/>
    <w:tmpl w:val="AA588964"/>
    <w:lvl w:ilvl="0">
      <w:start w:val="2"/>
      <w:numFmt w:val="lowerLetter"/>
      <w:lvlText w:val="(%1)"/>
      <w:lvlJc w:val="left"/>
      <w:pPr>
        <w:tabs>
          <w:tab w:val="num" w:pos="1440"/>
        </w:tabs>
        <w:ind w:left="1440" w:hanging="7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2"/>
    </w:lvlOverride>
  </w:num>
  <w:num w:numId="6">
    <w:abstractNumId w:val="4"/>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16E"/>
    <w:rsid w:val="000313AE"/>
    <w:rsid w:val="00053620"/>
    <w:rsid w:val="00182A06"/>
    <w:rsid w:val="00C651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16E"/>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semiHidden/>
    <w:unhideWhenUsed/>
    <w:qFormat/>
    <w:rsid w:val="00C6516E"/>
    <w:pPr>
      <w:keepNext/>
      <w:jc w:val="center"/>
      <w:outlineLvl w:val="1"/>
    </w:pPr>
    <w:rPr>
      <w:sz w:val="24"/>
      <w:u w:val="single"/>
    </w:rPr>
  </w:style>
  <w:style w:type="paragraph" w:styleId="Heading3">
    <w:name w:val="heading 3"/>
    <w:basedOn w:val="Normal"/>
    <w:next w:val="Normal"/>
    <w:link w:val="Heading3Char"/>
    <w:semiHidden/>
    <w:unhideWhenUsed/>
    <w:qFormat/>
    <w:rsid w:val="00C6516E"/>
    <w:pPr>
      <w:keepNext/>
      <w:jc w:val="center"/>
      <w:outlineLvl w:val="2"/>
    </w:pPr>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C6516E"/>
    <w:rPr>
      <w:rFonts w:ascii="Times New Roman" w:eastAsia="Times New Roman" w:hAnsi="Times New Roman" w:cs="Times New Roman"/>
      <w:sz w:val="24"/>
      <w:szCs w:val="20"/>
      <w:u w:val="single"/>
    </w:rPr>
  </w:style>
  <w:style w:type="character" w:customStyle="1" w:styleId="Heading3Char">
    <w:name w:val="Heading 3 Char"/>
    <w:basedOn w:val="DefaultParagraphFont"/>
    <w:link w:val="Heading3"/>
    <w:semiHidden/>
    <w:rsid w:val="00C6516E"/>
    <w:rPr>
      <w:rFonts w:ascii="Times New Roman" w:eastAsia="Times New Roman" w:hAnsi="Times New Roman" w:cs="Times New Roman"/>
      <w:sz w:val="24"/>
      <w:szCs w:val="20"/>
      <w:lang w:val="es-ES"/>
    </w:rPr>
  </w:style>
  <w:style w:type="paragraph" w:styleId="FootnoteText">
    <w:name w:val="footnote text"/>
    <w:basedOn w:val="Normal"/>
    <w:link w:val="FootnoteTextChar"/>
    <w:semiHidden/>
    <w:unhideWhenUsed/>
    <w:rsid w:val="00C6516E"/>
  </w:style>
  <w:style w:type="character" w:customStyle="1" w:styleId="FootnoteTextChar">
    <w:name w:val="Footnote Text Char"/>
    <w:basedOn w:val="DefaultParagraphFont"/>
    <w:link w:val="FootnoteText"/>
    <w:semiHidden/>
    <w:rsid w:val="00C6516E"/>
    <w:rPr>
      <w:rFonts w:ascii="Times New Roman" w:eastAsia="Times New Roman" w:hAnsi="Times New Roman" w:cs="Times New Roman"/>
      <w:sz w:val="20"/>
      <w:szCs w:val="20"/>
    </w:rPr>
  </w:style>
  <w:style w:type="paragraph" w:styleId="BodyText">
    <w:name w:val="Body Text"/>
    <w:basedOn w:val="Normal"/>
    <w:link w:val="BodyTextChar"/>
    <w:semiHidden/>
    <w:unhideWhenUsed/>
    <w:rsid w:val="00C6516E"/>
    <w:rPr>
      <w:sz w:val="24"/>
    </w:rPr>
  </w:style>
  <w:style w:type="character" w:customStyle="1" w:styleId="BodyTextChar">
    <w:name w:val="Body Text Char"/>
    <w:basedOn w:val="DefaultParagraphFont"/>
    <w:link w:val="BodyText"/>
    <w:semiHidden/>
    <w:rsid w:val="00C6516E"/>
    <w:rPr>
      <w:rFonts w:ascii="Times New Roman" w:eastAsia="Times New Roman" w:hAnsi="Times New Roman" w:cs="Times New Roman"/>
      <w:sz w:val="24"/>
      <w:szCs w:val="20"/>
    </w:rPr>
  </w:style>
  <w:style w:type="paragraph" w:styleId="BodyText2">
    <w:name w:val="Body Text 2"/>
    <w:basedOn w:val="Normal"/>
    <w:link w:val="BodyText2Char"/>
    <w:semiHidden/>
    <w:unhideWhenUsed/>
    <w:rsid w:val="00C6516E"/>
    <w:pPr>
      <w:tabs>
        <w:tab w:val="right" w:pos="9360"/>
      </w:tabs>
      <w:jc w:val="both"/>
    </w:pPr>
    <w:rPr>
      <w:b/>
      <w:bCs/>
      <w:sz w:val="24"/>
      <w:lang w:val="es-ES"/>
    </w:rPr>
  </w:style>
  <w:style w:type="character" w:customStyle="1" w:styleId="BodyText2Char">
    <w:name w:val="Body Text 2 Char"/>
    <w:basedOn w:val="DefaultParagraphFont"/>
    <w:link w:val="BodyText2"/>
    <w:semiHidden/>
    <w:rsid w:val="00C6516E"/>
    <w:rPr>
      <w:rFonts w:ascii="Times New Roman" w:eastAsia="Times New Roman" w:hAnsi="Times New Roman" w:cs="Times New Roman"/>
      <w:b/>
      <w:bCs/>
      <w:sz w:val="24"/>
      <w:szCs w:val="20"/>
      <w:lang w:val="es-ES"/>
    </w:rPr>
  </w:style>
  <w:style w:type="paragraph" w:styleId="BodyTextIndent2">
    <w:name w:val="Body Text Indent 2"/>
    <w:basedOn w:val="Normal"/>
    <w:link w:val="BodyTextIndent2Char"/>
    <w:semiHidden/>
    <w:unhideWhenUsed/>
    <w:rsid w:val="00C6516E"/>
    <w:pPr>
      <w:ind w:left="720"/>
      <w:jc w:val="both"/>
    </w:pPr>
    <w:rPr>
      <w:sz w:val="24"/>
      <w:lang w:val="es-ES_tradnl"/>
    </w:rPr>
  </w:style>
  <w:style w:type="character" w:customStyle="1" w:styleId="BodyTextIndent2Char">
    <w:name w:val="Body Text Indent 2 Char"/>
    <w:basedOn w:val="DefaultParagraphFont"/>
    <w:link w:val="BodyTextIndent2"/>
    <w:semiHidden/>
    <w:rsid w:val="00C6516E"/>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semiHidden/>
    <w:unhideWhenUsed/>
    <w:rsid w:val="00C6516E"/>
    <w:pPr>
      <w:ind w:left="1440"/>
      <w:jc w:val="both"/>
    </w:pPr>
    <w:rPr>
      <w:sz w:val="24"/>
      <w:lang w:val="es-ES_tradnl"/>
    </w:rPr>
  </w:style>
  <w:style w:type="character" w:customStyle="1" w:styleId="BodyTextIndent3Char">
    <w:name w:val="Body Text Indent 3 Char"/>
    <w:basedOn w:val="DefaultParagraphFont"/>
    <w:link w:val="BodyTextIndent3"/>
    <w:semiHidden/>
    <w:rsid w:val="00C6516E"/>
    <w:rPr>
      <w:rFonts w:ascii="Times New Roman" w:eastAsia="Times New Roman" w:hAnsi="Times New Roman" w:cs="Times New Roman"/>
      <w:sz w:val="24"/>
      <w:szCs w:val="20"/>
      <w:lang w:val="es-ES_tradnl"/>
    </w:rPr>
  </w:style>
  <w:style w:type="paragraph" w:styleId="ListParagraph">
    <w:name w:val="List Paragraph"/>
    <w:basedOn w:val="Normal"/>
    <w:uiPriority w:val="34"/>
    <w:qFormat/>
    <w:rsid w:val="00C6516E"/>
    <w:pPr>
      <w:ind w:left="720"/>
    </w:pPr>
  </w:style>
  <w:style w:type="character" w:styleId="FootnoteReference">
    <w:name w:val="footnote reference"/>
    <w:semiHidden/>
    <w:unhideWhenUsed/>
    <w:rsid w:val="00C6516E"/>
    <w:rPr>
      <w:vertAlign w:val="superscript"/>
    </w:rPr>
  </w:style>
  <w:style w:type="paragraph" w:styleId="Header">
    <w:name w:val="header"/>
    <w:basedOn w:val="Normal"/>
    <w:link w:val="HeaderChar"/>
    <w:uiPriority w:val="99"/>
    <w:unhideWhenUsed/>
    <w:rsid w:val="00C6516E"/>
    <w:pPr>
      <w:tabs>
        <w:tab w:val="center" w:pos="4680"/>
        <w:tab w:val="right" w:pos="9360"/>
      </w:tabs>
    </w:pPr>
  </w:style>
  <w:style w:type="character" w:customStyle="1" w:styleId="HeaderChar">
    <w:name w:val="Header Char"/>
    <w:basedOn w:val="DefaultParagraphFont"/>
    <w:link w:val="Header"/>
    <w:uiPriority w:val="99"/>
    <w:rsid w:val="00C6516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C6516E"/>
    <w:pPr>
      <w:tabs>
        <w:tab w:val="center" w:pos="4680"/>
        <w:tab w:val="right" w:pos="9360"/>
      </w:tabs>
    </w:pPr>
  </w:style>
  <w:style w:type="character" w:customStyle="1" w:styleId="FooterChar">
    <w:name w:val="Footer Char"/>
    <w:basedOn w:val="DefaultParagraphFont"/>
    <w:link w:val="Footer"/>
    <w:uiPriority w:val="99"/>
    <w:rsid w:val="00C6516E"/>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16E"/>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semiHidden/>
    <w:unhideWhenUsed/>
    <w:qFormat/>
    <w:rsid w:val="00C6516E"/>
    <w:pPr>
      <w:keepNext/>
      <w:jc w:val="center"/>
      <w:outlineLvl w:val="1"/>
    </w:pPr>
    <w:rPr>
      <w:sz w:val="24"/>
      <w:u w:val="single"/>
    </w:rPr>
  </w:style>
  <w:style w:type="paragraph" w:styleId="Heading3">
    <w:name w:val="heading 3"/>
    <w:basedOn w:val="Normal"/>
    <w:next w:val="Normal"/>
    <w:link w:val="Heading3Char"/>
    <w:semiHidden/>
    <w:unhideWhenUsed/>
    <w:qFormat/>
    <w:rsid w:val="00C6516E"/>
    <w:pPr>
      <w:keepNext/>
      <w:jc w:val="center"/>
      <w:outlineLvl w:val="2"/>
    </w:pPr>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C6516E"/>
    <w:rPr>
      <w:rFonts w:ascii="Times New Roman" w:eastAsia="Times New Roman" w:hAnsi="Times New Roman" w:cs="Times New Roman"/>
      <w:sz w:val="24"/>
      <w:szCs w:val="20"/>
      <w:u w:val="single"/>
    </w:rPr>
  </w:style>
  <w:style w:type="character" w:customStyle="1" w:styleId="Heading3Char">
    <w:name w:val="Heading 3 Char"/>
    <w:basedOn w:val="DefaultParagraphFont"/>
    <w:link w:val="Heading3"/>
    <w:semiHidden/>
    <w:rsid w:val="00C6516E"/>
    <w:rPr>
      <w:rFonts w:ascii="Times New Roman" w:eastAsia="Times New Roman" w:hAnsi="Times New Roman" w:cs="Times New Roman"/>
      <w:sz w:val="24"/>
      <w:szCs w:val="20"/>
      <w:lang w:val="es-ES"/>
    </w:rPr>
  </w:style>
  <w:style w:type="paragraph" w:styleId="FootnoteText">
    <w:name w:val="footnote text"/>
    <w:basedOn w:val="Normal"/>
    <w:link w:val="FootnoteTextChar"/>
    <w:semiHidden/>
    <w:unhideWhenUsed/>
    <w:rsid w:val="00C6516E"/>
  </w:style>
  <w:style w:type="character" w:customStyle="1" w:styleId="FootnoteTextChar">
    <w:name w:val="Footnote Text Char"/>
    <w:basedOn w:val="DefaultParagraphFont"/>
    <w:link w:val="FootnoteText"/>
    <w:semiHidden/>
    <w:rsid w:val="00C6516E"/>
    <w:rPr>
      <w:rFonts w:ascii="Times New Roman" w:eastAsia="Times New Roman" w:hAnsi="Times New Roman" w:cs="Times New Roman"/>
      <w:sz w:val="20"/>
      <w:szCs w:val="20"/>
    </w:rPr>
  </w:style>
  <w:style w:type="paragraph" w:styleId="BodyText">
    <w:name w:val="Body Text"/>
    <w:basedOn w:val="Normal"/>
    <w:link w:val="BodyTextChar"/>
    <w:semiHidden/>
    <w:unhideWhenUsed/>
    <w:rsid w:val="00C6516E"/>
    <w:rPr>
      <w:sz w:val="24"/>
    </w:rPr>
  </w:style>
  <w:style w:type="character" w:customStyle="1" w:styleId="BodyTextChar">
    <w:name w:val="Body Text Char"/>
    <w:basedOn w:val="DefaultParagraphFont"/>
    <w:link w:val="BodyText"/>
    <w:semiHidden/>
    <w:rsid w:val="00C6516E"/>
    <w:rPr>
      <w:rFonts w:ascii="Times New Roman" w:eastAsia="Times New Roman" w:hAnsi="Times New Roman" w:cs="Times New Roman"/>
      <w:sz w:val="24"/>
      <w:szCs w:val="20"/>
    </w:rPr>
  </w:style>
  <w:style w:type="paragraph" w:styleId="BodyText2">
    <w:name w:val="Body Text 2"/>
    <w:basedOn w:val="Normal"/>
    <w:link w:val="BodyText2Char"/>
    <w:semiHidden/>
    <w:unhideWhenUsed/>
    <w:rsid w:val="00C6516E"/>
    <w:pPr>
      <w:tabs>
        <w:tab w:val="right" w:pos="9360"/>
      </w:tabs>
      <w:jc w:val="both"/>
    </w:pPr>
    <w:rPr>
      <w:b/>
      <w:bCs/>
      <w:sz w:val="24"/>
      <w:lang w:val="es-ES"/>
    </w:rPr>
  </w:style>
  <w:style w:type="character" w:customStyle="1" w:styleId="BodyText2Char">
    <w:name w:val="Body Text 2 Char"/>
    <w:basedOn w:val="DefaultParagraphFont"/>
    <w:link w:val="BodyText2"/>
    <w:semiHidden/>
    <w:rsid w:val="00C6516E"/>
    <w:rPr>
      <w:rFonts w:ascii="Times New Roman" w:eastAsia="Times New Roman" w:hAnsi="Times New Roman" w:cs="Times New Roman"/>
      <w:b/>
      <w:bCs/>
      <w:sz w:val="24"/>
      <w:szCs w:val="20"/>
      <w:lang w:val="es-ES"/>
    </w:rPr>
  </w:style>
  <w:style w:type="paragraph" w:styleId="BodyTextIndent2">
    <w:name w:val="Body Text Indent 2"/>
    <w:basedOn w:val="Normal"/>
    <w:link w:val="BodyTextIndent2Char"/>
    <w:semiHidden/>
    <w:unhideWhenUsed/>
    <w:rsid w:val="00C6516E"/>
    <w:pPr>
      <w:ind w:left="720"/>
      <w:jc w:val="both"/>
    </w:pPr>
    <w:rPr>
      <w:sz w:val="24"/>
      <w:lang w:val="es-ES_tradnl"/>
    </w:rPr>
  </w:style>
  <w:style w:type="character" w:customStyle="1" w:styleId="BodyTextIndent2Char">
    <w:name w:val="Body Text Indent 2 Char"/>
    <w:basedOn w:val="DefaultParagraphFont"/>
    <w:link w:val="BodyTextIndent2"/>
    <w:semiHidden/>
    <w:rsid w:val="00C6516E"/>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semiHidden/>
    <w:unhideWhenUsed/>
    <w:rsid w:val="00C6516E"/>
    <w:pPr>
      <w:ind w:left="1440"/>
      <w:jc w:val="both"/>
    </w:pPr>
    <w:rPr>
      <w:sz w:val="24"/>
      <w:lang w:val="es-ES_tradnl"/>
    </w:rPr>
  </w:style>
  <w:style w:type="character" w:customStyle="1" w:styleId="BodyTextIndent3Char">
    <w:name w:val="Body Text Indent 3 Char"/>
    <w:basedOn w:val="DefaultParagraphFont"/>
    <w:link w:val="BodyTextIndent3"/>
    <w:semiHidden/>
    <w:rsid w:val="00C6516E"/>
    <w:rPr>
      <w:rFonts w:ascii="Times New Roman" w:eastAsia="Times New Roman" w:hAnsi="Times New Roman" w:cs="Times New Roman"/>
      <w:sz w:val="24"/>
      <w:szCs w:val="20"/>
      <w:lang w:val="es-ES_tradnl"/>
    </w:rPr>
  </w:style>
  <w:style w:type="paragraph" w:styleId="ListParagraph">
    <w:name w:val="List Paragraph"/>
    <w:basedOn w:val="Normal"/>
    <w:uiPriority w:val="34"/>
    <w:qFormat/>
    <w:rsid w:val="00C6516E"/>
    <w:pPr>
      <w:ind w:left="720"/>
    </w:pPr>
  </w:style>
  <w:style w:type="character" w:styleId="FootnoteReference">
    <w:name w:val="footnote reference"/>
    <w:semiHidden/>
    <w:unhideWhenUsed/>
    <w:rsid w:val="00C6516E"/>
    <w:rPr>
      <w:vertAlign w:val="superscript"/>
    </w:rPr>
  </w:style>
  <w:style w:type="paragraph" w:styleId="Header">
    <w:name w:val="header"/>
    <w:basedOn w:val="Normal"/>
    <w:link w:val="HeaderChar"/>
    <w:uiPriority w:val="99"/>
    <w:unhideWhenUsed/>
    <w:rsid w:val="00C6516E"/>
    <w:pPr>
      <w:tabs>
        <w:tab w:val="center" w:pos="4680"/>
        <w:tab w:val="right" w:pos="9360"/>
      </w:tabs>
    </w:pPr>
  </w:style>
  <w:style w:type="character" w:customStyle="1" w:styleId="HeaderChar">
    <w:name w:val="Header Char"/>
    <w:basedOn w:val="DefaultParagraphFont"/>
    <w:link w:val="Header"/>
    <w:uiPriority w:val="99"/>
    <w:rsid w:val="00C6516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C6516E"/>
    <w:pPr>
      <w:tabs>
        <w:tab w:val="center" w:pos="4680"/>
        <w:tab w:val="right" w:pos="9360"/>
      </w:tabs>
    </w:pPr>
  </w:style>
  <w:style w:type="character" w:customStyle="1" w:styleId="FooterChar">
    <w:name w:val="Footer Char"/>
    <w:basedOn w:val="DefaultParagraphFont"/>
    <w:link w:val="Footer"/>
    <w:uiPriority w:val="99"/>
    <w:rsid w:val="00C6516E"/>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206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customXml" Target="../customXml/item8.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FBDC791374248D49AF91D63F8C9846C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66B06E59AB175241BBFB297522263BEB" PreviousValue="false"/>
</file>

<file path=customXml/item6.xml><?xml version="1.0" encoding="utf-8"?>
<p:properties xmlns:p="http://schemas.microsoft.com/office/2006/metadata/properties" xmlns:xsi="http://www.w3.org/2001/XMLSchema-instance" xmlns:pc="http://schemas.microsoft.com/office/infopath/2007/PartnerControls">
  <documentManagement>
    <IDBDocs_x0020_Number xmlns="cdc7663a-08f0-4737-9e8c-148ce897a09c">37363085</IDBDocs_x0020_Number>
    <TaxCatchAll xmlns="cdc7663a-08f0-4737-9e8c-148ce897a09c">
      <Value>26</Value>
      <Value>23</Value>
      <Value>40</Value>
    </TaxCatchAll>
    <SISCOR_x0020_Number xmlns="cdc7663a-08f0-4737-9e8c-148ce897a09c" xsi:nil="true"/>
    <Division_x0020_or_x0020_Unit xmlns="cdc7663a-08f0-4737-9e8c-148ce897a09c">LEG/SGO</Division_x0020_or_x0020_Unit>
    <Document_x0020_Author xmlns="cdc7663a-08f0-4737-9e8c-148ce897a09c">jbedoya</Document_x0020_Author>
    <Fiscal_x0020_Year_x0020_IDB xmlns="cdc7663a-08f0-4737-9e8c-148ce897a09c">2013</Fiscal_x0020_Year_x0020_IDB>
    <Disclosure_x0020_Activity xmlns="cdc7663a-08f0-4737-9e8c-148ce897a09c">Technical Cooperation Agreement</Disclosure_x0020_Activity>
    <Other_x0020_Author xmlns="cdc7663a-08f0-4737-9e8c-148ce897a09c" xsi:nil="true"/>
    <Migration_x0020_Info xmlns="cdc7663a-08f0-4737-9e8c-148ce897a09c">&lt;Data&gt;&lt;APPLICATION&gt;MS WORD&lt;/APPLICATION&gt;&lt;STAGE_CODE&gt;AGREE-TC&lt;/STAGE_CODE&gt;&lt;USER_STAGE&gt;Technical Cooperation Agreement&lt;/USER_STAGE&gt;&lt;APPROVAL_CODE&gt;CHF&lt;/APPROVAL_CODE&gt;&lt;APPROVAL_DESC&gt;Chief&lt;/APPROVAL_DESC&gt;&lt;PD_OBJ_TYPE&gt;1&lt;/PD_OBJ_TYPE&gt;&lt;MAKERECORD&gt;Y&lt;/MAKERECORD&gt;&lt;PD_FILEPT_NO&gt;PO-AR-T1109-Agree&lt;/PD_FILEPT_NO&gt;&lt;PD_FILE_PART&gt;1094212361&lt;/PD_FILE_PART&gt;&lt;/Data&gt;</Migration_x0020_Info>
    <Document_x0020_Language_x0020_IDB xmlns="cdc7663a-08f0-4737-9e8c-148ce897a09c">Spanish</Document_x0020_Language_x0020_IDB>
    <Identifier xmlns="cdc7663a-08f0-4737-9e8c-148ce897a09c"> NG</Identifier>
    <Access_x0020_to_x0020_Information_x00a0_Policy xmlns="cdc7663a-08f0-4737-9e8c-148ce897a09c">Confidential</Access_x0020_to_x0020_Information_x00a0_Policy>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POM-01 Project Operations Management General</TermName>
          <TermId xmlns="http://schemas.microsoft.com/office/infopath/2007/PartnerControls">19d55793-e085-4277-a248-a5fc31bdbf37</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6 Project Operations Management</TermName>
          <TermId xmlns="http://schemas.microsoft.com/office/infopath/2007/PartnerControls">03af0c7d-3415-46d8-bacc-6351250af69c</TermId>
        </TermInfo>
      </Terms>
    </cf0f1ca6d90e4583ad80995bcde0e58a>
    <Abstract xmlns="cdc7663a-08f0-4737-9e8c-148ce897a09c" xsi:nil="true"/>
    <Region xmlns="cdc7663a-08f0-4737-9e8c-148ce897a09c" xsi:nil="true"/>
    <_dlc_DocId xmlns="cdc7663a-08f0-4737-9e8c-148ce897a09c">EZSHARE-1044359933-4871</_dlc_DocId>
    <Publication_x0020_Type xmlns="cdc7663a-08f0-4737-9e8c-148ce897a09c" xsi:nil="true"/>
    <Issue_x0020_Date xmlns="cdc7663a-08f0-4737-9e8c-148ce897a09c" xsi:nil="true"/>
    <Related_x0020_SisCor_x0020_Number xmlns="cdc7663a-08f0-4737-9e8c-148ce897a09c" xsi:nil="true"/>
    <Webtopic xmlns="cdc7663a-08f0-4737-9e8c-148ce897a09c">Urban Development</Webtopic>
    <Publishing_x0020_House xmlns="cdc7663a-08f0-4737-9e8c-148ce897a09c" xsi:nil="true"/>
    <Disclosed xmlns="cdc7663a-08f0-4737-9e8c-148ce897a09c">false</Disclosed>
    <KP_x0020_Topics xmlns="cdc7663a-08f0-4737-9e8c-148ce897a09c" xsi:nil="true"/>
    <Editor1 xmlns="cdc7663a-08f0-4737-9e8c-148ce897a09c" xsi:nil="true"/>
    <_dlc_DocIdUrl xmlns="cdc7663a-08f0-4737-9e8c-148ce897a09c">
      <Url>https://idbg.sharepoint.com/teams/ez-LEG/Operations/_layouts/15/DocIdRedir.aspx?ID=EZSHARE-1044359933-4871</Url>
      <Description>EZSHARE-1044359933-4871</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Disclosure Corporate" ma:contentTypeID="0x01010066B06E59AB175241BBFB297522263BEB0019E0C42C95086E4C870ECCEDA805AFD2" ma:contentTypeVersion="32" ma:contentTypeDescription="A content type to manage public (corporate) IDB documents" ma:contentTypeScope="" ma:versionID="3db9712ccd0ecf6fa5bc178120e10d84">
  <xsd:schema xmlns:xsd="http://www.w3.org/2001/XMLSchema" xmlns:xs="http://www.w3.org/2001/XMLSchema" xmlns:p="http://schemas.microsoft.com/office/2006/metadata/properties" xmlns:ns2="cdc7663a-08f0-4737-9e8c-148ce897a09c" targetNamespace="http://schemas.microsoft.com/office/2006/metadata/properties" ma:root="true" ma:fieldsID="45189ff02c69c208c8642bfefeaa947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Webtopic" minOccurs="0"/>
                <xsd:element ref="ns2:Disclosure_x0020_Activity"/>
                <xsd:element ref="ns2:Document_x0020_Language_x0020_IDB"/>
                <xsd:element ref="ns2:Division_x0020_or_x0020_Unit" minOccurs="0"/>
                <xsd:element ref="ns2:Document_x0020_Author" minOccurs="0"/>
                <xsd:element ref="ns2:Other_x0020_Author" minOccurs="0"/>
                <xsd:element ref="ns2:ic46d7e087fd4a108fb86518ca413cc6" minOccurs="0"/>
                <xsd:element ref="ns2:Identifier" minOccurs="0"/>
                <xsd:element ref="ns2:IDBDocs_x0020_Number" minOccurs="0"/>
                <xsd:element ref="ns2:Migration_x0020_Info" minOccurs="0"/>
                <xsd:element ref="ns2:Abstract"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SISCOR_x0020_Number" minOccurs="0"/>
                <xsd:element ref="ns2:Fiscal_x0020_Year_x0020_IDB" minOccurs="0"/>
                <xsd:element ref="ns2:Disclosed"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c5c54932-c2bd-47cd-9086-3a77da424455}" ma:internalName="TaxCatchAll" ma:showField="CatchAllData"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c5c54932-c2bd-47cd-9086-3a77da424455}" ma:internalName="TaxCatchAllLabel" ma:readOnly="true" ma:showField="CatchAllDataLabel"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Webtopic" ma:index="18" nillable="true" ma:displayName="Webtopic" ma:internalName="Webtopic">
      <xsd:simpleType>
        <xsd:restriction base="dms:Text">
          <xsd:maxLength value="255"/>
        </xsd:restriction>
      </xsd:simpleType>
    </xsd:element>
    <xsd:element name="Disclosure_x0020_Activity" ma:index="19" ma:displayName="Disclosure Activity" ma:indexed="true" ma:internalName="Disclosure_x0020_Activity" ma:readOnly="false">
      <xsd:simpleType>
        <xsd:restriction base="dms:Text">
          <xsd:maxLength value="255"/>
        </xsd:restriction>
      </xsd:simpleType>
    </xsd:element>
    <xsd:element name="Document_x0020_Language_x0020_IDB" ma:index="2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21" nillable="true" ma:displayName="Division or Unit" ma:internalName="Division_x0020_or_x0020_Unit">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Identifier" ma:index="26" nillable="true" ma:displayName="Identifier" ma:internalName="Identifier">
      <xsd:simpleType>
        <xsd:restriction base="dms:Text">
          <xsd:maxLength value="255"/>
        </xsd:restriction>
      </xsd:simpleType>
    </xsd:element>
    <xsd:element name="IDBDocs_x0020_Number" ma:index="27" nillable="true" ma:displayName="IDBDocs Number" ma:internalName="IDBDocs_x0020_Number" ma:readOnly="false">
      <xsd:simpleType>
        <xsd:restriction base="dms:Text">
          <xsd:maxLength value="255"/>
        </xsd:restriction>
      </xsd:simpleType>
    </xsd:element>
    <xsd:element name="Migration_x0020_Info" ma:index="28" nillable="true" ma:displayName="Migration Info" ma:internalName="Migration_x0020_Info" ma:readOnly="false">
      <xsd:simpleType>
        <xsd:restriction base="dms:Note"/>
      </xsd:simpleType>
    </xsd:element>
    <xsd:element name="Abstract" ma:index="29" nillable="true" ma:displayName="Abstract" ma:internalName="Abstract">
      <xsd:simpleType>
        <xsd:restriction base="dms:Note"/>
      </xsd:simpleType>
    </xsd:element>
    <xsd:element name="Editor1" ma:index="30" nillable="true" ma:displayName="Editor" ma:internalName="Editor1">
      <xsd:simpleType>
        <xsd:restriction base="dms:Text">
          <xsd:maxLength value="255"/>
        </xsd:restriction>
      </xsd:simpleType>
    </xsd:element>
    <xsd:element name="Issue_x0020_Date" ma:index="31" nillable="true" ma:displayName="Issue Date" ma:format="DateOnly" ma:internalName="Issue_x0020_Date">
      <xsd:simpleType>
        <xsd:restriction base="dms:DateTime"/>
      </xsd:simpleType>
    </xsd:element>
    <xsd:element name="Publishing_x0020_House" ma:index="32" nillable="true" ma:displayName="Publishing House" ma:internalName="Publishing_x0020_House">
      <xsd:simpleType>
        <xsd:restriction base="dms:Text">
          <xsd:maxLength value="255"/>
        </xsd:restriction>
      </xsd:simpleType>
    </xsd:element>
    <xsd:element name="KP_x0020_Topics" ma:index="33" nillable="true" ma:displayName="KP Topics" ma:internalName="KP_x0020_Topics">
      <xsd:simpleType>
        <xsd:restriction base="dms:Text">
          <xsd:maxLength value="255"/>
        </xsd:restriction>
      </xsd:simpleType>
    </xsd:element>
    <xsd:element name="Region" ma:index="34" nillable="true" ma:displayName="Region" ma:internalName="Region">
      <xsd:simpleType>
        <xsd:restriction base="dms:Text">
          <xsd:maxLength value="255"/>
        </xsd:restriction>
      </xsd:simpleType>
    </xsd:element>
    <xsd:element name="Publication_x0020_Type" ma:index="35" nillable="true" ma:displayName="Publication Type" ma:internalName="Publication_x0020_Type">
      <xsd:simpleType>
        <xsd:restriction base="dms:Text">
          <xsd:maxLength value="255"/>
        </xsd:restriction>
      </xsd:simpleType>
    </xsd:element>
    <xsd:element name="SISCOR_x0020_Number" ma:index="36" nillable="true" ma:displayName="SISCOR Number" ma:internalName="SISCOR_x0020_Number" ma:readOnly="false">
      <xsd:simpleType>
        <xsd:restriction base="dms:Text">
          <xsd:maxLength value="255"/>
        </xsd:restriction>
      </xsd:simpleType>
    </xsd:element>
    <xsd:element name="Fiscal_x0020_Year_x0020_IDB" ma:index="37" nillable="true" ma:displayName="Fiscal Year IDB" ma:internalName="Fiscal_x0020_Year_x0020_IDB" ma:readOnly="false">
      <xsd:simpleType>
        <xsd:restriction base="dms:Text">
          <xsd:maxLength value="255"/>
        </xsd:restriction>
      </xsd:simpleType>
    </xsd:element>
    <xsd:element name="Disclosed" ma:index="38" nillable="true" ma:displayName="Disclosed" ma:default="0" ma:internalName="Disclosed">
      <xsd:simpleType>
        <xsd:restriction base="dms:Boolean"/>
      </xsd:simpleType>
    </xsd:element>
    <xsd:element name="Related_x0020_SisCor_x0020_Number" ma:index="39"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_catalogs/masterpage/ECMForms/DisclosureCorporateCT/View.aspx</Display>
  <Edit>_catalogs/masterpage/ECMForms/DisclosureCorporateCT/Edit.aspx</Edit>
</FormUrls>
</file>

<file path=customXml/itemProps1.xml><?xml version="1.0" encoding="utf-8"?>
<ds:datastoreItem xmlns:ds="http://schemas.openxmlformats.org/officeDocument/2006/customXml" ds:itemID="{30C9D5BE-C0C6-49D2-8640-F93E20672DAA}"/>
</file>

<file path=customXml/itemProps2.xml><?xml version="1.0" encoding="utf-8"?>
<ds:datastoreItem xmlns:ds="http://schemas.openxmlformats.org/officeDocument/2006/customXml" ds:itemID="{DA290C81-DAC9-4E0E-9EBF-8D52B6E3A5DB}"/>
</file>

<file path=customXml/itemProps3.xml><?xml version="1.0" encoding="utf-8"?>
<ds:datastoreItem xmlns:ds="http://schemas.openxmlformats.org/officeDocument/2006/customXml" ds:itemID="{741F63DF-F675-4A17-9FF0-D46C5AE5D4DC}"/>
</file>

<file path=customXml/itemProps4.xml><?xml version="1.0" encoding="utf-8"?>
<ds:datastoreItem xmlns:ds="http://schemas.openxmlformats.org/officeDocument/2006/customXml" ds:itemID="{938BB7D3-FF65-4609-B142-7695A23B25AF}"/>
</file>

<file path=customXml/itemProps5.xml><?xml version="1.0" encoding="utf-8"?>
<ds:datastoreItem xmlns:ds="http://schemas.openxmlformats.org/officeDocument/2006/customXml" ds:itemID="{C4AAC77C-8CF2-49E1-84B2-0FC086AA8D1E}"/>
</file>

<file path=customXml/itemProps6.xml><?xml version="1.0" encoding="utf-8"?>
<ds:datastoreItem xmlns:ds="http://schemas.openxmlformats.org/officeDocument/2006/customXml" ds:itemID="{1390A7D4-C824-456E-BAC1-B6A238477493}"/>
</file>

<file path=customXml/itemProps7.xml><?xml version="1.0" encoding="utf-8"?>
<ds:datastoreItem xmlns:ds="http://schemas.openxmlformats.org/officeDocument/2006/customXml" ds:itemID="{8C673FAA-F5A9-4268-86E6-C6D128BAEC04}"/>
</file>

<file path=customXml/itemProps8.xml><?xml version="1.0" encoding="utf-8"?>
<ds:datastoreItem xmlns:ds="http://schemas.openxmlformats.org/officeDocument/2006/customXml" ds:itemID="{8D28D9FE-AE9B-47FF-BF75-55BE8BB84F3D}"/>
</file>

<file path=docProps/app.xml><?xml version="1.0" encoding="utf-8"?>
<Properties xmlns="http://schemas.openxmlformats.org/officeDocument/2006/extended-properties" xmlns:vt="http://schemas.openxmlformats.org/officeDocument/2006/docPropsVTypes">
  <Template>Normal.dotm</Template>
  <TotalTime>6</TotalTime>
  <Pages>15</Pages>
  <Words>6660</Words>
  <Characters>37965</Characters>
  <Application>Microsoft Office Word</Application>
  <DocSecurity>0</DocSecurity>
  <Lines>316</Lines>
  <Paragraphs>89</Paragraphs>
  <ScaleCrop>false</ScaleCrop>
  <Company>Inter-American Development Bank</Company>
  <LinksUpToDate>false</LinksUpToDate>
  <CharactersWithSpaces>44536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Parte II - Implementación del Plan de Acción de la Iniciativa Ciudades Emergentes y Sostenibles</dc:title>
  <dc:subject/>
  <dc:creator>Test</dc:creator>
  <cp:keywords/>
  <dc:description/>
  <cp:lastModifiedBy>Test</cp:lastModifiedBy>
  <cp:revision>3</cp:revision>
  <dcterms:created xsi:type="dcterms:W3CDTF">2012-12-21T14:12:00Z</dcterms:created>
  <dcterms:modified xsi:type="dcterms:W3CDTF">2013-01-09T20:51:00Z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0x01010066B06E59AB175241BBFB297522263BEB0019E0C42C95086E4C870ECCEDA805AFD2</vt:lpwstr>
  </property>
  <property fmtid="{D5CDD505-2E9C-101B-9397-08002B2CF9AE}" pid="4" name="TaxKeyword">
    <vt:lpwstr/>
  </property>
  <property fmtid="{D5CDD505-2E9C-101B-9397-08002B2CF9AE}" pid="7" name="Key Document">
    <vt:bool>false</vt:bool>
  </property>
  <property fmtid="{D5CDD505-2E9C-101B-9397-08002B2CF9AE}" pid="8" name="Function_x0020_Operations_x0020_IDB">
    <vt:lpwstr/>
  </property>
  <property fmtid="{D5CDD505-2E9C-101B-9397-08002B2CF9AE}" pid="15" name="TaxKeywordTaxHTField">
    <vt:lpwstr/>
  </property>
  <property fmtid="{D5CDD505-2E9C-101B-9397-08002B2CF9AE}" pid="16" name="m555d3814edf4817b4410a4e57f94ce9">
    <vt:lpwstr/>
  </property>
  <property fmtid="{D5CDD505-2E9C-101B-9397-08002B2CF9AE}" pid="17" name="Project Number">
    <vt:lpwstr>AR-T1109</vt:lpwstr>
  </property>
  <property fmtid="{D5CDD505-2E9C-101B-9397-08002B2CF9AE}" pid="20" name="o5138a91267540169645e33d09c9ddc6">
    <vt:lpwstr/>
  </property>
  <property fmtid="{D5CDD505-2E9C-101B-9397-08002B2CF9AE}" pid="25" name="Approval Number">
    <vt:lpwstr>AR-T1109;ATN/OC-13538-AR</vt:lpwstr>
  </property>
  <property fmtid="{D5CDD505-2E9C-101B-9397-08002B2CF9AE}" pid="26" name="Fund IDB">
    <vt:lpwstr/>
  </property>
  <property fmtid="{D5CDD505-2E9C-101B-9397-08002B2CF9AE}" pid="27" name="Country">
    <vt:lpwstr>40;#Argentina|eb1b705c-195f-4c3b-9661-b201f2fee3c5</vt:lpwstr>
  </property>
  <property fmtid="{D5CDD505-2E9C-101B-9397-08002B2CF9AE}" pid="29" name="gaf487fafdd442a2b6050eaae514d0b5">
    <vt:lpwstr/>
  </property>
  <property fmtid="{D5CDD505-2E9C-101B-9397-08002B2CF9AE}" pid="30" name="Series_x0020_Operations_x0020_IDB">
    <vt:lpwstr/>
  </property>
  <property fmtid="{D5CDD505-2E9C-101B-9397-08002B2CF9AE}" pid="35" name="Sector IDB">
    <vt:lpwstr/>
  </property>
  <property fmtid="{D5CDD505-2E9C-101B-9397-08002B2CF9AE}" pid="36" name="Function Corporate IDB">
    <vt:lpwstr>23;#6 Project Operations Management|03af0c7d-3415-46d8-bacc-6351250af69c</vt:lpwstr>
  </property>
  <property fmtid="{D5CDD505-2E9C-101B-9397-08002B2CF9AE}" pid="37" name="Document_x0020_Type_x0020_IDB">
    <vt:lpwstr/>
  </property>
  <property fmtid="{D5CDD505-2E9C-101B-9397-08002B2CF9AE}" pid="39" name="fd0e48b6a66848a9885f717e5bbf40c4">
    <vt:lpwstr/>
  </property>
  <property fmtid="{D5CDD505-2E9C-101B-9397-08002B2CF9AE}" pid="41" name="e559ffcc31d34167856647188be35015">
    <vt:lpwstr/>
  </property>
  <property fmtid="{D5CDD505-2E9C-101B-9397-08002B2CF9AE}" pid="42" name="Legal_x0020_Basis">
    <vt:lpwstr/>
  </property>
  <property fmtid="{D5CDD505-2E9C-101B-9397-08002B2CF9AE}" pid="45" name="Legal_x0020_Taxonomy">
    <vt:lpwstr/>
  </property>
  <property fmtid="{D5CDD505-2E9C-101B-9397-08002B2CF9AE}" pid="46" name="Series Corporate IDB">
    <vt:lpwstr>26;#POM-01 Project Operations Management General|19d55793-e085-4277-a248-a5fc31bdbf37</vt:lpwstr>
  </property>
  <property fmtid="{D5CDD505-2E9C-101B-9397-08002B2CF9AE}" pid="55" name="Legal Taxonomy">
    <vt:lpwstr/>
  </property>
  <property fmtid="{D5CDD505-2E9C-101B-9397-08002B2CF9AE}" pid="58" name="Series Operations IDB">
    <vt:lpwstr/>
  </property>
  <property fmtid="{D5CDD505-2E9C-101B-9397-08002B2CF9AE}" pid="60" name="Legal Basis">
    <vt:lpwstr/>
  </property>
  <property fmtid="{D5CDD505-2E9C-101B-9397-08002B2CF9AE}" pid="62" name="Document Type IDB">
    <vt:lpwstr/>
  </property>
  <property fmtid="{D5CDD505-2E9C-101B-9397-08002B2CF9AE}" pid="66" name="Function Operations IDB">
    <vt:lpwstr/>
  </property>
  <property fmtid="{D5CDD505-2E9C-101B-9397-08002B2CF9AE}" pid="67" name="Order">
    <vt:r8>487100</vt:r8>
  </property>
  <property fmtid="{D5CDD505-2E9C-101B-9397-08002B2CF9AE}" pid="68" name="Project Document Type">
    <vt:lpwstr/>
  </property>
  <property fmtid="{D5CDD505-2E9C-101B-9397-08002B2CF9AE}" pid="69" name="Record Number">
    <vt:lpwstr/>
  </property>
  <property fmtid="{D5CDD505-2E9C-101B-9397-08002B2CF9AE}" pid="70" name="Legal Country">
    <vt:lpwstr/>
  </property>
  <property fmtid="{D5CDD505-2E9C-101B-9397-08002B2CF9AE}" pid="72" name="ATI Disclose Document Workflow v5">
    <vt:lpwstr/>
  </property>
  <property fmtid="{D5CDD505-2E9C-101B-9397-08002B2CF9AE}" pid="73" name="Attorney">
    <vt:lpwstr/>
  </property>
  <property fmtid="{D5CDD505-2E9C-101B-9397-08002B2CF9AE}" pid="74" name="Doc Copy">
    <vt:lpwstr/>
  </property>
  <property fmtid="{D5CDD505-2E9C-101B-9397-08002B2CF9AE}" pid="75" name="Operation Type">
    <vt:lpwstr/>
  </property>
  <property fmtid="{D5CDD505-2E9C-101B-9397-08002B2CF9AE}" pid="76" name="b26cdb1da78c4bb4b1c1bac2f6ac5911">
    <vt:lpwstr/>
  </property>
  <property fmtid="{D5CDD505-2E9C-101B-9397-08002B2CF9AE}" pid="77" name="Pipeline Number">
    <vt:lpwstr/>
  </property>
  <property fmtid="{D5CDD505-2E9C-101B-9397-08002B2CF9AE}" pid="78" name="Package Code">
    <vt:lpwstr/>
  </property>
  <property fmtid="{D5CDD505-2E9C-101B-9397-08002B2CF9AE}" pid="79" name="Annual Meeting">
    <vt:lpwstr/>
  </property>
  <property fmtid="{D5CDD505-2E9C-101B-9397-08002B2CF9AE}" pid="80" name="n2077c22f1e24496a073d1eb26f4ff79">
    <vt:lpwstr/>
  </property>
  <property fmtid="{D5CDD505-2E9C-101B-9397-08002B2CF9AE}" pid="81" name="Business Area">
    <vt:lpwstr/>
  </property>
  <property fmtid="{D5CDD505-2E9C-101B-9397-08002B2CF9AE}" pid="82" name="e46fe2894295491da65140ffd2369f49">
    <vt:lpwstr/>
  </property>
  <property fmtid="{D5CDD505-2E9C-101B-9397-08002B2CF9AE}" pid="83" name="nddeef1749674d76abdbe4b239a70bc6">
    <vt:lpwstr/>
  </property>
  <property fmtid="{D5CDD505-2E9C-101B-9397-08002B2CF9AE}" pid="84" name="g511464f9e53401d84b16fa9b379a574">
    <vt:lpwstr/>
  </property>
  <property fmtid="{D5CDD505-2E9C-101B-9397-08002B2CF9AE}" pid="86" name="Phase">
    <vt:lpwstr/>
  </property>
  <property fmtid="{D5CDD505-2E9C-101B-9397-08002B2CF9AE}" pid="87" name="Instrument">
    <vt:lpwstr/>
  </property>
  <property fmtid="{D5CDD505-2E9C-101B-9397-08002B2CF9AE}" pid="88" name="URL">
    <vt:lpwstr/>
  </property>
  <property fmtid="{D5CDD505-2E9C-101B-9397-08002B2CF9AE}" pid="89" name="ATI Undisclose Document Workflow">
    <vt:lpwstr/>
  </property>
  <property fmtid="{D5CDD505-2E9C-101B-9397-08002B2CF9AE}" pid="90" name="_dlc_DocIdItemGuid">
    <vt:lpwstr>9c72aa24-74fa-421c-a9f9-88ae58dcee10</vt:lpwstr>
  </property>
</Properties>
</file>