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9CE" w:rsidRPr="0013707B" w:rsidRDefault="00F179CE" w:rsidP="00F179CE">
      <w:pPr>
        <w:jc w:val="right"/>
        <w:rPr>
          <w:lang w:val="pt-BR"/>
        </w:rPr>
      </w:pPr>
      <w:bookmarkStart w:id="0" w:name="_GoBack"/>
      <w:bookmarkEnd w:id="0"/>
      <w:r w:rsidRPr="0013707B">
        <w:rPr>
          <w:lang w:val="pt-BR"/>
        </w:rPr>
        <w:t>LEG/SGO/CSC/IDBDOCS:</w:t>
      </w:r>
      <w:r w:rsidR="00AA3818" w:rsidRPr="0013707B">
        <w:rPr>
          <w:lang w:val="pt-BR"/>
        </w:rPr>
        <w:t>37363583</w:t>
      </w:r>
      <w:r w:rsidRPr="0013707B">
        <w:rPr>
          <w:lang w:val="pt-BR"/>
        </w:rPr>
        <w:t xml:space="preserve"> </w:t>
      </w:r>
    </w:p>
    <w:p w:rsidR="00F179CE" w:rsidRPr="0013707B" w:rsidRDefault="00F179CE" w:rsidP="00F179CE">
      <w:pPr>
        <w:pStyle w:val="Title"/>
        <w:rPr>
          <w:sz w:val="24"/>
          <w:szCs w:val="24"/>
          <w:lang w:val="pt-BR"/>
        </w:rPr>
      </w:pPr>
    </w:p>
    <w:p w:rsidR="00F179CE" w:rsidRPr="0013707B" w:rsidRDefault="00F179CE" w:rsidP="00F179CE">
      <w:pPr>
        <w:pStyle w:val="Title"/>
        <w:rPr>
          <w:sz w:val="24"/>
          <w:szCs w:val="24"/>
          <w:lang w:val="pt-BR"/>
        </w:rPr>
      </w:pPr>
    </w:p>
    <w:p w:rsidR="00F179CE" w:rsidRPr="0013707B" w:rsidRDefault="00F179CE" w:rsidP="00F179CE">
      <w:pPr>
        <w:pStyle w:val="Title"/>
        <w:rPr>
          <w:sz w:val="24"/>
          <w:szCs w:val="24"/>
          <w:lang w:val="pt-BR"/>
        </w:rPr>
      </w:pPr>
      <w:r w:rsidRPr="0013707B">
        <w:rPr>
          <w:sz w:val="24"/>
          <w:szCs w:val="24"/>
          <w:lang w:val="pt-BR"/>
        </w:rPr>
        <w:t>ANEXO ÚNICO</w:t>
      </w:r>
    </w:p>
    <w:p w:rsidR="00F179CE" w:rsidRPr="0013707B" w:rsidRDefault="00F179CE" w:rsidP="00F179CE">
      <w:pPr>
        <w:tabs>
          <w:tab w:val="left" w:pos="-1440"/>
          <w:tab w:val="left" w:pos="-720"/>
          <w:tab w:val="left" w:pos="720"/>
          <w:tab w:val="left" w:pos="1320"/>
          <w:tab w:val="left" w:pos="2160"/>
          <w:tab w:val="left" w:pos="7200"/>
        </w:tabs>
        <w:jc w:val="both"/>
        <w:rPr>
          <w:sz w:val="24"/>
          <w:lang w:val="pt-BR"/>
        </w:rPr>
      </w:pPr>
    </w:p>
    <w:p w:rsidR="00F179CE" w:rsidRDefault="00F179CE" w:rsidP="00F179CE">
      <w:pPr>
        <w:pStyle w:val="Heading1"/>
        <w:rPr>
          <w:lang w:val="es-ES_tradnl"/>
        </w:rPr>
      </w:pPr>
      <w:r>
        <w:rPr>
          <w:lang w:val="es-ES_tradnl"/>
        </w:rPr>
        <w:t>EL PROYECTO</w:t>
      </w:r>
    </w:p>
    <w:p w:rsidR="00F179CE" w:rsidRDefault="00F179CE" w:rsidP="00F179CE">
      <w:pPr>
        <w:rPr>
          <w:sz w:val="24"/>
          <w:szCs w:val="24"/>
          <w:lang w:val="es-ES_tradnl"/>
        </w:rPr>
      </w:pPr>
    </w:p>
    <w:p w:rsidR="00F179CE" w:rsidRDefault="00F179CE" w:rsidP="00F179CE">
      <w:pPr>
        <w:rPr>
          <w:sz w:val="24"/>
          <w:szCs w:val="24"/>
          <w:lang w:val="es-ES_tradnl"/>
        </w:rPr>
      </w:pPr>
    </w:p>
    <w:p w:rsidR="00F179CE" w:rsidRDefault="00F179CE" w:rsidP="00F179CE">
      <w:pPr>
        <w:tabs>
          <w:tab w:val="left" w:pos="-1440"/>
          <w:tab w:val="left" w:pos="-720"/>
          <w:tab w:val="left" w:pos="720"/>
          <w:tab w:val="left" w:pos="1320"/>
          <w:tab w:val="left" w:pos="2160"/>
          <w:tab w:val="left" w:pos="7200"/>
        </w:tabs>
        <w:jc w:val="center"/>
        <w:rPr>
          <w:b/>
          <w:sz w:val="24"/>
          <w:szCs w:val="24"/>
          <w:lang w:val="es-ES_tradnl"/>
        </w:rPr>
      </w:pPr>
      <w:r>
        <w:rPr>
          <w:b/>
          <w:sz w:val="24"/>
          <w:szCs w:val="24"/>
          <w:lang w:val="es-ES_tradnl"/>
        </w:rPr>
        <w:t>Implementación del Plan de Acción de la Iniciativa Ciudades Emergentes y Sostenibles</w:t>
      </w:r>
    </w:p>
    <w:p w:rsidR="00F179CE" w:rsidRDefault="00F179CE" w:rsidP="00F179CE">
      <w:pPr>
        <w:tabs>
          <w:tab w:val="left" w:pos="-1440"/>
          <w:tab w:val="left" w:pos="-720"/>
          <w:tab w:val="left" w:pos="720"/>
          <w:tab w:val="left" w:pos="1320"/>
          <w:tab w:val="left" w:pos="2160"/>
          <w:tab w:val="left" w:pos="7200"/>
        </w:tabs>
        <w:rPr>
          <w:b/>
          <w:sz w:val="24"/>
          <w:szCs w:val="24"/>
          <w:lang w:val="es-ES_tradnl"/>
        </w:rPr>
      </w:pPr>
    </w:p>
    <w:p w:rsidR="00F179CE" w:rsidRDefault="00F179CE" w:rsidP="00F179CE">
      <w:pPr>
        <w:tabs>
          <w:tab w:val="left" w:pos="-1440"/>
          <w:tab w:val="left" w:pos="-720"/>
          <w:tab w:val="left" w:pos="720"/>
          <w:tab w:val="left" w:pos="1320"/>
          <w:tab w:val="left" w:pos="2160"/>
          <w:tab w:val="left" w:pos="7200"/>
        </w:tabs>
        <w:rPr>
          <w:b/>
          <w:sz w:val="24"/>
          <w:szCs w:val="24"/>
          <w:lang w:val="es-ES_tradnl"/>
        </w:rPr>
      </w:pPr>
    </w:p>
    <w:p w:rsidR="00F179CE" w:rsidRDefault="00F179CE" w:rsidP="00F179CE">
      <w:pPr>
        <w:tabs>
          <w:tab w:val="left" w:pos="-1440"/>
          <w:tab w:val="left" w:pos="-720"/>
          <w:tab w:val="left" w:pos="720"/>
          <w:tab w:val="left" w:pos="1320"/>
          <w:tab w:val="left" w:pos="2160"/>
          <w:tab w:val="left" w:pos="7200"/>
        </w:tabs>
        <w:jc w:val="both"/>
        <w:rPr>
          <w:sz w:val="24"/>
          <w:lang w:val="es-ES_tradnl"/>
        </w:rPr>
      </w:pPr>
      <w:r>
        <w:rPr>
          <w:b/>
          <w:sz w:val="24"/>
          <w:lang w:val="es-ES_tradnl"/>
        </w:rPr>
        <w:t>I.</w:t>
      </w:r>
      <w:r>
        <w:rPr>
          <w:b/>
          <w:sz w:val="24"/>
          <w:lang w:val="es-ES_tradnl"/>
        </w:rPr>
        <w:tab/>
      </w:r>
      <w:r>
        <w:rPr>
          <w:b/>
          <w:sz w:val="24"/>
          <w:u w:val="single"/>
          <w:lang w:val="es-ES_tradnl"/>
        </w:rPr>
        <w:t>Objetivo</w:t>
      </w:r>
    </w:p>
    <w:p w:rsidR="00F179CE" w:rsidRDefault="00F179CE" w:rsidP="00F179CE">
      <w:pPr>
        <w:rPr>
          <w:lang w:val="es-ES_tradnl"/>
        </w:rPr>
      </w:pPr>
    </w:p>
    <w:p w:rsidR="00F179CE" w:rsidRPr="00F179CE" w:rsidRDefault="00F179CE" w:rsidP="00F179CE">
      <w:pPr>
        <w:pStyle w:val="Paragraph"/>
        <w:numPr>
          <w:ilvl w:val="0"/>
          <w:numId w:val="0"/>
        </w:numPr>
        <w:ind w:left="720" w:hanging="720"/>
        <w:rPr>
          <w:rFonts w:ascii="Times New Roman" w:hAnsi="Times New Roman" w:cs="Times New Roman"/>
          <w:szCs w:val="24"/>
        </w:rPr>
      </w:pPr>
      <w:r w:rsidRPr="00F179CE">
        <w:rPr>
          <w:rFonts w:ascii="Times New Roman" w:hAnsi="Times New Roman" w:cs="Times New Roman"/>
          <w:b/>
          <w:szCs w:val="24"/>
        </w:rPr>
        <w:t>1.01</w:t>
      </w:r>
      <w:r w:rsidRPr="00F179CE">
        <w:rPr>
          <w:rFonts w:ascii="Times New Roman" w:hAnsi="Times New Roman" w:cs="Times New Roman"/>
          <w:szCs w:val="24"/>
        </w:rPr>
        <w:tab/>
        <w:t xml:space="preserve">El objetivo del Proyecto es contribuir con la Municipalidad General Pueyrredón (Mar del Plata) en la realización de los estudios preparatorios en sectores clave de infraestructura como los de agua, transporte, y en Actuaciones Estratégicas Integrales. </w:t>
      </w:r>
    </w:p>
    <w:p w:rsidR="00F179CE" w:rsidRPr="00F179CE" w:rsidRDefault="00F179CE" w:rsidP="00F179CE">
      <w:pPr>
        <w:pStyle w:val="Paragraph"/>
        <w:numPr>
          <w:ilvl w:val="0"/>
          <w:numId w:val="0"/>
        </w:numPr>
        <w:ind w:left="720" w:hanging="720"/>
        <w:rPr>
          <w:rFonts w:ascii="Times New Roman" w:hAnsi="Times New Roman" w:cs="Times New Roman"/>
          <w:szCs w:val="24"/>
        </w:rPr>
      </w:pPr>
      <w:r w:rsidRPr="00F179CE">
        <w:rPr>
          <w:rFonts w:ascii="Times New Roman" w:hAnsi="Times New Roman" w:cs="Times New Roman"/>
          <w:b/>
          <w:szCs w:val="24"/>
        </w:rPr>
        <w:t>1.02</w:t>
      </w:r>
      <w:r w:rsidRPr="00F179CE">
        <w:rPr>
          <w:rFonts w:ascii="Times New Roman" w:hAnsi="Times New Roman" w:cs="Times New Roman"/>
          <w:szCs w:val="24"/>
        </w:rPr>
        <w:tab/>
        <w:t xml:space="preserve">Asimismo, </w:t>
      </w:r>
      <w:r w:rsidR="0039686D">
        <w:rPr>
          <w:rFonts w:ascii="Times New Roman" w:hAnsi="Times New Roman" w:cs="Times New Roman"/>
          <w:szCs w:val="24"/>
        </w:rPr>
        <w:t xml:space="preserve">el Proyecto </w:t>
      </w:r>
      <w:r w:rsidRPr="00F179CE">
        <w:rPr>
          <w:rFonts w:ascii="Times New Roman" w:hAnsi="Times New Roman" w:cs="Times New Roman"/>
          <w:szCs w:val="24"/>
        </w:rPr>
        <w:t>tiene como objetivo financiar el establecimiento de un sistema de monitoreo ciudadano de indicadores, que evaluará los cambios de mediano y largo plazo en las condiciones de sostenibilidad urbana, ambiental, social y fiscal de la ciudad.</w:t>
      </w:r>
    </w:p>
    <w:p w:rsidR="00F179CE" w:rsidRPr="00F179CE" w:rsidRDefault="00F179CE" w:rsidP="00F179CE">
      <w:pPr>
        <w:pStyle w:val="Paragraph"/>
        <w:numPr>
          <w:ilvl w:val="0"/>
          <w:numId w:val="0"/>
        </w:numPr>
        <w:ind w:left="720" w:hanging="720"/>
        <w:rPr>
          <w:rFonts w:ascii="Times New Roman" w:hAnsi="Times New Roman" w:cs="Times New Roman"/>
          <w:szCs w:val="24"/>
        </w:rPr>
      </w:pPr>
      <w:r w:rsidRPr="00F179CE">
        <w:rPr>
          <w:rFonts w:ascii="Times New Roman" w:hAnsi="Times New Roman" w:cs="Times New Roman"/>
          <w:b/>
          <w:szCs w:val="24"/>
        </w:rPr>
        <w:t>1.03</w:t>
      </w:r>
      <w:r w:rsidRPr="00F179CE">
        <w:rPr>
          <w:rFonts w:ascii="Times New Roman" w:hAnsi="Times New Roman" w:cs="Times New Roman"/>
          <w:szCs w:val="24"/>
        </w:rPr>
        <w:tab/>
      </w:r>
      <w:r w:rsidR="0039686D">
        <w:rPr>
          <w:rFonts w:ascii="Times New Roman" w:hAnsi="Times New Roman" w:cs="Times New Roman"/>
          <w:szCs w:val="24"/>
        </w:rPr>
        <w:t>Finalmente, el Proyecto tiene como meta final</w:t>
      </w:r>
      <w:r w:rsidRPr="00F179CE">
        <w:rPr>
          <w:rFonts w:ascii="Times New Roman" w:hAnsi="Times New Roman" w:cs="Times New Roman"/>
          <w:szCs w:val="24"/>
        </w:rPr>
        <w:t xml:space="preserve"> contribuir a mejorar la calidad de vida en la ciudad de Mar del Plata, en las dimensiones de sostenibilidad ambiental, urbana, fiscal y de gobernabilidad.  </w:t>
      </w:r>
    </w:p>
    <w:p w:rsidR="00F179CE" w:rsidRDefault="00F179CE" w:rsidP="00F179CE">
      <w:pPr>
        <w:autoSpaceDE w:val="0"/>
        <w:autoSpaceDN w:val="0"/>
        <w:adjustRightInd w:val="0"/>
        <w:jc w:val="both"/>
        <w:rPr>
          <w:sz w:val="24"/>
          <w:szCs w:val="24"/>
          <w:lang w:val="es-ES_tradnl"/>
        </w:rPr>
      </w:pPr>
    </w:p>
    <w:p w:rsidR="00F179CE" w:rsidRDefault="00F179CE" w:rsidP="00F179CE">
      <w:pPr>
        <w:tabs>
          <w:tab w:val="left" w:pos="-1440"/>
          <w:tab w:val="left" w:pos="-720"/>
          <w:tab w:val="left" w:pos="720"/>
          <w:tab w:val="left" w:pos="1320"/>
          <w:tab w:val="left" w:pos="2160"/>
          <w:tab w:val="left" w:pos="7200"/>
        </w:tabs>
        <w:ind w:left="720" w:hanging="720"/>
        <w:jc w:val="both"/>
        <w:rPr>
          <w:sz w:val="24"/>
          <w:lang w:val="es-ES_tradnl"/>
        </w:rPr>
      </w:pPr>
      <w:r>
        <w:rPr>
          <w:b/>
          <w:sz w:val="24"/>
          <w:lang w:val="es-ES_tradnl"/>
        </w:rPr>
        <w:t>II.</w:t>
      </w:r>
      <w:r>
        <w:rPr>
          <w:b/>
          <w:sz w:val="24"/>
          <w:lang w:val="es-ES_tradnl"/>
        </w:rPr>
        <w:tab/>
      </w:r>
      <w:r>
        <w:rPr>
          <w:b/>
          <w:sz w:val="24"/>
          <w:u w:val="single"/>
          <w:lang w:val="es-ES_tradnl"/>
        </w:rPr>
        <w:t>Descripción</w:t>
      </w:r>
    </w:p>
    <w:p w:rsidR="00F179CE" w:rsidRDefault="00F179CE" w:rsidP="00F179CE">
      <w:pPr>
        <w:tabs>
          <w:tab w:val="left" w:pos="-1440"/>
          <w:tab w:val="left" w:pos="-720"/>
          <w:tab w:val="left" w:pos="720"/>
          <w:tab w:val="left" w:pos="1320"/>
          <w:tab w:val="left" w:pos="2160"/>
          <w:tab w:val="left" w:pos="7200"/>
        </w:tabs>
        <w:jc w:val="both"/>
        <w:rPr>
          <w:sz w:val="24"/>
          <w:lang w:val="es-ES_tradnl"/>
        </w:rPr>
      </w:pPr>
    </w:p>
    <w:p w:rsidR="00F179CE" w:rsidRDefault="00F179CE" w:rsidP="00F179CE">
      <w:pPr>
        <w:tabs>
          <w:tab w:val="left" w:pos="-1440"/>
          <w:tab w:val="left" w:pos="-720"/>
          <w:tab w:val="left" w:pos="720"/>
          <w:tab w:val="left" w:pos="1320"/>
          <w:tab w:val="left" w:pos="2160"/>
          <w:tab w:val="left" w:pos="7200"/>
        </w:tabs>
        <w:jc w:val="both"/>
        <w:rPr>
          <w:sz w:val="24"/>
          <w:lang w:val="es-ES_tradnl"/>
        </w:rPr>
      </w:pPr>
      <w:r>
        <w:rPr>
          <w:b/>
          <w:sz w:val="24"/>
          <w:lang w:val="es-ES_tradnl"/>
        </w:rPr>
        <w:t>2.01</w:t>
      </w:r>
      <w:r>
        <w:rPr>
          <w:sz w:val="24"/>
          <w:lang w:val="es-ES_tradnl"/>
        </w:rPr>
        <w:tab/>
        <w:t>El Proyecto contempla la ejecución de los siguientes componentes:</w:t>
      </w:r>
    </w:p>
    <w:p w:rsidR="00F179CE" w:rsidRDefault="00F179CE" w:rsidP="00F179CE">
      <w:pPr>
        <w:tabs>
          <w:tab w:val="left" w:pos="-1440"/>
          <w:tab w:val="left" w:pos="-720"/>
          <w:tab w:val="left" w:pos="720"/>
          <w:tab w:val="left" w:pos="1320"/>
          <w:tab w:val="left" w:pos="2160"/>
          <w:tab w:val="left" w:pos="7200"/>
        </w:tabs>
        <w:ind w:left="720" w:hanging="720"/>
        <w:jc w:val="both"/>
        <w:rPr>
          <w:sz w:val="24"/>
          <w:lang w:val="es-ES_tradnl"/>
        </w:rPr>
      </w:pPr>
    </w:p>
    <w:p w:rsidR="00F179CE" w:rsidRDefault="00F179CE" w:rsidP="00F179CE">
      <w:pPr>
        <w:ind w:firstLine="720"/>
        <w:jc w:val="both"/>
        <w:rPr>
          <w:b/>
          <w:sz w:val="24"/>
          <w:szCs w:val="24"/>
          <w:lang w:val="es-ES_tradnl"/>
        </w:rPr>
      </w:pPr>
      <w:r>
        <w:rPr>
          <w:b/>
          <w:sz w:val="24"/>
          <w:szCs w:val="24"/>
          <w:lang w:val="es-ES_tradnl"/>
        </w:rPr>
        <w:t xml:space="preserve">Componente 1: </w:t>
      </w:r>
      <w:r w:rsidR="00146A03">
        <w:rPr>
          <w:b/>
          <w:sz w:val="24"/>
          <w:szCs w:val="24"/>
          <w:lang w:val="es-ES_tradnl"/>
        </w:rPr>
        <w:t>Profundización de diagnósticos y preparación de proyectos</w:t>
      </w:r>
    </w:p>
    <w:p w:rsidR="00F179CE" w:rsidRDefault="00F179CE" w:rsidP="00F179CE">
      <w:pPr>
        <w:rPr>
          <w:b/>
          <w:lang w:val="es-ES_tradnl"/>
        </w:rPr>
      </w:pPr>
    </w:p>
    <w:p w:rsidR="00146A03" w:rsidRDefault="00F179CE" w:rsidP="00146A03">
      <w:pPr>
        <w:ind w:left="720" w:hanging="720"/>
        <w:jc w:val="both"/>
        <w:rPr>
          <w:sz w:val="24"/>
          <w:szCs w:val="24"/>
          <w:lang w:val="es-ES_tradnl"/>
        </w:rPr>
      </w:pPr>
      <w:r>
        <w:rPr>
          <w:b/>
          <w:sz w:val="24"/>
          <w:szCs w:val="24"/>
          <w:lang w:val="es-ES_tradnl"/>
        </w:rPr>
        <w:t>2.02</w:t>
      </w:r>
      <w:r>
        <w:rPr>
          <w:sz w:val="24"/>
          <w:szCs w:val="24"/>
          <w:lang w:val="es-ES_tradnl"/>
        </w:rPr>
        <w:tab/>
      </w:r>
      <w:r w:rsidR="00146A03">
        <w:rPr>
          <w:sz w:val="24"/>
          <w:szCs w:val="24"/>
          <w:lang w:val="es-ES_tradnl"/>
        </w:rPr>
        <w:t>Mediante el presente</w:t>
      </w:r>
      <w:r w:rsidR="00146A03" w:rsidRPr="00146A03">
        <w:rPr>
          <w:sz w:val="24"/>
          <w:szCs w:val="24"/>
          <w:lang w:val="es-ES_tradnl"/>
        </w:rPr>
        <w:t xml:space="preserve"> componente financiará el desarrollo de estudios complementarios (factibilidades técnico-económicas, anteproyectos, y diseños de ingeniería), de acuerdo a las áreas priorizadas resultantes del diagnóstico realizado mediante la Metodología</w:t>
      </w:r>
      <w:r w:rsidR="00146A03">
        <w:rPr>
          <w:sz w:val="24"/>
          <w:szCs w:val="24"/>
          <w:lang w:val="es-ES_tradnl"/>
        </w:rPr>
        <w:t xml:space="preserve"> de la Iniciativa Ciudades Emergentes y Sostenibles.</w:t>
      </w:r>
      <w:r w:rsidR="00146A03" w:rsidRPr="00146A03">
        <w:rPr>
          <w:sz w:val="24"/>
          <w:szCs w:val="24"/>
          <w:lang w:val="es-ES_tradnl"/>
        </w:rPr>
        <w:t xml:space="preserve"> Las áreas que resultaron priorizadas del diagnóstico fueron: i) agua; ii) actuaciones estratégicas</w:t>
      </w:r>
      <w:r w:rsidR="00146A03">
        <w:rPr>
          <w:sz w:val="24"/>
          <w:szCs w:val="24"/>
          <w:lang w:val="es-ES_tradnl"/>
        </w:rPr>
        <w:t xml:space="preserve"> </w:t>
      </w:r>
      <w:r w:rsidR="00146A03" w:rsidRPr="00146A03">
        <w:rPr>
          <w:sz w:val="24"/>
          <w:szCs w:val="24"/>
          <w:lang w:val="es-ES_tradnl"/>
        </w:rPr>
        <w:t xml:space="preserve">integrales; y </w:t>
      </w:r>
      <w:r w:rsidR="00146A03" w:rsidRPr="00146A03">
        <w:rPr>
          <w:sz w:val="24"/>
          <w:szCs w:val="24"/>
          <w:lang w:val="es-ES_tradnl"/>
        </w:rPr>
        <w:br/>
        <w:t>iii) transporte.</w:t>
      </w:r>
    </w:p>
    <w:p w:rsidR="00146A03" w:rsidRPr="00146A03" w:rsidRDefault="00146A03" w:rsidP="00146A03">
      <w:pPr>
        <w:ind w:left="720" w:hanging="720"/>
        <w:jc w:val="both"/>
        <w:rPr>
          <w:sz w:val="24"/>
          <w:szCs w:val="24"/>
          <w:lang w:val="es-ES_tradnl"/>
        </w:rPr>
      </w:pPr>
    </w:p>
    <w:p w:rsidR="00146A03" w:rsidRDefault="00146A03" w:rsidP="00146A03">
      <w:pPr>
        <w:tabs>
          <w:tab w:val="num" w:pos="720"/>
        </w:tabs>
        <w:ind w:left="720" w:hanging="720"/>
        <w:jc w:val="both"/>
        <w:rPr>
          <w:sz w:val="24"/>
          <w:szCs w:val="24"/>
          <w:lang w:val="es-ES_tradnl"/>
        </w:rPr>
      </w:pPr>
      <w:r>
        <w:rPr>
          <w:b/>
          <w:sz w:val="24"/>
          <w:szCs w:val="24"/>
          <w:lang w:val="es-ES_tradnl"/>
        </w:rPr>
        <w:t>2.03</w:t>
      </w:r>
      <w:r>
        <w:rPr>
          <w:b/>
          <w:sz w:val="24"/>
          <w:szCs w:val="24"/>
          <w:lang w:val="es-ES_tradnl"/>
        </w:rPr>
        <w:tab/>
      </w:r>
      <w:r w:rsidRPr="00146A03">
        <w:rPr>
          <w:b/>
          <w:sz w:val="24"/>
          <w:szCs w:val="24"/>
          <w:lang w:val="es-ES_tradnl"/>
        </w:rPr>
        <w:t>Agua</w:t>
      </w:r>
      <w:r w:rsidRPr="00146A03">
        <w:rPr>
          <w:sz w:val="24"/>
          <w:szCs w:val="24"/>
          <w:lang w:val="es-ES_tradnl"/>
        </w:rPr>
        <w:t xml:space="preserve">. </w:t>
      </w:r>
      <w:r>
        <w:rPr>
          <w:sz w:val="24"/>
          <w:szCs w:val="24"/>
          <w:lang w:val="es-ES_tradnl"/>
        </w:rPr>
        <w:t>Por intermedio del presente componente se</w:t>
      </w:r>
      <w:r w:rsidRPr="00146A03">
        <w:rPr>
          <w:sz w:val="24"/>
          <w:szCs w:val="24"/>
          <w:lang w:val="es-ES_tradnl"/>
        </w:rPr>
        <w:t xml:space="preserve"> financiará los estudios de base para la elaboración de un Plan de Gestión Integral de Recursos Hídricos, que incluirá entre otros: i) un estudio de la evolución de la cuña salina en el tiempo; ii) relevamiento y cuantificación de los recursos disponibles en el área; iii) censo y análisis de las explotaciones dedicadas a otros usos (agrícola, ganadero, industrial, etc.); iv) planificación de la explotación de las perforaciones actuales y futura expansión; y </w:t>
      </w:r>
      <w:r w:rsidRPr="00146A03">
        <w:rPr>
          <w:sz w:val="24"/>
          <w:szCs w:val="24"/>
          <w:lang w:val="es-ES_tradnl"/>
        </w:rPr>
        <w:br/>
        <w:t>v) cuantificación de las inversiones requeridas y costos operativos.</w:t>
      </w:r>
    </w:p>
    <w:p w:rsidR="00146A03" w:rsidRPr="00146A03" w:rsidRDefault="00146A03" w:rsidP="00146A03">
      <w:pPr>
        <w:tabs>
          <w:tab w:val="num" w:pos="720"/>
        </w:tabs>
        <w:ind w:left="720" w:hanging="720"/>
        <w:jc w:val="both"/>
        <w:rPr>
          <w:sz w:val="24"/>
          <w:szCs w:val="24"/>
          <w:lang w:val="es-ES_tradnl"/>
        </w:rPr>
      </w:pPr>
    </w:p>
    <w:p w:rsidR="00146A03" w:rsidRDefault="00146A03" w:rsidP="00146A03">
      <w:pPr>
        <w:tabs>
          <w:tab w:val="num" w:pos="720"/>
        </w:tabs>
        <w:ind w:left="720" w:hanging="720"/>
        <w:jc w:val="both"/>
        <w:rPr>
          <w:sz w:val="24"/>
          <w:szCs w:val="24"/>
          <w:lang w:val="es-ES_tradnl"/>
        </w:rPr>
      </w:pPr>
      <w:r>
        <w:rPr>
          <w:b/>
          <w:sz w:val="24"/>
          <w:szCs w:val="24"/>
          <w:lang w:val="es-ES_tradnl"/>
        </w:rPr>
        <w:lastRenderedPageBreak/>
        <w:t>2.04</w:t>
      </w:r>
      <w:r>
        <w:rPr>
          <w:b/>
          <w:sz w:val="24"/>
          <w:szCs w:val="24"/>
          <w:lang w:val="es-ES_tradnl"/>
        </w:rPr>
        <w:tab/>
      </w:r>
      <w:r w:rsidRPr="00146A03">
        <w:rPr>
          <w:b/>
          <w:sz w:val="24"/>
          <w:szCs w:val="24"/>
          <w:lang w:val="es-ES_tradnl"/>
        </w:rPr>
        <w:t>Actuaciones Estratégicas Integrales</w:t>
      </w:r>
      <w:r>
        <w:rPr>
          <w:b/>
          <w:sz w:val="24"/>
          <w:szCs w:val="24"/>
          <w:lang w:val="es-ES_tradnl"/>
        </w:rPr>
        <w:t xml:space="preserve">. </w:t>
      </w:r>
      <w:r>
        <w:rPr>
          <w:sz w:val="24"/>
          <w:szCs w:val="24"/>
          <w:lang w:val="es-ES_tradnl"/>
        </w:rPr>
        <w:t>Mediante el presente componente también</w:t>
      </w:r>
      <w:r w:rsidR="00EC7E29">
        <w:rPr>
          <w:sz w:val="24"/>
          <w:szCs w:val="24"/>
          <w:lang w:val="es-ES_tradnl"/>
        </w:rPr>
        <w:t xml:space="preserve"> se</w:t>
      </w:r>
      <w:r w:rsidRPr="00146A03">
        <w:rPr>
          <w:sz w:val="24"/>
          <w:szCs w:val="24"/>
          <w:lang w:val="es-ES_tradnl"/>
        </w:rPr>
        <w:t xml:space="preserve"> financiará los estudios de base que promoverán, en base a estrategias multidisciplinarias e integradas, la recuperación urbana y ambiental, revitalización, integración social y estructuración de las zonas indicadas. Los estudios a desarrollar serán el fundamento de las intervenciones públicas y privadas en el área, así como de los lineamientos de actuación, programas y proyectos que apunten a mejorar la calidad de vida de sus habitantes, las estructuras, e infraestructuras urbanas y el paisaje urbano del sector. </w:t>
      </w:r>
    </w:p>
    <w:p w:rsidR="00EC7E29" w:rsidRPr="00146A03" w:rsidRDefault="00EC7E29" w:rsidP="00146A03">
      <w:pPr>
        <w:tabs>
          <w:tab w:val="num" w:pos="720"/>
        </w:tabs>
        <w:ind w:left="720" w:hanging="720"/>
        <w:jc w:val="both"/>
        <w:rPr>
          <w:sz w:val="24"/>
          <w:szCs w:val="24"/>
          <w:lang w:val="es-ES_tradnl"/>
        </w:rPr>
      </w:pPr>
    </w:p>
    <w:p w:rsidR="00146A03" w:rsidRPr="00146A03" w:rsidRDefault="00EC7E29" w:rsidP="00146A03">
      <w:pPr>
        <w:tabs>
          <w:tab w:val="num" w:pos="720"/>
        </w:tabs>
        <w:ind w:left="720" w:hanging="720"/>
        <w:jc w:val="both"/>
        <w:rPr>
          <w:sz w:val="24"/>
          <w:szCs w:val="24"/>
          <w:lang w:val="es-ES_tradnl"/>
        </w:rPr>
      </w:pPr>
      <w:r>
        <w:rPr>
          <w:b/>
          <w:sz w:val="24"/>
          <w:szCs w:val="24"/>
          <w:lang w:val="es-ES_tradnl"/>
        </w:rPr>
        <w:t>2.05</w:t>
      </w:r>
      <w:r>
        <w:rPr>
          <w:b/>
          <w:sz w:val="24"/>
          <w:szCs w:val="24"/>
          <w:lang w:val="es-ES_tradnl"/>
        </w:rPr>
        <w:tab/>
      </w:r>
      <w:r w:rsidR="00146A03" w:rsidRPr="00146A03">
        <w:rPr>
          <w:b/>
          <w:sz w:val="24"/>
          <w:szCs w:val="24"/>
          <w:lang w:val="es-ES_tradnl"/>
        </w:rPr>
        <w:t>Transporte.</w:t>
      </w:r>
      <w:r w:rsidR="00146A03" w:rsidRPr="00146A03">
        <w:rPr>
          <w:sz w:val="24"/>
          <w:szCs w:val="24"/>
          <w:lang w:val="es-ES_tradnl"/>
        </w:rPr>
        <w:t xml:space="preserve"> </w:t>
      </w:r>
      <w:r>
        <w:rPr>
          <w:sz w:val="24"/>
          <w:szCs w:val="24"/>
          <w:lang w:val="es-ES_tradnl"/>
        </w:rPr>
        <w:t>Por intermedio del presente componente se</w:t>
      </w:r>
      <w:r w:rsidR="00146A03" w:rsidRPr="00146A03">
        <w:rPr>
          <w:sz w:val="24"/>
          <w:szCs w:val="24"/>
          <w:lang w:val="es-ES_tradnl"/>
        </w:rPr>
        <w:t xml:space="preserve"> financiará un estudio de relevamiento de movilidad sustentable, que tendrá en cuenta: i) los resultados de la encuesta origen/destino que la municipalidad se encuentra desarrollando; ii) relevamiento del tráfico pedestre, facilidades existentes, y principales conflictos con el tráfico vehicular; iii) relevamiento de la red de </w:t>
      </w:r>
      <w:proofErr w:type="spellStart"/>
      <w:r w:rsidR="00146A03" w:rsidRPr="00146A03">
        <w:rPr>
          <w:sz w:val="24"/>
          <w:szCs w:val="24"/>
          <w:lang w:val="es-ES_tradnl"/>
        </w:rPr>
        <w:t>bicisendas</w:t>
      </w:r>
      <w:proofErr w:type="spellEnd"/>
      <w:r w:rsidR="00146A03" w:rsidRPr="00146A03">
        <w:rPr>
          <w:sz w:val="24"/>
          <w:szCs w:val="24"/>
          <w:lang w:val="es-ES_tradnl"/>
        </w:rPr>
        <w:t>, infraestructura existente y conflictos con tráfico vehicular; iv) conectividad con el transporte público; y v) espacios públicos y calidad de los mismos. El objetivo de este relevamiento es brindar recomendaciones de inversión en intervenciones de movilidad sustentable que contribuyan a inclinar el reparto modal de transporte a modalidades de transporte público, a pie y en bicicleta.</w:t>
      </w:r>
    </w:p>
    <w:p w:rsidR="00F179CE" w:rsidRDefault="00F179CE" w:rsidP="00146A03">
      <w:pPr>
        <w:ind w:left="720" w:hanging="720"/>
        <w:jc w:val="both"/>
        <w:rPr>
          <w:lang w:val="es-ES_tradnl"/>
        </w:rPr>
      </w:pPr>
    </w:p>
    <w:p w:rsidR="00F179CE" w:rsidRDefault="00F179CE" w:rsidP="00F179CE">
      <w:pPr>
        <w:ind w:firstLine="720"/>
        <w:jc w:val="both"/>
        <w:rPr>
          <w:b/>
          <w:sz w:val="24"/>
          <w:szCs w:val="24"/>
          <w:lang w:val="es-ES_tradnl"/>
        </w:rPr>
      </w:pPr>
      <w:r>
        <w:rPr>
          <w:b/>
          <w:sz w:val="24"/>
          <w:szCs w:val="24"/>
          <w:lang w:val="es-ES_tradnl"/>
        </w:rPr>
        <w:t xml:space="preserve">Componente 2: </w:t>
      </w:r>
      <w:r w:rsidR="00684A45">
        <w:rPr>
          <w:b/>
          <w:sz w:val="24"/>
          <w:szCs w:val="24"/>
          <w:lang w:val="es-ES_tradnl"/>
        </w:rPr>
        <w:t>Sistema de monitoreo y evaluación de la sostenibilidad</w:t>
      </w:r>
      <w:r>
        <w:rPr>
          <w:b/>
          <w:sz w:val="24"/>
          <w:szCs w:val="24"/>
          <w:lang w:val="es-ES_tradnl"/>
        </w:rPr>
        <w:t xml:space="preserve"> </w:t>
      </w:r>
    </w:p>
    <w:p w:rsidR="00F179CE" w:rsidRDefault="00F179CE" w:rsidP="00F179CE">
      <w:pPr>
        <w:rPr>
          <w:b/>
          <w:lang w:val="es-ES_tradnl"/>
        </w:rPr>
      </w:pPr>
    </w:p>
    <w:p w:rsidR="00684A45" w:rsidRDefault="00F179CE" w:rsidP="00684A45">
      <w:pPr>
        <w:ind w:left="720" w:hanging="720"/>
        <w:jc w:val="both"/>
        <w:rPr>
          <w:sz w:val="24"/>
          <w:szCs w:val="24"/>
          <w:lang w:val="es-ES_tradnl"/>
        </w:rPr>
      </w:pPr>
      <w:r>
        <w:rPr>
          <w:b/>
          <w:sz w:val="24"/>
          <w:szCs w:val="24"/>
          <w:lang w:val="es-ES_tradnl"/>
        </w:rPr>
        <w:t>2.0</w:t>
      </w:r>
      <w:r w:rsidR="00684A45">
        <w:rPr>
          <w:b/>
          <w:sz w:val="24"/>
          <w:szCs w:val="24"/>
          <w:lang w:val="es-ES_tradnl"/>
        </w:rPr>
        <w:t>6</w:t>
      </w:r>
      <w:r>
        <w:rPr>
          <w:b/>
          <w:sz w:val="24"/>
          <w:szCs w:val="24"/>
          <w:lang w:val="es-ES_tradnl"/>
        </w:rPr>
        <w:tab/>
      </w:r>
      <w:r w:rsidR="00684A45" w:rsidRPr="00684A45">
        <w:rPr>
          <w:sz w:val="24"/>
          <w:szCs w:val="24"/>
          <w:lang w:val="es-ES_tradnl"/>
        </w:rPr>
        <w:t>Mediante el</w:t>
      </w:r>
      <w:r w:rsidR="00684A45">
        <w:rPr>
          <w:b/>
          <w:sz w:val="24"/>
          <w:szCs w:val="24"/>
          <w:lang w:val="es-ES_tradnl"/>
        </w:rPr>
        <w:t xml:space="preserve"> </w:t>
      </w:r>
      <w:r w:rsidR="00684A45">
        <w:rPr>
          <w:sz w:val="24"/>
          <w:szCs w:val="24"/>
          <w:lang w:val="es-ES_tradnl"/>
        </w:rPr>
        <w:t xml:space="preserve">presente </w:t>
      </w:r>
      <w:r w:rsidR="00684A45" w:rsidRPr="00684A45">
        <w:rPr>
          <w:sz w:val="24"/>
          <w:szCs w:val="24"/>
          <w:lang w:val="es-ES_tradnl"/>
        </w:rPr>
        <w:t>componente financiará el diseño e implementación del sistema de monitoreo en la ciudad de Mar del Plata. Su objetivo es monitorear y evaluar los cambios de mediano y largo plazo en las condiciones de sostenibilidad urbana, ambiental y fiscal y, en última instancia, en la calidad de vida de la ciudad</w:t>
      </w:r>
      <w:r w:rsidR="00684A45">
        <w:rPr>
          <w:sz w:val="24"/>
          <w:szCs w:val="24"/>
          <w:lang w:val="es-ES_tradnl"/>
        </w:rPr>
        <w:t>,</w:t>
      </w:r>
      <w:r w:rsidR="00684A45" w:rsidRPr="00684A45">
        <w:rPr>
          <w:sz w:val="24"/>
          <w:szCs w:val="24"/>
          <w:lang w:val="es-ES_tradnl"/>
        </w:rPr>
        <w:t xml:space="preserve"> que resultará de la implementación del plan de acción. Los recursos previstos permitirán el diseño, montaje y funcionamiento inicial del sistema, el cual será posteriormente asumido por la sociedad civil, academia, y el sector privado, entre otros.</w:t>
      </w:r>
    </w:p>
    <w:p w:rsidR="00684A45" w:rsidRDefault="00684A45" w:rsidP="00684A45">
      <w:pPr>
        <w:ind w:left="720" w:hanging="720"/>
        <w:jc w:val="both"/>
        <w:rPr>
          <w:sz w:val="24"/>
          <w:szCs w:val="24"/>
          <w:lang w:val="es-ES_tradnl"/>
        </w:rPr>
      </w:pPr>
    </w:p>
    <w:p w:rsidR="00684A45" w:rsidRPr="00684A45" w:rsidRDefault="00684A45" w:rsidP="00684A45">
      <w:pPr>
        <w:ind w:left="720" w:hanging="720"/>
        <w:jc w:val="both"/>
        <w:rPr>
          <w:sz w:val="24"/>
          <w:szCs w:val="24"/>
          <w:lang w:val="es-ES_tradnl"/>
        </w:rPr>
      </w:pPr>
      <w:r>
        <w:rPr>
          <w:b/>
          <w:sz w:val="24"/>
          <w:szCs w:val="24"/>
          <w:lang w:val="es-ES_tradnl"/>
        </w:rPr>
        <w:t>2.07</w:t>
      </w:r>
      <w:r>
        <w:rPr>
          <w:b/>
          <w:sz w:val="24"/>
          <w:szCs w:val="24"/>
          <w:lang w:val="es-ES_tradnl"/>
        </w:rPr>
        <w:tab/>
      </w:r>
      <w:r w:rsidRPr="00684A45">
        <w:rPr>
          <w:sz w:val="24"/>
          <w:szCs w:val="24"/>
          <w:lang w:val="es-ES_tradnl"/>
        </w:rPr>
        <w:t>Por intermedio del presente componente se financiará la contratación de servicios de consultoría destinados a realizar la coordinación y articulación entre las distintas áreas de gobierno para el diseño y puesta en marcha del sistema de monitoreo y seguimiento de la sostenibilidad en la ciudad de Mar del Plata; que incluya el diseño y desarrollo de un sistema para la visualización de los indicadores con disponibilidad para el público en general</w:t>
      </w:r>
      <w:r>
        <w:rPr>
          <w:sz w:val="24"/>
          <w:szCs w:val="24"/>
          <w:lang w:val="es-ES_tradnl"/>
        </w:rPr>
        <w:t xml:space="preserve">. Dicho sistema </w:t>
      </w:r>
      <w:r w:rsidRPr="00684A45">
        <w:rPr>
          <w:sz w:val="24"/>
          <w:szCs w:val="24"/>
          <w:lang w:val="es-ES_tradnl"/>
        </w:rPr>
        <w:t>permit</w:t>
      </w:r>
      <w:r>
        <w:rPr>
          <w:sz w:val="24"/>
          <w:szCs w:val="24"/>
          <w:lang w:val="es-ES_tradnl"/>
        </w:rPr>
        <w:t>irá</w:t>
      </w:r>
      <w:r w:rsidRPr="00684A45">
        <w:rPr>
          <w:sz w:val="24"/>
          <w:szCs w:val="24"/>
          <w:lang w:val="es-ES_tradnl"/>
        </w:rPr>
        <w:t xml:space="preserve"> conocer el avance/mejora en los indicadores de la ciudad.</w:t>
      </w:r>
    </w:p>
    <w:p w:rsidR="00F179CE" w:rsidRDefault="00F179CE" w:rsidP="00684A45">
      <w:pPr>
        <w:ind w:left="720" w:hanging="720"/>
        <w:jc w:val="both"/>
        <w:rPr>
          <w:b/>
          <w:sz w:val="24"/>
          <w:szCs w:val="24"/>
          <w:lang w:val="es-ES_tradnl"/>
        </w:rPr>
      </w:pPr>
    </w:p>
    <w:p w:rsidR="00F179CE" w:rsidRDefault="00F179CE" w:rsidP="00F179CE">
      <w:pPr>
        <w:ind w:left="720" w:hanging="720"/>
        <w:jc w:val="both"/>
        <w:rPr>
          <w:sz w:val="24"/>
          <w:szCs w:val="24"/>
          <w:lang w:val="es-ES_tradnl"/>
        </w:rPr>
      </w:pPr>
      <w:r>
        <w:rPr>
          <w:b/>
          <w:sz w:val="24"/>
          <w:lang w:val="es-ES_tradnl"/>
        </w:rPr>
        <w:t>III.</w:t>
      </w:r>
      <w:r>
        <w:rPr>
          <w:b/>
          <w:sz w:val="24"/>
          <w:lang w:val="es-ES_tradnl"/>
        </w:rPr>
        <w:tab/>
      </w:r>
      <w:r>
        <w:rPr>
          <w:b/>
          <w:sz w:val="24"/>
          <w:u w:val="single"/>
          <w:lang w:val="es-ES_tradnl"/>
        </w:rPr>
        <w:t>Costo del Programa y Financiamiento</w:t>
      </w:r>
    </w:p>
    <w:p w:rsidR="00F179CE" w:rsidRDefault="00F179CE" w:rsidP="00F179CE">
      <w:pPr>
        <w:ind w:left="720" w:hanging="720"/>
        <w:jc w:val="both"/>
        <w:rPr>
          <w:b/>
          <w:sz w:val="24"/>
          <w:lang w:val="es-ES_tradnl"/>
        </w:rPr>
      </w:pPr>
    </w:p>
    <w:p w:rsidR="00F179CE" w:rsidRDefault="00F179CE" w:rsidP="00F179CE">
      <w:pPr>
        <w:ind w:left="720" w:hanging="720"/>
        <w:jc w:val="both"/>
        <w:rPr>
          <w:sz w:val="24"/>
          <w:lang w:val="es-ES_tradnl"/>
        </w:rPr>
      </w:pPr>
      <w:r>
        <w:rPr>
          <w:b/>
          <w:sz w:val="24"/>
          <w:lang w:val="es-ES_tradnl"/>
        </w:rPr>
        <w:t>3.01</w:t>
      </w:r>
      <w:r>
        <w:rPr>
          <w:sz w:val="24"/>
          <w:lang w:val="es-ES_tradnl"/>
        </w:rPr>
        <w:tab/>
        <w:t xml:space="preserve">El costo estimado del Proyecto es el equivalente a </w:t>
      </w:r>
      <w:r w:rsidR="00684A45">
        <w:rPr>
          <w:sz w:val="24"/>
          <w:lang w:val="es-ES_tradnl"/>
        </w:rPr>
        <w:t xml:space="preserve">ochocientos </w:t>
      </w:r>
      <w:r>
        <w:rPr>
          <w:sz w:val="24"/>
          <w:lang w:val="es-ES_tradnl"/>
        </w:rPr>
        <w:t>mil dólares (US$</w:t>
      </w:r>
      <w:r w:rsidR="00684A45">
        <w:rPr>
          <w:sz w:val="24"/>
          <w:lang w:val="es-ES_tradnl"/>
        </w:rPr>
        <w:t>800</w:t>
      </w:r>
      <w:r>
        <w:rPr>
          <w:sz w:val="24"/>
          <w:lang w:val="es-ES_tradnl"/>
        </w:rPr>
        <w:t>.</w:t>
      </w:r>
      <w:r w:rsidR="00684A45">
        <w:rPr>
          <w:sz w:val="24"/>
          <w:lang w:val="es-ES_tradnl"/>
        </w:rPr>
        <w:t>0</w:t>
      </w:r>
      <w:r>
        <w:rPr>
          <w:sz w:val="24"/>
          <w:lang w:val="es-ES_tradnl"/>
        </w:rPr>
        <w:t>00), según el siguiente presupuesto</w:t>
      </w:r>
      <w:r w:rsidR="00B158BE">
        <w:rPr>
          <w:sz w:val="24"/>
          <w:lang w:val="es-ES_tradnl"/>
        </w:rPr>
        <w:t>:</w:t>
      </w:r>
    </w:p>
    <w:p w:rsidR="00F179CE" w:rsidRDefault="00F179CE" w:rsidP="00F179CE">
      <w:pPr>
        <w:ind w:left="720" w:hanging="720"/>
        <w:jc w:val="both"/>
        <w:rPr>
          <w:b/>
          <w:sz w:val="24"/>
          <w:u w:val="single"/>
          <w:lang w:val="es-ES_tradnl"/>
        </w:rPr>
      </w:pPr>
    </w:p>
    <w:p w:rsidR="00B158BE" w:rsidRDefault="00B158BE" w:rsidP="00F179CE">
      <w:pPr>
        <w:ind w:left="720"/>
        <w:jc w:val="center"/>
        <w:rPr>
          <w:b/>
          <w:sz w:val="24"/>
          <w:u w:val="single"/>
          <w:lang w:val="es-ES_tradnl"/>
        </w:rPr>
      </w:pPr>
    </w:p>
    <w:p w:rsidR="00B158BE" w:rsidRDefault="00B158BE" w:rsidP="00F179CE">
      <w:pPr>
        <w:ind w:left="720"/>
        <w:jc w:val="center"/>
        <w:rPr>
          <w:b/>
          <w:sz w:val="24"/>
          <w:u w:val="single"/>
          <w:lang w:val="es-ES_tradnl"/>
        </w:rPr>
      </w:pPr>
    </w:p>
    <w:p w:rsidR="00B158BE" w:rsidRDefault="00B158BE" w:rsidP="00F179CE">
      <w:pPr>
        <w:ind w:left="720"/>
        <w:jc w:val="center"/>
        <w:rPr>
          <w:b/>
          <w:sz w:val="24"/>
          <w:u w:val="single"/>
          <w:lang w:val="es-ES_tradnl"/>
        </w:rPr>
      </w:pPr>
    </w:p>
    <w:p w:rsidR="00B158BE" w:rsidRDefault="00B158BE" w:rsidP="00F179CE">
      <w:pPr>
        <w:ind w:left="720"/>
        <w:jc w:val="center"/>
        <w:rPr>
          <w:b/>
          <w:sz w:val="24"/>
          <w:u w:val="single"/>
          <w:lang w:val="es-ES_tradnl"/>
        </w:rPr>
      </w:pPr>
    </w:p>
    <w:p w:rsidR="00B158BE" w:rsidRDefault="00B158BE" w:rsidP="00F179CE">
      <w:pPr>
        <w:ind w:left="720"/>
        <w:jc w:val="center"/>
        <w:rPr>
          <w:b/>
          <w:sz w:val="24"/>
          <w:u w:val="single"/>
          <w:lang w:val="es-ES_tradnl"/>
        </w:rPr>
      </w:pPr>
    </w:p>
    <w:p w:rsidR="00B158BE" w:rsidRDefault="00B158BE" w:rsidP="00F179CE">
      <w:pPr>
        <w:ind w:left="720"/>
        <w:jc w:val="center"/>
        <w:rPr>
          <w:b/>
          <w:sz w:val="24"/>
          <w:u w:val="single"/>
          <w:lang w:val="es-ES_tradnl"/>
        </w:rPr>
      </w:pPr>
    </w:p>
    <w:p w:rsidR="00F179CE" w:rsidRDefault="00F179CE" w:rsidP="00F179CE">
      <w:pPr>
        <w:ind w:left="720"/>
        <w:jc w:val="center"/>
        <w:rPr>
          <w:sz w:val="24"/>
          <w:szCs w:val="24"/>
          <w:lang w:val="es-ES_tradnl"/>
        </w:rPr>
      </w:pPr>
      <w:r>
        <w:rPr>
          <w:b/>
          <w:sz w:val="24"/>
          <w:u w:val="single"/>
          <w:lang w:val="es-ES_tradnl"/>
        </w:rPr>
        <w:lastRenderedPageBreak/>
        <w:t>Costo y Financiamiento</w:t>
      </w:r>
    </w:p>
    <w:p w:rsidR="00F179CE" w:rsidRDefault="00F179CE" w:rsidP="00F179CE">
      <w:pPr>
        <w:ind w:left="720"/>
        <w:jc w:val="center"/>
        <w:rPr>
          <w:b/>
          <w:sz w:val="24"/>
          <w:lang w:val="es-ES_tradnl"/>
        </w:rPr>
      </w:pPr>
      <w:r>
        <w:rPr>
          <w:b/>
          <w:sz w:val="24"/>
          <w:lang w:val="es-ES_tradnl"/>
        </w:rPr>
        <w:t>(</w:t>
      </w:r>
      <w:proofErr w:type="gramStart"/>
      <w:r>
        <w:rPr>
          <w:b/>
          <w:sz w:val="24"/>
          <w:lang w:val="es-ES_tradnl"/>
        </w:rPr>
        <w:t>en</w:t>
      </w:r>
      <w:proofErr w:type="gramEnd"/>
      <w:r>
        <w:rPr>
          <w:b/>
          <w:sz w:val="24"/>
          <w:lang w:val="es-ES_tradnl"/>
        </w:rPr>
        <w:t xml:space="preserve"> US$)</w:t>
      </w:r>
    </w:p>
    <w:p w:rsidR="00F179CE" w:rsidRDefault="00F179CE" w:rsidP="00F179CE">
      <w:pPr>
        <w:ind w:left="720"/>
        <w:jc w:val="center"/>
        <w:rPr>
          <w:b/>
          <w:sz w:val="24"/>
          <w:lang w:val="es-ES_tradnl"/>
        </w:rPr>
      </w:pPr>
    </w:p>
    <w:tbl>
      <w:tblPr>
        <w:tblStyle w:val="TableGrid"/>
        <w:tblW w:w="0" w:type="auto"/>
        <w:tblInd w:w="828" w:type="dxa"/>
        <w:tblLook w:val="04A0" w:firstRow="1" w:lastRow="0" w:firstColumn="1" w:lastColumn="0" w:noHBand="0" w:noVBand="1"/>
      </w:tblPr>
      <w:tblGrid>
        <w:gridCol w:w="4410"/>
        <w:gridCol w:w="2070"/>
        <w:gridCol w:w="2160"/>
      </w:tblGrid>
      <w:tr w:rsidR="00B158BE" w:rsidRPr="00B158BE" w:rsidTr="00B158BE">
        <w:trPr>
          <w:trHeight w:val="60"/>
        </w:trPr>
        <w:tc>
          <w:tcPr>
            <w:tcW w:w="4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158BE" w:rsidRPr="00B158BE" w:rsidRDefault="00B158BE" w:rsidP="00B158BE">
            <w:pPr>
              <w:ind w:left="720"/>
              <w:jc w:val="center"/>
              <w:rPr>
                <w:b/>
                <w:sz w:val="18"/>
                <w:szCs w:val="18"/>
                <w:lang w:val="es-ES_tradnl"/>
              </w:rPr>
            </w:pPr>
            <w:r w:rsidRPr="00B158BE">
              <w:rPr>
                <w:b/>
                <w:sz w:val="18"/>
                <w:szCs w:val="18"/>
                <w:lang w:val="es-ES_tradnl"/>
              </w:rPr>
              <w:t>Categoría</w:t>
            </w:r>
          </w:p>
        </w:tc>
        <w:tc>
          <w:tcPr>
            <w:tcW w:w="2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158BE" w:rsidRPr="00B158BE" w:rsidRDefault="00B158BE" w:rsidP="00B158BE">
            <w:pPr>
              <w:ind w:left="720"/>
              <w:jc w:val="center"/>
              <w:rPr>
                <w:b/>
                <w:sz w:val="18"/>
                <w:szCs w:val="18"/>
                <w:lang w:val="es-ES_tradnl"/>
              </w:rPr>
            </w:pPr>
            <w:r w:rsidRPr="00B158BE">
              <w:rPr>
                <w:b/>
                <w:sz w:val="18"/>
                <w:szCs w:val="18"/>
                <w:lang w:val="es-ES_tradnl"/>
              </w:rPr>
              <w:t xml:space="preserve">BID </w:t>
            </w:r>
          </w:p>
        </w:tc>
        <w:tc>
          <w:tcPr>
            <w:tcW w:w="2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158BE" w:rsidRPr="00B158BE" w:rsidRDefault="00B158BE" w:rsidP="00B158BE">
            <w:pPr>
              <w:ind w:left="720"/>
              <w:jc w:val="center"/>
              <w:rPr>
                <w:b/>
                <w:sz w:val="18"/>
                <w:szCs w:val="18"/>
                <w:lang w:val="es-ES_tradnl"/>
              </w:rPr>
            </w:pPr>
            <w:r w:rsidRPr="00B158BE">
              <w:rPr>
                <w:b/>
                <w:sz w:val="18"/>
                <w:szCs w:val="18"/>
                <w:lang w:val="es-ES_tradnl"/>
              </w:rPr>
              <w:t xml:space="preserve">Contraparte </w:t>
            </w:r>
          </w:p>
        </w:tc>
      </w:tr>
      <w:tr w:rsidR="00B158BE" w:rsidRPr="00B158BE" w:rsidTr="00B158BE">
        <w:trPr>
          <w:trHeight w:val="60"/>
        </w:trPr>
        <w:tc>
          <w:tcPr>
            <w:tcW w:w="441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 xml:space="preserve">Componente 1. Estudios y proyectos </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600.000</w:t>
            </w:r>
          </w:p>
        </w:tc>
        <w:tc>
          <w:tcPr>
            <w:tcW w:w="2160" w:type="dxa"/>
            <w:tcBorders>
              <w:top w:val="single" w:sz="4" w:space="0" w:color="auto"/>
              <w:left w:val="single" w:sz="4" w:space="0" w:color="auto"/>
              <w:bottom w:val="single" w:sz="4" w:space="0" w:color="auto"/>
              <w:right w:val="single" w:sz="4" w:space="0" w:color="auto"/>
            </w:tcBorders>
          </w:tcPr>
          <w:p w:rsidR="00B158BE" w:rsidRPr="00B158BE" w:rsidRDefault="00B158BE" w:rsidP="00B158BE">
            <w:pPr>
              <w:ind w:left="720"/>
              <w:jc w:val="center"/>
              <w:rPr>
                <w:sz w:val="18"/>
                <w:szCs w:val="18"/>
                <w:lang w:val="es-ES_tradnl"/>
              </w:rPr>
            </w:pPr>
          </w:p>
        </w:tc>
      </w:tr>
      <w:tr w:rsidR="00B158BE" w:rsidRPr="00B158BE" w:rsidTr="00B158BE">
        <w:trPr>
          <w:trHeight w:val="60"/>
        </w:trPr>
        <w:tc>
          <w:tcPr>
            <w:tcW w:w="4410" w:type="dxa"/>
            <w:tcBorders>
              <w:top w:val="single" w:sz="4" w:space="0" w:color="auto"/>
              <w:left w:val="single" w:sz="4" w:space="0" w:color="auto"/>
              <w:bottom w:val="single" w:sz="4" w:space="0" w:color="auto"/>
              <w:right w:val="single" w:sz="4" w:space="0" w:color="auto"/>
            </w:tcBorders>
            <w:hideMark/>
          </w:tcPr>
          <w:p w:rsidR="00497F29" w:rsidRPr="00B158BE" w:rsidRDefault="00B158BE" w:rsidP="00B158BE">
            <w:pPr>
              <w:numPr>
                <w:ilvl w:val="1"/>
                <w:numId w:val="12"/>
              </w:numPr>
              <w:jc w:val="center"/>
              <w:rPr>
                <w:sz w:val="18"/>
                <w:szCs w:val="18"/>
                <w:lang w:val="es-ES_tradnl"/>
              </w:rPr>
            </w:pPr>
            <w:r w:rsidRPr="00B158BE">
              <w:rPr>
                <w:sz w:val="18"/>
                <w:szCs w:val="18"/>
                <w:lang w:val="es-ES_tradnl"/>
              </w:rPr>
              <w:t>Agua</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150.000</w:t>
            </w:r>
          </w:p>
        </w:tc>
        <w:tc>
          <w:tcPr>
            <w:tcW w:w="216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30.000</w:t>
            </w:r>
          </w:p>
        </w:tc>
      </w:tr>
      <w:tr w:rsidR="00B158BE" w:rsidRPr="00B158BE" w:rsidTr="00B158BE">
        <w:tc>
          <w:tcPr>
            <w:tcW w:w="4410" w:type="dxa"/>
            <w:tcBorders>
              <w:top w:val="single" w:sz="4" w:space="0" w:color="auto"/>
              <w:left w:val="single" w:sz="4" w:space="0" w:color="auto"/>
              <w:bottom w:val="single" w:sz="4" w:space="0" w:color="auto"/>
              <w:right w:val="single" w:sz="4" w:space="0" w:color="auto"/>
            </w:tcBorders>
            <w:hideMark/>
          </w:tcPr>
          <w:p w:rsidR="00497F29" w:rsidRPr="00B158BE" w:rsidRDefault="00B158BE" w:rsidP="00B158BE">
            <w:pPr>
              <w:numPr>
                <w:ilvl w:val="1"/>
                <w:numId w:val="12"/>
              </w:numPr>
              <w:jc w:val="center"/>
              <w:rPr>
                <w:sz w:val="18"/>
                <w:szCs w:val="18"/>
                <w:lang w:val="es-ES_tradnl"/>
              </w:rPr>
            </w:pPr>
            <w:r w:rsidRPr="00B158BE">
              <w:rPr>
                <w:sz w:val="18"/>
                <w:szCs w:val="18"/>
                <w:lang w:val="es-ES_tradnl"/>
              </w:rPr>
              <w:t>Actuaciones Integrales</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250.000</w:t>
            </w:r>
          </w:p>
        </w:tc>
        <w:tc>
          <w:tcPr>
            <w:tcW w:w="216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35.000</w:t>
            </w:r>
          </w:p>
        </w:tc>
      </w:tr>
      <w:tr w:rsidR="00B158BE" w:rsidRPr="00B158BE" w:rsidTr="00B158BE">
        <w:tc>
          <w:tcPr>
            <w:tcW w:w="4410" w:type="dxa"/>
            <w:tcBorders>
              <w:top w:val="single" w:sz="4" w:space="0" w:color="auto"/>
              <w:left w:val="single" w:sz="4" w:space="0" w:color="auto"/>
              <w:bottom w:val="single" w:sz="4" w:space="0" w:color="auto"/>
              <w:right w:val="single" w:sz="4" w:space="0" w:color="auto"/>
            </w:tcBorders>
            <w:hideMark/>
          </w:tcPr>
          <w:p w:rsidR="00497F29" w:rsidRPr="00B158BE" w:rsidRDefault="00B158BE" w:rsidP="00B158BE">
            <w:pPr>
              <w:numPr>
                <w:ilvl w:val="1"/>
                <w:numId w:val="12"/>
              </w:numPr>
              <w:jc w:val="center"/>
              <w:rPr>
                <w:sz w:val="18"/>
                <w:szCs w:val="18"/>
                <w:lang w:val="es-ES_tradnl"/>
              </w:rPr>
            </w:pPr>
            <w:r w:rsidRPr="00B158BE">
              <w:rPr>
                <w:sz w:val="18"/>
                <w:szCs w:val="18"/>
                <w:lang w:val="es-ES_tradnl"/>
              </w:rPr>
              <w:t>Transporte</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200.000</w:t>
            </w:r>
          </w:p>
        </w:tc>
        <w:tc>
          <w:tcPr>
            <w:tcW w:w="216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35.000</w:t>
            </w:r>
          </w:p>
        </w:tc>
      </w:tr>
      <w:tr w:rsidR="00B158BE" w:rsidRPr="00B158BE" w:rsidTr="00B158BE">
        <w:tc>
          <w:tcPr>
            <w:tcW w:w="441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Componente 2. Monitoreo Ciudadano</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100.000</w:t>
            </w:r>
          </w:p>
        </w:tc>
        <w:tc>
          <w:tcPr>
            <w:tcW w:w="2160" w:type="dxa"/>
            <w:tcBorders>
              <w:top w:val="single" w:sz="4" w:space="0" w:color="auto"/>
              <w:left w:val="single" w:sz="4" w:space="0" w:color="auto"/>
              <w:bottom w:val="single" w:sz="4" w:space="0" w:color="auto"/>
              <w:right w:val="single" w:sz="4" w:space="0" w:color="auto"/>
            </w:tcBorders>
          </w:tcPr>
          <w:p w:rsidR="00B158BE" w:rsidRPr="00B158BE" w:rsidRDefault="00B158BE" w:rsidP="00B158BE">
            <w:pPr>
              <w:ind w:left="720"/>
              <w:jc w:val="center"/>
              <w:rPr>
                <w:b/>
                <w:sz w:val="18"/>
                <w:szCs w:val="18"/>
                <w:lang w:val="es-ES_tradnl"/>
              </w:rPr>
            </w:pPr>
          </w:p>
        </w:tc>
      </w:tr>
      <w:tr w:rsidR="00B158BE" w:rsidRPr="00B158BE" w:rsidTr="00B158BE">
        <w:tc>
          <w:tcPr>
            <w:tcW w:w="441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2.1. Coordinación y puesta en marcha del sistema</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sz w:val="18"/>
                <w:szCs w:val="18"/>
                <w:lang w:val="es-ES_tradnl"/>
              </w:rPr>
            </w:pPr>
            <w:r w:rsidRPr="00B158BE">
              <w:rPr>
                <w:sz w:val="18"/>
                <w:szCs w:val="18"/>
                <w:lang w:val="es-ES_tradnl"/>
              </w:rPr>
              <w:t>100.000</w:t>
            </w:r>
          </w:p>
        </w:tc>
        <w:tc>
          <w:tcPr>
            <w:tcW w:w="2160" w:type="dxa"/>
            <w:tcBorders>
              <w:top w:val="single" w:sz="4" w:space="0" w:color="auto"/>
              <w:left w:val="single" w:sz="4" w:space="0" w:color="auto"/>
              <w:bottom w:val="single" w:sz="4" w:space="0" w:color="auto"/>
              <w:right w:val="single" w:sz="4" w:space="0" w:color="auto"/>
            </w:tcBorders>
          </w:tcPr>
          <w:p w:rsidR="00B158BE" w:rsidRPr="00B158BE" w:rsidRDefault="00B158BE" w:rsidP="00B158BE">
            <w:pPr>
              <w:ind w:left="720"/>
              <w:jc w:val="center"/>
              <w:rPr>
                <w:sz w:val="18"/>
                <w:szCs w:val="18"/>
                <w:lang w:val="es-ES_tradnl"/>
              </w:rPr>
            </w:pPr>
          </w:p>
        </w:tc>
      </w:tr>
      <w:tr w:rsidR="00B158BE" w:rsidRPr="00B158BE" w:rsidTr="00B158BE">
        <w:trPr>
          <w:trHeight w:val="60"/>
        </w:trPr>
        <w:tc>
          <w:tcPr>
            <w:tcW w:w="441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 xml:space="preserve">Total </w:t>
            </w:r>
          </w:p>
        </w:tc>
        <w:tc>
          <w:tcPr>
            <w:tcW w:w="207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700.000</w:t>
            </w:r>
          </w:p>
        </w:tc>
        <w:tc>
          <w:tcPr>
            <w:tcW w:w="2160" w:type="dxa"/>
            <w:tcBorders>
              <w:top w:val="single" w:sz="4" w:space="0" w:color="auto"/>
              <w:left w:val="single" w:sz="4" w:space="0" w:color="auto"/>
              <w:bottom w:val="single" w:sz="4" w:space="0" w:color="auto"/>
              <w:right w:val="single" w:sz="4" w:space="0" w:color="auto"/>
            </w:tcBorders>
            <w:hideMark/>
          </w:tcPr>
          <w:p w:rsidR="00B158BE" w:rsidRPr="00B158BE" w:rsidRDefault="00B158BE" w:rsidP="00B158BE">
            <w:pPr>
              <w:ind w:left="720"/>
              <w:jc w:val="center"/>
              <w:rPr>
                <w:b/>
                <w:sz w:val="18"/>
                <w:szCs w:val="18"/>
                <w:lang w:val="es-ES_tradnl"/>
              </w:rPr>
            </w:pPr>
            <w:r w:rsidRPr="00B158BE">
              <w:rPr>
                <w:b/>
                <w:sz w:val="18"/>
                <w:szCs w:val="18"/>
                <w:lang w:val="es-ES_tradnl"/>
              </w:rPr>
              <w:t>100.000</w:t>
            </w:r>
          </w:p>
        </w:tc>
      </w:tr>
    </w:tbl>
    <w:p w:rsidR="00F179CE" w:rsidRDefault="00F179CE" w:rsidP="00F179CE">
      <w:pPr>
        <w:keepNext/>
        <w:keepLines/>
        <w:tabs>
          <w:tab w:val="left" w:pos="-1440"/>
          <w:tab w:val="left" w:pos="-720"/>
          <w:tab w:val="left" w:pos="720"/>
          <w:tab w:val="left" w:pos="1320"/>
          <w:tab w:val="left" w:pos="2160"/>
          <w:tab w:val="left" w:pos="7200"/>
        </w:tabs>
        <w:jc w:val="center"/>
        <w:rPr>
          <w:b/>
          <w:sz w:val="24"/>
          <w:lang w:val="es-ES_tradnl"/>
        </w:rPr>
      </w:pPr>
    </w:p>
    <w:p w:rsidR="00F179CE" w:rsidRDefault="00F179CE" w:rsidP="005C1348">
      <w:pPr>
        <w:keepNext/>
        <w:keepLines/>
        <w:tabs>
          <w:tab w:val="left" w:pos="-1440"/>
          <w:tab w:val="left" w:pos="-720"/>
          <w:tab w:val="left" w:pos="720"/>
          <w:tab w:val="left" w:pos="1320"/>
          <w:tab w:val="left" w:pos="2160"/>
          <w:tab w:val="left" w:pos="7200"/>
        </w:tabs>
        <w:ind w:left="720" w:hanging="720"/>
        <w:jc w:val="both"/>
        <w:rPr>
          <w:b/>
          <w:sz w:val="24"/>
          <w:lang w:val="es-ES_tradnl"/>
        </w:rPr>
      </w:pPr>
      <w:r>
        <w:rPr>
          <w:b/>
          <w:sz w:val="24"/>
          <w:lang w:val="es-ES_tradnl"/>
        </w:rPr>
        <w:t>IV.</w:t>
      </w:r>
      <w:r>
        <w:rPr>
          <w:b/>
          <w:sz w:val="24"/>
          <w:lang w:val="es-ES_tradnl"/>
        </w:rPr>
        <w:tab/>
      </w:r>
      <w:r>
        <w:rPr>
          <w:b/>
          <w:sz w:val="24"/>
          <w:u w:val="single"/>
          <w:lang w:val="es-ES_tradnl"/>
        </w:rPr>
        <w:t>Ejecución</w:t>
      </w:r>
    </w:p>
    <w:p w:rsidR="00F179CE" w:rsidRDefault="00F179CE" w:rsidP="005C1348">
      <w:pPr>
        <w:pStyle w:val="PlainText"/>
        <w:keepNext/>
        <w:keepLines/>
        <w:ind w:left="720" w:hanging="720"/>
        <w:jc w:val="both"/>
        <w:rPr>
          <w:rFonts w:ascii="Times New Roman" w:hAnsi="Times New Roman"/>
          <w:b/>
          <w:sz w:val="24"/>
          <w:szCs w:val="24"/>
          <w:lang w:val="es-ES_tradnl"/>
        </w:rPr>
      </w:pPr>
    </w:p>
    <w:p w:rsidR="00B158BE" w:rsidRPr="0013707B" w:rsidRDefault="00F179CE" w:rsidP="005C1348">
      <w:pPr>
        <w:ind w:left="720" w:hanging="720"/>
        <w:jc w:val="both"/>
        <w:rPr>
          <w:rFonts w:eastAsia="Calibri"/>
          <w:sz w:val="24"/>
          <w:szCs w:val="24"/>
          <w:lang w:val="es-ES_tradnl"/>
        </w:rPr>
      </w:pPr>
      <w:r w:rsidRPr="00B158BE">
        <w:rPr>
          <w:b/>
          <w:sz w:val="24"/>
          <w:szCs w:val="24"/>
          <w:lang w:val="es-ES_tradnl"/>
        </w:rPr>
        <w:t>4.01</w:t>
      </w:r>
      <w:r w:rsidRPr="00B158BE">
        <w:rPr>
          <w:b/>
          <w:sz w:val="24"/>
          <w:szCs w:val="24"/>
          <w:lang w:val="es-ES_tradnl"/>
        </w:rPr>
        <w:tab/>
      </w:r>
      <w:r w:rsidR="00B158BE" w:rsidRPr="00B158BE">
        <w:rPr>
          <w:rFonts w:eastAsia="Calibri"/>
          <w:sz w:val="24"/>
          <w:szCs w:val="24"/>
          <w:lang w:val="es-ES_tradnl"/>
        </w:rPr>
        <w:t>El Componente 1 del Proyecto será ejecutado por la Municipalidad</w:t>
      </w:r>
      <w:r w:rsidR="00F33996">
        <w:rPr>
          <w:rFonts w:eastAsia="Calibri"/>
          <w:sz w:val="24"/>
          <w:szCs w:val="24"/>
          <w:lang w:val="es-ES_tradnl"/>
        </w:rPr>
        <w:t xml:space="preserve"> de</w:t>
      </w:r>
      <w:r w:rsidR="00B158BE" w:rsidRPr="00B158BE">
        <w:rPr>
          <w:rFonts w:eastAsia="Calibri"/>
          <w:sz w:val="24"/>
          <w:szCs w:val="24"/>
          <w:lang w:val="es-ES_tradnl"/>
        </w:rPr>
        <w:t xml:space="preserve"> General Pueyrredón, Mar del Plata, a través de una Unidad Ejecutora de Proyecto (UEP) designada para este fin por resolución de </w:t>
      </w:r>
      <w:r w:rsidR="00492CE2">
        <w:rPr>
          <w:rFonts w:eastAsia="Calibri"/>
          <w:sz w:val="24"/>
          <w:szCs w:val="24"/>
          <w:lang w:val="es-ES_tradnl"/>
        </w:rPr>
        <w:t>dicha</w:t>
      </w:r>
      <w:r w:rsidR="00B158BE" w:rsidRPr="00B158BE">
        <w:rPr>
          <w:rFonts w:eastAsia="Calibri"/>
          <w:sz w:val="24"/>
          <w:szCs w:val="24"/>
          <w:lang w:val="es-ES_tradnl"/>
        </w:rPr>
        <w:t xml:space="preserve"> Municipalidad. </w:t>
      </w:r>
      <w:r w:rsidR="00B158BE" w:rsidRPr="0013707B">
        <w:rPr>
          <w:rFonts w:eastAsia="Calibri"/>
          <w:sz w:val="24"/>
          <w:szCs w:val="24"/>
          <w:lang w:val="es-ES_tradnl"/>
        </w:rPr>
        <w:t xml:space="preserve">Esta UEP estará conformada </w:t>
      </w:r>
      <w:r w:rsidR="00B158BE" w:rsidRPr="0013707B">
        <w:rPr>
          <w:rFonts w:eastAsia="Calibri"/>
          <w:color w:val="000000"/>
          <w:sz w:val="24"/>
          <w:szCs w:val="24"/>
          <w:lang w:val="es-ES_tradnl"/>
        </w:rPr>
        <w:t xml:space="preserve">por un coordinador, un administrativo, un equipo fiduciario mínimo (adquisiciones, gestión financiera, legal, salvaguardas), y consultores técnicos para los proyectos específicos. </w:t>
      </w:r>
      <w:r w:rsidR="00B158BE" w:rsidRPr="0013707B">
        <w:rPr>
          <w:rFonts w:eastAsia="Calibri"/>
          <w:sz w:val="24"/>
          <w:szCs w:val="24"/>
          <w:lang w:val="es-ES_tradnl"/>
        </w:rPr>
        <w:t>Participarán de esta UEP todas las áreas del gobierno municipal involucradas en la Iniciativa Ciudades Emergentes y Sostenibles. Dichas áreas del gobierno serán: el Ente Municipal de Vialidad y Alumbrado Público en temas de Transporte, Obras Sanitarias Sociedad del Estado (OSSE) en temas de Agua, así como las dependencias municipales involucradas en temas relacionados a las Actuaciones Estratégicas Integrales.</w:t>
      </w:r>
    </w:p>
    <w:p w:rsidR="005C1348" w:rsidRPr="0013707B" w:rsidRDefault="005C1348" w:rsidP="005C1348">
      <w:pPr>
        <w:ind w:left="720" w:hanging="720"/>
        <w:jc w:val="both"/>
        <w:rPr>
          <w:rFonts w:eastAsia="Calibri"/>
          <w:sz w:val="24"/>
          <w:szCs w:val="24"/>
          <w:lang w:val="es-ES_tradnl"/>
        </w:rPr>
      </w:pPr>
    </w:p>
    <w:p w:rsidR="005C1348" w:rsidRDefault="005C1348" w:rsidP="005C1348">
      <w:pPr>
        <w:numPr>
          <w:ilvl w:val="1"/>
          <w:numId w:val="0"/>
        </w:numPr>
        <w:tabs>
          <w:tab w:val="num" w:pos="720"/>
          <w:tab w:val="num" w:pos="2448"/>
        </w:tabs>
        <w:ind w:left="720" w:hanging="720"/>
        <w:jc w:val="both"/>
        <w:outlineLvl w:val="1"/>
        <w:rPr>
          <w:rFonts w:eastAsia="Calibri"/>
          <w:sz w:val="24"/>
          <w:szCs w:val="24"/>
          <w:lang w:val="es-ES_tradnl"/>
        </w:rPr>
      </w:pPr>
      <w:r w:rsidRPr="005C1348">
        <w:rPr>
          <w:rFonts w:eastAsia="Calibri"/>
          <w:b/>
          <w:sz w:val="24"/>
          <w:szCs w:val="24"/>
          <w:lang w:val="es-ES_tradnl"/>
        </w:rPr>
        <w:t>4.02</w:t>
      </w:r>
      <w:r w:rsidRPr="005C1348">
        <w:rPr>
          <w:rFonts w:eastAsia="Calibri"/>
          <w:sz w:val="24"/>
          <w:szCs w:val="24"/>
          <w:lang w:val="es-ES_tradnl"/>
        </w:rPr>
        <w:tab/>
      </w:r>
      <w:r w:rsidRPr="00B158BE">
        <w:rPr>
          <w:rFonts w:eastAsia="Calibri"/>
          <w:sz w:val="24"/>
          <w:szCs w:val="24"/>
          <w:lang w:val="es-ES_tradnl"/>
        </w:rPr>
        <w:t>La UEP tendrá las siguientes funciones bajo su área de incumbencia</w:t>
      </w:r>
      <w:r w:rsidRPr="005C1348">
        <w:rPr>
          <w:rFonts w:eastAsia="Calibri"/>
          <w:sz w:val="24"/>
          <w:szCs w:val="24"/>
          <w:lang w:val="es-ES_tradnl"/>
        </w:rPr>
        <w:t xml:space="preserve"> en el Componente 1</w:t>
      </w:r>
      <w:r w:rsidRPr="00B158BE">
        <w:rPr>
          <w:rFonts w:eastAsia="Calibri"/>
          <w:sz w:val="24"/>
          <w:szCs w:val="24"/>
          <w:lang w:val="es-ES_tradnl"/>
        </w:rPr>
        <w:t>: i) actuar como contrapartida de los equipos de consultoría contratados para realizar los estudios; ii) participar de los comités de selección de los trabajos; iii) realizar el seguimiento de los trabajos de consultoría; iv) proponer ajustes que considere necesarios para el mejor desarrollo de los trabajos; v) participar de las reuniones de coordinación; y vi) preparar y presentar al Banco informes semestrales de progreso de la ejecución del</w:t>
      </w:r>
      <w:r w:rsidRPr="005C1348">
        <w:rPr>
          <w:rFonts w:eastAsia="Calibri"/>
          <w:sz w:val="24"/>
          <w:szCs w:val="24"/>
          <w:lang w:val="es-ES_tradnl"/>
        </w:rPr>
        <w:t xml:space="preserve"> Proyecto</w:t>
      </w:r>
      <w:r w:rsidRPr="00B158BE">
        <w:rPr>
          <w:rFonts w:eastAsia="Calibri"/>
          <w:sz w:val="24"/>
          <w:szCs w:val="24"/>
          <w:lang w:val="es-ES_tradnl"/>
        </w:rPr>
        <w:t>.</w:t>
      </w:r>
    </w:p>
    <w:p w:rsidR="005C1348" w:rsidRPr="005C1348" w:rsidRDefault="005C1348" w:rsidP="005C1348">
      <w:pPr>
        <w:numPr>
          <w:ilvl w:val="1"/>
          <w:numId w:val="0"/>
        </w:numPr>
        <w:tabs>
          <w:tab w:val="num" w:pos="720"/>
          <w:tab w:val="num" w:pos="2448"/>
        </w:tabs>
        <w:ind w:left="720" w:hanging="720"/>
        <w:jc w:val="both"/>
        <w:outlineLvl w:val="1"/>
        <w:rPr>
          <w:rFonts w:eastAsia="Calibri"/>
          <w:sz w:val="24"/>
          <w:szCs w:val="24"/>
          <w:lang w:val="es-ES_tradnl"/>
        </w:rPr>
      </w:pPr>
    </w:p>
    <w:p w:rsidR="005C1348" w:rsidRPr="00B158BE" w:rsidRDefault="005C1348" w:rsidP="005C1348">
      <w:pPr>
        <w:numPr>
          <w:ilvl w:val="1"/>
          <w:numId w:val="0"/>
        </w:numPr>
        <w:tabs>
          <w:tab w:val="num" w:pos="720"/>
          <w:tab w:val="num" w:pos="2448"/>
        </w:tabs>
        <w:ind w:left="720" w:hanging="720"/>
        <w:jc w:val="both"/>
        <w:outlineLvl w:val="1"/>
        <w:rPr>
          <w:rFonts w:eastAsia="Calibri"/>
          <w:sz w:val="24"/>
          <w:szCs w:val="24"/>
          <w:lang w:val="es-ES_tradnl"/>
        </w:rPr>
      </w:pPr>
      <w:r w:rsidRPr="005C1348">
        <w:rPr>
          <w:rFonts w:eastAsia="Calibri"/>
          <w:b/>
          <w:sz w:val="24"/>
          <w:szCs w:val="24"/>
          <w:lang w:val="es-ES_tradnl"/>
        </w:rPr>
        <w:t>4.03</w:t>
      </w:r>
      <w:r w:rsidRPr="005C1348">
        <w:rPr>
          <w:rFonts w:eastAsia="Calibri"/>
          <w:sz w:val="24"/>
          <w:szCs w:val="24"/>
          <w:lang w:val="es-ES_tradnl"/>
        </w:rPr>
        <w:tab/>
      </w:r>
      <w:r w:rsidRPr="00B158BE">
        <w:rPr>
          <w:rFonts w:eastAsia="Calibri"/>
          <w:sz w:val="24"/>
          <w:szCs w:val="24"/>
          <w:lang w:val="es-ES_tradnl"/>
        </w:rPr>
        <w:t>Los productos de los servicios de consultoría serán los estudios preparatorios detallados anteriormente. Durante la realización de los estudios, se efectuarán talleres de trabajo con el personal técnico local para la transferencia de conocimientos y tecnologías, dirigidos principalmente a los funcionarios de la Municipalidad de General Pueyrredón.</w:t>
      </w:r>
    </w:p>
    <w:p w:rsidR="00B158BE" w:rsidRPr="005C1348" w:rsidRDefault="00B158BE" w:rsidP="00B158BE">
      <w:pPr>
        <w:rPr>
          <w:rFonts w:eastAsia="Calibri"/>
          <w:sz w:val="24"/>
          <w:szCs w:val="24"/>
          <w:lang w:val="es-ES_tradnl"/>
        </w:rPr>
      </w:pPr>
    </w:p>
    <w:p w:rsidR="00B158BE" w:rsidRDefault="00B158BE" w:rsidP="00B158BE">
      <w:pPr>
        <w:ind w:left="720" w:hanging="720"/>
        <w:jc w:val="both"/>
        <w:rPr>
          <w:rFonts w:eastAsia="Calibri"/>
          <w:sz w:val="24"/>
          <w:szCs w:val="24"/>
          <w:lang w:val="es-ES_tradnl"/>
        </w:rPr>
      </w:pPr>
      <w:r w:rsidRPr="00B158BE">
        <w:rPr>
          <w:rFonts w:eastAsia="Calibri"/>
          <w:b/>
          <w:sz w:val="24"/>
          <w:szCs w:val="24"/>
          <w:lang w:val="es-ES_tradnl"/>
        </w:rPr>
        <w:t>4.0</w:t>
      </w:r>
      <w:r w:rsidR="005C1348">
        <w:rPr>
          <w:rFonts w:eastAsia="Calibri"/>
          <w:b/>
          <w:sz w:val="24"/>
          <w:szCs w:val="24"/>
          <w:lang w:val="es-ES_tradnl"/>
        </w:rPr>
        <w:t>4</w:t>
      </w:r>
      <w:r w:rsidRPr="00B158BE">
        <w:rPr>
          <w:rFonts w:eastAsia="Calibri"/>
          <w:sz w:val="24"/>
          <w:szCs w:val="24"/>
          <w:lang w:val="es-ES_tradnl"/>
        </w:rPr>
        <w:tab/>
        <w:t xml:space="preserve">El coordinador de la UEP tendrá como funciones: i) ser el interlocutor ante el Banco en todos los aspectos inherentes al Proyecto; </w:t>
      </w:r>
      <w:r w:rsidRPr="00B158BE">
        <w:rPr>
          <w:rFonts w:eastAsia="Calibri"/>
          <w:sz w:val="24"/>
          <w:szCs w:val="24"/>
          <w:lang w:val="es-ES_tradnl"/>
        </w:rPr>
        <w:br/>
        <w:t xml:space="preserve">ii) coordinar y articular las acciones de los componentes del Proyecto; iii) llevar adelante la administración del Proyecto, que incluirá gestión de solicitudes de desembolso, obtención de no objeciones a los procesos ante el Banco, contrataciones que el </w:t>
      </w:r>
      <w:r w:rsidR="005C1348">
        <w:rPr>
          <w:rFonts w:eastAsia="Calibri"/>
          <w:sz w:val="24"/>
          <w:szCs w:val="24"/>
          <w:lang w:val="es-ES_tradnl"/>
        </w:rPr>
        <w:t>Proyecto</w:t>
      </w:r>
      <w:r w:rsidRPr="00B158BE">
        <w:rPr>
          <w:rFonts w:eastAsia="Calibri"/>
          <w:sz w:val="24"/>
          <w:szCs w:val="24"/>
          <w:lang w:val="es-ES_tradnl"/>
        </w:rPr>
        <w:t xml:space="preserve"> demande; y iv) ser la contraparte de la auditoría del Proyecto.</w:t>
      </w:r>
    </w:p>
    <w:p w:rsidR="00B158BE" w:rsidRPr="00B158BE" w:rsidRDefault="00B158BE" w:rsidP="00B158BE">
      <w:pPr>
        <w:ind w:left="720" w:hanging="720"/>
        <w:jc w:val="both"/>
        <w:rPr>
          <w:rFonts w:eastAsia="Calibri"/>
          <w:sz w:val="24"/>
          <w:szCs w:val="24"/>
          <w:lang w:val="es-ES_tradnl"/>
        </w:rPr>
      </w:pPr>
    </w:p>
    <w:p w:rsidR="00B158BE" w:rsidRPr="00B158BE" w:rsidRDefault="005C1348" w:rsidP="005C1348">
      <w:pPr>
        <w:numPr>
          <w:ilvl w:val="1"/>
          <w:numId w:val="0"/>
        </w:numPr>
        <w:tabs>
          <w:tab w:val="num" w:pos="720"/>
          <w:tab w:val="num" w:pos="2448"/>
        </w:tabs>
        <w:spacing w:before="80" w:after="80"/>
        <w:ind w:left="720" w:hanging="720"/>
        <w:jc w:val="both"/>
        <w:outlineLvl w:val="1"/>
        <w:rPr>
          <w:rFonts w:eastAsia="Calibri"/>
          <w:sz w:val="24"/>
          <w:szCs w:val="24"/>
          <w:lang w:val="es-ES_tradnl"/>
        </w:rPr>
      </w:pPr>
      <w:r w:rsidRPr="00F33996">
        <w:rPr>
          <w:rFonts w:eastAsia="Calibri"/>
          <w:b/>
          <w:sz w:val="24"/>
          <w:szCs w:val="24"/>
          <w:lang w:val="es-ES_tradnl"/>
        </w:rPr>
        <w:lastRenderedPageBreak/>
        <w:t>4.05</w:t>
      </w:r>
      <w:r w:rsidRPr="00F33996">
        <w:rPr>
          <w:rFonts w:eastAsia="Calibri"/>
          <w:sz w:val="24"/>
          <w:szCs w:val="24"/>
          <w:lang w:val="es-ES_tradnl"/>
        </w:rPr>
        <w:tab/>
      </w:r>
      <w:r w:rsidR="00B158BE" w:rsidRPr="00B158BE">
        <w:rPr>
          <w:rFonts w:eastAsia="Calibri"/>
          <w:sz w:val="24"/>
          <w:szCs w:val="24"/>
          <w:lang w:val="es-ES_tradnl"/>
        </w:rPr>
        <w:t>Dentro del Banco, la Coordinación</w:t>
      </w:r>
      <w:r w:rsidR="00F33996">
        <w:rPr>
          <w:rFonts w:eastAsia="Calibri"/>
          <w:sz w:val="24"/>
          <w:szCs w:val="24"/>
          <w:lang w:val="es-ES_tradnl"/>
        </w:rPr>
        <w:t xml:space="preserve"> General</w:t>
      </w:r>
      <w:r w:rsidR="00B158BE" w:rsidRPr="00B158BE">
        <w:rPr>
          <w:rFonts w:eastAsia="Calibri"/>
          <w:sz w:val="24"/>
          <w:szCs w:val="24"/>
          <w:lang w:val="es-ES_tradnl"/>
        </w:rPr>
        <w:t xml:space="preserve"> de la I</w:t>
      </w:r>
      <w:r w:rsidR="00F33996" w:rsidRPr="00F33996">
        <w:rPr>
          <w:rFonts w:eastAsia="Calibri"/>
          <w:sz w:val="24"/>
          <w:szCs w:val="24"/>
          <w:lang w:val="es-ES_tradnl"/>
        </w:rPr>
        <w:t xml:space="preserve">niciativa </w:t>
      </w:r>
      <w:r w:rsidR="00B158BE" w:rsidRPr="00B158BE">
        <w:rPr>
          <w:rFonts w:eastAsia="Calibri"/>
          <w:sz w:val="24"/>
          <w:szCs w:val="24"/>
          <w:lang w:val="es-ES_tradnl"/>
        </w:rPr>
        <w:t>C</w:t>
      </w:r>
      <w:r w:rsidR="00F33996" w:rsidRPr="00F33996">
        <w:rPr>
          <w:rFonts w:eastAsia="Calibri"/>
          <w:sz w:val="24"/>
          <w:szCs w:val="24"/>
          <w:lang w:val="es-ES_tradnl"/>
        </w:rPr>
        <w:t xml:space="preserve">iudades Emergentes y Sostenibles </w:t>
      </w:r>
      <w:r w:rsidR="00B158BE" w:rsidRPr="00B158BE">
        <w:rPr>
          <w:rFonts w:eastAsia="Calibri"/>
          <w:sz w:val="24"/>
          <w:szCs w:val="24"/>
          <w:lang w:val="es-ES_tradnl"/>
        </w:rPr>
        <w:t>estará a cargo de</w:t>
      </w:r>
      <w:r w:rsidR="00F33996" w:rsidRPr="00F33996">
        <w:rPr>
          <w:rFonts w:eastAsia="Calibri"/>
          <w:sz w:val="24"/>
          <w:szCs w:val="24"/>
          <w:lang w:val="es-ES_tradnl"/>
        </w:rPr>
        <w:t xml:space="preserve"> </w:t>
      </w:r>
      <w:r w:rsidR="00B158BE" w:rsidRPr="00B158BE">
        <w:rPr>
          <w:rFonts w:eastAsia="Calibri"/>
          <w:sz w:val="24"/>
          <w:szCs w:val="24"/>
          <w:lang w:val="es-ES_tradnl"/>
        </w:rPr>
        <w:t>l</w:t>
      </w:r>
      <w:r w:rsidR="00F33996" w:rsidRPr="00F33996">
        <w:rPr>
          <w:rFonts w:eastAsia="Calibri"/>
          <w:sz w:val="24"/>
          <w:szCs w:val="24"/>
          <w:lang w:val="es-ES_tradnl"/>
        </w:rPr>
        <w:t>a</w:t>
      </w:r>
      <w:r w:rsidR="00B158BE" w:rsidRPr="00B158BE">
        <w:rPr>
          <w:rFonts w:eastAsia="Calibri"/>
          <w:sz w:val="24"/>
          <w:szCs w:val="24"/>
          <w:lang w:val="es-ES_tradnl"/>
        </w:rPr>
        <w:t xml:space="preserve"> implementación, monitoreo y evaluación de los informes semestrales de avance. Asimismo, las actividades correspondientes al Componente 2 del</w:t>
      </w:r>
      <w:r w:rsidR="00F33996" w:rsidRPr="00F33996">
        <w:rPr>
          <w:rFonts w:eastAsia="Calibri"/>
          <w:sz w:val="24"/>
          <w:szCs w:val="24"/>
          <w:lang w:val="es-ES_tradnl"/>
        </w:rPr>
        <w:t xml:space="preserve">  Proyecto</w:t>
      </w:r>
      <w:r w:rsidR="00B158BE" w:rsidRPr="00B158BE">
        <w:rPr>
          <w:rFonts w:eastAsia="Calibri"/>
          <w:sz w:val="24"/>
          <w:szCs w:val="24"/>
          <w:lang w:val="es-ES_tradnl"/>
        </w:rPr>
        <w:t xml:space="preserve"> (Sistema de monitoreo y evaluación de la sostenibilidad) serán ejecutadas por el Banco, a través de la Coordinación General de la I</w:t>
      </w:r>
      <w:r w:rsidR="00F33996" w:rsidRPr="00F33996">
        <w:rPr>
          <w:rFonts w:eastAsia="Calibri"/>
          <w:sz w:val="24"/>
          <w:szCs w:val="24"/>
          <w:lang w:val="es-ES_tradnl"/>
        </w:rPr>
        <w:t xml:space="preserve">niciativa de </w:t>
      </w:r>
      <w:r w:rsidR="00B158BE" w:rsidRPr="00B158BE">
        <w:rPr>
          <w:rFonts w:eastAsia="Calibri"/>
          <w:sz w:val="24"/>
          <w:szCs w:val="24"/>
          <w:lang w:val="es-ES_tradnl"/>
        </w:rPr>
        <w:t>C</w:t>
      </w:r>
      <w:r w:rsidR="00F33996" w:rsidRPr="00F33996">
        <w:rPr>
          <w:rFonts w:eastAsia="Calibri"/>
          <w:sz w:val="24"/>
          <w:szCs w:val="24"/>
          <w:lang w:val="es-ES_tradnl"/>
        </w:rPr>
        <w:t xml:space="preserve">iudades </w:t>
      </w:r>
      <w:r w:rsidR="00B158BE" w:rsidRPr="00B158BE">
        <w:rPr>
          <w:rFonts w:eastAsia="Calibri"/>
          <w:sz w:val="24"/>
          <w:szCs w:val="24"/>
          <w:lang w:val="es-ES_tradnl"/>
        </w:rPr>
        <w:t>E</w:t>
      </w:r>
      <w:r w:rsidR="00F33996" w:rsidRPr="00F33996">
        <w:rPr>
          <w:rFonts w:eastAsia="Calibri"/>
          <w:sz w:val="24"/>
          <w:szCs w:val="24"/>
          <w:lang w:val="es-ES_tradnl"/>
        </w:rPr>
        <w:t>mergentes y Sostenibles</w:t>
      </w:r>
      <w:r w:rsidR="00F33996">
        <w:rPr>
          <w:rFonts w:eastAsia="Calibri"/>
          <w:sz w:val="24"/>
          <w:szCs w:val="24"/>
          <w:lang w:val="es-ES_tradnl"/>
        </w:rPr>
        <w:t>,</w:t>
      </w:r>
      <w:r w:rsidR="00F33996" w:rsidRPr="00F33996">
        <w:rPr>
          <w:rFonts w:eastAsia="Calibri"/>
          <w:sz w:val="24"/>
          <w:szCs w:val="24"/>
          <w:lang w:val="es-ES_tradnl"/>
        </w:rPr>
        <w:t xml:space="preserve"> </w:t>
      </w:r>
      <w:r w:rsidR="00F33996" w:rsidRPr="00F33996">
        <w:rPr>
          <w:rFonts w:eastAsia="Calibri"/>
          <w:sz w:val="24"/>
          <w:szCs w:val="24"/>
          <w:highlight w:val="yellow"/>
          <w:lang w:val="es-ES_tradnl"/>
        </w:rPr>
        <w:t>en coordinación con el coordinador de la UEP</w:t>
      </w:r>
      <w:r w:rsidR="00B158BE" w:rsidRPr="00B158BE">
        <w:rPr>
          <w:rFonts w:eastAsia="Calibri"/>
          <w:sz w:val="24"/>
          <w:szCs w:val="24"/>
          <w:highlight w:val="yellow"/>
          <w:lang w:val="es-ES_tradnl"/>
        </w:rPr>
        <w:t>.</w:t>
      </w:r>
      <w:r w:rsidR="00B158BE" w:rsidRPr="00B158BE">
        <w:rPr>
          <w:rFonts w:eastAsia="Calibri"/>
          <w:sz w:val="24"/>
          <w:szCs w:val="24"/>
          <w:lang w:val="es-ES_tradnl"/>
        </w:rPr>
        <w:t xml:space="preserve"> </w:t>
      </w:r>
    </w:p>
    <w:p w:rsidR="00F179CE" w:rsidRDefault="00F179CE" w:rsidP="00B158BE">
      <w:pPr>
        <w:keepNext/>
        <w:keepLines/>
        <w:autoSpaceDE w:val="0"/>
        <w:autoSpaceDN w:val="0"/>
        <w:adjustRightInd w:val="0"/>
        <w:ind w:left="720" w:hanging="720"/>
        <w:jc w:val="both"/>
        <w:rPr>
          <w:sz w:val="24"/>
          <w:szCs w:val="24"/>
          <w:lang w:val="es-ES_tradnl"/>
        </w:rPr>
      </w:pPr>
    </w:p>
    <w:p w:rsidR="00F179CE" w:rsidRDefault="00F179CE" w:rsidP="00F179CE">
      <w:pPr>
        <w:pStyle w:val="PlainText"/>
        <w:ind w:left="720" w:hanging="720"/>
        <w:jc w:val="both"/>
        <w:rPr>
          <w:rFonts w:ascii="Times New Roman" w:hAnsi="Times New Roman"/>
          <w:b/>
          <w:sz w:val="24"/>
          <w:szCs w:val="24"/>
          <w:lang w:val="es-ES_tradnl"/>
        </w:rPr>
      </w:pPr>
      <w:r>
        <w:rPr>
          <w:rFonts w:ascii="Times New Roman" w:hAnsi="Times New Roman"/>
          <w:b/>
          <w:sz w:val="24"/>
          <w:szCs w:val="24"/>
          <w:lang w:val="es-ES_tradnl"/>
        </w:rPr>
        <w:t>V.</w:t>
      </w:r>
      <w:r>
        <w:rPr>
          <w:rFonts w:ascii="Times New Roman" w:hAnsi="Times New Roman"/>
          <w:b/>
          <w:sz w:val="24"/>
          <w:szCs w:val="24"/>
          <w:lang w:val="es-ES_tradnl"/>
        </w:rPr>
        <w:tab/>
      </w:r>
      <w:r>
        <w:rPr>
          <w:rFonts w:ascii="Times New Roman" w:hAnsi="Times New Roman"/>
          <w:b/>
          <w:sz w:val="24"/>
          <w:szCs w:val="24"/>
          <w:u w:val="single"/>
          <w:lang w:val="es-ES_tradnl"/>
        </w:rPr>
        <w:t>Supervisión y monitoreo</w:t>
      </w:r>
    </w:p>
    <w:p w:rsidR="00F179CE" w:rsidRDefault="00F179CE" w:rsidP="00F179CE">
      <w:pPr>
        <w:pStyle w:val="PlainText"/>
        <w:ind w:left="720" w:hanging="720"/>
        <w:jc w:val="both"/>
        <w:rPr>
          <w:rFonts w:ascii="Times New Roman" w:hAnsi="Times New Roman"/>
          <w:sz w:val="24"/>
          <w:szCs w:val="24"/>
          <w:lang w:val="es-ES_tradnl"/>
        </w:rPr>
      </w:pPr>
    </w:p>
    <w:p w:rsidR="00F179CE" w:rsidRPr="00F33996" w:rsidRDefault="00F179CE" w:rsidP="00F179CE">
      <w:pPr>
        <w:autoSpaceDE w:val="0"/>
        <w:autoSpaceDN w:val="0"/>
        <w:adjustRightInd w:val="0"/>
        <w:spacing w:before="80" w:after="80"/>
        <w:ind w:left="720" w:hanging="720"/>
        <w:jc w:val="both"/>
        <w:rPr>
          <w:sz w:val="24"/>
          <w:szCs w:val="24"/>
          <w:lang w:val="es-ES_tradnl"/>
        </w:rPr>
      </w:pPr>
      <w:r>
        <w:rPr>
          <w:b/>
          <w:sz w:val="24"/>
          <w:szCs w:val="24"/>
          <w:lang w:val="es-ES_tradnl"/>
        </w:rPr>
        <w:t>5.01</w:t>
      </w:r>
      <w:r>
        <w:rPr>
          <w:b/>
          <w:sz w:val="24"/>
          <w:szCs w:val="24"/>
          <w:lang w:val="es-ES_tradnl"/>
        </w:rPr>
        <w:tab/>
      </w:r>
      <w:r w:rsidR="00F33996" w:rsidRPr="00F33996">
        <w:rPr>
          <w:sz w:val="24"/>
          <w:szCs w:val="24"/>
          <w:lang w:val="es-ES_tradnl"/>
        </w:rPr>
        <w:t>L</w:t>
      </w:r>
      <w:r w:rsidR="001A5B50">
        <w:rPr>
          <w:sz w:val="24"/>
          <w:szCs w:val="24"/>
          <w:lang w:val="es-ES_tradnl"/>
        </w:rPr>
        <w:t>a</w:t>
      </w:r>
      <w:r w:rsidR="00F33996" w:rsidRPr="00B158BE">
        <w:rPr>
          <w:rFonts w:eastAsia="Calibri"/>
          <w:sz w:val="24"/>
          <w:szCs w:val="24"/>
          <w:lang w:val="es-ES_tradnl"/>
        </w:rPr>
        <w:t xml:space="preserve"> Municipalidad General Pueyrredón</w:t>
      </w:r>
      <w:r w:rsidR="00F33996">
        <w:rPr>
          <w:rFonts w:eastAsia="Calibri"/>
          <w:sz w:val="24"/>
          <w:szCs w:val="24"/>
          <w:lang w:val="es-ES_tradnl"/>
        </w:rPr>
        <w:t>, a través de la</w:t>
      </w:r>
      <w:r w:rsidR="00F33996" w:rsidRPr="00F33996">
        <w:rPr>
          <w:sz w:val="24"/>
          <w:szCs w:val="24"/>
          <w:lang w:val="es-ES_tradnl"/>
        </w:rPr>
        <w:t xml:space="preserve"> UEP</w:t>
      </w:r>
      <w:r w:rsidR="00F33996">
        <w:rPr>
          <w:sz w:val="24"/>
          <w:szCs w:val="24"/>
          <w:lang w:val="es-ES_tradnl"/>
        </w:rPr>
        <w:t>,</w:t>
      </w:r>
      <w:r w:rsidR="00F33996" w:rsidRPr="00F33996">
        <w:rPr>
          <w:sz w:val="24"/>
          <w:szCs w:val="24"/>
          <w:lang w:val="es-ES_tradnl"/>
        </w:rPr>
        <w:t xml:space="preserve"> deberá </w:t>
      </w:r>
      <w:r w:rsidR="00F33996" w:rsidRPr="00B158BE">
        <w:rPr>
          <w:rFonts w:eastAsia="Calibri"/>
          <w:sz w:val="24"/>
          <w:szCs w:val="24"/>
          <w:lang w:val="es-ES_tradnl"/>
        </w:rPr>
        <w:t xml:space="preserve">preparar y presentar al Banco informes semestrales de progreso </w:t>
      </w:r>
      <w:r w:rsidR="00F33996">
        <w:rPr>
          <w:rFonts w:eastAsia="Calibri"/>
          <w:sz w:val="24"/>
          <w:szCs w:val="24"/>
          <w:lang w:val="es-ES_tradnl"/>
        </w:rPr>
        <w:t xml:space="preserve">respecto </w:t>
      </w:r>
      <w:r w:rsidR="001A5B50">
        <w:rPr>
          <w:rFonts w:eastAsia="Calibri"/>
          <w:sz w:val="24"/>
          <w:szCs w:val="24"/>
          <w:lang w:val="es-ES_tradnl"/>
        </w:rPr>
        <w:t>de</w:t>
      </w:r>
      <w:r w:rsidR="00F33996">
        <w:rPr>
          <w:rFonts w:eastAsia="Calibri"/>
          <w:sz w:val="24"/>
          <w:szCs w:val="24"/>
          <w:lang w:val="es-ES_tradnl"/>
        </w:rPr>
        <w:t xml:space="preserve"> la</w:t>
      </w:r>
      <w:r w:rsidR="00F33996" w:rsidRPr="00B158BE">
        <w:rPr>
          <w:rFonts w:eastAsia="Calibri"/>
          <w:sz w:val="24"/>
          <w:szCs w:val="24"/>
          <w:lang w:val="es-ES_tradnl"/>
        </w:rPr>
        <w:t xml:space="preserve"> ejecución del</w:t>
      </w:r>
      <w:r w:rsidR="001A5B50">
        <w:rPr>
          <w:rFonts w:eastAsia="Calibri"/>
          <w:sz w:val="24"/>
          <w:szCs w:val="24"/>
          <w:lang w:val="es-ES_tradnl"/>
        </w:rPr>
        <w:t xml:space="preserve"> Componente 1 del</w:t>
      </w:r>
      <w:r w:rsidR="00F33996" w:rsidRPr="00F33996">
        <w:rPr>
          <w:rFonts w:eastAsia="Calibri"/>
          <w:sz w:val="24"/>
          <w:szCs w:val="24"/>
          <w:lang w:val="es-ES_tradnl"/>
        </w:rPr>
        <w:t xml:space="preserve"> Proyecto</w:t>
      </w:r>
      <w:r w:rsidR="00F33996">
        <w:rPr>
          <w:rFonts w:eastAsia="Calibri"/>
          <w:sz w:val="24"/>
          <w:szCs w:val="24"/>
          <w:lang w:val="es-ES_tradnl"/>
        </w:rPr>
        <w:t>.</w:t>
      </w:r>
    </w:p>
    <w:p w:rsidR="00F179CE" w:rsidRDefault="00F179CE" w:rsidP="00F179CE">
      <w:pPr>
        <w:pStyle w:val="Prrafodelista"/>
        <w:autoSpaceDE w:val="0"/>
        <w:autoSpaceDN w:val="0"/>
        <w:adjustRightInd w:val="0"/>
        <w:spacing w:before="80" w:after="80" w:line="240" w:lineRule="auto"/>
        <w:ind w:hanging="720"/>
        <w:jc w:val="both"/>
        <w:rPr>
          <w:rFonts w:ascii="Times New Roman" w:hAnsi="Times New Roman"/>
          <w:b/>
          <w:sz w:val="24"/>
          <w:szCs w:val="24"/>
          <w:lang w:val="es-ES_tradnl"/>
        </w:rPr>
      </w:pPr>
    </w:p>
    <w:p w:rsidR="00F179CE" w:rsidRDefault="00F179CE" w:rsidP="00F179CE">
      <w:pPr>
        <w:rPr>
          <w:lang w:val="es-ES_tradnl"/>
        </w:rPr>
      </w:pPr>
    </w:p>
    <w:p w:rsidR="00182A06" w:rsidRPr="00F179CE" w:rsidRDefault="00182A06">
      <w:pPr>
        <w:rPr>
          <w:lang w:val="es-ES_tradnl"/>
        </w:rPr>
      </w:pPr>
    </w:p>
    <w:sectPr w:rsidR="00182A06" w:rsidRPr="00F179C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818" w:rsidRDefault="00AA3818" w:rsidP="00AA3818">
      <w:r>
        <w:separator/>
      </w:r>
    </w:p>
  </w:endnote>
  <w:endnote w:type="continuationSeparator" w:id="0">
    <w:p w:rsidR="00AA3818" w:rsidRDefault="00AA3818" w:rsidP="00AA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8" w:rsidRPr="00AA3818" w:rsidRDefault="00AA3818" w:rsidP="00AA3818">
    <w:pPr>
      <w:pStyle w:val="Footer"/>
      <w:jc w:val="center"/>
      <w:rPr>
        <w:sz w:val="24"/>
        <w:szCs w:val="24"/>
        <w:lang w:val="es-ES_tradnl"/>
      </w:rPr>
    </w:pPr>
    <w:r>
      <w:rPr>
        <w:sz w:val="24"/>
        <w:szCs w:val="24"/>
        <w:lang w:val="es-ES_tradnl"/>
      </w:rPr>
      <w:t>ATN/OC-13538-AR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818" w:rsidRDefault="00AA3818" w:rsidP="00AA3818">
      <w:r>
        <w:separator/>
      </w:r>
    </w:p>
  </w:footnote>
  <w:footnote w:type="continuationSeparator" w:id="0">
    <w:p w:rsidR="00AA3818" w:rsidRDefault="00AA3818" w:rsidP="00AA3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248296"/>
      <w:docPartObj>
        <w:docPartGallery w:val="Page Numbers (Top of Page)"/>
        <w:docPartUnique/>
      </w:docPartObj>
    </w:sdtPr>
    <w:sdtEndPr>
      <w:rPr>
        <w:noProof/>
      </w:rPr>
    </w:sdtEndPr>
    <w:sdtContent>
      <w:p w:rsidR="0013707B" w:rsidRDefault="0013707B">
        <w:pPr>
          <w:pStyle w:val="Header"/>
          <w:jc w:val="center"/>
        </w:pPr>
        <w:r>
          <w:fldChar w:fldCharType="begin"/>
        </w:r>
        <w:r>
          <w:instrText xml:space="preserve"> PAGE   \* MERGEFORMAT </w:instrText>
        </w:r>
        <w:r>
          <w:fldChar w:fldCharType="separate"/>
        </w:r>
        <w:r>
          <w:rPr>
            <w:noProof/>
          </w:rPr>
          <w:t>4</w:t>
        </w:r>
        <w:r>
          <w:rPr>
            <w:noProof/>
          </w:rPr>
          <w:fldChar w:fldCharType="end"/>
        </w:r>
      </w:p>
    </w:sdtContent>
  </w:sdt>
  <w:p w:rsidR="0013707B" w:rsidRDefault="001370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138"/>
    <w:multiLevelType w:val="multilevel"/>
    <w:tmpl w:val="6A129E7A"/>
    <w:lvl w:ilvl="0">
      <w:start w:val="1"/>
      <w:numFmt w:val="decimal"/>
      <w:lvlText w:val="%1"/>
      <w:lvlJc w:val="left"/>
      <w:pPr>
        <w:ind w:left="375" w:hanging="375"/>
      </w:pPr>
      <w:rPr>
        <w:rFonts w:hint="default"/>
      </w:rPr>
    </w:lvl>
    <w:lvl w:ilvl="1">
      <w:start w:val="3"/>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CB2C3C"/>
    <w:multiLevelType w:val="hybridMultilevel"/>
    <w:tmpl w:val="9B2C5082"/>
    <w:lvl w:ilvl="0" w:tplc="1F8E0332">
      <w:start w:val="1"/>
      <w:numFmt w:val="lowerRoman"/>
      <w:lvlText w:val="(%1)"/>
      <w:lvlJc w:val="left"/>
      <w:pPr>
        <w:ind w:left="1440" w:hanging="360"/>
      </w:pPr>
      <w:rPr>
        <w:rFonts w:ascii="Times New Roman" w:eastAsia="Times New Roman" w:hAnsi="Times New Roman" w:cs="Times New Roman"/>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0F42036C"/>
    <w:multiLevelType w:val="multilevel"/>
    <w:tmpl w:val="E30A9826"/>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803713"/>
    <w:multiLevelType w:val="multilevel"/>
    <w:tmpl w:val="3FB46620"/>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FCA42AC"/>
    <w:multiLevelType w:val="hybridMultilevel"/>
    <w:tmpl w:val="55702296"/>
    <w:lvl w:ilvl="0" w:tplc="231AEE1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45435D63"/>
    <w:multiLevelType w:val="multilevel"/>
    <w:tmpl w:val="F572E096"/>
    <w:lvl w:ilvl="0">
      <w:start w:val="1"/>
      <w:numFmt w:val="decimal"/>
      <w:lvlText w:val="%1"/>
      <w:lvlJc w:val="left"/>
      <w:pPr>
        <w:ind w:left="420" w:hanging="420"/>
      </w:pPr>
      <w:rPr>
        <w:rFonts w:cstheme="minorBidi" w:hint="default"/>
        <w:b/>
        <w:sz w:val="24"/>
      </w:rPr>
    </w:lvl>
    <w:lvl w:ilvl="1">
      <w:start w:val="1"/>
      <w:numFmt w:val="decimalZero"/>
      <w:lvlText w:val="%1.%2"/>
      <w:lvlJc w:val="left"/>
      <w:pPr>
        <w:ind w:left="420" w:hanging="420"/>
      </w:pPr>
      <w:rPr>
        <w:rFonts w:cstheme="minorBidi" w:hint="default"/>
        <w:b/>
        <w:sz w:val="24"/>
      </w:rPr>
    </w:lvl>
    <w:lvl w:ilvl="2">
      <w:start w:val="1"/>
      <w:numFmt w:val="decimal"/>
      <w:lvlText w:val="%1.%2.%3"/>
      <w:lvlJc w:val="left"/>
      <w:pPr>
        <w:ind w:left="720" w:hanging="720"/>
      </w:pPr>
      <w:rPr>
        <w:rFonts w:cstheme="minorBidi" w:hint="default"/>
        <w:b/>
        <w:sz w:val="24"/>
      </w:rPr>
    </w:lvl>
    <w:lvl w:ilvl="3">
      <w:start w:val="1"/>
      <w:numFmt w:val="decimal"/>
      <w:lvlText w:val="%1.%2.%3.%4"/>
      <w:lvlJc w:val="left"/>
      <w:pPr>
        <w:ind w:left="720" w:hanging="720"/>
      </w:pPr>
      <w:rPr>
        <w:rFonts w:cstheme="minorBidi" w:hint="default"/>
        <w:b/>
        <w:sz w:val="24"/>
      </w:rPr>
    </w:lvl>
    <w:lvl w:ilvl="4">
      <w:start w:val="1"/>
      <w:numFmt w:val="decimal"/>
      <w:lvlText w:val="%1.%2.%3.%4.%5"/>
      <w:lvlJc w:val="left"/>
      <w:pPr>
        <w:ind w:left="1080" w:hanging="1080"/>
      </w:pPr>
      <w:rPr>
        <w:rFonts w:cstheme="minorBidi" w:hint="default"/>
        <w:b/>
        <w:sz w:val="24"/>
      </w:rPr>
    </w:lvl>
    <w:lvl w:ilvl="5">
      <w:start w:val="1"/>
      <w:numFmt w:val="decimal"/>
      <w:lvlText w:val="%1.%2.%3.%4.%5.%6"/>
      <w:lvlJc w:val="left"/>
      <w:pPr>
        <w:ind w:left="1080" w:hanging="1080"/>
      </w:pPr>
      <w:rPr>
        <w:rFonts w:cstheme="minorBidi" w:hint="default"/>
        <w:b/>
        <w:sz w:val="24"/>
      </w:rPr>
    </w:lvl>
    <w:lvl w:ilvl="6">
      <w:start w:val="1"/>
      <w:numFmt w:val="decimal"/>
      <w:lvlText w:val="%1.%2.%3.%4.%5.%6.%7"/>
      <w:lvlJc w:val="left"/>
      <w:pPr>
        <w:ind w:left="1440" w:hanging="1440"/>
      </w:pPr>
      <w:rPr>
        <w:rFonts w:cstheme="minorBidi" w:hint="default"/>
        <w:b/>
        <w:sz w:val="24"/>
      </w:rPr>
    </w:lvl>
    <w:lvl w:ilvl="7">
      <w:start w:val="1"/>
      <w:numFmt w:val="decimal"/>
      <w:lvlText w:val="%1.%2.%3.%4.%5.%6.%7.%8"/>
      <w:lvlJc w:val="left"/>
      <w:pPr>
        <w:ind w:left="1440" w:hanging="1440"/>
      </w:pPr>
      <w:rPr>
        <w:rFonts w:cstheme="minorBidi" w:hint="default"/>
        <w:b/>
        <w:sz w:val="24"/>
      </w:rPr>
    </w:lvl>
    <w:lvl w:ilvl="8">
      <w:start w:val="1"/>
      <w:numFmt w:val="decimal"/>
      <w:lvlText w:val="%1.%2.%3.%4.%5.%6.%7.%8.%9"/>
      <w:lvlJc w:val="left"/>
      <w:pPr>
        <w:ind w:left="1440" w:hanging="1440"/>
      </w:pPr>
      <w:rPr>
        <w:rFonts w:cstheme="minorBidi" w:hint="default"/>
        <w:b/>
        <w:sz w:val="24"/>
      </w:rPr>
    </w:lvl>
  </w:abstractNum>
  <w:abstractNum w:abstractNumId="6">
    <w:nsid w:val="47FE2974"/>
    <w:multiLevelType w:val="hybridMultilevel"/>
    <w:tmpl w:val="6E10B80C"/>
    <w:lvl w:ilvl="0" w:tplc="04090001">
      <w:start w:val="1"/>
      <w:numFmt w:val="bullet"/>
      <w:lvlText w:val=""/>
      <w:lvlJc w:val="left"/>
      <w:pPr>
        <w:ind w:left="720" w:hanging="360"/>
      </w:pPr>
      <w:rPr>
        <w:rFonts w:ascii="Symbol" w:hAnsi="Symbol" w:cs="Symbol" w:hint="default"/>
      </w:rPr>
    </w:lvl>
    <w:lvl w:ilvl="1" w:tplc="1D466E86">
      <w:start w:val="1"/>
      <w:numFmt w:val="lowerRoman"/>
      <w:lvlText w:val="(%2)"/>
      <w:lvlJc w:val="left"/>
      <w:pPr>
        <w:ind w:left="1440" w:hanging="360"/>
      </w:pPr>
      <w:rPr>
        <w:rFonts w:ascii="Times New Roman" w:eastAsia="Times New Roman" w:hAnsi="Times New Roman" w:cs="Times New Roman"/>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E1E2C56"/>
    <w:multiLevelType w:val="multilevel"/>
    <w:tmpl w:val="465EE928"/>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A8077CF"/>
    <w:multiLevelType w:val="hybridMultilevel"/>
    <w:tmpl w:val="937212B8"/>
    <w:lvl w:ilvl="0" w:tplc="78A4C04E">
      <w:start w:val="1"/>
      <w:numFmt w:val="lowerRoman"/>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C374988"/>
    <w:multiLevelType w:val="multilevel"/>
    <w:tmpl w:val="588AFD92"/>
    <w:lvl w:ilvl="0">
      <w:start w:val="1"/>
      <w:numFmt w:val="decimal"/>
      <w:lvlText w:val="%1"/>
      <w:lvlJc w:val="left"/>
      <w:pPr>
        <w:ind w:left="375" w:hanging="375"/>
      </w:pPr>
      <w:rPr>
        <w:rFonts w:hint="default"/>
      </w:rPr>
    </w:lvl>
    <w:lvl w:ilvl="1">
      <w:start w:val="3"/>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CD203DF"/>
    <w:multiLevelType w:val="multilevel"/>
    <w:tmpl w:val="5AD87BA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72FB6B04"/>
    <w:multiLevelType w:val="multilevel"/>
    <w:tmpl w:val="AF68B566"/>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color w:val="auto"/>
        <w:sz w:val="20"/>
        <w:szCs w:val="2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7"/>
  </w:num>
  <w:num w:numId="9">
    <w:abstractNumId w:val="2"/>
  </w:num>
  <w:num w:numId="10">
    <w:abstractNumId w:val="0"/>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9CE"/>
    <w:rsid w:val="0013707B"/>
    <w:rsid w:val="00146A03"/>
    <w:rsid w:val="00182A06"/>
    <w:rsid w:val="001A5B50"/>
    <w:rsid w:val="0039686D"/>
    <w:rsid w:val="00492CE2"/>
    <w:rsid w:val="00497F29"/>
    <w:rsid w:val="005C1348"/>
    <w:rsid w:val="00684A45"/>
    <w:rsid w:val="00AA3818"/>
    <w:rsid w:val="00B158BE"/>
    <w:rsid w:val="00EC7E29"/>
    <w:rsid w:val="00F179CE"/>
    <w:rsid w:val="00F33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C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179CE"/>
    <w:pPr>
      <w:keepNext/>
      <w:tabs>
        <w:tab w:val="left" w:pos="-1440"/>
        <w:tab w:val="left" w:pos="-720"/>
        <w:tab w:val="left" w:pos="720"/>
        <w:tab w:val="left" w:pos="1320"/>
        <w:tab w:val="left" w:pos="2160"/>
        <w:tab w:val="left" w:pos="7200"/>
      </w:tabs>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9CE"/>
    <w:rPr>
      <w:rFonts w:ascii="Times New Roman" w:eastAsia="Times New Roman" w:hAnsi="Times New Roman" w:cs="Times New Roman"/>
      <w:b/>
      <w:sz w:val="24"/>
      <w:szCs w:val="20"/>
      <w:u w:val="single"/>
    </w:rPr>
  </w:style>
  <w:style w:type="paragraph" w:styleId="Title">
    <w:name w:val="Title"/>
    <w:basedOn w:val="Normal"/>
    <w:link w:val="TitleChar"/>
    <w:qFormat/>
    <w:rsid w:val="00F179CE"/>
    <w:pPr>
      <w:tabs>
        <w:tab w:val="left" w:pos="-1440"/>
        <w:tab w:val="left" w:pos="-720"/>
        <w:tab w:val="left" w:pos="720"/>
        <w:tab w:val="left" w:pos="1320"/>
        <w:tab w:val="left" w:pos="2160"/>
        <w:tab w:val="left" w:pos="7200"/>
      </w:tabs>
      <w:jc w:val="center"/>
    </w:pPr>
    <w:rPr>
      <w:b/>
      <w:sz w:val="28"/>
    </w:rPr>
  </w:style>
  <w:style w:type="character" w:customStyle="1" w:styleId="TitleChar">
    <w:name w:val="Title Char"/>
    <w:basedOn w:val="DefaultParagraphFont"/>
    <w:link w:val="Title"/>
    <w:rsid w:val="00F179CE"/>
    <w:rPr>
      <w:rFonts w:ascii="Times New Roman" w:eastAsia="Times New Roman" w:hAnsi="Times New Roman" w:cs="Times New Roman"/>
      <w:b/>
      <w:sz w:val="28"/>
      <w:szCs w:val="20"/>
    </w:rPr>
  </w:style>
  <w:style w:type="paragraph" w:styleId="PlainText">
    <w:name w:val="Plain Text"/>
    <w:basedOn w:val="Normal"/>
    <w:link w:val="PlainTextChar"/>
    <w:uiPriority w:val="99"/>
    <w:semiHidden/>
    <w:unhideWhenUsed/>
    <w:rsid w:val="00F179CE"/>
    <w:rPr>
      <w:rFonts w:ascii="Consolas" w:eastAsia="Calibri" w:hAnsi="Consolas"/>
      <w:sz w:val="21"/>
      <w:szCs w:val="21"/>
    </w:rPr>
  </w:style>
  <w:style w:type="character" w:customStyle="1" w:styleId="PlainTextChar">
    <w:name w:val="Plain Text Char"/>
    <w:basedOn w:val="DefaultParagraphFont"/>
    <w:link w:val="PlainText"/>
    <w:uiPriority w:val="99"/>
    <w:semiHidden/>
    <w:rsid w:val="00F179CE"/>
    <w:rPr>
      <w:rFonts w:ascii="Consolas" w:eastAsia="Calibri" w:hAnsi="Consolas" w:cs="Times New Roman"/>
      <w:sz w:val="21"/>
      <w:szCs w:val="21"/>
    </w:rPr>
  </w:style>
  <w:style w:type="paragraph" w:customStyle="1" w:styleId="Prrafodelista">
    <w:name w:val="Párrafo de lista"/>
    <w:basedOn w:val="Normal"/>
    <w:uiPriority w:val="34"/>
    <w:qFormat/>
    <w:rsid w:val="00F179CE"/>
    <w:pPr>
      <w:spacing w:after="200" w:line="276" w:lineRule="auto"/>
      <w:ind w:left="720"/>
      <w:contextualSpacing/>
    </w:pPr>
    <w:rPr>
      <w:rFonts w:ascii="Calibri" w:eastAsia="Calibri" w:hAnsi="Calibri"/>
      <w:sz w:val="22"/>
      <w:szCs w:val="22"/>
    </w:rPr>
  </w:style>
  <w:style w:type="paragraph" w:customStyle="1" w:styleId="Prrafodelista1">
    <w:name w:val="Párrafo de lista1"/>
    <w:basedOn w:val="Normal"/>
    <w:uiPriority w:val="99"/>
    <w:rsid w:val="00F179CE"/>
    <w:pPr>
      <w:spacing w:after="200" w:line="276" w:lineRule="auto"/>
      <w:ind w:left="720"/>
    </w:pPr>
    <w:rPr>
      <w:rFonts w:ascii="Calibri" w:eastAsia="SimSun" w:hAnsi="Calibri" w:cs="Calibri"/>
      <w:sz w:val="22"/>
      <w:szCs w:val="22"/>
    </w:rPr>
  </w:style>
  <w:style w:type="paragraph" w:customStyle="1" w:styleId="Chapter">
    <w:name w:val="Chapter"/>
    <w:basedOn w:val="Normal"/>
    <w:next w:val="Normal"/>
    <w:uiPriority w:val="99"/>
    <w:rsid w:val="00F179CE"/>
    <w:pPr>
      <w:keepNext/>
      <w:numPr>
        <w:numId w:val="5"/>
      </w:numPr>
      <w:tabs>
        <w:tab w:val="num" w:pos="648"/>
        <w:tab w:val="left" w:pos="1440"/>
      </w:tabs>
      <w:spacing w:before="240" w:after="240"/>
      <w:ind w:left="0"/>
      <w:jc w:val="center"/>
    </w:pPr>
    <w:rPr>
      <w:b/>
      <w:smallCaps/>
      <w:sz w:val="24"/>
      <w:lang w:val="es-ES_tradnl"/>
    </w:rPr>
  </w:style>
  <w:style w:type="character" w:customStyle="1" w:styleId="ParagraphChar">
    <w:name w:val="Paragraph Char"/>
    <w:basedOn w:val="DefaultParagraphFont"/>
    <w:link w:val="Paragraph"/>
    <w:uiPriority w:val="99"/>
    <w:locked/>
    <w:rsid w:val="00F179CE"/>
    <w:rPr>
      <w:sz w:val="24"/>
      <w:lang w:val="es-ES_tradnl"/>
    </w:rPr>
  </w:style>
  <w:style w:type="paragraph" w:customStyle="1" w:styleId="Paragraph">
    <w:name w:val="Paragraph"/>
    <w:basedOn w:val="BodyTextIndent"/>
    <w:link w:val="ParagraphChar"/>
    <w:uiPriority w:val="99"/>
    <w:rsid w:val="00F179CE"/>
    <w:pPr>
      <w:numPr>
        <w:ilvl w:val="1"/>
        <w:numId w:val="5"/>
      </w:numPr>
      <w:tabs>
        <w:tab w:val="num" w:pos="720"/>
      </w:tabs>
      <w:spacing w:before="120"/>
      <w:ind w:left="720" w:hanging="720"/>
      <w:jc w:val="both"/>
      <w:outlineLvl w:val="1"/>
    </w:pPr>
    <w:rPr>
      <w:rFonts w:asciiTheme="minorHAnsi" w:eastAsiaTheme="minorHAnsi" w:hAnsiTheme="minorHAnsi" w:cstheme="minorBidi"/>
      <w:sz w:val="24"/>
      <w:szCs w:val="22"/>
      <w:lang w:val="es-ES_tradnl"/>
    </w:rPr>
  </w:style>
  <w:style w:type="paragraph" w:customStyle="1" w:styleId="subpar">
    <w:name w:val="subpar"/>
    <w:basedOn w:val="BodyTextIndent3"/>
    <w:uiPriority w:val="99"/>
    <w:rsid w:val="00F179CE"/>
    <w:pPr>
      <w:numPr>
        <w:ilvl w:val="2"/>
        <w:numId w:val="5"/>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uiPriority w:val="99"/>
    <w:rsid w:val="00F179CE"/>
    <w:pPr>
      <w:numPr>
        <w:ilvl w:val="3"/>
      </w:numPr>
      <w:tabs>
        <w:tab w:val="left" w:pos="0"/>
        <w:tab w:val="num" w:pos="360"/>
        <w:tab w:val="num" w:pos="1152"/>
        <w:tab w:val="num" w:pos="1296"/>
      </w:tabs>
      <w:ind w:left="1296" w:hanging="360"/>
    </w:pPr>
  </w:style>
  <w:style w:type="paragraph" w:styleId="BodyTextIndent">
    <w:name w:val="Body Text Indent"/>
    <w:basedOn w:val="Normal"/>
    <w:link w:val="BodyTextIndentChar"/>
    <w:uiPriority w:val="99"/>
    <w:semiHidden/>
    <w:unhideWhenUsed/>
    <w:rsid w:val="00F179CE"/>
    <w:pPr>
      <w:spacing w:after="120"/>
      <w:ind w:left="360"/>
    </w:pPr>
  </w:style>
  <w:style w:type="character" w:customStyle="1" w:styleId="BodyTextIndentChar">
    <w:name w:val="Body Text Indent Char"/>
    <w:basedOn w:val="DefaultParagraphFont"/>
    <w:link w:val="BodyTextIndent"/>
    <w:uiPriority w:val="99"/>
    <w:semiHidden/>
    <w:rsid w:val="00F179C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F179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9CE"/>
    <w:rPr>
      <w:rFonts w:ascii="Times New Roman" w:eastAsia="Times New Roman" w:hAnsi="Times New Roman" w:cs="Times New Roman"/>
      <w:sz w:val="16"/>
      <w:szCs w:val="16"/>
    </w:rPr>
  </w:style>
  <w:style w:type="table" w:styleId="TableGrid">
    <w:name w:val="Table Grid"/>
    <w:basedOn w:val="TableNormal"/>
    <w:uiPriority w:val="59"/>
    <w:rsid w:val="00B15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A3818"/>
    <w:pPr>
      <w:tabs>
        <w:tab w:val="center" w:pos="4680"/>
        <w:tab w:val="right" w:pos="9360"/>
      </w:tabs>
    </w:pPr>
  </w:style>
  <w:style w:type="character" w:customStyle="1" w:styleId="HeaderChar">
    <w:name w:val="Header Char"/>
    <w:basedOn w:val="DefaultParagraphFont"/>
    <w:link w:val="Header"/>
    <w:uiPriority w:val="99"/>
    <w:rsid w:val="00AA381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A3818"/>
    <w:pPr>
      <w:tabs>
        <w:tab w:val="center" w:pos="4680"/>
        <w:tab w:val="right" w:pos="9360"/>
      </w:tabs>
    </w:pPr>
  </w:style>
  <w:style w:type="character" w:customStyle="1" w:styleId="FooterChar">
    <w:name w:val="Footer Char"/>
    <w:basedOn w:val="DefaultParagraphFont"/>
    <w:link w:val="Footer"/>
    <w:uiPriority w:val="99"/>
    <w:rsid w:val="00AA38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2CE2"/>
    <w:rPr>
      <w:rFonts w:ascii="Tahoma" w:hAnsi="Tahoma" w:cs="Tahoma"/>
      <w:sz w:val="16"/>
      <w:szCs w:val="16"/>
    </w:rPr>
  </w:style>
  <w:style w:type="character" w:customStyle="1" w:styleId="BalloonTextChar">
    <w:name w:val="Balloon Text Char"/>
    <w:basedOn w:val="DefaultParagraphFont"/>
    <w:link w:val="BalloonText"/>
    <w:uiPriority w:val="99"/>
    <w:semiHidden/>
    <w:rsid w:val="00492CE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C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179CE"/>
    <w:pPr>
      <w:keepNext/>
      <w:tabs>
        <w:tab w:val="left" w:pos="-1440"/>
        <w:tab w:val="left" w:pos="-720"/>
        <w:tab w:val="left" w:pos="720"/>
        <w:tab w:val="left" w:pos="1320"/>
        <w:tab w:val="left" w:pos="2160"/>
        <w:tab w:val="left" w:pos="7200"/>
      </w:tabs>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9CE"/>
    <w:rPr>
      <w:rFonts w:ascii="Times New Roman" w:eastAsia="Times New Roman" w:hAnsi="Times New Roman" w:cs="Times New Roman"/>
      <w:b/>
      <w:sz w:val="24"/>
      <w:szCs w:val="20"/>
      <w:u w:val="single"/>
    </w:rPr>
  </w:style>
  <w:style w:type="paragraph" w:styleId="Title">
    <w:name w:val="Title"/>
    <w:basedOn w:val="Normal"/>
    <w:link w:val="TitleChar"/>
    <w:qFormat/>
    <w:rsid w:val="00F179CE"/>
    <w:pPr>
      <w:tabs>
        <w:tab w:val="left" w:pos="-1440"/>
        <w:tab w:val="left" w:pos="-720"/>
        <w:tab w:val="left" w:pos="720"/>
        <w:tab w:val="left" w:pos="1320"/>
        <w:tab w:val="left" w:pos="2160"/>
        <w:tab w:val="left" w:pos="7200"/>
      </w:tabs>
      <w:jc w:val="center"/>
    </w:pPr>
    <w:rPr>
      <w:b/>
      <w:sz w:val="28"/>
    </w:rPr>
  </w:style>
  <w:style w:type="character" w:customStyle="1" w:styleId="TitleChar">
    <w:name w:val="Title Char"/>
    <w:basedOn w:val="DefaultParagraphFont"/>
    <w:link w:val="Title"/>
    <w:rsid w:val="00F179CE"/>
    <w:rPr>
      <w:rFonts w:ascii="Times New Roman" w:eastAsia="Times New Roman" w:hAnsi="Times New Roman" w:cs="Times New Roman"/>
      <w:b/>
      <w:sz w:val="28"/>
      <w:szCs w:val="20"/>
    </w:rPr>
  </w:style>
  <w:style w:type="paragraph" w:styleId="PlainText">
    <w:name w:val="Plain Text"/>
    <w:basedOn w:val="Normal"/>
    <w:link w:val="PlainTextChar"/>
    <w:uiPriority w:val="99"/>
    <w:semiHidden/>
    <w:unhideWhenUsed/>
    <w:rsid w:val="00F179CE"/>
    <w:rPr>
      <w:rFonts w:ascii="Consolas" w:eastAsia="Calibri" w:hAnsi="Consolas"/>
      <w:sz w:val="21"/>
      <w:szCs w:val="21"/>
    </w:rPr>
  </w:style>
  <w:style w:type="character" w:customStyle="1" w:styleId="PlainTextChar">
    <w:name w:val="Plain Text Char"/>
    <w:basedOn w:val="DefaultParagraphFont"/>
    <w:link w:val="PlainText"/>
    <w:uiPriority w:val="99"/>
    <w:semiHidden/>
    <w:rsid w:val="00F179CE"/>
    <w:rPr>
      <w:rFonts w:ascii="Consolas" w:eastAsia="Calibri" w:hAnsi="Consolas" w:cs="Times New Roman"/>
      <w:sz w:val="21"/>
      <w:szCs w:val="21"/>
    </w:rPr>
  </w:style>
  <w:style w:type="paragraph" w:customStyle="1" w:styleId="Prrafodelista">
    <w:name w:val="Párrafo de lista"/>
    <w:basedOn w:val="Normal"/>
    <w:uiPriority w:val="34"/>
    <w:qFormat/>
    <w:rsid w:val="00F179CE"/>
    <w:pPr>
      <w:spacing w:after="200" w:line="276" w:lineRule="auto"/>
      <w:ind w:left="720"/>
      <w:contextualSpacing/>
    </w:pPr>
    <w:rPr>
      <w:rFonts w:ascii="Calibri" w:eastAsia="Calibri" w:hAnsi="Calibri"/>
      <w:sz w:val="22"/>
      <w:szCs w:val="22"/>
    </w:rPr>
  </w:style>
  <w:style w:type="paragraph" w:customStyle="1" w:styleId="Prrafodelista1">
    <w:name w:val="Párrafo de lista1"/>
    <w:basedOn w:val="Normal"/>
    <w:uiPriority w:val="99"/>
    <w:rsid w:val="00F179CE"/>
    <w:pPr>
      <w:spacing w:after="200" w:line="276" w:lineRule="auto"/>
      <w:ind w:left="720"/>
    </w:pPr>
    <w:rPr>
      <w:rFonts w:ascii="Calibri" w:eastAsia="SimSun" w:hAnsi="Calibri" w:cs="Calibri"/>
      <w:sz w:val="22"/>
      <w:szCs w:val="22"/>
    </w:rPr>
  </w:style>
  <w:style w:type="paragraph" w:customStyle="1" w:styleId="Chapter">
    <w:name w:val="Chapter"/>
    <w:basedOn w:val="Normal"/>
    <w:next w:val="Normal"/>
    <w:uiPriority w:val="99"/>
    <w:rsid w:val="00F179CE"/>
    <w:pPr>
      <w:keepNext/>
      <w:numPr>
        <w:numId w:val="5"/>
      </w:numPr>
      <w:tabs>
        <w:tab w:val="num" w:pos="648"/>
        <w:tab w:val="left" w:pos="1440"/>
      </w:tabs>
      <w:spacing w:before="240" w:after="240"/>
      <w:ind w:left="0"/>
      <w:jc w:val="center"/>
    </w:pPr>
    <w:rPr>
      <w:b/>
      <w:smallCaps/>
      <w:sz w:val="24"/>
      <w:lang w:val="es-ES_tradnl"/>
    </w:rPr>
  </w:style>
  <w:style w:type="character" w:customStyle="1" w:styleId="ParagraphChar">
    <w:name w:val="Paragraph Char"/>
    <w:basedOn w:val="DefaultParagraphFont"/>
    <w:link w:val="Paragraph"/>
    <w:uiPriority w:val="99"/>
    <w:locked/>
    <w:rsid w:val="00F179CE"/>
    <w:rPr>
      <w:sz w:val="24"/>
      <w:lang w:val="es-ES_tradnl"/>
    </w:rPr>
  </w:style>
  <w:style w:type="paragraph" w:customStyle="1" w:styleId="Paragraph">
    <w:name w:val="Paragraph"/>
    <w:basedOn w:val="BodyTextIndent"/>
    <w:link w:val="ParagraphChar"/>
    <w:uiPriority w:val="99"/>
    <w:rsid w:val="00F179CE"/>
    <w:pPr>
      <w:numPr>
        <w:ilvl w:val="1"/>
        <w:numId w:val="5"/>
      </w:numPr>
      <w:tabs>
        <w:tab w:val="num" w:pos="720"/>
      </w:tabs>
      <w:spacing w:before="120"/>
      <w:ind w:left="720" w:hanging="720"/>
      <w:jc w:val="both"/>
      <w:outlineLvl w:val="1"/>
    </w:pPr>
    <w:rPr>
      <w:rFonts w:asciiTheme="minorHAnsi" w:eastAsiaTheme="minorHAnsi" w:hAnsiTheme="minorHAnsi" w:cstheme="minorBidi"/>
      <w:sz w:val="24"/>
      <w:szCs w:val="22"/>
      <w:lang w:val="es-ES_tradnl"/>
    </w:rPr>
  </w:style>
  <w:style w:type="paragraph" w:customStyle="1" w:styleId="subpar">
    <w:name w:val="subpar"/>
    <w:basedOn w:val="BodyTextIndent3"/>
    <w:uiPriority w:val="99"/>
    <w:rsid w:val="00F179CE"/>
    <w:pPr>
      <w:numPr>
        <w:ilvl w:val="2"/>
        <w:numId w:val="5"/>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uiPriority w:val="99"/>
    <w:rsid w:val="00F179CE"/>
    <w:pPr>
      <w:numPr>
        <w:ilvl w:val="3"/>
      </w:numPr>
      <w:tabs>
        <w:tab w:val="left" w:pos="0"/>
        <w:tab w:val="num" w:pos="360"/>
        <w:tab w:val="num" w:pos="1152"/>
        <w:tab w:val="num" w:pos="1296"/>
      </w:tabs>
      <w:ind w:left="1296" w:hanging="360"/>
    </w:pPr>
  </w:style>
  <w:style w:type="paragraph" w:styleId="BodyTextIndent">
    <w:name w:val="Body Text Indent"/>
    <w:basedOn w:val="Normal"/>
    <w:link w:val="BodyTextIndentChar"/>
    <w:uiPriority w:val="99"/>
    <w:semiHidden/>
    <w:unhideWhenUsed/>
    <w:rsid w:val="00F179CE"/>
    <w:pPr>
      <w:spacing w:after="120"/>
      <w:ind w:left="360"/>
    </w:pPr>
  </w:style>
  <w:style w:type="character" w:customStyle="1" w:styleId="BodyTextIndentChar">
    <w:name w:val="Body Text Indent Char"/>
    <w:basedOn w:val="DefaultParagraphFont"/>
    <w:link w:val="BodyTextIndent"/>
    <w:uiPriority w:val="99"/>
    <w:semiHidden/>
    <w:rsid w:val="00F179C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F179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9CE"/>
    <w:rPr>
      <w:rFonts w:ascii="Times New Roman" w:eastAsia="Times New Roman" w:hAnsi="Times New Roman" w:cs="Times New Roman"/>
      <w:sz w:val="16"/>
      <w:szCs w:val="16"/>
    </w:rPr>
  </w:style>
  <w:style w:type="table" w:styleId="TableGrid">
    <w:name w:val="Table Grid"/>
    <w:basedOn w:val="TableNormal"/>
    <w:uiPriority w:val="59"/>
    <w:rsid w:val="00B15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A3818"/>
    <w:pPr>
      <w:tabs>
        <w:tab w:val="center" w:pos="4680"/>
        <w:tab w:val="right" w:pos="9360"/>
      </w:tabs>
    </w:pPr>
  </w:style>
  <w:style w:type="character" w:customStyle="1" w:styleId="HeaderChar">
    <w:name w:val="Header Char"/>
    <w:basedOn w:val="DefaultParagraphFont"/>
    <w:link w:val="Header"/>
    <w:uiPriority w:val="99"/>
    <w:rsid w:val="00AA381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A3818"/>
    <w:pPr>
      <w:tabs>
        <w:tab w:val="center" w:pos="4680"/>
        <w:tab w:val="right" w:pos="9360"/>
      </w:tabs>
    </w:pPr>
  </w:style>
  <w:style w:type="character" w:customStyle="1" w:styleId="FooterChar">
    <w:name w:val="Footer Char"/>
    <w:basedOn w:val="DefaultParagraphFont"/>
    <w:link w:val="Footer"/>
    <w:uiPriority w:val="99"/>
    <w:rsid w:val="00AA38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2CE2"/>
    <w:rPr>
      <w:rFonts w:ascii="Tahoma" w:hAnsi="Tahoma" w:cs="Tahoma"/>
      <w:sz w:val="16"/>
      <w:szCs w:val="16"/>
    </w:rPr>
  </w:style>
  <w:style w:type="character" w:customStyle="1" w:styleId="BalloonTextChar">
    <w:name w:val="Balloon Text Char"/>
    <w:basedOn w:val="DefaultParagraphFont"/>
    <w:link w:val="BalloonText"/>
    <w:uiPriority w:val="99"/>
    <w:semiHidden/>
    <w:rsid w:val="00492C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70342">
      <w:bodyDiv w:val="1"/>
      <w:marLeft w:val="0"/>
      <w:marRight w:val="0"/>
      <w:marTop w:val="0"/>
      <w:marBottom w:val="0"/>
      <w:divBdr>
        <w:top w:val="none" w:sz="0" w:space="0" w:color="auto"/>
        <w:left w:val="none" w:sz="0" w:space="0" w:color="auto"/>
        <w:bottom w:val="none" w:sz="0" w:space="0" w:color="auto"/>
        <w:right w:val="none" w:sz="0" w:space="0" w:color="auto"/>
      </w:divBdr>
    </w:div>
    <w:div w:id="585575022">
      <w:bodyDiv w:val="1"/>
      <w:marLeft w:val="0"/>
      <w:marRight w:val="0"/>
      <w:marTop w:val="0"/>
      <w:marBottom w:val="0"/>
      <w:divBdr>
        <w:top w:val="none" w:sz="0" w:space="0" w:color="auto"/>
        <w:left w:val="none" w:sz="0" w:space="0" w:color="auto"/>
        <w:bottom w:val="none" w:sz="0" w:space="0" w:color="auto"/>
        <w:right w:val="none" w:sz="0" w:space="0" w:color="auto"/>
      </w:divBdr>
    </w:div>
    <w:div w:id="748235082">
      <w:bodyDiv w:val="1"/>
      <w:marLeft w:val="0"/>
      <w:marRight w:val="0"/>
      <w:marTop w:val="0"/>
      <w:marBottom w:val="0"/>
      <w:divBdr>
        <w:top w:val="none" w:sz="0" w:space="0" w:color="auto"/>
        <w:left w:val="none" w:sz="0" w:space="0" w:color="auto"/>
        <w:bottom w:val="none" w:sz="0" w:space="0" w:color="auto"/>
        <w:right w:val="none" w:sz="0" w:space="0" w:color="auto"/>
      </w:divBdr>
    </w:div>
    <w:div w:id="1146438578">
      <w:bodyDiv w:val="1"/>
      <w:marLeft w:val="0"/>
      <w:marRight w:val="0"/>
      <w:marTop w:val="0"/>
      <w:marBottom w:val="0"/>
      <w:divBdr>
        <w:top w:val="none" w:sz="0" w:space="0" w:color="auto"/>
        <w:left w:val="none" w:sz="0" w:space="0" w:color="auto"/>
        <w:bottom w:val="none" w:sz="0" w:space="0" w:color="auto"/>
        <w:right w:val="none" w:sz="0" w:space="0" w:color="auto"/>
      </w:divBdr>
    </w:div>
    <w:div w:id="1295214528">
      <w:bodyDiv w:val="1"/>
      <w:marLeft w:val="0"/>
      <w:marRight w:val="0"/>
      <w:marTop w:val="0"/>
      <w:marBottom w:val="0"/>
      <w:divBdr>
        <w:top w:val="none" w:sz="0" w:space="0" w:color="auto"/>
        <w:left w:val="none" w:sz="0" w:space="0" w:color="auto"/>
        <w:bottom w:val="none" w:sz="0" w:space="0" w:color="auto"/>
        <w:right w:val="none" w:sz="0" w:space="0" w:color="auto"/>
      </w:divBdr>
    </w:div>
    <w:div w:id="1321732860">
      <w:bodyDiv w:val="1"/>
      <w:marLeft w:val="0"/>
      <w:marRight w:val="0"/>
      <w:marTop w:val="0"/>
      <w:marBottom w:val="0"/>
      <w:divBdr>
        <w:top w:val="none" w:sz="0" w:space="0" w:color="auto"/>
        <w:left w:val="none" w:sz="0" w:space="0" w:color="auto"/>
        <w:bottom w:val="none" w:sz="0" w:space="0" w:color="auto"/>
        <w:right w:val="none" w:sz="0" w:space="0" w:color="auto"/>
      </w:divBdr>
    </w:div>
    <w:div w:id="1785884647">
      <w:bodyDiv w:val="1"/>
      <w:marLeft w:val="0"/>
      <w:marRight w:val="0"/>
      <w:marTop w:val="0"/>
      <w:marBottom w:val="0"/>
      <w:divBdr>
        <w:top w:val="none" w:sz="0" w:space="0" w:color="auto"/>
        <w:left w:val="none" w:sz="0" w:space="0" w:color="auto"/>
        <w:bottom w:val="none" w:sz="0" w:space="0" w:color="auto"/>
        <w:right w:val="none" w:sz="0" w:space="0" w:color="auto"/>
      </w:divBdr>
    </w:div>
    <w:div w:id="210645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762e74be3411491139f963857c32efc7">
  <xsd:schema xmlns:xsd="http://www.w3.org/2001/XMLSchema" xmlns:xs="http://www.w3.org/2001/XMLSchema" xmlns:p="http://schemas.microsoft.com/office/2006/metadata/properties" xmlns:ns2="cdc7663a-08f0-4737-9e8c-148ce897a09c" targetNamespace="http://schemas.microsoft.com/office/2006/metadata/properties" ma:root="true" ma:fieldsID="692cd777a28f7b9f51df79c50f9f67c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37363583</IDBDocs_x0020_Number>
    <TaxCatchAll xmlns="cdc7663a-08f0-4737-9e8c-148ce897a09c">
      <Value>26</Value>
      <Value>23</Value>
      <Value>40</Value>
    </TaxCatchAll>
    <SISCOR_x0020_Number xmlns="cdc7663a-08f0-4737-9e8c-148ce897a09c" xsi:nil="true"/>
    <Division_x0020_or_x0020_Unit xmlns="cdc7663a-08f0-4737-9e8c-148ce897a09c">LEG/SGO</Division_x0020_or_x0020_Unit>
    <Document_x0020_Author xmlns="cdc7663a-08f0-4737-9e8c-148ce897a09c">jbedoya</Document_x0020_Author>
    <Fiscal_x0020_Year_x0020_IDB xmlns="cdc7663a-08f0-4737-9e8c-148ce897a09c">2013</Fiscal_x0020_Year_x0020_IDB>
    <Disclosure_x0020_Activity xmlns="cdc7663a-08f0-4737-9e8c-148ce897a09c">Technical Cooperation Agreement</Disclosure_x0020_Activity>
    <Other_x0020_Author xmlns="cdc7663a-08f0-4737-9e8c-148ce897a09c" xsi:nil="true"/>
    <Migration_x0020_Info xmlns="cdc7663a-08f0-4737-9e8c-148ce897a09c">&lt;Data&gt;&lt;APPLICATION&gt;MS WORD&lt;/APPLICATION&gt;&lt;STAGE_CODE&gt;AGREE-TC&lt;/STAGE_CODE&gt;&lt;USER_STAGE&gt;Technical Cooperation Agreement&lt;/USER_STAGE&gt;&lt;APPROVAL_CODE&gt;CHF&lt;/APPROVAL_CODE&gt;&lt;APPROVAL_DESC&gt;Chief&lt;/APPROVAL_DESC&gt;&lt;PD_OBJ_TYPE&gt;1&lt;/PD_OBJ_TYPE&gt;&lt;MAKERECORD&gt;Y&lt;/MAKERECORD&gt;&lt;PD_FILEPT_NO&gt;PO-AR-T1109-Agree&lt;/PD_FILEPT_NO&gt;&lt;PD_FILE_PART&gt;1094212361&lt;/PD_FILE_PART&gt;&lt;/Data&gt;</Migration_x0020_Info>
    <Document_x0020_Language_x0020_IDB xmlns="cdc7663a-08f0-4737-9e8c-148ce897a09c">Spanish</Document_x0020_Language_x0020_IDB>
    <Identifier xmlns="cdc7663a-08f0-4737-9e8c-148ce897a09c"> ANNEX</Identifie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Abstract xmlns="cdc7663a-08f0-4737-9e8c-148ce897a09c" xsi:nil="true"/>
    <Region xmlns="cdc7663a-08f0-4737-9e8c-148ce897a09c" xsi:nil="true"/>
    <_dlc_DocId xmlns="cdc7663a-08f0-4737-9e8c-148ce897a09c">EZSHARE-1044359933-4872</_dlc_DocId>
    <Publication_x0020_Type xmlns="cdc7663a-08f0-4737-9e8c-148ce897a09c" xsi:nil="true"/>
    <Issue_x0020_Date xmlns="cdc7663a-08f0-4737-9e8c-148ce897a09c" xsi:nil="true"/>
    <Related_x0020_SisCor_x0020_Number xmlns="cdc7663a-08f0-4737-9e8c-148ce897a09c" xsi:nil="true"/>
    <Webtopic xmlns="cdc7663a-08f0-4737-9e8c-148ce897a09c">Urban Development</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https://idbg.sharepoint.com/teams/ez-LEG/Operations/_layouts/15/DocIdRedir.aspx?ID=EZSHARE-1044359933-4872</Url>
      <Description>EZSHARE-1044359933-4872</Description>
    </_dlc_DocIdUrl>
  </documentManagement>
</p:properties>
</file>

<file path=customXml/item3.xml><?xml version="1.0" encoding="utf-8"?>
<?mso-contentType ?>
<SharedContentType xmlns="Microsoft.SharePoint.Taxonomy.ContentTypeSync" SourceId="cf0be0ad-272c-4e7f-a157-3f0abda6cde5" ContentTypeId="0x010100FBDC791374248D49AF91D63F8C9846C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1155D-6616-4A7C-A3D2-B6873C00B85B}"/>
</file>

<file path=customXml/itemProps2.xml><?xml version="1.0" encoding="utf-8"?>
<ds:datastoreItem xmlns:ds="http://schemas.openxmlformats.org/officeDocument/2006/customXml" ds:itemID="{1A4BAE0B-2702-4E27-A09F-846BDB4634BB}"/>
</file>

<file path=customXml/itemProps3.xml><?xml version="1.0" encoding="utf-8"?>
<ds:datastoreItem xmlns:ds="http://schemas.openxmlformats.org/officeDocument/2006/customXml" ds:itemID="{BB3F20B8-7A53-47FC-A370-CF97A0C19A90}"/>
</file>

<file path=customXml/itemProps4.xml><?xml version="1.0" encoding="utf-8"?>
<ds:datastoreItem xmlns:ds="http://schemas.openxmlformats.org/officeDocument/2006/customXml" ds:itemID="{E5E0AF53-02F4-4A87-94FD-73AE6C66F6C6}"/>
</file>

<file path=customXml/itemProps5.xml><?xml version="1.0" encoding="utf-8"?>
<ds:datastoreItem xmlns:ds="http://schemas.openxmlformats.org/officeDocument/2006/customXml" ds:itemID="{DD277CF9-B002-446C-A37C-8FE2D873E6C2}"/>
</file>

<file path=customXml/itemProps6.xml><?xml version="1.0" encoding="utf-8"?>
<ds:datastoreItem xmlns:ds="http://schemas.openxmlformats.org/officeDocument/2006/customXml" ds:itemID="{8BCBD3F0-993C-4634-A07A-2AA2A9D9AFCA}"/>
</file>

<file path=customXml/itemProps7.xml><?xml version="1.0" encoding="utf-8"?>
<ds:datastoreItem xmlns:ds="http://schemas.openxmlformats.org/officeDocument/2006/customXml" ds:itemID="{5D0FE225-001E-413D-BACD-D16B88648974}"/>
</file>

<file path=docProps/app.xml><?xml version="1.0" encoding="utf-8"?>
<Properties xmlns="http://schemas.openxmlformats.org/officeDocument/2006/extended-properties" xmlns:vt="http://schemas.openxmlformats.org/officeDocument/2006/docPropsVTypes">
  <Template>Normal.dotm</Template>
  <TotalTime>97</TotalTime>
  <Pages>4</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III - Implementación del Plan de Acción de la Iniciativa Ciudades Emergentes y Sostenibles</dc:title>
  <dc:subject/>
  <dc:creator>Test</dc:creator>
  <cp:keywords/>
  <dc:description/>
  <cp:lastModifiedBy>Test</cp:lastModifiedBy>
  <cp:revision>4</cp:revision>
  <cp:lastPrinted>2012-12-21T15:58:00Z</cp:lastPrinted>
  <dcterms:created xsi:type="dcterms:W3CDTF">2012-12-21T14:19:00Z</dcterms:created>
  <dcterms:modified xsi:type="dcterms:W3CDTF">2013-01-09T20:54:00Z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0x01010066B06E59AB175241BBFB297522263BEB0019E0C42C95086E4C870ECCEDA805AFD2</vt:lpwstr>
  </property>
  <property fmtid="{D5CDD505-2E9C-101B-9397-08002B2CF9AE}" pid="4" name="TaxKeyword">
    <vt:lpwstr/>
  </property>
  <property fmtid="{D5CDD505-2E9C-101B-9397-08002B2CF9AE}" pid="7" name="Key Document">
    <vt:bool>false</vt:bool>
  </property>
  <property fmtid="{D5CDD505-2E9C-101B-9397-08002B2CF9AE}" pid="8" name="Function_x0020_Operations_x0020_IDB">
    <vt:lpwstr/>
  </property>
  <property fmtid="{D5CDD505-2E9C-101B-9397-08002B2CF9AE}" pid="15" name="TaxKeywordTaxHTField">
    <vt:lpwstr/>
  </property>
  <property fmtid="{D5CDD505-2E9C-101B-9397-08002B2CF9AE}" pid="16" name="m555d3814edf4817b4410a4e57f94ce9">
    <vt:lpwstr/>
  </property>
  <property fmtid="{D5CDD505-2E9C-101B-9397-08002B2CF9AE}" pid="17" name="Project Number">
    <vt:lpwstr>AR-T1109</vt:lpwstr>
  </property>
  <property fmtid="{D5CDD505-2E9C-101B-9397-08002B2CF9AE}" pid="20" name="o5138a91267540169645e33d09c9ddc6">
    <vt:lpwstr/>
  </property>
  <property fmtid="{D5CDD505-2E9C-101B-9397-08002B2CF9AE}" pid="25" name="Approval Number">
    <vt:lpwstr>AR-T1109;ATN/OC-13538-AR</vt:lpwstr>
  </property>
  <property fmtid="{D5CDD505-2E9C-101B-9397-08002B2CF9AE}" pid="26" name="Fund IDB">
    <vt:lpwstr/>
  </property>
  <property fmtid="{D5CDD505-2E9C-101B-9397-08002B2CF9AE}" pid="27" name="Country">
    <vt:lpwstr>40;#Argentina|eb1b705c-195f-4c3b-9661-b201f2fee3c5</vt:lpwstr>
  </property>
  <property fmtid="{D5CDD505-2E9C-101B-9397-08002B2CF9AE}" pid="29" name="gaf487fafdd442a2b6050eaae514d0b5">
    <vt:lpwstr/>
  </property>
  <property fmtid="{D5CDD505-2E9C-101B-9397-08002B2CF9AE}" pid="30" name="Series_x0020_Operations_x0020_IDB">
    <vt:lpwstr/>
  </property>
  <property fmtid="{D5CDD505-2E9C-101B-9397-08002B2CF9AE}" pid="35" name="Sector IDB">
    <vt:lpwstr/>
  </property>
  <property fmtid="{D5CDD505-2E9C-101B-9397-08002B2CF9AE}" pid="36" name="Function Corporate IDB">
    <vt:lpwstr>23;#6 Project Operations Management|03af0c7d-3415-46d8-bacc-6351250af69c</vt:lpwstr>
  </property>
  <property fmtid="{D5CDD505-2E9C-101B-9397-08002B2CF9AE}" pid="37" name="Document_x0020_Type_x0020_IDB">
    <vt:lpwstr/>
  </property>
  <property fmtid="{D5CDD505-2E9C-101B-9397-08002B2CF9AE}" pid="39" name="fd0e48b6a66848a9885f717e5bbf40c4">
    <vt:lpwstr/>
  </property>
  <property fmtid="{D5CDD505-2E9C-101B-9397-08002B2CF9AE}" pid="41" name="e559ffcc31d34167856647188be35015">
    <vt:lpwstr/>
  </property>
  <property fmtid="{D5CDD505-2E9C-101B-9397-08002B2CF9AE}" pid="42" name="Legal_x0020_Basis">
    <vt:lpwstr/>
  </property>
  <property fmtid="{D5CDD505-2E9C-101B-9397-08002B2CF9AE}" pid="45" name="Legal_x0020_Taxonomy">
    <vt:lpwstr/>
  </property>
  <property fmtid="{D5CDD505-2E9C-101B-9397-08002B2CF9AE}" pid="46" name="Series Corporate IDB">
    <vt:lpwstr>26;#POM-01 Project Operations Management General|19d55793-e085-4277-a248-a5fc31bdbf37</vt:lpwstr>
  </property>
  <property fmtid="{D5CDD505-2E9C-101B-9397-08002B2CF9AE}" pid="55" name="Legal Taxonomy">
    <vt:lpwstr/>
  </property>
  <property fmtid="{D5CDD505-2E9C-101B-9397-08002B2CF9AE}" pid="58" name="Series Operations IDB">
    <vt:lpwstr/>
  </property>
  <property fmtid="{D5CDD505-2E9C-101B-9397-08002B2CF9AE}" pid="60" name="Legal Basis">
    <vt:lpwstr/>
  </property>
  <property fmtid="{D5CDD505-2E9C-101B-9397-08002B2CF9AE}" pid="62" name="Document Type IDB">
    <vt:lpwstr/>
  </property>
  <property fmtid="{D5CDD505-2E9C-101B-9397-08002B2CF9AE}" pid="66" name="Function Operations IDB">
    <vt:lpwstr/>
  </property>
  <property fmtid="{D5CDD505-2E9C-101B-9397-08002B2CF9AE}" pid="67" name="Order">
    <vt:r8>487200</vt:r8>
  </property>
  <property fmtid="{D5CDD505-2E9C-101B-9397-08002B2CF9AE}" pid="68" name="Project Document Type">
    <vt:lpwstr/>
  </property>
  <property fmtid="{D5CDD505-2E9C-101B-9397-08002B2CF9AE}" pid="69" name="Record Number">
    <vt:lpwstr/>
  </property>
  <property fmtid="{D5CDD505-2E9C-101B-9397-08002B2CF9AE}" pid="70" name="Legal Country">
    <vt:lpwstr/>
  </property>
  <property fmtid="{D5CDD505-2E9C-101B-9397-08002B2CF9AE}" pid="72" name="ATI Disclose Document Workflow v5">
    <vt:lpwstr/>
  </property>
  <property fmtid="{D5CDD505-2E9C-101B-9397-08002B2CF9AE}" pid="73" name="Attorney">
    <vt:lpwstr/>
  </property>
  <property fmtid="{D5CDD505-2E9C-101B-9397-08002B2CF9AE}" pid="74" name="Doc Copy">
    <vt:lpwstr/>
  </property>
  <property fmtid="{D5CDD505-2E9C-101B-9397-08002B2CF9AE}" pid="75" name="Operation Type">
    <vt:lpwstr/>
  </property>
  <property fmtid="{D5CDD505-2E9C-101B-9397-08002B2CF9AE}" pid="76" name="b26cdb1da78c4bb4b1c1bac2f6ac5911">
    <vt:lpwstr/>
  </property>
  <property fmtid="{D5CDD505-2E9C-101B-9397-08002B2CF9AE}" pid="77" name="Pipeline Number">
    <vt:lpwstr/>
  </property>
  <property fmtid="{D5CDD505-2E9C-101B-9397-08002B2CF9AE}" pid="78" name="Package Code">
    <vt:lpwstr/>
  </property>
  <property fmtid="{D5CDD505-2E9C-101B-9397-08002B2CF9AE}" pid="79" name="Annual Meeting">
    <vt:lpwstr/>
  </property>
  <property fmtid="{D5CDD505-2E9C-101B-9397-08002B2CF9AE}" pid="80" name="n2077c22f1e24496a073d1eb26f4ff79">
    <vt:lpwstr/>
  </property>
  <property fmtid="{D5CDD505-2E9C-101B-9397-08002B2CF9AE}" pid="81" name="Business Area">
    <vt:lpwstr/>
  </property>
  <property fmtid="{D5CDD505-2E9C-101B-9397-08002B2CF9AE}" pid="82" name="e46fe2894295491da65140ffd2369f49">
    <vt:lpwstr/>
  </property>
  <property fmtid="{D5CDD505-2E9C-101B-9397-08002B2CF9AE}" pid="83" name="nddeef1749674d76abdbe4b239a70bc6">
    <vt:lpwstr/>
  </property>
  <property fmtid="{D5CDD505-2E9C-101B-9397-08002B2CF9AE}" pid="84" name="g511464f9e53401d84b16fa9b379a574">
    <vt:lpwstr/>
  </property>
  <property fmtid="{D5CDD505-2E9C-101B-9397-08002B2CF9AE}" pid="86" name="Phase">
    <vt:lpwstr/>
  </property>
  <property fmtid="{D5CDD505-2E9C-101B-9397-08002B2CF9AE}" pid="87" name="Instrument">
    <vt:lpwstr/>
  </property>
  <property fmtid="{D5CDD505-2E9C-101B-9397-08002B2CF9AE}" pid="88" name="URL">
    <vt:lpwstr/>
  </property>
  <property fmtid="{D5CDD505-2E9C-101B-9397-08002B2CF9AE}" pid="89" name="ATI Undisclose Document Workflow">
    <vt:lpwstr/>
  </property>
  <property fmtid="{D5CDD505-2E9C-101B-9397-08002B2CF9AE}" pid="90" name="_dlc_DocIdItemGuid">
    <vt:lpwstr>4a0ddc4e-fa19-4ab0-8367-82ccafb1d2fd</vt:lpwstr>
  </property>
</Properties>
</file>