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2C4" w:rsidRPr="00B64E33" w:rsidRDefault="00A90E32" w:rsidP="007812C4">
      <w:pPr>
        <w:widowControl/>
        <w:tabs>
          <w:tab w:val="left" w:pos="0"/>
        </w:tabs>
        <w:rPr>
          <w:b/>
          <w:bCs/>
          <w:lang w:val="es-ES_tradnl"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1" locked="0" layoutInCell="1" allowOverlap="1" wp14:anchorId="4422498A" wp14:editId="726C004E">
            <wp:simplePos x="0" y="0"/>
            <wp:positionH relativeFrom="column">
              <wp:posOffset>-62865</wp:posOffset>
            </wp:positionH>
            <wp:positionV relativeFrom="paragraph">
              <wp:posOffset>-349885</wp:posOffset>
            </wp:positionV>
            <wp:extent cx="2019300" cy="609600"/>
            <wp:effectExtent l="0" t="0" r="0" b="0"/>
            <wp:wrapTight wrapText="bothSides">
              <wp:wrapPolygon edited="0">
                <wp:start x="8151" y="0"/>
                <wp:lineTo x="7947" y="675"/>
                <wp:lineTo x="7743" y="10800"/>
                <wp:lineTo x="0" y="16200"/>
                <wp:lineTo x="0" y="20925"/>
                <wp:lineTo x="21396" y="20925"/>
                <wp:lineTo x="21396" y="2025"/>
                <wp:lineTo x="20785" y="0"/>
                <wp:lineTo x="8151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12C4" w:rsidRDefault="007812C4" w:rsidP="007812C4">
      <w:pPr>
        <w:widowControl/>
        <w:tabs>
          <w:tab w:val="left" w:pos="0"/>
        </w:tabs>
        <w:jc w:val="right"/>
        <w:rPr>
          <w:sz w:val="20"/>
          <w:szCs w:val="20"/>
          <w:lang w:val="es-ES_tradnl"/>
        </w:rPr>
      </w:pPr>
      <w:bookmarkStart w:id="0" w:name="_DV_M2"/>
      <w:bookmarkEnd w:id="0"/>
    </w:p>
    <w:p w:rsidR="007812C4" w:rsidRPr="007812C4" w:rsidRDefault="007812C4" w:rsidP="007812C4">
      <w:pPr>
        <w:widowControl/>
        <w:tabs>
          <w:tab w:val="left" w:pos="0"/>
        </w:tabs>
        <w:jc w:val="right"/>
        <w:rPr>
          <w:color w:val="000000"/>
          <w:sz w:val="20"/>
          <w:szCs w:val="20"/>
          <w:lang w:val="es-ES_tradnl"/>
        </w:rPr>
      </w:pPr>
      <w:r w:rsidRPr="00B64E33">
        <w:rPr>
          <w:sz w:val="20"/>
          <w:szCs w:val="20"/>
          <w:lang w:val="es-ES_tradnl"/>
        </w:rPr>
        <w:t>LEG/SGO/</w:t>
      </w:r>
      <w:bookmarkStart w:id="1" w:name="_DV_C7"/>
      <w:r w:rsidRPr="00B64E33">
        <w:rPr>
          <w:sz w:val="20"/>
          <w:szCs w:val="20"/>
          <w:lang w:val="es-ES_tradnl"/>
        </w:rPr>
        <w:t>CSC</w:t>
      </w:r>
      <w:r w:rsidRPr="00942E4B">
        <w:rPr>
          <w:rStyle w:val="DeltaViewInsertion"/>
          <w:color w:val="000000"/>
          <w:sz w:val="20"/>
          <w:szCs w:val="20"/>
          <w:u w:val="none"/>
          <w:lang w:val="es-ES_tradnl"/>
        </w:rPr>
        <w:t>/</w:t>
      </w:r>
      <w:bookmarkStart w:id="2" w:name="_DV_M3"/>
      <w:bookmarkEnd w:id="1"/>
      <w:bookmarkEnd w:id="2"/>
      <w:r w:rsidRPr="00942E4B">
        <w:rPr>
          <w:color w:val="000000"/>
          <w:sz w:val="20"/>
          <w:szCs w:val="20"/>
          <w:lang w:val="es-ES_tradnl"/>
        </w:rPr>
        <w:t>IDBDOCS</w:t>
      </w:r>
      <w:bookmarkStart w:id="3" w:name="_DV_C8"/>
      <w:r w:rsidRPr="00942E4B">
        <w:rPr>
          <w:rStyle w:val="DeltaViewDeletion"/>
          <w:strike w:val="0"/>
          <w:color w:val="000000"/>
          <w:sz w:val="20"/>
          <w:szCs w:val="20"/>
          <w:lang w:val="es-ES_tradnl"/>
        </w:rPr>
        <w:t>:</w:t>
      </w:r>
      <w:bookmarkEnd w:id="3"/>
      <w:r w:rsidR="00415F6B">
        <w:rPr>
          <w:rStyle w:val="DeltaViewDeletion"/>
          <w:strike w:val="0"/>
          <w:color w:val="000000"/>
          <w:sz w:val="20"/>
          <w:szCs w:val="20"/>
          <w:lang w:val="es-ES_tradnl"/>
        </w:rPr>
        <w:t xml:space="preserve"> 37376472</w:t>
      </w:r>
    </w:p>
    <w:p w:rsidR="007812C4" w:rsidRPr="00B64E33" w:rsidRDefault="007812C4" w:rsidP="007812C4">
      <w:pPr>
        <w:widowControl/>
        <w:tabs>
          <w:tab w:val="right" w:pos="9360"/>
        </w:tabs>
        <w:jc w:val="both"/>
        <w:rPr>
          <w:lang w:val="es-ES_tradnl"/>
        </w:rPr>
      </w:pPr>
    </w:p>
    <w:p w:rsidR="007812C4" w:rsidRDefault="007812C4" w:rsidP="007812C4">
      <w:pPr>
        <w:widowControl/>
        <w:jc w:val="both"/>
        <w:rPr>
          <w:lang w:val="es-ES_tradnl"/>
        </w:rPr>
      </w:pPr>
    </w:p>
    <w:p w:rsidR="007812C4" w:rsidRPr="00B64E33" w:rsidRDefault="007812C4" w:rsidP="007812C4">
      <w:pPr>
        <w:widowControl/>
        <w:jc w:val="both"/>
        <w:rPr>
          <w:lang w:val="es-ES_tradnl"/>
        </w:rPr>
      </w:pPr>
      <w:r>
        <w:rPr>
          <w:lang w:val="es-ES_tradnl"/>
        </w:rPr>
        <w:t xml:space="preserve">Señor </w:t>
      </w:r>
    </w:p>
    <w:p w:rsidR="007812C4" w:rsidRPr="001F55AF" w:rsidRDefault="001F55AF" w:rsidP="007812C4">
      <w:pPr>
        <w:widowControl/>
        <w:jc w:val="both"/>
        <w:rPr>
          <w:lang w:val="es-ES_tradnl"/>
        </w:rPr>
      </w:pPr>
      <w:r w:rsidRPr="001F55AF">
        <w:rPr>
          <w:lang w:val="es-ES_tradnl"/>
        </w:rPr>
        <w:t>José Jorge Alperovich</w:t>
      </w:r>
    </w:p>
    <w:p w:rsidR="00415F6B" w:rsidRDefault="00415F6B" w:rsidP="007812C4">
      <w:pPr>
        <w:widowControl/>
        <w:jc w:val="both"/>
        <w:rPr>
          <w:lang w:val="es-ES_tradnl"/>
        </w:rPr>
      </w:pPr>
      <w:bookmarkStart w:id="4" w:name="_DV_M4"/>
      <w:bookmarkEnd w:id="4"/>
      <w:r w:rsidRPr="001F55AF">
        <w:rPr>
          <w:lang w:val="es-ES_tradnl"/>
        </w:rPr>
        <w:t>Gobernador</w:t>
      </w:r>
    </w:p>
    <w:p w:rsidR="00415F6B" w:rsidRPr="00B64E33" w:rsidRDefault="00415F6B" w:rsidP="007812C4">
      <w:pPr>
        <w:widowControl/>
        <w:jc w:val="both"/>
        <w:rPr>
          <w:lang w:val="es-ES_tradnl"/>
        </w:rPr>
      </w:pPr>
      <w:r>
        <w:rPr>
          <w:lang w:val="es-ES_tradnl"/>
        </w:rPr>
        <w:t>Provincia de Tucumán</w:t>
      </w:r>
    </w:p>
    <w:p w:rsidR="006B2963" w:rsidRDefault="006B2963" w:rsidP="007812C4">
      <w:pPr>
        <w:widowControl/>
        <w:jc w:val="both"/>
        <w:rPr>
          <w:lang w:val="es-AR"/>
        </w:rPr>
      </w:pPr>
      <w:r>
        <w:rPr>
          <w:lang w:val="es-AR"/>
        </w:rPr>
        <w:t xml:space="preserve">25 de mayo 90 </w:t>
      </w:r>
    </w:p>
    <w:p w:rsidR="006B2963" w:rsidRDefault="006B2963" w:rsidP="007812C4">
      <w:pPr>
        <w:widowControl/>
        <w:jc w:val="both"/>
        <w:rPr>
          <w:lang w:val="es-AR"/>
        </w:rPr>
      </w:pPr>
      <w:r>
        <w:rPr>
          <w:lang w:val="es-AR"/>
        </w:rPr>
        <w:t xml:space="preserve">San Miguel de Tucumán </w:t>
      </w:r>
      <w:bookmarkStart w:id="5" w:name="_GoBack"/>
      <w:bookmarkEnd w:id="5"/>
    </w:p>
    <w:p w:rsidR="006B2963" w:rsidRDefault="006B2963" w:rsidP="007812C4">
      <w:pPr>
        <w:widowControl/>
        <w:jc w:val="both"/>
        <w:rPr>
          <w:lang w:val="es-AR"/>
        </w:rPr>
      </w:pPr>
      <w:r>
        <w:rPr>
          <w:lang w:val="es-AR"/>
        </w:rPr>
        <w:t>Provincia de Tucumán</w:t>
      </w:r>
      <w:r w:rsidR="00595CBC">
        <w:rPr>
          <w:lang w:val="es-AR"/>
        </w:rPr>
        <w:t xml:space="preserve">, </w:t>
      </w:r>
      <w:r>
        <w:rPr>
          <w:lang w:val="es-AR"/>
        </w:rPr>
        <w:t xml:space="preserve">Argentina </w:t>
      </w:r>
    </w:p>
    <w:p w:rsidR="007812C4" w:rsidRPr="00B64E33" w:rsidRDefault="006B2963" w:rsidP="007812C4">
      <w:pPr>
        <w:widowControl/>
        <w:jc w:val="both"/>
        <w:rPr>
          <w:lang w:val="es-ES_tradnl"/>
        </w:rPr>
      </w:pPr>
      <w:r>
        <w:rPr>
          <w:lang w:val="es-AR"/>
        </w:rPr>
        <w:t>C.P:4000</w:t>
      </w:r>
    </w:p>
    <w:p w:rsidR="007812C4" w:rsidRPr="00B64E33" w:rsidRDefault="007812C4" w:rsidP="007812C4">
      <w:pPr>
        <w:widowControl/>
        <w:jc w:val="both"/>
        <w:rPr>
          <w:lang w:val="es-ES_tradnl"/>
        </w:rPr>
      </w:pPr>
    </w:p>
    <w:p w:rsidR="007812C4" w:rsidRPr="00B64E33" w:rsidRDefault="007812C4" w:rsidP="007812C4">
      <w:pPr>
        <w:widowControl/>
        <w:tabs>
          <w:tab w:val="left" w:pos="-1440"/>
        </w:tabs>
        <w:ind w:left="5040" w:hanging="720"/>
        <w:jc w:val="both"/>
        <w:rPr>
          <w:lang w:val="es-ES_tradnl"/>
        </w:rPr>
      </w:pPr>
      <w:bookmarkStart w:id="6" w:name="_DV_M12"/>
      <w:bookmarkEnd w:id="6"/>
      <w:r w:rsidRPr="00B64E33">
        <w:rPr>
          <w:lang w:val="es-ES_tradnl"/>
        </w:rPr>
        <w:t>Ref.:</w:t>
      </w:r>
      <w:r w:rsidRPr="00B64E33">
        <w:rPr>
          <w:lang w:val="es-ES_tradnl"/>
        </w:rPr>
        <w:tab/>
        <w:t xml:space="preserve">Cooperación Técnica No </w:t>
      </w:r>
      <w:bookmarkStart w:id="7" w:name="_DV_M14"/>
      <w:bookmarkEnd w:id="7"/>
      <w:r w:rsidRPr="00B64E33">
        <w:rPr>
          <w:lang w:val="es-ES_tradnl"/>
        </w:rPr>
        <w:t xml:space="preserve">Reembolsable No. </w:t>
      </w:r>
      <w:r w:rsidRPr="007812C4">
        <w:rPr>
          <w:lang w:val="es-ES_tradnl"/>
        </w:rPr>
        <w:t>ATN/OC-</w:t>
      </w:r>
      <w:r w:rsidR="00214643">
        <w:rPr>
          <w:lang w:val="es-ES_tradnl"/>
        </w:rPr>
        <w:t>13607</w:t>
      </w:r>
      <w:r w:rsidRPr="007812C4">
        <w:rPr>
          <w:lang w:val="es-ES_tradnl"/>
        </w:rPr>
        <w:t>-AR</w:t>
      </w:r>
      <w:r w:rsidRPr="00B64E33">
        <w:rPr>
          <w:lang w:val="es-ES_tradnl"/>
        </w:rPr>
        <w:t xml:space="preserve">.  </w:t>
      </w:r>
      <w:r w:rsidR="00415F6B">
        <w:rPr>
          <w:lang w:val="es-ES_tradnl"/>
        </w:rPr>
        <w:t>Fortalecimiento de la Gestión por Resultados en la Provincia de Tucumán</w:t>
      </w:r>
      <w:r w:rsidRPr="00B64E33">
        <w:rPr>
          <w:lang w:val="es-ES_tradnl"/>
        </w:rPr>
        <w:t>.</w:t>
      </w:r>
    </w:p>
    <w:p w:rsidR="007812C4" w:rsidRDefault="007812C4" w:rsidP="007812C4">
      <w:pPr>
        <w:widowControl/>
        <w:jc w:val="both"/>
        <w:rPr>
          <w:lang w:val="es-ES_tradnl"/>
        </w:rPr>
      </w:pPr>
      <w:bookmarkStart w:id="8" w:name="_DV_M15"/>
      <w:bookmarkEnd w:id="8"/>
    </w:p>
    <w:p w:rsidR="007812C4" w:rsidRPr="00B64E33" w:rsidRDefault="007812C4" w:rsidP="007812C4">
      <w:pPr>
        <w:widowControl/>
        <w:jc w:val="both"/>
        <w:rPr>
          <w:lang w:val="es-ES_tradnl"/>
        </w:rPr>
      </w:pPr>
      <w:r w:rsidRPr="00B64E33">
        <w:rPr>
          <w:lang w:val="es-ES_tradnl"/>
        </w:rPr>
        <w:t xml:space="preserve">Estimado Sr. </w:t>
      </w:r>
      <w:r w:rsidR="001F55AF">
        <w:rPr>
          <w:lang w:val="es-ES_tradnl"/>
        </w:rPr>
        <w:t>Alperovich</w:t>
      </w:r>
      <w:r w:rsidRPr="00B64E33">
        <w:rPr>
          <w:lang w:val="es-ES_tradnl"/>
        </w:rPr>
        <w:t>:</w:t>
      </w:r>
    </w:p>
    <w:p w:rsidR="007812C4" w:rsidRDefault="007812C4" w:rsidP="007812C4">
      <w:pPr>
        <w:widowControl/>
        <w:jc w:val="both"/>
        <w:rPr>
          <w:lang w:val="es-ES_tradnl"/>
        </w:rPr>
      </w:pPr>
    </w:p>
    <w:p w:rsidR="001F55AF" w:rsidRPr="00B64E33" w:rsidRDefault="001F55AF" w:rsidP="007812C4">
      <w:pPr>
        <w:widowControl/>
        <w:jc w:val="both"/>
        <w:rPr>
          <w:lang w:val="es-ES_tradnl"/>
        </w:rPr>
      </w:pPr>
    </w:p>
    <w:p w:rsidR="007812C4" w:rsidRPr="00B64E33" w:rsidRDefault="007812C4" w:rsidP="007812C4">
      <w:pPr>
        <w:widowControl/>
        <w:ind w:firstLine="720"/>
        <w:jc w:val="both"/>
        <w:rPr>
          <w:lang w:val="es-ES_tradnl"/>
        </w:rPr>
      </w:pPr>
      <w:bookmarkStart w:id="9" w:name="_DV_M16"/>
      <w:bookmarkEnd w:id="9"/>
      <w:r w:rsidRPr="00B64E33">
        <w:rPr>
          <w:lang w:val="es-ES_tradnl"/>
        </w:rPr>
        <w:t xml:space="preserve">Esta carta convenio, en adelante denominada el "Convenio", entre </w:t>
      </w:r>
      <w:r w:rsidR="0048213D">
        <w:rPr>
          <w:lang w:val="es-ES_tradnl"/>
        </w:rPr>
        <w:t xml:space="preserve">la </w:t>
      </w:r>
      <w:r w:rsidR="00415F6B">
        <w:rPr>
          <w:lang w:val="es-ES_tradnl"/>
        </w:rPr>
        <w:t>Provincia de Tucumán, de la República Argentina,</w:t>
      </w:r>
      <w:r w:rsidRPr="00B64E33">
        <w:rPr>
          <w:lang w:val="es-ES_tradnl"/>
        </w:rPr>
        <w:t xml:space="preserve"> en adelante denominad</w:t>
      </w:r>
      <w:r w:rsidR="00415F6B">
        <w:rPr>
          <w:lang w:val="es-ES_tradnl"/>
        </w:rPr>
        <w:t>a</w:t>
      </w:r>
      <w:r w:rsidRPr="00B64E33">
        <w:rPr>
          <w:lang w:val="es-ES_tradnl"/>
        </w:rPr>
        <w:t xml:space="preserve"> el "Beneficiario", y el Banco Interamericano de Desarrollo, en adelante denominado el "Banco", que sometemos a su consideración, tiene el propósito de formalizar los términos y las condiciones para el otorgamiento de una cooperación técnica no reembolsable al Beneficiario, hasta por el monto de</w:t>
      </w:r>
      <w:bookmarkStart w:id="10" w:name="_DV_M18"/>
      <w:bookmarkStart w:id="11" w:name="_DV_M19"/>
      <w:bookmarkStart w:id="12" w:name="_DV_M31"/>
      <w:bookmarkEnd w:id="10"/>
      <w:bookmarkEnd w:id="11"/>
      <w:bookmarkEnd w:id="12"/>
      <w:r w:rsidRPr="00B64E33">
        <w:rPr>
          <w:lang w:val="es-ES_tradnl"/>
        </w:rPr>
        <w:t xml:space="preserve"> </w:t>
      </w:r>
      <w:r w:rsidR="00415F6B">
        <w:rPr>
          <w:lang w:val="es-ES_tradnl"/>
        </w:rPr>
        <w:t>cuatrocientos noventa y nueve</w:t>
      </w:r>
      <w:r w:rsidR="0048213D">
        <w:rPr>
          <w:lang w:val="es-ES_tradnl"/>
        </w:rPr>
        <w:t xml:space="preserve"> mil </w:t>
      </w:r>
      <w:r w:rsidR="00415F6B">
        <w:rPr>
          <w:lang w:val="es-ES_tradnl"/>
        </w:rPr>
        <w:t xml:space="preserve">novecientos cincuenta </w:t>
      </w:r>
      <w:r w:rsidRPr="00AB4630">
        <w:rPr>
          <w:lang w:val="es-ES_tradnl"/>
        </w:rPr>
        <w:t>dólares de los Estados Unidos de América (US$</w:t>
      </w:r>
      <w:r w:rsidR="00415F6B">
        <w:rPr>
          <w:lang w:val="es-ES_tradnl"/>
        </w:rPr>
        <w:t>499.950</w:t>
      </w:r>
      <w:r w:rsidRPr="00AB4630">
        <w:rPr>
          <w:lang w:val="es-ES_tradnl"/>
        </w:rPr>
        <w:t xml:space="preserve">), que se desembolsará con cargo a </w:t>
      </w:r>
      <w:r w:rsidRPr="00041640">
        <w:rPr>
          <w:color w:val="000000"/>
          <w:lang w:val="es-ES_tradnl"/>
        </w:rPr>
        <w:t xml:space="preserve">los </w:t>
      </w:r>
      <w:bookmarkStart w:id="13" w:name="_DV_M32"/>
      <w:bookmarkEnd w:id="13"/>
      <w:r w:rsidRPr="00041640">
        <w:rPr>
          <w:rStyle w:val="DeltaViewDeletion"/>
          <w:strike w:val="0"/>
          <w:color w:val="000000"/>
          <w:lang w:val="es-ES_tradnl"/>
        </w:rPr>
        <w:t>recursos</w:t>
      </w:r>
      <w:r w:rsidRPr="00041640">
        <w:rPr>
          <w:lang w:val="es-ES_tradnl"/>
        </w:rPr>
        <w:t xml:space="preserve"> </w:t>
      </w:r>
      <w:r w:rsidR="00415F6B">
        <w:rPr>
          <w:lang w:val="es-ES"/>
        </w:rPr>
        <w:t>de la Cuenta del Programa de Efectividad en el Desarrollo (“DEPA”) -Subcuenta B-, del Programa de Implementación del Pilar Externo del Plan de Acción a Mediano Plazo para la Efectividad en el Desarrollo (PRODEV)</w:t>
      </w:r>
      <w:r w:rsidRPr="00AB4630">
        <w:rPr>
          <w:lang w:val="es-ES_tradnl"/>
        </w:rPr>
        <w:t xml:space="preserve">, </w:t>
      </w:r>
      <w:bookmarkStart w:id="14" w:name="_DV_M34"/>
      <w:bookmarkEnd w:id="14"/>
      <w:r w:rsidRPr="00AB4630">
        <w:rPr>
          <w:lang w:val="es-ES_tradnl"/>
        </w:rPr>
        <w:t xml:space="preserve">en adelante denominada la "Contribución", para financiar la </w:t>
      </w:r>
      <w:r w:rsidR="004B4D2A">
        <w:rPr>
          <w:lang w:val="es-ES_tradnl"/>
        </w:rPr>
        <w:t>selección y contratación de consultores</w:t>
      </w:r>
      <w:r w:rsidR="00562D11">
        <w:rPr>
          <w:lang w:val="es-ES_tradnl"/>
        </w:rPr>
        <w:t xml:space="preserve"> y la adquisición de bienes y servicios (diferentes a consultorías)</w:t>
      </w:r>
      <w:r w:rsidR="004B4D2A">
        <w:rPr>
          <w:lang w:val="es-ES_tradnl"/>
        </w:rPr>
        <w:t xml:space="preserve"> </w:t>
      </w:r>
      <w:r w:rsidRPr="00AB4630">
        <w:rPr>
          <w:lang w:val="es-ES_tradnl"/>
        </w:rPr>
        <w:t xml:space="preserve">para la realización de un proyecto de cooperación técnica que </w:t>
      </w:r>
      <w:r w:rsidR="0048213D">
        <w:rPr>
          <w:lang w:val="es-ES_tradnl"/>
        </w:rPr>
        <w:t>implementará</w:t>
      </w:r>
      <w:r w:rsidR="00562D11">
        <w:rPr>
          <w:lang w:val="es-ES_tradnl"/>
        </w:rPr>
        <w:t xml:space="preserve"> la gestión por resultados en la Provincia de Tucumán</w:t>
      </w:r>
      <w:r w:rsidRPr="00B64E33">
        <w:rPr>
          <w:lang w:val="es-ES_tradnl"/>
        </w:rPr>
        <w:t>, en adelante denominado el "Proyecto", que se describe en el Anexo Único de este Convenio.</w:t>
      </w:r>
      <w:bookmarkStart w:id="15" w:name="_DV_M36"/>
      <w:bookmarkEnd w:id="15"/>
      <w:r w:rsidRPr="00B64E33">
        <w:rPr>
          <w:sz w:val="20"/>
          <w:szCs w:val="20"/>
          <w:lang w:val="es-ES_tradnl"/>
        </w:rPr>
        <w:t xml:space="preserve"> </w:t>
      </w:r>
      <w:r w:rsidRPr="00B64E33">
        <w:rPr>
          <w:lang w:val="es-ES_tradnl"/>
        </w:rPr>
        <w:t xml:space="preserve"> Salvo que en este Convenio se exprese lo contrario, en adelante el término "dólares" significa la moneda de curso legal en los Estados Unidos de América. </w:t>
      </w:r>
    </w:p>
    <w:p w:rsidR="007812C4" w:rsidRDefault="007812C4" w:rsidP="007812C4">
      <w:pPr>
        <w:widowControl/>
        <w:jc w:val="both"/>
        <w:rPr>
          <w:lang w:val="es-ES_tradnl"/>
        </w:rPr>
      </w:pPr>
    </w:p>
    <w:p w:rsidR="00415F6B" w:rsidRDefault="00415F6B" w:rsidP="00415F6B">
      <w:pPr>
        <w:widowControl/>
        <w:ind w:firstLine="720"/>
        <w:jc w:val="both"/>
        <w:rPr>
          <w:lang w:val="es-ES"/>
        </w:rPr>
      </w:pPr>
      <w:r w:rsidRPr="006944D1">
        <w:rPr>
          <w:lang w:val="es-ES"/>
        </w:rPr>
        <w:t xml:space="preserve">Este Convenio se celebra en virtud de la Carta Acuerdo suscrita entre la </w:t>
      </w:r>
      <w:r w:rsidR="003057B3">
        <w:rPr>
          <w:lang w:val="es-ES"/>
        </w:rPr>
        <w:t>República</w:t>
      </w:r>
      <w:r w:rsidR="006944D1" w:rsidRPr="006944D1">
        <w:rPr>
          <w:lang w:val="es-ES"/>
        </w:rPr>
        <w:t xml:space="preserve"> Argentina</w:t>
      </w:r>
      <w:r w:rsidRPr="006944D1">
        <w:rPr>
          <w:lang w:val="es-ES"/>
        </w:rPr>
        <w:t xml:space="preserve"> y el Banco el </w:t>
      </w:r>
      <w:r w:rsidR="006944D1" w:rsidRPr="006944D1">
        <w:rPr>
          <w:lang w:val="es-ES"/>
        </w:rPr>
        <w:t>10</w:t>
      </w:r>
      <w:r w:rsidRPr="006944D1">
        <w:rPr>
          <w:lang w:val="es-ES"/>
        </w:rPr>
        <w:t xml:space="preserve"> de abril de 2005 para efectos de la implementación del PRODEV en </w:t>
      </w:r>
      <w:r w:rsidR="006944D1">
        <w:rPr>
          <w:lang w:val="es-ES"/>
        </w:rPr>
        <w:t>Argentina</w:t>
      </w:r>
      <w:r w:rsidRPr="006944D1">
        <w:rPr>
          <w:lang w:val="es-ES"/>
        </w:rPr>
        <w:t>.</w:t>
      </w:r>
    </w:p>
    <w:p w:rsidR="00415F6B" w:rsidRPr="00415F6B" w:rsidRDefault="00415F6B" w:rsidP="007812C4">
      <w:pPr>
        <w:widowControl/>
        <w:jc w:val="both"/>
        <w:rPr>
          <w:lang w:val="es-ES"/>
        </w:rPr>
      </w:pPr>
    </w:p>
    <w:p w:rsidR="007812C4" w:rsidRPr="00B64E33" w:rsidRDefault="007812C4" w:rsidP="007812C4">
      <w:pPr>
        <w:widowControl/>
        <w:ind w:firstLine="720"/>
        <w:jc w:val="both"/>
        <w:rPr>
          <w:lang w:val="es-ES_tradnl"/>
        </w:rPr>
      </w:pPr>
      <w:bookmarkStart w:id="16" w:name="_DV_M37"/>
      <w:bookmarkStart w:id="17" w:name="_DV_M40"/>
      <w:bookmarkStart w:id="18" w:name="_DV_M43"/>
      <w:bookmarkEnd w:id="16"/>
      <w:bookmarkEnd w:id="17"/>
      <w:bookmarkEnd w:id="18"/>
      <w:r w:rsidRPr="00B64E33">
        <w:rPr>
          <w:lang w:val="es-ES_tradnl"/>
        </w:rPr>
        <w:t>El Banco y el Beneficiario acuerdan lo siguiente:</w:t>
      </w:r>
    </w:p>
    <w:p w:rsidR="007812C4" w:rsidRPr="00B64E33" w:rsidRDefault="007812C4" w:rsidP="007812C4">
      <w:pPr>
        <w:widowControl/>
        <w:jc w:val="both"/>
        <w:rPr>
          <w:lang w:val="es-ES_tradnl"/>
        </w:rPr>
      </w:pPr>
    </w:p>
    <w:p w:rsidR="007812C4" w:rsidRPr="00B64E33" w:rsidRDefault="007812C4" w:rsidP="001F55AF">
      <w:pPr>
        <w:widowControl/>
        <w:tabs>
          <w:tab w:val="left" w:pos="2520"/>
        </w:tabs>
        <w:ind w:firstLine="720"/>
        <w:jc w:val="both"/>
        <w:rPr>
          <w:lang w:val="es-ES_tradnl"/>
        </w:rPr>
      </w:pPr>
      <w:bookmarkStart w:id="19" w:name="_DV_M44"/>
      <w:bookmarkEnd w:id="19"/>
      <w:r w:rsidRPr="00B64E33">
        <w:rPr>
          <w:b/>
          <w:bCs/>
          <w:lang w:val="es-ES_tradnl"/>
        </w:rPr>
        <w:t>Primero.</w:t>
      </w:r>
      <w:r w:rsidRPr="00B64E33">
        <w:rPr>
          <w:b/>
          <w:bCs/>
          <w:lang w:val="es-ES_tradnl"/>
        </w:rPr>
        <w:tab/>
      </w:r>
      <w:r w:rsidRPr="00B64E33">
        <w:rPr>
          <w:b/>
          <w:bCs/>
          <w:u w:val="single"/>
          <w:lang w:val="es-ES_tradnl"/>
        </w:rPr>
        <w:t>Partes integrantes del Convenio</w:t>
      </w:r>
      <w:r w:rsidRPr="00B64E33">
        <w:rPr>
          <w:bCs/>
          <w:lang w:val="es-ES_tradnl"/>
        </w:rPr>
        <w:t xml:space="preserve">. </w:t>
      </w:r>
      <w:r w:rsidRPr="00B64E33">
        <w:rPr>
          <w:lang w:val="es-ES_tradnl"/>
        </w:rPr>
        <w:t xml:space="preserve"> Este Convenio está integrado por esta primera parte, denominada las "Estipulaciones Especiales"; una segunda parte, denominada </w:t>
      </w:r>
      <w:r w:rsidRPr="00B64E33">
        <w:rPr>
          <w:lang w:val="es-ES_tradnl"/>
        </w:rPr>
        <w:lastRenderedPageBreak/>
        <w:t>las "Normas Generales</w:t>
      </w:r>
      <w:bookmarkStart w:id="20" w:name="_DV_M45"/>
      <w:bookmarkEnd w:id="20"/>
      <w:r w:rsidRPr="00B64E33">
        <w:rPr>
          <w:lang w:val="es-ES_tradnl"/>
        </w:rPr>
        <w:t xml:space="preserve">", y </w:t>
      </w:r>
      <w:r w:rsidR="001F55AF">
        <w:rPr>
          <w:lang w:val="es-ES_tradnl"/>
        </w:rPr>
        <w:t xml:space="preserve">el Anexo Único, que se agrega. </w:t>
      </w:r>
      <w:r w:rsidRPr="00B64E33">
        <w:rPr>
          <w:lang w:val="es-ES_tradnl"/>
        </w:rPr>
        <w:t>En el Artículo 1 de las Normas Generales</w:t>
      </w:r>
      <w:bookmarkStart w:id="21" w:name="_DV_C57"/>
      <w:r w:rsidRPr="00B64E33">
        <w:rPr>
          <w:lang w:val="es-ES_tradnl"/>
        </w:rPr>
        <w:t>,</w:t>
      </w:r>
      <w:bookmarkStart w:id="22" w:name="_DV_M46"/>
      <w:bookmarkEnd w:id="21"/>
      <w:bookmarkEnd w:id="22"/>
      <w:r w:rsidRPr="00B64E33">
        <w:rPr>
          <w:lang w:val="es-ES_tradnl"/>
        </w:rPr>
        <w:t xml:space="preserve"> se establece la primacía entre las referidas partes y el Anexo Único.</w:t>
      </w:r>
    </w:p>
    <w:p w:rsidR="007812C4" w:rsidRPr="00B64E33" w:rsidRDefault="007812C4" w:rsidP="007812C4">
      <w:pPr>
        <w:widowControl/>
        <w:jc w:val="both"/>
        <w:rPr>
          <w:lang w:val="es-ES_tradnl"/>
        </w:rPr>
      </w:pPr>
    </w:p>
    <w:p w:rsidR="007812C4" w:rsidRPr="00B64E33" w:rsidRDefault="007812C4" w:rsidP="001F55AF">
      <w:pPr>
        <w:widowControl/>
        <w:tabs>
          <w:tab w:val="left" w:pos="2520"/>
        </w:tabs>
        <w:ind w:firstLine="720"/>
        <w:jc w:val="both"/>
        <w:rPr>
          <w:lang w:val="es-ES_tradnl"/>
        </w:rPr>
      </w:pPr>
      <w:bookmarkStart w:id="23" w:name="_DV_M47"/>
      <w:bookmarkEnd w:id="23"/>
      <w:r w:rsidRPr="00784DAB">
        <w:rPr>
          <w:b/>
          <w:bCs/>
          <w:lang w:val="es-ES_tradnl"/>
        </w:rPr>
        <w:t>Segundo.</w:t>
      </w:r>
      <w:r w:rsidRPr="00784DAB">
        <w:rPr>
          <w:b/>
          <w:bCs/>
          <w:lang w:val="es-ES_tradnl"/>
        </w:rPr>
        <w:tab/>
      </w:r>
      <w:r w:rsidRPr="00784DAB">
        <w:rPr>
          <w:b/>
          <w:bCs/>
          <w:u w:val="single"/>
          <w:lang w:val="es-ES_tradnl"/>
        </w:rPr>
        <w:t>Organismo Ejecutor</w:t>
      </w:r>
      <w:r w:rsidRPr="00784DAB">
        <w:rPr>
          <w:bCs/>
          <w:lang w:val="es-ES_tradnl"/>
        </w:rPr>
        <w:t>.</w:t>
      </w:r>
      <w:r w:rsidRPr="00784DAB">
        <w:rPr>
          <w:lang w:val="es-ES_tradnl"/>
        </w:rPr>
        <w:t xml:space="preserve">  </w:t>
      </w:r>
      <w:bookmarkStart w:id="24" w:name="_DV_M49"/>
      <w:bookmarkEnd w:id="24"/>
      <w:r w:rsidRPr="00784DAB">
        <w:rPr>
          <w:lang w:val="es-ES_tradnl"/>
        </w:rPr>
        <w:t>La ejecución del</w:t>
      </w:r>
      <w:r w:rsidR="00180154" w:rsidRPr="00784DAB">
        <w:rPr>
          <w:lang w:val="es-ES_tradnl"/>
        </w:rPr>
        <w:t xml:space="preserve"> </w:t>
      </w:r>
      <w:r w:rsidRPr="00784DAB">
        <w:rPr>
          <w:lang w:val="es-ES_tradnl"/>
        </w:rPr>
        <w:t>Proyecto</w:t>
      </w:r>
      <w:r w:rsidR="00784DAB" w:rsidRPr="00784DAB">
        <w:rPr>
          <w:lang w:val="es-ES_tradnl"/>
        </w:rPr>
        <w:t xml:space="preserve"> y </w:t>
      </w:r>
      <w:bookmarkStart w:id="25" w:name="_DV_M51"/>
      <w:bookmarkEnd w:id="25"/>
      <w:r w:rsidRPr="00784DAB">
        <w:rPr>
          <w:lang w:val="es-ES_tradnl"/>
        </w:rPr>
        <w:t>la utilización de los recursos de la Contribución del Banco será</w:t>
      </w:r>
      <w:r w:rsidR="00180154" w:rsidRPr="00784DAB">
        <w:rPr>
          <w:lang w:val="es-ES_tradnl"/>
        </w:rPr>
        <w:t>n</w:t>
      </w:r>
      <w:r w:rsidRPr="00784DAB">
        <w:rPr>
          <w:lang w:val="es-ES_tradnl"/>
        </w:rPr>
        <w:t xml:space="preserve"> llevadas a cabo por </w:t>
      </w:r>
      <w:r w:rsidR="00041640" w:rsidRPr="00784DAB">
        <w:rPr>
          <w:lang w:val="es-ES_tradnl"/>
        </w:rPr>
        <w:t>la</w:t>
      </w:r>
      <w:r w:rsidRPr="00784DAB">
        <w:rPr>
          <w:lang w:val="es-ES_tradnl"/>
        </w:rPr>
        <w:t xml:space="preserve"> </w:t>
      </w:r>
      <w:r w:rsidR="00415F6B">
        <w:rPr>
          <w:lang w:val="es-ES_tradnl"/>
        </w:rPr>
        <w:t xml:space="preserve">Provincia de Tucumán, por intermedio de su Secretaría de </w:t>
      </w:r>
      <w:r w:rsidR="00771F7E">
        <w:rPr>
          <w:lang w:val="es-ES_tradnl"/>
        </w:rPr>
        <w:t>Estado de</w:t>
      </w:r>
      <w:r w:rsidR="00415F6B">
        <w:rPr>
          <w:lang w:val="es-ES_tradnl"/>
        </w:rPr>
        <w:t xml:space="preserve"> Gestión</w:t>
      </w:r>
      <w:r w:rsidR="00D24CF8">
        <w:rPr>
          <w:lang w:val="es-ES_tradnl"/>
        </w:rPr>
        <w:t xml:space="preserve"> Pública</w:t>
      </w:r>
      <w:r w:rsidR="00771F7E">
        <w:rPr>
          <w:lang w:val="es-ES_tradnl"/>
        </w:rPr>
        <w:t xml:space="preserve"> y Planeamiento</w:t>
      </w:r>
      <w:r w:rsidRPr="00784DAB">
        <w:rPr>
          <w:lang w:val="es-ES_tradnl"/>
        </w:rPr>
        <w:t>, en adelante denominad</w:t>
      </w:r>
      <w:r w:rsidR="00D24CF8">
        <w:rPr>
          <w:lang w:val="es-ES_tradnl"/>
        </w:rPr>
        <w:t>a</w:t>
      </w:r>
      <w:r w:rsidRPr="00784DAB">
        <w:rPr>
          <w:lang w:val="es-ES_tradnl"/>
        </w:rPr>
        <w:t xml:space="preserve"> indistintamente</w:t>
      </w:r>
      <w:r w:rsidRPr="00784DAB">
        <w:rPr>
          <w:rFonts w:ascii="WP TypographicSymbols" w:hAnsi="WP TypographicSymbols" w:cs="WP TypographicSymbols"/>
          <w:lang w:val="es-ES_tradnl"/>
        </w:rPr>
        <w:t></w:t>
      </w:r>
      <w:r w:rsidRPr="00784DAB">
        <w:rPr>
          <w:rFonts w:ascii="WP TypographicSymbols" w:hAnsi="WP TypographicSymbols" w:cs="WP TypographicSymbols"/>
          <w:lang w:val="es-ES_tradnl"/>
        </w:rPr>
        <w:t></w:t>
      </w:r>
      <w:r w:rsidRPr="00784DAB">
        <w:rPr>
          <w:lang w:val="es-ES_tradnl"/>
        </w:rPr>
        <w:t xml:space="preserve">el </w:t>
      </w:r>
      <w:r w:rsidR="00D24CF8" w:rsidRPr="00B64E33">
        <w:rPr>
          <w:lang w:val="es-ES_tradnl"/>
        </w:rPr>
        <w:t>"</w:t>
      </w:r>
      <w:r w:rsidRPr="00784DAB">
        <w:rPr>
          <w:lang w:val="es-ES_tradnl"/>
        </w:rPr>
        <w:t>Organismo Ejecutor</w:t>
      </w:r>
      <w:r w:rsidR="00D24CF8" w:rsidRPr="00B64E33">
        <w:rPr>
          <w:lang w:val="es-ES_tradnl"/>
        </w:rPr>
        <w:t>"</w:t>
      </w:r>
      <w:r w:rsidRPr="00784DAB">
        <w:rPr>
          <w:lang w:val="es-ES_tradnl"/>
        </w:rPr>
        <w:t xml:space="preserve"> o el </w:t>
      </w:r>
      <w:bookmarkStart w:id="26" w:name="_DV_M52"/>
      <w:bookmarkEnd w:id="26"/>
      <w:r w:rsidR="00D24CF8" w:rsidRPr="00B64E33">
        <w:rPr>
          <w:lang w:val="es-ES_tradnl"/>
        </w:rPr>
        <w:t>"</w:t>
      </w:r>
      <w:r w:rsidRPr="00784DAB">
        <w:rPr>
          <w:lang w:val="es-ES_tradnl"/>
        </w:rPr>
        <w:t>Beneficiario</w:t>
      </w:r>
      <w:bookmarkStart w:id="27" w:name="_DV_M54"/>
      <w:bookmarkEnd w:id="27"/>
      <w:r w:rsidR="00D24CF8" w:rsidRPr="00B64E33">
        <w:rPr>
          <w:lang w:val="es-ES_tradnl"/>
        </w:rPr>
        <w:t>"</w:t>
      </w:r>
      <w:r w:rsidRPr="00784DAB">
        <w:rPr>
          <w:sz w:val="18"/>
          <w:szCs w:val="18"/>
          <w:lang w:val="es-ES_tradnl"/>
        </w:rPr>
        <w:t>.</w:t>
      </w:r>
      <w:r w:rsidRPr="00784DAB">
        <w:rPr>
          <w:lang w:val="es-ES_tradnl"/>
        </w:rPr>
        <w:t xml:space="preserve"> </w:t>
      </w:r>
    </w:p>
    <w:p w:rsidR="007812C4" w:rsidRPr="00B64E33" w:rsidRDefault="007812C4" w:rsidP="007812C4">
      <w:pPr>
        <w:widowControl/>
        <w:jc w:val="both"/>
        <w:rPr>
          <w:lang w:val="es-ES_tradnl"/>
        </w:rPr>
      </w:pPr>
      <w:bookmarkStart w:id="28" w:name="_DV_M55"/>
      <w:bookmarkEnd w:id="28"/>
    </w:p>
    <w:p w:rsidR="007812C4" w:rsidRPr="00B64E33" w:rsidRDefault="00214643" w:rsidP="001F55AF">
      <w:pPr>
        <w:widowControl/>
        <w:tabs>
          <w:tab w:val="left" w:pos="2520"/>
        </w:tabs>
        <w:ind w:firstLine="720"/>
        <w:jc w:val="both"/>
        <w:rPr>
          <w:sz w:val="18"/>
          <w:szCs w:val="18"/>
          <w:lang w:val="es-ES_tradnl"/>
        </w:rPr>
      </w:pPr>
      <w:bookmarkStart w:id="29" w:name="_DV_M62"/>
      <w:bookmarkEnd w:id="29"/>
      <w:r>
        <w:rPr>
          <w:b/>
          <w:bCs/>
          <w:lang w:val="es-ES_tradnl"/>
        </w:rPr>
        <w:t>Tercero.</w:t>
      </w:r>
      <w:r>
        <w:rPr>
          <w:b/>
          <w:bCs/>
          <w:lang w:val="es-ES_tradnl"/>
        </w:rPr>
        <w:tab/>
      </w:r>
      <w:r w:rsidR="007812C4" w:rsidRPr="00041640">
        <w:rPr>
          <w:b/>
          <w:bCs/>
          <w:color w:val="000000"/>
          <w:u w:val="single"/>
          <w:lang w:val="es-ES_tradnl"/>
        </w:rPr>
        <w:t xml:space="preserve">Condiciones previas </w:t>
      </w:r>
      <w:bookmarkStart w:id="30" w:name="_DV_C79"/>
      <w:r w:rsidR="007812C4" w:rsidRPr="00041640">
        <w:rPr>
          <w:rStyle w:val="DeltaViewDeletion"/>
          <w:b/>
          <w:bCs/>
          <w:strike w:val="0"/>
          <w:color w:val="000000"/>
          <w:u w:val="single"/>
          <w:lang w:val="es-ES_tradnl"/>
        </w:rPr>
        <w:t>al primer desembolso</w:t>
      </w:r>
      <w:bookmarkStart w:id="31" w:name="_DV_M63"/>
      <w:bookmarkEnd w:id="30"/>
      <w:bookmarkEnd w:id="31"/>
      <w:r w:rsidR="007812C4" w:rsidRPr="00041640">
        <w:rPr>
          <w:rStyle w:val="DeltaViewInsertion"/>
          <w:bCs/>
          <w:color w:val="000000"/>
          <w:lang w:val="es-ES_tradnl"/>
        </w:rPr>
        <w:t>.</w:t>
      </w:r>
      <w:r w:rsidR="007812C4" w:rsidRPr="00B64E33">
        <w:rPr>
          <w:lang w:val="es-ES_tradnl"/>
        </w:rPr>
        <w:t xml:space="preserve">  </w:t>
      </w:r>
      <w:bookmarkStart w:id="32" w:name="_DV_M68"/>
      <w:bookmarkStart w:id="33" w:name="_DV_M71"/>
      <w:bookmarkStart w:id="34" w:name="_DV_M72"/>
      <w:bookmarkEnd w:id="32"/>
      <w:bookmarkEnd w:id="33"/>
      <w:bookmarkEnd w:id="34"/>
      <w:r w:rsidR="007812C4" w:rsidRPr="00B64E33">
        <w:rPr>
          <w:lang w:val="es-ES_tradnl"/>
        </w:rPr>
        <w:t>El primer desembolso de los recursos de la Contribución está condicionado a que se cumplan, a satisfacción del Banco: (a) las condiciones previas estipuladas en el Artículo 2 de las Normas Generales;</w:t>
      </w:r>
      <w:bookmarkStart w:id="35" w:name="_DV_M73"/>
      <w:bookmarkEnd w:id="35"/>
      <w:r w:rsidR="005469EE">
        <w:rPr>
          <w:lang w:val="es-ES_tradnl"/>
        </w:rPr>
        <w:t xml:space="preserve"> </w:t>
      </w:r>
      <w:r w:rsidR="007812C4" w:rsidRPr="00B64E33">
        <w:rPr>
          <w:lang w:val="es-ES_tradnl"/>
        </w:rPr>
        <w:t>(b) que el Beneficiario o el Organismo Ejecutor presente evidencia de que cuenta con un sistema de información financiera y una estructura de control interno adecuados a que hacen referencia el Artículo 13 de las Normas Generales</w:t>
      </w:r>
      <w:r w:rsidR="005469EE">
        <w:rPr>
          <w:lang w:val="es-ES_tradnl"/>
        </w:rPr>
        <w:t xml:space="preserve">; y (c) que el Beneficiario o el Organismo Ejecutor </w:t>
      </w:r>
      <w:r w:rsidR="00D24CF8">
        <w:rPr>
          <w:lang w:val="es-ES_tradnl"/>
        </w:rPr>
        <w:t>presente evidencia de la designación de un Coordinador técnico-administrativo para el Proyecto</w:t>
      </w:r>
      <w:r w:rsidR="007812C4" w:rsidRPr="00B64E33">
        <w:rPr>
          <w:lang w:val="es-ES_tradnl"/>
        </w:rPr>
        <w:t>.</w:t>
      </w:r>
      <w:r w:rsidR="007812C4" w:rsidRPr="00B64E33">
        <w:rPr>
          <w:rStyle w:val="FootnoteReference"/>
          <w:sz w:val="18"/>
          <w:szCs w:val="18"/>
          <w:lang w:val="es-ES_tradnl"/>
        </w:rPr>
        <w:t xml:space="preserve"> </w:t>
      </w:r>
    </w:p>
    <w:p w:rsidR="007812C4" w:rsidRPr="00B64E33" w:rsidRDefault="007812C4" w:rsidP="007812C4">
      <w:pPr>
        <w:widowControl/>
        <w:ind w:firstLine="720"/>
        <w:jc w:val="both"/>
        <w:rPr>
          <w:lang w:val="es-ES_tradnl"/>
        </w:rPr>
      </w:pPr>
    </w:p>
    <w:p w:rsidR="007812C4" w:rsidRPr="00B64E33" w:rsidRDefault="007812C4" w:rsidP="001F55AF">
      <w:pPr>
        <w:widowControl/>
        <w:tabs>
          <w:tab w:val="left" w:pos="-1440"/>
          <w:tab w:val="left" w:pos="720"/>
          <w:tab w:val="left" w:pos="2520"/>
        </w:tabs>
        <w:jc w:val="both"/>
        <w:rPr>
          <w:lang w:val="es-ES_tradnl"/>
        </w:rPr>
      </w:pPr>
      <w:bookmarkStart w:id="36" w:name="_DV_M79"/>
      <w:bookmarkStart w:id="37" w:name="_DV_M84"/>
      <w:bookmarkEnd w:id="36"/>
      <w:bookmarkEnd w:id="37"/>
      <w:r w:rsidRPr="00B64E33">
        <w:rPr>
          <w:lang w:val="es-ES_tradnl"/>
        </w:rPr>
        <w:tab/>
      </w:r>
      <w:r w:rsidRPr="00B64E33">
        <w:rPr>
          <w:b/>
          <w:bCs/>
          <w:lang w:val="es-ES_tradnl"/>
        </w:rPr>
        <w:t>Cuarto.</w:t>
      </w:r>
      <w:r w:rsidRPr="00B64E33">
        <w:rPr>
          <w:b/>
          <w:bCs/>
          <w:lang w:val="es-ES_tradnl"/>
        </w:rPr>
        <w:tab/>
      </w:r>
      <w:r w:rsidRPr="00B64E33">
        <w:rPr>
          <w:b/>
          <w:bCs/>
          <w:u w:val="single"/>
          <w:lang w:val="es-ES_tradnl"/>
        </w:rPr>
        <w:t>Reembolso de gastos con cargo a la Contribución</w:t>
      </w:r>
      <w:r w:rsidRPr="00B64E33">
        <w:rPr>
          <w:lang w:val="es-ES_tradnl"/>
        </w:rPr>
        <w:t>.</w:t>
      </w:r>
      <w:bookmarkStart w:id="38" w:name="_DV_M85"/>
      <w:bookmarkEnd w:id="38"/>
      <w:r w:rsidRPr="00B64E33">
        <w:rPr>
          <w:sz w:val="18"/>
          <w:szCs w:val="18"/>
          <w:vertAlign w:val="superscript"/>
          <w:lang w:val="es-ES_tradnl"/>
        </w:rPr>
        <w:t xml:space="preserve">  </w:t>
      </w:r>
      <w:r w:rsidRPr="00B64E33">
        <w:rPr>
          <w:lang w:val="es-ES_tradnl"/>
        </w:rPr>
        <w:t>Con la aceptación del Banco</w:t>
      </w:r>
      <w:bookmarkStart w:id="39" w:name="_DV_C119"/>
      <w:r w:rsidRPr="00B64E33">
        <w:rPr>
          <w:lang w:val="es-ES_tradnl"/>
        </w:rPr>
        <w:t>,</w:t>
      </w:r>
      <w:bookmarkStart w:id="40" w:name="_DV_M86"/>
      <w:bookmarkEnd w:id="39"/>
      <w:bookmarkEnd w:id="40"/>
      <w:r w:rsidRPr="00B64E33">
        <w:rPr>
          <w:lang w:val="es-ES_tradnl"/>
        </w:rPr>
        <w:t xml:space="preserve"> se podrán utilizar recursos de la Contribución para reembolsar gastos efectuados o financiar los que se efectúen en el Proyecto a partir del </w:t>
      </w:r>
      <w:r w:rsidR="008D7004">
        <w:rPr>
          <w:lang w:val="es-ES_tradnl"/>
        </w:rPr>
        <w:t>14</w:t>
      </w:r>
      <w:r w:rsidRPr="00B64E33">
        <w:rPr>
          <w:lang w:val="es-ES_tradnl"/>
        </w:rPr>
        <w:t xml:space="preserve"> de </w:t>
      </w:r>
      <w:r w:rsidR="008D7004">
        <w:rPr>
          <w:lang w:val="es-ES_tradnl"/>
        </w:rPr>
        <w:t>dic</w:t>
      </w:r>
      <w:r w:rsidR="005469EE">
        <w:rPr>
          <w:lang w:val="es-ES_tradnl"/>
        </w:rPr>
        <w:t>iembre</w:t>
      </w:r>
      <w:r w:rsidRPr="00B64E33">
        <w:rPr>
          <w:lang w:val="es-ES_tradnl"/>
        </w:rPr>
        <w:t xml:space="preserve"> de 2012 y hasta la fecha de vigencia del presente Convenio, siempre que se hayan cumplido requisitos sustancialmente análogos a los establecidos en este Convenio.</w:t>
      </w:r>
    </w:p>
    <w:p w:rsidR="007812C4" w:rsidRPr="00B64E33" w:rsidRDefault="007812C4" w:rsidP="007812C4">
      <w:pPr>
        <w:widowControl/>
        <w:jc w:val="both"/>
        <w:rPr>
          <w:lang w:val="es-ES_tradnl"/>
        </w:rPr>
      </w:pPr>
    </w:p>
    <w:p w:rsidR="007812C4" w:rsidRPr="00B64E33" w:rsidRDefault="00214643" w:rsidP="001F55AF">
      <w:pPr>
        <w:widowControl/>
        <w:tabs>
          <w:tab w:val="left" w:pos="2520"/>
        </w:tabs>
        <w:ind w:firstLine="720"/>
        <w:jc w:val="both"/>
        <w:rPr>
          <w:lang w:val="es-ES_tradnl"/>
        </w:rPr>
      </w:pPr>
      <w:bookmarkStart w:id="41" w:name="_DV_M87"/>
      <w:bookmarkEnd w:id="41"/>
      <w:r>
        <w:rPr>
          <w:b/>
          <w:bCs/>
          <w:lang w:val="es-ES_tradnl"/>
        </w:rPr>
        <w:t>Quinto.</w:t>
      </w:r>
      <w:r>
        <w:rPr>
          <w:b/>
          <w:bCs/>
          <w:lang w:val="es-ES_tradnl"/>
        </w:rPr>
        <w:tab/>
      </w:r>
      <w:r w:rsidR="007812C4" w:rsidRPr="00B64E33">
        <w:rPr>
          <w:b/>
          <w:bCs/>
          <w:u w:val="single"/>
          <w:lang w:val="es-ES_tradnl"/>
        </w:rPr>
        <w:t>Plazos</w:t>
      </w:r>
      <w:r w:rsidR="007812C4" w:rsidRPr="00B64E33">
        <w:rPr>
          <w:bCs/>
          <w:lang w:val="es-ES_tradnl"/>
        </w:rPr>
        <w:t xml:space="preserve">. </w:t>
      </w:r>
      <w:r w:rsidR="007812C4" w:rsidRPr="00B64E33">
        <w:rPr>
          <w:lang w:val="es-ES_tradnl"/>
        </w:rPr>
        <w:t xml:space="preserve"> (a)</w:t>
      </w:r>
      <w:bookmarkStart w:id="42" w:name="_DV_M88"/>
      <w:bookmarkEnd w:id="42"/>
      <w:r w:rsidR="007812C4" w:rsidRPr="00B64E33">
        <w:rPr>
          <w:lang w:val="es-ES_tradnl"/>
        </w:rPr>
        <w:t xml:space="preserve"> El plazo para la ejecución del Proyecto será de </w:t>
      </w:r>
      <w:r w:rsidR="00D24CF8">
        <w:rPr>
          <w:lang w:val="es-ES_tradnl"/>
        </w:rPr>
        <w:t>dieciocho (18)</w:t>
      </w:r>
      <w:r w:rsidR="007812C4" w:rsidRPr="00B64E33">
        <w:rPr>
          <w:lang w:val="es-ES_tradnl"/>
        </w:rPr>
        <w:t xml:space="preserve"> meses, contados a partir de la fecha de vigencia de este Convenio.</w:t>
      </w:r>
    </w:p>
    <w:p w:rsidR="007812C4" w:rsidRPr="00B64E33" w:rsidRDefault="007812C4" w:rsidP="007812C4">
      <w:pPr>
        <w:widowControl/>
        <w:jc w:val="both"/>
        <w:rPr>
          <w:lang w:val="es-ES_tradnl"/>
        </w:rPr>
      </w:pPr>
    </w:p>
    <w:p w:rsidR="007812C4" w:rsidRPr="00B64E33" w:rsidRDefault="007812C4" w:rsidP="007812C4">
      <w:pPr>
        <w:widowControl/>
        <w:ind w:firstLine="720"/>
        <w:jc w:val="both"/>
        <w:rPr>
          <w:lang w:val="es-ES_tradnl"/>
        </w:rPr>
      </w:pPr>
      <w:bookmarkStart w:id="43" w:name="_DV_M89"/>
      <w:bookmarkEnd w:id="43"/>
      <w:r w:rsidRPr="00B64E33">
        <w:rPr>
          <w:lang w:val="es-ES_tradnl"/>
        </w:rPr>
        <w:t>(b)</w:t>
      </w:r>
      <w:r w:rsidRPr="00B64E33">
        <w:rPr>
          <w:lang w:val="es-ES_tradnl"/>
        </w:rPr>
        <w:tab/>
        <w:t xml:space="preserve">El plazo para el desembolso de los recursos de la Contribución será de </w:t>
      </w:r>
      <w:r w:rsidR="00D24CF8" w:rsidRPr="00B64E33">
        <w:rPr>
          <w:lang w:val="es-ES_tradnl"/>
        </w:rPr>
        <w:t xml:space="preserve">veinticuatro (24) </w:t>
      </w:r>
      <w:r w:rsidRPr="00B64E33">
        <w:rPr>
          <w:lang w:val="es-ES_tradnl"/>
        </w:rPr>
        <w:t xml:space="preserve">meses, contados a partir de esa misma fecha. Cualquier parte de </w:t>
      </w:r>
      <w:smartTag w:uri="urn:schemas-microsoft-com:office:smarttags" w:element="PersonName">
        <w:smartTagPr>
          <w:attr w:name="ProductID" w:val="la Contribución"/>
        </w:smartTagPr>
        <w:r w:rsidRPr="00B64E33">
          <w:rPr>
            <w:lang w:val="es-ES_tradnl"/>
          </w:rPr>
          <w:t>la Contribución</w:t>
        </w:r>
      </w:smartTag>
      <w:r w:rsidRPr="00B64E33">
        <w:rPr>
          <w:lang w:val="es-ES_tradnl"/>
        </w:rPr>
        <w:t xml:space="preserve"> no utilizada vencido el plazo antedicho quedará cancelada.</w:t>
      </w:r>
    </w:p>
    <w:p w:rsidR="007812C4" w:rsidRPr="00B64E33" w:rsidRDefault="007812C4" w:rsidP="007812C4">
      <w:pPr>
        <w:widowControl/>
        <w:jc w:val="both"/>
        <w:rPr>
          <w:lang w:val="es-ES_tradnl"/>
        </w:rPr>
      </w:pPr>
    </w:p>
    <w:p w:rsidR="007812C4" w:rsidRPr="00B64E33" w:rsidRDefault="007812C4" w:rsidP="007812C4">
      <w:pPr>
        <w:widowControl/>
        <w:ind w:firstLine="720"/>
        <w:jc w:val="both"/>
        <w:rPr>
          <w:lang w:val="es-ES_tradnl"/>
        </w:rPr>
      </w:pPr>
      <w:bookmarkStart w:id="44" w:name="_DV_M90"/>
      <w:bookmarkEnd w:id="44"/>
      <w:r w:rsidRPr="00B64E33">
        <w:rPr>
          <w:lang w:val="es-ES_tradnl"/>
        </w:rPr>
        <w:t>(c)</w:t>
      </w:r>
      <w:bookmarkStart w:id="45" w:name="_DV_M91"/>
      <w:bookmarkEnd w:id="45"/>
      <w:r w:rsidRPr="00B64E33">
        <w:rPr>
          <w:lang w:val="es-ES_tradnl"/>
        </w:rPr>
        <w:tab/>
        <w:t>Los plazos indicados anteriormente y otros que se establezcan en este Convenio sólo podrán ser ampliados, por razones justificadas, con el consentimiento escrito del Banco.</w:t>
      </w:r>
    </w:p>
    <w:p w:rsidR="007812C4" w:rsidRPr="00B64E33" w:rsidRDefault="007812C4" w:rsidP="007812C4">
      <w:pPr>
        <w:widowControl/>
        <w:jc w:val="both"/>
        <w:rPr>
          <w:lang w:val="es-ES_tradnl"/>
        </w:rPr>
      </w:pPr>
    </w:p>
    <w:p w:rsidR="007812C4" w:rsidRPr="00B64E33" w:rsidRDefault="007812C4" w:rsidP="001F55AF">
      <w:pPr>
        <w:widowControl/>
        <w:tabs>
          <w:tab w:val="left" w:pos="2520"/>
        </w:tabs>
        <w:ind w:firstLine="720"/>
        <w:jc w:val="both"/>
        <w:rPr>
          <w:lang w:val="es-ES_tradnl"/>
        </w:rPr>
      </w:pPr>
      <w:bookmarkStart w:id="46" w:name="_DV_M92"/>
      <w:bookmarkEnd w:id="46"/>
      <w:r w:rsidRPr="00B64E33">
        <w:rPr>
          <w:b/>
          <w:bCs/>
          <w:lang w:val="es-ES_tradnl"/>
        </w:rPr>
        <w:t>Sexto.</w:t>
      </w:r>
      <w:bookmarkStart w:id="47" w:name="_DV_M93"/>
      <w:bookmarkEnd w:id="47"/>
      <w:r w:rsidR="00214643">
        <w:rPr>
          <w:b/>
          <w:bCs/>
          <w:lang w:val="es-ES_tradnl"/>
        </w:rPr>
        <w:tab/>
      </w:r>
      <w:r w:rsidRPr="00B64E33">
        <w:rPr>
          <w:b/>
          <w:bCs/>
          <w:u w:val="single"/>
          <w:lang w:val="es-ES_tradnl"/>
        </w:rPr>
        <w:t>Costo total del Proyecto y recursos adicionales</w:t>
      </w:r>
      <w:r w:rsidRPr="00B64E33">
        <w:rPr>
          <w:lang w:val="es-ES_tradnl"/>
        </w:rPr>
        <w:t xml:space="preserve">. (a) El Beneficiario </w:t>
      </w:r>
      <w:bookmarkStart w:id="48" w:name="_DV_X125"/>
      <w:bookmarkStart w:id="49" w:name="_DV_C124"/>
      <w:r w:rsidRPr="005469EE">
        <w:rPr>
          <w:rStyle w:val="DeltaViewMoveDestination"/>
          <w:color w:val="000000"/>
          <w:u w:val="none"/>
          <w:lang w:val="es-ES_tradnl"/>
        </w:rPr>
        <w:t>se compromete a realizar oportunamente</w:t>
      </w:r>
      <w:bookmarkStart w:id="50" w:name="_DV_M97"/>
      <w:bookmarkEnd w:id="48"/>
      <w:bookmarkEnd w:id="49"/>
      <w:bookmarkEnd w:id="50"/>
      <w:r w:rsidRPr="00B64E33">
        <w:rPr>
          <w:lang w:val="es-ES_tradnl"/>
        </w:rPr>
        <w:t xml:space="preserve"> los aportes que se requieran, en adelante el "Aporte", en adición a la Contribución, para la completa e ininterrumpida ejecución del Proyecto.  El total del Aporte se estima en el equivalente </w:t>
      </w:r>
      <w:r w:rsidR="005469EE">
        <w:rPr>
          <w:lang w:val="es-ES_tradnl"/>
        </w:rPr>
        <w:t>a</w:t>
      </w:r>
      <w:r w:rsidRPr="00B64E33">
        <w:rPr>
          <w:lang w:val="es-ES_tradnl"/>
        </w:rPr>
        <w:t xml:space="preserve"> </w:t>
      </w:r>
      <w:r w:rsidR="00D24CF8">
        <w:rPr>
          <w:lang w:val="es-ES_tradnl"/>
        </w:rPr>
        <w:t>noventa y nueve</w:t>
      </w:r>
      <w:r w:rsidR="005469EE">
        <w:rPr>
          <w:lang w:val="es-ES_tradnl"/>
        </w:rPr>
        <w:t xml:space="preserve"> </w:t>
      </w:r>
      <w:r w:rsidRPr="00B64E33">
        <w:rPr>
          <w:lang w:val="es-ES_tradnl"/>
        </w:rPr>
        <w:t>mil dólares (US$</w:t>
      </w:r>
      <w:r w:rsidR="00D24CF8">
        <w:rPr>
          <w:lang w:val="es-ES_tradnl"/>
        </w:rPr>
        <w:t>99</w:t>
      </w:r>
      <w:r w:rsidRPr="00B64E33">
        <w:rPr>
          <w:lang w:val="es-ES_tradnl"/>
        </w:rPr>
        <w:t>.</w:t>
      </w:r>
      <w:r w:rsidR="005469EE">
        <w:rPr>
          <w:lang w:val="es-ES_tradnl"/>
        </w:rPr>
        <w:t>0</w:t>
      </w:r>
      <w:r w:rsidRPr="00B64E33">
        <w:rPr>
          <w:lang w:val="es-ES_tradnl"/>
        </w:rPr>
        <w:t xml:space="preserve">00) con el fin de completar la suma equivalente a </w:t>
      </w:r>
      <w:r w:rsidR="00D24CF8">
        <w:rPr>
          <w:lang w:val="es-ES_tradnl"/>
        </w:rPr>
        <w:t>quinientos noventa y ocho</w:t>
      </w:r>
      <w:r w:rsidR="005469EE">
        <w:rPr>
          <w:lang w:val="es-ES_tradnl"/>
        </w:rPr>
        <w:t xml:space="preserve"> mil</w:t>
      </w:r>
      <w:r w:rsidR="00D24CF8">
        <w:rPr>
          <w:lang w:val="es-ES_tradnl"/>
        </w:rPr>
        <w:t xml:space="preserve"> novecientos cincuenta</w:t>
      </w:r>
      <w:r w:rsidR="005469EE">
        <w:rPr>
          <w:lang w:val="es-ES_tradnl"/>
        </w:rPr>
        <w:t xml:space="preserve"> </w:t>
      </w:r>
      <w:r w:rsidRPr="00B64E33">
        <w:rPr>
          <w:lang w:val="es-ES_tradnl"/>
        </w:rPr>
        <w:t>dólares (US$</w:t>
      </w:r>
      <w:r w:rsidR="00D24CF8">
        <w:rPr>
          <w:lang w:val="es-ES_tradnl"/>
        </w:rPr>
        <w:t>598.950</w:t>
      </w:r>
      <w:r w:rsidRPr="00B64E33">
        <w:rPr>
          <w:lang w:val="es-ES_tradnl"/>
        </w:rPr>
        <w:t xml:space="preserve">), en que se estima el costo total del Proyecto, sin que estas estimaciones reduzcan la obligación del Beneficiario de aportar los recursos adicionales que se requieran para completar el Proyecto. </w:t>
      </w:r>
    </w:p>
    <w:p w:rsidR="007812C4" w:rsidRPr="00B64E33" w:rsidRDefault="007812C4" w:rsidP="007812C4">
      <w:pPr>
        <w:widowControl/>
        <w:jc w:val="both"/>
        <w:rPr>
          <w:lang w:val="es-ES_tradnl"/>
        </w:rPr>
      </w:pPr>
    </w:p>
    <w:p w:rsidR="007812C4" w:rsidRPr="00B64E33" w:rsidRDefault="007812C4" w:rsidP="007812C4">
      <w:pPr>
        <w:widowControl/>
        <w:ind w:firstLine="720"/>
        <w:jc w:val="both"/>
        <w:rPr>
          <w:lang w:val="es-ES_tradnl"/>
        </w:rPr>
      </w:pPr>
      <w:bookmarkStart w:id="51" w:name="_DV_M98"/>
      <w:bookmarkEnd w:id="51"/>
      <w:r w:rsidRPr="00B64E33">
        <w:rPr>
          <w:lang w:val="es-ES_tradnl"/>
        </w:rPr>
        <w:t>(b)</w:t>
      </w:r>
      <w:r w:rsidRPr="00B64E33">
        <w:rPr>
          <w:lang w:val="es-ES_tradnl"/>
        </w:rPr>
        <w:tab/>
        <w:t xml:space="preserve">El Aporte del Beneficiario </w:t>
      </w:r>
      <w:bookmarkStart w:id="52" w:name="_DV_C127"/>
      <w:r w:rsidRPr="00C2478C">
        <w:rPr>
          <w:rStyle w:val="DeltaViewInsertion"/>
          <w:color w:val="000000"/>
          <w:u w:val="none"/>
          <w:lang w:val="es-ES_tradnl"/>
        </w:rPr>
        <w:t>podrá ser</w:t>
      </w:r>
      <w:bookmarkStart w:id="53" w:name="_DV_M99"/>
      <w:bookmarkEnd w:id="52"/>
      <w:bookmarkEnd w:id="53"/>
      <w:r w:rsidRPr="00B64E33">
        <w:rPr>
          <w:lang w:val="es-ES_tradnl"/>
        </w:rPr>
        <w:t xml:space="preserve"> en especie y</w:t>
      </w:r>
      <w:r w:rsidRPr="00B64E33">
        <w:rPr>
          <w:rStyle w:val="FootnoteReference"/>
          <w:vertAlign w:val="superscript"/>
          <w:lang w:val="es-ES_tradnl"/>
        </w:rPr>
        <w:t xml:space="preserve"> </w:t>
      </w:r>
      <w:r w:rsidRPr="00B64E33">
        <w:rPr>
          <w:lang w:val="es-ES_tradnl"/>
        </w:rPr>
        <w:t xml:space="preserve">se destinará a financiar las categorías que, con cargo al mismo, se establecen en el presupuesto del Proyecto que aparece en el Anexo Único. </w:t>
      </w:r>
    </w:p>
    <w:p w:rsidR="007812C4" w:rsidRPr="00B64E33" w:rsidRDefault="007812C4" w:rsidP="007812C4">
      <w:pPr>
        <w:ind w:firstLine="720"/>
        <w:jc w:val="both"/>
        <w:rPr>
          <w:b/>
          <w:lang w:val="es-ES_tradnl"/>
        </w:rPr>
      </w:pPr>
    </w:p>
    <w:p w:rsidR="008D7004" w:rsidRDefault="007812C4" w:rsidP="001F55AF">
      <w:pPr>
        <w:widowControl/>
        <w:tabs>
          <w:tab w:val="left" w:pos="720"/>
          <w:tab w:val="left" w:pos="2520"/>
        </w:tabs>
        <w:jc w:val="both"/>
        <w:rPr>
          <w:lang w:val="es-ES"/>
        </w:rPr>
      </w:pPr>
      <w:bookmarkStart w:id="54" w:name="_DV_M101"/>
      <w:bookmarkEnd w:id="54"/>
      <w:r w:rsidRPr="00B64E33">
        <w:rPr>
          <w:lang w:val="es-ES_tradnl"/>
        </w:rPr>
        <w:lastRenderedPageBreak/>
        <w:tab/>
      </w:r>
      <w:bookmarkStart w:id="55" w:name="_DV_M107"/>
      <w:bookmarkStart w:id="56" w:name="_DV_M108"/>
      <w:bookmarkEnd w:id="55"/>
      <w:bookmarkEnd w:id="56"/>
      <w:r w:rsidR="008D7004" w:rsidRPr="00EF6B0E">
        <w:rPr>
          <w:b/>
          <w:lang w:val="es-ES"/>
        </w:rPr>
        <w:t>S</w:t>
      </w:r>
      <w:r w:rsidR="008D7004" w:rsidRPr="009F6370">
        <w:rPr>
          <w:b/>
          <w:lang w:val="es-ES"/>
        </w:rPr>
        <w:t>é</w:t>
      </w:r>
      <w:r w:rsidR="008D7004">
        <w:rPr>
          <w:b/>
          <w:lang w:val="es-ES"/>
        </w:rPr>
        <w:t>pti</w:t>
      </w:r>
      <w:r w:rsidR="008D7004" w:rsidRPr="009F6370">
        <w:rPr>
          <w:b/>
          <w:lang w:val="es-ES"/>
        </w:rPr>
        <w:t>m</w:t>
      </w:r>
      <w:r w:rsidR="008D7004">
        <w:rPr>
          <w:b/>
          <w:lang w:val="es-ES"/>
        </w:rPr>
        <w:t>o.</w:t>
      </w:r>
      <w:r w:rsidR="008D7004">
        <w:rPr>
          <w:b/>
          <w:lang w:val="es-ES"/>
        </w:rPr>
        <w:tab/>
      </w:r>
      <w:r w:rsidR="008D7004">
        <w:rPr>
          <w:b/>
          <w:u w:val="single"/>
          <w:lang w:val="es-ES"/>
        </w:rPr>
        <w:t>Reconocimiento de gastos con cargo al Aporte</w:t>
      </w:r>
      <w:r w:rsidR="008D7004" w:rsidRPr="00AB5C98">
        <w:rPr>
          <w:lang w:val="es-ES"/>
        </w:rPr>
        <w:t>.</w:t>
      </w:r>
      <w:r w:rsidR="008D7004">
        <w:rPr>
          <w:lang w:val="es-ES"/>
        </w:rPr>
        <w:t xml:space="preserve"> El Banco podrá reconocer como parte de los recursos de la contrapartida local al Programa, los gastos efectuados o los que se efectúen en el Proyecto a partir del 14 de diciembre de 2012 y hasta la fecha del presente Convenio, siempre que se hayan cumplido requisitos sustancialmente análogos a los establecidos en este Convenio.</w:t>
      </w:r>
    </w:p>
    <w:p w:rsidR="008D7004" w:rsidRDefault="008D7004" w:rsidP="007812C4">
      <w:pPr>
        <w:widowControl/>
        <w:tabs>
          <w:tab w:val="left" w:pos="720"/>
          <w:tab w:val="left" w:pos="2160"/>
          <w:tab w:val="left" w:pos="2520"/>
        </w:tabs>
        <w:jc w:val="both"/>
        <w:rPr>
          <w:b/>
          <w:bCs/>
          <w:lang w:val="es-ES_tradnl"/>
        </w:rPr>
      </w:pPr>
    </w:p>
    <w:p w:rsidR="007812C4" w:rsidRPr="00B64E33" w:rsidRDefault="008D7004" w:rsidP="001F55AF">
      <w:pPr>
        <w:widowControl/>
        <w:tabs>
          <w:tab w:val="left" w:pos="720"/>
          <w:tab w:val="left" w:pos="2520"/>
        </w:tabs>
        <w:jc w:val="both"/>
        <w:rPr>
          <w:lang w:val="es-ES_tradnl"/>
        </w:rPr>
      </w:pPr>
      <w:r>
        <w:rPr>
          <w:b/>
          <w:bCs/>
          <w:lang w:val="es-ES_tradnl"/>
        </w:rPr>
        <w:tab/>
      </w:r>
      <w:r w:rsidRPr="00B64E33">
        <w:rPr>
          <w:b/>
          <w:bCs/>
          <w:lang w:val="es-ES_tradnl"/>
        </w:rPr>
        <w:t>Octavo.</w:t>
      </w:r>
      <w:r>
        <w:rPr>
          <w:b/>
          <w:bCs/>
          <w:lang w:val="es-ES_tradnl"/>
        </w:rPr>
        <w:tab/>
      </w:r>
      <w:r w:rsidR="007812C4" w:rsidRPr="00B64E33">
        <w:rPr>
          <w:b/>
          <w:bCs/>
          <w:u w:val="single"/>
          <w:lang w:val="es-ES_tradnl"/>
        </w:rPr>
        <w:t>Monedas para los desembolsos</w:t>
      </w:r>
      <w:r w:rsidR="007812C4" w:rsidRPr="00B64E33">
        <w:rPr>
          <w:bCs/>
          <w:lang w:val="es-ES_tradnl"/>
        </w:rPr>
        <w:t>.</w:t>
      </w:r>
      <w:bookmarkStart w:id="57" w:name="_DV_M109"/>
      <w:bookmarkEnd w:id="57"/>
      <w:r w:rsidR="007812C4" w:rsidRPr="00B64E33">
        <w:rPr>
          <w:lang w:val="es-ES_tradnl"/>
        </w:rPr>
        <w:t xml:space="preserve"> El Banco hará el desembolso de la Contribución en </w:t>
      </w:r>
      <w:bookmarkStart w:id="58" w:name="_DV_M110"/>
      <w:bookmarkStart w:id="59" w:name="_DV_M111"/>
      <w:bookmarkEnd w:id="58"/>
      <w:bookmarkEnd w:id="59"/>
      <w:r w:rsidR="007812C4" w:rsidRPr="00B64E33">
        <w:rPr>
          <w:lang w:val="es-ES_tradnl"/>
        </w:rPr>
        <w:t>dólares</w:t>
      </w:r>
      <w:bookmarkStart w:id="60" w:name="_DV_M112"/>
      <w:bookmarkEnd w:id="60"/>
      <w:r w:rsidR="007812C4" w:rsidRPr="00B64E33">
        <w:rPr>
          <w:rStyle w:val="FootnoteReference"/>
          <w:sz w:val="18"/>
          <w:szCs w:val="18"/>
          <w:lang w:val="es-ES_tradnl"/>
        </w:rPr>
        <w:t>.</w:t>
      </w:r>
      <w:r w:rsidR="007812C4" w:rsidRPr="00B64E33">
        <w:rPr>
          <w:lang w:val="es-ES_tradnl"/>
        </w:rPr>
        <w:t xml:space="preserve">  El Banco, aplicando el tipo de cambio indicado en el Artículo 9 de las Normas Generales, podrá convertir dichas monedas convertibles en otras monedas, incluyendo moneda local.</w:t>
      </w:r>
    </w:p>
    <w:p w:rsidR="007812C4" w:rsidRPr="00B64E33" w:rsidRDefault="007812C4" w:rsidP="007812C4">
      <w:pPr>
        <w:widowControl/>
        <w:jc w:val="both"/>
        <w:rPr>
          <w:lang w:val="es-ES_tradnl"/>
        </w:rPr>
      </w:pPr>
    </w:p>
    <w:p w:rsidR="00B67C49" w:rsidRDefault="00FE67A7" w:rsidP="001F55AF">
      <w:pPr>
        <w:tabs>
          <w:tab w:val="left" w:pos="2520"/>
        </w:tabs>
        <w:ind w:firstLine="720"/>
        <w:jc w:val="both"/>
        <w:rPr>
          <w:color w:val="000000"/>
          <w:lang w:val="es-ES_tradnl"/>
        </w:rPr>
      </w:pPr>
      <w:bookmarkStart w:id="61" w:name="_DV_M113"/>
      <w:bookmarkEnd w:id="61"/>
      <w:r>
        <w:rPr>
          <w:b/>
          <w:bCs/>
          <w:lang w:val="es-ES_tradnl"/>
        </w:rPr>
        <w:t xml:space="preserve">Noveno. </w:t>
      </w:r>
      <w:r>
        <w:rPr>
          <w:b/>
          <w:bCs/>
          <w:lang w:val="es-ES_tradnl"/>
        </w:rPr>
        <w:tab/>
      </w:r>
      <w:r w:rsidRPr="00A90E32">
        <w:rPr>
          <w:b/>
          <w:bCs/>
          <w:u w:val="single"/>
          <w:lang w:val="es-ES_tradnl"/>
        </w:rPr>
        <w:t>Tipo de cambio</w:t>
      </w:r>
      <w:r w:rsidRPr="00A90E32">
        <w:rPr>
          <w:bCs/>
          <w:lang w:val="es-ES_tradnl"/>
        </w:rPr>
        <w:t xml:space="preserve">. </w:t>
      </w:r>
      <w:r w:rsidR="00B67C49" w:rsidRPr="00A90E32">
        <w:rPr>
          <w:color w:val="000000"/>
          <w:lang w:val="es-ES_tradnl"/>
        </w:rPr>
        <w:t>Para efectos de lo estipulado en el Artículo 9 de las Normas Generales de este Convenio, las partes acuerdan que el tipo de cambio aplicable será el indicado en el inciso (b)(i) de dicho Artículo</w:t>
      </w:r>
      <w:r w:rsidR="00B67C49">
        <w:rPr>
          <w:color w:val="000000"/>
          <w:lang w:val="es-ES_tradnl"/>
        </w:rPr>
        <w:t xml:space="preserve">. </w:t>
      </w:r>
    </w:p>
    <w:p w:rsidR="00FE67A7" w:rsidRPr="00A529E5" w:rsidRDefault="00FE67A7" w:rsidP="00FE67A7">
      <w:pPr>
        <w:widowControl/>
        <w:tabs>
          <w:tab w:val="left" w:pos="2520"/>
        </w:tabs>
        <w:ind w:firstLine="720"/>
        <w:jc w:val="both"/>
        <w:rPr>
          <w:lang w:val="es-ES_tradnl"/>
        </w:rPr>
      </w:pPr>
    </w:p>
    <w:p w:rsidR="00FE67A7" w:rsidRPr="00325030" w:rsidRDefault="00FE67A7" w:rsidP="00FE67A7">
      <w:pPr>
        <w:widowControl/>
        <w:tabs>
          <w:tab w:val="left" w:pos="2160"/>
          <w:tab w:val="left" w:pos="2520"/>
        </w:tabs>
        <w:ind w:firstLine="720"/>
        <w:jc w:val="both"/>
        <w:rPr>
          <w:bCs/>
          <w:lang w:val="es-ES_tradnl"/>
        </w:rPr>
      </w:pPr>
    </w:p>
    <w:p w:rsidR="00FE67A7" w:rsidRPr="00A529E5" w:rsidRDefault="00FE67A7" w:rsidP="00FE67A7">
      <w:pPr>
        <w:widowControl/>
        <w:tabs>
          <w:tab w:val="left" w:pos="2520"/>
        </w:tabs>
        <w:ind w:firstLine="720"/>
        <w:jc w:val="both"/>
        <w:rPr>
          <w:lang w:val="es-ES_tradnl"/>
        </w:rPr>
      </w:pPr>
      <w:r>
        <w:rPr>
          <w:b/>
          <w:bCs/>
          <w:lang w:val="es-ES_tradnl"/>
        </w:rPr>
        <w:t>Décim</w:t>
      </w:r>
      <w:r w:rsidRPr="00A529E5">
        <w:rPr>
          <w:b/>
          <w:bCs/>
          <w:lang w:val="es-ES_tradnl"/>
        </w:rPr>
        <w:t>o.</w:t>
      </w:r>
      <w:r w:rsidRPr="00A529E5">
        <w:rPr>
          <w:b/>
          <w:bCs/>
          <w:lang w:val="es-ES_tradnl"/>
        </w:rPr>
        <w:tab/>
      </w:r>
      <w:r w:rsidRPr="00A529E5">
        <w:rPr>
          <w:b/>
          <w:bCs/>
          <w:u w:val="single"/>
          <w:lang w:val="es-ES_tradnl"/>
        </w:rPr>
        <w:t>Uso de la Contribución</w:t>
      </w:r>
      <w:r w:rsidRPr="00A529E5">
        <w:rPr>
          <w:bCs/>
          <w:lang w:val="es-ES_tradnl"/>
        </w:rPr>
        <w:t>.</w:t>
      </w:r>
      <w:r w:rsidRPr="00A529E5">
        <w:rPr>
          <w:lang w:val="es-ES_tradnl"/>
        </w:rPr>
        <w:t xml:space="preserve"> Los recursos de la Contribución sólo podrán usarse para la adquisición de bienes y servicios relacionados y la selección y la contratación de consultores de los países miembros del Banco</w:t>
      </w:r>
      <w:bookmarkStart w:id="62" w:name="_DV_M123"/>
      <w:bookmarkEnd w:id="62"/>
      <w:r>
        <w:rPr>
          <w:lang w:val="es-ES_tradnl"/>
        </w:rPr>
        <w:t xml:space="preserve">. </w:t>
      </w:r>
      <w:r w:rsidRPr="00A529E5">
        <w:rPr>
          <w:lang w:val="es-ES_tradnl"/>
        </w:rPr>
        <w:t>En consecuencia, los procedimientos y las bases específicas de las licitaciones u otras formas de contratación financiadas con recursos de la Contribución deberán permitir la libre concurrencia de proveedores de bienes y servicios relacionados y d</w:t>
      </w:r>
      <w:r>
        <w:rPr>
          <w:lang w:val="es-ES_tradnl"/>
        </w:rPr>
        <w:t>e consultores de dichos países.</w:t>
      </w:r>
    </w:p>
    <w:p w:rsidR="00FE67A7" w:rsidRPr="00B66E4A" w:rsidRDefault="00FE67A7" w:rsidP="00FE67A7">
      <w:pPr>
        <w:widowControl/>
        <w:jc w:val="both"/>
        <w:rPr>
          <w:lang w:val="es-ES_tradnl"/>
        </w:rPr>
      </w:pPr>
    </w:p>
    <w:p w:rsidR="00FE67A7" w:rsidRPr="00FE67A7" w:rsidRDefault="00FE67A7" w:rsidP="001F55AF">
      <w:pPr>
        <w:tabs>
          <w:tab w:val="left" w:pos="2520"/>
        </w:tabs>
        <w:ind w:firstLine="720"/>
        <w:jc w:val="both"/>
        <w:rPr>
          <w:lang w:val="es-ES_tradnl"/>
        </w:rPr>
      </w:pPr>
      <w:r>
        <w:rPr>
          <w:b/>
          <w:bCs/>
          <w:lang w:val="es-ES_tradnl"/>
        </w:rPr>
        <w:t>Undé</w:t>
      </w:r>
      <w:r w:rsidRPr="00F20A82">
        <w:rPr>
          <w:b/>
          <w:bCs/>
          <w:lang w:val="es-ES_tradnl"/>
        </w:rPr>
        <w:t>cimo.</w:t>
      </w:r>
      <w:r w:rsidRPr="00F20A82">
        <w:rPr>
          <w:lang w:val="es-ES_tradnl"/>
        </w:rPr>
        <w:tab/>
      </w:r>
      <w:r w:rsidRPr="00F20A82">
        <w:rPr>
          <w:b/>
          <w:bCs/>
          <w:u w:val="single"/>
          <w:lang w:val="es-ES_tradnl"/>
        </w:rPr>
        <w:t>Adquisición de bienes y servicios relacionados</w:t>
      </w:r>
      <w:r w:rsidRPr="00F20A82">
        <w:rPr>
          <w:lang w:val="es-ES_tradnl"/>
        </w:rPr>
        <w:t>.</w:t>
      </w:r>
      <w:bookmarkStart w:id="63" w:name="_DV_M126"/>
      <w:bookmarkEnd w:id="63"/>
      <w:r w:rsidRPr="00F20A82">
        <w:rPr>
          <w:lang w:val="es-ES_tradnl"/>
        </w:rPr>
        <w:t xml:space="preserve"> </w:t>
      </w:r>
      <w:r w:rsidRPr="00F51389">
        <w:rPr>
          <w:lang w:val="es-ES_tradnl"/>
        </w:rPr>
        <w:t>La adquisición de bienes y servicios relacionados</w:t>
      </w:r>
      <w:r w:rsidRPr="00F51389">
        <w:rPr>
          <w:rStyle w:val="FootnoteReference"/>
          <w:vertAlign w:val="superscript"/>
          <w:lang w:val="es-ES_tradnl"/>
        </w:rPr>
        <w:t xml:space="preserve"> </w:t>
      </w:r>
      <w:r w:rsidRPr="00F51389">
        <w:rPr>
          <w:lang w:val="es-ES_tradnl"/>
        </w:rPr>
        <w:t>se llevará a cabo de conformidad con las disposiciones establecidas en el Documento GN-</w:t>
      </w:r>
      <w:r w:rsidRPr="00FE67A7">
        <w:rPr>
          <w:lang w:val="es-ES_tradnl"/>
        </w:rPr>
        <w:t>2349-</w:t>
      </w:r>
      <w:bookmarkStart w:id="64" w:name="_DV_C203"/>
      <w:r w:rsidRPr="00FE67A7">
        <w:rPr>
          <w:rStyle w:val="DeltaViewDeletion"/>
          <w:strike w:val="0"/>
          <w:color w:val="auto"/>
          <w:lang w:val="es-ES_tradnl"/>
        </w:rPr>
        <w:t>9</w:t>
      </w:r>
      <w:bookmarkStart w:id="65" w:name="_DV_M128"/>
      <w:bookmarkEnd w:id="64"/>
      <w:bookmarkEnd w:id="65"/>
      <w:r w:rsidRPr="00FE67A7">
        <w:rPr>
          <w:lang w:val="es-ES_tradnl"/>
        </w:rPr>
        <w:t xml:space="preserve"> (“Políticas para la adquisición de bienes y obras financiados por el Banco Interamericano de Desarrollo”), de </w:t>
      </w:r>
      <w:bookmarkStart w:id="66" w:name="_DV_C205"/>
      <w:r w:rsidRPr="00FE67A7">
        <w:rPr>
          <w:rStyle w:val="DeltaViewDeletion"/>
          <w:strike w:val="0"/>
          <w:color w:val="auto"/>
          <w:lang w:val="es-ES_tradnl"/>
        </w:rPr>
        <w:t>marzo</w:t>
      </w:r>
      <w:bookmarkStart w:id="67" w:name="_DV_M129"/>
      <w:bookmarkEnd w:id="66"/>
      <w:bookmarkEnd w:id="67"/>
      <w:r w:rsidRPr="00FE67A7">
        <w:rPr>
          <w:lang w:val="es-ES_tradnl"/>
        </w:rPr>
        <w:t xml:space="preserve"> de </w:t>
      </w:r>
      <w:bookmarkStart w:id="68" w:name="_DV_C207"/>
      <w:r w:rsidRPr="00FE67A7">
        <w:rPr>
          <w:rStyle w:val="DeltaViewDeletion"/>
          <w:strike w:val="0"/>
          <w:color w:val="auto"/>
          <w:lang w:val="es-ES_tradnl"/>
        </w:rPr>
        <w:t>2011</w:t>
      </w:r>
      <w:bookmarkStart w:id="69" w:name="_DV_M130"/>
      <w:bookmarkEnd w:id="68"/>
      <w:bookmarkEnd w:id="69"/>
      <w:r w:rsidRPr="00FE67A7">
        <w:rPr>
          <w:lang w:val="es-ES_tradnl"/>
        </w:rPr>
        <w:t xml:space="preserve"> (en adelante denominado las “Políticas de Adquisiciones”), que el </w:t>
      </w:r>
      <w:bookmarkStart w:id="70" w:name="_DV_M131"/>
      <w:bookmarkEnd w:id="70"/>
      <w:r w:rsidR="00D47E67">
        <w:rPr>
          <w:lang w:val="es-ES_tradnl"/>
        </w:rPr>
        <w:t>Beneficiario</w:t>
      </w:r>
      <w:bookmarkStart w:id="71" w:name="_DV_C211"/>
      <w:r w:rsidRPr="00FE67A7">
        <w:rPr>
          <w:lang w:val="es-ES_tradnl"/>
        </w:rPr>
        <w:t xml:space="preserve"> declara conocer</w:t>
      </w:r>
      <w:bookmarkEnd w:id="71"/>
      <w:r w:rsidRPr="00FE67A7">
        <w:rPr>
          <w:lang w:val="es-ES_tradnl"/>
        </w:rPr>
        <w:t xml:space="preserve"> y se compromete a hacer conocer por el Organismo Ejecutor, y por la siguiente disposición:</w:t>
      </w:r>
    </w:p>
    <w:p w:rsidR="00FE67A7" w:rsidRDefault="00FE67A7" w:rsidP="00FE67A7">
      <w:pPr>
        <w:ind w:firstLine="720"/>
        <w:jc w:val="both"/>
        <w:rPr>
          <w:lang w:val="es-ES_tradnl"/>
        </w:rPr>
      </w:pPr>
    </w:p>
    <w:p w:rsidR="00FE67A7" w:rsidRPr="00E77F02" w:rsidRDefault="00FE67A7" w:rsidP="00FE67A7">
      <w:pPr>
        <w:numPr>
          <w:ilvl w:val="0"/>
          <w:numId w:val="2"/>
        </w:numPr>
        <w:autoSpaceDE/>
        <w:autoSpaceDN/>
        <w:adjustRightInd/>
        <w:jc w:val="both"/>
        <w:rPr>
          <w:lang w:val="es-ES_tradnl"/>
        </w:rPr>
      </w:pPr>
      <w:r w:rsidRPr="00A04F39">
        <w:rPr>
          <w:lang w:val="es-ES_tradnl"/>
        </w:rPr>
        <w:t xml:space="preserve">El Organismo Ejecutor podrá utilizar el método de Comparación de Precios, cuando el costo estimado de los bienes y servicios relacionados sea menor </w:t>
      </w:r>
      <w:r w:rsidRPr="00E77F02">
        <w:rPr>
          <w:lang w:val="es-ES_tradnl"/>
        </w:rPr>
        <w:t>a cien mil dólares (US$100.000).</w:t>
      </w:r>
    </w:p>
    <w:p w:rsidR="00FE67A7" w:rsidRPr="00F51389" w:rsidRDefault="00FE67A7" w:rsidP="00FE67A7">
      <w:pPr>
        <w:widowControl/>
        <w:ind w:firstLine="720"/>
        <w:jc w:val="both"/>
        <w:rPr>
          <w:lang w:val="es-ES_tradnl"/>
        </w:rPr>
      </w:pPr>
    </w:p>
    <w:p w:rsidR="00C2478C" w:rsidRPr="006208A8" w:rsidRDefault="00FE67A7" w:rsidP="00C2478C">
      <w:pPr>
        <w:widowControl/>
        <w:tabs>
          <w:tab w:val="left" w:pos="2520"/>
        </w:tabs>
        <w:ind w:firstLine="720"/>
        <w:jc w:val="both"/>
        <w:rPr>
          <w:color w:val="000000"/>
          <w:lang w:val="es-ES_tradnl"/>
        </w:rPr>
      </w:pPr>
      <w:bookmarkStart w:id="72" w:name="_DV_M124"/>
      <w:bookmarkEnd w:id="72"/>
      <w:r>
        <w:rPr>
          <w:b/>
          <w:bCs/>
          <w:color w:val="000000"/>
          <w:lang w:val="es-ES_tradnl"/>
        </w:rPr>
        <w:t>Duo</w:t>
      </w:r>
      <w:r w:rsidR="008D7004">
        <w:rPr>
          <w:b/>
          <w:bCs/>
          <w:color w:val="000000"/>
          <w:lang w:val="es-ES_tradnl"/>
        </w:rPr>
        <w:t>décimo</w:t>
      </w:r>
      <w:r w:rsidR="00110C17" w:rsidRPr="006208A8">
        <w:rPr>
          <w:b/>
          <w:bCs/>
          <w:color w:val="000000"/>
          <w:lang w:val="es-ES_tradnl"/>
        </w:rPr>
        <w:t>.</w:t>
      </w:r>
      <w:r w:rsidR="00110C17" w:rsidRPr="006208A8">
        <w:rPr>
          <w:b/>
          <w:bCs/>
          <w:color w:val="000000"/>
          <w:lang w:val="es-ES_tradnl"/>
        </w:rPr>
        <w:tab/>
      </w:r>
      <w:r w:rsidR="00C2478C" w:rsidRPr="006208A8">
        <w:rPr>
          <w:b/>
          <w:bCs/>
          <w:color w:val="000000"/>
          <w:u w:val="single"/>
          <w:lang w:val="es-ES_tradnl"/>
        </w:rPr>
        <w:t>Contratación de Consultores</w:t>
      </w:r>
      <w:r w:rsidR="00C2478C" w:rsidRPr="006208A8">
        <w:rPr>
          <w:color w:val="000000"/>
          <w:lang w:val="es-ES_tradnl"/>
        </w:rPr>
        <w:t>. La selección y contratación de consultores deberá ser llevada a cabo de conformidad con las disposiciones establecidas en el Documento GN</w:t>
      </w:r>
      <w:r w:rsidR="00C2478C" w:rsidRPr="006208A8">
        <w:rPr>
          <w:color w:val="000000"/>
          <w:lang w:val="es-ES_tradnl"/>
        </w:rPr>
        <w:noBreakHyphen/>
        <w:t>2350-</w:t>
      </w:r>
      <w:bookmarkStart w:id="73" w:name="_DV_C322"/>
      <w:r w:rsidR="00C2478C" w:rsidRPr="006208A8">
        <w:rPr>
          <w:rStyle w:val="DeltaViewDeletion"/>
          <w:strike w:val="0"/>
          <w:color w:val="000000"/>
          <w:lang w:val="es-ES_tradnl"/>
        </w:rPr>
        <w:t>9</w:t>
      </w:r>
      <w:bookmarkStart w:id="74" w:name="_DV_M191"/>
      <w:bookmarkEnd w:id="73"/>
      <w:bookmarkEnd w:id="74"/>
      <w:r w:rsidR="00C2478C" w:rsidRPr="006208A8">
        <w:rPr>
          <w:rStyle w:val="DeltaViewDeletion"/>
          <w:strike w:val="0"/>
          <w:color w:val="000000"/>
          <w:lang w:val="es-ES_tradnl"/>
        </w:rPr>
        <w:t xml:space="preserve"> </w:t>
      </w:r>
      <w:r w:rsidR="00C2478C" w:rsidRPr="006208A8">
        <w:rPr>
          <w:color w:val="000000"/>
          <w:lang w:val="es-ES_tradnl"/>
        </w:rPr>
        <w:t xml:space="preserve">("Políticas para la selección y contratación de consultores financiados por el Banco Interamericano de Desarrollo"), de </w:t>
      </w:r>
      <w:bookmarkStart w:id="75" w:name="_DV_C324"/>
      <w:r w:rsidR="00C2478C" w:rsidRPr="006208A8">
        <w:rPr>
          <w:rStyle w:val="DeltaViewDeletion"/>
          <w:strike w:val="0"/>
          <w:color w:val="000000"/>
          <w:lang w:val="es-ES_tradnl"/>
        </w:rPr>
        <w:t>marzo</w:t>
      </w:r>
      <w:bookmarkStart w:id="76" w:name="_DV_M193"/>
      <w:bookmarkEnd w:id="75"/>
      <w:bookmarkEnd w:id="76"/>
      <w:r w:rsidR="00C2478C" w:rsidRPr="006208A8">
        <w:rPr>
          <w:color w:val="000000"/>
          <w:lang w:val="es-ES_tradnl"/>
        </w:rPr>
        <w:t xml:space="preserve"> de </w:t>
      </w:r>
      <w:bookmarkStart w:id="77" w:name="_DV_C326"/>
      <w:r w:rsidR="00C2478C" w:rsidRPr="006208A8">
        <w:rPr>
          <w:color w:val="000000"/>
          <w:lang w:val="es-ES_tradnl"/>
        </w:rPr>
        <w:t>2011</w:t>
      </w:r>
      <w:bookmarkStart w:id="78" w:name="_DV_M194"/>
      <w:bookmarkEnd w:id="77"/>
      <w:bookmarkEnd w:id="78"/>
      <w:r w:rsidR="00C2478C" w:rsidRPr="006208A8">
        <w:rPr>
          <w:color w:val="000000"/>
          <w:lang w:val="es-ES_tradnl"/>
        </w:rPr>
        <w:t xml:space="preserve"> (en adelante denominado las "Políticas de Consultores"), que el </w:t>
      </w:r>
      <w:bookmarkStart w:id="79" w:name="_DV_M195"/>
      <w:bookmarkEnd w:id="79"/>
      <w:r w:rsidR="00C2478C" w:rsidRPr="006208A8">
        <w:rPr>
          <w:color w:val="000000"/>
          <w:lang w:val="es-ES_tradnl"/>
        </w:rPr>
        <w:t>Beneficiario</w:t>
      </w:r>
      <w:bookmarkStart w:id="80" w:name="_DV_C330"/>
      <w:r w:rsidR="00C2478C" w:rsidRPr="006208A8">
        <w:rPr>
          <w:color w:val="000000"/>
          <w:lang w:val="es-ES_tradnl"/>
        </w:rPr>
        <w:t xml:space="preserve"> </w:t>
      </w:r>
      <w:r w:rsidR="00C2478C" w:rsidRPr="006208A8">
        <w:rPr>
          <w:rStyle w:val="DeltaViewInsertion"/>
          <w:color w:val="000000"/>
          <w:u w:val="none"/>
          <w:lang w:val="es-ES_tradnl"/>
        </w:rPr>
        <w:t>declara conocer</w:t>
      </w:r>
      <w:bookmarkEnd w:id="80"/>
      <w:r w:rsidR="00C2478C" w:rsidRPr="006208A8">
        <w:rPr>
          <w:color w:val="000000"/>
          <w:lang w:val="es-ES_tradnl"/>
        </w:rPr>
        <w:t>, y por la siguiente disposición:</w:t>
      </w:r>
    </w:p>
    <w:p w:rsidR="00C2478C" w:rsidRPr="006208A8" w:rsidRDefault="00C2478C" w:rsidP="00C2478C">
      <w:pPr>
        <w:widowControl/>
        <w:jc w:val="both"/>
        <w:rPr>
          <w:color w:val="000000"/>
          <w:lang w:val="es-ES_tradnl"/>
        </w:rPr>
      </w:pPr>
    </w:p>
    <w:p w:rsidR="00C2478C" w:rsidRPr="00214643" w:rsidRDefault="00C2478C" w:rsidP="005E769E">
      <w:pPr>
        <w:pStyle w:val="ListParagraph"/>
        <w:widowControl/>
        <w:numPr>
          <w:ilvl w:val="0"/>
          <w:numId w:val="1"/>
        </w:numPr>
        <w:tabs>
          <w:tab w:val="left" w:pos="720"/>
          <w:tab w:val="left" w:pos="1440"/>
          <w:tab w:val="left" w:pos="2040"/>
          <w:tab w:val="left" w:pos="2520"/>
        </w:tabs>
        <w:jc w:val="both"/>
        <w:rPr>
          <w:color w:val="000000"/>
          <w:lang w:val="es-ES_tradnl"/>
        </w:rPr>
      </w:pPr>
      <w:bookmarkStart w:id="81" w:name="_DV_M199"/>
      <w:bookmarkStart w:id="82" w:name="_DV_M200"/>
      <w:bookmarkEnd w:id="81"/>
      <w:bookmarkEnd w:id="82"/>
      <w:r w:rsidRPr="005E769E">
        <w:rPr>
          <w:color w:val="000000"/>
          <w:lang w:val="es-ES_tradnl"/>
        </w:rPr>
        <w:t xml:space="preserve">El Beneficiario podrá utilizar el método establecido en la Sección II y en los párrafos 3.16 a 3.20 de las Políticas de Consultores para la selección de consultores basada en la calidad y el costo, así como cualquiera de los métodos establecidos en las Secciones III y V de dichas políticas para la selección de </w:t>
      </w:r>
      <w:r w:rsidRPr="00214643">
        <w:rPr>
          <w:color w:val="000000"/>
          <w:lang w:val="es-ES_tradnl"/>
        </w:rPr>
        <w:t xml:space="preserve">firmas consultoras y de consultores individuales, respectivamente. Para efectos de lo estipulado en el párrafo 2.7 de las Políticas de Consultores, la lista corta de </w:t>
      </w:r>
      <w:r w:rsidRPr="00214643">
        <w:rPr>
          <w:color w:val="000000"/>
          <w:lang w:val="es-ES_tradnl"/>
        </w:rPr>
        <w:lastRenderedPageBreak/>
        <w:t>consultores cuyo costo estimado sea menor al equivalente de</w:t>
      </w:r>
      <w:r w:rsidR="005E769E" w:rsidRPr="00214643">
        <w:rPr>
          <w:color w:val="000000"/>
          <w:lang w:val="es-ES_tradnl"/>
        </w:rPr>
        <w:t xml:space="preserve"> </w:t>
      </w:r>
      <w:r w:rsidR="00214643" w:rsidRPr="006B2963">
        <w:rPr>
          <w:color w:val="000000"/>
          <w:lang w:val="es-ES_tradnl"/>
        </w:rPr>
        <w:t>quinientos mil</w:t>
      </w:r>
      <w:r w:rsidRPr="006B2963">
        <w:rPr>
          <w:color w:val="000000"/>
          <w:lang w:val="es-ES_tradnl"/>
        </w:rPr>
        <w:t xml:space="preserve"> dólares (US$</w:t>
      </w:r>
      <w:r w:rsidR="00214643" w:rsidRPr="006B2963">
        <w:rPr>
          <w:color w:val="000000"/>
          <w:lang w:val="es-ES_tradnl"/>
        </w:rPr>
        <w:t>500.000</w:t>
      </w:r>
      <w:r w:rsidRPr="006B2963">
        <w:rPr>
          <w:color w:val="000000"/>
          <w:lang w:val="es-ES_tradnl"/>
        </w:rPr>
        <w:t>)</w:t>
      </w:r>
      <w:r w:rsidRPr="00214643">
        <w:rPr>
          <w:color w:val="000000"/>
          <w:lang w:val="es-ES_tradnl"/>
        </w:rPr>
        <w:t xml:space="preserve"> </w:t>
      </w:r>
      <w:r w:rsidRPr="0046376B">
        <w:rPr>
          <w:lang w:val="es-ES_tradnl"/>
        </w:rPr>
        <w:t xml:space="preserve"> </w:t>
      </w:r>
      <w:r w:rsidRPr="00214643">
        <w:rPr>
          <w:color w:val="000000"/>
          <w:lang w:val="es-ES_tradnl"/>
        </w:rPr>
        <w:t xml:space="preserve">por contrato podrá estar conformada en su totalidad por consultores nacionales. </w:t>
      </w:r>
    </w:p>
    <w:p w:rsidR="00A02871" w:rsidRDefault="00A02871" w:rsidP="001F55AF">
      <w:pPr>
        <w:widowControl/>
        <w:tabs>
          <w:tab w:val="left" w:pos="720"/>
          <w:tab w:val="left" w:pos="1440"/>
          <w:tab w:val="left" w:pos="2040"/>
          <w:tab w:val="left" w:pos="2520"/>
        </w:tabs>
        <w:jc w:val="both"/>
        <w:rPr>
          <w:rStyle w:val="DeltaViewInsertion"/>
          <w:b/>
          <w:color w:val="000000"/>
          <w:u w:val="none"/>
          <w:lang w:val="es-ES_tradnl"/>
        </w:rPr>
      </w:pPr>
      <w:bookmarkStart w:id="83" w:name="_DV_M203"/>
      <w:bookmarkStart w:id="84" w:name="_DV_C351"/>
      <w:bookmarkEnd w:id="83"/>
    </w:p>
    <w:p w:rsidR="00FE67A7" w:rsidRPr="00F20A82" w:rsidRDefault="00A02871" w:rsidP="001F55AF">
      <w:pPr>
        <w:widowControl/>
        <w:tabs>
          <w:tab w:val="left" w:pos="720"/>
          <w:tab w:val="left" w:pos="1440"/>
          <w:tab w:val="left" w:pos="2040"/>
          <w:tab w:val="left" w:pos="2520"/>
        </w:tabs>
        <w:jc w:val="both"/>
        <w:rPr>
          <w:lang w:val="es-ES_tradnl"/>
        </w:rPr>
      </w:pPr>
      <w:r>
        <w:rPr>
          <w:rStyle w:val="DeltaViewInsertion"/>
          <w:b/>
          <w:color w:val="000000"/>
          <w:u w:val="none"/>
          <w:lang w:val="es-ES_tradnl"/>
        </w:rPr>
        <w:tab/>
      </w:r>
      <w:r w:rsidR="008D7004">
        <w:rPr>
          <w:rStyle w:val="DeltaViewInsertion"/>
          <w:b/>
          <w:color w:val="000000"/>
          <w:u w:val="none"/>
          <w:lang w:val="es-ES_tradnl"/>
        </w:rPr>
        <w:t>D</w:t>
      </w:r>
      <w:r w:rsidR="00FE67A7">
        <w:rPr>
          <w:rStyle w:val="DeltaViewInsertion"/>
          <w:b/>
          <w:color w:val="000000"/>
          <w:u w:val="none"/>
          <w:lang w:val="es-ES_tradnl"/>
        </w:rPr>
        <w:t>ecimotercer</w:t>
      </w:r>
      <w:r w:rsidR="006208A8">
        <w:rPr>
          <w:rStyle w:val="DeltaViewInsertion"/>
          <w:b/>
          <w:color w:val="000000"/>
          <w:u w:val="none"/>
          <w:lang w:val="es-ES_tradnl"/>
        </w:rPr>
        <w:t>o</w:t>
      </w:r>
      <w:r w:rsidR="00C2478C" w:rsidRPr="006208A8">
        <w:rPr>
          <w:rStyle w:val="DeltaViewInsertion"/>
          <w:b/>
          <w:bCs/>
          <w:color w:val="000000"/>
          <w:u w:val="none"/>
          <w:lang w:val="es-ES_tradnl"/>
        </w:rPr>
        <w:t>.</w:t>
      </w:r>
      <w:r w:rsidR="00C2478C" w:rsidRPr="006208A8">
        <w:rPr>
          <w:rStyle w:val="DeltaViewInsertion"/>
          <w:b/>
          <w:bCs/>
          <w:color w:val="000000"/>
          <w:u w:val="none"/>
          <w:lang w:val="es-ES_tradnl"/>
        </w:rPr>
        <w:tab/>
      </w:r>
      <w:r w:rsidR="00C2478C" w:rsidRPr="006208A8">
        <w:rPr>
          <w:rStyle w:val="DeltaViewInsertion"/>
          <w:b/>
          <w:bCs/>
          <w:color w:val="000000"/>
          <w:u w:val="single"/>
          <w:lang w:val="es-ES_tradnl"/>
        </w:rPr>
        <w:t>Plan de Adquisiciones</w:t>
      </w:r>
      <w:r w:rsidR="00C2478C" w:rsidRPr="006208A8">
        <w:rPr>
          <w:rStyle w:val="DeltaViewInsertion"/>
          <w:color w:val="000000"/>
          <w:u w:val="none"/>
          <w:lang w:val="es-ES_tradnl"/>
        </w:rPr>
        <w:t xml:space="preserve">. </w:t>
      </w:r>
      <w:bookmarkStart w:id="85" w:name="_DV_M204"/>
      <w:bookmarkEnd w:id="84"/>
      <w:bookmarkEnd w:id="85"/>
      <w:r w:rsidR="00FE67A7" w:rsidRPr="00F51389">
        <w:rPr>
          <w:lang w:val="es-ES_tradnl"/>
        </w:rPr>
        <w:t>Antes</w:t>
      </w:r>
      <w:r w:rsidR="00FE67A7" w:rsidRPr="00F20A82">
        <w:rPr>
          <w:lang w:val="es-ES_tradnl"/>
        </w:rPr>
        <w:t xml:space="preserve"> de que pueda efectuarse cualquier llamado de licitación en el caso de bienes y servicios relacionados o cualquier selección y contratación de consultores, el Organismo Ejecutor deberá presentar a la revisión y aprobación del Banco, el plan de adquisiciones propuesto para el Proyecto (en adelante denominado el </w:t>
      </w:r>
      <w:r w:rsidR="00FE67A7">
        <w:rPr>
          <w:lang w:val="es-ES_tradnl"/>
        </w:rPr>
        <w:t>“</w:t>
      </w:r>
      <w:r w:rsidR="00FE67A7" w:rsidRPr="00F20A82">
        <w:rPr>
          <w:lang w:val="es-ES_tradnl"/>
        </w:rPr>
        <w:t>Plan de Adquisiciones</w:t>
      </w:r>
      <w:r w:rsidR="00FE67A7">
        <w:rPr>
          <w:lang w:val="es-ES_tradnl"/>
        </w:rPr>
        <w:t>”</w:t>
      </w:r>
      <w:r w:rsidR="00FE67A7" w:rsidRPr="00F20A82">
        <w:rPr>
          <w:lang w:val="es-ES_tradnl"/>
        </w:rPr>
        <w:t xml:space="preserve">), que deberá incluir el costo estimado de cada contrato, la agrupación de los contratos y los métodos de adquisición y selección aplicables, de conformidad con lo dispuesto en el párrafo 1 del Apéndice 1 de las Políticas de Adquisiciones y de las Políticas de Consultores. Este plan deberá ser actualizado cada </w:t>
      </w:r>
      <w:bookmarkStart w:id="86" w:name="_DV_M206"/>
      <w:bookmarkEnd w:id="86"/>
      <w:r w:rsidR="00FE67A7">
        <w:rPr>
          <w:lang w:val="es-ES_tradnl"/>
        </w:rPr>
        <w:t>doce</w:t>
      </w:r>
      <w:r w:rsidR="00FE67A7" w:rsidRPr="00F20A82">
        <w:rPr>
          <w:lang w:val="es-ES_tradnl"/>
        </w:rPr>
        <w:t xml:space="preserve"> (</w:t>
      </w:r>
      <w:r w:rsidR="00FE67A7">
        <w:rPr>
          <w:lang w:val="es-ES_tradnl"/>
        </w:rPr>
        <w:t>12</w:t>
      </w:r>
      <w:r w:rsidR="00FE67A7" w:rsidRPr="00F20A82">
        <w:rPr>
          <w:lang w:val="es-ES_tradnl"/>
        </w:rPr>
        <w:t>) meses o según sus necesidades durante la ejecución del Proyecto, y cada versión actualizada será sometida a la revisión y aprobación del Banco. La adquisición de los bienes y servicios relacionados y la selección y contratación de consultores deberán ser llevad</w:t>
      </w:r>
      <w:r w:rsidR="00024787">
        <w:rPr>
          <w:lang w:val="es-ES_tradnl"/>
        </w:rPr>
        <w:t>a</w:t>
      </w:r>
      <w:r w:rsidR="00FE67A7" w:rsidRPr="00F20A82">
        <w:rPr>
          <w:lang w:val="es-ES_tradnl"/>
        </w:rPr>
        <w:t>s a cabo de conformidad con el Plan de Adquisiciones aprobado por el Banco y sus respectivas modificaciones.</w:t>
      </w:r>
    </w:p>
    <w:p w:rsidR="00C2478C" w:rsidRPr="00533AC0" w:rsidRDefault="00C2478C" w:rsidP="00C2478C">
      <w:pPr>
        <w:widowControl/>
        <w:tabs>
          <w:tab w:val="left" w:pos="720"/>
          <w:tab w:val="left" w:pos="1440"/>
          <w:tab w:val="left" w:pos="2040"/>
          <w:tab w:val="left" w:pos="2520"/>
        </w:tabs>
        <w:jc w:val="both"/>
        <w:rPr>
          <w:highlight w:val="yellow"/>
          <w:lang w:val="es-ES_tradnl"/>
        </w:rPr>
      </w:pPr>
    </w:p>
    <w:p w:rsidR="00214643" w:rsidRPr="00214643" w:rsidRDefault="00C2478C" w:rsidP="00214643">
      <w:pPr>
        <w:widowControl/>
        <w:tabs>
          <w:tab w:val="left" w:pos="720"/>
          <w:tab w:val="left" w:pos="1440"/>
          <w:tab w:val="left" w:pos="2520"/>
        </w:tabs>
        <w:jc w:val="both"/>
        <w:rPr>
          <w:color w:val="000000"/>
          <w:lang w:val="es-ES_tradnl"/>
        </w:rPr>
      </w:pPr>
      <w:bookmarkStart w:id="87" w:name="_DV_M207"/>
      <w:bookmarkStart w:id="88" w:name="_DV_M213"/>
      <w:bookmarkEnd w:id="87"/>
      <w:bookmarkEnd w:id="88"/>
      <w:r w:rsidRPr="00A529E5">
        <w:rPr>
          <w:b/>
          <w:bCs/>
          <w:lang w:val="es-ES_tradnl"/>
        </w:rPr>
        <w:tab/>
      </w:r>
      <w:bookmarkStart w:id="89" w:name="_DV_M217"/>
      <w:bookmarkStart w:id="90" w:name="_DV_M218"/>
      <w:bookmarkEnd w:id="89"/>
      <w:bookmarkEnd w:id="90"/>
      <w:r w:rsidR="008D7004" w:rsidRPr="00AB5C98">
        <w:rPr>
          <w:b/>
          <w:lang w:val="es-ES_tradnl"/>
        </w:rPr>
        <w:t>Decimocuarto.</w:t>
      </w:r>
      <w:r w:rsidR="008D7004" w:rsidRPr="00AB5C98">
        <w:rPr>
          <w:b/>
          <w:lang w:val="es-ES_tradnl"/>
        </w:rPr>
        <w:tab/>
      </w:r>
      <w:r w:rsidR="008D7004" w:rsidRPr="00AB5C98">
        <w:rPr>
          <w:b/>
          <w:u w:val="single"/>
          <w:lang w:val="es-ES_tradnl"/>
        </w:rPr>
        <w:t>Revisión de los contratos</w:t>
      </w:r>
      <w:r w:rsidR="008D7004" w:rsidRPr="00AB5C98">
        <w:rPr>
          <w:lang w:val="es-ES_tradnl"/>
        </w:rPr>
        <w:t xml:space="preserve">. </w:t>
      </w:r>
      <w:r w:rsidR="008D7004" w:rsidRPr="00A529E5">
        <w:rPr>
          <w:lang w:val="es-ES_tradnl"/>
        </w:rPr>
        <w:t xml:space="preserve">Salvo que el Banco determine por escrito lo contrario, los contratos de </w:t>
      </w:r>
      <w:bookmarkStart w:id="91" w:name="_DV_C371"/>
      <w:r w:rsidR="008D7004" w:rsidRPr="00E21E14">
        <w:rPr>
          <w:lang w:val="es-ES_tradnl"/>
        </w:rPr>
        <w:t xml:space="preserve">adquisición de </w:t>
      </w:r>
      <w:bookmarkStart w:id="92" w:name="_DV_M215"/>
      <w:bookmarkEnd w:id="91"/>
      <w:bookmarkEnd w:id="92"/>
      <w:r w:rsidR="008D7004" w:rsidRPr="00E21E14">
        <w:rPr>
          <w:lang w:val="es-ES_tradnl"/>
        </w:rPr>
        <w:t>bienes y servicios, y la selección y contratación de</w:t>
      </w:r>
      <w:r w:rsidR="008D7004" w:rsidRPr="00A529E5">
        <w:rPr>
          <w:lang w:val="es-ES_tradnl"/>
        </w:rPr>
        <w:t xml:space="preserve"> consultores serán supervisados en forma ex post, de conformidad con los procedimientos establecidos en el párrafo 4 del Apéndice 1 de las Políticas de Adquisiciones y de las Políticas de Consultores.</w:t>
      </w:r>
      <w:r w:rsidR="00214643" w:rsidRPr="00214643">
        <w:rPr>
          <w:rFonts w:cs="Calibri"/>
          <w:lang w:val="es-ES_tradnl"/>
        </w:rPr>
        <w:t xml:space="preserve"> A manera de inducción, las primeras </w:t>
      </w:r>
      <w:r w:rsidR="009078C1">
        <w:rPr>
          <w:rFonts w:cs="Calibri"/>
          <w:lang w:val="es-ES_tradnl"/>
        </w:rPr>
        <w:t xml:space="preserve">cinco (5) </w:t>
      </w:r>
      <w:r w:rsidR="00214643" w:rsidRPr="00214643">
        <w:rPr>
          <w:rFonts w:cs="Calibri"/>
          <w:lang w:val="es-ES_tradnl"/>
        </w:rPr>
        <w:t xml:space="preserve">contrataciones que sean realizadas con cargo a la </w:t>
      </w:r>
      <w:r w:rsidR="00214643">
        <w:rPr>
          <w:rFonts w:cs="Calibri"/>
          <w:lang w:val="es-ES_tradnl"/>
        </w:rPr>
        <w:t>Contribución</w:t>
      </w:r>
      <w:r w:rsidR="00214643" w:rsidRPr="00214643">
        <w:rPr>
          <w:rFonts w:cs="Calibri"/>
          <w:lang w:val="es-ES_tradnl"/>
        </w:rPr>
        <w:t xml:space="preserve"> serán supervisadas </w:t>
      </w:r>
      <w:r w:rsidR="00214643">
        <w:rPr>
          <w:rFonts w:cs="Calibri"/>
          <w:lang w:val="es-ES_tradnl"/>
        </w:rPr>
        <w:t>en forma</w:t>
      </w:r>
      <w:r w:rsidR="00214643" w:rsidRPr="00214643">
        <w:rPr>
          <w:rFonts w:cs="Calibri"/>
          <w:lang w:val="es-ES_tradnl"/>
        </w:rPr>
        <w:t xml:space="preserve"> ex</w:t>
      </w:r>
      <w:r w:rsidR="00FE67A7">
        <w:rPr>
          <w:rFonts w:cs="Calibri"/>
          <w:lang w:val="es-ES_tradnl"/>
        </w:rPr>
        <w:t xml:space="preserve"> </w:t>
      </w:r>
      <w:r w:rsidR="00214643" w:rsidRPr="00214643">
        <w:rPr>
          <w:rFonts w:cs="Calibri"/>
          <w:lang w:val="es-ES_tradnl"/>
        </w:rPr>
        <w:t>ante</w:t>
      </w:r>
      <w:r w:rsidR="00214643" w:rsidRPr="006208A8">
        <w:rPr>
          <w:color w:val="000000"/>
          <w:lang w:val="es-ES_tradnl"/>
        </w:rPr>
        <w:t>, de conformidad con los procedimientos establecidos en l</w:t>
      </w:r>
      <w:r w:rsidR="00214643">
        <w:rPr>
          <w:color w:val="000000"/>
          <w:lang w:val="es-ES_tradnl"/>
        </w:rPr>
        <w:t>os</w:t>
      </w:r>
      <w:r w:rsidR="00214643" w:rsidRPr="006208A8">
        <w:rPr>
          <w:color w:val="000000"/>
          <w:lang w:val="es-ES_tradnl"/>
        </w:rPr>
        <w:t xml:space="preserve"> párrafo</w:t>
      </w:r>
      <w:r w:rsidR="00214643">
        <w:rPr>
          <w:color w:val="000000"/>
          <w:lang w:val="es-ES_tradnl"/>
        </w:rPr>
        <w:t>s</w:t>
      </w:r>
      <w:r w:rsidR="00214643" w:rsidRPr="006208A8">
        <w:rPr>
          <w:color w:val="000000"/>
          <w:lang w:val="es-ES_tradnl"/>
        </w:rPr>
        <w:t xml:space="preserve"> </w:t>
      </w:r>
      <w:r w:rsidR="00214643">
        <w:rPr>
          <w:color w:val="000000"/>
          <w:lang w:val="es-ES_tradnl"/>
        </w:rPr>
        <w:t>2 y 3</w:t>
      </w:r>
      <w:r w:rsidR="00214643" w:rsidRPr="006208A8">
        <w:rPr>
          <w:color w:val="000000"/>
          <w:lang w:val="es-ES_tradnl"/>
        </w:rPr>
        <w:t xml:space="preserve"> del Apéndice 1 de las Políticas de Consultores. </w:t>
      </w:r>
      <w:r w:rsidR="00214643" w:rsidRPr="00214643">
        <w:rPr>
          <w:rFonts w:cs="Calibri"/>
          <w:lang w:val="es-ES_tradnl"/>
        </w:rPr>
        <w:t>Los exámenes posteriores del Banco abarcarán como mínimo uno de cada cinco contratos firmados.</w:t>
      </w:r>
    </w:p>
    <w:p w:rsidR="008D7004" w:rsidRPr="003C5084" w:rsidRDefault="008D7004" w:rsidP="008D7004">
      <w:pPr>
        <w:widowControl/>
        <w:tabs>
          <w:tab w:val="left" w:pos="720"/>
          <w:tab w:val="left" w:pos="1440"/>
          <w:tab w:val="left" w:pos="2520"/>
        </w:tabs>
        <w:jc w:val="both"/>
        <w:rPr>
          <w:lang w:val="es-ES_tradnl"/>
        </w:rPr>
      </w:pPr>
    </w:p>
    <w:p w:rsidR="008D7004" w:rsidRPr="00F20A82" w:rsidRDefault="008D7004" w:rsidP="008D7004">
      <w:pPr>
        <w:widowControl/>
        <w:tabs>
          <w:tab w:val="left" w:pos="2520"/>
        </w:tabs>
        <w:ind w:firstLine="720"/>
        <w:jc w:val="both"/>
        <w:rPr>
          <w:lang w:val="es-ES_tradnl"/>
        </w:rPr>
      </w:pPr>
      <w:bookmarkStart w:id="93" w:name="_DV_M235"/>
      <w:bookmarkStart w:id="94" w:name="_DV_C418"/>
      <w:bookmarkEnd w:id="93"/>
      <w:r w:rsidRPr="008D7004">
        <w:rPr>
          <w:b/>
          <w:lang w:val="es-ES_tradnl"/>
        </w:rPr>
        <w:t>Decimoquinto</w:t>
      </w:r>
      <w:bookmarkStart w:id="95" w:name="_DV_M239"/>
      <w:bookmarkEnd w:id="94"/>
      <w:bookmarkEnd w:id="95"/>
      <w:r w:rsidRPr="008D7004">
        <w:rPr>
          <w:b/>
          <w:lang w:val="es-ES_tradnl"/>
        </w:rPr>
        <w:t>.</w:t>
      </w:r>
      <w:r w:rsidRPr="00F51389">
        <w:rPr>
          <w:b/>
          <w:bCs/>
          <w:lang w:val="es-ES_tradnl"/>
        </w:rPr>
        <w:tab/>
      </w:r>
      <w:bookmarkStart w:id="96" w:name="_DV_M240"/>
      <w:bookmarkEnd w:id="96"/>
      <w:r w:rsidRPr="00F51389">
        <w:rPr>
          <w:b/>
          <w:bCs/>
          <w:u w:val="single"/>
          <w:lang w:val="es-ES_tradnl"/>
        </w:rPr>
        <w:t>Seguimiento y Evaluación</w:t>
      </w:r>
      <w:r w:rsidRPr="00F51389">
        <w:rPr>
          <w:lang w:val="es-ES_tradnl"/>
        </w:rPr>
        <w:t xml:space="preserve">. </w:t>
      </w:r>
      <w:bookmarkStart w:id="97" w:name="_DV_M242"/>
      <w:bookmarkStart w:id="98" w:name="_DV_M244"/>
      <w:bookmarkEnd w:id="97"/>
      <w:bookmarkEnd w:id="98"/>
      <w:r>
        <w:rPr>
          <w:lang w:val="es-ES_tradnl"/>
        </w:rPr>
        <w:t xml:space="preserve">(a) </w:t>
      </w:r>
      <w:r w:rsidRPr="00731C24">
        <w:rPr>
          <w:lang w:val="es-ES_tradnl"/>
        </w:rPr>
        <w:t xml:space="preserve">El </w:t>
      </w:r>
      <w:r>
        <w:rPr>
          <w:lang w:val="es-ES_tradnl"/>
        </w:rPr>
        <w:t>Organismo Ejecutor</w:t>
      </w:r>
      <w:r w:rsidRPr="00731C24">
        <w:rPr>
          <w:lang w:val="es-ES_tradnl"/>
        </w:rPr>
        <w:t xml:space="preserve"> deberá presentar al </w:t>
      </w:r>
      <w:r>
        <w:rPr>
          <w:lang w:val="es-ES_tradnl"/>
        </w:rPr>
        <w:t xml:space="preserve">Banco los siguientes informes: </w:t>
      </w:r>
      <w:r w:rsidRPr="00731C24">
        <w:rPr>
          <w:lang w:val="es-ES_tradnl"/>
        </w:rPr>
        <w:t xml:space="preserve">(i) informes semestrales de progreso, dentro de los </w:t>
      </w:r>
      <w:r w:rsidRPr="00790835">
        <w:rPr>
          <w:lang w:val="es-ES_tradnl"/>
        </w:rPr>
        <w:t>treinta (30) días siguientes a la finalización de cada semestre calendario; y (ii) un informe final, dentro de los seis (6)</w:t>
      </w:r>
      <w:r w:rsidRPr="00731C24">
        <w:rPr>
          <w:lang w:val="es-ES_tradnl"/>
        </w:rPr>
        <w:t xml:space="preserve"> meses contados a partir de la finalización de la última actividad del Proyecto</w:t>
      </w:r>
      <w:r>
        <w:rPr>
          <w:lang w:val="es-ES_tradnl"/>
        </w:rPr>
        <w:t xml:space="preserve">. </w:t>
      </w:r>
    </w:p>
    <w:p w:rsidR="008D7004" w:rsidRDefault="008D7004" w:rsidP="008D7004">
      <w:pPr>
        <w:widowControl/>
        <w:tabs>
          <w:tab w:val="left" w:pos="1440"/>
          <w:tab w:val="left" w:pos="2520"/>
        </w:tabs>
        <w:ind w:firstLine="720"/>
        <w:jc w:val="both"/>
        <w:rPr>
          <w:rFonts w:eastAsia="@Arial Unicode MS"/>
          <w:b/>
          <w:bCs/>
          <w:lang w:val="es-ES_tradnl"/>
        </w:rPr>
      </w:pPr>
    </w:p>
    <w:p w:rsidR="008D7004" w:rsidRPr="005D3ED6" w:rsidRDefault="008D7004" w:rsidP="008D7004">
      <w:pPr>
        <w:widowControl/>
        <w:tabs>
          <w:tab w:val="left" w:pos="1440"/>
          <w:tab w:val="left" w:pos="2520"/>
        </w:tabs>
        <w:ind w:firstLine="720"/>
        <w:jc w:val="both"/>
        <w:rPr>
          <w:rFonts w:eastAsia="@Arial Unicode MS"/>
          <w:bCs/>
          <w:lang w:val="es-ES_tradnl"/>
        </w:rPr>
      </w:pPr>
      <w:r>
        <w:rPr>
          <w:rFonts w:eastAsia="@Arial Unicode MS"/>
          <w:bCs/>
          <w:lang w:val="es-ES_tradnl"/>
        </w:rPr>
        <w:t>(b)</w:t>
      </w:r>
      <w:r w:rsidR="00E10685">
        <w:rPr>
          <w:rFonts w:eastAsia="@Arial Unicode MS"/>
          <w:bCs/>
          <w:lang w:val="es-ES_tradnl"/>
        </w:rPr>
        <w:tab/>
      </w:r>
      <w:r>
        <w:rPr>
          <w:rFonts w:eastAsia="@Arial Unicode MS"/>
          <w:bCs/>
          <w:lang w:val="es-ES_tradnl"/>
        </w:rPr>
        <w:t xml:space="preserve">El Beneficiario se compromete a que se realice una evaluación final del Proyecto, </w:t>
      </w:r>
      <w:r w:rsidR="00FE67A7">
        <w:rPr>
          <w:rFonts w:eastAsia="@Arial Unicode MS"/>
          <w:bCs/>
          <w:lang w:val="es-ES_tradnl"/>
        </w:rPr>
        <w:t xml:space="preserve">que deberá ser presentada al Banco dentro de los noventa (90) días siguientes a la finalización del plazo de desembolso. </w:t>
      </w:r>
      <w:r>
        <w:rPr>
          <w:rFonts w:eastAsia="@Arial Unicode MS"/>
          <w:bCs/>
          <w:lang w:val="es-ES_tradnl"/>
        </w:rPr>
        <w:t>La evaluación será realizada por un consultor independiente aceptable para el Banco y de acuerdo con los términos previamente aprobados por el Banco.</w:t>
      </w:r>
    </w:p>
    <w:p w:rsidR="008D7004" w:rsidRPr="009466B2" w:rsidRDefault="008D7004" w:rsidP="008D7004">
      <w:pPr>
        <w:widowControl/>
        <w:tabs>
          <w:tab w:val="left" w:pos="1440"/>
          <w:tab w:val="left" w:pos="2520"/>
        </w:tabs>
        <w:ind w:firstLine="720"/>
        <w:jc w:val="both"/>
        <w:rPr>
          <w:rFonts w:eastAsia="@Arial Unicode MS"/>
          <w:b/>
          <w:bCs/>
          <w:lang w:val="es-ES_tradnl"/>
        </w:rPr>
      </w:pPr>
    </w:p>
    <w:p w:rsidR="008D7004" w:rsidRPr="00AB5C98" w:rsidRDefault="008D7004" w:rsidP="001F55AF">
      <w:pPr>
        <w:widowControl/>
        <w:tabs>
          <w:tab w:val="left" w:pos="2520"/>
        </w:tabs>
        <w:ind w:firstLine="720"/>
        <w:jc w:val="both"/>
        <w:rPr>
          <w:rFonts w:eastAsia="@Arial Unicode MS"/>
          <w:lang w:val="es-ES_tradnl"/>
        </w:rPr>
      </w:pPr>
      <w:bookmarkStart w:id="99" w:name="_DV_C446"/>
      <w:r w:rsidRPr="003E1081">
        <w:rPr>
          <w:rFonts w:eastAsia="@Arial Unicode MS"/>
          <w:b/>
          <w:lang w:val="es-ES_tradnl"/>
        </w:rPr>
        <w:t>Decimosexto.</w:t>
      </w:r>
      <w:bookmarkStart w:id="100" w:name="_DV_M264"/>
      <w:bookmarkEnd w:id="99"/>
      <w:bookmarkEnd w:id="100"/>
      <w:r w:rsidRPr="00AD73E4">
        <w:rPr>
          <w:rFonts w:eastAsia="@Arial Unicode MS"/>
          <w:b/>
          <w:bCs/>
          <w:lang w:val="es-ES_tradnl"/>
        </w:rPr>
        <w:tab/>
      </w:r>
      <w:r w:rsidRPr="009466B2">
        <w:rPr>
          <w:rFonts w:eastAsia="@Arial Unicode MS"/>
          <w:b/>
          <w:bCs/>
          <w:u w:val="single"/>
          <w:lang w:val="es-ES_tradnl"/>
        </w:rPr>
        <w:t>Estados financieros</w:t>
      </w:r>
      <w:r w:rsidRPr="009466B2">
        <w:rPr>
          <w:rFonts w:eastAsia="@Arial Unicode MS"/>
          <w:lang w:val="es-ES_tradnl"/>
        </w:rPr>
        <w:t>.</w:t>
      </w:r>
      <w:bookmarkStart w:id="101" w:name="_DV_M266"/>
      <w:bookmarkEnd w:id="101"/>
      <w:r w:rsidRPr="008E3B27">
        <w:rPr>
          <w:rFonts w:eastAsia="@Arial Unicode MS"/>
          <w:lang w:val="es-ES_tradnl"/>
        </w:rPr>
        <w:t xml:space="preserve"> </w:t>
      </w:r>
      <w:r w:rsidRPr="00AE0928">
        <w:rPr>
          <w:rFonts w:eastAsia="@Arial Unicode MS"/>
          <w:lang w:val="es-ES_tradnl"/>
        </w:rPr>
        <w:t xml:space="preserve">El </w:t>
      </w:r>
      <w:r w:rsidR="008701DD">
        <w:rPr>
          <w:rFonts w:eastAsia="@Arial Unicode MS"/>
          <w:lang w:val="es-ES_tradnl"/>
        </w:rPr>
        <w:t>Beneficiario</w:t>
      </w:r>
      <w:r w:rsidRPr="00AE0928">
        <w:rPr>
          <w:rFonts w:eastAsia="@Arial Unicode MS"/>
          <w:lang w:val="es-ES_tradnl"/>
        </w:rPr>
        <w:t xml:space="preserve"> se compromete a que se presenten a satisfacción del Banco, por sí o por intermedio del Organismo Ejecutor, dentro del plazo de noventa (90) días siguientes a la fecha estipulada para el último desembolso de la Contribución, los estados financieros del Proyecto</w:t>
      </w:r>
      <w:bookmarkStart w:id="102" w:name="_DV_M270"/>
      <w:bookmarkStart w:id="103" w:name="_DV_M271"/>
      <w:bookmarkStart w:id="104" w:name="_DV_M272"/>
      <w:bookmarkEnd w:id="102"/>
      <w:bookmarkEnd w:id="103"/>
      <w:bookmarkEnd w:id="104"/>
      <w:r w:rsidRPr="00AE0928">
        <w:rPr>
          <w:rFonts w:eastAsia="@Arial Unicode MS"/>
          <w:lang w:val="es-ES_tradnl"/>
        </w:rPr>
        <w:t xml:space="preserve"> debidamente auditados por una firma de auditores independientes aceptable para el Banco, de conformidad con lo dispuesto en el Artículo 14 de las Normas Generales. </w:t>
      </w:r>
      <w:r w:rsidRPr="00AB5C98">
        <w:rPr>
          <w:rFonts w:eastAsia="@Arial Unicode MS"/>
          <w:lang w:val="es-ES_tradnl"/>
        </w:rPr>
        <w:t>Los Términos de Referencia de la firma auditora independiente deberán ser previ</w:t>
      </w:r>
      <w:r>
        <w:rPr>
          <w:rFonts w:eastAsia="@Arial Unicode MS"/>
          <w:lang w:val="es-ES_tradnl"/>
        </w:rPr>
        <w:t>amente aprobados por el Banco.</w:t>
      </w:r>
    </w:p>
    <w:p w:rsidR="007812C4" w:rsidRPr="00B64E33" w:rsidRDefault="007812C4" w:rsidP="008D7004">
      <w:pPr>
        <w:widowControl/>
        <w:tabs>
          <w:tab w:val="left" w:pos="720"/>
          <w:tab w:val="left" w:pos="1440"/>
          <w:tab w:val="left" w:pos="2520"/>
        </w:tabs>
        <w:jc w:val="both"/>
        <w:rPr>
          <w:rFonts w:eastAsia="@Arial Unicode MS"/>
          <w:b/>
          <w:bCs/>
          <w:lang w:val="es-ES_tradnl"/>
        </w:rPr>
      </w:pPr>
    </w:p>
    <w:p w:rsidR="007812C4" w:rsidRPr="00B64E33" w:rsidRDefault="007812C4" w:rsidP="007812C4">
      <w:pPr>
        <w:pStyle w:val="FootnoteText"/>
        <w:widowControl/>
        <w:tabs>
          <w:tab w:val="left" w:pos="2520"/>
        </w:tabs>
        <w:ind w:firstLine="720"/>
        <w:jc w:val="both"/>
        <w:rPr>
          <w:rFonts w:eastAsia="@Arial Unicode MS"/>
          <w:sz w:val="24"/>
          <w:szCs w:val="24"/>
          <w:lang w:val="es-ES_tradnl"/>
        </w:rPr>
      </w:pPr>
      <w:bookmarkStart w:id="105" w:name="_DV_C477"/>
      <w:r w:rsidRPr="00AD4409">
        <w:rPr>
          <w:rStyle w:val="DeltaViewDeletion"/>
          <w:rFonts w:eastAsia="@Arial Unicode MS"/>
          <w:b/>
          <w:bCs/>
          <w:strike w:val="0"/>
          <w:color w:val="000000"/>
          <w:sz w:val="24"/>
          <w:szCs w:val="24"/>
          <w:lang w:val="es-ES_tradnl"/>
        </w:rPr>
        <w:lastRenderedPageBreak/>
        <w:t>Decimo</w:t>
      </w:r>
      <w:r w:rsidR="008D7004">
        <w:rPr>
          <w:rStyle w:val="DeltaViewDeletion"/>
          <w:rFonts w:eastAsia="@Arial Unicode MS"/>
          <w:b/>
          <w:bCs/>
          <w:strike w:val="0"/>
          <w:color w:val="000000"/>
          <w:sz w:val="24"/>
          <w:szCs w:val="24"/>
          <w:lang w:val="es-ES_tradnl"/>
        </w:rPr>
        <w:t>séptimo</w:t>
      </w:r>
      <w:r w:rsidRPr="00AD4409">
        <w:rPr>
          <w:rStyle w:val="DeltaViewDeletion"/>
          <w:rFonts w:eastAsia="@Arial Unicode MS"/>
          <w:b/>
          <w:bCs/>
          <w:strike w:val="0"/>
          <w:color w:val="000000"/>
          <w:sz w:val="24"/>
          <w:szCs w:val="24"/>
          <w:lang w:val="es-ES_tradnl"/>
        </w:rPr>
        <w:t>.</w:t>
      </w:r>
      <w:r w:rsidRPr="00B64E33">
        <w:rPr>
          <w:rStyle w:val="DeltaViewDeletion"/>
          <w:rFonts w:eastAsia="@Arial Unicode MS"/>
          <w:b/>
          <w:bCs/>
          <w:strike w:val="0"/>
          <w:sz w:val="24"/>
          <w:szCs w:val="24"/>
          <w:lang w:val="es-ES_tradnl"/>
        </w:rPr>
        <w:tab/>
      </w:r>
      <w:r w:rsidRPr="00B64E33">
        <w:rPr>
          <w:b/>
          <w:bCs/>
          <w:sz w:val="24"/>
          <w:szCs w:val="24"/>
          <w:u w:val="single"/>
          <w:lang w:val="es-ES_tradnl"/>
        </w:rPr>
        <w:t>Acceso a la información</w:t>
      </w:r>
      <w:r w:rsidRPr="00B64E33">
        <w:rPr>
          <w:sz w:val="24"/>
          <w:szCs w:val="24"/>
          <w:lang w:val="es-ES_tradnl"/>
        </w:rPr>
        <w:t xml:space="preserve">. El Beneficiario se compromete a comunicar al Banco, por escrito, dentro de un plazo máximo de diez (10) días hábiles contados a partir de la fecha de suscripción del presente Convenio, si considera que éste contiene información que se pueda calificar como una excepción al principio de divulgación de información previsto en </w:t>
      </w:r>
      <w:smartTag w:uri="urn:schemas-microsoft-com:office:smarttags" w:element="PersonName">
        <w:smartTagPr>
          <w:attr w:name="ProductID" w:val="la Política"/>
        </w:smartTagPr>
        <w:r w:rsidRPr="00B64E33">
          <w:rPr>
            <w:sz w:val="24"/>
            <w:szCs w:val="24"/>
            <w:lang w:val="es-ES_tradnl"/>
          </w:rPr>
          <w:t>la Política</w:t>
        </w:r>
      </w:smartTag>
      <w:r w:rsidRPr="00B64E33">
        <w:rPr>
          <w:sz w:val="24"/>
          <w:szCs w:val="24"/>
          <w:lang w:val="es-ES_tradnl"/>
        </w:rPr>
        <w:t xml:space="preserve"> de Acceso a Información del Banco, en cuyo caso el Beneficiario se compromete a señalar dicha información en las disposiciones pertinentes del Convenio. De conformidad con la mencionada política, el Banco procederá a poner a disposición del público en su página “Web” el texto del presente Convenio una vez que éste haya entrado en vigencia y haya expirado el plazo antes mencionado, excluyendo solamente aquella información que el Beneficiario haya calificado como una excepción al principio de divulgación de información previsto en dicha política</w:t>
      </w:r>
      <w:bookmarkEnd w:id="105"/>
      <w:r w:rsidRPr="00B64E33">
        <w:rPr>
          <w:sz w:val="24"/>
          <w:szCs w:val="24"/>
          <w:lang w:val="es-ES_tradnl"/>
        </w:rPr>
        <w:t>.</w:t>
      </w:r>
    </w:p>
    <w:p w:rsidR="007812C4" w:rsidRPr="00B64E33" w:rsidRDefault="007812C4" w:rsidP="007812C4">
      <w:pPr>
        <w:pStyle w:val="FootnoteText"/>
        <w:widowControl/>
        <w:ind w:firstLine="720"/>
        <w:jc w:val="both"/>
        <w:rPr>
          <w:rFonts w:eastAsia="@Arial Unicode MS"/>
          <w:sz w:val="24"/>
          <w:szCs w:val="24"/>
          <w:lang w:val="es-ES_tradnl"/>
        </w:rPr>
      </w:pPr>
    </w:p>
    <w:p w:rsidR="007812C4" w:rsidRPr="00B64E33" w:rsidRDefault="007812C4" w:rsidP="001F55AF">
      <w:pPr>
        <w:widowControl/>
        <w:tabs>
          <w:tab w:val="left" w:pos="720"/>
          <w:tab w:val="left" w:pos="2520"/>
        </w:tabs>
        <w:jc w:val="both"/>
        <w:rPr>
          <w:rFonts w:eastAsia="@Arial Unicode MS"/>
          <w:lang w:val="es-ES_tradnl"/>
        </w:rPr>
      </w:pPr>
      <w:bookmarkStart w:id="106" w:name="_DV_M280"/>
      <w:bookmarkEnd w:id="106"/>
      <w:r w:rsidRPr="00B64E33">
        <w:rPr>
          <w:rFonts w:eastAsia="@Arial Unicode MS"/>
          <w:b/>
          <w:bCs/>
          <w:lang w:val="es-ES_tradnl"/>
        </w:rPr>
        <w:tab/>
      </w:r>
      <w:bookmarkStart w:id="107" w:name="_DV_C479"/>
      <w:r w:rsidRPr="00AD4409">
        <w:rPr>
          <w:rStyle w:val="DeltaViewInsertion"/>
          <w:rFonts w:eastAsia="@Arial Unicode MS"/>
          <w:b/>
          <w:bCs/>
          <w:color w:val="000000"/>
          <w:u w:val="none"/>
          <w:lang w:val="es-ES_tradnl"/>
        </w:rPr>
        <w:t>Decimo</w:t>
      </w:r>
      <w:r w:rsidR="008D7004">
        <w:rPr>
          <w:rStyle w:val="DeltaViewInsertion"/>
          <w:rFonts w:eastAsia="@Arial Unicode MS"/>
          <w:b/>
          <w:bCs/>
          <w:color w:val="000000"/>
          <w:u w:val="none"/>
          <w:lang w:val="es-ES_tradnl"/>
        </w:rPr>
        <w:t>ctav</w:t>
      </w:r>
      <w:r w:rsidRPr="00AD4409">
        <w:rPr>
          <w:rStyle w:val="DeltaViewInsertion"/>
          <w:rFonts w:eastAsia="@Arial Unicode MS"/>
          <w:b/>
          <w:bCs/>
          <w:color w:val="000000"/>
          <w:u w:val="none"/>
          <w:lang w:val="es-ES_tradnl"/>
        </w:rPr>
        <w:t>o</w:t>
      </w:r>
      <w:bookmarkStart w:id="108" w:name="_DV_M281"/>
      <w:bookmarkEnd w:id="107"/>
      <w:bookmarkEnd w:id="108"/>
      <w:r w:rsidRPr="00AD4409">
        <w:rPr>
          <w:rStyle w:val="DeltaViewInsertion"/>
          <w:rFonts w:eastAsia="@Arial Unicode MS"/>
          <w:b/>
          <w:bCs/>
          <w:color w:val="000000"/>
          <w:u w:val="none"/>
          <w:lang w:val="es-ES_tradnl"/>
        </w:rPr>
        <w:t>.</w:t>
      </w:r>
      <w:r w:rsidRPr="00B64E33">
        <w:rPr>
          <w:rFonts w:eastAsia="@Arial Unicode MS"/>
          <w:b/>
          <w:bCs/>
          <w:lang w:val="es-ES_tradnl"/>
        </w:rPr>
        <w:tab/>
      </w:r>
      <w:r w:rsidRPr="00B64E33">
        <w:rPr>
          <w:rFonts w:eastAsia="@Arial Unicode MS"/>
          <w:b/>
          <w:bCs/>
          <w:u w:val="single"/>
          <w:lang w:val="es-ES_tradnl"/>
        </w:rPr>
        <w:t>Comunicaciones</w:t>
      </w:r>
      <w:r w:rsidRPr="00B64E33">
        <w:rPr>
          <w:rFonts w:eastAsia="@Arial Unicode MS"/>
          <w:lang w:val="es-ES_tradnl"/>
        </w:rPr>
        <w:t>. Todos los avisos, solicitudes, comunicaciones o notificaciones que las partes deban dirigirse en virtud de este Convenio, se efectuarán por escrito y se considerarán realizados desde el momento en que el documento correspondiente se entregue al destinatario en la dirección indicada en la primera página de este Convenio y al Facsímil</w:t>
      </w:r>
      <w:bookmarkStart w:id="109" w:name="_DV_M283"/>
      <w:bookmarkEnd w:id="109"/>
      <w:r w:rsidRPr="006B2963">
        <w:rPr>
          <w:rFonts w:eastAsia="@Arial Unicode MS"/>
          <w:lang w:val="es-ES_tradnl"/>
        </w:rPr>
        <w:t xml:space="preserve">: </w:t>
      </w:r>
      <w:r w:rsidR="006B2963" w:rsidRPr="006B2963">
        <w:rPr>
          <w:rFonts w:eastAsia="@Arial Unicode MS"/>
          <w:lang w:val="es-ES_tradnl"/>
        </w:rPr>
        <w:t>(54)</w:t>
      </w:r>
      <w:r w:rsidR="004D1656">
        <w:rPr>
          <w:rFonts w:eastAsia="@Arial Unicode MS"/>
          <w:lang w:val="es-ES_tradnl"/>
        </w:rPr>
        <w:t> </w:t>
      </w:r>
      <w:r w:rsidR="006B2963" w:rsidRPr="006B2963">
        <w:rPr>
          <w:rFonts w:eastAsia="@Arial Unicode MS"/>
          <w:lang w:val="es-ES_tradnl"/>
        </w:rPr>
        <w:t>0381-484-4022</w:t>
      </w:r>
      <w:r w:rsidRPr="00B64E33">
        <w:rPr>
          <w:rFonts w:eastAsia="@Arial Unicode MS"/>
          <w:lang w:val="es-ES_tradnl"/>
        </w:rPr>
        <w:t>, a menos que las partes acordasen por escrito de otra manera:</w:t>
      </w:r>
    </w:p>
    <w:p w:rsidR="007812C4" w:rsidRPr="00B64E33" w:rsidRDefault="007812C4" w:rsidP="007812C4">
      <w:pPr>
        <w:widowControl/>
        <w:jc w:val="both"/>
        <w:rPr>
          <w:rFonts w:eastAsia="@Arial Unicode MS"/>
          <w:lang w:val="es-ES_tradnl"/>
        </w:rPr>
      </w:pPr>
    </w:p>
    <w:p w:rsidR="007812C4" w:rsidRPr="00B64E33" w:rsidRDefault="007812C4" w:rsidP="007812C4">
      <w:pPr>
        <w:widowControl/>
        <w:ind w:firstLine="720"/>
        <w:jc w:val="both"/>
        <w:rPr>
          <w:rFonts w:eastAsia="@Arial Unicode MS"/>
          <w:lang w:val="es-ES_tradnl"/>
        </w:rPr>
      </w:pPr>
      <w:bookmarkStart w:id="110" w:name="_DV_M284"/>
      <w:bookmarkStart w:id="111" w:name="_DV_M285"/>
      <w:bookmarkEnd w:id="110"/>
      <w:bookmarkEnd w:id="111"/>
      <w:r w:rsidRPr="00B64E33">
        <w:rPr>
          <w:rFonts w:eastAsia="@Arial Unicode MS"/>
          <w:lang w:val="es-ES_tradnl"/>
        </w:rPr>
        <w:t>Del Banco:</w:t>
      </w:r>
    </w:p>
    <w:p w:rsidR="007812C4" w:rsidRPr="00B64E33" w:rsidRDefault="007812C4" w:rsidP="007812C4">
      <w:pPr>
        <w:widowControl/>
        <w:jc w:val="both"/>
        <w:rPr>
          <w:rFonts w:eastAsia="@Arial Unicode MS"/>
          <w:lang w:val="es-ES_tradnl"/>
        </w:rPr>
      </w:pPr>
    </w:p>
    <w:p w:rsidR="007812C4" w:rsidRPr="00B64E33" w:rsidRDefault="007812C4" w:rsidP="007812C4">
      <w:pPr>
        <w:widowControl/>
        <w:ind w:firstLine="1440"/>
        <w:jc w:val="both"/>
        <w:rPr>
          <w:rFonts w:eastAsia="@Arial Unicode MS"/>
          <w:lang w:val="es-ES_tradnl"/>
        </w:rPr>
      </w:pPr>
      <w:bookmarkStart w:id="112" w:name="_DV_M286"/>
      <w:bookmarkEnd w:id="112"/>
      <w:r w:rsidRPr="00B64E33">
        <w:rPr>
          <w:rFonts w:eastAsia="@Arial Unicode MS"/>
          <w:lang w:val="es-ES_tradnl"/>
        </w:rPr>
        <w:t>Banco Interamericano de Desarrollo</w:t>
      </w:r>
    </w:p>
    <w:p w:rsidR="007812C4" w:rsidRPr="007812C4" w:rsidRDefault="007812C4" w:rsidP="007812C4">
      <w:pPr>
        <w:widowControl/>
        <w:ind w:firstLine="1440"/>
        <w:jc w:val="both"/>
        <w:rPr>
          <w:rFonts w:eastAsia="@Arial Unicode MS"/>
        </w:rPr>
      </w:pPr>
      <w:bookmarkStart w:id="113" w:name="_DV_M287"/>
      <w:bookmarkEnd w:id="113"/>
      <w:r w:rsidRPr="007812C4">
        <w:rPr>
          <w:rFonts w:eastAsia="@Arial Unicode MS"/>
        </w:rPr>
        <w:t>1300 New York Avenue, N.W.</w:t>
      </w:r>
    </w:p>
    <w:p w:rsidR="007812C4" w:rsidRPr="00B64E33" w:rsidRDefault="007812C4" w:rsidP="007812C4">
      <w:pPr>
        <w:widowControl/>
        <w:ind w:firstLine="1440"/>
        <w:jc w:val="both"/>
        <w:rPr>
          <w:rFonts w:eastAsia="@Arial Unicode MS"/>
          <w:lang w:val="es-ES_tradnl"/>
        </w:rPr>
      </w:pPr>
      <w:bookmarkStart w:id="114" w:name="_DV_M288"/>
      <w:bookmarkEnd w:id="114"/>
      <w:r w:rsidRPr="00B64E33">
        <w:rPr>
          <w:rFonts w:eastAsia="@Arial Unicode MS"/>
          <w:lang w:val="es-ES_tradnl"/>
        </w:rPr>
        <w:t>Washington, D.C. 20577</w:t>
      </w:r>
    </w:p>
    <w:p w:rsidR="007812C4" w:rsidRPr="00B64E33" w:rsidRDefault="007812C4" w:rsidP="007812C4">
      <w:pPr>
        <w:widowControl/>
        <w:ind w:firstLine="1440"/>
        <w:jc w:val="both"/>
        <w:rPr>
          <w:rFonts w:eastAsia="@Arial Unicode MS"/>
          <w:lang w:val="es-ES_tradnl"/>
        </w:rPr>
      </w:pPr>
      <w:bookmarkStart w:id="115" w:name="_DV_M289"/>
      <w:bookmarkEnd w:id="115"/>
      <w:r w:rsidRPr="00B64E33">
        <w:rPr>
          <w:rFonts w:eastAsia="@Arial Unicode MS"/>
          <w:lang w:val="es-ES_tradnl"/>
        </w:rPr>
        <w:t>Estados Unidos de América</w:t>
      </w:r>
    </w:p>
    <w:p w:rsidR="007812C4" w:rsidRPr="00B64E33" w:rsidRDefault="007812C4" w:rsidP="007812C4">
      <w:pPr>
        <w:widowControl/>
        <w:ind w:left="720" w:firstLine="720"/>
        <w:jc w:val="both"/>
        <w:rPr>
          <w:rFonts w:eastAsia="@Arial Unicode MS"/>
          <w:lang w:val="es-ES_tradnl"/>
        </w:rPr>
      </w:pPr>
      <w:bookmarkStart w:id="116" w:name="_DV_M290"/>
      <w:bookmarkEnd w:id="116"/>
      <w:r w:rsidRPr="00B64E33">
        <w:rPr>
          <w:rFonts w:eastAsia="@Arial Unicode MS"/>
          <w:lang w:val="es-ES_tradnl"/>
        </w:rPr>
        <w:t xml:space="preserve">Facsímil: (202) 623-3096 </w:t>
      </w:r>
    </w:p>
    <w:p w:rsidR="007812C4" w:rsidRDefault="007812C4" w:rsidP="007812C4">
      <w:pPr>
        <w:widowControl/>
        <w:jc w:val="both"/>
        <w:rPr>
          <w:rFonts w:eastAsia="@Arial Unicode MS"/>
          <w:lang w:val="es-ES_tradnl"/>
        </w:rPr>
      </w:pPr>
    </w:p>
    <w:p w:rsidR="007812C4" w:rsidRPr="00B64E33" w:rsidRDefault="007812C4" w:rsidP="007812C4">
      <w:pPr>
        <w:widowControl/>
        <w:ind w:firstLine="720"/>
        <w:jc w:val="both"/>
        <w:rPr>
          <w:rFonts w:eastAsia="@Arial Unicode MS"/>
          <w:lang w:val="es-ES_tradnl"/>
        </w:rPr>
      </w:pPr>
      <w:bookmarkStart w:id="117" w:name="_DV_M291"/>
      <w:bookmarkEnd w:id="117"/>
      <w:r w:rsidRPr="00B64E33">
        <w:rPr>
          <w:rFonts w:eastAsia="@Arial Unicode MS"/>
          <w:lang w:val="es-ES_tradnl"/>
        </w:rPr>
        <w:t>Le ruego manifestar su aceptación a los términos del presente Convenio, en representación del Beneficiario, mediante la suscripción y entrega de uno de los ejemplares originales en las oficinas de la Representación del Banco en Argentina.</w:t>
      </w:r>
    </w:p>
    <w:p w:rsidR="006B2963" w:rsidRDefault="006B2963">
      <w:pPr>
        <w:widowControl/>
        <w:autoSpaceDE/>
        <w:autoSpaceDN/>
        <w:adjustRightInd/>
        <w:rPr>
          <w:rFonts w:eastAsia="@Arial Unicode MS"/>
          <w:lang w:val="es-ES_tradnl"/>
        </w:rPr>
      </w:pPr>
      <w:r>
        <w:rPr>
          <w:rFonts w:eastAsia="@Arial Unicode MS"/>
          <w:lang w:val="es-ES_tradnl"/>
        </w:rPr>
        <w:br w:type="page"/>
      </w:r>
    </w:p>
    <w:p w:rsidR="007812C4" w:rsidRDefault="007812C4" w:rsidP="007812C4">
      <w:pPr>
        <w:widowControl/>
        <w:ind w:firstLine="720"/>
        <w:jc w:val="both"/>
        <w:rPr>
          <w:rFonts w:eastAsia="@Arial Unicode MS"/>
          <w:lang w:val="es-ES_tradnl"/>
        </w:rPr>
      </w:pPr>
      <w:bookmarkStart w:id="118" w:name="_DV_M292"/>
      <w:bookmarkEnd w:id="118"/>
      <w:r w:rsidRPr="00B64E33">
        <w:rPr>
          <w:rFonts w:eastAsia="@Arial Unicode MS"/>
          <w:lang w:val="es-ES_tradnl"/>
        </w:rPr>
        <w:lastRenderedPageBreak/>
        <w:t xml:space="preserve">Este Convenio se suscribe en dos (2) ejemplares originales de igual tenor, por representantes debidamente autorizados para ello, y entrará en vigencia en la fecha de su suscripción por el Beneficiario. </w:t>
      </w:r>
    </w:p>
    <w:p w:rsidR="007812C4" w:rsidRPr="00B64E33" w:rsidRDefault="007812C4" w:rsidP="007812C4">
      <w:pPr>
        <w:widowControl/>
        <w:jc w:val="both"/>
        <w:rPr>
          <w:rFonts w:eastAsia="@Arial Unicode MS"/>
          <w:lang w:val="es-ES_tradnl"/>
        </w:rPr>
      </w:pPr>
    </w:p>
    <w:tbl>
      <w:tblPr>
        <w:tblW w:w="0" w:type="auto"/>
        <w:tblInd w:w="516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252"/>
      </w:tblGrid>
      <w:tr w:rsidR="007812C4" w:rsidRPr="00F85DF8" w:rsidTr="00D805E9">
        <w:trPr>
          <w:trHeight w:val="2073"/>
        </w:trPr>
        <w:tc>
          <w:tcPr>
            <w:tcW w:w="425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7812C4" w:rsidRPr="00B64E33" w:rsidRDefault="007812C4" w:rsidP="00D805E9">
            <w:pPr>
              <w:widowControl/>
              <w:tabs>
                <w:tab w:val="center" w:pos="2006"/>
              </w:tabs>
              <w:rPr>
                <w:rFonts w:eastAsia="@Arial Unicode MS"/>
                <w:lang w:val="es-ES_tradnl"/>
              </w:rPr>
            </w:pPr>
            <w:r w:rsidRPr="00B64E33">
              <w:rPr>
                <w:rFonts w:eastAsia="@Arial Unicode MS"/>
                <w:lang w:val="es-ES_tradnl"/>
              </w:rPr>
              <w:tab/>
              <w:t>Atentamente,</w:t>
            </w:r>
          </w:p>
          <w:p w:rsidR="007812C4" w:rsidRPr="00B64E33" w:rsidRDefault="007812C4" w:rsidP="00D805E9">
            <w:pPr>
              <w:widowControl/>
              <w:rPr>
                <w:rFonts w:eastAsia="@Arial Unicode MS"/>
                <w:lang w:val="es-ES_tradnl"/>
              </w:rPr>
            </w:pPr>
          </w:p>
          <w:p w:rsidR="007812C4" w:rsidRDefault="007812C4" w:rsidP="00D805E9">
            <w:pPr>
              <w:widowControl/>
              <w:rPr>
                <w:rFonts w:eastAsia="@Arial Unicode MS"/>
                <w:lang w:val="es-ES_tradnl"/>
              </w:rPr>
            </w:pPr>
          </w:p>
          <w:p w:rsidR="006B2963" w:rsidRPr="00B64E33" w:rsidRDefault="00F85DF8" w:rsidP="00F85DF8">
            <w:pPr>
              <w:widowControl/>
              <w:jc w:val="center"/>
              <w:rPr>
                <w:rFonts w:eastAsia="@Arial Unicode MS"/>
                <w:lang w:val="es-ES_tradnl"/>
              </w:rPr>
            </w:pPr>
            <w:r>
              <w:rPr>
                <w:rFonts w:eastAsia="@Arial Unicode MS"/>
                <w:lang w:val="es-ES_tradnl"/>
              </w:rPr>
              <w:t>/F/</w:t>
            </w:r>
          </w:p>
          <w:p w:rsidR="007812C4" w:rsidRPr="00B64E33" w:rsidRDefault="007812C4" w:rsidP="00D805E9">
            <w:pPr>
              <w:widowControl/>
              <w:tabs>
                <w:tab w:val="center" w:pos="2006"/>
              </w:tabs>
              <w:rPr>
                <w:rFonts w:eastAsia="@Arial Unicode MS"/>
                <w:lang w:val="es-ES_tradnl"/>
              </w:rPr>
            </w:pPr>
            <w:r w:rsidRPr="00B64E33">
              <w:rPr>
                <w:rFonts w:eastAsia="@Arial Unicode MS"/>
                <w:lang w:val="es-ES_tradnl"/>
              </w:rPr>
              <w:tab/>
              <w:t>________________________</w:t>
            </w:r>
          </w:p>
          <w:p w:rsidR="007812C4" w:rsidRPr="00B64E33" w:rsidRDefault="007812C4" w:rsidP="00D805E9">
            <w:pPr>
              <w:widowControl/>
              <w:tabs>
                <w:tab w:val="center" w:pos="2006"/>
              </w:tabs>
              <w:jc w:val="center"/>
              <w:rPr>
                <w:rFonts w:eastAsia="@Arial Unicode MS"/>
                <w:lang w:val="es-ES_tradnl"/>
              </w:rPr>
            </w:pPr>
            <w:r w:rsidRPr="00B64E33">
              <w:rPr>
                <w:rFonts w:eastAsia="@Arial Unicode MS"/>
                <w:lang w:val="es-ES_tradnl"/>
              </w:rPr>
              <w:t>Hugo Flórez Timorán</w:t>
            </w:r>
          </w:p>
          <w:p w:rsidR="007812C4" w:rsidRPr="00B64E33" w:rsidRDefault="007812C4" w:rsidP="00D805E9">
            <w:pPr>
              <w:widowControl/>
              <w:tabs>
                <w:tab w:val="center" w:pos="2006"/>
              </w:tabs>
              <w:jc w:val="center"/>
              <w:rPr>
                <w:rFonts w:eastAsia="@Arial Unicode MS"/>
                <w:lang w:val="es-ES_tradnl"/>
              </w:rPr>
            </w:pPr>
            <w:r w:rsidRPr="00B64E33">
              <w:rPr>
                <w:rFonts w:eastAsia="@Arial Unicode MS"/>
                <w:lang w:val="es-ES_tradnl"/>
              </w:rPr>
              <w:t>Representante del Banco</w:t>
            </w:r>
          </w:p>
          <w:p w:rsidR="007812C4" w:rsidRPr="00B64E33" w:rsidRDefault="007812C4">
            <w:pPr>
              <w:widowControl/>
              <w:tabs>
                <w:tab w:val="center" w:pos="2006"/>
              </w:tabs>
              <w:jc w:val="center"/>
              <w:rPr>
                <w:rFonts w:eastAsia="@Arial Unicode MS"/>
                <w:lang w:val="es-ES_tradnl"/>
              </w:rPr>
            </w:pPr>
            <w:r w:rsidRPr="00B64E33">
              <w:rPr>
                <w:rFonts w:eastAsia="@Arial Unicode MS"/>
                <w:lang w:val="es-ES_tradnl"/>
              </w:rPr>
              <w:t>en Argentina</w:t>
            </w:r>
          </w:p>
        </w:tc>
      </w:tr>
    </w:tbl>
    <w:p w:rsidR="007812C4" w:rsidRPr="00B64E33" w:rsidRDefault="007812C4" w:rsidP="007812C4">
      <w:pPr>
        <w:widowControl/>
        <w:jc w:val="both"/>
        <w:rPr>
          <w:rFonts w:eastAsia="@Arial Unicode MS"/>
          <w:lang w:val="es-ES_tradnl"/>
        </w:rPr>
      </w:pPr>
    </w:p>
    <w:p w:rsidR="007812C4" w:rsidRPr="00B64E33" w:rsidRDefault="007812C4" w:rsidP="007812C4">
      <w:pPr>
        <w:widowControl/>
        <w:jc w:val="both"/>
        <w:rPr>
          <w:rFonts w:eastAsia="@Arial Unicode MS"/>
          <w:lang w:val="es-ES_tradnl"/>
        </w:rPr>
      </w:pPr>
      <w:bookmarkStart w:id="119" w:name="_DV_M294"/>
      <w:bookmarkEnd w:id="119"/>
      <w:r w:rsidRPr="00B64E33">
        <w:rPr>
          <w:rFonts w:eastAsia="@Arial Unicode MS"/>
          <w:lang w:val="es-ES_tradnl"/>
        </w:rPr>
        <w:t>Aceptado</w:t>
      </w:r>
      <w:bookmarkStart w:id="120" w:name="_DV_M295"/>
      <w:bookmarkEnd w:id="120"/>
      <w:r w:rsidRPr="00B64E33">
        <w:rPr>
          <w:rFonts w:eastAsia="@Arial Unicode MS"/>
          <w:lang w:val="es-ES_tradnl"/>
        </w:rPr>
        <w:t>:</w:t>
      </w:r>
    </w:p>
    <w:p w:rsidR="007812C4" w:rsidRPr="00B64E33" w:rsidRDefault="007812C4" w:rsidP="007812C4">
      <w:pPr>
        <w:widowControl/>
        <w:jc w:val="both"/>
        <w:rPr>
          <w:rFonts w:eastAsia="@Arial Unicode MS"/>
          <w:lang w:val="es-ES_tradnl"/>
        </w:rPr>
      </w:pPr>
    </w:p>
    <w:p w:rsidR="007812C4" w:rsidRDefault="007812C4" w:rsidP="007812C4">
      <w:pPr>
        <w:widowControl/>
        <w:jc w:val="both"/>
        <w:rPr>
          <w:rFonts w:eastAsia="@Arial Unicode MS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8"/>
      </w:tblGrid>
      <w:tr w:rsidR="006F3CE0" w:rsidTr="006F3CE0">
        <w:trPr>
          <w:trHeight w:val="2663"/>
        </w:trPr>
        <w:tc>
          <w:tcPr>
            <w:tcW w:w="4608" w:type="dxa"/>
          </w:tcPr>
          <w:p w:rsidR="006F3CE0" w:rsidRDefault="006F3CE0" w:rsidP="006F3CE0">
            <w:pPr>
              <w:widowControl/>
              <w:jc w:val="center"/>
              <w:rPr>
                <w:rFonts w:eastAsia="@Arial Unicode MS"/>
                <w:lang w:val="es-ES_tradnl"/>
              </w:rPr>
            </w:pPr>
          </w:p>
          <w:p w:rsidR="006F3CE0" w:rsidRPr="00B64E33" w:rsidRDefault="006F3CE0" w:rsidP="006F3CE0">
            <w:pPr>
              <w:widowControl/>
              <w:jc w:val="center"/>
              <w:rPr>
                <w:rFonts w:eastAsia="@Arial Unicode MS"/>
                <w:lang w:val="es-ES_tradnl"/>
              </w:rPr>
            </w:pPr>
          </w:p>
          <w:p w:rsidR="006F3CE0" w:rsidRPr="00B64E33" w:rsidRDefault="00F85DF8" w:rsidP="006F3CE0">
            <w:pPr>
              <w:widowControl/>
              <w:jc w:val="center"/>
              <w:rPr>
                <w:rFonts w:eastAsia="@Arial Unicode MS"/>
                <w:lang w:val="es-ES_tradnl"/>
              </w:rPr>
            </w:pPr>
            <w:r>
              <w:rPr>
                <w:rFonts w:eastAsia="@Arial Unicode MS"/>
                <w:lang w:val="es-ES_tradnl"/>
              </w:rPr>
              <w:t>/F/</w:t>
            </w:r>
          </w:p>
          <w:p w:rsidR="006F3CE0" w:rsidRPr="00B64E33" w:rsidRDefault="006F3CE0" w:rsidP="006F3CE0">
            <w:pPr>
              <w:widowControl/>
              <w:jc w:val="center"/>
              <w:rPr>
                <w:rFonts w:eastAsia="@Arial Unicode MS"/>
                <w:lang w:val="es-ES_tradnl"/>
              </w:rPr>
            </w:pPr>
            <w:bookmarkStart w:id="121" w:name="_DV_M296"/>
            <w:bookmarkEnd w:id="121"/>
            <w:r w:rsidRPr="00B64E33">
              <w:rPr>
                <w:rFonts w:eastAsia="@Arial Unicode MS"/>
                <w:lang w:val="es-ES_tradnl"/>
              </w:rPr>
              <w:t>__________________________</w:t>
            </w:r>
          </w:p>
          <w:p w:rsidR="006F3CE0" w:rsidRPr="00B64E33" w:rsidRDefault="006F3CE0" w:rsidP="006F3CE0">
            <w:pPr>
              <w:widowControl/>
              <w:jc w:val="center"/>
              <w:rPr>
                <w:rFonts w:eastAsia="@Arial Unicode MS"/>
                <w:lang w:val="es-ES_tradnl"/>
              </w:rPr>
            </w:pPr>
            <w:bookmarkStart w:id="122" w:name="_DV_M297"/>
            <w:bookmarkEnd w:id="122"/>
            <w:r w:rsidRPr="001F55AF">
              <w:rPr>
                <w:lang w:val="es-ES_tradnl"/>
              </w:rPr>
              <w:t>José Jorge Alperovich</w:t>
            </w:r>
          </w:p>
          <w:p w:rsidR="006F3CE0" w:rsidRDefault="006F3CE0" w:rsidP="006F3CE0">
            <w:pPr>
              <w:widowControl/>
              <w:jc w:val="center"/>
              <w:rPr>
                <w:lang w:val="es-ES_tradnl"/>
              </w:rPr>
            </w:pPr>
            <w:r w:rsidRPr="001F55AF">
              <w:rPr>
                <w:lang w:val="es-ES_tradnl"/>
              </w:rPr>
              <w:t>Gobernador</w:t>
            </w:r>
          </w:p>
          <w:p w:rsidR="006F3CE0" w:rsidRDefault="006F3CE0" w:rsidP="006F3CE0">
            <w:pPr>
              <w:widowControl/>
              <w:jc w:val="center"/>
              <w:rPr>
                <w:rFonts w:eastAsia="@Arial Unicode MS"/>
                <w:lang w:val="es-ES_tradnl"/>
              </w:rPr>
            </w:pPr>
            <w:r>
              <w:rPr>
                <w:lang w:val="es-ES_tradnl"/>
              </w:rPr>
              <w:t>Provincia de Tucumán</w:t>
            </w:r>
          </w:p>
        </w:tc>
      </w:tr>
    </w:tbl>
    <w:p w:rsidR="006F3CE0" w:rsidRPr="00B64E33" w:rsidRDefault="006F3CE0" w:rsidP="006F3CE0">
      <w:pPr>
        <w:widowControl/>
        <w:jc w:val="both"/>
        <w:rPr>
          <w:lang w:val="es-ES_tradnl"/>
        </w:rPr>
      </w:pPr>
    </w:p>
    <w:p w:rsidR="007812C4" w:rsidRPr="00B64E33" w:rsidRDefault="007812C4" w:rsidP="007812C4">
      <w:pPr>
        <w:widowControl/>
        <w:jc w:val="both"/>
        <w:rPr>
          <w:rFonts w:eastAsia="@Arial Unicode MS"/>
          <w:lang w:val="es-ES_tradnl"/>
        </w:rPr>
      </w:pPr>
    </w:p>
    <w:p w:rsidR="007812C4" w:rsidRPr="00B64E33" w:rsidRDefault="007812C4" w:rsidP="007812C4">
      <w:pPr>
        <w:widowControl/>
        <w:jc w:val="both"/>
        <w:rPr>
          <w:rFonts w:eastAsia="@Arial Unicode MS"/>
          <w:lang w:val="es-ES_tradnl"/>
        </w:rPr>
      </w:pPr>
    </w:p>
    <w:sectPr w:rsidR="007812C4" w:rsidRPr="00B64E33" w:rsidSect="00D805E9">
      <w:headerReference w:type="default" r:id="rId10"/>
      <w:footerReference w:type="defaul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D90" w:rsidRDefault="00A77D90">
      <w:r>
        <w:separator/>
      </w:r>
    </w:p>
  </w:endnote>
  <w:endnote w:type="continuationSeparator" w:id="0">
    <w:p w:rsidR="00A77D90" w:rsidRDefault="00A7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P TypographicSymbols">
    <w:altName w:val="Symbol"/>
    <w:panose1 w:val="00000000000000000000"/>
    <w:charset w:val="02"/>
    <w:family w:val="auto"/>
    <w:notTrueType/>
    <w:pitch w:val="variable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5E9" w:rsidRDefault="00BA050B" w:rsidP="00D805E9">
    <w:pPr>
      <w:pStyle w:val="Footer"/>
      <w:jc w:val="center"/>
    </w:pPr>
    <w:r>
      <w:t>ATN/OC-13</w:t>
    </w:r>
    <w:r w:rsidR="00214643">
      <w:t>607</w:t>
    </w:r>
    <w:r>
      <w:t>-AR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5E9" w:rsidRPr="00214643" w:rsidRDefault="00214643" w:rsidP="00214643">
    <w:pPr>
      <w:pStyle w:val="Footer"/>
      <w:jc w:val="center"/>
    </w:pPr>
    <w:r w:rsidRPr="007812C4">
      <w:rPr>
        <w:lang w:val="es-ES_tradnl"/>
      </w:rPr>
      <w:t>ATN/OC-</w:t>
    </w:r>
    <w:r>
      <w:rPr>
        <w:lang w:val="es-ES_tradnl"/>
      </w:rPr>
      <w:t>13607</w:t>
    </w:r>
    <w:r w:rsidRPr="007812C4">
      <w:rPr>
        <w:lang w:val="es-ES_tradnl"/>
      </w:rPr>
      <w:t>-AR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D90" w:rsidRDefault="00A77D90">
      <w:r>
        <w:separator/>
      </w:r>
    </w:p>
  </w:footnote>
  <w:footnote w:type="continuationSeparator" w:id="0">
    <w:p w:rsidR="00A77D90" w:rsidRDefault="00A77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5E9" w:rsidRDefault="00BA050B">
    <w:pPr>
      <w:pStyle w:val="Header"/>
      <w:jc w:val="center"/>
    </w:pPr>
    <w:r>
      <w:t xml:space="preserve">- </w:t>
    </w:r>
    <w:r w:rsidR="00387077">
      <w:fldChar w:fldCharType="begin"/>
    </w:r>
    <w:r>
      <w:instrText xml:space="preserve"> PAGE   \* MERGEFORMAT </w:instrText>
    </w:r>
    <w:r w:rsidR="00387077">
      <w:fldChar w:fldCharType="separate"/>
    </w:r>
    <w:r w:rsidR="00F85DF8">
      <w:rPr>
        <w:noProof/>
      </w:rPr>
      <w:t>2</w:t>
    </w:r>
    <w:r w:rsidR="00387077">
      <w:fldChar w:fldCharType="end"/>
    </w:r>
    <w:r>
      <w:t xml:space="preserve"> -</w:t>
    </w:r>
  </w:p>
  <w:p w:rsidR="00D805E9" w:rsidRDefault="00D805E9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B367E"/>
    <w:multiLevelType w:val="hybridMultilevel"/>
    <w:tmpl w:val="1EA87628"/>
    <w:lvl w:ilvl="0" w:tplc="40B485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95858"/>
    <w:multiLevelType w:val="hybridMultilevel"/>
    <w:tmpl w:val="E80E2048"/>
    <w:lvl w:ilvl="0" w:tplc="272C10D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2C4"/>
    <w:rsid w:val="00024787"/>
    <w:rsid w:val="00041640"/>
    <w:rsid w:val="000B37E9"/>
    <w:rsid w:val="00110C17"/>
    <w:rsid w:val="00135DB6"/>
    <w:rsid w:val="00157339"/>
    <w:rsid w:val="00180154"/>
    <w:rsid w:val="001A5691"/>
    <w:rsid w:val="001B7A91"/>
    <w:rsid w:val="001D5953"/>
    <w:rsid w:val="001F55AF"/>
    <w:rsid w:val="00214643"/>
    <w:rsid w:val="00214EC2"/>
    <w:rsid w:val="003057B3"/>
    <w:rsid w:val="0035042C"/>
    <w:rsid w:val="00387077"/>
    <w:rsid w:val="004076E9"/>
    <w:rsid w:val="00415F6B"/>
    <w:rsid w:val="0046376B"/>
    <w:rsid w:val="0048213D"/>
    <w:rsid w:val="004B4D2A"/>
    <w:rsid w:val="004C446E"/>
    <w:rsid w:val="004D1656"/>
    <w:rsid w:val="004F631A"/>
    <w:rsid w:val="005469EE"/>
    <w:rsid w:val="00562D11"/>
    <w:rsid w:val="00595CBC"/>
    <w:rsid w:val="005E769E"/>
    <w:rsid w:val="006208A8"/>
    <w:rsid w:val="006944D1"/>
    <w:rsid w:val="006B2963"/>
    <w:rsid w:val="006F3CE0"/>
    <w:rsid w:val="00771F7E"/>
    <w:rsid w:val="007812C4"/>
    <w:rsid w:val="00784DAB"/>
    <w:rsid w:val="008553E0"/>
    <w:rsid w:val="008701DD"/>
    <w:rsid w:val="008A236E"/>
    <w:rsid w:val="008C3E36"/>
    <w:rsid w:val="008D7004"/>
    <w:rsid w:val="009078C1"/>
    <w:rsid w:val="00942E4B"/>
    <w:rsid w:val="009A746D"/>
    <w:rsid w:val="00A02871"/>
    <w:rsid w:val="00A0698C"/>
    <w:rsid w:val="00A77D90"/>
    <w:rsid w:val="00A90E32"/>
    <w:rsid w:val="00AD2E98"/>
    <w:rsid w:val="00AD4409"/>
    <w:rsid w:val="00B02504"/>
    <w:rsid w:val="00B67C49"/>
    <w:rsid w:val="00BA050B"/>
    <w:rsid w:val="00C2478C"/>
    <w:rsid w:val="00D066B8"/>
    <w:rsid w:val="00D24CF8"/>
    <w:rsid w:val="00D47E67"/>
    <w:rsid w:val="00D805E9"/>
    <w:rsid w:val="00E10685"/>
    <w:rsid w:val="00E77F02"/>
    <w:rsid w:val="00ED3782"/>
    <w:rsid w:val="00F61340"/>
    <w:rsid w:val="00F62B6F"/>
    <w:rsid w:val="00F85DF8"/>
    <w:rsid w:val="00FE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2C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hidden/>
    <w:uiPriority w:val="99"/>
    <w:rsid w:val="007812C4"/>
    <w:rPr>
      <w:rFonts w:ascii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hidden/>
    <w:uiPriority w:val="99"/>
    <w:rsid w:val="007812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2C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hidden/>
    <w:uiPriority w:val="99"/>
    <w:rsid w:val="007812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2C4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Car"/>
    <w:basedOn w:val="Normal"/>
    <w:link w:val="FootnoteTextChar"/>
    <w:hidden/>
    <w:uiPriority w:val="99"/>
    <w:rsid w:val="007812C4"/>
    <w:rPr>
      <w:sz w:val="20"/>
      <w:szCs w:val="20"/>
    </w:rPr>
  </w:style>
  <w:style w:type="character" w:customStyle="1" w:styleId="FootnoteTextChar">
    <w:name w:val="Footnote Text Char"/>
    <w:aliases w:val="Car Char"/>
    <w:basedOn w:val="DefaultParagraphFont"/>
    <w:link w:val="FootnoteText"/>
    <w:uiPriority w:val="99"/>
    <w:rsid w:val="007812C4"/>
    <w:rPr>
      <w:rFonts w:ascii="Times New Roman" w:eastAsia="Times New Roman" w:hAnsi="Times New Roman" w:cs="Times New Roman"/>
      <w:sz w:val="20"/>
      <w:szCs w:val="20"/>
    </w:rPr>
  </w:style>
  <w:style w:type="character" w:customStyle="1" w:styleId="DeltaViewInsertion">
    <w:name w:val="DeltaView Insertion"/>
    <w:uiPriority w:val="99"/>
    <w:rsid w:val="007812C4"/>
    <w:rPr>
      <w:color w:val="0000FF"/>
      <w:u w:val="double"/>
    </w:rPr>
  </w:style>
  <w:style w:type="character" w:customStyle="1" w:styleId="DeltaViewDeletion">
    <w:name w:val="DeltaView Deletion"/>
    <w:uiPriority w:val="99"/>
    <w:rsid w:val="007812C4"/>
    <w:rPr>
      <w:strike/>
      <w:color w:val="FF0000"/>
    </w:rPr>
  </w:style>
  <w:style w:type="character" w:customStyle="1" w:styleId="DeltaViewMoveDestination">
    <w:name w:val="DeltaView Move Destination"/>
    <w:uiPriority w:val="99"/>
    <w:rsid w:val="007812C4"/>
    <w:rPr>
      <w:color w:val="00C000"/>
      <w:u w:val="double"/>
    </w:rPr>
  </w:style>
  <w:style w:type="character" w:styleId="CommentReference">
    <w:name w:val="annotation reference"/>
    <w:uiPriority w:val="99"/>
    <w:rsid w:val="00C2478C"/>
    <w:rPr>
      <w:sz w:val="16"/>
      <w:szCs w:val="16"/>
    </w:rPr>
  </w:style>
  <w:style w:type="paragraph" w:styleId="CommentText">
    <w:name w:val="annotation text"/>
    <w:basedOn w:val="Normal"/>
    <w:next w:val="EndnoteText"/>
    <w:link w:val="CommentTextChar"/>
    <w:uiPriority w:val="99"/>
    <w:rsid w:val="00C2478C"/>
    <w:pPr>
      <w:widowControl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478C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2478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478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7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78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769E"/>
    <w:pPr>
      <w:ind w:left="720"/>
      <w:contextualSpacing/>
    </w:pPr>
  </w:style>
  <w:style w:type="table" w:styleId="TableGrid">
    <w:name w:val="Table Grid"/>
    <w:basedOn w:val="TableNormal"/>
    <w:uiPriority w:val="59"/>
    <w:rsid w:val="006F3C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2C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hidden/>
    <w:uiPriority w:val="99"/>
    <w:rsid w:val="007812C4"/>
    <w:rPr>
      <w:rFonts w:ascii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hidden/>
    <w:uiPriority w:val="99"/>
    <w:rsid w:val="007812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2C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hidden/>
    <w:uiPriority w:val="99"/>
    <w:rsid w:val="007812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2C4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Car"/>
    <w:basedOn w:val="Normal"/>
    <w:link w:val="FootnoteTextChar"/>
    <w:hidden/>
    <w:uiPriority w:val="99"/>
    <w:rsid w:val="007812C4"/>
    <w:rPr>
      <w:sz w:val="20"/>
      <w:szCs w:val="20"/>
    </w:rPr>
  </w:style>
  <w:style w:type="character" w:customStyle="1" w:styleId="FootnoteTextChar">
    <w:name w:val="Footnote Text Char"/>
    <w:aliases w:val="Car Char"/>
    <w:basedOn w:val="DefaultParagraphFont"/>
    <w:link w:val="FootnoteText"/>
    <w:uiPriority w:val="99"/>
    <w:rsid w:val="007812C4"/>
    <w:rPr>
      <w:rFonts w:ascii="Times New Roman" w:eastAsia="Times New Roman" w:hAnsi="Times New Roman" w:cs="Times New Roman"/>
      <w:sz w:val="20"/>
      <w:szCs w:val="20"/>
    </w:rPr>
  </w:style>
  <w:style w:type="character" w:customStyle="1" w:styleId="DeltaViewInsertion">
    <w:name w:val="DeltaView Insertion"/>
    <w:uiPriority w:val="99"/>
    <w:rsid w:val="007812C4"/>
    <w:rPr>
      <w:color w:val="0000FF"/>
      <w:u w:val="double"/>
    </w:rPr>
  </w:style>
  <w:style w:type="character" w:customStyle="1" w:styleId="DeltaViewDeletion">
    <w:name w:val="DeltaView Deletion"/>
    <w:uiPriority w:val="99"/>
    <w:rsid w:val="007812C4"/>
    <w:rPr>
      <w:strike/>
      <w:color w:val="FF0000"/>
    </w:rPr>
  </w:style>
  <w:style w:type="character" w:customStyle="1" w:styleId="DeltaViewMoveDestination">
    <w:name w:val="DeltaView Move Destination"/>
    <w:uiPriority w:val="99"/>
    <w:rsid w:val="007812C4"/>
    <w:rPr>
      <w:color w:val="00C000"/>
      <w:u w:val="double"/>
    </w:rPr>
  </w:style>
  <w:style w:type="character" w:styleId="CommentReference">
    <w:name w:val="annotation reference"/>
    <w:uiPriority w:val="99"/>
    <w:rsid w:val="00C2478C"/>
    <w:rPr>
      <w:sz w:val="16"/>
      <w:szCs w:val="16"/>
    </w:rPr>
  </w:style>
  <w:style w:type="paragraph" w:styleId="CommentText">
    <w:name w:val="annotation text"/>
    <w:basedOn w:val="Normal"/>
    <w:next w:val="EndnoteText"/>
    <w:link w:val="CommentTextChar"/>
    <w:uiPriority w:val="99"/>
    <w:rsid w:val="00C2478C"/>
    <w:pPr>
      <w:widowControl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478C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2478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478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7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78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769E"/>
    <w:pPr>
      <w:ind w:left="720"/>
      <w:contextualSpacing/>
    </w:pPr>
  </w:style>
  <w:style w:type="table" w:styleId="TableGrid">
    <w:name w:val="Table Grid"/>
    <w:basedOn w:val="TableNormal"/>
    <w:uiPriority w:val="59"/>
    <w:rsid w:val="006F3C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20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19" Type="http://schemas.openxmlformats.org/officeDocument/2006/relationships/customXml" Target="../customXml/item6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e61f9b1-e23d-4f49-b3d7-56b991556c4b" ContentTypeId="0x01010066B06E59AB175241BBFB297522263BEB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66B06E59AB175241BBFB297522263BEB0019E0C42C95086E4C870ECCEDA805AFD2" ma:contentTypeVersion="32" ma:contentTypeDescription="A content type to manage public (corporate) IDB documents" ma:contentTypeScope="" ma:versionID="3db9712ccd0ecf6fa5bc178120e10d8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45189ff02c69c208c8642bfefeaa947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j65ec2e3a7e44c39a1acebfd2a19200a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ic46d7e087fd4a108fb86518ca413cc6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11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c5c54932-c2bd-47cd-9086-3a77da424455}" ma:internalName="TaxCatchAll" ma:showField="CatchAllData" ma:web="6d8e9b38-fa06-46aa-969f-331703c655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c5c54932-c2bd-47cd-9086-3a77da424455}" ma:internalName="TaxCatchAllLabel" ma:readOnly="true" ma:showField="CatchAllDataLabel" ma:web="6d8e9b38-fa06-46aa-969f-331703c655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j65ec2e3a7e44c39a1acebfd2a19200a" ma:index="16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dexed="true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ic46d7e087fd4a108fb86518ca413cc6" ma:index="2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 ma:readOnly="false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/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  <xsd:element name="Related_x0020_SisCor_x0020_Number" ma:index="39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sclosure_x0020_Activity xmlns="cdc7663a-08f0-4737-9e8c-148ce897a09c">Technical Cooperation Agreement</Disclosure_x0020_Activity>
    <Division_x0020_or_x0020_Unit xmlns="cdc7663a-08f0-4737-9e8c-148ce897a09c">LEG/SGO</Division_x0020_or_x0020_Unit>
    <IDBDocs_x0020_Number xmlns="cdc7663a-08f0-4737-9e8c-148ce897a09c">37376472</IDBDocs_x0020_Number>
    <Document_x0020_Author xmlns="cdc7663a-08f0-4737-9e8c-148ce897a09c">Bonfim Rodgers, Oriana</Document_x0020_Author>
    <TaxCatchAll xmlns="cdc7663a-08f0-4737-9e8c-148ce897a09c">
      <Value>26</Value>
      <Value>23</Value>
      <Value>40</Value>
    </TaxCatchAll>
    <Fiscal_x0020_Year_x0020_IDB xmlns="cdc7663a-08f0-4737-9e8c-148ce897a09c">2013</Fiscal_x0020_Year_x0020_IDB>
    <Migration_x0020_Info xmlns="cdc7663a-08f0-4737-9e8c-148ce897a09c">&lt;Data&gt;&lt;APPLICATION&gt;MS WORD&lt;/APPLICATION&gt;&lt;STAGE_CODE&gt;AGREE-TC&lt;/STAGE_CODE&gt;&lt;USER_STAGE&gt;Technical Cooperation Agreement&lt;/USER_STAGE&gt;&lt;APPROVAL_CODE&gt;CHF&lt;/APPROVAL_CODE&gt;&lt;APPROVAL_DESC&gt;Chief&lt;/APPROVAL_DESC&gt;&lt;PD_OBJ_TYPE&gt;1&lt;/PD_OBJ_TYPE&gt;&lt;MAKERECORD&gt;Y&lt;/MAKERECORD&gt;&lt;PD_FILEPT_NO&gt;PO-AR-T1103-Agree&lt;/PD_FILEPT_NO&gt;&lt;PD_FILE_PART&gt;1067854101&lt;/PD_FILE_PART&gt;&lt;/Data&gt;</Migration_x0020_Info>
    <SISCOR_x0020_Number xmlns="cdc7663a-08f0-4737-9e8c-148ce897a09c" xsi:nil="true"/>
    <Identifier xmlns="cdc7663a-08f0-4737-9e8c-148ce897a09c"> EE</Identifier>
    <Document_x0020_Language_x0020_IDB xmlns="cdc7663a-08f0-4737-9e8c-148ce897a09c">Spanish</Document_x0020_Language_x0020_IDB>
    <Other_x0020_Author xmlns="cdc7663a-08f0-4737-9e8c-148ce897a09c">JBEDOYA</Other_x0020_Author>
    <Access_x0020_to_x0020_Information_x00a0_Policy xmlns="cdc7663a-08f0-4737-9e8c-148ce897a09c">Confidential</Access_x0020_to_x0020_Information_x00a0_Policy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POM-01 Project Operations Management General</TermName>
          <TermId xmlns="http://schemas.microsoft.com/office/infopath/2007/PartnerControls">19d55793-e085-4277-a248-a5fc31bdbf37</TermId>
        </TermInfo>
      </Terms>
    </j65ec2e3a7e44c39a1acebfd2a19200a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6 Project Operations Management</TermName>
          <TermId xmlns="http://schemas.microsoft.com/office/infopath/2007/PartnerControls">03af0c7d-3415-46d8-bacc-6351250af69c</TermId>
        </TermInfo>
      </Terms>
    </cf0f1ca6d90e4583ad80995bcde0e58a>
    <_dlc_DocId xmlns="cdc7663a-08f0-4737-9e8c-148ce897a09c">EZSHARE-1044359933-4879</_dlc_DocId>
    <Abstract xmlns="cdc7663a-08f0-4737-9e8c-148ce897a09c" xsi:nil="true"/>
    <Region xmlns="cdc7663a-08f0-4737-9e8c-148ce897a09c" xsi:nil="true"/>
    <Related_x0020_SisCor_x0020_Number xmlns="cdc7663a-08f0-4737-9e8c-148ce897a09c" xsi:nil="true"/>
    <Webtopic xmlns="cdc7663a-08f0-4737-9e8c-148ce897a09c">Public Sector Management and Support</Webtopic>
    <Publishing_x0020_House xmlns="cdc7663a-08f0-4737-9e8c-148ce897a09c" xsi:nil="true"/>
    <Disclosed xmlns="cdc7663a-08f0-4737-9e8c-148ce897a09c">false</Disclosed>
    <KP_x0020_Topics xmlns="cdc7663a-08f0-4737-9e8c-148ce897a09c" xsi:nil="true"/>
    <Editor1 xmlns="cdc7663a-08f0-4737-9e8c-148ce897a09c" xsi:nil="true"/>
    <Publication_x0020_Type xmlns="cdc7663a-08f0-4737-9e8c-148ce897a09c" xsi:nil="true"/>
    <Issue_x0020_Date xmlns="cdc7663a-08f0-4737-9e8c-148ce897a09c" xsi:nil="true"/>
    <_dlc_DocIdUrl xmlns="cdc7663a-08f0-4737-9e8c-148ce897a09c">
      <Url>https://idbg.sharepoint.com/teams/ez-LEG/Operations/_layouts/15/DocIdRedir.aspx?ID=EZSHARE-1044359933-4879</Url>
      <Description>EZSHARE-1044359933-4879</Description>
    </_dlc_DocIdUrl>
  </documentManagement>
</p:properties>
</file>

<file path=customXml/itemProps1.xml><?xml version="1.0" encoding="utf-8"?>
<ds:datastoreItem xmlns:ds="http://schemas.openxmlformats.org/officeDocument/2006/customXml" ds:itemID="{E479BE6F-B983-4B96-A8B3-44055BFF48CA}"/>
</file>

<file path=customXml/itemProps2.xml><?xml version="1.0" encoding="utf-8"?>
<ds:datastoreItem xmlns:ds="http://schemas.openxmlformats.org/officeDocument/2006/customXml" ds:itemID="{4300A7E5-EE9A-4302-8828-4AAA723AE05D}"/>
</file>

<file path=customXml/itemProps3.xml><?xml version="1.0" encoding="utf-8"?>
<ds:datastoreItem xmlns:ds="http://schemas.openxmlformats.org/officeDocument/2006/customXml" ds:itemID="{7E991103-13CA-4AC2-AA11-E3237B6FE882}"/>
</file>

<file path=customXml/itemProps4.xml><?xml version="1.0" encoding="utf-8"?>
<ds:datastoreItem xmlns:ds="http://schemas.openxmlformats.org/officeDocument/2006/customXml" ds:itemID="{97E6B38F-6A7E-4217-8426-E6F6B9A30149}"/>
</file>

<file path=customXml/itemProps5.xml><?xml version="1.0" encoding="utf-8"?>
<ds:datastoreItem xmlns:ds="http://schemas.openxmlformats.org/officeDocument/2006/customXml" ds:itemID="{BA0649E9-6BCB-4E24-8443-8A0F05151CAF}"/>
</file>

<file path=customXml/itemProps6.xml><?xml version="1.0" encoding="utf-8"?>
<ds:datastoreItem xmlns:ds="http://schemas.openxmlformats.org/officeDocument/2006/customXml" ds:itemID="{0E7940BB-6253-48F0-AD5C-3E1D08C30E54}"/>
</file>

<file path=customXml/itemProps7.xml><?xml version="1.0" encoding="utf-8"?>
<ds:datastoreItem xmlns:ds="http://schemas.openxmlformats.org/officeDocument/2006/customXml" ds:itemID="{C7B3B438-41FC-41A3-B1E0-07849463C7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2025</Words>
  <Characters>11544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Convenio Parte I - Fortalecimiento de la Gestión por Resultados en la Provincia de Tucumán</dc:title>
  <dc:subject/>
  <dc:creator>jbedoya</dc:creator>
  <cp:keywords/>
  <cp:lastModifiedBy>Inter-American Development Bank</cp:lastModifiedBy>
  <cp:revision>2</cp:revision>
  <cp:lastPrinted>2012-12-21T17:58:00Z</cp:lastPrinted>
  <dcterms:created xsi:type="dcterms:W3CDTF">2013-05-09T21:41:00Z</dcterms:created>
  <dcterms:modified xsi:type="dcterms:W3CDTF">2013-05-09T21:41:00Z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Key Document">
    <vt:bool>false</vt:bool>
  </property>
  <property fmtid="{D5CDD505-2E9C-101B-9397-08002B2CF9AE}" pid="5" name="Function_x0020_Operations_x0020_IDB">
    <vt:lpwstr/>
  </property>
  <property fmtid="{D5CDD505-2E9C-101B-9397-08002B2CF9AE}" pid="6" name="Series Corporate IDB">
    <vt:lpwstr>26;#POM-01 Project Operations Management General|19d55793-e085-4277-a248-a5fc31bdbf37</vt:lpwstr>
  </property>
  <property fmtid="{D5CDD505-2E9C-101B-9397-08002B2CF9AE}" pid="7" name="ContentTypeId">
    <vt:lpwstr>0x01010066B06E59AB175241BBFB297522263BEB0019E0C42C95086E4C870ECCEDA805AFD2</vt:lpwstr>
  </property>
  <property fmtid="{D5CDD505-2E9C-101B-9397-08002B2CF9AE}" pid="8" name="TaxKeywordTaxHTField">
    <vt:lpwstr/>
  </property>
  <property fmtid="{D5CDD505-2E9C-101B-9397-08002B2CF9AE}" pid="9" name="m555d3814edf4817b4410a4e57f94ce9">
    <vt:lpwstr/>
  </property>
  <property fmtid="{D5CDD505-2E9C-101B-9397-08002B2CF9AE}" pid="10" name="Project Number">
    <vt:lpwstr>AR-T1103</vt:lpwstr>
  </property>
  <property fmtid="{D5CDD505-2E9C-101B-9397-08002B2CF9AE}" pid="11" name="Legal Taxonomy">
    <vt:lpwstr/>
  </property>
  <property fmtid="{D5CDD505-2E9C-101B-9397-08002B2CF9AE}" pid="13" name="o5138a91267540169645e33d09c9ddc6">
    <vt:lpwstr/>
  </property>
  <property fmtid="{D5CDD505-2E9C-101B-9397-08002B2CF9AE}" pid="14" name="Series Operations IDB">
    <vt:lpwstr/>
  </property>
  <property fmtid="{D5CDD505-2E9C-101B-9397-08002B2CF9AE}" pid="15" name="Approval Number">
    <vt:lpwstr>AR-T1103;ATN/OC-13607-AR</vt:lpwstr>
  </property>
  <property fmtid="{D5CDD505-2E9C-101B-9397-08002B2CF9AE}" pid="16" name="Fund IDB">
    <vt:lpwstr/>
  </property>
  <property fmtid="{D5CDD505-2E9C-101B-9397-08002B2CF9AE}" pid="17" name="Country">
    <vt:lpwstr>40;#Argentina|eb1b705c-195f-4c3b-9661-b201f2fee3c5</vt:lpwstr>
  </property>
  <property fmtid="{D5CDD505-2E9C-101B-9397-08002B2CF9AE}" pid="18" name="Legal Basis">
    <vt:lpwstr/>
  </property>
  <property fmtid="{D5CDD505-2E9C-101B-9397-08002B2CF9AE}" pid="19" name="gaf487fafdd442a2b6050eaae514d0b5">
    <vt:lpwstr/>
  </property>
  <property fmtid="{D5CDD505-2E9C-101B-9397-08002B2CF9AE}" pid="20" name="Series_x0020_Operations_x0020_IDB">
    <vt:lpwstr/>
  </property>
  <property fmtid="{D5CDD505-2E9C-101B-9397-08002B2CF9AE}" pid="21" name="Document Type IDB">
    <vt:lpwstr/>
  </property>
  <property fmtid="{D5CDD505-2E9C-101B-9397-08002B2CF9AE}" pid="23" name="From:">
    <vt:lpwstr>JBEDOYA</vt:lpwstr>
  </property>
  <property fmtid="{D5CDD505-2E9C-101B-9397-08002B2CF9AE}" pid="24" name="Sector IDB">
    <vt:lpwstr/>
  </property>
  <property fmtid="{D5CDD505-2E9C-101B-9397-08002B2CF9AE}" pid="25" name="Function Corporate IDB">
    <vt:lpwstr>23;#6 Project Operations Management|03af0c7d-3415-46d8-bacc-6351250af69c</vt:lpwstr>
  </property>
  <property fmtid="{D5CDD505-2E9C-101B-9397-08002B2CF9AE}" pid="26" name="Document_x0020_Type_x0020_IDB">
    <vt:lpwstr/>
  </property>
  <property fmtid="{D5CDD505-2E9C-101B-9397-08002B2CF9AE}" pid="27" name="fd0e48b6a66848a9885f717e5bbf40c4">
    <vt:lpwstr/>
  </property>
  <property fmtid="{D5CDD505-2E9C-101B-9397-08002B2CF9AE}" pid="28" name="e559ffcc31d34167856647188be35015">
    <vt:lpwstr/>
  </property>
  <property fmtid="{D5CDD505-2E9C-101B-9397-08002B2CF9AE}" pid="29" name="Legal_x0020_Basis">
    <vt:lpwstr/>
  </property>
  <property fmtid="{D5CDD505-2E9C-101B-9397-08002B2CF9AE}" pid="30" name="Function Operations IDB">
    <vt:lpwstr/>
  </property>
  <property fmtid="{D5CDD505-2E9C-101B-9397-08002B2CF9AE}" pid="31" name="Legal_x0020_Taxonomy">
    <vt:lpwstr/>
  </property>
  <property fmtid="{D5CDD505-2E9C-101B-9397-08002B2CF9AE}" pid="35" name="Webtopic">
    <vt:lpwstr>Public Sector Management and Support</vt:lpwstr>
  </property>
  <property fmtid="{D5CDD505-2E9C-101B-9397-08002B2CF9AE}" pid="37" name="Disclosed">
    <vt:bool>false</vt:bool>
  </property>
  <property fmtid="{D5CDD505-2E9C-101B-9397-08002B2CF9AE}" pid="40" name="URL">
    <vt:lpwstr/>
  </property>
  <property fmtid="{D5CDD505-2E9C-101B-9397-08002B2CF9AE}" pid="41" name="ATI Undisclose Document Workflow">
    <vt:lpwstr/>
  </property>
  <property fmtid="{D5CDD505-2E9C-101B-9397-08002B2CF9AE}" pid="42" name="ATI Disclose Document Workflow v5">
    <vt:lpwstr/>
  </property>
  <property fmtid="{D5CDD505-2E9C-101B-9397-08002B2CF9AE}" pid="43" name="Project Document Type">
    <vt:lpwstr/>
  </property>
  <property fmtid="{D5CDD505-2E9C-101B-9397-08002B2CF9AE}" pid="44" name="Record Number">
    <vt:lpwstr/>
  </property>
  <property fmtid="{D5CDD505-2E9C-101B-9397-08002B2CF9AE}" pid="45" name="Legal Country">
    <vt:lpwstr/>
  </property>
  <property fmtid="{D5CDD505-2E9C-101B-9397-08002B2CF9AE}" pid="47" name="Attorney">
    <vt:lpwstr/>
  </property>
  <property fmtid="{D5CDD505-2E9C-101B-9397-08002B2CF9AE}" pid="48" name="Doc Copy">
    <vt:lpwstr/>
  </property>
  <property fmtid="{D5CDD505-2E9C-101B-9397-08002B2CF9AE}" pid="49" name="b26cdb1da78c4bb4b1c1bac2f6ac5911">
    <vt:lpwstr/>
  </property>
  <property fmtid="{D5CDD505-2E9C-101B-9397-08002B2CF9AE}" pid="50" name="Pipeline Number">
    <vt:lpwstr/>
  </property>
  <property fmtid="{D5CDD505-2E9C-101B-9397-08002B2CF9AE}" pid="51" name="Package Code">
    <vt:lpwstr/>
  </property>
  <property fmtid="{D5CDD505-2E9C-101B-9397-08002B2CF9AE}" pid="52" name="Annual Meeting">
    <vt:lpwstr/>
  </property>
  <property fmtid="{D5CDD505-2E9C-101B-9397-08002B2CF9AE}" pid="53" name="n2077c22f1e24496a073d1eb26f4ff79">
    <vt:lpwstr/>
  </property>
  <property fmtid="{D5CDD505-2E9C-101B-9397-08002B2CF9AE}" pid="54" name="Business Area">
    <vt:lpwstr/>
  </property>
  <property fmtid="{D5CDD505-2E9C-101B-9397-08002B2CF9AE}" pid="55" name="e46fe2894295491da65140ffd2369f49">
    <vt:lpwstr/>
  </property>
  <property fmtid="{D5CDD505-2E9C-101B-9397-08002B2CF9AE}" pid="56" name="nddeef1749674d76abdbe4b239a70bc6">
    <vt:lpwstr/>
  </property>
  <property fmtid="{D5CDD505-2E9C-101B-9397-08002B2CF9AE}" pid="57" name="g511464f9e53401d84b16fa9b379a574">
    <vt:lpwstr/>
  </property>
  <property fmtid="{D5CDD505-2E9C-101B-9397-08002B2CF9AE}" pid="58" name="Phase">
    <vt:lpwstr/>
  </property>
  <property fmtid="{D5CDD505-2E9C-101B-9397-08002B2CF9AE}" pid="60" name="Instrument">
    <vt:lpwstr/>
  </property>
  <property fmtid="{D5CDD505-2E9C-101B-9397-08002B2CF9AE}" pid="61" name="Operation Type">
    <vt:lpwstr/>
  </property>
  <property fmtid="{D5CDD505-2E9C-101B-9397-08002B2CF9AE}" pid="62" name="_dlc_DocIdItemGuid">
    <vt:lpwstr>8feb54de-69ae-4972-993d-352aaff18fad</vt:lpwstr>
  </property>
</Properties>
</file>