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9CE" w:rsidRPr="00632257" w:rsidRDefault="00F179CE" w:rsidP="00F179CE">
      <w:pPr>
        <w:jc w:val="right"/>
        <w:rPr>
          <w:lang w:val="pt-BR"/>
        </w:rPr>
      </w:pPr>
      <w:bookmarkStart w:id="0" w:name="_GoBack"/>
      <w:bookmarkEnd w:id="0"/>
      <w:r w:rsidRPr="00632257">
        <w:rPr>
          <w:lang w:val="pt-BR"/>
        </w:rPr>
        <w:t>LEG/SGO/CSC/IDBDOCS:</w:t>
      </w:r>
      <w:r w:rsidR="00AA3818" w:rsidRPr="00632257">
        <w:rPr>
          <w:lang w:val="pt-BR"/>
        </w:rPr>
        <w:t>37363583</w:t>
      </w:r>
      <w:r w:rsidRPr="00632257">
        <w:rPr>
          <w:lang w:val="pt-BR"/>
        </w:rPr>
        <w:t xml:space="preserve"> </w:t>
      </w:r>
    </w:p>
    <w:p w:rsidR="00F179CE" w:rsidRPr="00632257" w:rsidRDefault="00F179CE" w:rsidP="00F179CE">
      <w:pPr>
        <w:pStyle w:val="Title"/>
        <w:rPr>
          <w:sz w:val="24"/>
          <w:szCs w:val="24"/>
          <w:lang w:val="pt-BR"/>
        </w:rPr>
      </w:pPr>
    </w:p>
    <w:p w:rsidR="00F179CE" w:rsidRPr="00632257" w:rsidRDefault="00F179CE" w:rsidP="00F179CE">
      <w:pPr>
        <w:pStyle w:val="Title"/>
        <w:rPr>
          <w:sz w:val="24"/>
          <w:szCs w:val="24"/>
          <w:lang w:val="pt-BR"/>
        </w:rPr>
      </w:pPr>
    </w:p>
    <w:p w:rsidR="00F179CE" w:rsidRPr="00632257" w:rsidRDefault="00F179CE" w:rsidP="00F179CE">
      <w:pPr>
        <w:pStyle w:val="Title"/>
        <w:rPr>
          <w:sz w:val="24"/>
          <w:szCs w:val="24"/>
          <w:lang w:val="pt-BR"/>
        </w:rPr>
      </w:pPr>
      <w:r w:rsidRPr="00632257">
        <w:rPr>
          <w:sz w:val="24"/>
          <w:szCs w:val="24"/>
          <w:lang w:val="pt-BR"/>
        </w:rPr>
        <w:t>ANEXO ÚNICO</w:t>
      </w:r>
    </w:p>
    <w:p w:rsidR="00F179CE" w:rsidRPr="00632257" w:rsidRDefault="00F179CE" w:rsidP="00F179CE">
      <w:pPr>
        <w:tabs>
          <w:tab w:val="left" w:pos="-1440"/>
          <w:tab w:val="left" w:pos="-720"/>
          <w:tab w:val="left" w:pos="720"/>
          <w:tab w:val="left" w:pos="1320"/>
          <w:tab w:val="left" w:pos="2160"/>
          <w:tab w:val="left" w:pos="7200"/>
        </w:tabs>
        <w:jc w:val="both"/>
        <w:rPr>
          <w:sz w:val="24"/>
          <w:lang w:val="pt-BR"/>
        </w:rPr>
      </w:pPr>
    </w:p>
    <w:p w:rsidR="00F179CE" w:rsidRDefault="00F179CE" w:rsidP="00F179CE">
      <w:pPr>
        <w:pStyle w:val="Heading1"/>
        <w:rPr>
          <w:lang w:val="es-ES_tradnl"/>
        </w:rPr>
      </w:pPr>
      <w:r>
        <w:rPr>
          <w:lang w:val="es-ES_tradnl"/>
        </w:rPr>
        <w:t>EL PROYECTO</w:t>
      </w:r>
    </w:p>
    <w:p w:rsidR="00F179CE" w:rsidRDefault="00F179CE" w:rsidP="00F179CE">
      <w:pPr>
        <w:rPr>
          <w:sz w:val="24"/>
          <w:szCs w:val="24"/>
          <w:lang w:val="es-ES_tradnl"/>
        </w:rPr>
      </w:pPr>
    </w:p>
    <w:p w:rsidR="00F179CE" w:rsidRPr="00632257" w:rsidRDefault="00F179CE" w:rsidP="00632257">
      <w:pPr>
        <w:jc w:val="center"/>
        <w:rPr>
          <w:b/>
          <w:sz w:val="24"/>
          <w:szCs w:val="24"/>
          <w:lang w:val="es-ES_tradnl"/>
        </w:rPr>
      </w:pPr>
    </w:p>
    <w:p w:rsidR="00F179CE" w:rsidRPr="00632257" w:rsidRDefault="00632257" w:rsidP="00632257">
      <w:pPr>
        <w:tabs>
          <w:tab w:val="left" w:pos="-1440"/>
          <w:tab w:val="left" w:pos="-720"/>
          <w:tab w:val="left" w:pos="720"/>
          <w:tab w:val="left" w:pos="1320"/>
          <w:tab w:val="left" w:pos="2160"/>
          <w:tab w:val="left" w:pos="7200"/>
        </w:tabs>
        <w:jc w:val="center"/>
        <w:rPr>
          <w:b/>
          <w:sz w:val="24"/>
          <w:szCs w:val="24"/>
          <w:lang w:val="es-ES_tradnl"/>
        </w:rPr>
      </w:pPr>
      <w:r w:rsidRPr="00632257">
        <w:rPr>
          <w:b/>
          <w:sz w:val="24"/>
          <w:szCs w:val="24"/>
          <w:lang w:val="es-ES_tradnl"/>
        </w:rPr>
        <w:t>Fortalecimiento de la Gestión por Resultados en la Provincia de Tucumán</w:t>
      </w:r>
    </w:p>
    <w:p w:rsidR="00F179CE" w:rsidRDefault="00F179CE" w:rsidP="00F179CE">
      <w:pPr>
        <w:tabs>
          <w:tab w:val="left" w:pos="-1440"/>
          <w:tab w:val="left" w:pos="-720"/>
          <w:tab w:val="left" w:pos="720"/>
          <w:tab w:val="left" w:pos="1320"/>
          <w:tab w:val="left" w:pos="2160"/>
          <w:tab w:val="left" w:pos="7200"/>
        </w:tabs>
        <w:rPr>
          <w:b/>
          <w:sz w:val="24"/>
          <w:szCs w:val="24"/>
          <w:lang w:val="es-ES_tradnl"/>
        </w:rPr>
      </w:pPr>
    </w:p>
    <w:p w:rsidR="00632257" w:rsidRDefault="00632257" w:rsidP="00F179CE">
      <w:pPr>
        <w:tabs>
          <w:tab w:val="left" w:pos="-1440"/>
          <w:tab w:val="left" w:pos="-720"/>
          <w:tab w:val="left" w:pos="720"/>
          <w:tab w:val="left" w:pos="1320"/>
          <w:tab w:val="left" w:pos="2160"/>
          <w:tab w:val="left" w:pos="7200"/>
        </w:tabs>
        <w:rPr>
          <w:b/>
          <w:sz w:val="24"/>
          <w:szCs w:val="24"/>
          <w:lang w:val="es-ES_tradnl"/>
        </w:rPr>
      </w:pPr>
    </w:p>
    <w:p w:rsidR="00F179CE" w:rsidRDefault="00F179CE" w:rsidP="00F179CE">
      <w:pPr>
        <w:tabs>
          <w:tab w:val="left" w:pos="-1440"/>
          <w:tab w:val="left" w:pos="-720"/>
          <w:tab w:val="left" w:pos="720"/>
          <w:tab w:val="left" w:pos="1320"/>
          <w:tab w:val="left" w:pos="2160"/>
          <w:tab w:val="left" w:pos="7200"/>
        </w:tabs>
        <w:jc w:val="both"/>
        <w:rPr>
          <w:sz w:val="24"/>
          <w:lang w:val="es-ES_tradnl"/>
        </w:rPr>
      </w:pPr>
      <w:r>
        <w:rPr>
          <w:b/>
          <w:sz w:val="24"/>
          <w:lang w:val="es-ES_tradnl"/>
        </w:rPr>
        <w:t>I.</w:t>
      </w:r>
      <w:r>
        <w:rPr>
          <w:b/>
          <w:sz w:val="24"/>
          <w:lang w:val="es-ES_tradnl"/>
        </w:rPr>
        <w:tab/>
      </w:r>
      <w:r>
        <w:rPr>
          <w:b/>
          <w:sz w:val="24"/>
          <w:u w:val="single"/>
          <w:lang w:val="es-ES_tradnl"/>
        </w:rPr>
        <w:t>Objetivo</w:t>
      </w:r>
    </w:p>
    <w:p w:rsidR="00F179CE" w:rsidRDefault="00F179CE" w:rsidP="00F179CE">
      <w:pPr>
        <w:rPr>
          <w:lang w:val="es-ES_tradnl"/>
        </w:rPr>
      </w:pPr>
    </w:p>
    <w:p w:rsidR="00F179CE" w:rsidRPr="00F179CE" w:rsidRDefault="00F179CE" w:rsidP="00F179CE">
      <w:pPr>
        <w:pStyle w:val="Paragraph"/>
        <w:numPr>
          <w:ilvl w:val="0"/>
          <w:numId w:val="0"/>
        </w:numPr>
        <w:ind w:left="720" w:hanging="720"/>
        <w:rPr>
          <w:rFonts w:ascii="Times New Roman" w:hAnsi="Times New Roman"/>
          <w:szCs w:val="24"/>
        </w:rPr>
      </w:pPr>
      <w:r w:rsidRPr="00F179CE">
        <w:rPr>
          <w:rFonts w:ascii="Times New Roman" w:hAnsi="Times New Roman"/>
          <w:b/>
          <w:szCs w:val="24"/>
        </w:rPr>
        <w:t>1.01</w:t>
      </w:r>
      <w:r w:rsidRPr="00F179CE">
        <w:rPr>
          <w:rFonts w:ascii="Times New Roman" w:hAnsi="Times New Roman"/>
          <w:szCs w:val="24"/>
        </w:rPr>
        <w:tab/>
        <w:t xml:space="preserve">El objetivo del Proyecto </w:t>
      </w:r>
      <w:r w:rsidR="00632257" w:rsidRPr="00632257">
        <w:rPr>
          <w:rFonts w:ascii="Times New Roman" w:hAnsi="Times New Roman"/>
          <w:szCs w:val="24"/>
        </w:rPr>
        <w:t xml:space="preserve">es mejorar los sistemas de gestión pública y fiscal con el fin de promover la implementación de la Gestión por Resultados en la Provincia de Tucumán. Los objetivos específicos </w:t>
      </w:r>
      <w:r w:rsidR="00632257">
        <w:rPr>
          <w:rFonts w:ascii="Times New Roman" w:hAnsi="Times New Roman"/>
          <w:szCs w:val="24"/>
        </w:rPr>
        <w:t>del Proyecto</w:t>
      </w:r>
      <w:r w:rsidR="00632257" w:rsidRPr="00632257">
        <w:rPr>
          <w:rFonts w:ascii="Times New Roman" w:hAnsi="Times New Roman"/>
          <w:szCs w:val="24"/>
        </w:rPr>
        <w:t xml:space="preserve"> son: (</w:t>
      </w:r>
      <w:r w:rsidR="00632257">
        <w:rPr>
          <w:rFonts w:ascii="Times New Roman" w:hAnsi="Times New Roman"/>
          <w:szCs w:val="24"/>
        </w:rPr>
        <w:t>i</w:t>
      </w:r>
      <w:r w:rsidR="00632257" w:rsidRPr="00632257">
        <w:rPr>
          <w:rFonts w:ascii="Times New Roman" w:hAnsi="Times New Roman"/>
          <w:szCs w:val="24"/>
        </w:rPr>
        <w:t>) mejorar el vínculo entre la planificación y el presupuesto</w:t>
      </w:r>
      <w:r w:rsidR="006E2663">
        <w:rPr>
          <w:rFonts w:ascii="Times New Roman" w:hAnsi="Times New Roman"/>
          <w:szCs w:val="24"/>
        </w:rPr>
        <w:t>;</w:t>
      </w:r>
      <w:r w:rsidR="00632257" w:rsidRPr="00632257">
        <w:rPr>
          <w:rFonts w:ascii="Times New Roman" w:hAnsi="Times New Roman"/>
          <w:szCs w:val="24"/>
        </w:rPr>
        <w:t xml:space="preserve"> (ii) mejorar los procesos de planificación sectorial</w:t>
      </w:r>
      <w:r w:rsidR="00FE1612">
        <w:rPr>
          <w:rFonts w:ascii="Times New Roman" w:hAnsi="Times New Roman"/>
          <w:szCs w:val="24"/>
        </w:rPr>
        <w:t>;</w:t>
      </w:r>
      <w:r w:rsidR="00632257" w:rsidRPr="00632257">
        <w:rPr>
          <w:rFonts w:ascii="Times New Roman" w:hAnsi="Times New Roman"/>
          <w:szCs w:val="24"/>
        </w:rPr>
        <w:t xml:space="preserve"> y (iii) desarrollar mecanismos efectivos de monitoreo y evaluación de las políticas provinciales</w:t>
      </w:r>
      <w:r w:rsidRPr="00F179CE">
        <w:rPr>
          <w:rFonts w:ascii="Times New Roman" w:hAnsi="Times New Roman"/>
          <w:szCs w:val="24"/>
        </w:rPr>
        <w:t xml:space="preserve">. </w:t>
      </w:r>
    </w:p>
    <w:p w:rsidR="00F179CE" w:rsidRDefault="00F179CE" w:rsidP="00F179CE">
      <w:pPr>
        <w:autoSpaceDE w:val="0"/>
        <w:autoSpaceDN w:val="0"/>
        <w:adjustRightInd w:val="0"/>
        <w:jc w:val="both"/>
        <w:rPr>
          <w:sz w:val="24"/>
          <w:szCs w:val="24"/>
          <w:lang w:val="es-ES_tradnl"/>
        </w:rPr>
      </w:pPr>
    </w:p>
    <w:p w:rsidR="00F179CE" w:rsidRDefault="00F179CE" w:rsidP="00F179CE">
      <w:pPr>
        <w:tabs>
          <w:tab w:val="left" w:pos="-1440"/>
          <w:tab w:val="left" w:pos="-720"/>
          <w:tab w:val="left" w:pos="720"/>
          <w:tab w:val="left" w:pos="1320"/>
          <w:tab w:val="left" w:pos="2160"/>
          <w:tab w:val="left" w:pos="7200"/>
        </w:tabs>
        <w:ind w:left="720" w:hanging="720"/>
        <w:jc w:val="both"/>
        <w:rPr>
          <w:sz w:val="24"/>
          <w:lang w:val="es-ES_tradnl"/>
        </w:rPr>
      </w:pPr>
      <w:r>
        <w:rPr>
          <w:b/>
          <w:sz w:val="24"/>
          <w:lang w:val="es-ES_tradnl"/>
        </w:rPr>
        <w:t>II.</w:t>
      </w:r>
      <w:r>
        <w:rPr>
          <w:b/>
          <w:sz w:val="24"/>
          <w:lang w:val="es-ES_tradnl"/>
        </w:rPr>
        <w:tab/>
      </w:r>
      <w:r>
        <w:rPr>
          <w:b/>
          <w:sz w:val="24"/>
          <w:u w:val="single"/>
          <w:lang w:val="es-ES_tradnl"/>
        </w:rPr>
        <w:t>Descripción</w:t>
      </w:r>
    </w:p>
    <w:p w:rsidR="00F179CE" w:rsidRDefault="00F179CE" w:rsidP="00F179CE">
      <w:pPr>
        <w:tabs>
          <w:tab w:val="left" w:pos="-1440"/>
          <w:tab w:val="left" w:pos="-720"/>
          <w:tab w:val="left" w:pos="720"/>
          <w:tab w:val="left" w:pos="1320"/>
          <w:tab w:val="left" w:pos="2160"/>
          <w:tab w:val="left" w:pos="7200"/>
        </w:tabs>
        <w:jc w:val="both"/>
        <w:rPr>
          <w:sz w:val="24"/>
          <w:lang w:val="es-ES_tradnl"/>
        </w:rPr>
      </w:pPr>
    </w:p>
    <w:p w:rsidR="00F179CE" w:rsidRDefault="00F179CE" w:rsidP="00632257">
      <w:pPr>
        <w:tabs>
          <w:tab w:val="left" w:pos="-1440"/>
          <w:tab w:val="left" w:pos="-720"/>
          <w:tab w:val="left" w:pos="720"/>
          <w:tab w:val="left" w:pos="1320"/>
          <w:tab w:val="left" w:pos="2160"/>
          <w:tab w:val="left" w:pos="7200"/>
        </w:tabs>
        <w:ind w:left="720" w:hanging="720"/>
        <w:jc w:val="both"/>
        <w:rPr>
          <w:sz w:val="24"/>
          <w:lang w:val="es-ES_tradnl"/>
        </w:rPr>
      </w:pPr>
      <w:r>
        <w:rPr>
          <w:b/>
          <w:sz w:val="24"/>
          <w:lang w:val="es-ES_tradnl"/>
        </w:rPr>
        <w:t>2.01</w:t>
      </w:r>
      <w:r>
        <w:rPr>
          <w:sz w:val="24"/>
          <w:lang w:val="es-ES_tradnl"/>
        </w:rPr>
        <w:tab/>
      </w:r>
      <w:r w:rsidRPr="00632257">
        <w:rPr>
          <w:rFonts w:eastAsia="Calibri"/>
          <w:sz w:val="24"/>
          <w:szCs w:val="24"/>
          <w:lang w:val="es-ES_tradnl"/>
        </w:rPr>
        <w:t xml:space="preserve">El Proyecto contempla la ejecución de </w:t>
      </w:r>
      <w:r w:rsidR="00632257" w:rsidRPr="00632257">
        <w:rPr>
          <w:rFonts w:eastAsia="Calibri"/>
          <w:sz w:val="24"/>
          <w:szCs w:val="24"/>
          <w:lang w:val="es-ES_tradnl"/>
        </w:rPr>
        <w:t>cuatro</w:t>
      </w:r>
      <w:r w:rsidRPr="00632257">
        <w:rPr>
          <w:rFonts w:eastAsia="Calibri"/>
          <w:sz w:val="24"/>
          <w:szCs w:val="24"/>
          <w:lang w:val="es-ES_tradnl"/>
        </w:rPr>
        <w:t xml:space="preserve"> componentes</w:t>
      </w:r>
      <w:r w:rsidR="00632257" w:rsidRPr="00632257">
        <w:rPr>
          <w:rFonts w:eastAsia="Calibri"/>
          <w:sz w:val="24"/>
          <w:szCs w:val="24"/>
          <w:lang w:val="es-ES_tradnl"/>
        </w:rPr>
        <w:t xml:space="preserve"> principales</w:t>
      </w:r>
      <w:r w:rsidR="00AB42D1">
        <w:rPr>
          <w:rFonts w:eastAsia="Calibri"/>
          <w:sz w:val="24"/>
          <w:szCs w:val="24"/>
          <w:lang w:val="es-ES_tradnl"/>
        </w:rPr>
        <w:t>. Mediante dichos componentes se</w:t>
      </w:r>
      <w:r w:rsidR="00632257" w:rsidRPr="00632257">
        <w:rPr>
          <w:rFonts w:eastAsia="Calibri"/>
          <w:sz w:val="24"/>
          <w:szCs w:val="24"/>
          <w:lang w:val="es-ES_tradnl"/>
        </w:rPr>
        <w:t xml:space="preserve"> financiarán las actividades que fueron identificadas y priorizados durante el proceso aplicación de la metodología del Sistema de Evaluación PRODEV para Gobiernos Sub Nacionales, así como de elaboración del Plan de acción provincial en gestión por resultados.</w:t>
      </w:r>
    </w:p>
    <w:p w:rsidR="00F179CE" w:rsidRDefault="00F179CE" w:rsidP="00F179CE">
      <w:pPr>
        <w:tabs>
          <w:tab w:val="left" w:pos="-1440"/>
          <w:tab w:val="left" w:pos="-720"/>
          <w:tab w:val="left" w:pos="720"/>
          <w:tab w:val="left" w:pos="1320"/>
          <w:tab w:val="left" w:pos="2160"/>
          <w:tab w:val="left" w:pos="7200"/>
        </w:tabs>
        <w:ind w:left="720" w:hanging="720"/>
        <w:jc w:val="both"/>
        <w:rPr>
          <w:sz w:val="24"/>
          <w:lang w:val="es-ES_tradnl"/>
        </w:rPr>
      </w:pPr>
    </w:p>
    <w:p w:rsidR="00632257" w:rsidRPr="00632257" w:rsidRDefault="00632257" w:rsidP="00632257">
      <w:pPr>
        <w:pStyle w:val="ListParagraph"/>
        <w:spacing w:after="0" w:line="240" w:lineRule="auto"/>
        <w:ind w:left="360" w:firstLine="360"/>
        <w:contextualSpacing w:val="0"/>
        <w:jc w:val="both"/>
        <w:rPr>
          <w:rFonts w:ascii="Times New Roman" w:eastAsia="Calibri" w:hAnsi="Times New Roman"/>
          <w:sz w:val="24"/>
          <w:szCs w:val="24"/>
          <w:u w:val="single"/>
          <w:lang w:val="es-ES_tradnl"/>
        </w:rPr>
      </w:pPr>
      <w:r w:rsidRPr="00632257">
        <w:rPr>
          <w:rFonts w:ascii="Times New Roman" w:eastAsia="Calibri" w:hAnsi="Times New Roman"/>
          <w:sz w:val="24"/>
          <w:szCs w:val="24"/>
          <w:u w:val="single"/>
          <w:lang w:val="es-ES_tradnl"/>
        </w:rPr>
        <w:t xml:space="preserve">Componente I. Planificación Estratégica </w:t>
      </w:r>
    </w:p>
    <w:p w:rsidR="00632257" w:rsidRDefault="00632257" w:rsidP="00632257">
      <w:pPr>
        <w:pStyle w:val="ListParagraph"/>
        <w:spacing w:after="0" w:line="240" w:lineRule="auto"/>
        <w:ind w:left="360" w:firstLine="360"/>
        <w:contextualSpacing w:val="0"/>
        <w:jc w:val="both"/>
        <w:rPr>
          <w:rFonts w:ascii="Times New Roman" w:eastAsia="Calibri" w:hAnsi="Times New Roman"/>
          <w:sz w:val="24"/>
          <w:szCs w:val="24"/>
          <w:lang w:val="es-ES_tradnl"/>
        </w:rPr>
      </w:pPr>
    </w:p>
    <w:p w:rsidR="00632257" w:rsidRPr="00632257" w:rsidRDefault="00632257" w:rsidP="00632257">
      <w:pPr>
        <w:pStyle w:val="ListParagraph"/>
        <w:spacing w:after="0" w:line="240" w:lineRule="auto"/>
        <w:ind w:hanging="720"/>
        <w:contextualSpacing w:val="0"/>
        <w:jc w:val="both"/>
        <w:rPr>
          <w:rFonts w:ascii="Times New Roman" w:eastAsia="Calibri" w:hAnsi="Times New Roman"/>
          <w:sz w:val="24"/>
          <w:szCs w:val="24"/>
          <w:lang w:val="es-ES_tradnl"/>
        </w:rPr>
      </w:pPr>
      <w:r w:rsidRPr="00632257">
        <w:rPr>
          <w:rFonts w:ascii="Times New Roman" w:eastAsia="Calibri" w:hAnsi="Times New Roman"/>
          <w:b/>
          <w:sz w:val="24"/>
          <w:szCs w:val="24"/>
          <w:lang w:val="es-ES_tradnl"/>
        </w:rPr>
        <w:t>2.02</w:t>
      </w:r>
      <w:r>
        <w:rPr>
          <w:rFonts w:ascii="Times New Roman" w:eastAsia="Calibri" w:hAnsi="Times New Roman"/>
          <w:sz w:val="24"/>
          <w:szCs w:val="24"/>
          <w:lang w:val="es-ES_tradnl"/>
        </w:rPr>
        <w:tab/>
      </w:r>
      <w:r w:rsidRPr="00632257">
        <w:rPr>
          <w:rFonts w:ascii="Times New Roman" w:eastAsia="Calibri" w:hAnsi="Times New Roman"/>
          <w:sz w:val="24"/>
          <w:szCs w:val="24"/>
          <w:lang w:val="es-ES_tradnl"/>
        </w:rPr>
        <w:t>El objetivo de este componente es fortalecer la planificación sectorial y su vínculo con la planificación provincial de largo plazo expresada en los Lineamientos Estratégicos de Desarrollo (LED). Para ello, se fortalecerá la formulación de planes en dos sectores seleccionados</w:t>
      </w:r>
      <w:r w:rsidRPr="001F0775">
        <w:rPr>
          <w:rFonts w:ascii="Times New Roman" w:eastAsia="Calibri" w:hAnsi="Times New Roman"/>
          <w:sz w:val="24"/>
          <w:szCs w:val="24"/>
          <w:vertAlign w:val="superscript"/>
          <w:lang w:val="es-ES_tradnl"/>
        </w:rPr>
        <w:footnoteReference w:id="1"/>
      </w:r>
      <w:r w:rsidRPr="00632257">
        <w:rPr>
          <w:rFonts w:ascii="Times New Roman" w:eastAsia="Calibri" w:hAnsi="Times New Roman"/>
          <w:sz w:val="24"/>
          <w:szCs w:val="24"/>
          <w:lang w:val="es-ES_tradnl"/>
        </w:rPr>
        <w:t xml:space="preserve">, con una metodología común y procurando una adecuada concordancia con los LED. De esta manera,  se pretende fortalecer la planificación de corto plazo y su vínculo con los objetivos fijados para el largo plazo, proporcionando herramientas que sirvan a la gestión por resultados. El componente financiará la contratación de consultores </w:t>
      </w:r>
      <w:r w:rsidR="00AB42D1">
        <w:rPr>
          <w:rFonts w:ascii="Times New Roman" w:eastAsia="Calibri" w:hAnsi="Times New Roman"/>
          <w:sz w:val="24"/>
          <w:szCs w:val="24"/>
          <w:lang w:val="es-ES_tradnl"/>
        </w:rPr>
        <w:t>i</w:t>
      </w:r>
      <w:r w:rsidRPr="00632257">
        <w:rPr>
          <w:rFonts w:ascii="Times New Roman" w:eastAsia="Calibri" w:hAnsi="Times New Roman"/>
          <w:sz w:val="24"/>
          <w:szCs w:val="24"/>
          <w:lang w:val="es-ES_tradnl"/>
        </w:rPr>
        <w:t>ndividuales para</w:t>
      </w:r>
      <w:r w:rsidR="00FE1612">
        <w:rPr>
          <w:rFonts w:ascii="Times New Roman" w:eastAsia="Calibri" w:hAnsi="Times New Roman"/>
          <w:sz w:val="24"/>
          <w:szCs w:val="24"/>
          <w:lang w:val="es-ES_tradnl"/>
        </w:rPr>
        <w:t>:</w:t>
      </w:r>
      <w:r w:rsidRPr="00632257">
        <w:rPr>
          <w:rFonts w:ascii="Times New Roman" w:eastAsia="Calibri" w:hAnsi="Times New Roman"/>
          <w:sz w:val="24"/>
          <w:szCs w:val="24"/>
          <w:lang w:val="es-ES_tradnl"/>
        </w:rPr>
        <w:t xml:space="preserve"> (i) la realización de un diagnóstico sobre cómo se realizan las planificaciones sectoriales y su concordancia con los LED; (ii) la elaboración de un enfoque conceptual y una metodología que permita homogeneizar los procesos de planificación sectorial y establecer vínculos con los LED; (iii) entrenamiento de </w:t>
      </w:r>
      <w:r w:rsidRPr="00632257">
        <w:rPr>
          <w:rFonts w:ascii="Times New Roman" w:eastAsia="Calibri" w:hAnsi="Times New Roman"/>
          <w:sz w:val="24"/>
          <w:szCs w:val="24"/>
          <w:lang w:val="es-ES_tradnl"/>
        </w:rPr>
        <w:lastRenderedPageBreak/>
        <w:t>funcionarios en la metodología desarrollada; y (iv) ajustar  los planes de los sectores seleccionados con base a la metodología desarrollada.</w:t>
      </w:r>
    </w:p>
    <w:p w:rsidR="00632257" w:rsidRPr="00632257" w:rsidRDefault="00632257" w:rsidP="00632257">
      <w:pPr>
        <w:pStyle w:val="ListParagraph"/>
        <w:spacing w:after="0" w:line="240" w:lineRule="auto"/>
        <w:contextualSpacing w:val="0"/>
        <w:jc w:val="both"/>
        <w:rPr>
          <w:rFonts w:ascii="Times New Roman" w:eastAsia="Calibri" w:hAnsi="Times New Roman"/>
          <w:sz w:val="24"/>
          <w:szCs w:val="24"/>
          <w:lang w:val="es-ES_tradnl"/>
        </w:rPr>
      </w:pPr>
    </w:p>
    <w:p w:rsidR="001F0775" w:rsidRPr="001F0775" w:rsidRDefault="00632257" w:rsidP="001F0775">
      <w:pPr>
        <w:pStyle w:val="ListParagraph"/>
        <w:spacing w:after="0" w:line="240" w:lineRule="auto"/>
        <w:ind w:left="0" w:firstLine="720"/>
        <w:contextualSpacing w:val="0"/>
        <w:jc w:val="both"/>
        <w:rPr>
          <w:rFonts w:ascii="Times New Roman" w:eastAsia="Calibri" w:hAnsi="Times New Roman"/>
          <w:sz w:val="24"/>
          <w:szCs w:val="24"/>
          <w:u w:val="single"/>
          <w:lang w:val="es-ES_tradnl"/>
        </w:rPr>
      </w:pPr>
      <w:r w:rsidRPr="001F0775">
        <w:rPr>
          <w:rFonts w:ascii="Times New Roman" w:eastAsia="Calibri" w:hAnsi="Times New Roman"/>
          <w:sz w:val="24"/>
          <w:szCs w:val="24"/>
          <w:u w:val="single"/>
          <w:lang w:val="es-ES_tradnl"/>
        </w:rPr>
        <w:t xml:space="preserve">Componente 2. Monitoreo y Evaluación </w:t>
      </w:r>
    </w:p>
    <w:p w:rsidR="001F0775" w:rsidRDefault="001F0775" w:rsidP="001F0775">
      <w:pPr>
        <w:pStyle w:val="ListParagraph"/>
        <w:spacing w:after="0" w:line="240" w:lineRule="auto"/>
        <w:ind w:left="0"/>
        <w:contextualSpacing w:val="0"/>
        <w:jc w:val="both"/>
        <w:rPr>
          <w:rFonts w:ascii="Times New Roman" w:eastAsia="Calibri" w:hAnsi="Times New Roman"/>
          <w:sz w:val="24"/>
          <w:szCs w:val="24"/>
          <w:lang w:val="es-ES_tradnl"/>
        </w:rPr>
      </w:pPr>
    </w:p>
    <w:p w:rsidR="00632257" w:rsidRPr="00632257" w:rsidRDefault="001F0775" w:rsidP="001F0775">
      <w:pPr>
        <w:pStyle w:val="ListParagraph"/>
        <w:spacing w:after="0" w:line="240" w:lineRule="auto"/>
        <w:ind w:hanging="720"/>
        <w:contextualSpacing w:val="0"/>
        <w:jc w:val="both"/>
        <w:rPr>
          <w:rFonts w:ascii="Times New Roman" w:eastAsia="Calibri" w:hAnsi="Times New Roman"/>
          <w:sz w:val="24"/>
          <w:szCs w:val="24"/>
          <w:lang w:val="es-ES_tradnl"/>
        </w:rPr>
      </w:pPr>
      <w:r w:rsidRPr="001F0775">
        <w:rPr>
          <w:rFonts w:ascii="Times New Roman" w:eastAsia="Calibri" w:hAnsi="Times New Roman"/>
          <w:b/>
          <w:sz w:val="24"/>
          <w:szCs w:val="24"/>
          <w:lang w:val="es-ES_tradnl"/>
        </w:rPr>
        <w:t>2.03</w:t>
      </w:r>
      <w:r>
        <w:rPr>
          <w:rFonts w:ascii="Times New Roman" w:eastAsia="Calibri" w:hAnsi="Times New Roman"/>
          <w:sz w:val="24"/>
          <w:szCs w:val="24"/>
          <w:lang w:val="es-ES_tradnl"/>
        </w:rPr>
        <w:tab/>
      </w:r>
      <w:r w:rsidR="00632257" w:rsidRPr="00632257">
        <w:rPr>
          <w:rFonts w:ascii="Times New Roman" w:eastAsia="Calibri" w:hAnsi="Times New Roman"/>
          <w:sz w:val="24"/>
          <w:szCs w:val="24"/>
          <w:lang w:val="es-ES_tradnl"/>
        </w:rPr>
        <w:t>Con el objetivo de consolidar el sistema de seguimiento de políticas públicas como herramienta para la gestión, este componente contemplará dos líneas de acción: (i) el fortalecimiento de los sistemas de información que sirven de base para el seguimiento de las políticas públicas</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y (ii) el rediseño de un sistema integral de monitoreo y evaluación. El componente financiará la contratación de consultores </w:t>
      </w:r>
      <w:r>
        <w:rPr>
          <w:rFonts w:ascii="Times New Roman" w:eastAsia="Calibri" w:hAnsi="Times New Roman"/>
          <w:sz w:val="24"/>
          <w:szCs w:val="24"/>
          <w:lang w:val="es-ES_tradnl"/>
        </w:rPr>
        <w:t>i</w:t>
      </w:r>
      <w:r w:rsidR="00632257" w:rsidRPr="00632257">
        <w:rPr>
          <w:rFonts w:ascii="Times New Roman" w:eastAsia="Calibri" w:hAnsi="Times New Roman"/>
          <w:sz w:val="24"/>
          <w:szCs w:val="24"/>
          <w:lang w:val="es-ES_tradnl"/>
        </w:rPr>
        <w:t>ndividuales con el fin de: (i)</w:t>
      </w:r>
      <w:r w:rsidR="00FE1612">
        <w:rPr>
          <w:rFonts w:ascii="Times New Roman" w:eastAsia="Calibri" w:hAnsi="Times New Roman"/>
          <w:sz w:val="24"/>
          <w:szCs w:val="24"/>
          <w:lang w:val="es-ES_tradnl"/>
        </w:rPr>
        <w:t> </w:t>
      </w:r>
      <w:r w:rsidR="00632257" w:rsidRPr="00632257">
        <w:rPr>
          <w:rFonts w:ascii="Times New Roman" w:eastAsia="Calibri" w:hAnsi="Times New Roman"/>
          <w:sz w:val="24"/>
          <w:szCs w:val="24"/>
          <w:lang w:val="es-ES_tradnl"/>
        </w:rPr>
        <w:t>realizar un diagnóstico sobre los sistemas de información existentes (transversales y sectoriales)</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w:t>
      </w:r>
      <w:r>
        <w:rPr>
          <w:rFonts w:ascii="Times New Roman" w:eastAsia="Calibri" w:hAnsi="Times New Roman"/>
          <w:sz w:val="24"/>
          <w:szCs w:val="24"/>
          <w:lang w:val="es-ES_tradnl"/>
        </w:rPr>
        <w:t>ii</w:t>
      </w:r>
      <w:r w:rsidR="00632257" w:rsidRPr="00632257">
        <w:rPr>
          <w:rFonts w:ascii="Times New Roman" w:eastAsia="Calibri" w:hAnsi="Times New Roman"/>
          <w:sz w:val="24"/>
          <w:szCs w:val="24"/>
          <w:lang w:val="es-ES_tradnl"/>
        </w:rPr>
        <w:t>) desarrollar un marco metodológico y de gestión que permita fortalecer los distintos sistemas de información y articularlos con el sistema de seguimiento (líneas de base de los indicadores)</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(iii) realizar un diagnóstico sobre las funcionalidades y usos del sistema de seguimiento existente (SIGE)</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(iv) entrenar a los funcionarios responsables en la metodología y uso del sistema desarrollados</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(v) desarrollar un marco metodológico y manual de procedimientos para realizar el seguimiento de políticas</w:t>
      </w:r>
      <w:r w:rsidR="00305B72">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y (vi) desarrollar y aplicar el sistema informático de seguimiento de manera articulada con los sistemas de información.</w:t>
      </w:r>
    </w:p>
    <w:p w:rsidR="00632257" w:rsidRPr="00632257" w:rsidRDefault="00632257" w:rsidP="001F0775">
      <w:pPr>
        <w:pStyle w:val="ListParagraph"/>
        <w:spacing w:after="0" w:line="240" w:lineRule="auto"/>
        <w:ind w:left="0"/>
        <w:contextualSpacing w:val="0"/>
        <w:jc w:val="both"/>
        <w:rPr>
          <w:rFonts w:ascii="Times New Roman" w:eastAsia="Calibri" w:hAnsi="Times New Roman"/>
          <w:sz w:val="24"/>
          <w:szCs w:val="24"/>
          <w:lang w:val="es-ES_tradnl"/>
        </w:rPr>
      </w:pPr>
    </w:p>
    <w:p w:rsidR="001F0775" w:rsidRPr="001F0775" w:rsidRDefault="00632257" w:rsidP="001F0775">
      <w:pPr>
        <w:pStyle w:val="ListParagraph"/>
        <w:spacing w:after="0" w:line="240" w:lineRule="auto"/>
        <w:ind w:left="0" w:firstLine="720"/>
        <w:contextualSpacing w:val="0"/>
        <w:jc w:val="both"/>
        <w:rPr>
          <w:rFonts w:ascii="Times New Roman" w:eastAsia="Calibri" w:hAnsi="Times New Roman"/>
          <w:sz w:val="24"/>
          <w:szCs w:val="24"/>
          <w:u w:val="single"/>
          <w:lang w:val="es-ES_tradnl"/>
        </w:rPr>
      </w:pPr>
      <w:r w:rsidRPr="001F0775">
        <w:rPr>
          <w:rFonts w:ascii="Times New Roman" w:eastAsia="Calibri" w:hAnsi="Times New Roman"/>
          <w:sz w:val="24"/>
          <w:szCs w:val="24"/>
          <w:u w:val="single"/>
          <w:lang w:val="es-ES_tradnl"/>
        </w:rPr>
        <w:t xml:space="preserve">Componente 3. Gestión de Programas y Proyectos </w:t>
      </w:r>
    </w:p>
    <w:p w:rsidR="001F0775" w:rsidRDefault="001F0775" w:rsidP="001F0775">
      <w:pPr>
        <w:pStyle w:val="ListParagraph"/>
        <w:spacing w:after="0" w:line="240" w:lineRule="auto"/>
        <w:ind w:left="0"/>
        <w:contextualSpacing w:val="0"/>
        <w:jc w:val="both"/>
        <w:rPr>
          <w:rFonts w:ascii="Times New Roman" w:eastAsia="Calibri" w:hAnsi="Times New Roman"/>
          <w:sz w:val="24"/>
          <w:szCs w:val="24"/>
          <w:lang w:val="es-ES_tradnl"/>
        </w:rPr>
      </w:pPr>
    </w:p>
    <w:p w:rsidR="00632257" w:rsidRPr="00632257" w:rsidRDefault="001F0775" w:rsidP="001F0775">
      <w:pPr>
        <w:pStyle w:val="ListParagraph"/>
        <w:spacing w:after="0" w:line="240" w:lineRule="auto"/>
        <w:ind w:hanging="720"/>
        <w:contextualSpacing w:val="0"/>
        <w:jc w:val="both"/>
        <w:rPr>
          <w:rFonts w:ascii="Times New Roman" w:eastAsia="Calibri" w:hAnsi="Times New Roman"/>
          <w:sz w:val="24"/>
          <w:szCs w:val="24"/>
          <w:lang w:val="es-ES_tradnl"/>
        </w:rPr>
      </w:pPr>
      <w:r w:rsidRPr="001F0775">
        <w:rPr>
          <w:rFonts w:ascii="Times New Roman" w:eastAsia="Calibri" w:hAnsi="Times New Roman"/>
          <w:b/>
          <w:sz w:val="24"/>
          <w:szCs w:val="24"/>
          <w:lang w:val="es-ES_tradnl"/>
        </w:rPr>
        <w:t>2.04</w:t>
      </w:r>
      <w:r>
        <w:rPr>
          <w:rFonts w:ascii="Times New Roman" w:eastAsia="Calibri" w:hAnsi="Times New Roman"/>
          <w:sz w:val="24"/>
          <w:szCs w:val="24"/>
          <w:lang w:val="es-ES_tradnl"/>
        </w:rPr>
        <w:tab/>
      </w:r>
      <w:r w:rsidR="00632257" w:rsidRPr="00632257">
        <w:rPr>
          <w:rFonts w:ascii="Times New Roman" w:eastAsia="Calibri" w:hAnsi="Times New Roman"/>
          <w:sz w:val="24"/>
          <w:szCs w:val="24"/>
          <w:lang w:val="es-ES_tradnl"/>
        </w:rPr>
        <w:t>Con el objetivo de mejorar la gestión de programas de gobierno -incluyendo su formulación presupuestal- y orientarla hacia el logro de resultados, este componente trabajará sobre las siguientes líneas de acción: (i) la mejora de la planificación operativa y la formulación presupuestaria</w:t>
      </w:r>
      <w:r w:rsidR="00CF489E">
        <w:rPr>
          <w:rFonts w:ascii="Times New Roman" w:eastAsia="Calibri" w:hAnsi="Times New Roman"/>
          <w:sz w:val="24"/>
          <w:szCs w:val="24"/>
          <w:lang w:val="es-ES_tradnl"/>
        </w:rPr>
        <w:t>;</w:t>
      </w:r>
      <w:r w:rsidR="00BA3847">
        <w:rPr>
          <w:rFonts w:ascii="Times New Roman" w:eastAsia="Calibri" w:hAnsi="Times New Roman"/>
          <w:sz w:val="24"/>
          <w:szCs w:val="24"/>
          <w:lang w:val="es-ES_tradnl"/>
        </w:rPr>
        <w:t xml:space="preserve"> </w:t>
      </w:r>
      <w:r w:rsidR="00632257" w:rsidRPr="00632257">
        <w:rPr>
          <w:rFonts w:ascii="Times New Roman" w:eastAsia="Calibri" w:hAnsi="Times New Roman"/>
          <w:sz w:val="24"/>
          <w:szCs w:val="24"/>
          <w:lang w:val="es-ES_tradnl"/>
        </w:rPr>
        <w:t>y (ii) la mejora de los sistemas de seguimiento. Ambas líneas se aplicarán a tres programas seleccionados</w:t>
      </w:r>
      <w:r>
        <w:rPr>
          <w:rFonts w:ascii="Times New Roman" w:eastAsia="Calibri" w:hAnsi="Times New Roman"/>
          <w:sz w:val="24"/>
          <w:szCs w:val="24"/>
          <w:lang w:val="es-ES_tradnl"/>
        </w:rPr>
        <w:t>.</w:t>
      </w:r>
      <w:r w:rsidR="00632257" w:rsidRPr="001F0775">
        <w:rPr>
          <w:rFonts w:ascii="Times New Roman" w:eastAsia="Calibri" w:hAnsi="Times New Roman"/>
          <w:sz w:val="24"/>
          <w:szCs w:val="24"/>
          <w:vertAlign w:val="superscript"/>
          <w:lang w:val="es-ES_tradnl"/>
        </w:rPr>
        <w:footnoteReference w:id="2"/>
      </w:r>
      <w:r w:rsidR="00632257" w:rsidRPr="00632257">
        <w:rPr>
          <w:rFonts w:ascii="Times New Roman" w:eastAsia="Calibri" w:hAnsi="Times New Roman"/>
          <w:sz w:val="24"/>
          <w:szCs w:val="24"/>
          <w:lang w:val="es-ES_tradnl"/>
        </w:rPr>
        <w:t xml:space="preserve"> En este componente se financiará la contratación de consultores </w:t>
      </w:r>
      <w:r>
        <w:rPr>
          <w:rFonts w:ascii="Times New Roman" w:eastAsia="Calibri" w:hAnsi="Times New Roman"/>
          <w:sz w:val="24"/>
          <w:szCs w:val="24"/>
          <w:lang w:val="es-ES_tradnl"/>
        </w:rPr>
        <w:t>i</w:t>
      </w:r>
      <w:r w:rsidR="00632257" w:rsidRPr="00632257">
        <w:rPr>
          <w:rFonts w:ascii="Times New Roman" w:eastAsia="Calibri" w:hAnsi="Times New Roman"/>
          <w:sz w:val="24"/>
          <w:szCs w:val="24"/>
          <w:lang w:val="es-ES_tradnl"/>
        </w:rPr>
        <w:t>ndividuales con el fin de: (i) realizar la planificación operativa de los programas que incluya actividades y productos</w:t>
      </w:r>
      <w:r w:rsidR="00CF489E">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(ii) realizar un diagnóstico sobre los distintos sistemas de administración financiera existente</w:t>
      </w:r>
      <w:r w:rsidR="00CF489E">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(iii)</w:t>
      </w:r>
      <w:r w:rsidR="00CF489E">
        <w:rPr>
          <w:rFonts w:ascii="Times New Roman" w:eastAsia="Calibri" w:hAnsi="Times New Roman"/>
          <w:sz w:val="24"/>
          <w:szCs w:val="24"/>
          <w:lang w:val="es-ES_tradnl"/>
        </w:rPr>
        <w:t> </w:t>
      </w:r>
      <w:r w:rsidR="00632257" w:rsidRPr="00632257">
        <w:rPr>
          <w:rFonts w:ascii="Times New Roman" w:eastAsia="Calibri" w:hAnsi="Times New Roman"/>
          <w:sz w:val="24"/>
          <w:szCs w:val="24"/>
          <w:lang w:val="es-ES_tradnl"/>
        </w:rPr>
        <w:t>desarrollar una metodología para la elaboración de categorías programáticas y presupuestos analíticos en cada programa como paso inicial del ciclo presupuestario, incorporando información desagregada sobre resultados y metas</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(iv) entrenar a los responsables administrativos de los programas en la metodología desarrollada</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(v)</w:t>
      </w:r>
      <w:r w:rsidR="009F6607">
        <w:rPr>
          <w:rFonts w:ascii="Times New Roman" w:eastAsia="Calibri" w:hAnsi="Times New Roman"/>
          <w:sz w:val="24"/>
          <w:szCs w:val="24"/>
          <w:lang w:val="es-ES_tradnl"/>
        </w:rPr>
        <w:t> </w:t>
      </w:r>
      <w:r>
        <w:rPr>
          <w:rFonts w:ascii="Times New Roman" w:eastAsia="Calibri" w:hAnsi="Times New Roman"/>
          <w:sz w:val="24"/>
          <w:szCs w:val="24"/>
          <w:lang w:val="es-ES_tradnl"/>
        </w:rPr>
        <w:t>e</w:t>
      </w:r>
      <w:r w:rsidR="00632257" w:rsidRPr="00632257">
        <w:rPr>
          <w:rFonts w:ascii="Times New Roman" w:eastAsia="Calibri" w:hAnsi="Times New Roman"/>
          <w:sz w:val="24"/>
          <w:szCs w:val="24"/>
          <w:lang w:val="es-ES_tradnl"/>
        </w:rPr>
        <w:t>laborar un presupuesto en los programas seleccionados en base a metas y objetivos, con el fin de mejorar la planificaci</w:t>
      </w:r>
      <w:r w:rsidR="009F6607">
        <w:rPr>
          <w:rFonts w:ascii="Times New Roman" w:eastAsia="Calibri" w:hAnsi="Times New Roman"/>
          <w:sz w:val="24"/>
          <w:szCs w:val="24"/>
          <w:lang w:val="es-ES_tradnl"/>
        </w:rPr>
        <w:t>ón</w:t>
      </w:r>
      <w:r w:rsidR="00632257" w:rsidRPr="00632257">
        <w:rPr>
          <w:rFonts w:ascii="Times New Roman" w:eastAsia="Calibri" w:hAnsi="Times New Roman"/>
          <w:sz w:val="24"/>
          <w:szCs w:val="24"/>
          <w:lang w:val="es-ES_tradnl"/>
        </w:rPr>
        <w:t xml:space="preserve"> operativa y la formulación presupuestaria</w:t>
      </w:r>
      <w:r>
        <w:rPr>
          <w:rFonts w:ascii="Times New Roman" w:eastAsia="Calibri" w:hAnsi="Times New Roman"/>
          <w:sz w:val="24"/>
          <w:szCs w:val="24"/>
          <w:lang w:val="es-ES_tradnl"/>
        </w:rPr>
        <w:t xml:space="preserve">, </w:t>
      </w:r>
      <w:r w:rsidR="00632257" w:rsidRPr="00632257">
        <w:rPr>
          <w:rFonts w:ascii="Times New Roman" w:eastAsia="Calibri" w:hAnsi="Times New Roman"/>
          <w:sz w:val="24"/>
          <w:szCs w:val="24"/>
          <w:lang w:val="es-ES_tradnl"/>
        </w:rPr>
        <w:t>(vi)</w:t>
      </w:r>
      <w:r w:rsidR="00022A6F">
        <w:rPr>
          <w:rFonts w:ascii="Times New Roman" w:eastAsia="Calibri" w:hAnsi="Times New Roman"/>
          <w:sz w:val="24"/>
          <w:szCs w:val="24"/>
          <w:lang w:val="es-ES_tradnl"/>
        </w:rPr>
        <w:t> </w:t>
      </w:r>
      <w:r w:rsidR="00632257" w:rsidRPr="00632257">
        <w:rPr>
          <w:rFonts w:ascii="Times New Roman" w:eastAsia="Calibri" w:hAnsi="Times New Roman"/>
          <w:sz w:val="24"/>
          <w:szCs w:val="24"/>
          <w:lang w:val="es-ES_tradnl"/>
        </w:rPr>
        <w:t>realizar un diagnóstico sobre los sistemas de información y seguimiento utilizados por los programas seleccionados</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(vii) elaborar un enfoque conceptual y una metodología para el fortalecimiento de los sistemas de información que incluya el desarrollo de </w:t>
      </w:r>
      <w:r w:rsidR="00632257" w:rsidRPr="00632257">
        <w:rPr>
          <w:rFonts w:ascii="Times New Roman" w:eastAsia="Calibri" w:hAnsi="Times New Roman"/>
          <w:sz w:val="24"/>
          <w:szCs w:val="24"/>
          <w:lang w:val="es-ES_tradnl"/>
        </w:rPr>
        <w:lastRenderedPageBreak/>
        <w:t>protocolos para la recolección y procesamiento de información</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(viii) realizar evaluaciones integrales de los programas seleccionados para definir las líneas de base</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y (ix) fortalecer y/o desarrollar los sistemas de información y seguimiento a ser utilizados por los programas en base al diagnóstico, con el objetivo de rediseñar los procesos de seguimiento de programas y proyectos. </w:t>
      </w:r>
    </w:p>
    <w:p w:rsidR="00632257" w:rsidRPr="00632257" w:rsidRDefault="00632257" w:rsidP="001F0775">
      <w:pPr>
        <w:pStyle w:val="ListParagraph"/>
        <w:spacing w:after="0" w:line="240" w:lineRule="auto"/>
        <w:ind w:left="0"/>
        <w:contextualSpacing w:val="0"/>
        <w:jc w:val="both"/>
        <w:rPr>
          <w:rFonts w:ascii="Times New Roman" w:eastAsia="Calibri" w:hAnsi="Times New Roman"/>
          <w:sz w:val="24"/>
          <w:szCs w:val="24"/>
          <w:lang w:val="es-ES_tradnl"/>
        </w:rPr>
      </w:pPr>
    </w:p>
    <w:p w:rsidR="001F0775" w:rsidRPr="001F0775" w:rsidRDefault="00632257" w:rsidP="001F0775">
      <w:pPr>
        <w:pStyle w:val="ListParagraph"/>
        <w:spacing w:after="0" w:line="240" w:lineRule="auto"/>
        <w:ind w:left="0" w:firstLine="720"/>
        <w:contextualSpacing w:val="0"/>
        <w:jc w:val="both"/>
        <w:rPr>
          <w:rFonts w:ascii="Times New Roman" w:eastAsia="Calibri" w:hAnsi="Times New Roman"/>
          <w:sz w:val="24"/>
          <w:szCs w:val="24"/>
          <w:u w:val="single"/>
          <w:lang w:val="es-ES_tradnl"/>
        </w:rPr>
      </w:pPr>
      <w:r w:rsidRPr="001F0775">
        <w:rPr>
          <w:rFonts w:ascii="Times New Roman" w:eastAsia="Calibri" w:hAnsi="Times New Roman"/>
          <w:sz w:val="24"/>
          <w:szCs w:val="24"/>
          <w:u w:val="single"/>
          <w:lang w:val="es-ES_tradnl"/>
        </w:rPr>
        <w:t xml:space="preserve">Componente 4. Capacitación </w:t>
      </w:r>
    </w:p>
    <w:p w:rsidR="001F0775" w:rsidRDefault="001F0775" w:rsidP="001F0775">
      <w:pPr>
        <w:pStyle w:val="ListParagraph"/>
        <w:spacing w:after="0" w:line="240" w:lineRule="auto"/>
        <w:ind w:left="0"/>
        <w:contextualSpacing w:val="0"/>
        <w:jc w:val="both"/>
        <w:rPr>
          <w:rFonts w:ascii="Times New Roman" w:eastAsia="Calibri" w:hAnsi="Times New Roman"/>
          <w:sz w:val="24"/>
          <w:szCs w:val="24"/>
          <w:lang w:val="es-ES_tradnl"/>
        </w:rPr>
      </w:pPr>
    </w:p>
    <w:p w:rsidR="00632257" w:rsidRPr="00632257" w:rsidRDefault="001F0775" w:rsidP="001F0775">
      <w:pPr>
        <w:pStyle w:val="ListParagraph"/>
        <w:spacing w:after="0" w:line="240" w:lineRule="auto"/>
        <w:ind w:hanging="720"/>
        <w:contextualSpacing w:val="0"/>
        <w:jc w:val="both"/>
        <w:rPr>
          <w:rFonts w:ascii="Times New Roman" w:eastAsia="Calibri" w:hAnsi="Times New Roman"/>
          <w:sz w:val="24"/>
          <w:szCs w:val="24"/>
          <w:lang w:val="es-ES_tradnl"/>
        </w:rPr>
      </w:pPr>
      <w:r w:rsidRPr="001F0775">
        <w:rPr>
          <w:rFonts w:ascii="Times New Roman" w:eastAsia="Calibri" w:hAnsi="Times New Roman"/>
          <w:b/>
          <w:sz w:val="24"/>
          <w:szCs w:val="24"/>
          <w:lang w:val="es-ES_tradnl"/>
        </w:rPr>
        <w:t>2.05</w:t>
      </w:r>
      <w:r>
        <w:rPr>
          <w:rFonts w:ascii="Times New Roman" w:eastAsia="Calibri" w:hAnsi="Times New Roman"/>
          <w:sz w:val="24"/>
          <w:szCs w:val="24"/>
          <w:lang w:val="es-ES_tradnl"/>
        </w:rPr>
        <w:tab/>
      </w:r>
      <w:r w:rsidR="00632257" w:rsidRPr="00632257">
        <w:rPr>
          <w:rFonts w:ascii="Times New Roman" w:eastAsia="Calibri" w:hAnsi="Times New Roman"/>
          <w:sz w:val="24"/>
          <w:szCs w:val="24"/>
          <w:lang w:val="es-ES_tradnl"/>
        </w:rPr>
        <w:t>Con el objetivo de desarrollar conocimientos y habilidades que den adecuado sustento a las acciones de los anteriores componentes, se financiarán acciones de formación y entrenamiento del personal del gobierno provincial relativas a: (i) gestión por resultados</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(ii) presupuesto orientado a resultados</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(iii) planificación</w:t>
      </w:r>
      <w:r w:rsidR="009F6607">
        <w:rPr>
          <w:rFonts w:ascii="Times New Roman" w:eastAsia="Calibri" w:hAnsi="Times New Roman"/>
          <w:sz w:val="24"/>
          <w:szCs w:val="24"/>
          <w:lang w:val="es-ES_tradnl"/>
        </w:rPr>
        <w:t>;</w:t>
      </w:r>
      <w:r w:rsidR="00632257" w:rsidRPr="00632257">
        <w:rPr>
          <w:rFonts w:ascii="Times New Roman" w:eastAsia="Calibri" w:hAnsi="Times New Roman"/>
          <w:sz w:val="24"/>
          <w:szCs w:val="24"/>
          <w:lang w:val="es-ES_tradnl"/>
        </w:rPr>
        <w:t xml:space="preserve"> y (iv) seguimiento y evaluación de programas y proyectos. A diferencia de las actividades de entrenamiento previstas en los componentes 1, 2 y 3, que tienen un foco específico que atiende a los objetivos de cada componente, las acciones contempladas en el componente 4 tienen un carácter transversal y general (siempre en el marco de la gestión por resultados). </w:t>
      </w:r>
    </w:p>
    <w:p w:rsidR="001F0775" w:rsidRDefault="001F0775" w:rsidP="001F0775">
      <w:pPr>
        <w:ind w:left="720" w:hanging="720"/>
        <w:jc w:val="both"/>
        <w:rPr>
          <w:rFonts w:eastAsia="Calibri"/>
          <w:sz w:val="24"/>
          <w:szCs w:val="24"/>
          <w:lang w:val="es-ES_tradnl"/>
        </w:rPr>
      </w:pPr>
    </w:p>
    <w:p w:rsidR="00F179CE" w:rsidRDefault="00F179CE" w:rsidP="00F179CE">
      <w:pPr>
        <w:ind w:left="720" w:hanging="720"/>
        <w:jc w:val="both"/>
        <w:rPr>
          <w:sz w:val="24"/>
          <w:szCs w:val="24"/>
          <w:lang w:val="es-ES_tradnl"/>
        </w:rPr>
      </w:pPr>
      <w:r>
        <w:rPr>
          <w:b/>
          <w:sz w:val="24"/>
          <w:lang w:val="es-ES_tradnl"/>
        </w:rPr>
        <w:t>III.</w:t>
      </w:r>
      <w:r>
        <w:rPr>
          <w:b/>
          <w:sz w:val="24"/>
          <w:lang w:val="es-ES_tradnl"/>
        </w:rPr>
        <w:tab/>
      </w:r>
      <w:r>
        <w:rPr>
          <w:b/>
          <w:sz w:val="24"/>
          <w:u w:val="single"/>
          <w:lang w:val="es-ES_tradnl"/>
        </w:rPr>
        <w:t>Costo del Pro</w:t>
      </w:r>
      <w:r w:rsidR="00632257">
        <w:rPr>
          <w:b/>
          <w:sz w:val="24"/>
          <w:u w:val="single"/>
          <w:lang w:val="es-ES_tradnl"/>
        </w:rPr>
        <w:t>yecto</w:t>
      </w:r>
      <w:r>
        <w:rPr>
          <w:b/>
          <w:sz w:val="24"/>
          <w:u w:val="single"/>
          <w:lang w:val="es-ES_tradnl"/>
        </w:rPr>
        <w:t xml:space="preserve"> y Financiamiento</w:t>
      </w:r>
    </w:p>
    <w:p w:rsidR="00F179CE" w:rsidRDefault="00F179CE" w:rsidP="00F179CE">
      <w:pPr>
        <w:ind w:left="720" w:hanging="720"/>
        <w:jc w:val="both"/>
        <w:rPr>
          <w:b/>
          <w:sz w:val="24"/>
          <w:lang w:val="es-ES_tradnl"/>
        </w:rPr>
      </w:pPr>
    </w:p>
    <w:p w:rsidR="00F179CE" w:rsidRDefault="00F179CE" w:rsidP="00F179CE">
      <w:pPr>
        <w:ind w:left="720" w:hanging="720"/>
        <w:jc w:val="both"/>
        <w:rPr>
          <w:sz w:val="24"/>
          <w:lang w:val="es-ES_tradnl"/>
        </w:rPr>
      </w:pPr>
      <w:r>
        <w:rPr>
          <w:b/>
          <w:sz w:val="24"/>
          <w:lang w:val="es-ES_tradnl"/>
        </w:rPr>
        <w:t>3.01</w:t>
      </w:r>
      <w:r>
        <w:rPr>
          <w:sz w:val="24"/>
          <w:lang w:val="es-ES_tradnl"/>
        </w:rPr>
        <w:tab/>
        <w:t xml:space="preserve">El costo estimado del Proyecto es el equivalente a </w:t>
      </w:r>
      <w:r w:rsidR="009C14EC" w:rsidRPr="009C14EC">
        <w:rPr>
          <w:sz w:val="24"/>
          <w:lang w:val="es-ES_tradnl"/>
        </w:rPr>
        <w:t>quinientos noventa y ocho mil novecientos cincuenta dólares (US$598.950)</w:t>
      </w:r>
      <w:r>
        <w:rPr>
          <w:sz w:val="24"/>
          <w:lang w:val="es-ES_tradnl"/>
        </w:rPr>
        <w:t>, según el siguiente presupuesto</w:t>
      </w:r>
      <w:r w:rsidR="00B158BE">
        <w:rPr>
          <w:sz w:val="24"/>
          <w:lang w:val="es-ES_tradnl"/>
        </w:rPr>
        <w:t>:</w:t>
      </w:r>
    </w:p>
    <w:p w:rsidR="00F179CE" w:rsidRDefault="00F179CE" w:rsidP="00F179CE">
      <w:pPr>
        <w:ind w:left="720" w:hanging="720"/>
        <w:jc w:val="both"/>
        <w:rPr>
          <w:b/>
          <w:sz w:val="24"/>
          <w:u w:val="single"/>
          <w:lang w:val="es-ES_tradnl"/>
        </w:rPr>
      </w:pPr>
    </w:p>
    <w:p w:rsidR="00F179CE" w:rsidRDefault="00F179CE" w:rsidP="00F179CE">
      <w:pPr>
        <w:ind w:left="720"/>
        <w:jc w:val="center"/>
        <w:rPr>
          <w:sz w:val="24"/>
          <w:szCs w:val="24"/>
          <w:lang w:val="es-ES_tradnl"/>
        </w:rPr>
      </w:pPr>
      <w:r>
        <w:rPr>
          <w:b/>
          <w:sz w:val="24"/>
          <w:u w:val="single"/>
          <w:lang w:val="es-ES_tradnl"/>
        </w:rPr>
        <w:t>Costo y Financiamiento</w:t>
      </w:r>
    </w:p>
    <w:p w:rsidR="00F179CE" w:rsidRDefault="00F179CE" w:rsidP="00F179CE">
      <w:pPr>
        <w:ind w:left="720"/>
        <w:jc w:val="center"/>
        <w:rPr>
          <w:b/>
          <w:sz w:val="24"/>
          <w:lang w:val="es-ES_tradnl"/>
        </w:rPr>
      </w:pPr>
      <w:r>
        <w:rPr>
          <w:b/>
          <w:sz w:val="24"/>
          <w:lang w:val="es-ES_tradnl"/>
        </w:rPr>
        <w:t>(en US$)</w:t>
      </w:r>
    </w:p>
    <w:p w:rsidR="009C14EC" w:rsidRDefault="009C14EC" w:rsidP="00F179CE">
      <w:pPr>
        <w:ind w:left="720"/>
        <w:jc w:val="center"/>
        <w:rPr>
          <w:b/>
          <w:sz w:val="24"/>
          <w:lang w:val="es-ES_tradnl"/>
        </w:rPr>
      </w:pPr>
    </w:p>
    <w:tbl>
      <w:tblPr>
        <w:tblW w:w="3328" w:type="pct"/>
        <w:tblInd w:w="1738" w:type="dxa"/>
        <w:tblCellMar>
          <w:left w:w="70" w:type="dxa"/>
          <w:right w:w="70" w:type="dxa"/>
        </w:tblCellMar>
        <w:tblLook w:val="04A0" w:firstRow="1" w:lastRow="0" w:firstColumn="1" w:lastColumn="0" w:noHBand="0" w:noVBand="1"/>
      </w:tblPr>
      <w:tblGrid>
        <w:gridCol w:w="3765"/>
        <w:gridCol w:w="922"/>
        <w:gridCol w:w="819"/>
        <w:gridCol w:w="817"/>
      </w:tblGrid>
      <w:tr w:rsidR="009C14EC" w:rsidRPr="001C342A" w:rsidTr="00A25A01">
        <w:trPr>
          <w:trHeight w:val="227"/>
        </w:trPr>
        <w:tc>
          <w:tcPr>
            <w:tcW w:w="2727"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C14EC" w:rsidRPr="001C342A" w:rsidRDefault="009C14EC" w:rsidP="00A25A01">
            <w:pPr>
              <w:jc w:val="center"/>
              <w:rPr>
                <w:rFonts w:cs="Calibri"/>
                <w:b/>
                <w:bCs/>
                <w:sz w:val="18"/>
                <w:szCs w:val="18"/>
                <w:lang w:val="es-ES" w:eastAsia="es-ES"/>
              </w:rPr>
            </w:pPr>
            <w:r w:rsidRPr="001C342A">
              <w:rPr>
                <w:rFonts w:cs="Calibri"/>
                <w:b/>
                <w:bCs/>
                <w:sz w:val="18"/>
                <w:szCs w:val="18"/>
                <w:lang w:val="es-ES" w:eastAsia="es-ES"/>
              </w:rPr>
              <w:t>Actividad/Componente</w:t>
            </w:r>
          </w:p>
        </w:tc>
        <w:tc>
          <w:tcPr>
            <w:tcW w:w="813" w:type="pct"/>
            <w:tcBorders>
              <w:top w:val="single" w:sz="4" w:space="0" w:color="auto"/>
              <w:left w:val="nil"/>
              <w:bottom w:val="single" w:sz="4" w:space="0" w:color="auto"/>
              <w:right w:val="single" w:sz="4" w:space="0" w:color="auto"/>
            </w:tcBorders>
            <w:shd w:val="clear" w:color="000000" w:fill="D9D9D9"/>
            <w:noWrap/>
            <w:vAlign w:val="bottom"/>
            <w:hideMark/>
          </w:tcPr>
          <w:p w:rsidR="009C14EC" w:rsidRPr="001C342A" w:rsidRDefault="009C14EC" w:rsidP="009C14EC">
            <w:pPr>
              <w:jc w:val="center"/>
              <w:rPr>
                <w:rFonts w:cs="Calibri"/>
                <w:b/>
                <w:bCs/>
                <w:sz w:val="18"/>
                <w:szCs w:val="18"/>
                <w:lang w:val="es-ES" w:eastAsia="es-ES"/>
              </w:rPr>
            </w:pPr>
            <w:r w:rsidRPr="001C342A">
              <w:rPr>
                <w:rFonts w:cs="Calibri"/>
                <w:b/>
                <w:bCs/>
                <w:sz w:val="18"/>
                <w:szCs w:val="18"/>
                <w:lang w:val="es-ES" w:eastAsia="es-ES"/>
              </w:rPr>
              <w:t>B</w:t>
            </w:r>
            <w:r>
              <w:rPr>
                <w:rFonts w:cs="Calibri"/>
                <w:b/>
                <w:bCs/>
                <w:sz w:val="18"/>
                <w:szCs w:val="18"/>
                <w:lang w:val="es-ES" w:eastAsia="es-ES"/>
              </w:rPr>
              <w:t>anco</w:t>
            </w:r>
          </w:p>
        </w:tc>
        <w:tc>
          <w:tcPr>
            <w:tcW w:w="731" w:type="pct"/>
            <w:tcBorders>
              <w:top w:val="single" w:sz="4" w:space="0" w:color="auto"/>
              <w:left w:val="nil"/>
              <w:bottom w:val="single" w:sz="4" w:space="0" w:color="auto"/>
              <w:right w:val="single" w:sz="4" w:space="0" w:color="auto"/>
            </w:tcBorders>
            <w:shd w:val="clear" w:color="000000" w:fill="D9D9D9"/>
            <w:noWrap/>
            <w:vAlign w:val="bottom"/>
            <w:hideMark/>
          </w:tcPr>
          <w:p w:rsidR="009C14EC" w:rsidRPr="001C342A" w:rsidRDefault="009C14EC" w:rsidP="00A25A01">
            <w:pPr>
              <w:jc w:val="center"/>
              <w:rPr>
                <w:rFonts w:cs="Calibri"/>
                <w:b/>
                <w:bCs/>
                <w:sz w:val="18"/>
                <w:szCs w:val="18"/>
                <w:lang w:val="es-ES" w:eastAsia="es-ES"/>
              </w:rPr>
            </w:pPr>
            <w:r w:rsidRPr="001C342A">
              <w:rPr>
                <w:rFonts w:cs="Calibri"/>
                <w:b/>
                <w:bCs/>
                <w:sz w:val="18"/>
                <w:szCs w:val="18"/>
                <w:lang w:val="es-ES" w:eastAsia="es-ES"/>
              </w:rPr>
              <w:t>Local</w:t>
            </w:r>
            <w:r w:rsidR="005211C4">
              <w:rPr>
                <w:rFonts w:cs="Calibri"/>
                <w:b/>
                <w:bCs/>
                <w:sz w:val="18"/>
                <w:szCs w:val="18"/>
                <w:lang w:val="es-ES" w:eastAsia="es-ES"/>
              </w:rPr>
              <w:t>*</w:t>
            </w:r>
          </w:p>
        </w:tc>
        <w:tc>
          <w:tcPr>
            <w:tcW w:w="730" w:type="pct"/>
            <w:tcBorders>
              <w:top w:val="single" w:sz="4" w:space="0" w:color="auto"/>
              <w:left w:val="nil"/>
              <w:bottom w:val="single" w:sz="4" w:space="0" w:color="auto"/>
              <w:right w:val="single" w:sz="4" w:space="0" w:color="auto"/>
            </w:tcBorders>
            <w:shd w:val="clear" w:color="000000" w:fill="D9D9D9"/>
            <w:noWrap/>
            <w:vAlign w:val="bottom"/>
            <w:hideMark/>
          </w:tcPr>
          <w:p w:rsidR="009C14EC" w:rsidRPr="001C342A" w:rsidRDefault="009C14EC" w:rsidP="00A25A01">
            <w:pPr>
              <w:jc w:val="center"/>
              <w:rPr>
                <w:rFonts w:cs="Calibri"/>
                <w:b/>
                <w:bCs/>
                <w:sz w:val="18"/>
                <w:szCs w:val="18"/>
                <w:lang w:val="es-ES" w:eastAsia="es-ES"/>
              </w:rPr>
            </w:pPr>
            <w:r w:rsidRPr="001C342A">
              <w:rPr>
                <w:rFonts w:cs="Calibri"/>
                <w:b/>
                <w:bCs/>
                <w:sz w:val="18"/>
                <w:szCs w:val="18"/>
                <w:lang w:val="es-ES" w:eastAsia="es-ES"/>
              </w:rPr>
              <w:t>TOTAL</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Componente I. Planificación Estratégica</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79,150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23,000</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102,150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Componente 2. Monitoreo y Evaluación</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162,750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18,000</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180,750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Componente 3. Gestión de Programas</w:t>
            </w:r>
            <w:r w:rsidR="007D1990">
              <w:rPr>
                <w:rFonts w:cs="Calibri"/>
                <w:color w:val="000000"/>
                <w:sz w:val="18"/>
                <w:szCs w:val="18"/>
                <w:lang w:val="es-ES" w:eastAsia="es-ES"/>
              </w:rPr>
              <w:t xml:space="preserve"> y Proyectos</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158,050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43,000</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201,050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Componente 4. Capacitación</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80,000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80,000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Administración del proyecto</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15,000</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20,000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Auditoria</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Evaluación Final</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r>
      <w:tr w:rsidR="009C14EC" w:rsidRPr="001C342A" w:rsidTr="00A25A01">
        <w:trPr>
          <w:trHeight w:val="227"/>
        </w:trPr>
        <w:tc>
          <w:tcPr>
            <w:tcW w:w="2727" w:type="pct"/>
            <w:tcBorders>
              <w:top w:val="nil"/>
              <w:left w:val="single" w:sz="4" w:space="0" w:color="auto"/>
              <w:bottom w:val="single" w:sz="4" w:space="0" w:color="auto"/>
              <w:right w:val="single" w:sz="4" w:space="0" w:color="auto"/>
            </w:tcBorders>
            <w:shd w:val="clear" w:color="auto" w:fill="auto"/>
            <w:noWrap/>
            <w:vAlign w:val="bottom"/>
            <w:hideMark/>
          </w:tcPr>
          <w:p w:rsidR="009C14EC" w:rsidRPr="001C342A" w:rsidRDefault="009C14EC" w:rsidP="00A25A01">
            <w:pPr>
              <w:rPr>
                <w:rFonts w:cs="Calibri"/>
                <w:color w:val="000000"/>
                <w:sz w:val="18"/>
                <w:szCs w:val="18"/>
                <w:lang w:val="es-ES" w:eastAsia="es-ES"/>
              </w:rPr>
            </w:pPr>
            <w:r w:rsidRPr="001C342A">
              <w:rPr>
                <w:rFonts w:cs="Calibri"/>
                <w:color w:val="000000"/>
                <w:sz w:val="18"/>
                <w:szCs w:val="18"/>
                <w:lang w:val="es-ES" w:eastAsia="es-ES"/>
              </w:rPr>
              <w:t>Imprevistos</w:t>
            </w:r>
          </w:p>
        </w:tc>
        <w:tc>
          <w:tcPr>
            <w:tcW w:w="813"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c>
          <w:tcPr>
            <w:tcW w:w="731"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w:t>
            </w:r>
          </w:p>
        </w:tc>
        <w:tc>
          <w:tcPr>
            <w:tcW w:w="730" w:type="pct"/>
            <w:tcBorders>
              <w:top w:val="nil"/>
              <w:left w:val="nil"/>
              <w:bottom w:val="single" w:sz="4" w:space="0" w:color="auto"/>
              <w:right w:val="single" w:sz="4" w:space="0" w:color="auto"/>
            </w:tcBorders>
            <w:shd w:val="clear" w:color="auto" w:fill="auto"/>
            <w:noWrap/>
            <w:vAlign w:val="bottom"/>
            <w:hideMark/>
          </w:tcPr>
          <w:p w:rsidR="009C14EC" w:rsidRPr="001C342A" w:rsidRDefault="009C14EC" w:rsidP="009C14EC">
            <w:pPr>
              <w:jc w:val="right"/>
              <w:rPr>
                <w:rFonts w:cs="Calibri"/>
                <w:color w:val="000000"/>
                <w:sz w:val="18"/>
                <w:szCs w:val="18"/>
                <w:lang w:val="es-ES" w:eastAsia="es-ES"/>
              </w:rPr>
            </w:pPr>
            <w:r w:rsidRPr="001C342A">
              <w:rPr>
                <w:rFonts w:cs="Calibri"/>
                <w:color w:val="000000"/>
                <w:sz w:val="18"/>
                <w:szCs w:val="18"/>
                <w:lang w:val="es-ES" w:eastAsia="es-ES"/>
              </w:rPr>
              <w:t>5,000</w:t>
            </w:r>
          </w:p>
        </w:tc>
      </w:tr>
      <w:tr w:rsidR="009C14EC" w:rsidRPr="001C342A" w:rsidTr="00A25A01">
        <w:trPr>
          <w:trHeight w:val="227"/>
        </w:trPr>
        <w:tc>
          <w:tcPr>
            <w:tcW w:w="2727" w:type="pct"/>
            <w:tcBorders>
              <w:top w:val="nil"/>
              <w:left w:val="single" w:sz="4" w:space="0" w:color="auto"/>
              <w:bottom w:val="nil"/>
              <w:right w:val="nil"/>
            </w:tcBorders>
            <w:shd w:val="clear" w:color="000000" w:fill="D9D9D9"/>
            <w:noWrap/>
            <w:vAlign w:val="bottom"/>
            <w:hideMark/>
          </w:tcPr>
          <w:p w:rsidR="009C14EC" w:rsidRPr="001C342A" w:rsidRDefault="009C14EC" w:rsidP="00A25A01">
            <w:pPr>
              <w:rPr>
                <w:rFonts w:cs="Calibri"/>
                <w:b/>
                <w:bCs/>
                <w:color w:val="000000"/>
                <w:sz w:val="18"/>
                <w:szCs w:val="18"/>
                <w:lang w:val="es-ES" w:eastAsia="es-ES"/>
              </w:rPr>
            </w:pPr>
            <w:r w:rsidRPr="001C342A">
              <w:rPr>
                <w:rFonts w:cs="Calibri"/>
                <w:b/>
                <w:bCs/>
                <w:color w:val="000000"/>
                <w:sz w:val="18"/>
                <w:szCs w:val="18"/>
                <w:lang w:val="es-ES" w:eastAsia="es-ES"/>
              </w:rPr>
              <w:t>Total</w:t>
            </w:r>
          </w:p>
        </w:tc>
        <w:tc>
          <w:tcPr>
            <w:tcW w:w="813" w:type="pct"/>
            <w:tcBorders>
              <w:top w:val="nil"/>
              <w:left w:val="single" w:sz="4" w:space="0" w:color="auto"/>
              <w:bottom w:val="nil"/>
              <w:right w:val="single" w:sz="4" w:space="0" w:color="auto"/>
            </w:tcBorders>
            <w:shd w:val="clear" w:color="000000" w:fill="D9D9D9"/>
            <w:noWrap/>
            <w:vAlign w:val="bottom"/>
            <w:hideMark/>
          </w:tcPr>
          <w:p w:rsidR="009C14EC" w:rsidRPr="001C342A" w:rsidRDefault="009C14EC" w:rsidP="009C14EC">
            <w:pPr>
              <w:jc w:val="right"/>
              <w:rPr>
                <w:rFonts w:cs="Calibri"/>
                <w:b/>
                <w:bCs/>
                <w:color w:val="000000"/>
                <w:sz w:val="18"/>
                <w:szCs w:val="18"/>
                <w:lang w:val="es-ES" w:eastAsia="es-ES"/>
              </w:rPr>
            </w:pPr>
            <w:r w:rsidRPr="001C342A">
              <w:rPr>
                <w:rFonts w:cs="Calibri"/>
                <w:b/>
                <w:bCs/>
                <w:color w:val="000000"/>
                <w:sz w:val="18"/>
                <w:szCs w:val="18"/>
                <w:lang w:val="es-ES" w:eastAsia="es-ES"/>
              </w:rPr>
              <w:t>499,950</w:t>
            </w:r>
          </w:p>
        </w:tc>
        <w:tc>
          <w:tcPr>
            <w:tcW w:w="731" w:type="pct"/>
            <w:tcBorders>
              <w:top w:val="nil"/>
              <w:left w:val="nil"/>
              <w:bottom w:val="nil"/>
              <w:right w:val="single" w:sz="4" w:space="0" w:color="auto"/>
            </w:tcBorders>
            <w:shd w:val="clear" w:color="000000" w:fill="D9D9D9"/>
            <w:noWrap/>
            <w:vAlign w:val="bottom"/>
            <w:hideMark/>
          </w:tcPr>
          <w:p w:rsidR="009C14EC" w:rsidRPr="001C342A" w:rsidRDefault="009C14EC" w:rsidP="009C14EC">
            <w:pPr>
              <w:jc w:val="right"/>
              <w:rPr>
                <w:rFonts w:cs="Calibri"/>
                <w:b/>
                <w:bCs/>
                <w:color w:val="000000"/>
                <w:sz w:val="18"/>
                <w:szCs w:val="18"/>
                <w:lang w:val="es-ES" w:eastAsia="es-ES"/>
              </w:rPr>
            </w:pPr>
            <w:r w:rsidRPr="001C342A">
              <w:rPr>
                <w:rFonts w:cs="Calibri"/>
                <w:b/>
                <w:bCs/>
                <w:color w:val="000000"/>
                <w:sz w:val="18"/>
                <w:szCs w:val="18"/>
                <w:lang w:val="es-ES" w:eastAsia="es-ES"/>
              </w:rPr>
              <w:t>99,000</w:t>
            </w:r>
          </w:p>
        </w:tc>
        <w:tc>
          <w:tcPr>
            <w:tcW w:w="730" w:type="pct"/>
            <w:tcBorders>
              <w:top w:val="nil"/>
              <w:left w:val="nil"/>
              <w:bottom w:val="nil"/>
              <w:right w:val="single" w:sz="4" w:space="0" w:color="auto"/>
            </w:tcBorders>
            <w:shd w:val="clear" w:color="000000" w:fill="D9D9D9"/>
            <w:noWrap/>
            <w:vAlign w:val="bottom"/>
            <w:hideMark/>
          </w:tcPr>
          <w:p w:rsidR="009C14EC" w:rsidRPr="001C342A" w:rsidRDefault="009C14EC" w:rsidP="009C14EC">
            <w:pPr>
              <w:jc w:val="right"/>
              <w:rPr>
                <w:rFonts w:cs="Calibri"/>
                <w:b/>
                <w:bCs/>
                <w:color w:val="000000"/>
                <w:sz w:val="18"/>
                <w:szCs w:val="18"/>
                <w:lang w:val="es-ES" w:eastAsia="es-ES"/>
              </w:rPr>
            </w:pPr>
            <w:r w:rsidRPr="001C342A">
              <w:rPr>
                <w:rFonts w:cs="Calibri"/>
                <w:b/>
                <w:bCs/>
                <w:color w:val="000000"/>
                <w:sz w:val="18"/>
                <w:szCs w:val="18"/>
                <w:lang w:val="es-ES" w:eastAsia="es-ES"/>
              </w:rPr>
              <w:t>598,950</w:t>
            </w:r>
          </w:p>
        </w:tc>
      </w:tr>
      <w:tr w:rsidR="009C14EC" w:rsidRPr="001C342A" w:rsidTr="00A25A01">
        <w:trPr>
          <w:trHeight w:val="227"/>
        </w:trPr>
        <w:tc>
          <w:tcPr>
            <w:tcW w:w="2727" w:type="pct"/>
            <w:tcBorders>
              <w:top w:val="nil"/>
              <w:left w:val="single" w:sz="4" w:space="0" w:color="auto"/>
              <w:bottom w:val="single" w:sz="4" w:space="0" w:color="auto"/>
              <w:right w:val="nil"/>
            </w:tcBorders>
            <w:shd w:val="clear" w:color="000000" w:fill="D9D9D9"/>
            <w:noWrap/>
            <w:vAlign w:val="bottom"/>
          </w:tcPr>
          <w:p w:rsidR="009C14EC" w:rsidRPr="001C342A" w:rsidRDefault="009C14EC" w:rsidP="00A25A01">
            <w:pPr>
              <w:rPr>
                <w:rFonts w:cs="Calibri"/>
                <w:b/>
                <w:bCs/>
                <w:color w:val="000000"/>
                <w:sz w:val="18"/>
                <w:szCs w:val="18"/>
                <w:lang w:val="es-ES" w:eastAsia="es-ES"/>
              </w:rPr>
            </w:pPr>
          </w:p>
        </w:tc>
        <w:tc>
          <w:tcPr>
            <w:tcW w:w="813" w:type="pct"/>
            <w:tcBorders>
              <w:top w:val="nil"/>
              <w:left w:val="single" w:sz="4" w:space="0" w:color="auto"/>
              <w:bottom w:val="single" w:sz="4" w:space="0" w:color="auto"/>
              <w:right w:val="single" w:sz="4" w:space="0" w:color="auto"/>
            </w:tcBorders>
            <w:shd w:val="clear" w:color="000000" w:fill="D9D9D9"/>
            <w:noWrap/>
            <w:vAlign w:val="bottom"/>
          </w:tcPr>
          <w:p w:rsidR="009C14EC" w:rsidRPr="001C342A" w:rsidRDefault="009C14EC" w:rsidP="00A25A01">
            <w:pPr>
              <w:jc w:val="center"/>
              <w:rPr>
                <w:rFonts w:cs="Calibri"/>
                <w:b/>
                <w:bCs/>
                <w:color w:val="000000"/>
                <w:sz w:val="18"/>
                <w:szCs w:val="18"/>
                <w:lang w:val="es-ES" w:eastAsia="es-ES"/>
              </w:rPr>
            </w:pPr>
          </w:p>
        </w:tc>
        <w:tc>
          <w:tcPr>
            <w:tcW w:w="731" w:type="pct"/>
            <w:tcBorders>
              <w:top w:val="nil"/>
              <w:left w:val="nil"/>
              <w:bottom w:val="single" w:sz="4" w:space="0" w:color="auto"/>
              <w:right w:val="single" w:sz="4" w:space="0" w:color="auto"/>
            </w:tcBorders>
            <w:shd w:val="clear" w:color="000000" w:fill="D9D9D9"/>
            <w:noWrap/>
            <w:vAlign w:val="bottom"/>
          </w:tcPr>
          <w:p w:rsidR="009C14EC" w:rsidRPr="001C342A" w:rsidRDefault="009C14EC" w:rsidP="00A25A01">
            <w:pPr>
              <w:jc w:val="center"/>
              <w:rPr>
                <w:rFonts w:cs="Calibri"/>
                <w:b/>
                <w:bCs/>
                <w:color w:val="000000"/>
                <w:sz w:val="18"/>
                <w:szCs w:val="18"/>
                <w:lang w:val="es-ES" w:eastAsia="es-ES"/>
              </w:rPr>
            </w:pPr>
          </w:p>
        </w:tc>
        <w:tc>
          <w:tcPr>
            <w:tcW w:w="730" w:type="pct"/>
            <w:tcBorders>
              <w:top w:val="nil"/>
              <w:left w:val="nil"/>
              <w:bottom w:val="single" w:sz="4" w:space="0" w:color="auto"/>
              <w:right w:val="single" w:sz="4" w:space="0" w:color="auto"/>
            </w:tcBorders>
            <w:shd w:val="clear" w:color="000000" w:fill="D9D9D9"/>
            <w:noWrap/>
            <w:vAlign w:val="bottom"/>
          </w:tcPr>
          <w:p w:rsidR="009C14EC" w:rsidRPr="001C342A" w:rsidRDefault="009C14EC" w:rsidP="00A25A01">
            <w:pPr>
              <w:jc w:val="center"/>
              <w:rPr>
                <w:rFonts w:cs="Calibri"/>
                <w:b/>
                <w:bCs/>
                <w:color w:val="000000"/>
                <w:sz w:val="18"/>
                <w:szCs w:val="18"/>
                <w:lang w:val="es-ES" w:eastAsia="es-ES"/>
              </w:rPr>
            </w:pPr>
          </w:p>
        </w:tc>
      </w:tr>
    </w:tbl>
    <w:p w:rsidR="00132CA9" w:rsidRDefault="00132CA9" w:rsidP="005211C4">
      <w:pPr>
        <w:ind w:left="720"/>
        <w:jc w:val="both"/>
        <w:rPr>
          <w:sz w:val="24"/>
          <w:lang w:val="es-ES_tradnl"/>
        </w:rPr>
      </w:pPr>
    </w:p>
    <w:p w:rsidR="00F179CE" w:rsidRPr="005211C4" w:rsidRDefault="005211C4" w:rsidP="005211C4">
      <w:pPr>
        <w:ind w:left="720"/>
        <w:jc w:val="both"/>
        <w:rPr>
          <w:b/>
          <w:lang w:val="es-ES_tradnl"/>
        </w:rPr>
      </w:pPr>
      <w:r w:rsidRPr="00FA71E3">
        <w:rPr>
          <w:sz w:val="24"/>
          <w:lang w:val="es-ES_tradnl"/>
        </w:rPr>
        <w:t>*</w:t>
      </w:r>
      <w:r w:rsidRPr="00FA71E3">
        <w:rPr>
          <w:lang w:val="es-ES_tradnl"/>
        </w:rPr>
        <w:t>El Aporte consistirá en horas/hombre del personal del Gobierno de la Provincia de Tucumán para la coordinación y el apoyo administrativo necesario para la ejecución del Proyecto, así como los materiales y la infraestructura edilicia e informática para las actividades administrativas y de capacitación del Proyecto</w:t>
      </w:r>
      <w:r>
        <w:rPr>
          <w:b/>
          <w:lang w:val="es-ES_tradnl"/>
        </w:rPr>
        <w:t xml:space="preserve">. </w:t>
      </w:r>
    </w:p>
    <w:p w:rsidR="00F179CE" w:rsidRDefault="00F179CE" w:rsidP="00F179CE">
      <w:pPr>
        <w:keepNext/>
        <w:keepLines/>
        <w:tabs>
          <w:tab w:val="left" w:pos="-1440"/>
          <w:tab w:val="left" w:pos="-720"/>
          <w:tab w:val="left" w:pos="720"/>
          <w:tab w:val="left" w:pos="1320"/>
          <w:tab w:val="left" w:pos="2160"/>
          <w:tab w:val="left" w:pos="7200"/>
        </w:tabs>
        <w:jc w:val="center"/>
        <w:rPr>
          <w:b/>
          <w:sz w:val="24"/>
          <w:lang w:val="es-ES_tradnl"/>
        </w:rPr>
      </w:pPr>
    </w:p>
    <w:p w:rsidR="00F179CE" w:rsidRDefault="00F179CE" w:rsidP="005C1348">
      <w:pPr>
        <w:keepNext/>
        <w:keepLines/>
        <w:tabs>
          <w:tab w:val="left" w:pos="-1440"/>
          <w:tab w:val="left" w:pos="-720"/>
          <w:tab w:val="left" w:pos="720"/>
          <w:tab w:val="left" w:pos="1320"/>
          <w:tab w:val="left" w:pos="2160"/>
          <w:tab w:val="left" w:pos="7200"/>
        </w:tabs>
        <w:ind w:left="720" w:hanging="720"/>
        <w:jc w:val="both"/>
        <w:rPr>
          <w:b/>
          <w:sz w:val="24"/>
          <w:lang w:val="es-ES_tradnl"/>
        </w:rPr>
      </w:pPr>
      <w:r>
        <w:rPr>
          <w:b/>
          <w:sz w:val="24"/>
          <w:lang w:val="es-ES_tradnl"/>
        </w:rPr>
        <w:t>IV.</w:t>
      </w:r>
      <w:r>
        <w:rPr>
          <w:b/>
          <w:sz w:val="24"/>
          <w:lang w:val="es-ES_tradnl"/>
        </w:rPr>
        <w:tab/>
      </w:r>
      <w:r>
        <w:rPr>
          <w:b/>
          <w:sz w:val="24"/>
          <w:u w:val="single"/>
          <w:lang w:val="es-ES_tradnl"/>
        </w:rPr>
        <w:t>Ejecución</w:t>
      </w:r>
    </w:p>
    <w:p w:rsidR="00F179CE" w:rsidRDefault="00F179CE" w:rsidP="005C1348">
      <w:pPr>
        <w:pStyle w:val="PlainText"/>
        <w:keepNext/>
        <w:keepLines/>
        <w:ind w:left="720" w:hanging="720"/>
        <w:jc w:val="both"/>
        <w:rPr>
          <w:rFonts w:ascii="Times New Roman" w:hAnsi="Times New Roman"/>
          <w:b/>
          <w:sz w:val="24"/>
          <w:szCs w:val="24"/>
          <w:lang w:val="es-ES_tradnl"/>
        </w:rPr>
      </w:pPr>
    </w:p>
    <w:p w:rsidR="00F179CE" w:rsidRPr="00ED6D9B" w:rsidRDefault="00F179CE" w:rsidP="00632257">
      <w:pPr>
        <w:ind w:left="720" w:hanging="720"/>
        <w:jc w:val="both"/>
        <w:rPr>
          <w:sz w:val="24"/>
          <w:szCs w:val="24"/>
          <w:lang w:val="es-ES_tradnl"/>
        </w:rPr>
      </w:pPr>
      <w:r w:rsidRPr="00B158BE">
        <w:rPr>
          <w:b/>
          <w:sz w:val="24"/>
          <w:szCs w:val="24"/>
          <w:lang w:val="es-ES_tradnl"/>
        </w:rPr>
        <w:t>4.01</w:t>
      </w:r>
      <w:r w:rsidRPr="00B158BE">
        <w:rPr>
          <w:b/>
          <w:sz w:val="24"/>
          <w:szCs w:val="24"/>
          <w:lang w:val="es-ES_tradnl"/>
        </w:rPr>
        <w:tab/>
      </w:r>
      <w:r w:rsidR="00ED6D9B" w:rsidRPr="00ED6D9B">
        <w:rPr>
          <w:sz w:val="24"/>
          <w:szCs w:val="24"/>
          <w:lang w:val="es-ES"/>
        </w:rPr>
        <w:t>El Pro</w:t>
      </w:r>
      <w:r w:rsidR="00ED6D9B">
        <w:rPr>
          <w:sz w:val="24"/>
          <w:szCs w:val="24"/>
          <w:lang w:val="es-ES"/>
        </w:rPr>
        <w:t>yecto</w:t>
      </w:r>
      <w:r w:rsidR="00ED6D9B" w:rsidRPr="00ED6D9B">
        <w:rPr>
          <w:sz w:val="24"/>
          <w:szCs w:val="24"/>
          <w:lang w:val="es-ES"/>
        </w:rPr>
        <w:t xml:space="preserve"> será ejecutado por el Gobierno de la Provincia de Tucumán, a través de la Secretaría de</w:t>
      </w:r>
      <w:r w:rsidR="000671DE">
        <w:rPr>
          <w:sz w:val="24"/>
          <w:szCs w:val="24"/>
          <w:lang w:val="es-ES"/>
        </w:rPr>
        <w:t xml:space="preserve"> Estado de Gestión Pública y Planeamiento</w:t>
      </w:r>
      <w:r w:rsidR="00ED6D9B" w:rsidRPr="00ED6D9B">
        <w:rPr>
          <w:sz w:val="24"/>
          <w:szCs w:val="24"/>
          <w:lang w:val="es-AR"/>
        </w:rPr>
        <w:t xml:space="preserve">, que </w:t>
      </w:r>
      <w:r w:rsidR="00ED6D9B" w:rsidRPr="00ED6D9B">
        <w:rPr>
          <w:sz w:val="24"/>
          <w:szCs w:val="24"/>
          <w:lang w:val="es-ES"/>
        </w:rPr>
        <w:t>será responsable de: (i)</w:t>
      </w:r>
      <w:r w:rsidR="00B110E5">
        <w:rPr>
          <w:sz w:val="24"/>
          <w:szCs w:val="24"/>
          <w:lang w:val="es-ES"/>
        </w:rPr>
        <w:t> </w:t>
      </w:r>
      <w:r w:rsidR="00ED6D9B" w:rsidRPr="00ED6D9B">
        <w:rPr>
          <w:sz w:val="24"/>
          <w:szCs w:val="24"/>
          <w:lang w:val="es-ES"/>
        </w:rPr>
        <w:t>tramitar la suscripción de los contratos de adquisiciones y de consultoría</w:t>
      </w:r>
      <w:r w:rsidR="00B110E5">
        <w:rPr>
          <w:sz w:val="24"/>
          <w:szCs w:val="24"/>
          <w:lang w:val="es-ES"/>
        </w:rPr>
        <w:t>;</w:t>
      </w:r>
      <w:r w:rsidR="00ED6D9B" w:rsidRPr="00ED6D9B">
        <w:rPr>
          <w:sz w:val="24"/>
          <w:szCs w:val="24"/>
          <w:lang w:val="es-ES"/>
        </w:rPr>
        <w:t xml:space="preserve"> evaluar los productos entregados y autorizar los pagos correspondientes; (ii) tramitar las peticiones de desembolsos; (iii) mantener los registros contables, la documentación de soporte y </w:t>
      </w:r>
      <w:r w:rsidR="00ED6D9B" w:rsidRPr="00ED6D9B">
        <w:rPr>
          <w:sz w:val="24"/>
          <w:szCs w:val="24"/>
          <w:lang w:val="es-ES"/>
        </w:rPr>
        <w:lastRenderedPageBreak/>
        <w:t>elaborar los estados financieros; (iv) coordinar la ejecución de las actividades; y (v)</w:t>
      </w:r>
      <w:r w:rsidR="00B110E5">
        <w:rPr>
          <w:sz w:val="24"/>
          <w:szCs w:val="24"/>
          <w:lang w:val="es-ES"/>
        </w:rPr>
        <w:t> </w:t>
      </w:r>
      <w:r w:rsidR="00ED6D9B" w:rsidRPr="00ED6D9B">
        <w:rPr>
          <w:sz w:val="24"/>
          <w:szCs w:val="24"/>
          <w:lang w:val="es-ES"/>
        </w:rPr>
        <w:t xml:space="preserve">asegurar que </w:t>
      </w:r>
      <w:r w:rsidR="00AB42D1">
        <w:rPr>
          <w:sz w:val="24"/>
          <w:szCs w:val="24"/>
          <w:lang w:val="es-ES"/>
        </w:rPr>
        <w:t>el</w:t>
      </w:r>
      <w:r w:rsidR="00ED6D9B" w:rsidRPr="00ED6D9B">
        <w:rPr>
          <w:sz w:val="24"/>
          <w:szCs w:val="24"/>
          <w:lang w:val="es-ES"/>
        </w:rPr>
        <w:t xml:space="preserve"> </w:t>
      </w:r>
      <w:r w:rsidR="00AB42D1">
        <w:rPr>
          <w:sz w:val="24"/>
          <w:szCs w:val="24"/>
          <w:lang w:val="es-ES"/>
        </w:rPr>
        <w:t>Proyecto</w:t>
      </w:r>
      <w:r w:rsidR="00ED6D9B" w:rsidRPr="00ED6D9B">
        <w:rPr>
          <w:sz w:val="24"/>
          <w:szCs w:val="24"/>
          <w:lang w:val="es-ES"/>
        </w:rPr>
        <w:t xml:space="preserve"> se ejecute de acuerdo a las </w:t>
      </w:r>
      <w:r w:rsidR="00ED6D9B">
        <w:rPr>
          <w:sz w:val="24"/>
          <w:szCs w:val="24"/>
          <w:lang w:val="es-ES"/>
        </w:rPr>
        <w:t>P</w:t>
      </w:r>
      <w:r w:rsidR="00ED6D9B" w:rsidRPr="00ED6D9B">
        <w:rPr>
          <w:sz w:val="24"/>
          <w:szCs w:val="24"/>
          <w:lang w:val="es-ES"/>
        </w:rPr>
        <w:t xml:space="preserve">olíticas de </w:t>
      </w:r>
      <w:r w:rsidR="00ED6D9B">
        <w:rPr>
          <w:sz w:val="24"/>
          <w:szCs w:val="24"/>
          <w:lang w:val="es-ES"/>
        </w:rPr>
        <w:t>A</w:t>
      </w:r>
      <w:r w:rsidR="00ED6D9B" w:rsidRPr="00ED6D9B">
        <w:rPr>
          <w:sz w:val="24"/>
          <w:szCs w:val="24"/>
          <w:lang w:val="es-ES"/>
        </w:rPr>
        <w:t>dquisiciones del Banco.</w:t>
      </w:r>
    </w:p>
    <w:p w:rsidR="00182A06" w:rsidRPr="00F179CE" w:rsidRDefault="00182A06">
      <w:pPr>
        <w:rPr>
          <w:lang w:val="es-ES_tradnl"/>
        </w:rPr>
      </w:pPr>
    </w:p>
    <w:sectPr w:rsidR="00182A06" w:rsidRPr="00F179CE" w:rsidSect="005E7AE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5EA" w:rsidRDefault="009705EA" w:rsidP="00AA3818">
      <w:r>
        <w:separator/>
      </w:r>
    </w:p>
  </w:endnote>
  <w:endnote w:type="continuationSeparator" w:id="0">
    <w:p w:rsidR="009705EA" w:rsidRDefault="009705EA" w:rsidP="00AA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8" w:rsidRPr="00AA3818" w:rsidRDefault="00AA3818" w:rsidP="00AA3818">
    <w:pPr>
      <w:pStyle w:val="Footer"/>
      <w:jc w:val="center"/>
      <w:rPr>
        <w:sz w:val="24"/>
        <w:szCs w:val="24"/>
        <w:lang w:val="es-ES_tradnl"/>
      </w:rPr>
    </w:pPr>
    <w:r>
      <w:rPr>
        <w:sz w:val="24"/>
        <w:szCs w:val="24"/>
        <w:lang w:val="es-ES_tradnl"/>
      </w:rPr>
      <w:t>ATN/OC-13</w:t>
    </w:r>
    <w:r w:rsidR="00ED6D9B">
      <w:rPr>
        <w:sz w:val="24"/>
        <w:szCs w:val="24"/>
        <w:lang w:val="es-ES_tradnl"/>
      </w:rPr>
      <w:t>607</w:t>
    </w:r>
    <w:r>
      <w:rPr>
        <w:sz w:val="24"/>
        <w:szCs w:val="24"/>
        <w:lang w:val="es-ES_tradnl"/>
      </w:rPr>
      <w:t>-AR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5EA" w:rsidRDefault="009705EA" w:rsidP="00AA3818">
      <w:r>
        <w:separator/>
      </w:r>
    </w:p>
  </w:footnote>
  <w:footnote w:type="continuationSeparator" w:id="0">
    <w:p w:rsidR="009705EA" w:rsidRDefault="009705EA" w:rsidP="00AA3818">
      <w:r>
        <w:continuationSeparator/>
      </w:r>
    </w:p>
  </w:footnote>
  <w:footnote w:id="1">
    <w:p w:rsidR="00632257" w:rsidRPr="001F0775" w:rsidRDefault="00632257" w:rsidP="001F0775">
      <w:pPr>
        <w:pStyle w:val="FootnoteText"/>
        <w:ind w:left="450" w:hanging="450"/>
        <w:jc w:val="both"/>
        <w:rPr>
          <w:lang w:val="es-AR"/>
        </w:rPr>
      </w:pPr>
      <w:r w:rsidRPr="001F0775">
        <w:rPr>
          <w:rStyle w:val="FootnoteReference"/>
        </w:rPr>
        <w:footnoteRef/>
      </w:r>
      <w:r w:rsidRPr="001F0775">
        <w:t xml:space="preserve"> </w:t>
      </w:r>
      <w:r w:rsidR="001F0775">
        <w:tab/>
      </w:r>
      <w:r w:rsidRPr="001F0775">
        <w:rPr>
          <w:lang w:val="es-AR"/>
        </w:rPr>
        <w:t xml:space="preserve">Los sectores seleccionados son el Ministerio de Desarrollo Social y el Ministerio de Salud, ambos de la Provincia. La selección responde a la prioridad que las políticas sociales tienen en el plan de gobierno provincial, al peso de los sectores dentro de los objetivos estratégico de los LED y a la necesidad, expresada por los directivos de los Sectores, del fortalecimiento de la formulación de la planificación de corto plazo. </w:t>
      </w:r>
    </w:p>
    <w:p w:rsidR="00632257" w:rsidRPr="001F0775" w:rsidRDefault="00632257" w:rsidP="001F0775">
      <w:pPr>
        <w:pStyle w:val="FootnoteText"/>
        <w:ind w:left="450" w:hanging="450"/>
        <w:rPr>
          <w:lang w:val="es-AR"/>
        </w:rPr>
      </w:pPr>
    </w:p>
  </w:footnote>
  <w:footnote w:id="2">
    <w:p w:rsidR="00632257" w:rsidRPr="001F0775" w:rsidRDefault="00632257" w:rsidP="00632257">
      <w:pPr>
        <w:pStyle w:val="FootnoteText"/>
        <w:ind w:left="144" w:hanging="144"/>
        <w:jc w:val="both"/>
        <w:rPr>
          <w:lang w:val="es-AR"/>
        </w:rPr>
      </w:pPr>
      <w:r w:rsidRPr="001F0775">
        <w:rPr>
          <w:rStyle w:val="FootnoteReference"/>
        </w:rPr>
        <w:footnoteRef/>
      </w:r>
      <w:r w:rsidRPr="001F0775">
        <w:rPr>
          <w:lang w:val="es-ES_tradnl"/>
        </w:rPr>
        <w:t xml:space="preserve"> Los programas seleccionados son el Plan Alimentario Nutricional (Ministerio de Desarrollo Social de la Provincia), el Hospital del Este (Ministerio de Salud de la Provincia) y el </w:t>
      </w:r>
      <w:r w:rsidRPr="001F0775">
        <w:rPr>
          <w:lang w:val="es-AR"/>
        </w:rPr>
        <w:t xml:space="preserve">Programa Conglomerado Productivo Porcino (Ministerio de Desarrollo productivo de la Provincia). La selección responde tanto a la prioridad que las políticas sociales tienen en el plan de gobierno provincial, como al interés por tener experiencias que correspondan a sectores de política diversos. Por otra parte, y dado que el objetivo del componente es generar un proceso de aprendizaje aplicable luego al conjunto del gobierno provincial, se eligieron programas cuyos directivos tienen interés en dicho proceso de aprendizaje y tienen, además, un vínculo de trabajo con la Secretaría de </w:t>
      </w:r>
      <w:r w:rsidR="000671DE">
        <w:rPr>
          <w:lang w:val="es-AR"/>
        </w:rPr>
        <w:t>Estado de Gestión Pública y Planeamiento</w:t>
      </w:r>
      <w:r w:rsidRPr="001F0775">
        <w:rPr>
          <w:lang w:val="es-AR"/>
        </w:rPr>
        <w:t xml:space="preserve">, lo cual facilitará la implementación de las acciones del componente.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138"/>
    <w:multiLevelType w:val="multilevel"/>
    <w:tmpl w:val="6A129E7A"/>
    <w:lvl w:ilvl="0">
      <w:start w:val="1"/>
      <w:numFmt w:val="decimal"/>
      <w:lvlText w:val="%1"/>
      <w:lvlJc w:val="left"/>
      <w:pPr>
        <w:ind w:left="375" w:hanging="375"/>
      </w:pPr>
      <w:rPr>
        <w:rFonts w:hint="default"/>
      </w:rPr>
    </w:lvl>
    <w:lvl w:ilvl="1">
      <w:start w:val="3"/>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CB2C3C"/>
    <w:multiLevelType w:val="hybridMultilevel"/>
    <w:tmpl w:val="9B2C5082"/>
    <w:lvl w:ilvl="0" w:tplc="1F8E0332">
      <w:start w:val="1"/>
      <w:numFmt w:val="lowerRoman"/>
      <w:lvlText w:val="(%1)"/>
      <w:lvlJc w:val="left"/>
      <w:pPr>
        <w:ind w:left="1440" w:hanging="360"/>
      </w:pPr>
      <w:rPr>
        <w:rFonts w:ascii="Times New Roman" w:eastAsia="Times New Roman" w:hAnsi="Times New Roman" w:cs="Times New Roman"/>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0F42036C"/>
    <w:multiLevelType w:val="multilevel"/>
    <w:tmpl w:val="E30A9826"/>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803713"/>
    <w:multiLevelType w:val="multilevel"/>
    <w:tmpl w:val="3FB46620"/>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FCA42AC"/>
    <w:multiLevelType w:val="hybridMultilevel"/>
    <w:tmpl w:val="55702296"/>
    <w:lvl w:ilvl="0" w:tplc="231AEE1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45435D63"/>
    <w:multiLevelType w:val="multilevel"/>
    <w:tmpl w:val="F572E096"/>
    <w:lvl w:ilvl="0">
      <w:start w:val="1"/>
      <w:numFmt w:val="decimal"/>
      <w:lvlText w:val="%1"/>
      <w:lvlJc w:val="left"/>
      <w:pPr>
        <w:ind w:left="420" w:hanging="420"/>
      </w:pPr>
      <w:rPr>
        <w:rFonts w:cs="Times New Roman" w:hint="default"/>
        <w:b/>
        <w:sz w:val="24"/>
      </w:rPr>
    </w:lvl>
    <w:lvl w:ilvl="1">
      <w:start w:val="1"/>
      <w:numFmt w:val="decimalZero"/>
      <w:lvlText w:val="%1.%2"/>
      <w:lvlJc w:val="left"/>
      <w:pPr>
        <w:ind w:left="420" w:hanging="420"/>
      </w:pPr>
      <w:rPr>
        <w:rFonts w:cs="Times New Roman" w:hint="default"/>
        <w:b/>
        <w:sz w:val="24"/>
      </w:rPr>
    </w:lvl>
    <w:lvl w:ilvl="2">
      <w:start w:val="1"/>
      <w:numFmt w:val="decimal"/>
      <w:lvlText w:val="%1.%2.%3"/>
      <w:lvlJc w:val="left"/>
      <w:pPr>
        <w:ind w:left="720" w:hanging="720"/>
      </w:pPr>
      <w:rPr>
        <w:rFonts w:cs="Times New Roman" w:hint="default"/>
        <w:b/>
        <w:sz w:val="24"/>
      </w:rPr>
    </w:lvl>
    <w:lvl w:ilvl="3">
      <w:start w:val="1"/>
      <w:numFmt w:val="decimal"/>
      <w:lvlText w:val="%1.%2.%3.%4"/>
      <w:lvlJc w:val="left"/>
      <w:pPr>
        <w:ind w:left="720" w:hanging="720"/>
      </w:pPr>
      <w:rPr>
        <w:rFonts w:cs="Times New Roman" w:hint="default"/>
        <w:b/>
        <w:sz w:val="24"/>
      </w:rPr>
    </w:lvl>
    <w:lvl w:ilvl="4">
      <w:start w:val="1"/>
      <w:numFmt w:val="decimal"/>
      <w:lvlText w:val="%1.%2.%3.%4.%5"/>
      <w:lvlJc w:val="left"/>
      <w:pPr>
        <w:ind w:left="1080" w:hanging="1080"/>
      </w:pPr>
      <w:rPr>
        <w:rFonts w:cs="Times New Roman" w:hint="default"/>
        <w:b/>
        <w:sz w:val="24"/>
      </w:rPr>
    </w:lvl>
    <w:lvl w:ilvl="5">
      <w:start w:val="1"/>
      <w:numFmt w:val="decimal"/>
      <w:lvlText w:val="%1.%2.%3.%4.%5.%6"/>
      <w:lvlJc w:val="left"/>
      <w:pPr>
        <w:ind w:left="1080" w:hanging="1080"/>
      </w:pPr>
      <w:rPr>
        <w:rFonts w:cs="Times New Roman" w:hint="default"/>
        <w:b/>
        <w:sz w:val="24"/>
      </w:rPr>
    </w:lvl>
    <w:lvl w:ilvl="6">
      <w:start w:val="1"/>
      <w:numFmt w:val="decimal"/>
      <w:lvlText w:val="%1.%2.%3.%4.%5.%6.%7"/>
      <w:lvlJc w:val="left"/>
      <w:pPr>
        <w:ind w:left="1440" w:hanging="1440"/>
      </w:pPr>
      <w:rPr>
        <w:rFonts w:cs="Times New Roman" w:hint="default"/>
        <w:b/>
        <w:sz w:val="24"/>
      </w:rPr>
    </w:lvl>
    <w:lvl w:ilvl="7">
      <w:start w:val="1"/>
      <w:numFmt w:val="decimal"/>
      <w:lvlText w:val="%1.%2.%3.%4.%5.%6.%7.%8"/>
      <w:lvlJc w:val="left"/>
      <w:pPr>
        <w:ind w:left="1440" w:hanging="1440"/>
      </w:pPr>
      <w:rPr>
        <w:rFonts w:cs="Times New Roman" w:hint="default"/>
        <w:b/>
        <w:sz w:val="24"/>
      </w:rPr>
    </w:lvl>
    <w:lvl w:ilvl="8">
      <w:start w:val="1"/>
      <w:numFmt w:val="decimal"/>
      <w:lvlText w:val="%1.%2.%3.%4.%5.%6.%7.%8.%9"/>
      <w:lvlJc w:val="left"/>
      <w:pPr>
        <w:ind w:left="1440" w:hanging="1440"/>
      </w:pPr>
      <w:rPr>
        <w:rFonts w:cs="Times New Roman" w:hint="default"/>
        <w:b/>
        <w:sz w:val="24"/>
      </w:rPr>
    </w:lvl>
  </w:abstractNum>
  <w:abstractNum w:abstractNumId="6">
    <w:nsid w:val="47FE2974"/>
    <w:multiLevelType w:val="hybridMultilevel"/>
    <w:tmpl w:val="6E10B80C"/>
    <w:lvl w:ilvl="0" w:tplc="04090001">
      <w:start w:val="1"/>
      <w:numFmt w:val="bullet"/>
      <w:lvlText w:val=""/>
      <w:lvlJc w:val="left"/>
      <w:pPr>
        <w:ind w:left="720" w:hanging="360"/>
      </w:pPr>
      <w:rPr>
        <w:rFonts w:ascii="Symbol" w:hAnsi="Symbol" w:cs="Symbol" w:hint="default"/>
      </w:rPr>
    </w:lvl>
    <w:lvl w:ilvl="1" w:tplc="1D466E86">
      <w:start w:val="1"/>
      <w:numFmt w:val="lowerRoman"/>
      <w:lvlText w:val="(%2)"/>
      <w:lvlJc w:val="left"/>
      <w:pPr>
        <w:ind w:left="1440" w:hanging="360"/>
      </w:pPr>
      <w:rPr>
        <w:rFonts w:ascii="Times New Roman" w:eastAsia="Times New Roman" w:hAnsi="Times New Roman" w:cs="Times New Roman"/>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E1E2C56"/>
    <w:multiLevelType w:val="multilevel"/>
    <w:tmpl w:val="465EE928"/>
    <w:lvl w:ilvl="0">
      <w:start w:val="1"/>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A8077CF"/>
    <w:multiLevelType w:val="hybridMultilevel"/>
    <w:tmpl w:val="937212B8"/>
    <w:lvl w:ilvl="0" w:tplc="78A4C04E">
      <w:start w:val="1"/>
      <w:numFmt w:val="lowerRoman"/>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C374988"/>
    <w:multiLevelType w:val="multilevel"/>
    <w:tmpl w:val="588AFD92"/>
    <w:lvl w:ilvl="0">
      <w:start w:val="1"/>
      <w:numFmt w:val="decimal"/>
      <w:lvlText w:val="%1"/>
      <w:lvlJc w:val="left"/>
      <w:pPr>
        <w:ind w:left="375" w:hanging="375"/>
      </w:pPr>
      <w:rPr>
        <w:rFonts w:hint="default"/>
      </w:rPr>
    </w:lvl>
    <w:lvl w:ilvl="1">
      <w:start w:val="3"/>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CD203DF"/>
    <w:multiLevelType w:val="multilevel"/>
    <w:tmpl w:val="5AD87BA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72FB6B04"/>
    <w:multiLevelType w:val="multilevel"/>
    <w:tmpl w:val="AF68B566"/>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color w:val="auto"/>
        <w:sz w:val="20"/>
        <w:szCs w:val="2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7"/>
  </w:num>
  <w:num w:numId="9">
    <w:abstractNumId w:val="2"/>
  </w:num>
  <w:num w:numId="10">
    <w:abstractNumId w:val="0"/>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dHIAYzRGYpNIy6c6q01IyUmTmP0=" w:salt="7a/iX/aPfirCxK779Xg9W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9CE"/>
    <w:rsid w:val="00022A6F"/>
    <w:rsid w:val="000671DE"/>
    <w:rsid w:val="00132CA9"/>
    <w:rsid w:val="00146A03"/>
    <w:rsid w:val="00182A06"/>
    <w:rsid w:val="001A5B50"/>
    <w:rsid w:val="001F0775"/>
    <w:rsid w:val="00305B72"/>
    <w:rsid w:val="003364A2"/>
    <w:rsid w:val="0039686D"/>
    <w:rsid w:val="00492CE2"/>
    <w:rsid w:val="005211C4"/>
    <w:rsid w:val="005C1348"/>
    <w:rsid w:val="005E7AE4"/>
    <w:rsid w:val="00632257"/>
    <w:rsid w:val="00684A45"/>
    <w:rsid w:val="006E2663"/>
    <w:rsid w:val="007D1990"/>
    <w:rsid w:val="00955C90"/>
    <w:rsid w:val="009705EA"/>
    <w:rsid w:val="009C14EC"/>
    <w:rsid w:val="009E27B3"/>
    <w:rsid w:val="009F6607"/>
    <w:rsid w:val="00A25A01"/>
    <w:rsid w:val="00AA3818"/>
    <w:rsid w:val="00AB42D1"/>
    <w:rsid w:val="00AE4285"/>
    <w:rsid w:val="00B110E5"/>
    <w:rsid w:val="00B158BE"/>
    <w:rsid w:val="00BA3847"/>
    <w:rsid w:val="00CD2645"/>
    <w:rsid w:val="00CF489E"/>
    <w:rsid w:val="00EC7E29"/>
    <w:rsid w:val="00ED4D14"/>
    <w:rsid w:val="00ED6D9B"/>
    <w:rsid w:val="00F179CE"/>
    <w:rsid w:val="00F33996"/>
    <w:rsid w:val="00FA71E3"/>
    <w:rsid w:val="00FE1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CE"/>
    <w:rPr>
      <w:rFonts w:ascii="Times New Roman" w:eastAsia="Times New Roman" w:hAnsi="Times New Roman"/>
    </w:rPr>
  </w:style>
  <w:style w:type="paragraph" w:styleId="Heading1">
    <w:name w:val="heading 1"/>
    <w:basedOn w:val="Normal"/>
    <w:next w:val="Normal"/>
    <w:link w:val="Heading1Char"/>
    <w:qFormat/>
    <w:rsid w:val="00F179CE"/>
    <w:pPr>
      <w:keepNext/>
      <w:tabs>
        <w:tab w:val="left" w:pos="-1440"/>
        <w:tab w:val="left" w:pos="-720"/>
        <w:tab w:val="left" w:pos="720"/>
        <w:tab w:val="left" w:pos="1320"/>
        <w:tab w:val="left" w:pos="2160"/>
        <w:tab w:val="left" w:pos="7200"/>
      </w:tabs>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9CE"/>
    <w:rPr>
      <w:rFonts w:ascii="Times New Roman" w:eastAsia="Times New Roman" w:hAnsi="Times New Roman" w:cs="Times New Roman"/>
      <w:b/>
      <w:sz w:val="24"/>
      <w:szCs w:val="20"/>
      <w:u w:val="single"/>
    </w:rPr>
  </w:style>
  <w:style w:type="paragraph" w:styleId="Title">
    <w:name w:val="Title"/>
    <w:basedOn w:val="Normal"/>
    <w:link w:val="TitleChar"/>
    <w:qFormat/>
    <w:rsid w:val="00F179CE"/>
    <w:pPr>
      <w:tabs>
        <w:tab w:val="left" w:pos="-1440"/>
        <w:tab w:val="left" w:pos="-720"/>
        <w:tab w:val="left" w:pos="720"/>
        <w:tab w:val="left" w:pos="1320"/>
        <w:tab w:val="left" w:pos="2160"/>
        <w:tab w:val="left" w:pos="7200"/>
      </w:tabs>
      <w:jc w:val="center"/>
    </w:pPr>
    <w:rPr>
      <w:b/>
      <w:sz w:val="28"/>
    </w:rPr>
  </w:style>
  <w:style w:type="character" w:customStyle="1" w:styleId="TitleChar">
    <w:name w:val="Title Char"/>
    <w:basedOn w:val="DefaultParagraphFont"/>
    <w:link w:val="Title"/>
    <w:rsid w:val="00F179CE"/>
    <w:rPr>
      <w:rFonts w:ascii="Times New Roman" w:eastAsia="Times New Roman" w:hAnsi="Times New Roman" w:cs="Times New Roman"/>
      <w:b/>
      <w:sz w:val="28"/>
      <w:szCs w:val="20"/>
    </w:rPr>
  </w:style>
  <w:style w:type="paragraph" w:styleId="PlainText">
    <w:name w:val="Plain Text"/>
    <w:basedOn w:val="Normal"/>
    <w:link w:val="PlainTextChar"/>
    <w:uiPriority w:val="99"/>
    <w:semiHidden/>
    <w:unhideWhenUsed/>
    <w:rsid w:val="00F179CE"/>
    <w:rPr>
      <w:rFonts w:ascii="Consolas" w:eastAsia="Calibri" w:hAnsi="Consolas"/>
      <w:sz w:val="21"/>
      <w:szCs w:val="21"/>
    </w:rPr>
  </w:style>
  <w:style w:type="character" w:customStyle="1" w:styleId="PlainTextChar">
    <w:name w:val="Plain Text Char"/>
    <w:basedOn w:val="DefaultParagraphFont"/>
    <w:link w:val="PlainText"/>
    <w:uiPriority w:val="99"/>
    <w:semiHidden/>
    <w:rsid w:val="00F179CE"/>
    <w:rPr>
      <w:rFonts w:ascii="Consolas" w:eastAsia="Calibri" w:hAnsi="Consolas" w:cs="Times New Roman"/>
      <w:sz w:val="21"/>
      <w:szCs w:val="21"/>
    </w:rPr>
  </w:style>
  <w:style w:type="paragraph" w:customStyle="1" w:styleId="Prrafodelista1">
    <w:name w:val="Párrafo de lista1"/>
    <w:basedOn w:val="Normal"/>
    <w:uiPriority w:val="34"/>
    <w:qFormat/>
    <w:rsid w:val="00F179CE"/>
    <w:pPr>
      <w:spacing w:after="200" w:line="276" w:lineRule="auto"/>
      <w:ind w:left="720"/>
      <w:contextualSpacing/>
    </w:pPr>
    <w:rPr>
      <w:rFonts w:ascii="Calibri" w:eastAsia="Calibri" w:hAnsi="Calibri"/>
      <w:sz w:val="22"/>
      <w:szCs w:val="22"/>
    </w:rPr>
  </w:style>
  <w:style w:type="paragraph" w:customStyle="1" w:styleId="Prrafodelista10">
    <w:name w:val="Párrafo de lista1"/>
    <w:basedOn w:val="Normal"/>
    <w:uiPriority w:val="99"/>
    <w:rsid w:val="00F179CE"/>
    <w:pPr>
      <w:spacing w:after="200" w:line="276" w:lineRule="auto"/>
      <w:ind w:left="720"/>
    </w:pPr>
    <w:rPr>
      <w:rFonts w:ascii="Calibri" w:eastAsia="SimSun" w:hAnsi="Calibri" w:cs="Calibri"/>
      <w:sz w:val="22"/>
      <w:szCs w:val="22"/>
    </w:rPr>
  </w:style>
  <w:style w:type="paragraph" w:customStyle="1" w:styleId="Chapter">
    <w:name w:val="Chapter"/>
    <w:basedOn w:val="Normal"/>
    <w:next w:val="Normal"/>
    <w:uiPriority w:val="99"/>
    <w:rsid w:val="00F179CE"/>
    <w:pPr>
      <w:keepNext/>
      <w:numPr>
        <w:numId w:val="5"/>
      </w:numPr>
      <w:tabs>
        <w:tab w:val="num" w:pos="648"/>
        <w:tab w:val="left" w:pos="1440"/>
      </w:tabs>
      <w:spacing w:before="240" w:after="240"/>
      <w:ind w:left="0"/>
      <w:jc w:val="center"/>
    </w:pPr>
    <w:rPr>
      <w:b/>
      <w:smallCaps/>
      <w:sz w:val="24"/>
      <w:lang w:val="es-ES_tradnl"/>
    </w:rPr>
  </w:style>
  <w:style w:type="character" w:customStyle="1" w:styleId="ParagraphChar">
    <w:name w:val="Paragraph Char"/>
    <w:basedOn w:val="DefaultParagraphFont"/>
    <w:link w:val="Paragraph"/>
    <w:uiPriority w:val="99"/>
    <w:locked/>
    <w:rsid w:val="00F179CE"/>
    <w:rPr>
      <w:sz w:val="24"/>
      <w:lang w:val="es-ES_tradnl"/>
    </w:rPr>
  </w:style>
  <w:style w:type="paragraph" w:customStyle="1" w:styleId="Paragraph">
    <w:name w:val="Paragraph"/>
    <w:basedOn w:val="BodyTextIndent"/>
    <w:link w:val="ParagraphChar"/>
    <w:uiPriority w:val="99"/>
    <w:rsid w:val="00F179CE"/>
    <w:pPr>
      <w:numPr>
        <w:ilvl w:val="1"/>
        <w:numId w:val="5"/>
      </w:numPr>
      <w:tabs>
        <w:tab w:val="num" w:pos="720"/>
      </w:tabs>
      <w:spacing w:before="120"/>
      <w:ind w:left="720" w:hanging="720"/>
      <w:jc w:val="both"/>
      <w:outlineLvl w:val="1"/>
    </w:pPr>
    <w:rPr>
      <w:rFonts w:ascii="Calibri" w:eastAsia="Calibri" w:hAnsi="Calibri"/>
      <w:sz w:val="24"/>
      <w:szCs w:val="22"/>
      <w:lang w:val="es-ES_tradnl"/>
    </w:rPr>
  </w:style>
  <w:style w:type="paragraph" w:customStyle="1" w:styleId="subpar">
    <w:name w:val="subpar"/>
    <w:basedOn w:val="BodyTextIndent3"/>
    <w:uiPriority w:val="99"/>
    <w:rsid w:val="00F179CE"/>
    <w:pPr>
      <w:numPr>
        <w:ilvl w:val="2"/>
        <w:numId w:val="5"/>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uiPriority w:val="99"/>
    <w:rsid w:val="00F179CE"/>
    <w:pPr>
      <w:numPr>
        <w:ilvl w:val="3"/>
      </w:numPr>
      <w:tabs>
        <w:tab w:val="left" w:pos="0"/>
        <w:tab w:val="num" w:pos="360"/>
        <w:tab w:val="num" w:pos="1152"/>
        <w:tab w:val="num" w:pos="1296"/>
      </w:tabs>
      <w:ind w:left="1296" w:hanging="360"/>
    </w:pPr>
  </w:style>
  <w:style w:type="paragraph" w:styleId="BodyTextIndent">
    <w:name w:val="Body Text Indent"/>
    <w:basedOn w:val="Normal"/>
    <w:link w:val="BodyTextIndentChar"/>
    <w:uiPriority w:val="99"/>
    <w:semiHidden/>
    <w:unhideWhenUsed/>
    <w:rsid w:val="00F179CE"/>
    <w:pPr>
      <w:spacing w:after="120"/>
      <w:ind w:left="360"/>
    </w:pPr>
  </w:style>
  <w:style w:type="character" w:customStyle="1" w:styleId="BodyTextIndentChar">
    <w:name w:val="Body Text Indent Char"/>
    <w:basedOn w:val="DefaultParagraphFont"/>
    <w:link w:val="BodyTextIndent"/>
    <w:uiPriority w:val="99"/>
    <w:semiHidden/>
    <w:rsid w:val="00F179C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F179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9CE"/>
    <w:rPr>
      <w:rFonts w:ascii="Times New Roman" w:eastAsia="Times New Roman" w:hAnsi="Times New Roman" w:cs="Times New Roman"/>
      <w:sz w:val="16"/>
      <w:szCs w:val="16"/>
    </w:rPr>
  </w:style>
  <w:style w:type="table" w:styleId="TableGrid">
    <w:name w:val="Table Grid"/>
    <w:basedOn w:val="TableNormal"/>
    <w:uiPriority w:val="59"/>
    <w:rsid w:val="00B15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A3818"/>
    <w:pPr>
      <w:tabs>
        <w:tab w:val="center" w:pos="4680"/>
        <w:tab w:val="right" w:pos="9360"/>
      </w:tabs>
    </w:pPr>
  </w:style>
  <w:style w:type="character" w:customStyle="1" w:styleId="HeaderChar">
    <w:name w:val="Header Char"/>
    <w:basedOn w:val="DefaultParagraphFont"/>
    <w:link w:val="Header"/>
    <w:uiPriority w:val="99"/>
    <w:rsid w:val="00AA381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A3818"/>
    <w:pPr>
      <w:tabs>
        <w:tab w:val="center" w:pos="4680"/>
        <w:tab w:val="right" w:pos="9360"/>
      </w:tabs>
    </w:pPr>
  </w:style>
  <w:style w:type="character" w:customStyle="1" w:styleId="FooterChar">
    <w:name w:val="Footer Char"/>
    <w:basedOn w:val="DefaultParagraphFont"/>
    <w:link w:val="Footer"/>
    <w:uiPriority w:val="99"/>
    <w:rsid w:val="00AA38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2CE2"/>
    <w:rPr>
      <w:rFonts w:ascii="Tahoma" w:hAnsi="Tahoma" w:cs="Tahoma"/>
      <w:sz w:val="16"/>
      <w:szCs w:val="16"/>
    </w:rPr>
  </w:style>
  <w:style w:type="character" w:customStyle="1" w:styleId="BalloonTextChar">
    <w:name w:val="Balloon Text Char"/>
    <w:basedOn w:val="DefaultParagraphFont"/>
    <w:link w:val="BalloonText"/>
    <w:uiPriority w:val="99"/>
    <w:semiHidden/>
    <w:rsid w:val="00492CE2"/>
    <w:rPr>
      <w:rFonts w:ascii="Tahoma" w:eastAsia="Times New Roman" w:hAnsi="Tahoma" w:cs="Tahoma"/>
      <w:sz w:val="16"/>
      <w:szCs w:val="16"/>
    </w:rPr>
  </w:style>
  <w:style w:type="paragraph" w:styleId="ListParagraph">
    <w:name w:val="List Paragraph"/>
    <w:basedOn w:val="Normal"/>
    <w:link w:val="ListParagraphChar"/>
    <w:uiPriority w:val="34"/>
    <w:qFormat/>
    <w:rsid w:val="00632257"/>
    <w:pPr>
      <w:spacing w:after="200" w:line="276" w:lineRule="auto"/>
      <w:ind w:left="720"/>
      <w:contextualSpacing/>
    </w:pPr>
    <w:rPr>
      <w:rFonts w:ascii="Calibri" w:hAnsi="Calibri"/>
      <w:lang w:val="x-none" w:eastAsia="x-none"/>
    </w:rPr>
  </w:style>
  <w:style w:type="paragraph" w:styleId="FootnoteText">
    <w:name w:val="footnote text"/>
    <w:basedOn w:val="Normal"/>
    <w:link w:val="FootnoteTextChar"/>
    <w:rsid w:val="00632257"/>
    <w:rPr>
      <w:lang w:val="es-ES" w:eastAsia="es-ES"/>
    </w:rPr>
  </w:style>
  <w:style w:type="character" w:customStyle="1" w:styleId="FootnoteTextChar">
    <w:name w:val="Footnote Text Char"/>
    <w:basedOn w:val="DefaultParagraphFont"/>
    <w:link w:val="FootnoteText"/>
    <w:rsid w:val="00632257"/>
    <w:rPr>
      <w:rFonts w:ascii="Times New Roman" w:eastAsia="Times New Roman" w:hAnsi="Times New Roman" w:cs="Times New Roman"/>
      <w:sz w:val="20"/>
      <w:szCs w:val="20"/>
      <w:lang w:val="es-ES" w:eastAsia="es-ES"/>
    </w:rPr>
  </w:style>
  <w:style w:type="character" w:styleId="FootnoteReference">
    <w:name w:val="footnote reference"/>
    <w:rsid w:val="00632257"/>
    <w:rPr>
      <w:vertAlign w:val="superscript"/>
    </w:rPr>
  </w:style>
  <w:style w:type="character" w:customStyle="1" w:styleId="ListParagraphChar">
    <w:name w:val="List Paragraph Char"/>
    <w:link w:val="ListParagraph"/>
    <w:uiPriority w:val="34"/>
    <w:rsid w:val="00632257"/>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CE"/>
    <w:rPr>
      <w:rFonts w:ascii="Times New Roman" w:eastAsia="Times New Roman" w:hAnsi="Times New Roman"/>
    </w:rPr>
  </w:style>
  <w:style w:type="paragraph" w:styleId="Heading1">
    <w:name w:val="heading 1"/>
    <w:basedOn w:val="Normal"/>
    <w:next w:val="Normal"/>
    <w:link w:val="Heading1Char"/>
    <w:qFormat/>
    <w:rsid w:val="00F179CE"/>
    <w:pPr>
      <w:keepNext/>
      <w:tabs>
        <w:tab w:val="left" w:pos="-1440"/>
        <w:tab w:val="left" w:pos="-720"/>
        <w:tab w:val="left" w:pos="720"/>
        <w:tab w:val="left" w:pos="1320"/>
        <w:tab w:val="left" w:pos="2160"/>
        <w:tab w:val="left" w:pos="7200"/>
      </w:tabs>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9CE"/>
    <w:rPr>
      <w:rFonts w:ascii="Times New Roman" w:eastAsia="Times New Roman" w:hAnsi="Times New Roman" w:cs="Times New Roman"/>
      <w:b/>
      <w:sz w:val="24"/>
      <w:szCs w:val="20"/>
      <w:u w:val="single"/>
    </w:rPr>
  </w:style>
  <w:style w:type="paragraph" w:styleId="Title">
    <w:name w:val="Title"/>
    <w:basedOn w:val="Normal"/>
    <w:link w:val="TitleChar"/>
    <w:qFormat/>
    <w:rsid w:val="00F179CE"/>
    <w:pPr>
      <w:tabs>
        <w:tab w:val="left" w:pos="-1440"/>
        <w:tab w:val="left" w:pos="-720"/>
        <w:tab w:val="left" w:pos="720"/>
        <w:tab w:val="left" w:pos="1320"/>
        <w:tab w:val="left" w:pos="2160"/>
        <w:tab w:val="left" w:pos="7200"/>
      </w:tabs>
      <w:jc w:val="center"/>
    </w:pPr>
    <w:rPr>
      <w:b/>
      <w:sz w:val="28"/>
    </w:rPr>
  </w:style>
  <w:style w:type="character" w:customStyle="1" w:styleId="TitleChar">
    <w:name w:val="Title Char"/>
    <w:basedOn w:val="DefaultParagraphFont"/>
    <w:link w:val="Title"/>
    <w:rsid w:val="00F179CE"/>
    <w:rPr>
      <w:rFonts w:ascii="Times New Roman" w:eastAsia="Times New Roman" w:hAnsi="Times New Roman" w:cs="Times New Roman"/>
      <w:b/>
      <w:sz w:val="28"/>
      <w:szCs w:val="20"/>
    </w:rPr>
  </w:style>
  <w:style w:type="paragraph" w:styleId="PlainText">
    <w:name w:val="Plain Text"/>
    <w:basedOn w:val="Normal"/>
    <w:link w:val="PlainTextChar"/>
    <w:uiPriority w:val="99"/>
    <w:semiHidden/>
    <w:unhideWhenUsed/>
    <w:rsid w:val="00F179CE"/>
    <w:rPr>
      <w:rFonts w:ascii="Consolas" w:eastAsia="Calibri" w:hAnsi="Consolas"/>
      <w:sz w:val="21"/>
      <w:szCs w:val="21"/>
    </w:rPr>
  </w:style>
  <w:style w:type="character" w:customStyle="1" w:styleId="PlainTextChar">
    <w:name w:val="Plain Text Char"/>
    <w:basedOn w:val="DefaultParagraphFont"/>
    <w:link w:val="PlainText"/>
    <w:uiPriority w:val="99"/>
    <w:semiHidden/>
    <w:rsid w:val="00F179CE"/>
    <w:rPr>
      <w:rFonts w:ascii="Consolas" w:eastAsia="Calibri" w:hAnsi="Consolas" w:cs="Times New Roman"/>
      <w:sz w:val="21"/>
      <w:szCs w:val="21"/>
    </w:rPr>
  </w:style>
  <w:style w:type="paragraph" w:customStyle="1" w:styleId="Prrafodelista1">
    <w:name w:val="Párrafo de lista1"/>
    <w:basedOn w:val="Normal"/>
    <w:uiPriority w:val="34"/>
    <w:qFormat/>
    <w:rsid w:val="00F179CE"/>
    <w:pPr>
      <w:spacing w:after="200" w:line="276" w:lineRule="auto"/>
      <w:ind w:left="720"/>
      <w:contextualSpacing/>
    </w:pPr>
    <w:rPr>
      <w:rFonts w:ascii="Calibri" w:eastAsia="Calibri" w:hAnsi="Calibri"/>
      <w:sz w:val="22"/>
      <w:szCs w:val="22"/>
    </w:rPr>
  </w:style>
  <w:style w:type="paragraph" w:customStyle="1" w:styleId="Prrafodelista10">
    <w:name w:val="Párrafo de lista1"/>
    <w:basedOn w:val="Normal"/>
    <w:uiPriority w:val="99"/>
    <w:rsid w:val="00F179CE"/>
    <w:pPr>
      <w:spacing w:after="200" w:line="276" w:lineRule="auto"/>
      <w:ind w:left="720"/>
    </w:pPr>
    <w:rPr>
      <w:rFonts w:ascii="Calibri" w:eastAsia="SimSun" w:hAnsi="Calibri" w:cs="Calibri"/>
      <w:sz w:val="22"/>
      <w:szCs w:val="22"/>
    </w:rPr>
  </w:style>
  <w:style w:type="paragraph" w:customStyle="1" w:styleId="Chapter">
    <w:name w:val="Chapter"/>
    <w:basedOn w:val="Normal"/>
    <w:next w:val="Normal"/>
    <w:uiPriority w:val="99"/>
    <w:rsid w:val="00F179CE"/>
    <w:pPr>
      <w:keepNext/>
      <w:numPr>
        <w:numId w:val="5"/>
      </w:numPr>
      <w:tabs>
        <w:tab w:val="num" w:pos="648"/>
        <w:tab w:val="left" w:pos="1440"/>
      </w:tabs>
      <w:spacing w:before="240" w:after="240"/>
      <w:ind w:left="0"/>
      <w:jc w:val="center"/>
    </w:pPr>
    <w:rPr>
      <w:b/>
      <w:smallCaps/>
      <w:sz w:val="24"/>
      <w:lang w:val="es-ES_tradnl"/>
    </w:rPr>
  </w:style>
  <w:style w:type="character" w:customStyle="1" w:styleId="ParagraphChar">
    <w:name w:val="Paragraph Char"/>
    <w:basedOn w:val="DefaultParagraphFont"/>
    <w:link w:val="Paragraph"/>
    <w:uiPriority w:val="99"/>
    <w:locked/>
    <w:rsid w:val="00F179CE"/>
    <w:rPr>
      <w:sz w:val="24"/>
      <w:lang w:val="es-ES_tradnl"/>
    </w:rPr>
  </w:style>
  <w:style w:type="paragraph" w:customStyle="1" w:styleId="Paragraph">
    <w:name w:val="Paragraph"/>
    <w:basedOn w:val="BodyTextIndent"/>
    <w:link w:val="ParagraphChar"/>
    <w:uiPriority w:val="99"/>
    <w:rsid w:val="00F179CE"/>
    <w:pPr>
      <w:numPr>
        <w:ilvl w:val="1"/>
        <w:numId w:val="5"/>
      </w:numPr>
      <w:tabs>
        <w:tab w:val="num" w:pos="720"/>
      </w:tabs>
      <w:spacing w:before="120"/>
      <w:ind w:left="720" w:hanging="720"/>
      <w:jc w:val="both"/>
      <w:outlineLvl w:val="1"/>
    </w:pPr>
    <w:rPr>
      <w:rFonts w:ascii="Calibri" w:eastAsia="Calibri" w:hAnsi="Calibri"/>
      <w:sz w:val="24"/>
      <w:szCs w:val="22"/>
      <w:lang w:val="es-ES_tradnl"/>
    </w:rPr>
  </w:style>
  <w:style w:type="paragraph" w:customStyle="1" w:styleId="subpar">
    <w:name w:val="subpar"/>
    <w:basedOn w:val="BodyTextIndent3"/>
    <w:uiPriority w:val="99"/>
    <w:rsid w:val="00F179CE"/>
    <w:pPr>
      <w:numPr>
        <w:ilvl w:val="2"/>
        <w:numId w:val="5"/>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uiPriority w:val="99"/>
    <w:rsid w:val="00F179CE"/>
    <w:pPr>
      <w:numPr>
        <w:ilvl w:val="3"/>
      </w:numPr>
      <w:tabs>
        <w:tab w:val="left" w:pos="0"/>
        <w:tab w:val="num" w:pos="360"/>
        <w:tab w:val="num" w:pos="1152"/>
        <w:tab w:val="num" w:pos="1296"/>
      </w:tabs>
      <w:ind w:left="1296" w:hanging="360"/>
    </w:pPr>
  </w:style>
  <w:style w:type="paragraph" w:styleId="BodyTextIndent">
    <w:name w:val="Body Text Indent"/>
    <w:basedOn w:val="Normal"/>
    <w:link w:val="BodyTextIndentChar"/>
    <w:uiPriority w:val="99"/>
    <w:semiHidden/>
    <w:unhideWhenUsed/>
    <w:rsid w:val="00F179CE"/>
    <w:pPr>
      <w:spacing w:after="120"/>
      <w:ind w:left="360"/>
    </w:pPr>
  </w:style>
  <w:style w:type="character" w:customStyle="1" w:styleId="BodyTextIndentChar">
    <w:name w:val="Body Text Indent Char"/>
    <w:basedOn w:val="DefaultParagraphFont"/>
    <w:link w:val="BodyTextIndent"/>
    <w:uiPriority w:val="99"/>
    <w:semiHidden/>
    <w:rsid w:val="00F179C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F179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9CE"/>
    <w:rPr>
      <w:rFonts w:ascii="Times New Roman" w:eastAsia="Times New Roman" w:hAnsi="Times New Roman" w:cs="Times New Roman"/>
      <w:sz w:val="16"/>
      <w:szCs w:val="16"/>
    </w:rPr>
  </w:style>
  <w:style w:type="table" w:styleId="TableGrid">
    <w:name w:val="Table Grid"/>
    <w:basedOn w:val="TableNormal"/>
    <w:uiPriority w:val="59"/>
    <w:rsid w:val="00B15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A3818"/>
    <w:pPr>
      <w:tabs>
        <w:tab w:val="center" w:pos="4680"/>
        <w:tab w:val="right" w:pos="9360"/>
      </w:tabs>
    </w:pPr>
  </w:style>
  <w:style w:type="character" w:customStyle="1" w:styleId="HeaderChar">
    <w:name w:val="Header Char"/>
    <w:basedOn w:val="DefaultParagraphFont"/>
    <w:link w:val="Header"/>
    <w:uiPriority w:val="99"/>
    <w:rsid w:val="00AA381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A3818"/>
    <w:pPr>
      <w:tabs>
        <w:tab w:val="center" w:pos="4680"/>
        <w:tab w:val="right" w:pos="9360"/>
      </w:tabs>
    </w:pPr>
  </w:style>
  <w:style w:type="character" w:customStyle="1" w:styleId="FooterChar">
    <w:name w:val="Footer Char"/>
    <w:basedOn w:val="DefaultParagraphFont"/>
    <w:link w:val="Footer"/>
    <w:uiPriority w:val="99"/>
    <w:rsid w:val="00AA381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92CE2"/>
    <w:rPr>
      <w:rFonts w:ascii="Tahoma" w:hAnsi="Tahoma" w:cs="Tahoma"/>
      <w:sz w:val="16"/>
      <w:szCs w:val="16"/>
    </w:rPr>
  </w:style>
  <w:style w:type="character" w:customStyle="1" w:styleId="BalloonTextChar">
    <w:name w:val="Balloon Text Char"/>
    <w:basedOn w:val="DefaultParagraphFont"/>
    <w:link w:val="BalloonText"/>
    <w:uiPriority w:val="99"/>
    <w:semiHidden/>
    <w:rsid w:val="00492CE2"/>
    <w:rPr>
      <w:rFonts w:ascii="Tahoma" w:eastAsia="Times New Roman" w:hAnsi="Tahoma" w:cs="Tahoma"/>
      <w:sz w:val="16"/>
      <w:szCs w:val="16"/>
    </w:rPr>
  </w:style>
  <w:style w:type="paragraph" w:styleId="ListParagraph">
    <w:name w:val="List Paragraph"/>
    <w:basedOn w:val="Normal"/>
    <w:link w:val="ListParagraphChar"/>
    <w:uiPriority w:val="34"/>
    <w:qFormat/>
    <w:rsid w:val="00632257"/>
    <w:pPr>
      <w:spacing w:after="200" w:line="276" w:lineRule="auto"/>
      <w:ind w:left="720"/>
      <w:contextualSpacing/>
    </w:pPr>
    <w:rPr>
      <w:rFonts w:ascii="Calibri" w:hAnsi="Calibri"/>
      <w:lang w:val="x-none" w:eastAsia="x-none"/>
    </w:rPr>
  </w:style>
  <w:style w:type="paragraph" w:styleId="FootnoteText">
    <w:name w:val="footnote text"/>
    <w:basedOn w:val="Normal"/>
    <w:link w:val="FootnoteTextChar"/>
    <w:rsid w:val="00632257"/>
    <w:rPr>
      <w:lang w:val="es-ES" w:eastAsia="es-ES"/>
    </w:rPr>
  </w:style>
  <w:style w:type="character" w:customStyle="1" w:styleId="FootnoteTextChar">
    <w:name w:val="Footnote Text Char"/>
    <w:basedOn w:val="DefaultParagraphFont"/>
    <w:link w:val="FootnoteText"/>
    <w:rsid w:val="00632257"/>
    <w:rPr>
      <w:rFonts w:ascii="Times New Roman" w:eastAsia="Times New Roman" w:hAnsi="Times New Roman" w:cs="Times New Roman"/>
      <w:sz w:val="20"/>
      <w:szCs w:val="20"/>
      <w:lang w:val="es-ES" w:eastAsia="es-ES"/>
    </w:rPr>
  </w:style>
  <w:style w:type="character" w:styleId="FootnoteReference">
    <w:name w:val="footnote reference"/>
    <w:rsid w:val="00632257"/>
    <w:rPr>
      <w:vertAlign w:val="superscript"/>
    </w:rPr>
  </w:style>
  <w:style w:type="character" w:customStyle="1" w:styleId="ListParagraphChar">
    <w:name w:val="List Paragraph Char"/>
    <w:link w:val="ListParagraph"/>
    <w:uiPriority w:val="34"/>
    <w:rsid w:val="006322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70342">
      <w:bodyDiv w:val="1"/>
      <w:marLeft w:val="0"/>
      <w:marRight w:val="0"/>
      <w:marTop w:val="0"/>
      <w:marBottom w:val="0"/>
      <w:divBdr>
        <w:top w:val="none" w:sz="0" w:space="0" w:color="auto"/>
        <w:left w:val="none" w:sz="0" w:space="0" w:color="auto"/>
        <w:bottom w:val="none" w:sz="0" w:space="0" w:color="auto"/>
        <w:right w:val="none" w:sz="0" w:space="0" w:color="auto"/>
      </w:divBdr>
    </w:div>
    <w:div w:id="585575022">
      <w:bodyDiv w:val="1"/>
      <w:marLeft w:val="0"/>
      <w:marRight w:val="0"/>
      <w:marTop w:val="0"/>
      <w:marBottom w:val="0"/>
      <w:divBdr>
        <w:top w:val="none" w:sz="0" w:space="0" w:color="auto"/>
        <w:left w:val="none" w:sz="0" w:space="0" w:color="auto"/>
        <w:bottom w:val="none" w:sz="0" w:space="0" w:color="auto"/>
        <w:right w:val="none" w:sz="0" w:space="0" w:color="auto"/>
      </w:divBdr>
    </w:div>
    <w:div w:id="748235082">
      <w:bodyDiv w:val="1"/>
      <w:marLeft w:val="0"/>
      <w:marRight w:val="0"/>
      <w:marTop w:val="0"/>
      <w:marBottom w:val="0"/>
      <w:divBdr>
        <w:top w:val="none" w:sz="0" w:space="0" w:color="auto"/>
        <w:left w:val="none" w:sz="0" w:space="0" w:color="auto"/>
        <w:bottom w:val="none" w:sz="0" w:space="0" w:color="auto"/>
        <w:right w:val="none" w:sz="0" w:space="0" w:color="auto"/>
      </w:divBdr>
    </w:div>
    <w:div w:id="1146438578">
      <w:bodyDiv w:val="1"/>
      <w:marLeft w:val="0"/>
      <w:marRight w:val="0"/>
      <w:marTop w:val="0"/>
      <w:marBottom w:val="0"/>
      <w:divBdr>
        <w:top w:val="none" w:sz="0" w:space="0" w:color="auto"/>
        <w:left w:val="none" w:sz="0" w:space="0" w:color="auto"/>
        <w:bottom w:val="none" w:sz="0" w:space="0" w:color="auto"/>
        <w:right w:val="none" w:sz="0" w:space="0" w:color="auto"/>
      </w:divBdr>
    </w:div>
    <w:div w:id="1295214528">
      <w:bodyDiv w:val="1"/>
      <w:marLeft w:val="0"/>
      <w:marRight w:val="0"/>
      <w:marTop w:val="0"/>
      <w:marBottom w:val="0"/>
      <w:divBdr>
        <w:top w:val="none" w:sz="0" w:space="0" w:color="auto"/>
        <w:left w:val="none" w:sz="0" w:space="0" w:color="auto"/>
        <w:bottom w:val="none" w:sz="0" w:space="0" w:color="auto"/>
        <w:right w:val="none" w:sz="0" w:space="0" w:color="auto"/>
      </w:divBdr>
    </w:div>
    <w:div w:id="1321732860">
      <w:bodyDiv w:val="1"/>
      <w:marLeft w:val="0"/>
      <w:marRight w:val="0"/>
      <w:marTop w:val="0"/>
      <w:marBottom w:val="0"/>
      <w:divBdr>
        <w:top w:val="none" w:sz="0" w:space="0" w:color="auto"/>
        <w:left w:val="none" w:sz="0" w:space="0" w:color="auto"/>
        <w:bottom w:val="none" w:sz="0" w:space="0" w:color="auto"/>
        <w:right w:val="none" w:sz="0" w:space="0" w:color="auto"/>
      </w:divBdr>
    </w:div>
    <w:div w:id="1785884647">
      <w:bodyDiv w:val="1"/>
      <w:marLeft w:val="0"/>
      <w:marRight w:val="0"/>
      <w:marTop w:val="0"/>
      <w:marBottom w:val="0"/>
      <w:divBdr>
        <w:top w:val="none" w:sz="0" w:space="0" w:color="auto"/>
        <w:left w:val="none" w:sz="0" w:space="0" w:color="auto"/>
        <w:bottom w:val="none" w:sz="0" w:space="0" w:color="auto"/>
        <w:right w:val="none" w:sz="0" w:space="0" w:color="auto"/>
      </w:divBdr>
    </w:div>
    <w:div w:id="210645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66B06E59AB175241BBFB297522263BEB" PreviousValue="false"/>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LEG/SGO</Division_x0020_or_x0020_Unit>
    <IDBDocs_x0020_Number xmlns="cdc7663a-08f0-4737-9e8c-148ce897a09c">37376568</IDBDocs_x0020_Number>
    <Document_x0020_Author xmlns="cdc7663a-08f0-4737-9e8c-148ce897a09c">Bonfim Rodgers, Oriana</Document_x0020_Author>
    <TaxCatchAll xmlns="cdc7663a-08f0-4737-9e8c-148ce897a09c">
      <Value>26</Value>
      <Value>23</Value>
      <Value>40</Value>
    </TaxCatchAll>
    <Fiscal_x0020_Year_x0020_IDB xmlns="cdc7663a-08f0-4737-9e8c-148ce897a09c">2013</Fiscal_x0020_Year_x0020_IDB>
    <Migration_x0020_Info xmlns="cdc7663a-08f0-4737-9e8c-148ce897a09c">&lt;Data&gt;&lt;APPLICATION&gt;MS WORD&lt;/APPLICATION&gt;&lt;STAGE_CODE&gt;AGREE-TC&lt;/STAGE_CODE&gt;&lt;USER_STAGE&gt;Technical Cooperation Agreement&lt;/USER_STAGE&gt;&lt;APPROVAL_CODE&gt;CHF&lt;/APPROVAL_CODE&gt;&lt;APPROVAL_DESC&gt;Chief&lt;/APPROVAL_DESC&gt;&lt;PD_OBJ_TYPE&gt;1&lt;/PD_OBJ_TYPE&gt;&lt;MAKERECORD&gt;Y&lt;/MAKERECORD&gt;&lt;PD_FILEPT_NO&gt;PO-AR-T1103-Agree&lt;/PD_FILEPT_NO&gt;&lt;PD_FILE_PART&gt;1067854101&lt;/PD_FILE_PART&gt;&lt;/Data&gt;</Migration_x0020_Info>
    <SISCOR_x0020_Number xmlns="cdc7663a-08f0-4737-9e8c-148ce897a09c" xsi:nil="true"/>
    <Identifier xmlns="cdc7663a-08f0-4737-9e8c-148ce897a09c"> ANNEX</Identifier>
    <Document_x0020_Language_x0020_IDB xmlns="cdc7663a-08f0-4737-9e8c-148ce897a09c">Spanish</Document_x0020_Language_x0020_IDB>
    <Other_x0020_Author xmlns="cdc7663a-08f0-4737-9e8c-148ce897a09c">JBEDOYA</Other_x0020_Author>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EZSHARE-1044359933-4881</_dlc_DocId>
    <Abstract xmlns="cdc7663a-08f0-4737-9e8c-148ce897a09c" xsi:nil="true"/>
    <Region xmlns="cdc7663a-08f0-4737-9e8c-148ce897a09c" xsi:nil="true"/>
    <Related_x0020_SisCor_x0020_Number xmlns="cdc7663a-08f0-4737-9e8c-148ce897a09c" xsi:nil="true"/>
    <Webtopic xmlns="cdc7663a-08f0-4737-9e8c-148ce897a09c">Public Sector Management and Support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https://idbg.sharepoint.com/teams/ez-LEG/Operations/_layouts/15/DocIdRedir.aspx?ID=EZSHARE-1044359933-4881</Url>
      <Description>EZSHARE-1044359933-4881</Description>
    </_dlc_DocIdUrl>
  </documentManagement>
</p:properties>
</file>

<file path=customXml/itemProps1.xml><?xml version="1.0" encoding="utf-8"?>
<ds:datastoreItem xmlns:ds="http://schemas.openxmlformats.org/officeDocument/2006/customXml" ds:itemID="{40D0D806-FB4A-4C51-8E67-A20F0E887B62}"/>
</file>

<file path=customXml/itemProps2.xml><?xml version="1.0" encoding="utf-8"?>
<ds:datastoreItem xmlns:ds="http://schemas.openxmlformats.org/officeDocument/2006/customXml" ds:itemID="{E7F44EA0-81B9-4EBA-9170-9B867A359CA2}"/>
</file>

<file path=customXml/itemProps3.xml><?xml version="1.0" encoding="utf-8"?>
<ds:datastoreItem xmlns:ds="http://schemas.openxmlformats.org/officeDocument/2006/customXml" ds:itemID="{A006758A-74BD-4080-A3A1-A3C0B3289631}"/>
</file>

<file path=customXml/itemProps4.xml><?xml version="1.0" encoding="utf-8"?>
<ds:datastoreItem xmlns:ds="http://schemas.openxmlformats.org/officeDocument/2006/customXml" ds:itemID="{160A8D92-744D-4ED9-8E19-F16348FC16B4}"/>
</file>

<file path=customXml/itemProps5.xml><?xml version="1.0" encoding="utf-8"?>
<ds:datastoreItem xmlns:ds="http://schemas.openxmlformats.org/officeDocument/2006/customXml" ds:itemID="{79983B5C-1C43-42BA-84AD-0B3E778E117A}"/>
</file>

<file path=customXml/itemProps6.xml><?xml version="1.0" encoding="utf-8"?>
<ds:datastoreItem xmlns:ds="http://schemas.openxmlformats.org/officeDocument/2006/customXml" ds:itemID="{797C1F8B-F6CE-4649-B082-7E76F6D873E8}"/>
</file>

<file path=docProps/app.xml><?xml version="1.0" encoding="utf-8"?>
<Properties xmlns="http://schemas.openxmlformats.org/officeDocument/2006/extended-properties" xmlns:vt="http://schemas.openxmlformats.org/officeDocument/2006/docPropsVTypes">
  <Template>Normal.dotm</Template>
  <TotalTime>3</TotalTime>
  <Pages>4</Pages>
  <Words>1128</Words>
  <Characters>6433</Characters>
  <Application>Microsoft Office Word</Application>
  <DocSecurity>8</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III - Convenio Parte I - Fortalecimiento de la Gestión por Resultados en la Provincia de Tucumán</dc:title>
  <dc:subject/>
  <dc:creator>Test</dc:creator>
  <cp:keywords/>
  <cp:lastModifiedBy>Inter-American Development Bank</cp:lastModifiedBy>
  <cp:revision>4</cp:revision>
  <cp:lastPrinted>2012-12-21T17:58:00Z</cp:lastPrinted>
  <dcterms:created xsi:type="dcterms:W3CDTF">2013-03-08T17:25:00Z</dcterms:created>
  <dcterms:modified xsi:type="dcterms:W3CDTF">2013-03-08T21:25:00Z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AR-T1103</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AR-T1103;ATN/OC-13607-AR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3" name="From:">
    <vt:lpwstr>JBEDOYA</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5" name="Webtopic">
    <vt:lpwstr>Public Sector Management and Support</vt:lpwstr>
  </property>
  <property fmtid="{D5CDD505-2E9C-101B-9397-08002B2CF9AE}" pid="37" name="Disclosed">
    <vt:bool>false</vt:bool>
  </property>
  <property fmtid="{D5CDD505-2E9C-101B-9397-08002B2CF9AE}" pid="40" name="URL">
    <vt:lpwstr/>
  </property>
  <property fmtid="{D5CDD505-2E9C-101B-9397-08002B2CF9AE}" pid="41" name="ATI Undisclose Document Workflow">
    <vt:lpwstr/>
  </property>
  <property fmtid="{D5CDD505-2E9C-101B-9397-08002B2CF9AE}" pid="42" name="ATI Disclose Document Workflow v5">
    <vt:lpwstr/>
  </property>
  <property fmtid="{D5CDD505-2E9C-101B-9397-08002B2CF9AE}" pid="43" name="Project Document Type">
    <vt:lpwstr/>
  </property>
  <property fmtid="{D5CDD505-2E9C-101B-9397-08002B2CF9AE}" pid="44" name="Record Number">
    <vt:lpwstr/>
  </property>
  <property fmtid="{D5CDD505-2E9C-101B-9397-08002B2CF9AE}" pid="45" name="Legal Country">
    <vt:lpwstr/>
  </property>
  <property fmtid="{D5CDD505-2E9C-101B-9397-08002B2CF9AE}" pid="47" name="Attorney">
    <vt:lpwstr/>
  </property>
  <property fmtid="{D5CDD505-2E9C-101B-9397-08002B2CF9AE}" pid="48" name="Doc Copy">
    <vt:lpwstr/>
  </property>
  <property fmtid="{D5CDD505-2E9C-101B-9397-08002B2CF9AE}" pid="49" name="b26cdb1da78c4bb4b1c1bac2f6ac5911">
    <vt:lpwstr/>
  </property>
  <property fmtid="{D5CDD505-2E9C-101B-9397-08002B2CF9AE}" pid="50" name="Pipeline Number">
    <vt:lpwstr/>
  </property>
  <property fmtid="{D5CDD505-2E9C-101B-9397-08002B2CF9AE}" pid="51" name="Package Code">
    <vt:lpwstr/>
  </property>
  <property fmtid="{D5CDD505-2E9C-101B-9397-08002B2CF9AE}" pid="52" name="Annual Meeting">
    <vt:lpwstr/>
  </property>
  <property fmtid="{D5CDD505-2E9C-101B-9397-08002B2CF9AE}" pid="53" name="n2077c22f1e24496a073d1eb26f4ff79">
    <vt:lpwstr/>
  </property>
  <property fmtid="{D5CDD505-2E9C-101B-9397-08002B2CF9AE}" pid="54" name="Business Area">
    <vt:lpwstr/>
  </property>
  <property fmtid="{D5CDD505-2E9C-101B-9397-08002B2CF9AE}" pid="55" name="e46fe2894295491da65140ffd2369f49">
    <vt:lpwstr/>
  </property>
  <property fmtid="{D5CDD505-2E9C-101B-9397-08002B2CF9AE}" pid="56" name="nddeef1749674d76abdbe4b239a70bc6">
    <vt:lpwstr/>
  </property>
  <property fmtid="{D5CDD505-2E9C-101B-9397-08002B2CF9AE}" pid="57" name="g511464f9e53401d84b16fa9b379a574">
    <vt:lpwstr/>
  </property>
  <property fmtid="{D5CDD505-2E9C-101B-9397-08002B2CF9AE}" pid="58" name="Phase">
    <vt:lpwstr/>
  </property>
  <property fmtid="{D5CDD505-2E9C-101B-9397-08002B2CF9AE}" pid="60" name="Instrument">
    <vt:lpwstr/>
  </property>
  <property fmtid="{D5CDD505-2E9C-101B-9397-08002B2CF9AE}" pid="61" name="Operation Type">
    <vt:lpwstr/>
  </property>
  <property fmtid="{D5CDD505-2E9C-101B-9397-08002B2CF9AE}" pid="62" name="_dlc_DocIdItemGuid">
    <vt:lpwstr>7be18bd7-c53a-4498-9848-68f13b02156b</vt:lpwstr>
  </property>
</Properties>
</file>