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1AF1" w:rsidRPr="00AF2EBC" w:rsidRDefault="00171AF1" w:rsidP="00171AF1">
      <w:pPr>
        <w:pStyle w:val="Title"/>
        <w:tabs>
          <w:tab w:val="left" w:pos="720"/>
        </w:tabs>
        <w:outlineLvl w:val="9"/>
        <w:rPr>
          <w:rFonts w:ascii="Arial" w:hAnsi="Arial" w:cs="Arial"/>
          <w:smallCaps/>
          <w:sz w:val="22"/>
          <w:szCs w:val="22"/>
          <w:lang w:val="es-ES_tradnl"/>
        </w:rPr>
      </w:pPr>
      <w:bookmarkStart w:id="0" w:name="_GoBack"/>
      <w:bookmarkEnd w:id="0"/>
      <w:r w:rsidRPr="00AF2EBC">
        <w:rPr>
          <w:rFonts w:ascii="Arial" w:hAnsi="Arial" w:cs="Arial"/>
          <w:smallCaps/>
          <w:sz w:val="22"/>
          <w:szCs w:val="22"/>
          <w:lang w:val="es-ES_tradnl"/>
        </w:rPr>
        <w:t>Document</w:t>
      </w:r>
      <w:r w:rsidR="00AF2EBC" w:rsidRPr="00AF2EBC">
        <w:rPr>
          <w:rFonts w:ascii="Arial" w:hAnsi="Arial" w:cs="Arial"/>
          <w:smallCaps/>
          <w:sz w:val="22"/>
          <w:szCs w:val="22"/>
          <w:lang w:val="es-ES_tradnl"/>
        </w:rPr>
        <w:t>o</w:t>
      </w:r>
      <w:r w:rsidRPr="00AF2EBC">
        <w:rPr>
          <w:rFonts w:ascii="Arial" w:hAnsi="Arial" w:cs="Arial"/>
          <w:smallCaps/>
          <w:sz w:val="22"/>
          <w:szCs w:val="22"/>
          <w:lang w:val="es-ES_tradnl"/>
        </w:rPr>
        <w:t xml:space="preserve"> </w:t>
      </w:r>
      <w:r w:rsidR="00AF2EBC" w:rsidRPr="00AF2EBC">
        <w:rPr>
          <w:rFonts w:ascii="Arial" w:hAnsi="Arial" w:cs="Arial"/>
          <w:smallCaps/>
          <w:sz w:val="22"/>
          <w:szCs w:val="22"/>
          <w:lang w:val="es-ES_tradnl"/>
        </w:rPr>
        <w:t>del Banco Inter-americano de desarrollo</w:t>
      </w:r>
    </w:p>
    <w:p w:rsidR="00171AF1" w:rsidRPr="00AF2EBC" w:rsidRDefault="00171AF1" w:rsidP="00171AF1">
      <w:pPr>
        <w:pStyle w:val="ListParagraph"/>
        <w:spacing w:before="120" w:after="0" w:line="360" w:lineRule="auto"/>
        <w:ind w:left="0"/>
        <w:jc w:val="center"/>
        <w:rPr>
          <w:rFonts w:ascii="Arial" w:hAnsi="Arial" w:cs="Arial"/>
          <w:b/>
          <w:lang w:val="es-ES_tradnl"/>
        </w:rPr>
      </w:pPr>
    </w:p>
    <w:p w:rsidR="00171AF1" w:rsidRPr="00AF2EBC" w:rsidRDefault="00171AF1" w:rsidP="00171AF1">
      <w:pPr>
        <w:tabs>
          <w:tab w:val="left" w:pos="1440"/>
          <w:tab w:val="left" w:pos="3060"/>
        </w:tabs>
        <w:jc w:val="center"/>
        <w:rPr>
          <w:rFonts w:ascii="Arial" w:hAnsi="Arial" w:cs="Arial"/>
          <w:smallCaps/>
          <w:lang w:val="es-ES_tradnl"/>
        </w:rPr>
      </w:pPr>
    </w:p>
    <w:p w:rsidR="00274DF7" w:rsidRPr="00AF2EBC" w:rsidRDefault="00274DF7" w:rsidP="00171AF1">
      <w:pPr>
        <w:tabs>
          <w:tab w:val="left" w:pos="1440"/>
          <w:tab w:val="left" w:pos="3060"/>
        </w:tabs>
        <w:jc w:val="center"/>
        <w:rPr>
          <w:rFonts w:ascii="Arial" w:hAnsi="Arial" w:cs="Arial"/>
          <w:smallCaps/>
          <w:lang w:val="es-ES_tradnl"/>
        </w:rPr>
      </w:pPr>
    </w:p>
    <w:p w:rsidR="00274DF7" w:rsidRPr="00AF2EBC" w:rsidRDefault="00274DF7" w:rsidP="00171AF1">
      <w:pPr>
        <w:tabs>
          <w:tab w:val="left" w:pos="1440"/>
          <w:tab w:val="left" w:pos="3060"/>
        </w:tabs>
        <w:jc w:val="center"/>
        <w:rPr>
          <w:rFonts w:ascii="Arial" w:hAnsi="Arial" w:cs="Arial"/>
          <w:smallCaps/>
          <w:lang w:val="es-ES_tradnl"/>
        </w:rPr>
      </w:pPr>
    </w:p>
    <w:p w:rsidR="00274DF7" w:rsidRPr="00AF2EBC" w:rsidRDefault="00274DF7" w:rsidP="00171AF1">
      <w:pPr>
        <w:tabs>
          <w:tab w:val="left" w:pos="1440"/>
          <w:tab w:val="left" w:pos="3060"/>
        </w:tabs>
        <w:jc w:val="center"/>
        <w:rPr>
          <w:rFonts w:ascii="Arial" w:hAnsi="Arial" w:cs="Arial"/>
          <w:smallCaps/>
          <w:lang w:val="es-ES_tradnl"/>
        </w:rPr>
      </w:pPr>
    </w:p>
    <w:p w:rsidR="00274DF7" w:rsidRPr="00AF2EBC" w:rsidRDefault="00274DF7" w:rsidP="00171AF1">
      <w:pPr>
        <w:tabs>
          <w:tab w:val="left" w:pos="1440"/>
          <w:tab w:val="left" w:pos="3060"/>
        </w:tabs>
        <w:jc w:val="center"/>
        <w:rPr>
          <w:rFonts w:ascii="Arial" w:hAnsi="Arial" w:cs="Arial"/>
          <w:smallCaps/>
          <w:lang w:val="es-ES_tradnl"/>
        </w:rPr>
      </w:pPr>
    </w:p>
    <w:p w:rsidR="00171AF1" w:rsidRPr="00AF2EBC" w:rsidRDefault="00171AF1" w:rsidP="00171AF1">
      <w:pPr>
        <w:tabs>
          <w:tab w:val="left" w:pos="1440"/>
          <w:tab w:val="left" w:pos="3060"/>
        </w:tabs>
        <w:jc w:val="center"/>
        <w:rPr>
          <w:rFonts w:ascii="Arial" w:hAnsi="Arial" w:cs="Arial"/>
          <w:b/>
          <w:smallCaps/>
          <w:lang w:val="es-ES_tradnl"/>
        </w:rPr>
      </w:pPr>
    </w:p>
    <w:p w:rsidR="00171AF1" w:rsidRPr="00624C62" w:rsidRDefault="00171AF1" w:rsidP="00171AF1">
      <w:pPr>
        <w:tabs>
          <w:tab w:val="left" w:pos="1440"/>
          <w:tab w:val="left" w:pos="3060"/>
        </w:tabs>
        <w:jc w:val="center"/>
        <w:rPr>
          <w:rFonts w:ascii="Arial" w:hAnsi="Arial" w:cs="Arial"/>
          <w:b/>
          <w:smallCaps/>
          <w:sz w:val="24"/>
          <w:szCs w:val="24"/>
          <w:highlight w:val="lightGray"/>
        </w:rPr>
      </w:pPr>
      <w:r w:rsidRPr="00624C62">
        <w:rPr>
          <w:rFonts w:ascii="Arial" w:hAnsi="Arial" w:cs="Arial"/>
          <w:b/>
          <w:smallCaps/>
          <w:sz w:val="24"/>
          <w:szCs w:val="24"/>
          <w:highlight w:val="lightGray"/>
        </w:rPr>
        <w:t>Uruguay</w:t>
      </w:r>
    </w:p>
    <w:p w:rsidR="00171AF1" w:rsidRPr="00624C62" w:rsidRDefault="00171AF1" w:rsidP="00171AF1">
      <w:pPr>
        <w:tabs>
          <w:tab w:val="left" w:pos="1440"/>
          <w:tab w:val="left" w:pos="3060"/>
        </w:tabs>
        <w:jc w:val="center"/>
        <w:rPr>
          <w:rFonts w:ascii="Arial" w:hAnsi="Arial" w:cs="Arial"/>
          <w:b/>
          <w:smallCaps/>
          <w:sz w:val="24"/>
          <w:szCs w:val="24"/>
          <w:highlight w:val="lightGray"/>
        </w:rPr>
      </w:pPr>
    </w:p>
    <w:p w:rsidR="00171AF1" w:rsidRPr="00624C62" w:rsidRDefault="00171AF1" w:rsidP="00171AF1">
      <w:pPr>
        <w:tabs>
          <w:tab w:val="left" w:pos="1440"/>
          <w:tab w:val="left" w:pos="3060"/>
        </w:tabs>
        <w:jc w:val="center"/>
        <w:rPr>
          <w:rFonts w:ascii="Arial" w:hAnsi="Arial" w:cs="Arial"/>
          <w:b/>
          <w:smallCaps/>
          <w:sz w:val="24"/>
          <w:szCs w:val="24"/>
          <w:highlight w:val="lightGray"/>
        </w:rPr>
      </w:pPr>
    </w:p>
    <w:p w:rsidR="00171AF1" w:rsidRPr="00624C62" w:rsidRDefault="00171AF1" w:rsidP="00171AF1">
      <w:pPr>
        <w:tabs>
          <w:tab w:val="left" w:pos="1440"/>
          <w:tab w:val="left" w:pos="3060"/>
        </w:tabs>
        <w:spacing w:after="360"/>
        <w:jc w:val="center"/>
        <w:rPr>
          <w:rFonts w:ascii="Arial" w:hAnsi="Arial" w:cs="Arial"/>
          <w:b/>
          <w:smallCaps/>
          <w:sz w:val="24"/>
          <w:szCs w:val="24"/>
          <w:highlight w:val="lightGray"/>
        </w:rPr>
      </w:pPr>
      <w:r w:rsidRPr="00624C62">
        <w:rPr>
          <w:rFonts w:ascii="Arial" w:hAnsi="Arial" w:cs="Arial"/>
          <w:b/>
          <w:smallCaps/>
          <w:sz w:val="24"/>
          <w:szCs w:val="24"/>
          <w:highlight w:val="lightGray"/>
        </w:rPr>
        <w:t>progra</w:t>
      </w:r>
      <w:r w:rsidR="008E10EB" w:rsidRPr="00624C62">
        <w:rPr>
          <w:rFonts w:ascii="Arial" w:hAnsi="Arial" w:cs="Arial"/>
          <w:b/>
          <w:smallCaps/>
          <w:sz w:val="24"/>
          <w:szCs w:val="24"/>
          <w:highlight w:val="lightGray"/>
        </w:rPr>
        <w:t>ma integral de seguridad ciudadana</w:t>
      </w:r>
    </w:p>
    <w:p w:rsidR="00171AF1" w:rsidRPr="00624C62" w:rsidRDefault="00171AF1" w:rsidP="00171AF1">
      <w:pPr>
        <w:tabs>
          <w:tab w:val="left" w:pos="1440"/>
          <w:tab w:val="left" w:pos="3060"/>
        </w:tabs>
        <w:jc w:val="center"/>
        <w:rPr>
          <w:rFonts w:ascii="Arial" w:hAnsi="Arial" w:cs="Arial"/>
          <w:b/>
          <w:smallCaps/>
          <w:sz w:val="24"/>
          <w:szCs w:val="24"/>
        </w:rPr>
      </w:pPr>
      <w:r w:rsidRPr="00624C62">
        <w:rPr>
          <w:rFonts w:ascii="Arial" w:hAnsi="Arial" w:cs="Arial"/>
          <w:b/>
          <w:smallCaps/>
          <w:sz w:val="24"/>
          <w:szCs w:val="24"/>
        </w:rPr>
        <w:t>UR-L1112</w:t>
      </w:r>
    </w:p>
    <w:p w:rsidR="00171AF1" w:rsidRPr="00624C62" w:rsidRDefault="00171AF1" w:rsidP="00171AF1">
      <w:pPr>
        <w:pStyle w:val="Newpage"/>
        <w:rPr>
          <w:rFonts w:ascii="Arial" w:hAnsi="Arial"/>
          <w:b w:val="0"/>
          <w:caps/>
          <w:sz w:val="22"/>
          <w:szCs w:val="22"/>
          <w:lang w:val="es-ES"/>
        </w:rPr>
      </w:pPr>
    </w:p>
    <w:p w:rsidR="00171AF1" w:rsidRPr="00624C62" w:rsidRDefault="00171AF1" w:rsidP="00171AF1">
      <w:pPr>
        <w:tabs>
          <w:tab w:val="left" w:pos="1440"/>
          <w:tab w:val="left" w:pos="3060"/>
        </w:tabs>
        <w:jc w:val="center"/>
        <w:rPr>
          <w:rFonts w:ascii="Arial" w:hAnsi="Arial" w:cs="Arial"/>
          <w:smallCaps/>
        </w:rPr>
      </w:pPr>
    </w:p>
    <w:p w:rsidR="00171AF1" w:rsidRPr="00624C62" w:rsidRDefault="00171AF1" w:rsidP="00171AF1">
      <w:pPr>
        <w:tabs>
          <w:tab w:val="left" w:pos="1440"/>
          <w:tab w:val="left" w:pos="3060"/>
        </w:tabs>
        <w:jc w:val="center"/>
        <w:outlineLvl w:val="0"/>
        <w:rPr>
          <w:rFonts w:ascii="Arial" w:hAnsi="Arial" w:cs="Arial"/>
          <w:b/>
          <w:smallCaps/>
          <w:sz w:val="24"/>
          <w:szCs w:val="24"/>
        </w:rPr>
      </w:pPr>
      <w:r w:rsidRPr="00624C62">
        <w:rPr>
          <w:rFonts w:ascii="Arial" w:hAnsi="Arial" w:cs="Arial"/>
          <w:b/>
          <w:smallCaps/>
          <w:sz w:val="24"/>
          <w:szCs w:val="24"/>
        </w:rPr>
        <w:t>Análisis Económico</w:t>
      </w:r>
    </w:p>
    <w:p w:rsidR="00171AF1" w:rsidRPr="00624C62" w:rsidRDefault="00171AF1" w:rsidP="00171AF1">
      <w:pPr>
        <w:tabs>
          <w:tab w:val="left" w:pos="1440"/>
          <w:tab w:val="left" w:pos="3060"/>
        </w:tabs>
        <w:outlineLvl w:val="0"/>
        <w:rPr>
          <w:rFonts w:ascii="Arial" w:hAnsi="Arial" w:cs="Arial"/>
          <w:b/>
          <w:smallCaps/>
        </w:rPr>
      </w:pPr>
    </w:p>
    <w:p w:rsidR="00171AF1" w:rsidRPr="00624C62" w:rsidRDefault="00171AF1" w:rsidP="00171AF1">
      <w:pPr>
        <w:pStyle w:val="ListParagraph"/>
        <w:spacing w:before="120" w:after="0" w:line="360" w:lineRule="auto"/>
        <w:ind w:left="1080"/>
        <w:jc w:val="center"/>
        <w:rPr>
          <w:rFonts w:ascii="Arial" w:hAnsi="Arial" w:cs="Arial"/>
          <w:b/>
          <w:lang w:val="es-ES"/>
        </w:rPr>
      </w:pPr>
    </w:p>
    <w:p w:rsidR="00171AF1" w:rsidRPr="00624C62" w:rsidRDefault="00171AF1" w:rsidP="00171AF1">
      <w:pPr>
        <w:pStyle w:val="ListParagraph"/>
        <w:spacing w:before="120" w:after="0" w:line="360" w:lineRule="auto"/>
        <w:ind w:left="1080"/>
        <w:jc w:val="center"/>
        <w:rPr>
          <w:rFonts w:ascii="Arial" w:hAnsi="Arial" w:cs="Arial"/>
          <w:b/>
          <w:lang w:val="es-ES"/>
        </w:rPr>
      </w:pPr>
    </w:p>
    <w:p w:rsidR="00171AF1" w:rsidRPr="00624C62" w:rsidRDefault="00171AF1" w:rsidP="00171AF1">
      <w:pPr>
        <w:pStyle w:val="ListParagraph"/>
        <w:spacing w:before="120" w:after="0" w:line="360" w:lineRule="auto"/>
        <w:ind w:left="1080"/>
        <w:jc w:val="center"/>
        <w:rPr>
          <w:rFonts w:ascii="Arial" w:hAnsi="Arial" w:cs="Arial"/>
          <w:b/>
          <w:lang w:val="es-ES"/>
        </w:rPr>
      </w:pPr>
    </w:p>
    <w:p w:rsidR="00171AF1" w:rsidRPr="00624C62" w:rsidRDefault="00171AF1" w:rsidP="00171AF1">
      <w:pPr>
        <w:pStyle w:val="ListParagraph"/>
        <w:spacing w:before="120" w:after="0" w:line="360" w:lineRule="auto"/>
        <w:ind w:left="1080"/>
        <w:jc w:val="center"/>
        <w:rPr>
          <w:rFonts w:ascii="Arial" w:hAnsi="Arial" w:cs="Arial"/>
          <w:b/>
          <w:lang w:val="es-ES"/>
        </w:rPr>
      </w:pPr>
    </w:p>
    <w:p w:rsidR="00171AF1" w:rsidRPr="00624C62" w:rsidRDefault="00171AF1" w:rsidP="00171AF1">
      <w:pPr>
        <w:pStyle w:val="ListParagraph"/>
        <w:spacing w:before="120" w:after="0" w:line="360" w:lineRule="auto"/>
        <w:ind w:left="1080"/>
        <w:jc w:val="center"/>
        <w:rPr>
          <w:rFonts w:ascii="Arial" w:hAnsi="Arial" w:cs="Arial"/>
          <w:b/>
          <w:lang w:val="es-ES"/>
        </w:rPr>
      </w:pPr>
    </w:p>
    <w:p w:rsidR="00171AF1" w:rsidRPr="00624C62" w:rsidRDefault="00171AF1" w:rsidP="00171AF1">
      <w:pPr>
        <w:pStyle w:val="ListParagraph"/>
        <w:spacing w:before="120" w:after="0" w:line="360" w:lineRule="auto"/>
        <w:ind w:left="1080"/>
        <w:jc w:val="center"/>
        <w:rPr>
          <w:rFonts w:ascii="Arial" w:hAnsi="Arial" w:cs="Arial"/>
          <w:b/>
          <w:lang w:val="es-ES"/>
        </w:rPr>
      </w:pPr>
    </w:p>
    <w:p w:rsidR="00171AF1" w:rsidRPr="00624C62" w:rsidRDefault="00171AF1" w:rsidP="00171AF1">
      <w:pPr>
        <w:pStyle w:val="ListParagraph"/>
        <w:spacing w:before="120" w:after="0" w:line="360" w:lineRule="auto"/>
        <w:ind w:left="1080"/>
        <w:jc w:val="center"/>
        <w:rPr>
          <w:rFonts w:ascii="Arial" w:hAnsi="Arial" w:cs="Arial"/>
          <w:b/>
          <w:lang w:val="es-ES"/>
        </w:rPr>
      </w:pPr>
    </w:p>
    <w:p w:rsidR="00171AF1" w:rsidRPr="00624C62" w:rsidRDefault="00171AF1" w:rsidP="00171AF1">
      <w:pPr>
        <w:pStyle w:val="ListParagraph"/>
        <w:spacing w:before="120" w:after="0" w:line="360" w:lineRule="auto"/>
        <w:ind w:left="1080"/>
        <w:jc w:val="center"/>
        <w:rPr>
          <w:rFonts w:ascii="Arial" w:hAnsi="Arial" w:cs="Arial"/>
          <w:b/>
          <w:lang w:val="es-ES"/>
        </w:rPr>
      </w:pPr>
    </w:p>
    <w:p w:rsidR="00171AF1" w:rsidRPr="00624C62" w:rsidRDefault="00171AF1" w:rsidP="00171AF1">
      <w:pPr>
        <w:pStyle w:val="ListParagraph"/>
        <w:spacing w:before="120" w:after="0" w:line="360" w:lineRule="auto"/>
        <w:ind w:left="1080"/>
        <w:jc w:val="center"/>
        <w:rPr>
          <w:rFonts w:ascii="Arial" w:hAnsi="Arial" w:cs="Arial"/>
          <w:b/>
          <w:lang w:val="es-ES"/>
        </w:rPr>
      </w:pPr>
    </w:p>
    <w:p w:rsidR="00171AF1" w:rsidRPr="00624C62" w:rsidRDefault="00171AF1" w:rsidP="00171AF1">
      <w:pPr>
        <w:pStyle w:val="ListParagraph"/>
        <w:spacing w:before="120" w:after="0" w:line="360" w:lineRule="auto"/>
        <w:ind w:left="1080"/>
        <w:jc w:val="center"/>
        <w:rPr>
          <w:rFonts w:ascii="Arial" w:hAnsi="Arial" w:cs="Arial"/>
          <w:b/>
          <w:lang w:val="es-ES"/>
        </w:rPr>
      </w:pPr>
    </w:p>
    <w:p w:rsidR="00171AF1" w:rsidRPr="00624C62" w:rsidRDefault="00171AF1" w:rsidP="00171AF1">
      <w:pPr>
        <w:tabs>
          <w:tab w:val="left" w:pos="1440"/>
          <w:tab w:val="left" w:pos="3060"/>
        </w:tabs>
        <w:jc w:val="center"/>
        <w:rPr>
          <w:rFonts w:ascii="Arial" w:hAnsi="Arial" w:cs="Arial"/>
        </w:rPr>
      </w:pPr>
    </w:p>
    <w:p w:rsidR="00171AF1" w:rsidRPr="00624C62" w:rsidRDefault="00171AF1" w:rsidP="00171AF1">
      <w:pPr>
        <w:tabs>
          <w:tab w:val="left" w:pos="1440"/>
          <w:tab w:val="left" w:pos="3060"/>
        </w:tabs>
        <w:jc w:val="center"/>
        <w:rPr>
          <w:rFonts w:ascii="Arial" w:hAnsi="Arial" w:cs="Arial"/>
        </w:rPr>
      </w:pPr>
    </w:p>
    <w:p w:rsidR="00171AF1" w:rsidRPr="00624C62" w:rsidRDefault="00171AF1" w:rsidP="00171AF1">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sz w:val="22"/>
          <w:szCs w:val="22"/>
          <w:lang w:val="es-ES"/>
        </w:rPr>
      </w:pPr>
      <w:r w:rsidRPr="00624C62">
        <w:rPr>
          <w:rFonts w:ascii="Arial" w:eastAsia="Calibri" w:hAnsi="Arial" w:cs="Arial"/>
          <w:lang w:val="es-ES"/>
        </w:rPr>
        <w:t>Este doc</w:t>
      </w:r>
      <w:r w:rsidR="00042747" w:rsidRPr="00624C62">
        <w:rPr>
          <w:rFonts w:ascii="Arial" w:eastAsia="Calibri" w:hAnsi="Arial" w:cs="Arial"/>
          <w:lang w:val="es-ES"/>
        </w:rPr>
        <w:t xml:space="preserve">umento fue preparado por: </w:t>
      </w:r>
      <w:r w:rsidR="00274DF7">
        <w:rPr>
          <w:rFonts w:ascii="Arial" w:eastAsia="Calibri" w:hAnsi="Arial" w:cs="Arial"/>
          <w:lang w:val="es-ES"/>
        </w:rPr>
        <w:t>Alejandro Cid (consultor)</w:t>
      </w:r>
      <w:r w:rsidR="00AA227C">
        <w:rPr>
          <w:rFonts w:ascii="Arial" w:eastAsia="Calibri" w:hAnsi="Arial" w:cs="Arial"/>
          <w:lang w:val="es-ES"/>
        </w:rPr>
        <w:t xml:space="preserve">, </w:t>
      </w:r>
      <w:r w:rsidR="00166B06">
        <w:rPr>
          <w:rFonts w:ascii="Arial" w:eastAsia="Calibri" w:hAnsi="Arial" w:cs="Arial"/>
          <w:lang w:val="es-ES"/>
        </w:rPr>
        <w:t>24</w:t>
      </w:r>
      <w:r w:rsidRPr="00624C62">
        <w:rPr>
          <w:rFonts w:ascii="Arial" w:eastAsia="Calibri" w:hAnsi="Arial" w:cs="Arial"/>
          <w:lang w:val="es-ES"/>
        </w:rPr>
        <w:t xml:space="preserve"> de </w:t>
      </w:r>
      <w:r w:rsidR="00182256">
        <w:rPr>
          <w:rFonts w:ascii="Arial" w:eastAsia="Calibri" w:hAnsi="Arial" w:cs="Arial"/>
          <w:lang w:val="es-ES"/>
        </w:rPr>
        <w:t>septiembre</w:t>
      </w:r>
      <w:r w:rsidRPr="00624C62">
        <w:rPr>
          <w:rFonts w:ascii="Arial" w:eastAsia="Calibri" w:hAnsi="Arial" w:cs="Arial"/>
          <w:lang w:val="es-ES"/>
        </w:rPr>
        <w:t xml:space="preserve"> de 2016</w:t>
      </w:r>
    </w:p>
    <w:p w:rsidR="00171AF1" w:rsidRPr="00AA227C" w:rsidRDefault="00171AF1" w:rsidP="00274DF7">
      <w:pPr>
        <w:pStyle w:val="ListParagraph"/>
        <w:numPr>
          <w:ilvl w:val="0"/>
          <w:numId w:val="1"/>
        </w:numPr>
        <w:contextualSpacing w:val="0"/>
        <w:jc w:val="center"/>
        <w:rPr>
          <w:rFonts w:ascii="Arial" w:hAnsi="Arial" w:cs="Arial"/>
          <w:b/>
        </w:rPr>
      </w:pPr>
      <w:r w:rsidRPr="00624C62">
        <w:rPr>
          <w:rFonts w:ascii="Arial" w:hAnsi="Arial" w:cs="Arial"/>
          <w:sz w:val="24"/>
        </w:rPr>
        <w:br w:type="page"/>
      </w:r>
      <w:r w:rsidR="00F63240" w:rsidRPr="00AA227C">
        <w:rPr>
          <w:rFonts w:ascii="Arial" w:hAnsi="Arial" w:cs="Arial"/>
          <w:b/>
        </w:rPr>
        <w:lastRenderedPageBreak/>
        <w:t>INTRODUCCIÓN</w:t>
      </w:r>
    </w:p>
    <w:p w:rsidR="00171AF1" w:rsidRPr="00AA227C" w:rsidRDefault="00171AF1" w:rsidP="003B5108">
      <w:pPr>
        <w:pStyle w:val="ListParagraph"/>
        <w:numPr>
          <w:ilvl w:val="1"/>
          <w:numId w:val="2"/>
        </w:numPr>
        <w:spacing w:before="120" w:after="120" w:line="240" w:lineRule="auto"/>
        <w:ind w:hanging="720"/>
        <w:contextualSpacing w:val="0"/>
        <w:jc w:val="both"/>
        <w:rPr>
          <w:rFonts w:ascii="Arial" w:hAnsi="Arial" w:cs="Arial"/>
        </w:rPr>
      </w:pPr>
      <w:r w:rsidRPr="00AA227C">
        <w:rPr>
          <w:rFonts w:ascii="Arial" w:hAnsi="Arial" w:cs="Arial"/>
          <w:b/>
        </w:rPr>
        <w:t>Este anexo técnico ofrece un análisis costo-benefic</w:t>
      </w:r>
      <w:r w:rsidR="00F63240" w:rsidRPr="00AA227C">
        <w:rPr>
          <w:rFonts w:ascii="Arial" w:hAnsi="Arial" w:cs="Arial"/>
          <w:b/>
        </w:rPr>
        <w:t>io (ACB</w:t>
      </w:r>
      <w:r w:rsidR="008E10EB" w:rsidRPr="00AA227C">
        <w:rPr>
          <w:rFonts w:ascii="Arial" w:hAnsi="Arial" w:cs="Arial"/>
          <w:b/>
        </w:rPr>
        <w:t>) del Programa Integral de Seguridad Ciudadana</w:t>
      </w:r>
      <w:r w:rsidR="00F63240" w:rsidRPr="00AA227C">
        <w:rPr>
          <w:rFonts w:ascii="Arial" w:hAnsi="Arial" w:cs="Arial"/>
        </w:rPr>
        <w:t>. Este ACB</w:t>
      </w:r>
      <w:r w:rsidRPr="00AA227C">
        <w:rPr>
          <w:rFonts w:ascii="Arial" w:hAnsi="Arial" w:cs="Arial"/>
        </w:rPr>
        <w:t xml:space="preserve"> servirá como insumo técnico para la Propuesta de Desarrollo de la Operación (PDO) y acompañará la documentación del préstamo propuesto por el BID (UR</w:t>
      </w:r>
      <w:r w:rsidR="00642059">
        <w:rPr>
          <w:rFonts w:ascii="Arial" w:hAnsi="Arial" w:cs="Arial"/>
        </w:rPr>
        <w:noBreakHyphen/>
      </w:r>
      <w:r w:rsidRPr="00AA227C">
        <w:rPr>
          <w:rFonts w:ascii="Arial" w:hAnsi="Arial" w:cs="Arial"/>
        </w:rPr>
        <w:t>L1112)</w:t>
      </w:r>
      <w:r w:rsidR="003741B0" w:rsidRPr="00AA227C">
        <w:rPr>
          <w:rFonts w:ascii="Arial" w:hAnsi="Arial" w:cs="Arial"/>
        </w:rPr>
        <w:t>.</w:t>
      </w:r>
    </w:p>
    <w:p w:rsidR="003741B0" w:rsidRPr="00AA227C" w:rsidRDefault="003741B0" w:rsidP="003B5108">
      <w:pPr>
        <w:pStyle w:val="ListParagraph"/>
        <w:numPr>
          <w:ilvl w:val="1"/>
          <w:numId w:val="2"/>
        </w:numPr>
        <w:spacing w:before="120" w:after="120" w:line="240" w:lineRule="auto"/>
        <w:ind w:hanging="720"/>
        <w:contextualSpacing w:val="0"/>
        <w:jc w:val="both"/>
        <w:rPr>
          <w:rFonts w:ascii="Arial" w:hAnsi="Arial" w:cs="Arial"/>
        </w:rPr>
      </w:pPr>
      <w:r w:rsidRPr="00AA227C">
        <w:rPr>
          <w:rFonts w:ascii="Arial" w:hAnsi="Arial" w:cs="Arial"/>
          <w:b/>
        </w:rPr>
        <w:t>El propósito del análisis costo-beneficio</w:t>
      </w:r>
      <w:r w:rsidRPr="00AA227C">
        <w:rPr>
          <w:rFonts w:ascii="Arial" w:hAnsi="Arial" w:cs="Arial"/>
        </w:rPr>
        <w:t xml:space="preserve"> es brindar un conjunto de mediciones cuantitativas. Asociando la cantidad monetaria a cada costo y beneficio permite obtener una e</w:t>
      </w:r>
      <w:r w:rsidR="00642059">
        <w:rPr>
          <w:rFonts w:ascii="Arial" w:hAnsi="Arial" w:cs="Arial"/>
        </w:rPr>
        <w:t xml:space="preserve">stimación del beneficio neto. </w:t>
      </w:r>
      <w:r w:rsidRPr="00AA227C">
        <w:rPr>
          <w:rFonts w:ascii="Arial" w:hAnsi="Arial" w:cs="Arial"/>
        </w:rPr>
        <w:t>En proyectos como este, que se centran en la prevención del delito y la violencia, los beneficios son en su mayoría debido a los daños potenciales evitados o reducidos y las pérdidas relacionadas con el delito y la violencia que se vean afectadas por las intervenciones del proyecto.</w:t>
      </w:r>
    </w:p>
    <w:p w:rsidR="00171AF1" w:rsidRPr="00AA227C" w:rsidRDefault="00F42CDA" w:rsidP="00642059">
      <w:pPr>
        <w:pStyle w:val="ListParagraph"/>
        <w:numPr>
          <w:ilvl w:val="0"/>
          <w:numId w:val="1"/>
        </w:numPr>
        <w:spacing w:before="240" w:after="240" w:line="240" w:lineRule="auto"/>
        <w:contextualSpacing w:val="0"/>
        <w:jc w:val="center"/>
        <w:rPr>
          <w:rFonts w:ascii="Arial" w:hAnsi="Arial" w:cs="Arial"/>
          <w:b/>
          <w:lang w:val="es-ES"/>
        </w:rPr>
      </w:pPr>
      <w:r w:rsidRPr="00AA227C">
        <w:rPr>
          <w:rFonts w:ascii="Arial" w:hAnsi="Arial" w:cs="Arial"/>
          <w:b/>
          <w:lang w:val="es-ES"/>
        </w:rPr>
        <w:t>ESTIMACIÓN DE LOS COSTOS Y BENEFICIOS</w:t>
      </w:r>
    </w:p>
    <w:p w:rsidR="00797FD3" w:rsidRPr="00AA227C" w:rsidRDefault="00F42CDA" w:rsidP="003B5108">
      <w:pPr>
        <w:pStyle w:val="ListParagraph"/>
        <w:numPr>
          <w:ilvl w:val="1"/>
          <w:numId w:val="1"/>
        </w:numPr>
        <w:spacing w:before="120" w:after="120" w:line="240" w:lineRule="auto"/>
        <w:ind w:hanging="720"/>
        <w:contextualSpacing w:val="0"/>
        <w:jc w:val="both"/>
        <w:rPr>
          <w:rFonts w:ascii="Arial" w:hAnsi="Arial" w:cs="Arial"/>
        </w:rPr>
      </w:pPr>
      <w:r w:rsidRPr="00AA227C">
        <w:rPr>
          <w:rFonts w:ascii="Arial" w:hAnsi="Arial" w:cs="Arial"/>
          <w:b/>
        </w:rPr>
        <w:t>Metodología</w:t>
      </w:r>
      <w:r w:rsidRPr="00AA227C">
        <w:rPr>
          <w:rFonts w:ascii="Arial" w:hAnsi="Arial" w:cs="Arial"/>
        </w:rPr>
        <w:t xml:space="preserve">: </w:t>
      </w:r>
      <w:r w:rsidR="000C1669" w:rsidRPr="00AA227C">
        <w:rPr>
          <w:rFonts w:ascii="Arial" w:hAnsi="Arial" w:cs="Arial"/>
        </w:rPr>
        <w:t xml:space="preserve">se aplica aquí lo que se conoce en la literatura como el </w:t>
      </w:r>
      <w:r w:rsidR="000C1669" w:rsidRPr="00642059">
        <w:rPr>
          <w:rFonts w:ascii="Arial" w:hAnsi="Arial" w:cs="Arial"/>
        </w:rPr>
        <w:t>Método Contable.</w:t>
      </w:r>
      <w:r w:rsidR="003A64D1" w:rsidRPr="00AA227C">
        <w:rPr>
          <w:rFonts w:ascii="Arial" w:hAnsi="Arial" w:cs="Arial"/>
        </w:rPr>
        <w:t xml:space="preserve"> Existen otros métodos (como el valoración contingente o el método de los precios hedónicos</w:t>
      </w:r>
      <w:r w:rsidR="00797FD3" w:rsidRPr="00AA227C">
        <w:rPr>
          <w:rFonts w:ascii="Arial" w:hAnsi="Arial" w:cs="Arial"/>
        </w:rPr>
        <w:t>, que reflejan disposición a pagar y preferencias reveladas</w:t>
      </w:r>
      <w:r w:rsidR="003A64D1" w:rsidRPr="00AA227C">
        <w:rPr>
          <w:rFonts w:ascii="Arial" w:hAnsi="Arial" w:cs="Arial"/>
        </w:rPr>
        <w:t>) y todos tienen sus restricciones</w:t>
      </w:r>
      <w:r w:rsidR="00797FD3" w:rsidRPr="00AA227C">
        <w:rPr>
          <w:rFonts w:ascii="Arial" w:hAnsi="Arial" w:cs="Arial"/>
        </w:rPr>
        <w:t xml:space="preserve"> (</w:t>
      </w:r>
      <w:proofErr w:type="spellStart"/>
      <w:r w:rsidR="00797FD3" w:rsidRPr="00AA227C">
        <w:rPr>
          <w:rFonts w:ascii="Arial" w:hAnsi="Arial" w:cs="Arial"/>
        </w:rPr>
        <w:t>Soares</w:t>
      </w:r>
      <w:proofErr w:type="spellEnd"/>
      <w:r w:rsidR="00797FD3" w:rsidRPr="00AA227C">
        <w:rPr>
          <w:rFonts w:ascii="Arial" w:hAnsi="Arial" w:cs="Arial"/>
        </w:rPr>
        <w:t>, 2015). En esta instancia empleamos e</w:t>
      </w:r>
      <w:r w:rsidR="003A64D1" w:rsidRPr="00AA227C">
        <w:rPr>
          <w:rFonts w:ascii="Arial" w:hAnsi="Arial" w:cs="Arial"/>
        </w:rPr>
        <w:t>l Método Contable</w:t>
      </w:r>
      <w:r w:rsidR="00F63240" w:rsidRPr="00AA227C">
        <w:rPr>
          <w:rFonts w:ascii="Arial" w:hAnsi="Arial" w:cs="Arial"/>
        </w:rPr>
        <w:t>:</w:t>
      </w:r>
      <w:r w:rsidR="003A64D1" w:rsidRPr="00AA227C">
        <w:rPr>
          <w:rFonts w:ascii="Arial" w:hAnsi="Arial" w:cs="Arial"/>
        </w:rPr>
        <w:t xml:space="preserve"> es el más usado en la literatura</w:t>
      </w:r>
      <w:r w:rsidR="000C1669" w:rsidRPr="00AA227C">
        <w:rPr>
          <w:rFonts w:ascii="Arial" w:hAnsi="Arial" w:cs="Arial"/>
        </w:rPr>
        <w:t xml:space="preserve"> </w:t>
      </w:r>
      <w:r w:rsidR="00F63240" w:rsidRPr="00AA227C">
        <w:rPr>
          <w:rFonts w:ascii="Arial" w:hAnsi="Arial" w:cs="Arial"/>
        </w:rPr>
        <w:t>y</w:t>
      </w:r>
      <w:r w:rsidR="00797FD3" w:rsidRPr="00AA227C">
        <w:rPr>
          <w:rFonts w:ascii="Arial" w:hAnsi="Arial" w:cs="Arial"/>
        </w:rPr>
        <w:t xml:space="preserve"> está acorde con la disponibilidad de datos con que </w:t>
      </w:r>
      <w:r w:rsidR="003A34AD" w:rsidRPr="00AA227C">
        <w:rPr>
          <w:rFonts w:ascii="Arial" w:hAnsi="Arial" w:cs="Arial"/>
        </w:rPr>
        <w:t xml:space="preserve">se cuenta. Para esto, </w:t>
      </w:r>
      <w:r w:rsidR="003A34AD" w:rsidRPr="00AA227C">
        <w:rPr>
          <w:rFonts w:ascii="Arial" w:hAnsi="Arial" w:cs="Arial"/>
          <w:b/>
        </w:rPr>
        <w:t>seguimos</w:t>
      </w:r>
      <w:r w:rsidR="00797FD3" w:rsidRPr="00AA227C">
        <w:rPr>
          <w:rFonts w:ascii="Arial" w:hAnsi="Arial" w:cs="Arial"/>
          <w:b/>
        </w:rPr>
        <w:t xml:space="preserve"> los siguientes pasos</w:t>
      </w:r>
      <w:r w:rsidR="00797FD3" w:rsidRPr="00AA227C">
        <w:rPr>
          <w:rFonts w:ascii="Arial" w:hAnsi="Arial" w:cs="Arial"/>
        </w:rPr>
        <w:t>:</w:t>
      </w:r>
    </w:p>
    <w:p w:rsidR="00797FD3" w:rsidRPr="00642059" w:rsidRDefault="003A34AD" w:rsidP="003B5108">
      <w:pPr>
        <w:pStyle w:val="ListParagraph"/>
        <w:numPr>
          <w:ilvl w:val="0"/>
          <w:numId w:val="5"/>
        </w:numPr>
        <w:spacing w:before="120" w:after="120" w:line="240" w:lineRule="auto"/>
        <w:ind w:left="1411" w:hanging="691"/>
        <w:contextualSpacing w:val="0"/>
        <w:jc w:val="both"/>
        <w:rPr>
          <w:rFonts w:ascii="Arial" w:hAnsi="Arial" w:cs="Arial"/>
        </w:rPr>
      </w:pPr>
      <w:r w:rsidRPr="00642059">
        <w:rPr>
          <w:rFonts w:ascii="Arial" w:hAnsi="Arial" w:cs="Arial"/>
        </w:rPr>
        <w:t xml:space="preserve">Identificamos la evolución </w:t>
      </w:r>
      <w:r w:rsidR="00F431A2" w:rsidRPr="00642059">
        <w:rPr>
          <w:rFonts w:ascii="Arial" w:hAnsi="Arial" w:cs="Arial"/>
        </w:rPr>
        <w:t xml:space="preserve">en los últimos 6 años (existen datos disponibles sobre delitos desde 2010) </w:t>
      </w:r>
      <w:r w:rsidRPr="00642059">
        <w:rPr>
          <w:rFonts w:ascii="Arial" w:hAnsi="Arial" w:cs="Arial"/>
        </w:rPr>
        <w:t xml:space="preserve">de la </w:t>
      </w:r>
      <w:r w:rsidR="00F431A2" w:rsidRPr="00642059">
        <w:rPr>
          <w:rFonts w:ascii="Arial" w:hAnsi="Arial" w:cs="Arial"/>
        </w:rPr>
        <w:t>variable de resultado en que se focaliza este Programa</w:t>
      </w:r>
      <w:r w:rsidRPr="00642059">
        <w:rPr>
          <w:rFonts w:ascii="Arial" w:hAnsi="Arial" w:cs="Arial"/>
        </w:rPr>
        <w:t xml:space="preserve"> (delitos violentos contra la propiedad) y proyectamos esta evolución para el período del presente programa, es decir, 2017-2021 (la cantidad de delitos violentos contra la propiedad en 2016 también es fruto de una proyección porque todavía no ha cerrado el 2016)</w:t>
      </w:r>
      <w:r w:rsidR="0003712A" w:rsidRPr="00642059">
        <w:rPr>
          <w:rFonts w:ascii="Arial" w:hAnsi="Arial" w:cs="Arial"/>
        </w:rPr>
        <w:t>, también considerando que se podrán seguir constatando beneficios del programa hasta el año 2032 (15 años después del comienzo del programa)</w:t>
      </w:r>
      <w:r w:rsidRPr="00642059">
        <w:rPr>
          <w:rFonts w:ascii="Arial" w:hAnsi="Arial" w:cs="Arial"/>
        </w:rPr>
        <w:t xml:space="preserve">. Estas proyecciones conformarán el escenario </w:t>
      </w:r>
      <w:proofErr w:type="spellStart"/>
      <w:r w:rsidRPr="00642059">
        <w:rPr>
          <w:rFonts w:ascii="Arial" w:hAnsi="Arial" w:cs="Arial"/>
        </w:rPr>
        <w:t>contrafactual</w:t>
      </w:r>
      <w:proofErr w:type="spellEnd"/>
      <w:r w:rsidRPr="00642059">
        <w:rPr>
          <w:rFonts w:ascii="Arial" w:hAnsi="Arial" w:cs="Arial"/>
        </w:rPr>
        <w:t xml:space="preserve"> que supone la ausencia del Programa </w:t>
      </w:r>
      <w:r w:rsidR="008E10EB" w:rsidRPr="00642059">
        <w:rPr>
          <w:rFonts w:ascii="Arial" w:hAnsi="Arial" w:cs="Arial"/>
        </w:rPr>
        <w:t xml:space="preserve">Integral de Seguridad Ciudadana </w:t>
      </w:r>
      <w:r w:rsidRPr="00642059">
        <w:rPr>
          <w:rFonts w:ascii="Arial" w:hAnsi="Arial" w:cs="Arial"/>
        </w:rPr>
        <w:t>(las proyecciones se realizan a partir de la tendencia lineal en función de la serie histórica).</w:t>
      </w:r>
    </w:p>
    <w:p w:rsidR="003A34AD" w:rsidRPr="00642059" w:rsidRDefault="003A34AD" w:rsidP="003B5108">
      <w:pPr>
        <w:pStyle w:val="ListParagraph"/>
        <w:numPr>
          <w:ilvl w:val="0"/>
          <w:numId w:val="5"/>
        </w:numPr>
        <w:spacing w:before="120" w:after="120" w:line="240" w:lineRule="auto"/>
        <w:ind w:left="1411" w:hanging="691"/>
        <w:contextualSpacing w:val="0"/>
        <w:jc w:val="both"/>
        <w:rPr>
          <w:rFonts w:ascii="Arial" w:hAnsi="Arial" w:cs="Arial"/>
        </w:rPr>
      </w:pPr>
      <w:r w:rsidRPr="00642059">
        <w:rPr>
          <w:rFonts w:ascii="Arial" w:hAnsi="Arial" w:cs="Arial"/>
        </w:rPr>
        <w:t xml:space="preserve">Estimamos </w:t>
      </w:r>
      <w:r w:rsidR="00362D37" w:rsidRPr="00642059">
        <w:rPr>
          <w:rFonts w:ascii="Arial" w:hAnsi="Arial" w:cs="Arial"/>
        </w:rPr>
        <w:t>los valores que tomaría la variable de resultado (delitos violentos contra la propiedad) para el período 2017-2021, bajo el escenario que supone presencia del Programa. Esta estimación se realiza aplicando a la serie histórica el impacto esperado del Programa sobre la variable de interés</w:t>
      </w:r>
      <w:r w:rsidR="00014347" w:rsidRPr="00642059">
        <w:rPr>
          <w:rFonts w:ascii="Arial" w:hAnsi="Arial" w:cs="Arial"/>
        </w:rPr>
        <w:t>. Ese impacto esperado proviene de la literatura científica contemporánea</w:t>
      </w:r>
      <w:r w:rsidR="00362D37" w:rsidRPr="00642059">
        <w:rPr>
          <w:rFonts w:ascii="Arial" w:hAnsi="Arial" w:cs="Arial"/>
        </w:rPr>
        <w:t xml:space="preserve"> (</w:t>
      </w:r>
      <w:r w:rsidR="00991737" w:rsidRPr="00642059">
        <w:rPr>
          <w:rFonts w:ascii="Arial" w:hAnsi="Arial" w:cs="Arial"/>
        </w:rPr>
        <w:t xml:space="preserve">tomando un criterio conservador, optamos por trabajar con una tasa de impacto de </w:t>
      </w:r>
      <w:r w:rsidR="00362D37" w:rsidRPr="00642059">
        <w:rPr>
          <w:rFonts w:ascii="Arial" w:hAnsi="Arial" w:cs="Arial"/>
        </w:rPr>
        <w:t>20%</w:t>
      </w:r>
      <w:r w:rsidR="0003712A" w:rsidRPr="00642059">
        <w:rPr>
          <w:rFonts w:ascii="Arial" w:hAnsi="Arial" w:cs="Arial"/>
        </w:rPr>
        <w:t xml:space="preserve">, sensiblemente menor a la </w:t>
      </w:r>
      <w:r w:rsidR="00991737" w:rsidRPr="00642059">
        <w:rPr>
          <w:rFonts w:ascii="Arial" w:hAnsi="Arial" w:cs="Arial"/>
        </w:rPr>
        <w:t>que sugiere la literatu</w:t>
      </w:r>
      <w:r w:rsidR="0003712A" w:rsidRPr="00642059">
        <w:rPr>
          <w:rFonts w:ascii="Arial" w:hAnsi="Arial" w:cs="Arial"/>
        </w:rPr>
        <w:t xml:space="preserve">ra, cfr. </w:t>
      </w:r>
      <w:proofErr w:type="spellStart"/>
      <w:r w:rsidR="0003712A" w:rsidRPr="00642059">
        <w:rPr>
          <w:rFonts w:ascii="Arial" w:hAnsi="Arial" w:cs="Arial"/>
        </w:rPr>
        <w:t>nn</w:t>
      </w:r>
      <w:proofErr w:type="spellEnd"/>
      <w:r w:rsidR="0003712A" w:rsidRPr="00642059">
        <w:rPr>
          <w:rFonts w:ascii="Arial" w:hAnsi="Arial" w:cs="Arial"/>
        </w:rPr>
        <w:t>. 3.2 y 4.2</w:t>
      </w:r>
      <w:r w:rsidR="00362D37" w:rsidRPr="00642059">
        <w:rPr>
          <w:rFonts w:ascii="Arial" w:hAnsi="Arial" w:cs="Arial"/>
        </w:rPr>
        <w:t>).</w:t>
      </w:r>
    </w:p>
    <w:p w:rsidR="0039571F" w:rsidRPr="00642059" w:rsidRDefault="0039571F" w:rsidP="003B5108">
      <w:pPr>
        <w:pStyle w:val="ListParagraph"/>
        <w:numPr>
          <w:ilvl w:val="0"/>
          <w:numId w:val="5"/>
        </w:numPr>
        <w:spacing w:before="120" w:after="120" w:line="240" w:lineRule="auto"/>
        <w:ind w:left="1418" w:hanging="698"/>
        <w:contextualSpacing w:val="0"/>
        <w:jc w:val="both"/>
        <w:rPr>
          <w:rFonts w:ascii="Arial" w:hAnsi="Arial" w:cs="Arial"/>
        </w:rPr>
      </w:pPr>
      <w:r w:rsidRPr="00642059">
        <w:rPr>
          <w:rFonts w:ascii="Arial" w:hAnsi="Arial" w:cs="Arial"/>
        </w:rPr>
        <w:t xml:space="preserve">Obtenemos el costo medio de la variable de interés (es decir, el costo medio del delito) para el período 2017-2021. Para esto emplearemos el documento de trabajo del BID (IADB-WP-408) de </w:t>
      </w:r>
      <w:proofErr w:type="spellStart"/>
      <w:r w:rsidRPr="00642059">
        <w:rPr>
          <w:rFonts w:ascii="Arial" w:hAnsi="Arial" w:cs="Arial"/>
        </w:rPr>
        <w:t>Aboal</w:t>
      </w:r>
      <w:proofErr w:type="spellEnd"/>
      <w:r w:rsidRPr="00642059">
        <w:rPr>
          <w:rFonts w:ascii="Arial" w:hAnsi="Arial" w:cs="Arial"/>
        </w:rPr>
        <w:t xml:space="preserve">, </w:t>
      </w:r>
      <w:proofErr w:type="spellStart"/>
      <w:r w:rsidRPr="00642059">
        <w:rPr>
          <w:rFonts w:ascii="Arial" w:hAnsi="Arial" w:cs="Arial"/>
        </w:rPr>
        <w:t>Campanella</w:t>
      </w:r>
      <w:proofErr w:type="spellEnd"/>
      <w:r w:rsidRPr="00642059">
        <w:rPr>
          <w:rFonts w:ascii="Arial" w:hAnsi="Arial" w:cs="Arial"/>
        </w:rPr>
        <w:t xml:space="preserve"> y </w:t>
      </w:r>
      <w:proofErr w:type="spellStart"/>
      <w:r w:rsidRPr="00642059">
        <w:rPr>
          <w:rFonts w:ascii="Arial" w:hAnsi="Arial" w:cs="Arial"/>
        </w:rPr>
        <w:t>Lanzinotta</w:t>
      </w:r>
      <w:proofErr w:type="spellEnd"/>
      <w:r w:rsidRPr="00642059">
        <w:rPr>
          <w:rFonts w:ascii="Arial" w:hAnsi="Arial" w:cs="Arial"/>
        </w:rPr>
        <w:t xml:space="preserve"> (2013): los autores calculan el costo del crimen en Uruguay en términos monetarios, y nosotros actualizamos esos valores</w:t>
      </w:r>
      <w:r w:rsidR="0003712A" w:rsidRPr="00642059">
        <w:rPr>
          <w:rFonts w:ascii="Arial" w:hAnsi="Arial" w:cs="Arial"/>
        </w:rPr>
        <w:t xml:space="preserve"> para el período 2017-2032</w:t>
      </w:r>
      <w:r w:rsidRPr="00642059">
        <w:rPr>
          <w:rFonts w:ascii="Arial" w:hAnsi="Arial" w:cs="Arial"/>
        </w:rPr>
        <w:t>.</w:t>
      </w:r>
    </w:p>
    <w:p w:rsidR="00362D37" w:rsidRPr="00642059" w:rsidRDefault="0065706A" w:rsidP="003B5108">
      <w:pPr>
        <w:pStyle w:val="ListParagraph"/>
        <w:numPr>
          <w:ilvl w:val="0"/>
          <w:numId w:val="5"/>
        </w:numPr>
        <w:spacing w:before="120" w:after="120" w:line="240" w:lineRule="auto"/>
        <w:ind w:left="1418" w:hanging="698"/>
        <w:contextualSpacing w:val="0"/>
        <w:jc w:val="both"/>
        <w:rPr>
          <w:rFonts w:ascii="Arial" w:hAnsi="Arial" w:cs="Arial"/>
        </w:rPr>
      </w:pPr>
      <w:r w:rsidRPr="00642059">
        <w:rPr>
          <w:rFonts w:ascii="Arial" w:hAnsi="Arial" w:cs="Arial"/>
        </w:rPr>
        <w:t xml:space="preserve">Calculamos el costo total anual de los valores de la variable de interés (delitos violentos contra la propiedad) en ausencia del Programa. Este </w:t>
      </w:r>
      <w:r w:rsidRPr="00642059">
        <w:rPr>
          <w:rFonts w:ascii="Arial" w:hAnsi="Arial" w:cs="Arial"/>
        </w:rPr>
        <w:lastRenderedPageBreak/>
        <w:t>cálculo se obtiene multiplicando el costo medio de la variable de interés por el valor que tomaría para cada año</w:t>
      </w:r>
      <w:r w:rsidR="0039571F" w:rsidRPr="00642059">
        <w:rPr>
          <w:rFonts w:ascii="Arial" w:hAnsi="Arial" w:cs="Arial"/>
        </w:rPr>
        <w:t xml:space="preserve"> proyectado la variable de interés, en</w:t>
      </w:r>
      <w:r w:rsidRPr="00642059">
        <w:rPr>
          <w:rFonts w:ascii="Arial" w:hAnsi="Arial" w:cs="Arial"/>
        </w:rPr>
        <w:t xml:space="preserve"> ausencia del Programa</w:t>
      </w:r>
      <w:r w:rsidR="0039571F" w:rsidRPr="00642059">
        <w:rPr>
          <w:rFonts w:ascii="Arial" w:hAnsi="Arial" w:cs="Arial"/>
        </w:rPr>
        <w:t>.</w:t>
      </w:r>
    </w:p>
    <w:p w:rsidR="00B61A54" w:rsidRPr="00642059" w:rsidRDefault="00B61A54" w:rsidP="003B5108">
      <w:pPr>
        <w:pStyle w:val="ListParagraph"/>
        <w:numPr>
          <w:ilvl w:val="0"/>
          <w:numId w:val="5"/>
        </w:numPr>
        <w:spacing w:before="120" w:after="120" w:line="240" w:lineRule="auto"/>
        <w:ind w:left="1418" w:hanging="698"/>
        <w:contextualSpacing w:val="0"/>
        <w:jc w:val="both"/>
        <w:rPr>
          <w:rFonts w:ascii="Arial" w:hAnsi="Arial" w:cs="Arial"/>
        </w:rPr>
      </w:pPr>
      <w:r w:rsidRPr="00642059">
        <w:rPr>
          <w:rFonts w:ascii="Arial" w:hAnsi="Arial" w:cs="Arial"/>
        </w:rPr>
        <w:t>Calculamos el costo total anual de los valores de la variable de interés (delitos violentos contra la propiedad) en presencia del Programa. Este cálculo se obtiene multiplicando el costo medio de la variable de interés por el valor que tomaría para cada año proyectado la variable de interés, en presencia del Programa.</w:t>
      </w:r>
    </w:p>
    <w:p w:rsidR="00B61A54" w:rsidRPr="00642059" w:rsidRDefault="00A05601" w:rsidP="003B5108">
      <w:pPr>
        <w:pStyle w:val="ListParagraph"/>
        <w:numPr>
          <w:ilvl w:val="0"/>
          <w:numId w:val="5"/>
        </w:numPr>
        <w:spacing w:before="120" w:after="120" w:line="240" w:lineRule="auto"/>
        <w:ind w:left="1418" w:hanging="698"/>
        <w:contextualSpacing w:val="0"/>
        <w:jc w:val="both"/>
        <w:rPr>
          <w:rFonts w:ascii="Arial" w:hAnsi="Arial" w:cs="Arial"/>
        </w:rPr>
      </w:pPr>
      <w:r w:rsidRPr="00642059">
        <w:rPr>
          <w:rFonts w:ascii="Arial" w:hAnsi="Arial" w:cs="Arial"/>
        </w:rPr>
        <w:t>Obten</w:t>
      </w:r>
      <w:r w:rsidR="00B61A54" w:rsidRPr="00642059">
        <w:rPr>
          <w:rFonts w:ascii="Arial" w:hAnsi="Arial" w:cs="Arial"/>
        </w:rPr>
        <w:t xml:space="preserve">emos el Valor Presente Neto </w:t>
      </w:r>
      <w:r w:rsidR="009A730B" w:rsidRPr="00642059">
        <w:rPr>
          <w:rFonts w:ascii="Arial" w:hAnsi="Arial" w:cs="Arial"/>
        </w:rPr>
        <w:t xml:space="preserve">del beneficio </w:t>
      </w:r>
      <w:r w:rsidR="00B61A54" w:rsidRPr="00642059">
        <w:rPr>
          <w:rFonts w:ascii="Arial" w:hAnsi="Arial" w:cs="Arial"/>
        </w:rPr>
        <w:t xml:space="preserve">del Programa, trayendo al presente la diferencia entre el costo total </w:t>
      </w:r>
      <w:r w:rsidR="009A730B" w:rsidRPr="00642059">
        <w:rPr>
          <w:rFonts w:ascii="Arial" w:hAnsi="Arial" w:cs="Arial"/>
        </w:rPr>
        <w:t xml:space="preserve">de los delitos violentos contra la propiedad </w:t>
      </w:r>
      <w:r w:rsidR="00B61A54" w:rsidRPr="00642059">
        <w:rPr>
          <w:rFonts w:ascii="Arial" w:hAnsi="Arial" w:cs="Arial"/>
        </w:rPr>
        <w:t xml:space="preserve">con Programa y el costo total </w:t>
      </w:r>
      <w:r w:rsidR="009A730B" w:rsidRPr="00642059">
        <w:rPr>
          <w:rFonts w:ascii="Arial" w:hAnsi="Arial" w:cs="Arial"/>
        </w:rPr>
        <w:t xml:space="preserve">de estos delitos </w:t>
      </w:r>
      <w:r w:rsidR="00B61A54" w:rsidRPr="00642059">
        <w:rPr>
          <w:rFonts w:ascii="Arial" w:hAnsi="Arial" w:cs="Arial"/>
        </w:rPr>
        <w:t>sin Programa</w:t>
      </w:r>
      <w:r w:rsidR="009A730B" w:rsidRPr="00642059">
        <w:rPr>
          <w:rFonts w:ascii="Arial" w:hAnsi="Arial" w:cs="Arial"/>
        </w:rPr>
        <w:t>,</w:t>
      </w:r>
      <w:r w:rsidR="00B61A54" w:rsidRPr="00642059">
        <w:rPr>
          <w:rFonts w:ascii="Arial" w:hAnsi="Arial" w:cs="Arial"/>
        </w:rPr>
        <w:t xml:space="preserve"> </w:t>
      </w:r>
      <w:r w:rsidR="009A730B" w:rsidRPr="00642059">
        <w:rPr>
          <w:rFonts w:ascii="Arial" w:hAnsi="Arial" w:cs="Arial"/>
        </w:rPr>
        <w:t>en los años 2017-2021</w:t>
      </w:r>
      <w:r w:rsidR="000B62F5" w:rsidRPr="00642059">
        <w:rPr>
          <w:rFonts w:ascii="Arial" w:hAnsi="Arial" w:cs="Arial"/>
        </w:rPr>
        <w:t xml:space="preserve"> (también considerando que se podrán seguir constatando beneficios del programa hasta el año 2032, 15 años después del comienzo del programa)</w:t>
      </w:r>
      <w:r w:rsidR="009A730B" w:rsidRPr="00642059">
        <w:rPr>
          <w:rFonts w:ascii="Arial" w:hAnsi="Arial" w:cs="Arial"/>
        </w:rPr>
        <w:t>, y comparándolo con los desembolsos que implica el Programa (el presupuesto asignado a la intervención). Con estos da</w:t>
      </w:r>
      <w:r w:rsidRPr="00642059">
        <w:rPr>
          <w:rFonts w:ascii="Arial" w:hAnsi="Arial" w:cs="Arial"/>
        </w:rPr>
        <w:t>tos estima</w:t>
      </w:r>
      <w:r w:rsidR="009A730B" w:rsidRPr="00642059">
        <w:rPr>
          <w:rFonts w:ascii="Arial" w:hAnsi="Arial" w:cs="Arial"/>
        </w:rPr>
        <w:t>mos la razón beneficio</w:t>
      </w:r>
      <w:r w:rsidR="00A80603" w:rsidRPr="00642059">
        <w:rPr>
          <w:rFonts w:ascii="Arial" w:hAnsi="Arial" w:cs="Arial"/>
        </w:rPr>
        <w:t xml:space="preserve"> costo</w:t>
      </w:r>
      <w:r w:rsidR="009A730B" w:rsidRPr="00642059">
        <w:rPr>
          <w:rFonts w:ascii="Arial" w:hAnsi="Arial" w:cs="Arial"/>
        </w:rPr>
        <w:t xml:space="preserve"> (es el cociente entre las diferencias de costos en ausencia y en presencia del programa, y el presupuesto asignado a la intervención</w:t>
      </w:r>
      <w:r w:rsidR="00ED08AC" w:rsidRPr="00642059">
        <w:rPr>
          <w:rFonts w:ascii="Arial" w:hAnsi="Arial" w:cs="Arial"/>
        </w:rPr>
        <w:t>, todo con valores actualizados al comienzo del programa</w:t>
      </w:r>
      <w:r w:rsidR="009A730B" w:rsidRPr="00642059">
        <w:rPr>
          <w:rFonts w:ascii="Arial" w:hAnsi="Arial" w:cs="Arial"/>
        </w:rPr>
        <w:t xml:space="preserve">).  </w:t>
      </w:r>
    </w:p>
    <w:p w:rsidR="00A05601" w:rsidRPr="00642059" w:rsidRDefault="00A05601" w:rsidP="003B5108">
      <w:pPr>
        <w:pStyle w:val="ListParagraph"/>
        <w:numPr>
          <w:ilvl w:val="0"/>
          <w:numId w:val="5"/>
        </w:numPr>
        <w:spacing w:before="120" w:after="120" w:line="240" w:lineRule="auto"/>
        <w:ind w:left="1418" w:hanging="698"/>
        <w:contextualSpacing w:val="0"/>
        <w:jc w:val="both"/>
        <w:rPr>
          <w:rFonts w:ascii="Arial" w:hAnsi="Arial" w:cs="Arial"/>
        </w:rPr>
      </w:pPr>
      <w:r w:rsidRPr="00642059">
        <w:rPr>
          <w:rFonts w:ascii="Arial" w:hAnsi="Arial" w:cs="Arial"/>
        </w:rPr>
        <w:t>Finalmente, realizamos análisis de sensibilidad considerando la posibilidad de que los impa</w:t>
      </w:r>
      <w:r w:rsidR="00ED08AC" w:rsidRPr="00642059">
        <w:rPr>
          <w:rFonts w:ascii="Arial" w:hAnsi="Arial" w:cs="Arial"/>
        </w:rPr>
        <w:t>ctos sean más pequeños</w:t>
      </w:r>
      <w:r w:rsidRPr="00642059">
        <w:rPr>
          <w:rFonts w:ascii="Arial" w:hAnsi="Arial" w:cs="Arial"/>
        </w:rPr>
        <w:t>.</w:t>
      </w:r>
    </w:p>
    <w:p w:rsidR="00BC1853" w:rsidRPr="00AA227C" w:rsidRDefault="00B31B67" w:rsidP="003B5108">
      <w:pPr>
        <w:pStyle w:val="ListParagraph"/>
        <w:numPr>
          <w:ilvl w:val="0"/>
          <w:numId w:val="9"/>
        </w:numPr>
        <w:spacing w:before="120" w:after="120" w:line="240" w:lineRule="auto"/>
        <w:ind w:left="720" w:hanging="720"/>
        <w:contextualSpacing w:val="0"/>
        <w:jc w:val="both"/>
        <w:rPr>
          <w:rFonts w:ascii="Arial" w:hAnsi="Arial" w:cs="Arial"/>
          <w:lang w:val="es-ES"/>
        </w:rPr>
      </w:pPr>
      <w:r w:rsidRPr="00AA227C">
        <w:rPr>
          <w:rFonts w:ascii="Arial" w:hAnsi="Arial" w:cs="Arial"/>
          <w:b/>
          <w:lang w:val="es-ES"/>
        </w:rPr>
        <w:t>Variables que integran el costo del delito</w:t>
      </w:r>
      <w:r w:rsidR="003066E8" w:rsidRPr="00AA227C">
        <w:rPr>
          <w:rFonts w:ascii="Arial" w:hAnsi="Arial" w:cs="Arial"/>
          <w:lang w:val="es-ES"/>
        </w:rPr>
        <w:t xml:space="preserve"> </w:t>
      </w:r>
    </w:p>
    <w:p w:rsidR="00765A3B" w:rsidRPr="00642059" w:rsidRDefault="00BC1853" w:rsidP="003B5108">
      <w:pPr>
        <w:pStyle w:val="ListParagraph"/>
        <w:numPr>
          <w:ilvl w:val="1"/>
          <w:numId w:val="1"/>
        </w:numPr>
        <w:spacing w:before="120" w:after="120" w:line="240" w:lineRule="auto"/>
        <w:ind w:hanging="720"/>
        <w:contextualSpacing w:val="0"/>
        <w:jc w:val="both"/>
        <w:rPr>
          <w:rFonts w:ascii="Arial" w:hAnsi="Arial" w:cs="Arial"/>
        </w:rPr>
      </w:pPr>
      <w:r w:rsidRPr="00AA227C">
        <w:rPr>
          <w:rFonts w:ascii="Arial" w:hAnsi="Arial" w:cs="Arial"/>
        </w:rPr>
        <w:t xml:space="preserve">Entre los costos considerados se incluyen, siguiendo a </w:t>
      </w:r>
      <w:proofErr w:type="spellStart"/>
      <w:r w:rsidRPr="00AA227C">
        <w:rPr>
          <w:rFonts w:ascii="Arial" w:hAnsi="Arial" w:cs="Arial"/>
        </w:rPr>
        <w:t>Aboal</w:t>
      </w:r>
      <w:proofErr w:type="spellEnd"/>
      <w:r w:rsidRPr="00AA227C">
        <w:rPr>
          <w:rFonts w:ascii="Arial" w:hAnsi="Arial" w:cs="Arial"/>
        </w:rPr>
        <w:t xml:space="preserve">, </w:t>
      </w:r>
      <w:proofErr w:type="spellStart"/>
      <w:r w:rsidRPr="00AA227C">
        <w:rPr>
          <w:rFonts w:ascii="Arial" w:hAnsi="Arial" w:cs="Arial"/>
        </w:rPr>
        <w:t>Campanella</w:t>
      </w:r>
      <w:proofErr w:type="spellEnd"/>
      <w:r w:rsidRPr="00AA227C">
        <w:rPr>
          <w:rFonts w:ascii="Arial" w:hAnsi="Arial" w:cs="Arial"/>
        </w:rPr>
        <w:t xml:space="preserve"> y </w:t>
      </w:r>
      <w:proofErr w:type="spellStart"/>
      <w:r w:rsidRPr="00AA227C">
        <w:rPr>
          <w:rFonts w:ascii="Arial" w:hAnsi="Arial" w:cs="Arial"/>
        </w:rPr>
        <w:t>Lanzino</w:t>
      </w:r>
      <w:r w:rsidRPr="00642059">
        <w:rPr>
          <w:rFonts w:ascii="Arial" w:hAnsi="Arial" w:cs="Arial"/>
        </w:rPr>
        <w:t>tta</w:t>
      </w:r>
      <w:proofErr w:type="spellEnd"/>
      <w:r w:rsidRPr="00642059">
        <w:rPr>
          <w:rFonts w:ascii="Arial" w:hAnsi="Arial" w:cs="Arial"/>
        </w:rPr>
        <w:t xml:space="preserve"> (2013), costos de seguridad y prevención del delito, de justicia, reclusión y rehabilitación de reclusos, costos de bienes robados, costos de salud y por pérdida de vidas a consecuencia de la violencia, y costos asociados a la pérdida de tiempo productivo en prisión de los reclusos. Para esto </w:t>
      </w:r>
      <w:proofErr w:type="spellStart"/>
      <w:r w:rsidRPr="00642059">
        <w:rPr>
          <w:rFonts w:ascii="Arial" w:hAnsi="Arial" w:cs="Arial"/>
        </w:rPr>
        <w:t>Aboal</w:t>
      </w:r>
      <w:proofErr w:type="spellEnd"/>
      <w:r w:rsidRPr="00642059">
        <w:rPr>
          <w:rFonts w:ascii="Arial" w:hAnsi="Arial" w:cs="Arial"/>
        </w:rPr>
        <w:t xml:space="preserve">, </w:t>
      </w:r>
      <w:proofErr w:type="spellStart"/>
      <w:r w:rsidRPr="00642059">
        <w:rPr>
          <w:rFonts w:ascii="Arial" w:hAnsi="Arial" w:cs="Arial"/>
        </w:rPr>
        <w:t>Campanella</w:t>
      </w:r>
      <w:proofErr w:type="spellEnd"/>
      <w:r w:rsidRPr="00642059">
        <w:rPr>
          <w:rFonts w:ascii="Arial" w:hAnsi="Arial" w:cs="Arial"/>
        </w:rPr>
        <w:t xml:space="preserve"> y </w:t>
      </w:r>
      <w:proofErr w:type="spellStart"/>
      <w:r w:rsidRPr="00642059">
        <w:rPr>
          <w:rFonts w:ascii="Arial" w:hAnsi="Arial" w:cs="Arial"/>
        </w:rPr>
        <w:t>Lanzinotta</w:t>
      </w:r>
      <w:proofErr w:type="spellEnd"/>
      <w:r w:rsidRPr="00642059">
        <w:rPr>
          <w:rFonts w:ascii="Arial" w:hAnsi="Arial" w:cs="Arial"/>
        </w:rPr>
        <w:t xml:space="preserve"> (2013) utilizan una variedad de fuentes de información y metodologías. Aun cuando se han cubierto un rango importante de costos, no se ha abarcado el universo de los mismos debido a limitaciones de información. </w:t>
      </w:r>
      <w:r w:rsidR="00390DD4" w:rsidRPr="00642059">
        <w:rPr>
          <w:rFonts w:ascii="Arial" w:hAnsi="Arial" w:cs="Arial"/>
        </w:rPr>
        <w:t>Por ejemplo, no se tienen datos sobre los efectos secundarios del delito en el mercado laboral</w:t>
      </w:r>
      <w:r w:rsidR="00765A3B" w:rsidRPr="00642059">
        <w:rPr>
          <w:rFonts w:ascii="Arial" w:hAnsi="Arial" w:cs="Arial"/>
        </w:rPr>
        <w:t xml:space="preserve"> (impacto en la productividad, en las horas de ocupación, </w:t>
      </w:r>
      <w:r w:rsidR="00216556" w:rsidRPr="00642059">
        <w:rPr>
          <w:rFonts w:ascii="Arial" w:hAnsi="Arial" w:cs="Arial"/>
        </w:rPr>
        <w:t xml:space="preserve">en la estado psicológico, </w:t>
      </w:r>
      <w:r w:rsidR="00765A3B" w:rsidRPr="00642059">
        <w:rPr>
          <w:rFonts w:ascii="Arial" w:hAnsi="Arial" w:cs="Arial"/>
        </w:rPr>
        <w:t>etc.)</w:t>
      </w:r>
      <w:r w:rsidR="00390DD4" w:rsidRPr="00642059">
        <w:rPr>
          <w:rFonts w:ascii="Arial" w:hAnsi="Arial" w:cs="Arial"/>
        </w:rPr>
        <w:t>, en el clima de negocios, en la atracción de turismo, y en el comportamiento individual (</w:t>
      </w:r>
      <w:proofErr w:type="spellStart"/>
      <w:r w:rsidR="00390DD4" w:rsidRPr="00642059">
        <w:rPr>
          <w:rFonts w:ascii="Arial" w:hAnsi="Arial" w:cs="Arial"/>
        </w:rPr>
        <w:t>Soares</w:t>
      </w:r>
      <w:proofErr w:type="spellEnd"/>
      <w:r w:rsidR="00390DD4" w:rsidRPr="00642059">
        <w:rPr>
          <w:rFonts w:ascii="Arial" w:hAnsi="Arial" w:cs="Arial"/>
        </w:rPr>
        <w:t xml:space="preserve">, 2015). </w:t>
      </w:r>
      <w:r w:rsidR="006D3F64" w:rsidRPr="00642059">
        <w:rPr>
          <w:rFonts w:ascii="Arial" w:hAnsi="Arial" w:cs="Arial"/>
        </w:rPr>
        <w:t>Otra limitación a tener en cuenta es que los cálculos realizados tienen un enfoque estático, no dinámico (es decir, no se toma en cuenta los efectos del delito en la acumulación futura de capital humano, etc.)</w:t>
      </w:r>
      <w:r w:rsidR="00E1070E" w:rsidRPr="00642059">
        <w:rPr>
          <w:rFonts w:ascii="Arial" w:hAnsi="Arial" w:cs="Arial"/>
        </w:rPr>
        <w:t xml:space="preserve"> y no tienen en cuenta cambios en la conducta de las personas que afectan su bienestar (como el cambio en los hábitos de recreación y gasto por miedo al delito)</w:t>
      </w:r>
      <w:r w:rsidR="006D3F64" w:rsidRPr="00642059">
        <w:rPr>
          <w:rFonts w:ascii="Arial" w:hAnsi="Arial" w:cs="Arial"/>
        </w:rPr>
        <w:t xml:space="preserve">. </w:t>
      </w:r>
      <w:r w:rsidRPr="00642059">
        <w:rPr>
          <w:rFonts w:ascii="Arial" w:hAnsi="Arial" w:cs="Arial"/>
        </w:rPr>
        <w:t>Por tanto, las estim</w:t>
      </w:r>
      <w:r w:rsidR="006D3F64" w:rsidRPr="00642059">
        <w:rPr>
          <w:rFonts w:ascii="Arial" w:hAnsi="Arial" w:cs="Arial"/>
        </w:rPr>
        <w:t>aciones podrían</w:t>
      </w:r>
      <w:r w:rsidRPr="00642059">
        <w:rPr>
          <w:rFonts w:ascii="Arial" w:hAnsi="Arial" w:cs="Arial"/>
        </w:rPr>
        <w:t xml:space="preserve"> interpretarse como una cota mínima.</w:t>
      </w:r>
      <w:r w:rsidR="003C11EA" w:rsidRPr="00642059">
        <w:rPr>
          <w:rFonts w:ascii="Arial" w:hAnsi="Arial" w:cs="Arial"/>
        </w:rPr>
        <w:t xml:space="preserve"> </w:t>
      </w:r>
      <w:r w:rsidR="00BF0B41" w:rsidRPr="00642059">
        <w:rPr>
          <w:rFonts w:ascii="Arial" w:hAnsi="Arial" w:cs="Arial"/>
        </w:rPr>
        <w:t xml:space="preserve">En lo que sigue, se presenta la categorización de los componentes del costo del delito que nos van a permitir obtener un valor monetario </w:t>
      </w:r>
      <w:r w:rsidR="00D30F98" w:rsidRPr="00642059">
        <w:rPr>
          <w:rFonts w:ascii="Arial" w:hAnsi="Arial" w:cs="Arial"/>
        </w:rPr>
        <w:t>equivalente</w:t>
      </w:r>
      <w:r w:rsidR="003C11EA" w:rsidRPr="00642059">
        <w:rPr>
          <w:rStyle w:val="FootnoteReference"/>
          <w:rFonts w:ascii="Arial" w:hAnsi="Arial" w:cs="Arial"/>
        </w:rPr>
        <w:footnoteReference w:id="1"/>
      </w:r>
      <w:r w:rsidR="00BF0B41" w:rsidRPr="00642059">
        <w:rPr>
          <w:rFonts w:ascii="Arial" w:hAnsi="Arial" w:cs="Arial"/>
        </w:rPr>
        <w:t>:</w:t>
      </w:r>
    </w:p>
    <w:p w:rsidR="00E96F6C" w:rsidRPr="00642059" w:rsidRDefault="00BF0B41" w:rsidP="003B5108">
      <w:pPr>
        <w:pStyle w:val="ListParagraph"/>
        <w:numPr>
          <w:ilvl w:val="1"/>
          <w:numId w:val="1"/>
        </w:numPr>
        <w:spacing w:before="120" w:after="120" w:line="240" w:lineRule="auto"/>
        <w:ind w:hanging="720"/>
        <w:contextualSpacing w:val="0"/>
        <w:jc w:val="both"/>
        <w:rPr>
          <w:rFonts w:ascii="Arial" w:hAnsi="Arial" w:cs="Arial"/>
        </w:rPr>
      </w:pPr>
      <w:r w:rsidRPr="00642059">
        <w:rPr>
          <w:rFonts w:ascii="Arial" w:hAnsi="Arial" w:cs="Arial"/>
        </w:rPr>
        <w:t>Costo del delito asociado al g</w:t>
      </w:r>
      <w:r w:rsidR="00E96F6C" w:rsidRPr="00642059">
        <w:rPr>
          <w:rFonts w:ascii="Arial" w:hAnsi="Arial" w:cs="Arial"/>
        </w:rPr>
        <w:t xml:space="preserve">asto público en seguridad y justicia: </w:t>
      </w:r>
    </w:p>
    <w:p w:rsidR="00E96F6C" w:rsidRPr="00642059" w:rsidRDefault="00642059" w:rsidP="00642059">
      <w:pPr>
        <w:pStyle w:val="ListParagraph"/>
        <w:numPr>
          <w:ilvl w:val="0"/>
          <w:numId w:val="10"/>
        </w:numPr>
        <w:spacing w:before="120" w:after="120" w:line="240" w:lineRule="auto"/>
        <w:ind w:hanging="720"/>
        <w:contextualSpacing w:val="0"/>
        <w:jc w:val="both"/>
        <w:rPr>
          <w:rFonts w:ascii="Arial" w:hAnsi="Arial" w:cs="Arial"/>
        </w:rPr>
      </w:pPr>
      <w:r>
        <w:rPr>
          <w:rFonts w:ascii="Arial" w:hAnsi="Arial" w:cs="Arial"/>
          <w:b/>
        </w:rPr>
        <w:lastRenderedPageBreak/>
        <w:t>Definición.</w:t>
      </w:r>
      <w:r w:rsidR="00E96F6C" w:rsidRPr="00642059">
        <w:rPr>
          <w:rFonts w:ascii="Arial" w:hAnsi="Arial" w:cs="Arial"/>
        </w:rPr>
        <w:t xml:space="preserve"> Para este ítem, la mayor parte proviene de las actividades de prevención policial llevadas a cabo por el Ministerio del Interior (MI)</w:t>
      </w:r>
      <w:r w:rsidR="00EC5722" w:rsidRPr="00642059">
        <w:rPr>
          <w:rFonts w:ascii="Arial" w:hAnsi="Arial" w:cs="Arial"/>
        </w:rPr>
        <w:t xml:space="preserve"> –mantenimiento del orden interno</w:t>
      </w:r>
      <w:r w:rsidR="00E96F6C" w:rsidRPr="00642059">
        <w:rPr>
          <w:rFonts w:ascii="Arial" w:hAnsi="Arial" w:cs="Arial"/>
        </w:rPr>
        <w:t>.  También se consideran los gastos llevados a cabo por instituciones, como el Ministerio de Defensa Nacional (MDN)</w:t>
      </w:r>
      <w:r w:rsidR="00995D8E" w:rsidRPr="00642059">
        <w:rPr>
          <w:rFonts w:ascii="Arial" w:hAnsi="Arial" w:cs="Arial"/>
        </w:rPr>
        <w:t xml:space="preserve"> –gestión de la privación de la libertad-;</w:t>
      </w:r>
      <w:r w:rsidR="00E96F6C" w:rsidRPr="00642059">
        <w:rPr>
          <w:rFonts w:ascii="Arial" w:hAnsi="Arial" w:cs="Arial"/>
        </w:rPr>
        <w:t xml:space="preserve"> el Ministerio de Desarrollo Social (Mides) </w:t>
      </w:r>
      <w:r w:rsidR="00995D8E" w:rsidRPr="00642059">
        <w:rPr>
          <w:rFonts w:ascii="Arial" w:hAnsi="Arial" w:cs="Arial"/>
        </w:rPr>
        <w:t xml:space="preserve">–programas de violencia doméstica y rehabilitación-; </w:t>
      </w:r>
      <w:r w:rsidR="00E96F6C" w:rsidRPr="00642059">
        <w:rPr>
          <w:rFonts w:ascii="Arial" w:hAnsi="Arial" w:cs="Arial"/>
        </w:rPr>
        <w:t>y el Instituto del Niño y Adolescente del Uruguay (INAU)</w:t>
      </w:r>
      <w:r w:rsidR="00995D8E" w:rsidRPr="00642059">
        <w:rPr>
          <w:rFonts w:ascii="Arial" w:hAnsi="Arial" w:cs="Arial"/>
        </w:rPr>
        <w:t xml:space="preserve"> –gestión de privación de libertad-</w:t>
      </w:r>
      <w:r w:rsidR="00E96F6C" w:rsidRPr="00642059">
        <w:rPr>
          <w:rFonts w:ascii="Arial" w:hAnsi="Arial" w:cs="Arial"/>
        </w:rPr>
        <w:t>, que asignan parte de su presupuesto a la disuasión del delito, la represión y la rehabilitación. Los costos en respue</w:t>
      </w:r>
      <w:r w:rsidR="00995D8E" w:rsidRPr="00642059">
        <w:rPr>
          <w:rFonts w:ascii="Arial" w:hAnsi="Arial" w:cs="Arial"/>
        </w:rPr>
        <w:t>sta al crimen se integran también por</w:t>
      </w:r>
      <w:r w:rsidR="00E96F6C" w:rsidRPr="00642059">
        <w:rPr>
          <w:rFonts w:ascii="Arial" w:hAnsi="Arial" w:cs="Arial"/>
        </w:rPr>
        <w:t xml:space="preserve"> los gastos en a</w:t>
      </w:r>
      <w:r w:rsidR="00995D8E" w:rsidRPr="00642059">
        <w:rPr>
          <w:rFonts w:ascii="Arial" w:hAnsi="Arial" w:cs="Arial"/>
        </w:rPr>
        <w:t>udiencias y juicios (correspondiente al Poder Judicial y la Fiscalía de la Nación)</w:t>
      </w:r>
      <w:r w:rsidR="00E96F6C" w:rsidRPr="00642059">
        <w:rPr>
          <w:rFonts w:ascii="Arial" w:hAnsi="Arial" w:cs="Arial"/>
        </w:rPr>
        <w:t xml:space="preserve">. </w:t>
      </w:r>
    </w:p>
    <w:p w:rsidR="00E96F6C" w:rsidRPr="00642059" w:rsidRDefault="00642059" w:rsidP="00642059">
      <w:pPr>
        <w:pStyle w:val="ListParagraph"/>
        <w:numPr>
          <w:ilvl w:val="0"/>
          <w:numId w:val="10"/>
        </w:numPr>
        <w:spacing w:before="120" w:after="120" w:line="240" w:lineRule="auto"/>
        <w:ind w:hanging="720"/>
        <w:contextualSpacing w:val="0"/>
        <w:jc w:val="both"/>
        <w:rPr>
          <w:rFonts w:ascii="Arial" w:hAnsi="Arial" w:cs="Arial"/>
        </w:rPr>
      </w:pPr>
      <w:r>
        <w:rPr>
          <w:rFonts w:ascii="Arial" w:hAnsi="Arial" w:cs="Arial"/>
          <w:b/>
        </w:rPr>
        <w:t>Método de estimación.</w:t>
      </w:r>
      <w:r w:rsidR="00E96F6C" w:rsidRPr="003B5108">
        <w:rPr>
          <w:rFonts w:ascii="Arial" w:hAnsi="Arial" w:cs="Arial"/>
        </w:rPr>
        <w:t xml:space="preserve"> </w:t>
      </w:r>
      <w:r w:rsidR="00BF0B41" w:rsidRPr="00642059">
        <w:rPr>
          <w:rFonts w:ascii="Arial" w:hAnsi="Arial" w:cs="Arial"/>
        </w:rPr>
        <w:t xml:space="preserve">La fuente de datos para estas partidas públicas es la Rendición de Cuentas y Balance de Ejecución Presupuestal. </w:t>
      </w:r>
      <w:r w:rsidR="00E96F6C" w:rsidRPr="00642059">
        <w:rPr>
          <w:rFonts w:ascii="Arial" w:hAnsi="Arial" w:cs="Arial"/>
        </w:rPr>
        <w:t>Los datos fueron extraídos de</w:t>
      </w:r>
      <w:r w:rsidR="00BF0B41" w:rsidRPr="00642059">
        <w:rPr>
          <w:rFonts w:ascii="Arial" w:hAnsi="Arial" w:cs="Arial"/>
        </w:rPr>
        <w:t xml:space="preserve"> </w:t>
      </w:r>
      <w:proofErr w:type="spellStart"/>
      <w:r w:rsidR="00E96F6C" w:rsidRPr="00642059">
        <w:rPr>
          <w:rFonts w:ascii="Arial" w:hAnsi="Arial" w:cs="Arial"/>
        </w:rPr>
        <w:t>Aboal</w:t>
      </w:r>
      <w:proofErr w:type="spellEnd"/>
      <w:r w:rsidR="00BF0B41" w:rsidRPr="00642059">
        <w:rPr>
          <w:rFonts w:ascii="Arial" w:hAnsi="Arial" w:cs="Arial"/>
        </w:rPr>
        <w:t xml:space="preserve">, </w:t>
      </w:r>
      <w:proofErr w:type="spellStart"/>
      <w:r w:rsidR="00BF0B41" w:rsidRPr="00642059">
        <w:rPr>
          <w:rFonts w:ascii="Arial" w:hAnsi="Arial" w:cs="Arial"/>
        </w:rPr>
        <w:t>Campanella</w:t>
      </w:r>
      <w:proofErr w:type="spellEnd"/>
      <w:r w:rsidR="00BF0B41" w:rsidRPr="00642059">
        <w:rPr>
          <w:rFonts w:ascii="Arial" w:hAnsi="Arial" w:cs="Arial"/>
        </w:rPr>
        <w:t xml:space="preserve"> y </w:t>
      </w:r>
      <w:proofErr w:type="spellStart"/>
      <w:r w:rsidR="00BF0B41" w:rsidRPr="00642059">
        <w:rPr>
          <w:rFonts w:ascii="Arial" w:hAnsi="Arial" w:cs="Arial"/>
        </w:rPr>
        <w:t>Lanzinotta</w:t>
      </w:r>
      <w:proofErr w:type="spellEnd"/>
      <w:r w:rsidR="00BF0B41" w:rsidRPr="00642059">
        <w:rPr>
          <w:rFonts w:ascii="Arial" w:hAnsi="Arial" w:cs="Arial"/>
        </w:rPr>
        <w:t xml:space="preserve"> (</w:t>
      </w:r>
      <w:r w:rsidR="00E96F6C" w:rsidRPr="00642059">
        <w:rPr>
          <w:rFonts w:ascii="Arial" w:hAnsi="Arial" w:cs="Arial"/>
        </w:rPr>
        <w:t>2013)</w:t>
      </w:r>
      <w:r w:rsidR="00BF0B41" w:rsidRPr="00642059">
        <w:rPr>
          <w:rFonts w:ascii="Arial" w:hAnsi="Arial" w:cs="Arial"/>
        </w:rPr>
        <w:t xml:space="preserve"> y se los actualizó por la inflación publicada por el Instituto Nacional de Estadística (INE)</w:t>
      </w:r>
      <w:r w:rsidR="00E96F6C" w:rsidRPr="00642059">
        <w:rPr>
          <w:rFonts w:ascii="Arial" w:hAnsi="Arial" w:cs="Arial"/>
        </w:rPr>
        <w:t xml:space="preserve">. </w:t>
      </w:r>
      <w:r w:rsidR="00F63BE8" w:rsidRPr="00642059">
        <w:rPr>
          <w:rFonts w:ascii="Arial" w:hAnsi="Arial" w:cs="Arial"/>
        </w:rPr>
        <w:t>El peso de este componente del costo del delito se estima en 1,31% del PBI.</w:t>
      </w:r>
    </w:p>
    <w:p w:rsidR="00E96F6C" w:rsidRPr="00642059" w:rsidRDefault="00F63BE8" w:rsidP="007D0EEE">
      <w:pPr>
        <w:pStyle w:val="ListParagraph"/>
        <w:numPr>
          <w:ilvl w:val="1"/>
          <w:numId w:val="1"/>
        </w:numPr>
        <w:spacing w:before="120" w:after="120" w:line="240" w:lineRule="auto"/>
        <w:ind w:hanging="720"/>
        <w:contextualSpacing w:val="0"/>
        <w:jc w:val="both"/>
        <w:rPr>
          <w:rFonts w:ascii="Arial" w:hAnsi="Arial" w:cs="Arial"/>
        </w:rPr>
      </w:pPr>
      <w:r w:rsidRPr="00642059">
        <w:rPr>
          <w:rFonts w:ascii="Arial" w:hAnsi="Arial" w:cs="Arial"/>
        </w:rPr>
        <w:t>Costo del delito asociado al g</w:t>
      </w:r>
      <w:r w:rsidR="00E96F6C" w:rsidRPr="00642059">
        <w:rPr>
          <w:rFonts w:ascii="Arial" w:hAnsi="Arial" w:cs="Arial"/>
        </w:rPr>
        <w:t xml:space="preserve">asto privado en seguridad y justicia: </w:t>
      </w:r>
    </w:p>
    <w:p w:rsidR="00E96F6C" w:rsidRPr="00642059" w:rsidRDefault="00642059" w:rsidP="00642059">
      <w:pPr>
        <w:pStyle w:val="ListParagraph"/>
        <w:numPr>
          <w:ilvl w:val="0"/>
          <w:numId w:val="11"/>
        </w:numPr>
        <w:spacing w:before="120" w:after="120" w:line="240" w:lineRule="auto"/>
        <w:ind w:left="1440" w:hanging="720"/>
        <w:contextualSpacing w:val="0"/>
        <w:jc w:val="both"/>
        <w:rPr>
          <w:rFonts w:ascii="Arial" w:hAnsi="Arial" w:cs="Arial"/>
        </w:rPr>
      </w:pPr>
      <w:r w:rsidRPr="00642059">
        <w:rPr>
          <w:rFonts w:ascii="Arial" w:hAnsi="Arial" w:cs="Arial"/>
          <w:b/>
        </w:rPr>
        <w:t>Definición.</w:t>
      </w:r>
      <w:r w:rsidR="007D0EEE" w:rsidRPr="00642059">
        <w:rPr>
          <w:rFonts w:ascii="Arial" w:hAnsi="Arial" w:cs="Arial"/>
        </w:rPr>
        <w:t xml:space="preserve"> </w:t>
      </w:r>
      <w:r w:rsidR="00E96F6C" w:rsidRPr="00642059">
        <w:rPr>
          <w:rFonts w:ascii="Arial" w:hAnsi="Arial" w:cs="Arial"/>
        </w:rPr>
        <w:t>El gasto privado en relación con la prevención del delito en Uruguay se compone principalmente de la adquisición de bienes y servicios proporcionados por empresas de seguridad y de los gastos relacionados a seguros.</w:t>
      </w:r>
    </w:p>
    <w:p w:rsidR="007C7A43" w:rsidRPr="007C7A43" w:rsidRDefault="00E96F6C" w:rsidP="007C7A43">
      <w:pPr>
        <w:pStyle w:val="ListParagraph"/>
        <w:numPr>
          <w:ilvl w:val="0"/>
          <w:numId w:val="11"/>
        </w:numPr>
        <w:spacing w:before="120" w:after="120" w:line="240" w:lineRule="auto"/>
        <w:ind w:left="1440" w:hanging="720"/>
        <w:contextualSpacing w:val="0"/>
        <w:jc w:val="both"/>
        <w:rPr>
          <w:rFonts w:ascii="Arial" w:hAnsi="Arial" w:cs="Arial"/>
          <w:u w:val="single"/>
        </w:rPr>
      </w:pPr>
      <w:r w:rsidRPr="00642059">
        <w:rPr>
          <w:rFonts w:ascii="Arial" w:hAnsi="Arial" w:cs="Arial"/>
          <w:b/>
        </w:rPr>
        <w:t>Método de estimación:</w:t>
      </w:r>
      <w:r w:rsidRPr="00642059">
        <w:rPr>
          <w:rFonts w:ascii="Arial" w:hAnsi="Arial" w:cs="Arial"/>
        </w:rPr>
        <w:t xml:space="preserve"> </w:t>
      </w:r>
      <w:r w:rsidR="00EC5722" w:rsidRPr="00642059">
        <w:rPr>
          <w:rFonts w:ascii="Arial" w:hAnsi="Arial" w:cs="Arial"/>
        </w:rPr>
        <w:t>Se</w:t>
      </w:r>
      <w:r w:rsidR="00EC5722" w:rsidRPr="007D0EEE">
        <w:rPr>
          <w:rFonts w:ascii="Arial" w:hAnsi="Arial" w:cs="Arial"/>
        </w:rPr>
        <w:t xml:space="preserve"> ajustan por inflación los datos que proveen </w:t>
      </w:r>
      <w:proofErr w:type="spellStart"/>
      <w:r w:rsidR="00EC5722" w:rsidRPr="007D0EEE">
        <w:rPr>
          <w:rFonts w:ascii="Arial" w:hAnsi="Arial" w:cs="Arial"/>
        </w:rPr>
        <w:t>Aboal</w:t>
      </w:r>
      <w:proofErr w:type="spellEnd"/>
      <w:r w:rsidR="00EC5722" w:rsidRPr="007D0EEE">
        <w:rPr>
          <w:rFonts w:ascii="Arial" w:hAnsi="Arial" w:cs="Arial"/>
        </w:rPr>
        <w:t xml:space="preserve">, </w:t>
      </w:r>
      <w:proofErr w:type="spellStart"/>
      <w:r w:rsidR="00EC5722" w:rsidRPr="007D0EEE">
        <w:rPr>
          <w:rFonts w:ascii="Arial" w:hAnsi="Arial" w:cs="Arial"/>
        </w:rPr>
        <w:t>Campanella</w:t>
      </w:r>
      <w:proofErr w:type="spellEnd"/>
      <w:r w:rsidR="00EC5722" w:rsidRPr="007D0EEE">
        <w:rPr>
          <w:rFonts w:ascii="Arial" w:hAnsi="Arial" w:cs="Arial"/>
        </w:rPr>
        <w:t xml:space="preserve"> y </w:t>
      </w:r>
      <w:proofErr w:type="spellStart"/>
      <w:r w:rsidR="00EC5722" w:rsidRPr="007D0EEE">
        <w:rPr>
          <w:rFonts w:ascii="Arial" w:hAnsi="Arial" w:cs="Arial"/>
        </w:rPr>
        <w:t>Lanzinotta</w:t>
      </w:r>
      <w:proofErr w:type="spellEnd"/>
      <w:r w:rsidR="00EC5722" w:rsidRPr="007D0EEE">
        <w:rPr>
          <w:rFonts w:ascii="Arial" w:hAnsi="Arial" w:cs="Arial"/>
        </w:rPr>
        <w:t xml:space="preserve"> (2013). Los autores derivan esta información de</w:t>
      </w:r>
      <w:r w:rsidR="00047C7A" w:rsidRPr="007D0EEE">
        <w:rPr>
          <w:rFonts w:ascii="Arial" w:hAnsi="Arial" w:cs="Arial"/>
        </w:rPr>
        <w:t>:</w:t>
      </w:r>
    </w:p>
    <w:p w:rsidR="00047C7A" w:rsidRPr="007C7A43" w:rsidRDefault="00EC5722" w:rsidP="007C7A43">
      <w:pPr>
        <w:pStyle w:val="ListParagraph"/>
        <w:numPr>
          <w:ilvl w:val="0"/>
          <w:numId w:val="12"/>
        </w:numPr>
        <w:spacing w:before="120" w:after="120" w:line="240" w:lineRule="auto"/>
        <w:contextualSpacing w:val="0"/>
        <w:jc w:val="both"/>
        <w:rPr>
          <w:rFonts w:ascii="Arial" w:hAnsi="Arial" w:cs="Arial"/>
          <w:u w:val="single"/>
        </w:rPr>
      </w:pPr>
      <w:r w:rsidRPr="007C7A43">
        <w:rPr>
          <w:rFonts w:ascii="Arial" w:hAnsi="Arial" w:cs="Arial"/>
          <w:b/>
        </w:rPr>
        <w:t>la facturación de las empresas de seguridad</w:t>
      </w:r>
      <w:r w:rsidRPr="007C7A43">
        <w:rPr>
          <w:rFonts w:ascii="Arial" w:hAnsi="Arial" w:cs="Arial"/>
        </w:rPr>
        <w:t xml:space="preserve"> según la Dirección General Impositiva (DGI).</w:t>
      </w:r>
      <w:r w:rsidR="00E96F6C" w:rsidRPr="007C7A43">
        <w:rPr>
          <w:rFonts w:ascii="Arial" w:hAnsi="Arial" w:cs="Arial"/>
        </w:rPr>
        <w:t xml:space="preserve"> </w:t>
      </w:r>
      <w:r w:rsidR="00F63BE8" w:rsidRPr="007C7A43">
        <w:rPr>
          <w:rFonts w:ascii="Arial" w:hAnsi="Arial" w:cs="Arial"/>
        </w:rPr>
        <w:t>El peso de este componente del costo del delito se estima en 0,61% del PBI.</w:t>
      </w:r>
      <w:r w:rsidR="00E96F6C" w:rsidRPr="007C7A43">
        <w:rPr>
          <w:rFonts w:ascii="Arial" w:hAnsi="Arial" w:cs="Arial"/>
        </w:rPr>
        <w:t xml:space="preserve"> </w:t>
      </w:r>
    </w:p>
    <w:p w:rsidR="00047C7A" w:rsidRPr="00AA227C" w:rsidRDefault="00047C7A" w:rsidP="007C7A43">
      <w:pPr>
        <w:pStyle w:val="ListParagraph"/>
        <w:numPr>
          <w:ilvl w:val="0"/>
          <w:numId w:val="12"/>
        </w:numPr>
        <w:spacing w:before="120" w:after="120" w:line="240" w:lineRule="auto"/>
        <w:contextualSpacing w:val="0"/>
        <w:jc w:val="both"/>
        <w:rPr>
          <w:rFonts w:ascii="Arial" w:hAnsi="Arial" w:cs="Arial"/>
        </w:rPr>
      </w:pPr>
      <w:r w:rsidRPr="00AA227C">
        <w:rPr>
          <w:rFonts w:ascii="Arial" w:hAnsi="Arial" w:cs="Arial"/>
        </w:rPr>
        <w:t>-</w:t>
      </w:r>
      <w:r w:rsidRPr="00AA227C">
        <w:rPr>
          <w:rFonts w:ascii="Arial" w:hAnsi="Arial" w:cs="Arial"/>
          <w:b/>
        </w:rPr>
        <w:t xml:space="preserve">los costos de la administración y generación de servicios de seguros </w:t>
      </w:r>
      <w:r w:rsidRPr="00AA227C">
        <w:rPr>
          <w:rFonts w:ascii="Arial" w:hAnsi="Arial" w:cs="Arial"/>
        </w:rPr>
        <w:t>contra robos. Un 0,35% del PBI.</w:t>
      </w:r>
    </w:p>
    <w:p w:rsidR="001B58B0" w:rsidRPr="00AA227C" w:rsidRDefault="001B58B0" w:rsidP="007C7A43">
      <w:pPr>
        <w:pStyle w:val="ListParagraph"/>
        <w:numPr>
          <w:ilvl w:val="0"/>
          <w:numId w:val="12"/>
        </w:numPr>
        <w:spacing w:before="120" w:after="120" w:line="240" w:lineRule="auto"/>
        <w:contextualSpacing w:val="0"/>
        <w:jc w:val="both"/>
        <w:rPr>
          <w:rFonts w:ascii="Arial" w:hAnsi="Arial" w:cs="Arial"/>
        </w:rPr>
      </w:pPr>
      <w:r w:rsidRPr="00AA227C">
        <w:rPr>
          <w:rFonts w:ascii="Arial" w:hAnsi="Arial" w:cs="Arial"/>
        </w:rPr>
        <w:t xml:space="preserve">-la cuota-parte de los </w:t>
      </w:r>
      <w:r w:rsidRPr="00AA227C">
        <w:rPr>
          <w:rFonts w:ascii="Arial" w:hAnsi="Arial" w:cs="Arial"/>
          <w:b/>
        </w:rPr>
        <w:t>ingresos de abogados correspondientes a temas penales</w:t>
      </w:r>
      <w:r w:rsidRPr="00AA227C">
        <w:rPr>
          <w:rFonts w:ascii="Arial" w:hAnsi="Arial" w:cs="Arial"/>
        </w:rPr>
        <w:t>. Se estima en un 0,06% del PBI</w:t>
      </w:r>
    </w:p>
    <w:p w:rsidR="00E96F6C" w:rsidRPr="007C7A43" w:rsidRDefault="00F63BE8" w:rsidP="007D0EEE">
      <w:pPr>
        <w:pStyle w:val="ListParagraph"/>
        <w:numPr>
          <w:ilvl w:val="1"/>
          <w:numId w:val="1"/>
        </w:numPr>
        <w:spacing w:before="120" w:after="120" w:line="240" w:lineRule="auto"/>
        <w:ind w:hanging="720"/>
        <w:contextualSpacing w:val="0"/>
        <w:jc w:val="both"/>
        <w:rPr>
          <w:rFonts w:ascii="Arial" w:hAnsi="Arial" w:cs="Arial"/>
        </w:rPr>
      </w:pPr>
      <w:r w:rsidRPr="007C7A43">
        <w:rPr>
          <w:rFonts w:ascii="Arial" w:hAnsi="Arial" w:cs="Arial"/>
        </w:rPr>
        <w:t>Costo del delito asociado al v</w:t>
      </w:r>
      <w:r w:rsidR="00E96F6C" w:rsidRPr="007C7A43">
        <w:rPr>
          <w:rFonts w:ascii="Arial" w:hAnsi="Arial" w:cs="Arial"/>
        </w:rPr>
        <w:t>alor estimado del botín</w:t>
      </w:r>
      <w:r w:rsidR="007C7A43">
        <w:rPr>
          <w:rFonts w:ascii="Arial" w:hAnsi="Arial" w:cs="Arial"/>
        </w:rPr>
        <w:t>:</w:t>
      </w:r>
      <w:r w:rsidR="00047C7A" w:rsidRPr="007C7A43">
        <w:rPr>
          <w:rFonts w:ascii="Arial" w:hAnsi="Arial" w:cs="Arial"/>
        </w:rPr>
        <w:t xml:space="preserve"> </w:t>
      </w:r>
    </w:p>
    <w:p w:rsidR="001224ED" w:rsidRPr="007C7A43" w:rsidRDefault="007C7A43" w:rsidP="007C7A43">
      <w:pPr>
        <w:pStyle w:val="ListParagraph"/>
        <w:numPr>
          <w:ilvl w:val="0"/>
          <w:numId w:val="13"/>
        </w:numPr>
        <w:spacing w:before="120" w:after="120" w:line="240" w:lineRule="auto"/>
        <w:ind w:left="1440" w:hanging="720"/>
        <w:contextualSpacing w:val="0"/>
        <w:jc w:val="both"/>
        <w:rPr>
          <w:rFonts w:ascii="Arial" w:hAnsi="Arial" w:cs="Arial"/>
        </w:rPr>
      </w:pPr>
      <w:r w:rsidRPr="007C7A43">
        <w:rPr>
          <w:rFonts w:ascii="Arial" w:hAnsi="Arial" w:cs="Arial"/>
          <w:b/>
        </w:rPr>
        <w:t>Definición.</w:t>
      </w:r>
      <w:r w:rsidR="007D0EEE" w:rsidRPr="007C7A43">
        <w:rPr>
          <w:rFonts w:ascii="Arial" w:hAnsi="Arial" w:cs="Arial"/>
        </w:rPr>
        <w:t xml:space="preserve"> </w:t>
      </w:r>
      <w:r w:rsidR="00E96F6C" w:rsidRPr="007C7A43">
        <w:rPr>
          <w:rFonts w:ascii="Arial" w:hAnsi="Arial" w:cs="Arial"/>
        </w:rPr>
        <w:t xml:space="preserve">Corresponde al valor monetario de los bienes robados. El monto estimado de bienes robados se diferencia en costos de empresas y de hogares. </w:t>
      </w:r>
      <w:r w:rsidR="001224ED" w:rsidRPr="007C7A43">
        <w:rPr>
          <w:rFonts w:ascii="Arial" w:hAnsi="Arial" w:cs="Arial"/>
        </w:rPr>
        <w:t xml:space="preserve">A primera vista, el botín producto de un robo podría no ser percibido como un costo para la sociedad porque se trata de una transferencia de propiedad dentro de la misma sociedad. Sin embargo, </w:t>
      </w:r>
      <w:proofErr w:type="spellStart"/>
      <w:r w:rsidR="001224ED" w:rsidRPr="007C7A43">
        <w:rPr>
          <w:rFonts w:ascii="Arial" w:hAnsi="Arial" w:cs="Arial"/>
        </w:rPr>
        <w:t>Aboal</w:t>
      </w:r>
      <w:proofErr w:type="spellEnd"/>
      <w:r w:rsidR="001224ED" w:rsidRPr="007C7A43">
        <w:rPr>
          <w:rFonts w:ascii="Arial" w:hAnsi="Arial" w:cs="Arial"/>
        </w:rPr>
        <w:t xml:space="preserve">, </w:t>
      </w:r>
      <w:proofErr w:type="spellStart"/>
      <w:r w:rsidR="001224ED" w:rsidRPr="007C7A43">
        <w:rPr>
          <w:rFonts w:ascii="Arial" w:hAnsi="Arial" w:cs="Arial"/>
        </w:rPr>
        <w:t>Campanella</w:t>
      </w:r>
      <w:proofErr w:type="spellEnd"/>
      <w:r w:rsidR="001224ED" w:rsidRPr="007C7A43">
        <w:rPr>
          <w:rFonts w:ascii="Arial" w:hAnsi="Arial" w:cs="Arial"/>
        </w:rPr>
        <w:t xml:space="preserve"> y </w:t>
      </w:r>
      <w:proofErr w:type="spellStart"/>
      <w:r w:rsidR="001224ED" w:rsidRPr="007C7A43">
        <w:rPr>
          <w:rFonts w:ascii="Arial" w:hAnsi="Arial" w:cs="Arial"/>
        </w:rPr>
        <w:t>Lanzinotta</w:t>
      </w:r>
      <w:proofErr w:type="spellEnd"/>
      <w:r w:rsidR="001224ED" w:rsidRPr="007C7A43">
        <w:rPr>
          <w:rFonts w:ascii="Arial" w:hAnsi="Arial" w:cs="Arial"/>
        </w:rPr>
        <w:t xml:space="preserve"> (2015), siguiendo a Brand y Price (2000), imputan como costo los bienes robados al tratarse de una transferencia no voluntaria. Por el contrario, los pagos que realizan las aseguradoras a los damnificados por robos no son considerados como un costo, sino simplemente como una transferencia acordada de unos agentes a otros.</w:t>
      </w:r>
    </w:p>
    <w:p w:rsidR="00E96F6C" w:rsidRPr="00110615" w:rsidRDefault="00110615" w:rsidP="00110615">
      <w:pPr>
        <w:pStyle w:val="ListParagraph"/>
        <w:numPr>
          <w:ilvl w:val="0"/>
          <w:numId w:val="13"/>
        </w:numPr>
        <w:spacing w:before="120" w:after="120" w:line="240" w:lineRule="auto"/>
        <w:ind w:left="1440" w:hanging="720"/>
        <w:contextualSpacing w:val="0"/>
        <w:jc w:val="both"/>
        <w:rPr>
          <w:rFonts w:ascii="Arial" w:hAnsi="Arial" w:cs="Arial"/>
        </w:rPr>
      </w:pPr>
      <w:r>
        <w:rPr>
          <w:rFonts w:ascii="Arial" w:hAnsi="Arial" w:cs="Arial"/>
          <w:b/>
        </w:rPr>
        <w:t>Método de estimación.</w:t>
      </w:r>
      <w:r w:rsidR="00E96F6C" w:rsidRPr="00110615">
        <w:rPr>
          <w:rFonts w:ascii="Arial" w:hAnsi="Arial" w:cs="Arial"/>
        </w:rPr>
        <w:t xml:space="preserve"> </w:t>
      </w:r>
      <w:r w:rsidR="001224ED" w:rsidRPr="00110615">
        <w:rPr>
          <w:rFonts w:ascii="Arial" w:hAnsi="Arial" w:cs="Arial"/>
        </w:rPr>
        <w:t xml:space="preserve">En el caso de los robos a empresas, se utilizan datos de las pérdidas por robo y vandalismo (estimaciones a partir de la </w:t>
      </w:r>
      <w:r w:rsidR="001224ED" w:rsidRPr="00110615">
        <w:rPr>
          <w:rFonts w:ascii="Arial" w:hAnsi="Arial" w:cs="Arial"/>
          <w:i/>
        </w:rPr>
        <w:t xml:space="preserve">Enterprise </w:t>
      </w:r>
      <w:proofErr w:type="spellStart"/>
      <w:r w:rsidR="001224ED" w:rsidRPr="00110615">
        <w:rPr>
          <w:rFonts w:ascii="Arial" w:hAnsi="Arial" w:cs="Arial"/>
          <w:i/>
        </w:rPr>
        <w:t>Survey</w:t>
      </w:r>
      <w:proofErr w:type="spellEnd"/>
      <w:r w:rsidR="001224ED" w:rsidRPr="00110615">
        <w:rPr>
          <w:rFonts w:ascii="Arial" w:hAnsi="Arial" w:cs="Arial"/>
        </w:rPr>
        <w:t xml:space="preserve"> del Banco Mundial). La estimación de las pérdidas de los hogares se basó en la información que surge de la </w:t>
      </w:r>
      <w:r w:rsidR="001224ED" w:rsidRPr="00110615">
        <w:rPr>
          <w:rFonts w:ascii="Arial" w:hAnsi="Arial" w:cs="Arial"/>
        </w:rPr>
        <w:lastRenderedPageBreak/>
        <w:t>Encuesta de Victimización (2011) llevada a cabo por el Ministerio del Interior</w:t>
      </w:r>
      <w:r w:rsidR="00E339A8" w:rsidRPr="00110615">
        <w:rPr>
          <w:rFonts w:ascii="Arial" w:hAnsi="Arial" w:cs="Arial"/>
        </w:rPr>
        <w:t>.</w:t>
      </w:r>
      <w:r w:rsidR="001224ED" w:rsidRPr="00110615">
        <w:rPr>
          <w:rFonts w:ascii="Arial" w:hAnsi="Arial" w:cs="Arial"/>
        </w:rPr>
        <w:t xml:space="preserve"> Se ajustan por inflación los datos que proveen </w:t>
      </w:r>
      <w:proofErr w:type="spellStart"/>
      <w:r w:rsidR="001224ED" w:rsidRPr="00110615">
        <w:rPr>
          <w:rFonts w:ascii="Arial" w:hAnsi="Arial" w:cs="Arial"/>
        </w:rPr>
        <w:t>Aboal</w:t>
      </w:r>
      <w:proofErr w:type="spellEnd"/>
      <w:r w:rsidR="001224ED" w:rsidRPr="00110615">
        <w:rPr>
          <w:rFonts w:ascii="Arial" w:hAnsi="Arial" w:cs="Arial"/>
        </w:rPr>
        <w:t xml:space="preserve">, </w:t>
      </w:r>
      <w:proofErr w:type="spellStart"/>
      <w:r w:rsidR="001224ED" w:rsidRPr="00110615">
        <w:rPr>
          <w:rFonts w:ascii="Arial" w:hAnsi="Arial" w:cs="Arial"/>
        </w:rPr>
        <w:t>Campanella</w:t>
      </w:r>
      <w:proofErr w:type="spellEnd"/>
      <w:r w:rsidR="001224ED" w:rsidRPr="00110615">
        <w:rPr>
          <w:rFonts w:ascii="Arial" w:hAnsi="Arial" w:cs="Arial"/>
        </w:rPr>
        <w:t xml:space="preserve"> y </w:t>
      </w:r>
      <w:proofErr w:type="spellStart"/>
      <w:r w:rsidR="001224ED" w:rsidRPr="00110615">
        <w:rPr>
          <w:rFonts w:ascii="Arial" w:hAnsi="Arial" w:cs="Arial"/>
        </w:rPr>
        <w:t>Lanzinotta</w:t>
      </w:r>
      <w:proofErr w:type="spellEnd"/>
      <w:r w:rsidR="001224ED" w:rsidRPr="00110615">
        <w:rPr>
          <w:rFonts w:ascii="Arial" w:hAnsi="Arial" w:cs="Arial"/>
        </w:rPr>
        <w:t xml:space="preserve"> (2013).</w:t>
      </w:r>
      <w:r w:rsidR="00E339A8" w:rsidRPr="00110615">
        <w:rPr>
          <w:rFonts w:ascii="Arial" w:hAnsi="Arial" w:cs="Arial"/>
        </w:rPr>
        <w:t xml:space="preserve"> El costo asociado a este componente es del 0,4% del PBI.</w:t>
      </w:r>
    </w:p>
    <w:p w:rsidR="00E96F6C" w:rsidRPr="00110615" w:rsidRDefault="00E96F6C" w:rsidP="007D0EEE">
      <w:pPr>
        <w:pStyle w:val="ListParagraph"/>
        <w:numPr>
          <w:ilvl w:val="1"/>
          <w:numId w:val="1"/>
        </w:numPr>
        <w:spacing w:before="120" w:after="120" w:line="240" w:lineRule="auto"/>
        <w:ind w:hanging="720"/>
        <w:contextualSpacing w:val="0"/>
        <w:jc w:val="both"/>
        <w:rPr>
          <w:rFonts w:ascii="Arial" w:hAnsi="Arial" w:cs="Arial"/>
        </w:rPr>
      </w:pPr>
      <w:r w:rsidRPr="00110615">
        <w:rPr>
          <w:rFonts w:ascii="Arial" w:hAnsi="Arial" w:cs="Arial"/>
        </w:rPr>
        <w:t>Costos a</w:t>
      </w:r>
      <w:r w:rsidR="00AC4830" w:rsidRPr="00110615">
        <w:rPr>
          <w:rFonts w:ascii="Arial" w:hAnsi="Arial" w:cs="Arial"/>
        </w:rPr>
        <w:t>sociados a los</w:t>
      </w:r>
      <w:r w:rsidRPr="00110615">
        <w:rPr>
          <w:rFonts w:ascii="Arial" w:hAnsi="Arial" w:cs="Arial"/>
        </w:rPr>
        <w:t xml:space="preserve"> heridos por </w:t>
      </w:r>
      <w:r w:rsidR="00AC4830" w:rsidRPr="00110615">
        <w:rPr>
          <w:rFonts w:ascii="Arial" w:hAnsi="Arial" w:cs="Arial"/>
        </w:rPr>
        <w:t xml:space="preserve">hechos de </w:t>
      </w:r>
      <w:r w:rsidRPr="00110615">
        <w:rPr>
          <w:rFonts w:ascii="Arial" w:hAnsi="Arial" w:cs="Arial"/>
        </w:rPr>
        <w:t>violencia</w:t>
      </w:r>
      <w:r w:rsidR="00110615">
        <w:rPr>
          <w:rFonts w:ascii="Arial" w:hAnsi="Arial" w:cs="Arial"/>
        </w:rPr>
        <w:t>:</w:t>
      </w:r>
      <w:r w:rsidRPr="00110615">
        <w:rPr>
          <w:rFonts w:ascii="Arial" w:hAnsi="Arial" w:cs="Arial"/>
        </w:rPr>
        <w:t xml:space="preserve"> </w:t>
      </w:r>
    </w:p>
    <w:p w:rsidR="00D475C4" w:rsidRPr="00110615" w:rsidRDefault="00110615" w:rsidP="00110615">
      <w:pPr>
        <w:pStyle w:val="ListParagraph"/>
        <w:numPr>
          <w:ilvl w:val="0"/>
          <w:numId w:val="14"/>
        </w:numPr>
        <w:spacing w:before="120" w:after="120" w:line="240" w:lineRule="auto"/>
        <w:ind w:left="1440" w:hanging="720"/>
        <w:contextualSpacing w:val="0"/>
        <w:jc w:val="both"/>
        <w:rPr>
          <w:rFonts w:ascii="Arial" w:hAnsi="Arial" w:cs="Arial"/>
        </w:rPr>
      </w:pPr>
      <w:r>
        <w:rPr>
          <w:rFonts w:ascii="Arial" w:hAnsi="Arial" w:cs="Arial"/>
          <w:b/>
        </w:rPr>
        <w:t xml:space="preserve">Definición. </w:t>
      </w:r>
      <w:r w:rsidR="00D475C4" w:rsidRPr="00110615">
        <w:rPr>
          <w:rFonts w:ascii="Arial" w:hAnsi="Arial" w:cs="Arial"/>
        </w:rPr>
        <w:t xml:space="preserve">Se consideran los costos de salud que </w:t>
      </w:r>
      <w:proofErr w:type="gramStart"/>
      <w:r w:rsidR="00D475C4" w:rsidRPr="00110615">
        <w:rPr>
          <w:rFonts w:ascii="Arial" w:hAnsi="Arial" w:cs="Arial"/>
        </w:rPr>
        <w:t>surgen  por</w:t>
      </w:r>
      <w:proofErr w:type="gramEnd"/>
      <w:r w:rsidR="00D475C4" w:rsidRPr="00110615">
        <w:rPr>
          <w:rFonts w:ascii="Arial" w:hAnsi="Arial" w:cs="Arial"/>
        </w:rPr>
        <w:t xml:space="preserve"> las lesiones infringidas a las víctimas de crímenes violentos, así como también aquellos relacionados con los homicidios. </w:t>
      </w:r>
    </w:p>
    <w:p w:rsidR="007D0EEE" w:rsidRPr="00110615" w:rsidRDefault="00110615" w:rsidP="00110615">
      <w:pPr>
        <w:pStyle w:val="ListParagraph"/>
        <w:numPr>
          <w:ilvl w:val="0"/>
          <w:numId w:val="14"/>
        </w:numPr>
        <w:spacing w:before="120" w:after="120" w:line="240" w:lineRule="auto"/>
        <w:ind w:left="1440" w:hanging="720"/>
        <w:contextualSpacing w:val="0"/>
        <w:jc w:val="both"/>
        <w:rPr>
          <w:rFonts w:ascii="Arial" w:hAnsi="Arial" w:cs="Arial"/>
        </w:rPr>
      </w:pPr>
      <w:r>
        <w:rPr>
          <w:rFonts w:ascii="Arial" w:hAnsi="Arial" w:cs="Arial"/>
          <w:b/>
        </w:rPr>
        <w:t>Método de estimación.</w:t>
      </w:r>
      <w:r w:rsidR="00E96F6C" w:rsidRPr="00110615">
        <w:rPr>
          <w:rFonts w:ascii="Arial" w:hAnsi="Arial" w:cs="Arial"/>
        </w:rPr>
        <w:t xml:space="preserve"> </w:t>
      </w:r>
      <w:r w:rsidR="00D475C4" w:rsidRPr="00110615">
        <w:rPr>
          <w:rFonts w:ascii="Arial" w:hAnsi="Arial" w:cs="Arial"/>
        </w:rPr>
        <w:t xml:space="preserve">Para realizar estas estimaciones, </w:t>
      </w:r>
      <w:proofErr w:type="spellStart"/>
      <w:r w:rsidR="00D475C4" w:rsidRPr="00110615">
        <w:rPr>
          <w:rFonts w:ascii="Arial" w:hAnsi="Arial" w:cs="Arial"/>
        </w:rPr>
        <w:t>Aboal</w:t>
      </w:r>
      <w:proofErr w:type="spellEnd"/>
      <w:r w:rsidR="00D475C4" w:rsidRPr="00110615">
        <w:rPr>
          <w:rFonts w:ascii="Arial" w:hAnsi="Arial" w:cs="Arial"/>
        </w:rPr>
        <w:t xml:space="preserve">, </w:t>
      </w:r>
      <w:proofErr w:type="spellStart"/>
      <w:r w:rsidR="00D475C4" w:rsidRPr="00110615">
        <w:rPr>
          <w:rFonts w:ascii="Arial" w:hAnsi="Arial" w:cs="Arial"/>
        </w:rPr>
        <w:t>Campanella</w:t>
      </w:r>
      <w:proofErr w:type="spellEnd"/>
      <w:r w:rsidR="00D475C4" w:rsidRPr="00110615">
        <w:rPr>
          <w:rFonts w:ascii="Arial" w:hAnsi="Arial" w:cs="Arial"/>
        </w:rPr>
        <w:t xml:space="preserve"> y </w:t>
      </w:r>
      <w:proofErr w:type="spellStart"/>
      <w:r w:rsidR="00D475C4" w:rsidRPr="00110615">
        <w:rPr>
          <w:rFonts w:ascii="Arial" w:hAnsi="Arial" w:cs="Arial"/>
        </w:rPr>
        <w:t>Lanzinotta</w:t>
      </w:r>
      <w:proofErr w:type="spellEnd"/>
      <w:r w:rsidR="00D475C4" w:rsidRPr="00110615">
        <w:rPr>
          <w:rFonts w:ascii="Arial" w:hAnsi="Arial" w:cs="Arial"/>
        </w:rPr>
        <w:t xml:space="preserve"> (2013) parten de la metodología de los años de vida ajustados por la calidad de vida o </w:t>
      </w:r>
      <w:proofErr w:type="spellStart"/>
      <w:r w:rsidR="00D475C4" w:rsidRPr="00110615">
        <w:rPr>
          <w:rFonts w:ascii="Arial" w:hAnsi="Arial" w:cs="Arial"/>
          <w:i/>
          <w:iCs/>
        </w:rPr>
        <w:t>Quality</w:t>
      </w:r>
      <w:proofErr w:type="spellEnd"/>
      <w:r w:rsidR="00D475C4" w:rsidRPr="00110615">
        <w:rPr>
          <w:rFonts w:ascii="Arial" w:hAnsi="Arial" w:cs="Arial"/>
          <w:i/>
          <w:iCs/>
        </w:rPr>
        <w:t xml:space="preserve"> </w:t>
      </w:r>
      <w:proofErr w:type="spellStart"/>
      <w:r w:rsidR="00D475C4" w:rsidRPr="00110615">
        <w:rPr>
          <w:rFonts w:ascii="Arial" w:hAnsi="Arial" w:cs="Arial"/>
          <w:i/>
          <w:iCs/>
        </w:rPr>
        <w:t>Adjusted</w:t>
      </w:r>
      <w:proofErr w:type="spellEnd"/>
      <w:r w:rsidR="00D475C4" w:rsidRPr="00110615">
        <w:rPr>
          <w:rFonts w:ascii="Arial" w:hAnsi="Arial" w:cs="Arial"/>
          <w:i/>
          <w:iCs/>
        </w:rPr>
        <w:t xml:space="preserve"> </w:t>
      </w:r>
      <w:proofErr w:type="spellStart"/>
      <w:r w:rsidR="00D475C4" w:rsidRPr="00110615">
        <w:rPr>
          <w:rFonts w:ascii="Arial" w:hAnsi="Arial" w:cs="Arial"/>
          <w:i/>
          <w:iCs/>
        </w:rPr>
        <w:t>Life</w:t>
      </w:r>
      <w:proofErr w:type="spellEnd"/>
      <w:r w:rsidR="00D475C4" w:rsidRPr="00110615">
        <w:rPr>
          <w:rFonts w:ascii="Arial" w:hAnsi="Arial" w:cs="Arial"/>
          <w:i/>
          <w:iCs/>
        </w:rPr>
        <w:t xml:space="preserve"> </w:t>
      </w:r>
      <w:proofErr w:type="spellStart"/>
      <w:r w:rsidR="00D475C4" w:rsidRPr="00110615">
        <w:rPr>
          <w:rFonts w:ascii="Arial" w:hAnsi="Arial" w:cs="Arial"/>
          <w:i/>
          <w:iCs/>
        </w:rPr>
        <w:t>Years</w:t>
      </w:r>
      <w:proofErr w:type="spellEnd"/>
      <w:r w:rsidR="00D475C4" w:rsidRPr="00110615">
        <w:rPr>
          <w:rFonts w:ascii="Arial" w:hAnsi="Arial" w:cs="Arial"/>
          <w:i/>
          <w:iCs/>
        </w:rPr>
        <w:t xml:space="preserve"> </w:t>
      </w:r>
      <w:r w:rsidR="00D475C4" w:rsidRPr="00110615">
        <w:rPr>
          <w:rFonts w:ascii="Arial" w:hAnsi="Arial" w:cs="Arial"/>
        </w:rPr>
        <w:t xml:space="preserve">(QALY) y de los años de vida ajustados por discapacidad o </w:t>
      </w:r>
      <w:proofErr w:type="spellStart"/>
      <w:r w:rsidR="00D475C4" w:rsidRPr="00110615">
        <w:rPr>
          <w:rFonts w:ascii="Arial" w:hAnsi="Arial" w:cs="Arial"/>
          <w:i/>
          <w:iCs/>
        </w:rPr>
        <w:t>Disability</w:t>
      </w:r>
      <w:proofErr w:type="spellEnd"/>
      <w:r w:rsidR="00D475C4" w:rsidRPr="00110615">
        <w:rPr>
          <w:rFonts w:ascii="Arial" w:hAnsi="Arial" w:cs="Arial"/>
          <w:i/>
          <w:iCs/>
        </w:rPr>
        <w:t xml:space="preserve"> </w:t>
      </w:r>
      <w:proofErr w:type="spellStart"/>
      <w:r w:rsidR="00D475C4" w:rsidRPr="00110615">
        <w:rPr>
          <w:rFonts w:ascii="Arial" w:hAnsi="Arial" w:cs="Arial"/>
          <w:i/>
          <w:iCs/>
        </w:rPr>
        <w:t>Adjusted</w:t>
      </w:r>
      <w:proofErr w:type="spellEnd"/>
      <w:r w:rsidR="00D475C4" w:rsidRPr="00110615">
        <w:rPr>
          <w:rFonts w:ascii="Arial" w:hAnsi="Arial" w:cs="Arial"/>
          <w:i/>
          <w:iCs/>
        </w:rPr>
        <w:t xml:space="preserve"> </w:t>
      </w:r>
      <w:proofErr w:type="spellStart"/>
      <w:r w:rsidR="00D475C4" w:rsidRPr="00110615">
        <w:rPr>
          <w:rFonts w:ascii="Arial" w:hAnsi="Arial" w:cs="Arial"/>
          <w:i/>
          <w:iCs/>
        </w:rPr>
        <w:t>Life</w:t>
      </w:r>
      <w:proofErr w:type="spellEnd"/>
      <w:r w:rsidR="00D475C4" w:rsidRPr="00110615">
        <w:rPr>
          <w:rFonts w:ascii="Arial" w:hAnsi="Arial" w:cs="Arial"/>
          <w:i/>
          <w:iCs/>
        </w:rPr>
        <w:t xml:space="preserve"> </w:t>
      </w:r>
      <w:proofErr w:type="spellStart"/>
      <w:r w:rsidR="00D475C4" w:rsidRPr="00110615">
        <w:rPr>
          <w:rFonts w:ascii="Arial" w:hAnsi="Arial" w:cs="Arial"/>
          <w:i/>
          <w:iCs/>
        </w:rPr>
        <w:t>Years</w:t>
      </w:r>
      <w:proofErr w:type="spellEnd"/>
      <w:r w:rsidR="00D475C4" w:rsidRPr="00110615">
        <w:rPr>
          <w:rFonts w:ascii="Arial" w:hAnsi="Arial" w:cs="Arial"/>
          <w:i/>
          <w:iCs/>
        </w:rPr>
        <w:t xml:space="preserve"> </w:t>
      </w:r>
      <w:r w:rsidR="00D475C4" w:rsidRPr="00110615">
        <w:rPr>
          <w:rFonts w:ascii="Arial" w:hAnsi="Arial" w:cs="Arial"/>
        </w:rPr>
        <w:t>(DALY) (</w:t>
      </w:r>
      <w:proofErr w:type="spellStart"/>
      <w:r w:rsidR="00D475C4" w:rsidRPr="00110615">
        <w:rPr>
          <w:rFonts w:ascii="Arial" w:hAnsi="Arial" w:cs="Arial"/>
        </w:rPr>
        <w:t>Dolan</w:t>
      </w:r>
      <w:proofErr w:type="spellEnd"/>
      <w:r w:rsidR="00D475C4" w:rsidRPr="00110615">
        <w:rPr>
          <w:rFonts w:ascii="Arial" w:hAnsi="Arial" w:cs="Arial"/>
        </w:rPr>
        <w:t xml:space="preserve"> et al., 2005; </w:t>
      </w:r>
      <w:proofErr w:type="spellStart"/>
      <w:r w:rsidR="00D475C4" w:rsidRPr="00110615">
        <w:rPr>
          <w:rFonts w:ascii="Arial" w:hAnsi="Arial" w:cs="Arial"/>
        </w:rPr>
        <w:t>Alda</w:t>
      </w:r>
      <w:proofErr w:type="spellEnd"/>
      <w:r w:rsidR="00D475C4" w:rsidRPr="00110615">
        <w:rPr>
          <w:rFonts w:ascii="Arial" w:hAnsi="Arial" w:cs="Arial"/>
        </w:rPr>
        <w:t xml:space="preserve"> y Cuesta 2010). La metodología QALY propone sintetizar las pérdidas de un individuo en términos de salud tomando en cuenta tanto la cantidad de años de vida perdidos como la calidad de los mismos. </w:t>
      </w:r>
      <w:r w:rsidR="00AC4830" w:rsidRPr="00110615">
        <w:rPr>
          <w:rFonts w:ascii="Arial" w:hAnsi="Arial" w:cs="Arial"/>
        </w:rPr>
        <w:t xml:space="preserve">Se ajustan por inflación los datos que proveen </w:t>
      </w:r>
      <w:proofErr w:type="spellStart"/>
      <w:r w:rsidR="00AC4830" w:rsidRPr="00110615">
        <w:rPr>
          <w:rFonts w:ascii="Arial" w:hAnsi="Arial" w:cs="Arial"/>
        </w:rPr>
        <w:t>Aboal</w:t>
      </w:r>
      <w:proofErr w:type="spellEnd"/>
      <w:r w:rsidR="00AC4830" w:rsidRPr="00110615">
        <w:rPr>
          <w:rFonts w:ascii="Arial" w:hAnsi="Arial" w:cs="Arial"/>
        </w:rPr>
        <w:t xml:space="preserve">, </w:t>
      </w:r>
      <w:proofErr w:type="spellStart"/>
      <w:r w:rsidR="00AC4830" w:rsidRPr="00110615">
        <w:rPr>
          <w:rFonts w:ascii="Arial" w:hAnsi="Arial" w:cs="Arial"/>
        </w:rPr>
        <w:t>Campanella</w:t>
      </w:r>
      <w:proofErr w:type="spellEnd"/>
      <w:r w:rsidR="00AC4830" w:rsidRPr="00110615">
        <w:rPr>
          <w:rFonts w:ascii="Arial" w:hAnsi="Arial" w:cs="Arial"/>
        </w:rPr>
        <w:t xml:space="preserve"> y </w:t>
      </w:r>
      <w:proofErr w:type="spellStart"/>
      <w:r w:rsidR="00AC4830" w:rsidRPr="00110615">
        <w:rPr>
          <w:rFonts w:ascii="Arial" w:hAnsi="Arial" w:cs="Arial"/>
        </w:rPr>
        <w:t>Lanzinotta</w:t>
      </w:r>
      <w:proofErr w:type="spellEnd"/>
      <w:r w:rsidR="00AC4830" w:rsidRPr="00110615">
        <w:rPr>
          <w:rFonts w:ascii="Arial" w:hAnsi="Arial" w:cs="Arial"/>
        </w:rPr>
        <w:t xml:space="preserve"> (2013). El costo asociado a este componente es del 0,17% del PBI.</w:t>
      </w:r>
    </w:p>
    <w:p w:rsidR="00FA5957" w:rsidRPr="00B55762" w:rsidRDefault="00E96F6C" w:rsidP="007D0EEE">
      <w:pPr>
        <w:pStyle w:val="ListParagraph"/>
        <w:numPr>
          <w:ilvl w:val="1"/>
          <w:numId w:val="1"/>
        </w:numPr>
        <w:spacing w:before="120" w:after="120" w:line="240" w:lineRule="auto"/>
        <w:ind w:hanging="720"/>
        <w:contextualSpacing w:val="0"/>
        <w:jc w:val="both"/>
        <w:rPr>
          <w:rFonts w:ascii="Arial" w:hAnsi="Arial" w:cs="Arial"/>
        </w:rPr>
      </w:pPr>
      <w:r w:rsidRPr="00B55762">
        <w:rPr>
          <w:rFonts w:ascii="Arial" w:hAnsi="Arial" w:cs="Arial"/>
        </w:rPr>
        <w:t xml:space="preserve">Costos </w:t>
      </w:r>
      <w:r w:rsidR="00FA5957" w:rsidRPr="00B55762">
        <w:rPr>
          <w:rFonts w:ascii="Arial" w:hAnsi="Arial" w:cs="Arial"/>
        </w:rPr>
        <w:t xml:space="preserve">asociados a pérdidas en </w:t>
      </w:r>
      <w:r w:rsidRPr="00B55762">
        <w:rPr>
          <w:rFonts w:ascii="Arial" w:hAnsi="Arial" w:cs="Arial"/>
        </w:rPr>
        <w:t>el crecimiento económico</w:t>
      </w:r>
    </w:p>
    <w:p w:rsidR="00E96F6C" w:rsidRPr="00B55762" w:rsidRDefault="00E96F6C" w:rsidP="00B55762">
      <w:pPr>
        <w:pStyle w:val="ListParagraph"/>
        <w:numPr>
          <w:ilvl w:val="0"/>
          <w:numId w:val="15"/>
        </w:numPr>
        <w:spacing w:before="120" w:after="120" w:line="240" w:lineRule="auto"/>
        <w:ind w:left="1440" w:hanging="720"/>
        <w:contextualSpacing w:val="0"/>
        <w:jc w:val="both"/>
        <w:rPr>
          <w:rFonts w:ascii="Arial" w:hAnsi="Arial" w:cs="Arial"/>
          <w:u w:val="single"/>
        </w:rPr>
      </w:pPr>
      <w:r w:rsidRPr="00B55762">
        <w:rPr>
          <w:rFonts w:ascii="Arial" w:hAnsi="Arial" w:cs="Arial"/>
          <w:b/>
        </w:rPr>
        <w:t>Definición</w:t>
      </w:r>
      <w:r w:rsidR="00B55762" w:rsidRPr="00B55762">
        <w:rPr>
          <w:rFonts w:ascii="Arial" w:hAnsi="Arial" w:cs="Arial"/>
          <w:b/>
        </w:rPr>
        <w:t>.</w:t>
      </w:r>
      <w:r w:rsidR="007D0EEE" w:rsidRPr="00B55762">
        <w:rPr>
          <w:rFonts w:ascii="Arial" w:hAnsi="Arial" w:cs="Arial"/>
        </w:rPr>
        <w:t xml:space="preserve"> </w:t>
      </w:r>
      <w:r w:rsidRPr="00B55762">
        <w:rPr>
          <w:rFonts w:ascii="Arial" w:hAnsi="Arial" w:cs="Arial"/>
        </w:rPr>
        <w:t xml:space="preserve">Recuerdan </w:t>
      </w:r>
      <w:proofErr w:type="spellStart"/>
      <w:r w:rsidRPr="00B55762">
        <w:rPr>
          <w:rFonts w:ascii="Arial" w:hAnsi="Arial" w:cs="Arial"/>
        </w:rPr>
        <w:t>Aboal</w:t>
      </w:r>
      <w:proofErr w:type="spellEnd"/>
      <w:r w:rsidRPr="00B55762">
        <w:rPr>
          <w:rFonts w:ascii="Arial" w:hAnsi="Arial" w:cs="Arial"/>
        </w:rPr>
        <w:t xml:space="preserve">, </w:t>
      </w:r>
      <w:proofErr w:type="spellStart"/>
      <w:r w:rsidRPr="00B55762">
        <w:rPr>
          <w:rFonts w:ascii="Arial" w:hAnsi="Arial" w:cs="Arial"/>
        </w:rPr>
        <w:t>Campanella</w:t>
      </w:r>
      <w:proofErr w:type="spellEnd"/>
      <w:r w:rsidRPr="00B55762">
        <w:rPr>
          <w:rFonts w:ascii="Arial" w:hAnsi="Arial" w:cs="Arial"/>
        </w:rPr>
        <w:t xml:space="preserve"> y </w:t>
      </w:r>
      <w:proofErr w:type="spellStart"/>
      <w:r w:rsidRPr="00B55762">
        <w:rPr>
          <w:rFonts w:ascii="Arial" w:hAnsi="Arial" w:cs="Arial"/>
        </w:rPr>
        <w:t>Lanzinotta</w:t>
      </w:r>
      <w:proofErr w:type="spellEnd"/>
      <w:r w:rsidRPr="00B55762">
        <w:rPr>
          <w:rFonts w:ascii="Arial" w:hAnsi="Arial" w:cs="Arial"/>
        </w:rPr>
        <w:t xml:space="preserve"> (2013) que, al contabilizar los costos de la criminalidad es importante tener en cuenta el concepto de costo de oportunidad, es decir: el valor que tienen los recursos cuando son empleados en el mejor uso alternativo. Esto es importante para definir en algunos casos los costos relevantes a considerar. Por ejemplo si alguien es lastimado a consecuencia de una rapiña, y esto impide que la persona trabaje por una cantidad determinada de días, deberíamos considerar que el costo de esta rapiña incluye, además de lo que fue robado, no sólo los costos médicos que implican las lesiones sino también el salario y el producto perdidos por los días no trabajados. </w:t>
      </w:r>
      <w:r w:rsidR="00FA5957" w:rsidRPr="00B55762">
        <w:rPr>
          <w:rFonts w:ascii="Arial" w:hAnsi="Arial" w:cs="Arial"/>
        </w:rPr>
        <w:t>En este mism</w:t>
      </w:r>
      <w:r w:rsidR="006F39FF" w:rsidRPr="00B55762">
        <w:rPr>
          <w:rFonts w:ascii="Arial" w:hAnsi="Arial" w:cs="Arial"/>
        </w:rPr>
        <w:t xml:space="preserve">o sentido, en el caso de </w:t>
      </w:r>
      <w:r w:rsidR="00FA5957" w:rsidRPr="00B55762">
        <w:rPr>
          <w:rFonts w:ascii="Arial" w:hAnsi="Arial" w:cs="Arial"/>
        </w:rPr>
        <w:t>las personas que están en situación de privación de libertad</w:t>
      </w:r>
      <w:r w:rsidR="006F39FF" w:rsidRPr="00B55762">
        <w:rPr>
          <w:rFonts w:ascii="Arial" w:hAnsi="Arial" w:cs="Arial"/>
        </w:rPr>
        <w:t>,</w:t>
      </w:r>
      <w:r w:rsidR="00FA5957" w:rsidRPr="00B55762">
        <w:rPr>
          <w:rFonts w:ascii="Arial" w:hAnsi="Arial" w:cs="Arial"/>
        </w:rPr>
        <w:t xml:space="preserve"> no sólo habría que considerar los costos asociados a la gestión de la privación de la libertad sino también el salario y el producto perdido por los años no trabajados.</w:t>
      </w:r>
    </w:p>
    <w:p w:rsidR="00E96F6C" w:rsidRPr="007D0EEE" w:rsidRDefault="00FA5957" w:rsidP="00B55762">
      <w:pPr>
        <w:pStyle w:val="ListParagraph"/>
        <w:numPr>
          <w:ilvl w:val="0"/>
          <w:numId w:val="15"/>
        </w:numPr>
        <w:spacing w:before="120" w:after="120" w:line="240" w:lineRule="auto"/>
        <w:ind w:left="1440" w:hanging="720"/>
        <w:contextualSpacing w:val="0"/>
        <w:jc w:val="both"/>
        <w:rPr>
          <w:rFonts w:ascii="Arial" w:hAnsi="Arial" w:cs="Arial"/>
        </w:rPr>
      </w:pPr>
      <w:r w:rsidRPr="00B55762">
        <w:rPr>
          <w:rFonts w:ascii="Arial" w:hAnsi="Arial" w:cs="Arial"/>
          <w:b/>
        </w:rPr>
        <w:t>Método</w:t>
      </w:r>
      <w:r w:rsidR="007D0EEE" w:rsidRPr="00B55762">
        <w:rPr>
          <w:rFonts w:ascii="Arial" w:hAnsi="Arial" w:cs="Arial"/>
          <w:b/>
        </w:rPr>
        <w:t>:</w:t>
      </w:r>
      <w:r w:rsidR="007D0EEE">
        <w:rPr>
          <w:rFonts w:ascii="Arial" w:hAnsi="Arial" w:cs="Arial"/>
        </w:rPr>
        <w:t xml:space="preserve"> </w:t>
      </w:r>
      <w:proofErr w:type="spellStart"/>
      <w:r w:rsidR="002532FF" w:rsidRPr="007D0EEE">
        <w:rPr>
          <w:rFonts w:ascii="Arial" w:hAnsi="Arial" w:cs="Arial"/>
        </w:rPr>
        <w:t>Aboal</w:t>
      </w:r>
      <w:proofErr w:type="spellEnd"/>
      <w:r w:rsidR="002532FF" w:rsidRPr="007D0EEE">
        <w:rPr>
          <w:rFonts w:ascii="Arial" w:hAnsi="Arial" w:cs="Arial"/>
        </w:rPr>
        <w:t xml:space="preserve">, </w:t>
      </w:r>
      <w:proofErr w:type="spellStart"/>
      <w:r w:rsidR="002532FF" w:rsidRPr="007D0EEE">
        <w:rPr>
          <w:rFonts w:ascii="Arial" w:hAnsi="Arial" w:cs="Arial"/>
        </w:rPr>
        <w:t>Campanella</w:t>
      </w:r>
      <w:proofErr w:type="spellEnd"/>
      <w:r w:rsidR="002532FF" w:rsidRPr="007D0EEE">
        <w:rPr>
          <w:rFonts w:ascii="Arial" w:hAnsi="Arial" w:cs="Arial"/>
        </w:rPr>
        <w:t xml:space="preserve"> y </w:t>
      </w:r>
      <w:proofErr w:type="spellStart"/>
      <w:r w:rsidR="002532FF" w:rsidRPr="007D0EEE">
        <w:rPr>
          <w:rFonts w:ascii="Arial" w:hAnsi="Arial" w:cs="Arial"/>
        </w:rPr>
        <w:t>Lanzinotta</w:t>
      </w:r>
      <w:proofErr w:type="spellEnd"/>
      <w:r w:rsidR="002532FF" w:rsidRPr="007D0EEE">
        <w:rPr>
          <w:rFonts w:ascii="Arial" w:hAnsi="Arial" w:cs="Arial"/>
        </w:rPr>
        <w:t xml:space="preserve"> (2013) estiman el costo por salarios perdido de las personas privadas de liberta en 0,11% del PBI, y para ello cons</w:t>
      </w:r>
      <w:r w:rsidR="0031023C" w:rsidRPr="007D0EEE">
        <w:rPr>
          <w:rFonts w:ascii="Arial" w:hAnsi="Arial" w:cs="Arial"/>
        </w:rPr>
        <w:t>ideran la cantidad de reclusos y el salario promedio estimado en caso de estar en libertad (no consideran el costo de oportunidad de los jóvenes menores de 18 años privados de libertad por dificultad en la estimación)</w:t>
      </w:r>
      <w:r w:rsidR="002532FF" w:rsidRPr="007D0EEE">
        <w:rPr>
          <w:rFonts w:ascii="Arial" w:hAnsi="Arial" w:cs="Arial"/>
        </w:rPr>
        <w:t xml:space="preserve">. </w:t>
      </w:r>
    </w:p>
    <w:p w:rsidR="009B11EC" w:rsidRPr="007D0EEE" w:rsidRDefault="009B11EC" w:rsidP="00B55762">
      <w:pPr>
        <w:pStyle w:val="ListParagraph"/>
        <w:numPr>
          <w:ilvl w:val="0"/>
          <w:numId w:val="1"/>
        </w:numPr>
        <w:spacing w:before="240" w:after="240" w:line="240" w:lineRule="auto"/>
        <w:contextualSpacing w:val="0"/>
        <w:jc w:val="center"/>
        <w:rPr>
          <w:rFonts w:ascii="Arial" w:hAnsi="Arial" w:cs="Arial"/>
          <w:b/>
          <w:lang w:val="es-ES"/>
        </w:rPr>
      </w:pPr>
      <w:r w:rsidRPr="007D0EEE">
        <w:rPr>
          <w:rFonts w:ascii="Arial" w:hAnsi="Arial" w:cs="Arial"/>
          <w:b/>
          <w:lang w:val="es-ES"/>
        </w:rPr>
        <w:t>ESTIMACIÓN COSTO-BENEFICIO COMPONENTE 1</w:t>
      </w:r>
    </w:p>
    <w:p w:rsidR="009B11EC" w:rsidRPr="004762ED" w:rsidRDefault="009B11EC" w:rsidP="007D0EEE">
      <w:pPr>
        <w:pStyle w:val="ListParagraph"/>
        <w:numPr>
          <w:ilvl w:val="1"/>
          <w:numId w:val="1"/>
        </w:numPr>
        <w:spacing w:before="120" w:after="120" w:line="240" w:lineRule="auto"/>
        <w:ind w:hanging="720"/>
        <w:contextualSpacing w:val="0"/>
        <w:jc w:val="both"/>
        <w:rPr>
          <w:rFonts w:ascii="Arial" w:hAnsi="Arial" w:cs="Arial"/>
          <w:lang w:val="es-ES"/>
        </w:rPr>
      </w:pPr>
      <w:r w:rsidRPr="00AA227C">
        <w:rPr>
          <w:rFonts w:ascii="Arial" w:hAnsi="Arial" w:cs="Arial"/>
          <w:b/>
          <w:lang w:val="es-ES"/>
        </w:rPr>
        <w:t>Componente 1</w:t>
      </w:r>
      <w:r w:rsidRPr="00AA227C">
        <w:rPr>
          <w:rFonts w:ascii="Arial" w:hAnsi="Arial" w:cs="Arial"/>
          <w:lang w:val="es-ES"/>
        </w:rPr>
        <w:t xml:space="preserve">. </w:t>
      </w:r>
      <w:r w:rsidRPr="004762ED">
        <w:rPr>
          <w:rFonts w:ascii="Arial" w:hAnsi="Arial" w:cs="Arial"/>
          <w:lang w:val="es-ES"/>
        </w:rPr>
        <w:t xml:space="preserve">El Componente 1, bajo el nombre “Estrategias focalizadas de prevención policial del delito”, se dirige al fortalecimiento de tres intervenciones: (i) el Programa de Alta Dedicación Operativa (PADO); (ii) el Programa de </w:t>
      </w:r>
      <w:proofErr w:type="spellStart"/>
      <w:r w:rsidRPr="004762ED">
        <w:rPr>
          <w:rFonts w:ascii="Arial" w:hAnsi="Arial" w:cs="Arial"/>
          <w:lang w:val="es-ES"/>
        </w:rPr>
        <w:t>Policiamiento</w:t>
      </w:r>
      <w:proofErr w:type="spellEnd"/>
      <w:r w:rsidRPr="004762ED">
        <w:rPr>
          <w:rFonts w:ascii="Arial" w:hAnsi="Arial" w:cs="Arial"/>
          <w:lang w:val="es-ES"/>
        </w:rPr>
        <w:t xml:space="preserve"> Orientado a Problemas (POP); (iii) la Unidad de Análisis Criminal. </w:t>
      </w:r>
      <w:r w:rsidR="006F39FF" w:rsidRPr="004762ED">
        <w:rPr>
          <w:rFonts w:ascii="Arial" w:hAnsi="Arial" w:cs="Arial"/>
          <w:lang w:val="es-ES"/>
        </w:rPr>
        <w:t xml:space="preserve">Se destinará </w:t>
      </w:r>
      <w:r w:rsidR="00181F9C" w:rsidRPr="004762ED">
        <w:rPr>
          <w:rFonts w:ascii="Arial" w:hAnsi="Arial" w:cs="Arial"/>
          <w:lang w:val="es-ES"/>
        </w:rPr>
        <w:t xml:space="preserve">de manera directa </w:t>
      </w:r>
      <w:r w:rsidR="006F39FF" w:rsidRPr="004762ED">
        <w:rPr>
          <w:rFonts w:ascii="Arial" w:hAnsi="Arial" w:cs="Arial"/>
          <w:lang w:val="es-ES"/>
        </w:rPr>
        <w:t xml:space="preserve">al Componente 1 </w:t>
      </w:r>
      <w:r w:rsidR="00AA227C" w:rsidRPr="004762ED">
        <w:rPr>
          <w:rFonts w:ascii="Arial" w:hAnsi="Arial" w:cs="Arial"/>
          <w:lang w:val="es-ES"/>
        </w:rPr>
        <w:t>US$2.222.732</w:t>
      </w:r>
      <w:r w:rsidRPr="004762ED">
        <w:rPr>
          <w:rFonts w:ascii="Arial" w:hAnsi="Arial" w:cs="Arial"/>
          <w:lang w:val="es-ES"/>
        </w:rPr>
        <w:t xml:space="preserve">. </w:t>
      </w:r>
    </w:p>
    <w:p w:rsidR="009B11EC" w:rsidRPr="004762ED" w:rsidRDefault="009B11EC" w:rsidP="007D0EEE">
      <w:pPr>
        <w:pStyle w:val="ListParagraph"/>
        <w:numPr>
          <w:ilvl w:val="1"/>
          <w:numId w:val="1"/>
        </w:numPr>
        <w:spacing w:before="120" w:after="120" w:line="240" w:lineRule="auto"/>
        <w:ind w:hanging="720"/>
        <w:contextualSpacing w:val="0"/>
        <w:jc w:val="both"/>
        <w:rPr>
          <w:rFonts w:ascii="Arial" w:hAnsi="Arial" w:cs="Arial"/>
        </w:rPr>
      </w:pPr>
      <w:r w:rsidRPr="00AA227C">
        <w:rPr>
          <w:rFonts w:ascii="Arial" w:hAnsi="Arial" w:cs="Arial"/>
          <w:b/>
          <w:bCs/>
        </w:rPr>
        <w:t>Conocimiento existente en materia del Componente 1.</w:t>
      </w:r>
      <w:r w:rsidRPr="00AA227C">
        <w:rPr>
          <w:rFonts w:ascii="Arial" w:hAnsi="Arial" w:cs="Arial"/>
          <w:bCs/>
        </w:rPr>
        <w:t xml:space="preserve"> </w:t>
      </w:r>
      <w:r w:rsidRPr="004762ED">
        <w:rPr>
          <w:rFonts w:ascii="Arial" w:hAnsi="Arial" w:cs="Arial"/>
          <w:bCs/>
        </w:rPr>
        <w:t xml:space="preserve">La literatura científica sobre delito muestra un creciente cuerpo de evidencia que sugiere </w:t>
      </w:r>
      <w:r w:rsidRPr="004762ED">
        <w:rPr>
          <w:rFonts w:ascii="Arial" w:hAnsi="Arial" w:cs="Arial"/>
          <w:bCs/>
        </w:rPr>
        <w:lastRenderedPageBreak/>
        <w:t xml:space="preserve">que las intervenciones policiales focalizadas, tales como el patrullaje basado en evidencia (PADO) y el </w:t>
      </w:r>
      <w:proofErr w:type="spellStart"/>
      <w:r w:rsidRPr="004762ED">
        <w:rPr>
          <w:rFonts w:ascii="Arial" w:hAnsi="Arial" w:cs="Arial"/>
          <w:bCs/>
        </w:rPr>
        <w:t>Policiamiento</w:t>
      </w:r>
      <w:proofErr w:type="spellEnd"/>
      <w:r w:rsidRPr="004762ED">
        <w:rPr>
          <w:rFonts w:ascii="Arial" w:hAnsi="Arial" w:cs="Arial"/>
          <w:bCs/>
        </w:rPr>
        <w:t xml:space="preserve"> Orientado a Problemas (POP), pueden resultar en ganancias significativas en materia de prevención  y control del delito en zonas críticas de alta vulnerabilidad delictual (véase, por ejemplo, Braga, </w:t>
      </w:r>
      <w:proofErr w:type="spellStart"/>
      <w:r w:rsidRPr="004762ED">
        <w:rPr>
          <w:rFonts w:ascii="Arial" w:hAnsi="Arial" w:cs="Arial"/>
          <w:bCs/>
        </w:rPr>
        <w:t>Hureau</w:t>
      </w:r>
      <w:proofErr w:type="spellEnd"/>
      <w:r w:rsidRPr="004762ED">
        <w:rPr>
          <w:rFonts w:ascii="Arial" w:hAnsi="Arial" w:cs="Arial"/>
          <w:bCs/>
        </w:rPr>
        <w:t xml:space="preserve"> y </w:t>
      </w:r>
      <w:proofErr w:type="spellStart"/>
      <w:r w:rsidRPr="004762ED">
        <w:rPr>
          <w:rFonts w:ascii="Arial" w:hAnsi="Arial" w:cs="Arial"/>
          <w:bCs/>
        </w:rPr>
        <w:t>Papachristos</w:t>
      </w:r>
      <w:proofErr w:type="spellEnd"/>
      <w:r w:rsidRPr="004762ED">
        <w:rPr>
          <w:rFonts w:ascii="Arial" w:hAnsi="Arial" w:cs="Arial"/>
          <w:bCs/>
        </w:rPr>
        <w:t xml:space="preserve"> 2012; Braga 2008; </w:t>
      </w:r>
      <w:proofErr w:type="spellStart"/>
      <w:r w:rsidRPr="004762ED">
        <w:rPr>
          <w:rFonts w:ascii="Arial" w:hAnsi="Arial" w:cs="Arial"/>
          <w:bCs/>
        </w:rPr>
        <w:t>Eck</w:t>
      </w:r>
      <w:proofErr w:type="spellEnd"/>
      <w:r w:rsidRPr="004762ED">
        <w:rPr>
          <w:rFonts w:ascii="Arial" w:hAnsi="Arial" w:cs="Arial"/>
          <w:bCs/>
        </w:rPr>
        <w:t xml:space="preserve"> 2002; </w:t>
      </w:r>
      <w:proofErr w:type="spellStart"/>
      <w:r w:rsidRPr="004762ED">
        <w:rPr>
          <w:rFonts w:ascii="Arial" w:hAnsi="Arial" w:cs="Arial"/>
          <w:bCs/>
        </w:rPr>
        <w:t>National</w:t>
      </w:r>
      <w:proofErr w:type="spellEnd"/>
      <w:r w:rsidRPr="004762ED">
        <w:rPr>
          <w:rFonts w:ascii="Arial" w:hAnsi="Arial" w:cs="Arial"/>
          <w:bCs/>
        </w:rPr>
        <w:t xml:space="preserve"> </w:t>
      </w:r>
      <w:proofErr w:type="spellStart"/>
      <w:r w:rsidRPr="004762ED">
        <w:rPr>
          <w:rFonts w:ascii="Arial" w:hAnsi="Arial" w:cs="Arial"/>
          <w:bCs/>
        </w:rPr>
        <w:t>Research</w:t>
      </w:r>
      <w:proofErr w:type="spellEnd"/>
      <w:r w:rsidRPr="004762ED">
        <w:rPr>
          <w:rFonts w:ascii="Arial" w:hAnsi="Arial" w:cs="Arial"/>
          <w:bCs/>
        </w:rPr>
        <w:t xml:space="preserve"> Council 2004; </w:t>
      </w:r>
      <w:proofErr w:type="spellStart"/>
      <w:r w:rsidRPr="004762ED">
        <w:rPr>
          <w:rFonts w:ascii="Arial" w:hAnsi="Arial" w:cs="Arial"/>
          <w:bCs/>
        </w:rPr>
        <w:t>Weisburd</w:t>
      </w:r>
      <w:proofErr w:type="spellEnd"/>
      <w:r w:rsidRPr="004762ED">
        <w:rPr>
          <w:rFonts w:ascii="Arial" w:hAnsi="Arial" w:cs="Arial"/>
          <w:bCs/>
        </w:rPr>
        <w:t xml:space="preserve"> y </w:t>
      </w:r>
      <w:proofErr w:type="spellStart"/>
      <w:r w:rsidRPr="004762ED">
        <w:rPr>
          <w:rFonts w:ascii="Arial" w:hAnsi="Arial" w:cs="Arial"/>
          <w:bCs/>
        </w:rPr>
        <w:t>Eck</w:t>
      </w:r>
      <w:proofErr w:type="spellEnd"/>
      <w:r w:rsidRPr="004762ED">
        <w:rPr>
          <w:rFonts w:ascii="Arial" w:hAnsi="Arial" w:cs="Arial"/>
          <w:bCs/>
        </w:rPr>
        <w:t xml:space="preserve"> 2004</w:t>
      </w:r>
      <w:r w:rsidR="005D411A" w:rsidRPr="004762ED">
        <w:rPr>
          <w:rFonts w:ascii="Arial" w:hAnsi="Arial" w:cs="Arial"/>
          <w:bCs/>
        </w:rPr>
        <w:t xml:space="preserve">; </w:t>
      </w:r>
      <w:proofErr w:type="spellStart"/>
      <w:r w:rsidR="005D411A" w:rsidRPr="004762ED">
        <w:rPr>
          <w:rFonts w:ascii="Arial" w:hAnsi="Arial" w:cs="Arial"/>
        </w:rPr>
        <w:t>Weisburd</w:t>
      </w:r>
      <w:proofErr w:type="spellEnd"/>
      <w:r w:rsidR="005D411A" w:rsidRPr="004762ED">
        <w:rPr>
          <w:rFonts w:ascii="Arial" w:hAnsi="Arial" w:cs="Arial"/>
        </w:rPr>
        <w:t xml:space="preserve"> et al. </w:t>
      </w:r>
      <w:r w:rsidR="00181F9C" w:rsidRPr="004762ED">
        <w:rPr>
          <w:rFonts w:ascii="Arial" w:hAnsi="Arial" w:cs="Arial"/>
        </w:rPr>
        <w:t xml:space="preserve">2008). </w:t>
      </w:r>
      <w:r w:rsidR="00242FAE" w:rsidRPr="004762ED">
        <w:rPr>
          <w:rFonts w:ascii="Arial" w:hAnsi="Arial" w:cs="Arial"/>
          <w:bCs/>
        </w:rPr>
        <w:t>Braga (2005), estudiando 5 evaluaciones de impacto</w:t>
      </w:r>
      <w:r w:rsidR="004905FD" w:rsidRPr="004762ED">
        <w:rPr>
          <w:rFonts w:ascii="Arial" w:hAnsi="Arial" w:cs="Arial"/>
          <w:bCs/>
        </w:rPr>
        <w:t xml:space="preserve"> experimentales</w:t>
      </w:r>
      <w:r w:rsidR="00181F9C" w:rsidRPr="004762ED">
        <w:rPr>
          <w:rFonts w:ascii="Arial" w:hAnsi="Arial" w:cs="Arial"/>
          <w:bCs/>
        </w:rPr>
        <w:t xml:space="preserve"> relacionadas a PADO</w:t>
      </w:r>
      <w:r w:rsidR="00242FAE" w:rsidRPr="004762ED">
        <w:rPr>
          <w:rFonts w:ascii="Arial" w:hAnsi="Arial" w:cs="Arial"/>
          <w:bCs/>
        </w:rPr>
        <w:t xml:space="preserve">, encuentra un efecto promedio de 34,5% en materia de reducción del delito; </w:t>
      </w:r>
      <w:r w:rsidRPr="004762ED">
        <w:rPr>
          <w:rFonts w:ascii="Arial" w:hAnsi="Arial" w:cs="Arial"/>
          <w:bCs/>
        </w:rPr>
        <w:t xml:space="preserve">los resultados de </w:t>
      </w:r>
      <w:r w:rsidR="00242FAE" w:rsidRPr="004762ED">
        <w:rPr>
          <w:rFonts w:ascii="Arial" w:hAnsi="Arial" w:cs="Arial"/>
          <w:bCs/>
        </w:rPr>
        <w:t xml:space="preserve">Braga y Bond (2008), Braga y </w:t>
      </w:r>
      <w:r w:rsidRPr="004762ED">
        <w:rPr>
          <w:rFonts w:ascii="Arial" w:hAnsi="Arial" w:cs="Arial"/>
          <w:bCs/>
        </w:rPr>
        <w:t xml:space="preserve">Taylor, </w:t>
      </w:r>
      <w:proofErr w:type="spellStart"/>
      <w:r w:rsidRPr="004762ED">
        <w:rPr>
          <w:rFonts w:ascii="Arial" w:hAnsi="Arial" w:cs="Arial"/>
          <w:bCs/>
        </w:rPr>
        <w:t>Kopery</w:t>
      </w:r>
      <w:proofErr w:type="spellEnd"/>
      <w:r w:rsidRPr="004762ED">
        <w:rPr>
          <w:rFonts w:ascii="Arial" w:hAnsi="Arial" w:cs="Arial"/>
          <w:bCs/>
        </w:rPr>
        <w:t xml:space="preserve"> Woods (2011) y </w:t>
      </w:r>
      <w:proofErr w:type="spellStart"/>
      <w:r w:rsidRPr="004762ED">
        <w:rPr>
          <w:rFonts w:ascii="Arial" w:hAnsi="Arial" w:cs="Arial"/>
          <w:bCs/>
        </w:rPr>
        <w:t>Ratcliffe</w:t>
      </w:r>
      <w:proofErr w:type="spellEnd"/>
      <w:r w:rsidRPr="004762ED">
        <w:rPr>
          <w:rFonts w:ascii="Arial" w:hAnsi="Arial" w:cs="Arial"/>
          <w:bCs/>
        </w:rPr>
        <w:t xml:space="preserve"> et al (2011) confirman esa magnitud de impacto.</w:t>
      </w:r>
    </w:p>
    <w:p w:rsidR="006F39FF" w:rsidRPr="004762ED" w:rsidRDefault="0048642D" w:rsidP="007D0EEE">
      <w:pPr>
        <w:pStyle w:val="ListParagraph"/>
        <w:numPr>
          <w:ilvl w:val="1"/>
          <w:numId w:val="1"/>
        </w:numPr>
        <w:spacing w:before="120" w:line="240" w:lineRule="auto"/>
        <w:ind w:hanging="720"/>
        <w:contextualSpacing w:val="0"/>
        <w:jc w:val="both"/>
        <w:rPr>
          <w:rFonts w:ascii="Arial" w:hAnsi="Arial" w:cs="Arial"/>
        </w:rPr>
      </w:pPr>
      <w:r w:rsidRPr="004762ED">
        <w:rPr>
          <w:rFonts w:ascii="Arial" w:hAnsi="Arial" w:cs="Arial"/>
        </w:rPr>
        <w:t xml:space="preserve">El principal objetivo del Componente 1, como se señala en la Matriz de Resultados es: </w:t>
      </w:r>
      <w:r w:rsidR="00810D08" w:rsidRPr="004762ED">
        <w:rPr>
          <w:rFonts w:ascii="Arial" w:hAnsi="Arial" w:cs="Arial"/>
        </w:rPr>
        <w:t xml:space="preserve">reducir 20% </w:t>
      </w:r>
      <w:r w:rsidR="00D037BE" w:rsidRPr="004762ED">
        <w:rPr>
          <w:rFonts w:ascii="Arial" w:hAnsi="Arial" w:cs="Arial"/>
        </w:rPr>
        <w:t xml:space="preserve">(como se señala en 3.2, la literatura sobre PADO sugiere un impacto de 34,5% pero aquí se opta por un criterio conservador de impacto esperado de 20%) </w:t>
      </w:r>
      <w:r w:rsidR="00810D08" w:rsidRPr="004762ED">
        <w:rPr>
          <w:rFonts w:ascii="Arial" w:hAnsi="Arial" w:cs="Arial"/>
        </w:rPr>
        <w:t>la “p</w:t>
      </w:r>
      <w:r w:rsidR="00810D08" w:rsidRPr="004762ED">
        <w:rPr>
          <w:rFonts w:ascii="Arial" w:eastAsia="Times New Roman" w:hAnsi="Arial" w:cs="Arial"/>
          <w:spacing w:val="-3"/>
          <w:lang w:val="es-UY"/>
        </w:rPr>
        <w:t>oblación de 18 años o más que sufrió un robo personal con violencia (rapiña) en los últimos 12 meses en Montevideo”, es decir, que esa población que sufrió esos delitos</w:t>
      </w:r>
      <w:r w:rsidR="00810D08" w:rsidRPr="004762ED">
        <w:rPr>
          <w:rFonts w:ascii="Arial" w:hAnsi="Arial" w:cs="Arial"/>
        </w:rPr>
        <w:t xml:space="preserve"> pase del 7,1% al 5,6</w:t>
      </w:r>
      <w:r w:rsidR="005959E3" w:rsidRPr="004762ED">
        <w:rPr>
          <w:rFonts w:ascii="Arial" w:hAnsi="Arial" w:cs="Arial"/>
        </w:rPr>
        <w:t>%</w:t>
      </w:r>
      <w:r w:rsidR="00F934EA" w:rsidRPr="004762ED">
        <w:rPr>
          <w:rFonts w:ascii="Arial" w:hAnsi="Arial" w:cs="Arial"/>
        </w:rPr>
        <w:t xml:space="preserve"> (cfr. R1.1 de la Matriz de Resultados)</w:t>
      </w:r>
      <w:r w:rsidR="005959E3" w:rsidRPr="004762ED">
        <w:rPr>
          <w:rFonts w:ascii="Arial" w:hAnsi="Arial" w:cs="Arial"/>
        </w:rPr>
        <w:t>.</w:t>
      </w:r>
    </w:p>
    <w:p w:rsidR="00F934EA" w:rsidRPr="00287183" w:rsidRDefault="00AA227C">
      <w:pPr>
        <w:pStyle w:val="ListParagraph"/>
        <w:numPr>
          <w:ilvl w:val="1"/>
          <w:numId w:val="1"/>
        </w:numPr>
        <w:spacing w:before="120" w:line="240" w:lineRule="auto"/>
        <w:ind w:hanging="720"/>
        <w:contextualSpacing w:val="0"/>
        <w:jc w:val="both"/>
        <w:rPr>
          <w:rFonts w:ascii="Arial" w:hAnsi="Arial" w:cs="Arial"/>
        </w:rPr>
      </w:pPr>
      <w:r w:rsidRPr="00AA227C">
        <w:rPr>
          <w:rFonts w:ascii="Arial" w:hAnsi="Arial" w:cs="Arial"/>
          <w:lang w:val="es-ES"/>
        </w:rPr>
        <w:t xml:space="preserve">Como se señala en la tabla siguiente, el valor de </w:t>
      </w:r>
      <w:r w:rsidR="007D0EEE">
        <w:rPr>
          <w:rFonts w:ascii="Arial" w:hAnsi="Arial" w:cs="Arial"/>
          <w:lang w:val="es-ES"/>
        </w:rPr>
        <w:t xml:space="preserve">los beneficios netos estimados </w:t>
      </w:r>
      <w:r w:rsidRPr="00AA227C">
        <w:rPr>
          <w:rFonts w:ascii="Arial" w:hAnsi="Arial" w:cs="Arial"/>
          <w:lang w:val="es-ES"/>
        </w:rPr>
        <w:t xml:space="preserve">es de </w:t>
      </w:r>
      <w:r>
        <w:rPr>
          <w:rFonts w:ascii="Arial" w:hAnsi="Arial" w:cs="Arial"/>
          <w:lang w:val="es-ES"/>
        </w:rPr>
        <w:t>US$</w:t>
      </w:r>
      <w:r w:rsidRPr="00AA227C">
        <w:rPr>
          <w:rFonts w:ascii="Arial" w:hAnsi="Arial" w:cs="Arial"/>
          <w:lang w:val="es-ES"/>
        </w:rPr>
        <w:t xml:space="preserve">164.963.634, con un valor actual neto de </w:t>
      </w:r>
      <w:r>
        <w:rPr>
          <w:rFonts w:ascii="Arial" w:hAnsi="Arial" w:cs="Arial"/>
          <w:lang w:val="es-ES"/>
        </w:rPr>
        <w:t>US$</w:t>
      </w:r>
      <w:r w:rsidRPr="00AA227C">
        <w:rPr>
          <w:rFonts w:ascii="Arial" w:hAnsi="Arial" w:cs="Arial"/>
          <w:lang w:val="es-ES"/>
        </w:rPr>
        <w:t>99.505.878. Este cálculo emplea la tasa de descuento estándar del BID para el análisis de costos y beneficios de proyectos que es 12%</w:t>
      </w:r>
      <w:r w:rsidR="00A66AC6" w:rsidRPr="00D900DE">
        <w:rPr>
          <w:rFonts w:ascii="Arial" w:hAnsi="Arial" w:cs="Arial"/>
          <w:lang w:val="es-ES"/>
        </w:rPr>
        <w:t>, y supone que se recogerán los beneficios del proyecto en el período de 15 años</w:t>
      </w:r>
      <w:r w:rsidR="00A66AC6">
        <w:rPr>
          <w:rFonts w:ascii="Arial" w:hAnsi="Arial" w:cs="Arial"/>
          <w:lang w:val="es-ES"/>
        </w:rPr>
        <w:t xml:space="preserve"> (</w:t>
      </w:r>
      <w:r w:rsidR="00A66AC6" w:rsidRPr="00081E80">
        <w:rPr>
          <w:rFonts w:ascii="Arial" w:hAnsi="Arial" w:cs="Arial"/>
        </w:rPr>
        <w:t xml:space="preserve">luego de obtener el impacto esperado de 20% en el período 2017-2021, el programa </w:t>
      </w:r>
      <w:r w:rsidR="00A66AC6">
        <w:rPr>
          <w:rFonts w:ascii="Arial" w:hAnsi="Arial" w:cs="Arial"/>
        </w:rPr>
        <w:t xml:space="preserve">seguirá operativo, </w:t>
      </w:r>
      <w:r w:rsidR="004863F4">
        <w:rPr>
          <w:rFonts w:ascii="Arial" w:hAnsi="Arial" w:cs="Arial"/>
        </w:rPr>
        <w:t xml:space="preserve">generando beneficios, </w:t>
      </w:r>
      <w:r w:rsidR="00A66AC6" w:rsidRPr="00081E80">
        <w:rPr>
          <w:rFonts w:ascii="Arial" w:hAnsi="Arial" w:cs="Arial"/>
        </w:rPr>
        <w:t>aunque a un menor ritmo</w:t>
      </w:r>
      <w:r w:rsidR="004863F4">
        <w:rPr>
          <w:rFonts w:ascii="Arial" w:hAnsi="Arial" w:cs="Arial"/>
        </w:rPr>
        <w:t>:</w:t>
      </w:r>
      <w:r w:rsidR="00A66AC6" w:rsidRPr="00081E80">
        <w:rPr>
          <w:rFonts w:ascii="Arial" w:hAnsi="Arial" w:cs="Arial"/>
        </w:rPr>
        <w:t xml:space="preserve"> </w:t>
      </w:r>
      <w:r w:rsidR="00672D85">
        <w:rPr>
          <w:rFonts w:ascii="Arial" w:hAnsi="Arial" w:cs="Arial"/>
        </w:rPr>
        <w:t>20</w:t>
      </w:r>
      <w:r w:rsidR="00A66AC6" w:rsidRPr="00081E80">
        <w:rPr>
          <w:rFonts w:ascii="Arial" w:hAnsi="Arial" w:cs="Arial"/>
        </w:rPr>
        <w:t xml:space="preserve">% </w:t>
      </w:r>
      <w:r w:rsidR="00672D85">
        <w:rPr>
          <w:rFonts w:ascii="Arial" w:hAnsi="Arial" w:cs="Arial"/>
        </w:rPr>
        <w:t>pero para todo el</w:t>
      </w:r>
      <w:r w:rsidR="00A66AC6" w:rsidRPr="00081E80">
        <w:rPr>
          <w:rFonts w:ascii="Arial" w:hAnsi="Arial" w:cs="Arial"/>
        </w:rPr>
        <w:t xml:space="preserve"> período 2022-2032</w:t>
      </w:r>
      <w:r w:rsidR="00A66AC6">
        <w:rPr>
          <w:rFonts w:ascii="Arial" w:hAnsi="Arial" w:cs="Arial"/>
        </w:rPr>
        <w:t>)</w:t>
      </w:r>
      <w:r w:rsidR="00A66AC6" w:rsidRPr="00081E80">
        <w:rPr>
          <w:rFonts w:ascii="Arial" w:hAnsi="Arial" w:cs="Arial"/>
        </w:rPr>
        <w:t>.</w:t>
      </w:r>
    </w:p>
    <w:tbl>
      <w:tblPr>
        <w:tblStyle w:val="TableGrid"/>
        <w:tblW w:w="0" w:type="auto"/>
        <w:tblLook w:val="04A0" w:firstRow="1" w:lastRow="0" w:firstColumn="1" w:lastColumn="0" w:noHBand="0" w:noVBand="1"/>
      </w:tblPr>
      <w:tblGrid>
        <w:gridCol w:w="1075"/>
        <w:gridCol w:w="1099"/>
        <w:gridCol w:w="1099"/>
        <w:gridCol w:w="1099"/>
        <w:gridCol w:w="1099"/>
        <w:gridCol w:w="1099"/>
        <w:gridCol w:w="724"/>
        <w:gridCol w:w="504"/>
        <w:gridCol w:w="724"/>
      </w:tblGrid>
      <w:tr w:rsidR="00AA227C" w:rsidRPr="007D0EEE" w:rsidTr="007D0EEE">
        <w:trPr>
          <w:trHeight w:val="330"/>
        </w:trPr>
        <w:tc>
          <w:tcPr>
            <w:tcW w:w="1075" w:type="dxa"/>
            <w:hideMark/>
          </w:tcPr>
          <w:p w:rsidR="00AA227C" w:rsidRPr="007D0EEE" w:rsidRDefault="00AA227C" w:rsidP="007D0EEE">
            <w:pPr>
              <w:spacing w:before="120"/>
              <w:jc w:val="both"/>
              <w:rPr>
                <w:sz w:val="20"/>
                <w:szCs w:val="20"/>
              </w:rPr>
            </w:pPr>
            <w:r w:rsidRPr="007D0EEE">
              <w:rPr>
                <w:sz w:val="20"/>
                <w:szCs w:val="20"/>
              </w:rPr>
              <w:t> </w:t>
            </w:r>
          </w:p>
        </w:tc>
        <w:tc>
          <w:tcPr>
            <w:tcW w:w="1099" w:type="dxa"/>
            <w:hideMark/>
          </w:tcPr>
          <w:p w:rsidR="00AA227C" w:rsidRPr="007D0EEE" w:rsidRDefault="00AA227C" w:rsidP="007D0EEE">
            <w:pPr>
              <w:spacing w:before="120"/>
              <w:jc w:val="both"/>
              <w:rPr>
                <w:sz w:val="20"/>
                <w:szCs w:val="20"/>
              </w:rPr>
            </w:pPr>
            <w:r w:rsidRPr="007D0EEE">
              <w:rPr>
                <w:sz w:val="20"/>
                <w:szCs w:val="20"/>
              </w:rPr>
              <w:t>2017</w:t>
            </w:r>
          </w:p>
        </w:tc>
        <w:tc>
          <w:tcPr>
            <w:tcW w:w="1099" w:type="dxa"/>
            <w:hideMark/>
          </w:tcPr>
          <w:p w:rsidR="00AA227C" w:rsidRPr="007D0EEE" w:rsidRDefault="00AA227C" w:rsidP="007D0EEE">
            <w:pPr>
              <w:spacing w:before="120"/>
              <w:jc w:val="both"/>
              <w:rPr>
                <w:sz w:val="20"/>
                <w:szCs w:val="20"/>
              </w:rPr>
            </w:pPr>
            <w:r w:rsidRPr="007D0EEE">
              <w:rPr>
                <w:sz w:val="20"/>
                <w:szCs w:val="20"/>
              </w:rPr>
              <w:t>2018</w:t>
            </w:r>
          </w:p>
        </w:tc>
        <w:tc>
          <w:tcPr>
            <w:tcW w:w="1099" w:type="dxa"/>
            <w:hideMark/>
          </w:tcPr>
          <w:p w:rsidR="00AA227C" w:rsidRPr="007D0EEE" w:rsidRDefault="00AA227C" w:rsidP="007D0EEE">
            <w:pPr>
              <w:spacing w:before="120"/>
              <w:jc w:val="both"/>
              <w:rPr>
                <w:sz w:val="20"/>
                <w:szCs w:val="20"/>
              </w:rPr>
            </w:pPr>
            <w:r w:rsidRPr="007D0EEE">
              <w:rPr>
                <w:sz w:val="20"/>
                <w:szCs w:val="20"/>
              </w:rPr>
              <w:t>2019</w:t>
            </w:r>
          </w:p>
        </w:tc>
        <w:tc>
          <w:tcPr>
            <w:tcW w:w="1099" w:type="dxa"/>
            <w:hideMark/>
          </w:tcPr>
          <w:p w:rsidR="00AA227C" w:rsidRPr="007D0EEE" w:rsidRDefault="00AA227C" w:rsidP="007D0EEE">
            <w:pPr>
              <w:spacing w:before="120"/>
              <w:jc w:val="both"/>
              <w:rPr>
                <w:sz w:val="20"/>
                <w:szCs w:val="20"/>
              </w:rPr>
            </w:pPr>
            <w:r w:rsidRPr="007D0EEE">
              <w:rPr>
                <w:sz w:val="20"/>
                <w:szCs w:val="20"/>
              </w:rPr>
              <w:t>2020</w:t>
            </w:r>
          </w:p>
        </w:tc>
        <w:tc>
          <w:tcPr>
            <w:tcW w:w="1099" w:type="dxa"/>
            <w:hideMark/>
          </w:tcPr>
          <w:p w:rsidR="00AA227C" w:rsidRPr="007D0EEE" w:rsidRDefault="00AA227C" w:rsidP="007D0EEE">
            <w:pPr>
              <w:spacing w:before="120"/>
              <w:jc w:val="both"/>
              <w:rPr>
                <w:sz w:val="20"/>
                <w:szCs w:val="20"/>
              </w:rPr>
            </w:pPr>
            <w:r w:rsidRPr="007D0EEE">
              <w:rPr>
                <w:sz w:val="20"/>
                <w:szCs w:val="20"/>
              </w:rPr>
              <w:t>2021</w:t>
            </w:r>
          </w:p>
        </w:tc>
        <w:tc>
          <w:tcPr>
            <w:tcW w:w="724" w:type="dxa"/>
            <w:hideMark/>
          </w:tcPr>
          <w:p w:rsidR="00AA227C" w:rsidRPr="007D0EEE" w:rsidRDefault="00AA227C" w:rsidP="007D0EEE">
            <w:pPr>
              <w:spacing w:before="120"/>
              <w:jc w:val="both"/>
              <w:rPr>
                <w:sz w:val="20"/>
                <w:szCs w:val="20"/>
              </w:rPr>
            </w:pPr>
            <w:r w:rsidRPr="007D0EEE">
              <w:rPr>
                <w:sz w:val="20"/>
                <w:szCs w:val="20"/>
              </w:rPr>
              <w:t>2022</w:t>
            </w:r>
          </w:p>
        </w:tc>
        <w:tc>
          <w:tcPr>
            <w:tcW w:w="504" w:type="dxa"/>
            <w:hideMark/>
          </w:tcPr>
          <w:p w:rsidR="00AA227C" w:rsidRPr="007D0EEE" w:rsidRDefault="00AA227C" w:rsidP="007D0EEE">
            <w:pPr>
              <w:spacing w:before="120"/>
              <w:jc w:val="both"/>
              <w:rPr>
                <w:sz w:val="20"/>
                <w:szCs w:val="20"/>
              </w:rPr>
            </w:pPr>
            <w:r w:rsidRPr="007D0EEE">
              <w:rPr>
                <w:sz w:val="20"/>
                <w:szCs w:val="20"/>
              </w:rPr>
              <w:t>…</w:t>
            </w:r>
          </w:p>
        </w:tc>
        <w:tc>
          <w:tcPr>
            <w:tcW w:w="724" w:type="dxa"/>
            <w:hideMark/>
          </w:tcPr>
          <w:p w:rsidR="00AA227C" w:rsidRPr="007D0EEE" w:rsidRDefault="00AA227C" w:rsidP="007D0EEE">
            <w:pPr>
              <w:spacing w:before="120"/>
              <w:jc w:val="both"/>
              <w:rPr>
                <w:sz w:val="20"/>
                <w:szCs w:val="20"/>
              </w:rPr>
            </w:pPr>
            <w:r w:rsidRPr="007D0EEE">
              <w:rPr>
                <w:sz w:val="20"/>
                <w:szCs w:val="20"/>
              </w:rPr>
              <w:t>2032</w:t>
            </w:r>
          </w:p>
        </w:tc>
      </w:tr>
      <w:tr w:rsidR="00AA227C" w:rsidRPr="007D0EEE" w:rsidTr="007D0EEE">
        <w:trPr>
          <w:trHeight w:val="330"/>
        </w:trPr>
        <w:tc>
          <w:tcPr>
            <w:tcW w:w="1075" w:type="dxa"/>
            <w:hideMark/>
          </w:tcPr>
          <w:p w:rsidR="00AA227C" w:rsidRPr="007D0EEE" w:rsidRDefault="00AA227C" w:rsidP="007D0EEE">
            <w:pPr>
              <w:spacing w:before="120"/>
              <w:jc w:val="both"/>
              <w:rPr>
                <w:sz w:val="20"/>
                <w:szCs w:val="20"/>
              </w:rPr>
            </w:pPr>
            <w:r w:rsidRPr="007D0EEE">
              <w:rPr>
                <w:sz w:val="20"/>
                <w:szCs w:val="20"/>
              </w:rPr>
              <w:t>Beneficios</w:t>
            </w:r>
          </w:p>
        </w:tc>
        <w:tc>
          <w:tcPr>
            <w:tcW w:w="1099" w:type="dxa"/>
            <w:hideMark/>
          </w:tcPr>
          <w:p w:rsidR="00AA227C" w:rsidRPr="007D0EEE" w:rsidRDefault="00AA227C" w:rsidP="007D0EEE">
            <w:pPr>
              <w:spacing w:before="120"/>
              <w:jc w:val="both"/>
              <w:rPr>
                <w:sz w:val="20"/>
                <w:szCs w:val="20"/>
              </w:rPr>
            </w:pPr>
            <w:r w:rsidRPr="007D0EEE">
              <w:rPr>
                <w:sz w:val="20"/>
                <w:szCs w:val="20"/>
              </w:rPr>
              <w:t>18787</w:t>
            </w:r>
          </w:p>
        </w:tc>
        <w:tc>
          <w:tcPr>
            <w:tcW w:w="1099" w:type="dxa"/>
            <w:hideMark/>
          </w:tcPr>
          <w:p w:rsidR="00AA227C" w:rsidRPr="007D0EEE" w:rsidRDefault="00AA227C" w:rsidP="007D0EEE">
            <w:pPr>
              <w:spacing w:before="120"/>
              <w:jc w:val="both"/>
              <w:rPr>
                <w:sz w:val="20"/>
                <w:szCs w:val="20"/>
              </w:rPr>
            </w:pPr>
            <w:r w:rsidRPr="007D0EEE">
              <w:rPr>
                <w:sz w:val="20"/>
                <w:szCs w:val="20"/>
              </w:rPr>
              <w:t>18787</w:t>
            </w:r>
          </w:p>
        </w:tc>
        <w:tc>
          <w:tcPr>
            <w:tcW w:w="1099" w:type="dxa"/>
            <w:hideMark/>
          </w:tcPr>
          <w:p w:rsidR="00AA227C" w:rsidRPr="007D0EEE" w:rsidRDefault="00AA227C" w:rsidP="007D0EEE">
            <w:pPr>
              <w:spacing w:before="120"/>
              <w:jc w:val="both"/>
              <w:rPr>
                <w:sz w:val="20"/>
                <w:szCs w:val="20"/>
              </w:rPr>
            </w:pPr>
            <w:r w:rsidRPr="007D0EEE">
              <w:rPr>
                <w:sz w:val="20"/>
                <w:szCs w:val="20"/>
              </w:rPr>
              <w:t>18787</w:t>
            </w:r>
          </w:p>
        </w:tc>
        <w:tc>
          <w:tcPr>
            <w:tcW w:w="1099" w:type="dxa"/>
            <w:hideMark/>
          </w:tcPr>
          <w:p w:rsidR="00AA227C" w:rsidRPr="007D0EEE" w:rsidRDefault="00AA227C" w:rsidP="007D0EEE">
            <w:pPr>
              <w:spacing w:before="120"/>
              <w:jc w:val="both"/>
              <w:rPr>
                <w:sz w:val="20"/>
                <w:szCs w:val="20"/>
              </w:rPr>
            </w:pPr>
            <w:r w:rsidRPr="007D0EEE">
              <w:rPr>
                <w:sz w:val="20"/>
                <w:szCs w:val="20"/>
              </w:rPr>
              <w:t>18787</w:t>
            </w:r>
          </w:p>
        </w:tc>
        <w:tc>
          <w:tcPr>
            <w:tcW w:w="1099" w:type="dxa"/>
            <w:hideMark/>
          </w:tcPr>
          <w:p w:rsidR="00AA227C" w:rsidRPr="007D0EEE" w:rsidRDefault="00AA227C" w:rsidP="007D0EEE">
            <w:pPr>
              <w:spacing w:before="120"/>
              <w:jc w:val="both"/>
              <w:rPr>
                <w:sz w:val="20"/>
                <w:szCs w:val="20"/>
              </w:rPr>
            </w:pPr>
            <w:r w:rsidRPr="007D0EEE">
              <w:rPr>
                <w:sz w:val="20"/>
                <w:szCs w:val="20"/>
              </w:rPr>
              <w:t>18787</w:t>
            </w:r>
          </w:p>
        </w:tc>
        <w:tc>
          <w:tcPr>
            <w:tcW w:w="724" w:type="dxa"/>
            <w:hideMark/>
          </w:tcPr>
          <w:p w:rsidR="00AA227C" w:rsidRPr="007D0EEE" w:rsidRDefault="00AA227C" w:rsidP="007D0EEE">
            <w:pPr>
              <w:spacing w:before="120"/>
              <w:jc w:val="both"/>
              <w:rPr>
                <w:sz w:val="20"/>
                <w:szCs w:val="20"/>
              </w:rPr>
            </w:pPr>
            <w:r w:rsidRPr="007D0EEE">
              <w:rPr>
                <w:sz w:val="20"/>
                <w:szCs w:val="20"/>
              </w:rPr>
              <w:t>7514</w:t>
            </w:r>
          </w:p>
        </w:tc>
        <w:tc>
          <w:tcPr>
            <w:tcW w:w="504" w:type="dxa"/>
            <w:hideMark/>
          </w:tcPr>
          <w:p w:rsidR="00AA227C" w:rsidRPr="007D0EEE" w:rsidRDefault="00AA227C" w:rsidP="007D0EEE">
            <w:pPr>
              <w:spacing w:before="120"/>
              <w:jc w:val="both"/>
              <w:rPr>
                <w:sz w:val="20"/>
                <w:szCs w:val="20"/>
              </w:rPr>
            </w:pPr>
            <w:r w:rsidRPr="007D0EEE">
              <w:rPr>
                <w:sz w:val="20"/>
                <w:szCs w:val="20"/>
              </w:rPr>
              <w:t>…</w:t>
            </w:r>
          </w:p>
        </w:tc>
        <w:tc>
          <w:tcPr>
            <w:tcW w:w="724" w:type="dxa"/>
            <w:hideMark/>
          </w:tcPr>
          <w:p w:rsidR="00AA227C" w:rsidRPr="007D0EEE" w:rsidRDefault="00AA227C" w:rsidP="007D0EEE">
            <w:pPr>
              <w:spacing w:before="120"/>
              <w:jc w:val="both"/>
              <w:rPr>
                <w:sz w:val="20"/>
                <w:szCs w:val="20"/>
              </w:rPr>
            </w:pPr>
            <w:r w:rsidRPr="007D0EEE">
              <w:rPr>
                <w:sz w:val="20"/>
                <w:szCs w:val="20"/>
              </w:rPr>
              <w:t>7514</w:t>
            </w:r>
          </w:p>
        </w:tc>
      </w:tr>
      <w:tr w:rsidR="00AA227C" w:rsidRPr="007D0EEE" w:rsidTr="007D0EEE">
        <w:trPr>
          <w:trHeight w:val="330"/>
        </w:trPr>
        <w:tc>
          <w:tcPr>
            <w:tcW w:w="1075" w:type="dxa"/>
            <w:hideMark/>
          </w:tcPr>
          <w:p w:rsidR="00AA227C" w:rsidRPr="007D0EEE" w:rsidRDefault="00AA227C" w:rsidP="007D0EEE">
            <w:pPr>
              <w:spacing w:before="120"/>
              <w:jc w:val="both"/>
              <w:rPr>
                <w:sz w:val="20"/>
                <w:szCs w:val="20"/>
              </w:rPr>
            </w:pPr>
            <w:r w:rsidRPr="007D0EEE">
              <w:rPr>
                <w:sz w:val="20"/>
                <w:szCs w:val="20"/>
              </w:rPr>
              <w:t>Costos</w:t>
            </w:r>
          </w:p>
        </w:tc>
        <w:tc>
          <w:tcPr>
            <w:tcW w:w="1099" w:type="dxa"/>
            <w:hideMark/>
          </w:tcPr>
          <w:p w:rsidR="00AA227C" w:rsidRPr="007D0EEE" w:rsidRDefault="00AA227C" w:rsidP="007D0EEE">
            <w:pPr>
              <w:spacing w:before="120"/>
              <w:jc w:val="both"/>
              <w:rPr>
                <w:sz w:val="20"/>
                <w:szCs w:val="20"/>
              </w:rPr>
            </w:pPr>
            <w:r w:rsidRPr="007D0EEE">
              <w:rPr>
                <w:sz w:val="20"/>
                <w:szCs w:val="20"/>
              </w:rPr>
              <w:t>822,2731</w:t>
            </w:r>
          </w:p>
        </w:tc>
        <w:tc>
          <w:tcPr>
            <w:tcW w:w="1099" w:type="dxa"/>
            <w:hideMark/>
          </w:tcPr>
          <w:p w:rsidR="00AA227C" w:rsidRPr="007D0EEE" w:rsidRDefault="00AA227C" w:rsidP="007D0EEE">
            <w:pPr>
              <w:spacing w:before="120"/>
              <w:jc w:val="both"/>
              <w:rPr>
                <w:sz w:val="20"/>
                <w:szCs w:val="20"/>
              </w:rPr>
            </w:pPr>
            <w:r w:rsidRPr="007D0EEE">
              <w:rPr>
                <w:sz w:val="20"/>
                <w:szCs w:val="20"/>
              </w:rPr>
              <w:t>822,2731</w:t>
            </w:r>
          </w:p>
        </w:tc>
        <w:tc>
          <w:tcPr>
            <w:tcW w:w="1099" w:type="dxa"/>
            <w:hideMark/>
          </w:tcPr>
          <w:p w:rsidR="00AA227C" w:rsidRPr="007D0EEE" w:rsidRDefault="00AA227C" w:rsidP="007D0EEE">
            <w:pPr>
              <w:spacing w:before="120"/>
              <w:jc w:val="both"/>
              <w:rPr>
                <w:sz w:val="20"/>
                <w:szCs w:val="20"/>
              </w:rPr>
            </w:pPr>
            <w:r w:rsidRPr="007D0EEE">
              <w:rPr>
                <w:sz w:val="20"/>
                <w:szCs w:val="20"/>
              </w:rPr>
              <w:t>822,2731</w:t>
            </w:r>
          </w:p>
        </w:tc>
        <w:tc>
          <w:tcPr>
            <w:tcW w:w="1099" w:type="dxa"/>
            <w:hideMark/>
          </w:tcPr>
          <w:p w:rsidR="00AA227C" w:rsidRPr="007D0EEE" w:rsidRDefault="00AA227C" w:rsidP="007D0EEE">
            <w:pPr>
              <w:spacing w:before="120"/>
              <w:jc w:val="both"/>
              <w:rPr>
                <w:sz w:val="20"/>
                <w:szCs w:val="20"/>
              </w:rPr>
            </w:pPr>
            <w:r w:rsidRPr="007D0EEE">
              <w:rPr>
                <w:sz w:val="20"/>
                <w:szCs w:val="20"/>
              </w:rPr>
              <w:t>822,2731</w:t>
            </w:r>
          </w:p>
        </w:tc>
        <w:tc>
          <w:tcPr>
            <w:tcW w:w="1099" w:type="dxa"/>
            <w:hideMark/>
          </w:tcPr>
          <w:p w:rsidR="00AA227C" w:rsidRPr="007D0EEE" w:rsidRDefault="00AA227C" w:rsidP="007D0EEE">
            <w:pPr>
              <w:spacing w:before="120"/>
              <w:jc w:val="both"/>
              <w:rPr>
                <w:sz w:val="20"/>
                <w:szCs w:val="20"/>
              </w:rPr>
            </w:pPr>
            <w:r w:rsidRPr="007D0EEE">
              <w:rPr>
                <w:sz w:val="20"/>
                <w:szCs w:val="20"/>
              </w:rPr>
              <w:t>822,2731</w:t>
            </w:r>
          </w:p>
        </w:tc>
        <w:tc>
          <w:tcPr>
            <w:tcW w:w="724" w:type="dxa"/>
            <w:hideMark/>
          </w:tcPr>
          <w:p w:rsidR="00AA227C" w:rsidRPr="007D0EEE" w:rsidRDefault="00AA227C" w:rsidP="007D0EEE">
            <w:pPr>
              <w:spacing w:before="120"/>
              <w:jc w:val="both"/>
              <w:rPr>
                <w:sz w:val="20"/>
                <w:szCs w:val="20"/>
              </w:rPr>
            </w:pPr>
            <w:r w:rsidRPr="007D0EEE">
              <w:rPr>
                <w:sz w:val="20"/>
                <w:szCs w:val="20"/>
              </w:rPr>
              <w:t> </w:t>
            </w:r>
          </w:p>
        </w:tc>
        <w:tc>
          <w:tcPr>
            <w:tcW w:w="504" w:type="dxa"/>
            <w:hideMark/>
          </w:tcPr>
          <w:p w:rsidR="00AA227C" w:rsidRPr="007D0EEE" w:rsidRDefault="00AA227C" w:rsidP="007D0EEE">
            <w:pPr>
              <w:spacing w:before="120"/>
              <w:jc w:val="both"/>
              <w:rPr>
                <w:sz w:val="20"/>
                <w:szCs w:val="20"/>
              </w:rPr>
            </w:pPr>
            <w:r w:rsidRPr="007D0EEE">
              <w:rPr>
                <w:sz w:val="20"/>
                <w:szCs w:val="20"/>
              </w:rPr>
              <w:t> </w:t>
            </w:r>
          </w:p>
        </w:tc>
        <w:tc>
          <w:tcPr>
            <w:tcW w:w="724" w:type="dxa"/>
            <w:hideMark/>
          </w:tcPr>
          <w:p w:rsidR="00AA227C" w:rsidRPr="007D0EEE" w:rsidRDefault="00AA227C" w:rsidP="007D0EEE">
            <w:pPr>
              <w:spacing w:before="120"/>
              <w:jc w:val="both"/>
              <w:rPr>
                <w:sz w:val="20"/>
                <w:szCs w:val="20"/>
              </w:rPr>
            </w:pPr>
            <w:r w:rsidRPr="007D0EEE">
              <w:rPr>
                <w:sz w:val="20"/>
                <w:szCs w:val="20"/>
              </w:rPr>
              <w:t> </w:t>
            </w:r>
          </w:p>
        </w:tc>
      </w:tr>
      <w:tr w:rsidR="00AA227C" w:rsidRPr="007D0EEE" w:rsidTr="007D0EEE">
        <w:trPr>
          <w:trHeight w:val="645"/>
        </w:trPr>
        <w:tc>
          <w:tcPr>
            <w:tcW w:w="1075" w:type="dxa"/>
            <w:hideMark/>
          </w:tcPr>
          <w:p w:rsidR="00AA227C" w:rsidRPr="007D0EEE" w:rsidRDefault="00AA227C" w:rsidP="007D0EEE">
            <w:pPr>
              <w:spacing w:before="120"/>
              <w:jc w:val="both"/>
              <w:rPr>
                <w:sz w:val="20"/>
                <w:szCs w:val="20"/>
              </w:rPr>
            </w:pPr>
            <w:r w:rsidRPr="007D0EEE">
              <w:rPr>
                <w:sz w:val="20"/>
                <w:szCs w:val="20"/>
              </w:rPr>
              <w:t>Beneficios netos</w:t>
            </w:r>
          </w:p>
        </w:tc>
        <w:tc>
          <w:tcPr>
            <w:tcW w:w="1099" w:type="dxa"/>
            <w:hideMark/>
          </w:tcPr>
          <w:p w:rsidR="00AA227C" w:rsidRPr="007D0EEE" w:rsidRDefault="00AA227C" w:rsidP="007D0EEE">
            <w:pPr>
              <w:spacing w:before="120"/>
              <w:jc w:val="both"/>
              <w:rPr>
                <w:sz w:val="20"/>
                <w:szCs w:val="20"/>
              </w:rPr>
            </w:pPr>
            <w:r w:rsidRPr="007D0EEE">
              <w:rPr>
                <w:sz w:val="20"/>
                <w:szCs w:val="20"/>
              </w:rPr>
              <w:t>17964,727</w:t>
            </w:r>
          </w:p>
        </w:tc>
        <w:tc>
          <w:tcPr>
            <w:tcW w:w="1099" w:type="dxa"/>
            <w:hideMark/>
          </w:tcPr>
          <w:p w:rsidR="00AA227C" w:rsidRPr="007D0EEE" w:rsidRDefault="00AA227C" w:rsidP="007D0EEE">
            <w:pPr>
              <w:spacing w:before="120"/>
              <w:jc w:val="both"/>
              <w:rPr>
                <w:sz w:val="20"/>
                <w:szCs w:val="20"/>
              </w:rPr>
            </w:pPr>
            <w:r w:rsidRPr="007D0EEE">
              <w:rPr>
                <w:sz w:val="20"/>
                <w:szCs w:val="20"/>
              </w:rPr>
              <w:t>17964,727</w:t>
            </w:r>
          </w:p>
        </w:tc>
        <w:tc>
          <w:tcPr>
            <w:tcW w:w="1099" w:type="dxa"/>
            <w:hideMark/>
          </w:tcPr>
          <w:p w:rsidR="00AA227C" w:rsidRPr="007D0EEE" w:rsidRDefault="00AA227C" w:rsidP="007D0EEE">
            <w:pPr>
              <w:spacing w:before="120"/>
              <w:jc w:val="both"/>
              <w:rPr>
                <w:sz w:val="20"/>
                <w:szCs w:val="20"/>
              </w:rPr>
            </w:pPr>
            <w:r w:rsidRPr="007D0EEE">
              <w:rPr>
                <w:sz w:val="20"/>
                <w:szCs w:val="20"/>
              </w:rPr>
              <w:t>17964,727</w:t>
            </w:r>
          </w:p>
        </w:tc>
        <w:tc>
          <w:tcPr>
            <w:tcW w:w="1099" w:type="dxa"/>
            <w:hideMark/>
          </w:tcPr>
          <w:p w:rsidR="00AA227C" w:rsidRPr="007D0EEE" w:rsidRDefault="00AA227C" w:rsidP="007D0EEE">
            <w:pPr>
              <w:spacing w:before="120"/>
              <w:jc w:val="both"/>
              <w:rPr>
                <w:sz w:val="20"/>
                <w:szCs w:val="20"/>
              </w:rPr>
            </w:pPr>
            <w:r w:rsidRPr="007D0EEE">
              <w:rPr>
                <w:sz w:val="20"/>
                <w:szCs w:val="20"/>
              </w:rPr>
              <w:t>17964,727</w:t>
            </w:r>
          </w:p>
        </w:tc>
        <w:tc>
          <w:tcPr>
            <w:tcW w:w="1099" w:type="dxa"/>
            <w:hideMark/>
          </w:tcPr>
          <w:p w:rsidR="00AA227C" w:rsidRPr="007D0EEE" w:rsidRDefault="00AA227C" w:rsidP="007D0EEE">
            <w:pPr>
              <w:spacing w:before="120"/>
              <w:jc w:val="both"/>
              <w:rPr>
                <w:sz w:val="20"/>
                <w:szCs w:val="20"/>
              </w:rPr>
            </w:pPr>
            <w:r w:rsidRPr="007D0EEE">
              <w:rPr>
                <w:sz w:val="20"/>
                <w:szCs w:val="20"/>
              </w:rPr>
              <w:t>17964,727</w:t>
            </w:r>
          </w:p>
        </w:tc>
        <w:tc>
          <w:tcPr>
            <w:tcW w:w="724" w:type="dxa"/>
            <w:hideMark/>
          </w:tcPr>
          <w:p w:rsidR="00AA227C" w:rsidRPr="007D0EEE" w:rsidRDefault="00AA227C" w:rsidP="007D0EEE">
            <w:pPr>
              <w:spacing w:before="120"/>
              <w:jc w:val="both"/>
              <w:rPr>
                <w:sz w:val="20"/>
                <w:szCs w:val="20"/>
              </w:rPr>
            </w:pPr>
            <w:r w:rsidRPr="007D0EEE">
              <w:rPr>
                <w:sz w:val="20"/>
                <w:szCs w:val="20"/>
              </w:rPr>
              <w:t>7514</w:t>
            </w:r>
          </w:p>
        </w:tc>
        <w:tc>
          <w:tcPr>
            <w:tcW w:w="504" w:type="dxa"/>
            <w:hideMark/>
          </w:tcPr>
          <w:p w:rsidR="00AA227C" w:rsidRPr="007D0EEE" w:rsidRDefault="00AA227C" w:rsidP="007D0EEE">
            <w:pPr>
              <w:spacing w:before="120"/>
              <w:jc w:val="both"/>
              <w:rPr>
                <w:sz w:val="20"/>
                <w:szCs w:val="20"/>
              </w:rPr>
            </w:pPr>
            <w:r w:rsidRPr="007D0EEE">
              <w:rPr>
                <w:sz w:val="20"/>
                <w:szCs w:val="20"/>
              </w:rPr>
              <w:t>…</w:t>
            </w:r>
          </w:p>
        </w:tc>
        <w:tc>
          <w:tcPr>
            <w:tcW w:w="724" w:type="dxa"/>
            <w:hideMark/>
          </w:tcPr>
          <w:p w:rsidR="00AA227C" w:rsidRPr="007D0EEE" w:rsidRDefault="00AA227C" w:rsidP="007D0EEE">
            <w:pPr>
              <w:spacing w:before="120"/>
              <w:jc w:val="both"/>
              <w:rPr>
                <w:sz w:val="20"/>
                <w:szCs w:val="20"/>
              </w:rPr>
            </w:pPr>
            <w:r w:rsidRPr="007D0EEE">
              <w:rPr>
                <w:sz w:val="20"/>
                <w:szCs w:val="20"/>
              </w:rPr>
              <w:t>7514</w:t>
            </w:r>
          </w:p>
        </w:tc>
      </w:tr>
      <w:tr w:rsidR="00AA227C" w:rsidRPr="007D0EEE" w:rsidTr="007D0EEE">
        <w:trPr>
          <w:trHeight w:val="960"/>
        </w:trPr>
        <w:tc>
          <w:tcPr>
            <w:tcW w:w="1075" w:type="dxa"/>
            <w:hideMark/>
          </w:tcPr>
          <w:p w:rsidR="00AA227C" w:rsidRPr="007D0EEE" w:rsidRDefault="00AA227C" w:rsidP="007D0EEE">
            <w:pPr>
              <w:spacing w:before="120"/>
              <w:jc w:val="both"/>
              <w:rPr>
                <w:sz w:val="20"/>
                <w:szCs w:val="20"/>
              </w:rPr>
            </w:pPr>
            <w:r w:rsidRPr="007D0EEE">
              <w:rPr>
                <w:sz w:val="20"/>
                <w:szCs w:val="20"/>
              </w:rPr>
              <w:t xml:space="preserve">Valor Actual Neto </w:t>
            </w:r>
          </w:p>
        </w:tc>
        <w:tc>
          <w:tcPr>
            <w:tcW w:w="1099" w:type="dxa"/>
            <w:hideMark/>
          </w:tcPr>
          <w:p w:rsidR="00AA227C" w:rsidRPr="007D0EEE" w:rsidRDefault="00AA227C" w:rsidP="007D0EEE">
            <w:pPr>
              <w:spacing w:before="120"/>
              <w:jc w:val="both"/>
              <w:rPr>
                <w:sz w:val="20"/>
                <w:szCs w:val="20"/>
              </w:rPr>
            </w:pPr>
            <w:r w:rsidRPr="007D0EEE">
              <w:rPr>
                <w:sz w:val="20"/>
                <w:szCs w:val="20"/>
              </w:rPr>
              <w:t>17964,727</w:t>
            </w:r>
          </w:p>
        </w:tc>
        <w:tc>
          <w:tcPr>
            <w:tcW w:w="1099" w:type="dxa"/>
            <w:hideMark/>
          </w:tcPr>
          <w:p w:rsidR="00AA227C" w:rsidRPr="007D0EEE" w:rsidRDefault="00AA227C" w:rsidP="007D0EEE">
            <w:pPr>
              <w:spacing w:before="120"/>
              <w:jc w:val="both"/>
              <w:rPr>
                <w:sz w:val="20"/>
                <w:szCs w:val="20"/>
              </w:rPr>
            </w:pPr>
            <w:r w:rsidRPr="007D0EEE">
              <w:rPr>
                <w:sz w:val="20"/>
                <w:szCs w:val="20"/>
              </w:rPr>
              <w:t>16039,935</w:t>
            </w:r>
          </w:p>
        </w:tc>
        <w:tc>
          <w:tcPr>
            <w:tcW w:w="1099" w:type="dxa"/>
            <w:hideMark/>
          </w:tcPr>
          <w:p w:rsidR="00AA227C" w:rsidRPr="007D0EEE" w:rsidRDefault="00AA227C" w:rsidP="007D0EEE">
            <w:pPr>
              <w:spacing w:before="120"/>
              <w:jc w:val="both"/>
              <w:rPr>
                <w:sz w:val="20"/>
                <w:szCs w:val="20"/>
              </w:rPr>
            </w:pPr>
            <w:r w:rsidRPr="007D0EEE">
              <w:rPr>
                <w:sz w:val="20"/>
                <w:szCs w:val="20"/>
              </w:rPr>
              <w:t>14321,37</w:t>
            </w:r>
          </w:p>
        </w:tc>
        <w:tc>
          <w:tcPr>
            <w:tcW w:w="1099" w:type="dxa"/>
            <w:hideMark/>
          </w:tcPr>
          <w:p w:rsidR="00AA227C" w:rsidRPr="007D0EEE" w:rsidRDefault="00AA227C" w:rsidP="007D0EEE">
            <w:pPr>
              <w:spacing w:before="120"/>
              <w:jc w:val="both"/>
              <w:rPr>
                <w:sz w:val="20"/>
                <w:szCs w:val="20"/>
              </w:rPr>
            </w:pPr>
            <w:r w:rsidRPr="007D0EEE">
              <w:rPr>
                <w:sz w:val="20"/>
                <w:szCs w:val="20"/>
              </w:rPr>
              <w:t>12786,938</w:t>
            </w:r>
          </w:p>
        </w:tc>
        <w:tc>
          <w:tcPr>
            <w:tcW w:w="1099" w:type="dxa"/>
            <w:hideMark/>
          </w:tcPr>
          <w:p w:rsidR="00AA227C" w:rsidRPr="007D0EEE" w:rsidRDefault="00AA227C" w:rsidP="007D0EEE">
            <w:pPr>
              <w:spacing w:before="120"/>
              <w:jc w:val="both"/>
              <w:rPr>
                <w:sz w:val="20"/>
                <w:szCs w:val="20"/>
              </w:rPr>
            </w:pPr>
            <w:r w:rsidRPr="007D0EEE">
              <w:rPr>
                <w:sz w:val="20"/>
                <w:szCs w:val="20"/>
              </w:rPr>
              <w:t>11416,909</w:t>
            </w:r>
          </w:p>
        </w:tc>
        <w:tc>
          <w:tcPr>
            <w:tcW w:w="724" w:type="dxa"/>
            <w:hideMark/>
          </w:tcPr>
          <w:p w:rsidR="00AA227C" w:rsidRPr="007D0EEE" w:rsidRDefault="00AA227C" w:rsidP="007D0EEE">
            <w:pPr>
              <w:spacing w:before="120"/>
              <w:jc w:val="both"/>
              <w:rPr>
                <w:sz w:val="20"/>
                <w:szCs w:val="20"/>
              </w:rPr>
            </w:pPr>
            <w:r w:rsidRPr="007D0EEE">
              <w:rPr>
                <w:sz w:val="20"/>
                <w:szCs w:val="20"/>
              </w:rPr>
              <w:t>4263</w:t>
            </w:r>
          </w:p>
        </w:tc>
        <w:tc>
          <w:tcPr>
            <w:tcW w:w="504" w:type="dxa"/>
            <w:hideMark/>
          </w:tcPr>
          <w:p w:rsidR="00AA227C" w:rsidRPr="007D0EEE" w:rsidRDefault="00AA227C" w:rsidP="007D0EEE">
            <w:pPr>
              <w:spacing w:before="120"/>
              <w:jc w:val="both"/>
              <w:rPr>
                <w:sz w:val="20"/>
                <w:szCs w:val="20"/>
              </w:rPr>
            </w:pPr>
            <w:r w:rsidRPr="007D0EEE">
              <w:rPr>
                <w:sz w:val="20"/>
                <w:szCs w:val="20"/>
              </w:rPr>
              <w:t>…</w:t>
            </w:r>
          </w:p>
        </w:tc>
        <w:tc>
          <w:tcPr>
            <w:tcW w:w="724" w:type="dxa"/>
            <w:hideMark/>
          </w:tcPr>
          <w:p w:rsidR="00AA227C" w:rsidRPr="007D0EEE" w:rsidRDefault="00AA227C" w:rsidP="007D0EEE">
            <w:pPr>
              <w:spacing w:before="120"/>
              <w:jc w:val="both"/>
              <w:rPr>
                <w:sz w:val="20"/>
                <w:szCs w:val="20"/>
              </w:rPr>
            </w:pPr>
            <w:r w:rsidRPr="007D0EEE">
              <w:rPr>
                <w:sz w:val="20"/>
                <w:szCs w:val="20"/>
              </w:rPr>
              <w:t>1537</w:t>
            </w:r>
          </w:p>
        </w:tc>
      </w:tr>
      <w:tr w:rsidR="00AA227C" w:rsidRPr="007D0EEE" w:rsidTr="007D0EEE">
        <w:trPr>
          <w:trHeight w:val="960"/>
        </w:trPr>
        <w:tc>
          <w:tcPr>
            <w:tcW w:w="1075" w:type="dxa"/>
            <w:hideMark/>
          </w:tcPr>
          <w:p w:rsidR="00AA227C" w:rsidRPr="007D0EEE" w:rsidRDefault="00AA227C" w:rsidP="007D0EEE">
            <w:pPr>
              <w:spacing w:before="120"/>
              <w:jc w:val="both"/>
              <w:rPr>
                <w:sz w:val="20"/>
                <w:szCs w:val="20"/>
              </w:rPr>
            </w:pPr>
            <w:r w:rsidRPr="007D0EEE">
              <w:rPr>
                <w:sz w:val="20"/>
                <w:szCs w:val="20"/>
              </w:rPr>
              <w:t>Relación Beneficio</w:t>
            </w:r>
            <w:r w:rsidR="00521142">
              <w:rPr>
                <w:sz w:val="20"/>
                <w:szCs w:val="20"/>
              </w:rPr>
              <w:t xml:space="preserve"> Costo</w:t>
            </w:r>
          </w:p>
        </w:tc>
        <w:tc>
          <w:tcPr>
            <w:tcW w:w="7447" w:type="dxa"/>
            <w:gridSpan w:val="8"/>
            <w:hideMark/>
          </w:tcPr>
          <w:p w:rsidR="00AA227C" w:rsidRPr="007D0EEE" w:rsidRDefault="00AA227C" w:rsidP="007D0EEE">
            <w:pPr>
              <w:spacing w:before="120"/>
              <w:jc w:val="both"/>
              <w:rPr>
                <w:sz w:val="20"/>
                <w:szCs w:val="20"/>
              </w:rPr>
            </w:pPr>
            <w:r w:rsidRPr="007D0EEE">
              <w:rPr>
                <w:sz w:val="20"/>
                <w:szCs w:val="20"/>
              </w:rPr>
              <w:t>24,2</w:t>
            </w:r>
          </w:p>
        </w:tc>
      </w:tr>
    </w:tbl>
    <w:p w:rsidR="00012B53" w:rsidRPr="004762ED" w:rsidRDefault="0090091F" w:rsidP="007D0EEE">
      <w:pPr>
        <w:pStyle w:val="ListParagraph"/>
        <w:spacing w:before="120" w:line="240" w:lineRule="auto"/>
        <w:contextualSpacing w:val="0"/>
        <w:jc w:val="both"/>
        <w:rPr>
          <w:rFonts w:ascii="Arial" w:hAnsi="Arial" w:cs="Arial"/>
          <w:sz w:val="18"/>
        </w:rPr>
      </w:pPr>
      <w:r w:rsidRPr="004762ED">
        <w:rPr>
          <w:rFonts w:ascii="Arial" w:hAnsi="Arial" w:cs="Arial"/>
          <w:sz w:val="18"/>
        </w:rPr>
        <w:t>Nota: valores expresados en miles de USD</w:t>
      </w:r>
    </w:p>
    <w:p w:rsidR="00E33114" w:rsidRPr="004762ED" w:rsidRDefault="00AA227C" w:rsidP="007D0EEE">
      <w:pPr>
        <w:pStyle w:val="ListParagraph"/>
        <w:numPr>
          <w:ilvl w:val="1"/>
          <w:numId w:val="1"/>
        </w:numPr>
        <w:spacing w:before="120" w:line="240" w:lineRule="auto"/>
        <w:ind w:hanging="720"/>
        <w:contextualSpacing w:val="0"/>
        <w:jc w:val="both"/>
        <w:rPr>
          <w:rFonts w:ascii="Arial" w:hAnsi="Arial" w:cs="Arial"/>
        </w:rPr>
      </w:pPr>
      <w:r w:rsidRPr="004762ED">
        <w:rPr>
          <w:rFonts w:ascii="Arial" w:hAnsi="Arial" w:cs="Arial"/>
          <w:lang w:val="es-ES"/>
        </w:rPr>
        <w:t xml:space="preserve">El desembolso directo estipulado para el Componente 1 es de </w:t>
      </w:r>
      <w:r w:rsidR="004762ED">
        <w:rPr>
          <w:rFonts w:ascii="Arial" w:hAnsi="Arial" w:cs="Arial"/>
          <w:lang w:val="es-ES"/>
        </w:rPr>
        <w:t>US$</w:t>
      </w:r>
      <w:r w:rsidRPr="004762ED">
        <w:rPr>
          <w:rFonts w:ascii="Arial" w:hAnsi="Arial" w:cs="Arial"/>
          <w:lang w:val="es-ES"/>
        </w:rPr>
        <w:t xml:space="preserve">2.222.732. Existen también otros costos del proyecto (destinados a gastos de administración del programa, auditorías, evaluaciones, monitoreo, y contingencias) que, prorrateados, adicionan al Componente 1 </w:t>
      </w:r>
      <w:r w:rsidR="004762ED">
        <w:rPr>
          <w:rFonts w:ascii="Arial" w:hAnsi="Arial" w:cs="Arial"/>
          <w:lang w:val="es-ES"/>
        </w:rPr>
        <w:t>US$</w:t>
      </w:r>
      <w:r w:rsidRPr="004762ED">
        <w:rPr>
          <w:rFonts w:ascii="Arial" w:hAnsi="Arial" w:cs="Arial"/>
          <w:lang w:val="es-ES"/>
        </w:rPr>
        <w:t>1.888.634. En suma</w:t>
      </w:r>
      <w:r w:rsidR="004762ED">
        <w:rPr>
          <w:rFonts w:ascii="Arial" w:hAnsi="Arial" w:cs="Arial"/>
          <w:lang w:val="es-ES"/>
        </w:rPr>
        <w:t xml:space="preserve">, el Costo total </w:t>
      </w:r>
      <w:r w:rsidRPr="004762ED">
        <w:rPr>
          <w:rFonts w:ascii="Arial" w:hAnsi="Arial" w:cs="Arial"/>
          <w:lang w:val="es-ES"/>
        </w:rPr>
        <w:t xml:space="preserve">asciende a </w:t>
      </w:r>
      <w:r w:rsidR="004762ED">
        <w:rPr>
          <w:rFonts w:ascii="Arial" w:hAnsi="Arial" w:cs="Arial"/>
          <w:lang w:val="es-ES"/>
        </w:rPr>
        <w:t>US$</w:t>
      </w:r>
      <w:r w:rsidRPr="004762ED">
        <w:rPr>
          <w:rFonts w:ascii="Arial" w:hAnsi="Arial" w:cs="Arial"/>
          <w:lang w:val="es-ES"/>
        </w:rPr>
        <w:t>4.111.366</w:t>
      </w:r>
      <w:r w:rsidRPr="004762ED">
        <w:rPr>
          <w:rFonts w:ascii="Arial" w:hAnsi="Arial" w:cs="Arial"/>
          <w:vertAlign w:val="superscript"/>
          <w:lang w:val="es-ES"/>
        </w:rPr>
        <w:footnoteReference w:id="2"/>
      </w:r>
      <w:r w:rsidRPr="004762ED">
        <w:rPr>
          <w:rFonts w:ascii="Arial" w:hAnsi="Arial" w:cs="Arial"/>
          <w:lang w:val="es-ES"/>
        </w:rPr>
        <w:t xml:space="preserve">. El ratio </w:t>
      </w:r>
      <w:r w:rsidR="00A16E2D" w:rsidRPr="004762ED">
        <w:rPr>
          <w:rFonts w:ascii="Arial" w:hAnsi="Arial" w:cs="Arial"/>
          <w:lang w:val="es-ES"/>
        </w:rPr>
        <w:lastRenderedPageBreak/>
        <w:t xml:space="preserve">beneficio </w:t>
      </w:r>
      <w:r w:rsidRPr="004762ED">
        <w:rPr>
          <w:rFonts w:ascii="Arial" w:hAnsi="Arial" w:cs="Arial"/>
          <w:lang w:val="es-ES"/>
        </w:rPr>
        <w:t>costo es de 24,2, donde 24,2 significa que se recuperará 24,2 USD por cada dólar invertido.</w:t>
      </w:r>
    </w:p>
    <w:p w:rsidR="00D8715A" w:rsidRPr="004762ED" w:rsidRDefault="0078737D" w:rsidP="007D0EEE">
      <w:pPr>
        <w:pStyle w:val="ListParagraph"/>
        <w:numPr>
          <w:ilvl w:val="1"/>
          <w:numId w:val="1"/>
        </w:numPr>
        <w:spacing w:before="120" w:line="240" w:lineRule="auto"/>
        <w:ind w:hanging="720"/>
        <w:contextualSpacing w:val="0"/>
        <w:jc w:val="both"/>
        <w:rPr>
          <w:rFonts w:ascii="Arial" w:hAnsi="Arial" w:cs="Arial"/>
        </w:rPr>
      </w:pPr>
      <w:r w:rsidRPr="004762ED">
        <w:rPr>
          <w:rFonts w:ascii="Arial" w:hAnsi="Arial" w:cs="Arial"/>
          <w:b/>
        </w:rPr>
        <w:t>Análisis de sensibilidad.</w:t>
      </w:r>
      <w:r w:rsidRPr="004762ED">
        <w:rPr>
          <w:rFonts w:ascii="Arial" w:hAnsi="Arial" w:cs="Arial"/>
        </w:rPr>
        <w:t xml:space="preserve"> </w:t>
      </w:r>
      <w:r w:rsidR="00717619" w:rsidRPr="004762ED">
        <w:rPr>
          <w:rFonts w:ascii="Arial" w:hAnsi="Arial" w:cs="Arial"/>
        </w:rPr>
        <w:t xml:space="preserve">El Programa aún mantendría una razón de beneficio </w:t>
      </w:r>
      <w:r w:rsidR="00182256" w:rsidRPr="004762ED">
        <w:rPr>
          <w:rFonts w:ascii="Arial" w:hAnsi="Arial" w:cs="Arial"/>
        </w:rPr>
        <w:t xml:space="preserve">costo </w:t>
      </w:r>
      <w:r w:rsidR="00717619" w:rsidRPr="004762ED">
        <w:rPr>
          <w:rFonts w:ascii="Arial" w:hAnsi="Arial" w:cs="Arial"/>
        </w:rPr>
        <w:t xml:space="preserve">mayor a 1 si </w:t>
      </w:r>
      <w:r w:rsidR="00104EA7" w:rsidRPr="004762ED">
        <w:rPr>
          <w:rFonts w:ascii="Arial" w:hAnsi="Arial" w:cs="Arial"/>
        </w:rPr>
        <w:t xml:space="preserve">se fuera más conservador y </w:t>
      </w:r>
      <w:r w:rsidR="00717619" w:rsidRPr="004762ED">
        <w:rPr>
          <w:rFonts w:ascii="Arial" w:hAnsi="Arial" w:cs="Arial"/>
        </w:rPr>
        <w:t xml:space="preserve">el impacto del </w:t>
      </w:r>
      <w:r w:rsidR="00D53F1B" w:rsidRPr="004762ED">
        <w:rPr>
          <w:rFonts w:ascii="Arial" w:hAnsi="Arial" w:cs="Arial"/>
        </w:rPr>
        <w:t>programa se redujera a la mitad</w:t>
      </w:r>
      <w:r w:rsidR="00717619" w:rsidRPr="004762ED">
        <w:rPr>
          <w:rFonts w:ascii="Arial" w:hAnsi="Arial" w:cs="Arial"/>
        </w:rPr>
        <w:t>. A continuación se puede observar esto:</w:t>
      </w:r>
    </w:p>
    <w:tbl>
      <w:tblPr>
        <w:tblStyle w:val="TableGrid"/>
        <w:tblW w:w="0" w:type="auto"/>
        <w:tblLook w:val="04A0" w:firstRow="1" w:lastRow="0" w:firstColumn="1" w:lastColumn="0" w:noHBand="0" w:noVBand="1"/>
      </w:tblPr>
      <w:tblGrid>
        <w:gridCol w:w="1075"/>
        <w:gridCol w:w="1099"/>
        <w:gridCol w:w="1099"/>
        <w:gridCol w:w="1099"/>
        <w:gridCol w:w="1099"/>
        <w:gridCol w:w="1099"/>
        <w:gridCol w:w="724"/>
        <w:gridCol w:w="504"/>
        <w:gridCol w:w="724"/>
      </w:tblGrid>
      <w:tr w:rsidR="00D900DE" w:rsidRPr="00CA0CE5" w:rsidTr="007D0EEE">
        <w:trPr>
          <w:trHeight w:val="330"/>
        </w:trPr>
        <w:tc>
          <w:tcPr>
            <w:tcW w:w="1075" w:type="dxa"/>
            <w:hideMark/>
          </w:tcPr>
          <w:p w:rsidR="00D900DE" w:rsidRPr="000347D6" w:rsidRDefault="00D900DE" w:rsidP="007D0EEE">
            <w:pPr>
              <w:spacing w:before="120"/>
              <w:rPr>
                <w:sz w:val="20"/>
              </w:rPr>
            </w:pPr>
            <w:r w:rsidRPr="000347D6">
              <w:rPr>
                <w:sz w:val="20"/>
              </w:rPr>
              <w:t> </w:t>
            </w:r>
          </w:p>
        </w:tc>
        <w:tc>
          <w:tcPr>
            <w:tcW w:w="1099" w:type="dxa"/>
            <w:hideMark/>
          </w:tcPr>
          <w:p w:rsidR="00D900DE" w:rsidRPr="000347D6" w:rsidRDefault="00D900DE" w:rsidP="007D0EEE">
            <w:pPr>
              <w:spacing w:before="120"/>
              <w:rPr>
                <w:sz w:val="20"/>
              </w:rPr>
            </w:pPr>
            <w:r w:rsidRPr="000347D6">
              <w:rPr>
                <w:sz w:val="20"/>
              </w:rPr>
              <w:t>2017</w:t>
            </w:r>
          </w:p>
        </w:tc>
        <w:tc>
          <w:tcPr>
            <w:tcW w:w="1099" w:type="dxa"/>
            <w:hideMark/>
          </w:tcPr>
          <w:p w:rsidR="00D900DE" w:rsidRPr="000347D6" w:rsidRDefault="00D900DE" w:rsidP="007D0EEE">
            <w:pPr>
              <w:spacing w:before="120"/>
              <w:rPr>
                <w:sz w:val="20"/>
              </w:rPr>
            </w:pPr>
            <w:r w:rsidRPr="000347D6">
              <w:rPr>
                <w:sz w:val="20"/>
              </w:rPr>
              <w:t>2018</w:t>
            </w:r>
          </w:p>
        </w:tc>
        <w:tc>
          <w:tcPr>
            <w:tcW w:w="1099" w:type="dxa"/>
            <w:hideMark/>
          </w:tcPr>
          <w:p w:rsidR="00D900DE" w:rsidRPr="000347D6" w:rsidRDefault="00D900DE" w:rsidP="007D0EEE">
            <w:pPr>
              <w:spacing w:before="120"/>
              <w:rPr>
                <w:sz w:val="20"/>
              </w:rPr>
            </w:pPr>
            <w:r w:rsidRPr="000347D6">
              <w:rPr>
                <w:sz w:val="20"/>
              </w:rPr>
              <w:t>2019</w:t>
            </w:r>
          </w:p>
        </w:tc>
        <w:tc>
          <w:tcPr>
            <w:tcW w:w="1099" w:type="dxa"/>
            <w:hideMark/>
          </w:tcPr>
          <w:p w:rsidR="00D900DE" w:rsidRPr="000347D6" w:rsidRDefault="00D900DE" w:rsidP="007D0EEE">
            <w:pPr>
              <w:spacing w:before="120"/>
              <w:rPr>
                <w:sz w:val="20"/>
              </w:rPr>
            </w:pPr>
            <w:r w:rsidRPr="000347D6">
              <w:rPr>
                <w:sz w:val="20"/>
              </w:rPr>
              <w:t>2020</w:t>
            </w:r>
          </w:p>
        </w:tc>
        <w:tc>
          <w:tcPr>
            <w:tcW w:w="1099" w:type="dxa"/>
            <w:hideMark/>
          </w:tcPr>
          <w:p w:rsidR="00D900DE" w:rsidRPr="000347D6" w:rsidRDefault="00D900DE" w:rsidP="007D0EEE">
            <w:pPr>
              <w:spacing w:before="120"/>
              <w:rPr>
                <w:sz w:val="20"/>
              </w:rPr>
            </w:pPr>
            <w:r w:rsidRPr="000347D6">
              <w:rPr>
                <w:sz w:val="20"/>
              </w:rPr>
              <w:t>2021</w:t>
            </w:r>
          </w:p>
        </w:tc>
        <w:tc>
          <w:tcPr>
            <w:tcW w:w="724" w:type="dxa"/>
            <w:hideMark/>
          </w:tcPr>
          <w:p w:rsidR="00D900DE" w:rsidRPr="000347D6" w:rsidRDefault="00D900DE" w:rsidP="007D0EEE">
            <w:pPr>
              <w:spacing w:before="120"/>
              <w:rPr>
                <w:sz w:val="20"/>
              </w:rPr>
            </w:pPr>
            <w:r w:rsidRPr="000347D6">
              <w:rPr>
                <w:sz w:val="20"/>
              </w:rPr>
              <w:t>2022</w:t>
            </w:r>
          </w:p>
        </w:tc>
        <w:tc>
          <w:tcPr>
            <w:tcW w:w="504" w:type="dxa"/>
            <w:hideMark/>
          </w:tcPr>
          <w:p w:rsidR="00D900DE" w:rsidRPr="000347D6" w:rsidRDefault="00D900DE" w:rsidP="007D0EEE">
            <w:pPr>
              <w:spacing w:before="120"/>
              <w:rPr>
                <w:sz w:val="20"/>
              </w:rPr>
            </w:pPr>
            <w:r w:rsidRPr="000347D6">
              <w:rPr>
                <w:sz w:val="20"/>
              </w:rPr>
              <w:t>…</w:t>
            </w:r>
          </w:p>
        </w:tc>
        <w:tc>
          <w:tcPr>
            <w:tcW w:w="724" w:type="dxa"/>
            <w:hideMark/>
          </w:tcPr>
          <w:p w:rsidR="00D900DE" w:rsidRPr="000347D6" w:rsidRDefault="00D900DE" w:rsidP="007D0EEE">
            <w:pPr>
              <w:spacing w:before="120"/>
              <w:rPr>
                <w:sz w:val="20"/>
              </w:rPr>
            </w:pPr>
            <w:r w:rsidRPr="000347D6">
              <w:rPr>
                <w:sz w:val="20"/>
              </w:rPr>
              <w:t>2032</w:t>
            </w:r>
          </w:p>
        </w:tc>
      </w:tr>
      <w:tr w:rsidR="00D900DE" w:rsidRPr="00CA0CE5" w:rsidTr="007D0EEE">
        <w:trPr>
          <w:trHeight w:val="330"/>
        </w:trPr>
        <w:tc>
          <w:tcPr>
            <w:tcW w:w="1075" w:type="dxa"/>
            <w:hideMark/>
          </w:tcPr>
          <w:p w:rsidR="00D900DE" w:rsidRPr="000347D6" w:rsidRDefault="00D900DE" w:rsidP="007D0EEE">
            <w:pPr>
              <w:spacing w:before="120"/>
              <w:rPr>
                <w:sz w:val="20"/>
              </w:rPr>
            </w:pPr>
            <w:r w:rsidRPr="000347D6">
              <w:rPr>
                <w:sz w:val="20"/>
              </w:rPr>
              <w:t>Beneficios</w:t>
            </w:r>
          </w:p>
        </w:tc>
        <w:tc>
          <w:tcPr>
            <w:tcW w:w="1099" w:type="dxa"/>
            <w:hideMark/>
          </w:tcPr>
          <w:p w:rsidR="00D900DE" w:rsidRPr="000347D6" w:rsidRDefault="00D900DE" w:rsidP="007D0EEE">
            <w:pPr>
              <w:spacing w:before="120"/>
              <w:rPr>
                <w:sz w:val="20"/>
              </w:rPr>
            </w:pPr>
            <w:r w:rsidRPr="000347D6">
              <w:rPr>
                <w:sz w:val="20"/>
              </w:rPr>
              <w:t>9393,5</w:t>
            </w:r>
          </w:p>
        </w:tc>
        <w:tc>
          <w:tcPr>
            <w:tcW w:w="1099" w:type="dxa"/>
            <w:hideMark/>
          </w:tcPr>
          <w:p w:rsidR="00D900DE" w:rsidRPr="000347D6" w:rsidRDefault="00D900DE" w:rsidP="007D0EEE">
            <w:pPr>
              <w:spacing w:before="120"/>
              <w:rPr>
                <w:sz w:val="20"/>
              </w:rPr>
            </w:pPr>
            <w:r w:rsidRPr="000347D6">
              <w:rPr>
                <w:sz w:val="20"/>
              </w:rPr>
              <w:t>9393,5</w:t>
            </w:r>
          </w:p>
        </w:tc>
        <w:tc>
          <w:tcPr>
            <w:tcW w:w="1099" w:type="dxa"/>
            <w:hideMark/>
          </w:tcPr>
          <w:p w:rsidR="00D900DE" w:rsidRPr="000347D6" w:rsidRDefault="00D900DE" w:rsidP="007D0EEE">
            <w:pPr>
              <w:spacing w:before="120"/>
              <w:rPr>
                <w:sz w:val="20"/>
              </w:rPr>
            </w:pPr>
            <w:r w:rsidRPr="000347D6">
              <w:rPr>
                <w:sz w:val="20"/>
              </w:rPr>
              <w:t>9393,5</w:t>
            </w:r>
          </w:p>
        </w:tc>
        <w:tc>
          <w:tcPr>
            <w:tcW w:w="1099" w:type="dxa"/>
            <w:hideMark/>
          </w:tcPr>
          <w:p w:rsidR="00D900DE" w:rsidRPr="000347D6" w:rsidRDefault="00D900DE" w:rsidP="007D0EEE">
            <w:pPr>
              <w:spacing w:before="120"/>
              <w:rPr>
                <w:sz w:val="20"/>
              </w:rPr>
            </w:pPr>
            <w:r w:rsidRPr="000347D6">
              <w:rPr>
                <w:sz w:val="20"/>
              </w:rPr>
              <w:t>9393,5</w:t>
            </w:r>
          </w:p>
        </w:tc>
        <w:tc>
          <w:tcPr>
            <w:tcW w:w="1099" w:type="dxa"/>
            <w:hideMark/>
          </w:tcPr>
          <w:p w:rsidR="00D900DE" w:rsidRPr="000347D6" w:rsidRDefault="00D900DE" w:rsidP="007D0EEE">
            <w:pPr>
              <w:spacing w:before="120"/>
              <w:rPr>
                <w:sz w:val="20"/>
              </w:rPr>
            </w:pPr>
            <w:r w:rsidRPr="000347D6">
              <w:rPr>
                <w:sz w:val="20"/>
              </w:rPr>
              <w:t>9393,5</w:t>
            </w:r>
          </w:p>
        </w:tc>
        <w:tc>
          <w:tcPr>
            <w:tcW w:w="724" w:type="dxa"/>
            <w:hideMark/>
          </w:tcPr>
          <w:p w:rsidR="00D900DE" w:rsidRPr="000347D6" w:rsidRDefault="00D900DE" w:rsidP="007D0EEE">
            <w:pPr>
              <w:spacing w:before="120"/>
              <w:rPr>
                <w:sz w:val="20"/>
              </w:rPr>
            </w:pPr>
            <w:r w:rsidRPr="000347D6">
              <w:rPr>
                <w:sz w:val="20"/>
              </w:rPr>
              <w:t>3757</w:t>
            </w:r>
          </w:p>
        </w:tc>
        <w:tc>
          <w:tcPr>
            <w:tcW w:w="504" w:type="dxa"/>
            <w:hideMark/>
          </w:tcPr>
          <w:p w:rsidR="00D900DE" w:rsidRPr="000347D6" w:rsidRDefault="00D900DE" w:rsidP="007D0EEE">
            <w:pPr>
              <w:spacing w:before="120"/>
              <w:rPr>
                <w:sz w:val="20"/>
              </w:rPr>
            </w:pPr>
            <w:r>
              <w:rPr>
                <w:sz w:val="20"/>
              </w:rPr>
              <w:t>…</w:t>
            </w:r>
          </w:p>
        </w:tc>
        <w:tc>
          <w:tcPr>
            <w:tcW w:w="724" w:type="dxa"/>
            <w:hideMark/>
          </w:tcPr>
          <w:p w:rsidR="00D900DE" w:rsidRPr="000347D6" w:rsidRDefault="00D900DE" w:rsidP="007D0EEE">
            <w:pPr>
              <w:spacing w:before="120"/>
              <w:rPr>
                <w:sz w:val="20"/>
              </w:rPr>
            </w:pPr>
            <w:r w:rsidRPr="000347D6">
              <w:rPr>
                <w:sz w:val="20"/>
              </w:rPr>
              <w:t>3757</w:t>
            </w:r>
          </w:p>
        </w:tc>
      </w:tr>
      <w:tr w:rsidR="00D900DE" w:rsidRPr="00CA0CE5" w:rsidTr="007D0EEE">
        <w:trPr>
          <w:trHeight w:val="330"/>
        </w:trPr>
        <w:tc>
          <w:tcPr>
            <w:tcW w:w="1075" w:type="dxa"/>
            <w:hideMark/>
          </w:tcPr>
          <w:p w:rsidR="00D900DE" w:rsidRPr="000347D6" w:rsidRDefault="00D900DE" w:rsidP="007D0EEE">
            <w:pPr>
              <w:spacing w:before="120"/>
              <w:rPr>
                <w:sz w:val="20"/>
              </w:rPr>
            </w:pPr>
            <w:r w:rsidRPr="000347D6">
              <w:rPr>
                <w:sz w:val="20"/>
              </w:rPr>
              <w:t>Costos</w:t>
            </w:r>
          </w:p>
        </w:tc>
        <w:tc>
          <w:tcPr>
            <w:tcW w:w="1099" w:type="dxa"/>
            <w:hideMark/>
          </w:tcPr>
          <w:p w:rsidR="00D900DE" w:rsidRPr="000347D6" w:rsidRDefault="00D900DE" w:rsidP="007D0EEE">
            <w:pPr>
              <w:spacing w:before="120"/>
              <w:rPr>
                <w:sz w:val="20"/>
              </w:rPr>
            </w:pPr>
            <w:r w:rsidRPr="000347D6">
              <w:rPr>
                <w:sz w:val="20"/>
              </w:rPr>
              <w:t>822,2731</w:t>
            </w:r>
          </w:p>
        </w:tc>
        <w:tc>
          <w:tcPr>
            <w:tcW w:w="1099" w:type="dxa"/>
            <w:hideMark/>
          </w:tcPr>
          <w:p w:rsidR="00D900DE" w:rsidRPr="000347D6" w:rsidRDefault="00D900DE" w:rsidP="007D0EEE">
            <w:pPr>
              <w:spacing w:before="120"/>
              <w:rPr>
                <w:sz w:val="20"/>
              </w:rPr>
            </w:pPr>
            <w:r w:rsidRPr="000347D6">
              <w:rPr>
                <w:sz w:val="20"/>
              </w:rPr>
              <w:t>822,2731</w:t>
            </w:r>
          </w:p>
        </w:tc>
        <w:tc>
          <w:tcPr>
            <w:tcW w:w="1099" w:type="dxa"/>
            <w:hideMark/>
          </w:tcPr>
          <w:p w:rsidR="00D900DE" w:rsidRPr="000347D6" w:rsidRDefault="00D900DE" w:rsidP="007D0EEE">
            <w:pPr>
              <w:spacing w:before="120"/>
              <w:rPr>
                <w:sz w:val="20"/>
              </w:rPr>
            </w:pPr>
            <w:r w:rsidRPr="000347D6">
              <w:rPr>
                <w:sz w:val="20"/>
              </w:rPr>
              <w:t>822,2731</w:t>
            </w:r>
          </w:p>
        </w:tc>
        <w:tc>
          <w:tcPr>
            <w:tcW w:w="1099" w:type="dxa"/>
            <w:hideMark/>
          </w:tcPr>
          <w:p w:rsidR="00D900DE" w:rsidRPr="000347D6" w:rsidRDefault="00D900DE" w:rsidP="007D0EEE">
            <w:pPr>
              <w:spacing w:before="120"/>
              <w:rPr>
                <w:sz w:val="20"/>
              </w:rPr>
            </w:pPr>
            <w:r w:rsidRPr="000347D6">
              <w:rPr>
                <w:sz w:val="20"/>
              </w:rPr>
              <w:t>822,2731</w:t>
            </w:r>
          </w:p>
        </w:tc>
        <w:tc>
          <w:tcPr>
            <w:tcW w:w="1099" w:type="dxa"/>
            <w:hideMark/>
          </w:tcPr>
          <w:p w:rsidR="00D900DE" w:rsidRPr="000347D6" w:rsidRDefault="00D900DE" w:rsidP="007D0EEE">
            <w:pPr>
              <w:spacing w:before="120"/>
              <w:rPr>
                <w:sz w:val="20"/>
              </w:rPr>
            </w:pPr>
            <w:r w:rsidRPr="000347D6">
              <w:rPr>
                <w:sz w:val="20"/>
              </w:rPr>
              <w:t>822,2731</w:t>
            </w:r>
          </w:p>
        </w:tc>
        <w:tc>
          <w:tcPr>
            <w:tcW w:w="724" w:type="dxa"/>
            <w:hideMark/>
          </w:tcPr>
          <w:p w:rsidR="00D900DE" w:rsidRPr="000347D6" w:rsidRDefault="00D900DE" w:rsidP="007D0EEE">
            <w:pPr>
              <w:spacing w:before="120"/>
              <w:rPr>
                <w:sz w:val="20"/>
              </w:rPr>
            </w:pPr>
            <w:r w:rsidRPr="000347D6">
              <w:rPr>
                <w:sz w:val="20"/>
              </w:rPr>
              <w:t> </w:t>
            </w:r>
          </w:p>
        </w:tc>
        <w:tc>
          <w:tcPr>
            <w:tcW w:w="504" w:type="dxa"/>
            <w:hideMark/>
          </w:tcPr>
          <w:p w:rsidR="00D900DE" w:rsidRPr="000347D6" w:rsidRDefault="00D900DE" w:rsidP="007D0EEE">
            <w:pPr>
              <w:spacing w:before="120"/>
              <w:rPr>
                <w:sz w:val="20"/>
              </w:rPr>
            </w:pPr>
            <w:r w:rsidRPr="000347D6">
              <w:rPr>
                <w:sz w:val="20"/>
              </w:rPr>
              <w:t> </w:t>
            </w:r>
          </w:p>
        </w:tc>
        <w:tc>
          <w:tcPr>
            <w:tcW w:w="724" w:type="dxa"/>
            <w:hideMark/>
          </w:tcPr>
          <w:p w:rsidR="00D900DE" w:rsidRPr="000347D6" w:rsidRDefault="00D900DE" w:rsidP="007D0EEE">
            <w:pPr>
              <w:spacing w:before="120"/>
              <w:rPr>
                <w:sz w:val="20"/>
              </w:rPr>
            </w:pPr>
            <w:r w:rsidRPr="000347D6">
              <w:rPr>
                <w:sz w:val="20"/>
              </w:rPr>
              <w:t> </w:t>
            </w:r>
          </w:p>
        </w:tc>
      </w:tr>
      <w:tr w:rsidR="00D900DE" w:rsidRPr="00CA0CE5" w:rsidTr="007D0EEE">
        <w:trPr>
          <w:trHeight w:val="645"/>
        </w:trPr>
        <w:tc>
          <w:tcPr>
            <w:tcW w:w="1075" w:type="dxa"/>
            <w:hideMark/>
          </w:tcPr>
          <w:p w:rsidR="00D900DE" w:rsidRPr="000347D6" w:rsidRDefault="00D900DE" w:rsidP="007D0EEE">
            <w:pPr>
              <w:spacing w:before="120"/>
              <w:rPr>
                <w:sz w:val="20"/>
              </w:rPr>
            </w:pPr>
            <w:r w:rsidRPr="000347D6">
              <w:rPr>
                <w:sz w:val="20"/>
              </w:rPr>
              <w:t>Beneficios netos</w:t>
            </w:r>
          </w:p>
        </w:tc>
        <w:tc>
          <w:tcPr>
            <w:tcW w:w="1099" w:type="dxa"/>
            <w:hideMark/>
          </w:tcPr>
          <w:p w:rsidR="00D900DE" w:rsidRPr="000347D6" w:rsidRDefault="00D900DE" w:rsidP="007D0EEE">
            <w:pPr>
              <w:spacing w:before="120"/>
              <w:rPr>
                <w:sz w:val="20"/>
              </w:rPr>
            </w:pPr>
            <w:r w:rsidRPr="000347D6">
              <w:rPr>
                <w:sz w:val="20"/>
              </w:rPr>
              <w:t>8571,2269</w:t>
            </w:r>
          </w:p>
        </w:tc>
        <w:tc>
          <w:tcPr>
            <w:tcW w:w="1099" w:type="dxa"/>
            <w:hideMark/>
          </w:tcPr>
          <w:p w:rsidR="00D900DE" w:rsidRPr="000347D6" w:rsidRDefault="00D900DE" w:rsidP="007D0EEE">
            <w:pPr>
              <w:spacing w:before="120"/>
              <w:rPr>
                <w:sz w:val="20"/>
              </w:rPr>
            </w:pPr>
            <w:r w:rsidRPr="000347D6">
              <w:rPr>
                <w:sz w:val="20"/>
              </w:rPr>
              <w:t>8571,2269</w:t>
            </w:r>
          </w:p>
        </w:tc>
        <w:tc>
          <w:tcPr>
            <w:tcW w:w="1099" w:type="dxa"/>
            <w:hideMark/>
          </w:tcPr>
          <w:p w:rsidR="00D900DE" w:rsidRPr="000347D6" w:rsidRDefault="00D900DE" w:rsidP="007D0EEE">
            <w:pPr>
              <w:spacing w:before="120"/>
              <w:rPr>
                <w:sz w:val="20"/>
              </w:rPr>
            </w:pPr>
            <w:r w:rsidRPr="000347D6">
              <w:rPr>
                <w:sz w:val="20"/>
              </w:rPr>
              <w:t>8571,2269</w:t>
            </w:r>
          </w:p>
        </w:tc>
        <w:tc>
          <w:tcPr>
            <w:tcW w:w="1099" w:type="dxa"/>
            <w:hideMark/>
          </w:tcPr>
          <w:p w:rsidR="00D900DE" w:rsidRPr="000347D6" w:rsidRDefault="00D900DE" w:rsidP="007D0EEE">
            <w:pPr>
              <w:spacing w:before="120"/>
              <w:rPr>
                <w:sz w:val="20"/>
              </w:rPr>
            </w:pPr>
            <w:r w:rsidRPr="000347D6">
              <w:rPr>
                <w:sz w:val="20"/>
              </w:rPr>
              <w:t>8571,2269</w:t>
            </w:r>
          </w:p>
        </w:tc>
        <w:tc>
          <w:tcPr>
            <w:tcW w:w="1099" w:type="dxa"/>
            <w:hideMark/>
          </w:tcPr>
          <w:p w:rsidR="00D900DE" w:rsidRPr="000347D6" w:rsidRDefault="00D900DE" w:rsidP="007D0EEE">
            <w:pPr>
              <w:spacing w:before="120"/>
              <w:rPr>
                <w:sz w:val="20"/>
              </w:rPr>
            </w:pPr>
            <w:r w:rsidRPr="000347D6">
              <w:rPr>
                <w:sz w:val="20"/>
              </w:rPr>
              <w:t>8571,2269</w:t>
            </w:r>
          </w:p>
        </w:tc>
        <w:tc>
          <w:tcPr>
            <w:tcW w:w="724" w:type="dxa"/>
            <w:hideMark/>
          </w:tcPr>
          <w:p w:rsidR="00D900DE" w:rsidRPr="000347D6" w:rsidRDefault="00D900DE" w:rsidP="007D0EEE">
            <w:pPr>
              <w:spacing w:before="120"/>
              <w:rPr>
                <w:sz w:val="20"/>
              </w:rPr>
            </w:pPr>
            <w:r w:rsidRPr="000347D6">
              <w:rPr>
                <w:sz w:val="20"/>
              </w:rPr>
              <w:t>3757</w:t>
            </w:r>
          </w:p>
        </w:tc>
        <w:tc>
          <w:tcPr>
            <w:tcW w:w="504" w:type="dxa"/>
            <w:hideMark/>
          </w:tcPr>
          <w:p w:rsidR="00D900DE" w:rsidRPr="000347D6" w:rsidRDefault="00D900DE" w:rsidP="007D0EEE">
            <w:pPr>
              <w:spacing w:before="120"/>
              <w:rPr>
                <w:sz w:val="20"/>
              </w:rPr>
            </w:pPr>
            <w:r>
              <w:rPr>
                <w:sz w:val="20"/>
              </w:rPr>
              <w:t>…</w:t>
            </w:r>
          </w:p>
        </w:tc>
        <w:tc>
          <w:tcPr>
            <w:tcW w:w="724" w:type="dxa"/>
            <w:hideMark/>
          </w:tcPr>
          <w:p w:rsidR="00D900DE" w:rsidRPr="000347D6" w:rsidRDefault="00D900DE" w:rsidP="007D0EEE">
            <w:pPr>
              <w:spacing w:before="120"/>
              <w:rPr>
                <w:sz w:val="20"/>
              </w:rPr>
            </w:pPr>
            <w:r w:rsidRPr="000347D6">
              <w:rPr>
                <w:sz w:val="20"/>
              </w:rPr>
              <w:t>3757</w:t>
            </w:r>
          </w:p>
        </w:tc>
      </w:tr>
      <w:tr w:rsidR="00D900DE" w:rsidRPr="00CA0CE5" w:rsidTr="007D0EEE">
        <w:trPr>
          <w:trHeight w:val="960"/>
        </w:trPr>
        <w:tc>
          <w:tcPr>
            <w:tcW w:w="1075" w:type="dxa"/>
            <w:hideMark/>
          </w:tcPr>
          <w:p w:rsidR="00D900DE" w:rsidRPr="000347D6" w:rsidRDefault="00D900DE" w:rsidP="007D0EEE">
            <w:pPr>
              <w:spacing w:before="120"/>
              <w:rPr>
                <w:sz w:val="20"/>
              </w:rPr>
            </w:pPr>
            <w:r w:rsidRPr="000347D6">
              <w:rPr>
                <w:sz w:val="20"/>
              </w:rPr>
              <w:t xml:space="preserve">Valor Actual Neto </w:t>
            </w:r>
          </w:p>
        </w:tc>
        <w:tc>
          <w:tcPr>
            <w:tcW w:w="1099" w:type="dxa"/>
            <w:hideMark/>
          </w:tcPr>
          <w:p w:rsidR="00D900DE" w:rsidRPr="000347D6" w:rsidRDefault="00D900DE" w:rsidP="007D0EEE">
            <w:pPr>
              <w:spacing w:before="120"/>
              <w:rPr>
                <w:sz w:val="20"/>
              </w:rPr>
            </w:pPr>
            <w:r w:rsidRPr="000347D6">
              <w:rPr>
                <w:sz w:val="20"/>
              </w:rPr>
              <w:t>8571,2269</w:t>
            </w:r>
          </w:p>
        </w:tc>
        <w:tc>
          <w:tcPr>
            <w:tcW w:w="1099" w:type="dxa"/>
            <w:hideMark/>
          </w:tcPr>
          <w:p w:rsidR="00D900DE" w:rsidRPr="000347D6" w:rsidRDefault="00D900DE" w:rsidP="007D0EEE">
            <w:pPr>
              <w:spacing w:before="120"/>
              <w:rPr>
                <w:sz w:val="20"/>
              </w:rPr>
            </w:pPr>
            <w:r w:rsidRPr="000347D6">
              <w:rPr>
                <w:sz w:val="20"/>
              </w:rPr>
              <w:t>7652,8811</w:t>
            </w:r>
          </w:p>
        </w:tc>
        <w:tc>
          <w:tcPr>
            <w:tcW w:w="1099" w:type="dxa"/>
            <w:hideMark/>
          </w:tcPr>
          <w:p w:rsidR="00D900DE" w:rsidRPr="000347D6" w:rsidRDefault="00D900DE" w:rsidP="007D0EEE">
            <w:pPr>
              <w:spacing w:before="120"/>
              <w:rPr>
                <w:sz w:val="20"/>
              </w:rPr>
            </w:pPr>
            <w:r w:rsidRPr="000347D6">
              <w:rPr>
                <w:sz w:val="20"/>
              </w:rPr>
              <w:t>6832,9296</w:t>
            </w:r>
          </w:p>
        </w:tc>
        <w:tc>
          <w:tcPr>
            <w:tcW w:w="1099" w:type="dxa"/>
            <w:hideMark/>
          </w:tcPr>
          <w:p w:rsidR="00D900DE" w:rsidRPr="000347D6" w:rsidRDefault="00D900DE" w:rsidP="007D0EEE">
            <w:pPr>
              <w:spacing w:before="120"/>
              <w:rPr>
                <w:sz w:val="20"/>
              </w:rPr>
            </w:pPr>
            <w:r w:rsidRPr="000347D6">
              <w:rPr>
                <w:sz w:val="20"/>
              </w:rPr>
              <w:t>6100,83</w:t>
            </w:r>
          </w:p>
        </w:tc>
        <w:tc>
          <w:tcPr>
            <w:tcW w:w="1099" w:type="dxa"/>
            <w:hideMark/>
          </w:tcPr>
          <w:p w:rsidR="00D900DE" w:rsidRPr="000347D6" w:rsidRDefault="00D900DE" w:rsidP="007D0EEE">
            <w:pPr>
              <w:spacing w:before="120"/>
              <w:rPr>
                <w:sz w:val="20"/>
              </w:rPr>
            </w:pPr>
            <w:r w:rsidRPr="000347D6">
              <w:rPr>
                <w:sz w:val="20"/>
              </w:rPr>
              <w:t>5447,1696</w:t>
            </w:r>
          </w:p>
        </w:tc>
        <w:tc>
          <w:tcPr>
            <w:tcW w:w="724" w:type="dxa"/>
            <w:hideMark/>
          </w:tcPr>
          <w:p w:rsidR="00D900DE" w:rsidRPr="000347D6" w:rsidRDefault="00D900DE" w:rsidP="007D0EEE">
            <w:pPr>
              <w:spacing w:before="120"/>
              <w:rPr>
                <w:sz w:val="20"/>
              </w:rPr>
            </w:pPr>
            <w:r w:rsidRPr="000347D6">
              <w:rPr>
                <w:sz w:val="20"/>
              </w:rPr>
              <w:t>2131</w:t>
            </w:r>
          </w:p>
        </w:tc>
        <w:tc>
          <w:tcPr>
            <w:tcW w:w="504" w:type="dxa"/>
            <w:hideMark/>
          </w:tcPr>
          <w:p w:rsidR="00D900DE" w:rsidRPr="000347D6" w:rsidRDefault="00D900DE" w:rsidP="007D0EEE">
            <w:pPr>
              <w:spacing w:before="120"/>
              <w:rPr>
                <w:sz w:val="20"/>
              </w:rPr>
            </w:pPr>
            <w:r>
              <w:rPr>
                <w:sz w:val="20"/>
              </w:rPr>
              <w:t>…</w:t>
            </w:r>
          </w:p>
        </w:tc>
        <w:tc>
          <w:tcPr>
            <w:tcW w:w="724" w:type="dxa"/>
            <w:hideMark/>
          </w:tcPr>
          <w:p w:rsidR="00D900DE" w:rsidRPr="000347D6" w:rsidRDefault="00D900DE" w:rsidP="007D0EEE">
            <w:pPr>
              <w:spacing w:before="120"/>
              <w:rPr>
                <w:sz w:val="20"/>
              </w:rPr>
            </w:pPr>
            <w:r>
              <w:rPr>
                <w:sz w:val="20"/>
              </w:rPr>
              <w:t>768</w:t>
            </w:r>
          </w:p>
        </w:tc>
      </w:tr>
      <w:tr w:rsidR="00D900DE" w:rsidRPr="00CA0CE5" w:rsidTr="007D0EEE">
        <w:trPr>
          <w:trHeight w:val="960"/>
        </w:trPr>
        <w:tc>
          <w:tcPr>
            <w:tcW w:w="1075" w:type="dxa"/>
            <w:hideMark/>
          </w:tcPr>
          <w:p w:rsidR="00D900DE" w:rsidRPr="000347D6" w:rsidRDefault="00D900DE" w:rsidP="007D0EEE">
            <w:pPr>
              <w:spacing w:before="120"/>
              <w:rPr>
                <w:sz w:val="20"/>
              </w:rPr>
            </w:pPr>
            <w:r w:rsidRPr="000347D6">
              <w:rPr>
                <w:sz w:val="20"/>
              </w:rPr>
              <w:t>Relación  Beneficio</w:t>
            </w:r>
            <w:r w:rsidR="00521142">
              <w:rPr>
                <w:sz w:val="20"/>
              </w:rPr>
              <w:t xml:space="preserve"> Costo</w:t>
            </w:r>
          </w:p>
        </w:tc>
        <w:tc>
          <w:tcPr>
            <w:tcW w:w="7447" w:type="dxa"/>
            <w:gridSpan w:val="8"/>
            <w:hideMark/>
          </w:tcPr>
          <w:p w:rsidR="00D900DE" w:rsidRPr="000347D6" w:rsidRDefault="00D900DE" w:rsidP="007D0EEE">
            <w:pPr>
              <w:spacing w:before="120"/>
              <w:rPr>
                <w:sz w:val="20"/>
              </w:rPr>
            </w:pPr>
            <w:r>
              <w:rPr>
                <w:sz w:val="20"/>
              </w:rPr>
              <w:t>11,7</w:t>
            </w:r>
          </w:p>
        </w:tc>
      </w:tr>
    </w:tbl>
    <w:p w:rsidR="00561EB3" w:rsidRPr="004762ED" w:rsidRDefault="00D53F1B" w:rsidP="007D0EEE">
      <w:pPr>
        <w:spacing w:before="120" w:line="240" w:lineRule="auto"/>
        <w:jc w:val="both"/>
        <w:rPr>
          <w:rFonts w:ascii="Arial" w:hAnsi="Arial" w:cs="Arial"/>
          <w:sz w:val="20"/>
        </w:rPr>
      </w:pPr>
      <w:r w:rsidRPr="004762ED">
        <w:rPr>
          <w:rFonts w:ascii="Arial" w:hAnsi="Arial" w:cs="Arial"/>
          <w:sz w:val="20"/>
        </w:rPr>
        <w:t>Nota: valores expresados en miles de USD</w:t>
      </w:r>
    </w:p>
    <w:p w:rsidR="00470304" w:rsidRPr="004762ED" w:rsidRDefault="00470304" w:rsidP="004762ED">
      <w:pPr>
        <w:pStyle w:val="ListParagraph"/>
        <w:numPr>
          <w:ilvl w:val="1"/>
          <w:numId w:val="1"/>
        </w:numPr>
        <w:spacing w:before="120" w:line="240" w:lineRule="auto"/>
        <w:ind w:hanging="720"/>
        <w:contextualSpacing w:val="0"/>
        <w:jc w:val="both"/>
        <w:rPr>
          <w:rFonts w:ascii="Arial" w:hAnsi="Arial" w:cs="Arial"/>
        </w:rPr>
      </w:pPr>
      <w:r w:rsidRPr="004762ED">
        <w:rPr>
          <w:rFonts w:ascii="Arial" w:hAnsi="Arial" w:cs="Arial"/>
        </w:rPr>
        <w:t xml:space="preserve">También podríamos considerar un escenario aún más conservador, con un efecto acumulado esperado del programa de tan sólo 5% para el período 2017-2021, y de 5% para </w:t>
      </w:r>
      <w:r w:rsidR="00104EA7" w:rsidRPr="004762ED">
        <w:rPr>
          <w:rFonts w:ascii="Arial" w:hAnsi="Arial" w:cs="Arial"/>
        </w:rPr>
        <w:t xml:space="preserve">todo </w:t>
      </w:r>
      <w:r w:rsidRPr="004762ED">
        <w:rPr>
          <w:rFonts w:ascii="Arial" w:hAnsi="Arial" w:cs="Arial"/>
        </w:rPr>
        <w:t>el per</w:t>
      </w:r>
      <w:r w:rsidR="00C600FD" w:rsidRPr="004762ED">
        <w:rPr>
          <w:rFonts w:ascii="Arial" w:hAnsi="Arial" w:cs="Arial"/>
        </w:rPr>
        <w:t>íodo 2022-2032</w:t>
      </w:r>
      <w:r w:rsidRPr="004762ED">
        <w:rPr>
          <w:rFonts w:ascii="Arial" w:hAnsi="Arial" w:cs="Arial"/>
        </w:rPr>
        <w:t xml:space="preserve">. Como se observa en la tabla siguiente, el Programa aún mantendría una </w:t>
      </w:r>
      <w:r w:rsidR="00182256" w:rsidRPr="004762ED">
        <w:rPr>
          <w:rFonts w:ascii="Arial" w:hAnsi="Arial" w:cs="Arial"/>
        </w:rPr>
        <w:t xml:space="preserve">razón de </w:t>
      </w:r>
      <w:r w:rsidRPr="004762ED">
        <w:rPr>
          <w:rFonts w:ascii="Arial" w:hAnsi="Arial" w:cs="Arial"/>
        </w:rPr>
        <w:t xml:space="preserve">beneficio </w:t>
      </w:r>
      <w:r w:rsidR="00182256" w:rsidRPr="004762ED">
        <w:rPr>
          <w:rFonts w:ascii="Arial" w:hAnsi="Arial" w:cs="Arial"/>
        </w:rPr>
        <w:t xml:space="preserve">costo </w:t>
      </w:r>
      <w:r w:rsidRPr="004762ED">
        <w:rPr>
          <w:rFonts w:ascii="Arial" w:hAnsi="Arial" w:cs="Arial"/>
        </w:rPr>
        <w:t>mayor a 1.</w:t>
      </w:r>
    </w:p>
    <w:p w:rsidR="00C1215B" w:rsidRDefault="00C1215B" w:rsidP="007D0EEE">
      <w:pPr>
        <w:spacing w:before="120" w:line="240" w:lineRule="auto"/>
        <w:jc w:val="both"/>
        <w:rPr>
          <w:rFonts w:ascii="Arial" w:hAnsi="Arial" w:cs="Arial"/>
        </w:rPr>
      </w:pPr>
    </w:p>
    <w:tbl>
      <w:tblPr>
        <w:tblStyle w:val="TableGrid"/>
        <w:tblW w:w="9421" w:type="dxa"/>
        <w:tblInd w:w="-572" w:type="dxa"/>
        <w:tblLook w:val="04A0" w:firstRow="1" w:lastRow="0" w:firstColumn="1" w:lastColumn="0" w:noHBand="0" w:noVBand="1"/>
      </w:tblPr>
      <w:tblGrid>
        <w:gridCol w:w="1134"/>
        <w:gridCol w:w="1163"/>
        <w:gridCol w:w="1163"/>
        <w:gridCol w:w="1163"/>
        <w:gridCol w:w="1163"/>
        <w:gridCol w:w="1163"/>
        <w:gridCol w:w="1052"/>
        <w:gridCol w:w="368"/>
        <w:gridCol w:w="1052"/>
      </w:tblGrid>
      <w:tr w:rsidR="00C1215B" w:rsidRPr="005D62E1" w:rsidTr="00C1215B">
        <w:trPr>
          <w:trHeight w:val="330"/>
        </w:trPr>
        <w:tc>
          <w:tcPr>
            <w:tcW w:w="1134" w:type="dxa"/>
            <w:hideMark/>
          </w:tcPr>
          <w:p w:rsidR="00C1215B" w:rsidRPr="005D62E1" w:rsidRDefault="00C1215B" w:rsidP="00104EA7">
            <w:r w:rsidRPr="005D62E1">
              <w:t> </w:t>
            </w:r>
          </w:p>
        </w:tc>
        <w:tc>
          <w:tcPr>
            <w:tcW w:w="1163" w:type="dxa"/>
            <w:hideMark/>
          </w:tcPr>
          <w:p w:rsidR="00C1215B" w:rsidRPr="005D62E1" w:rsidRDefault="00C1215B" w:rsidP="00104EA7">
            <w:r w:rsidRPr="005D62E1">
              <w:t>2017</w:t>
            </w:r>
          </w:p>
        </w:tc>
        <w:tc>
          <w:tcPr>
            <w:tcW w:w="1163" w:type="dxa"/>
            <w:hideMark/>
          </w:tcPr>
          <w:p w:rsidR="00C1215B" w:rsidRPr="005D62E1" w:rsidRDefault="00C1215B" w:rsidP="00104EA7">
            <w:r w:rsidRPr="005D62E1">
              <w:t>2018</w:t>
            </w:r>
          </w:p>
        </w:tc>
        <w:tc>
          <w:tcPr>
            <w:tcW w:w="1163" w:type="dxa"/>
            <w:hideMark/>
          </w:tcPr>
          <w:p w:rsidR="00C1215B" w:rsidRPr="005D62E1" w:rsidRDefault="00C1215B" w:rsidP="00104EA7">
            <w:r w:rsidRPr="005D62E1">
              <w:t>2019</w:t>
            </w:r>
          </w:p>
        </w:tc>
        <w:tc>
          <w:tcPr>
            <w:tcW w:w="1163" w:type="dxa"/>
            <w:hideMark/>
          </w:tcPr>
          <w:p w:rsidR="00C1215B" w:rsidRPr="005D62E1" w:rsidRDefault="00C1215B" w:rsidP="00104EA7">
            <w:r w:rsidRPr="005D62E1">
              <w:t>2020</w:t>
            </w:r>
          </w:p>
        </w:tc>
        <w:tc>
          <w:tcPr>
            <w:tcW w:w="1163" w:type="dxa"/>
            <w:hideMark/>
          </w:tcPr>
          <w:p w:rsidR="00C1215B" w:rsidRPr="005D62E1" w:rsidRDefault="00C1215B" w:rsidP="00104EA7">
            <w:r w:rsidRPr="005D62E1">
              <w:t>2021</w:t>
            </w:r>
          </w:p>
        </w:tc>
        <w:tc>
          <w:tcPr>
            <w:tcW w:w="1052" w:type="dxa"/>
            <w:hideMark/>
          </w:tcPr>
          <w:p w:rsidR="00C1215B" w:rsidRPr="005D62E1" w:rsidRDefault="00C1215B" w:rsidP="00104EA7">
            <w:r w:rsidRPr="005D62E1">
              <w:t>2022</w:t>
            </w:r>
          </w:p>
        </w:tc>
        <w:tc>
          <w:tcPr>
            <w:tcW w:w="368" w:type="dxa"/>
            <w:hideMark/>
          </w:tcPr>
          <w:p w:rsidR="00C1215B" w:rsidRPr="005D62E1" w:rsidRDefault="00C1215B" w:rsidP="00104EA7">
            <w:r w:rsidRPr="005D62E1">
              <w:t>…</w:t>
            </w:r>
          </w:p>
        </w:tc>
        <w:tc>
          <w:tcPr>
            <w:tcW w:w="1052" w:type="dxa"/>
            <w:hideMark/>
          </w:tcPr>
          <w:p w:rsidR="00C1215B" w:rsidRPr="005D62E1" w:rsidRDefault="00C1215B" w:rsidP="00104EA7">
            <w:r w:rsidRPr="005D62E1">
              <w:t>2032</w:t>
            </w:r>
          </w:p>
        </w:tc>
      </w:tr>
      <w:tr w:rsidR="00C1215B" w:rsidRPr="005D62E1" w:rsidTr="00C1215B">
        <w:trPr>
          <w:trHeight w:val="330"/>
        </w:trPr>
        <w:tc>
          <w:tcPr>
            <w:tcW w:w="1134" w:type="dxa"/>
            <w:hideMark/>
          </w:tcPr>
          <w:p w:rsidR="00C1215B" w:rsidRPr="005D62E1" w:rsidRDefault="00C1215B" w:rsidP="00104EA7">
            <w:r w:rsidRPr="005D62E1">
              <w:t>Beneficios</w:t>
            </w:r>
          </w:p>
        </w:tc>
        <w:tc>
          <w:tcPr>
            <w:tcW w:w="1163" w:type="dxa"/>
            <w:hideMark/>
          </w:tcPr>
          <w:p w:rsidR="00C1215B" w:rsidRPr="005D62E1" w:rsidRDefault="00C1215B" w:rsidP="00104EA7">
            <w:r w:rsidRPr="005D62E1">
              <w:t>4743</w:t>
            </w:r>
          </w:p>
        </w:tc>
        <w:tc>
          <w:tcPr>
            <w:tcW w:w="1163" w:type="dxa"/>
            <w:hideMark/>
          </w:tcPr>
          <w:p w:rsidR="00C1215B" w:rsidRPr="005D62E1" w:rsidRDefault="00C1215B" w:rsidP="00104EA7">
            <w:r w:rsidRPr="005D62E1">
              <w:t>4743</w:t>
            </w:r>
          </w:p>
        </w:tc>
        <w:tc>
          <w:tcPr>
            <w:tcW w:w="1163" w:type="dxa"/>
            <w:hideMark/>
          </w:tcPr>
          <w:p w:rsidR="00C1215B" w:rsidRPr="005D62E1" w:rsidRDefault="00C1215B" w:rsidP="00104EA7">
            <w:r w:rsidRPr="005D62E1">
              <w:t>4743</w:t>
            </w:r>
          </w:p>
        </w:tc>
        <w:tc>
          <w:tcPr>
            <w:tcW w:w="1163" w:type="dxa"/>
            <w:hideMark/>
          </w:tcPr>
          <w:p w:rsidR="00C1215B" w:rsidRPr="005D62E1" w:rsidRDefault="00C1215B" w:rsidP="00104EA7">
            <w:r w:rsidRPr="005D62E1">
              <w:t>4743</w:t>
            </w:r>
          </w:p>
        </w:tc>
        <w:tc>
          <w:tcPr>
            <w:tcW w:w="1163" w:type="dxa"/>
            <w:hideMark/>
          </w:tcPr>
          <w:p w:rsidR="00C1215B" w:rsidRPr="005D62E1" w:rsidRDefault="00C1215B" w:rsidP="00104EA7">
            <w:r w:rsidRPr="005D62E1">
              <w:t>4743</w:t>
            </w:r>
          </w:p>
        </w:tc>
        <w:tc>
          <w:tcPr>
            <w:tcW w:w="1052" w:type="dxa"/>
            <w:hideMark/>
          </w:tcPr>
          <w:p w:rsidR="00C1215B" w:rsidRPr="005D62E1" w:rsidRDefault="00C1215B" w:rsidP="00104EA7">
            <w:r w:rsidRPr="005D62E1">
              <w:t>2371</w:t>
            </w:r>
          </w:p>
        </w:tc>
        <w:tc>
          <w:tcPr>
            <w:tcW w:w="368" w:type="dxa"/>
            <w:hideMark/>
          </w:tcPr>
          <w:p w:rsidR="00C1215B" w:rsidRPr="005D62E1" w:rsidRDefault="00C1215B" w:rsidP="00104EA7">
            <w:r>
              <w:t>…</w:t>
            </w:r>
          </w:p>
        </w:tc>
        <w:tc>
          <w:tcPr>
            <w:tcW w:w="1052" w:type="dxa"/>
            <w:hideMark/>
          </w:tcPr>
          <w:p w:rsidR="00C1215B" w:rsidRPr="005D62E1" w:rsidRDefault="00C1215B" w:rsidP="00104EA7">
            <w:r w:rsidRPr="005D62E1">
              <w:t>2371</w:t>
            </w:r>
          </w:p>
        </w:tc>
      </w:tr>
      <w:tr w:rsidR="00C1215B" w:rsidRPr="005D62E1" w:rsidTr="00C1215B">
        <w:trPr>
          <w:trHeight w:val="330"/>
        </w:trPr>
        <w:tc>
          <w:tcPr>
            <w:tcW w:w="1134" w:type="dxa"/>
            <w:hideMark/>
          </w:tcPr>
          <w:p w:rsidR="00C1215B" w:rsidRPr="005D62E1" w:rsidRDefault="00C1215B" w:rsidP="00104EA7">
            <w:r w:rsidRPr="005D62E1">
              <w:t>Costos</w:t>
            </w:r>
          </w:p>
        </w:tc>
        <w:tc>
          <w:tcPr>
            <w:tcW w:w="1163" w:type="dxa"/>
            <w:hideMark/>
          </w:tcPr>
          <w:p w:rsidR="00C1215B" w:rsidRPr="005D62E1" w:rsidRDefault="00C1215B" w:rsidP="00104EA7">
            <w:r w:rsidRPr="005D62E1">
              <w:t>822,2731</w:t>
            </w:r>
          </w:p>
        </w:tc>
        <w:tc>
          <w:tcPr>
            <w:tcW w:w="1163" w:type="dxa"/>
            <w:hideMark/>
          </w:tcPr>
          <w:p w:rsidR="00C1215B" w:rsidRPr="005D62E1" w:rsidRDefault="00C1215B" w:rsidP="00104EA7">
            <w:r w:rsidRPr="005D62E1">
              <w:t>822,2731</w:t>
            </w:r>
          </w:p>
        </w:tc>
        <w:tc>
          <w:tcPr>
            <w:tcW w:w="1163" w:type="dxa"/>
            <w:hideMark/>
          </w:tcPr>
          <w:p w:rsidR="00C1215B" w:rsidRPr="005D62E1" w:rsidRDefault="00C1215B" w:rsidP="00104EA7">
            <w:r w:rsidRPr="005D62E1">
              <w:t>822,2731</w:t>
            </w:r>
          </w:p>
        </w:tc>
        <w:tc>
          <w:tcPr>
            <w:tcW w:w="1163" w:type="dxa"/>
            <w:hideMark/>
          </w:tcPr>
          <w:p w:rsidR="00C1215B" w:rsidRPr="005D62E1" w:rsidRDefault="00C1215B" w:rsidP="00104EA7">
            <w:r w:rsidRPr="005D62E1">
              <w:t>822,2731</w:t>
            </w:r>
          </w:p>
        </w:tc>
        <w:tc>
          <w:tcPr>
            <w:tcW w:w="1163" w:type="dxa"/>
            <w:hideMark/>
          </w:tcPr>
          <w:p w:rsidR="00C1215B" w:rsidRPr="005D62E1" w:rsidRDefault="00C1215B" w:rsidP="00104EA7">
            <w:r w:rsidRPr="005D62E1">
              <w:t>822,2731</w:t>
            </w:r>
          </w:p>
        </w:tc>
        <w:tc>
          <w:tcPr>
            <w:tcW w:w="1052" w:type="dxa"/>
            <w:hideMark/>
          </w:tcPr>
          <w:p w:rsidR="00C1215B" w:rsidRPr="005D62E1" w:rsidRDefault="00C1215B" w:rsidP="00104EA7">
            <w:r w:rsidRPr="005D62E1">
              <w:t> </w:t>
            </w:r>
          </w:p>
        </w:tc>
        <w:tc>
          <w:tcPr>
            <w:tcW w:w="368" w:type="dxa"/>
            <w:hideMark/>
          </w:tcPr>
          <w:p w:rsidR="00C1215B" w:rsidRPr="005D62E1" w:rsidRDefault="00C1215B" w:rsidP="00104EA7">
            <w:r w:rsidRPr="005D62E1">
              <w:t> </w:t>
            </w:r>
          </w:p>
        </w:tc>
        <w:tc>
          <w:tcPr>
            <w:tcW w:w="1052" w:type="dxa"/>
            <w:hideMark/>
          </w:tcPr>
          <w:p w:rsidR="00C1215B" w:rsidRPr="005D62E1" w:rsidRDefault="00C1215B" w:rsidP="00104EA7">
            <w:r w:rsidRPr="005D62E1">
              <w:t> </w:t>
            </w:r>
          </w:p>
        </w:tc>
      </w:tr>
      <w:tr w:rsidR="00C1215B" w:rsidRPr="005D62E1" w:rsidTr="00C1215B">
        <w:trPr>
          <w:trHeight w:val="645"/>
        </w:trPr>
        <w:tc>
          <w:tcPr>
            <w:tcW w:w="1134" w:type="dxa"/>
            <w:hideMark/>
          </w:tcPr>
          <w:p w:rsidR="00C1215B" w:rsidRPr="005D62E1" w:rsidRDefault="00C1215B" w:rsidP="00104EA7">
            <w:r w:rsidRPr="005D62E1">
              <w:t>Beneficios netos</w:t>
            </w:r>
          </w:p>
        </w:tc>
        <w:tc>
          <w:tcPr>
            <w:tcW w:w="1163" w:type="dxa"/>
            <w:hideMark/>
          </w:tcPr>
          <w:p w:rsidR="00C1215B" w:rsidRPr="005D62E1" w:rsidRDefault="00C1215B" w:rsidP="00104EA7">
            <w:r w:rsidRPr="005D62E1">
              <w:t>3920,7269</w:t>
            </w:r>
          </w:p>
        </w:tc>
        <w:tc>
          <w:tcPr>
            <w:tcW w:w="1163" w:type="dxa"/>
            <w:hideMark/>
          </w:tcPr>
          <w:p w:rsidR="00C1215B" w:rsidRPr="005D62E1" w:rsidRDefault="00C1215B" w:rsidP="00104EA7">
            <w:r w:rsidRPr="005D62E1">
              <w:t>3920,7269</w:t>
            </w:r>
          </w:p>
        </w:tc>
        <w:tc>
          <w:tcPr>
            <w:tcW w:w="1163" w:type="dxa"/>
            <w:hideMark/>
          </w:tcPr>
          <w:p w:rsidR="00C1215B" w:rsidRPr="005D62E1" w:rsidRDefault="00C1215B" w:rsidP="00104EA7">
            <w:r w:rsidRPr="005D62E1">
              <w:t>3920,7269</w:t>
            </w:r>
          </w:p>
        </w:tc>
        <w:tc>
          <w:tcPr>
            <w:tcW w:w="1163" w:type="dxa"/>
            <w:hideMark/>
          </w:tcPr>
          <w:p w:rsidR="00C1215B" w:rsidRPr="005D62E1" w:rsidRDefault="00C1215B" w:rsidP="00104EA7">
            <w:r w:rsidRPr="005D62E1">
              <w:t>3920,7269</w:t>
            </w:r>
          </w:p>
        </w:tc>
        <w:tc>
          <w:tcPr>
            <w:tcW w:w="1163" w:type="dxa"/>
            <w:hideMark/>
          </w:tcPr>
          <w:p w:rsidR="00C1215B" w:rsidRPr="005D62E1" w:rsidRDefault="00C1215B" w:rsidP="00104EA7">
            <w:r w:rsidRPr="005D62E1">
              <w:t>3920,7269</w:t>
            </w:r>
          </w:p>
        </w:tc>
        <w:tc>
          <w:tcPr>
            <w:tcW w:w="1052" w:type="dxa"/>
            <w:hideMark/>
          </w:tcPr>
          <w:p w:rsidR="00C1215B" w:rsidRPr="005D62E1" w:rsidRDefault="00C1215B" w:rsidP="00104EA7">
            <w:r w:rsidRPr="005D62E1">
              <w:t>2371</w:t>
            </w:r>
          </w:p>
        </w:tc>
        <w:tc>
          <w:tcPr>
            <w:tcW w:w="368" w:type="dxa"/>
            <w:hideMark/>
          </w:tcPr>
          <w:p w:rsidR="00C1215B" w:rsidRPr="005D62E1" w:rsidRDefault="00C1215B" w:rsidP="00104EA7">
            <w:r>
              <w:t>…</w:t>
            </w:r>
          </w:p>
        </w:tc>
        <w:tc>
          <w:tcPr>
            <w:tcW w:w="1052" w:type="dxa"/>
            <w:hideMark/>
          </w:tcPr>
          <w:p w:rsidR="00C1215B" w:rsidRPr="005D62E1" w:rsidRDefault="00C1215B" w:rsidP="00104EA7">
            <w:r w:rsidRPr="005D62E1">
              <w:t>2371</w:t>
            </w:r>
          </w:p>
        </w:tc>
      </w:tr>
      <w:tr w:rsidR="00C1215B" w:rsidRPr="005D62E1" w:rsidTr="00C1215B">
        <w:trPr>
          <w:trHeight w:val="960"/>
        </w:trPr>
        <w:tc>
          <w:tcPr>
            <w:tcW w:w="1134" w:type="dxa"/>
            <w:hideMark/>
          </w:tcPr>
          <w:p w:rsidR="00C1215B" w:rsidRPr="005D62E1" w:rsidRDefault="00C1215B" w:rsidP="00104EA7">
            <w:r w:rsidRPr="005D62E1">
              <w:t xml:space="preserve">Valor Actual Neto </w:t>
            </w:r>
          </w:p>
        </w:tc>
        <w:tc>
          <w:tcPr>
            <w:tcW w:w="1163" w:type="dxa"/>
            <w:hideMark/>
          </w:tcPr>
          <w:p w:rsidR="00C1215B" w:rsidRPr="005D62E1" w:rsidRDefault="00C1215B" w:rsidP="00104EA7">
            <w:r w:rsidRPr="005D62E1">
              <w:t>3920,7269</w:t>
            </w:r>
          </w:p>
        </w:tc>
        <w:tc>
          <w:tcPr>
            <w:tcW w:w="1163" w:type="dxa"/>
            <w:hideMark/>
          </w:tcPr>
          <w:p w:rsidR="00C1215B" w:rsidRPr="005D62E1" w:rsidRDefault="00C1215B" w:rsidP="00104EA7">
            <w:r w:rsidRPr="005D62E1">
              <w:t>3500,649</w:t>
            </w:r>
          </w:p>
        </w:tc>
        <w:tc>
          <w:tcPr>
            <w:tcW w:w="1163" w:type="dxa"/>
            <w:hideMark/>
          </w:tcPr>
          <w:p w:rsidR="00C1215B" w:rsidRPr="005D62E1" w:rsidRDefault="00C1215B" w:rsidP="00104EA7">
            <w:r w:rsidRPr="005D62E1">
              <w:t>3125,5795</w:t>
            </w:r>
          </w:p>
        </w:tc>
        <w:tc>
          <w:tcPr>
            <w:tcW w:w="1163" w:type="dxa"/>
            <w:hideMark/>
          </w:tcPr>
          <w:p w:rsidR="00C1215B" w:rsidRPr="005D62E1" w:rsidRDefault="00C1215B" w:rsidP="00104EA7">
            <w:r w:rsidRPr="005D62E1">
              <w:t>2790,696</w:t>
            </w:r>
          </w:p>
        </w:tc>
        <w:tc>
          <w:tcPr>
            <w:tcW w:w="1163" w:type="dxa"/>
            <w:hideMark/>
          </w:tcPr>
          <w:p w:rsidR="00C1215B" w:rsidRPr="005D62E1" w:rsidRDefault="00C1215B" w:rsidP="00104EA7">
            <w:r w:rsidRPr="005D62E1">
              <w:t>2491,6928</w:t>
            </w:r>
          </w:p>
        </w:tc>
        <w:tc>
          <w:tcPr>
            <w:tcW w:w="1052" w:type="dxa"/>
            <w:hideMark/>
          </w:tcPr>
          <w:p w:rsidR="00C1215B" w:rsidRPr="005D62E1" w:rsidRDefault="00C1215B" w:rsidP="00104EA7">
            <w:r w:rsidRPr="005D62E1">
              <w:t>1345,369</w:t>
            </w:r>
          </w:p>
        </w:tc>
        <w:tc>
          <w:tcPr>
            <w:tcW w:w="368" w:type="dxa"/>
            <w:hideMark/>
          </w:tcPr>
          <w:p w:rsidR="00C1215B" w:rsidRPr="005D62E1" w:rsidRDefault="00C1215B" w:rsidP="00104EA7">
            <w:r>
              <w:t>…</w:t>
            </w:r>
          </w:p>
        </w:tc>
        <w:tc>
          <w:tcPr>
            <w:tcW w:w="1052" w:type="dxa"/>
            <w:hideMark/>
          </w:tcPr>
          <w:p w:rsidR="00C1215B" w:rsidRPr="005D62E1" w:rsidRDefault="00C1215B" w:rsidP="00104EA7">
            <w:r>
              <w:t>485,1536</w:t>
            </w:r>
          </w:p>
        </w:tc>
      </w:tr>
      <w:tr w:rsidR="00C1215B" w:rsidRPr="005D62E1" w:rsidTr="00C1215B">
        <w:trPr>
          <w:trHeight w:val="960"/>
        </w:trPr>
        <w:tc>
          <w:tcPr>
            <w:tcW w:w="1134" w:type="dxa"/>
            <w:hideMark/>
          </w:tcPr>
          <w:p w:rsidR="00521142" w:rsidRPr="005D62E1" w:rsidRDefault="00521142" w:rsidP="00104EA7">
            <w:r>
              <w:t xml:space="preserve">Relación </w:t>
            </w:r>
            <w:r w:rsidR="00C1215B" w:rsidRPr="005D62E1">
              <w:t>Beneficio</w:t>
            </w:r>
            <w:r>
              <w:t xml:space="preserve"> Costo</w:t>
            </w:r>
          </w:p>
        </w:tc>
        <w:tc>
          <w:tcPr>
            <w:tcW w:w="8287" w:type="dxa"/>
            <w:gridSpan w:val="8"/>
            <w:hideMark/>
          </w:tcPr>
          <w:p w:rsidR="00C1215B" w:rsidRPr="005D62E1" w:rsidRDefault="00C1215B" w:rsidP="00104EA7">
            <w:r>
              <w:t>5,92</w:t>
            </w:r>
          </w:p>
        </w:tc>
      </w:tr>
    </w:tbl>
    <w:p w:rsidR="00C1215B" w:rsidRPr="004762ED" w:rsidRDefault="00C1215B" w:rsidP="00C1215B">
      <w:pPr>
        <w:spacing w:before="120" w:line="240" w:lineRule="auto"/>
        <w:jc w:val="both"/>
        <w:rPr>
          <w:rFonts w:ascii="Arial" w:hAnsi="Arial" w:cs="Arial"/>
          <w:sz w:val="20"/>
        </w:rPr>
      </w:pPr>
      <w:r w:rsidRPr="004762ED">
        <w:rPr>
          <w:rFonts w:ascii="Arial" w:hAnsi="Arial" w:cs="Arial"/>
          <w:sz w:val="20"/>
        </w:rPr>
        <w:t>Nota: valores expresados en miles de USD</w:t>
      </w:r>
    </w:p>
    <w:p w:rsidR="00104EA7" w:rsidRDefault="00104EA7" w:rsidP="004762ED">
      <w:pPr>
        <w:pStyle w:val="ListParagraph"/>
        <w:numPr>
          <w:ilvl w:val="1"/>
          <w:numId w:val="1"/>
        </w:numPr>
        <w:spacing w:before="120" w:line="240" w:lineRule="auto"/>
        <w:ind w:hanging="720"/>
        <w:contextualSpacing w:val="0"/>
        <w:jc w:val="both"/>
        <w:rPr>
          <w:rFonts w:ascii="Arial" w:hAnsi="Arial" w:cs="Arial"/>
        </w:rPr>
      </w:pPr>
      <w:r>
        <w:rPr>
          <w:rFonts w:ascii="Arial" w:hAnsi="Arial" w:cs="Arial"/>
        </w:rPr>
        <w:t xml:space="preserve">Si consideramos </w:t>
      </w:r>
      <w:r w:rsidRPr="00287183">
        <w:rPr>
          <w:rFonts w:ascii="Arial" w:hAnsi="Arial" w:cs="Arial"/>
          <w:b/>
        </w:rPr>
        <w:t>un escenario optimista</w:t>
      </w:r>
      <w:r>
        <w:rPr>
          <w:rFonts w:ascii="Arial" w:hAnsi="Arial" w:cs="Arial"/>
        </w:rPr>
        <w:t xml:space="preserve">, donde el efecto esperado acumulado </w:t>
      </w:r>
      <w:r w:rsidRPr="00287183">
        <w:rPr>
          <w:rFonts w:ascii="Arial" w:hAnsi="Arial" w:cs="Arial"/>
          <w:b/>
        </w:rPr>
        <w:t>para el período 2017-2021 es 30%, y 30% también para todo el período 2022-2032</w:t>
      </w:r>
      <w:r>
        <w:rPr>
          <w:rFonts w:ascii="Arial" w:hAnsi="Arial" w:cs="Arial"/>
        </w:rPr>
        <w:t xml:space="preserve">, obtendríamos una </w:t>
      </w:r>
      <w:r w:rsidR="00182256">
        <w:rPr>
          <w:rFonts w:ascii="Arial" w:hAnsi="Arial" w:cs="Arial"/>
          <w:b/>
        </w:rPr>
        <w:t xml:space="preserve">razón </w:t>
      </w:r>
      <w:r w:rsidRPr="00287183">
        <w:rPr>
          <w:rFonts w:ascii="Arial" w:hAnsi="Arial" w:cs="Arial"/>
          <w:b/>
        </w:rPr>
        <w:t>beneficio</w:t>
      </w:r>
      <w:r w:rsidR="003C2DCD">
        <w:rPr>
          <w:rFonts w:ascii="Arial" w:hAnsi="Arial" w:cs="Arial"/>
          <w:b/>
        </w:rPr>
        <w:t xml:space="preserve"> </w:t>
      </w:r>
      <w:r w:rsidR="00182256">
        <w:rPr>
          <w:rFonts w:ascii="Arial" w:hAnsi="Arial" w:cs="Arial"/>
          <w:b/>
        </w:rPr>
        <w:t>costo</w:t>
      </w:r>
      <w:r w:rsidRPr="00287183">
        <w:rPr>
          <w:rFonts w:ascii="Arial" w:hAnsi="Arial" w:cs="Arial"/>
          <w:b/>
        </w:rPr>
        <w:t xml:space="preserve"> de 39,57</w:t>
      </w:r>
    </w:p>
    <w:p w:rsidR="00104EA7" w:rsidRDefault="00104EA7" w:rsidP="007D0EEE">
      <w:pPr>
        <w:spacing w:before="120" w:line="240" w:lineRule="auto"/>
        <w:jc w:val="both"/>
        <w:rPr>
          <w:rFonts w:ascii="Arial" w:hAnsi="Arial" w:cs="Arial"/>
        </w:rPr>
      </w:pPr>
    </w:p>
    <w:p w:rsidR="004762ED" w:rsidRDefault="004762ED" w:rsidP="007D0EEE">
      <w:pPr>
        <w:spacing w:before="120" w:line="240" w:lineRule="auto"/>
        <w:jc w:val="both"/>
        <w:rPr>
          <w:rFonts w:ascii="Arial" w:hAnsi="Arial" w:cs="Arial"/>
        </w:rPr>
      </w:pPr>
    </w:p>
    <w:tbl>
      <w:tblPr>
        <w:tblStyle w:val="TableGrid"/>
        <w:tblW w:w="10091" w:type="dxa"/>
        <w:tblInd w:w="-572" w:type="dxa"/>
        <w:tblLook w:val="04A0" w:firstRow="1" w:lastRow="0" w:firstColumn="1" w:lastColumn="0" w:noHBand="0" w:noVBand="1"/>
      </w:tblPr>
      <w:tblGrid>
        <w:gridCol w:w="1134"/>
        <w:gridCol w:w="1163"/>
        <w:gridCol w:w="1275"/>
        <w:gridCol w:w="1275"/>
        <w:gridCol w:w="1275"/>
        <w:gridCol w:w="1275"/>
        <w:gridCol w:w="1163"/>
        <w:gridCol w:w="368"/>
        <w:gridCol w:w="1163"/>
      </w:tblGrid>
      <w:tr w:rsidR="00104EA7" w:rsidRPr="005F7724" w:rsidTr="00EE39A8">
        <w:trPr>
          <w:trHeight w:val="330"/>
        </w:trPr>
        <w:tc>
          <w:tcPr>
            <w:tcW w:w="1134" w:type="dxa"/>
            <w:hideMark/>
          </w:tcPr>
          <w:p w:rsidR="00104EA7" w:rsidRPr="005F7724" w:rsidRDefault="00104EA7" w:rsidP="00104EA7">
            <w:r w:rsidRPr="005F7724">
              <w:lastRenderedPageBreak/>
              <w:t> </w:t>
            </w:r>
          </w:p>
        </w:tc>
        <w:tc>
          <w:tcPr>
            <w:tcW w:w="1163" w:type="dxa"/>
            <w:hideMark/>
          </w:tcPr>
          <w:p w:rsidR="00104EA7" w:rsidRPr="005F7724" w:rsidRDefault="00104EA7" w:rsidP="00104EA7">
            <w:r w:rsidRPr="005F7724">
              <w:t>2017</w:t>
            </w:r>
          </w:p>
        </w:tc>
        <w:tc>
          <w:tcPr>
            <w:tcW w:w="1275" w:type="dxa"/>
            <w:hideMark/>
          </w:tcPr>
          <w:p w:rsidR="00104EA7" w:rsidRPr="005F7724" w:rsidRDefault="00104EA7" w:rsidP="00104EA7">
            <w:r w:rsidRPr="005F7724">
              <w:t>2018</w:t>
            </w:r>
          </w:p>
        </w:tc>
        <w:tc>
          <w:tcPr>
            <w:tcW w:w="1275" w:type="dxa"/>
            <w:hideMark/>
          </w:tcPr>
          <w:p w:rsidR="00104EA7" w:rsidRPr="005F7724" w:rsidRDefault="00104EA7" w:rsidP="00104EA7">
            <w:r w:rsidRPr="005F7724">
              <w:t>2019</w:t>
            </w:r>
          </w:p>
        </w:tc>
        <w:tc>
          <w:tcPr>
            <w:tcW w:w="1275" w:type="dxa"/>
            <w:hideMark/>
          </w:tcPr>
          <w:p w:rsidR="00104EA7" w:rsidRPr="005F7724" w:rsidRDefault="00104EA7" w:rsidP="00104EA7">
            <w:r w:rsidRPr="005F7724">
              <w:t>2020</w:t>
            </w:r>
          </w:p>
        </w:tc>
        <w:tc>
          <w:tcPr>
            <w:tcW w:w="1275" w:type="dxa"/>
            <w:hideMark/>
          </w:tcPr>
          <w:p w:rsidR="00104EA7" w:rsidRPr="005F7724" w:rsidRDefault="00104EA7" w:rsidP="00104EA7">
            <w:r w:rsidRPr="005F7724">
              <w:t>2021</w:t>
            </w:r>
          </w:p>
        </w:tc>
        <w:tc>
          <w:tcPr>
            <w:tcW w:w="1163" w:type="dxa"/>
            <w:hideMark/>
          </w:tcPr>
          <w:p w:rsidR="00104EA7" w:rsidRPr="005F7724" w:rsidRDefault="00104EA7" w:rsidP="00104EA7">
            <w:r w:rsidRPr="005F7724">
              <w:t>2022</w:t>
            </w:r>
          </w:p>
        </w:tc>
        <w:tc>
          <w:tcPr>
            <w:tcW w:w="368" w:type="dxa"/>
            <w:hideMark/>
          </w:tcPr>
          <w:p w:rsidR="00104EA7" w:rsidRPr="005F7724" w:rsidRDefault="00104EA7" w:rsidP="00104EA7">
            <w:r w:rsidRPr="005F7724">
              <w:t>…</w:t>
            </w:r>
          </w:p>
        </w:tc>
        <w:tc>
          <w:tcPr>
            <w:tcW w:w="1163" w:type="dxa"/>
            <w:hideMark/>
          </w:tcPr>
          <w:p w:rsidR="00104EA7" w:rsidRPr="005F7724" w:rsidRDefault="00104EA7" w:rsidP="00104EA7">
            <w:r w:rsidRPr="005F7724">
              <w:t>2032</w:t>
            </w:r>
          </w:p>
        </w:tc>
      </w:tr>
      <w:tr w:rsidR="00104EA7" w:rsidRPr="005F7724" w:rsidTr="00EE39A8">
        <w:trPr>
          <w:trHeight w:val="330"/>
        </w:trPr>
        <w:tc>
          <w:tcPr>
            <w:tcW w:w="1134" w:type="dxa"/>
            <w:hideMark/>
          </w:tcPr>
          <w:p w:rsidR="00104EA7" w:rsidRPr="005F7724" w:rsidRDefault="00104EA7" w:rsidP="00104EA7">
            <w:r w:rsidRPr="005F7724">
              <w:t>Beneficios</w:t>
            </w:r>
          </w:p>
        </w:tc>
        <w:tc>
          <w:tcPr>
            <w:tcW w:w="1163" w:type="dxa"/>
            <w:hideMark/>
          </w:tcPr>
          <w:p w:rsidR="00104EA7" w:rsidRPr="005F7724" w:rsidRDefault="00104EA7" w:rsidP="00104EA7">
            <w:r w:rsidRPr="005F7724">
              <w:t>28458</w:t>
            </w:r>
          </w:p>
        </w:tc>
        <w:tc>
          <w:tcPr>
            <w:tcW w:w="1275" w:type="dxa"/>
            <w:hideMark/>
          </w:tcPr>
          <w:p w:rsidR="00104EA7" w:rsidRPr="005F7724" w:rsidRDefault="00104EA7" w:rsidP="00104EA7">
            <w:r w:rsidRPr="005F7724">
              <w:t>28458</w:t>
            </w:r>
          </w:p>
        </w:tc>
        <w:tc>
          <w:tcPr>
            <w:tcW w:w="1275" w:type="dxa"/>
            <w:hideMark/>
          </w:tcPr>
          <w:p w:rsidR="00104EA7" w:rsidRPr="005F7724" w:rsidRDefault="00104EA7" w:rsidP="00104EA7">
            <w:r w:rsidRPr="005F7724">
              <w:t>28458</w:t>
            </w:r>
          </w:p>
        </w:tc>
        <w:tc>
          <w:tcPr>
            <w:tcW w:w="1275" w:type="dxa"/>
            <w:hideMark/>
          </w:tcPr>
          <w:p w:rsidR="00104EA7" w:rsidRPr="005F7724" w:rsidRDefault="00104EA7" w:rsidP="00104EA7">
            <w:r w:rsidRPr="005F7724">
              <w:t>28458</w:t>
            </w:r>
          </w:p>
        </w:tc>
        <w:tc>
          <w:tcPr>
            <w:tcW w:w="1275" w:type="dxa"/>
            <w:hideMark/>
          </w:tcPr>
          <w:p w:rsidR="00104EA7" w:rsidRPr="005F7724" w:rsidRDefault="00104EA7" w:rsidP="00104EA7">
            <w:r w:rsidRPr="005F7724">
              <w:t>28458</w:t>
            </w:r>
          </w:p>
        </w:tc>
        <w:tc>
          <w:tcPr>
            <w:tcW w:w="1163" w:type="dxa"/>
            <w:hideMark/>
          </w:tcPr>
          <w:p w:rsidR="00104EA7" w:rsidRPr="005F7724" w:rsidRDefault="00104EA7" w:rsidP="00104EA7">
            <w:r w:rsidRPr="005F7724">
              <w:t>14229</w:t>
            </w:r>
          </w:p>
        </w:tc>
        <w:tc>
          <w:tcPr>
            <w:tcW w:w="368" w:type="dxa"/>
            <w:hideMark/>
          </w:tcPr>
          <w:p w:rsidR="00104EA7" w:rsidRPr="005F7724" w:rsidRDefault="00104EA7" w:rsidP="00104EA7">
            <w:r>
              <w:t>…</w:t>
            </w:r>
          </w:p>
        </w:tc>
        <w:tc>
          <w:tcPr>
            <w:tcW w:w="1163" w:type="dxa"/>
            <w:hideMark/>
          </w:tcPr>
          <w:p w:rsidR="00104EA7" w:rsidRPr="005F7724" w:rsidRDefault="00104EA7" w:rsidP="00104EA7">
            <w:r w:rsidRPr="005F7724">
              <w:t>14229</w:t>
            </w:r>
          </w:p>
        </w:tc>
      </w:tr>
      <w:tr w:rsidR="00104EA7" w:rsidRPr="005F7724" w:rsidTr="00EE39A8">
        <w:trPr>
          <w:trHeight w:val="330"/>
        </w:trPr>
        <w:tc>
          <w:tcPr>
            <w:tcW w:w="1134" w:type="dxa"/>
            <w:hideMark/>
          </w:tcPr>
          <w:p w:rsidR="00104EA7" w:rsidRPr="005F7724" w:rsidRDefault="00104EA7" w:rsidP="00104EA7">
            <w:r w:rsidRPr="005F7724">
              <w:t>Costos</w:t>
            </w:r>
          </w:p>
        </w:tc>
        <w:tc>
          <w:tcPr>
            <w:tcW w:w="1163" w:type="dxa"/>
            <w:hideMark/>
          </w:tcPr>
          <w:p w:rsidR="00104EA7" w:rsidRPr="005F7724" w:rsidRDefault="00104EA7" w:rsidP="00104EA7">
            <w:r w:rsidRPr="005F7724">
              <w:t>822,2731</w:t>
            </w:r>
          </w:p>
        </w:tc>
        <w:tc>
          <w:tcPr>
            <w:tcW w:w="1275" w:type="dxa"/>
            <w:hideMark/>
          </w:tcPr>
          <w:p w:rsidR="00104EA7" w:rsidRPr="005F7724" w:rsidRDefault="00104EA7" w:rsidP="00104EA7">
            <w:r w:rsidRPr="005F7724">
              <w:t>822,2731</w:t>
            </w:r>
          </w:p>
        </w:tc>
        <w:tc>
          <w:tcPr>
            <w:tcW w:w="1275" w:type="dxa"/>
            <w:hideMark/>
          </w:tcPr>
          <w:p w:rsidR="00104EA7" w:rsidRPr="005F7724" w:rsidRDefault="00104EA7" w:rsidP="00104EA7">
            <w:r w:rsidRPr="005F7724">
              <w:t>822,2731</w:t>
            </w:r>
          </w:p>
        </w:tc>
        <w:tc>
          <w:tcPr>
            <w:tcW w:w="1275" w:type="dxa"/>
            <w:hideMark/>
          </w:tcPr>
          <w:p w:rsidR="00104EA7" w:rsidRPr="005F7724" w:rsidRDefault="00104EA7" w:rsidP="00104EA7">
            <w:r w:rsidRPr="005F7724">
              <w:t>822,2731</w:t>
            </w:r>
          </w:p>
        </w:tc>
        <w:tc>
          <w:tcPr>
            <w:tcW w:w="1275" w:type="dxa"/>
            <w:hideMark/>
          </w:tcPr>
          <w:p w:rsidR="00104EA7" w:rsidRPr="005F7724" w:rsidRDefault="00104EA7" w:rsidP="00104EA7">
            <w:r w:rsidRPr="005F7724">
              <w:t>822,2731</w:t>
            </w:r>
          </w:p>
        </w:tc>
        <w:tc>
          <w:tcPr>
            <w:tcW w:w="1163" w:type="dxa"/>
            <w:hideMark/>
          </w:tcPr>
          <w:p w:rsidR="00104EA7" w:rsidRPr="005F7724" w:rsidRDefault="00104EA7" w:rsidP="00104EA7">
            <w:r w:rsidRPr="005F7724">
              <w:t> </w:t>
            </w:r>
          </w:p>
        </w:tc>
        <w:tc>
          <w:tcPr>
            <w:tcW w:w="368" w:type="dxa"/>
            <w:hideMark/>
          </w:tcPr>
          <w:p w:rsidR="00104EA7" w:rsidRPr="005F7724" w:rsidRDefault="00104EA7" w:rsidP="00104EA7">
            <w:r w:rsidRPr="005F7724">
              <w:t> </w:t>
            </w:r>
          </w:p>
        </w:tc>
        <w:tc>
          <w:tcPr>
            <w:tcW w:w="1163" w:type="dxa"/>
            <w:hideMark/>
          </w:tcPr>
          <w:p w:rsidR="00104EA7" w:rsidRPr="005F7724" w:rsidRDefault="00104EA7" w:rsidP="00104EA7">
            <w:r w:rsidRPr="005F7724">
              <w:t> </w:t>
            </w:r>
          </w:p>
        </w:tc>
      </w:tr>
      <w:tr w:rsidR="00104EA7" w:rsidRPr="005F7724" w:rsidTr="00EE39A8">
        <w:trPr>
          <w:trHeight w:val="645"/>
        </w:trPr>
        <w:tc>
          <w:tcPr>
            <w:tcW w:w="1134" w:type="dxa"/>
            <w:hideMark/>
          </w:tcPr>
          <w:p w:rsidR="00104EA7" w:rsidRPr="005F7724" w:rsidRDefault="00104EA7" w:rsidP="00104EA7">
            <w:r w:rsidRPr="005F7724">
              <w:t>Beneficios netos</w:t>
            </w:r>
          </w:p>
        </w:tc>
        <w:tc>
          <w:tcPr>
            <w:tcW w:w="1163" w:type="dxa"/>
            <w:hideMark/>
          </w:tcPr>
          <w:p w:rsidR="00104EA7" w:rsidRPr="005F7724" w:rsidRDefault="00104EA7" w:rsidP="00104EA7">
            <w:r w:rsidRPr="005F7724">
              <w:t>27635,727</w:t>
            </w:r>
          </w:p>
        </w:tc>
        <w:tc>
          <w:tcPr>
            <w:tcW w:w="1275" w:type="dxa"/>
            <w:hideMark/>
          </w:tcPr>
          <w:p w:rsidR="00104EA7" w:rsidRPr="005F7724" w:rsidRDefault="00104EA7" w:rsidP="00104EA7">
            <w:r w:rsidRPr="005F7724">
              <w:t>27635,7269</w:t>
            </w:r>
          </w:p>
        </w:tc>
        <w:tc>
          <w:tcPr>
            <w:tcW w:w="1275" w:type="dxa"/>
            <w:hideMark/>
          </w:tcPr>
          <w:p w:rsidR="00104EA7" w:rsidRPr="005F7724" w:rsidRDefault="00104EA7" w:rsidP="00104EA7">
            <w:r w:rsidRPr="005F7724">
              <w:t>27635,7269</w:t>
            </w:r>
          </w:p>
        </w:tc>
        <w:tc>
          <w:tcPr>
            <w:tcW w:w="1275" w:type="dxa"/>
            <w:hideMark/>
          </w:tcPr>
          <w:p w:rsidR="00104EA7" w:rsidRPr="005F7724" w:rsidRDefault="00104EA7" w:rsidP="00104EA7">
            <w:r w:rsidRPr="005F7724">
              <w:t>27635,7269</w:t>
            </w:r>
          </w:p>
        </w:tc>
        <w:tc>
          <w:tcPr>
            <w:tcW w:w="1275" w:type="dxa"/>
            <w:hideMark/>
          </w:tcPr>
          <w:p w:rsidR="00104EA7" w:rsidRPr="005F7724" w:rsidRDefault="00104EA7" w:rsidP="00104EA7">
            <w:r w:rsidRPr="005F7724">
              <w:t>27635,7269</w:t>
            </w:r>
          </w:p>
        </w:tc>
        <w:tc>
          <w:tcPr>
            <w:tcW w:w="1163" w:type="dxa"/>
            <w:hideMark/>
          </w:tcPr>
          <w:p w:rsidR="00104EA7" w:rsidRPr="005F7724" w:rsidRDefault="00104EA7" w:rsidP="00104EA7">
            <w:r w:rsidRPr="005F7724">
              <w:t>14229</w:t>
            </w:r>
          </w:p>
        </w:tc>
        <w:tc>
          <w:tcPr>
            <w:tcW w:w="368" w:type="dxa"/>
            <w:hideMark/>
          </w:tcPr>
          <w:p w:rsidR="00104EA7" w:rsidRPr="005F7724" w:rsidRDefault="00104EA7" w:rsidP="00104EA7">
            <w:r>
              <w:t>…</w:t>
            </w:r>
          </w:p>
        </w:tc>
        <w:tc>
          <w:tcPr>
            <w:tcW w:w="1163" w:type="dxa"/>
            <w:hideMark/>
          </w:tcPr>
          <w:p w:rsidR="00104EA7" w:rsidRPr="005F7724" w:rsidRDefault="00104EA7" w:rsidP="00104EA7">
            <w:r w:rsidRPr="005F7724">
              <w:t>14229</w:t>
            </w:r>
          </w:p>
        </w:tc>
      </w:tr>
      <w:tr w:rsidR="00104EA7" w:rsidRPr="005F7724" w:rsidTr="00EE39A8">
        <w:trPr>
          <w:trHeight w:val="960"/>
        </w:trPr>
        <w:tc>
          <w:tcPr>
            <w:tcW w:w="1134" w:type="dxa"/>
            <w:hideMark/>
          </w:tcPr>
          <w:p w:rsidR="00104EA7" w:rsidRPr="005F7724" w:rsidRDefault="00104EA7" w:rsidP="00104EA7">
            <w:r w:rsidRPr="005F7724">
              <w:t xml:space="preserve">Valor Actual Neto </w:t>
            </w:r>
          </w:p>
        </w:tc>
        <w:tc>
          <w:tcPr>
            <w:tcW w:w="1163" w:type="dxa"/>
            <w:hideMark/>
          </w:tcPr>
          <w:p w:rsidR="00104EA7" w:rsidRPr="005F7724" w:rsidRDefault="00104EA7" w:rsidP="00104EA7">
            <w:r w:rsidRPr="005F7724">
              <w:t>27635,727</w:t>
            </w:r>
          </w:p>
        </w:tc>
        <w:tc>
          <w:tcPr>
            <w:tcW w:w="1275" w:type="dxa"/>
            <w:hideMark/>
          </w:tcPr>
          <w:p w:rsidR="00104EA7" w:rsidRPr="005F7724" w:rsidRDefault="00104EA7" w:rsidP="00104EA7">
            <w:r w:rsidRPr="005F7724">
              <w:t>24674,7562</w:t>
            </w:r>
          </w:p>
        </w:tc>
        <w:tc>
          <w:tcPr>
            <w:tcW w:w="1275" w:type="dxa"/>
            <w:hideMark/>
          </w:tcPr>
          <w:p w:rsidR="00104EA7" w:rsidRPr="005F7724" w:rsidRDefault="00104EA7" w:rsidP="00104EA7">
            <w:r w:rsidRPr="005F7724">
              <w:t>22031,0323</w:t>
            </w:r>
          </w:p>
        </w:tc>
        <w:tc>
          <w:tcPr>
            <w:tcW w:w="1275" w:type="dxa"/>
            <w:hideMark/>
          </w:tcPr>
          <w:p w:rsidR="00104EA7" w:rsidRPr="005F7724" w:rsidRDefault="00104EA7" w:rsidP="00104EA7">
            <w:r w:rsidRPr="005F7724">
              <w:t>19670,5645</w:t>
            </w:r>
          </w:p>
        </w:tc>
        <w:tc>
          <w:tcPr>
            <w:tcW w:w="1275" w:type="dxa"/>
            <w:hideMark/>
          </w:tcPr>
          <w:p w:rsidR="00104EA7" w:rsidRPr="005F7724" w:rsidRDefault="00104EA7" w:rsidP="00104EA7">
            <w:r w:rsidRPr="005F7724">
              <w:t>17563,0041</w:t>
            </w:r>
          </w:p>
        </w:tc>
        <w:tc>
          <w:tcPr>
            <w:tcW w:w="1163" w:type="dxa"/>
            <w:hideMark/>
          </w:tcPr>
          <w:p w:rsidR="00104EA7" w:rsidRPr="005F7724" w:rsidRDefault="00104EA7" w:rsidP="00104EA7">
            <w:r w:rsidRPr="005F7724">
              <w:t>8073,9167</w:t>
            </w:r>
          </w:p>
        </w:tc>
        <w:tc>
          <w:tcPr>
            <w:tcW w:w="368" w:type="dxa"/>
            <w:hideMark/>
          </w:tcPr>
          <w:p w:rsidR="00104EA7" w:rsidRPr="005F7724" w:rsidRDefault="00104EA7" w:rsidP="00104EA7">
            <w:r>
              <w:t>…</w:t>
            </w:r>
          </w:p>
        </w:tc>
        <w:tc>
          <w:tcPr>
            <w:tcW w:w="1163" w:type="dxa"/>
            <w:hideMark/>
          </w:tcPr>
          <w:p w:rsidR="00104EA7" w:rsidRPr="005F7724" w:rsidRDefault="00104EA7" w:rsidP="00104EA7">
            <w:r>
              <w:t>2911,5353</w:t>
            </w:r>
          </w:p>
        </w:tc>
      </w:tr>
      <w:tr w:rsidR="00104EA7" w:rsidRPr="005F7724" w:rsidTr="00EE39A8">
        <w:trPr>
          <w:trHeight w:val="960"/>
        </w:trPr>
        <w:tc>
          <w:tcPr>
            <w:tcW w:w="1134" w:type="dxa"/>
            <w:hideMark/>
          </w:tcPr>
          <w:p w:rsidR="00104EA7" w:rsidRPr="005F7724" w:rsidRDefault="00521142" w:rsidP="00104EA7">
            <w:r>
              <w:t xml:space="preserve">Relación </w:t>
            </w:r>
            <w:r w:rsidR="00104EA7" w:rsidRPr="005F7724">
              <w:t xml:space="preserve"> Beneficio</w:t>
            </w:r>
            <w:r>
              <w:t xml:space="preserve"> Costo</w:t>
            </w:r>
          </w:p>
        </w:tc>
        <w:tc>
          <w:tcPr>
            <w:tcW w:w="8957" w:type="dxa"/>
            <w:gridSpan w:val="8"/>
            <w:hideMark/>
          </w:tcPr>
          <w:p w:rsidR="00104EA7" w:rsidRPr="005F7724" w:rsidRDefault="00104EA7" w:rsidP="00104EA7">
            <w:r>
              <w:t>39,57</w:t>
            </w:r>
          </w:p>
        </w:tc>
      </w:tr>
    </w:tbl>
    <w:p w:rsidR="00EE39A8" w:rsidRPr="004762ED" w:rsidRDefault="00EE39A8" w:rsidP="00EE39A8">
      <w:pPr>
        <w:spacing w:before="120" w:line="240" w:lineRule="auto"/>
        <w:jc w:val="both"/>
        <w:rPr>
          <w:rFonts w:ascii="Arial" w:hAnsi="Arial" w:cs="Arial"/>
          <w:sz w:val="20"/>
        </w:rPr>
      </w:pPr>
      <w:r w:rsidRPr="004762ED">
        <w:rPr>
          <w:rFonts w:ascii="Arial" w:hAnsi="Arial" w:cs="Arial"/>
          <w:sz w:val="20"/>
        </w:rPr>
        <w:t>Nota: valores expresados en miles de USD</w:t>
      </w:r>
    </w:p>
    <w:p w:rsidR="007B51CD" w:rsidRPr="004762ED" w:rsidRDefault="0078737D" w:rsidP="007D0EEE">
      <w:pPr>
        <w:pStyle w:val="ListParagraph"/>
        <w:numPr>
          <w:ilvl w:val="1"/>
          <w:numId w:val="1"/>
        </w:numPr>
        <w:spacing w:before="120" w:line="240" w:lineRule="auto"/>
        <w:ind w:hanging="720"/>
        <w:contextualSpacing w:val="0"/>
        <w:jc w:val="both"/>
        <w:rPr>
          <w:rFonts w:ascii="Arial" w:hAnsi="Arial" w:cs="Arial"/>
        </w:rPr>
      </w:pPr>
      <w:r w:rsidRPr="004762ED">
        <w:rPr>
          <w:rFonts w:ascii="Arial" w:hAnsi="Arial" w:cs="Arial"/>
        </w:rPr>
        <w:t>Cabe señalar que l</w:t>
      </w:r>
      <w:r w:rsidR="00E33114" w:rsidRPr="004762ED">
        <w:rPr>
          <w:rFonts w:ascii="Arial" w:hAnsi="Arial" w:cs="Arial"/>
        </w:rPr>
        <w:t xml:space="preserve">os resultados </w:t>
      </w:r>
      <w:r w:rsidRPr="004762ED">
        <w:rPr>
          <w:rFonts w:ascii="Arial" w:hAnsi="Arial" w:cs="Arial"/>
        </w:rPr>
        <w:t xml:space="preserve">obtenidos en esta sección </w:t>
      </w:r>
      <w:r w:rsidR="00E33114" w:rsidRPr="004762ED">
        <w:rPr>
          <w:rFonts w:ascii="Arial" w:hAnsi="Arial" w:cs="Arial"/>
        </w:rPr>
        <w:t>proporcionan una estimación parcial (pero suficiente para justificar sobre la base de costo beneficio), ya que no tiene en cuenta el efecto contagio positivo, es decir, los beneficios adicionales que se obtienen por la posible reducción de delitos no violentos (por ejemplo, hurtos)</w:t>
      </w:r>
      <w:r w:rsidR="00B76E6E" w:rsidRPr="004762ED">
        <w:rPr>
          <w:rFonts w:ascii="Arial" w:hAnsi="Arial" w:cs="Arial"/>
        </w:rPr>
        <w:t>.</w:t>
      </w:r>
      <w:r w:rsidR="005959E3" w:rsidRPr="004762ED">
        <w:rPr>
          <w:rFonts w:ascii="Arial" w:hAnsi="Arial" w:cs="Arial"/>
        </w:rPr>
        <w:t xml:space="preserve"> </w:t>
      </w:r>
    </w:p>
    <w:p w:rsidR="009B11EC" w:rsidRPr="007D0EEE" w:rsidRDefault="009B11EC" w:rsidP="004762ED">
      <w:pPr>
        <w:pStyle w:val="ListParagraph"/>
        <w:numPr>
          <w:ilvl w:val="0"/>
          <w:numId w:val="1"/>
        </w:numPr>
        <w:spacing w:before="240" w:after="240" w:line="240" w:lineRule="auto"/>
        <w:contextualSpacing w:val="0"/>
        <w:jc w:val="center"/>
        <w:rPr>
          <w:rFonts w:ascii="Arial" w:hAnsi="Arial" w:cs="Arial"/>
          <w:b/>
        </w:rPr>
      </w:pPr>
      <w:r w:rsidRPr="007D0EEE">
        <w:rPr>
          <w:rFonts w:ascii="Arial" w:hAnsi="Arial" w:cs="Arial"/>
          <w:b/>
        </w:rPr>
        <w:t>ESTIMACIÓN COSTO-BENEFICIO COMPONENTE 2</w:t>
      </w:r>
    </w:p>
    <w:p w:rsidR="009B11EC" w:rsidRPr="004762ED" w:rsidRDefault="009B11EC" w:rsidP="007D0EEE">
      <w:pPr>
        <w:pStyle w:val="ListParagraph"/>
        <w:numPr>
          <w:ilvl w:val="1"/>
          <w:numId w:val="1"/>
        </w:numPr>
        <w:spacing w:before="120" w:after="120" w:line="240" w:lineRule="auto"/>
        <w:ind w:hanging="720"/>
        <w:contextualSpacing w:val="0"/>
        <w:jc w:val="both"/>
        <w:rPr>
          <w:rFonts w:ascii="Arial" w:hAnsi="Arial" w:cs="Arial"/>
        </w:rPr>
      </w:pPr>
      <w:r w:rsidRPr="004762ED">
        <w:rPr>
          <w:rFonts w:ascii="Arial" w:hAnsi="Arial" w:cs="Arial"/>
        </w:rPr>
        <w:t xml:space="preserve">Costo del Componente 2: El Componente 2, bajo el nombre “Prevención integral en barrios de alta vulnerabilidad delictiva”, </w:t>
      </w:r>
      <w:r w:rsidR="008228EB" w:rsidRPr="004762ED">
        <w:rPr>
          <w:rFonts w:ascii="Arial" w:hAnsi="Arial" w:cs="Arial"/>
        </w:rPr>
        <w:t>fortalecerá en dos barrios: a) la prevención de violencia juvenil mediante el apoyo al programa “Pelota al Medio a la Esperanza”; b) la prevención de la violencia intrafamiliar mediante el programa “SASA!” de sensibilización comunitaria contra la violencia de género; c) el trabajo de rehabilitación de personas adultas liberadas; d) la promoción de proyectos sociales para el desarrollo de la comunidad.</w:t>
      </w:r>
      <w:r w:rsidR="005A3F68" w:rsidRPr="004762ED">
        <w:rPr>
          <w:rFonts w:ascii="Arial" w:hAnsi="Arial" w:cs="Arial"/>
        </w:rPr>
        <w:t xml:space="preserve"> El Componente 2 tiene un presupuesto asignado de </w:t>
      </w:r>
      <w:r w:rsidR="004762ED">
        <w:rPr>
          <w:rFonts w:ascii="Arial" w:hAnsi="Arial" w:cs="Arial"/>
        </w:rPr>
        <w:t>US$</w:t>
      </w:r>
      <w:r w:rsidR="005A3F68" w:rsidRPr="004762ED">
        <w:rPr>
          <w:rFonts w:ascii="Arial" w:hAnsi="Arial" w:cs="Arial"/>
        </w:rPr>
        <w:t>2 millones.</w:t>
      </w:r>
    </w:p>
    <w:p w:rsidR="009B11EC" w:rsidRPr="004762ED" w:rsidRDefault="009B11EC" w:rsidP="007D0EEE">
      <w:pPr>
        <w:pStyle w:val="ListParagraph"/>
        <w:numPr>
          <w:ilvl w:val="1"/>
          <w:numId w:val="1"/>
        </w:numPr>
        <w:spacing w:before="120" w:after="120" w:line="240" w:lineRule="auto"/>
        <w:ind w:hanging="720"/>
        <w:contextualSpacing w:val="0"/>
        <w:jc w:val="both"/>
        <w:rPr>
          <w:rFonts w:ascii="Arial" w:hAnsi="Arial" w:cs="Arial"/>
        </w:rPr>
      </w:pPr>
      <w:r w:rsidRPr="004762ED">
        <w:rPr>
          <w:rFonts w:ascii="Arial" w:hAnsi="Arial" w:cs="Arial"/>
          <w:b/>
        </w:rPr>
        <w:t>Conocimiento existente en materia del Componente 2</w:t>
      </w:r>
      <w:r w:rsidRPr="004762ED">
        <w:rPr>
          <w:rFonts w:ascii="Arial" w:hAnsi="Arial" w:cs="Arial"/>
        </w:rPr>
        <w:t>: u</w:t>
      </w:r>
      <w:r w:rsidR="008E10EB" w:rsidRPr="004762ED">
        <w:rPr>
          <w:rFonts w:ascii="Arial" w:hAnsi="Arial" w:cs="Arial"/>
        </w:rPr>
        <w:t>n componente del Programa Integral de Seguridad Ciudadana</w:t>
      </w:r>
      <w:r w:rsidRPr="004762ED">
        <w:rPr>
          <w:rFonts w:ascii="Arial" w:hAnsi="Arial" w:cs="Arial"/>
        </w:rPr>
        <w:t xml:space="preserve"> es la Prevención Integral en barrios de alta vulnerabilidad delictual. Dos barrios serán objeto de este componente. Una de las intervenciones en este marco es el programa SASA! de prevención de la violencia doméstica. SASA! es una metodología de intervención basada en la movilización comunitaria para reducir la tolerancia de los habitantes a diversas expresiones de la violencia contra la mujer basada en el género</w:t>
      </w:r>
      <w:r w:rsidR="008228EB" w:rsidRPr="004762ED">
        <w:rPr>
          <w:rStyle w:val="FootnoteReference"/>
          <w:rFonts w:ascii="Arial" w:hAnsi="Arial" w:cs="Arial"/>
        </w:rPr>
        <w:footnoteReference w:id="3"/>
      </w:r>
      <w:r w:rsidRPr="004762ED">
        <w:rPr>
          <w:rFonts w:ascii="Arial" w:hAnsi="Arial" w:cs="Arial"/>
        </w:rPr>
        <w:t xml:space="preserve">. </w:t>
      </w:r>
      <w:proofErr w:type="spellStart"/>
      <w:r w:rsidRPr="004762ED">
        <w:rPr>
          <w:rFonts w:ascii="Arial" w:hAnsi="Arial" w:cs="Arial"/>
        </w:rPr>
        <w:t>Abr</w:t>
      </w:r>
      <w:r w:rsidR="001032BB" w:rsidRPr="004762ED">
        <w:rPr>
          <w:rFonts w:ascii="Arial" w:hAnsi="Arial" w:cs="Arial"/>
        </w:rPr>
        <w:t>am</w:t>
      </w:r>
      <w:r w:rsidRPr="004762ED">
        <w:rPr>
          <w:rFonts w:ascii="Arial" w:hAnsi="Arial" w:cs="Arial"/>
        </w:rPr>
        <w:t>sky</w:t>
      </w:r>
      <w:proofErr w:type="spellEnd"/>
      <w:r w:rsidRPr="004762ED">
        <w:rPr>
          <w:rFonts w:ascii="Arial" w:hAnsi="Arial" w:cs="Arial"/>
        </w:rPr>
        <w:t xml:space="preserve"> et al. (2016) realizan un experimento de campo en Kampala, Uganda, y encuentran una disminución en diferentes formas de la viole</w:t>
      </w:r>
      <w:r w:rsidR="00F5561B" w:rsidRPr="004762ED">
        <w:rPr>
          <w:rFonts w:ascii="Arial" w:hAnsi="Arial" w:cs="Arial"/>
        </w:rPr>
        <w:t xml:space="preserve">ncia de género en </w:t>
      </w:r>
      <w:r w:rsidR="000C6157" w:rsidRPr="004762ED">
        <w:rPr>
          <w:rFonts w:ascii="Arial" w:hAnsi="Arial" w:cs="Arial"/>
        </w:rPr>
        <w:t>5</w:t>
      </w:r>
      <w:r w:rsidRPr="004762ED">
        <w:rPr>
          <w:rFonts w:ascii="Arial" w:hAnsi="Arial" w:cs="Arial"/>
        </w:rPr>
        <w:t>0%. Otra de las intervenciones que sobresale en este segundo componente es un programa de prevención juvenil en base al deporte (“Pelota al Medio a la Esperanza”): programas similares que suman la formación en habilidades de reflexión y auto control encuentran reducción en la participación en de</w:t>
      </w:r>
      <w:r w:rsidR="00F5561B" w:rsidRPr="004762ED">
        <w:rPr>
          <w:rFonts w:ascii="Arial" w:hAnsi="Arial" w:cs="Arial"/>
        </w:rPr>
        <w:t>litos violentos de 44</w:t>
      </w:r>
      <w:r w:rsidRPr="004762ED">
        <w:rPr>
          <w:rFonts w:ascii="Arial" w:hAnsi="Arial" w:cs="Arial"/>
        </w:rPr>
        <w:t>% (programa “</w:t>
      </w:r>
      <w:proofErr w:type="spellStart"/>
      <w:r w:rsidRPr="004762ED">
        <w:rPr>
          <w:rFonts w:ascii="Arial" w:hAnsi="Arial" w:cs="Arial"/>
        </w:rPr>
        <w:t>Become</w:t>
      </w:r>
      <w:proofErr w:type="spellEnd"/>
      <w:r w:rsidRPr="004762ED">
        <w:rPr>
          <w:rFonts w:ascii="Arial" w:hAnsi="Arial" w:cs="Arial"/>
        </w:rPr>
        <w:t xml:space="preserve"> a </w:t>
      </w:r>
      <w:proofErr w:type="spellStart"/>
      <w:r w:rsidRPr="004762ED">
        <w:rPr>
          <w:rFonts w:ascii="Arial" w:hAnsi="Arial" w:cs="Arial"/>
        </w:rPr>
        <w:t>Man</w:t>
      </w:r>
      <w:proofErr w:type="spellEnd"/>
      <w:r w:rsidRPr="004762ED">
        <w:rPr>
          <w:rFonts w:ascii="Arial" w:hAnsi="Arial" w:cs="Arial"/>
        </w:rPr>
        <w:t xml:space="preserve">”, BAM, evaluado por </w:t>
      </w:r>
      <w:proofErr w:type="spellStart"/>
      <w:r w:rsidRPr="004762ED">
        <w:rPr>
          <w:rFonts w:ascii="Arial" w:hAnsi="Arial" w:cs="Arial"/>
        </w:rPr>
        <w:t>Heller</w:t>
      </w:r>
      <w:proofErr w:type="spellEnd"/>
      <w:r w:rsidRPr="004762ED">
        <w:rPr>
          <w:rFonts w:ascii="Arial" w:hAnsi="Arial" w:cs="Arial"/>
        </w:rPr>
        <w:t xml:space="preserve"> el al., 2015)</w:t>
      </w:r>
      <w:r w:rsidR="002375DB" w:rsidRPr="004762ED">
        <w:rPr>
          <w:rFonts w:ascii="Arial" w:hAnsi="Arial" w:cs="Arial"/>
        </w:rPr>
        <w:t xml:space="preserve">, y aumento en la participación laboral del 33,3% y de 23,6% en los ingresos </w:t>
      </w:r>
      <w:r w:rsidR="002375DB" w:rsidRPr="004762ED">
        <w:rPr>
          <w:rFonts w:ascii="Arial" w:hAnsi="Arial" w:cs="Arial"/>
        </w:rPr>
        <w:lastRenderedPageBreak/>
        <w:t>provenientes del trabajo (</w:t>
      </w:r>
      <w:r w:rsidR="00D7759B" w:rsidRPr="004762ED">
        <w:rPr>
          <w:rFonts w:ascii="Arial" w:hAnsi="Arial" w:cs="Arial"/>
        </w:rPr>
        <w:t>programa Galpao Aplau</w:t>
      </w:r>
      <w:r w:rsidR="002375DB" w:rsidRPr="004762ED">
        <w:rPr>
          <w:rFonts w:ascii="Arial" w:hAnsi="Arial" w:cs="Arial"/>
        </w:rPr>
        <w:t>so, Calero et al., 2014), factores que actúan también como preventivos del delito</w:t>
      </w:r>
      <w:r w:rsidRPr="004762ED">
        <w:rPr>
          <w:rFonts w:ascii="Arial" w:hAnsi="Arial" w:cs="Arial"/>
        </w:rPr>
        <w:t>.</w:t>
      </w:r>
    </w:p>
    <w:p w:rsidR="00485C3E" w:rsidRPr="004762ED" w:rsidRDefault="00485C3E" w:rsidP="007D0EEE">
      <w:pPr>
        <w:pStyle w:val="ListParagraph"/>
        <w:numPr>
          <w:ilvl w:val="1"/>
          <w:numId w:val="1"/>
        </w:numPr>
        <w:spacing w:before="120" w:line="240" w:lineRule="auto"/>
        <w:ind w:hanging="720"/>
        <w:contextualSpacing w:val="0"/>
        <w:jc w:val="both"/>
        <w:rPr>
          <w:rFonts w:ascii="Arial" w:hAnsi="Arial" w:cs="Arial"/>
        </w:rPr>
      </w:pPr>
      <w:r w:rsidRPr="004762ED">
        <w:rPr>
          <w:rFonts w:ascii="Arial" w:hAnsi="Arial" w:cs="Arial"/>
        </w:rPr>
        <w:t>Los principales objetivos del Componente 2, como se señala en la Matriz</w:t>
      </w:r>
      <w:r w:rsidR="000C6157" w:rsidRPr="004762ED">
        <w:rPr>
          <w:rFonts w:ascii="Arial" w:hAnsi="Arial" w:cs="Arial"/>
        </w:rPr>
        <w:t xml:space="preserve"> de Resultados son</w:t>
      </w:r>
      <w:r w:rsidRPr="004762ED">
        <w:rPr>
          <w:rFonts w:ascii="Arial" w:hAnsi="Arial" w:cs="Arial"/>
        </w:rPr>
        <w:t xml:space="preserve">: a) </w:t>
      </w:r>
      <w:r w:rsidR="00810D08" w:rsidRPr="004762ED">
        <w:rPr>
          <w:rFonts w:ascii="Arial" w:hAnsi="Arial" w:cs="Arial"/>
        </w:rPr>
        <w:t>que el indicador “</w:t>
      </w:r>
      <w:r w:rsidR="00810D08" w:rsidRPr="004762ED">
        <w:rPr>
          <w:rFonts w:ascii="Arial" w:eastAsia="Times New Roman" w:hAnsi="Arial" w:cs="Arial"/>
          <w:spacing w:val="-3"/>
          <w:lang w:val="es-UY"/>
        </w:rPr>
        <w:t>Mujeres de 15 años o más en Marconi y Casavalle que tienen o han tenido pareja que vivieron situaciones de violencia de género por parte de sus parejas y ex-parejas en los últimos 12 meses”</w:t>
      </w:r>
      <w:r w:rsidR="00810D08" w:rsidRPr="004762ED">
        <w:rPr>
          <w:rFonts w:ascii="Arial" w:hAnsi="Arial" w:cs="Arial"/>
        </w:rPr>
        <w:t xml:space="preserve"> se reduzca en </w:t>
      </w:r>
      <w:r w:rsidRPr="004762ED">
        <w:rPr>
          <w:rFonts w:ascii="Arial" w:hAnsi="Arial" w:cs="Arial"/>
        </w:rPr>
        <w:t>20%</w:t>
      </w:r>
      <w:r w:rsidR="00442F40" w:rsidRPr="004762ED">
        <w:rPr>
          <w:rFonts w:ascii="Arial" w:hAnsi="Arial" w:cs="Arial"/>
        </w:rPr>
        <w:t xml:space="preserve"> (como se señala en 4.2, la literatura sobre SASA! sugiere un impacto de 50% pero aquí se opta por un criterio conservador de impacto esperado de 20%)</w:t>
      </w:r>
      <w:r w:rsidRPr="004762ED">
        <w:rPr>
          <w:rFonts w:ascii="Arial" w:hAnsi="Arial" w:cs="Arial"/>
        </w:rPr>
        <w:t xml:space="preserve">, es decir, que </w:t>
      </w:r>
      <w:r w:rsidR="00F5561B" w:rsidRPr="004762ED">
        <w:rPr>
          <w:rFonts w:ascii="Arial" w:hAnsi="Arial" w:cs="Arial"/>
        </w:rPr>
        <w:t>pase del 26,4% al 21</w:t>
      </w:r>
      <w:r w:rsidR="00810D08" w:rsidRPr="004762ED">
        <w:rPr>
          <w:rFonts w:ascii="Arial" w:hAnsi="Arial" w:cs="Arial"/>
        </w:rPr>
        <w:t>%</w:t>
      </w:r>
      <w:r w:rsidR="00A66AC6" w:rsidRPr="004762ED">
        <w:rPr>
          <w:rFonts w:ascii="Arial" w:hAnsi="Arial" w:cs="Arial"/>
        </w:rPr>
        <w:t xml:space="preserve"> (cfr. R2.1 de la Matriz de Resultados)</w:t>
      </w:r>
      <w:r w:rsidR="00810D08" w:rsidRPr="004762ED">
        <w:rPr>
          <w:rFonts w:ascii="Arial" w:hAnsi="Arial" w:cs="Arial"/>
        </w:rPr>
        <w:t xml:space="preserve">; b) que </w:t>
      </w:r>
      <w:r w:rsidR="004832D6" w:rsidRPr="004762ED">
        <w:rPr>
          <w:rFonts w:ascii="Arial" w:hAnsi="Arial" w:cs="Arial"/>
        </w:rPr>
        <w:t>el indicador</w:t>
      </w:r>
      <w:r w:rsidR="00810D08" w:rsidRPr="004762ED">
        <w:rPr>
          <w:rFonts w:ascii="Arial" w:hAnsi="Arial" w:cs="Arial"/>
        </w:rPr>
        <w:t xml:space="preserve"> </w:t>
      </w:r>
      <w:r w:rsidR="00442F40" w:rsidRPr="004762ED">
        <w:rPr>
          <w:rFonts w:ascii="Arial" w:hAnsi="Arial" w:cs="Arial"/>
        </w:rPr>
        <w:t>“</w:t>
      </w:r>
      <w:r w:rsidR="00442F40" w:rsidRPr="004762ED">
        <w:rPr>
          <w:rFonts w:ascii="Arial" w:eastAsia="Times New Roman" w:hAnsi="Arial" w:cs="Arial"/>
          <w:spacing w:val="-3"/>
          <w:lang w:val="es-UY"/>
        </w:rPr>
        <w:t xml:space="preserve">Jóvenes (14 a 29 años) tratados viviendo en Marconi y Casavalle que han sido arrestados por delitos violentos por primera vez” </w:t>
      </w:r>
      <w:r w:rsidR="004832D6" w:rsidRPr="004762ED">
        <w:rPr>
          <w:rFonts w:ascii="Arial" w:eastAsia="Times New Roman" w:hAnsi="Arial" w:cs="Arial"/>
          <w:spacing w:val="-3"/>
          <w:lang w:val="es-UY"/>
        </w:rPr>
        <w:t>se reduzca en 20%</w:t>
      </w:r>
      <w:r w:rsidR="00442F40" w:rsidRPr="004762ED">
        <w:rPr>
          <w:rFonts w:ascii="Arial" w:eastAsia="Times New Roman" w:hAnsi="Arial" w:cs="Arial"/>
          <w:spacing w:val="-3"/>
          <w:lang w:val="es-UY"/>
        </w:rPr>
        <w:t xml:space="preserve"> </w:t>
      </w:r>
      <w:r w:rsidR="00442F40" w:rsidRPr="004762ED">
        <w:rPr>
          <w:rFonts w:ascii="Arial" w:hAnsi="Arial" w:cs="Arial"/>
        </w:rPr>
        <w:t>(como se señala en 4.2, la literatura sobre BAM sugiere un impacto de 44% pero aquí se opta por un criterio conservador de impacto esperado de 20%)</w:t>
      </w:r>
      <w:r w:rsidR="004832D6" w:rsidRPr="004762ED">
        <w:rPr>
          <w:rFonts w:ascii="Arial" w:eastAsia="Times New Roman" w:hAnsi="Arial" w:cs="Arial"/>
          <w:spacing w:val="-3"/>
          <w:lang w:val="es-UY"/>
        </w:rPr>
        <w:t>, es decir, pase del</w:t>
      </w:r>
      <w:r w:rsidR="00810D08" w:rsidRPr="004762ED">
        <w:rPr>
          <w:rFonts w:ascii="Arial" w:eastAsia="Times New Roman" w:hAnsi="Arial" w:cs="Arial"/>
          <w:spacing w:val="-3"/>
          <w:lang w:val="es-UY"/>
        </w:rPr>
        <w:t xml:space="preserve"> </w:t>
      </w:r>
      <w:r w:rsidR="00442F40" w:rsidRPr="004762ED">
        <w:rPr>
          <w:rFonts w:ascii="Arial" w:hAnsi="Arial" w:cs="Arial"/>
        </w:rPr>
        <w:t xml:space="preserve"> 14% al 11</w:t>
      </w:r>
      <w:r w:rsidRPr="004762ED">
        <w:rPr>
          <w:rFonts w:ascii="Arial" w:hAnsi="Arial" w:cs="Arial"/>
        </w:rPr>
        <w:t>%</w:t>
      </w:r>
      <w:r w:rsidR="00A66AC6" w:rsidRPr="004762ED">
        <w:rPr>
          <w:rFonts w:ascii="Arial" w:hAnsi="Arial" w:cs="Arial"/>
        </w:rPr>
        <w:t xml:space="preserve"> (cfr. R2.</w:t>
      </w:r>
      <w:r w:rsidR="00287183" w:rsidRPr="004762ED">
        <w:rPr>
          <w:rFonts w:ascii="Arial" w:hAnsi="Arial" w:cs="Arial"/>
        </w:rPr>
        <w:t>5</w:t>
      </w:r>
      <w:r w:rsidR="00A66AC6" w:rsidRPr="004762ED">
        <w:rPr>
          <w:rFonts w:ascii="Arial" w:hAnsi="Arial" w:cs="Arial"/>
        </w:rPr>
        <w:t xml:space="preserve"> de la Matriz de Resultados)</w:t>
      </w:r>
      <w:r w:rsidR="005A3F68" w:rsidRPr="004762ED">
        <w:rPr>
          <w:rFonts w:ascii="Arial" w:hAnsi="Arial" w:cs="Arial"/>
        </w:rPr>
        <w:t>.</w:t>
      </w:r>
    </w:p>
    <w:p w:rsidR="00561EB3" w:rsidRPr="004762ED" w:rsidRDefault="00D900DE" w:rsidP="007D0EEE">
      <w:pPr>
        <w:pStyle w:val="ListParagraph"/>
        <w:numPr>
          <w:ilvl w:val="1"/>
          <w:numId w:val="1"/>
        </w:numPr>
        <w:spacing w:before="120" w:line="240" w:lineRule="auto"/>
        <w:ind w:hanging="720"/>
        <w:contextualSpacing w:val="0"/>
        <w:jc w:val="both"/>
        <w:rPr>
          <w:rFonts w:ascii="Arial" w:hAnsi="Arial" w:cs="Arial"/>
        </w:rPr>
      </w:pPr>
      <w:r w:rsidRPr="004762ED">
        <w:rPr>
          <w:rFonts w:ascii="Arial" w:hAnsi="Arial" w:cs="Arial"/>
          <w:lang w:val="es-ES"/>
        </w:rPr>
        <w:t>Como se señala en la tabla siguiente, los beneficios netos estimados ascienden a US$20.271.366, con un Valor Actual Neto de US$10.947.181. Este cálculo emplea la tasa de descuento estándar del BID para el análisis de costos y beneficios de proyectos que es 12%, y supone que se recogerán los beneficios del proyecto en el período de 15 años</w:t>
      </w:r>
      <w:r w:rsidR="00A66AC6" w:rsidRPr="004762ED">
        <w:rPr>
          <w:rFonts w:ascii="Arial" w:hAnsi="Arial" w:cs="Arial"/>
          <w:lang w:val="es-ES"/>
        </w:rPr>
        <w:t xml:space="preserve"> </w:t>
      </w:r>
      <w:r w:rsidR="004863F4" w:rsidRPr="004762ED">
        <w:rPr>
          <w:rFonts w:ascii="Arial" w:hAnsi="Arial" w:cs="Arial"/>
          <w:lang w:val="es-ES"/>
        </w:rPr>
        <w:t>(</w:t>
      </w:r>
      <w:r w:rsidR="004863F4" w:rsidRPr="004762ED">
        <w:rPr>
          <w:rFonts w:ascii="Arial" w:hAnsi="Arial" w:cs="Arial"/>
        </w:rPr>
        <w:t>luego de obtener el impacto esperado de 20% en el período 2017-2021, el programa seguirá operativo, generando beneficios, aunque a un menor ritmo: 20% pero para todo el período 2022-2032).</w:t>
      </w:r>
    </w:p>
    <w:tbl>
      <w:tblPr>
        <w:tblStyle w:val="TableGrid"/>
        <w:tblW w:w="8748" w:type="dxa"/>
        <w:tblLook w:val="04A0" w:firstRow="1" w:lastRow="0" w:firstColumn="1" w:lastColumn="0" w:noHBand="0" w:noVBand="1"/>
      </w:tblPr>
      <w:tblGrid>
        <w:gridCol w:w="1458"/>
        <w:gridCol w:w="1080"/>
        <w:gridCol w:w="1170"/>
        <w:gridCol w:w="1170"/>
        <w:gridCol w:w="1080"/>
        <w:gridCol w:w="1080"/>
        <w:gridCol w:w="630"/>
        <w:gridCol w:w="450"/>
        <w:gridCol w:w="630"/>
      </w:tblGrid>
      <w:tr w:rsidR="00D900DE" w:rsidRPr="000347D6" w:rsidTr="007D0EEE">
        <w:trPr>
          <w:trHeight w:val="330"/>
        </w:trPr>
        <w:tc>
          <w:tcPr>
            <w:tcW w:w="1458" w:type="dxa"/>
            <w:hideMark/>
          </w:tcPr>
          <w:p w:rsidR="00D900DE" w:rsidRPr="000347D6" w:rsidRDefault="00D900DE" w:rsidP="00104EA7">
            <w:pPr>
              <w:rPr>
                <w:sz w:val="20"/>
              </w:rPr>
            </w:pPr>
            <w:r w:rsidRPr="000347D6">
              <w:rPr>
                <w:sz w:val="20"/>
              </w:rPr>
              <w:t> </w:t>
            </w:r>
          </w:p>
        </w:tc>
        <w:tc>
          <w:tcPr>
            <w:tcW w:w="1080" w:type="dxa"/>
            <w:hideMark/>
          </w:tcPr>
          <w:p w:rsidR="00D900DE" w:rsidRPr="000347D6" w:rsidRDefault="00D900DE" w:rsidP="00104EA7">
            <w:pPr>
              <w:rPr>
                <w:sz w:val="20"/>
              </w:rPr>
            </w:pPr>
            <w:r w:rsidRPr="000347D6">
              <w:rPr>
                <w:sz w:val="20"/>
              </w:rPr>
              <w:t>2017</w:t>
            </w:r>
          </w:p>
        </w:tc>
        <w:tc>
          <w:tcPr>
            <w:tcW w:w="1170" w:type="dxa"/>
            <w:hideMark/>
          </w:tcPr>
          <w:p w:rsidR="00D900DE" w:rsidRPr="000347D6" w:rsidRDefault="00D900DE" w:rsidP="00104EA7">
            <w:pPr>
              <w:rPr>
                <w:sz w:val="20"/>
              </w:rPr>
            </w:pPr>
            <w:r w:rsidRPr="000347D6">
              <w:rPr>
                <w:sz w:val="20"/>
              </w:rPr>
              <w:t>2018</w:t>
            </w:r>
          </w:p>
        </w:tc>
        <w:tc>
          <w:tcPr>
            <w:tcW w:w="1170" w:type="dxa"/>
            <w:hideMark/>
          </w:tcPr>
          <w:p w:rsidR="00D900DE" w:rsidRPr="000347D6" w:rsidRDefault="00D900DE" w:rsidP="00104EA7">
            <w:pPr>
              <w:rPr>
                <w:sz w:val="20"/>
              </w:rPr>
            </w:pPr>
            <w:r w:rsidRPr="000347D6">
              <w:rPr>
                <w:sz w:val="20"/>
              </w:rPr>
              <w:t>2019</w:t>
            </w:r>
          </w:p>
        </w:tc>
        <w:tc>
          <w:tcPr>
            <w:tcW w:w="1080" w:type="dxa"/>
            <w:hideMark/>
          </w:tcPr>
          <w:p w:rsidR="00D900DE" w:rsidRPr="000347D6" w:rsidRDefault="00D900DE" w:rsidP="00104EA7">
            <w:pPr>
              <w:rPr>
                <w:sz w:val="20"/>
              </w:rPr>
            </w:pPr>
            <w:r w:rsidRPr="000347D6">
              <w:rPr>
                <w:sz w:val="20"/>
              </w:rPr>
              <w:t>2020</w:t>
            </w:r>
          </w:p>
        </w:tc>
        <w:tc>
          <w:tcPr>
            <w:tcW w:w="1080" w:type="dxa"/>
            <w:hideMark/>
          </w:tcPr>
          <w:p w:rsidR="00D900DE" w:rsidRPr="000347D6" w:rsidRDefault="00D900DE" w:rsidP="00104EA7">
            <w:pPr>
              <w:rPr>
                <w:sz w:val="20"/>
              </w:rPr>
            </w:pPr>
            <w:r w:rsidRPr="000347D6">
              <w:rPr>
                <w:sz w:val="20"/>
              </w:rPr>
              <w:t>2021</w:t>
            </w:r>
          </w:p>
        </w:tc>
        <w:tc>
          <w:tcPr>
            <w:tcW w:w="630" w:type="dxa"/>
            <w:hideMark/>
          </w:tcPr>
          <w:p w:rsidR="00D900DE" w:rsidRPr="000347D6" w:rsidRDefault="00D900DE" w:rsidP="00104EA7">
            <w:pPr>
              <w:rPr>
                <w:sz w:val="20"/>
              </w:rPr>
            </w:pPr>
            <w:r w:rsidRPr="000347D6">
              <w:rPr>
                <w:sz w:val="20"/>
              </w:rPr>
              <w:t>2022</w:t>
            </w:r>
          </w:p>
        </w:tc>
        <w:tc>
          <w:tcPr>
            <w:tcW w:w="450" w:type="dxa"/>
            <w:hideMark/>
          </w:tcPr>
          <w:p w:rsidR="00D900DE" w:rsidRPr="000347D6" w:rsidRDefault="00D900DE" w:rsidP="00104EA7">
            <w:pPr>
              <w:rPr>
                <w:sz w:val="20"/>
              </w:rPr>
            </w:pPr>
            <w:r w:rsidRPr="000347D6">
              <w:rPr>
                <w:sz w:val="20"/>
              </w:rPr>
              <w:t>…</w:t>
            </w:r>
          </w:p>
        </w:tc>
        <w:tc>
          <w:tcPr>
            <w:tcW w:w="630" w:type="dxa"/>
            <w:hideMark/>
          </w:tcPr>
          <w:p w:rsidR="00D900DE" w:rsidRPr="000347D6" w:rsidRDefault="00D900DE" w:rsidP="00104EA7">
            <w:pPr>
              <w:rPr>
                <w:sz w:val="20"/>
              </w:rPr>
            </w:pPr>
            <w:r w:rsidRPr="000347D6">
              <w:rPr>
                <w:sz w:val="20"/>
              </w:rPr>
              <w:t>2032</w:t>
            </w:r>
          </w:p>
        </w:tc>
      </w:tr>
      <w:tr w:rsidR="00D900DE" w:rsidRPr="000347D6" w:rsidTr="007D0EEE">
        <w:trPr>
          <w:trHeight w:val="330"/>
        </w:trPr>
        <w:tc>
          <w:tcPr>
            <w:tcW w:w="1458" w:type="dxa"/>
            <w:hideMark/>
          </w:tcPr>
          <w:p w:rsidR="00D900DE" w:rsidRPr="000347D6" w:rsidRDefault="00D900DE" w:rsidP="00104EA7">
            <w:pPr>
              <w:rPr>
                <w:sz w:val="20"/>
              </w:rPr>
            </w:pPr>
            <w:r w:rsidRPr="000347D6">
              <w:rPr>
                <w:sz w:val="20"/>
              </w:rPr>
              <w:t>Beneficios</w:t>
            </w:r>
          </w:p>
        </w:tc>
        <w:tc>
          <w:tcPr>
            <w:tcW w:w="1080" w:type="dxa"/>
            <w:hideMark/>
          </w:tcPr>
          <w:p w:rsidR="00D900DE" w:rsidRPr="000347D6" w:rsidRDefault="00D900DE" w:rsidP="00104EA7">
            <w:pPr>
              <w:rPr>
                <w:sz w:val="20"/>
              </w:rPr>
            </w:pPr>
            <w:r w:rsidRPr="000347D6">
              <w:rPr>
                <w:sz w:val="20"/>
              </w:rPr>
              <w:t>2416</w:t>
            </w:r>
          </w:p>
        </w:tc>
        <w:tc>
          <w:tcPr>
            <w:tcW w:w="1170" w:type="dxa"/>
            <w:hideMark/>
          </w:tcPr>
          <w:p w:rsidR="00D900DE" w:rsidRPr="000347D6" w:rsidRDefault="00D900DE" w:rsidP="00104EA7">
            <w:pPr>
              <w:rPr>
                <w:sz w:val="20"/>
              </w:rPr>
            </w:pPr>
            <w:r w:rsidRPr="000347D6">
              <w:rPr>
                <w:sz w:val="20"/>
              </w:rPr>
              <w:t>2416</w:t>
            </w:r>
          </w:p>
        </w:tc>
        <w:tc>
          <w:tcPr>
            <w:tcW w:w="1170" w:type="dxa"/>
            <w:hideMark/>
          </w:tcPr>
          <w:p w:rsidR="00D900DE" w:rsidRPr="000347D6" w:rsidRDefault="00D900DE" w:rsidP="00104EA7">
            <w:pPr>
              <w:rPr>
                <w:sz w:val="20"/>
              </w:rPr>
            </w:pPr>
            <w:r w:rsidRPr="000347D6">
              <w:rPr>
                <w:sz w:val="20"/>
              </w:rPr>
              <w:t>2416</w:t>
            </w:r>
          </w:p>
        </w:tc>
        <w:tc>
          <w:tcPr>
            <w:tcW w:w="1080" w:type="dxa"/>
            <w:hideMark/>
          </w:tcPr>
          <w:p w:rsidR="00D900DE" w:rsidRPr="000347D6" w:rsidRDefault="00D900DE" w:rsidP="00104EA7">
            <w:pPr>
              <w:rPr>
                <w:sz w:val="20"/>
              </w:rPr>
            </w:pPr>
            <w:r w:rsidRPr="000347D6">
              <w:rPr>
                <w:sz w:val="20"/>
              </w:rPr>
              <w:t>2416</w:t>
            </w:r>
          </w:p>
        </w:tc>
        <w:tc>
          <w:tcPr>
            <w:tcW w:w="1080" w:type="dxa"/>
            <w:hideMark/>
          </w:tcPr>
          <w:p w:rsidR="00D900DE" w:rsidRPr="000347D6" w:rsidRDefault="00D900DE" w:rsidP="00104EA7">
            <w:pPr>
              <w:rPr>
                <w:sz w:val="20"/>
              </w:rPr>
            </w:pPr>
            <w:r w:rsidRPr="000347D6">
              <w:rPr>
                <w:sz w:val="20"/>
              </w:rPr>
              <w:t>2416</w:t>
            </w:r>
          </w:p>
        </w:tc>
        <w:tc>
          <w:tcPr>
            <w:tcW w:w="630" w:type="dxa"/>
            <w:hideMark/>
          </w:tcPr>
          <w:p w:rsidR="00D900DE" w:rsidRPr="000347D6" w:rsidRDefault="00D900DE" w:rsidP="00104EA7">
            <w:pPr>
              <w:rPr>
                <w:sz w:val="20"/>
              </w:rPr>
            </w:pPr>
            <w:r w:rsidRPr="000347D6">
              <w:rPr>
                <w:sz w:val="20"/>
              </w:rPr>
              <w:t>1208</w:t>
            </w:r>
          </w:p>
        </w:tc>
        <w:tc>
          <w:tcPr>
            <w:tcW w:w="450" w:type="dxa"/>
            <w:hideMark/>
          </w:tcPr>
          <w:p w:rsidR="00D900DE" w:rsidRPr="000347D6" w:rsidRDefault="00D900DE" w:rsidP="00104EA7">
            <w:pPr>
              <w:rPr>
                <w:sz w:val="20"/>
              </w:rPr>
            </w:pPr>
            <w:r>
              <w:rPr>
                <w:sz w:val="20"/>
              </w:rPr>
              <w:t>…</w:t>
            </w:r>
          </w:p>
        </w:tc>
        <w:tc>
          <w:tcPr>
            <w:tcW w:w="630" w:type="dxa"/>
            <w:hideMark/>
          </w:tcPr>
          <w:p w:rsidR="00D900DE" w:rsidRPr="000347D6" w:rsidRDefault="00D900DE" w:rsidP="00104EA7">
            <w:pPr>
              <w:rPr>
                <w:sz w:val="20"/>
              </w:rPr>
            </w:pPr>
            <w:r w:rsidRPr="000347D6">
              <w:rPr>
                <w:sz w:val="20"/>
              </w:rPr>
              <w:t>1208</w:t>
            </w:r>
          </w:p>
        </w:tc>
      </w:tr>
      <w:tr w:rsidR="00D900DE" w:rsidRPr="000347D6" w:rsidTr="007D0EEE">
        <w:trPr>
          <w:trHeight w:val="330"/>
        </w:trPr>
        <w:tc>
          <w:tcPr>
            <w:tcW w:w="1458" w:type="dxa"/>
            <w:hideMark/>
          </w:tcPr>
          <w:p w:rsidR="00D900DE" w:rsidRPr="000347D6" w:rsidRDefault="00D900DE" w:rsidP="00104EA7">
            <w:pPr>
              <w:rPr>
                <w:sz w:val="20"/>
              </w:rPr>
            </w:pPr>
            <w:r w:rsidRPr="000347D6">
              <w:rPr>
                <w:sz w:val="20"/>
              </w:rPr>
              <w:t>Costos</w:t>
            </w:r>
          </w:p>
        </w:tc>
        <w:tc>
          <w:tcPr>
            <w:tcW w:w="1080" w:type="dxa"/>
            <w:hideMark/>
          </w:tcPr>
          <w:p w:rsidR="00D900DE" w:rsidRPr="000347D6" w:rsidRDefault="00D900DE" w:rsidP="00104EA7">
            <w:pPr>
              <w:rPr>
                <w:sz w:val="20"/>
              </w:rPr>
            </w:pPr>
            <w:r w:rsidRPr="000347D6">
              <w:rPr>
                <w:sz w:val="20"/>
              </w:rPr>
              <w:t>777,7268</w:t>
            </w:r>
          </w:p>
        </w:tc>
        <w:tc>
          <w:tcPr>
            <w:tcW w:w="1170" w:type="dxa"/>
            <w:hideMark/>
          </w:tcPr>
          <w:p w:rsidR="00D900DE" w:rsidRPr="000347D6" w:rsidRDefault="00D900DE" w:rsidP="00104EA7">
            <w:pPr>
              <w:rPr>
                <w:sz w:val="20"/>
              </w:rPr>
            </w:pPr>
            <w:r w:rsidRPr="000347D6">
              <w:rPr>
                <w:sz w:val="20"/>
              </w:rPr>
              <w:t>777,7268</w:t>
            </w:r>
          </w:p>
        </w:tc>
        <w:tc>
          <w:tcPr>
            <w:tcW w:w="1170" w:type="dxa"/>
            <w:hideMark/>
          </w:tcPr>
          <w:p w:rsidR="00D900DE" w:rsidRPr="000347D6" w:rsidRDefault="00D900DE" w:rsidP="00104EA7">
            <w:pPr>
              <w:rPr>
                <w:sz w:val="20"/>
              </w:rPr>
            </w:pPr>
            <w:r w:rsidRPr="000347D6">
              <w:rPr>
                <w:sz w:val="20"/>
              </w:rPr>
              <w:t>777,7268</w:t>
            </w:r>
          </w:p>
        </w:tc>
        <w:tc>
          <w:tcPr>
            <w:tcW w:w="1080" w:type="dxa"/>
            <w:hideMark/>
          </w:tcPr>
          <w:p w:rsidR="00D900DE" w:rsidRPr="000347D6" w:rsidRDefault="00D900DE" w:rsidP="00104EA7">
            <w:pPr>
              <w:rPr>
                <w:sz w:val="20"/>
              </w:rPr>
            </w:pPr>
            <w:r w:rsidRPr="000347D6">
              <w:rPr>
                <w:sz w:val="20"/>
              </w:rPr>
              <w:t>777,7268</w:t>
            </w:r>
          </w:p>
        </w:tc>
        <w:tc>
          <w:tcPr>
            <w:tcW w:w="1080" w:type="dxa"/>
            <w:hideMark/>
          </w:tcPr>
          <w:p w:rsidR="00D900DE" w:rsidRPr="000347D6" w:rsidRDefault="00D900DE" w:rsidP="00104EA7">
            <w:pPr>
              <w:rPr>
                <w:sz w:val="20"/>
              </w:rPr>
            </w:pPr>
            <w:r w:rsidRPr="000347D6">
              <w:rPr>
                <w:sz w:val="20"/>
              </w:rPr>
              <w:t>777,7268</w:t>
            </w:r>
          </w:p>
        </w:tc>
        <w:tc>
          <w:tcPr>
            <w:tcW w:w="630" w:type="dxa"/>
            <w:hideMark/>
          </w:tcPr>
          <w:p w:rsidR="00D900DE" w:rsidRPr="000347D6" w:rsidRDefault="00D900DE" w:rsidP="00104EA7">
            <w:pPr>
              <w:rPr>
                <w:sz w:val="20"/>
              </w:rPr>
            </w:pPr>
            <w:r w:rsidRPr="000347D6">
              <w:rPr>
                <w:sz w:val="20"/>
              </w:rPr>
              <w:t> </w:t>
            </w:r>
          </w:p>
        </w:tc>
        <w:tc>
          <w:tcPr>
            <w:tcW w:w="450" w:type="dxa"/>
            <w:hideMark/>
          </w:tcPr>
          <w:p w:rsidR="00D900DE" w:rsidRPr="000347D6" w:rsidRDefault="00D900DE" w:rsidP="00104EA7">
            <w:pPr>
              <w:rPr>
                <w:sz w:val="20"/>
              </w:rPr>
            </w:pPr>
            <w:r w:rsidRPr="000347D6">
              <w:rPr>
                <w:sz w:val="20"/>
              </w:rPr>
              <w:t> </w:t>
            </w:r>
          </w:p>
        </w:tc>
        <w:tc>
          <w:tcPr>
            <w:tcW w:w="630" w:type="dxa"/>
            <w:hideMark/>
          </w:tcPr>
          <w:p w:rsidR="00D900DE" w:rsidRPr="000347D6" w:rsidRDefault="00D900DE" w:rsidP="00104EA7">
            <w:pPr>
              <w:rPr>
                <w:sz w:val="20"/>
              </w:rPr>
            </w:pPr>
            <w:r w:rsidRPr="000347D6">
              <w:rPr>
                <w:sz w:val="20"/>
              </w:rPr>
              <w:t> </w:t>
            </w:r>
          </w:p>
        </w:tc>
      </w:tr>
      <w:tr w:rsidR="00D900DE" w:rsidRPr="000347D6" w:rsidTr="007D0EEE">
        <w:trPr>
          <w:trHeight w:val="645"/>
        </w:trPr>
        <w:tc>
          <w:tcPr>
            <w:tcW w:w="1458" w:type="dxa"/>
            <w:hideMark/>
          </w:tcPr>
          <w:p w:rsidR="00D900DE" w:rsidRPr="000347D6" w:rsidRDefault="00D900DE" w:rsidP="00104EA7">
            <w:pPr>
              <w:rPr>
                <w:sz w:val="20"/>
              </w:rPr>
            </w:pPr>
            <w:r w:rsidRPr="000347D6">
              <w:rPr>
                <w:sz w:val="20"/>
              </w:rPr>
              <w:t>Beneficios netos</w:t>
            </w:r>
          </w:p>
        </w:tc>
        <w:tc>
          <w:tcPr>
            <w:tcW w:w="1080" w:type="dxa"/>
            <w:hideMark/>
          </w:tcPr>
          <w:p w:rsidR="00D900DE" w:rsidRPr="000347D6" w:rsidRDefault="00D900DE" w:rsidP="00104EA7">
            <w:pPr>
              <w:rPr>
                <w:sz w:val="20"/>
              </w:rPr>
            </w:pPr>
            <w:r w:rsidRPr="000347D6">
              <w:rPr>
                <w:sz w:val="20"/>
              </w:rPr>
              <w:t>1638,2732</w:t>
            </w:r>
          </w:p>
        </w:tc>
        <w:tc>
          <w:tcPr>
            <w:tcW w:w="1170" w:type="dxa"/>
            <w:hideMark/>
          </w:tcPr>
          <w:p w:rsidR="00D900DE" w:rsidRPr="000347D6" w:rsidRDefault="00D900DE" w:rsidP="00104EA7">
            <w:pPr>
              <w:rPr>
                <w:sz w:val="20"/>
              </w:rPr>
            </w:pPr>
            <w:r w:rsidRPr="000347D6">
              <w:rPr>
                <w:sz w:val="20"/>
              </w:rPr>
              <w:t>1638,2732</w:t>
            </w:r>
          </w:p>
        </w:tc>
        <w:tc>
          <w:tcPr>
            <w:tcW w:w="1170" w:type="dxa"/>
            <w:hideMark/>
          </w:tcPr>
          <w:p w:rsidR="00D900DE" w:rsidRPr="000347D6" w:rsidRDefault="00D900DE" w:rsidP="00104EA7">
            <w:pPr>
              <w:rPr>
                <w:sz w:val="20"/>
              </w:rPr>
            </w:pPr>
            <w:r w:rsidRPr="000347D6">
              <w:rPr>
                <w:sz w:val="20"/>
              </w:rPr>
              <w:t>1638,2732</w:t>
            </w:r>
          </w:p>
        </w:tc>
        <w:tc>
          <w:tcPr>
            <w:tcW w:w="1080" w:type="dxa"/>
            <w:hideMark/>
          </w:tcPr>
          <w:p w:rsidR="00D900DE" w:rsidRPr="000347D6" w:rsidRDefault="00D900DE" w:rsidP="00104EA7">
            <w:pPr>
              <w:rPr>
                <w:sz w:val="20"/>
              </w:rPr>
            </w:pPr>
            <w:r w:rsidRPr="000347D6">
              <w:rPr>
                <w:sz w:val="20"/>
              </w:rPr>
              <w:t>1638,2732</w:t>
            </w:r>
          </w:p>
        </w:tc>
        <w:tc>
          <w:tcPr>
            <w:tcW w:w="1080" w:type="dxa"/>
            <w:hideMark/>
          </w:tcPr>
          <w:p w:rsidR="00D900DE" w:rsidRPr="000347D6" w:rsidRDefault="00D900DE" w:rsidP="00104EA7">
            <w:pPr>
              <w:rPr>
                <w:sz w:val="20"/>
              </w:rPr>
            </w:pPr>
            <w:r w:rsidRPr="000347D6">
              <w:rPr>
                <w:sz w:val="20"/>
              </w:rPr>
              <w:t>1638,2732</w:t>
            </w:r>
          </w:p>
        </w:tc>
        <w:tc>
          <w:tcPr>
            <w:tcW w:w="630" w:type="dxa"/>
            <w:hideMark/>
          </w:tcPr>
          <w:p w:rsidR="00D900DE" w:rsidRPr="000347D6" w:rsidRDefault="00D900DE" w:rsidP="00104EA7">
            <w:pPr>
              <w:rPr>
                <w:sz w:val="20"/>
              </w:rPr>
            </w:pPr>
            <w:r w:rsidRPr="000347D6">
              <w:rPr>
                <w:sz w:val="20"/>
              </w:rPr>
              <w:t>1208</w:t>
            </w:r>
          </w:p>
        </w:tc>
        <w:tc>
          <w:tcPr>
            <w:tcW w:w="450" w:type="dxa"/>
            <w:hideMark/>
          </w:tcPr>
          <w:p w:rsidR="00D900DE" w:rsidRPr="000347D6" w:rsidRDefault="00D900DE" w:rsidP="00104EA7">
            <w:pPr>
              <w:rPr>
                <w:sz w:val="20"/>
              </w:rPr>
            </w:pPr>
            <w:r>
              <w:rPr>
                <w:sz w:val="20"/>
              </w:rPr>
              <w:t>…</w:t>
            </w:r>
          </w:p>
        </w:tc>
        <w:tc>
          <w:tcPr>
            <w:tcW w:w="630" w:type="dxa"/>
            <w:hideMark/>
          </w:tcPr>
          <w:p w:rsidR="00D900DE" w:rsidRPr="000347D6" w:rsidRDefault="00D900DE" w:rsidP="00104EA7">
            <w:pPr>
              <w:rPr>
                <w:sz w:val="20"/>
              </w:rPr>
            </w:pPr>
            <w:r w:rsidRPr="000347D6">
              <w:rPr>
                <w:sz w:val="20"/>
              </w:rPr>
              <w:t>1208</w:t>
            </w:r>
          </w:p>
        </w:tc>
      </w:tr>
      <w:tr w:rsidR="00D900DE" w:rsidRPr="000347D6" w:rsidTr="007D0EEE">
        <w:trPr>
          <w:trHeight w:val="960"/>
        </w:trPr>
        <w:tc>
          <w:tcPr>
            <w:tcW w:w="1458" w:type="dxa"/>
            <w:hideMark/>
          </w:tcPr>
          <w:p w:rsidR="00D900DE" w:rsidRPr="000347D6" w:rsidRDefault="00D900DE" w:rsidP="00104EA7">
            <w:pPr>
              <w:rPr>
                <w:sz w:val="20"/>
              </w:rPr>
            </w:pPr>
            <w:r w:rsidRPr="000347D6">
              <w:rPr>
                <w:sz w:val="20"/>
              </w:rPr>
              <w:t xml:space="preserve">Valor Actual Neto </w:t>
            </w:r>
          </w:p>
        </w:tc>
        <w:tc>
          <w:tcPr>
            <w:tcW w:w="1080" w:type="dxa"/>
            <w:hideMark/>
          </w:tcPr>
          <w:p w:rsidR="00D900DE" w:rsidRPr="000347D6" w:rsidRDefault="00D900DE" w:rsidP="00104EA7">
            <w:pPr>
              <w:rPr>
                <w:sz w:val="20"/>
              </w:rPr>
            </w:pPr>
            <w:r w:rsidRPr="000347D6">
              <w:rPr>
                <w:sz w:val="20"/>
              </w:rPr>
              <w:t>1638,2732</w:t>
            </w:r>
          </w:p>
        </w:tc>
        <w:tc>
          <w:tcPr>
            <w:tcW w:w="1170" w:type="dxa"/>
            <w:hideMark/>
          </w:tcPr>
          <w:p w:rsidR="00D900DE" w:rsidRPr="000347D6" w:rsidRDefault="00D900DE" w:rsidP="00104EA7">
            <w:pPr>
              <w:rPr>
                <w:sz w:val="20"/>
              </w:rPr>
            </w:pPr>
            <w:r w:rsidRPr="000347D6">
              <w:rPr>
                <w:sz w:val="20"/>
              </w:rPr>
              <w:t>1462,7439</w:t>
            </w:r>
          </w:p>
        </w:tc>
        <w:tc>
          <w:tcPr>
            <w:tcW w:w="1170" w:type="dxa"/>
            <w:hideMark/>
          </w:tcPr>
          <w:p w:rsidR="00D900DE" w:rsidRPr="000347D6" w:rsidRDefault="00D900DE" w:rsidP="00104EA7">
            <w:pPr>
              <w:rPr>
                <w:sz w:val="20"/>
              </w:rPr>
            </w:pPr>
            <w:r w:rsidRPr="000347D6">
              <w:rPr>
                <w:sz w:val="20"/>
              </w:rPr>
              <w:t>1306,0214</w:t>
            </w:r>
          </w:p>
        </w:tc>
        <w:tc>
          <w:tcPr>
            <w:tcW w:w="1080" w:type="dxa"/>
            <w:hideMark/>
          </w:tcPr>
          <w:p w:rsidR="00D900DE" w:rsidRPr="000347D6" w:rsidRDefault="00D900DE" w:rsidP="00104EA7">
            <w:pPr>
              <w:rPr>
                <w:sz w:val="20"/>
              </w:rPr>
            </w:pPr>
            <w:r w:rsidRPr="000347D6">
              <w:rPr>
                <w:sz w:val="20"/>
              </w:rPr>
              <w:t>1166,0905</w:t>
            </w:r>
          </w:p>
        </w:tc>
        <w:tc>
          <w:tcPr>
            <w:tcW w:w="1080" w:type="dxa"/>
            <w:hideMark/>
          </w:tcPr>
          <w:p w:rsidR="00D900DE" w:rsidRPr="000347D6" w:rsidRDefault="00D900DE" w:rsidP="00104EA7">
            <w:pPr>
              <w:rPr>
                <w:sz w:val="20"/>
              </w:rPr>
            </w:pPr>
            <w:r w:rsidRPr="000347D6">
              <w:rPr>
                <w:sz w:val="20"/>
              </w:rPr>
              <w:t>1041,1522</w:t>
            </w:r>
          </w:p>
        </w:tc>
        <w:tc>
          <w:tcPr>
            <w:tcW w:w="630" w:type="dxa"/>
            <w:hideMark/>
          </w:tcPr>
          <w:p w:rsidR="00D900DE" w:rsidRPr="000347D6" w:rsidRDefault="00D900DE" w:rsidP="00104EA7">
            <w:pPr>
              <w:rPr>
                <w:sz w:val="20"/>
              </w:rPr>
            </w:pPr>
            <w:r w:rsidRPr="000347D6">
              <w:rPr>
                <w:sz w:val="20"/>
              </w:rPr>
              <w:t>685</w:t>
            </w:r>
          </w:p>
        </w:tc>
        <w:tc>
          <w:tcPr>
            <w:tcW w:w="450" w:type="dxa"/>
            <w:hideMark/>
          </w:tcPr>
          <w:p w:rsidR="00D900DE" w:rsidRPr="000347D6" w:rsidRDefault="00D900DE" w:rsidP="00104EA7">
            <w:pPr>
              <w:rPr>
                <w:sz w:val="20"/>
              </w:rPr>
            </w:pPr>
            <w:r>
              <w:rPr>
                <w:sz w:val="20"/>
              </w:rPr>
              <w:t>…</w:t>
            </w:r>
          </w:p>
        </w:tc>
        <w:tc>
          <w:tcPr>
            <w:tcW w:w="630" w:type="dxa"/>
            <w:hideMark/>
          </w:tcPr>
          <w:p w:rsidR="00D900DE" w:rsidRPr="000347D6" w:rsidRDefault="00D900DE" w:rsidP="00104EA7">
            <w:pPr>
              <w:rPr>
                <w:sz w:val="20"/>
              </w:rPr>
            </w:pPr>
            <w:r>
              <w:rPr>
                <w:sz w:val="20"/>
              </w:rPr>
              <w:t>247</w:t>
            </w:r>
          </w:p>
        </w:tc>
      </w:tr>
      <w:tr w:rsidR="00D900DE" w:rsidRPr="001002A6" w:rsidTr="007D0EEE">
        <w:trPr>
          <w:trHeight w:val="960"/>
        </w:trPr>
        <w:tc>
          <w:tcPr>
            <w:tcW w:w="1458" w:type="dxa"/>
          </w:tcPr>
          <w:p w:rsidR="00D900DE" w:rsidRPr="001002A6" w:rsidRDefault="00D900DE" w:rsidP="00104EA7">
            <w:pPr>
              <w:rPr>
                <w:sz w:val="20"/>
              </w:rPr>
            </w:pPr>
            <w:r w:rsidRPr="009450B9">
              <w:rPr>
                <w:sz w:val="20"/>
              </w:rPr>
              <w:t>Relación Beneficio</w:t>
            </w:r>
            <w:r w:rsidR="00521142">
              <w:rPr>
                <w:sz w:val="20"/>
              </w:rPr>
              <w:t xml:space="preserve"> Costo</w:t>
            </w:r>
          </w:p>
        </w:tc>
        <w:tc>
          <w:tcPr>
            <w:tcW w:w="7290" w:type="dxa"/>
            <w:gridSpan w:val="8"/>
          </w:tcPr>
          <w:p w:rsidR="00D900DE" w:rsidRPr="001002A6" w:rsidRDefault="00D900DE" w:rsidP="00104EA7">
            <w:pPr>
              <w:rPr>
                <w:sz w:val="20"/>
              </w:rPr>
            </w:pPr>
            <w:r w:rsidRPr="009450B9">
              <w:rPr>
                <w:sz w:val="20"/>
              </w:rPr>
              <w:t>2,8</w:t>
            </w:r>
            <w:r>
              <w:rPr>
                <w:sz w:val="20"/>
              </w:rPr>
              <w:t>1</w:t>
            </w:r>
          </w:p>
        </w:tc>
      </w:tr>
    </w:tbl>
    <w:p w:rsidR="00D900DE" w:rsidRPr="004762ED" w:rsidRDefault="00D900DE" w:rsidP="00D900DE">
      <w:pPr>
        <w:jc w:val="both"/>
      </w:pPr>
      <w:r w:rsidRPr="004762ED">
        <w:t>Nota: valores expresados en miles de USD</w:t>
      </w:r>
    </w:p>
    <w:p w:rsidR="009B6D71" w:rsidRPr="004762ED" w:rsidRDefault="00D900DE" w:rsidP="007D0EEE">
      <w:pPr>
        <w:pStyle w:val="ListParagraph"/>
        <w:numPr>
          <w:ilvl w:val="1"/>
          <w:numId w:val="1"/>
        </w:numPr>
        <w:spacing w:before="120" w:line="240" w:lineRule="auto"/>
        <w:ind w:hanging="720"/>
        <w:contextualSpacing w:val="0"/>
        <w:jc w:val="both"/>
        <w:rPr>
          <w:rFonts w:ascii="Arial" w:hAnsi="Arial" w:cs="Arial"/>
        </w:rPr>
      </w:pPr>
      <w:r w:rsidRPr="004762ED">
        <w:rPr>
          <w:rFonts w:ascii="Arial" w:hAnsi="Arial" w:cs="Arial"/>
          <w:lang w:val="es-ES"/>
        </w:rPr>
        <w:t xml:space="preserve">El desembolso directo estipulado para el Componente 2 es de </w:t>
      </w:r>
      <w:r w:rsidR="004762ED" w:rsidRPr="004762ED">
        <w:rPr>
          <w:rFonts w:ascii="Arial" w:hAnsi="Arial" w:cs="Arial"/>
          <w:lang w:val="es-ES"/>
        </w:rPr>
        <w:t>US$2 </w:t>
      </w:r>
      <w:r w:rsidRPr="004762ED">
        <w:rPr>
          <w:rFonts w:ascii="Arial" w:hAnsi="Arial" w:cs="Arial"/>
          <w:lang w:val="es-ES"/>
        </w:rPr>
        <w:t xml:space="preserve">millones. Existen también otros costos del proyecto (destinados a gastos de administración del programa, auditorías, evaluaciones, monitoreo, y contingencias) que, prorrateados, adicionan al Componente 2 US$1.888.634. Entonces, el Costo total asciende a US$3.888.634, con un ratio </w:t>
      </w:r>
      <w:r w:rsidR="00A16E2D" w:rsidRPr="004762ED">
        <w:rPr>
          <w:rFonts w:ascii="Arial" w:hAnsi="Arial" w:cs="Arial"/>
          <w:lang w:val="es-ES"/>
        </w:rPr>
        <w:t xml:space="preserve">beneficio </w:t>
      </w:r>
      <w:r w:rsidRPr="004762ED">
        <w:rPr>
          <w:rFonts w:ascii="Arial" w:hAnsi="Arial" w:cs="Arial"/>
          <w:lang w:val="es-ES"/>
        </w:rPr>
        <w:t>costo de 2,81, donde 2,81 significa que se recuperará 2,81 USD por cada dólar invertido.</w:t>
      </w:r>
    </w:p>
    <w:p w:rsidR="00FB0DEC" w:rsidRPr="004762ED" w:rsidRDefault="009B6D71" w:rsidP="00875249">
      <w:pPr>
        <w:pStyle w:val="ListParagraph"/>
        <w:numPr>
          <w:ilvl w:val="1"/>
          <w:numId w:val="1"/>
        </w:numPr>
        <w:spacing w:before="120" w:line="240" w:lineRule="auto"/>
        <w:ind w:hanging="720"/>
        <w:contextualSpacing w:val="0"/>
        <w:jc w:val="both"/>
        <w:rPr>
          <w:rFonts w:ascii="Arial" w:hAnsi="Arial" w:cs="Arial"/>
        </w:rPr>
      </w:pPr>
      <w:r w:rsidRPr="00B111B9">
        <w:rPr>
          <w:rFonts w:ascii="Arial" w:hAnsi="Arial" w:cs="Arial"/>
          <w:b/>
        </w:rPr>
        <w:t>Análisis de sensibilidad</w:t>
      </w:r>
      <w:r w:rsidRPr="00B111B9">
        <w:rPr>
          <w:rFonts w:ascii="Arial" w:hAnsi="Arial" w:cs="Arial"/>
        </w:rPr>
        <w:t xml:space="preserve">. </w:t>
      </w:r>
      <w:r w:rsidRPr="004762ED">
        <w:rPr>
          <w:rFonts w:ascii="Arial" w:hAnsi="Arial" w:cs="Arial"/>
        </w:rPr>
        <w:t xml:space="preserve">El Programa aún mantendría una razón de beneficio </w:t>
      </w:r>
      <w:r w:rsidR="00182256" w:rsidRPr="004762ED">
        <w:rPr>
          <w:rFonts w:ascii="Arial" w:hAnsi="Arial" w:cs="Arial"/>
        </w:rPr>
        <w:t xml:space="preserve">costo </w:t>
      </w:r>
      <w:r w:rsidRPr="004762ED">
        <w:rPr>
          <w:rFonts w:ascii="Arial" w:hAnsi="Arial" w:cs="Arial"/>
        </w:rPr>
        <w:t>mayor a 1 si el impacto del programa en l</w:t>
      </w:r>
      <w:r w:rsidR="00C812ED" w:rsidRPr="004762ED">
        <w:rPr>
          <w:rFonts w:ascii="Arial" w:hAnsi="Arial" w:cs="Arial"/>
        </w:rPr>
        <w:t>ug</w:t>
      </w:r>
      <w:r w:rsidR="000F36A7" w:rsidRPr="004762ED">
        <w:rPr>
          <w:rFonts w:ascii="Arial" w:hAnsi="Arial" w:cs="Arial"/>
        </w:rPr>
        <w:t xml:space="preserve">ar de ser 20% </w:t>
      </w:r>
      <w:r w:rsidR="004D62D3" w:rsidRPr="004762ED">
        <w:rPr>
          <w:rFonts w:ascii="Arial" w:hAnsi="Arial" w:cs="Arial"/>
        </w:rPr>
        <w:t xml:space="preserve">se reduce a </w:t>
      </w:r>
      <w:r w:rsidR="00104EA7" w:rsidRPr="004762ED">
        <w:rPr>
          <w:rFonts w:ascii="Arial" w:hAnsi="Arial" w:cs="Arial"/>
        </w:rPr>
        <w:t>10%</w:t>
      </w:r>
      <w:r w:rsidRPr="004762ED">
        <w:rPr>
          <w:rFonts w:ascii="Arial" w:hAnsi="Arial" w:cs="Arial"/>
        </w:rPr>
        <w:t>. A continuación se puede observar esto:</w:t>
      </w:r>
      <w:r w:rsidR="00FB0DEC" w:rsidRPr="004762ED">
        <w:rPr>
          <w:rFonts w:ascii="Arial" w:hAnsi="Arial" w:cs="Arial"/>
        </w:rPr>
        <w:br w:type="page"/>
      </w:r>
    </w:p>
    <w:tbl>
      <w:tblPr>
        <w:tblStyle w:val="TableGrid"/>
        <w:tblW w:w="0" w:type="auto"/>
        <w:tblLook w:val="04A0" w:firstRow="1" w:lastRow="0" w:firstColumn="1" w:lastColumn="0" w:noHBand="0" w:noVBand="1"/>
      </w:tblPr>
      <w:tblGrid>
        <w:gridCol w:w="1144"/>
        <w:gridCol w:w="1073"/>
        <w:gridCol w:w="1073"/>
        <w:gridCol w:w="1073"/>
        <w:gridCol w:w="1073"/>
        <w:gridCol w:w="1073"/>
        <w:gridCol w:w="786"/>
        <w:gridCol w:w="487"/>
        <w:gridCol w:w="740"/>
      </w:tblGrid>
      <w:tr w:rsidR="00D900DE" w:rsidRPr="00E2448E" w:rsidTr="00D900DE">
        <w:trPr>
          <w:trHeight w:val="330"/>
        </w:trPr>
        <w:tc>
          <w:tcPr>
            <w:tcW w:w="1144" w:type="dxa"/>
            <w:hideMark/>
          </w:tcPr>
          <w:p w:rsidR="00D900DE" w:rsidRPr="00E2448E" w:rsidRDefault="00D900DE" w:rsidP="00104EA7">
            <w:r w:rsidRPr="00E2448E">
              <w:lastRenderedPageBreak/>
              <w:t> </w:t>
            </w:r>
          </w:p>
        </w:tc>
        <w:tc>
          <w:tcPr>
            <w:tcW w:w="1073" w:type="dxa"/>
            <w:hideMark/>
          </w:tcPr>
          <w:p w:rsidR="00D900DE" w:rsidRPr="00E2448E" w:rsidRDefault="00D900DE" w:rsidP="00104EA7">
            <w:r w:rsidRPr="00E2448E">
              <w:t>2017</w:t>
            </w:r>
          </w:p>
        </w:tc>
        <w:tc>
          <w:tcPr>
            <w:tcW w:w="1073" w:type="dxa"/>
            <w:hideMark/>
          </w:tcPr>
          <w:p w:rsidR="00D900DE" w:rsidRPr="00E2448E" w:rsidRDefault="00D900DE" w:rsidP="00104EA7">
            <w:r w:rsidRPr="00E2448E">
              <w:t>2018</w:t>
            </w:r>
          </w:p>
        </w:tc>
        <w:tc>
          <w:tcPr>
            <w:tcW w:w="1073" w:type="dxa"/>
            <w:hideMark/>
          </w:tcPr>
          <w:p w:rsidR="00D900DE" w:rsidRPr="00E2448E" w:rsidRDefault="00D900DE" w:rsidP="00104EA7">
            <w:r w:rsidRPr="00E2448E">
              <w:t>2019</w:t>
            </w:r>
          </w:p>
        </w:tc>
        <w:tc>
          <w:tcPr>
            <w:tcW w:w="1073" w:type="dxa"/>
            <w:hideMark/>
          </w:tcPr>
          <w:p w:rsidR="00D900DE" w:rsidRPr="00E2448E" w:rsidRDefault="00D900DE" w:rsidP="00104EA7">
            <w:r w:rsidRPr="00E2448E">
              <w:t>2020</w:t>
            </w:r>
          </w:p>
        </w:tc>
        <w:tc>
          <w:tcPr>
            <w:tcW w:w="1073" w:type="dxa"/>
            <w:hideMark/>
          </w:tcPr>
          <w:p w:rsidR="00D900DE" w:rsidRPr="00E2448E" w:rsidRDefault="00D900DE" w:rsidP="00104EA7">
            <w:r w:rsidRPr="00E2448E">
              <w:t>2021</w:t>
            </w:r>
          </w:p>
        </w:tc>
        <w:tc>
          <w:tcPr>
            <w:tcW w:w="786" w:type="dxa"/>
            <w:hideMark/>
          </w:tcPr>
          <w:p w:rsidR="00D900DE" w:rsidRPr="00E2448E" w:rsidRDefault="00D900DE" w:rsidP="00104EA7">
            <w:r w:rsidRPr="00E2448E">
              <w:t>2022</w:t>
            </w:r>
          </w:p>
        </w:tc>
        <w:tc>
          <w:tcPr>
            <w:tcW w:w="487" w:type="dxa"/>
            <w:hideMark/>
          </w:tcPr>
          <w:p w:rsidR="00D900DE" w:rsidRPr="00E2448E" w:rsidRDefault="00D900DE" w:rsidP="00104EA7">
            <w:r w:rsidRPr="00E2448E">
              <w:t>…</w:t>
            </w:r>
          </w:p>
        </w:tc>
        <w:tc>
          <w:tcPr>
            <w:tcW w:w="740" w:type="dxa"/>
            <w:hideMark/>
          </w:tcPr>
          <w:p w:rsidR="00D900DE" w:rsidRPr="00E2448E" w:rsidRDefault="00D900DE" w:rsidP="00104EA7">
            <w:r w:rsidRPr="00E2448E">
              <w:t>2032</w:t>
            </w:r>
          </w:p>
        </w:tc>
      </w:tr>
      <w:tr w:rsidR="00D900DE" w:rsidRPr="00E2448E" w:rsidTr="00D900DE">
        <w:trPr>
          <w:trHeight w:val="330"/>
        </w:trPr>
        <w:tc>
          <w:tcPr>
            <w:tcW w:w="1144" w:type="dxa"/>
            <w:hideMark/>
          </w:tcPr>
          <w:p w:rsidR="00D900DE" w:rsidRPr="00E2448E" w:rsidRDefault="00D900DE" w:rsidP="00104EA7">
            <w:r w:rsidRPr="00E2448E">
              <w:t>Beneficios</w:t>
            </w:r>
          </w:p>
        </w:tc>
        <w:tc>
          <w:tcPr>
            <w:tcW w:w="1073" w:type="dxa"/>
            <w:hideMark/>
          </w:tcPr>
          <w:p w:rsidR="00D900DE" w:rsidRPr="00E2448E" w:rsidRDefault="00D900DE" w:rsidP="00104EA7">
            <w:r w:rsidRPr="00E2448E">
              <w:t>1208</w:t>
            </w:r>
          </w:p>
        </w:tc>
        <w:tc>
          <w:tcPr>
            <w:tcW w:w="1073" w:type="dxa"/>
            <w:hideMark/>
          </w:tcPr>
          <w:p w:rsidR="00D900DE" w:rsidRPr="00E2448E" w:rsidRDefault="00D900DE" w:rsidP="00104EA7">
            <w:r w:rsidRPr="00E2448E">
              <w:t>1208</w:t>
            </w:r>
          </w:p>
        </w:tc>
        <w:tc>
          <w:tcPr>
            <w:tcW w:w="1073" w:type="dxa"/>
            <w:hideMark/>
          </w:tcPr>
          <w:p w:rsidR="00D900DE" w:rsidRPr="00E2448E" w:rsidRDefault="00D900DE" w:rsidP="00104EA7">
            <w:r w:rsidRPr="00E2448E">
              <w:t>1208</w:t>
            </w:r>
          </w:p>
        </w:tc>
        <w:tc>
          <w:tcPr>
            <w:tcW w:w="1073" w:type="dxa"/>
            <w:hideMark/>
          </w:tcPr>
          <w:p w:rsidR="00D900DE" w:rsidRPr="00E2448E" w:rsidRDefault="00D900DE" w:rsidP="00104EA7">
            <w:r w:rsidRPr="00E2448E">
              <w:t>1208</w:t>
            </w:r>
          </w:p>
        </w:tc>
        <w:tc>
          <w:tcPr>
            <w:tcW w:w="1073" w:type="dxa"/>
            <w:hideMark/>
          </w:tcPr>
          <w:p w:rsidR="00D900DE" w:rsidRPr="00E2448E" w:rsidRDefault="00D900DE" w:rsidP="00104EA7">
            <w:r w:rsidRPr="00E2448E">
              <w:t>1208</w:t>
            </w:r>
          </w:p>
        </w:tc>
        <w:tc>
          <w:tcPr>
            <w:tcW w:w="786" w:type="dxa"/>
            <w:hideMark/>
          </w:tcPr>
          <w:p w:rsidR="00D900DE" w:rsidRPr="00E2448E" w:rsidRDefault="00D900DE" w:rsidP="00104EA7">
            <w:r w:rsidRPr="00E2448E">
              <w:t>604</w:t>
            </w:r>
          </w:p>
        </w:tc>
        <w:tc>
          <w:tcPr>
            <w:tcW w:w="487" w:type="dxa"/>
            <w:hideMark/>
          </w:tcPr>
          <w:p w:rsidR="00D900DE" w:rsidRPr="00E2448E" w:rsidRDefault="00D900DE" w:rsidP="00104EA7">
            <w:r>
              <w:t>…</w:t>
            </w:r>
          </w:p>
        </w:tc>
        <w:tc>
          <w:tcPr>
            <w:tcW w:w="740" w:type="dxa"/>
            <w:hideMark/>
          </w:tcPr>
          <w:p w:rsidR="00D900DE" w:rsidRPr="00E2448E" w:rsidRDefault="00D900DE" w:rsidP="00104EA7">
            <w:r w:rsidRPr="00E2448E">
              <w:t>604</w:t>
            </w:r>
          </w:p>
        </w:tc>
      </w:tr>
      <w:tr w:rsidR="00D900DE" w:rsidRPr="00E2448E" w:rsidTr="00D900DE">
        <w:trPr>
          <w:trHeight w:val="330"/>
        </w:trPr>
        <w:tc>
          <w:tcPr>
            <w:tcW w:w="1144" w:type="dxa"/>
            <w:hideMark/>
          </w:tcPr>
          <w:p w:rsidR="00D900DE" w:rsidRPr="00E2448E" w:rsidRDefault="00D900DE" w:rsidP="00104EA7">
            <w:r w:rsidRPr="00E2448E">
              <w:t>Costos</w:t>
            </w:r>
          </w:p>
        </w:tc>
        <w:tc>
          <w:tcPr>
            <w:tcW w:w="1073" w:type="dxa"/>
            <w:hideMark/>
          </w:tcPr>
          <w:p w:rsidR="00D900DE" w:rsidRPr="00E2448E" w:rsidRDefault="00D900DE" w:rsidP="00104EA7">
            <w:r w:rsidRPr="00E2448E">
              <w:t>777,7268</w:t>
            </w:r>
          </w:p>
        </w:tc>
        <w:tc>
          <w:tcPr>
            <w:tcW w:w="1073" w:type="dxa"/>
            <w:hideMark/>
          </w:tcPr>
          <w:p w:rsidR="00D900DE" w:rsidRPr="00E2448E" w:rsidRDefault="00D900DE" w:rsidP="00104EA7">
            <w:r w:rsidRPr="00E2448E">
              <w:t>777,7268</w:t>
            </w:r>
          </w:p>
        </w:tc>
        <w:tc>
          <w:tcPr>
            <w:tcW w:w="1073" w:type="dxa"/>
            <w:hideMark/>
          </w:tcPr>
          <w:p w:rsidR="00D900DE" w:rsidRPr="00E2448E" w:rsidRDefault="00D900DE" w:rsidP="00104EA7">
            <w:r w:rsidRPr="00E2448E">
              <w:t>777,7268</w:t>
            </w:r>
          </w:p>
        </w:tc>
        <w:tc>
          <w:tcPr>
            <w:tcW w:w="1073" w:type="dxa"/>
            <w:hideMark/>
          </w:tcPr>
          <w:p w:rsidR="00D900DE" w:rsidRPr="00E2448E" w:rsidRDefault="00D900DE" w:rsidP="00104EA7">
            <w:r w:rsidRPr="00E2448E">
              <w:t>777,7268</w:t>
            </w:r>
          </w:p>
        </w:tc>
        <w:tc>
          <w:tcPr>
            <w:tcW w:w="1073" w:type="dxa"/>
            <w:hideMark/>
          </w:tcPr>
          <w:p w:rsidR="00D900DE" w:rsidRPr="00E2448E" w:rsidRDefault="00D900DE" w:rsidP="00104EA7">
            <w:r w:rsidRPr="00E2448E">
              <w:t>777,7268</w:t>
            </w:r>
          </w:p>
        </w:tc>
        <w:tc>
          <w:tcPr>
            <w:tcW w:w="786" w:type="dxa"/>
            <w:hideMark/>
          </w:tcPr>
          <w:p w:rsidR="00D900DE" w:rsidRPr="00E2448E" w:rsidRDefault="00D900DE" w:rsidP="00104EA7">
            <w:r w:rsidRPr="00E2448E">
              <w:t> </w:t>
            </w:r>
          </w:p>
        </w:tc>
        <w:tc>
          <w:tcPr>
            <w:tcW w:w="487" w:type="dxa"/>
            <w:hideMark/>
          </w:tcPr>
          <w:p w:rsidR="00D900DE" w:rsidRPr="00E2448E" w:rsidRDefault="00D900DE" w:rsidP="00104EA7">
            <w:r w:rsidRPr="00E2448E">
              <w:t> </w:t>
            </w:r>
          </w:p>
        </w:tc>
        <w:tc>
          <w:tcPr>
            <w:tcW w:w="740" w:type="dxa"/>
            <w:hideMark/>
          </w:tcPr>
          <w:p w:rsidR="00D900DE" w:rsidRPr="00E2448E" w:rsidRDefault="00D900DE" w:rsidP="00104EA7">
            <w:r w:rsidRPr="00E2448E">
              <w:t> </w:t>
            </w:r>
          </w:p>
        </w:tc>
      </w:tr>
      <w:tr w:rsidR="00D900DE" w:rsidRPr="00E2448E" w:rsidTr="00D900DE">
        <w:trPr>
          <w:trHeight w:val="645"/>
        </w:trPr>
        <w:tc>
          <w:tcPr>
            <w:tcW w:w="1144" w:type="dxa"/>
            <w:hideMark/>
          </w:tcPr>
          <w:p w:rsidR="00D900DE" w:rsidRPr="00E2448E" w:rsidRDefault="00D900DE" w:rsidP="00104EA7">
            <w:r w:rsidRPr="00E2448E">
              <w:t>Beneficios netos</w:t>
            </w:r>
          </w:p>
        </w:tc>
        <w:tc>
          <w:tcPr>
            <w:tcW w:w="1073" w:type="dxa"/>
            <w:hideMark/>
          </w:tcPr>
          <w:p w:rsidR="00D900DE" w:rsidRPr="00E2448E" w:rsidRDefault="00D900DE" w:rsidP="00104EA7">
            <w:r w:rsidRPr="00E2448E">
              <w:t>430,2732</w:t>
            </w:r>
          </w:p>
        </w:tc>
        <w:tc>
          <w:tcPr>
            <w:tcW w:w="1073" w:type="dxa"/>
            <w:hideMark/>
          </w:tcPr>
          <w:p w:rsidR="00D900DE" w:rsidRPr="00E2448E" w:rsidRDefault="00D900DE" w:rsidP="00104EA7">
            <w:r w:rsidRPr="00E2448E">
              <w:t>430,2732</w:t>
            </w:r>
          </w:p>
        </w:tc>
        <w:tc>
          <w:tcPr>
            <w:tcW w:w="1073" w:type="dxa"/>
            <w:hideMark/>
          </w:tcPr>
          <w:p w:rsidR="00D900DE" w:rsidRPr="00E2448E" w:rsidRDefault="00D900DE" w:rsidP="00104EA7">
            <w:r w:rsidRPr="00E2448E">
              <w:t>430,2732</w:t>
            </w:r>
          </w:p>
        </w:tc>
        <w:tc>
          <w:tcPr>
            <w:tcW w:w="1073" w:type="dxa"/>
            <w:hideMark/>
          </w:tcPr>
          <w:p w:rsidR="00D900DE" w:rsidRPr="00E2448E" w:rsidRDefault="00D900DE" w:rsidP="00104EA7">
            <w:r w:rsidRPr="00E2448E">
              <w:t>430,2732</w:t>
            </w:r>
          </w:p>
        </w:tc>
        <w:tc>
          <w:tcPr>
            <w:tcW w:w="1073" w:type="dxa"/>
            <w:hideMark/>
          </w:tcPr>
          <w:p w:rsidR="00D900DE" w:rsidRPr="00E2448E" w:rsidRDefault="00D900DE" w:rsidP="00104EA7">
            <w:r w:rsidRPr="00E2448E">
              <w:t>430,2732</w:t>
            </w:r>
          </w:p>
        </w:tc>
        <w:tc>
          <w:tcPr>
            <w:tcW w:w="786" w:type="dxa"/>
            <w:hideMark/>
          </w:tcPr>
          <w:p w:rsidR="00D900DE" w:rsidRPr="00E2448E" w:rsidRDefault="00D900DE" w:rsidP="00104EA7">
            <w:r w:rsidRPr="00E2448E">
              <w:t>604</w:t>
            </w:r>
          </w:p>
        </w:tc>
        <w:tc>
          <w:tcPr>
            <w:tcW w:w="487" w:type="dxa"/>
            <w:hideMark/>
          </w:tcPr>
          <w:p w:rsidR="00D900DE" w:rsidRPr="00E2448E" w:rsidRDefault="00D900DE" w:rsidP="00104EA7">
            <w:r>
              <w:t>…</w:t>
            </w:r>
          </w:p>
        </w:tc>
        <w:tc>
          <w:tcPr>
            <w:tcW w:w="740" w:type="dxa"/>
            <w:hideMark/>
          </w:tcPr>
          <w:p w:rsidR="00D900DE" w:rsidRPr="00E2448E" w:rsidRDefault="00D900DE" w:rsidP="00104EA7">
            <w:r w:rsidRPr="00E2448E">
              <w:t>604</w:t>
            </w:r>
          </w:p>
        </w:tc>
      </w:tr>
      <w:tr w:rsidR="00D900DE" w:rsidRPr="00E2448E" w:rsidTr="00D900DE">
        <w:trPr>
          <w:trHeight w:val="960"/>
        </w:trPr>
        <w:tc>
          <w:tcPr>
            <w:tcW w:w="1144" w:type="dxa"/>
            <w:hideMark/>
          </w:tcPr>
          <w:p w:rsidR="00D900DE" w:rsidRPr="00E2448E" w:rsidRDefault="00D900DE" w:rsidP="00104EA7">
            <w:r w:rsidRPr="00E2448E">
              <w:t xml:space="preserve">Valor Actual Neto </w:t>
            </w:r>
          </w:p>
        </w:tc>
        <w:tc>
          <w:tcPr>
            <w:tcW w:w="1073" w:type="dxa"/>
            <w:hideMark/>
          </w:tcPr>
          <w:p w:rsidR="00D900DE" w:rsidRPr="00E2448E" w:rsidRDefault="00D900DE" w:rsidP="00104EA7">
            <w:r w:rsidRPr="00E2448E">
              <w:t>430,2732</w:t>
            </w:r>
          </w:p>
        </w:tc>
        <w:tc>
          <w:tcPr>
            <w:tcW w:w="1073" w:type="dxa"/>
            <w:hideMark/>
          </w:tcPr>
          <w:p w:rsidR="00D900DE" w:rsidRPr="00E2448E" w:rsidRDefault="00D900DE" w:rsidP="00104EA7">
            <w:r w:rsidRPr="00E2448E">
              <w:t>384,1725</w:t>
            </w:r>
          </w:p>
        </w:tc>
        <w:tc>
          <w:tcPr>
            <w:tcW w:w="1073" w:type="dxa"/>
            <w:hideMark/>
          </w:tcPr>
          <w:p w:rsidR="00D900DE" w:rsidRPr="00E2448E" w:rsidRDefault="00D900DE" w:rsidP="00104EA7">
            <w:r w:rsidRPr="00E2448E">
              <w:t>343,0112</w:t>
            </w:r>
          </w:p>
        </w:tc>
        <w:tc>
          <w:tcPr>
            <w:tcW w:w="1073" w:type="dxa"/>
            <w:hideMark/>
          </w:tcPr>
          <w:p w:rsidR="00D900DE" w:rsidRPr="00E2448E" w:rsidRDefault="00D900DE" w:rsidP="00104EA7">
            <w:r w:rsidRPr="00E2448E">
              <w:t>306,2599</w:t>
            </w:r>
          </w:p>
        </w:tc>
        <w:tc>
          <w:tcPr>
            <w:tcW w:w="1073" w:type="dxa"/>
            <w:hideMark/>
          </w:tcPr>
          <w:p w:rsidR="00D900DE" w:rsidRPr="00E2448E" w:rsidRDefault="00D900DE" w:rsidP="00104EA7">
            <w:r w:rsidRPr="00E2448E">
              <w:t>273,4464</w:t>
            </w:r>
          </w:p>
        </w:tc>
        <w:tc>
          <w:tcPr>
            <w:tcW w:w="786" w:type="dxa"/>
            <w:hideMark/>
          </w:tcPr>
          <w:p w:rsidR="00D900DE" w:rsidRPr="00E2448E" w:rsidRDefault="00D900DE" w:rsidP="00104EA7">
            <w:r w:rsidRPr="00E2448E">
              <w:t>342,7</w:t>
            </w:r>
          </w:p>
        </w:tc>
        <w:tc>
          <w:tcPr>
            <w:tcW w:w="487" w:type="dxa"/>
            <w:hideMark/>
          </w:tcPr>
          <w:p w:rsidR="00D900DE" w:rsidRPr="00E2448E" w:rsidRDefault="00D900DE" w:rsidP="00104EA7">
            <w:r>
              <w:t>…</w:t>
            </w:r>
          </w:p>
        </w:tc>
        <w:tc>
          <w:tcPr>
            <w:tcW w:w="740" w:type="dxa"/>
            <w:hideMark/>
          </w:tcPr>
          <w:p w:rsidR="00D900DE" w:rsidRPr="00E2448E" w:rsidRDefault="00D900DE" w:rsidP="00104EA7">
            <w:r>
              <w:t>124</w:t>
            </w:r>
          </w:p>
        </w:tc>
      </w:tr>
      <w:tr w:rsidR="00D900DE" w:rsidRPr="00E2448E" w:rsidTr="00D900DE">
        <w:trPr>
          <w:trHeight w:val="960"/>
        </w:trPr>
        <w:tc>
          <w:tcPr>
            <w:tcW w:w="1144" w:type="dxa"/>
            <w:hideMark/>
          </w:tcPr>
          <w:p w:rsidR="00D900DE" w:rsidRPr="00E2448E" w:rsidRDefault="00D900DE" w:rsidP="00104EA7">
            <w:r w:rsidRPr="00E2448E">
              <w:t>Relación Beneficio</w:t>
            </w:r>
            <w:r w:rsidR="00521142">
              <w:t xml:space="preserve"> Costo</w:t>
            </w:r>
          </w:p>
        </w:tc>
        <w:tc>
          <w:tcPr>
            <w:tcW w:w="7378" w:type="dxa"/>
            <w:gridSpan w:val="8"/>
            <w:hideMark/>
          </w:tcPr>
          <w:p w:rsidR="00D900DE" w:rsidRPr="00E2448E" w:rsidRDefault="00D900DE" w:rsidP="00104EA7">
            <w:r>
              <w:t>1,004</w:t>
            </w:r>
          </w:p>
        </w:tc>
      </w:tr>
    </w:tbl>
    <w:p w:rsidR="00D900DE" w:rsidRPr="00C9718A" w:rsidRDefault="00D900DE" w:rsidP="00D900DE">
      <w:pPr>
        <w:jc w:val="both"/>
        <w:rPr>
          <w:rFonts w:ascii="Arial" w:hAnsi="Arial" w:cs="Arial"/>
          <w:sz w:val="20"/>
        </w:rPr>
      </w:pPr>
      <w:r w:rsidRPr="00C9718A">
        <w:rPr>
          <w:rFonts w:ascii="Arial" w:hAnsi="Arial" w:cs="Arial"/>
          <w:sz w:val="20"/>
        </w:rPr>
        <w:t>Nota: valores expresados en miles de USD</w:t>
      </w:r>
    </w:p>
    <w:p w:rsidR="00104EA7" w:rsidRPr="001B2D8C" w:rsidRDefault="00104EA7" w:rsidP="00C9718A">
      <w:pPr>
        <w:pStyle w:val="ListParagraph"/>
        <w:numPr>
          <w:ilvl w:val="1"/>
          <w:numId w:val="1"/>
        </w:numPr>
        <w:spacing w:before="120" w:line="240" w:lineRule="auto"/>
        <w:ind w:hanging="720"/>
        <w:contextualSpacing w:val="0"/>
        <w:jc w:val="both"/>
        <w:rPr>
          <w:rFonts w:ascii="Arial" w:hAnsi="Arial" w:cs="Arial"/>
        </w:rPr>
      </w:pPr>
      <w:r w:rsidRPr="001B2D8C">
        <w:rPr>
          <w:rFonts w:ascii="Arial" w:hAnsi="Arial" w:cs="Arial"/>
        </w:rPr>
        <w:t xml:space="preserve">Como se observa en la tabla anterior, </w:t>
      </w:r>
      <w:r w:rsidR="003C2DCD" w:rsidRPr="001B2D8C">
        <w:rPr>
          <w:rFonts w:ascii="Arial" w:hAnsi="Arial" w:cs="Arial"/>
        </w:rPr>
        <w:t xml:space="preserve">la relación de </w:t>
      </w:r>
      <w:r w:rsidRPr="001B2D8C">
        <w:rPr>
          <w:rFonts w:ascii="Arial" w:hAnsi="Arial" w:cs="Arial"/>
        </w:rPr>
        <w:t xml:space="preserve">beneficio </w:t>
      </w:r>
      <w:r w:rsidR="003C2DCD" w:rsidRPr="001B2D8C">
        <w:rPr>
          <w:rFonts w:ascii="Arial" w:hAnsi="Arial" w:cs="Arial"/>
        </w:rPr>
        <w:t xml:space="preserve">costo </w:t>
      </w:r>
      <w:r w:rsidRPr="001B2D8C">
        <w:rPr>
          <w:rFonts w:ascii="Arial" w:hAnsi="Arial" w:cs="Arial"/>
        </w:rPr>
        <w:t>dejaría de ser mayor que 1 si el efecto del p</w:t>
      </w:r>
      <w:r w:rsidR="004A25E5" w:rsidRPr="001B2D8C">
        <w:rPr>
          <w:rFonts w:ascii="Arial" w:hAnsi="Arial" w:cs="Arial"/>
        </w:rPr>
        <w:t>rograma disminuyera hasta ser menor a</w:t>
      </w:r>
      <w:r w:rsidRPr="001B2D8C">
        <w:rPr>
          <w:rFonts w:ascii="Arial" w:hAnsi="Arial" w:cs="Arial"/>
        </w:rPr>
        <w:t>l 10%.</w:t>
      </w:r>
    </w:p>
    <w:p w:rsidR="00104EA7" w:rsidRPr="001B2D8C" w:rsidRDefault="004A25E5" w:rsidP="00C9718A">
      <w:pPr>
        <w:pStyle w:val="ListParagraph"/>
        <w:numPr>
          <w:ilvl w:val="1"/>
          <w:numId w:val="1"/>
        </w:numPr>
        <w:spacing w:before="120" w:line="240" w:lineRule="auto"/>
        <w:ind w:hanging="720"/>
        <w:contextualSpacing w:val="0"/>
        <w:jc w:val="both"/>
        <w:rPr>
          <w:rFonts w:ascii="Arial" w:hAnsi="Arial" w:cs="Arial"/>
        </w:rPr>
      </w:pPr>
      <w:r w:rsidRPr="001B2D8C">
        <w:rPr>
          <w:rFonts w:ascii="Arial" w:hAnsi="Arial" w:cs="Arial"/>
        </w:rPr>
        <w:t xml:space="preserve">Si consideramos un escenario optimista, donde el efecto esperado acumulado para el período 2017-2021 es 30%, y 30% también para todo el período 2022-2032, obtendríamos una </w:t>
      </w:r>
      <w:r w:rsidR="00182256" w:rsidRPr="001B2D8C">
        <w:rPr>
          <w:rFonts w:ascii="Arial" w:hAnsi="Arial" w:cs="Arial"/>
        </w:rPr>
        <w:t xml:space="preserve">razón </w:t>
      </w:r>
      <w:r w:rsidRPr="001B2D8C">
        <w:rPr>
          <w:rFonts w:ascii="Arial" w:hAnsi="Arial" w:cs="Arial"/>
        </w:rPr>
        <w:t>beneficio</w:t>
      </w:r>
      <w:r w:rsidR="00182256" w:rsidRPr="001B2D8C">
        <w:rPr>
          <w:rFonts w:ascii="Arial" w:hAnsi="Arial" w:cs="Arial"/>
        </w:rPr>
        <w:t xml:space="preserve"> costo</w:t>
      </w:r>
      <w:r w:rsidRPr="001B2D8C">
        <w:rPr>
          <w:rFonts w:ascii="Arial" w:hAnsi="Arial" w:cs="Arial"/>
        </w:rPr>
        <w:t xml:space="preserve"> de </w:t>
      </w:r>
      <w:r w:rsidR="003C2DCD" w:rsidRPr="001B2D8C">
        <w:rPr>
          <w:rFonts w:ascii="Arial" w:hAnsi="Arial" w:cs="Arial"/>
        </w:rPr>
        <w:t>4,63, como se observa a continuación.</w:t>
      </w:r>
    </w:p>
    <w:tbl>
      <w:tblPr>
        <w:tblStyle w:val="TableGrid"/>
        <w:tblW w:w="10092" w:type="dxa"/>
        <w:tblInd w:w="-431" w:type="dxa"/>
        <w:tblLook w:val="04A0" w:firstRow="1" w:lastRow="0" w:firstColumn="1" w:lastColumn="0" w:noHBand="0" w:noVBand="1"/>
      </w:tblPr>
      <w:tblGrid>
        <w:gridCol w:w="1134"/>
        <w:gridCol w:w="1163"/>
        <w:gridCol w:w="1275"/>
        <w:gridCol w:w="1275"/>
        <w:gridCol w:w="1275"/>
        <w:gridCol w:w="1275"/>
        <w:gridCol w:w="1275"/>
        <w:gridCol w:w="368"/>
        <w:gridCol w:w="1052"/>
      </w:tblGrid>
      <w:tr w:rsidR="00716DCE" w:rsidRPr="00BD492D" w:rsidTr="00716DCE">
        <w:trPr>
          <w:trHeight w:val="330"/>
        </w:trPr>
        <w:tc>
          <w:tcPr>
            <w:tcW w:w="1134" w:type="dxa"/>
            <w:hideMark/>
          </w:tcPr>
          <w:p w:rsidR="00716DCE" w:rsidRPr="00BD492D" w:rsidRDefault="00716DCE" w:rsidP="00287183">
            <w:r w:rsidRPr="00BD492D">
              <w:t> </w:t>
            </w:r>
          </w:p>
        </w:tc>
        <w:tc>
          <w:tcPr>
            <w:tcW w:w="1163" w:type="dxa"/>
            <w:hideMark/>
          </w:tcPr>
          <w:p w:rsidR="00716DCE" w:rsidRPr="00BD492D" w:rsidRDefault="00716DCE" w:rsidP="00287183">
            <w:r w:rsidRPr="00BD492D">
              <w:t>2017</w:t>
            </w:r>
          </w:p>
        </w:tc>
        <w:tc>
          <w:tcPr>
            <w:tcW w:w="1275" w:type="dxa"/>
            <w:hideMark/>
          </w:tcPr>
          <w:p w:rsidR="00716DCE" w:rsidRPr="00BD492D" w:rsidRDefault="00716DCE" w:rsidP="00287183">
            <w:r w:rsidRPr="00BD492D">
              <w:t>2018</w:t>
            </w:r>
          </w:p>
        </w:tc>
        <w:tc>
          <w:tcPr>
            <w:tcW w:w="1275" w:type="dxa"/>
            <w:hideMark/>
          </w:tcPr>
          <w:p w:rsidR="00716DCE" w:rsidRPr="00BD492D" w:rsidRDefault="00716DCE" w:rsidP="00287183">
            <w:r w:rsidRPr="00BD492D">
              <w:t>2019</w:t>
            </w:r>
          </w:p>
        </w:tc>
        <w:tc>
          <w:tcPr>
            <w:tcW w:w="1275" w:type="dxa"/>
            <w:hideMark/>
          </w:tcPr>
          <w:p w:rsidR="00716DCE" w:rsidRPr="00BD492D" w:rsidRDefault="00716DCE" w:rsidP="00287183">
            <w:r w:rsidRPr="00BD492D">
              <w:t>2020</w:t>
            </w:r>
          </w:p>
        </w:tc>
        <w:tc>
          <w:tcPr>
            <w:tcW w:w="1275" w:type="dxa"/>
            <w:hideMark/>
          </w:tcPr>
          <w:p w:rsidR="00716DCE" w:rsidRPr="00BD492D" w:rsidRDefault="00716DCE" w:rsidP="00287183">
            <w:r w:rsidRPr="00BD492D">
              <w:t>2021</w:t>
            </w:r>
          </w:p>
        </w:tc>
        <w:tc>
          <w:tcPr>
            <w:tcW w:w="1275" w:type="dxa"/>
            <w:hideMark/>
          </w:tcPr>
          <w:p w:rsidR="00716DCE" w:rsidRPr="00BD492D" w:rsidRDefault="00716DCE" w:rsidP="00287183">
            <w:r w:rsidRPr="00BD492D">
              <w:t>2022</w:t>
            </w:r>
          </w:p>
        </w:tc>
        <w:tc>
          <w:tcPr>
            <w:tcW w:w="368" w:type="dxa"/>
            <w:hideMark/>
          </w:tcPr>
          <w:p w:rsidR="00716DCE" w:rsidRPr="00BD492D" w:rsidRDefault="00716DCE" w:rsidP="00287183">
            <w:r w:rsidRPr="00BD492D">
              <w:t>…</w:t>
            </w:r>
          </w:p>
        </w:tc>
        <w:tc>
          <w:tcPr>
            <w:tcW w:w="1052" w:type="dxa"/>
            <w:hideMark/>
          </w:tcPr>
          <w:p w:rsidR="00716DCE" w:rsidRPr="00BD492D" w:rsidRDefault="00716DCE" w:rsidP="00287183">
            <w:r w:rsidRPr="00BD492D">
              <w:t>2032</w:t>
            </w:r>
          </w:p>
        </w:tc>
      </w:tr>
      <w:tr w:rsidR="00716DCE" w:rsidRPr="00BD492D" w:rsidTr="00716DCE">
        <w:trPr>
          <w:trHeight w:val="330"/>
        </w:trPr>
        <w:tc>
          <w:tcPr>
            <w:tcW w:w="1134" w:type="dxa"/>
            <w:hideMark/>
          </w:tcPr>
          <w:p w:rsidR="00716DCE" w:rsidRPr="00BD492D" w:rsidRDefault="00716DCE" w:rsidP="00287183">
            <w:r w:rsidRPr="00BD492D">
              <w:t>Beneficios</w:t>
            </w:r>
          </w:p>
        </w:tc>
        <w:tc>
          <w:tcPr>
            <w:tcW w:w="1163" w:type="dxa"/>
            <w:hideMark/>
          </w:tcPr>
          <w:p w:rsidR="00716DCE" w:rsidRPr="00BD492D" w:rsidRDefault="00716DCE" w:rsidP="00287183">
            <w:r w:rsidRPr="00BD492D">
              <w:t>3624</w:t>
            </w:r>
          </w:p>
        </w:tc>
        <w:tc>
          <w:tcPr>
            <w:tcW w:w="1275" w:type="dxa"/>
            <w:hideMark/>
          </w:tcPr>
          <w:p w:rsidR="00716DCE" w:rsidRPr="00BD492D" w:rsidRDefault="00716DCE" w:rsidP="00287183">
            <w:r w:rsidRPr="00BD492D">
              <w:t>3624</w:t>
            </w:r>
          </w:p>
        </w:tc>
        <w:tc>
          <w:tcPr>
            <w:tcW w:w="1275" w:type="dxa"/>
            <w:hideMark/>
          </w:tcPr>
          <w:p w:rsidR="00716DCE" w:rsidRPr="00BD492D" w:rsidRDefault="00716DCE" w:rsidP="00287183">
            <w:r w:rsidRPr="00BD492D">
              <w:t>3624</w:t>
            </w:r>
          </w:p>
        </w:tc>
        <w:tc>
          <w:tcPr>
            <w:tcW w:w="1275" w:type="dxa"/>
            <w:hideMark/>
          </w:tcPr>
          <w:p w:rsidR="00716DCE" w:rsidRPr="00BD492D" w:rsidRDefault="00716DCE" w:rsidP="00287183">
            <w:r w:rsidRPr="00BD492D">
              <w:t>3624</w:t>
            </w:r>
          </w:p>
        </w:tc>
        <w:tc>
          <w:tcPr>
            <w:tcW w:w="1275" w:type="dxa"/>
            <w:hideMark/>
          </w:tcPr>
          <w:p w:rsidR="00716DCE" w:rsidRPr="00BD492D" w:rsidRDefault="00716DCE" w:rsidP="00287183">
            <w:r w:rsidRPr="00BD492D">
              <w:t>3624</w:t>
            </w:r>
          </w:p>
        </w:tc>
        <w:tc>
          <w:tcPr>
            <w:tcW w:w="1275" w:type="dxa"/>
            <w:hideMark/>
          </w:tcPr>
          <w:p w:rsidR="00716DCE" w:rsidRPr="00BD492D" w:rsidRDefault="00716DCE" w:rsidP="00287183">
            <w:r w:rsidRPr="00BD492D">
              <w:t>1812</w:t>
            </w:r>
          </w:p>
        </w:tc>
        <w:tc>
          <w:tcPr>
            <w:tcW w:w="368" w:type="dxa"/>
            <w:hideMark/>
          </w:tcPr>
          <w:p w:rsidR="00716DCE" w:rsidRPr="00BD492D" w:rsidRDefault="00716DCE" w:rsidP="00287183">
            <w:r>
              <w:t>…</w:t>
            </w:r>
          </w:p>
        </w:tc>
        <w:tc>
          <w:tcPr>
            <w:tcW w:w="1052" w:type="dxa"/>
            <w:hideMark/>
          </w:tcPr>
          <w:p w:rsidR="00716DCE" w:rsidRPr="00BD492D" w:rsidRDefault="00716DCE" w:rsidP="00287183">
            <w:r w:rsidRPr="00BD492D">
              <w:t>1812</w:t>
            </w:r>
          </w:p>
        </w:tc>
      </w:tr>
      <w:tr w:rsidR="00716DCE" w:rsidRPr="00BD492D" w:rsidTr="00716DCE">
        <w:trPr>
          <w:trHeight w:val="330"/>
        </w:trPr>
        <w:tc>
          <w:tcPr>
            <w:tcW w:w="1134" w:type="dxa"/>
            <w:hideMark/>
          </w:tcPr>
          <w:p w:rsidR="00716DCE" w:rsidRPr="00BD492D" w:rsidRDefault="00716DCE" w:rsidP="00287183">
            <w:r w:rsidRPr="00BD492D">
              <w:t>Costos</w:t>
            </w:r>
          </w:p>
        </w:tc>
        <w:tc>
          <w:tcPr>
            <w:tcW w:w="1163" w:type="dxa"/>
            <w:hideMark/>
          </w:tcPr>
          <w:p w:rsidR="00716DCE" w:rsidRPr="00BD492D" w:rsidRDefault="00716DCE" w:rsidP="00287183">
            <w:r w:rsidRPr="00BD492D">
              <w:t>777,7268</w:t>
            </w:r>
          </w:p>
        </w:tc>
        <w:tc>
          <w:tcPr>
            <w:tcW w:w="1275" w:type="dxa"/>
            <w:hideMark/>
          </w:tcPr>
          <w:p w:rsidR="00716DCE" w:rsidRPr="00BD492D" w:rsidRDefault="00716DCE" w:rsidP="00287183">
            <w:r w:rsidRPr="00BD492D">
              <w:t>777,7268</w:t>
            </w:r>
          </w:p>
        </w:tc>
        <w:tc>
          <w:tcPr>
            <w:tcW w:w="1275" w:type="dxa"/>
            <w:hideMark/>
          </w:tcPr>
          <w:p w:rsidR="00716DCE" w:rsidRPr="00BD492D" w:rsidRDefault="00716DCE" w:rsidP="00287183">
            <w:r w:rsidRPr="00BD492D">
              <w:t>777,7268</w:t>
            </w:r>
          </w:p>
        </w:tc>
        <w:tc>
          <w:tcPr>
            <w:tcW w:w="1275" w:type="dxa"/>
            <w:hideMark/>
          </w:tcPr>
          <w:p w:rsidR="00716DCE" w:rsidRPr="00BD492D" w:rsidRDefault="00716DCE" w:rsidP="00287183">
            <w:r w:rsidRPr="00BD492D">
              <w:t>777,7268</w:t>
            </w:r>
          </w:p>
        </w:tc>
        <w:tc>
          <w:tcPr>
            <w:tcW w:w="1275" w:type="dxa"/>
            <w:hideMark/>
          </w:tcPr>
          <w:p w:rsidR="00716DCE" w:rsidRPr="00BD492D" w:rsidRDefault="00716DCE" w:rsidP="00287183">
            <w:r w:rsidRPr="00BD492D">
              <w:t>777,7268</w:t>
            </w:r>
          </w:p>
        </w:tc>
        <w:tc>
          <w:tcPr>
            <w:tcW w:w="1275" w:type="dxa"/>
            <w:hideMark/>
          </w:tcPr>
          <w:p w:rsidR="00716DCE" w:rsidRPr="00BD492D" w:rsidRDefault="00716DCE" w:rsidP="00287183">
            <w:r w:rsidRPr="00BD492D">
              <w:t> </w:t>
            </w:r>
          </w:p>
        </w:tc>
        <w:tc>
          <w:tcPr>
            <w:tcW w:w="368" w:type="dxa"/>
            <w:hideMark/>
          </w:tcPr>
          <w:p w:rsidR="00716DCE" w:rsidRPr="00BD492D" w:rsidRDefault="00716DCE" w:rsidP="00287183">
            <w:r w:rsidRPr="00BD492D">
              <w:t> </w:t>
            </w:r>
          </w:p>
        </w:tc>
        <w:tc>
          <w:tcPr>
            <w:tcW w:w="1052" w:type="dxa"/>
            <w:hideMark/>
          </w:tcPr>
          <w:p w:rsidR="00716DCE" w:rsidRPr="00BD492D" w:rsidRDefault="00716DCE" w:rsidP="00287183">
            <w:r w:rsidRPr="00BD492D">
              <w:t> </w:t>
            </w:r>
          </w:p>
        </w:tc>
      </w:tr>
      <w:tr w:rsidR="00716DCE" w:rsidRPr="00BD492D" w:rsidTr="00716DCE">
        <w:trPr>
          <w:trHeight w:val="645"/>
        </w:trPr>
        <w:tc>
          <w:tcPr>
            <w:tcW w:w="1134" w:type="dxa"/>
            <w:hideMark/>
          </w:tcPr>
          <w:p w:rsidR="00716DCE" w:rsidRPr="00BD492D" w:rsidRDefault="00716DCE" w:rsidP="00287183">
            <w:r w:rsidRPr="00BD492D">
              <w:t>Beneficios netos</w:t>
            </w:r>
          </w:p>
        </w:tc>
        <w:tc>
          <w:tcPr>
            <w:tcW w:w="1163" w:type="dxa"/>
            <w:hideMark/>
          </w:tcPr>
          <w:p w:rsidR="00716DCE" w:rsidRPr="00BD492D" w:rsidRDefault="00716DCE" w:rsidP="00287183">
            <w:r w:rsidRPr="00BD492D">
              <w:t>2846,2732</w:t>
            </w:r>
          </w:p>
        </w:tc>
        <w:tc>
          <w:tcPr>
            <w:tcW w:w="1275" w:type="dxa"/>
            <w:hideMark/>
          </w:tcPr>
          <w:p w:rsidR="00716DCE" w:rsidRPr="00BD492D" w:rsidRDefault="00716DCE" w:rsidP="00287183">
            <w:r w:rsidRPr="00BD492D">
              <w:t>2846,2732</w:t>
            </w:r>
          </w:p>
        </w:tc>
        <w:tc>
          <w:tcPr>
            <w:tcW w:w="1275" w:type="dxa"/>
            <w:hideMark/>
          </w:tcPr>
          <w:p w:rsidR="00716DCE" w:rsidRPr="00BD492D" w:rsidRDefault="00716DCE" w:rsidP="00287183">
            <w:r w:rsidRPr="00BD492D">
              <w:t>2846,2732</w:t>
            </w:r>
          </w:p>
        </w:tc>
        <w:tc>
          <w:tcPr>
            <w:tcW w:w="1275" w:type="dxa"/>
            <w:hideMark/>
          </w:tcPr>
          <w:p w:rsidR="00716DCE" w:rsidRPr="00BD492D" w:rsidRDefault="00716DCE" w:rsidP="00287183">
            <w:r w:rsidRPr="00BD492D">
              <w:t>2846,2732</w:t>
            </w:r>
          </w:p>
        </w:tc>
        <w:tc>
          <w:tcPr>
            <w:tcW w:w="1275" w:type="dxa"/>
            <w:hideMark/>
          </w:tcPr>
          <w:p w:rsidR="00716DCE" w:rsidRPr="00BD492D" w:rsidRDefault="00716DCE" w:rsidP="00287183">
            <w:r w:rsidRPr="00BD492D">
              <w:t>2846,2732</w:t>
            </w:r>
          </w:p>
        </w:tc>
        <w:tc>
          <w:tcPr>
            <w:tcW w:w="1275" w:type="dxa"/>
            <w:hideMark/>
          </w:tcPr>
          <w:p w:rsidR="00716DCE" w:rsidRPr="00BD492D" w:rsidRDefault="00716DCE" w:rsidP="00287183">
            <w:r w:rsidRPr="00BD492D">
              <w:t>1812</w:t>
            </w:r>
          </w:p>
        </w:tc>
        <w:tc>
          <w:tcPr>
            <w:tcW w:w="368" w:type="dxa"/>
            <w:hideMark/>
          </w:tcPr>
          <w:p w:rsidR="00716DCE" w:rsidRPr="00BD492D" w:rsidRDefault="00716DCE" w:rsidP="00287183">
            <w:r>
              <w:t>…</w:t>
            </w:r>
          </w:p>
        </w:tc>
        <w:tc>
          <w:tcPr>
            <w:tcW w:w="1052" w:type="dxa"/>
            <w:hideMark/>
          </w:tcPr>
          <w:p w:rsidR="00716DCE" w:rsidRPr="00BD492D" w:rsidRDefault="00716DCE" w:rsidP="00287183">
            <w:r w:rsidRPr="00BD492D">
              <w:t>1812</w:t>
            </w:r>
          </w:p>
        </w:tc>
      </w:tr>
      <w:tr w:rsidR="00716DCE" w:rsidRPr="00BD492D" w:rsidTr="00716DCE">
        <w:trPr>
          <w:trHeight w:val="960"/>
        </w:trPr>
        <w:tc>
          <w:tcPr>
            <w:tcW w:w="1134" w:type="dxa"/>
            <w:hideMark/>
          </w:tcPr>
          <w:p w:rsidR="00716DCE" w:rsidRPr="00BD492D" w:rsidRDefault="00716DCE" w:rsidP="00287183">
            <w:r w:rsidRPr="00BD492D">
              <w:t xml:space="preserve">Valor Actual Neto </w:t>
            </w:r>
          </w:p>
        </w:tc>
        <w:tc>
          <w:tcPr>
            <w:tcW w:w="1163" w:type="dxa"/>
            <w:hideMark/>
          </w:tcPr>
          <w:p w:rsidR="00716DCE" w:rsidRPr="00BD492D" w:rsidRDefault="00716DCE" w:rsidP="00287183">
            <w:r w:rsidRPr="00BD492D">
              <w:t>2846,2732</w:t>
            </w:r>
          </w:p>
        </w:tc>
        <w:tc>
          <w:tcPr>
            <w:tcW w:w="1275" w:type="dxa"/>
            <w:hideMark/>
          </w:tcPr>
          <w:p w:rsidR="00716DCE" w:rsidRPr="00BD492D" w:rsidRDefault="00716DCE" w:rsidP="00287183">
            <w:r w:rsidRPr="00BD492D">
              <w:t>2541,31536</w:t>
            </w:r>
          </w:p>
        </w:tc>
        <w:tc>
          <w:tcPr>
            <w:tcW w:w="1275" w:type="dxa"/>
            <w:hideMark/>
          </w:tcPr>
          <w:p w:rsidR="00716DCE" w:rsidRPr="00BD492D" w:rsidRDefault="00716DCE" w:rsidP="00287183">
            <w:r w:rsidRPr="00BD492D">
              <w:t>2269,03157</w:t>
            </w:r>
          </w:p>
        </w:tc>
        <w:tc>
          <w:tcPr>
            <w:tcW w:w="1275" w:type="dxa"/>
            <w:hideMark/>
          </w:tcPr>
          <w:p w:rsidR="00716DCE" w:rsidRPr="00BD492D" w:rsidRDefault="00716DCE" w:rsidP="00287183">
            <w:r w:rsidRPr="00BD492D">
              <w:t>2025,92104</w:t>
            </w:r>
          </w:p>
        </w:tc>
        <w:tc>
          <w:tcPr>
            <w:tcW w:w="1275" w:type="dxa"/>
            <w:hideMark/>
          </w:tcPr>
          <w:p w:rsidR="00716DCE" w:rsidRPr="00BD492D" w:rsidRDefault="00716DCE" w:rsidP="00287183">
            <w:r w:rsidRPr="00BD492D">
              <w:t>1808,85807</w:t>
            </w:r>
          </w:p>
        </w:tc>
        <w:tc>
          <w:tcPr>
            <w:tcW w:w="1275" w:type="dxa"/>
            <w:hideMark/>
          </w:tcPr>
          <w:p w:rsidR="00716DCE" w:rsidRPr="00BD492D" w:rsidRDefault="00716DCE" w:rsidP="00287183">
            <w:r w:rsidRPr="00BD492D">
              <w:t>1028,17746</w:t>
            </w:r>
          </w:p>
        </w:tc>
        <w:tc>
          <w:tcPr>
            <w:tcW w:w="368" w:type="dxa"/>
            <w:hideMark/>
          </w:tcPr>
          <w:p w:rsidR="00716DCE" w:rsidRPr="00BD492D" w:rsidRDefault="00716DCE" w:rsidP="00287183">
            <w:r>
              <w:t>…</w:t>
            </w:r>
          </w:p>
        </w:tc>
        <w:tc>
          <w:tcPr>
            <w:tcW w:w="1052" w:type="dxa"/>
            <w:hideMark/>
          </w:tcPr>
          <w:p w:rsidR="00716DCE" w:rsidRPr="00BD492D" w:rsidRDefault="00716DCE" w:rsidP="00287183">
            <w:r>
              <w:t>370,7711</w:t>
            </w:r>
          </w:p>
        </w:tc>
      </w:tr>
      <w:tr w:rsidR="00716DCE" w:rsidRPr="00BD492D" w:rsidTr="00716DCE">
        <w:trPr>
          <w:trHeight w:val="960"/>
        </w:trPr>
        <w:tc>
          <w:tcPr>
            <w:tcW w:w="1134" w:type="dxa"/>
            <w:hideMark/>
          </w:tcPr>
          <w:p w:rsidR="00716DCE" w:rsidRPr="00BD492D" w:rsidRDefault="00521142" w:rsidP="00287183">
            <w:r>
              <w:t xml:space="preserve">Relación </w:t>
            </w:r>
            <w:r w:rsidR="00716DCE" w:rsidRPr="00BD492D">
              <w:t>Beneficio</w:t>
            </w:r>
            <w:r>
              <w:t xml:space="preserve"> Costo</w:t>
            </w:r>
          </w:p>
        </w:tc>
        <w:tc>
          <w:tcPr>
            <w:tcW w:w="8958" w:type="dxa"/>
            <w:gridSpan w:val="8"/>
            <w:hideMark/>
          </w:tcPr>
          <w:p w:rsidR="00716DCE" w:rsidRPr="00BD492D" w:rsidRDefault="00716DCE" w:rsidP="00287183">
            <w:r>
              <w:t>4,63</w:t>
            </w:r>
          </w:p>
        </w:tc>
      </w:tr>
    </w:tbl>
    <w:p w:rsidR="00716DCE" w:rsidRDefault="00716DCE" w:rsidP="00716DCE">
      <w:pPr>
        <w:jc w:val="both"/>
        <w:rPr>
          <w:sz w:val="24"/>
        </w:rPr>
      </w:pPr>
      <w:r>
        <w:rPr>
          <w:sz w:val="24"/>
        </w:rPr>
        <w:t>N</w:t>
      </w:r>
      <w:r w:rsidRPr="009450B9">
        <w:rPr>
          <w:sz w:val="24"/>
        </w:rPr>
        <w:t>ota: valores expresados en miles de USD</w:t>
      </w:r>
    </w:p>
    <w:p w:rsidR="00B06285" w:rsidRPr="00313535" w:rsidRDefault="0078737D" w:rsidP="00C9718A">
      <w:pPr>
        <w:pStyle w:val="ListParagraph"/>
        <w:numPr>
          <w:ilvl w:val="1"/>
          <w:numId w:val="1"/>
        </w:numPr>
        <w:spacing w:before="120" w:line="240" w:lineRule="auto"/>
        <w:ind w:hanging="720"/>
        <w:contextualSpacing w:val="0"/>
        <w:jc w:val="both"/>
        <w:rPr>
          <w:rFonts w:ascii="Arial" w:hAnsi="Arial" w:cs="Arial"/>
          <w:lang w:val="es-ES"/>
        </w:rPr>
      </w:pPr>
      <w:r w:rsidRPr="00313535">
        <w:rPr>
          <w:rFonts w:ascii="Arial" w:hAnsi="Arial" w:cs="Arial"/>
          <w:lang w:val="es-ES"/>
        </w:rPr>
        <w:t>Cabe señalar que l</w:t>
      </w:r>
      <w:r w:rsidR="00485C3E" w:rsidRPr="00313535">
        <w:rPr>
          <w:rFonts w:ascii="Arial" w:hAnsi="Arial" w:cs="Arial"/>
          <w:lang w:val="es-ES"/>
        </w:rPr>
        <w:t xml:space="preserve">os resultados </w:t>
      </w:r>
      <w:r w:rsidR="000C6157" w:rsidRPr="00313535">
        <w:rPr>
          <w:rFonts w:ascii="Arial" w:hAnsi="Arial" w:cs="Arial"/>
          <w:lang w:val="es-ES"/>
        </w:rPr>
        <w:t>calculados para el Componente 2</w:t>
      </w:r>
      <w:r w:rsidRPr="00313535">
        <w:rPr>
          <w:rFonts w:ascii="Arial" w:hAnsi="Arial" w:cs="Arial"/>
          <w:lang w:val="es-ES"/>
        </w:rPr>
        <w:t xml:space="preserve"> </w:t>
      </w:r>
      <w:r w:rsidR="00485C3E" w:rsidRPr="00313535">
        <w:rPr>
          <w:rFonts w:ascii="Arial" w:hAnsi="Arial" w:cs="Arial"/>
          <w:lang w:val="es-ES"/>
        </w:rPr>
        <w:t>proporcionan una estimación parcial (pero suficiente para justificar sobre la base de costo beneficio), ya que no tiene en cuenta el efecto contagio positivo, es decir, los beneficios adicionales que se obtienen por la posible reducción de delitos no violentos (por ejemplo, hurtos)</w:t>
      </w:r>
      <w:r w:rsidR="008C610F" w:rsidRPr="00313535">
        <w:rPr>
          <w:rFonts w:ascii="Arial" w:hAnsi="Arial" w:cs="Arial"/>
          <w:lang w:val="es-ES"/>
        </w:rPr>
        <w:t>.</w:t>
      </w:r>
      <w:r w:rsidR="00E14296" w:rsidRPr="00313535">
        <w:rPr>
          <w:rFonts w:ascii="Arial" w:hAnsi="Arial" w:cs="Arial"/>
          <w:lang w:val="es-ES"/>
        </w:rPr>
        <w:t xml:space="preserve"> Asimismo, es una estimación conservadora pues se supone que los beneficios desaparecen al cabo de 15 años o que la tasa de descuento es de naturaleza suficientemente hiperbólica </w:t>
      </w:r>
      <w:r w:rsidR="00E57B17" w:rsidRPr="00313535">
        <w:rPr>
          <w:rFonts w:ascii="Arial" w:hAnsi="Arial" w:cs="Arial"/>
        </w:rPr>
        <w:t>(</w:t>
      </w:r>
      <w:r w:rsidR="00E57B17" w:rsidRPr="00313535">
        <w:rPr>
          <w:rFonts w:ascii="Arial" w:hAnsi="Arial" w:cs="Arial"/>
          <w:color w:val="222222"/>
          <w:szCs w:val="20"/>
          <w:shd w:val="clear" w:color="auto" w:fill="FFFFFF"/>
        </w:rPr>
        <w:t xml:space="preserve">Olea &amp; </w:t>
      </w:r>
      <w:proofErr w:type="spellStart"/>
      <w:r w:rsidR="00E57B17" w:rsidRPr="00313535">
        <w:rPr>
          <w:rFonts w:ascii="Arial" w:hAnsi="Arial" w:cs="Arial"/>
          <w:color w:val="222222"/>
          <w:szCs w:val="20"/>
          <w:shd w:val="clear" w:color="auto" w:fill="FFFFFF"/>
        </w:rPr>
        <w:t>Strzalecki</w:t>
      </w:r>
      <w:proofErr w:type="spellEnd"/>
      <w:r w:rsidR="00E57B17" w:rsidRPr="00313535">
        <w:rPr>
          <w:rFonts w:ascii="Arial" w:hAnsi="Arial" w:cs="Arial"/>
          <w:color w:val="222222"/>
          <w:szCs w:val="20"/>
          <w:shd w:val="clear" w:color="auto" w:fill="FFFFFF"/>
        </w:rPr>
        <w:t xml:space="preserve">, </w:t>
      </w:r>
      <w:r w:rsidR="002D2C8E" w:rsidRPr="00313535">
        <w:rPr>
          <w:rFonts w:ascii="Arial" w:hAnsi="Arial" w:cs="Arial"/>
          <w:color w:val="222222"/>
          <w:szCs w:val="20"/>
          <w:shd w:val="clear" w:color="auto" w:fill="FFFFFF"/>
        </w:rPr>
        <w:t>2014)</w:t>
      </w:r>
      <w:r w:rsidR="00E57B17" w:rsidRPr="00313535">
        <w:rPr>
          <w:rFonts w:ascii="Arial" w:hAnsi="Arial" w:cs="Arial"/>
          <w:color w:val="222222"/>
          <w:szCs w:val="20"/>
          <w:shd w:val="clear" w:color="auto" w:fill="FFFFFF"/>
        </w:rPr>
        <w:t xml:space="preserve"> </w:t>
      </w:r>
      <w:r w:rsidR="00E14296" w:rsidRPr="00313535">
        <w:rPr>
          <w:rFonts w:ascii="Arial" w:hAnsi="Arial" w:cs="Arial"/>
          <w:lang w:val="es-ES"/>
        </w:rPr>
        <w:t>luego de los 15 años del programa como para no incluir esos potenciales beneficios futuros que se obtendrían luego de 15 años (ejemplos de esos potenciales beneficios futuros son: la incidencia sobre el delito que tendría el programa en un horizonte mayor a quince años a través de la inclusión educativa y laboral</w:t>
      </w:r>
      <w:r w:rsidR="006027FD" w:rsidRPr="00313535">
        <w:rPr>
          <w:rFonts w:ascii="Arial" w:hAnsi="Arial" w:cs="Arial"/>
          <w:lang w:val="es-ES"/>
        </w:rPr>
        <w:t xml:space="preserve"> –se podría esperar que los beneficios se recogerían a lo largo de todo el ciclo de vida del individuo o que incluso, a través de la ruptura del ciclo de </w:t>
      </w:r>
      <w:r w:rsidR="006027FD" w:rsidRPr="00313535">
        <w:rPr>
          <w:rFonts w:ascii="Arial" w:hAnsi="Arial" w:cs="Arial"/>
          <w:lang w:val="es-ES"/>
        </w:rPr>
        <w:lastRenderedPageBreak/>
        <w:t>perpetuación de la pobreza de ese individuo se podría esperar efectos derrames positivos sobre los demás integrantes de la familia e incluso sobre las nue</w:t>
      </w:r>
      <w:r w:rsidR="00875249" w:rsidRPr="00313535">
        <w:rPr>
          <w:rFonts w:ascii="Arial" w:hAnsi="Arial" w:cs="Arial"/>
          <w:lang w:val="es-ES"/>
        </w:rPr>
        <w:t>vas generaciones de esa familia.</w:t>
      </w:r>
      <w:r w:rsidR="006027FD" w:rsidRPr="00313535">
        <w:rPr>
          <w:rFonts w:ascii="Arial" w:hAnsi="Arial" w:cs="Arial"/>
          <w:lang w:val="es-ES"/>
        </w:rPr>
        <w:t xml:space="preserve"> Washington State Institue for Public Policy (2014) señala que desafortunadamente los meta-análisis de evaluaciones de impacto que permiten estimar los efectos de política suelen abrumadoramente centrarse en horizontes cortos, en su mayoría de dos o tres año, con lo cual estos meta-análisis no proveen estimaciones científicas que puedan dar cierta seguridad en el impacto esperado en horizontes de largo plazo, por eso la literatura sobre “second effect size” opta por trabajar con horizontes </w:t>
      </w:r>
      <w:r w:rsidR="00E57B17" w:rsidRPr="00313535">
        <w:rPr>
          <w:rFonts w:ascii="Arial" w:hAnsi="Arial" w:cs="Arial"/>
          <w:lang w:val="es-ES"/>
        </w:rPr>
        <w:t>sólo de mediano plazo).</w:t>
      </w:r>
      <w:r w:rsidR="002D2C8E" w:rsidRPr="00313535">
        <w:rPr>
          <w:rFonts w:ascii="Arial" w:hAnsi="Arial" w:cs="Arial"/>
        </w:rPr>
        <w:t xml:space="preserve"> </w:t>
      </w:r>
    </w:p>
    <w:p w:rsidR="00765A3B" w:rsidRPr="00313535" w:rsidRDefault="0048642D" w:rsidP="00313535">
      <w:pPr>
        <w:pStyle w:val="ListParagraph"/>
        <w:numPr>
          <w:ilvl w:val="0"/>
          <w:numId w:val="1"/>
        </w:numPr>
        <w:spacing w:before="240" w:after="240" w:line="240" w:lineRule="auto"/>
        <w:contextualSpacing w:val="0"/>
        <w:jc w:val="center"/>
        <w:rPr>
          <w:rFonts w:ascii="Arial" w:hAnsi="Arial" w:cs="Arial"/>
          <w:b/>
        </w:rPr>
      </w:pPr>
      <w:r w:rsidRPr="00313535">
        <w:rPr>
          <w:rFonts w:ascii="Arial" w:hAnsi="Arial" w:cs="Arial"/>
          <w:b/>
        </w:rPr>
        <w:t>RESUMEN DE RESULTADOS</w:t>
      </w:r>
    </w:p>
    <w:p w:rsidR="001F49A7" w:rsidRPr="00313535" w:rsidRDefault="00D900DE" w:rsidP="00313535">
      <w:pPr>
        <w:pStyle w:val="ListParagraph"/>
        <w:numPr>
          <w:ilvl w:val="1"/>
          <w:numId w:val="1"/>
        </w:numPr>
        <w:spacing w:before="120" w:after="120" w:line="240" w:lineRule="auto"/>
        <w:ind w:hanging="720"/>
        <w:contextualSpacing w:val="0"/>
        <w:jc w:val="both"/>
        <w:rPr>
          <w:rFonts w:ascii="Arial" w:hAnsi="Arial" w:cs="Arial"/>
          <w:lang w:val="es-ES"/>
        </w:rPr>
      </w:pPr>
      <w:r w:rsidRPr="00313535">
        <w:rPr>
          <w:rFonts w:ascii="Arial" w:hAnsi="Arial" w:cs="Arial"/>
          <w:color w:val="000000"/>
          <w:lang w:val="es-ES"/>
        </w:rPr>
        <w:t xml:space="preserve">El análisis costo beneficio hecho, bajo supuestos conservadores, muestra que el total de los beneficios netos estimados suma US$185.235.000, con un valor neto de US$110.453.059 empleando una tasa de descuento del 12%. El costo total del proyecto, asumiendo que los desembolsos del Programa son iguales cada año, durante el período de 5 años, son US$8 millones, con un ratio </w:t>
      </w:r>
      <w:r w:rsidR="00A16E2D" w:rsidRPr="00313535">
        <w:rPr>
          <w:rFonts w:ascii="Arial" w:hAnsi="Arial" w:cs="Arial"/>
          <w:color w:val="000000"/>
          <w:lang w:val="es-ES"/>
        </w:rPr>
        <w:t xml:space="preserve">beneficio </w:t>
      </w:r>
      <w:r w:rsidRPr="00313535">
        <w:rPr>
          <w:rFonts w:ascii="Arial" w:hAnsi="Arial" w:cs="Arial"/>
          <w:color w:val="000000"/>
          <w:lang w:val="es-ES"/>
        </w:rPr>
        <w:t>costo de 13,81: esto significa que se recuperarán US$13,81 por cada dólar invertido.</w:t>
      </w:r>
    </w:p>
    <w:p w:rsidR="00471C62" w:rsidRPr="00313535" w:rsidRDefault="00EE39A8" w:rsidP="00313535">
      <w:pPr>
        <w:pStyle w:val="ListParagraph"/>
        <w:numPr>
          <w:ilvl w:val="1"/>
          <w:numId w:val="1"/>
        </w:numPr>
        <w:spacing w:before="120" w:after="120" w:line="240" w:lineRule="auto"/>
        <w:ind w:hanging="720"/>
        <w:contextualSpacing w:val="0"/>
        <w:jc w:val="both"/>
        <w:rPr>
          <w:rFonts w:ascii="Arial" w:hAnsi="Arial" w:cs="Arial"/>
          <w:lang w:val="es-ES"/>
        </w:rPr>
      </w:pPr>
      <w:r w:rsidRPr="00313535">
        <w:rPr>
          <w:rFonts w:ascii="Arial" w:hAnsi="Arial" w:cs="Arial"/>
          <w:b/>
        </w:rPr>
        <w:t>El Componente 3:</w:t>
      </w:r>
      <w:r w:rsidR="00471C62" w:rsidRPr="00313535">
        <w:rPr>
          <w:rFonts w:ascii="Arial" w:hAnsi="Arial" w:cs="Arial"/>
        </w:rPr>
        <w:t xml:space="preserve"> </w:t>
      </w:r>
      <w:r w:rsidR="00471C62" w:rsidRPr="00313535">
        <w:rPr>
          <w:rFonts w:ascii="Arial" w:eastAsia="Calibri" w:hAnsi="Arial" w:cs="Arial"/>
        </w:rPr>
        <w:t>Promoción del uso de evidencia científica en la toma de decisiones de política</w:t>
      </w:r>
      <w:r w:rsidR="00823270" w:rsidRPr="00313535">
        <w:rPr>
          <w:rFonts w:ascii="Arial" w:eastAsia="Calibri" w:hAnsi="Arial" w:cs="Arial"/>
        </w:rPr>
        <w:t>.</w:t>
      </w:r>
      <w:r w:rsidR="00471C62" w:rsidRPr="00313535">
        <w:rPr>
          <w:rFonts w:ascii="Arial" w:hAnsi="Arial" w:cs="Arial"/>
        </w:rPr>
        <w:t xml:space="preserve"> </w:t>
      </w:r>
      <w:r w:rsidR="00823270" w:rsidRPr="00313535">
        <w:rPr>
          <w:rFonts w:ascii="Arial" w:hAnsi="Arial" w:cs="Arial"/>
        </w:rPr>
        <w:t>Se opta por no hacer un análisis costo-beneficio del Componente 3 aislado, porque su objetivo precisamente es apoyar el Componente 1 y 2</w:t>
      </w:r>
      <w:r w:rsidRPr="00313535">
        <w:rPr>
          <w:rFonts w:ascii="Arial" w:hAnsi="Arial" w:cs="Arial"/>
        </w:rPr>
        <w:t>, y sus costos, por ende, se incluyen en el análisis costo-beneficio hecho para el Componente 1 y 2</w:t>
      </w:r>
      <w:r w:rsidR="00823270" w:rsidRPr="00313535">
        <w:rPr>
          <w:rFonts w:ascii="Arial" w:hAnsi="Arial" w:cs="Arial"/>
        </w:rPr>
        <w:t>. Como se señala en el POD del presente Programa (</w:t>
      </w:r>
      <w:proofErr w:type="spellStart"/>
      <w:r w:rsidR="00823270" w:rsidRPr="00313535">
        <w:rPr>
          <w:rFonts w:ascii="Arial" w:hAnsi="Arial" w:cs="Arial"/>
        </w:rPr>
        <w:t>nn</w:t>
      </w:r>
      <w:proofErr w:type="spellEnd"/>
      <w:r w:rsidR="00823270" w:rsidRPr="00313535">
        <w:rPr>
          <w:rFonts w:ascii="Arial" w:hAnsi="Arial" w:cs="Arial"/>
        </w:rPr>
        <w:t xml:space="preserve">. 1.17 y 1.18 del documento POD), el Componente 3 se dirige a impulsar la evaluación, </w:t>
      </w:r>
      <w:r w:rsidR="00BE2988" w:rsidRPr="00313535">
        <w:rPr>
          <w:rFonts w:ascii="Arial" w:hAnsi="Arial" w:cs="Arial"/>
        </w:rPr>
        <w:t xml:space="preserve">hacer </w:t>
      </w:r>
      <w:r w:rsidR="00823270" w:rsidRPr="00313535">
        <w:rPr>
          <w:rFonts w:ascii="Arial" w:hAnsi="Arial" w:cs="Arial"/>
        </w:rPr>
        <w:t>ajustes a las intervenciones,</w:t>
      </w:r>
      <w:r w:rsidR="00BE2988" w:rsidRPr="00313535">
        <w:rPr>
          <w:rFonts w:ascii="Arial" w:hAnsi="Arial" w:cs="Arial"/>
        </w:rPr>
        <w:t xml:space="preserve"> y garantizar la </w:t>
      </w:r>
      <w:r w:rsidR="00823270" w:rsidRPr="00313535">
        <w:rPr>
          <w:rFonts w:ascii="Arial" w:hAnsi="Arial" w:cs="Arial"/>
        </w:rPr>
        <w:t xml:space="preserve">sistematización de resultados </w:t>
      </w:r>
      <w:r w:rsidR="00D81D6A" w:rsidRPr="00313535">
        <w:rPr>
          <w:rFonts w:ascii="Arial" w:hAnsi="Arial" w:cs="Arial"/>
        </w:rPr>
        <w:t xml:space="preserve">provenientes </w:t>
      </w:r>
      <w:r w:rsidR="00823270" w:rsidRPr="00313535">
        <w:rPr>
          <w:rFonts w:ascii="Arial" w:hAnsi="Arial" w:cs="Arial"/>
        </w:rPr>
        <w:t>de la implementación de</w:t>
      </w:r>
      <w:r w:rsidR="00D81D6A" w:rsidRPr="00313535">
        <w:rPr>
          <w:rFonts w:ascii="Arial" w:hAnsi="Arial" w:cs="Arial"/>
        </w:rPr>
        <w:t>l Componente 1 y 2,</w:t>
      </w:r>
      <w:r w:rsidR="00823270" w:rsidRPr="00313535">
        <w:rPr>
          <w:rFonts w:ascii="Arial" w:hAnsi="Arial" w:cs="Arial"/>
        </w:rPr>
        <w:t xml:space="preserve"> </w:t>
      </w:r>
      <w:r w:rsidR="00D81D6A" w:rsidRPr="00313535">
        <w:rPr>
          <w:rFonts w:ascii="Arial" w:hAnsi="Arial" w:cs="Arial"/>
        </w:rPr>
        <w:t xml:space="preserve">a </w:t>
      </w:r>
      <w:r w:rsidR="00823270" w:rsidRPr="00313535">
        <w:rPr>
          <w:rFonts w:ascii="Arial" w:hAnsi="Arial" w:cs="Arial"/>
        </w:rPr>
        <w:t>la</w:t>
      </w:r>
      <w:r w:rsidR="00D81D6A" w:rsidRPr="00313535">
        <w:rPr>
          <w:rFonts w:ascii="Arial" w:hAnsi="Arial" w:cs="Arial"/>
        </w:rPr>
        <w:t xml:space="preserve"> generación de</w:t>
      </w:r>
      <w:r w:rsidR="00823270" w:rsidRPr="00313535">
        <w:rPr>
          <w:rFonts w:ascii="Arial" w:hAnsi="Arial" w:cs="Arial"/>
        </w:rPr>
        <w:t xml:space="preserve"> investigación a partir de los mismos</w:t>
      </w:r>
      <w:r w:rsidR="00D81D6A" w:rsidRPr="00313535">
        <w:rPr>
          <w:rFonts w:ascii="Arial" w:hAnsi="Arial" w:cs="Arial"/>
        </w:rPr>
        <w:t>, que permita potenciarlos</w:t>
      </w:r>
      <w:r w:rsidR="00823270" w:rsidRPr="00313535">
        <w:rPr>
          <w:rFonts w:ascii="Arial" w:hAnsi="Arial" w:cs="Arial"/>
        </w:rPr>
        <w:t>, y a la formación, capacitación y evaluación de los individuos que participarán en los diferentes subcomponentes del Programa.</w:t>
      </w:r>
      <w:r w:rsidR="00D81D6A" w:rsidRPr="00313535">
        <w:rPr>
          <w:rFonts w:ascii="Arial" w:hAnsi="Arial" w:cs="Arial"/>
        </w:rPr>
        <w:t xml:space="preserve"> Para reflejar esto, e</w:t>
      </w:r>
      <w:r w:rsidR="00471C62" w:rsidRPr="00313535">
        <w:rPr>
          <w:rFonts w:ascii="Arial" w:hAnsi="Arial" w:cs="Arial"/>
        </w:rPr>
        <w:t xml:space="preserve">l desembolso correspondiente al </w:t>
      </w:r>
      <w:r w:rsidR="00BE2988" w:rsidRPr="00313535">
        <w:rPr>
          <w:rFonts w:ascii="Arial" w:hAnsi="Arial" w:cs="Arial"/>
        </w:rPr>
        <w:t>Componente 3 del P</w:t>
      </w:r>
      <w:r w:rsidR="00471C62" w:rsidRPr="00313535">
        <w:rPr>
          <w:rFonts w:ascii="Arial" w:hAnsi="Arial" w:cs="Arial"/>
        </w:rPr>
        <w:t>rograma</w:t>
      </w:r>
      <w:r w:rsidR="00D81D6A" w:rsidRPr="00313535">
        <w:rPr>
          <w:rFonts w:ascii="Arial" w:hAnsi="Arial" w:cs="Arial"/>
        </w:rPr>
        <w:t xml:space="preserve"> se incluyó</w:t>
      </w:r>
      <w:r w:rsidR="00823270" w:rsidRPr="00313535">
        <w:rPr>
          <w:rFonts w:ascii="Arial" w:hAnsi="Arial" w:cs="Arial"/>
        </w:rPr>
        <w:t xml:space="preserve"> </w:t>
      </w:r>
      <w:r w:rsidR="00D81D6A" w:rsidRPr="00313535">
        <w:rPr>
          <w:rFonts w:ascii="Arial" w:hAnsi="Arial" w:cs="Arial"/>
        </w:rPr>
        <w:t xml:space="preserve">prorrateado </w:t>
      </w:r>
      <w:r w:rsidR="00823270" w:rsidRPr="00313535">
        <w:rPr>
          <w:rFonts w:ascii="Arial" w:hAnsi="Arial" w:cs="Arial"/>
        </w:rPr>
        <w:t xml:space="preserve">en las secciones correspondientes al </w:t>
      </w:r>
      <w:r w:rsidR="00D81D6A" w:rsidRPr="00313535">
        <w:rPr>
          <w:rFonts w:ascii="Arial" w:hAnsi="Arial" w:cs="Arial"/>
        </w:rPr>
        <w:t xml:space="preserve">Componente 1 y 2 (nn. 3.5 y 4.5 del presente documento). </w:t>
      </w:r>
    </w:p>
    <w:p w:rsidR="00D8715A" w:rsidRPr="00313535" w:rsidRDefault="00EA6985" w:rsidP="00313535">
      <w:pPr>
        <w:pStyle w:val="ListParagraph"/>
        <w:numPr>
          <w:ilvl w:val="1"/>
          <w:numId w:val="1"/>
        </w:numPr>
        <w:spacing w:before="120" w:after="120" w:line="240" w:lineRule="auto"/>
        <w:ind w:hanging="720"/>
        <w:contextualSpacing w:val="0"/>
        <w:jc w:val="both"/>
        <w:rPr>
          <w:rFonts w:ascii="Arial" w:hAnsi="Arial" w:cs="Arial"/>
        </w:rPr>
      </w:pPr>
      <w:r w:rsidRPr="00313535">
        <w:rPr>
          <w:rFonts w:ascii="Arial" w:hAnsi="Arial" w:cs="Arial"/>
          <w:lang w:val="es-ES"/>
        </w:rPr>
        <w:t xml:space="preserve">Es de interés notar que los resultados a los que llega el </w:t>
      </w:r>
      <w:r w:rsidR="001D79E9" w:rsidRPr="00313535">
        <w:rPr>
          <w:rFonts w:ascii="Arial" w:hAnsi="Arial" w:cs="Arial"/>
          <w:lang w:val="es-ES"/>
        </w:rPr>
        <w:t xml:space="preserve">análisis económico del </w:t>
      </w:r>
      <w:r w:rsidRPr="00313535">
        <w:rPr>
          <w:rFonts w:ascii="Arial" w:hAnsi="Arial" w:cs="Arial"/>
          <w:lang w:val="es-ES"/>
        </w:rPr>
        <w:t>programa son conservadores porque: a) asume</w:t>
      </w:r>
      <w:r w:rsidR="00165830" w:rsidRPr="00313535">
        <w:rPr>
          <w:rFonts w:ascii="Arial" w:hAnsi="Arial" w:cs="Arial"/>
          <w:lang w:val="es-ES"/>
        </w:rPr>
        <w:t>n que los efectos del programa serán menores a lo que sugiere la literatura; b) no toma en cuenta posibles efectos contagios positivos (por ejemplo, al prevenir los delitos violentos también se termina reduciendo otros delito como el hurto).</w:t>
      </w:r>
      <w:r w:rsidRPr="00313535">
        <w:rPr>
          <w:rFonts w:ascii="Arial" w:hAnsi="Arial" w:cs="Arial"/>
          <w:lang w:val="es-ES"/>
        </w:rPr>
        <w:t xml:space="preserve"> </w:t>
      </w:r>
      <w:r w:rsidR="002D2C8E" w:rsidRPr="00313535">
        <w:rPr>
          <w:rFonts w:ascii="Arial" w:hAnsi="Arial" w:cs="Arial"/>
        </w:rPr>
        <w:t>Asimismo, es una estimación conservadora pues se supone que los beneficios desaparecen al cabo de 15 años o que la tasa de descuento es de naturaleza suficientemente hiperbólica (</w:t>
      </w:r>
      <w:r w:rsidR="002D2C8E" w:rsidRPr="00313535">
        <w:rPr>
          <w:rFonts w:ascii="Arial" w:hAnsi="Arial" w:cs="Arial"/>
          <w:color w:val="222222"/>
          <w:szCs w:val="20"/>
          <w:shd w:val="clear" w:color="auto" w:fill="FFFFFF"/>
        </w:rPr>
        <w:t xml:space="preserve">Olea &amp; </w:t>
      </w:r>
      <w:proofErr w:type="spellStart"/>
      <w:r w:rsidR="002D2C8E" w:rsidRPr="00313535">
        <w:rPr>
          <w:rFonts w:ascii="Arial" w:hAnsi="Arial" w:cs="Arial"/>
          <w:color w:val="222222"/>
          <w:szCs w:val="20"/>
          <w:shd w:val="clear" w:color="auto" w:fill="FFFFFF"/>
        </w:rPr>
        <w:t>Strzalecki</w:t>
      </w:r>
      <w:proofErr w:type="spellEnd"/>
      <w:r w:rsidR="002D2C8E" w:rsidRPr="00313535">
        <w:rPr>
          <w:rFonts w:ascii="Arial" w:hAnsi="Arial" w:cs="Arial"/>
          <w:color w:val="222222"/>
          <w:szCs w:val="20"/>
          <w:shd w:val="clear" w:color="auto" w:fill="FFFFFF"/>
        </w:rPr>
        <w:t xml:space="preserve">, 2014) </w:t>
      </w:r>
      <w:r w:rsidR="002D2C8E" w:rsidRPr="00313535">
        <w:rPr>
          <w:rFonts w:ascii="Arial" w:hAnsi="Arial" w:cs="Arial"/>
        </w:rPr>
        <w:t xml:space="preserve">luego de los 15 años del programa como para no incluir esos potenciales beneficios futuros que se obtendrían luego de 15 años (ejemplos de esos potenciales beneficios futuros son: 1. la incidencia sobre el delito que tendría el programa en un horizonte mayor a quince años a través de la inclusión educativa y laboral –se podría esperar que los beneficios se recogerían a lo largo de todo el ciclo de vida del individuo o que incluso, a través de la ruptura del ciclo de perpetuación de la pobreza de ese individuo se podría esperar efectos derrames positivos sobre los demás integrantes de la familia e incluso sobre las nuevas generaciones de esa familia; 2. la incidencia que tendría sobre el delito luego de 15 años la consolidación del Centro de Criminalidad Aplicada del Uruguay y del </w:t>
      </w:r>
      <w:proofErr w:type="spellStart"/>
      <w:r w:rsidR="002D2C8E" w:rsidRPr="00313535">
        <w:rPr>
          <w:rFonts w:ascii="Arial" w:hAnsi="Arial" w:cs="Arial"/>
        </w:rPr>
        <w:t>expertise</w:t>
      </w:r>
      <w:proofErr w:type="spellEnd"/>
      <w:r w:rsidR="002D2C8E" w:rsidRPr="00313535">
        <w:rPr>
          <w:rFonts w:ascii="Arial" w:hAnsi="Arial" w:cs="Arial"/>
        </w:rPr>
        <w:t xml:space="preserve"> que habría ganado para ese entonces la Unidad </w:t>
      </w:r>
      <w:r w:rsidR="002D2C8E" w:rsidRPr="00313535">
        <w:rPr>
          <w:rFonts w:ascii="Arial" w:hAnsi="Arial" w:cs="Arial"/>
        </w:rPr>
        <w:lastRenderedPageBreak/>
        <w:t xml:space="preserve">de Análisis Criminal del Ministerio del Interior; Washington </w:t>
      </w:r>
      <w:proofErr w:type="spellStart"/>
      <w:r w:rsidR="002D2C8E" w:rsidRPr="00313535">
        <w:rPr>
          <w:rFonts w:ascii="Arial" w:hAnsi="Arial" w:cs="Arial"/>
        </w:rPr>
        <w:t>State</w:t>
      </w:r>
      <w:proofErr w:type="spellEnd"/>
      <w:r w:rsidR="002D2C8E" w:rsidRPr="00313535">
        <w:rPr>
          <w:rFonts w:ascii="Arial" w:hAnsi="Arial" w:cs="Arial"/>
        </w:rPr>
        <w:t xml:space="preserve"> </w:t>
      </w:r>
      <w:proofErr w:type="spellStart"/>
      <w:r w:rsidR="002D2C8E" w:rsidRPr="00313535">
        <w:rPr>
          <w:rFonts w:ascii="Arial" w:hAnsi="Arial" w:cs="Arial"/>
        </w:rPr>
        <w:t>Institue</w:t>
      </w:r>
      <w:proofErr w:type="spellEnd"/>
      <w:r w:rsidR="002D2C8E" w:rsidRPr="00313535">
        <w:rPr>
          <w:rFonts w:ascii="Arial" w:hAnsi="Arial" w:cs="Arial"/>
        </w:rPr>
        <w:t xml:space="preserve"> for </w:t>
      </w:r>
      <w:proofErr w:type="spellStart"/>
      <w:r w:rsidR="002D2C8E" w:rsidRPr="00313535">
        <w:rPr>
          <w:rFonts w:ascii="Arial" w:hAnsi="Arial" w:cs="Arial"/>
        </w:rPr>
        <w:t>Public</w:t>
      </w:r>
      <w:proofErr w:type="spellEnd"/>
      <w:r w:rsidR="002D2C8E" w:rsidRPr="00313535">
        <w:rPr>
          <w:rFonts w:ascii="Arial" w:hAnsi="Arial" w:cs="Arial"/>
        </w:rPr>
        <w:t xml:space="preserve"> </w:t>
      </w:r>
      <w:proofErr w:type="spellStart"/>
      <w:r w:rsidR="002D2C8E" w:rsidRPr="00313535">
        <w:rPr>
          <w:rFonts w:ascii="Arial" w:hAnsi="Arial" w:cs="Arial"/>
        </w:rPr>
        <w:t>Policy</w:t>
      </w:r>
      <w:proofErr w:type="spellEnd"/>
      <w:r w:rsidR="002D2C8E" w:rsidRPr="00313535">
        <w:rPr>
          <w:rFonts w:ascii="Arial" w:hAnsi="Arial" w:cs="Arial"/>
        </w:rPr>
        <w:t xml:space="preserve"> (2014) señala que desafortunadamente los meta-análisis de evaluaciones de impacto que permiten estimar los efectos de política suelen abrumadoramente centrarse en horizontes cortos, en su mayoría de dos o tres año, con lo cual estos meta-análisis no proveen estimaciones científicas que puedan dar cierta seguridad en el impacto esperado en horizontes de largo plazo, por eso la literatura sobre “</w:t>
      </w:r>
      <w:proofErr w:type="spellStart"/>
      <w:r w:rsidR="002D2C8E" w:rsidRPr="00313535">
        <w:rPr>
          <w:rFonts w:ascii="Arial" w:hAnsi="Arial" w:cs="Arial"/>
        </w:rPr>
        <w:t>second</w:t>
      </w:r>
      <w:proofErr w:type="spellEnd"/>
      <w:r w:rsidR="002D2C8E" w:rsidRPr="00313535">
        <w:rPr>
          <w:rFonts w:ascii="Arial" w:hAnsi="Arial" w:cs="Arial"/>
        </w:rPr>
        <w:t xml:space="preserve"> </w:t>
      </w:r>
      <w:proofErr w:type="spellStart"/>
      <w:r w:rsidR="002D2C8E" w:rsidRPr="00313535">
        <w:rPr>
          <w:rFonts w:ascii="Arial" w:hAnsi="Arial" w:cs="Arial"/>
        </w:rPr>
        <w:t>effect</w:t>
      </w:r>
      <w:proofErr w:type="spellEnd"/>
      <w:r w:rsidR="002D2C8E" w:rsidRPr="00313535">
        <w:rPr>
          <w:rFonts w:ascii="Arial" w:hAnsi="Arial" w:cs="Arial"/>
        </w:rPr>
        <w:t xml:space="preserve"> </w:t>
      </w:r>
      <w:proofErr w:type="spellStart"/>
      <w:r w:rsidR="002D2C8E" w:rsidRPr="00313535">
        <w:rPr>
          <w:rFonts w:ascii="Arial" w:hAnsi="Arial" w:cs="Arial"/>
        </w:rPr>
        <w:t>size</w:t>
      </w:r>
      <w:proofErr w:type="spellEnd"/>
      <w:r w:rsidR="002D2C8E" w:rsidRPr="00313535">
        <w:rPr>
          <w:rFonts w:ascii="Arial" w:hAnsi="Arial" w:cs="Arial"/>
        </w:rPr>
        <w:t xml:space="preserve">” opta por trabajar con horizontes sólo de mediano plazo; en suma, teniendo en cuenta la posibilidad de existencia de tasas de descuento hiperbólicas para horizontes muy extensos y, por otro lado, la escasa evidencia científica para respaldar </w:t>
      </w:r>
      <w:proofErr w:type="spellStart"/>
      <w:r w:rsidR="002D2C8E" w:rsidRPr="00313535">
        <w:rPr>
          <w:rFonts w:ascii="Arial" w:hAnsi="Arial" w:cs="Arial"/>
        </w:rPr>
        <w:t>second</w:t>
      </w:r>
      <w:proofErr w:type="spellEnd"/>
      <w:r w:rsidR="002D2C8E" w:rsidRPr="00313535">
        <w:rPr>
          <w:rFonts w:ascii="Arial" w:hAnsi="Arial" w:cs="Arial"/>
        </w:rPr>
        <w:t xml:space="preserve"> </w:t>
      </w:r>
      <w:proofErr w:type="spellStart"/>
      <w:r w:rsidR="002D2C8E" w:rsidRPr="00313535">
        <w:rPr>
          <w:rFonts w:ascii="Arial" w:hAnsi="Arial" w:cs="Arial"/>
        </w:rPr>
        <w:t>effect</w:t>
      </w:r>
      <w:proofErr w:type="spellEnd"/>
      <w:r w:rsidR="002D2C8E" w:rsidRPr="00313535">
        <w:rPr>
          <w:rFonts w:ascii="Arial" w:hAnsi="Arial" w:cs="Arial"/>
        </w:rPr>
        <w:t xml:space="preserve"> </w:t>
      </w:r>
      <w:proofErr w:type="spellStart"/>
      <w:r w:rsidR="002D2C8E" w:rsidRPr="00313535">
        <w:rPr>
          <w:rFonts w:ascii="Arial" w:hAnsi="Arial" w:cs="Arial"/>
        </w:rPr>
        <w:t>size</w:t>
      </w:r>
      <w:proofErr w:type="spellEnd"/>
      <w:r w:rsidR="00C05114" w:rsidRPr="00313535">
        <w:rPr>
          <w:rFonts w:ascii="Arial" w:hAnsi="Arial" w:cs="Arial"/>
        </w:rPr>
        <w:t xml:space="preserve"> de muy largo plazo</w:t>
      </w:r>
      <w:r w:rsidR="002D2C8E" w:rsidRPr="00313535">
        <w:rPr>
          <w:rFonts w:ascii="Arial" w:hAnsi="Arial" w:cs="Arial"/>
        </w:rPr>
        <w:t>, se ha optado en el presente análisis económico por estimar efectos en el horizonte de 15 años).</w:t>
      </w:r>
    </w:p>
    <w:p w:rsidR="00B06285" w:rsidRDefault="00B06285">
      <w:pPr>
        <w:rPr>
          <w:rFonts w:ascii="Arial" w:hAnsi="Arial" w:cs="Arial"/>
        </w:rPr>
      </w:pPr>
      <w:r>
        <w:rPr>
          <w:rFonts w:ascii="Arial" w:hAnsi="Arial" w:cs="Arial"/>
        </w:rPr>
        <w:br w:type="page"/>
      </w:r>
    </w:p>
    <w:p w:rsidR="006E76B9" w:rsidRPr="00AA227C" w:rsidRDefault="008C610F" w:rsidP="00165830">
      <w:pPr>
        <w:ind w:left="360"/>
        <w:jc w:val="both"/>
        <w:rPr>
          <w:rFonts w:ascii="Arial" w:hAnsi="Arial" w:cs="Arial"/>
        </w:rPr>
      </w:pPr>
      <w:r w:rsidRPr="00AA227C">
        <w:rPr>
          <w:rFonts w:ascii="Arial" w:hAnsi="Arial" w:cs="Arial"/>
        </w:rPr>
        <w:lastRenderedPageBreak/>
        <w:t>REFERENCIAS</w:t>
      </w:r>
    </w:p>
    <w:p w:rsidR="006E76B9" w:rsidRPr="00AA227C" w:rsidRDefault="006E76B9" w:rsidP="00165830">
      <w:pPr>
        <w:autoSpaceDE w:val="0"/>
        <w:autoSpaceDN w:val="0"/>
        <w:adjustRightInd w:val="0"/>
        <w:spacing w:after="0" w:line="240" w:lineRule="auto"/>
        <w:jc w:val="both"/>
        <w:rPr>
          <w:rFonts w:ascii="Arial" w:hAnsi="Arial" w:cs="Arial"/>
          <w:color w:val="202319"/>
          <w:lang w:val="en-US"/>
        </w:rPr>
      </w:pPr>
      <w:r w:rsidRPr="00AA227C">
        <w:rPr>
          <w:rFonts w:ascii="Arial" w:hAnsi="Arial" w:cs="Arial"/>
          <w:color w:val="202319"/>
        </w:rPr>
        <w:t xml:space="preserve">Aboal, D., </w:t>
      </w:r>
      <w:proofErr w:type="spellStart"/>
      <w:r w:rsidRPr="00AA227C">
        <w:rPr>
          <w:rFonts w:ascii="Arial" w:hAnsi="Arial" w:cs="Arial"/>
          <w:color w:val="202319"/>
        </w:rPr>
        <w:t>Campanella</w:t>
      </w:r>
      <w:proofErr w:type="spellEnd"/>
      <w:r w:rsidRPr="00AA227C">
        <w:rPr>
          <w:rFonts w:ascii="Arial" w:hAnsi="Arial" w:cs="Arial"/>
          <w:color w:val="202319"/>
        </w:rPr>
        <w:t xml:space="preserve">, J., &amp; </w:t>
      </w:r>
      <w:proofErr w:type="spellStart"/>
      <w:r w:rsidRPr="00AA227C">
        <w:rPr>
          <w:rFonts w:ascii="Arial" w:hAnsi="Arial" w:cs="Arial"/>
          <w:color w:val="202319"/>
        </w:rPr>
        <w:t>Lanzilotta</w:t>
      </w:r>
      <w:proofErr w:type="spellEnd"/>
      <w:r w:rsidRPr="00AA227C">
        <w:rPr>
          <w:rFonts w:ascii="Arial" w:hAnsi="Arial" w:cs="Arial"/>
          <w:color w:val="202319"/>
        </w:rPr>
        <w:t xml:space="preserve">, B. (2013). “Los costos del crimen en Uruguay”. </w:t>
      </w:r>
      <w:r w:rsidRPr="00AA227C">
        <w:rPr>
          <w:rFonts w:ascii="Arial" w:hAnsi="Arial" w:cs="Arial"/>
          <w:color w:val="202319"/>
          <w:lang w:val="en-US"/>
        </w:rPr>
        <w:t>IDB working paper series n. 408.</w:t>
      </w:r>
    </w:p>
    <w:p w:rsidR="006E76B9" w:rsidRPr="00AA227C" w:rsidRDefault="006E76B9" w:rsidP="00165830">
      <w:pPr>
        <w:autoSpaceDE w:val="0"/>
        <w:autoSpaceDN w:val="0"/>
        <w:adjustRightInd w:val="0"/>
        <w:spacing w:after="0" w:line="240" w:lineRule="auto"/>
        <w:jc w:val="both"/>
        <w:rPr>
          <w:rFonts w:ascii="Arial" w:hAnsi="Arial" w:cs="Arial"/>
          <w:color w:val="202319"/>
          <w:lang w:val="en-US"/>
        </w:rPr>
      </w:pPr>
    </w:p>
    <w:p w:rsidR="006E76B9" w:rsidRPr="00AA227C" w:rsidRDefault="002875C6" w:rsidP="00165830">
      <w:pPr>
        <w:autoSpaceDE w:val="0"/>
        <w:autoSpaceDN w:val="0"/>
        <w:adjustRightInd w:val="0"/>
        <w:spacing w:after="0" w:line="240" w:lineRule="auto"/>
        <w:jc w:val="both"/>
        <w:rPr>
          <w:rFonts w:ascii="Arial" w:hAnsi="Arial" w:cs="Arial"/>
          <w:lang w:val="en-US"/>
        </w:rPr>
      </w:pPr>
      <w:r w:rsidRPr="00AA227C">
        <w:rPr>
          <w:rFonts w:ascii="Arial" w:hAnsi="Arial" w:cs="Arial"/>
          <w:lang w:val="en-US"/>
        </w:rPr>
        <w:t xml:space="preserve">Abramsky, T., </w:t>
      </w:r>
      <w:r w:rsidR="00FC305E" w:rsidRPr="00AA227C">
        <w:rPr>
          <w:rFonts w:ascii="Arial" w:hAnsi="Arial" w:cs="Arial"/>
          <w:lang w:val="en-US"/>
        </w:rPr>
        <w:t>Devries,</w:t>
      </w:r>
      <w:r w:rsidRPr="00AA227C">
        <w:rPr>
          <w:rFonts w:ascii="Arial" w:hAnsi="Arial" w:cs="Arial"/>
          <w:lang w:val="en-US"/>
        </w:rPr>
        <w:t xml:space="preserve"> K., </w:t>
      </w:r>
      <w:proofErr w:type="spellStart"/>
      <w:r w:rsidR="00FC305E" w:rsidRPr="00AA227C">
        <w:rPr>
          <w:rFonts w:ascii="Arial" w:hAnsi="Arial" w:cs="Arial"/>
          <w:lang w:val="en-US"/>
        </w:rPr>
        <w:t>Michau</w:t>
      </w:r>
      <w:proofErr w:type="spellEnd"/>
      <w:r w:rsidR="00FC305E" w:rsidRPr="00AA227C">
        <w:rPr>
          <w:rFonts w:ascii="Arial" w:hAnsi="Arial" w:cs="Arial"/>
          <w:lang w:val="en-US"/>
        </w:rPr>
        <w:t>,</w:t>
      </w:r>
      <w:r w:rsidRPr="00AA227C">
        <w:rPr>
          <w:rFonts w:ascii="Arial" w:hAnsi="Arial" w:cs="Arial"/>
          <w:lang w:val="en-US"/>
        </w:rPr>
        <w:t xml:space="preserve"> L., </w:t>
      </w:r>
      <w:proofErr w:type="spellStart"/>
      <w:r w:rsidR="00FC305E" w:rsidRPr="00AA227C">
        <w:rPr>
          <w:rFonts w:ascii="Arial" w:hAnsi="Arial" w:cs="Arial"/>
          <w:lang w:val="en-US"/>
        </w:rPr>
        <w:t>Nakuti</w:t>
      </w:r>
      <w:proofErr w:type="spellEnd"/>
      <w:r w:rsidR="00FC305E" w:rsidRPr="00AA227C">
        <w:rPr>
          <w:rFonts w:ascii="Arial" w:hAnsi="Arial" w:cs="Arial"/>
          <w:lang w:val="en-US"/>
        </w:rPr>
        <w:t>,</w:t>
      </w:r>
      <w:r w:rsidRPr="00AA227C">
        <w:rPr>
          <w:rFonts w:ascii="Arial" w:hAnsi="Arial" w:cs="Arial"/>
          <w:lang w:val="en-US"/>
        </w:rPr>
        <w:t xml:space="preserve"> J., </w:t>
      </w:r>
      <w:proofErr w:type="spellStart"/>
      <w:r w:rsidR="00FC305E" w:rsidRPr="00AA227C">
        <w:rPr>
          <w:rFonts w:ascii="Arial" w:hAnsi="Arial" w:cs="Arial"/>
          <w:lang w:val="en-US"/>
        </w:rPr>
        <w:t>Musuya</w:t>
      </w:r>
      <w:proofErr w:type="spellEnd"/>
      <w:r w:rsidR="00FC305E" w:rsidRPr="00AA227C">
        <w:rPr>
          <w:rFonts w:ascii="Arial" w:hAnsi="Arial" w:cs="Arial"/>
          <w:lang w:val="en-US"/>
        </w:rPr>
        <w:t>,</w:t>
      </w:r>
      <w:r w:rsidRPr="00AA227C">
        <w:rPr>
          <w:rFonts w:ascii="Arial" w:hAnsi="Arial" w:cs="Arial"/>
          <w:lang w:val="en-US"/>
        </w:rPr>
        <w:t xml:space="preserve"> T.,</w:t>
      </w:r>
      <w:r w:rsidR="00FC305E" w:rsidRPr="00AA227C">
        <w:rPr>
          <w:rFonts w:ascii="Arial" w:hAnsi="Arial" w:cs="Arial"/>
          <w:lang w:val="en-US"/>
        </w:rPr>
        <w:t xml:space="preserve"> </w:t>
      </w:r>
      <w:proofErr w:type="spellStart"/>
      <w:r w:rsidRPr="00AA227C">
        <w:rPr>
          <w:rFonts w:ascii="Arial" w:hAnsi="Arial" w:cs="Arial"/>
          <w:lang w:val="en-US"/>
        </w:rPr>
        <w:t>K</w:t>
      </w:r>
      <w:r w:rsidR="00FC305E" w:rsidRPr="00AA227C">
        <w:rPr>
          <w:rFonts w:ascii="Arial" w:hAnsi="Arial" w:cs="Arial"/>
          <w:lang w:val="en-US"/>
        </w:rPr>
        <w:t>yegombe</w:t>
      </w:r>
      <w:proofErr w:type="spellEnd"/>
      <w:r w:rsidR="00FC305E" w:rsidRPr="00AA227C">
        <w:rPr>
          <w:rFonts w:ascii="Arial" w:hAnsi="Arial" w:cs="Arial"/>
          <w:lang w:val="en-US"/>
        </w:rPr>
        <w:t>,</w:t>
      </w:r>
      <w:r w:rsidRPr="00AA227C">
        <w:rPr>
          <w:rFonts w:ascii="Arial" w:hAnsi="Arial" w:cs="Arial"/>
          <w:lang w:val="en-US"/>
        </w:rPr>
        <w:t xml:space="preserve"> N.,</w:t>
      </w:r>
      <w:r w:rsidR="00FC305E" w:rsidRPr="00AA227C">
        <w:rPr>
          <w:rFonts w:ascii="Arial" w:hAnsi="Arial" w:cs="Arial"/>
          <w:lang w:val="en-US"/>
        </w:rPr>
        <w:t xml:space="preserve"> &amp; Watts</w:t>
      </w:r>
      <w:r w:rsidRPr="00AA227C">
        <w:rPr>
          <w:rFonts w:ascii="Arial" w:hAnsi="Arial" w:cs="Arial"/>
          <w:lang w:val="en-US"/>
        </w:rPr>
        <w:t>, Ch.</w:t>
      </w:r>
      <w:r w:rsidR="00FC305E" w:rsidRPr="00AA227C">
        <w:rPr>
          <w:rFonts w:ascii="Arial" w:hAnsi="Arial" w:cs="Arial"/>
          <w:lang w:val="en-US"/>
        </w:rPr>
        <w:t xml:space="preserve"> (2016). “The impact of SASA</w:t>
      </w:r>
      <w:proofErr w:type="gramStart"/>
      <w:r w:rsidR="00FC305E" w:rsidRPr="00AA227C">
        <w:rPr>
          <w:rFonts w:ascii="Arial" w:hAnsi="Arial" w:cs="Arial"/>
          <w:lang w:val="en-US"/>
        </w:rPr>
        <w:t>!,</w:t>
      </w:r>
      <w:proofErr w:type="gramEnd"/>
      <w:r w:rsidR="00FC305E" w:rsidRPr="00AA227C">
        <w:rPr>
          <w:rFonts w:ascii="Arial" w:hAnsi="Arial" w:cs="Arial"/>
          <w:lang w:val="en-US"/>
        </w:rPr>
        <w:t xml:space="preserve"> a community mobilisation intervention, on women's experiences of intimate partner violence: secondary findings from a cluster randomised trial in Kampala, Uganda”.</w:t>
      </w:r>
      <w:r w:rsidR="00FC305E" w:rsidRPr="00AA227C">
        <w:rPr>
          <w:rFonts w:ascii="Arial" w:hAnsi="Arial" w:cs="Arial"/>
          <w:i/>
          <w:lang w:val="en-US"/>
        </w:rPr>
        <w:t xml:space="preserve"> Journal of Epidemiology Community Health</w:t>
      </w:r>
      <w:r w:rsidR="00FC305E" w:rsidRPr="00AA227C">
        <w:rPr>
          <w:rFonts w:ascii="Arial" w:hAnsi="Arial" w:cs="Arial"/>
          <w:lang w:val="en-US"/>
        </w:rPr>
        <w:t>.</w:t>
      </w:r>
    </w:p>
    <w:p w:rsidR="00300AE8" w:rsidRPr="00AA227C" w:rsidRDefault="00300AE8" w:rsidP="00165830">
      <w:pPr>
        <w:autoSpaceDE w:val="0"/>
        <w:autoSpaceDN w:val="0"/>
        <w:adjustRightInd w:val="0"/>
        <w:spacing w:after="0" w:line="240" w:lineRule="auto"/>
        <w:jc w:val="both"/>
        <w:rPr>
          <w:rFonts w:ascii="Arial" w:hAnsi="Arial" w:cs="Arial"/>
          <w:lang w:val="en-US"/>
        </w:rPr>
      </w:pPr>
    </w:p>
    <w:p w:rsidR="00300AE8" w:rsidRPr="00AA227C" w:rsidRDefault="00300AE8" w:rsidP="00165830">
      <w:pPr>
        <w:autoSpaceDE w:val="0"/>
        <w:autoSpaceDN w:val="0"/>
        <w:adjustRightInd w:val="0"/>
        <w:spacing w:after="0" w:line="240" w:lineRule="auto"/>
        <w:jc w:val="both"/>
        <w:rPr>
          <w:rFonts w:ascii="Arial" w:hAnsi="Arial" w:cs="Arial"/>
          <w:lang w:val="en-US"/>
        </w:rPr>
      </w:pPr>
      <w:proofErr w:type="spellStart"/>
      <w:r w:rsidRPr="00AA227C">
        <w:rPr>
          <w:rFonts w:ascii="Arial" w:hAnsi="Arial" w:cs="Arial"/>
          <w:lang w:val="en-US"/>
        </w:rPr>
        <w:t>Alda</w:t>
      </w:r>
      <w:proofErr w:type="spellEnd"/>
      <w:r w:rsidRPr="00AA227C">
        <w:rPr>
          <w:rFonts w:ascii="Arial" w:hAnsi="Arial" w:cs="Arial"/>
          <w:lang w:val="en-US"/>
        </w:rPr>
        <w:t xml:space="preserve">, E., &amp; Cuesta, J. (2010). “A comprehensive estimation of costs of Crime in South Africa and its implications for effective policymaking.” </w:t>
      </w:r>
      <w:r w:rsidRPr="00AA227C">
        <w:rPr>
          <w:rFonts w:ascii="Arial" w:hAnsi="Arial" w:cs="Arial"/>
          <w:i/>
          <w:iCs/>
          <w:lang w:val="en-US"/>
        </w:rPr>
        <w:t xml:space="preserve">Journal of International Development </w:t>
      </w:r>
      <w:r w:rsidRPr="00AA227C">
        <w:rPr>
          <w:rFonts w:ascii="Arial" w:hAnsi="Arial" w:cs="Arial"/>
          <w:lang w:val="en-US"/>
        </w:rPr>
        <w:t>23(7): 926-935.</w:t>
      </w:r>
    </w:p>
    <w:p w:rsidR="006E76B9" w:rsidRPr="00AA227C" w:rsidRDefault="006E76B9" w:rsidP="00165830">
      <w:pPr>
        <w:autoSpaceDE w:val="0"/>
        <w:autoSpaceDN w:val="0"/>
        <w:adjustRightInd w:val="0"/>
        <w:spacing w:after="0" w:line="240" w:lineRule="auto"/>
        <w:jc w:val="both"/>
        <w:rPr>
          <w:rFonts w:ascii="Arial" w:hAnsi="Arial" w:cs="Arial"/>
          <w:lang w:val="en-US"/>
        </w:rPr>
      </w:pPr>
    </w:p>
    <w:p w:rsidR="006E76B9" w:rsidRPr="00AA227C" w:rsidRDefault="00CB1090" w:rsidP="00165830">
      <w:pPr>
        <w:autoSpaceDE w:val="0"/>
        <w:autoSpaceDN w:val="0"/>
        <w:adjustRightInd w:val="0"/>
        <w:spacing w:after="0" w:line="240" w:lineRule="auto"/>
        <w:jc w:val="both"/>
        <w:rPr>
          <w:rFonts w:ascii="Arial" w:hAnsi="Arial" w:cs="Arial"/>
          <w:lang w:val="en-US"/>
        </w:rPr>
      </w:pPr>
      <w:r w:rsidRPr="00AA227C">
        <w:rPr>
          <w:rFonts w:ascii="Arial" w:hAnsi="Arial" w:cs="Arial"/>
          <w:lang w:val="en-US"/>
        </w:rPr>
        <w:t>Braga, A.A. (2008). “Problem-Oriented Policing and Crime Prevention”. 2</w:t>
      </w:r>
      <w:r w:rsidRPr="00AA227C">
        <w:rPr>
          <w:rFonts w:ascii="Arial" w:hAnsi="Arial" w:cs="Arial"/>
          <w:vertAlign w:val="superscript"/>
          <w:lang w:val="en-US"/>
        </w:rPr>
        <w:t>nd</w:t>
      </w:r>
      <w:r w:rsidRPr="00AA227C">
        <w:rPr>
          <w:rFonts w:ascii="Arial" w:hAnsi="Arial" w:cs="Arial"/>
          <w:lang w:val="en-US"/>
        </w:rPr>
        <w:t xml:space="preserve"> ed. Boulder, CO: Lynne </w:t>
      </w:r>
      <w:proofErr w:type="spellStart"/>
      <w:r w:rsidRPr="00AA227C">
        <w:rPr>
          <w:rFonts w:ascii="Arial" w:hAnsi="Arial" w:cs="Arial"/>
          <w:lang w:val="en-US"/>
        </w:rPr>
        <w:t>Rienner</w:t>
      </w:r>
      <w:proofErr w:type="spellEnd"/>
      <w:r w:rsidRPr="00AA227C">
        <w:rPr>
          <w:rFonts w:ascii="Arial" w:hAnsi="Arial" w:cs="Arial"/>
          <w:lang w:val="en-US"/>
        </w:rPr>
        <w:t>.</w:t>
      </w:r>
    </w:p>
    <w:p w:rsidR="006E76B9" w:rsidRPr="00AA227C" w:rsidRDefault="006E76B9" w:rsidP="00165830">
      <w:pPr>
        <w:autoSpaceDE w:val="0"/>
        <w:autoSpaceDN w:val="0"/>
        <w:adjustRightInd w:val="0"/>
        <w:spacing w:after="0" w:line="240" w:lineRule="auto"/>
        <w:jc w:val="both"/>
        <w:rPr>
          <w:rFonts w:ascii="Arial" w:hAnsi="Arial" w:cs="Arial"/>
          <w:lang w:val="en-US"/>
        </w:rPr>
      </w:pPr>
    </w:p>
    <w:p w:rsidR="004905FD" w:rsidRPr="00AA227C" w:rsidRDefault="004905FD" w:rsidP="00165830">
      <w:pPr>
        <w:autoSpaceDE w:val="0"/>
        <w:autoSpaceDN w:val="0"/>
        <w:adjustRightInd w:val="0"/>
        <w:spacing w:after="0" w:line="240" w:lineRule="auto"/>
        <w:jc w:val="both"/>
        <w:rPr>
          <w:rFonts w:ascii="Arial" w:hAnsi="Arial" w:cs="Arial"/>
          <w:lang w:val="en-US"/>
        </w:rPr>
      </w:pPr>
      <w:r w:rsidRPr="00AA227C">
        <w:rPr>
          <w:rFonts w:ascii="Arial" w:hAnsi="Arial" w:cs="Arial"/>
          <w:lang w:val="en-US"/>
        </w:rPr>
        <w:t xml:space="preserve">Braga, A. A. (2005). “Hot spots policing and crime prevention: A systematic review of randomized controlled trials.” </w:t>
      </w:r>
      <w:r w:rsidRPr="00AA227C">
        <w:rPr>
          <w:rFonts w:ascii="Arial" w:hAnsi="Arial" w:cs="Arial"/>
          <w:i/>
          <w:lang w:val="en-US"/>
        </w:rPr>
        <w:t>Journal of experimental criminology, 1</w:t>
      </w:r>
      <w:r w:rsidRPr="00AA227C">
        <w:rPr>
          <w:rFonts w:ascii="Arial" w:hAnsi="Arial" w:cs="Arial"/>
          <w:lang w:val="en-US"/>
        </w:rPr>
        <w:t>(3), 317-342.</w:t>
      </w:r>
    </w:p>
    <w:p w:rsidR="004905FD" w:rsidRPr="00AA227C" w:rsidRDefault="004905FD" w:rsidP="00165830">
      <w:pPr>
        <w:autoSpaceDE w:val="0"/>
        <w:autoSpaceDN w:val="0"/>
        <w:adjustRightInd w:val="0"/>
        <w:spacing w:after="0" w:line="240" w:lineRule="auto"/>
        <w:jc w:val="both"/>
        <w:rPr>
          <w:rFonts w:ascii="Arial" w:hAnsi="Arial" w:cs="Arial"/>
          <w:lang w:val="en-US"/>
        </w:rPr>
      </w:pPr>
    </w:p>
    <w:p w:rsidR="00CB1090" w:rsidRPr="00AA227C" w:rsidRDefault="00CB1090" w:rsidP="00165830">
      <w:pPr>
        <w:autoSpaceDE w:val="0"/>
        <w:autoSpaceDN w:val="0"/>
        <w:adjustRightInd w:val="0"/>
        <w:spacing w:after="0" w:line="240" w:lineRule="auto"/>
        <w:jc w:val="both"/>
        <w:rPr>
          <w:rFonts w:ascii="Arial" w:hAnsi="Arial" w:cs="Arial"/>
          <w:lang w:val="en-US"/>
        </w:rPr>
      </w:pPr>
      <w:r w:rsidRPr="00AA227C">
        <w:rPr>
          <w:rFonts w:ascii="Arial" w:hAnsi="Arial" w:cs="Arial"/>
          <w:lang w:val="en-US"/>
        </w:rPr>
        <w:t xml:space="preserve">Braga, A.A., &amp; Bond, B. (2008). “Policing Crime and Disorder Hot Spots: A Randomized Controlled Trial.” </w:t>
      </w:r>
      <w:r w:rsidRPr="00AA227C">
        <w:rPr>
          <w:rFonts w:ascii="Arial" w:hAnsi="Arial" w:cs="Arial"/>
          <w:i/>
          <w:lang w:val="en-US"/>
        </w:rPr>
        <w:t xml:space="preserve">Criminology </w:t>
      </w:r>
      <w:r w:rsidRPr="00AA227C">
        <w:rPr>
          <w:rFonts w:ascii="Arial" w:hAnsi="Arial" w:cs="Arial"/>
          <w:lang w:val="en-US"/>
        </w:rPr>
        <w:t>46:577-608.</w:t>
      </w:r>
    </w:p>
    <w:p w:rsidR="00193362" w:rsidRPr="00AA227C" w:rsidRDefault="00193362" w:rsidP="00165830">
      <w:pPr>
        <w:autoSpaceDE w:val="0"/>
        <w:autoSpaceDN w:val="0"/>
        <w:adjustRightInd w:val="0"/>
        <w:spacing w:after="0" w:line="240" w:lineRule="auto"/>
        <w:jc w:val="both"/>
        <w:rPr>
          <w:rFonts w:ascii="Arial" w:hAnsi="Arial" w:cs="Arial"/>
          <w:lang w:val="en-US"/>
        </w:rPr>
      </w:pPr>
    </w:p>
    <w:p w:rsidR="00CB1090" w:rsidRPr="00AA227C" w:rsidRDefault="00CB1090" w:rsidP="00165830">
      <w:pPr>
        <w:jc w:val="both"/>
        <w:rPr>
          <w:rFonts w:ascii="Arial" w:hAnsi="Arial" w:cs="Arial"/>
          <w:lang w:val="en-US"/>
        </w:rPr>
      </w:pPr>
      <w:r w:rsidRPr="00127DE5">
        <w:rPr>
          <w:rFonts w:ascii="Arial" w:hAnsi="Arial" w:cs="Arial"/>
          <w:lang w:val="pt-BR"/>
        </w:rPr>
        <w:t xml:space="preserve">Braga, A.A., Hureau, D.M., &amp; Papachristos A.V. (2012). </w:t>
      </w:r>
      <w:r w:rsidRPr="00AA227C">
        <w:rPr>
          <w:rFonts w:ascii="Arial" w:hAnsi="Arial" w:cs="Arial"/>
          <w:lang w:val="en-US"/>
        </w:rPr>
        <w:t xml:space="preserve">“An Ex Post Evaluation Framework for Place-Based Police Interventions”. </w:t>
      </w:r>
      <w:r w:rsidRPr="00AA227C">
        <w:rPr>
          <w:rFonts w:ascii="Arial" w:hAnsi="Arial" w:cs="Arial"/>
          <w:i/>
          <w:lang w:val="en-US"/>
        </w:rPr>
        <w:t>Evaluation Review, 35</w:t>
      </w:r>
      <w:r w:rsidRPr="00AA227C">
        <w:rPr>
          <w:rFonts w:ascii="Arial" w:hAnsi="Arial" w:cs="Arial"/>
          <w:lang w:val="en-US"/>
        </w:rPr>
        <w:t>(6): 592-626.</w:t>
      </w:r>
    </w:p>
    <w:p w:rsidR="00A046A9" w:rsidRDefault="00A046A9" w:rsidP="00165830">
      <w:pPr>
        <w:autoSpaceDE w:val="0"/>
        <w:autoSpaceDN w:val="0"/>
        <w:adjustRightInd w:val="0"/>
        <w:spacing w:after="0" w:line="240" w:lineRule="auto"/>
        <w:jc w:val="both"/>
        <w:rPr>
          <w:rFonts w:ascii="Arial" w:hAnsi="Arial" w:cs="Arial"/>
          <w:lang w:val="en-US"/>
        </w:rPr>
      </w:pPr>
      <w:r w:rsidRPr="00AA227C">
        <w:rPr>
          <w:rFonts w:ascii="Arial" w:hAnsi="Arial" w:cs="Arial"/>
          <w:lang w:val="en-US"/>
        </w:rPr>
        <w:t xml:space="preserve">Brand, S. &amp; Price, R. (2000). “The Economic and Social Costs of Crime.” Home Office Research Study </w:t>
      </w:r>
      <w:proofErr w:type="spellStart"/>
      <w:r w:rsidRPr="00AA227C">
        <w:rPr>
          <w:rFonts w:ascii="Arial" w:hAnsi="Arial" w:cs="Arial"/>
          <w:lang w:val="en-US"/>
        </w:rPr>
        <w:t>Nro</w:t>
      </w:r>
      <w:proofErr w:type="spellEnd"/>
      <w:r w:rsidRPr="00AA227C">
        <w:rPr>
          <w:rFonts w:ascii="Arial" w:hAnsi="Arial" w:cs="Arial"/>
          <w:lang w:val="en-US"/>
        </w:rPr>
        <w:t xml:space="preserve">. 217. </w:t>
      </w:r>
      <w:proofErr w:type="spellStart"/>
      <w:r w:rsidRPr="00AA227C">
        <w:rPr>
          <w:rFonts w:ascii="Arial" w:hAnsi="Arial" w:cs="Arial"/>
          <w:lang w:val="en-US"/>
        </w:rPr>
        <w:t>Londres</w:t>
      </w:r>
      <w:proofErr w:type="spellEnd"/>
      <w:r w:rsidRPr="00AA227C">
        <w:rPr>
          <w:rFonts w:ascii="Arial" w:hAnsi="Arial" w:cs="Arial"/>
          <w:lang w:val="en-US"/>
        </w:rPr>
        <w:t xml:space="preserve">, </w:t>
      </w:r>
      <w:proofErr w:type="spellStart"/>
      <w:r w:rsidRPr="00AA227C">
        <w:rPr>
          <w:rFonts w:ascii="Arial" w:hAnsi="Arial" w:cs="Arial"/>
          <w:lang w:val="en-US"/>
        </w:rPr>
        <w:t>Reino</w:t>
      </w:r>
      <w:proofErr w:type="spellEnd"/>
      <w:r w:rsidRPr="00AA227C">
        <w:rPr>
          <w:rFonts w:ascii="Arial" w:hAnsi="Arial" w:cs="Arial"/>
          <w:lang w:val="en-US"/>
        </w:rPr>
        <w:t xml:space="preserve"> </w:t>
      </w:r>
      <w:proofErr w:type="spellStart"/>
      <w:r w:rsidRPr="00AA227C">
        <w:rPr>
          <w:rFonts w:ascii="Arial" w:hAnsi="Arial" w:cs="Arial"/>
          <w:lang w:val="en-US"/>
        </w:rPr>
        <w:t>Unido</w:t>
      </w:r>
      <w:proofErr w:type="spellEnd"/>
      <w:r w:rsidRPr="00AA227C">
        <w:rPr>
          <w:rFonts w:ascii="Arial" w:hAnsi="Arial" w:cs="Arial"/>
          <w:lang w:val="en-US"/>
        </w:rPr>
        <w:t>: Economics and Resource Analysis, Home Office.</w:t>
      </w:r>
    </w:p>
    <w:p w:rsidR="00187126" w:rsidRDefault="00187126" w:rsidP="00165830">
      <w:pPr>
        <w:autoSpaceDE w:val="0"/>
        <w:autoSpaceDN w:val="0"/>
        <w:adjustRightInd w:val="0"/>
        <w:spacing w:after="0" w:line="240" w:lineRule="auto"/>
        <w:jc w:val="both"/>
        <w:rPr>
          <w:rFonts w:ascii="Arial" w:hAnsi="Arial" w:cs="Arial"/>
          <w:lang w:val="en-US"/>
        </w:rPr>
      </w:pPr>
    </w:p>
    <w:p w:rsidR="00187126" w:rsidRPr="00AA227C" w:rsidRDefault="00187126" w:rsidP="00187126">
      <w:pPr>
        <w:autoSpaceDE w:val="0"/>
        <w:autoSpaceDN w:val="0"/>
        <w:adjustRightInd w:val="0"/>
        <w:spacing w:after="0" w:line="240" w:lineRule="auto"/>
        <w:jc w:val="both"/>
        <w:rPr>
          <w:rFonts w:ascii="Arial" w:hAnsi="Arial" w:cs="Arial"/>
          <w:lang w:val="en-US"/>
        </w:rPr>
      </w:pPr>
      <w:proofErr w:type="spellStart"/>
      <w:r w:rsidRPr="00642059">
        <w:rPr>
          <w:rFonts w:ascii="Arial" w:hAnsi="Arial" w:cs="Arial"/>
          <w:lang w:val="en-US"/>
        </w:rPr>
        <w:t>Calero</w:t>
      </w:r>
      <w:proofErr w:type="spellEnd"/>
      <w:r w:rsidRPr="00642059">
        <w:rPr>
          <w:rFonts w:ascii="Arial" w:hAnsi="Arial" w:cs="Arial"/>
          <w:lang w:val="en-US"/>
        </w:rPr>
        <w:t xml:space="preserve">, C., </w:t>
      </w:r>
      <w:proofErr w:type="spellStart"/>
      <w:r w:rsidRPr="00642059">
        <w:rPr>
          <w:rFonts w:ascii="Arial" w:hAnsi="Arial" w:cs="Arial"/>
          <w:lang w:val="en-US"/>
        </w:rPr>
        <w:t>Corseuil</w:t>
      </w:r>
      <w:proofErr w:type="spellEnd"/>
      <w:r w:rsidRPr="00642059">
        <w:rPr>
          <w:rFonts w:ascii="Arial" w:hAnsi="Arial" w:cs="Arial"/>
          <w:lang w:val="en-US"/>
        </w:rPr>
        <w:t xml:space="preserve">, C.H., Gonzales, V., </w:t>
      </w:r>
      <w:proofErr w:type="spellStart"/>
      <w:r w:rsidRPr="00642059">
        <w:rPr>
          <w:rFonts w:ascii="Arial" w:hAnsi="Arial" w:cs="Arial"/>
          <w:lang w:val="en-US"/>
        </w:rPr>
        <w:t>Kluve</w:t>
      </w:r>
      <w:proofErr w:type="spellEnd"/>
      <w:r w:rsidRPr="00642059">
        <w:rPr>
          <w:rFonts w:ascii="Arial" w:hAnsi="Arial" w:cs="Arial"/>
          <w:lang w:val="en-US"/>
        </w:rPr>
        <w:t xml:space="preserve">, J., &amp; </w:t>
      </w:r>
      <w:proofErr w:type="spellStart"/>
      <w:r w:rsidRPr="00642059">
        <w:rPr>
          <w:rFonts w:ascii="Arial" w:hAnsi="Arial" w:cs="Arial"/>
          <w:lang w:val="en-US"/>
        </w:rPr>
        <w:t>Soares</w:t>
      </w:r>
      <w:proofErr w:type="spellEnd"/>
      <w:r w:rsidRPr="00642059">
        <w:rPr>
          <w:rFonts w:ascii="Arial" w:hAnsi="Arial" w:cs="Arial"/>
          <w:lang w:val="en-US"/>
        </w:rPr>
        <w:t xml:space="preserve">, Y. (2014). </w:t>
      </w:r>
      <w:r w:rsidRPr="00875249">
        <w:rPr>
          <w:rFonts w:ascii="Arial" w:hAnsi="Arial" w:cs="Arial"/>
          <w:lang w:val="en-US"/>
        </w:rPr>
        <w:t>“</w:t>
      </w:r>
      <w:r w:rsidRPr="00187126">
        <w:rPr>
          <w:rFonts w:ascii="Arial" w:hAnsi="Arial" w:cs="Arial"/>
          <w:lang w:val="en-US"/>
        </w:rPr>
        <w:t>Can Arts-Based Interventions Enhance Labor Market</w:t>
      </w:r>
      <w:r>
        <w:rPr>
          <w:rFonts w:ascii="Arial" w:hAnsi="Arial" w:cs="Arial"/>
          <w:lang w:val="en-US"/>
        </w:rPr>
        <w:t xml:space="preserve"> </w:t>
      </w:r>
      <w:r w:rsidRPr="00187126">
        <w:rPr>
          <w:rFonts w:ascii="Arial" w:hAnsi="Arial" w:cs="Arial"/>
          <w:lang w:val="en-US"/>
        </w:rPr>
        <w:t>Outcomes among Youth? Evidence from a Randomized Trial in Rio de Janeiro</w:t>
      </w:r>
      <w:r>
        <w:rPr>
          <w:rFonts w:ascii="Arial" w:hAnsi="Arial" w:cs="Arial"/>
          <w:lang w:val="en-US"/>
        </w:rPr>
        <w:t>”</w:t>
      </w:r>
      <w:r w:rsidRPr="00187126">
        <w:rPr>
          <w:rFonts w:ascii="Arial" w:hAnsi="Arial" w:cs="Arial"/>
          <w:lang w:val="en-US"/>
        </w:rPr>
        <w:t>. IZA DP No. 8210</w:t>
      </w:r>
    </w:p>
    <w:p w:rsidR="00300AE8" w:rsidRPr="00AA227C" w:rsidRDefault="00300AE8" w:rsidP="00165830">
      <w:pPr>
        <w:autoSpaceDE w:val="0"/>
        <w:autoSpaceDN w:val="0"/>
        <w:adjustRightInd w:val="0"/>
        <w:spacing w:after="0" w:line="240" w:lineRule="auto"/>
        <w:jc w:val="both"/>
        <w:rPr>
          <w:rFonts w:ascii="Arial" w:hAnsi="Arial" w:cs="Arial"/>
          <w:lang w:val="en-US"/>
        </w:rPr>
      </w:pPr>
    </w:p>
    <w:p w:rsidR="00300AE8" w:rsidRPr="00AA227C" w:rsidRDefault="00300AE8" w:rsidP="00165830">
      <w:pPr>
        <w:autoSpaceDE w:val="0"/>
        <w:autoSpaceDN w:val="0"/>
        <w:adjustRightInd w:val="0"/>
        <w:spacing w:after="0" w:line="240" w:lineRule="auto"/>
        <w:jc w:val="both"/>
        <w:rPr>
          <w:rFonts w:ascii="Arial" w:hAnsi="Arial" w:cs="Arial"/>
          <w:lang w:val="en-US"/>
        </w:rPr>
      </w:pPr>
      <w:r w:rsidRPr="00AA227C">
        <w:rPr>
          <w:rFonts w:ascii="Arial" w:hAnsi="Arial" w:cs="Arial"/>
          <w:lang w:val="en-US"/>
        </w:rPr>
        <w:t xml:space="preserve">Dolan, P., </w:t>
      </w:r>
      <w:proofErr w:type="spellStart"/>
      <w:r w:rsidRPr="00AA227C">
        <w:rPr>
          <w:rFonts w:ascii="Arial" w:hAnsi="Arial" w:cs="Arial"/>
          <w:lang w:val="en-US"/>
        </w:rPr>
        <w:t>Loomes</w:t>
      </w:r>
      <w:proofErr w:type="spellEnd"/>
      <w:r w:rsidRPr="00AA227C">
        <w:rPr>
          <w:rFonts w:ascii="Arial" w:hAnsi="Arial" w:cs="Arial"/>
          <w:lang w:val="en-US"/>
        </w:rPr>
        <w:t xml:space="preserve">, G., </w:t>
      </w:r>
      <w:proofErr w:type="spellStart"/>
      <w:r w:rsidRPr="00AA227C">
        <w:rPr>
          <w:rFonts w:ascii="Arial" w:hAnsi="Arial" w:cs="Arial"/>
          <w:lang w:val="en-US"/>
        </w:rPr>
        <w:t>Peasgood</w:t>
      </w:r>
      <w:proofErr w:type="spellEnd"/>
      <w:r w:rsidRPr="00AA227C">
        <w:rPr>
          <w:rFonts w:ascii="Arial" w:hAnsi="Arial" w:cs="Arial"/>
          <w:lang w:val="en-US"/>
        </w:rPr>
        <w:t xml:space="preserve">, T., &amp; Tsuchiya, A. </w:t>
      </w:r>
      <w:r w:rsidR="00187126">
        <w:rPr>
          <w:rFonts w:ascii="Arial" w:hAnsi="Arial" w:cs="Arial"/>
          <w:lang w:val="en-US"/>
        </w:rPr>
        <w:t>(</w:t>
      </w:r>
      <w:r w:rsidRPr="00AA227C">
        <w:rPr>
          <w:rFonts w:ascii="Arial" w:hAnsi="Arial" w:cs="Arial"/>
          <w:lang w:val="en-US"/>
        </w:rPr>
        <w:t>2005</w:t>
      </w:r>
      <w:r w:rsidR="00187126">
        <w:rPr>
          <w:rFonts w:ascii="Arial" w:hAnsi="Arial" w:cs="Arial"/>
          <w:lang w:val="en-US"/>
        </w:rPr>
        <w:t>)</w:t>
      </w:r>
      <w:r w:rsidRPr="00AA227C">
        <w:rPr>
          <w:rFonts w:ascii="Arial" w:hAnsi="Arial" w:cs="Arial"/>
          <w:lang w:val="en-US"/>
        </w:rPr>
        <w:t xml:space="preserve">. “Estimating the intangible victim Costs of violent crime.” </w:t>
      </w:r>
      <w:r w:rsidRPr="00AA227C">
        <w:rPr>
          <w:rFonts w:ascii="Arial" w:hAnsi="Arial" w:cs="Arial"/>
          <w:i/>
          <w:iCs/>
          <w:lang w:val="en-US"/>
        </w:rPr>
        <w:t>British Journal of Criminology</w:t>
      </w:r>
      <w:r w:rsidRPr="00AA227C">
        <w:rPr>
          <w:rFonts w:ascii="Arial" w:hAnsi="Arial" w:cs="Arial"/>
          <w:lang w:val="en-US"/>
        </w:rPr>
        <w:t>, 45:958-976.</w:t>
      </w:r>
    </w:p>
    <w:p w:rsidR="00A046A9" w:rsidRPr="00AA227C" w:rsidRDefault="00A046A9" w:rsidP="00165830">
      <w:pPr>
        <w:autoSpaceDE w:val="0"/>
        <w:autoSpaceDN w:val="0"/>
        <w:adjustRightInd w:val="0"/>
        <w:spacing w:after="0" w:line="240" w:lineRule="auto"/>
        <w:jc w:val="both"/>
        <w:rPr>
          <w:rFonts w:ascii="Arial" w:hAnsi="Arial" w:cs="Arial"/>
          <w:lang w:val="en-US"/>
        </w:rPr>
      </w:pPr>
    </w:p>
    <w:p w:rsidR="00CB1090" w:rsidRPr="00AA227C" w:rsidRDefault="00CB1090" w:rsidP="00165830">
      <w:pPr>
        <w:pStyle w:val="BodyA"/>
        <w:jc w:val="both"/>
        <w:rPr>
          <w:rFonts w:ascii="Arial" w:hAnsi="Arial" w:cs="Arial"/>
          <w:sz w:val="22"/>
          <w:szCs w:val="22"/>
        </w:rPr>
      </w:pPr>
      <w:r w:rsidRPr="00AA227C">
        <w:rPr>
          <w:rFonts w:ascii="Arial" w:hAnsi="Arial" w:cs="Arial"/>
          <w:sz w:val="22"/>
          <w:szCs w:val="22"/>
        </w:rPr>
        <w:t xml:space="preserve">Eck, J.E. (2002). “Preventing Crime at Places”. In </w:t>
      </w:r>
      <w:r w:rsidRPr="00AA227C">
        <w:rPr>
          <w:rFonts w:ascii="Arial" w:hAnsi="Arial" w:cs="Arial"/>
          <w:i/>
          <w:sz w:val="22"/>
          <w:szCs w:val="22"/>
        </w:rPr>
        <w:t xml:space="preserve">Evidence-based crime prevention, </w:t>
      </w:r>
      <w:r w:rsidRPr="00AA227C">
        <w:rPr>
          <w:rFonts w:ascii="Arial" w:hAnsi="Arial" w:cs="Arial"/>
          <w:sz w:val="22"/>
          <w:szCs w:val="22"/>
        </w:rPr>
        <w:t xml:space="preserve">edited by L. Sherman, D. Farrington, B. Welsh, and D. </w:t>
      </w:r>
      <w:proofErr w:type="spellStart"/>
      <w:r w:rsidRPr="00AA227C">
        <w:rPr>
          <w:rFonts w:ascii="Arial" w:hAnsi="Arial" w:cs="Arial"/>
          <w:sz w:val="22"/>
          <w:szCs w:val="22"/>
        </w:rPr>
        <w:t>MacKenzie</w:t>
      </w:r>
      <w:proofErr w:type="spellEnd"/>
      <w:r w:rsidRPr="00AA227C">
        <w:rPr>
          <w:rFonts w:ascii="Arial" w:hAnsi="Arial" w:cs="Arial"/>
          <w:sz w:val="22"/>
          <w:szCs w:val="22"/>
        </w:rPr>
        <w:t>, 241-94. New York: Routledge.</w:t>
      </w:r>
    </w:p>
    <w:p w:rsidR="00CB1090" w:rsidRPr="00AA227C" w:rsidRDefault="00CB1090" w:rsidP="00165830">
      <w:pPr>
        <w:pStyle w:val="BodyA"/>
        <w:jc w:val="both"/>
        <w:rPr>
          <w:rFonts w:ascii="Arial" w:hAnsi="Arial" w:cs="Arial"/>
          <w:sz w:val="22"/>
          <w:szCs w:val="22"/>
        </w:rPr>
      </w:pPr>
    </w:p>
    <w:p w:rsidR="00CB1090" w:rsidRPr="00AA227C" w:rsidRDefault="00127DE5" w:rsidP="00165830">
      <w:pPr>
        <w:pStyle w:val="Caption"/>
        <w:jc w:val="both"/>
        <w:rPr>
          <w:rFonts w:ascii="Arial" w:hAnsi="Arial" w:cs="Arial"/>
          <w:sz w:val="22"/>
          <w:szCs w:val="22"/>
          <w:lang w:val="en-US"/>
        </w:rPr>
      </w:pPr>
      <w:r>
        <w:fldChar w:fldCharType="begin"/>
      </w:r>
      <w:r w:rsidRPr="00127DE5">
        <w:rPr>
          <w:lang w:val="en-US"/>
        </w:rPr>
        <w:instrText xml:space="preserve"> HYPERLINK "http://www.nber.org/people/sara_heller" </w:instrText>
      </w:r>
      <w:r>
        <w:fldChar w:fldCharType="separate"/>
      </w:r>
      <w:proofErr w:type="gramStart"/>
      <w:r w:rsidR="00CB1090" w:rsidRPr="00AA227C">
        <w:rPr>
          <w:rStyle w:val="Hyperlink"/>
          <w:rFonts w:ascii="Arial" w:hAnsi="Arial" w:cs="Arial"/>
          <w:color w:val="auto"/>
          <w:sz w:val="22"/>
          <w:szCs w:val="22"/>
          <w:u w:val="none"/>
          <w:lang w:val="en-US"/>
        </w:rPr>
        <w:t>Heller</w:t>
      </w:r>
      <w:r>
        <w:rPr>
          <w:rStyle w:val="Hyperlink"/>
          <w:rFonts w:ascii="Arial" w:hAnsi="Arial" w:cs="Arial"/>
          <w:color w:val="auto"/>
          <w:sz w:val="22"/>
          <w:szCs w:val="22"/>
          <w:u w:val="none"/>
          <w:lang w:val="en-US"/>
        </w:rPr>
        <w:fldChar w:fldCharType="end"/>
      </w:r>
      <w:r w:rsidR="00CB1090" w:rsidRPr="00AA227C">
        <w:rPr>
          <w:rFonts w:ascii="Arial" w:hAnsi="Arial" w:cs="Arial"/>
          <w:sz w:val="22"/>
          <w:szCs w:val="22"/>
          <w:lang w:val="en-US"/>
        </w:rPr>
        <w:t>, S.B., </w:t>
      </w:r>
      <w:r>
        <w:fldChar w:fldCharType="begin"/>
      </w:r>
      <w:r w:rsidRPr="00127DE5">
        <w:rPr>
          <w:lang w:val="en-US"/>
        </w:rPr>
        <w:instrText xml:space="preserve"> HYPERLINK "http://www.nber.org/people/anuj_shah" </w:instrText>
      </w:r>
      <w:r>
        <w:fldChar w:fldCharType="separate"/>
      </w:r>
      <w:r w:rsidR="00CB1090" w:rsidRPr="00AA227C">
        <w:rPr>
          <w:rStyle w:val="Hyperlink"/>
          <w:rFonts w:ascii="Arial" w:hAnsi="Arial" w:cs="Arial"/>
          <w:color w:val="auto"/>
          <w:sz w:val="22"/>
          <w:szCs w:val="22"/>
          <w:u w:val="none"/>
          <w:lang w:val="en-US"/>
        </w:rPr>
        <w:t>Shah</w:t>
      </w:r>
      <w:r>
        <w:rPr>
          <w:rStyle w:val="Hyperlink"/>
          <w:rFonts w:ascii="Arial" w:hAnsi="Arial" w:cs="Arial"/>
          <w:color w:val="auto"/>
          <w:sz w:val="22"/>
          <w:szCs w:val="22"/>
          <w:u w:val="none"/>
          <w:lang w:val="en-US"/>
        </w:rPr>
        <w:fldChar w:fldCharType="end"/>
      </w:r>
      <w:r w:rsidR="00CB1090" w:rsidRPr="00AA227C">
        <w:rPr>
          <w:rFonts w:ascii="Arial" w:hAnsi="Arial" w:cs="Arial"/>
          <w:sz w:val="22"/>
          <w:szCs w:val="22"/>
          <w:lang w:val="en-US"/>
        </w:rPr>
        <w:t>, A.K., </w:t>
      </w:r>
      <w:proofErr w:type="spellStart"/>
      <w:r w:rsidR="00AF2EBC" w:rsidRPr="00AA227C">
        <w:fldChar w:fldCharType="begin"/>
      </w:r>
      <w:r w:rsidR="00AF2EBC" w:rsidRPr="00AA227C">
        <w:rPr>
          <w:sz w:val="22"/>
          <w:szCs w:val="22"/>
          <w:lang w:val="en-US"/>
        </w:rPr>
        <w:instrText xml:space="preserve"> HYPERLINK "http://www.nber.org/people/jonathan_guryan" </w:instrText>
      </w:r>
      <w:r w:rsidR="00AF2EBC" w:rsidRPr="00AA227C">
        <w:fldChar w:fldCharType="separate"/>
      </w:r>
      <w:r w:rsidR="00CB1090" w:rsidRPr="00AA227C">
        <w:rPr>
          <w:rStyle w:val="Hyperlink"/>
          <w:rFonts w:ascii="Arial" w:hAnsi="Arial" w:cs="Arial"/>
          <w:color w:val="auto"/>
          <w:sz w:val="22"/>
          <w:szCs w:val="22"/>
          <w:u w:val="none"/>
          <w:lang w:val="en-US"/>
        </w:rPr>
        <w:t>Guryan</w:t>
      </w:r>
      <w:proofErr w:type="spellEnd"/>
      <w:r w:rsidR="00AF2EBC" w:rsidRPr="00AA227C">
        <w:rPr>
          <w:rStyle w:val="Hyperlink"/>
          <w:rFonts w:ascii="Arial" w:hAnsi="Arial" w:cs="Arial"/>
          <w:color w:val="auto"/>
          <w:sz w:val="22"/>
          <w:szCs w:val="22"/>
          <w:u w:val="none"/>
          <w:lang w:val="en-US"/>
        </w:rPr>
        <w:fldChar w:fldCharType="end"/>
      </w:r>
      <w:r w:rsidR="00CB1090" w:rsidRPr="00AA227C">
        <w:rPr>
          <w:rFonts w:ascii="Arial" w:hAnsi="Arial" w:cs="Arial"/>
          <w:sz w:val="22"/>
          <w:szCs w:val="22"/>
          <w:lang w:val="en-US"/>
        </w:rPr>
        <w:t>, J., </w:t>
      </w:r>
      <w:r>
        <w:fldChar w:fldCharType="begin"/>
      </w:r>
      <w:r w:rsidRPr="00127DE5">
        <w:rPr>
          <w:lang w:val="en-US"/>
        </w:rPr>
        <w:instrText xml:space="preserve"> HYPERLINK "http://www.nber.org/people/jens_ludwig" </w:instrText>
      </w:r>
      <w:r>
        <w:fldChar w:fldCharType="separate"/>
      </w:r>
      <w:r w:rsidR="00CB1090" w:rsidRPr="00AA227C">
        <w:rPr>
          <w:rStyle w:val="Hyperlink"/>
          <w:rFonts w:ascii="Arial" w:hAnsi="Arial" w:cs="Arial"/>
          <w:color w:val="auto"/>
          <w:sz w:val="22"/>
          <w:szCs w:val="22"/>
          <w:u w:val="none"/>
          <w:lang w:val="en-US"/>
        </w:rPr>
        <w:t>Ludwig</w:t>
      </w:r>
      <w:r>
        <w:rPr>
          <w:rStyle w:val="Hyperlink"/>
          <w:rFonts w:ascii="Arial" w:hAnsi="Arial" w:cs="Arial"/>
          <w:color w:val="auto"/>
          <w:sz w:val="22"/>
          <w:szCs w:val="22"/>
          <w:u w:val="none"/>
          <w:lang w:val="en-US"/>
        </w:rPr>
        <w:fldChar w:fldCharType="end"/>
      </w:r>
      <w:r w:rsidR="00CB1090" w:rsidRPr="00AA227C">
        <w:rPr>
          <w:rFonts w:ascii="Arial" w:hAnsi="Arial" w:cs="Arial"/>
          <w:sz w:val="22"/>
          <w:szCs w:val="22"/>
          <w:lang w:val="en-US"/>
        </w:rPr>
        <w:t>, J., </w:t>
      </w:r>
      <w:r>
        <w:fldChar w:fldCharType="begin"/>
      </w:r>
      <w:r w:rsidRPr="00127DE5">
        <w:rPr>
          <w:lang w:val="en-US"/>
        </w:rPr>
        <w:instrText xml:space="preserve"> HYPERLINK "http://www.nber.org/people/sendhil_mullainathan" </w:instrText>
      </w:r>
      <w:r>
        <w:fldChar w:fldCharType="separate"/>
      </w:r>
      <w:r w:rsidR="00CB1090" w:rsidRPr="00AA227C">
        <w:rPr>
          <w:rStyle w:val="Hyperlink"/>
          <w:rFonts w:ascii="Arial" w:hAnsi="Arial" w:cs="Arial"/>
          <w:color w:val="auto"/>
          <w:sz w:val="22"/>
          <w:szCs w:val="22"/>
          <w:u w:val="none"/>
          <w:lang w:val="en-US"/>
        </w:rPr>
        <w:t>Mullainathan</w:t>
      </w:r>
      <w:r>
        <w:rPr>
          <w:rStyle w:val="Hyperlink"/>
          <w:rFonts w:ascii="Arial" w:hAnsi="Arial" w:cs="Arial"/>
          <w:color w:val="auto"/>
          <w:sz w:val="22"/>
          <w:szCs w:val="22"/>
          <w:u w:val="none"/>
          <w:lang w:val="en-US"/>
        </w:rPr>
        <w:fldChar w:fldCharType="end"/>
      </w:r>
      <w:r w:rsidR="00CB1090" w:rsidRPr="00AA227C">
        <w:rPr>
          <w:rFonts w:ascii="Arial" w:hAnsi="Arial" w:cs="Arial"/>
          <w:sz w:val="22"/>
          <w:szCs w:val="22"/>
          <w:lang w:val="en-US"/>
        </w:rPr>
        <w:t>, S., &amp; </w:t>
      </w:r>
      <w:r>
        <w:fldChar w:fldCharType="begin"/>
      </w:r>
      <w:r w:rsidRPr="00127DE5">
        <w:rPr>
          <w:lang w:val="en-US"/>
        </w:rPr>
        <w:instrText xml:space="preserve"> HYPERLINK "http://www.nber.org/people/harold_pollack" </w:instrText>
      </w:r>
      <w:r>
        <w:fldChar w:fldCharType="separate"/>
      </w:r>
      <w:r w:rsidR="00CB1090" w:rsidRPr="00AA227C">
        <w:rPr>
          <w:rStyle w:val="Hyperlink"/>
          <w:rFonts w:ascii="Arial" w:hAnsi="Arial" w:cs="Arial"/>
          <w:color w:val="auto"/>
          <w:sz w:val="22"/>
          <w:szCs w:val="22"/>
          <w:u w:val="none"/>
          <w:lang w:val="en-US"/>
        </w:rPr>
        <w:t>Pollack</w:t>
      </w:r>
      <w:r>
        <w:rPr>
          <w:rStyle w:val="Hyperlink"/>
          <w:rFonts w:ascii="Arial" w:hAnsi="Arial" w:cs="Arial"/>
          <w:color w:val="auto"/>
          <w:sz w:val="22"/>
          <w:szCs w:val="22"/>
          <w:u w:val="none"/>
          <w:lang w:val="en-US"/>
        </w:rPr>
        <w:fldChar w:fldCharType="end"/>
      </w:r>
      <w:r w:rsidR="00CB1090" w:rsidRPr="00AA227C">
        <w:rPr>
          <w:rStyle w:val="Hyperlink"/>
          <w:rFonts w:ascii="Arial" w:hAnsi="Arial" w:cs="Arial"/>
          <w:color w:val="auto"/>
          <w:sz w:val="22"/>
          <w:szCs w:val="22"/>
          <w:u w:val="none"/>
          <w:lang w:val="en-US"/>
        </w:rPr>
        <w:t>, H.A,</w:t>
      </w:r>
      <w:r w:rsidR="00CB1090" w:rsidRPr="00AA227C">
        <w:rPr>
          <w:rFonts w:ascii="Arial" w:hAnsi="Arial" w:cs="Arial"/>
          <w:sz w:val="22"/>
          <w:szCs w:val="22"/>
          <w:lang w:val="en-US"/>
        </w:rPr>
        <w:t xml:space="preserve"> (2015).</w:t>
      </w:r>
      <w:proofErr w:type="gramEnd"/>
      <w:r w:rsidR="00CB1090" w:rsidRPr="00AA227C">
        <w:rPr>
          <w:rFonts w:ascii="Arial" w:hAnsi="Arial" w:cs="Arial"/>
          <w:sz w:val="22"/>
          <w:szCs w:val="22"/>
          <w:lang w:val="en-US"/>
        </w:rPr>
        <w:t xml:space="preserve"> “Thinking, Fast and Slow? Some Field Experiments to Reduce Crime and Dropout in Chicago”. NBER Working Paper No. 21178</w:t>
      </w:r>
    </w:p>
    <w:p w:rsidR="002875C6" w:rsidRPr="00AA227C" w:rsidRDefault="002875C6" w:rsidP="00165830">
      <w:pPr>
        <w:jc w:val="both"/>
        <w:rPr>
          <w:rFonts w:ascii="Arial" w:hAnsi="Arial" w:cs="Arial"/>
          <w:lang w:val="en-US"/>
        </w:rPr>
      </w:pPr>
    </w:p>
    <w:p w:rsidR="002875C6" w:rsidRPr="00AA227C" w:rsidRDefault="003D1F50" w:rsidP="00165830">
      <w:pPr>
        <w:jc w:val="both"/>
        <w:rPr>
          <w:rFonts w:ascii="Arial" w:hAnsi="Arial" w:cs="Arial"/>
          <w:lang w:val="en-US"/>
        </w:rPr>
      </w:pPr>
      <w:proofErr w:type="spellStart"/>
      <w:r w:rsidRPr="00AA227C">
        <w:rPr>
          <w:rFonts w:ascii="Arial" w:hAnsi="Arial" w:cs="Arial"/>
          <w:shd w:val="clear" w:color="auto" w:fill="FFFFFF"/>
          <w:lang w:val="en-US"/>
        </w:rPr>
        <w:t>Kyegombe</w:t>
      </w:r>
      <w:proofErr w:type="spellEnd"/>
      <w:r w:rsidRPr="00AA227C">
        <w:rPr>
          <w:rFonts w:ascii="Arial" w:hAnsi="Arial" w:cs="Arial"/>
          <w:shd w:val="clear" w:color="auto" w:fill="FFFFFF"/>
          <w:lang w:val="en-US"/>
        </w:rPr>
        <w:t xml:space="preserve">, N., Abramsky, T., Devries, K.M., </w:t>
      </w:r>
      <w:proofErr w:type="spellStart"/>
      <w:r w:rsidRPr="00AA227C">
        <w:rPr>
          <w:rFonts w:ascii="Arial" w:hAnsi="Arial" w:cs="Arial"/>
          <w:shd w:val="clear" w:color="auto" w:fill="FFFFFF"/>
          <w:lang w:val="en-US"/>
        </w:rPr>
        <w:t>Michau</w:t>
      </w:r>
      <w:proofErr w:type="spellEnd"/>
      <w:r w:rsidRPr="00AA227C">
        <w:rPr>
          <w:rFonts w:ascii="Arial" w:hAnsi="Arial" w:cs="Arial"/>
          <w:shd w:val="clear" w:color="auto" w:fill="FFFFFF"/>
          <w:lang w:val="en-US"/>
        </w:rPr>
        <w:t xml:space="preserve">, L., </w:t>
      </w:r>
      <w:proofErr w:type="spellStart"/>
      <w:r w:rsidRPr="00AA227C">
        <w:rPr>
          <w:rFonts w:ascii="Arial" w:hAnsi="Arial" w:cs="Arial"/>
          <w:shd w:val="clear" w:color="auto" w:fill="FFFFFF"/>
          <w:lang w:val="en-US"/>
        </w:rPr>
        <w:t>Nakuti</w:t>
      </w:r>
      <w:proofErr w:type="spellEnd"/>
      <w:r w:rsidRPr="00AA227C">
        <w:rPr>
          <w:rFonts w:ascii="Arial" w:hAnsi="Arial" w:cs="Arial"/>
          <w:shd w:val="clear" w:color="auto" w:fill="FFFFFF"/>
          <w:lang w:val="en-US"/>
        </w:rPr>
        <w:t xml:space="preserve">, J., </w:t>
      </w:r>
      <w:proofErr w:type="spellStart"/>
      <w:r w:rsidRPr="00AA227C">
        <w:rPr>
          <w:rFonts w:ascii="Arial" w:hAnsi="Arial" w:cs="Arial"/>
          <w:shd w:val="clear" w:color="auto" w:fill="FFFFFF"/>
          <w:lang w:val="en-US"/>
        </w:rPr>
        <w:t>Starmann</w:t>
      </w:r>
      <w:proofErr w:type="spellEnd"/>
      <w:r w:rsidRPr="00AA227C">
        <w:rPr>
          <w:rFonts w:ascii="Arial" w:hAnsi="Arial" w:cs="Arial"/>
          <w:shd w:val="clear" w:color="auto" w:fill="FFFFFF"/>
          <w:lang w:val="en-US"/>
        </w:rPr>
        <w:t xml:space="preserve">, E., </w:t>
      </w:r>
      <w:proofErr w:type="spellStart"/>
      <w:r w:rsidRPr="00AA227C">
        <w:rPr>
          <w:rFonts w:ascii="Arial" w:hAnsi="Arial" w:cs="Arial"/>
          <w:shd w:val="clear" w:color="auto" w:fill="FFFFFF"/>
          <w:lang w:val="en-US"/>
        </w:rPr>
        <w:t>Musuya</w:t>
      </w:r>
      <w:proofErr w:type="spellEnd"/>
      <w:r w:rsidRPr="00AA227C">
        <w:rPr>
          <w:rFonts w:ascii="Arial" w:hAnsi="Arial" w:cs="Arial"/>
          <w:shd w:val="clear" w:color="auto" w:fill="FFFFFF"/>
          <w:lang w:val="en-US"/>
        </w:rPr>
        <w:t xml:space="preserve">, T., </w:t>
      </w:r>
      <w:proofErr w:type="spellStart"/>
      <w:r w:rsidRPr="00AA227C">
        <w:rPr>
          <w:rFonts w:ascii="Arial" w:hAnsi="Arial" w:cs="Arial"/>
          <w:shd w:val="clear" w:color="auto" w:fill="FFFFFF"/>
          <w:lang w:val="en-US"/>
        </w:rPr>
        <w:t>Heise</w:t>
      </w:r>
      <w:proofErr w:type="spellEnd"/>
      <w:r w:rsidRPr="00AA227C">
        <w:rPr>
          <w:rFonts w:ascii="Arial" w:hAnsi="Arial" w:cs="Arial"/>
          <w:shd w:val="clear" w:color="auto" w:fill="FFFFFF"/>
          <w:lang w:val="en-US"/>
        </w:rPr>
        <w:t>, L. &amp; Watts, C. (2015). “What is the potential for interventions designed to prevent violence against women to reduce children's exposure to violence? Findings from the SASA! study, Kampala, Uganda.”</w:t>
      </w:r>
      <w:r w:rsidRPr="00AA227C">
        <w:rPr>
          <w:rStyle w:val="apple-converted-space"/>
          <w:rFonts w:ascii="Arial" w:hAnsi="Arial" w:cs="Arial"/>
          <w:shd w:val="clear" w:color="auto" w:fill="FFFFFF"/>
          <w:lang w:val="en-US"/>
        </w:rPr>
        <w:t> </w:t>
      </w:r>
      <w:r w:rsidRPr="00AA227C">
        <w:rPr>
          <w:rFonts w:ascii="Arial" w:hAnsi="Arial" w:cs="Arial"/>
          <w:i/>
          <w:iCs/>
          <w:shd w:val="clear" w:color="auto" w:fill="FFFFFF"/>
          <w:lang w:val="en-US"/>
        </w:rPr>
        <w:t>Child abuse &amp; neglect</w:t>
      </w:r>
      <w:r w:rsidRPr="00AA227C">
        <w:rPr>
          <w:rFonts w:ascii="Arial" w:hAnsi="Arial" w:cs="Arial"/>
          <w:shd w:val="clear" w:color="auto" w:fill="FFFFFF"/>
          <w:lang w:val="en-US"/>
        </w:rPr>
        <w:t>,</w:t>
      </w:r>
      <w:r w:rsidRPr="00AA227C">
        <w:rPr>
          <w:rStyle w:val="apple-converted-space"/>
          <w:rFonts w:ascii="Arial" w:hAnsi="Arial" w:cs="Arial"/>
          <w:shd w:val="clear" w:color="auto" w:fill="FFFFFF"/>
          <w:lang w:val="en-US"/>
        </w:rPr>
        <w:t> </w:t>
      </w:r>
      <w:r w:rsidRPr="00AA227C">
        <w:rPr>
          <w:rFonts w:ascii="Arial" w:hAnsi="Arial" w:cs="Arial"/>
          <w:i/>
          <w:iCs/>
          <w:shd w:val="clear" w:color="auto" w:fill="FFFFFF"/>
          <w:lang w:val="en-US"/>
        </w:rPr>
        <w:t>50</w:t>
      </w:r>
      <w:r w:rsidRPr="00AA227C">
        <w:rPr>
          <w:rFonts w:ascii="Arial" w:hAnsi="Arial" w:cs="Arial"/>
          <w:shd w:val="clear" w:color="auto" w:fill="FFFFFF"/>
          <w:lang w:val="en-US"/>
        </w:rPr>
        <w:t>, pp.128-140.</w:t>
      </w:r>
    </w:p>
    <w:p w:rsidR="00CB1090" w:rsidRPr="00AA227C" w:rsidRDefault="00CB1090" w:rsidP="00165830">
      <w:pPr>
        <w:pStyle w:val="BodyA"/>
        <w:jc w:val="both"/>
        <w:rPr>
          <w:rFonts w:ascii="Arial" w:hAnsi="Arial" w:cs="Arial"/>
          <w:sz w:val="22"/>
          <w:szCs w:val="22"/>
        </w:rPr>
      </w:pPr>
    </w:p>
    <w:p w:rsidR="00CB1090" w:rsidRPr="00313535" w:rsidRDefault="00CB1090" w:rsidP="00165830">
      <w:pPr>
        <w:pStyle w:val="BodyA"/>
        <w:jc w:val="both"/>
        <w:rPr>
          <w:rFonts w:ascii="Arial" w:hAnsi="Arial" w:cs="Arial"/>
          <w:sz w:val="22"/>
          <w:szCs w:val="22"/>
        </w:rPr>
      </w:pPr>
      <w:r w:rsidRPr="00AA227C">
        <w:rPr>
          <w:rFonts w:ascii="Arial" w:hAnsi="Arial" w:cs="Arial"/>
          <w:sz w:val="22"/>
          <w:szCs w:val="22"/>
        </w:rPr>
        <w:lastRenderedPageBreak/>
        <w:t>N</w:t>
      </w:r>
      <w:r w:rsidRPr="00313535">
        <w:rPr>
          <w:rFonts w:ascii="Arial" w:hAnsi="Arial" w:cs="Arial"/>
          <w:sz w:val="22"/>
          <w:szCs w:val="22"/>
        </w:rPr>
        <w:t>ational Research Council (2004). “Fairness and Effectiveness in Policing: The Evidence”. Washington, DC: The National Academies Press.</w:t>
      </w:r>
    </w:p>
    <w:p w:rsidR="00E57B17" w:rsidRPr="00313535" w:rsidRDefault="00E57B17" w:rsidP="00165830">
      <w:pPr>
        <w:pStyle w:val="BodyA"/>
        <w:jc w:val="both"/>
        <w:rPr>
          <w:rFonts w:ascii="Arial" w:hAnsi="Arial" w:cs="Arial"/>
          <w:szCs w:val="22"/>
        </w:rPr>
      </w:pPr>
      <w:r w:rsidRPr="00313535">
        <w:rPr>
          <w:rFonts w:ascii="Arial" w:hAnsi="Arial" w:cs="Arial"/>
          <w:color w:val="222222"/>
          <w:sz w:val="22"/>
          <w:szCs w:val="20"/>
          <w:shd w:val="clear" w:color="auto" w:fill="FFFFFF"/>
        </w:rPr>
        <w:t>Olea, J. L. M., &amp; Strzalecki, T. (2014). Axiomatization and measurement of quasi-hyperbolic discounting.</w:t>
      </w:r>
      <w:r w:rsidRPr="00313535">
        <w:rPr>
          <w:rStyle w:val="apple-converted-space"/>
          <w:rFonts w:ascii="Arial" w:hAnsi="Arial" w:cs="Arial"/>
          <w:color w:val="222222"/>
          <w:sz w:val="22"/>
          <w:szCs w:val="20"/>
          <w:shd w:val="clear" w:color="auto" w:fill="FFFFFF"/>
        </w:rPr>
        <w:t> </w:t>
      </w:r>
      <w:r w:rsidRPr="00313535">
        <w:rPr>
          <w:rFonts w:ascii="Arial" w:hAnsi="Arial" w:cs="Arial"/>
          <w:i/>
          <w:iCs/>
          <w:color w:val="222222"/>
          <w:sz w:val="22"/>
          <w:szCs w:val="20"/>
          <w:shd w:val="clear" w:color="auto" w:fill="FFFFFF"/>
        </w:rPr>
        <w:t>The Quarterly Journal of Economics</w:t>
      </w:r>
      <w:r w:rsidRPr="00313535">
        <w:rPr>
          <w:rFonts w:ascii="Arial" w:hAnsi="Arial" w:cs="Arial"/>
          <w:color w:val="222222"/>
          <w:sz w:val="22"/>
          <w:szCs w:val="20"/>
          <w:shd w:val="clear" w:color="auto" w:fill="FFFFFF"/>
        </w:rPr>
        <w:t>,</w:t>
      </w:r>
      <w:r w:rsidRPr="00313535">
        <w:rPr>
          <w:rStyle w:val="apple-converted-space"/>
          <w:rFonts w:ascii="Arial" w:hAnsi="Arial" w:cs="Arial"/>
          <w:color w:val="222222"/>
          <w:sz w:val="22"/>
          <w:szCs w:val="20"/>
          <w:shd w:val="clear" w:color="auto" w:fill="FFFFFF"/>
        </w:rPr>
        <w:t> </w:t>
      </w:r>
      <w:r w:rsidRPr="00313535">
        <w:rPr>
          <w:rFonts w:ascii="Arial" w:hAnsi="Arial" w:cs="Arial"/>
          <w:i/>
          <w:iCs/>
          <w:color w:val="222222"/>
          <w:sz w:val="22"/>
          <w:szCs w:val="20"/>
          <w:shd w:val="clear" w:color="auto" w:fill="FFFFFF"/>
        </w:rPr>
        <w:t>129</w:t>
      </w:r>
      <w:r w:rsidRPr="00313535">
        <w:rPr>
          <w:rFonts w:ascii="Arial" w:hAnsi="Arial" w:cs="Arial"/>
          <w:color w:val="222222"/>
          <w:sz w:val="22"/>
          <w:szCs w:val="20"/>
          <w:shd w:val="clear" w:color="auto" w:fill="FFFFFF"/>
        </w:rPr>
        <w:t>(3), 1449-1499.</w:t>
      </w:r>
    </w:p>
    <w:p w:rsidR="000C1669" w:rsidRPr="00313535" w:rsidRDefault="000C1669" w:rsidP="00165830">
      <w:pPr>
        <w:pStyle w:val="BodyA"/>
        <w:jc w:val="both"/>
        <w:rPr>
          <w:rFonts w:ascii="Arial" w:hAnsi="Arial" w:cs="Arial"/>
          <w:sz w:val="22"/>
          <w:szCs w:val="22"/>
        </w:rPr>
      </w:pPr>
    </w:p>
    <w:p w:rsidR="00CB1090" w:rsidRPr="00313535" w:rsidRDefault="00CB1090" w:rsidP="00165830">
      <w:pPr>
        <w:pStyle w:val="BodyA"/>
        <w:jc w:val="both"/>
        <w:rPr>
          <w:rFonts w:ascii="Arial" w:hAnsi="Arial" w:cs="Arial"/>
          <w:sz w:val="22"/>
          <w:szCs w:val="22"/>
          <w:lang w:val="es-ES"/>
        </w:rPr>
      </w:pPr>
      <w:proofErr w:type="spellStart"/>
      <w:r w:rsidRPr="00313535">
        <w:rPr>
          <w:rFonts w:ascii="Arial" w:hAnsi="Arial" w:cs="Arial"/>
          <w:sz w:val="22"/>
          <w:szCs w:val="22"/>
        </w:rPr>
        <w:t>Ratcliffe</w:t>
      </w:r>
      <w:proofErr w:type="spellEnd"/>
      <w:r w:rsidRPr="00313535">
        <w:rPr>
          <w:rFonts w:ascii="Arial" w:hAnsi="Arial" w:cs="Arial"/>
          <w:sz w:val="22"/>
          <w:szCs w:val="22"/>
        </w:rPr>
        <w:t xml:space="preserve">, J., Taniguchi, T., Groff, E., &amp; Wood, J. (2011). “The Philadelphia foot Patrol Experiment: A Randomized Controlled Trial of Police Patrol Effectiveness in Violent Crime Hot Spots.” </w:t>
      </w:r>
      <w:r w:rsidRPr="00313535">
        <w:rPr>
          <w:rFonts w:ascii="Arial" w:hAnsi="Arial" w:cs="Arial"/>
          <w:i/>
          <w:sz w:val="22"/>
          <w:szCs w:val="22"/>
          <w:lang w:val="es-ES"/>
        </w:rPr>
        <w:t xml:space="preserve">Criminology </w:t>
      </w:r>
      <w:r w:rsidRPr="00313535">
        <w:rPr>
          <w:rFonts w:ascii="Arial" w:hAnsi="Arial" w:cs="Arial"/>
          <w:sz w:val="22"/>
          <w:szCs w:val="22"/>
          <w:lang w:val="es-ES"/>
        </w:rPr>
        <w:t xml:space="preserve">49:795-831. </w:t>
      </w:r>
    </w:p>
    <w:p w:rsidR="00CB1090" w:rsidRPr="00313535" w:rsidRDefault="00CB1090" w:rsidP="00165830">
      <w:pPr>
        <w:pStyle w:val="BodyA"/>
        <w:jc w:val="both"/>
        <w:rPr>
          <w:rFonts w:ascii="Arial" w:hAnsi="Arial" w:cs="Arial"/>
          <w:sz w:val="22"/>
          <w:szCs w:val="22"/>
          <w:lang w:val="es-ES"/>
        </w:rPr>
      </w:pPr>
    </w:p>
    <w:p w:rsidR="000C1669" w:rsidRPr="00313535" w:rsidRDefault="000C1669" w:rsidP="00165830">
      <w:pPr>
        <w:pStyle w:val="BodyA"/>
        <w:jc w:val="both"/>
        <w:rPr>
          <w:rFonts w:ascii="Arial" w:hAnsi="Arial" w:cs="Arial"/>
          <w:sz w:val="22"/>
          <w:szCs w:val="22"/>
          <w:lang w:val="es-ES"/>
        </w:rPr>
      </w:pPr>
      <w:r w:rsidRPr="00313535">
        <w:rPr>
          <w:rFonts w:ascii="Arial" w:hAnsi="Arial" w:cs="Arial"/>
          <w:sz w:val="22"/>
          <w:szCs w:val="22"/>
          <w:lang w:val="es-ES"/>
        </w:rPr>
        <w:t xml:space="preserve">Soares, R. (2015). “Un </w:t>
      </w:r>
      <w:r w:rsidR="007873A7" w:rsidRPr="00313535">
        <w:rPr>
          <w:rFonts w:ascii="Arial" w:hAnsi="Arial" w:cs="Arial"/>
          <w:sz w:val="22"/>
          <w:szCs w:val="22"/>
          <w:lang w:val="es-ES"/>
        </w:rPr>
        <w:t>marco conceptual para interpreta</w:t>
      </w:r>
      <w:r w:rsidRPr="00313535">
        <w:rPr>
          <w:rFonts w:ascii="Arial" w:hAnsi="Arial" w:cs="Arial"/>
          <w:sz w:val="22"/>
          <w:szCs w:val="22"/>
          <w:lang w:val="es-ES"/>
        </w:rPr>
        <w:t>r los costos del crimen en el bienestar”. En “Los costos del crimen y la violencia en el bienestar en América Latina y el Caribe”, Laura Jaitman, Ed., Banco Interamericano de Desarrollo</w:t>
      </w:r>
    </w:p>
    <w:p w:rsidR="000C1669" w:rsidRPr="00313535" w:rsidRDefault="000C1669" w:rsidP="00165830">
      <w:pPr>
        <w:pStyle w:val="BodyA"/>
        <w:jc w:val="both"/>
        <w:rPr>
          <w:rFonts w:ascii="Arial" w:hAnsi="Arial" w:cs="Arial"/>
          <w:sz w:val="22"/>
          <w:szCs w:val="22"/>
          <w:lang w:val="es-ES"/>
        </w:rPr>
      </w:pPr>
    </w:p>
    <w:p w:rsidR="00E57B17" w:rsidRPr="00313535" w:rsidRDefault="00CB1090" w:rsidP="00875249">
      <w:pPr>
        <w:jc w:val="both"/>
        <w:rPr>
          <w:lang w:val="en-US"/>
        </w:rPr>
      </w:pPr>
      <w:r w:rsidRPr="00313535">
        <w:rPr>
          <w:rFonts w:ascii="Arial" w:hAnsi="Arial" w:cs="Arial"/>
          <w:lang w:val="en-US"/>
        </w:rPr>
        <w:t xml:space="preserve">Taylor, B., Koper, C., &amp; Woods, D. (2011). “A Randomized Controlled Trial of Different Policing Strategies at Violent Crime Hot Spots.” </w:t>
      </w:r>
      <w:r w:rsidRPr="00313535">
        <w:rPr>
          <w:rFonts w:ascii="Arial" w:hAnsi="Arial" w:cs="Arial"/>
          <w:i/>
          <w:lang w:val="en-US"/>
        </w:rPr>
        <w:t xml:space="preserve">Journal of Experimental Criminology </w:t>
      </w:r>
      <w:r w:rsidRPr="00313535">
        <w:rPr>
          <w:rFonts w:ascii="Arial" w:hAnsi="Arial" w:cs="Arial"/>
          <w:lang w:val="en-US"/>
        </w:rPr>
        <w:t>7:3-26.</w:t>
      </w:r>
    </w:p>
    <w:p w:rsidR="00E57B17" w:rsidRPr="00313535" w:rsidRDefault="00E57B17" w:rsidP="00E57B17">
      <w:pPr>
        <w:jc w:val="both"/>
        <w:rPr>
          <w:rFonts w:ascii="Arial" w:hAnsi="Arial" w:cs="Arial"/>
          <w:i/>
          <w:sz w:val="28"/>
          <w:lang w:val="en-US"/>
        </w:rPr>
      </w:pPr>
      <w:r w:rsidRPr="00313535">
        <w:rPr>
          <w:rFonts w:ascii="Arial" w:hAnsi="Arial" w:cs="Arial"/>
          <w:szCs w:val="18"/>
          <w:lang w:val="en-US"/>
        </w:rPr>
        <w:t xml:space="preserve">Washington State Institute for Public Policy (2014). </w:t>
      </w:r>
      <w:r w:rsidRPr="00313535">
        <w:rPr>
          <w:rFonts w:ascii="Arial" w:hAnsi="Arial" w:cs="Arial"/>
          <w:i/>
          <w:iCs/>
          <w:szCs w:val="18"/>
          <w:lang w:val="en-US"/>
        </w:rPr>
        <w:t xml:space="preserve">Benefit-cost technical documentation. </w:t>
      </w:r>
      <w:r w:rsidRPr="00313535">
        <w:rPr>
          <w:rFonts w:ascii="Arial" w:hAnsi="Arial" w:cs="Arial"/>
          <w:szCs w:val="18"/>
          <w:lang w:val="en-US"/>
        </w:rPr>
        <w:t>Olympia, WA:</w:t>
      </w:r>
    </w:p>
    <w:p w:rsidR="007873A7" w:rsidRPr="00313535" w:rsidRDefault="00181F9C" w:rsidP="00165830">
      <w:pPr>
        <w:jc w:val="both"/>
        <w:rPr>
          <w:rFonts w:ascii="Arial" w:hAnsi="Arial" w:cs="Arial"/>
          <w:i/>
          <w:lang w:val="en-US"/>
        </w:rPr>
      </w:pPr>
      <w:proofErr w:type="spellStart"/>
      <w:r w:rsidRPr="00313535">
        <w:rPr>
          <w:rFonts w:ascii="Arial" w:hAnsi="Arial" w:cs="Arial"/>
          <w:lang w:val="en-US"/>
        </w:rPr>
        <w:t>Weisburd</w:t>
      </w:r>
      <w:proofErr w:type="spellEnd"/>
      <w:r w:rsidRPr="00313535">
        <w:rPr>
          <w:rFonts w:ascii="Arial" w:hAnsi="Arial" w:cs="Arial"/>
          <w:lang w:val="en-US"/>
        </w:rPr>
        <w:t>,</w:t>
      </w:r>
      <w:r w:rsidR="007873A7" w:rsidRPr="00313535">
        <w:rPr>
          <w:rFonts w:ascii="Arial" w:hAnsi="Arial" w:cs="Arial"/>
          <w:lang w:val="en-US"/>
        </w:rPr>
        <w:t xml:space="preserve"> D.,</w:t>
      </w:r>
      <w:r w:rsidRPr="00313535">
        <w:rPr>
          <w:rFonts w:ascii="Arial" w:hAnsi="Arial" w:cs="Arial"/>
          <w:lang w:val="en-US"/>
        </w:rPr>
        <w:t xml:space="preserve"> Telep,</w:t>
      </w:r>
      <w:r w:rsidR="007873A7" w:rsidRPr="00313535">
        <w:rPr>
          <w:rFonts w:ascii="Arial" w:hAnsi="Arial" w:cs="Arial"/>
          <w:lang w:val="en-US"/>
        </w:rPr>
        <w:t xml:space="preserve"> C.W., </w:t>
      </w:r>
      <w:r w:rsidRPr="00313535">
        <w:rPr>
          <w:rFonts w:ascii="Arial" w:hAnsi="Arial" w:cs="Arial"/>
          <w:lang w:val="en-US"/>
        </w:rPr>
        <w:t>Hinkle,</w:t>
      </w:r>
      <w:r w:rsidR="007873A7" w:rsidRPr="00313535">
        <w:rPr>
          <w:rFonts w:ascii="Arial" w:hAnsi="Arial" w:cs="Arial"/>
          <w:lang w:val="en-US"/>
        </w:rPr>
        <w:t xml:space="preserve"> J.C., &amp; Eck, J.</w:t>
      </w:r>
      <w:r w:rsidRPr="00313535">
        <w:rPr>
          <w:rFonts w:ascii="Arial" w:hAnsi="Arial" w:cs="Arial"/>
          <w:lang w:val="en-US"/>
        </w:rPr>
        <w:t>E.</w:t>
      </w:r>
      <w:r w:rsidR="007873A7" w:rsidRPr="00313535">
        <w:rPr>
          <w:rFonts w:ascii="Arial" w:hAnsi="Arial" w:cs="Arial"/>
          <w:lang w:val="en-US"/>
        </w:rPr>
        <w:t xml:space="preserve"> (2008). “The Effects of Problem Oriented Policing on Crime and Disorder”. </w:t>
      </w:r>
      <w:r w:rsidR="007873A7" w:rsidRPr="00313535">
        <w:rPr>
          <w:rFonts w:ascii="Arial" w:hAnsi="Arial" w:cs="Arial"/>
          <w:i/>
          <w:lang w:val="en-US"/>
        </w:rPr>
        <w:t xml:space="preserve">Campbell Systematic Reviews </w:t>
      </w:r>
      <w:r w:rsidR="007873A7" w:rsidRPr="00313535">
        <w:rPr>
          <w:rFonts w:ascii="Arial" w:hAnsi="Arial" w:cs="Arial"/>
          <w:lang w:val="en-US"/>
        </w:rPr>
        <w:t>2008:14.</w:t>
      </w:r>
      <w:r w:rsidR="007873A7" w:rsidRPr="00313535">
        <w:rPr>
          <w:rFonts w:ascii="Arial" w:hAnsi="Arial" w:cs="Arial"/>
          <w:i/>
          <w:lang w:val="en-US"/>
        </w:rPr>
        <w:t xml:space="preserve"> </w:t>
      </w:r>
    </w:p>
    <w:p w:rsidR="00CB1090" w:rsidRPr="00AA227C" w:rsidRDefault="00CB1090" w:rsidP="00165830">
      <w:pPr>
        <w:jc w:val="both"/>
        <w:rPr>
          <w:rFonts w:ascii="Arial" w:hAnsi="Arial" w:cs="Arial"/>
          <w:lang w:val="en-US"/>
        </w:rPr>
      </w:pPr>
      <w:r w:rsidRPr="00313535">
        <w:rPr>
          <w:rFonts w:ascii="Arial" w:hAnsi="Arial" w:cs="Arial"/>
          <w:lang w:val="en-US"/>
        </w:rPr>
        <w:t xml:space="preserve">Weisburd, D.L., &amp; Eck, J. (2004). “What can Police do to Reduce Crime, Disorder, and Fear?” </w:t>
      </w:r>
      <w:r w:rsidRPr="00313535">
        <w:rPr>
          <w:rFonts w:ascii="Arial" w:hAnsi="Arial" w:cs="Arial"/>
          <w:i/>
          <w:lang w:val="en-US"/>
        </w:rPr>
        <w:t xml:space="preserve">Annals of the American Academy of Political and Social Science </w:t>
      </w:r>
      <w:r w:rsidRPr="00313535">
        <w:rPr>
          <w:rFonts w:ascii="Arial" w:hAnsi="Arial" w:cs="Arial"/>
          <w:lang w:val="en-US"/>
        </w:rPr>
        <w:t>593: 42-65.</w:t>
      </w:r>
    </w:p>
    <w:sectPr w:rsidR="00CB1090" w:rsidRPr="00AA227C" w:rsidSect="00AA227C">
      <w:pgSz w:w="11906" w:h="16838"/>
      <w:pgMar w:top="1440" w:right="1800" w:bottom="1440" w:left="1800"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19C3" w:rsidRDefault="00D019C3" w:rsidP="003C11EA">
      <w:pPr>
        <w:spacing w:after="0" w:line="240" w:lineRule="auto"/>
      </w:pPr>
      <w:r>
        <w:separator/>
      </w:r>
    </w:p>
  </w:endnote>
  <w:endnote w:type="continuationSeparator" w:id="0">
    <w:p w:rsidR="00D019C3" w:rsidRDefault="00D019C3" w:rsidP="003C11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20002A87" w:usb1="00000000" w:usb2="00000000" w:usb3="00000000" w:csb0="000001FF" w:csb1="00000000"/>
  </w:font>
  <w:font w:name="Times">
    <w:panose1 w:val="02020603050405020304"/>
    <w:charset w:val="00"/>
    <w:family w:val="roman"/>
    <w:notTrueType/>
    <w:pitch w:val="default"/>
  </w:font>
  <w:font w:name="Segoe UI">
    <w:panose1 w:val="020B0502040204020203"/>
    <w:charset w:val="00"/>
    <w:family w:val="swiss"/>
    <w:pitch w:val="variable"/>
    <w:sig w:usb0="E10022FF" w:usb1="C000E47F" w:usb2="00000029" w:usb3="00000000" w:csb0="000001D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19C3" w:rsidRDefault="00D019C3" w:rsidP="003C11EA">
      <w:pPr>
        <w:spacing w:after="0" w:line="240" w:lineRule="auto"/>
      </w:pPr>
      <w:r>
        <w:separator/>
      </w:r>
    </w:p>
  </w:footnote>
  <w:footnote w:type="continuationSeparator" w:id="0">
    <w:p w:rsidR="00D019C3" w:rsidRDefault="00D019C3" w:rsidP="003C11EA">
      <w:pPr>
        <w:spacing w:after="0" w:line="240" w:lineRule="auto"/>
      </w:pPr>
      <w:r>
        <w:continuationSeparator/>
      </w:r>
    </w:p>
  </w:footnote>
  <w:footnote w:id="1">
    <w:p w:rsidR="00E14296" w:rsidRPr="007D0EEE" w:rsidRDefault="00E14296" w:rsidP="00970839">
      <w:pPr>
        <w:pStyle w:val="FootnoteText"/>
        <w:jc w:val="both"/>
        <w:rPr>
          <w:rFonts w:ascii="Arial" w:hAnsi="Arial" w:cs="Arial"/>
          <w:sz w:val="18"/>
          <w:szCs w:val="18"/>
        </w:rPr>
      </w:pPr>
      <w:r w:rsidRPr="007D0EEE">
        <w:rPr>
          <w:rStyle w:val="FootnoteReference"/>
          <w:rFonts w:ascii="Arial" w:hAnsi="Arial" w:cs="Arial"/>
          <w:sz w:val="18"/>
          <w:szCs w:val="18"/>
        </w:rPr>
        <w:footnoteRef/>
      </w:r>
      <w:r w:rsidRPr="007D0EEE">
        <w:rPr>
          <w:rFonts w:ascii="Arial" w:hAnsi="Arial" w:cs="Arial"/>
          <w:sz w:val="18"/>
          <w:szCs w:val="18"/>
        </w:rPr>
        <w:t xml:space="preserve"> Hay que tener en cuenta que la estimación de costos hecha no es un análisis de “equilibrio general”. Es decir, podría suceder que una mayor cantidad de delitos no lleve a aumentar el costo total para la sociedad en la misma proporción: quizás el aumento del presupuesto asignado a la Policía tiene efectos de eficacia que hacen bajar la necesidad de servicio privado de guardia. Para el análisis de las políticas, es importante no perder de vista los posibles efectos “equilibrio general”.</w:t>
      </w:r>
    </w:p>
  </w:footnote>
  <w:footnote w:id="2">
    <w:p w:rsidR="00E14296" w:rsidRPr="007D0EEE" w:rsidRDefault="00E14296" w:rsidP="00AA227C">
      <w:pPr>
        <w:pStyle w:val="FootnoteText"/>
        <w:jc w:val="both"/>
        <w:rPr>
          <w:rFonts w:ascii="Arial" w:hAnsi="Arial" w:cs="Arial"/>
          <w:sz w:val="18"/>
          <w:szCs w:val="18"/>
        </w:rPr>
      </w:pPr>
      <w:r w:rsidRPr="007D0EEE">
        <w:rPr>
          <w:rStyle w:val="FootnoteReference"/>
          <w:rFonts w:ascii="Arial" w:hAnsi="Arial" w:cs="Arial"/>
          <w:sz w:val="18"/>
          <w:szCs w:val="18"/>
        </w:rPr>
        <w:footnoteRef/>
      </w:r>
      <w:r w:rsidRPr="007D0EEE">
        <w:rPr>
          <w:rFonts w:ascii="Arial" w:hAnsi="Arial" w:cs="Arial"/>
          <w:sz w:val="18"/>
          <w:szCs w:val="18"/>
        </w:rPr>
        <w:t xml:space="preserve"> Si se tuviera en cuenta las erogaciones que hará el Ministerio del Interior por concepto de bono mensual extra de 200 USD de incentivo para cada oficial de policía que participe en PADO, el Costo total del Componente 1 pasaría a ser 10.111.366, y el ratio </w:t>
      </w:r>
      <w:r>
        <w:rPr>
          <w:rFonts w:ascii="Arial" w:hAnsi="Arial" w:cs="Arial"/>
          <w:sz w:val="18"/>
          <w:szCs w:val="18"/>
        </w:rPr>
        <w:t>b</w:t>
      </w:r>
      <w:r w:rsidRPr="007D0EEE">
        <w:rPr>
          <w:rFonts w:ascii="Arial" w:hAnsi="Arial" w:cs="Arial"/>
          <w:sz w:val="18"/>
          <w:szCs w:val="18"/>
        </w:rPr>
        <w:t>eneficio</w:t>
      </w:r>
      <w:r>
        <w:rPr>
          <w:rFonts w:ascii="Arial" w:hAnsi="Arial" w:cs="Arial"/>
          <w:sz w:val="18"/>
          <w:szCs w:val="18"/>
        </w:rPr>
        <w:t xml:space="preserve"> costo</w:t>
      </w:r>
      <w:r w:rsidRPr="007D0EEE">
        <w:rPr>
          <w:rFonts w:ascii="Arial" w:hAnsi="Arial" w:cs="Arial"/>
          <w:sz w:val="18"/>
          <w:szCs w:val="18"/>
        </w:rPr>
        <w:t xml:space="preserve"> sería de 9,9, donde 9,9 significa que se recuperará 9,9 USD por cada dólar invertido.</w:t>
      </w:r>
    </w:p>
  </w:footnote>
  <w:footnote w:id="3">
    <w:p w:rsidR="00E14296" w:rsidRPr="007D0EEE" w:rsidRDefault="00E14296" w:rsidP="00970839">
      <w:pPr>
        <w:pStyle w:val="FootnoteText"/>
        <w:jc w:val="both"/>
        <w:rPr>
          <w:rFonts w:ascii="Arial" w:hAnsi="Arial" w:cs="Arial"/>
          <w:sz w:val="18"/>
          <w:szCs w:val="18"/>
        </w:rPr>
      </w:pPr>
      <w:r w:rsidRPr="007D0EEE">
        <w:rPr>
          <w:rStyle w:val="FootnoteReference"/>
          <w:rFonts w:ascii="Arial" w:hAnsi="Arial" w:cs="Arial"/>
          <w:sz w:val="18"/>
          <w:szCs w:val="18"/>
        </w:rPr>
        <w:footnoteRef/>
      </w:r>
      <w:r w:rsidRPr="007D0EEE">
        <w:rPr>
          <w:rFonts w:ascii="Arial" w:hAnsi="Arial" w:cs="Arial"/>
          <w:sz w:val="18"/>
          <w:szCs w:val="18"/>
        </w:rPr>
        <w:t xml:space="preserve"> La violencia intrafamiliar y la violencia juvenil suelen coexistir en un mismo hogar. Kyegombe et al. (2015), empleando datos de un experimento de campo entre 2007 y 2012 en Kampala (Uganda), encuentran que el programa SASA!, inicialmente diseñado para la violencia de género, termina impactando también positivamente en los niños y jóvenes pues la intervención disminuye la exposición a la violencia que enfrenta este grupo etario.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D21E2"/>
    <w:multiLevelType w:val="hybridMultilevel"/>
    <w:tmpl w:val="76F4FABC"/>
    <w:lvl w:ilvl="0" w:tplc="E8F47798">
      <w:start w:val="1"/>
      <w:numFmt w:val="lowerLetter"/>
      <w:lvlText w:val="%1."/>
      <w:lvlJc w:val="left"/>
      <w:pPr>
        <w:ind w:left="2484" w:hanging="360"/>
      </w:pPr>
      <w:rPr>
        <w:rFonts w:hint="default"/>
        <w:b/>
      </w:rPr>
    </w:lvl>
    <w:lvl w:ilvl="1" w:tplc="0C0A0019" w:tentative="1">
      <w:start w:val="1"/>
      <w:numFmt w:val="lowerLetter"/>
      <w:lvlText w:val="%2."/>
      <w:lvlJc w:val="left"/>
      <w:pPr>
        <w:ind w:left="3204" w:hanging="360"/>
      </w:pPr>
    </w:lvl>
    <w:lvl w:ilvl="2" w:tplc="0C0A001B" w:tentative="1">
      <w:start w:val="1"/>
      <w:numFmt w:val="lowerRoman"/>
      <w:lvlText w:val="%3."/>
      <w:lvlJc w:val="right"/>
      <w:pPr>
        <w:ind w:left="3924" w:hanging="180"/>
      </w:pPr>
    </w:lvl>
    <w:lvl w:ilvl="3" w:tplc="0C0A000F" w:tentative="1">
      <w:start w:val="1"/>
      <w:numFmt w:val="decimal"/>
      <w:lvlText w:val="%4."/>
      <w:lvlJc w:val="left"/>
      <w:pPr>
        <w:ind w:left="4644" w:hanging="360"/>
      </w:pPr>
    </w:lvl>
    <w:lvl w:ilvl="4" w:tplc="0C0A0019" w:tentative="1">
      <w:start w:val="1"/>
      <w:numFmt w:val="lowerLetter"/>
      <w:lvlText w:val="%5."/>
      <w:lvlJc w:val="left"/>
      <w:pPr>
        <w:ind w:left="5364" w:hanging="360"/>
      </w:pPr>
    </w:lvl>
    <w:lvl w:ilvl="5" w:tplc="0C0A001B" w:tentative="1">
      <w:start w:val="1"/>
      <w:numFmt w:val="lowerRoman"/>
      <w:lvlText w:val="%6."/>
      <w:lvlJc w:val="right"/>
      <w:pPr>
        <w:ind w:left="6084" w:hanging="180"/>
      </w:pPr>
    </w:lvl>
    <w:lvl w:ilvl="6" w:tplc="0C0A000F" w:tentative="1">
      <w:start w:val="1"/>
      <w:numFmt w:val="decimal"/>
      <w:lvlText w:val="%7."/>
      <w:lvlJc w:val="left"/>
      <w:pPr>
        <w:ind w:left="6804" w:hanging="360"/>
      </w:pPr>
    </w:lvl>
    <w:lvl w:ilvl="7" w:tplc="0C0A0019" w:tentative="1">
      <w:start w:val="1"/>
      <w:numFmt w:val="lowerLetter"/>
      <w:lvlText w:val="%8."/>
      <w:lvlJc w:val="left"/>
      <w:pPr>
        <w:ind w:left="7524" w:hanging="360"/>
      </w:pPr>
    </w:lvl>
    <w:lvl w:ilvl="8" w:tplc="0C0A001B" w:tentative="1">
      <w:start w:val="1"/>
      <w:numFmt w:val="lowerRoman"/>
      <w:lvlText w:val="%9."/>
      <w:lvlJc w:val="right"/>
      <w:pPr>
        <w:ind w:left="8244" w:hanging="180"/>
      </w:pPr>
    </w:lvl>
  </w:abstractNum>
  <w:abstractNum w:abstractNumId="1">
    <w:nsid w:val="166441E7"/>
    <w:multiLevelType w:val="hybridMultilevel"/>
    <w:tmpl w:val="8638B500"/>
    <w:lvl w:ilvl="0" w:tplc="0E8089E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7415436"/>
    <w:multiLevelType w:val="hybridMultilevel"/>
    <w:tmpl w:val="D1BEE6FE"/>
    <w:lvl w:ilvl="0" w:tplc="31C82CBA">
      <w:start w:val="1"/>
      <w:numFmt w:val="lowerLetter"/>
      <w:lvlText w:val="%1."/>
      <w:lvlJc w:val="left"/>
      <w:pPr>
        <w:ind w:left="1080" w:hanging="360"/>
      </w:pPr>
      <w:rPr>
        <w:rFonts w:hint="default"/>
        <w:b w:val="0"/>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A433DD4"/>
    <w:multiLevelType w:val="multilevel"/>
    <w:tmpl w:val="40487C26"/>
    <w:lvl w:ilvl="0">
      <w:start w:val="2"/>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nsid w:val="43793B0B"/>
    <w:multiLevelType w:val="multilevel"/>
    <w:tmpl w:val="35EAAE50"/>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5">
    <w:nsid w:val="47F308CC"/>
    <w:multiLevelType w:val="hybridMultilevel"/>
    <w:tmpl w:val="F6C8110A"/>
    <w:lvl w:ilvl="0" w:tplc="F66E8C22">
      <w:start w:val="1"/>
      <w:numFmt w:val="lowerLetter"/>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E902261"/>
    <w:multiLevelType w:val="hybridMultilevel"/>
    <w:tmpl w:val="801AE25C"/>
    <w:lvl w:ilvl="0" w:tplc="69FC4F14">
      <w:start w:val="1"/>
      <w:numFmt w:val="lowerRoman"/>
      <w:lvlText w:val="(%1)"/>
      <w:lvlJc w:val="left"/>
      <w:pPr>
        <w:ind w:left="2160" w:hanging="720"/>
      </w:pPr>
      <w:rPr>
        <w:rFonts w:hint="default"/>
        <w:b w:val="0"/>
        <w:u w:val="no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4EE608B0"/>
    <w:multiLevelType w:val="hybridMultilevel"/>
    <w:tmpl w:val="7264C562"/>
    <w:lvl w:ilvl="0" w:tplc="91609F08">
      <w:start w:val="1"/>
      <w:numFmt w:val="lowerLetter"/>
      <w:lvlText w:val="%1."/>
      <w:lvlJc w:val="left"/>
      <w:pPr>
        <w:ind w:left="2844" w:hanging="360"/>
      </w:pPr>
      <w:rPr>
        <w:rFonts w:hint="default"/>
      </w:rPr>
    </w:lvl>
    <w:lvl w:ilvl="1" w:tplc="0C0A0019" w:tentative="1">
      <w:start w:val="1"/>
      <w:numFmt w:val="lowerLetter"/>
      <w:lvlText w:val="%2."/>
      <w:lvlJc w:val="left"/>
      <w:pPr>
        <w:ind w:left="3564" w:hanging="360"/>
      </w:pPr>
    </w:lvl>
    <w:lvl w:ilvl="2" w:tplc="0C0A001B" w:tentative="1">
      <w:start w:val="1"/>
      <w:numFmt w:val="lowerRoman"/>
      <w:lvlText w:val="%3."/>
      <w:lvlJc w:val="right"/>
      <w:pPr>
        <w:ind w:left="4284" w:hanging="180"/>
      </w:pPr>
    </w:lvl>
    <w:lvl w:ilvl="3" w:tplc="0C0A000F" w:tentative="1">
      <w:start w:val="1"/>
      <w:numFmt w:val="decimal"/>
      <w:lvlText w:val="%4."/>
      <w:lvlJc w:val="left"/>
      <w:pPr>
        <w:ind w:left="5004" w:hanging="360"/>
      </w:pPr>
    </w:lvl>
    <w:lvl w:ilvl="4" w:tplc="0C0A0019" w:tentative="1">
      <w:start w:val="1"/>
      <w:numFmt w:val="lowerLetter"/>
      <w:lvlText w:val="%5."/>
      <w:lvlJc w:val="left"/>
      <w:pPr>
        <w:ind w:left="5724" w:hanging="360"/>
      </w:pPr>
    </w:lvl>
    <w:lvl w:ilvl="5" w:tplc="0C0A001B" w:tentative="1">
      <w:start w:val="1"/>
      <w:numFmt w:val="lowerRoman"/>
      <w:lvlText w:val="%6."/>
      <w:lvlJc w:val="right"/>
      <w:pPr>
        <w:ind w:left="6444" w:hanging="180"/>
      </w:pPr>
    </w:lvl>
    <w:lvl w:ilvl="6" w:tplc="0C0A000F" w:tentative="1">
      <w:start w:val="1"/>
      <w:numFmt w:val="decimal"/>
      <w:lvlText w:val="%7."/>
      <w:lvlJc w:val="left"/>
      <w:pPr>
        <w:ind w:left="7164" w:hanging="360"/>
      </w:pPr>
    </w:lvl>
    <w:lvl w:ilvl="7" w:tplc="0C0A0019" w:tentative="1">
      <w:start w:val="1"/>
      <w:numFmt w:val="lowerLetter"/>
      <w:lvlText w:val="%8."/>
      <w:lvlJc w:val="left"/>
      <w:pPr>
        <w:ind w:left="7884" w:hanging="360"/>
      </w:pPr>
    </w:lvl>
    <w:lvl w:ilvl="8" w:tplc="0C0A001B" w:tentative="1">
      <w:start w:val="1"/>
      <w:numFmt w:val="lowerRoman"/>
      <w:lvlText w:val="%9."/>
      <w:lvlJc w:val="right"/>
      <w:pPr>
        <w:ind w:left="8604" w:hanging="180"/>
      </w:pPr>
    </w:lvl>
  </w:abstractNum>
  <w:abstractNum w:abstractNumId="8">
    <w:nsid w:val="50DC4DE9"/>
    <w:multiLevelType w:val="hybridMultilevel"/>
    <w:tmpl w:val="7ABE39CC"/>
    <w:lvl w:ilvl="0" w:tplc="9B7A1E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609923C8"/>
    <w:multiLevelType w:val="multilevel"/>
    <w:tmpl w:val="8386323A"/>
    <w:lvl w:ilvl="0">
      <w:start w:val="1"/>
      <w:numFmt w:val="upperRoman"/>
      <w:pStyle w:val="Heading1"/>
      <w:lvlText w:val="%1."/>
      <w:lvlJc w:val="center"/>
      <w:pPr>
        <w:tabs>
          <w:tab w:val="num" w:pos="360"/>
        </w:tabs>
        <w:ind w:left="288" w:hanging="288"/>
      </w:pPr>
      <w:rPr>
        <w:rFonts w:ascii="Times New Roman Bold" w:hAnsi="Times New Roman Bold" w:hint="default"/>
        <w:b/>
        <w:i w:val="0"/>
        <w:sz w:val="24"/>
      </w:rPr>
    </w:lvl>
    <w:lvl w:ilvl="1">
      <w:start w:val="1"/>
      <w:numFmt w:val="decimal"/>
      <w:pStyle w:val="AutoNumpara"/>
      <w:isLgl/>
      <w:lvlText w:val="%1.%2"/>
      <w:lvlJc w:val="left"/>
      <w:pPr>
        <w:tabs>
          <w:tab w:val="num" w:pos="720"/>
        </w:tabs>
        <w:ind w:left="720" w:hanging="720"/>
      </w:pPr>
      <w:rPr>
        <w:rFonts w:hint="default"/>
        <w:b w:val="0"/>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pStyle w:val="Heading5"/>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0">
    <w:nsid w:val="61E85D1A"/>
    <w:multiLevelType w:val="multilevel"/>
    <w:tmpl w:val="FA927B2C"/>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b w:val="0"/>
        <w:lang w:val="es-E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63893DEB"/>
    <w:multiLevelType w:val="multilevel"/>
    <w:tmpl w:val="C55848B2"/>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715A4DDF"/>
    <w:multiLevelType w:val="hybridMultilevel"/>
    <w:tmpl w:val="17C05F48"/>
    <w:lvl w:ilvl="0" w:tplc="D96A4022">
      <w:start w:val="1"/>
      <w:numFmt w:val="lowerLetter"/>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75A16157"/>
    <w:multiLevelType w:val="hybridMultilevel"/>
    <w:tmpl w:val="F3A814A6"/>
    <w:lvl w:ilvl="0" w:tplc="306878A6">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7E6C5309"/>
    <w:multiLevelType w:val="hybridMultilevel"/>
    <w:tmpl w:val="4A5ACCA4"/>
    <w:lvl w:ilvl="0" w:tplc="345AB7AC">
      <w:start w:val="1"/>
      <w:numFmt w:val="lowerLetter"/>
      <w:lvlText w:val="%1."/>
      <w:lvlJc w:val="left"/>
      <w:pPr>
        <w:ind w:left="1440" w:hanging="360"/>
      </w:pPr>
      <w:rPr>
        <w:rFonts w:hint="default"/>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0"/>
  </w:num>
  <w:num w:numId="2">
    <w:abstractNumId w:val="4"/>
  </w:num>
  <w:num w:numId="3">
    <w:abstractNumId w:val="9"/>
  </w:num>
  <w:num w:numId="4">
    <w:abstractNumId w:val="0"/>
  </w:num>
  <w:num w:numId="5">
    <w:abstractNumId w:val="7"/>
  </w:num>
  <w:num w:numId="6">
    <w:abstractNumId w:val="11"/>
  </w:num>
  <w:num w:numId="7">
    <w:abstractNumId w:val="3"/>
  </w:num>
  <w:num w:numId="8">
    <w:abstractNumId w:val="8"/>
  </w:num>
  <w:num w:numId="9">
    <w:abstractNumId w:val="13"/>
  </w:num>
  <w:num w:numId="10">
    <w:abstractNumId w:val="14"/>
  </w:num>
  <w:num w:numId="11">
    <w:abstractNumId w:val="12"/>
  </w:num>
  <w:num w:numId="12">
    <w:abstractNumId w:val="6"/>
  </w:num>
  <w:num w:numId="13">
    <w:abstractNumId w:val="5"/>
  </w:num>
  <w:num w:numId="14">
    <w:abstractNumId w:val="1"/>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pt-BR" w:vendorID="64" w:dllVersion="131078" w:nlCheck="1" w:checkStyle="0"/>
  <w:activeWritingStyle w:appName="MSWord" w:lang="en-US" w:vendorID="64" w:dllVersion="131078" w:nlCheck="1" w:checkStyle="0"/>
  <w:activeWritingStyle w:appName="MSWord" w:lang="es-PE" w:vendorID="64" w:dllVersion="131078" w:nlCheck="1" w:checkStyle="0"/>
  <w:activeWritingStyle w:appName="MSWord" w:lang="es-ES" w:vendorID="64" w:dllVersion="131078"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880"/>
    <w:rsid w:val="00012B53"/>
    <w:rsid w:val="00014347"/>
    <w:rsid w:val="000162F3"/>
    <w:rsid w:val="0003712A"/>
    <w:rsid w:val="00042747"/>
    <w:rsid w:val="00047C7A"/>
    <w:rsid w:val="000A6893"/>
    <w:rsid w:val="000B62F5"/>
    <w:rsid w:val="000C1669"/>
    <w:rsid w:val="000C4B8F"/>
    <w:rsid w:val="000C6157"/>
    <w:rsid w:val="000E495B"/>
    <w:rsid w:val="000F2D5F"/>
    <w:rsid w:val="000F36A7"/>
    <w:rsid w:val="001032BB"/>
    <w:rsid w:val="00104EA7"/>
    <w:rsid w:val="00110615"/>
    <w:rsid w:val="00117D0C"/>
    <w:rsid w:val="001224ED"/>
    <w:rsid w:val="00127DE5"/>
    <w:rsid w:val="0013356C"/>
    <w:rsid w:val="00154D3A"/>
    <w:rsid w:val="00165830"/>
    <w:rsid w:val="00165E20"/>
    <w:rsid w:val="00166B06"/>
    <w:rsid w:val="00171AF1"/>
    <w:rsid w:val="00181F9C"/>
    <w:rsid w:val="00182256"/>
    <w:rsid w:val="00182D6B"/>
    <w:rsid w:val="0018550A"/>
    <w:rsid w:val="00185571"/>
    <w:rsid w:val="00187126"/>
    <w:rsid w:val="00193362"/>
    <w:rsid w:val="001B2D8C"/>
    <w:rsid w:val="001B58B0"/>
    <w:rsid w:val="001C20F1"/>
    <w:rsid w:val="001C2D34"/>
    <w:rsid w:val="001D79E9"/>
    <w:rsid w:val="001F49A7"/>
    <w:rsid w:val="001F5A73"/>
    <w:rsid w:val="00202A20"/>
    <w:rsid w:val="00216556"/>
    <w:rsid w:val="00224F82"/>
    <w:rsid w:val="002375DB"/>
    <w:rsid w:val="00242FAE"/>
    <w:rsid w:val="002532FF"/>
    <w:rsid w:val="00261F9B"/>
    <w:rsid w:val="00274DF7"/>
    <w:rsid w:val="00275F65"/>
    <w:rsid w:val="00287183"/>
    <w:rsid w:val="002875C6"/>
    <w:rsid w:val="00292482"/>
    <w:rsid w:val="00296C60"/>
    <w:rsid w:val="002A1ADC"/>
    <w:rsid w:val="002D2C8E"/>
    <w:rsid w:val="00300AE8"/>
    <w:rsid w:val="003066E8"/>
    <w:rsid w:val="0031023C"/>
    <w:rsid w:val="00313535"/>
    <w:rsid w:val="00355F78"/>
    <w:rsid w:val="00362D37"/>
    <w:rsid w:val="003738B2"/>
    <w:rsid w:val="003741B0"/>
    <w:rsid w:val="00385B98"/>
    <w:rsid w:val="00390DD4"/>
    <w:rsid w:val="00391B38"/>
    <w:rsid w:val="0039571F"/>
    <w:rsid w:val="003A34AD"/>
    <w:rsid w:val="003A64D1"/>
    <w:rsid w:val="003B43D1"/>
    <w:rsid w:val="003B5108"/>
    <w:rsid w:val="003C0CC0"/>
    <w:rsid w:val="003C11EA"/>
    <w:rsid w:val="003C2DCD"/>
    <w:rsid w:val="003D1F50"/>
    <w:rsid w:val="003E1409"/>
    <w:rsid w:val="00412A7E"/>
    <w:rsid w:val="00442F40"/>
    <w:rsid w:val="00470304"/>
    <w:rsid w:val="00471C62"/>
    <w:rsid w:val="004762ED"/>
    <w:rsid w:val="00476BC1"/>
    <w:rsid w:val="004832D6"/>
    <w:rsid w:val="00485C3E"/>
    <w:rsid w:val="004863F4"/>
    <w:rsid w:val="0048642D"/>
    <w:rsid w:val="004905FD"/>
    <w:rsid w:val="004A25E5"/>
    <w:rsid w:val="004B5D97"/>
    <w:rsid w:val="004D62D3"/>
    <w:rsid w:val="00521142"/>
    <w:rsid w:val="00557600"/>
    <w:rsid w:val="00560189"/>
    <w:rsid w:val="00561EB3"/>
    <w:rsid w:val="00564E18"/>
    <w:rsid w:val="005701F7"/>
    <w:rsid w:val="005959E3"/>
    <w:rsid w:val="005A3F68"/>
    <w:rsid w:val="005C7902"/>
    <w:rsid w:val="005D411A"/>
    <w:rsid w:val="005E01E4"/>
    <w:rsid w:val="005F1CCC"/>
    <w:rsid w:val="005F25A0"/>
    <w:rsid w:val="005F730A"/>
    <w:rsid w:val="006027FD"/>
    <w:rsid w:val="00602D43"/>
    <w:rsid w:val="00624C62"/>
    <w:rsid w:val="00642059"/>
    <w:rsid w:val="00644390"/>
    <w:rsid w:val="0065706A"/>
    <w:rsid w:val="00672D85"/>
    <w:rsid w:val="00676FC3"/>
    <w:rsid w:val="006A2009"/>
    <w:rsid w:val="006B39F5"/>
    <w:rsid w:val="006D3F64"/>
    <w:rsid w:val="006E76B9"/>
    <w:rsid w:val="006F39FF"/>
    <w:rsid w:val="007028DA"/>
    <w:rsid w:val="007062C3"/>
    <w:rsid w:val="00716DCE"/>
    <w:rsid w:val="00717619"/>
    <w:rsid w:val="00746AE8"/>
    <w:rsid w:val="00763B6F"/>
    <w:rsid w:val="00765A3B"/>
    <w:rsid w:val="0078737D"/>
    <w:rsid w:val="007873A7"/>
    <w:rsid w:val="00792EA0"/>
    <w:rsid w:val="00797FD3"/>
    <w:rsid w:val="007A0D5C"/>
    <w:rsid w:val="007B51CD"/>
    <w:rsid w:val="007C7A43"/>
    <w:rsid w:val="007D0EEE"/>
    <w:rsid w:val="007F0773"/>
    <w:rsid w:val="00807965"/>
    <w:rsid w:val="00810D08"/>
    <w:rsid w:val="008228EB"/>
    <w:rsid w:val="00823270"/>
    <w:rsid w:val="00874AF4"/>
    <w:rsid w:val="00875249"/>
    <w:rsid w:val="00890399"/>
    <w:rsid w:val="00891710"/>
    <w:rsid w:val="008A5008"/>
    <w:rsid w:val="008C610F"/>
    <w:rsid w:val="008E10EB"/>
    <w:rsid w:val="0090091F"/>
    <w:rsid w:val="0090707C"/>
    <w:rsid w:val="009315BB"/>
    <w:rsid w:val="00937AC6"/>
    <w:rsid w:val="00970839"/>
    <w:rsid w:val="00991737"/>
    <w:rsid w:val="00991E03"/>
    <w:rsid w:val="00995776"/>
    <w:rsid w:val="00995D8E"/>
    <w:rsid w:val="009A5922"/>
    <w:rsid w:val="009A730B"/>
    <w:rsid w:val="009B11EC"/>
    <w:rsid w:val="009B2CC9"/>
    <w:rsid w:val="009B6D71"/>
    <w:rsid w:val="009F4880"/>
    <w:rsid w:val="009F7866"/>
    <w:rsid w:val="009F7F78"/>
    <w:rsid w:val="00A046A9"/>
    <w:rsid w:val="00A05601"/>
    <w:rsid w:val="00A13C5D"/>
    <w:rsid w:val="00A16E2D"/>
    <w:rsid w:val="00A57DB0"/>
    <w:rsid w:val="00A66AC6"/>
    <w:rsid w:val="00A80603"/>
    <w:rsid w:val="00AA227C"/>
    <w:rsid w:val="00AB44FC"/>
    <w:rsid w:val="00AC4830"/>
    <w:rsid w:val="00AF2EBC"/>
    <w:rsid w:val="00B06285"/>
    <w:rsid w:val="00B111B9"/>
    <w:rsid w:val="00B24DA1"/>
    <w:rsid w:val="00B31B67"/>
    <w:rsid w:val="00B55762"/>
    <w:rsid w:val="00B61A54"/>
    <w:rsid w:val="00B70954"/>
    <w:rsid w:val="00B76E6E"/>
    <w:rsid w:val="00BB6704"/>
    <w:rsid w:val="00BC1853"/>
    <w:rsid w:val="00BD02D6"/>
    <w:rsid w:val="00BE2988"/>
    <w:rsid w:val="00BF0B41"/>
    <w:rsid w:val="00C05114"/>
    <w:rsid w:val="00C1215B"/>
    <w:rsid w:val="00C37059"/>
    <w:rsid w:val="00C4670F"/>
    <w:rsid w:val="00C52F26"/>
    <w:rsid w:val="00C600FD"/>
    <w:rsid w:val="00C62809"/>
    <w:rsid w:val="00C812ED"/>
    <w:rsid w:val="00C9718A"/>
    <w:rsid w:val="00CB1090"/>
    <w:rsid w:val="00CC1077"/>
    <w:rsid w:val="00CD68A2"/>
    <w:rsid w:val="00D019C3"/>
    <w:rsid w:val="00D037BE"/>
    <w:rsid w:val="00D062F7"/>
    <w:rsid w:val="00D07AF6"/>
    <w:rsid w:val="00D10019"/>
    <w:rsid w:val="00D30F98"/>
    <w:rsid w:val="00D475C4"/>
    <w:rsid w:val="00D53F1B"/>
    <w:rsid w:val="00D7759B"/>
    <w:rsid w:val="00D81392"/>
    <w:rsid w:val="00D81D6A"/>
    <w:rsid w:val="00D8715A"/>
    <w:rsid w:val="00D900DE"/>
    <w:rsid w:val="00DD4F0D"/>
    <w:rsid w:val="00DD5E6E"/>
    <w:rsid w:val="00E06116"/>
    <w:rsid w:val="00E1070E"/>
    <w:rsid w:val="00E14296"/>
    <w:rsid w:val="00E25042"/>
    <w:rsid w:val="00E33114"/>
    <w:rsid w:val="00E339A8"/>
    <w:rsid w:val="00E57B17"/>
    <w:rsid w:val="00E62079"/>
    <w:rsid w:val="00E96F6C"/>
    <w:rsid w:val="00EA23D9"/>
    <w:rsid w:val="00EA6985"/>
    <w:rsid w:val="00EC5722"/>
    <w:rsid w:val="00ED08AC"/>
    <w:rsid w:val="00EE39A8"/>
    <w:rsid w:val="00EF7BDF"/>
    <w:rsid w:val="00F04DF2"/>
    <w:rsid w:val="00F42CDA"/>
    <w:rsid w:val="00F431A2"/>
    <w:rsid w:val="00F5561B"/>
    <w:rsid w:val="00F63240"/>
    <w:rsid w:val="00F6390F"/>
    <w:rsid w:val="00F63BE8"/>
    <w:rsid w:val="00F7374D"/>
    <w:rsid w:val="00F85CA6"/>
    <w:rsid w:val="00F87E51"/>
    <w:rsid w:val="00F90C7E"/>
    <w:rsid w:val="00F934EA"/>
    <w:rsid w:val="00FA5957"/>
    <w:rsid w:val="00FB0DEC"/>
    <w:rsid w:val="00FC305E"/>
    <w:rsid w:val="00FD5DB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eading 1.I"/>
    <w:next w:val="Normal"/>
    <w:link w:val="Heading1Char"/>
    <w:qFormat/>
    <w:rsid w:val="00602D43"/>
    <w:pPr>
      <w:keepNext/>
      <w:numPr>
        <w:numId w:val="3"/>
      </w:numPr>
      <w:spacing w:before="240" w:after="240" w:line="240" w:lineRule="auto"/>
      <w:jc w:val="center"/>
      <w:outlineLvl w:val="0"/>
    </w:pPr>
    <w:rPr>
      <w:rFonts w:ascii="Times New Roman Bold" w:eastAsia="Times New Roman" w:hAnsi="Times New Roman Bold" w:cs="Times New Roman"/>
      <w:b/>
      <w:smallCaps/>
      <w:noProof/>
      <w:sz w:val="28"/>
      <w:szCs w:val="20"/>
      <w:lang w:val="en-US"/>
    </w:rPr>
  </w:style>
  <w:style w:type="paragraph" w:styleId="Heading4">
    <w:name w:val="heading 4"/>
    <w:aliases w:val="Heading 4.a"/>
    <w:next w:val="Normal"/>
    <w:link w:val="Heading4Char"/>
    <w:qFormat/>
    <w:rsid w:val="00602D43"/>
    <w:pPr>
      <w:keepNext/>
      <w:numPr>
        <w:ilvl w:val="2"/>
        <w:numId w:val="3"/>
      </w:numPr>
      <w:tabs>
        <w:tab w:val="left" w:pos="1440"/>
      </w:tabs>
      <w:spacing w:before="120" w:after="120" w:line="240" w:lineRule="auto"/>
      <w:jc w:val="both"/>
      <w:outlineLvl w:val="3"/>
    </w:pPr>
    <w:rPr>
      <w:rFonts w:ascii="Times New Roman Bold" w:eastAsia="Times New Roman" w:hAnsi="Times New Roman Bold" w:cs="Times New Roman"/>
      <w:b/>
      <w:noProof/>
      <w:sz w:val="24"/>
      <w:szCs w:val="20"/>
      <w:lang w:val="en-US"/>
    </w:rPr>
  </w:style>
  <w:style w:type="paragraph" w:styleId="Heading5">
    <w:name w:val="heading 5"/>
    <w:aliases w:val="Heading 5.(i)"/>
    <w:next w:val="Normal"/>
    <w:link w:val="Heading5Char"/>
    <w:qFormat/>
    <w:rsid w:val="00602D43"/>
    <w:pPr>
      <w:keepNext/>
      <w:numPr>
        <w:ilvl w:val="3"/>
        <w:numId w:val="3"/>
      </w:numPr>
      <w:spacing w:before="120" w:after="120" w:line="240" w:lineRule="auto"/>
      <w:jc w:val="both"/>
      <w:outlineLvl w:val="4"/>
    </w:pPr>
    <w:rPr>
      <w:rFonts w:ascii="Times New Roman Bold" w:eastAsia="Times New Roman" w:hAnsi="Times New Roman Bold" w:cs="Times New Roman"/>
      <w:b/>
      <w:noProof/>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1AF1"/>
    <w:pPr>
      <w:spacing w:after="200" w:line="276" w:lineRule="auto"/>
      <w:ind w:left="720"/>
      <w:contextualSpacing/>
    </w:pPr>
    <w:rPr>
      <w:lang w:val="es-PE"/>
    </w:rPr>
  </w:style>
  <w:style w:type="paragraph" w:styleId="Title">
    <w:name w:val="Title"/>
    <w:basedOn w:val="Normal"/>
    <w:link w:val="TitleChar"/>
    <w:qFormat/>
    <w:rsid w:val="00171AF1"/>
    <w:pPr>
      <w:tabs>
        <w:tab w:val="left" w:pos="1440"/>
        <w:tab w:val="left" w:pos="3060"/>
      </w:tabs>
      <w:spacing w:after="0" w:line="240" w:lineRule="auto"/>
      <w:jc w:val="center"/>
      <w:outlineLvl w:val="0"/>
    </w:pPr>
    <w:rPr>
      <w:rFonts w:ascii="Times New Roman" w:eastAsia="Times New Roman" w:hAnsi="Times New Roman" w:cs="Times New Roman"/>
      <w:sz w:val="24"/>
      <w:szCs w:val="20"/>
      <w:lang w:val="en-US"/>
    </w:rPr>
  </w:style>
  <w:style w:type="character" w:customStyle="1" w:styleId="TitleChar">
    <w:name w:val="Title Char"/>
    <w:basedOn w:val="DefaultParagraphFont"/>
    <w:link w:val="Title"/>
    <w:rsid w:val="00171AF1"/>
    <w:rPr>
      <w:rFonts w:ascii="Times New Roman" w:eastAsia="Times New Roman" w:hAnsi="Times New Roman" w:cs="Times New Roman"/>
      <w:sz w:val="24"/>
      <w:szCs w:val="20"/>
      <w:lang w:val="en-US"/>
    </w:rPr>
  </w:style>
  <w:style w:type="paragraph" w:styleId="BodyText">
    <w:name w:val="Body Text"/>
    <w:basedOn w:val="Normal"/>
    <w:link w:val="BodyTextChar"/>
    <w:uiPriority w:val="99"/>
    <w:semiHidden/>
    <w:unhideWhenUsed/>
    <w:rsid w:val="00171AF1"/>
    <w:pPr>
      <w:spacing w:after="120" w:line="240" w:lineRule="auto"/>
    </w:pPr>
    <w:rPr>
      <w:rFonts w:ascii="Cambria" w:eastAsia="MS Mincho" w:hAnsi="Cambria" w:cs="Times New Roman"/>
      <w:sz w:val="24"/>
      <w:szCs w:val="24"/>
      <w:lang w:val="en-US" w:eastAsia="ja-JP"/>
    </w:rPr>
  </w:style>
  <w:style w:type="character" w:customStyle="1" w:styleId="BodyTextChar">
    <w:name w:val="Body Text Char"/>
    <w:basedOn w:val="DefaultParagraphFont"/>
    <w:link w:val="BodyText"/>
    <w:uiPriority w:val="99"/>
    <w:semiHidden/>
    <w:rsid w:val="00171AF1"/>
    <w:rPr>
      <w:rFonts w:ascii="Cambria" w:eastAsia="MS Mincho" w:hAnsi="Cambria" w:cs="Times New Roman"/>
      <w:sz w:val="24"/>
      <w:szCs w:val="24"/>
      <w:lang w:val="en-US" w:eastAsia="ja-JP"/>
    </w:rPr>
  </w:style>
  <w:style w:type="paragraph" w:customStyle="1" w:styleId="Newpage">
    <w:name w:val="Newpage"/>
    <w:basedOn w:val="Normal"/>
    <w:rsid w:val="00171AF1"/>
    <w:pPr>
      <w:tabs>
        <w:tab w:val="left" w:pos="1440"/>
        <w:tab w:val="left" w:pos="3060"/>
      </w:tabs>
      <w:spacing w:after="0" w:line="240" w:lineRule="auto"/>
      <w:jc w:val="center"/>
    </w:pPr>
    <w:rPr>
      <w:rFonts w:ascii="Times New Roman" w:eastAsia="Times New Roman" w:hAnsi="Times New Roman" w:cs="Arial"/>
      <w:b/>
      <w:smallCaps/>
      <w:sz w:val="24"/>
      <w:szCs w:val="20"/>
      <w:lang w:val="en-US"/>
    </w:rPr>
  </w:style>
  <w:style w:type="character" w:customStyle="1" w:styleId="Heading1Char">
    <w:name w:val="Heading 1 Char"/>
    <w:aliases w:val="Heading 1.I Char"/>
    <w:basedOn w:val="DefaultParagraphFont"/>
    <w:link w:val="Heading1"/>
    <w:rsid w:val="00602D43"/>
    <w:rPr>
      <w:rFonts w:ascii="Times New Roman Bold" w:eastAsia="Times New Roman" w:hAnsi="Times New Roman Bold" w:cs="Times New Roman"/>
      <w:b/>
      <w:smallCaps/>
      <w:noProof/>
      <w:sz w:val="28"/>
      <w:szCs w:val="20"/>
      <w:lang w:val="en-US"/>
    </w:rPr>
  </w:style>
  <w:style w:type="character" w:customStyle="1" w:styleId="Heading4Char">
    <w:name w:val="Heading 4 Char"/>
    <w:aliases w:val="Heading 4.a Char"/>
    <w:basedOn w:val="DefaultParagraphFont"/>
    <w:link w:val="Heading4"/>
    <w:rsid w:val="00602D43"/>
    <w:rPr>
      <w:rFonts w:ascii="Times New Roman Bold" w:eastAsia="Times New Roman" w:hAnsi="Times New Roman Bold" w:cs="Times New Roman"/>
      <w:b/>
      <w:noProof/>
      <w:sz w:val="24"/>
      <w:szCs w:val="20"/>
      <w:lang w:val="en-US"/>
    </w:rPr>
  </w:style>
  <w:style w:type="character" w:customStyle="1" w:styleId="Heading5Char">
    <w:name w:val="Heading 5 Char"/>
    <w:aliases w:val="Heading 5.(i) Char"/>
    <w:basedOn w:val="DefaultParagraphFont"/>
    <w:link w:val="Heading5"/>
    <w:rsid w:val="00602D43"/>
    <w:rPr>
      <w:rFonts w:ascii="Times New Roman Bold" w:eastAsia="Times New Roman" w:hAnsi="Times New Roman Bold" w:cs="Times New Roman"/>
      <w:b/>
      <w:noProof/>
      <w:sz w:val="24"/>
      <w:szCs w:val="20"/>
      <w:lang w:val="en-US"/>
    </w:rPr>
  </w:style>
  <w:style w:type="paragraph" w:customStyle="1" w:styleId="AutoNumpara">
    <w:name w:val="AutoNumpara"/>
    <w:basedOn w:val="BodyTextIndent"/>
    <w:rsid w:val="00602D43"/>
    <w:pPr>
      <w:numPr>
        <w:ilvl w:val="1"/>
        <w:numId w:val="3"/>
      </w:numPr>
      <w:tabs>
        <w:tab w:val="clear" w:pos="720"/>
        <w:tab w:val="num" w:pos="360"/>
      </w:tabs>
      <w:spacing w:before="120" w:line="240" w:lineRule="auto"/>
      <w:ind w:left="283" w:firstLine="0"/>
      <w:jc w:val="both"/>
    </w:pPr>
    <w:rPr>
      <w:rFonts w:ascii="Times New Roman" w:eastAsia="Times New Roman" w:hAnsi="Times New Roman" w:cs="Times New Roman"/>
      <w:noProof/>
      <w:spacing w:val="-2"/>
      <w:sz w:val="24"/>
      <w:szCs w:val="20"/>
      <w:lang w:val="es-ES_tradnl" w:eastAsia="x-none"/>
    </w:rPr>
  </w:style>
  <w:style w:type="paragraph" w:styleId="BodyTextIndent">
    <w:name w:val="Body Text Indent"/>
    <w:basedOn w:val="Normal"/>
    <w:link w:val="BodyTextIndentChar"/>
    <w:uiPriority w:val="99"/>
    <w:semiHidden/>
    <w:unhideWhenUsed/>
    <w:rsid w:val="00602D43"/>
    <w:pPr>
      <w:spacing w:after="120"/>
      <w:ind w:left="283"/>
    </w:pPr>
  </w:style>
  <w:style w:type="character" w:customStyle="1" w:styleId="BodyTextIndentChar">
    <w:name w:val="Body Text Indent Char"/>
    <w:basedOn w:val="DefaultParagraphFont"/>
    <w:link w:val="BodyTextIndent"/>
    <w:uiPriority w:val="99"/>
    <w:semiHidden/>
    <w:rsid w:val="00602D43"/>
  </w:style>
  <w:style w:type="character" w:styleId="Hyperlink">
    <w:name w:val="Hyperlink"/>
    <w:basedOn w:val="DefaultParagraphFont"/>
    <w:rsid w:val="00CB1090"/>
    <w:rPr>
      <w:rFonts w:ascii="Times New Roman" w:hAnsi="Times New Roman"/>
      <w:color w:val="0000FF"/>
      <w:sz w:val="24"/>
      <w:u w:val="single"/>
    </w:rPr>
  </w:style>
  <w:style w:type="paragraph" w:styleId="Caption">
    <w:name w:val="caption"/>
    <w:basedOn w:val="Normal"/>
    <w:next w:val="Normal"/>
    <w:qFormat/>
    <w:rsid w:val="00CB1090"/>
    <w:pPr>
      <w:widowControl w:val="0"/>
      <w:spacing w:after="0" w:line="240" w:lineRule="auto"/>
    </w:pPr>
    <w:rPr>
      <w:rFonts w:ascii="Times New Roman" w:eastAsia="Times New Roman" w:hAnsi="Times New Roman" w:cs="Times New Roman"/>
      <w:spacing w:val="-3"/>
      <w:sz w:val="24"/>
      <w:szCs w:val="20"/>
      <w:lang w:val="es-ES_tradnl"/>
    </w:rPr>
  </w:style>
  <w:style w:type="paragraph" w:customStyle="1" w:styleId="BodyA">
    <w:name w:val="Body A"/>
    <w:rsid w:val="00CB1090"/>
    <w:pPr>
      <w:pBdr>
        <w:top w:val="nil"/>
        <w:left w:val="nil"/>
        <w:bottom w:val="nil"/>
        <w:right w:val="nil"/>
        <w:between w:val="nil"/>
        <w:bar w:val="nil"/>
      </w:pBdr>
      <w:spacing w:after="0" w:line="240" w:lineRule="auto"/>
    </w:pPr>
    <w:rPr>
      <w:rFonts w:ascii="Times" w:eastAsia="Times" w:hAnsi="Times" w:cs="Times"/>
      <w:color w:val="000000"/>
      <w:sz w:val="24"/>
      <w:szCs w:val="24"/>
      <w:u w:color="000000"/>
      <w:bdr w:val="nil"/>
      <w:lang w:val="en-US" w:eastAsia="en-GB"/>
    </w:rPr>
  </w:style>
  <w:style w:type="character" w:customStyle="1" w:styleId="apple-converted-space">
    <w:name w:val="apple-converted-space"/>
    <w:basedOn w:val="DefaultParagraphFont"/>
    <w:rsid w:val="00FC305E"/>
  </w:style>
  <w:style w:type="paragraph" w:styleId="FootnoteText">
    <w:name w:val="footnote text"/>
    <w:basedOn w:val="Normal"/>
    <w:link w:val="FootnoteTextChar"/>
    <w:uiPriority w:val="99"/>
    <w:semiHidden/>
    <w:unhideWhenUsed/>
    <w:rsid w:val="003C11E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C11EA"/>
    <w:rPr>
      <w:sz w:val="20"/>
      <w:szCs w:val="20"/>
    </w:rPr>
  </w:style>
  <w:style w:type="character" w:styleId="FootnoteReference">
    <w:name w:val="footnote reference"/>
    <w:basedOn w:val="DefaultParagraphFont"/>
    <w:uiPriority w:val="99"/>
    <w:semiHidden/>
    <w:unhideWhenUsed/>
    <w:rsid w:val="003C11EA"/>
    <w:rPr>
      <w:vertAlign w:val="superscript"/>
    </w:rPr>
  </w:style>
  <w:style w:type="table" w:styleId="TableGrid">
    <w:name w:val="Table Grid"/>
    <w:basedOn w:val="TableNormal"/>
    <w:uiPriority w:val="39"/>
    <w:rsid w:val="00012B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24F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4F82"/>
    <w:rPr>
      <w:rFonts w:ascii="Segoe UI" w:hAnsi="Segoe UI" w:cs="Segoe UI"/>
      <w:sz w:val="18"/>
      <w:szCs w:val="18"/>
    </w:rPr>
  </w:style>
  <w:style w:type="paragraph" w:customStyle="1" w:styleId="Default">
    <w:name w:val="Default"/>
    <w:rsid w:val="00E57B17"/>
    <w:pPr>
      <w:autoSpaceDE w:val="0"/>
      <w:autoSpaceDN w:val="0"/>
      <w:adjustRightInd w:val="0"/>
      <w:spacing w:after="0" w:line="240" w:lineRule="auto"/>
    </w:pPr>
    <w:rPr>
      <w:rFonts w:ascii="Segoe UI" w:hAnsi="Segoe UI" w:cs="Segoe U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eading 1.I"/>
    <w:next w:val="Normal"/>
    <w:link w:val="Heading1Char"/>
    <w:qFormat/>
    <w:rsid w:val="00602D43"/>
    <w:pPr>
      <w:keepNext/>
      <w:numPr>
        <w:numId w:val="3"/>
      </w:numPr>
      <w:spacing w:before="240" w:after="240" w:line="240" w:lineRule="auto"/>
      <w:jc w:val="center"/>
      <w:outlineLvl w:val="0"/>
    </w:pPr>
    <w:rPr>
      <w:rFonts w:ascii="Times New Roman Bold" w:eastAsia="Times New Roman" w:hAnsi="Times New Roman Bold" w:cs="Times New Roman"/>
      <w:b/>
      <w:smallCaps/>
      <w:noProof/>
      <w:sz w:val="28"/>
      <w:szCs w:val="20"/>
      <w:lang w:val="en-US"/>
    </w:rPr>
  </w:style>
  <w:style w:type="paragraph" w:styleId="Heading4">
    <w:name w:val="heading 4"/>
    <w:aliases w:val="Heading 4.a"/>
    <w:next w:val="Normal"/>
    <w:link w:val="Heading4Char"/>
    <w:qFormat/>
    <w:rsid w:val="00602D43"/>
    <w:pPr>
      <w:keepNext/>
      <w:numPr>
        <w:ilvl w:val="2"/>
        <w:numId w:val="3"/>
      </w:numPr>
      <w:tabs>
        <w:tab w:val="left" w:pos="1440"/>
      </w:tabs>
      <w:spacing w:before="120" w:after="120" w:line="240" w:lineRule="auto"/>
      <w:jc w:val="both"/>
      <w:outlineLvl w:val="3"/>
    </w:pPr>
    <w:rPr>
      <w:rFonts w:ascii="Times New Roman Bold" w:eastAsia="Times New Roman" w:hAnsi="Times New Roman Bold" w:cs="Times New Roman"/>
      <w:b/>
      <w:noProof/>
      <w:sz w:val="24"/>
      <w:szCs w:val="20"/>
      <w:lang w:val="en-US"/>
    </w:rPr>
  </w:style>
  <w:style w:type="paragraph" w:styleId="Heading5">
    <w:name w:val="heading 5"/>
    <w:aliases w:val="Heading 5.(i)"/>
    <w:next w:val="Normal"/>
    <w:link w:val="Heading5Char"/>
    <w:qFormat/>
    <w:rsid w:val="00602D43"/>
    <w:pPr>
      <w:keepNext/>
      <w:numPr>
        <w:ilvl w:val="3"/>
        <w:numId w:val="3"/>
      </w:numPr>
      <w:spacing w:before="120" w:after="120" w:line="240" w:lineRule="auto"/>
      <w:jc w:val="both"/>
      <w:outlineLvl w:val="4"/>
    </w:pPr>
    <w:rPr>
      <w:rFonts w:ascii="Times New Roman Bold" w:eastAsia="Times New Roman" w:hAnsi="Times New Roman Bold" w:cs="Times New Roman"/>
      <w:b/>
      <w:noProof/>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1AF1"/>
    <w:pPr>
      <w:spacing w:after="200" w:line="276" w:lineRule="auto"/>
      <w:ind w:left="720"/>
      <w:contextualSpacing/>
    </w:pPr>
    <w:rPr>
      <w:lang w:val="es-PE"/>
    </w:rPr>
  </w:style>
  <w:style w:type="paragraph" w:styleId="Title">
    <w:name w:val="Title"/>
    <w:basedOn w:val="Normal"/>
    <w:link w:val="TitleChar"/>
    <w:qFormat/>
    <w:rsid w:val="00171AF1"/>
    <w:pPr>
      <w:tabs>
        <w:tab w:val="left" w:pos="1440"/>
        <w:tab w:val="left" w:pos="3060"/>
      </w:tabs>
      <w:spacing w:after="0" w:line="240" w:lineRule="auto"/>
      <w:jc w:val="center"/>
      <w:outlineLvl w:val="0"/>
    </w:pPr>
    <w:rPr>
      <w:rFonts w:ascii="Times New Roman" w:eastAsia="Times New Roman" w:hAnsi="Times New Roman" w:cs="Times New Roman"/>
      <w:sz w:val="24"/>
      <w:szCs w:val="20"/>
      <w:lang w:val="en-US"/>
    </w:rPr>
  </w:style>
  <w:style w:type="character" w:customStyle="1" w:styleId="TitleChar">
    <w:name w:val="Title Char"/>
    <w:basedOn w:val="DefaultParagraphFont"/>
    <w:link w:val="Title"/>
    <w:rsid w:val="00171AF1"/>
    <w:rPr>
      <w:rFonts w:ascii="Times New Roman" w:eastAsia="Times New Roman" w:hAnsi="Times New Roman" w:cs="Times New Roman"/>
      <w:sz w:val="24"/>
      <w:szCs w:val="20"/>
      <w:lang w:val="en-US"/>
    </w:rPr>
  </w:style>
  <w:style w:type="paragraph" w:styleId="BodyText">
    <w:name w:val="Body Text"/>
    <w:basedOn w:val="Normal"/>
    <w:link w:val="BodyTextChar"/>
    <w:uiPriority w:val="99"/>
    <w:semiHidden/>
    <w:unhideWhenUsed/>
    <w:rsid w:val="00171AF1"/>
    <w:pPr>
      <w:spacing w:after="120" w:line="240" w:lineRule="auto"/>
    </w:pPr>
    <w:rPr>
      <w:rFonts w:ascii="Cambria" w:eastAsia="MS Mincho" w:hAnsi="Cambria" w:cs="Times New Roman"/>
      <w:sz w:val="24"/>
      <w:szCs w:val="24"/>
      <w:lang w:val="en-US" w:eastAsia="ja-JP"/>
    </w:rPr>
  </w:style>
  <w:style w:type="character" w:customStyle="1" w:styleId="BodyTextChar">
    <w:name w:val="Body Text Char"/>
    <w:basedOn w:val="DefaultParagraphFont"/>
    <w:link w:val="BodyText"/>
    <w:uiPriority w:val="99"/>
    <w:semiHidden/>
    <w:rsid w:val="00171AF1"/>
    <w:rPr>
      <w:rFonts w:ascii="Cambria" w:eastAsia="MS Mincho" w:hAnsi="Cambria" w:cs="Times New Roman"/>
      <w:sz w:val="24"/>
      <w:szCs w:val="24"/>
      <w:lang w:val="en-US" w:eastAsia="ja-JP"/>
    </w:rPr>
  </w:style>
  <w:style w:type="paragraph" w:customStyle="1" w:styleId="Newpage">
    <w:name w:val="Newpage"/>
    <w:basedOn w:val="Normal"/>
    <w:rsid w:val="00171AF1"/>
    <w:pPr>
      <w:tabs>
        <w:tab w:val="left" w:pos="1440"/>
        <w:tab w:val="left" w:pos="3060"/>
      </w:tabs>
      <w:spacing w:after="0" w:line="240" w:lineRule="auto"/>
      <w:jc w:val="center"/>
    </w:pPr>
    <w:rPr>
      <w:rFonts w:ascii="Times New Roman" w:eastAsia="Times New Roman" w:hAnsi="Times New Roman" w:cs="Arial"/>
      <w:b/>
      <w:smallCaps/>
      <w:sz w:val="24"/>
      <w:szCs w:val="20"/>
      <w:lang w:val="en-US"/>
    </w:rPr>
  </w:style>
  <w:style w:type="character" w:customStyle="1" w:styleId="Heading1Char">
    <w:name w:val="Heading 1 Char"/>
    <w:aliases w:val="Heading 1.I Char"/>
    <w:basedOn w:val="DefaultParagraphFont"/>
    <w:link w:val="Heading1"/>
    <w:rsid w:val="00602D43"/>
    <w:rPr>
      <w:rFonts w:ascii="Times New Roman Bold" w:eastAsia="Times New Roman" w:hAnsi="Times New Roman Bold" w:cs="Times New Roman"/>
      <w:b/>
      <w:smallCaps/>
      <w:noProof/>
      <w:sz w:val="28"/>
      <w:szCs w:val="20"/>
      <w:lang w:val="en-US"/>
    </w:rPr>
  </w:style>
  <w:style w:type="character" w:customStyle="1" w:styleId="Heading4Char">
    <w:name w:val="Heading 4 Char"/>
    <w:aliases w:val="Heading 4.a Char"/>
    <w:basedOn w:val="DefaultParagraphFont"/>
    <w:link w:val="Heading4"/>
    <w:rsid w:val="00602D43"/>
    <w:rPr>
      <w:rFonts w:ascii="Times New Roman Bold" w:eastAsia="Times New Roman" w:hAnsi="Times New Roman Bold" w:cs="Times New Roman"/>
      <w:b/>
      <w:noProof/>
      <w:sz w:val="24"/>
      <w:szCs w:val="20"/>
      <w:lang w:val="en-US"/>
    </w:rPr>
  </w:style>
  <w:style w:type="character" w:customStyle="1" w:styleId="Heading5Char">
    <w:name w:val="Heading 5 Char"/>
    <w:aliases w:val="Heading 5.(i) Char"/>
    <w:basedOn w:val="DefaultParagraphFont"/>
    <w:link w:val="Heading5"/>
    <w:rsid w:val="00602D43"/>
    <w:rPr>
      <w:rFonts w:ascii="Times New Roman Bold" w:eastAsia="Times New Roman" w:hAnsi="Times New Roman Bold" w:cs="Times New Roman"/>
      <w:b/>
      <w:noProof/>
      <w:sz w:val="24"/>
      <w:szCs w:val="20"/>
      <w:lang w:val="en-US"/>
    </w:rPr>
  </w:style>
  <w:style w:type="paragraph" w:customStyle="1" w:styleId="AutoNumpara">
    <w:name w:val="AutoNumpara"/>
    <w:basedOn w:val="BodyTextIndent"/>
    <w:rsid w:val="00602D43"/>
    <w:pPr>
      <w:numPr>
        <w:ilvl w:val="1"/>
        <w:numId w:val="3"/>
      </w:numPr>
      <w:tabs>
        <w:tab w:val="clear" w:pos="720"/>
        <w:tab w:val="num" w:pos="360"/>
      </w:tabs>
      <w:spacing w:before="120" w:line="240" w:lineRule="auto"/>
      <w:ind w:left="283" w:firstLine="0"/>
      <w:jc w:val="both"/>
    </w:pPr>
    <w:rPr>
      <w:rFonts w:ascii="Times New Roman" w:eastAsia="Times New Roman" w:hAnsi="Times New Roman" w:cs="Times New Roman"/>
      <w:noProof/>
      <w:spacing w:val="-2"/>
      <w:sz w:val="24"/>
      <w:szCs w:val="20"/>
      <w:lang w:val="es-ES_tradnl" w:eastAsia="x-none"/>
    </w:rPr>
  </w:style>
  <w:style w:type="paragraph" w:styleId="BodyTextIndent">
    <w:name w:val="Body Text Indent"/>
    <w:basedOn w:val="Normal"/>
    <w:link w:val="BodyTextIndentChar"/>
    <w:uiPriority w:val="99"/>
    <w:semiHidden/>
    <w:unhideWhenUsed/>
    <w:rsid w:val="00602D43"/>
    <w:pPr>
      <w:spacing w:after="120"/>
      <w:ind w:left="283"/>
    </w:pPr>
  </w:style>
  <w:style w:type="character" w:customStyle="1" w:styleId="BodyTextIndentChar">
    <w:name w:val="Body Text Indent Char"/>
    <w:basedOn w:val="DefaultParagraphFont"/>
    <w:link w:val="BodyTextIndent"/>
    <w:uiPriority w:val="99"/>
    <w:semiHidden/>
    <w:rsid w:val="00602D43"/>
  </w:style>
  <w:style w:type="character" w:styleId="Hyperlink">
    <w:name w:val="Hyperlink"/>
    <w:basedOn w:val="DefaultParagraphFont"/>
    <w:rsid w:val="00CB1090"/>
    <w:rPr>
      <w:rFonts w:ascii="Times New Roman" w:hAnsi="Times New Roman"/>
      <w:color w:val="0000FF"/>
      <w:sz w:val="24"/>
      <w:u w:val="single"/>
    </w:rPr>
  </w:style>
  <w:style w:type="paragraph" w:styleId="Caption">
    <w:name w:val="caption"/>
    <w:basedOn w:val="Normal"/>
    <w:next w:val="Normal"/>
    <w:qFormat/>
    <w:rsid w:val="00CB1090"/>
    <w:pPr>
      <w:widowControl w:val="0"/>
      <w:spacing w:after="0" w:line="240" w:lineRule="auto"/>
    </w:pPr>
    <w:rPr>
      <w:rFonts w:ascii="Times New Roman" w:eastAsia="Times New Roman" w:hAnsi="Times New Roman" w:cs="Times New Roman"/>
      <w:spacing w:val="-3"/>
      <w:sz w:val="24"/>
      <w:szCs w:val="20"/>
      <w:lang w:val="es-ES_tradnl"/>
    </w:rPr>
  </w:style>
  <w:style w:type="paragraph" w:customStyle="1" w:styleId="BodyA">
    <w:name w:val="Body A"/>
    <w:rsid w:val="00CB1090"/>
    <w:pPr>
      <w:pBdr>
        <w:top w:val="nil"/>
        <w:left w:val="nil"/>
        <w:bottom w:val="nil"/>
        <w:right w:val="nil"/>
        <w:between w:val="nil"/>
        <w:bar w:val="nil"/>
      </w:pBdr>
      <w:spacing w:after="0" w:line="240" w:lineRule="auto"/>
    </w:pPr>
    <w:rPr>
      <w:rFonts w:ascii="Times" w:eastAsia="Times" w:hAnsi="Times" w:cs="Times"/>
      <w:color w:val="000000"/>
      <w:sz w:val="24"/>
      <w:szCs w:val="24"/>
      <w:u w:color="000000"/>
      <w:bdr w:val="nil"/>
      <w:lang w:val="en-US" w:eastAsia="en-GB"/>
    </w:rPr>
  </w:style>
  <w:style w:type="character" w:customStyle="1" w:styleId="apple-converted-space">
    <w:name w:val="apple-converted-space"/>
    <w:basedOn w:val="DefaultParagraphFont"/>
    <w:rsid w:val="00FC305E"/>
  </w:style>
  <w:style w:type="paragraph" w:styleId="FootnoteText">
    <w:name w:val="footnote text"/>
    <w:basedOn w:val="Normal"/>
    <w:link w:val="FootnoteTextChar"/>
    <w:uiPriority w:val="99"/>
    <w:semiHidden/>
    <w:unhideWhenUsed/>
    <w:rsid w:val="003C11E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C11EA"/>
    <w:rPr>
      <w:sz w:val="20"/>
      <w:szCs w:val="20"/>
    </w:rPr>
  </w:style>
  <w:style w:type="character" w:styleId="FootnoteReference">
    <w:name w:val="footnote reference"/>
    <w:basedOn w:val="DefaultParagraphFont"/>
    <w:uiPriority w:val="99"/>
    <w:semiHidden/>
    <w:unhideWhenUsed/>
    <w:rsid w:val="003C11EA"/>
    <w:rPr>
      <w:vertAlign w:val="superscript"/>
    </w:rPr>
  </w:style>
  <w:style w:type="table" w:styleId="TableGrid">
    <w:name w:val="Table Grid"/>
    <w:basedOn w:val="TableNormal"/>
    <w:uiPriority w:val="39"/>
    <w:rsid w:val="00012B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24F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4F82"/>
    <w:rPr>
      <w:rFonts w:ascii="Segoe UI" w:hAnsi="Segoe UI" w:cs="Segoe UI"/>
      <w:sz w:val="18"/>
      <w:szCs w:val="18"/>
    </w:rPr>
  </w:style>
  <w:style w:type="paragraph" w:customStyle="1" w:styleId="Default">
    <w:name w:val="Default"/>
    <w:rsid w:val="00E57B17"/>
    <w:pPr>
      <w:autoSpaceDE w:val="0"/>
      <w:autoSpaceDN w:val="0"/>
      <w:adjustRightInd w:val="0"/>
      <w:spacing w:after="0" w:line="240" w:lineRule="auto"/>
    </w:pPr>
    <w:rPr>
      <w:rFonts w:ascii="Segoe UI" w:hAnsi="Segoe UI" w:cs="Segoe U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4386543">
      <w:bodyDiv w:val="1"/>
      <w:marLeft w:val="0"/>
      <w:marRight w:val="0"/>
      <w:marTop w:val="0"/>
      <w:marBottom w:val="0"/>
      <w:divBdr>
        <w:top w:val="none" w:sz="0" w:space="0" w:color="auto"/>
        <w:left w:val="none" w:sz="0" w:space="0" w:color="auto"/>
        <w:bottom w:val="none" w:sz="0" w:space="0" w:color="auto"/>
        <w:right w:val="none" w:sz="0" w:space="0" w:color="auto"/>
      </w:divBdr>
    </w:div>
    <w:div w:id="1005328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2.xml"/><Relationship Id="rId5" Type="http://schemas.openxmlformats.org/officeDocument/2006/relationships/settings" Target="settings.xml"/><Relationship Id="rId15" Type="http://schemas.openxmlformats.org/officeDocument/2006/relationships/customXml" Target="../customXml/item6.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857460A92E36ED459B7F025557D103E0" ma:contentTypeVersion="0" ma:contentTypeDescription="A content type to manage public (operations) IDB documents" ma:contentTypeScope="" ma:versionID="15e67e88d881b092d00f157bd3e4e947">
  <xsd:schema xmlns:xsd="http://www.w3.org/2001/XMLSchema" xmlns:xs="http://www.w3.org/2001/XMLSchema" xmlns:p="http://schemas.microsoft.com/office/2006/metadata/properties" xmlns:ns2="9c571b2f-e523-4ab2-ba2e-09e151a03ef4" targetNamespace="http://schemas.microsoft.com/office/2006/metadata/properties" ma:root="true" ma:fieldsID="fca353a57030c8e3f0c4df7811ea3665"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280a35e-b938-40a4-87f4-c822ed063427}" ma:internalName="TaxCatchAll" ma:showField="CatchAllData"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280a35e-b938-40a4-87f4-c822ed063427}" ma:internalName="TaxCatchAllLabel" ma:readOnly="true" ma:showField="CatchAllDataLabel"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IFD/ICS</Division_x0020_or_x0020_Unit>
    <Other_x0020_Author xmlns="9c571b2f-e523-4ab2-ba2e-09e151a03ef4" xsi:nil="true"/>
    <Region xmlns="9c571b2f-e523-4ab2-ba2e-09e151a03ef4" xsi:nil="true"/>
    <IDBDocs_x0020_Number xmlns="9c571b2f-e523-4ab2-ba2e-09e151a03ef4">40561882</IDBDocs_x0020_Number>
    <Document_x0020_Author xmlns="9c571b2f-e523-4ab2-ba2e-09e151a03ef4">Serrano Berthet, Rodrigo</Document_x0020_Author>
    <Publication_x0020_Type xmlns="9c571b2f-e523-4ab2-ba2e-09e151a03ef4" xsi:nil="true"/>
    <Operation_x0020_Type xmlns="9c571b2f-e523-4ab2-ba2e-09e151a03ef4" xsi:nil="true"/>
    <TaxCatchAll xmlns="9c571b2f-e523-4ab2-ba2e-09e151a03ef4">
      <Value>5</Value>
      <Value>6</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UR-L1112</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RM-GIP</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CFAB69C8-FBF2-4289-B71C-43246D51312F}"/>
</file>

<file path=customXml/itemProps2.xml><?xml version="1.0" encoding="utf-8"?>
<ds:datastoreItem xmlns:ds="http://schemas.openxmlformats.org/officeDocument/2006/customXml" ds:itemID="{CAD41AB6-AC0B-487C-8F8F-5053FBE150CB}"/>
</file>

<file path=customXml/itemProps3.xml><?xml version="1.0" encoding="utf-8"?>
<ds:datastoreItem xmlns:ds="http://schemas.openxmlformats.org/officeDocument/2006/customXml" ds:itemID="{F2D8548F-BE83-4DCA-B77B-D3C5B6C3AB3C}"/>
</file>

<file path=customXml/itemProps4.xml><?xml version="1.0" encoding="utf-8"?>
<ds:datastoreItem xmlns:ds="http://schemas.openxmlformats.org/officeDocument/2006/customXml" ds:itemID="{956F3D38-7EFD-48EF-8410-5EB9A9720180}"/>
</file>

<file path=customXml/itemProps5.xml><?xml version="1.0" encoding="utf-8"?>
<ds:datastoreItem xmlns:ds="http://schemas.openxmlformats.org/officeDocument/2006/customXml" ds:itemID="{A6F6BBA7-5CB8-4A94-897F-9895A6603EF7}"/>
</file>

<file path=customXml/itemProps6.xml><?xml version="1.0" encoding="utf-8"?>
<ds:datastoreItem xmlns:ds="http://schemas.openxmlformats.org/officeDocument/2006/customXml" ds:itemID="{7B33CAEE-17E7-4FFD-B481-63D560147F7D}"/>
</file>

<file path=docProps/app.xml><?xml version="1.0" encoding="utf-8"?>
<Properties xmlns="http://schemas.openxmlformats.org/officeDocument/2006/extended-properties" xmlns:vt="http://schemas.openxmlformats.org/officeDocument/2006/docPropsVTypes">
  <Template>Normal.dotm</Template>
  <TotalTime>1</TotalTime>
  <Pages>14</Pages>
  <Words>4861</Words>
  <Characters>27708</Characters>
  <Application>Microsoft Office Word</Application>
  <DocSecurity>0</DocSecurity>
  <Lines>230</Lines>
  <Paragraphs>65</Paragraphs>
  <ScaleCrop>false</ScaleCrop>
  <HeadingPairs>
    <vt:vector size="2" baseType="variant">
      <vt:variant>
        <vt:lpstr>Título</vt:lpstr>
      </vt:variant>
      <vt:variant>
        <vt:i4>1</vt:i4>
      </vt:variant>
    </vt:vector>
  </HeadingPairs>
  <TitlesOfParts>
    <vt:vector size="1" baseType="lpstr">
      <vt:lpstr/>
    </vt:vector>
  </TitlesOfParts>
  <Company>Inter-American Development Bank</Company>
  <LinksUpToDate>false</LinksUpToDate>
  <CharactersWithSpaces>32504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Análisis Económico </dc:title>
  <dc:creator>CID Alejandro</dc:creator>
  <cp:lastModifiedBy>Melissa Gonzalez</cp:lastModifiedBy>
  <cp:revision>2</cp:revision>
  <dcterms:created xsi:type="dcterms:W3CDTF">2016-09-26T13:47:00Z</dcterms:created>
  <dcterms:modified xsi:type="dcterms:W3CDTF">2016-09-26T13:47:00Z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0x01010046CF21643EE8D14686A648AA6DAD089200857460A92E36ED459B7F025557D103E0</vt:lpwstr>
  </property>
  <property fmtid="{D5CDD505-2E9C-101B-9397-08002B2CF9AE}" pid="5" name="TaxKeywordTaxHTField">
    <vt:lpwstr/>
  </property>
  <property fmtid="{D5CDD505-2E9C-101B-9397-08002B2CF9AE}" pid="6" name="Series Operations IDB">
    <vt:lpwstr>5;#Unclassified|a6dff32e-d477-44cd-a56b-85efe9e0a56c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5;#Unclassified|a6dff32e-d477-44cd-a56b-85efe9e0a56c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6;#IDBDocs|cca77002-e150-4b2d-ab1f-1d7a7cdcae16</vt:lpwstr>
  </property>
</Properties>
</file>