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B2C" w:rsidRDefault="00490B2C"/>
    <w:p w:rsidR="00B7395F" w:rsidRDefault="00B7395F"/>
    <w:tbl>
      <w:tblPr>
        <w:tblW w:w="0" w:type="auto"/>
        <w:tblCellMar>
          <w:left w:w="0" w:type="dxa"/>
          <w:right w:w="0" w:type="dxa"/>
        </w:tblCellMar>
        <w:tblLook w:val="04A0" w:firstRow="1" w:lastRow="0" w:firstColumn="1" w:lastColumn="0" w:noHBand="0" w:noVBand="1"/>
      </w:tblPr>
      <w:tblGrid>
        <w:gridCol w:w="3351"/>
        <w:gridCol w:w="4346"/>
        <w:gridCol w:w="1879"/>
      </w:tblGrid>
      <w:tr w:rsidR="00B7395F" w:rsidRPr="001C6BE9" w:rsidTr="00B7395F">
        <w:tc>
          <w:tcPr>
            <w:tcW w:w="40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395F" w:rsidRDefault="00B7395F">
            <w:pPr>
              <w:jc w:val="center"/>
              <w:rPr>
                <w:rFonts w:ascii="Arial" w:hAnsi="Arial" w:cs="Arial"/>
                <w:b/>
                <w:bCs/>
                <w:sz w:val="20"/>
                <w:szCs w:val="20"/>
                <w:lang w:val="es-AR"/>
              </w:rPr>
            </w:pPr>
            <w:r>
              <w:rPr>
                <w:rFonts w:ascii="Arial" w:hAnsi="Arial" w:cs="Arial"/>
                <w:b/>
                <w:bCs/>
                <w:sz w:val="20"/>
                <w:szCs w:val="20"/>
              </w:rPr>
              <w:t>Lección aprendida</w:t>
            </w:r>
          </w:p>
        </w:tc>
        <w:tc>
          <w:tcPr>
            <w:tcW w:w="6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395F" w:rsidRDefault="00B7395F">
            <w:pPr>
              <w:jc w:val="center"/>
              <w:rPr>
                <w:rFonts w:ascii="Arial" w:hAnsi="Arial" w:cs="Arial"/>
                <w:b/>
                <w:bCs/>
                <w:sz w:val="20"/>
                <w:szCs w:val="20"/>
                <w:lang w:val="es-AR"/>
              </w:rPr>
            </w:pPr>
            <w:r>
              <w:rPr>
                <w:rFonts w:ascii="Arial" w:hAnsi="Arial" w:cs="Arial"/>
                <w:b/>
                <w:bCs/>
                <w:sz w:val="20"/>
                <w:szCs w:val="20"/>
                <w:lang w:val="es-ES_tradnl"/>
              </w:rPr>
              <w:t>Como fue tenida en cuenta</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395F" w:rsidRDefault="00B7395F">
            <w:pPr>
              <w:jc w:val="center"/>
              <w:rPr>
                <w:rFonts w:ascii="Arial" w:hAnsi="Arial" w:cs="Arial"/>
                <w:b/>
                <w:bCs/>
                <w:sz w:val="20"/>
                <w:szCs w:val="20"/>
                <w:lang w:val="es-AR"/>
              </w:rPr>
            </w:pPr>
            <w:r>
              <w:rPr>
                <w:rFonts w:ascii="Arial" w:hAnsi="Arial" w:cs="Arial"/>
                <w:b/>
                <w:bCs/>
                <w:sz w:val="20"/>
                <w:szCs w:val="20"/>
                <w:lang w:val="es-ES_tradnl"/>
              </w:rPr>
              <w:t>Donde aparece en el documento</w:t>
            </w:r>
          </w:p>
        </w:tc>
      </w:tr>
      <w:tr w:rsidR="00B7395F" w:rsidTr="00B7395F">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(i) incluir actividades para modernizar la policía, convirtiéndola en una institución eficiente, que preste un mejor servicio a su comunidad, cercana a la ciudadanía(</w:t>
            </w:r>
            <w:hyperlink r:id="rId7" w:tooltip="View Loan Information" w:history="1">
              <w:r>
                <w:rPr>
                  <w:rStyle w:val="Hyperlink"/>
                  <w:rFonts w:ascii="Arial" w:hAnsi="Arial" w:cs="Arial"/>
                  <w:sz w:val="20"/>
                  <w:szCs w:val="20"/>
                  <w:lang w:val="es-ES_tradnl"/>
                </w:rPr>
                <w:t>2745/BL</w:t>
              </w:r>
              <w:r>
                <w:rPr>
                  <w:rStyle w:val="Hyperlink"/>
                  <w:rFonts w:ascii="Arial" w:hAnsi="Arial" w:cs="Arial"/>
                  <w:sz w:val="20"/>
                  <w:szCs w:val="20"/>
                  <w:lang w:val="es-ES_tradnl"/>
                </w:rPr>
                <w:noBreakHyphen/>
                <w:t>HO</w:t>
              </w:r>
            </w:hyperlink>
            <w:r>
              <w:rPr>
                <w:rFonts w:ascii="Arial" w:hAnsi="Arial" w:cs="Arial"/>
                <w:sz w:val="20"/>
                <w:szCs w:val="20"/>
                <w:lang w:val="es-ES_tradnl"/>
              </w:rPr>
              <w:t>)</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Todo el componente 1 responde a esta lección aprendida, trayendo métodos modernos (como hot spot policing, y POP, y análisis criminal) y cercanos a la comunidad.</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rPr>
              <w:t>Párrafo 1.16</w:t>
            </w:r>
          </w:p>
        </w:tc>
      </w:tr>
      <w:tr w:rsidR="00B7395F" w:rsidTr="00B7395F">
        <w:trPr>
          <w:trHeight w:val="926"/>
        </w:trPr>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395F" w:rsidRDefault="00B7395F">
            <w:pPr>
              <w:rPr>
                <w:rFonts w:ascii="Arial" w:hAnsi="Arial" w:cs="Arial"/>
                <w:sz w:val="20"/>
                <w:szCs w:val="20"/>
                <w:lang w:val="es-AR"/>
              </w:rPr>
            </w:pPr>
          </w:p>
          <w:p w:rsidR="00B7395F" w:rsidRDefault="00B7395F">
            <w:pPr>
              <w:jc w:val="both"/>
              <w:rPr>
                <w:rFonts w:ascii="Arial" w:hAnsi="Arial" w:cs="Arial"/>
                <w:sz w:val="20"/>
                <w:szCs w:val="20"/>
                <w:lang w:val="es-AR"/>
              </w:rPr>
            </w:pPr>
            <w:r>
              <w:rPr>
                <w:rFonts w:ascii="Arial" w:hAnsi="Arial" w:cs="Arial"/>
                <w:sz w:val="20"/>
                <w:szCs w:val="20"/>
                <w:lang w:val="es-ES_tradnl"/>
              </w:rPr>
              <w:t>(ii) tener escala institucional en las reformas policiales (</w:t>
            </w:r>
            <w:hyperlink r:id="rId8" w:history="1">
              <w:r w:rsidRPr="001C6BE9">
                <w:rPr>
                  <w:rStyle w:val="Hyperlink"/>
                  <w:rFonts w:ascii="Arial" w:hAnsi="Arial" w:cs="Arial"/>
                  <w:sz w:val="20"/>
                  <w:szCs w:val="20"/>
                  <w:lang w:val="es-ES_tradnl"/>
                </w:rPr>
                <w:t>2770/OC</w:t>
              </w:r>
              <w:r w:rsidRPr="001C6BE9">
                <w:rPr>
                  <w:rStyle w:val="Hyperlink"/>
                  <w:rFonts w:ascii="Arial" w:hAnsi="Arial" w:cs="Arial"/>
                  <w:sz w:val="20"/>
                  <w:szCs w:val="20"/>
                  <w:lang w:val="es-ES_tradnl"/>
                </w:rPr>
                <w:noBreakHyphen/>
                <w:t>UR</w:t>
              </w:r>
            </w:hyperlink>
            <w:r>
              <w:rPr>
                <w:rFonts w:ascii="Arial" w:hAnsi="Arial" w:cs="Arial"/>
                <w:sz w:val="20"/>
                <w:szCs w:val="20"/>
                <w:lang w:val="es-ES_tradnl"/>
              </w:rPr>
              <w:t>)</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Si bien el piloto que se hizo con POP en la comisaría 25 tuvo resultados promisorios, una de las lecciones aprendidas es que superar las resistencias y dificultades de escalar POP requiere de la universalización del modelo a todas las comisarías de la ciudad, que es lo que este programa promueve y apoya.</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rPr>
              <w:t>Footnote 28</w:t>
            </w:r>
          </w:p>
        </w:tc>
      </w:tr>
      <w:tr w:rsidR="00B7395F" w:rsidTr="00B7395F">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(iii) contemplar mecanismos de coordinación inter-ministerial efectivos, dado que abordar el fenómeno multifacético de la violencia requiere múltiples intervenciones temporales y temáticas (</w:t>
            </w:r>
            <w:hyperlink r:id="rId9" w:tooltip="View Loan Information" w:history="1">
              <w:r>
                <w:rPr>
                  <w:rStyle w:val="Hyperlink"/>
                  <w:rFonts w:ascii="Arial" w:hAnsi="Arial" w:cs="Arial"/>
                  <w:sz w:val="20"/>
                  <w:szCs w:val="20"/>
                  <w:lang w:val="es-ES_tradnl"/>
                </w:rPr>
                <w:t>3191/OC-JA</w:t>
              </w:r>
            </w:hyperlink>
            <w:r>
              <w:rPr>
                <w:rFonts w:ascii="Arial" w:hAnsi="Arial" w:cs="Arial"/>
                <w:sz w:val="20"/>
                <w:szCs w:val="20"/>
                <w:lang w:val="es-ES_tradnl"/>
              </w:rPr>
              <w:t>);</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se analizaron las condiciones institucionales de estos barrios para implementar los pilotos con éxito. Se eligieron Marconi y Casavalle porque son barrios vecinos que forman parte de las áreas priorizadas por la Presidencia de la Nación y que cuentan con un espacio activo de articulación inter-institucional, la “Comisión de Coordinación Inter-Ministerial para Marconi y barrios de contexto crítico”. Esta Comisión, nombrada por el Presidente de la República, está coordinada por la Viceministra de Desarrollo Social del MIDES, e integrada por el MI, sector de educación (MEC, y ANEP), salud (ASSE), Ministerio de Vivienda, Ministerio de Trabajo, Intendencia de Montevideo, alcaldesa del Municipio D, y otros órganos públicos relevantes. Esta Comisión coordina estrechamente con organismos de la sociedad civil (organizaciones religiosas de alta incidencia barrial, organizaciones culturales, etc.).</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rPr>
              <w:t>Párrafo 1.17 y footonote 55</w:t>
            </w:r>
          </w:p>
        </w:tc>
      </w:tr>
      <w:tr w:rsidR="00B7395F" w:rsidTr="00B7395F">
        <w:trPr>
          <w:trHeight w:val="170"/>
        </w:trPr>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lang w:val="es-ES_tradnl"/>
              </w:rPr>
              <w:t xml:space="preserve">(iv) la necesidad de fortalecer capacidades locales para la generación y uso de evidencia científica sobre intervenciones efectivas para reducir el delito </w:t>
            </w:r>
            <w:r>
              <w:rPr>
                <w:rFonts w:ascii="Arial" w:hAnsi="Arial" w:cs="Arial"/>
                <w:sz w:val="20"/>
                <w:szCs w:val="20"/>
                <w:lang w:val="es-ES_tradnl"/>
              </w:rPr>
              <w:lastRenderedPageBreak/>
              <w:t>violento en el Uruguay (</w:t>
            </w:r>
            <w:hyperlink r:id="rId10" w:history="1">
              <w:r w:rsidRPr="001C6BE9">
                <w:rPr>
                  <w:rStyle w:val="Hyperlink"/>
                  <w:rFonts w:ascii="Arial" w:hAnsi="Arial" w:cs="Arial"/>
                  <w:sz w:val="20"/>
                  <w:szCs w:val="20"/>
                  <w:lang w:val="es-ES_tradnl"/>
                </w:rPr>
                <w:t>2584/OC</w:t>
              </w:r>
              <w:r w:rsidRPr="001C6BE9">
                <w:rPr>
                  <w:rStyle w:val="Hyperlink"/>
                  <w:rFonts w:ascii="Arial" w:hAnsi="Arial" w:cs="Arial"/>
                  <w:sz w:val="20"/>
                  <w:szCs w:val="20"/>
                  <w:lang w:val="es-ES_tradnl"/>
                </w:rPr>
                <w:noBreakHyphen/>
                <w:t>EC</w:t>
              </w:r>
            </w:hyperlink>
            <w:bookmarkStart w:id="0" w:name="_GoBack"/>
            <w:bookmarkEnd w:id="0"/>
            <w:r>
              <w:rPr>
                <w:rFonts w:ascii="Arial" w:hAnsi="Arial" w:cs="Arial"/>
                <w:sz w:val="20"/>
                <w:szCs w:val="20"/>
                <w:lang w:val="es-ES_tradnl"/>
              </w:rPr>
              <w:t>).</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spacing w:before="120" w:after="120"/>
              <w:jc w:val="both"/>
              <w:rPr>
                <w:rFonts w:ascii="Arial" w:hAnsi="Arial" w:cs="Arial"/>
                <w:sz w:val="20"/>
                <w:szCs w:val="20"/>
                <w:lang w:val="es-AR"/>
              </w:rPr>
            </w:pPr>
            <w:r>
              <w:rPr>
                <w:rFonts w:ascii="Arial" w:hAnsi="Arial" w:cs="Arial"/>
                <w:sz w:val="20"/>
                <w:szCs w:val="20"/>
                <w:lang w:val="es-ES_tradnl" w:eastAsia="es-CL"/>
              </w:rPr>
              <w:lastRenderedPageBreak/>
              <w:t xml:space="preserve">Si bien las alianzas con universidades de excelencia internacional apoyadas por el préstamo anterior fueron muy valoradas, una lección aprendida por el MI es que esta dependencia del exterior no es sostenible ni </w:t>
            </w:r>
            <w:r>
              <w:rPr>
                <w:rFonts w:ascii="Arial" w:hAnsi="Arial" w:cs="Arial"/>
                <w:sz w:val="20"/>
                <w:szCs w:val="20"/>
                <w:lang w:val="es-ES_tradnl" w:eastAsia="es-CL"/>
              </w:rPr>
              <w:lastRenderedPageBreak/>
              <w:t xml:space="preserve">deseable. </w:t>
            </w:r>
            <w:r>
              <w:rPr>
                <w:rFonts w:ascii="Arial" w:hAnsi="Arial" w:cs="Arial"/>
                <w:sz w:val="20"/>
                <w:szCs w:val="20"/>
                <w:lang w:val="es-ES_tradnl"/>
              </w:rPr>
              <w:t>Ver informe de Dammert (2016, pág. 8, y anexo) donde se analiza cómo crear capacidades locales en función de opciones posibles, entrevistas a funcionarios y análisis de la experiencia local e internacional.</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B7395F" w:rsidRDefault="00B7395F">
            <w:pPr>
              <w:jc w:val="both"/>
              <w:rPr>
                <w:rFonts w:ascii="Arial" w:hAnsi="Arial" w:cs="Arial"/>
                <w:sz w:val="20"/>
                <w:szCs w:val="20"/>
                <w:lang w:val="es-AR"/>
              </w:rPr>
            </w:pPr>
            <w:r>
              <w:rPr>
                <w:rFonts w:ascii="Arial" w:hAnsi="Arial" w:cs="Arial"/>
                <w:sz w:val="20"/>
                <w:szCs w:val="20"/>
              </w:rPr>
              <w:lastRenderedPageBreak/>
              <w:t>Párrafo 1.9, footnote 41</w:t>
            </w:r>
          </w:p>
        </w:tc>
      </w:tr>
    </w:tbl>
    <w:p w:rsidR="00B7395F" w:rsidRDefault="00B7395F"/>
    <w:sectPr w:rsidR="00B7395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95F" w:rsidRDefault="00B7395F" w:rsidP="00B7395F">
      <w:pPr>
        <w:spacing w:after="0" w:line="240" w:lineRule="auto"/>
      </w:pPr>
      <w:r>
        <w:separator/>
      </w:r>
    </w:p>
  </w:endnote>
  <w:endnote w:type="continuationSeparator" w:id="0">
    <w:p w:rsidR="00B7395F" w:rsidRDefault="00B7395F" w:rsidP="00B7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95F" w:rsidRDefault="00B7395F" w:rsidP="00B7395F">
      <w:pPr>
        <w:spacing w:after="0" w:line="240" w:lineRule="auto"/>
      </w:pPr>
      <w:r>
        <w:separator/>
      </w:r>
    </w:p>
  </w:footnote>
  <w:footnote w:type="continuationSeparator" w:id="0">
    <w:p w:rsidR="00B7395F" w:rsidRDefault="00B7395F" w:rsidP="00B73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5F" w:rsidRDefault="00B7395F" w:rsidP="00B7395F">
    <w:pPr>
      <w:pStyle w:val="Header"/>
      <w:jc w:val="right"/>
    </w:pPr>
    <w:r>
      <w:t>Lecciones Aprendidas – UR-L1112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95F"/>
    <w:rsid w:val="001C6BE9"/>
    <w:rsid w:val="00490B2C"/>
    <w:rsid w:val="00B7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95F"/>
  </w:style>
  <w:style w:type="paragraph" w:styleId="Footer">
    <w:name w:val="footer"/>
    <w:basedOn w:val="Normal"/>
    <w:link w:val="FooterChar"/>
    <w:uiPriority w:val="99"/>
    <w:unhideWhenUsed/>
    <w:rsid w:val="00B73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95F"/>
  </w:style>
  <w:style w:type="character" w:styleId="Hyperlink">
    <w:name w:val="Hyperlink"/>
    <w:basedOn w:val="DefaultParagraphFont"/>
    <w:uiPriority w:val="99"/>
    <w:unhideWhenUsed/>
    <w:rsid w:val="00B739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95F"/>
  </w:style>
  <w:style w:type="paragraph" w:styleId="Footer">
    <w:name w:val="footer"/>
    <w:basedOn w:val="Normal"/>
    <w:link w:val="FooterChar"/>
    <w:uiPriority w:val="99"/>
    <w:unhideWhenUsed/>
    <w:rsid w:val="00B73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95F"/>
  </w:style>
  <w:style w:type="character" w:styleId="Hyperlink">
    <w:name w:val="Hyperlink"/>
    <w:basedOn w:val="DefaultParagraphFont"/>
    <w:uiPriority w:val="99"/>
    <w:unhideWhenUsed/>
    <w:rsid w:val="00B739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6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en/projects/project-details,1301.html?Country=&amp;Sector=&amp;Status=&amp;query=2770%2FOC-UR"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javascript:fOpenWindow('http://idbg.bi.ibmcloud.com/ibmcognos/cgi-bin/mod2_2_cognos.so?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Number=2745/BL-HO&amp;p_Date=2016-09-25',%20'_OPSDetail');"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iadb.org/en/projects/project-details,1301.html?Country=&amp;Sector=&amp;Status=&amp;query=2584%2FOC-EC" TargetMode="External"/><Relationship Id="rId4" Type="http://schemas.openxmlformats.org/officeDocument/2006/relationships/webSettings" Target="webSettings.xml"/><Relationship Id="rId9" Type="http://schemas.openxmlformats.org/officeDocument/2006/relationships/hyperlink" Target="javascript:fOpenWindow('http://idbg.bi.ibmcloud.com/ibmcognos/cgi-bin/mod2_2_cognos.so?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Number=3191/OC-JA&amp;p_Date=2016-09-25',%20'_OPSDetail');"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57460A92E36ED459B7F025557D103E0" ma:contentTypeVersion="0" ma:contentTypeDescription="A content type to manage public (operations) IDB documents" ma:contentTypeScope="" ma:versionID="15e67e88d881b092d00f157bd3e4e947">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40692669</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Serrano Berthet, Rodrigo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57C759B-B67D-4ECD-B2EF-C91560BBE752}"/>
</file>

<file path=customXml/itemProps2.xml><?xml version="1.0" encoding="utf-8"?>
<ds:datastoreItem xmlns:ds="http://schemas.openxmlformats.org/officeDocument/2006/customXml" ds:itemID="{D041E07F-70DA-4004-9B58-ED8F98E294B1}"/>
</file>

<file path=customXml/itemProps3.xml><?xml version="1.0" encoding="utf-8"?>
<ds:datastoreItem xmlns:ds="http://schemas.openxmlformats.org/officeDocument/2006/customXml" ds:itemID="{F8E45176-DBDA-426A-9A05-0E203CCFB282}"/>
</file>

<file path=customXml/itemProps4.xml><?xml version="1.0" encoding="utf-8"?>
<ds:datastoreItem xmlns:ds="http://schemas.openxmlformats.org/officeDocument/2006/customXml" ds:itemID="{22D5B2E2-0DA2-4F22-AAFD-5B9D221485FB}"/>
</file>

<file path=customXml/itemProps5.xml><?xml version="1.0" encoding="utf-8"?>
<ds:datastoreItem xmlns:ds="http://schemas.openxmlformats.org/officeDocument/2006/customXml" ds:itemID="{5FAA7CF3-4686-4F46-BCF1-7D8B32B285DC}"/>
</file>

<file path=docProps/app.xml><?xml version="1.0" encoding="utf-8"?>
<Properties xmlns="http://schemas.openxmlformats.org/officeDocument/2006/extended-properties" xmlns:vt="http://schemas.openxmlformats.org/officeDocument/2006/docPropsVTypes">
  <Template>Normal.dotm</Template>
  <TotalTime>5</TotalTime>
  <Pages>2</Pages>
  <Words>605</Words>
  <Characters>3309</Characters>
  <Application>Microsoft Office Word</Application>
  <DocSecurity>0</DocSecurity>
  <Lines>110</Lines>
  <Paragraphs>31</Paragraphs>
  <ScaleCrop>false</ScaleCrop>
  <Company>Inter-American Development Bank</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Aprendidas </dc:title>
  <dc:subject/>
  <dc:creator>Melissa Gonzalez</dc:creator>
  <cp:keywords/>
  <dc:description/>
  <cp:lastModifiedBy>Melissa Gonzalez</cp:lastModifiedBy>
  <cp:revision>2</cp:revision>
  <dcterms:created xsi:type="dcterms:W3CDTF">2016-10-03T22:35:00Z</dcterms:created>
  <dcterms:modified xsi:type="dcterms:W3CDTF">2016-10-04T18:38:00Z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0x01010046CF21643EE8D14686A648AA6DAD089200857460A92E36ED459B7F025557D103E0</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