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246CD" w14:textId="77777777" w:rsidR="00B84211" w:rsidRPr="007E663E" w:rsidRDefault="00CF5271" w:rsidP="007E6104">
      <w:pPr>
        <w:pStyle w:val="Title"/>
        <w:tabs>
          <w:tab w:val="clear" w:pos="1440"/>
          <w:tab w:val="clear" w:pos="3060"/>
        </w:tabs>
        <w:ind w:left="567" w:hanging="567"/>
        <w:outlineLvl w:val="9"/>
        <w:rPr>
          <w:rFonts w:ascii="Arial" w:hAnsi="Arial" w:cs="Arial"/>
          <w:smallCaps/>
          <w:szCs w:val="24"/>
          <w:lang w:val="es-ES"/>
        </w:rPr>
      </w:pPr>
      <w:r w:rsidRPr="007E663E">
        <w:rPr>
          <w:rFonts w:ascii="Arial" w:hAnsi="Arial" w:cs="Arial"/>
          <w:smallCaps/>
          <w:szCs w:val="24"/>
          <w:lang w:val="es-ES"/>
        </w:rPr>
        <w:t>Document</w:t>
      </w:r>
      <w:r w:rsidR="007A1860" w:rsidRPr="007E663E">
        <w:rPr>
          <w:rFonts w:ascii="Arial" w:hAnsi="Arial" w:cs="Arial"/>
          <w:smallCaps/>
          <w:szCs w:val="24"/>
          <w:lang w:val="es-ES"/>
        </w:rPr>
        <w:t>o del Banco Interameric</w:t>
      </w:r>
      <w:r w:rsidR="0002382F" w:rsidRPr="007E663E">
        <w:rPr>
          <w:rFonts w:ascii="Arial" w:hAnsi="Arial" w:cs="Arial"/>
          <w:smallCaps/>
          <w:szCs w:val="24"/>
          <w:lang w:val="es-ES"/>
        </w:rPr>
        <w:t>a</w:t>
      </w:r>
      <w:r w:rsidR="007D03A1" w:rsidRPr="007E663E">
        <w:rPr>
          <w:rFonts w:ascii="Arial" w:hAnsi="Arial" w:cs="Arial"/>
          <w:smallCaps/>
          <w:szCs w:val="24"/>
          <w:lang w:val="es-ES"/>
        </w:rPr>
        <w:t>n</w:t>
      </w:r>
      <w:r w:rsidR="0002382F" w:rsidRPr="007E663E">
        <w:rPr>
          <w:rFonts w:ascii="Arial" w:hAnsi="Arial" w:cs="Arial"/>
          <w:smallCaps/>
          <w:szCs w:val="24"/>
          <w:lang w:val="es-ES"/>
        </w:rPr>
        <w:t>o</w:t>
      </w:r>
      <w:r w:rsidR="007A1860" w:rsidRPr="007E663E">
        <w:rPr>
          <w:rFonts w:ascii="Arial" w:hAnsi="Arial" w:cs="Arial"/>
          <w:smallCaps/>
          <w:szCs w:val="24"/>
          <w:lang w:val="es-ES"/>
        </w:rPr>
        <w:t xml:space="preserve"> de Desarrollo</w:t>
      </w:r>
    </w:p>
    <w:p w14:paraId="7512E389" w14:textId="77777777" w:rsidR="00B84211" w:rsidRPr="007E663E" w:rsidRDefault="00B84211" w:rsidP="007E6104">
      <w:pPr>
        <w:pStyle w:val="ListParagraph"/>
        <w:spacing w:before="120" w:after="0" w:line="360" w:lineRule="auto"/>
        <w:ind w:left="567" w:hanging="567"/>
        <w:jc w:val="center"/>
        <w:rPr>
          <w:rFonts w:ascii="Arial" w:hAnsi="Arial" w:cs="Arial"/>
          <w:b/>
          <w:sz w:val="24"/>
          <w:szCs w:val="24"/>
          <w:lang w:val="es-ES"/>
        </w:rPr>
      </w:pPr>
    </w:p>
    <w:p w14:paraId="70B00065" w14:textId="77777777" w:rsidR="00B84211" w:rsidRPr="007E663E" w:rsidRDefault="00B84211" w:rsidP="007E6104">
      <w:pPr>
        <w:tabs>
          <w:tab w:val="left" w:pos="1440"/>
          <w:tab w:val="left" w:pos="3060"/>
        </w:tabs>
        <w:ind w:left="567" w:hanging="567"/>
        <w:jc w:val="center"/>
        <w:rPr>
          <w:rFonts w:ascii="Arial" w:hAnsi="Arial" w:cs="Arial"/>
          <w:b/>
          <w:smallCaps/>
          <w:sz w:val="24"/>
          <w:szCs w:val="24"/>
          <w:lang w:val="es-ES"/>
        </w:rPr>
      </w:pPr>
    </w:p>
    <w:p w14:paraId="2B0C1CC0"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0AB7C78C"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476EF883"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07408B57"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522E4299" w14:textId="77777777" w:rsidR="00B84211" w:rsidRPr="007E663E" w:rsidRDefault="00B84211" w:rsidP="007E6104">
      <w:pPr>
        <w:tabs>
          <w:tab w:val="left" w:pos="1440"/>
          <w:tab w:val="left" w:pos="3060"/>
        </w:tabs>
        <w:ind w:left="567" w:hanging="567"/>
        <w:jc w:val="center"/>
        <w:rPr>
          <w:rFonts w:ascii="Arial" w:hAnsi="Arial" w:cs="Arial"/>
          <w:b/>
          <w:smallCaps/>
          <w:sz w:val="24"/>
          <w:szCs w:val="24"/>
          <w:lang w:val="es-ES"/>
        </w:rPr>
      </w:pPr>
    </w:p>
    <w:p w14:paraId="53BDD80C" w14:textId="77777777" w:rsidR="00F54627" w:rsidRPr="007E663E" w:rsidRDefault="00F54627" w:rsidP="00F54627">
      <w:pPr>
        <w:tabs>
          <w:tab w:val="left" w:pos="1440"/>
          <w:tab w:val="left" w:pos="3060"/>
        </w:tabs>
        <w:jc w:val="center"/>
        <w:rPr>
          <w:rFonts w:ascii="Arial" w:eastAsia="Arial" w:hAnsi="Arial" w:cs="Arial"/>
          <w:b/>
          <w:bCs/>
          <w:sz w:val="28"/>
          <w:szCs w:val="28"/>
          <w:lang w:val="es-ES"/>
        </w:rPr>
      </w:pPr>
      <w:r w:rsidRPr="007E663E">
        <w:rPr>
          <w:rFonts w:ascii="Arial" w:eastAsia="Arial" w:hAnsi="Arial" w:cs="Arial"/>
          <w:b/>
          <w:bCs/>
          <w:smallCaps/>
          <w:sz w:val="28"/>
          <w:szCs w:val="28"/>
          <w:lang w:val="es-ES"/>
        </w:rPr>
        <w:t>Perú</w:t>
      </w:r>
    </w:p>
    <w:p w14:paraId="351636DA" w14:textId="77777777" w:rsidR="00F54627" w:rsidRPr="007E663E" w:rsidRDefault="00F54627" w:rsidP="00F54627">
      <w:pPr>
        <w:tabs>
          <w:tab w:val="left" w:pos="1440"/>
          <w:tab w:val="left" w:pos="3060"/>
        </w:tabs>
        <w:jc w:val="center"/>
        <w:rPr>
          <w:rFonts w:ascii="Arial" w:eastAsia="Times New Roman" w:hAnsi="Arial" w:cs="Arial"/>
          <w:smallCaps/>
          <w:lang w:val="es-ES"/>
        </w:rPr>
      </w:pPr>
    </w:p>
    <w:p w14:paraId="304311A7" w14:textId="77777777" w:rsidR="00F54627" w:rsidRPr="007E663E" w:rsidRDefault="00F54627" w:rsidP="00F54627">
      <w:pPr>
        <w:tabs>
          <w:tab w:val="left" w:pos="1440"/>
          <w:tab w:val="left" w:pos="3060"/>
        </w:tabs>
        <w:jc w:val="center"/>
        <w:rPr>
          <w:rFonts w:ascii="Arial" w:hAnsi="Arial" w:cs="Arial"/>
          <w:smallCaps/>
          <w:lang w:val="es-ES"/>
        </w:rPr>
      </w:pPr>
    </w:p>
    <w:p w14:paraId="1808FFF3" w14:textId="77777777" w:rsidR="00F54627" w:rsidRPr="007E663E" w:rsidRDefault="00F54627" w:rsidP="00F54627">
      <w:pPr>
        <w:tabs>
          <w:tab w:val="left" w:pos="1440"/>
          <w:tab w:val="left" w:pos="3060"/>
        </w:tabs>
        <w:jc w:val="center"/>
        <w:rPr>
          <w:rFonts w:ascii="Arial" w:hAnsi="Arial" w:cs="Arial"/>
          <w:smallCaps/>
          <w:lang w:val="es-ES"/>
        </w:rPr>
      </w:pPr>
    </w:p>
    <w:p w14:paraId="2C4FBD4F" w14:textId="77777777" w:rsidR="00F54627" w:rsidRPr="007E663E" w:rsidRDefault="00F54627" w:rsidP="00F54627">
      <w:pPr>
        <w:tabs>
          <w:tab w:val="left" w:pos="1440"/>
          <w:tab w:val="left" w:pos="3060"/>
        </w:tabs>
        <w:jc w:val="center"/>
        <w:rPr>
          <w:rFonts w:ascii="Arial" w:hAnsi="Arial" w:cs="Arial"/>
          <w:smallCaps/>
          <w:lang w:val="es-ES"/>
        </w:rPr>
      </w:pPr>
    </w:p>
    <w:p w14:paraId="0A1E43BD" w14:textId="77777777" w:rsidR="00F54627" w:rsidRPr="007E663E" w:rsidRDefault="00F54627" w:rsidP="00F54627">
      <w:pPr>
        <w:tabs>
          <w:tab w:val="left" w:pos="1440"/>
          <w:tab w:val="left" w:pos="3060"/>
        </w:tabs>
        <w:jc w:val="center"/>
        <w:rPr>
          <w:rFonts w:ascii="Arial" w:hAnsi="Arial" w:cs="Arial"/>
          <w:smallCaps/>
          <w:lang w:val="es-ES"/>
        </w:rPr>
      </w:pPr>
    </w:p>
    <w:p w14:paraId="46195A70" w14:textId="77777777" w:rsidR="00F54627" w:rsidRPr="007E663E" w:rsidRDefault="00F54627" w:rsidP="00F54627">
      <w:pPr>
        <w:tabs>
          <w:tab w:val="left" w:pos="1440"/>
          <w:tab w:val="left" w:pos="3060"/>
        </w:tabs>
        <w:jc w:val="center"/>
        <w:rPr>
          <w:rFonts w:ascii="Arial" w:hAnsi="Arial" w:cs="Arial"/>
          <w:smallCaps/>
          <w:lang w:val="es-ES"/>
        </w:rPr>
      </w:pPr>
    </w:p>
    <w:p w14:paraId="55AF5E0B" w14:textId="77777777" w:rsidR="00F54627" w:rsidRPr="007E663E" w:rsidRDefault="00F54627" w:rsidP="00F54627">
      <w:pPr>
        <w:pStyle w:val="Newpage"/>
        <w:rPr>
          <w:rFonts w:ascii="Arial" w:eastAsia="Arial" w:hAnsi="Arial"/>
          <w:sz w:val="22"/>
          <w:szCs w:val="22"/>
          <w:lang w:val="es-ES"/>
        </w:rPr>
      </w:pPr>
      <w:r w:rsidRPr="007E663E">
        <w:rPr>
          <w:rFonts w:ascii="Arial" w:eastAsia="Arial" w:hAnsi="Arial"/>
          <w:caps/>
          <w:sz w:val="22"/>
          <w:szCs w:val="22"/>
          <w:lang w:val="es-CO"/>
        </w:rPr>
        <w:t xml:space="preserve"> Mejoramiento del acceso a los Servicios de Registros Civiles e Identificación de calidad a nivel nacional</w:t>
      </w:r>
    </w:p>
    <w:p w14:paraId="43B7A04A" w14:textId="77777777" w:rsidR="00F54627" w:rsidRPr="007E663E" w:rsidRDefault="00F54627" w:rsidP="00F54627">
      <w:pPr>
        <w:pStyle w:val="Newpage"/>
        <w:rPr>
          <w:rFonts w:ascii="Arial" w:hAnsi="Arial"/>
          <w:b w:val="0"/>
          <w:caps/>
          <w:sz w:val="22"/>
          <w:szCs w:val="22"/>
          <w:lang w:val="es-ES_tradnl"/>
        </w:rPr>
      </w:pPr>
    </w:p>
    <w:p w14:paraId="768D1DFB" w14:textId="77777777" w:rsidR="00F54627" w:rsidRPr="007E663E" w:rsidRDefault="00F54627" w:rsidP="00F54627">
      <w:pPr>
        <w:tabs>
          <w:tab w:val="left" w:pos="1440"/>
          <w:tab w:val="left" w:pos="3060"/>
        </w:tabs>
        <w:jc w:val="center"/>
        <w:rPr>
          <w:rFonts w:ascii="Arial" w:eastAsia="Arial" w:hAnsi="Arial" w:cs="Arial"/>
          <w:b/>
          <w:bCs/>
          <w:lang w:val="es-ES"/>
        </w:rPr>
      </w:pPr>
      <w:r w:rsidRPr="007E663E">
        <w:rPr>
          <w:rFonts w:ascii="Arial" w:eastAsia="Arial" w:hAnsi="Arial" w:cs="Arial"/>
          <w:b/>
          <w:bCs/>
          <w:smallCaps/>
          <w:lang w:val="es-ES"/>
        </w:rPr>
        <w:t>PE-L1171</w:t>
      </w:r>
    </w:p>
    <w:p w14:paraId="1EC423FE" w14:textId="77777777" w:rsidR="00C75575" w:rsidRPr="007E663E" w:rsidRDefault="00C75575" w:rsidP="007E6104">
      <w:pPr>
        <w:tabs>
          <w:tab w:val="left" w:pos="1440"/>
          <w:tab w:val="left" w:pos="3060"/>
        </w:tabs>
        <w:ind w:left="567" w:hanging="567"/>
        <w:jc w:val="center"/>
        <w:rPr>
          <w:rFonts w:ascii="Arial" w:hAnsi="Arial" w:cs="Arial"/>
          <w:smallCaps/>
          <w:sz w:val="24"/>
          <w:szCs w:val="24"/>
          <w:lang w:val="es-ES"/>
        </w:rPr>
      </w:pPr>
    </w:p>
    <w:p w14:paraId="65A579D9" w14:textId="77777777" w:rsidR="00B84211" w:rsidRPr="007E663E" w:rsidRDefault="007A1860" w:rsidP="007E6104">
      <w:pPr>
        <w:tabs>
          <w:tab w:val="left" w:pos="1440"/>
          <w:tab w:val="left" w:pos="3060"/>
        </w:tabs>
        <w:ind w:left="567" w:hanging="567"/>
        <w:jc w:val="center"/>
        <w:outlineLvl w:val="0"/>
        <w:rPr>
          <w:rFonts w:ascii="Arial" w:hAnsi="Arial" w:cs="Arial"/>
          <w:b/>
          <w:smallCaps/>
          <w:sz w:val="24"/>
          <w:szCs w:val="24"/>
          <w:lang w:val="es-ES_tradnl"/>
        </w:rPr>
      </w:pPr>
      <w:r w:rsidRPr="007E663E">
        <w:rPr>
          <w:rFonts w:ascii="Arial" w:hAnsi="Arial" w:cs="Arial"/>
          <w:b/>
          <w:smallCaps/>
          <w:sz w:val="24"/>
          <w:szCs w:val="24"/>
          <w:lang w:val="es-ES_tradnl"/>
        </w:rPr>
        <w:t>Análisis Económico</w:t>
      </w:r>
    </w:p>
    <w:p w14:paraId="18406AFA" w14:textId="77777777" w:rsidR="00B84211" w:rsidRPr="007E663E" w:rsidRDefault="00B84211" w:rsidP="007E6104">
      <w:pPr>
        <w:tabs>
          <w:tab w:val="left" w:pos="1440"/>
          <w:tab w:val="left" w:pos="3060"/>
        </w:tabs>
        <w:ind w:left="567" w:hanging="567"/>
        <w:jc w:val="center"/>
        <w:outlineLvl w:val="0"/>
        <w:rPr>
          <w:rFonts w:ascii="Arial" w:hAnsi="Arial" w:cs="Arial"/>
          <w:b/>
          <w:smallCaps/>
          <w:sz w:val="24"/>
          <w:szCs w:val="24"/>
          <w:lang w:val="es-ES_tradnl"/>
        </w:rPr>
      </w:pPr>
      <w:bookmarkStart w:id="0" w:name="_GoBack"/>
      <w:bookmarkEnd w:id="0"/>
    </w:p>
    <w:p w14:paraId="7A54B6EF" w14:textId="77777777" w:rsidR="00B84211" w:rsidRPr="007E663E" w:rsidRDefault="00B84211" w:rsidP="007E6104">
      <w:pPr>
        <w:pStyle w:val="ListParagraph"/>
        <w:spacing w:before="120" w:after="0" w:line="360" w:lineRule="auto"/>
        <w:ind w:left="567" w:hanging="567"/>
        <w:jc w:val="center"/>
        <w:rPr>
          <w:rFonts w:ascii="Arial" w:hAnsi="Arial" w:cs="Arial"/>
          <w:b/>
          <w:sz w:val="24"/>
          <w:szCs w:val="24"/>
          <w:lang w:val="es-ES_tradnl"/>
        </w:rPr>
      </w:pPr>
    </w:p>
    <w:p w14:paraId="1EFADEEB"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1946AD06"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476875E1"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0D7F0325" w14:textId="77777777" w:rsidR="00B84211" w:rsidRPr="007E663E" w:rsidRDefault="00B84211" w:rsidP="007E6104">
      <w:pPr>
        <w:tabs>
          <w:tab w:val="left" w:pos="1440"/>
          <w:tab w:val="left" w:pos="3060"/>
        </w:tabs>
        <w:ind w:left="567" w:hanging="567"/>
        <w:jc w:val="both"/>
        <w:rPr>
          <w:rFonts w:ascii="Arial" w:hAnsi="Arial" w:cs="Arial"/>
          <w:sz w:val="24"/>
          <w:szCs w:val="24"/>
          <w:lang w:val="es-ES_tradnl"/>
        </w:rPr>
      </w:pPr>
    </w:p>
    <w:p w14:paraId="5CA86414" w14:textId="77777777" w:rsidR="00B84211" w:rsidRPr="007E663E" w:rsidRDefault="00B84211" w:rsidP="007E6104">
      <w:pPr>
        <w:tabs>
          <w:tab w:val="left" w:pos="1440"/>
          <w:tab w:val="left" w:pos="3060"/>
        </w:tabs>
        <w:ind w:left="567" w:hanging="567"/>
        <w:jc w:val="both"/>
        <w:rPr>
          <w:rFonts w:ascii="Arial" w:hAnsi="Arial" w:cs="Arial"/>
          <w:sz w:val="24"/>
          <w:szCs w:val="24"/>
          <w:lang w:val="es-ES_tradnl"/>
        </w:rPr>
      </w:pPr>
    </w:p>
    <w:p w14:paraId="4314319A" w14:textId="6735162D" w:rsidR="00B84211" w:rsidRPr="007E663E" w:rsidRDefault="007A1860" w:rsidP="000D4175">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Cs w:val="24"/>
          <w:lang w:val="es-ES"/>
        </w:rPr>
      </w:pPr>
      <w:r w:rsidRPr="007E663E">
        <w:rPr>
          <w:rFonts w:ascii="Arial" w:hAnsi="Arial" w:cs="Arial"/>
          <w:szCs w:val="24"/>
          <w:lang w:val="es-ES"/>
        </w:rPr>
        <w:t xml:space="preserve">Este documento ha sido preparado por: </w:t>
      </w:r>
      <w:r w:rsidR="00F54627" w:rsidRPr="007E663E">
        <w:rPr>
          <w:rFonts w:ascii="Arial" w:hAnsi="Arial" w:cs="Arial"/>
          <w:szCs w:val="24"/>
          <w:lang w:val="es-ES"/>
        </w:rPr>
        <w:t>Benjamin Roseth</w:t>
      </w:r>
      <w:r w:rsidR="00BD1E78" w:rsidRPr="007E663E">
        <w:rPr>
          <w:rFonts w:ascii="Arial" w:hAnsi="Arial" w:cs="Arial"/>
          <w:szCs w:val="24"/>
          <w:lang w:val="es-ES"/>
        </w:rPr>
        <w:t xml:space="preserve"> (IFD/ICS)</w:t>
      </w:r>
      <w:r w:rsidR="000D4175">
        <w:rPr>
          <w:rFonts w:ascii="Arial" w:hAnsi="Arial" w:cs="Arial"/>
          <w:szCs w:val="24"/>
          <w:lang w:val="es-ES"/>
        </w:rPr>
        <w:t xml:space="preserve"> y Harold </w:t>
      </w:r>
      <w:r w:rsidR="008B2732" w:rsidRPr="007E663E">
        <w:rPr>
          <w:rFonts w:ascii="Arial" w:hAnsi="Arial" w:cs="Arial"/>
          <w:szCs w:val="24"/>
          <w:lang w:val="es-ES"/>
        </w:rPr>
        <w:t>Villalba (</w:t>
      </w:r>
      <w:r w:rsidR="00BD1E78" w:rsidRPr="007E663E">
        <w:rPr>
          <w:rFonts w:ascii="Arial" w:hAnsi="Arial" w:cs="Arial"/>
          <w:szCs w:val="24"/>
          <w:lang w:val="es-ES"/>
        </w:rPr>
        <w:t>SPD/SDV)</w:t>
      </w:r>
    </w:p>
    <w:p w14:paraId="78BFAEB8" w14:textId="77777777" w:rsidR="00B84211" w:rsidRPr="007E663E" w:rsidRDefault="00CF5271" w:rsidP="007E6104">
      <w:pPr>
        <w:spacing w:line="240" w:lineRule="auto"/>
        <w:ind w:left="567" w:hanging="567"/>
        <w:jc w:val="both"/>
        <w:rPr>
          <w:rFonts w:ascii="Arial" w:hAnsi="Arial" w:cs="Arial"/>
          <w:b/>
          <w:i/>
          <w:sz w:val="24"/>
          <w:szCs w:val="24"/>
          <w:lang w:val="es-ES"/>
        </w:rPr>
      </w:pPr>
      <w:r w:rsidRPr="007E663E">
        <w:rPr>
          <w:rFonts w:ascii="Arial" w:hAnsi="Arial" w:cs="Arial"/>
          <w:b/>
          <w:sz w:val="24"/>
          <w:szCs w:val="24"/>
          <w:lang w:val="es-ES"/>
        </w:rPr>
        <w:br w:type="page"/>
      </w:r>
    </w:p>
    <w:p w14:paraId="6C9EB783" w14:textId="77777777" w:rsidR="00B84211" w:rsidRPr="007E663E" w:rsidRDefault="007A1860" w:rsidP="007E6104">
      <w:pPr>
        <w:numPr>
          <w:ilvl w:val="0"/>
          <w:numId w:val="1"/>
        </w:numPr>
        <w:spacing w:after="0" w:line="480" w:lineRule="auto"/>
        <w:ind w:left="567" w:hanging="567"/>
        <w:jc w:val="both"/>
        <w:rPr>
          <w:rFonts w:ascii="Arial" w:hAnsi="Arial" w:cs="Arial"/>
          <w:b/>
          <w:sz w:val="24"/>
          <w:szCs w:val="24"/>
          <w:lang w:val="es-ES"/>
        </w:rPr>
      </w:pPr>
      <w:r w:rsidRPr="007E663E">
        <w:rPr>
          <w:rFonts w:ascii="Arial" w:hAnsi="Arial" w:cs="Arial"/>
          <w:b/>
          <w:sz w:val="24"/>
          <w:szCs w:val="24"/>
          <w:lang w:val="es-ES"/>
        </w:rPr>
        <w:lastRenderedPageBreak/>
        <w:t>Introducció</w:t>
      </w:r>
      <w:r w:rsidR="001C3DCA" w:rsidRPr="007E663E">
        <w:rPr>
          <w:rFonts w:ascii="Arial" w:hAnsi="Arial" w:cs="Arial"/>
          <w:b/>
          <w:sz w:val="24"/>
          <w:szCs w:val="24"/>
          <w:lang w:val="es-ES"/>
        </w:rPr>
        <w:t>n</w:t>
      </w:r>
    </w:p>
    <w:p w14:paraId="1FF3015F" w14:textId="77777777" w:rsidR="00B84211" w:rsidRPr="007E663E" w:rsidRDefault="00D433EF" w:rsidP="00D433EF">
      <w:pPr>
        <w:pStyle w:val="Paragraph"/>
        <w:numPr>
          <w:ilvl w:val="1"/>
          <w:numId w:val="1"/>
        </w:numPr>
        <w:rPr>
          <w:rFonts w:ascii="Arial" w:hAnsi="Arial" w:cs="Arial"/>
          <w:kern w:val="28"/>
        </w:rPr>
      </w:pPr>
      <w:r w:rsidRPr="007E663E">
        <w:rPr>
          <w:rFonts w:ascii="Arial" w:hAnsi="Arial" w:cs="Arial"/>
          <w:kern w:val="28"/>
        </w:rPr>
        <w:t>Este documento presenta el análisis e</w:t>
      </w:r>
      <w:r w:rsidR="00F54627" w:rsidRPr="007E663E">
        <w:rPr>
          <w:rFonts w:ascii="Arial" w:hAnsi="Arial" w:cs="Arial"/>
          <w:kern w:val="28"/>
        </w:rPr>
        <w:t xml:space="preserve">conómico ex-ante del Proyecto de </w:t>
      </w:r>
      <w:r w:rsidR="00161975" w:rsidRPr="007E663E">
        <w:rPr>
          <w:rFonts w:ascii="Arial" w:hAnsi="Arial" w:cs="Arial"/>
          <w:kern w:val="28"/>
        </w:rPr>
        <w:t>M</w:t>
      </w:r>
      <w:r w:rsidR="00F54627" w:rsidRPr="007E663E">
        <w:rPr>
          <w:rFonts w:ascii="Arial" w:hAnsi="Arial" w:cs="Arial"/>
          <w:kern w:val="28"/>
        </w:rPr>
        <w:t xml:space="preserve">ejoramiento del </w:t>
      </w:r>
      <w:r w:rsidR="00161975" w:rsidRPr="007E663E">
        <w:rPr>
          <w:rFonts w:ascii="Arial" w:hAnsi="Arial" w:cs="Arial"/>
          <w:kern w:val="28"/>
        </w:rPr>
        <w:t>A</w:t>
      </w:r>
      <w:r w:rsidR="00F54627" w:rsidRPr="007E663E">
        <w:rPr>
          <w:rFonts w:ascii="Arial" w:hAnsi="Arial" w:cs="Arial"/>
          <w:kern w:val="28"/>
        </w:rPr>
        <w:t xml:space="preserve">cceso a los </w:t>
      </w:r>
      <w:r w:rsidR="00161975" w:rsidRPr="007E663E">
        <w:rPr>
          <w:rFonts w:ascii="Arial" w:hAnsi="Arial" w:cs="Arial"/>
          <w:kern w:val="28"/>
        </w:rPr>
        <w:t>S</w:t>
      </w:r>
      <w:r w:rsidR="00F54627" w:rsidRPr="007E663E">
        <w:rPr>
          <w:rFonts w:ascii="Arial" w:hAnsi="Arial" w:cs="Arial"/>
          <w:kern w:val="28"/>
        </w:rPr>
        <w:t xml:space="preserve">ervicios de </w:t>
      </w:r>
      <w:r w:rsidR="00161975" w:rsidRPr="007E663E">
        <w:rPr>
          <w:rFonts w:ascii="Arial" w:hAnsi="Arial" w:cs="Arial"/>
          <w:kern w:val="28"/>
        </w:rPr>
        <w:t>R</w:t>
      </w:r>
      <w:r w:rsidR="00F54627" w:rsidRPr="007E663E">
        <w:rPr>
          <w:rFonts w:ascii="Arial" w:hAnsi="Arial" w:cs="Arial"/>
          <w:kern w:val="28"/>
        </w:rPr>
        <w:t xml:space="preserve">egistros </w:t>
      </w:r>
      <w:r w:rsidR="00161975" w:rsidRPr="007E663E">
        <w:rPr>
          <w:rFonts w:ascii="Arial" w:hAnsi="Arial" w:cs="Arial"/>
          <w:kern w:val="28"/>
        </w:rPr>
        <w:t>C</w:t>
      </w:r>
      <w:r w:rsidR="00F54627" w:rsidRPr="007E663E">
        <w:rPr>
          <w:rFonts w:ascii="Arial" w:hAnsi="Arial" w:cs="Arial"/>
          <w:kern w:val="28"/>
        </w:rPr>
        <w:t xml:space="preserve">iviles e </w:t>
      </w:r>
      <w:r w:rsidR="00161975" w:rsidRPr="007E663E">
        <w:rPr>
          <w:rFonts w:ascii="Arial" w:hAnsi="Arial" w:cs="Arial"/>
          <w:kern w:val="28"/>
        </w:rPr>
        <w:t>I</w:t>
      </w:r>
      <w:r w:rsidR="00F54627" w:rsidRPr="007E663E">
        <w:rPr>
          <w:rFonts w:ascii="Arial" w:hAnsi="Arial" w:cs="Arial"/>
          <w:kern w:val="28"/>
        </w:rPr>
        <w:t xml:space="preserve">dentificación de </w:t>
      </w:r>
      <w:r w:rsidR="00161975" w:rsidRPr="007E663E">
        <w:rPr>
          <w:rFonts w:ascii="Arial" w:hAnsi="Arial" w:cs="Arial"/>
          <w:kern w:val="28"/>
        </w:rPr>
        <w:t>C</w:t>
      </w:r>
      <w:r w:rsidR="00F54627" w:rsidRPr="007E663E">
        <w:rPr>
          <w:rFonts w:ascii="Arial" w:hAnsi="Arial" w:cs="Arial"/>
          <w:kern w:val="28"/>
        </w:rPr>
        <w:t xml:space="preserve">alidad a </w:t>
      </w:r>
      <w:r w:rsidR="00161975" w:rsidRPr="007E663E">
        <w:rPr>
          <w:rFonts w:ascii="Arial" w:hAnsi="Arial" w:cs="Arial"/>
          <w:kern w:val="28"/>
        </w:rPr>
        <w:t>N</w:t>
      </w:r>
      <w:r w:rsidR="00F54627" w:rsidRPr="007E663E">
        <w:rPr>
          <w:rFonts w:ascii="Arial" w:hAnsi="Arial" w:cs="Arial"/>
          <w:kern w:val="28"/>
        </w:rPr>
        <w:t>ivel nacional (PE-L1171</w:t>
      </w:r>
      <w:r w:rsidRPr="007E663E">
        <w:rPr>
          <w:rFonts w:ascii="Arial" w:hAnsi="Arial" w:cs="Arial"/>
          <w:kern w:val="28"/>
        </w:rPr>
        <w:t>)</w:t>
      </w:r>
      <w:r w:rsidR="00161975" w:rsidRPr="007E663E">
        <w:rPr>
          <w:rFonts w:ascii="Arial" w:hAnsi="Arial" w:cs="Arial"/>
          <w:kern w:val="28"/>
        </w:rPr>
        <w:t xml:space="preserve"> (“el Proyecto”, en adelante)</w:t>
      </w:r>
      <w:r w:rsidRPr="007E663E">
        <w:rPr>
          <w:rFonts w:ascii="Arial" w:hAnsi="Arial" w:cs="Arial"/>
          <w:kern w:val="28"/>
        </w:rPr>
        <w:t>, cuya ejecución se tie</w:t>
      </w:r>
      <w:r w:rsidR="00F54627" w:rsidRPr="007E663E">
        <w:rPr>
          <w:rFonts w:ascii="Arial" w:hAnsi="Arial" w:cs="Arial"/>
          <w:kern w:val="28"/>
        </w:rPr>
        <w:t>ne prevista para el período 201</w:t>
      </w:r>
      <w:r w:rsidR="008B0776" w:rsidRPr="007E663E">
        <w:rPr>
          <w:rFonts w:ascii="Arial" w:hAnsi="Arial" w:cs="Arial"/>
          <w:kern w:val="28"/>
        </w:rPr>
        <w:t>8</w:t>
      </w:r>
      <w:r w:rsidR="00F54627" w:rsidRPr="007E663E">
        <w:rPr>
          <w:rFonts w:ascii="Arial" w:hAnsi="Arial" w:cs="Arial"/>
          <w:kern w:val="28"/>
        </w:rPr>
        <w:t>-202</w:t>
      </w:r>
      <w:r w:rsidR="00B622B1" w:rsidRPr="007E663E">
        <w:rPr>
          <w:rFonts w:ascii="Arial" w:hAnsi="Arial" w:cs="Arial"/>
          <w:kern w:val="28"/>
        </w:rPr>
        <w:t>1</w:t>
      </w:r>
      <w:r w:rsidRPr="007E663E">
        <w:rPr>
          <w:rFonts w:ascii="Arial" w:hAnsi="Arial" w:cs="Arial"/>
          <w:kern w:val="28"/>
        </w:rPr>
        <w:t>. El análisis se lleva a cabo mediante la metodología de costo-beneficio</w:t>
      </w:r>
      <w:r w:rsidR="004C19AB" w:rsidRPr="007E663E">
        <w:rPr>
          <w:rFonts w:ascii="Arial" w:hAnsi="Arial" w:cs="Arial"/>
          <w:kern w:val="28"/>
        </w:rPr>
        <w:t>.</w:t>
      </w:r>
    </w:p>
    <w:p w14:paraId="488858D3" w14:textId="77777777" w:rsidR="00B84211" w:rsidRPr="007E663E" w:rsidRDefault="001F52BD">
      <w:pPr>
        <w:pStyle w:val="Paragraph"/>
        <w:numPr>
          <w:ilvl w:val="1"/>
          <w:numId w:val="1"/>
        </w:numPr>
        <w:rPr>
          <w:rFonts w:ascii="Arial" w:hAnsi="Arial" w:cs="Arial"/>
          <w:kern w:val="28"/>
        </w:rPr>
      </w:pPr>
      <w:r w:rsidRPr="007E663E">
        <w:rPr>
          <w:rFonts w:ascii="Arial" w:hAnsi="Arial" w:cs="Arial"/>
          <w:kern w:val="28"/>
        </w:rPr>
        <w:t>El Pr</w:t>
      </w:r>
      <w:r w:rsidR="00F54627" w:rsidRPr="007E663E">
        <w:rPr>
          <w:rFonts w:ascii="Arial" w:hAnsi="Arial" w:cs="Arial"/>
          <w:kern w:val="28"/>
        </w:rPr>
        <w:t xml:space="preserve">oyecto </w:t>
      </w:r>
      <w:r w:rsidRPr="007E663E">
        <w:rPr>
          <w:rFonts w:ascii="Arial" w:hAnsi="Arial" w:cs="Arial"/>
          <w:kern w:val="28"/>
        </w:rPr>
        <w:t>tiene como objetivo</w:t>
      </w:r>
      <w:r w:rsidR="00161975" w:rsidRPr="007E663E">
        <w:rPr>
          <w:rFonts w:ascii="Arial" w:hAnsi="Arial" w:cs="Arial"/>
          <w:kern w:val="28"/>
        </w:rPr>
        <w:t xml:space="preserve"> lograr un adecuado acceso de la población a los servicios de registros civiles e identificación de calidad a nivel nacional</w:t>
      </w:r>
      <w:r w:rsidR="00161975" w:rsidRPr="007E663E">
        <w:rPr>
          <w:rFonts w:ascii="Arial" w:hAnsi="Arial" w:cs="Arial"/>
          <w:kern w:val="28"/>
          <w:vertAlign w:val="superscript"/>
        </w:rPr>
        <w:footnoteReference w:id="2"/>
      </w:r>
      <w:r w:rsidR="00161975" w:rsidRPr="007E663E">
        <w:rPr>
          <w:rFonts w:ascii="Arial" w:hAnsi="Arial" w:cs="Arial"/>
          <w:kern w:val="28"/>
        </w:rPr>
        <w:t xml:space="preserve">. La operación procurará este objetivo mediante la reducción del costo de transacción que se impone a los peruanos para la obtención de los SRI. </w:t>
      </w:r>
    </w:p>
    <w:p w14:paraId="31C48326" w14:textId="77777777" w:rsidR="00F54627" w:rsidRPr="007E663E" w:rsidRDefault="001F52BD" w:rsidP="00F54627">
      <w:pPr>
        <w:pStyle w:val="Paragraph"/>
        <w:numPr>
          <w:ilvl w:val="1"/>
          <w:numId w:val="1"/>
        </w:numPr>
        <w:rPr>
          <w:rFonts w:ascii="Arial" w:hAnsi="Arial" w:cs="Arial"/>
          <w:kern w:val="28"/>
          <w:lang w:val="es-AR"/>
        </w:rPr>
      </w:pPr>
      <w:r w:rsidRPr="007E663E">
        <w:rPr>
          <w:rFonts w:ascii="Arial" w:hAnsi="Arial" w:cs="Arial"/>
          <w:kern w:val="28"/>
        </w:rPr>
        <w:t>Los objetivos específicos son:</w:t>
      </w:r>
      <w:r w:rsidR="00F54627" w:rsidRPr="007E663E">
        <w:rPr>
          <w:rFonts w:ascii="Arial" w:eastAsia="Arial" w:hAnsi="Arial" w:cs="Arial"/>
          <w:sz w:val="18"/>
          <w:szCs w:val="18"/>
          <w:lang w:val="es-CO"/>
        </w:rPr>
        <w:t xml:space="preserve"> </w:t>
      </w:r>
      <w:r w:rsidR="00F54627" w:rsidRPr="007E663E">
        <w:rPr>
          <w:rFonts w:ascii="Arial" w:hAnsi="Arial" w:cs="Arial"/>
          <w:kern w:val="28"/>
          <w:lang w:val="es-CO"/>
        </w:rPr>
        <w:t>(i) mejorar la calidad de los SRI; (ii) facilitar el acceso a los SRI a la población de las comunidades más aisladas; y (iii) mejorar la eficiencia en la gestión del RENIEC</w:t>
      </w:r>
    </w:p>
    <w:p w14:paraId="5AE8233E" w14:textId="77777777" w:rsidR="0048244D" w:rsidRPr="007E663E" w:rsidRDefault="00D433EF" w:rsidP="0048244D">
      <w:pPr>
        <w:pStyle w:val="Paragraph"/>
        <w:numPr>
          <w:ilvl w:val="1"/>
          <w:numId w:val="1"/>
        </w:numPr>
        <w:rPr>
          <w:rFonts w:ascii="Arial" w:hAnsi="Arial" w:cs="Arial"/>
          <w:szCs w:val="24"/>
        </w:rPr>
      </w:pPr>
      <w:r w:rsidRPr="007E663E">
        <w:rPr>
          <w:rFonts w:ascii="Arial" w:hAnsi="Arial" w:cs="Arial"/>
          <w:szCs w:val="24"/>
        </w:rPr>
        <w:t>Por su parte, el impacto espera</w:t>
      </w:r>
      <w:r w:rsidR="0048244D" w:rsidRPr="007E663E">
        <w:rPr>
          <w:rFonts w:ascii="Arial" w:hAnsi="Arial" w:cs="Arial"/>
          <w:szCs w:val="24"/>
        </w:rPr>
        <w:t>do del proyecto</w:t>
      </w:r>
      <w:r w:rsidRPr="007E663E">
        <w:rPr>
          <w:rFonts w:ascii="Arial" w:hAnsi="Arial" w:cs="Arial"/>
          <w:szCs w:val="24"/>
        </w:rPr>
        <w:t xml:space="preserve"> </w:t>
      </w:r>
      <w:r w:rsidR="0048244D" w:rsidRPr="007E663E">
        <w:rPr>
          <w:rFonts w:ascii="Arial" w:hAnsi="Arial" w:cs="Arial"/>
          <w:szCs w:val="24"/>
        </w:rPr>
        <w:t xml:space="preserve">será la reducción del costo de transacción que se impone a los peruanos para la obtención de SRI, reflejado en </w:t>
      </w:r>
      <w:r w:rsidR="00DF61DE">
        <w:rPr>
          <w:rFonts w:ascii="Arial" w:hAnsi="Arial" w:cs="Arial"/>
          <w:szCs w:val="24"/>
        </w:rPr>
        <w:t>los</w:t>
      </w:r>
      <w:r w:rsidR="00DF61DE" w:rsidRPr="007E663E">
        <w:rPr>
          <w:rFonts w:ascii="Arial" w:hAnsi="Arial" w:cs="Arial"/>
          <w:szCs w:val="24"/>
        </w:rPr>
        <w:t xml:space="preserve"> </w:t>
      </w:r>
      <w:r w:rsidR="0048244D" w:rsidRPr="007E663E">
        <w:rPr>
          <w:rFonts w:ascii="Arial" w:hAnsi="Arial" w:cs="Arial"/>
          <w:szCs w:val="24"/>
        </w:rPr>
        <w:t>costo</w:t>
      </w:r>
      <w:r w:rsidR="00DF61DE">
        <w:rPr>
          <w:rFonts w:ascii="Arial" w:hAnsi="Arial" w:cs="Arial"/>
          <w:szCs w:val="24"/>
        </w:rPr>
        <w:t>s</w:t>
      </w:r>
      <w:r w:rsidR="0048244D" w:rsidRPr="007E663E">
        <w:rPr>
          <w:rFonts w:ascii="Arial" w:hAnsi="Arial" w:cs="Arial"/>
          <w:szCs w:val="24"/>
        </w:rPr>
        <w:t xml:space="preserve"> para la obtención del DNI</w:t>
      </w:r>
      <w:r w:rsidR="00DF61DE">
        <w:rPr>
          <w:rFonts w:ascii="Arial" w:hAnsi="Arial" w:cs="Arial"/>
          <w:szCs w:val="24"/>
        </w:rPr>
        <w:t xml:space="preserve"> y de copias certificadas de actas</w:t>
      </w:r>
      <w:r w:rsidR="00161975" w:rsidRPr="007E663E">
        <w:rPr>
          <w:rFonts w:ascii="Arial" w:hAnsi="Arial" w:cs="Arial"/>
          <w:szCs w:val="24"/>
        </w:rPr>
        <w:t>.</w:t>
      </w:r>
    </w:p>
    <w:p w14:paraId="169CE495" w14:textId="77777777" w:rsidR="00B84211" w:rsidRPr="007E663E" w:rsidRDefault="001F52BD" w:rsidP="001F52BD">
      <w:pPr>
        <w:pStyle w:val="Paragraph"/>
        <w:numPr>
          <w:ilvl w:val="1"/>
          <w:numId w:val="1"/>
        </w:numPr>
        <w:rPr>
          <w:rFonts w:ascii="Arial" w:hAnsi="Arial" w:cs="Arial"/>
          <w:kern w:val="28"/>
        </w:rPr>
      </w:pPr>
      <w:r w:rsidRPr="007E663E">
        <w:rPr>
          <w:rFonts w:ascii="Arial" w:hAnsi="Arial" w:cs="Arial"/>
          <w:kern w:val="28"/>
        </w:rPr>
        <w:t>Las activ</w:t>
      </w:r>
      <w:r w:rsidR="0048244D" w:rsidRPr="007E663E">
        <w:rPr>
          <w:rFonts w:ascii="Arial" w:hAnsi="Arial" w:cs="Arial"/>
          <w:kern w:val="28"/>
        </w:rPr>
        <w:t>idades pueden encuadrarse en tres</w:t>
      </w:r>
      <w:r w:rsidRPr="007E663E">
        <w:rPr>
          <w:rFonts w:ascii="Arial" w:hAnsi="Arial" w:cs="Arial"/>
          <w:kern w:val="28"/>
        </w:rPr>
        <w:t xml:space="preserve"> grandes componentes: </w:t>
      </w:r>
      <w:r w:rsidR="002E26C6" w:rsidRPr="007E663E">
        <w:rPr>
          <w:rFonts w:ascii="Arial" w:hAnsi="Arial" w:cs="Arial"/>
          <w:kern w:val="28"/>
        </w:rPr>
        <w:t>(</w:t>
      </w:r>
      <w:r w:rsidRPr="007E663E">
        <w:rPr>
          <w:rFonts w:ascii="Arial" w:hAnsi="Arial" w:cs="Arial"/>
          <w:kern w:val="28"/>
        </w:rPr>
        <w:t>1</w:t>
      </w:r>
      <w:r w:rsidR="002E26C6" w:rsidRPr="007E663E">
        <w:rPr>
          <w:rFonts w:ascii="Arial" w:hAnsi="Arial" w:cs="Arial"/>
          <w:kern w:val="28"/>
        </w:rPr>
        <w:t>)</w:t>
      </w:r>
      <w:r w:rsidR="00DD36CC">
        <w:rPr>
          <w:rFonts w:ascii="Arial" w:hAnsi="Arial" w:cs="Arial"/>
          <w:kern w:val="28"/>
        </w:rPr>
        <w:t> </w:t>
      </w:r>
      <w:r w:rsidR="0048244D" w:rsidRPr="007E663E">
        <w:rPr>
          <w:rFonts w:ascii="Arial" w:hAnsi="Arial" w:cs="Arial"/>
          <w:kern w:val="28"/>
        </w:rPr>
        <w:t>Mejora de la calidad de la prestación de los SRI</w:t>
      </w:r>
      <w:r w:rsidRPr="007E663E">
        <w:rPr>
          <w:rFonts w:ascii="Arial" w:hAnsi="Arial" w:cs="Arial"/>
          <w:kern w:val="28"/>
        </w:rPr>
        <w:t xml:space="preserve"> (US$</w:t>
      </w:r>
      <w:r w:rsidR="0048244D" w:rsidRPr="007E663E">
        <w:rPr>
          <w:rFonts w:ascii="Arial" w:hAnsi="Arial" w:cs="Arial"/>
          <w:kern w:val="28"/>
        </w:rPr>
        <w:t>3</w:t>
      </w:r>
      <w:r w:rsidRPr="007E663E">
        <w:rPr>
          <w:rFonts w:ascii="Arial" w:hAnsi="Arial" w:cs="Arial"/>
          <w:kern w:val="28"/>
        </w:rPr>
        <w:t>9.</w:t>
      </w:r>
      <w:r w:rsidR="003A21FB">
        <w:rPr>
          <w:rFonts w:ascii="Arial" w:hAnsi="Arial" w:cs="Arial"/>
          <w:kern w:val="28"/>
        </w:rPr>
        <w:t>2</w:t>
      </w:r>
      <w:r w:rsidR="0048244D" w:rsidRPr="007E663E">
        <w:rPr>
          <w:rFonts w:ascii="Arial" w:hAnsi="Arial" w:cs="Arial"/>
          <w:kern w:val="28"/>
        </w:rPr>
        <w:t>00</w:t>
      </w:r>
      <w:r w:rsidRPr="007E663E">
        <w:rPr>
          <w:rFonts w:ascii="Arial" w:hAnsi="Arial" w:cs="Arial"/>
          <w:kern w:val="28"/>
        </w:rPr>
        <w:t>.</w:t>
      </w:r>
      <w:r w:rsidR="0048244D" w:rsidRPr="007E663E">
        <w:rPr>
          <w:rFonts w:ascii="Arial" w:hAnsi="Arial" w:cs="Arial"/>
          <w:kern w:val="28"/>
        </w:rPr>
        <w:t>000</w:t>
      </w:r>
      <w:r w:rsidR="00DD36CC" w:rsidRPr="007E663E">
        <w:rPr>
          <w:rFonts w:ascii="Arial" w:hAnsi="Arial" w:cs="Arial"/>
          <w:kern w:val="28"/>
        </w:rPr>
        <w:t>), (</w:t>
      </w:r>
      <w:r w:rsidRPr="007E663E">
        <w:rPr>
          <w:rFonts w:ascii="Arial" w:hAnsi="Arial" w:cs="Arial"/>
          <w:kern w:val="28"/>
        </w:rPr>
        <w:t>2</w:t>
      </w:r>
      <w:r w:rsidR="002E26C6" w:rsidRPr="007E663E">
        <w:rPr>
          <w:rFonts w:ascii="Arial" w:hAnsi="Arial" w:cs="Arial"/>
          <w:kern w:val="28"/>
        </w:rPr>
        <w:t>)</w:t>
      </w:r>
      <w:r w:rsidR="00DD36CC">
        <w:rPr>
          <w:rFonts w:ascii="Arial" w:hAnsi="Arial" w:cs="Arial"/>
          <w:kern w:val="28"/>
        </w:rPr>
        <w:t> </w:t>
      </w:r>
      <w:r w:rsidR="0048244D" w:rsidRPr="007E663E">
        <w:rPr>
          <w:rFonts w:ascii="Arial" w:hAnsi="Arial" w:cs="Arial"/>
          <w:kern w:val="28"/>
        </w:rPr>
        <w:t>Mejora del acceso a los SRI a población de comunidades aisladas (US$14</w:t>
      </w:r>
      <w:r w:rsidRPr="007E663E">
        <w:rPr>
          <w:rFonts w:ascii="Arial" w:hAnsi="Arial" w:cs="Arial"/>
          <w:kern w:val="28"/>
        </w:rPr>
        <w:t>.</w:t>
      </w:r>
      <w:r w:rsidR="0048244D" w:rsidRPr="007E663E">
        <w:rPr>
          <w:rFonts w:ascii="Arial" w:hAnsi="Arial" w:cs="Arial"/>
          <w:kern w:val="28"/>
        </w:rPr>
        <w:t>500</w:t>
      </w:r>
      <w:r w:rsidRPr="007E663E">
        <w:rPr>
          <w:rFonts w:ascii="Arial" w:hAnsi="Arial" w:cs="Arial"/>
          <w:kern w:val="28"/>
        </w:rPr>
        <w:t>.</w:t>
      </w:r>
      <w:r w:rsidR="0048244D" w:rsidRPr="007E663E">
        <w:rPr>
          <w:rFonts w:ascii="Arial" w:hAnsi="Arial" w:cs="Arial"/>
          <w:kern w:val="28"/>
        </w:rPr>
        <w:t>00</w:t>
      </w:r>
      <w:r w:rsidR="002E26C6" w:rsidRPr="007E663E">
        <w:rPr>
          <w:rFonts w:ascii="Arial" w:hAnsi="Arial" w:cs="Arial"/>
          <w:kern w:val="28"/>
        </w:rPr>
        <w:t>0</w:t>
      </w:r>
      <w:r w:rsidR="0048244D" w:rsidRPr="007E663E">
        <w:rPr>
          <w:rFonts w:ascii="Arial" w:hAnsi="Arial" w:cs="Arial"/>
          <w:kern w:val="28"/>
        </w:rPr>
        <w:t xml:space="preserve">) y </w:t>
      </w:r>
      <w:r w:rsidR="002E26C6" w:rsidRPr="007E663E">
        <w:rPr>
          <w:rFonts w:ascii="Arial" w:hAnsi="Arial" w:cs="Arial"/>
          <w:kern w:val="28"/>
        </w:rPr>
        <w:t>(</w:t>
      </w:r>
      <w:r w:rsidR="0048244D" w:rsidRPr="007E663E">
        <w:rPr>
          <w:rFonts w:ascii="Arial" w:hAnsi="Arial" w:cs="Arial"/>
          <w:kern w:val="28"/>
        </w:rPr>
        <w:t>3</w:t>
      </w:r>
      <w:r w:rsidR="002E26C6" w:rsidRPr="007E663E">
        <w:rPr>
          <w:rFonts w:ascii="Arial" w:hAnsi="Arial" w:cs="Arial"/>
          <w:kern w:val="28"/>
        </w:rPr>
        <w:t>)</w:t>
      </w:r>
      <w:r w:rsidR="0048244D" w:rsidRPr="007E663E">
        <w:rPr>
          <w:rFonts w:ascii="Arial" w:hAnsi="Arial" w:cs="Arial"/>
          <w:kern w:val="28"/>
        </w:rPr>
        <w:t xml:space="preserve"> </w:t>
      </w:r>
      <w:r w:rsidR="0048244D" w:rsidRPr="007E663E">
        <w:rPr>
          <w:rFonts w:ascii="Arial" w:hAnsi="Arial" w:cs="Arial"/>
          <w:bCs/>
          <w:kern w:val="28"/>
          <w:lang w:val="es-ES_tradnl"/>
        </w:rPr>
        <w:t>Modernización de los sistemas de gestión del RENIEC</w:t>
      </w:r>
      <w:r w:rsidR="003A21FB">
        <w:rPr>
          <w:rFonts w:ascii="Arial" w:hAnsi="Arial" w:cs="Arial"/>
          <w:bCs/>
          <w:kern w:val="28"/>
          <w:lang w:val="es-ES_tradnl"/>
        </w:rPr>
        <w:t xml:space="preserve"> (US$22.2</w:t>
      </w:r>
      <w:r w:rsidR="002E26C6" w:rsidRPr="007E663E">
        <w:rPr>
          <w:rFonts w:ascii="Arial" w:hAnsi="Arial" w:cs="Arial"/>
          <w:bCs/>
          <w:kern w:val="28"/>
          <w:lang w:val="es-ES_tradnl"/>
        </w:rPr>
        <w:t>00.000)</w:t>
      </w:r>
      <w:r w:rsidRPr="007E663E">
        <w:rPr>
          <w:rFonts w:ascii="Arial" w:hAnsi="Arial" w:cs="Arial"/>
          <w:kern w:val="28"/>
        </w:rPr>
        <w:t>. La matriz de resultados adjunta al proyecto establece los indicadores, líneas de base y metas a partir de la cual se ha elaborado el siguiente análisis.</w:t>
      </w:r>
    </w:p>
    <w:p w14:paraId="1BF9E08D" w14:textId="77777777" w:rsidR="00B84211" w:rsidRPr="007E663E" w:rsidRDefault="00C355F9" w:rsidP="00C75575">
      <w:pPr>
        <w:pStyle w:val="ListParagraph"/>
        <w:numPr>
          <w:ilvl w:val="0"/>
          <w:numId w:val="1"/>
        </w:numPr>
        <w:spacing w:before="360" w:after="120" w:line="240" w:lineRule="auto"/>
        <w:ind w:left="562" w:hanging="562"/>
        <w:jc w:val="both"/>
        <w:rPr>
          <w:rFonts w:ascii="Arial" w:hAnsi="Arial" w:cs="Arial"/>
          <w:b/>
          <w:sz w:val="24"/>
          <w:szCs w:val="24"/>
          <w:lang w:val="es-ES"/>
        </w:rPr>
      </w:pPr>
      <w:r w:rsidRPr="007E663E">
        <w:rPr>
          <w:rFonts w:ascii="Arial" w:hAnsi="Arial" w:cs="Arial"/>
          <w:b/>
          <w:sz w:val="24"/>
          <w:szCs w:val="24"/>
          <w:lang w:val="es-ES"/>
        </w:rPr>
        <w:t>Metodología</w:t>
      </w:r>
    </w:p>
    <w:p w14:paraId="5C285272" w14:textId="77777777" w:rsidR="0048244D" w:rsidRPr="00DD36CC" w:rsidRDefault="001F52BD" w:rsidP="00DD36CC">
      <w:pPr>
        <w:pStyle w:val="Paragraph"/>
        <w:numPr>
          <w:ilvl w:val="1"/>
          <w:numId w:val="1"/>
        </w:numPr>
        <w:spacing w:before="240"/>
        <w:rPr>
          <w:rFonts w:ascii="Arial" w:hAnsi="Arial" w:cs="Arial"/>
          <w:kern w:val="28"/>
        </w:rPr>
      </w:pPr>
      <w:r w:rsidRPr="007E663E">
        <w:rPr>
          <w:rFonts w:ascii="Arial" w:hAnsi="Arial" w:cs="Arial"/>
          <w:b/>
        </w:rPr>
        <w:t xml:space="preserve">Descripción de la intervención- Componente 1: </w:t>
      </w:r>
      <w:r w:rsidR="0048244D" w:rsidRPr="007E663E">
        <w:rPr>
          <w:rFonts w:ascii="Arial" w:hAnsi="Arial" w:cs="Arial"/>
          <w:b/>
          <w:bCs/>
          <w:kern w:val="28"/>
        </w:rPr>
        <w:t>Mejora de la equidad de la prestación de los SRI</w:t>
      </w:r>
      <w:r w:rsidRPr="007E663E">
        <w:rPr>
          <w:rFonts w:ascii="Arial" w:hAnsi="Arial" w:cs="Arial"/>
          <w:b/>
        </w:rPr>
        <w:t xml:space="preserve">. </w:t>
      </w:r>
      <w:r w:rsidR="0048244D" w:rsidRPr="007E663E">
        <w:rPr>
          <w:rFonts w:ascii="Arial" w:hAnsi="Arial" w:cs="Arial"/>
          <w:kern w:val="28"/>
        </w:rPr>
        <w:t>Este componente tiene por objetivo principal fortalecer los servicios de las OREC provinciales y distritales de forma que la proporción de peruanos que cuenta con SRI de alta calidad aumente significativamente. Para ello, se financiarán las siguientes actividades: (i) implementar el acta registral electrónica en 186 OREC provinciales y 100 distritales; (ii) digitalizar y revisar 14 millones de actas registrales</w:t>
      </w:r>
      <w:r w:rsidR="0048244D" w:rsidRPr="007E663E">
        <w:rPr>
          <w:rFonts w:ascii="Arial" w:hAnsi="Arial" w:cs="Arial"/>
          <w:kern w:val="28"/>
          <w:vertAlign w:val="superscript"/>
        </w:rPr>
        <w:footnoteReference w:id="3"/>
      </w:r>
      <w:r w:rsidR="0048244D" w:rsidRPr="007E663E">
        <w:rPr>
          <w:rFonts w:ascii="Arial" w:hAnsi="Arial" w:cs="Arial"/>
          <w:kern w:val="28"/>
        </w:rPr>
        <w:t xml:space="preserve">; (iii) reforzar la atención a través del establecimiento de </w:t>
      </w:r>
      <w:r w:rsidR="0048244D" w:rsidRPr="007E663E">
        <w:rPr>
          <w:rFonts w:ascii="Arial" w:hAnsi="Arial" w:cs="Arial"/>
          <w:kern w:val="28"/>
        </w:rPr>
        <w:lastRenderedPageBreak/>
        <w:t>nuevos puntos de atención y acondicionamiento de centros de servicio</w:t>
      </w:r>
      <w:r w:rsidR="0048244D" w:rsidRPr="007E663E">
        <w:rPr>
          <w:rFonts w:ascii="Arial" w:hAnsi="Arial" w:cs="Arial"/>
          <w:kern w:val="28"/>
          <w:vertAlign w:val="superscript"/>
        </w:rPr>
        <w:footnoteReference w:id="4"/>
      </w:r>
      <w:r w:rsidR="0048244D" w:rsidRPr="007E663E">
        <w:rPr>
          <w:rFonts w:ascii="Arial" w:hAnsi="Arial" w:cs="Arial"/>
          <w:kern w:val="28"/>
        </w:rPr>
        <w:t>; (iv) </w:t>
      </w:r>
      <w:r w:rsidR="0048244D" w:rsidRPr="007E663E">
        <w:rPr>
          <w:rFonts w:ascii="Arial" w:hAnsi="Arial" w:cs="Arial"/>
          <w:kern w:val="28"/>
          <w:lang w:val="es-CO"/>
        </w:rPr>
        <w:t>desarrollo de nuevos servicios virtuales; (v)</w:t>
      </w:r>
      <w:r w:rsidR="0048244D" w:rsidRPr="007E663E">
        <w:rPr>
          <w:rFonts w:ascii="Arial" w:hAnsi="Arial" w:cs="Arial"/>
          <w:kern w:val="28"/>
        </w:rPr>
        <w:t xml:space="preserve"> mejorar el proceso de enrolamiento a través de la implementación de sistemas de captura en vivo</w:t>
      </w:r>
      <w:bookmarkStart w:id="1" w:name="_Ref476738083"/>
      <w:r w:rsidR="0048244D" w:rsidRPr="007E663E">
        <w:rPr>
          <w:rFonts w:ascii="Arial" w:hAnsi="Arial" w:cs="Arial"/>
          <w:kern w:val="28"/>
          <w:vertAlign w:val="superscript"/>
        </w:rPr>
        <w:footnoteReference w:id="5"/>
      </w:r>
      <w:bookmarkEnd w:id="1"/>
      <w:r w:rsidR="0048244D" w:rsidRPr="007E663E">
        <w:rPr>
          <w:rFonts w:ascii="Arial" w:hAnsi="Arial" w:cs="Arial"/>
          <w:kern w:val="28"/>
        </w:rPr>
        <w:t>; (vi) poner en marcha nuevos centros de impresión de tarjetas de identidad descentralizados</w:t>
      </w:r>
      <w:r w:rsidR="0048244D" w:rsidRPr="007E663E">
        <w:rPr>
          <w:rFonts w:ascii="Arial" w:hAnsi="Arial" w:cs="Arial"/>
          <w:kern w:val="28"/>
          <w:vertAlign w:val="superscript"/>
        </w:rPr>
        <w:footnoteReference w:id="6"/>
      </w:r>
      <w:r w:rsidR="0048244D" w:rsidRPr="007E663E">
        <w:rPr>
          <w:rFonts w:ascii="Arial" w:hAnsi="Arial" w:cs="Arial"/>
          <w:kern w:val="28"/>
        </w:rPr>
        <w:t>; (vii) promocionar el uso de la identidad digital por la población y las diferentes instituciones; y (viii) capacitar al personal de los locales de atención</w:t>
      </w:r>
      <w:r w:rsidR="0048244D" w:rsidRPr="007E663E">
        <w:rPr>
          <w:rFonts w:ascii="Arial" w:hAnsi="Arial" w:cs="Arial"/>
          <w:kern w:val="28"/>
          <w:vertAlign w:val="superscript"/>
        </w:rPr>
        <w:footnoteReference w:id="7"/>
      </w:r>
      <w:r w:rsidR="0048244D" w:rsidRPr="007E663E">
        <w:rPr>
          <w:rFonts w:ascii="Arial" w:hAnsi="Arial" w:cs="Arial"/>
          <w:kern w:val="28"/>
        </w:rPr>
        <w:t>.</w:t>
      </w:r>
    </w:p>
    <w:p w14:paraId="11EFB55C" w14:textId="77777777" w:rsidR="00B84211" w:rsidRPr="007E663E" w:rsidRDefault="00860114" w:rsidP="001F52BD">
      <w:pPr>
        <w:pStyle w:val="Paragraph"/>
        <w:numPr>
          <w:ilvl w:val="1"/>
          <w:numId w:val="1"/>
        </w:numPr>
        <w:rPr>
          <w:rFonts w:ascii="Arial" w:hAnsi="Arial" w:cs="Arial"/>
          <w:kern w:val="28"/>
        </w:rPr>
      </w:pPr>
      <w:r w:rsidRPr="007E663E">
        <w:rPr>
          <w:rFonts w:ascii="Arial" w:hAnsi="Arial" w:cs="Arial"/>
          <w:b/>
        </w:rPr>
        <w:t>Beneficios esperados.</w:t>
      </w:r>
      <w:r w:rsidR="00B815F3" w:rsidRPr="007E663E">
        <w:rPr>
          <w:rFonts w:ascii="Arial" w:hAnsi="Arial" w:cs="Arial"/>
          <w:kern w:val="28"/>
        </w:rPr>
        <w:t xml:space="preserve"> Los principales beneficiarios del proyecto serán los usuarios de los servicios registrales y de identificación</w:t>
      </w:r>
      <w:r w:rsidR="00DF61DE">
        <w:rPr>
          <w:rFonts w:ascii="Arial" w:hAnsi="Arial" w:cs="Arial"/>
          <w:kern w:val="28"/>
        </w:rPr>
        <w:t xml:space="preserve">. Un primer gran beneficio se deriva de la </w:t>
      </w:r>
      <w:r w:rsidR="00B815F3" w:rsidRPr="007E663E">
        <w:rPr>
          <w:rFonts w:ascii="Arial" w:hAnsi="Arial" w:cs="Arial"/>
          <w:kern w:val="28"/>
        </w:rPr>
        <w:t>implementa</w:t>
      </w:r>
      <w:r w:rsidR="00DF61DE">
        <w:rPr>
          <w:rFonts w:ascii="Arial" w:hAnsi="Arial" w:cs="Arial"/>
          <w:kern w:val="28"/>
        </w:rPr>
        <w:t>ción de</w:t>
      </w:r>
      <w:r w:rsidR="00B815F3" w:rsidRPr="007E663E">
        <w:rPr>
          <w:rFonts w:ascii="Arial" w:hAnsi="Arial" w:cs="Arial"/>
          <w:kern w:val="28"/>
        </w:rPr>
        <w:t xml:space="preserve"> un sistema de captura en vivo</w:t>
      </w:r>
      <w:r w:rsidR="00DF61DE">
        <w:rPr>
          <w:rFonts w:ascii="Arial" w:hAnsi="Arial" w:cs="Arial"/>
          <w:kern w:val="28"/>
        </w:rPr>
        <w:t>, el cual producirá</w:t>
      </w:r>
      <w:r w:rsidR="00B815F3" w:rsidRPr="007E663E">
        <w:rPr>
          <w:rFonts w:ascii="Arial" w:hAnsi="Arial" w:cs="Arial"/>
          <w:kern w:val="28"/>
        </w:rPr>
        <w:t xml:space="preserve"> una mejora en términos del ahorro en toma de la fotografía y en el tiempo activo que destinan para obtener un nuevo DNI. Esto se explica en que los usuarios ya no tendrán que costear la foto con la que hacen el proceso de enrolamiento y a su vez </w:t>
      </w:r>
      <w:r w:rsidR="00F716A2" w:rsidRPr="007E663E">
        <w:rPr>
          <w:rFonts w:ascii="Arial" w:hAnsi="Arial" w:cs="Arial"/>
          <w:kern w:val="28"/>
        </w:rPr>
        <w:t>é</w:t>
      </w:r>
      <w:r w:rsidR="00B815F3" w:rsidRPr="007E663E">
        <w:rPr>
          <w:rFonts w:ascii="Arial" w:hAnsi="Arial" w:cs="Arial"/>
          <w:kern w:val="28"/>
        </w:rPr>
        <w:t>ste se demora</w:t>
      </w:r>
      <w:r w:rsidR="00F716A2" w:rsidRPr="007E663E">
        <w:rPr>
          <w:rFonts w:ascii="Arial" w:hAnsi="Arial" w:cs="Arial"/>
          <w:kern w:val="28"/>
        </w:rPr>
        <w:t>rá</w:t>
      </w:r>
      <w:r w:rsidR="00B815F3" w:rsidRPr="007E663E">
        <w:rPr>
          <w:rFonts w:ascii="Arial" w:hAnsi="Arial" w:cs="Arial"/>
          <w:kern w:val="28"/>
        </w:rPr>
        <w:t xml:space="preserve"> mucho menos, dado que los tiempos de espera en la oficina de RENIEC disminuirá</w:t>
      </w:r>
      <w:r w:rsidR="00F716A2" w:rsidRPr="007E663E">
        <w:rPr>
          <w:rFonts w:ascii="Arial" w:hAnsi="Arial" w:cs="Arial"/>
          <w:kern w:val="28"/>
        </w:rPr>
        <w:t>n</w:t>
      </w:r>
      <w:r w:rsidR="00B815F3" w:rsidRPr="007E663E">
        <w:rPr>
          <w:rFonts w:ascii="Arial" w:hAnsi="Arial" w:cs="Arial"/>
          <w:kern w:val="28"/>
        </w:rPr>
        <w:t xml:space="preserve"> dado a que el proceso de enrolamiento en vivo </w:t>
      </w:r>
      <w:r w:rsidR="00F716A2" w:rsidRPr="007E663E">
        <w:rPr>
          <w:rFonts w:ascii="Arial" w:hAnsi="Arial" w:cs="Arial"/>
          <w:kern w:val="28"/>
        </w:rPr>
        <w:t xml:space="preserve">será </w:t>
      </w:r>
      <w:r w:rsidR="0033569A" w:rsidRPr="007E663E">
        <w:rPr>
          <w:rFonts w:ascii="Arial" w:hAnsi="Arial" w:cs="Arial"/>
          <w:kern w:val="28"/>
        </w:rPr>
        <w:t>más</w:t>
      </w:r>
      <w:r w:rsidR="00B815F3" w:rsidRPr="007E663E">
        <w:rPr>
          <w:rFonts w:ascii="Arial" w:hAnsi="Arial" w:cs="Arial"/>
          <w:kern w:val="28"/>
        </w:rPr>
        <w:t xml:space="preserve"> eficiente</w:t>
      </w:r>
      <w:r w:rsidR="00F716A2" w:rsidRPr="007E663E">
        <w:rPr>
          <w:rFonts w:ascii="Arial" w:hAnsi="Arial" w:cs="Arial"/>
          <w:kern w:val="28"/>
        </w:rPr>
        <w:t xml:space="preserve"> que el proceso actual</w:t>
      </w:r>
      <w:r w:rsidR="00B815F3" w:rsidRPr="007E663E">
        <w:rPr>
          <w:rFonts w:ascii="Arial" w:hAnsi="Arial" w:cs="Arial"/>
          <w:kern w:val="28"/>
        </w:rPr>
        <w:t>.</w:t>
      </w:r>
    </w:p>
    <w:p w14:paraId="340D4B03" w14:textId="77777777" w:rsidR="00002B2F" w:rsidRPr="007E663E" w:rsidRDefault="00C6631A" w:rsidP="00002B2F">
      <w:pPr>
        <w:pStyle w:val="Paragraph"/>
        <w:numPr>
          <w:ilvl w:val="0"/>
          <w:numId w:val="0"/>
        </w:numPr>
        <w:ind w:left="567"/>
        <w:rPr>
          <w:rFonts w:ascii="Arial" w:hAnsi="Arial" w:cs="Arial"/>
          <w:kern w:val="28"/>
        </w:rPr>
      </w:pPr>
      <w:r w:rsidRPr="007E663E">
        <w:rPr>
          <w:rFonts w:ascii="Arial" w:hAnsi="Arial" w:cs="Arial"/>
          <w:kern w:val="28"/>
        </w:rPr>
        <w:t>Un segundo beneficio se refiere a</w:t>
      </w:r>
      <w:r w:rsidR="00002B2F" w:rsidRPr="007E663E">
        <w:rPr>
          <w:rFonts w:ascii="Arial" w:hAnsi="Arial" w:cs="Arial"/>
          <w:kern w:val="28"/>
        </w:rPr>
        <w:t xml:space="preserve"> la digitalización de actas registrales</w:t>
      </w:r>
      <w:r w:rsidR="00F716A2" w:rsidRPr="007E663E">
        <w:rPr>
          <w:rFonts w:ascii="Arial" w:hAnsi="Arial" w:cs="Arial"/>
          <w:kern w:val="28"/>
        </w:rPr>
        <w:t>. S</w:t>
      </w:r>
      <w:r w:rsidR="00002B2F" w:rsidRPr="007E663E">
        <w:rPr>
          <w:rFonts w:ascii="Arial" w:hAnsi="Arial" w:cs="Arial"/>
          <w:kern w:val="28"/>
        </w:rPr>
        <w:t>ignificar</w:t>
      </w:r>
      <w:r w:rsidR="00F716A2" w:rsidRPr="007E663E">
        <w:rPr>
          <w:rFonts w:ascii="Arial" w:hAnsi="Arial" w:cs="Arial"/>
          <w:kern w:val="28"/>
        </w:rPr>
        <w:t>á</w:t>
      </w:r>
      <w:r w:rsidR="00002B2F" w:rsidRPr="007E663E">
        <w:rPr>
          <w:rFonts w:ascii="Arial" w:hAnsi="Arial" w:cs="Arial"/>
          <w:kern w:val="28"/>
        </w:rPr>
        <w:t xml:space="preserve"> un ahorro significativo en el tiempo que emplean los ciudadanos en obtener una copia de un acta registral certificada, debido a que en </w:t>
      </w:r>
      <w:r w:rsidR="00F716A2" w:rsidRPr="007E663E">
        <w:rPr>
          <w:rFonts w:ascii="Arial" w:hAnsi="Arial" w:cs="Arial"/>
          <w:kern w:val="28"/>
        </w:rPr>
        <w:t xml:space="preserve">el </w:t>
      </w:r>
      <w:r w:rsidR="00002B2F" w:rsidRPr="007E663E">
        <w:rPr>
          <w:rFonts w:ascii="Arial" w:hAnsi="Arial" w:cs="Arial"/>
          <w:kern w:val="28"/>
        </w:rPr>
        <w:t xml:space="preserve">escenario </w:t>
      </w:r>
      <w:r w:rsidR="00F716A2" w:rsidRPr="007E663E">
        <w:rPr>
          <w:rFonts w:ascii="Arial" w:hAnsi="Arial" w:cs="Arial"/>
          <w:kern w:val="28"/>
        </w:rPr>
        <w:t>actual</w:t>
      </w:r>
      <w:r w:rsidR="00002B2F" w:rsidRPr="007E663E">
        <w:rPr>
          <w:rFonts w:ascii="Arial" w:hAnsi="Arial" w:cs="Arial"/>
          <w:kern w:val="28"/>
        </w:rPr>
        <w:t>, las personas deben viajar</w:t>
      </w:r>
      <w:r w:rsidR="0033569A" w:rsidRPr="007E663E">
        <w:rPr>
          <w:rFonts w:ascii="Arial" w:hAnsi="Arial" w:cs="Arial"/>
          <w:kern w:val="28"/>
        </w:rPr>
        <w:t xml:space="preserve"> hasta su lugar de nacimiento para poder obtener dicha copia, </w:t>
      </w:r>
      <w:r w:rsidR="00F716A2" w:rsidRPr="007E663E">
        <w:rPr>
          <w:rFonts w:ascii="Arial" w:hAnsi="Arial" w:cs="Arial"/>
          <w:kern w:val="28"/>
        </w:rPr>
        <w:t>y</w:t>
      </w:r>
      <w:r w:rsidR="0033569A" w:rsidRPr="007E663E">
        <w:rPr>
          <w:rFonts w:ascii="Arial" w:hAnsi="Arial" w:cs="Arial"/>
          <w:kern w:val="28"/>
        </w:rPr>
        <w:t xml:space="preserve"> en un escenario con proyecto las personas que viven fuera de su lugar de nacimiento podrán obtener una copia certificada </w:t>
      </w:r>
      <w:r w:rsidR="005A1630" w:rsidRPr="007E663E">
        <w:rPr>
          <w:rFonts w:ascii="Arial" w:hAnsi="Arial" w:cs="Arial"/>
          <w:kern w:val="28"/>
        </w:rPr>
        <w:t>desde cualquier punto de atención del RENIEC</w:t>
      </w:r>
      <w:r w:rsidR="00F716A2" w:rsidRPr="007E663E">
        <w:rPr>
          <w:rFonts w:ascii="Arial" w:hAnsi="Arial" w:cs="Arial"/>
          <w:kern w:val="28"/>
        </w:rPr>
        <w:t xml:space="preserve">, </w:t>
      </w:r>
      <w:r w:rsidR="0033569A" w:rsidRPr="007E663E">
        <w:rPr>
          <w:rFonts w:ascii="Arial" w:hAnsi="Arial" w:cs="Arial"/>
          <w:kern w:val="28"/>
        </w:rPr>
        <w:t xml:space="preserve">sin necesidad de viajar, lo cual </w:t>
      </w:r>
      <w:r w:rsidR="005A1630" w:rsidRPr="007E663E">
        <w:rPr>
          <w:rFonts w:ascii="Arial" w:hAnsi="Arial" w:cs="Arial"/>
          <w:kern w:val="28"/>
        </w:rPr>
        <w:t xml:space="preserve">implicará </w:t>
      </w:r>
      <w:r w:rsidR="0033569A" w:rsidRPr="007E663E">
        <w:rPr>
          <w:rFonts w:ascii="Arial" w:hAnsi="Arial" w:cs="Arial"/>
          <w:kern w:val="28"/>
        </w:rPr>
        <w:t xml:space="preserve">ahorros significativos en tiempos </w:t>
      </w:r>
      <w:r w:rsidR="005A1630" w:rsidRPr="007E663E">
        <w:rPr>
          <w:rFonts w:ascii="Arial" w:hAnsi="Arial" w:cs="Arial"/>
          <w:kern w:val="28"/>
        </w:rPr>
        <w:t xml:space="preserve">y gastos </w:t>
      </w:r>
      <w:r w:rsidR="0033569A" w:rsidRPr="007E663E">
        <w:rPr>
          <w:rFonts w:ascii="Arial" w:hAnsi="Arial" w:cs="Arial"/>
          <w:kern w:val="28"/>
        </w:rPr>
        <w:t>de viaje al lugar de origen</w:t>
      </w:r>
      <w:r w:rsidRPr="007E663E">
        <w:rPr>
          <w:rFonts w:ascii="Arial" w:hAnsi="Arial" w:cs="Arial"/>
          <w:kern w:val="28"/>
        </w:rPr>
        <w:t>.</w:t>
      </w:r>
    </w:p>
    <w:p w14:paraId="7D037B97" w14:textId="77777777" w:rsidR="00C6631A" w:rsidRPr="007E663E" w:rsidRDefault="00C6631A" w:rsidP="00002B2F">
      <w:pPr>
        <w:pStyle w:val="Paragraph"/>
        <w:numPr>
          <w:ilvl w:val="0"/>
          <w:numId w:val="0"/>
        </w:numPr>
        <w:ind w:left="567"/>
        <w:rPr>
          <w:rFonts w:ascii="Arial" w:hAnsi="Arial" w:cs="Arial"/>
          <w:kern w:val="28"/>
        </w:rPr>
      </w:pPr>
      <w:r w:rsidRPr="007E663E">
        <w:rPr>
          <w:rFonts w:ascii="Arial" w:hAnsi="Arial" w:cs="Arial"/>
          <w:kern w:val="28"/>
        </w:rPr>
        <w:t>Un tercer beneficio hace referencia a la implementación de atenciones vía web</w:t>
      </w:r>
      <w:r w:rsidR="005A1630" w:rsidRPr="007E663E">
        <w:rPr>
          <w:rFonts w:ascii="Arial" w:hAnsi="Arial" w:cs="Arial"/>
          <w:kern w:val="28"/>
        </w:rPr>
        <w:t>. L</w:t>
      </w:r>
      <w:r w:rsidRPr="007E663E">
        <w:rPr>
          <w:rFonts w:ascii="Arial" w:hAnsi="Arial" w:cs="Arial"/>
          <w:kern w:val="28"/>
        </w:rPr>
        <w:t xml:space="preserve">os principales beneficiarios también serán los usuarios que tendrán una mayor oferta de servicios en línea y con esto se podrán ahorrar </w:t>
      </w:r>
      <w:r w:rsidR="005A1630" w:rsidRPr="007E663E">
        <w:rPr>
          <w:rFonts w:ascii="Arial" w:hAnsi="Arial" w:cs="Arial"/>
          <w:kern w:val="28"/>
        </w:rPr>
        <w:t xml:space="preserve">tiempos y </w:t>
      </w:r>
      <w:r w:rsidRPr="007E663E">
        <w:rPr>
          <w:rFonts w:ascii="Arial" w:hAnsi="Arial" w:cs="Arial"/>
          <w:kern w:val="28"/>
        </w:rPr>
        <w:t>costos de desplazamiento a las oficinas de RENIEC</w:t>
      </w:r>
      <w:r w:rsidR="00C51FE2" w:rsidRPr="007E663E">
        <w:rPr>
          <w:rFonts w:ascii="Arial" w:hAnsi="Arial" w:cs="Arial"/>
          <w:kern w:val="28"/>
        </w:rPr>
        <w:t xml:space="preserve">. </w:t>
      </w:r>
    </w:p>
    <w:p w14:paraId="09A95754" w14:textId="77777777" w:rsidR="00B84211" w:rsidRPr="007E663E" w:rsidRDefault="00860114" w:rsidP="001F52BD">
      <w:pPr>
        <w:pStyle w:val="Paragraph"/>
        <w:numPr>
          <w:ilvl w:val="1"/>
          <w:numId w:val="1"/>
        </w:numPr>
        <w:rPr>
          <w:rFonts w:ascii="Arial" w:hAnsi="Arial" w:cs="Arial"/>
          <w:kern w:val="28"/>
        </w:rPr>
      </w:pPr>
      <w:r w:rsidRPr="007E663E">
        <w:rPr>
          <w:rFonts w:ascii="Arial" w:hAnsi="Arial" w:cs="Arial"/>
          <w:b/>
        </w:rPr>
        <w:t>Supuestos.</w:t>
      </w:r>
      <w:r w:rsidR="004E6927" w:rsidRPr="007E663E">
        <w:rPr>
          <w:rFonts w:ascii="Arial" w:hAnsi="Arial" w:cs="Arial"/>
          <w:b/>
        </w:rPr>
        <w:t xml:space="preserve"> </w:t>
      </w:r>
      <w:r w:rsidR="001F52BD" w:rsidRPr="007E663E">
        <w:rPr>
          <w:rFonts w:ascii="Arial" w:hAnsi="Arial" w:cs="Arial"/>
          <w:kern w:val="28"/>
        </w:rPr>
        <w:t>El cálculo de los beneficios derivad</w:t>
      </w:r>
      <w:r w:rsidR="00B815F3" w:rsidRPr="007E663E">
        <w:rPr>
          <w:rFonts w:ascii="Arial" w:hAnsi="Arial" w:cs="Arial"/>
          <w:kern w:val="28"/>
        </w:rPr>
        <w:t xml:space="preserve">os del </w:t>
      </w:r>
      <w:r w:rsidR="00C51FE2" w:rsidRPr="007E663E">
        <w:rPr>
          <w:rFonts w:ascii="Arial" w:hAnsi="Arial" w:cs="Arial"/>
          <w:kern w:val="28"/>
        </w:rPr>
        <w:t>c</w:t>
      </w:r>
      <w:r w:rsidR="00B815F3" w:rsidRPr="007E663E">
        <w:rPr>
          <w:rFonts w:ascii="Arial" w:hAnsi="Arial" w:cs="Arial"/>
          <w:kern w:val="28"/>
        </w:rPr>
        <w:t xml:space="preserve">omponente de mejora de calidad </w:t>
      </w:r>
      <w:r w:rsidR="00D62651" w:rsidRPr="007E663E">
        <w:rPr>
          <w:rFonts w:ascii="Arial" w:hAnsi="Arial" w:cs="Arial"/>
          <w:kern w:val="28"/>
        </w:rPr>
        <w:t xml:space="preserve"> de los SRI se b</w:t>
      </w:r>
      <w:r w:rsidR="001F52BD" w:rsidRPr="007E663E">
        <w:rPr>
          <w:rFonts w:ascii="Arial" w:hAnsi="Arial" w:cs="Arial"/>
          <w:kern w:val="28"/>
        </w:rPr>
        <w:t>asa en el siguiente diseño</w:t>
      </w:r>
      <w:r w:rsidR="007B3237" w:rsidRPr="007E663E">
        <w:rPr>
          <w:rFonts w:ascii="Arial" w:hAnsi="Arial" w:cs="Arial"/>
          <w:kern w:val="28"/>
        </w:rPr>
        <w:t>:</w:t>
      </w:r>
    </w:p>
    <w:p w14:paraId="4087F494" w14:textId="77777777" w:rsidR="004E6927" w:rsidRDefault="004E6927" w:rsidP="004E6927">
      <w:pPr>
        <w:pStyle w:val="Paragraph"/>
        <w:numPr>
          <w:ilvl w:val="0"/>
          <w:numId w:val="0"/>
        </w:numPr>
        <w:rPr>
          <w:rFonts w:ascii="Arial" w:hAnsi="Arial" w:cs="Arial"/>
        </w:rPr>
      </w:pPr>
      <w:r w:rsidRPr="007E663E">
        <w:rPr>
          <w:rFonts w:ascii="Arial" w:hAnsi="Arial" w:cs="Arial"/>
          <w:kern w:val="28"/>
        </w:rPr>
        <w:t xml:space="preserve">         </w:t>
      </w:r>
      <w:r w:rsidR="001F52BD" w:rsidRPr="007E663E">
        <w:rPr>
          <w:rFonts w:ascii="Arial" w:hAnsi="Arial" w:cs="Arial"/>
        </w:rPr>
        <w:t>La tasa de descuento utilizada es del 12%, según el estándar del Banco.</w:t>
      </w:r>
    </w:p>
    <w:p w14:paraId="3ABE9B0C" w14:textId="77777777" w:rsidR="00160A20" w:rsidRPr="007E663E" w:rsidRDefault="00160A20" w:rsidP="00160A20">
      <w:pPr>
        <w:pStyle w:val="Paragraph"/>
        <w:numPr>
          <w:ilvl w:val="0"/>
          <w:numId w:val="0"/>
        </w:numPr>
        <w:ind w:left="540"/>
        <w:rPr>
          <w:rFonts w:ascii="Arial" w:hAnsi="Arial" w:cs="Arial"/>
        </w:rPr>
      </w:pPr>
      <w:r>
        <w:rPr>
          <w:rFonts w:ascii="Arial" w:hAnsi="Arial" w:cs="Arial"/>
        </w:rPr>
        <w:t xml:space="preserve"> Para las demandas proyectadas, RENIEC asume que el 75% será de             carácter urbana y 25% rural</w:t>
      </w:r>
    </w:p>
    <w:p w14:paraId="3D4EE790" w14:textId="77777777" w:rsidR="002B5307" w:rsidRDefault="002B5307" w:rsidP="004E6927">
      <w:pPr>
        <w:pStyle w:val="Paragraph"/>
        <w:numPr>
          <w:ilvl w:val="0"/>
          <w:numId w:val="0"/>
        </w:numPr>
        <w:rPr>
          <w:rFonts w:ascii="Arial" w:hAnsi="Arial" w:cs="Arial"/>
          <w:i/>
        </w:rPr>
      </w:pPr>
    </w:p>
    <w:p w14:paraId="17164EBD" w14:textId="77777777" w:rsidR="002B5307" w:rsidRDefault="002B5307" w:rsidP="002B5307">
      <w:pPr>
        <w:pStyle w:val="Paragraph"/>
        <w:numPr>
          <w:ilvl w:val="0"/>
          <w:numId w:val="0"/>
        </w:numPr>
        <w:tabs>
          <w:tab w:val="left" w:pos="720"/>
        </w:tabs>
        <w:ind w:left="540"/>
        <w:rPr>
          <w:rFonts w:ascii="Arial" w:hAnsi="Arial" w:cs="Arial"/>
        </w:rPr>
      </w:pPr>
      <w:r>
        <w:rPr>
          <w:rFonts w:ascii="Arial" w:hAnsi="Arial" w:cs="Arial"/>
        </w:rPr>
        <w:t>Respecto a la validez interna y externa de las soluciones propuestas, la literatura expone a través de diferentes textos c</w:t>
      </w:r>
      <w:r>
        <w:rPr>
          <w:rFonts w:ascii="Arial" w:hAnsi="Arial" w:cs="Arial"/>
          <w:lang w:val="es-ES_tradnl"/>
        </w:rPr>
        <w:t>ó</w:t>
      </w:r>
      <w:r>
        <w:rPr>
          <w:rFonts w:ascii="Arial" w:hAnsi="Arial" w:cs="Arial"/>
        </w:rPr>
        <w:t xml:space="preserve">mo las soluciones </w:t>
      </w:r>
      <w:r>
        <w:rPr>
          <w:rFonts w:ascii="Arial" w:hAnsi="Arial" w:cs="Arial"/>
        </w:rPr>
        <w:lastRenderedPageBreak/>
        <w:t>tecnológicas de enrolamiento en vivo y descentralización de tareas pueden generar ahorros significativos en los costos de transacción.</w:t>
      </w:r>
    </w:p>
    <w:p w14:paraId="4DD770D1" w14:textId="77777777" w:rsidR="002B5307" w:rsidRDefault="002B5307" w:rsidP="002B5307">
      <w:pPr>
        <w:pStyle w:val="Paragraph"/>
        <w:numPr>
          <w:ilvl w:val="0"/>
          <w:numId w:val="0"/>
        </w:numPr>
        <w:tabs>
          <w:tab w:val="left" w:pos="720"/>
        </w:tabs>
        <w:ind w:left="540"/>
        <w:rPr>
          <w:rFonts w:ascii="Arial" w:hAnsi="Arial" w:cs="Arial"/>
        </w:rPr>
      </w:pPr>
      <w:r>
        <w:rPr>
          <w:rFonts w:ascii="Arial" w:hAnsi="Arial" w:cs="Arial"/>
        </w:rPr>
        <w:t xml:space="preserve">Un primer ejemplo es el de </w:t>
      </w:r>
      <w:hyperlink r:id="rId15" w:history="1">
        <w:r>
          <w:rPr>
            <w:rStyle w:val="Hyperlink"/>
            <w:rFonts w:ascii="Arial" w:hAnsi="Arial" w:cs="Arial"/>
          </w:rPr>
          <w:t>Hernandez y Mugica (2003)</w:t>
        </w:r>
      </w:hyperlink>
      <w:r>
        <w:rPr>
          <w:rFonts w:ascii="Arial" w:hAnsi="Arial" w:cs="Arial"/>
        </w:rPr>
        <w:t xml:space="preserve"> quienes exponen que la implementación de un sistema biométrico en Bolivia logró ahorros en los costos de comunicación cercanos a los $800.000 dólares anuales al poder transmitir la información de forma simultánea y sin necesidad de traslado de documentación física,</w:t>
      </w:r>
    </w:p>
    <w:p w14:paraId="5D0FD8B1" w14:textId="77777777" w:rsidR="002B5307" w:rsidRDefault="002B5307" w:rsidP="002B5307">
      <w:pPr>
        <w:pStyle w:val="Paragraph"/>
        <w:numPr>
          <w:ilvl w:val="0"/>
          <w:numId w:val="0"/>
        </w:numPr>
        <w:tabs>
          <w:tab w:val="left" w:pos="720"/>
        </w:tabs>
        <w:ind w:left="540"/>
        <w:rPr>
          <w:rFonts w:ascii="Arial" w:hAnsi="Arial" w:cs="Arial"/>
        </w:rPr>
      </w:pPr>
      <w:r>
        <w:rPr>
          <w:rFonts w:ascii="Arial" w:hAnsi="Arial" w:cs="Arial"/>
        </w:rPr>
        <w:t xml:space="preserve">Un segundo ejemplo, hace referencia al de documento de </w:t>
      </w:r>
      <w:hyperlink r:id="rId16" w:history="1">
        <w:r>
          <w:rPr>
            <w:rStyle w:val="Hyperlink"/>
            <w:rFonts w:ascii="Arial" w:hAnsi="Arial" w:cs="Arial"/>
          </w:rPr>
          <w:t>Gelb y Clark (2013)</w:t>
        </w:r>
      </w:hyperlink>
      <w:r>
        <w:rPr>
          <w:rFonts w:ascii="Arial" w:hAnsi="Arial" w:cs="Arial"/>
        </w:rPr>
        <w:t xml:space="preserve"> que señala que el registro biométrico en India significó beneficios económicos cercanos a los 64 millones de dólares en cinco años. </w:t>
      </w:r>
    </w:p>
    <w:p w14:paraId="43F8E52D" w14:textId="77777777" w:rsidR="002B5307" w:rsidRDefault="002B5307" w:rsidP="004E6927">
      <w:pPr>
        <w:pStyle w:val="Paragraph"/>
        <w:numPr>
          <w:ilvl w:val="0"/>
          <w:numId w:val="0"/>
        </w:numPr>
        <w:rPr>
          <w:rFonts w:ascii="Arial" w:hAnsi="Arial" w:cs="Arial"/>
          <w:b/>
          <w:lang w:val="es-ES_tradnl"/>
        </w:rPr>
      </w:pPr>
    </w:p>
    <w:p w14:paraId="3E7CD83F" w14:textId="77777777" w:rsidR="005F1A0D" w:rsidRDefault="002B5307" w:rsidP="004E6927">
      <w:pPr>
        <w:pStyle w:val="Paragraph"/>
        <w:numPr>
          <w:ilvl w:val="0"/>
          <w:numId w:val="0"/>
        </w:numPr>
        <w:rPr>
          <w:rFonts w:ascii="Arial" w:hAnsi="Arial" w:cs="Arial"/>
          <w:i/>
        </w:rPr>
      </w:pPr>
      <w:r>
        <w:rPr>
          <w:rFonts w:ascii="Arial" w:hAnsi="Arial" w:cs="Arial"/>
          <w:b/>
          <w:lang w:val="es-ES_tradnl"/>
        </w:rPr>
        <w:t xml:space="preserve">Calculo de beneficios </w:t>
      </w:r>
    </w:p>
    <w:p w14:paraId="5680CE1D" w14:textId="77777777" w:rsidR="00C0009C" w:rsidRPr="007E663E" w:rsidRDefault="00C0009C" w:rsidP="004E6927">
      <w:pPr>
        <w:pStyle w:val="Paragraph"/>
        <w:numPr>
          <w:ilvl w:val="0"/>
          <w:numId w:val="0"/>
        </w:numPr>
        <w:rPr>
          <w:rFonts w:ascii="Arial" w:hAnsi="Arial" w:cs="Arial"/>
          <w:i/>
        </w:rPr>
      </w:pPr>
      <w:r w:rsidRPr="007E663E">
        <w:rPr>
          <w:rFonts w:ascii="Arial" w:hAnsi="Arial" w:cs="Arial"/>
          <w:i/>
        </w:rPr>
        <w:t>Primer beneficio: ahorro de tiempo y dinero por implementación de la captura en vivo</w:t>
      </w:r>
    </w:p>
    <w:p w14:paraId="26701796" w14:textId="77777777" w:rsidR="00DD36CC" w:rsidRDefault="002C5257" w:rsidP="002C5257">
      <w:pPr>
        <w:pStyle w:val="Vieta"/>
        <w:numPr>
          <w:ilvl w:val="0"/>
          <w:numId w:val="0"/>
        </w:numPr>
        <w:spacing w:line="240" w:lineRule="auto"/>
        <w:ind w:left="567"/>
        <w:rPr>
          <w:rFonts w:ascii="Arial" w:hAnsi="Arial" w:cs="Arial"/>
        </w:rPr>
      </w:pPr>
      <w:r w:rsidRPr="007E663E">
        <w:rPr>
          <w:rFonts w:ascii="Arial" w:hAnsi="Arial" w:cs="Arial"/>
        </w:rPr>
        <w:t xml:space="preserve">Los supuestos para el </w:t>
      </w:r>
      <w:r w:rsidR="005F1A0D">
        <w:rPr>
          <w:rFonts w:ascii="Arial" w:hAnsi="Arial" w:cs="Arial"/>
        </w:rPr>
        <w:t xml:space="preserve">cálculo del primer beneficio que se encuentra </w:t>
      </w:r>
      <w:r w:rsidR="004E6927" w:rsidRPr="007E663E">
        <w:rPr>
          <w:rFonts w:ascii="Arial" w:hAnsi="Arial" w:cs="Arial"/>
        </w:rPr>
        <w:t>asociado a</w:t>
      </w:r>
      <w:r w:rsidRPr="007E663E">
        <w:rPr>
          <w:rFonts w:ascii="Arial" w:hAnsi="Arial" w:cs="Arial"/>
        </w:rPr>
        <w:t>l indicador de</w:t>
      </w:r>
      <w:r w:rsidR="005F1A0D">
        <w:rPr>
          <w:rFonts w:ascii="Arial" w:hAnsi="Arial" w:cs="Arial"/>
        </w:rPr>
        <w:t xml:space="preserve"> la matriz de</w:t>
      </w:r>
      <w:r w:rsidRPr="007E663E">
        <w:rPr>
          <w:rFonts w:ascii="Arial" w:hAnsi="Arial" w:cs="Arial"/>
        </w:rPr>
        <w:t xml:space="preserve"> resultado</w:t>
      </w:r>
      <w:r w:rsidR="005F1A0D">
        <w:rPr>
          <w:rFonts w:ascii="Arial" w:hAnsi="Arial" w:cs="Arial"/>
        </w:rPr>
        <w:t>s</w:t>
      </w:r>
      <w:r w:rsidRPr="007E663E">
        <w:rPr>
          <w:rFonts w:ascii="Arial" w:hAnsi="Arial" w:cs="Arial"/>
        </w:rPr>
        <w:t xml:space="preserve"> </w:t>
      </w:r>
      <w:r w:rsidR="005F1A0D">
        <w:rPr>
          <w:rFonts w:ascii="Arial" w:hAnsi="Arial" w:cs="Arial"/>
        </w:rPr>
        <w:t xml:space="preserve">denominado </w:t>
      </w:r>
      <w:r w:rsidR="005F1A0D" w:rsidRPr="005F1A0D">
        <w:rPr>
          <w:rFonts w:ascii="Arial" w:hAnsi="Arial" w:cs="Arial"/>
          <w:i/>
        </w:rPr>
        <w:t>“costo anual agregado derivado del cumplimiento de requisitos para inscripción y renovación del DNI”</w:t>
      </w:r>
      <w:r w:rsidR="00A06BB5">
        <w:rPr>
          <w:rFonts w:ascii="Arial" w:hAnsi="Arial" w:cs="Arial"/>
          <w:i/>
        </w:rPr>
        <w:t xml:space="preserve"> </w:t>
      </w:r>
      <w:r w:rsidR="00A06BB5">
        <w:rPr>
          <w:rFonts w:ascii="Arial" w:hAnsi="Arial" w:cs="Arial"/>
        </w:rPr>
        <w:t>, No obstante</w:t>
      </w:r>
      <w:r w:rsidR="000D0A77">
        <w:rPr>
          <w:rFonts w:ascii="Arial" w:hAnsi="Arial" w:cs="Arial"/>
        </w:rPr>
        <w:t>,</w:t>
      </w:r>
      <w:r w:rsidR="00A06BB5">
        <w:rPr>
          <w:rFonts w:ascii="Arial" w:hAnsi="Arial" w:cs="Arial"/>
        </w:rPr>
        <w:t xml:space="preserve"> para efectos del análisis económico el indicador de presenta a nivel individual, mientras</w:t>
      </w:r>
      <w:r w:rsidR="000D0A77">
        <w:rPr>
          <w:rFonts w:ascii="Arial" w:hAnsi="Arial" w:cs="Arial"/>
        </w:rPr>
        <w:t xml:space="preserve"> que en la matriz de resultados se encuentra agregado por el número de solicitantes mayores de 17 años de un nuevo DNI, por tanto, las cifras son equivalentes en línea de base y reflejan el </w:t>
      </w:r>
      <w:r w:rsidR="00A06BB5">
        <w:rPr>
          <w:rFonts w:ascii="Arial" w:hAnsi="Arial" w:cs="Arial"/>
        </w:rPr>
        <w:t>beneficio</w:t>
      </w:r>
      <w:r w:rsidR="000D0A77">
        <w:rPr>
          <w:rFonts w:ascii="Arial" w:hAnsi="Arial" w:cs="Arial"/>
        </w:rPr>
        <w:t xml:space="preserve"> </w:t>
      </w:r>
      <w:r w:rsidR="005F1A0D">
        <w:rPr>
          <w:rFonts w:ascii="Arial" w:hAnsi="Arial" w:cs="Arial"/>
        </w:rPr>
        <w:t xml:space="preserve">derivado del cumplimiento de requisitos </w:t>
      </w:r>
      <w:r w:rsidRPr="007E663E">
        <w:rPr>
          <w:rFonts w:ascii="Arial" w:hAnsi="Arial" w:cs="Arial"/>
        </w:rPr>
        <w:t xml:space="preserve">sobre </w:t>
      </w:r>
      <w:r w:rsidR="004E6927" w:rsidRPr="007E663E">
        <w:rPr>
          <w:rFonts w:ascii="Arial" w:hAnsi="Arial" w:cs="Arial"/>
        </w:rPr>
        <w:t>los ahorros en la obtención</w:t>
      </w:r>
      <w:r w:rsidR="00F9079D" w:rsidRPr="007E663E">
        <w:rPr>
          <w:rFonts w:ascii="Arial" w:hAnsi="Arial" w:cs="Arial"/>
        </w:rPr>
        <w:t xml:space="preserve"> de un</w:t>
      </w:r>
      <w:r w:rsidRPr="007E663E">
        <w:rPr>
          <w:rFonts w:ascii="Arial" w:hAnsi="Arial" w:cs="Arial"/>
        </w:rPr>
        <w:t xml:space="preserve"> </w:t>
      </w:r>
      <w:r w:rsidR="004E6927" w:rsidRPr="007E663E">
        <w:rPr>
          <w:rFonts w:ascii="Arial" w:hAnsi="Arial" w:cs="Arial"/>
        </w:rPr>
        <w:t>nuevo DNI s</w:t>
      </w:r>
      <w:r w:rsidR="006A37E3" w:rsidRPr="007E663E">
        <w:rPr>
          <w:rFonts w:ascii="Arial" w:hAnsi="Arial" w:cs="Arial"/>
        </w:rPr>
        <w:t>e resumen en la tabla 1</w:t>
      </w:r>
      <w:r w:rsidR="00C51FE2" w:rsidRPr="007E663E">
        <w:rPr>
          <w:rFonts w:ascii="Arial" w:hAnsi="Arial" w:cs="Arial"/>
        </w:rPr>
        <w:t xml:space="preserve">. </w:t>
      </w:r>
    </w:p>
    <w:p w14:paraId="3545A24B" w14:textId="77777777" w:rsidR="00F72EE9" w:rsidRPr="00DD36CC" w:rsidRDefault="00A06BB5" w:rsidP="002C5257">
      <w:pPr>
        <w:pStyle w:val="Vieta"/>
        <w:numPr>
          <w:ilvl w:val="0"/>
          <w:numId w:val="0"/>
        </w:numPr>
        <w:spacing w:line="240" w:lineRule="auto"/>
        <w:ind w:left="567"/>
        <w:rPr>
          <w:rFonts w:ascii="Arial" w:hAnsi="Arial" w:cs="Arial"/>
          <w:b/>
          <w:sz w:val="20"/>
        </w:rPr>
      </w:pPr>
      <w:r w:rsidRPr="00DD36CC">
        <w:rPr>
          <w:rFonts w:ascii="Arial" w:hAnsi="Arial" w:cs="Arial"/>
          <w:b/>
          <w:sz w:val="20"/>
        </w:rPr>
        <w:t xml:space="preserve"> </w:t>
      </w:r>
    </w:p>
    <w:p w14:paraId="4B6FF80E" w14:textId="77777777" w:rsidR="006A37E3" w:rsidRPr="00DD36CC" w:rsidRDefault="00943CDD" w:rsidP="008B0776">
      <w:pPr>
        <w:pStyle w:val="Vieta"/>
        <w:numPr>
          <w:ilvl w:val="0"/>
          <w:numId w:val="0"/>
        </w:numPr>
        <w:spacing w:line="240" w:lineRule="auto"/>
        <w:ind w:left="720"/>
        <w:jc w:val="center"/>
        <w:rPr>
          <w:rFonts w:ascii="Arial" w:hAnsi="Arial" w:cs="Arial"/>
          <w:b/>
          <w:sz w:val="20"/>
        </w:rPr>
      </w:pPr>
      <w:r w:rsidRPr="00DD36CC">
        <w:rPr>
          <w:rFonts w:ascii="Arial" w:hAnsi="Arial" w:cs="Arial"/>
          <w:b/>
          <w:sz w:val="20"/>
        </w:rPr>
        <w:t xml:space="preserve">Tabla 1. </w:t>
      </w:r>
      <w:r w:rsidR="006A37E3" w:rsidRPr="00DD36CC">
        <w:rPr>
          <w:rFonts w:ascii="Arial" w:hAnsi="Arial" w:cs="Arial"/>
          <w:b/>
          <w:sz w:val="20"/>
        </w:rPr>
        <w:t>Costos asociados a la obtención de un DNI</w:t>
      </w:r>
    </w:p>
    <w:tbl>
      <w:tblPr>
        <w:tblW w:w="7820" w:type="dxa"/>
        <w:tblLook w:val="04A0" w:firstRow="1" w:lastRow="0" w:firstColumn="1" w:lastColumn="0" w:noHBand="0" w:noVBand="1"/>
      </w:tblPr>
      <w:tblGrid>
        <w:gridCol w:w="3580"/>
        <w:gridCol w:w="1219"/>
        <w:gridCol w:w="901"/>
        <w:gridCol w:w="1219"/>
        <w:gridCol w:w="901"/>
      </w:tblGrid>
      <w:tr w:rsidR="00DD57DB" w:rsidRPr="00DD36CC" w14:paraId="66E638F9" w14:textId="77777777" w:rsidTr="00A3757C">
        <w:trPr>
          <w:trHeight w:val="276"/>
        </w:trPr>
        <w:tc>
          <w:tcPr>
            <w:tcW w:w="3580" w:type="dxa"/>
            <w:tcBorders>
              <w:top w:val="single" w:sz="4" w:space="0" w:color="8EA9DB"/>
              <w:left w:val="nil"/>
              <w:bottom w:val="single" w:sz="4" w:space="0" w:color="8EA9DB"/>
              <w:right w:val="nil"/>
            </w:tcBorders>
            <w:shd w:val="clear" w:color="D9E1F2" w:fill="4472C4"/>
            <w:noWrap/>
            <w:vAlign w:val="bottom"/>
            <w:hideMark/>
          </w:tcPr>
          <w:p w14:paraId="218BFEA4" w14:textId="77777777" w:rsidR="00DD57DB" w:rsidRPr="00DD36CC" w:rsidRDefault="00DD57DB" w:rsidP="00A3757C">
            <w:pPr>
              <w:spacing w:after="0" w:line="240" w:lineRule="auto"/>
              <w:rPr>
                <w:rFonts w:ascii="Arial" w:eastAsia="Times New Roman" w:hAnsi="Arial" w:cs="Arial"/>
                <w:color w:val="FFFFFF"/>
                <w:sz w:val="20"/>
                <w:szCs w:val="20"/>
                <w:lang w:val="es-ES_tradnl"/>
              </w:rPr>
            </w:pPr>
            <w:r w:rsidRPr="00DD36CC">
              <w:rPr>
                <w:rFonts w:ascii="Arial" w:eastAsia="Times New Roman" w:hAnsi="Arial" w:cs="Arial"/>
                <w:color w:val="FFFFFF"/>
                <w:sz w:val="20"/>
                <w:szCs w:val="20"/>
                <w:lang w:val="es-ES_tradnl"/>
              </w:rPr>
              <w:t> </w:t>
            </w:r>
          </w:p>
        </w:tc>
        <w:tc>
          <w:tcPr>
            <w:tcW w:w="2120" w:type="dxa"/>
            <w:gridSpan w:val="2"/>
            <w:tcBorders>
              <w:top w:val="single" w:sz="4" w:space="0" w:color="8EA9DB"/>
              <w:left w:val="nil"/>
              <w:bottom w:val="single" w:sz="4" w:space="0" w:color="8EA9DB"/>
              <w:right w:val="nil"/>
            </w:tcBorders>
            <w:shd w:val="clear" w:color="D9E1F2" w:fill="4472C4"/>
            <w:noWrap/>
            <w:vAlign w:val="bottom"/>
            <w:hideMark/>
          </w:tcPr>
          <w:p w14:paraId="12B48CFB" w14:textId="77777777" w:rsidR="00DD57DB" w:rsidRPr="00DD36CC" w:rsidRDefault="00DD57DB" w:rsidP="00A3757C">
            <w:pPr>
              <w:spacing w:after="0" w:line="240" w:lineRule="auto"/>
              <w:jc w:val="center"/>
              <w:rPr>
                <w:rFonts w:ascii="Arial" w:eastAsia="Times New Roman" w:hAnsi="Arial" w:cs="Arial"/>
                <w:color w:val="FFFFFF"/>
                <w:sz w:val="20"/>
                <w:szCs w:val="20"/>
                <w:lang w:val="es-ES_tradnl"/>
              </w:rPr>
            </w:pPr>
            <w:r w:rsidRPr="00DD36CC">
              <w:rPr>
                <w:rFonts w:ascii="Arial" w:eastAsia="Times New Roman" w:hAnsi="Arial" w:cs="Arial"/>
                <w:color w:val="FFFFFF"/>
                <w:sz w:val="20"/>
                <w:szCs w:val="20"/>
                <w:lang w:val="es-ES_tradnl"/>
              </w:rPr>
              <w:t>Sin proyecto</w:t>
            </w:r>
          </w:p>
        </w:tc>
        <w:tc>
          <w:tcPr>
            <w:tcW w:w="2120" w:type="dxa"/>
            <w:gridSpan w:val="2"/>
            <w:tcBorders>
              <w:top w:val="single" w:sz="4" w:space="0" w:color="8EA9DB"/>
              <w:left w:val="nil"/>
              <w:bottom w:val="single" w:sz="4" w:space="0" w:color="8EA9DB"/>
              <w:right w:val="single" w:sz="4" w:space="0" w:color="8EA9DB"/>
            </w:tcBorders>
            <w:shd w:val="clear" w:color="D9E1F2" w:fill="4472C4"/>
            <w:noWrap/>
            <w:vAlign w:val="bottom"/>
            <w:hideMark/>
          </w:tcPr>
          <w:p w14:paraId="339143E3" w14:textId="77777777" w:rsidR="00DD57DB" w:rsidRPr="00DD36CC" w:rsidRDefault="00DD57DB" w:rsidP="00A3757C">
            <w:pPr>
              <w:spacing w:after="0" w:line="240" w:lineRule="auto"/>
              <w:jc w:val="center"/>
              <w:rPr>
                <w:rFonts w:ascii="Arial" w:eastAsia="Times New Roman" w:hAnsi="Arial" w:cs="Arial"/>
                <w:color w:val="FFFFFF"/>
                <w:sz w:val="20"/>
                <w:szCs w:val="20"/>
                <w:lang w:val="es-ES_tradnl"/>
              </w:rPr>
            </w:pPr>
            <w:r w:rsidRPr="00DD36CC">
              <w:rPr>
                <w:rFonts w:ascii="Arial" w:eastAsia="Times New Roman" w:hAnsi="Arial" w:cs="Arial"/>
                <w:color w:val="FFFFFF"/>
                <w:sz w:val="20"/>
                <w:szCs w:val="20"/>
                <w:lang w:val="es-ES_tradnl"/>
              </w:rPr>
              <w:t>Con proyecto</w:t>
            </w:r>
          </w:p>
        </w:tc>
      </w:tr>
      <w:tr w:rsidR="00DD57DB" w:rsidRPr="00DD36CC" w14:paraId="1A65AE32" w14:textId="77777777" w:rsidTr="00A3757C">
        <w:trPr>
          <w:trHeight w:val="276"/>
        </w:trPr>
        <w:tc>
          <w:tcPr>
            <w:tcW w:w="3580" w:type="dxa"/>
            <w:tcBorders>
              <w:top w:val="nil"/>
              <w:left w:val="nil"/>
              <w:bottom w:val="single" w:sz="4" w:space="0" w:color="8EA9DB"/>
              <w:right w:val="nil"/>
            </w:tcBorders>
            <w:shd w:val="clear" w:color="auto" w:fill="auto"/>
            <w:noWrap/>
            <w:vAlign w:val="bottom"/>
            <w:hideMark/>
          </w:tcPr>
          <w:p w14:paraId="29249CAC"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 </w:t>
            </w:r>
          </w:p>
        </w:tc>
        <w:tc>
          <w:tcPr>
            <w:tcW w:w="1219" w:type="dxa"/>
            <w:tcBorders>
              <w:top w:val="nil"/>
              <w:left w:val="nil"/>
              <w:bottom w:val="single" w:sz="4" w:space="0" w:color="8EA9DB"/>
              <w:right w:val="nil"/>
            </w:tcBorders>
            <w:shd w:val="clear" w:color="auto" w:fill="auto"/>
            <w:noWrap/>
            <w:vAlign w:val="bottom"/>
            <w:hideMark/>
          </w:tcPr>
          <w:p w14:paraId="7C9B41C1"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 xml:space="preserve">Urbano </w:t>
            </w:r>
          </w:p>
        </w:tc>
        <w:tc>
          <w:tcPr>
            <w:tcW w:w="901" w:type="dxa"/>
            <w:tcBorders>
              <w:top w:val="nil"/>
              <w:left w:val="nil"/>
              <w:bottom w:val="single" w:sz="4" w:space="0" w:color="8EA9DB"/>
              <w:right w:val="nil"/>
            </w:tcBorders>
            <w:shd w:val="clear" w:color="auto" w:fill="auto"/>
            <w:noWrap/>
            <w:vAlign w:val="bottom"/>
            <w:hideMark/>
          </w:tcPr>
          <w:p w14:paraId="6B36900F"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Rural</w:t>
            </w:r>
          </w:p>
        </w:tc>
        <w:tc>
          <w:tcPr>
            <w:tcW w:w="1219" w:type="dxa"/>
            <w:tcBorders>
              <w:top w:val="nil"/>
              <w:left w:val="nil"/>
              <w:bottom w:val="single" w:sz="4" w:space="0" w:color="8EA9DB"/>
              <w:right w:val="nil"/>
            </w:tcBorders>
            <w:shd w:val="clear" w:color="auto" w:fill="auto"/>
            <w:noWrap/>
            <w:vAlign w:val="bottom"/>
            <w:hideMark/>
          </w:tcPr>
          <w:p w14:paraId="27416E89"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 xml:space="preserve">Urbano </w:t>
            </w:r>
          </w:p>
        </w:tc>
        <w:tc>
          <w:tcPr>
            <w:tcW w:w="901" w:type="dxa"/>
            <w:tcBorders>
              <w:top w:val="nil"/>
              <w:left w:val="nil"/>
              <w:bottom w:val="single" w:sz="4" w:space="0" w:color="8EA9DB"/>
              <w:right w:val="single" w:sz="4" w:space="0" w:color="8EA9DB"/>
            </w:tcBorders>
            <w:shd w:val="clear" w:color="auto" w:fill="auto"/>
            <w:noWrap/>
            <w:vAlign w:val="bottom"/>
            <w:hideMark/>
          </w:tcPr>
          <w:p w14:paraId="143A4494"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Rural</w:t>
            </w:r>
          </w:p>
        </w:tc>
      </w:tr>
      <w:tr w:rsidR="00DD57DB" w:rsidRPr="00DD36CC" w14:paraId="5434EEBC" w14:textId="77777777" w:rsidTr="00A3757C">
        <w:trPr>
          <w:trHeight w:val="552"/>
        </w:trPr>
        <w:tc>
          <w:tcPr>
            <w:tcW w:w="3580" w:type="dxa"/>
            <w:tcBorders>
              <w:top w:val="nil"/>
              <w:left w:val="nil"/>
              <w:bottom w:val="single" w:sz="4" w:space="0" w:color="8EA9DB"/>
              <w:right w:val="nil"/>
            </w:tcBorders>
            <w:shd w:val="clear" w:color="D9E1F2" w:fill="D9E1F2"/>
            <w:vAlign w:val="bottom"/>
            <w:hideMark/>
          </w:tcPr>
          <w:p w14:paraId="49D87221"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Cantidad de visitas</w:t>
            </w:r>
          </w:p>
        </w:tc>
        <w:tc>
          <w:tcPr>
            <w:tcW w:w="1219" w:type="dxa"/>
            <w:tcBorders>
              <w:top w:val="nil"/>
              <w:left w:val="nil"/>
              <w:bottom w:val="single" w:sz="4" w:space="0" w:color="8EA9DB"/>
              <w:right w:val="nil"/>
            </w:tcBorders>
            <w:shd w:val="clear" w:color="D9E1F2" w:fill="D9E1F2"/>
            <w:noWrap/>
            <w:vAlign w:val="bottom"/>
            <w:hideMark/>
          </w:tcPr>
          <w:p w14:paraId="0F9F3E26"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2</w:t>
            </w:r>
          </w:p>
        </w:tc>
        <w:tc>
          <w:tcPr>
            <w:tcW w:w="901" w:type="dxa"/>
            <w:tcBorders>
              <w:top w:val="nil"/>
              <w:left w:val="nil"/>
              <w:bottom w:val="single" w:sz="4" w:space="0" w:color="8EA9DB"/>
              <w:right w:val="nil"/>
            </w:tcBorders>
            <w:shd w:val="clear" w:color="D9E1F2" w:fill="D9E1F2"/>
            <w:noWrap/>
            <w:vAlign w:val="bottom"/>
            <w:hideMark/>
          </w:tcPr>
          <w:p w14:paraId="6B1FE954"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2</w:t>
            </w:r>
          </w:p>
        </w:tc>
        <w:tc>
          <w:tcPr>
            <w:tcW w:w="1219" w:type="dxa"/>
            <w:tcBorders>
              <w:top w:val="nil"/>
              <w:left w:val="nil"/>
              <w:bottom w:val="single" w:sz="4" w:space="0" w:color="8EA9DB"/>
              <w:right w:val="nil"/>
            </w:tcBorders>
            <w:shd w:val="clear" w:color="D9E1F2" w:fill="D9E1F2"/>
            <w:noWrap/>
            <w:vAlign w:val="bottom"/>
            <w:hideMark/>
          </w:tcPr>
          <w:p w14:paraId="42473E31"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2</w:t>
            </w:r>
          </w:p>
        </w:tc>
        <w:tc>
          <w:tcPr>
            <w:tcW w:w="901" w:type="dxa"/>
            <w:tcBorders>
              <w:top w:val="nil"/>
              <w:left w:val="nil"/>
              <w:bottom w:val="single" w:sz="4" w:space="0" w:color="8EA9DB"/>
              <w:right w:val="single" w:sz="4" w:space="0" w:color="8EA9DB"/>
            </w:tcBorders>
            <w:shd w:val="clear" w:color="D9E1F2" w:fill="D9E1F2"/>
            <w:noWrap/>
            <w:vAlign w:val="bottom"/>
            <w:hideMark/>
          </w:tcPr>
          <w:p w14:paraId="4229AF3F"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2</w:t>
            </w:r>
          </w:p>
        </w:tc>
      </w:tr>
      <w:tr w:rsidR="00DD57DB" w:rsidRPr="00DD36CC" w14:paraId="662C3278" w14:textId="77777777" w:rsidTr="00A3757C">
        <w:trPr>
          <w:trHeight w:val="276"/>
        </w:trPr>
        <w:tc>
          <w:tcPr>
            <w:tcW w:w="3580" w:type="dxa"/>
            <w:tcBorders>
              <w:top w:val="nil"/>
              <w:left w:val="nil"/>
              <w:bottom w:val="single" w:sz="4" w:space="0" w:color="8EA9DB"/>
              <w:right w:val="nil"/>
            </w:tcBorders>
            <w:shd w:val="clear" w:color="auto" w:fill="auto"/>
            <w:vAlign w:val="bottom"/>
            <w:hideMark/>
          </w:tcPr>
          <w:p w14:paraId="0DB77CE3"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Costo del pasaje (soles)</w:t>
            </w:r>
          </w:p>
        </w:tc>
        <w:tc>
          <w:tcPr>
            <w:tcW w:w="1219" w:type="dxa"/>
            <w:tcBorders>
              <w:top w:val="nil"/>
              <w:left w:val="nil"/>
              <w:bottom w:val="single" w:sz="4" w:space="0" w:color="8EA9DB"/>
              <w:right w:val="nil"/>
            </w:tcBorders>
            <w:shd w:val="clear" w:color="auto" w:fill="auto"/>
            <w:noWrap/>
            <w:vAlign w:val="bottom"/>
            <w:hideMark/>
          </w:tcPr>
          <w:p w14:paraId="533EDB18"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8</w:t>
            </w:r>
          </w:p>
        </w:tc>
        <w:tc>
          <w:tcPr>
            <w:tcW w:w="901" w:type="dxa"/>
            <w:tcBorders>
              <w:top w:val="nil"/>
              <w:left w:val="nil"/>
              <w:bottom w:val="single" w:sz="4" w:space="0" w:color="8EA9DB"/>
              <w:right w:val="nil"/>
            </w:tcBorders>
            <w:shd w:val="clear" w:color="auto" w:fill="auto"/>
            <w:noWrap/>
            <w:vAlign w:val="bottom"/>
            <w:hideMark/>
          </w:tcPr>
          <w:p w14:paraId="2D67FE43"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6</w:t>
            </w:r>
          </w:p>
        </w:tc>
        <w:tc>
          <w:tcPr>
            <w:tcW w:w="1219" w:type="dxa"/>
            <w:tcBorders>
              <w:top w:val="nil"/>
              <w:left w:val="nil"/>
              <w:bottom w:val="single" w:sz="4" w:space="0" w:color="8EA9DB"/>
              <w:right w:val="nil"/>
            </w:tcBorders>
            <w:shd w:val="clear" w:color="auto" w:fill="auto"/>
            <w:noWrap/>
            <w:vAlign w:val="bottom"/>
            <w:hideMark/>
          </w:tcPr>
          <w:p w14:paraId="09922251"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8</w:t>
            </w:r>
          </w:p>
        </w:tc>
        <w:tc>
          <w:tcPr>
            <w:tcW w:w="901" w:type="dxa"/>
            <w:tcBorders>
              <w:top w:val="nil"/>
              <w:left w:val="nil"/>
              <w:bottom w:val="single" w:sz="4" w:space="0" w:color="8EA9DB"/>
              <w:right w:val="single" w:sz="4" w:space="0" w:color="8EA9DB"/>
            </w:tcBorders>
            <w:shd w:val="clear" w:color="auto" w:fill="auto"/>
            <w:noWrap/>
            <w:vAlign w:val="bottom"/>
            <w:hideMark/>
          </w:tcPr>
          <w:p w14:paraId="463B25F6"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6</w:t>
            </w:r>
          </w:p>
        </w:tc>
      </w:tr>
      <w:tr w:rsidR="00DD57DB" w:rsidRPr="00DD36CC" w14:paraId="0471DAA9" w14:textId="77777777" w:rsidTr="00A3757C">
        <w:trPr>
          <w:trHeight w:val="276"/>
        </w:trPr>
        <w:tc>
          <w:tcPr>
            <w:tcW w:w="3580" w:type="dxa"/>
            <w:tcBorders>
              <w:top w:val="nil"/>
              <w:left w:val="nil"/>
              <w:bottom w:val="single" w:sz="4" w:space="0" w:color="8EA9DB"/>
              <w:right w:val="nil"/>
            </w:tcBorders>
            <w:shd w:val="clear" w:color="D9E1F2" w:fill="D9E1F2"/>
            <w:vAlign w:val="bottom"/>
            <w:hideMark/>
          </w:tcPr>
          <w:p w14:paraId="48991935"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Costo de la foto (soles)</w:t>
            </w:r>
          </w:p>
        </w:tc>
        <w:tc>
          <w:tcPr>
            <w:tcW w:w="1219" w:type="dxa"/>
            <w:tcBorders>
              <w:top w:val="nil"/>
              <w:left w:val="nil"/>
              <w:bottom w:val="single" w:sz="4" w:space="0" w:color="8EA9DB"/>
              <w:right w:val="nil"/>
            </w:tcBorders>
            <w:shd w:val="clear" w:color="D9E1F2" w:fill="D9E1F2"/>
            <w:noWrap/>
            <w:vAlign w:val="bottom"/>
            <w:hideMark/>
          </w:tcPr>
          <w:p w14:paraId="3468EA82"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6</w:t>
            </w:r>
          </w:p>
        </w:tc>
        <w:tc>
          <w:tcPr>
            <w:tcW w:w="901" w:type="dxa"/>
            <w:tcBorders>
              <w:top w:val="nil"/>
              <w:left w:val="nil"/>
              <w:bottom w:val="single" w:sz="4" w:space="0" w:color="8EA9DB"/>
              <w:right w:val="nil"/>
            </w:tcBorders>
            <w:shd w:val="clear" w:color="D9E1F2" w:fill="D9E1F2"/>
            <w:noWrap/>
            <w:vAlign w:val="bottom"/>
            <w:hideMark/>
          </w:tcPr>
          <w:p w14:paraId="37F9586A"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8</w:t>
            </w:r>
          </w:p>
        </w:tc>
        <w:tc>
          <w:tcPr>
            <w:tcW w:w="1219" w:type="dxa"/>
            <w:tcBorders>
              <w:top w:val="nil"/>
              <w:left w:val="nil"/>
              <w:bottom w:val="single" w:sz="4" w:space="0" w:color="8EA9DB"/>
              <w:right w:val="nil"/>
            </w:tcBorders>
            <w:shd w:val="clear" w:color="D9E1F2" w:fill="D9E1F2"/>
            <w:noWrap/>
            <w:vAlign w:val="bottom"/>
            <w:hideMark/>
          </w:tcPr>
          <w:p w14:paraId="73C1B684"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0</w:t>
            </w:r>
          </w:p>
        </w:tc>
        <w:tc>
          <w:tcPr>
            <w:tcW w:w="901" w:type="dxa"/>
            <w:tcBorders>
              <w:top w:val="nil"/>
              <w:left w:val="nil"/>
              <w:bottom w:val="single" w:sz="4" w:space="0" w:color="8EA9DB"/>
              <w:right w:val="single" w:sz="4" w:space="0" w:color="8EA9DB"/>
            </w:tcBorders>
            <w:shd w:val="clear" w:color="D9E1F2" w:fill="D9E1F2"/>
            <w:noWrap/>
            <w:vAlign w:val="bottom"/>
            <w:hideMark/>
          </w:tcPr>
          <w:p w14:paraId="6983E840"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0</w:t>
            </w:r>
          </w:p>
        </w:tc>
      </w:tr>
      <w:tr w:rsidR="00DD57DB" w:rsidRPr="00DD36CC" w14:paraId="629410D6" w14:textId="77777777" w:rsidTr="00A3757C">
        <w:trPr>
          <w:trHeight w:val="552"/>
        </w:trPr>
        <w:tc>
          <w:tcPr>
            <w:tcW w:w="3580" w:type="dxa"/>
            <w:tcBorders>
              <w:top w:val="nil"/>
              <w:left w:val="nil"/>
              <w:bottom w:val="single" w:sz="4" w:space="0" w:color="8EA9DB"/>
              <w:right w:val="nil"/>
            </w:tcBorders>
            <w:shd w:val="clear" w:color="auto" w:fill="auto"/>
            <w:vAlign w:val="bottom"/>
            <w:hideMark/>
          </w:tcPr>
          <w:p w14:paraId="1EDE3F17"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Tiempo de viaje ida y vuelta (minutos)</w:t>
            </w:r>
          </w:p>
        </w:tc>
        <w:tc>
          <w:tcPr>
            <w:tcW w:w="1219" w:type="dxa"/>
            <w:tcBorders>
              <w:top w:val="nil"/>
              <w:left w:val="nil"/>
              <w:bottom w:val="single" w:sz="4" w:space="0" w:color="8EA9DB"/>
              <w:right w:val="nil"/>
            </w:tcBorders>
            <w:shd w:val="clear" w:color="auto" w:fill="auto"/>
            <w:noWrap/>
            <w:vAlign w:val="bottom"/>
            <w:hideMark/>
          </w:tcPr>
          <w:p w14:paraId="4F2729F3"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62</w:t>
            </w:r>
          </w:p>
        </w:tc>
        <w:tc>
          <w:tcPr>
            <w:tcW w:w="901" w:type="dxa"/>
            <w:tcBorders>
              <w:top w:val="nil"/>
              <w:left w:val="nil"/>
              <w:bottom w:val="single" w:sz="4" w:space="0" w:color="8EA9DB"/>
              <w:right w:val="nil"/>
            </w:tcBorders>
            <w:shd w:val="clear" w:color="auto" w:fill="auto"/>
            <w:noWrap/>
            <w:vAlign w:val="bottom"/>
            <w:hideMark/>
          </w:tcPr>
          <w:p w14:paraId="2C812BE4"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40</w:t>
            </w:r>
          </w:p>
        </w:tc>
        <w:tc>
          <w:tcPr>
            <w:tcW w:w="1219" w:type="dxa"/>
            <w:tcBorders>
              <w:top w:val="nil"/>
              <w:left w:val="nil"/>
              <w:bottom w:val="single" w:sz="4" w:space="0" w:color="8EA9DB"/>
              <w:right w:val="nil"/>
            </w:tcBorders>
            <w:shd w:val="clear" w:color="auto" w:fill="auto"/>
            <w:noWrap/>
            <w:vAlign w:val="bottom"/>
            <w:hideMark/>
          </w:tcPr>
          <w:p w14:paraId="727D90C8"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62</w:t>
            </w:r>
          </w:p>
        </w:tc>
        <w:tc>
          <w:tcPr>
            <w:tcW w:w="901" w:type="dxa"/>
            <w:tcBorders>
              <w:top w:val="nil"/>
              <w:left w:val="nil"/>
              <w:bottom w:val="single" w:sz="4" w:space="0" w:color="8EA9DB"/>
              <w:right w:val="single" w:sz="4" w:space="0" w:color="8EA9DB"/>
            </w:tcBorders>
            <w:shd w:val="clear" w:color="auto" w:fill="auto"/>
            <w:noWrap/>
            <w:vAlign w:val="bottom"/>
            <w:hideMark/>
          </w:tcPr>
          <w:p w14:paraId="56284962"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40</w:t>
            </w:r>
          </w:p>
        </w:tc>
      </w:tr>
      <w:tr w:rsidR="00DD57DB" w:rsidRPr="00DD36CC" w14:paraId="0751463A" w14:textId="77777777" w:rsidTr="00A3757C">
        <w:trPr>
          <w:trHeight w:val="552"/>
        </w:trPr>
        <w:tc>
          <w:tcPr>
            <w:tcW w:w="3580" w:type="dxa"/>
            <w:tcBorders>
              <w:top w:val="nil"/>
              <w:left w:val="nil"/>
              <w:bottom w:val="single" w:sz="4" w:space="0" w:color="8EA9DB"/>
              <w:right w:val="nil"/>
            </w:tcBorders>
            <w:shd w:val="clear" w:color="D9E1F2" w:fill="D9E1F2"/>
            <w:vAlign w:val="bottom"/>
            <w:hideMark/>
          </w:tcPr>
          <w:p w14:paraId="6556D295"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 xml:space="preserve">Tiempo de espera y toma de la </w:t>
            </w:r>
            <w:r w:rsidR="006A37E3" w:rsidRPr="00DD36CC">
              <w:rPr>
                <w:rFonts w:ascii="Arial" w:eastAsia="Times New Roman" w:hAnsi="Arial" w:cs="Arial"/>
                <w:color w:val="000000"/>
                <w:sz w:val="20"/>
                <w:szCs w:val="20"/>
                <w:lang w:val="es-ES_tradnl"/>
              </w:rPr>
              <w:t>fotografía</w:t>
            </w:r>
            <w:r w:rsidRPr="00DD36CC">
              <w:rPr>
                <w:rFonts w:ascii="Arial" w:eastAsia="Times New Roman" w:hAnsi="Arial" w:cs="Arial"/>
                <w:color w:val="000000"/>
                <w:sz w:val="20"/>
                <w:szCs w:val="20"/>
                <w:lang w:val="es-ES_tradnl"/>
              </w:rPr>
              <w:t xml:space="preserve"> (minutos)</w:t>
            </w:r>
          </w:p>
        </w:tc>
        <w:tc>
          <w:tcPr>
            <w:tcW w:w="1219" w:type="dxa"/>
            <w:tcBorders>
              <w:top w:val="nil"/>
              <w:left w:val="nil"/>
              <w:bottom w:val="single" w:sz="4" w:space="0" w:color="8EA9DB"/>
              <w:right w:val="nil"/>
            </w:tcBorders>
            <w:shd w:val="clear" w:color="D9E1F2" w:fill="D9E1F2"/>
            <w:noWrap/>
            <w:vAlign w:val="bottom"/>
            <w:hideMark/>
          </w:tcPr>
          <w:p w14:paraId="4ED98D19"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20</w:t>
            </w:r>
          </w:p>
        </w:tc>
        <w:tc>
          <w:tcPr>
            <w:tcW w:w="901" w:type="dxa"/>
            <w:tcBorders>
              <w:top w:val="nil"/>
              <w:left w:val="nil"/>
              <w:bottom w:val="single" w:sz="4" w:space="0" w:color="8EA9DB"/>
              <w:right w:val="nil"/>
            </w:tcBorders>
            <w:shd w:val="clear" w:color="D9E1F2" w:fill="D9E1F2"/>
            <w:noWrap/>
            <w:vAlign w:val="bottom"/>
            <w:hideMark/>
          </w:tcPr>
          <w:p w14:paraId="0B06D24D"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25</w:t>
            </w:r>
          </w:p>
        </w:tc>
        <w:tc>
          <w:tcPr>
            <w:tcW w:w="1219" w:type="dxa"/>
            <w:tcBorders>
              <w:top w:val="nil"/>
              <w:left w:val="nil"/>
              <w:bottom w:val="single" w:sz="4" w:space="0" w:color="8EA9DB"/>
              <w:right w:val="nil"/>
            </w:tcBorders>
            <w:shd w:val="clear" w:color="D9E1F2" w:fill="D9E1F2"/>
            <w:noWrap/>
            <w:vAlign w:val="bottom"/>
            <w:hideMark/>
          </w:tcPr>
          <w:p w14:paraId="1FBE7BC3"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10</w:t>
            </w:r>
          </w:p>
        </w:tc>
        <w:tc>
          <w:tcPr>
            <w:tcW w:w="901" w:type="dxa"/>
            <w:tcBorders>
              <w:top w:val="nil"/>
              <w:left w:val="nil"/>
              <w:bottom w:val="single" w:sz="4" w:space="0" w:color="8EA9DB"/>
              <w:right w:val="single" w:sz="4" w:space="0" w:color="8EA9DB"/>
            </w:tcBorders>
            <w:shd w:val="clear" w:color="D9E1F2" w:fill="D9E1F2"/>
            <w:noWrap/>
            <w:vAlign w:val="bottom"/>
            <w:hideMark/>
          </w:tcPr>
          <w:p w14:paraId="699EAC9F"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10</w:t>
            </w:r>
          </w:p>
        </w:tc>
      </w:tr>
      <w:tr w:rsidR="00DD57DB" w:rsidRPr="00DD36CC" w14:paraId="5285F349" w14:textId="77777777" w:rsidTr="00A3757C">
        <w:trPr>
          <w:trHeight w:val="552"/>
        </w:trPr>
        <w:tc>
          <w:tcPr>
            <w:tcW w:w="3580" w:type="dxa"/>
            <w:tcBorders>
              <w:top w:val="nil"/>
              <w:left w:val="nil"/>
              <w:bottom w:val="single" w:sz="4" w:space="0" w:color="8EA9DB"/>
              <w:right w:val="nil"/>
            </w:tcBorders>
            <w:shd w:val="clear" w:color="auto" w:fill="auto"/>
            <w:vAlign w:val="bottom"/>
            <w:hideMark/>
          </w:tcPr>
          <w:p w14:paraId="53FFD937" w14:textId="77777777" w:rsidR="00DD57DB" w:rsidRPr="00DD36CC" w:rsidRDefault="00DD57DB" w:rsidP="00A3757C">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 xml:space="preserve">Tiempo espera para la </w:t>
            </w:r>
            <w:r w:rsidR="006A37E3" w:rsidRPr="00DD36CC">
              <w:rPr>
                <w:rFonts w:ascii="Arial" w:eastAsia="Times New Roman" w:hAnsi="Arial" w:cs="Arial"/>
                <w:color w:val="000000"/>
                <w:sz w:val="20"/>
                <w:szCs w:val="20"/>
                <w:lang w:val="es-ES_tradnl"/>
              </w:rPr>
              <w:t>recepción</w:t>
            </w:r>
            <w:r w:rsidRPr="00DD36CC">
              <w:rPr>
                <w:rFonts w:ascii="Arial" w:eastAsia="Times New Roman" w:hAnsi="Arial" w:cs="Arial"/>
                <w:color w:val="000000"/>
                <w:sz w:val="20"/>
                <w:szCs w:val="20"/>
                <w:lang w:val="es-ES_tradnl"/>
              </w:rPr>
              <w:t xml:space="preserve"> de la foto</w:t>
            </w:r>
            <w:r w:rsidR="00C51FE2" w:rsidRPr="00DD36CC">
              <w:rPr>
                <w:rFonts w:ascii="Arial" w:eastAsia="Times New Roman" w:hAnsi="Arial" w:cs="Arial"/>
                <w:color w:val="000000"/>
                <w:sz w:val="20"/>
                <w:szCs w:val="20"/>
                <w:lang w:val="es-ES_tradnl"/>
              </w:rPr>
              <w:t xml:space="preserve"> </w:t>
            </w:r>
            <w:r w:rsidRPr="00DD36CC">
              <w:rPr>
                <w:rFonts w:ascii="Arial" w:eastAsia="Times New Roman" w:hAnsi="Arial" w:cs="Arial"/>
                <w:color w:val="000000"/>
                <w:sz w:val="20"/>
                <w:szCs w:val="20"/>
                <w:lang w:val="es-ES_tradnl"/>
              </w:rPr>
              <w:t>(minutos</w:t>
            </w:r>
            <w:r w:rsidR="00C51FE2" w:rsidRPr="00DD36CC">
              <w:rPr>
                <w:rFonts w:ascii="Arial" w:eastAsia="Times New Roman" w:hAnsi="Arial" w:cs="Arial"/>
                <w:color w:val="000000"/>
                <w:sz w:val="20"/>
                <w:szCs w:val="20"/>
                <w:lang w:val="es-ES_tradnl"/>
              </w:rPr>
              <w:t>)</w:t>
            </w:r>
          </w:p>
        </w:tc>
        <w:tc>
          <w:tcPr>
            <w:tcW w:w="1219" w:type="dxa"/>
            <w:tcBorders>
              <w:top w:val="nil"/>
              <w:left w:val="nil"/>
              <w:bottom w:val="single" w:sz="4" w:space="0" w:color="8EA9DB"/>
              <w:right w:val="nil"/>
            </w:tcBorders>
            <w:shd w:val="clear" w:color="auto" w:fill="auto"/>
            <w:noWrap/>
            <w:vAlign w:val="bottom"/>
            <w:hideMark/>
          </w:tcPr>
          <w:p w14:paraId="193CEB06"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30</w:t>
            </w:r>
          </w:p>
        </w:tc>
        <w:tc>
          <w:tcPr>
            <w:tcW w:w="901" w:type="dxa"/>
            <w:tcBorders>
              <w:top w:val="nil"/>
              <w:left w:val="nil"/>
              <w:bottom w:val="single" w:sz="4" w:space="0" w:color="8EA9DB"/>
              <w:right w:val="nil"/>
            </w:tcBorders>
            <w:shd w:val="clear" w:color="auto" w:fill="auto"/>
            <w:noWrap/>
            <w:vAlign w:val="bottom"/>
            <w:hideMark/>
          </w:tcPr>
          <w:p w14:paraId="51110910"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30</w:t>
            </w:r>
          </w:p>
        </w:tc>
        <w:tc>
          <w:tcPr>
            <w:tcW w:w="1219" w:type="dxa"/>
            <w:tcBorders>
              <w:top w:val="nil"/>
              <w:left w:val="nil"/>
              <w:bottom w:val="single" w:sz="4" w:space="0" w:color="8EA9DB"/>
              <w:right w:val="nil"/>
            </w:tcBorders>
            <w:shd w:val="clear" w:color="auto" w:fill="auto"/>
            <w:noWrap/>
            <w:vAlign w:val="bottom"/>
            <w:hideMark/>
          </w:tcPr>
          <w:p w14:paraId="15959A62"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0</w:t>
            </w:r>
          </w:p>
        </w:tc>
        <w:tc>
          <w:tcPr>
            <w:tcW w:w="901" w:type="dxa"/>
            <w:tcBorders>
              <w:top w:val="nil"/>
              <w:left w:val="nil"/>
              <w:bottom w:val="single" w:sz="4" w:space="0" w:color="8EA9DB"/>
              <w:right w:val="single" w:sz="4" w:space="0" w:color="8EA9DB"/>
            </w:tcBorders>
            <w:shd w:val="clear" w:color="auto" w:fill="auto"/>
            <w:noWrap/>
            <w:vAlign w:val="bottom"/>
            <w:hideMark/>
          </w:tcPr>
          <w:p w14:paraId="275066D6" w14:textId="77777777" w:rsidR="00DD57DB" w:rsidRPr="00DD36CC" w:rsidRDefault="00DD57DB" w:rsidP="00A3757C">
            <w:pPr>
              <w:spacing w:after="0" w:line="240" w:lineRule="auto"/>
              <w:jc w:val="right"/>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0</w:t>
            </w:r>
          </w:p>
        </w:tc>
      </w:tr>
    </w:tbl>
    <w:p w14:paraId="77D325A9" w14:textId="77777777" w:rsidR="00DD57DB" w:rsidRPr="00DD36CC" w:rsidRDefault="006A37E3" w:rsidP="00DD36CC">
      <w:pPr>
        <w:pStyle w:val="Vieta"/>
        <w:numPr>
          <w:ilvl w:val="0"/>
          <w:numId w:val="0"/>
        </w:numPr>
        <w:spacing w:line="240" w:lineRule="auto"/>
        <w:rPr>
          <w:rFonts w:ascii="Arial" w:hAnsi="Arial" w:cs="Arial"/>
          <w:sz w:val="20"/>
          <w:lang w:val="es-ES_tradnl"/>
        </w:rPr>
      </w:pPr>
      <w:r w:rsidRPr="00DD36CC">
        <w:rPr>
          <w:rFonts w:ascii="Arial" w:hAnsi="Arial" w:cs="Arial"/>
          <w:sz w:val="20"/>
          <w:lang w:val="es-ES_tradnl"/>
        </w:rPr>
        <w:t>Fuente: Estudio de factibilidad RENIEC.</w:t>
      </w:r>
    </w:p>
    <w:p w14:paraId="7A58C50B" w14:textId="77777777" w:rsidR="006A37E3" w:rsidRPr="00DD36CC" w:rsidRDefault="006A37E3" w:rsidP="00D62651">
      <w:pPr>
        <w:pStyle w:val="Vieta"/>
        <w:numPr>
          <w:ilvl w:val="0"/>
          <w:numId w:val="0"/>
        </w:numPr>
        <w:spacing w:line="240" w:lineRule="auto"/>
        <w:ind w:left="994"/>
        <w:rPr>
          <w:rFonts w:ascii="Arial" w:hAnsi="Arial" w:cs="Arial"/>
          <w:sz w:val="20"/>
          <w:lang w:val="es-ES_tradnl"/>
        </w:rPr>
      </w:pPr>
    </w:p>
    <w:p w14:paraId="3A8C328E"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De este modo el costo unitario por persona de un nuevo DNI sin proyecto se calcula en 34.71 soles para los usuarios urbanos y 27.22 soles para los usuarios rurales, con proyecto estos mismos valores serian 24.17 y 15.8 soles respectivamente.</w:t>
      </w:r>
    </w:p>
    <w:p w14:paraId="2F7C394B" w14:textId="77777777" w:rsidR="002B5307" w:rsidRDefault="002B5307" w:rsidP="002B5307">
      <w:pPr>
        <w:pStyle w:val="Vieta"/>
        <w:numPr>
          <w:ilvl w:val="0"/>
          <w:numId w:val="0"/>
        </w:numPr>
        <w:spacing w:line="240" w:lineRule="auto"/>
        <w:rPr>
          <w:rFonts w:ascii="Arial" w:hAnsi="Arial" w:cs="Arial"/>
          <w:lang w:val="es-ES_tradnl"/>
        </w:rPr>
      </w:pPr>
    </w:p>
    <w:p w14:paraId="4BAEC591"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 xml:space="preserve">Al realizar un promedio ponderado entre la población rural y urbana , se estima que el costo promedio para obtener un nuevo DNI es de 32.83 soles en el escenario sin proyecto y  6.3 soles con proyecto. Análogamente, al aplicar una </w:t>
      </w:r>
      <w:r>
        <w:rPr>
          <w:rFonts w:ascii="Arial" w:hAnsi="Arial" w:cs="Arial"/>
          <w:lang w:val="es-ES_tradnl"/>
        </w:rPr>
        <w:lastRenderedPageBreak/>
        <w:t>tasa de cambio de 3.5 soles por dólar estos valores se traducen en $9.37 y $6.31 dólares respectivamente que son equivalentes a los expuestos en el primer indicador de impacto de la matriz de resultados.</w:t>
      </w:r>
    </w:p>
    <w:p w14:paraId="0ADE24EB" w14:textId="77777777" w:rsidR="002B5307" w:rsidRDefault="002B5307" w:rsidP="002B5307">
      <w:pPr>
        <w:pStyle w:val="Vieta"/>
        <w:numPr>
          <w:ilvl w:val="0"/>
          <w:numId w:val="0"/>
        </w:numPr>
        <w:spacing w:line="240" w:lineRule="auto"/>
        <w:rPr>
          <w:rFonts w:ascii="Arial" w:hAnsi="Arial" w:cs="Arial"/>
          <w:lang w:val="es-ES_tradnl"/>
        </w:rPr>
      </w:pPr>
    </w:p>
    <w:p w14:paraId="073B0BAA"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En resumen, los beneficios unitarios asociados al ahorro en los costos de transacción de obtener un DNI por la implementación del sistema de captura en vivo (en soles) son:</w:t>
      </w:r>
    </w:p>
    <w:p w14:paraId="7F3B2663" w14:textId="77777777" w:rsidR="00A3757C" w:rsidRPr="007E663E" w:rsidRDefault="006A37E3" w:rsidP="006A37E3">
      <w:pPr>
        <w:pStyle w:val="Vieta"/>
        <w:numPr>
          <w:ilvl w:val="0"/>
          <w:numId w:val="0"/>
        </w:numPr>
        <w:spacing w:line="240" w:lineRule="auto"/>
        <w:rPr>
          <w:rFonts w:ascii="Arial" w:hAnsi="Arial" w:cs="Arial"/>
          <w:lang w:val="es-ES_tradnl"/>
        </w:rPr>
      </w:pPr>
      <w:r w:rsidRPr="007E663E">
        <w:rPr>
          <w:rFonts w:ascii="Arial" w:hAnsi="Arial" w:cs="Arial"/>
          <w:lang w:val="es-ES_tradnl"/>
        </w:rPr>
        <w:t xml:space="preserve"> </w:t>
      </w:r>
    </w:p>
    <w:tbl>
      <w:tblPr>
        <w:tblW w:w="8320" w:type="dxa"/>
        <w:tblLook w:val="04A0" w:firstRow="1" w:lastRow="0" w:firstColumn="1" w:lastColumn="0" w:noHBand="0" w:noVBand="1"/>
      </w:tblPr>
      <w:tblGrid>
        <w:gridCol w:w="4520"/>
        <w:gridCol w:w="1920"/>
        <w:gridCol w:w="1880"/>
      </w:tblGrid>
      <w:tr w:rsidR="00A3757C" w:rsidRPr="007E663E" w14:paraId="0EEDF10E" w14:textId="77777777" w:rsidTr="00A3757C">
        <w:trPr>
          <w:trHeight w:val="276"/>
        </w:trPr>
        <w:tc>
          <w:tcPr>
            <w:tcW w:w="4520" w:type="dxa"/>
            <w:tcBorders>
              <w:top w:val="single" w:sz="4" w:space="0" w:color="8EA9DB"/>
              <w:left w:val="single" w:sz="4" w:space="0" w:color="8EA9DB"/>
              <w:bottom w:val="single" w:sz="4" w:space="0" w:color="8EA9DB"/>
              <w:right w:val="nil"/>
            </w:tcBorders>
            <w:shd w:val="clear" w:color="4472C4" w:fill="4472C4"/>
            <w:noWrap/>
            <w:vAlign w:val="bottom"/>
            <w:hideMark/>
          </w:tcPr>
          <w:p w14:paraId="1B3C958F" w14:textId="77777777" w:rsidR="00A3757C" w:rsidRPr="007E663E" w:rsidRDefault="00A3757C" w:rsidP="00A3757C">
            <w:pPr>
              <w:spacing w:after="0" w:line="240" w:lineRule="auto"/>
              <w:rPr>
                <w:rFonts w:ascii="Arial" w:eastAsia="Times New Roman" w:hAnsi="Arial" w:cs="Arial"/>
                <w:b/>
                <w:bCs/>
                <w:color w:val="FFFFFF"/>
                <w:lang w:val="es-ES_tradnl"/>
              </w:rPr>
            </w:pPr>
          </w:p>
        </w:tc>
        <w:tc>
          <w:tcPr>
            <w:tcW w:w="1920" w:type="dxa"/>
            <w:tcBorders>
              <w:top w:val="single" w:sz="4" w:space="0" w:color="8EA9DB"/>
              <w:left w:val="nil"/>
              <w:bottom w:val="single" w:sz="4" w:space="0" w:color="8EA9DB"/>
              <w:right w:val="nil"/>
            </w:tcBorders>
            <w:shd w:val="clear" w:color="4472C4" w:fill="4472C4"/>
            <w:noWrap/>
            <w:vAlign w:val="bottom"/>
            <w:hideMark/>
          </w:tcPr>
          <w:p w14:paraId="7E425082" w14:textId="77777777" w:rsidR="00A3757C" w:rsidRPr="007E663E" w:rsidRDefault="00A3757C" w:rsidP="00A3757C">
            <w:pPr>
              <w:spacing w:after="0" w:line="240" w:lineRule="auto"/>
              <w:rPr>
                <w:rFonts w:ascii="Arial" w:eastAsia="Times New Roman" w:hAnsi="Arial" w:cs="Arial"/>
                <w:b/>
                <w:bCs/>
                <w:color w:val="FFFFFF"/>
              </w:rPr>
            </w:pPr>
            <w:r w:rsidRPr="007E663E">
              <w:rPr>
                <w:rFonts w:ascii="Arial" w:eastAsia="Times New Roman" w:hAnsi="Arial" w:cs="Arial"/>
                <w:b/>
                <w:bCs/>
                <w:color w:val="FFFFFF"/>
              </w:rPr>
              <w:t>Urbano</w:t>
            </w:r>
          </w:p>
        </w:tc>
        <w:tc>
          <w:tcPr>
            <w:tcW w:w="1880" w:type="dxa"/>
            <w:tcBorders>
              <w:top w:val="single" w:sz="4" w:space="0" w:color="8EA9DB"/>
              <w:left w:val="nil"/>
              <w:bottom w:val="single" w:sz="4" w:space="0" w:color="8EA9DB"/>
              <w:right w:val="single" w:sz="4" w:space="0" w:color="8EA9DB"/>
            </w:tcBorders>
            <w:shd w:val="clear" w:color="4472C4" w:fill="4472C4"/>
            <w:noWrap/>
            <w:vAlign w:val="bottom"/>
            <w:hideMark/>
          </w:tcPr>
          <w:p w14:paraId="511788F5" w14:textId="77777777" w:rsidR="00A3757C" w:rsidRPr="007E663E" w:rsidRDefault="00A3757C" w:rsidP="00A3757C">
            <w:pPr>
              <w:spacing w:after="0" w:line="240" w:lineRule="auto"/>
              <w:rPr>
                <w:rFonts w:ascii="Arial" w:eastAsia="Times New Roman" w:hAnsi="Arial" w:cs="Arial"/>
                <w:b/>
                <w:bCs/>
                <w:color w:val="FFFFFF"/>
              </w:rPr>
            </w:pPr>
            <w:r w:rsidRPr="007E663E">
              <w:rPr>
                <w:rFonts w:ascii="Arial" w:eastAsia="Times New Roman" w:hAnsi="Arial" w:cs="Arial"/>
                <w:b/>
                <w:bCs/>
                <w:color w:val="FFFFFF"/>
              </w:rPr>
              <w:t>Rural</w:t>
            </w:r>
          </w:p>
        </w:tc>
      </w:tr>
      <w:tr w:rsidR="00A3757C" w:rsidRPr="007E663E" w14:paraId="2563E0AB" w14:textId="77777777" w:rsidTr="00A3757C">
        <w:trPr>
          <w:trHeight w:val="276"/>
        </w:trPr>
        <w:tc>
          <w:tcPr>
            <w:tcW w:w="4520" w:type="dxa"/>
            <w:tcBorders>
              <w:top w:val="single" w:sz="4" w:space="0" w:color="8EA9DB"/>
              <w:left w:val="single" w:sz="4" w:space="0" w:color="8EA9DB"/>
              <w:bottom w:val="single" w:sz="4" w:space="0" w:color="8EA9DB"/>
              <w:right w:val="nil"/>
            </w:tcBorders>
            <w:shd w:val="clear" w:color="D9E1F2" w:fill="D9E1F2"/>
            <w:noWrap/>
            <w:vAlign w:val="bottom"/>
            <w:hideMark/>
          </w:tcPr>
          <w:p w14:paraId="59455597" w14:textId="77777777" w:rsidR="00A3757C" w:rsidRPr="007E663E" w:rsidRDefault="00A3757C" w:rsidP="00A3757C">
            <w:pPr>
              <w:spacing w:after="0" w:line="240" w:lineRule="auto"/>
              <w:rPr>
                <w:rFonts w:ascii="Arial" w:eastAsia="Times New Roman" w:hAnsi="Arial" w:cs="Arial"/>
                <w:color w:val="000000"/>
                <w:lang w:val="es-ES_tradnl"/>
              </w:rPr>
            </w:pPr>
            <w:r w:rsidRPr="007E663E">
              <w:rPr>
                <w:rFonts w:ascii="Arial" w:eastAsia="Times New Roman" w:hAnsi="Arial" w:cs="Arial"/>
                <w:color w:val="000000"/>
                <w:lang w:val="es-ES_tradnl"/>
              </w:rPr>
              <w:t>Beneficio por usuario para obtener DNI</w:t>
            </w:r>
          </w:p>
        </w:tc>
        <w:tc>
          <w:tcPr>
            <w:tcW w:w="1920" w:type="dxa"/>
            <w:tcBorders>
              <w:top w:val="single" w:sz="4" w:space="0" w:color="8EA9DB"/>
              <w:left w:val="nil"/>
              <w:bottom w:val="single" w:sz="4" w:space="0" w:color="8EA9DB"/>
              <w:right w:val="nil"/>
            </w:tcBorders>
            <w:shd w:val="clear" w:color="D9E1F2" w:fill="D9E1F2"/>
            <w:noWrap/>
            <w:vAlign w:val="bottom"/>
            <w:hideMark/>
          </w:tcPr>
          <w:p w14:paraId="53F161D6" w14:textId="77777777" w:rsidR="00A3757C" w:rsidRPr="007E663E" w:rsidRDefault="00A3757C" w:rsidP="00A3757C">
            <w:pPr>
              <w:spacing w:after="0" w:line="240" w:lineRule="auto"/>
              <w:jc w:val="right"/>
              <w:rPr>
                <w:rFonts w:ascii="Arial" w:eastAsia="Times New Roman" w:hAnsi="Arial" w:cs="Arial"/>
                <w:color w:val="000000"/>
              </w:rPr>
            </w:pPr>
            <w:r w:rsidRPr="007E663E">
              <w:rPr>
                <w:rFonts w:ascii="Arial" w:eastAsia="Times New Roman" w:hAnsi="Arial" w:cs="Arial"/>
                <w:color w:val="000000"/>
              </w:rPr>
              <w:t>10.54</w:t>
            </w:r>
          </w:p>
        </w:tc>
        <w:tc>
          <w:tcPr>
            <w:tcW w:w="1880" w:type="dxa"/>
            <w:tcBorders>
              <w:top w:val="single" w:sz="4" w:space="0" w:color="8EA9DB"/>
              <w:left w:val="nil"/>
              <w:bottom w:val="single" w:sz="4" w:space="0" w:color="8EA9DB"/>
              <w:right w:val="single" w:sz="4" w:space="0" w:color="8EA9DB"/>
            </w:tcBorders>
            <w:shd w:val="clear" w:color="D9E1F2" w:fill="D9E1F2"/>
            <w:noWrap/>
            <w:vAlign w:val="bottom"/>
            <w:hideMark/>
          </w:tcPr>
          <w:p w14:paraId="6E4342BB" w14:textId="77777777" w:rsidR="00A3757C" w:rsidRPr="007E663E" w:rsidRDefault="00A3757C" w:rsidP="00A3757C">
            <w:pPr>
              <w:spacing w:after="0" w:line="240" w:lineRule="auto"/>
              <w:jc w:val="right"/>
              <w:rPr>
                <w:rFonts w:ascii="Arial" w:eastAsia="Times New Roman" w:hAnsi="Arial" w:cs="Arial"/>
                <w:color w:val="000000"/>
              </w:rPr>
            </w:pPr>
            <w:r w:rsidRPr="007E663E">
              <w:rPr>
                <w:rFonts w:ascii="Arial" w:eastAsia="Times New Roman" w:hAnsi="Arial" w:cs="Arial"/>
                <w:color w:val="000000"/>
              </w:rPr>
              <w:t>11.42</w:t>
            </w:r>
          </w:p>
        </w:tc>
      </w:tr>
    </w:tbl>
    <w:p w14:paraId="03AEC6C8" w14:textId="77777777" w:rsidR="006A37E3" w:rsidRPr="007E663E" w:rsidRDefault="006A37E3" w:rsidP="006A37E3">
      <w:pPr>
        <w:pStyle w:val="Vieta"/>
        <w:numPr>
          <w:ilvl w:val="0"/>
          <w:numId w:val="0"/>
        </w:numPr>
        <w:spacing w:line="240" w:lineRule="auto"/>
        <w:rPr>
          <w:rFonts w:ascii="Arial" w:hAnsi="Arial" w:cs="Arial"/>
          <w:lang w:val="es-ES_tradnl"/>
        </w:rPr>
      </w:pPr>
    </w:p>
    <w:p w14:paraId="630CA525" w14:textId="77777777" w:rsidR="002B5307" w:rsidRDefault="002B5307" w:rsidP="002B5307">
      <w:pPr>
        <w:pStyle w:val="Vieta"/>
        <w:numPr>
          <w:ilvl w:val="0"/>
          <w:numId w:val="0"/>
        </w:numPr>
        <w:spacing w:line="240" w:lineRule="auto"/>
        <w:rPr>
          <w:rFonts w:ascii="Arial" w:hAnsi="Arial" w:cs="Arial"/>
          <w:lang w:val="es-ES_tradnl"/>
        </w:rPr>
      </w:pPr>
    </w:p>
    <w:p w14:paraId="77286902"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Para la agregación de beneficios se hacen supuestos sobre el flujo de la demanda por nuevos DNI. Vale la pena recordar que en Perú existen dos tipos de solicitantes de DNI: unos son los recién nacidos que son enrolados al sistema de registro e identidad simultáneamente, y los otros son los solicitantes de 17 años. El flujo de nuevos usuarios se presenta a continuación</w:t>
      </w:r>
    </w:p>
    <w:p w14:paraId="6451797F" w14:textId="77777777" w:rsidR="00A3757C" w:rsidRPr="00DD36CC" w:rsidRDefault="00A3757C" w:rsidP="006A37E3">
      <w:pPr>
        <w:pStyle w:val="Vieta"/>
        <w:numPr>
          <w:ilvl w:val="0"/>
          <w:numId w:val="0"/>
        </w:numPr>
        <w:spacing w:line="240" w:lineRule="auto"/>
        <w:rPr>
          <w:rFonts w:ascii="Arial" w:hAnsi="Arial" w:cs="Arial"/>
          <w:b/>
          <w:sz w:val="20"/>
          <w:lang w:val="es-ES_tradnl"/>
        </w:rPr>
      </w:pPr>
    </w:p>
    <w:p w14:paraId="24AEDC13" w14:textId="77777777" w:rsidR="00F72EE9" w:rsidRPr="007E663E" w:rsidRDefault="00032087" w:rsidP="00F72EE9">
      <w:pPr>
        <w:pStyle w:val="Vieta"/>
        <w:numPr>
          <w:ilvl w:val="0"/>
          <w:numId w:val="0"/>
        </w:numPr>
        <w:spacing w:line="240" w:lineRule="auto"/>
        <w:jc w:val="center"/>
        <w:rPr>
          <w:rFonts w:ascii="Arial" w:hAnsi="Arial" w:cs="Arial"/>
          <w:lang w:val="es-ES_tradnl"/>
        </w:rPr>
      </w:pPr>
      <w:r w:rsidRPr="00DD36CC">
        <w:rPr>
          <w:rFonts w:ascii="Arial" w:hAnsi="Arial" w:cs="Arial"/>
          <w:b/>
          <w:sz w:val="20"/>
          <w:lang w:val="es-ES_tradnl"/>
        </w:rPr>
        <w:t xml:space="preserve"> Tabla 2</w:t>
      </w:r>
      <w:r w:rsidR="00943CDD" w:rsidRPr="00DD36CC">
        <w:rPr>
          <w:rFonts w:ascii="Arial" w:hAnsi="Arial" w:cs="Arial"/>
          <w:b/>
          <w:sz w:val="20"/>
          <w:lang w:val="es-ES_tradnl"/>
        </w:rPr>
        <w:t xml:space="preserve">. </w:t>
      </w:r>
      <w:r w:rsidR="00F72EE9" w:rsidRPr="00DD36CC">
        <w:rPr>
          <w:rFonts w:ascii="Arial" w:hAnsi="Arial" w:cs="Arial"/>
          <w:b/>
          <w:sz w:val="20"/>
          <w:lang w:val="es-ES_tradnl"/>
        </w:rPr>
        <w:t>Flujo de demanda por nuevos DNI</w:t>
      </w:r>
      <w:r w:rsidR="00797A96" w:rsidRPr="007E663E">
        <w:rPr>
          <w:rFonts w:ascii="Arial" w:hAnsi="Arial" w:cs="Arial"/>
          <w:noProof/>
          <w:lang w:val="en-US"/>
        </w:rPr>
        <w:drawing>
          <wp:inline distT="0" distB="0" distL="0" distR="0" wp14:anchorId="56D3113F" wp14:editId="7A4971CE">
            <wp:extent cx="5274945" cy="640715"/>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945" cy="640715"/>
                    </a:xfrm>
                    <a:prstGeom prst="rect">
                      <a:avLst/>
                    </a:prstGeom>
                    <a:noFill/>
                    <a:ln>
                      <a:noFill/>
                    </a:ln>
                  </pic:spPr>
                </pic:pic>
              </a:graphicData>
            </a:graphic>
          </wp:inline>
        </w:drawing>
      </w:r>
    </w:p>
    <w:p w14:paraId="633D7DB2" w14:textId="77777777" w:rsidR="00A3757C" w:rsidRPr="00DD36CC" w:rsidRDefault="00F72EE9" w:rsidP="00DD36CC">
      <w:pPr>
        <w:pStyle w:val="Vieta"/>
        <w:numPr>
          <w:ilvl w:val="0"/>
          <w:numId w:val="0"/>
        </w:numPr>
        <w:spacing w:line="240" w:lineRule="auto"/>
        <w:rPr>
          <w:rFonts w:ascii="Arial" w:hAnsi="Arial" w:cs="Arial"/>
          <w:sz w:val="20"/>
          <w:lang w:val="es-ES_tradnl"/>
        </w:rPr>
      </w:pPr>
      <w:r w:rsidRPr="00DD36CC">
        <w:rPr>
          <w:rFonts w:ascii="Arial" w:hAnsi="Arial" w:cs="Arial"/>
          <w:sz w:val="20"/>
          <w:lang w:val="es-ES_tradnl"/>
        </w:rPr>
        <w:t>Fuente estudio factibilidad RENIEC</w:t>
      </w:r>
    </w:p>
    <w:p w14:paraId="490C09BA" w14:textId="77777777" w:rsidR="002C5257" w:rsidRPr="007E663E" w:rsidRDefault="002C5257" w:rsidP="006A37E3">
      <w:pPr>
        <w:pStyle w:val="Vieta"/>
        <w:numPr>
          <w:ilvl w:val="0"/>
          <w:numId w:val="0"/>
        </w:numPr>
        <w:spacing w:line="240" w:lineRule="auto"/>
        <w:rPr>
          <w:rFonts w:ascii="Arial" w:hAnsi="Arial" w:cs="Arial"/>
          <w:lang w:val="es-ES_tradnl"/>
        </w:rPr>
      </w:pPr>
    </w:p>
    <w:p w14:paraId="6DDE0C45" w14:textId="77777777" w:rsidR="00E87496" w:rsidRPr="007E663E" w:rsidRDefault="00E87496" w:rsidP="006A37E3">
      <w:pPr>
        <w:pStyle w:val="Vieta"/>
        <w:numPr>
          <w:ilvl w:val="0"/>
          <w:numId w:val="0"/>
        </w:numPr>
        <w:spacing w:line="240" w:lineRule="auto"/>
        <w:rPr>
          <w:rFonts w:ascii="Arial" w:hAnsi="Arial" w:cs="Arial"/>
          <w:i/>
          <w:lang w:val="es-ES_tradnl"/>
        </w:rPr>
      </w:pPr>
      <w:r w:rsidRPr="007E663E">
        <w:rPr>
          <w:rFonts w:ascii="Arial" w:hAnsi="Arial" w:cs="Arial"/>
          <w:i/>
          <w:lang w:val="es-ES_tradnl"/>
        </w:rPr>
        <w:t xml:space="preserve">Segundo beneficio: </w:t>
      </w:r>
      <w:r w:rsidR="00D56A4E" w:rsidRPr="007E663E">
        <w:rPr>
          <w:rFonts w:ascii="Arial" w:hAnsi="Arial" w:cs="Arial"/>
          <w:i/>
          <w:lang w:val="es-ES_tradnl"/>
        </w:rPr>
        <w:t xml:space="preserve">ahorro de tiempo y costos de traslado por la digitalización </w:t>
      </w:r>
      <w:r w:rsidR="00DA4F0E" w:rsidRPr="007E663E">
        <w:rPr>
          <w:rFonts w:ascii="Arial" w:hAnsi="Arial" w:cs="Arial"/>
          <w:i/>
          <w:lang w:val="es-ES_tradnl"/>
        </w:rPr>
        <w:t>de actas</w:t>
      </w:r>
    </w:p>
    <w:p w14:paraId="7A899BE3" w14:textId="77777777" w:rsidR="00E87496" w:rsidRPr="007E663E" w:rsidRDefault="00E87496" w:rsidP="006A37E3">
      <w:pPr>
        <w:pStyle w:val="Vieta"/>
        <w:numPr>
          <w:ilvl w:val="0"/>
          <w:numId w:val="0"/>
        </w:numPr>
        <w:spacing w:line="240" w:lineRule="auto"/>
        <w:rPr>
          <w:rFonts w:ascii="Arial" w:hAnsi="Arial" w:cs="Arial"/>
          <w:i/>
          <w:lang w:val="es-ES_tradnl"/>
        </w:rPr>
      </w:pPr>
    </w:p>
    <w:p w14:paraId="0C2E582B" w14:textId="77777777" w:rsidR="00F72EE9" w:rsidRDefault="002C5257" w:rsidP="009A6118">
      <w:pPr>
        <w:pStyle w:val="Vieta"/>
        <w:numPr>
          <w:ilvl w:val="0"/>
          <w:numId w:val="0"/>
        </w:numPr>
        <w:spacing w:line="240" w:lineRule="auto"/>
        <w:rPr>
          <w:rFonts w:ascii="Arial" w:hAnsi="Arial" w:cs="Arial"/>
          <w:lang w:val="es-ES_tradnl"/>
        </w:rPr>
      </w:pPr>
      <w:r w:rsidRPr="007E663E">
        <w:rPr>
          <w:rFonts w:ascii="Arial" w:hAnsi="Arial" w:cs="Arial"/>
          <w:lang w:val="es-ES_tradnl"/>
        </w:rPr>
        <w:t>Los supuestos para</w:t>
      </w:r>
      <w:r w:rsidR="00F72EE9" w:rsidRPr="007E663E">
        <w:rPr>
          <w:rFonts w:ascii="Arial" w:hAnsi="Arial" w:cs="Arial"/>
          <w:lang w:val="es-ES_tradnl"/>
        </w:rPr>
        <w:t xml:space="preserve"> el cálculo del s</w:t>
      </w:r>
      <w:r w:rsidR="0069696F" w:rsidRPr="007E663E">
        <w:rPr>
          <w:rFonts w:ascii="Arial" w:hAnsi="Arial" w:cs="Arial"/>
          <w:lang w:val="es-ES_tradnl"/>
        </w:rPr>
        <w:t>egundo beneficio asociado con</w:t>
      </w:r>
      <w:r w:rsidRPr="007E663E">
        <w:rPr>
          <w:rFonts w:ascii="Arial" w:hAnsi="Arial" w:cs="Arial"/>
          <w:lang w:val="es-ES_tradnl"/>
        </w:rPr>
        <w:t xml:space="preserve"> el indicador de resultado de </w:t>
      </w:r>
      <w:r w:rsidR="0069696F" w:rsidRPr="007E663E">
        <w:rPr>
          <w:rFonts w:ascii="Arial" w:hAnsi="Arial" w:cs="Arial"/>
          <w:lang w:val="es-ES_tradnl"/>
        </w:rPr>
        <w:t>la digitalización de actas registrales</w:t>
      </w:r>
      <w:r w:rsidR="009A6118">
        <w:rPr>
          <w:rFonts w:ascii="Arial" w:hAnsi="Arial" w:cs="Arial"/>
          <w:lang w:val="es-ES_tradnl"/>
        </w:rPr>
        <w:t xml:space="preserve"> que en la matriz de resultados se refiere al indicador </w:t>
      </w:r>
      <w:r w:rsidR="009A6118" w:rsidRPr="009A6118">
        <w:rPr>
          <w:rFonts w:ascii="Arial" w:hAnsi="Arial" w:cs="Arial"/>
          <w:i/>
          <w:lang w:val="es-ES_tradnl"/>
        </w:rPr>
        <w:t>“Costo de transacción anual, agregado, para la obtención de copia certificada para migrantes internos”</w:t>
      </w:r>
      <w:r w:rsidR="0069696F" w:rsidRPr="009A6118">
        <w:rPr>
          <w:rFonts w:ascii="Arial" w:hAnsi="Arial" w:cs="Arial"/>
          <w:lang w:val="es-ES_tradnl"/>
        </w:rPr>
        <w:t xml:space="preserve"> </w:t>
      </w:r>
      <w:r w:rsidR="0069696F" w:rsidRPr="007E663E">
        <w:rPr>
          <w:rFonts w:ascii="Arial" w:hAnsi="Arial" w:cs="Arial"/>
          <w:lang w:val="es-ES_tradnl"/>
        </w:rPr>
        <w:t xml:space="preserve">se presentan </w:t>
      </w:r>
      <w:r w:rsidRPr="007E663E">
        <w:rPr>
          <w:rFonts w:ascii="Arial" w:hAnsi="Arial" w:cs="Arial"/>
          <w:lang w:val="es-ES_tradnl"/>
        </w:rPr>
        <w:t>en la tabla 3</w:t>
      </w:r>
      <w:r w:rsidR="00943CDD" w:rsidRPr="007E663E">
        <w:rPr>
          <w:rFonts w:ascii="Arial" w:hAnsi="Arial" w:cs="Arial"/>
          <w:lang w:val="es-ES_tradnl"/>
        </w:rPr>
        <w:t>.</w:t>
      </w:r>
      <w:r w:rsidR="00CA7F25" w:rsidRPr="007E663E">
        <w:rPr>
          <w:rFonts w:ascii="Arial" w:hAnsi="Arial" w:cs="Arial"/>
          <w:lang w:val="es-ES_tradnl"/>
        </w:rPr>
        <w:t xml:space="preserve"> </w:t>
      </w:r>
      <w:r w:rsidR="009A6118">
        <w:rPr>
          <w:rFonts w:ascii="Arial" w:hAnsi="Arial" w:cs="Arial"/>
          <w:lang w:val="es-ES_tradnl"/>
        </w:rPr>
        <w:t>De la misma forma como se presentó el primer beneficio,</w:t>
      </w:r>
      <w:r w:rsidR="005742FA">
        <w:rPr>
          <w:rFonts w:ascii="Arial" w:hAnsi="Arial" w:cs="Arial"/>
          <w:lang w:val="es-ES_tradnl"/>
        </w:rPr>
        <w:t xml:space="preserve"> el indicador de resultado se encuentra agregado en la matriz de resultados, mientras que en el análisis económico se</w:t>
      </w:r>
      <w:r w:rsidR="009A6118">
        <w:rPr>
          <w:rFonts w:ascii="Arial" w:hAnsi="Arial" w:cs="Arial"/>
          <w:lang w:val="es-ES_tradnl"/>
        </w:rPr>
        <w:t xml:space="preserve"> presenta a nivel individual</w:t>
      </w:r>
      <w:r w:rsidR="005742FA">
        <w:rPr>
          <w:rFonts w:ascii="Arial" w:hAnsi="Arial" w:cs="Arial"/>
          <w:lang w:val="es-ES_tradnl"/>
        </w:rPr>
        <w:t>. Aquí el beneficio se deriva principalmente del ahorro en viajes a la</w:t>
      </w:r>
      <w:r w:rsidR="00CA7F25" w:rsidRPr="007E663E">
        <w:rPr>
          <w:rFonts w:ascii="Arial" w:hAnsi="Arial" w:cs="Arial"/>
          <w:lang w:val="es-ES_tradnl"/>
        </w:rPr>
        <w:t xml:space="preserve"> ci</w:t>
      </w:r>
      <w:r w:rsidR="005742FA">
        <w:rPr>
          <w:rFonts w:ascii="Arial" w:hAnsi="Arial" w:cs="Arial"/>
          <w:lang w:val="es-ES_tradnl"/>
        </w:rPr>
        <w:t xml:space="preserve">udad de origen para solicitar copias de </w:t>
      </w:r>
      <w:r w:rsidR="00CA7F25" w:rsidRPr="007E663E">
        <w:rPr>
          <w:rFonts w:ascii="Arial" w:hAnsi="Arial" w:cs="Arial"/>
          <w:lang w:val="es-ES_tradnl"/>
        </w:rPr>
        <w:t>acta</w:t>
      </w:r>
      <w:r w:rsidR="005742FA">
        <w:rPr>
          <w:rFonts w:ascii="Arial" w:hAnsi="Arial" w:cs="Arial"/>
          <w:lang w:val="es-ES_tradnl"/>
        </w:rPr>
        <w:t>s registrales</w:t>
      </w:r>
      <w:r w:rsidR="00CA7F25" w:rsidRPr="007E663E">
        <w:rPr>
          <w:rFonts w:ascii="Arial" w:hAnsi="Arial" w:cs="Arial"/>
          <w:lang w:val="es-ES_tradnl"/>
        </w:rPr>
        <w:t>,</w:t>
      </w:r>
      <w:r w:rsidR="005742FA">
        <w:rPr>
          <w:rFonts w:ascii="Arial" w:hAnsi="Arial" w:cs="Arial"/>
          <w:lang w:val="es-ES_tradnl"/>
        </w:rPr>
        <w:t xml:space="preserve"> con el proyecto, e</w:t>
      </w:r>
      <w:r w:rsidR="00CA7F25" w:rsidRPr="007E663E">
        <w:rPr>
          <w:rFonts w:ascii="Arial" w:hAnsi="Arial" w:cs="Arial"/>
          <w:lang w:val="es-ES_tradnl"/>
        </w:rPr>
        <w:t xml:space="preserve">l ciudadano </w:t>
      </w:r>
      <w:r w:rsidR="005742FA">
        <w:rPr>
          <w:rFonts w:ascii="Arial" w:hAnsi="Arial" w:cs="Arial"/>
          <w:lang w:val="es-ES_tradnl"/>
        </w:rPr>
        <w:t>que migró de su ciudad de origen p</w:t>
      </w:r>
      <w:r w:rsidR="00CA7F25" w:rsidRPr="007E663E">
        <w:rPr>
          <w:rFonts w:ascii="Arial" w:hAnsi="Arial" w:cs="Arial"/>
          <w:lang w:val="es-ES_tradnl"/>
        </w:rPr>
        <w:t xml:space="preserve">odrá solicitar desde cualquier punto de atención del RENIEC. </w:t>
      </w:r>
      <w:r w:rsidR="005B2F80" w:rsidRPr="007E663E">
        <w:rPr>
          <w:rFonts w:ascii="Arial" w:hAnsi="Arial" w:cs="Arial"/>
          <w:lang w:val="es-ES_tradnl"/>
        </w:rPr>
        <w:t xml:space="preserve">Adicionalmente, al tener el acta digitalizada, el tiempo de atención se verá disminuido. </w:t>
      </w:r>
    </w:p>
    <w:p w14:paraId="68F9111B" w14:textId="77777777" w:rsidR="00532251" w:rsidRPr="007E663E" w:rsidRDefault="00532251" w:rsidP="006A37E3">
      <w:pPr>
        <w:pStyle w:val="Vieta"/>
        <w:numPr>
          <w:ilvl w:val="0"/>
          <w:numId w:val="0"/>
        </w:numPr>
        <w:spacing w:line="240" w:lineRule="auto"/>
        <w:rPr>
          <w:rFonts w:ascii="Arial" w:hAnsi="Arial" w:cs="Arial"/>
          <w:lang w:val="es-ES_tradnl"/>
        </w:rPr>
      </w:pPr>
    </w:p>
    <w:p w14:paraId="36122E72" w14:textId="77777777" w:rsidR="00532251" w:rsidRPr="00DD36CC" w:rsidRDefault="00797A96" w:rsidP="00032087">
      <w:pPr>
        <w:pStyle w:val="Vieta"/>
        <w:numPr>
          <w:ilvl w:val="0"/>
          <w:numId w:val="0"/>
        </w:numPr>
        <w:spacing w:line="240" w:lineRule="auto"/>
        <w:jc w:val="center"/>
        <w:rPr>
          <w:rFonts w:ascii="Arial" w:hAnsi="Arial" w:cs="Arial"/>
          <w:b/>
          <w:sz w:val="20"/>
          <w:lang w:val="es-ES_tradnl"/>
        </w:rPr>
      </w:pPr>
      <w:r w:rsidRPr="007E663E">
        <w:rPr>
          <w:rFonts w:ascii="Arial" w:hAnsi="Arial" w:cs="Arial"/>
          <w:lang w:val="es-ES_tradnl"/>
        </w:rPr>
        <w:t xml:space="preserve"> </w:t>
      </w:r>
      <w:r w:rsidRPr="00DD36CC">
        <w:rPr>
          <w:rFonts w:ascii="Arial" w:hAnsi="Arial" w:cs="Arial"/>
          <w:b/>
          <w:sz w:val="20"/>
          <w:lang w:val="es-ES_tradnl"/>
        </w:rPr>
        <w:t>Tabla 3</w:t>
      </w:r>
      <w:r w:rsidR="00943CDD" w:rsidRPr="00DD36CC">
        <w:rPr>
          <w:rFonts w:ascii="Arial" w:hAnsi="Arial" w:cs="Arial"/>
          <w:b/>
          <w:sz w:val="20"/>
          <w:lang w:val="es-ES_tradnl"/>
        </w:rPr>
        <w:t>.</w:t>
      </w:r>
      <w:r w:rsidRPr="00DD36CC">
        <w:rPr>
          <w:rFonts w:ascii="Arial" w:hAnsi="Arial" w:cs="Arial"/>
          <w:b/>
          <w:sz w:val="20"/>
          <w:lang w:val="es-ES_tradnl"/>
        </w:rPr>
        <w:t xml:space="preserve"> </w:t>
      </w:r>
      <w:r w:rsidR="00532251" w:rsidRPr="00DD36CC">
        <w:rPr>
          <w:rFonts w:ascii="Arial" w:hAnsi="Arial" w:cs="Arial"/>
          <w:b/>
          <w:sz w:val="20"/>
          <w:lang w:val="es-ES_tradnl"/>
        </w:rPr>
        <w:t xml:space="preserve">Costos asociados a obtener una copia </w:t>
      </w:r>
      <w:r w:rsidR="00032087" w:rsidRPr="00DD36CC">
        <w:rPr>
          <w:rFonts w:ascii="Arial" w:hAnsi="Arial" w:cs="Arial"/>
          <w:b/>
          <w:sz w:val="20"/>
          <w:lang w:val="es-ES_tradnl"/>
        </w:rPr>
        <w:t>registral certificada</w:t>
      </w:r>
    </w:p>
    <w:tbl>
      <w:tblPr>
        <w:tblW w:w="6060" w:type="dxa"/>
        <w:jc w:val="center"/>
        <w:tblLook w:val="04A0" w:firstRow="1" w:lastRow="0" w:firstColumn="1" w:lastColumn="0" w:noHBand="0" w:noVBand="1"/>
      </w:tblPr>
      <w:tblGrid>
        <w:gridCol w:w="1820"/>
        <w:gridCol w:w="1205"/>
        <w:gridCol w:w="915"/>
        <w:gridCol w:w="1205"/>
        <w:gridCol w:w="915"/>
      </w:tblGrid>
      <w:tr w:rsidR="00532251" w:rsidRPr="007E663E" w14:paraId="5D6E701E" w14:textId="77777777" w:rsidTr="00532251">
        <w:trPr>
          <w:trHeight w:val="276"/>
          <w:jc w:val="center"/>
        </w:trPr>
        <w:tc>
          <w:tcPr>
            <w:tcW w:w="1820" w:type="dxa"/>
            <w:tcBorders>
              <w:top w:val="nil"/>
              <w:left w:val="nil"/>
              <w:bottom w:val="nil"/>
              <w:right w:val="nil"/>
            </w:tcBorders>
            <w:shd w:val="clear" w:color="000000" w:fill="4472C4"/>
            <w:noWrap/>
            <w:vAlign w:val="bottom"/>
            <w:hideMark/>
          </w:tcPr>
          <w:p w14:paraId="728CABFE" w14:textId="77777777" w:rsidR="00532251" w:rsidRPr="007E663E" w:rsidRDefault="00532251" w:rsidP="00532251">
            <w:pPr>
              <w:spacing w:after="0" w:line="240" w:lineRule="auto"/>
              <w:rPr>
                <w:rFonts w:ascii="Arial" w:eastAsia="Times New Roman" w:hAnsi="Arial" w:cs="Arial"/>
                <w:b/>
                <w:bCs/>
                <w:color w:val="FFFFFF"/>
                <w:lang w:val="es-ES_tradnl"/>
              </w:rPr>
            </w:pPr>
            <w:r w:rsidRPr="007E663E">
              <w:rPr>
                <w:rFonts w:ascii="Arial" w:eastAsia="Times New Roman" w:hAnsi="Arial" w:cs="Arial"/>
                <w:b/>
                <w:bCs/>
                <w:color w:val="FFFFFF"/>
                <w:lang w:val="es-ES_tradnl"/>
              </w:rPr>
              <w:t> </w:t>
            </w:r>
          </w:p>
        </w:tc>
        <w:tc>
          <w:tcPr>
            <w:tcW w:w="2120" w:type="dxa"/>
            <w:gridSpan w:val="2"/>
            <w:tcBorders>
              <w:top w:val="nil"/>
              <w:left w:val="nil"/>
              <w:bottom w:val="single" w:sz="4" w:space="0" w:color="8EA9DB"/>
              <w:right w:val="nil"/>
            </w:tcBorders>
            <w:shd w:val="clear" w:color="000000" w:fill="4472C4"/>
            <w:noWrap/>
            <w:vAlign w:val="bottom"/>
            <w:hideMark/>
          </w:tcPr>
          <w:p w14:paraId="19AF34A6" w14:textId="77777777" w:rsidR="00532251" w:rsidRPr="007E663E" w:rsidRDefault="00532251" w:rsidP="00532251">
            <w:pPr>
              <w:spacing w:after="0" w:line="240" w:lineRule="auto"/>
              <w:jc w:val="center"/>
              <w:rPr>
                <w:rFonts w:ascii="Arial" w:eastAsia="Times New Roman" w:hAnsi="Arial" w:cs="Arial"/>
                <w:b/>
                <w:bCs/>
                <w:color w:val="FFFFFF"/>
                <w:lang w:val="es-CO"/>
              </w:rPr>
            </w:pPr>
            <w:r w:rsidRPr="007E663E">
              <w:rPr>
                <w:rFonts w:ascii="Arial" w:eastAsia="Times New Roman" w:hAnsi="Arial" w:cs="Arial"/>
                <w:b/>
                <w:bCs/>
                <w:color w:val="FFFFFF"/>
                <w:lang w:val="es-CO"/>
              </w:rPr>
              <w:t>Sin Proyecto</w:t>
            </w:r>
          </w:p>
        </w:tc>
        <w:tc>
          <w:tcPr>
            <w:tcW w:w="2120" w:type="dxa"/>
            <w:gridSpan w:val="2"/>
            <w:tcBorders>
              <w:top w:val="nil"/>
              <w:left w:val="nil"/>
              <w:bottom w:val="single" w:sz="4" w:space="0" w:color="8EA9DB"/>
              <w:right w:val="nil"/>
            </w:tcBorders>
            <w:shd w:val="clear" w:color="000000" w:fill="4472C4"/>
            <w:noWrap/>
            <w:vAlign w:val="bottom"/>
            <w:hideMark/>
          </w:tcPr>
          <w:p w14:paraId="71838411" w14:textId="77777777" w:rsidR="00532251" w:rsidRPr="007E663E" w:rsidRDefault="00532251" w:rsidP="00532251">
            <w:pPr>
              <w:spacing w:after="0" w:line="240" w:lineRule="auto"/>
              <w:jc w:val="center"/>
              <w:rPr>
                <w:rFonts w:ascii="Arial" w:eastAsia="Times New Roman" w:hAnsi="Arial" w:cs="Arial"/>
                <w:b/>
                <w:bCs/>
                <w:color w:val="FFFFFF"/>
                <w:lang w:val="es-CO"/>
              </w:rPr>
            </w:pPr>
            <w:r w:rsidRPr="007E663E">
              <w:rPr>
                <w:rFonts w:ascii="Arial" w:eastAsia="Times New Roman" w:hAnsi="Arial" w:cs="Arial"/>
                <w:b/>
                <w:bCs/>
                <w:color w:val="FFFFFF"/>
                <w:lang w:val="es-CO"/>
              </w:rPr>
              <w:t>con Proyecto</w:t>
            </w:r>
          </w:p>
        </w:tc>
      </w:tr>
      <w:tr w:rsidR="00532251" w:rsidRPr="007E663E" w14:paraId="4366104F" w14:textId="77777777" w:rsidTr="00532251">
        <w:trPr>
          <w:trHeight w:val="276"/>
          <w:jc w:val="center"/>
        </w:trPr>
        <w:tc>
          <w:tcPr>
            <w:tcW w:w="1820" w:type="dxa"/>
            <w:tcBorders>
              <w:top w:val="single" w:sz="4" w:space="0" w:color="8EA9DB"/>
              <w:left w:val="single" w:sz="4" w:space="0" w:color="8EA9DB"/>
              <w:bottom w:val="single" w:sz="4" w:space="0" w:color="8EA9DB"/>
              <w:right w:val="nil"/>
            </w:tcBorders>
            <w:shd w:val="clear" w:color="D9E1F2" w:fill="D9E1F2"/>
            <w:noWrap/>
            <w:vAlign w:val="bottom"/>
            <w:hideMark/>
          </w:tcPr>
          <w:p w14:paraId="70D0171F"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 xml:space="preserve"> Variable </w:t>
            </w:r>
          </w:p>
        </w:tc>
        <w:tc>
          <w:tcPr>
            <w:tcW w:w="1205" w:type="dxa"/>
            <w:tcBorders>
              <w:top w:val="nil"/>
              <w:left w:val="nil"/>
              <w:bottom w:val="single" w:sz="4" w:space="0" w:color="8EA9DB"/>
              <w:right w:val="nil"/>
            </w:tcBorders>
            <w:shd w:val="clear" w:color="D9E1F2" w:fill="D9E1F2"/>
            <w:noWrap/>
            <w:vAlign w:val="bottom"/>
            <w:hideMark/>
          </w:tcPr>
          <w:p w14:paraId="7A13F380"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 xml:space="preserve"> Urbano </w:t>
            </w:r>
          </w:p>
        </w:tc>
        <w:tc>
          <w:tcPr>
            <w:tcW w:w="915" w:type="dxa"/>
            <w:tcBorders>
              <w:top w:val="nil"/>
              <w:left w:val="nil"/>
              <w:bottom w:val="single" w:sz="4" w:space="0" w:color="8EA9DB"/>
              <w:right w:val="nil"/>
            </w:tcBorders>
            <w:shd w:val="clear" w:color="D9E1F2" w:fill="D9E1F2"/>
            <w:noWrap/>
            <w:vAlign w:val="bottom"/>
            <w:hideMark/>
          </w:tcPr>
          <w:p w14:paraId="6A715D6C"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 xml:space="preserve"> Rural </w:t>
            </w:r>
          </w:p>
        </w:tc>
        <w:tc>
          <w:tcPr>
            <w:tcW w:w="1205" w:type="dxa"/>
            <w:tcBorders>
              <w:top w:val="nil"/>
              <w:left w:val="nil"/>
              <w:bottom w:val="single" w:sz="4" w:space="0" w:color="8EA9DB"/>
              <w:right w:val="nil"/>
            </w:tcBorders>
            <w:shd w:val="clear" w:color="D9E1F2" w:fill="D9E1F2"/>
            <w:noWrap/>
            <w:vAlign w:val="bottom"/>
            <w:hideMark/>
          </w:tcPr>
          <w:p w14:paraId="1A19F60B"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 xml:space="preserve"> Urbano </w:t>
            </w:r>
          </w:p>
        </w:tc>
        <w:tc>
          <w:tcPr>
            <w:tcW w:w="915" w:type="dxa"/>
            <w:tcBorders>
              <w:top w:val="nil"/>
              <w:left w:val="nil"/>
              <w:bottom w:val="single" w:sz="4" w:space="0" w:color="8EA9DB"/>
              <w:right w:val="single" w:sz="4" w:space="0" w:color="8EA9DB"/>
            </w:tcBorders>
            <w:shd w:val="clear" w:color="D9E1F2" w:fill="D9E1F2"/>
            <w:noWrap/>
            <w:vAlign w:val="bottom"/>
            <w:hideMark/>
          </w:tcPr>
          <w:p w14:paraId="7100B67F"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 xml:space="preserve"> Rural </w:t>
            </w:r>
          </w:p>
        </w:tc>
      </w:tr>
      <w:tr w:rsidR="00532251" w:rsidRPr="007E663E" w14:paraId="6DB80C3C" w14:textId="77777777" w:rsidTr="00532251">
        <w:trPr>
          <w:trHeight w:val="552"/>
          <w:jc w:val="center"/>
        </w:trPr>
        <w:tc>
          <w:tcPr>
            <w:tcW w:w="1820" w:type="dxa"/>
            <w:tcBorders>
              <w:top w:val="nil"/>
              <w:left w:val="single" w:sz="4" w:space="0" w:color="8EA9DB"/>
              <w:bottom w:val="single" w:sz="4" w:space="0" w:color="8EA9DB"/>
              <w:right w:val="nil"/>
            </w:tcBorders>
            <w:shd w:val="clear" w:color="auto" w:fill="auto"/>
            <w:vAlign w:val="bottom"/>
            <w:hideMark/>
          </w:tcPr>
          <w:p w14:paraId="3D8C8F60"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Cantidad de visitas</w:t>
            </w:r>
          </w:p>
        </w:tc>
        <w:tc>
          <w:tcPr>
            <w:tcW w:w="1205" w:type="dxa"/>
            <w:tcBorders>
              <w:top w:val="nil"/>
              <w:left w:val="nil"/>
              <w:bottom w:val="single" w:sz="4" w:space="0" w:color="8EA9DB"/>
              <w:right w:val="nil"/>
            </w:tcBorders>
            <w:shd w:val="clear" w:color="auto" w:fill="auto"/>
            <w:noWrap/>
            <w:vAlign w:val="bottom"/>
            <w:hideMark/>
          </w:tcPr>
          <w:p w14:paraId="54652632" w14:textId="77777777" w:rsidR="00532251" w:rsidRPr="007E663E" w:rsidRDefault="00532251" w:rsidP="00532251">
            <w:pPr>
              <w:spacing w:after="0" w:line="240" w:lineRule="auto"/>
              <w:jc w:val="right"/>
              <w:rPr>
                <w:rFonts w:ascii="Arial" w:eastAsia="Times New Roman" w:hAnsi="Arial" w:cs="Arial"/>
                <w:color w:val="000000"/>
                <w:lang w:val="es-CO"/>
              </w:rPr>
            </w:pPr>
            <w:r w:rsidRPr="007E663E">
              <w:rPr>
                <w:rFonts w:ascii="Arial" w:eastAsia="Times New Roman" w:hAnsi="Arial" w:cs="Arial"/>
                <w:color w:val="000000"/>
                <w:lang w:val="es-CO"/>
              </w:rPr>
              <w:t>2</w:t>
            </w:r>
          </w:p>
        </w:tc>
        <w:tc>
          <w:tcPr>
            <w:tcW w:w="915" w:type="dxa"/>
            <w:tcBorders>
              <w:top w:val="nil"/>
              <w:left w:val="nil"/>
              <w:bottom w:val="single" w:sz="4" w:space="0" w:color="8EA9DB"/>
              <w:right w:val="nil"/>
            </w:tcBorders>
            <w:shd w:val="clear" w:color="auto" w:fill="auto"/>
            <w:noWrap/>
            <w:vAlign w:val="bottom"/>
            <w:hideMark/>
          </w:tcPr>
          <w:p w14:paraId="47774194" w14:textId="77777777" w:rsidR="00532251" w:rsidRPr="007E663E" w:rsidRDefault="00532251" w:rsidP="00532251">
            <w:pPr>
              <w:spacing w:after="0" w:line="240" w:lineRule="auto"/>
              <w:jc w:val="right"/>
              <w:rPr>
                <w:rFonts w:ascii="Arial" w:eastAsia="Times New Roman" w:hAnsi="Arial" w:cs="Arial"/>
                <w:color w:val="000000"/>
                <w:lang w:val="es-CO"/>
              </w:rPr>
            </w:pPr>
            <w:r w:rsidRPr="007E663E">
              <w:rPr>
                <w:rFonts w:ascii="Arial" w:eastAsia="Times New Roman" w:hAnsi="Arial" w:cs="Arial"/>
                <w:color w:val="000000"/>
                <w:lang w:val="es-CO"/>
              </w:rPr>
              <w:t>2</w:t>
            </w:r>
          </w:p>
        </w:tc>
        <w:tc>
          <w:tcPr>
            <w:tcW w:w="1205" w:type="dxa"/>
            <w:tcBorders>
              <w:top w:val="nil"/>
              <w:left w:val="nil"/>
              <w:bottom w:val="single" w:sz="4" w:space="0" w:color="8EA9DB"/>
              <w:right w:val="nil"/>
            </w:tcBorders>
            <w:shd w:val="clear" w:color="auto" w:fill="auto"/>
            <w:noWrap/>
            <w:vAlign w:val="bottom"/>
            <w:hideMark/>
          </w:tcPr>
          <w:p w14:paraId="451B9671" w14:textId="77777777" w:rsidR="00532251" w:rsidRPr="007E663E" w:rsidRDefault="00532251" w:rsidP="00532251">
            <w:pPr>
              <w:spacing w:after="0" w:line="240" w:lineRule="auto"/>
              <w:jc w:val="right"/>
              <w:rPr>
                <w:rFonts w:ascii="Arial" w:eastAsia="Times New Roman" w:hAnsi="Arial" w:cs="Arial"/>
                <w:color w:val="000000"/>
                <w:lang w:val="es-CO"/>
              </w:rPr>
            </w:pPr>
            <w:r w:rsidRPr="007E663E">
              <w:rPr>
                <w:rFonts w:ascii="Arial" w:eastAsia="Times New Roman" w:hAnsi="Arial" w:cs="Arial"/>
                <w:color w:val="000000"/>
                <w:lang w:val="es-CO"/>
              </w:rPr>
              <w:t>2</w:t>
            </w:r>
          </w:p>
        </w:tc>
        <w:tc>
          <w:tcPr>
            <w:tcW w:w="915" w:type="dxa"/>
            <w:tcBorders>
              <w:top w:val="nil"/>
              <w:left w:val="nil"/>
              <w:bottom w:val="single" w:sz="4" w:space="0" w:color="8EA9DB"/>
              <w:right w:val="single" w:sz="4" w:space="0" w:color="8EA9DB"/>
            </w:tcBorders>
            <w:shd w:val="clear" w:color="auto" w:fill="auto"/>
            <w:noWrap/>
            <w:vAlign w:val="bottom"/>
            <w:hideMark/>
          </w:tcPr>
          <w:p w14:paraId="4E67586C" w14:textId="77777777" w:rsidR="00532251" w:rsidRPr="007E663E" w:rsidRDefault="00532251" w:rsidP="00532251">
            <w:pPr>
              <w:spacing w:after="0" w:line="240" w:lineRule="auto"/>
              <w:jc w:val="right"/>
              <w:rPr>
                <w:rFonts w:ascii="Arial" w:eastAsia="Times New Roman" w:hAnsi="Arial" w:cs="Arial"/>
                <w:color w:val="000000"/>
                <w:lang w:val="es-CO"/>
              </w:rPr>
            </w:pPr>
            <w:r w:rsidRPr="007E663E">
              <w:rPr>
                <w:rFonts w:ascii="Arial" w:eastAsia="Times New Roman" w:hAnsi="Arial" w:cs="Arial"/>
                <w:color w:val="000000"/>
                <w:lang w:val="es-CO"/>
              </w:rPr>
              <w:t>2</w:t>
            </w:r>
          </w:p>
        </w:tc>
      </w:tr>
      <w:tr w:rsidR="00532251" w:rsidRPr="007E663E" w14:paraId="4041216E" w14:textId="77777777" w:rsidTr="00532251">
        <w:trPr>
          <w:trHeight w:val="276"/>
          <w:jc w:val="center"/>
        </w:trPr>
        <w:tc>
          <w:tcPr>
            <w:tcW w:w="1820" w:type="dxa"/>
            <w:tcBorders>
              <w:top w:val="nil"/>
              <w:left w:val="single" w:sz="4" w:space="0" w:color="8EA9DB"/>
              <w:bottom w:val="single" w:sz="4" w:space="0" w:color="8EA9DB"/>
              <w:right w:val="nil"/>
            </w:tcBorders>
            <w:shd w:val="clear" w:color="D9E1F2" w:fill="D9E1F2"/>
            <w:vAlign w:val="bottom"/>
            <w:hideMark/>
          </w:tcPr>
          <w:p w14:paraId="48BA544E" w14:textId="77777777" w:rsidR="00532251" w:rsidRPr="007E663E" w:rsidRDefault="00532251" w:rsidP="00532251">
            <w:pPr>
              <w:spacing w:after="0" w:line="240" w:lineRule="auto"/>
              <w:rPr>
                <w:rFonts w:ascii="Arial" w:eastAsia="Times New Roman" w:hAnsi="Arial" w:cs="Arial"/>
                <w:color w:val="000000"/>
                <w:lang w:val="es-CO"/>
              </w:rPr>
            </w:pPr>
            <w:r w:rsidRPr="007E663E">
              <w:rPr>
                <w:rFonts w:ascii="Arial" w:eastAsia="Times New Roman" w:hAnsi="Arial" w:cs="Arial"/>
                <w:color w:val="000000"/>
                <w:lang w:val="es-CO"/>
              </w:rPr>
              <w:t>Costo del pasaje</w:t>
            </w:r>
          </w:p>
        </w:tc>
        <w:tc>
          <w:tcPr>
            <w:tcW w:w="1205" w:type="dxa"/>
            <w:tcBorders>
              <w:top w:val="nil"/>
              <w:left w:val="nil"/>
              <w:bottom w:val="single" w:sz="4" w:space="0" w:color="8EA9DB"/>
              <w:right w:val="nil"/>
            </w:tcBorders>
            <w:shd w:val="clear" w:color="D9E1F2" w:fill="D9E1F2"/>
            <w:noWrap/>
            <w:vAlign w:val="bottom"/>
            <w:hideMark/>
          </w:tcPr>
          <w:p w14:paraId="2F410D94" w14:textId="77777777" w:rsidR="00532251" w:rsidRPr="007E663E" w:rsidRDefault="00532251" w:rsidP="00532251">
            <w:pPr>
              <w:spacing w:after="0" w:line="240" w:lineRule="auto"/>
              <w:jc w:val="right"/>
              <w:rPr>
                <w:rFonts w:ascii="Arial" w:eastAsia="Times New Roman" w:hAnsi="Arial" w:cs="Arial"/>
                <w:color w:val="000000"/>
                <w:lang w:val="es-CO"/>
              </w:rPr>
            </w:pPr>
            <w:r w:rsidRPr="007E663E">
              <w:rPr>
                <w:rFonts w:ascii="Arial" w:eastAsia="Times New Roman" w:hAnsi="Arial" w:cs="Arial"/>
                <w:color w:val="000000"/>
                <w:lang w:val="es-CO"/>
              </w:rPr>
              <w:t>30</w:t>
            </w:r>
          </w:p>
        </w:tc>
        <w:tc>
          <w:tcPr>
            <w:tcW w:w="915" w:type="dxa"/>
            <w:tcBorders>
              <w:top w:val="nil"/>
              <w:left w:val="nil"/>
              <w:bottom w:val="single" w:sz="4" w:space="0" w:color="8EA9DB"/>
              <w:right w:val="nil"/>
            </w:tcBorders>
            <w:shd w:val="clear" w:color="D9E1F2" w:fill="D9E1F2"/>
            <w:noWrap/>
            <w:vAlign w:val="bottom"/>
            <w:hideMark/>
          </w:tcPr>
          <w:p w14:paraId="6DB2A70D" w14:textId="77777777" w:rsidR="00532251" w:rsidRPr="007E663E" w:rsidRDefault="00532251" w:rsidP="00532251">
            <w:pPr>
              <w:spacing w:after="0" w:line="240" w:lineRule="auto"/>
              <w:jc w:val="right"/>
              <w:rPr>
                <w:rFonts w:ascii="Arial" w:eastAsia="Times New Roman" w:hAnsi="Arial" w:cs="Arial"/>
                <w:color w:val="000000"/>
                <w:lang w:val="es-CO"/>
              </w:rPr>
            </w:pPr>
            <w:r w:rsidRPr="007E663E">
              <w:rPr>
                <w:rFonts w:ascii="Arial" w:eastAsia="Times New Roman" w:hAnsi="Arial" w:cs="Arial"/>
                <w:color w:val="000000"/>
                <w:lang w:val="es-CO"/>
              </w:rPr>
              <w:t>25</w:t>
            </w:r>
          </w:p>
        </w:tc>
        <w:tc>
          <w:tcPr>
            <w:tcW w:w="1205" w:type="dxa"/>
            <w:tcBorders>
              <w:top w:val="nil"/>
              <w:left w:val="nil"/>
              <w:bottom w:val="single" w:sz="4" w:space="0" w:color="8EA9DB"/>
              <w:right w:val="nil"/>
            </w:tcBorders>
            <w:shd w:val="clear" w:color="D9E1F2" w:fill="D9E1F2"/>
            <w:noWrap/>
            <w:vAlign w:val="bottom"/>
            <w:hideMark/>
          </w:tcPr>
          <w:p w14:paraId="79BF9814"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4</w:t>
            </w:r>
          </w:p>
        </w:tc>
        <w:tc>
          <w:tcPr>
            <w:tcW w:w="915" w:type="dxa"/>
            <w:tcBorders>
              <w:top w:val="nil"/>
              <w:left w:val="nil"/>
              <w:bottom w:val="single" w:sz="4" w:space="0" w:color="8EA9DB"/>
              <w:right w:val="single" w:sz="4" w:space="0" w:color="8EA9DB"/>
            </w:tcBorders>
            <w:shd w:val="clear" w:color="D9E1F2" w:fill="D9E1F2"/>
            <w:noWrap/>
            <w:vAlign w:val="bottom"/>
            <w:hideMark/>
          </w:tcPr>
          <w:p w14:paraId="463A28EF"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3</w:t>
            </w:r>
          </w:p>
        </w:tc>
      </w:tr>
      <w:tr w:rsidR="00532251" w:rsidRPr="007E663E" w14:paraId="7D954B40" w14:textId="77777777" w:rsidTr="00532251">
        <w:trPr>
          <w:trHeight w:val="552"/>
          <w:jc w:val="center"/>
        </w:trPr>
        <w:tc>
          <w:tcPr>
            <w:tcW w:w="1820" w:type="dxa"/>
            <w:tcBorders>
              <w:top w:val="nil"/>
              <w:left w:val="single" w:sz="4" w:space="0" w:color="8EA9DB"/>
              <w:bottom w:val="single" w:sz="4" w:space="0" w:color="8EA9DB"/>
              <w:right w:val="nil"/>
            </w:tcBorders>
            <w:shd w:val="clear" w:color="auto" w:fill="auto"/>
            <w:vAlign w:val="bottom"/>
            <w:hideMark/>
          </w:tcPr>
          <w:p w14:paraId="1DAC532D" w14:textId="77777777" w:rsidR="00532251" w:rsidRPr="007E663E" w:rsidRDefault="00532251" w:rsidP="00532251">
            <w:pPr>
              <w:spacing w:after="0" w:line="240" w:lineRule="auto"/>
              <w:rPr>
                <w:rFonts w:ascii="Arial" w:eastAsia="Times New Roman" w:hAnsi="Arial" w:cs="Arial"/>
                <w:color w:val="000000"/>
                <w:lang w:val="es-ES_tradnl"/>
              </w:rPr>
            </w:pPr>
            <w:r w:rsidRPr="007E663E">
              <w:rPr>
                <w:rFonts w:ascii="Arial" w:eastAsia="Times New Roman" w:hAnsi="Arial" w:cs="Arial"/>
                <w:color w:val="000000"/>
                <w:lang w:val="es-ES_tradnl"/>
              </w:rPr>
              <w:t>Tiempo de viaje ida y vuelta</w:t>
            </w:r>
          </w:p>
        </w:tc>
        <w:tc>
          <w:tcPr>
            <w:tcW w:w="1205" w:type="dxa"/>
            <w:tcBorders>
              <w:top w:val="nil"/>
              <w:left w:val="nil"/>
              <w:bottom w:val="single" w:sz="4" w:space="0" w:color="8EA9DB"/>
              <w:right w:val="nil"/>
            </w:tcBorders>
            <w:shd w:val="clear" w:color="auto" w:fill="auto"/>
            <w:noWrap/>
            <w:vAlign w:val="bottom"/>
            <w:hideMark/>
          </w:tcPr>
          <w:p w14:paraId="76FFB37F"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480</w:t>
            </w:r>
          </w:p>
        </w:tc>
        <w:tc>
          <w:tcPr>
            <w:tcW w:w="915" w:type="dxa"/>
            <w:tcBorders>
              <w:top w:val="nil"/>
              <w:left w:val="nil"/>
              <w:bottom w:val="single" w:sz="4" w:space="0" w:color="8EA9DB"/>
              <w:right w:val="nil"/>
            </w:tcBorders>
            <w:shd w:val="clear" w:color="auto" w:fill="auto"/>
            <w:noWrap/>
            <w:vAlign w:val="bottom"/>
            <w:hideMark/>
          </w:tcPr>
          <w:p w14:paraId="4A95FA49"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400</w:t>
            </w:r>
          </w:p>
        </w:tc>
        <w:tc>
          <w:tcPr>
            <w:tcW w:w="1205" w:type="dxa"/>
            <w:tcBorders>
              <w:top w:val="nil"/>
              <w:left w:val="nil"/>
              <w:bottom w:val="single" w:sz="4" w:space="0" w:color="8EA9DB"/>
              <w:right w:val="nil"/>
            </w:tcBorders>
            <w:shd w:val="clear" w:color="auto" w:fill="auto"/>
            <w:noWrap/>
            <w:vAlign w:val="bottom"/>
            <w:hideMark/>
          </w:tcPr>
          <w:p w14:paraId="76AF92C4"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40</w:t>
            </w:r>
          </w:p>
        </w:tc>
        <w:tc>
          <w:tcPr>
            <w:tcW w:w="915" w:type="dxa"/>
            <w:tcBorders>
              <w:top w:val="nil"/>
              <w:left w:val="nil"/>
              <w:bottom w:val="single" w:sz="4" w:space="0" w:color="8EA9DB"/>
              <w:right w:val="single" w:sz="4" w:space="0" w:color="8EA9DB"/>
            </w:tcBorders>
            <w:shd w:val="clear" w:color="auto" w:fill="auto"/>
            <w:noWrap/>
            <w:vAlign w:val="bottom"/>
            <w:hideMark/>
          </w:tcPr>
          <w:p w14:paraId="489E57A6"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30</w:t>
            </w:r>
          </w:p>
        </w:tc>
      </w:tr>
      <w:tr w:rsidR="00532251" w:rsidRPr="007E663E" w14:paraId="135E0336" w14:textId="77777777" w:rsidTr="00532251">
        <w:trPr>
          <w:trHeight w:val="552"/>
          <w:jc w:val="center"/>
        </w:trPr>
        <w:tc>
          <w:tcPr>
            <w:tcW w:w="1820" w:type="dxa"/>
            <w:tcBorders>
              <w:top w:val="nil"/>
              <w:left w:val="single" w:sz="4" w:space="0" w:color="8EA9DB"/>
              <w:bottom w:val="single" w:sz="4" w:space="0" w:color="8EA9DB"/>
              <w:right w:val="nil"/>
            </w:tcBorders>
            <w:shd w:val="clear" w:color="D9E1F2" w:fill="D9E1F2"/>
            <w:vAlign w:val="bottom"/>
            <w:hideMark/>
          </w:tcPr>
          <w:p w14:paraId="6374CF2F" w14:textId="77777777" w:rsidR="00532251" w:rsidRPr="007E663E" w:rsidRDefault="00532251" w:rsidP="00532251">
            <w:pPr>
              <w:spacing w:after="0" w:line="240" w:lineRule="auto"/>
              <w:rPr>
                <w:rFonts w:ascii="Arial" w:eastAsia="Times New Roman" w:hAnsi="Arial" w:cs="Arial"/>
                <w:color w:val="000000"/>
                <w:lang w:val="es-ES_tradnl"/>
              </w:rPr>
            </w:pPr>
            <w:r w:rsidRPr="007E663E">
              <w:rPr>
                <w:rFonts w:ascii="Arial" w:eastAsia="Times New Roman" w:hAnsi="Arial" w:cs="Arial"/>
                <w:color w:val="000000"/>
                <w:lang w:val="es-ES_tradnl"/>
              </w:rPr>
              <w:lastRenderedPageBreak/>
              <w:t>Tiempo de espera en cola</w:t>
            </w:r>
          </w:p>
        </w:tc>
        <w:tc>
          <w:tcPr>
            <w:tcW w:w="1205" w:type="dxa"/>
            <w:tcBorders>
              <w:top w:val="nil"/>
              <w:left w:val="nil"/>
              <w:bottom w:val="single" w:sz="4" w:space="0" w:color="8EA9DB"/>
              <w:right w:val="nil"/>
            </w:tcBorders>
            <w:shd w:val="clear" w:color="D9E1F2" w:fill="D9E1F2"/>
            <w:noWrap/>
            <w:vAlign w:val="bottom"/>
            <w:hideMark/>
          </w:tcPr>
          <w:p w14:paraId="133D1E83"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24</w:t>
            </w:r>
          </w:p>
        </w:tc>
        <w:tc>
          <w:tcPr>
            <w:tcW w:w="915" w:type="dxa"/>
            <w:tcBorders>
              <w:top w:val="nil"/>
              <w:left w:val="nil"/>
              <w:bottom w:val="single" w:sz="4" w:space="0" w:color="8EA9DB"/>
              <w:right w:val="nil"/>
            </w:tcBorders>
            <w:shd w:val="clear" w:color="D9E1F2" w:fill="D9E1F2"/>
            <w:noWrap/>
            <w:vAlign w:val="bottom"/>
            <w:hideMark/>
          </w:tcPr>
          <w:p w14:paraId="2AC8324D"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24</w:t>
            </w:r>
          </w:p>
        </w:tc>
        <w:tc>
          <w:tcPr>
            <w:tcW w:w="1205" w:type="dxa"/>
            <w:tcBorders>
              <w:top w:val="nil"/>
              <w:left w:val="nil"/>
              <w:bottom w:val="single" w:sz="4" w:space="0" w:color="8EA9DB"/>
              <w:right w:val="nil"/>
            </w:tcBorders>
            <w:shd w:val="clear" w:color="D9E1F2" w:fill="D9E1F2"/>
            <w:noWrap/>
            <w:vAlign w:val="bottom"/>
            <w:hideMark/>
          </w:tcPr>
          <w:p w14:paraId="5D3E7BFA"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10</w:t>
            </w:r>
          </w:p>
        </w:tc>
        <w:tc>
          <w:tcPr>
            <w:tcW w:w="915" w:type="dxa"/>
            <w:tcBorders>
              <w:top w:val="nil"/>
              <w:left w:val="nil"/>
              <w:bottom w:val="single" w:sz="4" w:space="0" w:color="8EA9DB"/>
              <w:right w:val="single" w:sz="4" w:space="0" w:color="8EA9DB"/>
            </w:tcBorders>
            <w:shd w:val="clear" w:color="D9E1F2" w:fill="D9E1F2"/>
            <w:noWrap/>
            <w:vAlign w:val="bottom"/>
            <w:hideMark/>
          </w:tcPr>
          <w:p w14:paraId="41271504"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10</w:t>
            </w:r>
          </w:p>
        </w:tc>
      </w:tr>
      <w:tr w:rsidR="00532251" w:rsidRPr="007E663E" w14:paraId="30FBD05B" w14:textId="77777777" w:rsidTr="00532251">
        <w:trPr>
          <w:trHeight w:val="552"/>
          <w:jc w:val="center"/>
        </w:trPr>
        <w:tc>
          <w:tcPr>
            <w:tcW w:w="1820" w:type="dxa"/>
            <w:tcBorders>
              <w:top w:val="nil"/>
              <w:left w:val="single" w:sz="4" w:space="0" w:color="8EA9DB"/>
              <w:bottom w:val="single" w:sz="4" w:space="0" w:color="8EA9DB"/>
              <w:right w:val="nil"/>
            </w:tcBorders>
            <w:shd w:val="clear" w:color="auto" w:fill="auto"/>
            <w:vAlign w:val="bottom"/>
            <w:hideMark/>
          </w:tcPr>
          <w:p w14:paraId="18ADF068" w14:textId="77777777" w:rsidR="00532251" w:rsidRPr="007E663E" w:rsidRDefault="00532251" w:rsidP="00532251">
            <w:pPr>
              <w:spacing w:after="0" w:line="240" w:lineRule="auto"/>
              <w:rPr>
                <w:rFonts w:ascii="Arial" w:eastAsia="Times New Roman" w:hAnsi="Arial" w:cs="Arial"/>
                <w:color w:val="000000"/>
              </w:rPr>
            </w:pPr>
            <w:r w:rsidRPr="007E663E">
              <w:rPr>
                <w:rFonts w:ascii="Arial" w:eastAsia="Times New Roman" w:hAnsi="Arial" w:cs="Arial"/>
                <w:color w:val="000000"/>
              </w:rPr>
              <w:t>Tiempo de atención</w:t>
            </w:r>
          </w:p>
        </w:tc>
        <w:tc>
          <w:tcPr>
            <w:tcW w:w="1205" w:type="dxa"/>
            <w:tcBorders>
              <w:top w:val="nil"/>
              <w:left w:val="nil"/>
              <w:bottom w:val="single" w:sz="4" w:space="0" w:color="8EA9DB"/>
              <w:right w:val="nil"/>
            </w:tcBorders>
            <w:shd w:val="clear" w:color="auto" w:fill="auto"/>
            <w:noWrap/>
            <w:vAlign w:val="bottom"/>
            <w:hideMark/>
          </w:tcPr>
          <w:p w14:paraId="63EC8BB0"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240</w:t>
            </w:r>
          </w:p>
        </w:tc>
        <w:tc>
          <w:tcPr>
            <w:tcW w:w="915" w:type="dxa"/>
            <w:tcBorders>
              <w:top w:val="nil"/>
              <w:left w:val="nil"/>
              <w:bottom w:val="single" w:sz="4" w:space="0" w:color="8EA9DB"/>
              <w:right w:val="nil"/>
            </w:tcBorders>
            <w:shd w:val="clear" w:color="auto" w:fill="auto"/>
            <w:noWrap/>
            <w:vAlign w:val="bottom"/>
            <w:hideMark/>
          </w:tcPr>
          <w:p w14:paraId="04B7CAD7"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240</w:t>
            </w:r>
          </w:p>
        </w:tc>
        <w:tc>
          <w:tcPr>
            <w:tcW w:w="1205" w:type="dxa"/>
            <w:tcBorders>
              <w:top w:val="nil"/>
              <w:left w:val="nil"/>
              <w:bottom w:val="single" w:sz="4" w:space="0" w:color="8EA9DB"/>
              <w:right w:val="nil"/>
            </w:tcBorders>
            <w:shd w:val="clear" w:color="auto" w:fill="auto"/>
            <w:noWrap/>
            <w:vAlign w:val="bottom"/>
            <w:hideMark/>
          </w:tcPr>
          <w:p w14:paraId="19ED3CCD"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10</w:t>
            </w:r>
          </w:p>
        </w:tc>
        <w:tc>
          <w:tcPr>
            <w:tcW w:w="915" w:type="dxa"/>
            <w:tcBorders>
              <w:top w:val="nil"/>
              <w:left w:val="nil"/>
              <w:bottom w:val="single" w:sz="4" w:space="0" w:color="8EA9DB"/>
              <w:right w:val="single" w:sz="4" w:space="0" w:color="8EA9DB"/>
            </w:tcBorders>
            <w:shd w:val="clear" w:color="auto" w:fill="auto"/>
            <w:noWrap/>
            <w:vAlign w:val="bottom"/>
            <w:hideMark/>
          </w:tcPr>
          <w:p w14:paraId="3D423BC5" w14:textId="77777777" w:rsidR="00532251" w:rsidRPr="007E663E" w:rsidRDefault="00532251" w:rsidP="00532251">
            <w:pPr>
              <w:spacing w:after="0" w:line="240" w:lineRule="auto"/>
              <w:jc w:val="right"/>
              <w:rPr>
                <w:rFonts w:ascii="Arial" w:eastAsia="Times New Roman" w:hAnsi="Arial" w:cs="Arial"/>
                <w:color w:val="000000"/>
              </w:rPr>
            </w:pPr>
            <w:r w:rsidRPr="007E663E">
              <w:rPr>
                <w:rFonts w:ascii="Arial" w:eastAsia="Times New Roman" w:hAnsi="Arial" w:cs="Arial"/>
                <w:color w:val="000000"/>
              </w:rPr>
              <w:t>10</w:t>
            </w:r>
          </w:p>
        </w:tc>
      </w:tr>
    </w:tbl>
    <w:p w14:paraId="4774FA17" w14:textId="77777777" w:rsidR="00F56845" w:rsidRPr="00DD36CC" w:rsidRDefault="00DD36CC" w:rsidP="00DD36CC">
      <w:pPr>
        <w:pStyle w:val="Vieta"/>
        <w:numPr>
          <w:ilvl w:val="0"/>
          <w:numId w:val="0"/>
        </w:numPr>
        <w:spacing w:line="240" w:lineRule="auto"/>
        <w:rPr>
          <w:rFonts w:ascii="Arial" w:hAnsi="Arial" w:cs="Arial"/>
          <w:sz w:val="20"/>
          <w:lang w:val="es-ES_tradnl"/>
        </w:rPr>
      </w:pPr>
      <w:r w:rsidRPr="00DD36CC">
        <w:rPr>
          <w:rFonts w:ascii="Arial" w:hAnsi="Arial" w:cs="Arial"/>
          <w:sz w:val="20"/>
          <w:lang w:val="es-ES_tradnl"/>
        </w:rPr>
        <w:t xml:space="preserve">               </w:t>
      </w:r>
      <w:r>
        <w:rPr>
          <w:rFonts w:ascii="Arial" w:hAnsi="Arial" w:cs="Arial"/>
          <w:sz w:val="20"/>
          <w:lang w:val="es-ES_tradnl"/>
        </w:rPr>
        <w:t xml:space="preserve">   </w:t>
      </w:r>
      <w:r w:rsidRPr="00DD36CC">
        <w:rPr>
          <w:rFonts w:ascii="Arial" w:hAnsi="Arial" w:cs="Arial"/>
          <w:sz w:val="20"/>
          <w:lang w:val="es-ES_tradnl"/>
        </w:rPr>
        <w:t xml:space="preserve"> </w:t>
      </w:r>
      <w:r>
        <w:rPr>
          <w:rFonts w:ascii="Arial" w:hAnsi="Arial" w:cs="Arial"/>
          <w:sz w:val="20"/>
          <w:lang w:val="es-ES_tradnl"/>
        </w:rPr>
        <w:t xml:space="preserve"> </w:t>
      </w:r>
      <w:r w:rsidR="00F56845" w:rsidRPr="00DD36CC">
        <w:rPr>
          <w:rFonts w:ascii="Arial" w:hAnsi="Arial" w:cs="Arial"/>
          <w:sz w:val="20"/>
          <w:lang w:val="es-ES_tradnl"/>
        </w:rPr>
        <w:t>Fuente</w:t>
      </w:r>
      <w:r w:rsidR="00CF595E" w:rsidRPr="00DD36CC">
        <w:rPr>
          <w:rFonts w:ascii="Arial" w:hAnsi="Arial" w:cs="Arial"/>
          <w:sz w:val="20"/>
          <w:lang w:val="es-ES_tradnl"/>
        </w:rPr>
        <w:t>:</w:t>
      </w:r>
      <w:r w:rsidR="00F56845" w:rsidRPr="00DD36CC">
        <w:rPr>
          <w:rFonts w:ascii="Arial" w:hAnsi="Arial" w:cs="Arial"/>
          <w:sz w:val="20"/>
          <w:lang w:val="es-ES_tradnl"/>
        </w:rPr>
        <w:t xml:space="preserve"> estudio factibilidad RENIEC</w:t>
      </w:r>
    </w:p>
    <w:p w14:paraId="6DAB25AF" w14:textId="77777777" w:rsidR="00CF595E" w:rsidRPr="007E663E" w:rsidRDefault="00CF595E" w:rsidP="00F56845">
      <w:pPr>
        <w:pStyle w:val="Vieta"/>
        <w:numPr>
          <w:ilvl w:val="0"/>
          <w:numId w:val="0"/>
        </w:numPr>
        <w:spacing w:line="240" w:lineRule="auto"/>
        <w:jc w:val="center"/>
        <w:rPr>
          <w:rFonts w:ascii="Arial" w:hAnsi="Arial" w:cs="Arial"/>
          <w:lang w:val="es-ES_tradnl"/>
        </w:rPr>
      </w:pPr>
    </w:p>
    <w:p w14:paraId="59D1A8E7"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De este modo el costo unitario por persona de una copia de un acta registral sin proyecto se calcula en 196 soles para los usuarios urbanos y 172 soles para los usuarios rurales. Con proyecto estos mismos valores serian 19 y 15.2 soles, respectivamente.</w:t>
      </w:r>
    </w:p>
    <w:p w14:paraId="5B498959" w14:textId="77777777" w:rsidR="002B5307" w:rsidRDefault="002B5307" w:rsidP="002B5307">
      <w:pPr>
        <w:pStyle w:val="Vieta"/>
        <w:numPr>
          <w:ilvl w:val="0"/>
          <w:numId w:val="0"/>
        </w:numPr>
        <w:spacing w:line="240" w:lineRule="auto"/>
        <w:rPr>
          <w:rFonts w:ascii="Arial" w:hAnsi="Arial" w:cs="Arial"/>
          <w:lang w:val="es-ES_tradnl"/>
        </w:rPr>
      </w:pPr>
    </w:p>
    <w:p w14:paraId="2F26F699"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 xml:space="preserve">Al realizar un promedio ponderado entre la población rural y urbana, se estima que el costo promedio de obtener la copia de un acta registral para un migrante interno es de 190 soles en el escenario sin proyecto y 18.05 soles con proyecto. Análogamente, al aplicar una tasa de cambio de 3.5 soles por dólar estos valores se traducen en </w:t>
      </w:r>
      <w:r>
        <w:rPr>
          <w:rFonts w:ascii="Arial" w:hAnsi="Arial" w:cs="Arial"/>
          <w:b/>
          <w:lang w:val="es-ES_tradnl"/>
        </w:rPr>
        <w:t>$54.29</w:t>
      </w:r>
      <w:r>
        <w:rPr>
          <w:rFonts w:ascii="Arial" w:hAnsi="Arial" w:cs="Arial"/>
          <w:lang w:val="es-ES_tradnl"/>
        </w:rPr>
        <w:t xml:space="preserve"> y </w:t>
      </w:r>
      <w:r>
        <w:rPr>
          <w:rFonts w:ascii="Arial" w:hAnsi="Arial" w:cs="Arial"/>
          <w:b/>
          <w:lang w:val="es-ES_tradnl"/>
        </w:rPr>
        <w:t>$5.16</w:t>
      </w:r>
      <w:r>
        <w:rPr>
          <w:rFonts w:ascii="Arial" w:hAnsi="Arial" w:cs="Arial"/>
          <w:lang w:val="es-ES_tradnl"/>
        </w:rPr>
        <w:t xml:space="preserve"> dólares respectivamente que son equivalentes a los expuestos en el segundo indicador de impacto de la matriz de resultados.</w:t>
      </w:r>
    </w:p>
    <w:p w14:paraId="04CF0834" w14:textId="77777777" w:rsidR="002B5307" w:rsidRDefault="002B5307" w:rsidP="002B5307">
      <w:pPr>
        <w:pStyle w:val="Vieta"/>
        <w:numPr>
          <w:ilvl w:val="0"/>
          <w:numId w:val="0"/>
        </w:numPr>
        <w:spacing w:line="240" w:lineRule="auto"/>
        <w:rPr>
          <w:rFonts w:ascii="Arial" w:hAnsi="Arial" w:cs="Arial"/>
          <w:lang w:val="es-ES_tradnl"/>
        </w:rPr>
      </w:pPr>
    </w:p>
    <w:p w14:paraId="157A6459"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En resumen, los beneficios unitarios (en soles) asociados al ahorro en la obtención de una copia de un acta registral certificada por la digitalización de las actas registrales son:</w:t>
      </w:r>
    </w:p>
    <w:p w14:paraId="13685951" w14:textId="77777777" w:rsidR="006A37E3" w:rsidRPr="007E663E" w:rsidRDefault="006A37E3" w:rsidP="007F4BF4">
      <w:pPr>
        <w:pStyle w:val="Vieta"/>
        <w:numPr>
          <w:ilvl w:val="0"/>
          <w:numId w:val="0"/>
        </w:numPr>
        <w:spacing w:line="240" w:lineRule="auto"/>
        <w:rPr>
          <w:rFonts w:ascii="Arial" w:hAnsi="Arial" w:cs="Arial"/>
          <w:lang w:val="es-ES_tradnl"/>
        </w:rPr>
      </w:pPr>
    </w:p>
    <w:tbl>
      <w:tblPr>
        <w:tblW w:w="8320" w:type="dxa"/>
        <w:tblLook w:val="04A0" w:firstRow="1" w:lastRow="0" w:firstColumn="1" w:lastColumn="0" w:noHBand="0" w:noVBand="1"/>
      </w:tblPr>
      <w:tblGrid>
        <w:gridCol w:w="4520"/>
        <w:gridCol w:w="1920"/>
        <w:gridCol w:w="1880"/>
      </w:tblGrid>
      <w:tr w:rsidR="00F56845" w:rsidRPr="00DD36CC" w14:paraId="71F4B38D" w14:textId="77777777" w:rsidTr="004E6927">
        <w:trPr>
          <w:trHeight w:val="276"/>
        </w:trPr>
        <w:tc>
          <w:tcPr>
            <w:tcW w:w="4520" w:type="dxa"/>
            <w:tcBorders>
              <w:top w:val="single" w:sz="4" w:space="0" w:color="8EA9DB"/>
              <w:left w:val="single" w:sz="4" w:space="0" w:color="8EA9DB"/>
              <w:bottom w:val="single" w:sz="4" w:space="0" w:color="8EA9DB"/>
              <w:right w:val="nil"/>
            </w:tcBorders>
            <w:shd w:val="clear" w:color="4472C4" w:fill="4472C4"/>
            <w:noWrap/>
            <w:vAlign w:val="bottom"/>
            <w:hideMark/>
          </w:tcPr>
          <w:p w14:paraId="253727A2" w14:textId="77777777" w:rsidR="00F56845" w:rsidRPr="00DD36CC" w:rsidRDefault="00F56845" w:rsidP="004E6927">
            <w:pPr>
              <w:spacing w:after="0" w:line="240" w:lineRule="auto"/>
              <w:rPr>
                <w:rFonts w:ascii="Arial" w:eastAsia="Times New Roman" w:hAnsi="Arial" w:cs="Arial"/>
                <w:b/>
                <w:bCs/>
                <w:color w:val="FFFFFF"/>
                <w:sz w:val="20"/>
                <w:szCs w:val="20"/>
                <w:lang w:val="es-ES_tradnl"/>
              </w:rPr>
            </w:pPr>
          </w:p>
        </w:tc>
        <w:tc>
          <w:tcPr>
            <w:tcW w:w="1920" w:type="dxa"/>
            <w:tcBorders>
              <w:top w:val="single" w:sz="4" w:space="0" w:color="8EA9DB"/>
              <w:left w:val="nil"/>
              <w:bottom w:val="single" w:sz="4" w:space="0" w:color="8EA9DB"/>
              <w:right w:val="nil"/>
            </w:tcBorders>
            <w:shd w:val="clear" w:color="4472C4" w:fill="4472C4"/>
            <w:noWrap/>
            <w:vAlign w:val="bottom"/>
            <w:hideMark/>
          </w:tcPr>
          <w:p w14:paraId="4FF835F6" w14:textId="77777777" w:rsidR="00F56845" w:rsidRPr="00DD36CC" w:rsidRDefault="00F56845" w:rsidP="004E6927">
            <w:pPr>
              <w:spacing w:after="0" w:line="240" w:lineRule="auto"/>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Urbano</w:t>
            </w:r>
          </w:p>
        </w:tc>
        <w:tc>
          <w:tcPr>
            <w:tcW w:w="1880" w:type="dxa"/>
            <w:tcBorders>
              <w:top w:val="single" w:sz="4" w:space="0" w:color="8EA9DB"/>
              <w:left w:val="nil"/>
              <w:bottom w:val="single" w:sz="4" w:space="0" w:color="8EA9DB"/>
              <w:right w:val="single" w:sz="4" w:space="0" w:color="8EA9DB"/>
            </w:tcBorders>
            <w:shd w:val="clear" w:color="4472C4" w:fill="4472C4"/>
            <w:noWrap/>
            <w:vAlign w:val="bottom"/>
            <w:hideMark/>
          </w:tcPr>
          <w:p w14:paraId="003AFC7B" w14:textId="77777777" w:rsidR="00F56845" w:rsidRPr="00DD36CC" w:rsidRDefault="00F56845" w:rsidP="004E6927">
            <w:pPr>
              <w:spacing w:after="0" w:line="240" w:lineRule="auto"/>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Rural</w:t>
            </w:r>
          </w:p>
        </w:tc>
      </w:tr>
      <w:tr w:rsidR="00F56845" w:rsidRPr="00DD36CC" w14:paraId="5ED4FABE" w14:textId="77777777" w:rsidTr="004E6927">
        <w:trPr>
          <w:trHeight w:val="276"/>
        </w:trPr>
        <w:tc>
          <w:tcPr>
            <w:tcW w:w="4520" w:type="dxa"/>
            <w:tcBorders>
              <w:top w:val="single" w:sz="4" w:space="0" w:color="8EA9DB"/>
              <w:left w:val="single" w:sz="4" w:space="0" w:color="8EA9DB"/>
              <w:bottom w:val="single" w:sz="4" w:space="0" w:color="8EA9DB"/>
              <w:right w:val="nil"/>
            </w:tcBorders>
            <w:shd w:val="clear" w:color="D9E1F2" w:fill="D9E1F2"/>
            <w:noWrap/>
            <w:vAlign w:val="bottom"/>
            <w:hideMark/>
          </w:tcPr>
          <w:p w14:paraId="53992341" w14:textId="77777777" w:rsidR="00F56845" w:rsidRPr="00DD36CC" w:rsidRDefault="00F56845" w:rsidP="004E6927">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Beneficio por usuario para obtener copia acta registral certificada (en soles)</w:t>
            </w:r>
          </w:p>
        </w:tc>
        <w:tc>
          <w:tcPr>
            <w:tcW w:w="1920" w:type="dxa"/>
            <w:tcBorders>
              <w:top w:val="single" w:sz="4" w:space="0" w:color="8EA9DB"/>
              <w:left w:val="nil"/>
              <w:bottom w:val="single" w:sz="4" w:space="0" w:color="8EA9DB"/>
              <w:right w:val="nil"/>
            </w:tcBorders>
            <w:shd w:val="clear" w:color="D9E1F2" w:fill="D9E1F2"/>
            <w:noWrap/>
            <w:vAlign w:val="bottom"/>
            <w:hideMark/>
          </w:tcPr>
          <w:p w14:paraId="34EA6695" w14:textId="77777777" w:rsidR="00F56845" w:rsidRPr="00DD36CC" w:rsidRDefault="00B84AD5" w:rsidP="004E6927">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17</w:t>
            </w:r>
            <w:r w:rsidR="00F56845" w:rsidRPr="00DD36CC">
              <w:rPr>
                <w:rFonts w:ascii="Arial" w:eastAsia="Times New Roman" w:hAnsi="Arial" w:cs="Arial"/>
                <w:color w:val="000000"/>
                <w:sz w:val="20"/>
                <w:szCs w:val="20"/>
              </w:rPr>
              <w:t>7</w:t>
            </w:r>
          </w:p>
        </w:tc>
        <w:tc>
          <w:tcPr>
            <w:tcW w:w="1880" w:type="dxa"/>
            <w:tcBorders>
              <w:top w:val="single" w:sz="4" w:space="0" w:color="8EA9DB"/>
              <w:left w:val="nil"/>
              <w:bottom w:val="single" w:sz="4" w:space="0" w:color="8EA9DB"/>
              <w:right w:val="single" w:sz="4" w:space="0" w:color="8EA9DB"/>
            </w:tcBorders>
            <w:shd w:val="clear" w:color="D9E1F2" w:fill="D9E1F2"/>
            <w:noWrap/>
            <w:vAlign w:val="bottom"/>
            <w:hideMark/>
          </w:tcPr>
          <w:p w14:paraId="1F6E202C" w14:textId="77777777" w:rsidR="00F56845" w:rsidRPr="00DD36CC" w:rsidRDefault="00B84AD5" w:rsidP="00B84AD5">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15</w:t>
            </w:r>
            <w:r w:rsidR="00F56845" w:rsidRPr="00DD36CC">
              <w:rPr>
                <w:rFonts w:ascii="Arial" w:eastAsia="Times New Roman" w:hAnsi="Arial" w:cs="Arial"/>
                <w:color w:val="000000"/>
                <w:sz w:val="20"/>
                <w:szCs w:val="20"/>
              </w:rPr>
              <w:t>7</w:t>
            </w:r>
          </w:p>
        </w:tc>
      </w:tr>
    </w:tbl>
    <w:p w14:paraId="2BA44528" w14:textId="77777777" w:rsidR="00A3757C" w:rsidRPr="007E663E" w:rsidRDefault="00A3757C" w:rsidP="00D62651">
      <w:pPr>
        <w:pStyle w:val="Vieta"/>
        <w:numPr>
          <w:ilvl w:val="0"/>
          <w:numId w:val="0"/>
        </w:numPr>
        <w:spacing w:line="240" w:lineRule="auto"/>
        <w:ind w:left="994"/>
        <w:rPr>
          <w:rFonts w:ascii="Arial" w:hAnsi="Arial" w:cs="Arial"/>
          <w:lang w:val="es-ES_tradnl"/>
        </w:rPr>
      </w:pPr>
    </w:p>
    <w:p w14:paraId="57FDEC37" w14:textId="77777777" w:rsidR="00F56845" w:rsidRPr="007E663E" w:rsidRDefault="00F56845" w:rsidP="00F56845">
      <w:pPr>
        <w:pStyle w:val="Vieta"/>
        <w:numPr>
          <w:ilvl w:val="0"/>
          <w:numId w:val="0"/>
        </w:numPr>
        <w:spacing w:line="240" w:lineRule="auto"/>
        <w:rPr>
          <w:rFonts w:ascii="Arial" w:hAnsi="Arial" w:cs="Arial"/>
          <w:lang w:val="es-ES_tradnl"/>
        </w:rPr>
      </w:pPr>
      <w:r w:rsidRPr="007E663E">
        <w:rPr>
          <w:rFonts w:ascii="Arial" w:hAnsi="Arial" w:cs="Arial"/>
          <w:lang w:val="es-ES_tradnl"/>
        </w:rPr>
        <w:t xml:space="preserve">Para la agregación de beneficios se hacen supuestos sobre el flujo de la demanda por </w:t>
      </w:r>
      <w:r w:rsidR="00797A96" w:rsidRPr="007E663E">
        <w:rPr>
          <w:rFonts w:ascii="Arial" w:hAnsi="Arial" w:cs="Arial"/>
          <w:lang w:val="es-ES_tradnl"/>
        </w:rPr>
        <w:t>copias de actas registrales por parte de usuarios fuera de su lugar de origen, que es sobre quienes recae el beneficio, este flujo se puede ver de la siguiente manera:</w:t>
      </w:r>
    </w:p>
    <w:p w14:paraId="435BEE45" w14:textId="77777777" w:rsidR="00797A96" w:rsidRPr="007E663E" w:rsidRDefault="00797A96" w:rsidP="00F56845">
      <w:pPr>
        <w:pStyle w:val="Vieta"/>
        <w:numPr>
          <w:ilvl w:val="0"/>
          <w:numId w:val="0"/>
        </w:numPr>
        <w:spacing w:line="240" w:lineRule="auto"/>
        <w:rPr>
          <w:rFonts w:ascii="Arial" w:hAnsi="Arial" w:cs="Arial"/>
          <w:lang w:val="es-ES_tradnl"/>
        </w:rPr>
      </w:pPr>
    </w:p>
    <w:p w14:paraId="38D0A34F" w14:textId="77777777" w:rsidR="00797A96" w:rsidRPr="00DD36CC" w:rsidRDefault="002C5257" w:rsidP="00F10CE5">
      <w:pPr>
        <w:pStyle w:val="Vieta"/>
        <w:numPr>
          <w:ilvl w:val="0"/>
          <w:numId w:val="0"/>
        </w:numPr>
        <w:spacing w:line="240" w:lineRule="auto"/>
        <w:jc w:val="center"/>
        <w:rPr>
          <w:rFonts w:ascii="Arial" w:hAnsi="Arial" w:cs="Arial"/>
          <w:b/>
          <w:sz w:val="20"/>
          <w:lang w:val="es-ES_tradnl"/>
        </w:rPr>
      </w:pPr>
      <w:r w:rsidRPr="00DD36CC">
        <w:rPr>
          <w:rFonts w:ascii="Arial" w:hAnsi="Arial" w:cs="Arial"/>
          <w:b/>
          <w:sz w:val="20"/>
          <w:lang w:val="es-ES_tradnl"/>
        </w:rPr>
        <w:t xml:space="preserve">Tabla 4 flujo de demanda por </w:t>
      </w:r>
      <w:r w:rsidR="00F10CE5" w:rsidRPr="00DD36CC">
        <w:rPr>
          <w:rFonts w:ascii="Arial" w:hAnsi="Arial" w:cs="Arial"/>
          <w:b/>
          <w:sz w:val="20"/>
          <w:lang w:val="es-ES_tradnl"/>
        </w:rPr>
        <w:t>actas registrales fuera de la ciudad de origen</w:t>
      </w:r>
    </w:p>
    <w:tbl>
      <w:tblPr>
        <w:tblW w:w="9200" w:type="dxa"/>
        <w:tblLook w:val="04A0" w:firstRow="1" w:lastRow="0" w:firstColumn="1" w:lastColumn="0" w:noHBand="0" w:noVBand="1"/>
      </w:tblPr>
      <w:tblGrid>
        <w:gridCol w:w="939"/>
        <w:gridCol w:w="939"/>
        <w:gridCol w:w="939"/>
        <w:gridCol w:w="939"/>
        <w:gridCol w:w="939"/>
        <w:gridCol w:w="939"/>
        <w:gridCol w:w="939"/>
        <w:gridCol w:w="939"/>
        <w:gridCol w:w="939"/>
        <w:gridCol w:w="939"/>
      </w:tblGrid>
      <w:tr w:rsidR="00797A96" w:rsidRPr="00DD36CC" w14:paraId="41FD4306" w14:textId="77777777" w:rsidTr="00797A96">
        <w:trPr>
          <w:trHeight w:val="276"/>
        </w:trPr>
        <w:tc>
          <w:tcPr>
            <w:tcW w:w="920" w:type="dxa"/>
            <w:tcBorders>
              <w:top w:val="single" w:sz="4" w:space="0" w:color="8EA9DB"/>
              <w:left w:val="single" w:sz="4" w:space="0" w:color="8EA9DB"/>
              <w:bottom w:val="single" w:sz="4" w:space="0" w:color="8EA9DB"/>
              <w:right w:val="nil"/>
            </w:tcBorders>
            <w:shd w:val="clear" w:color="4472C4" w:fill="4472C4"/>
            <w:noWrap/>
            <w:vAlign w:val="bottom"/>
            <w:hideMark/>
          </w:tcPr>
          <w:p w14:paraId="3715EA29"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2018</w:t>
            </w:r>
          </w:p>
        </w:tc>
        <w:tc>
          <w:tcPr>
            <w:tcW w:w="920" w:type="dxa"/>
            <w:tcBorders>
              <w:top w:val="single" w:sz="4" w:space="0" w:color="8EA9DB"/>
              <w:left w:val="nil"/>
              <w:bottom w:val="single" w:sz="4" w:space="0" w:color="8EA9DB"/>
              <w:right w:val="nil"/>
            </w:tcBorders>
            <w:shd w:val="clear" w:color="4472C4" w:fill="4472C4"/>
            <w:noWrap/>
            <w:vAlign w:val="bottom"/>
            <w:hideMark/>
          </w:tcPr>
          <w:p w14:paraId="5EC50647"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2019</w:t>
            </w:r>
          </w:p>
        </w:tc>
        <w:tc>
          <w:tcPr>
            <w:tcW w:w="920" w:type="dxa"/>
            <w:tcBorders>
              <w:top w:val="single" w:sz="4" w:space="0" w:color="8EA9DB"/>
              <w:left w:val="nil"/>
              <w:bottom w:val="single" w:sz="4" w:space="0" w:color="8EA9DB"/>
              <w:right w:val="nil"/>
            </w:tcBorders>
            <w:shd w:val="clear" w:color="4472C4" w:fill="4472C4"/>
            <w:noWrap/>
            <w:vAlign w:val="bottom"/>
            <w:hideMark/>
          </w:tcPr>
          <w:p w14:paraId="478EB466"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2020</w:t>
            </w:r>
          </w:p>
        </w:tc>
        <w:tc>
          <w:tcPr>
            <w:tcW w:w="920" w:type="dxa"/>
            <w:tcBorders>
              <w:top w:val="single" w:sz="4" w:space="0" w:color="8EA9DB"/>
              <w:left w:val="nil"/>
              <w:bottom w:val="single" w:sz="4" w:space="0" w:color="8EA9DB"/>
              <w:right w:val="nil"/>
            </w:tcBorders>
            <w:shd w:val="clear" w:color="4472C4" w:fill="4472C4"/>
            <w:noWrap/>
            <w:vAlign w:val="bottom"/>
            <w:hideMark/>
          </w:tcPr>
          <w:p w14:paraId="48AB8864"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2021</w:t>
            </w:r>
          </w:p>
        </w:tc>
        <w:tc>
          <w:tcPr>
            <w:tcW w:w="920" w:type="dxa"/>
            <w:tcBorders>
              <w:top w:val="single" w:sz="4" w:space="0" w:color="8EA9DB"/>
              <w:left w:val="nil"/>
              <w:bottom w:val="single" w:sz="4" w:space="0" w:color="8EA9DB"/>
              <w:right w:val="nil"/>
            </w:tcBorders>
            <w:shd w:val="clear" w:color="4472C4" w:fill="4472C4"/>
            <w:noWrap/>
            <w:vAlign w:val="bottom"/>
            <w:hideMark/>
          </w:tcPr>
          <w:p w14:paraId="779C4E46"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2022</w:t>
            </w:r>
          </w:p>
        </w:tc>
        <w:tc>
          <w:tcPr>
            <w:tcW w:w="920" w:type="dxa"/>
            <w:tcBorders>
              <w:top w:val="single" w:sz="4" w:space="0" w:color="8EA9DB"/>
              <w:left w:val="nil"/>
              <w:bottom w:val="single" w:sz="4" w:space="0" w:color="8EA9DB"/>
              <w:right w:val="nil"/>
            </w:tcBorders>
            <w:shd w:val="clear" w:color="4472C4" w:fill="4472C4"/>
            <w:noWrap/>
            <w:vAlign w:val="bottom"/>
            <w:hideMark/>
          </w:tcPr>
          <w:p w14:paraId="4273CD7D"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2023</w:t>
            </w:r>
          </w:p>
        </w:tc>
        <w:tc>
          <w:tcPr>
            <w:tcW w:w="920" w:type="dxa"/>
            <w:tcBorders>
              <w:top w:val="single" w:sz="4" w:space="0" w:color="8EA9DB"/>
              <w:left w:val="nil"/>
              <w:bottom w:val="single" w:sz="4" w:space="0" w:color="8EA9DB"/>
              <w:right w:val="nil"/>
            </w:tcBorders>
            <w:shd w:val="clear" w:color="4472C4" w:fill="4472C4"/>
            <w:noWrap/>
            <w:vAlign w:val="bottom"/>
            <w:hideMark/>
          </w:tcPr>
          <w:p w14:paraId="6F9F0A33"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2024</w:t>
            </w:r>
          </w:p>
        </w:tc>
        <w:tc>
          <w:tcPr>
            <w:tcW w:w="920" w:type="dxa"/>
            <w:tcBorders>
              <w:top w:val="single" w:sz="4" w:space="0" w:color="8EA9DB"/>
              <w:left w:val="nil"/>
              <w:bottom w:val="single" w:sz="4" w:space="0" w:color="8EA9DB"/>
              <w:right w:val="nil"/>
            </w:tcBorders>
            <w:shd w:val="clear" w:color="4472C4" w:fill="4472C4"/>
            <w:noWrap/>
            <w:vAlign w:val="bottom"/>
            <w:hideMark/>
          </w:tcPr>
          <w:p w14:paraId="435745E8"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2025</w:t>
            </w:r>
          </w:p>
        </w:tc>
        <w:tc>
          <w:tcPr>
            <w:tcW w:w="920" w:type="dxa"/>
            <w:tcBorders>
              <w:top w:val="single" w:sz="4" w:space="0" w:color="8EA9DB"/>
              <w:left w:val="nil"/>
              <w:bottom w:val="single" w:sz="4" w:space="0" w:color="8EA9DB"/>
              <w:right w:val="nil"/>
            </w:tcBorders>
            <w:shd w:val="clear" w:color="4472C4" w:fill="4472C4"/>
            <w:noWrap/>
            <w:vAlign w:val="bottom"/>
            <w:hideMark/>
          </w:tcPr>
          <w:p w14:paraId="0621A708"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2026</w:t>
            </w:r>
          </w:p>
        </w:tc>
        <w:tc>
          <w:tcPr>
            <w:tcW w:w="920" w:type="dxa"/>
            <w:tcBorders>
              <w:top w:val="single" w:sz="4" w:space="0" w:color="8EA9DB"/>
              <w:left w:val="nil"/>
              <w:bottom w:val="single" w:sz="4" w:space="0" w:color="8EA9DB"/>
              <w:right w:val="single" w:sz="4" w:space="0" w:color="8EA9DB"/>
            </w:tcBorders>
            <w:shd w:val="clear" w:color="4472C4" w:fill="4472C4"/>
            <w:noWrap/>
            <w:vAlign w:val="bottom"/>
            <w:hideMark/>
          </w:tcPr>
          <w:p w14:paraId="541197E6" w14:textId="77777777" w:rsidR="00797A96" w:rsidRPr="00DD36CC" w:rsidRDefault="00797A96" w:rsidP="00797A96">
            <w:pPr>
              <w:spacing w:after="0" w:line="240" w:lineRule="auto"/>
              <w:jc w:val="center"/>
              <w:rPr>
                <w:rFonts w:ascii="Arial" w:eastAsia="Times New Roman" w:hAnsi="Arial" w:cs="Arial"/>
                <w:b/>
                <w:bCs/>
                <w:color w:val="FFFFFF"/>
                <w:sz w:val="20"/>
                <w:szCs w:val="20"/>
              </w:rPr>
            </w:pPr>
            <w:r w:rsidRPr="00DD36CC">
              <w:rPr>
                <w:rFonts w:ascii="Arial" w:eastAsia="Times New Roman" w:hAnsi="Arial" w:cs="Arial"/>
                <w:b/>
                <w:bCs/>
                <w:color w:val="FFFFFF"/>
                <w:sz w:val="20"/>
                <w:szCs w:val="20"/>
              </w:rPr>
              <w:t>2027</w:t>
            </w:r>
          </w:p>
        </w:tc>
      </w:tr>
      <w:tr w:rsidR="00797A96" w:rsidRPr="00DD36CC" w14:paraId="2A32DAC4" w14:textId="77777777" w:rsidTr="00797A96">
        <w:trPr>
          <w:trHeight w:val="276"/>
        </w:trPr>
        <w:tc>
          <w:tcPr>
            <w:tcW w:w="920" w:type="dxa"/>
            <w:tcBorders>
              <w:top w:val="single" w:sz="4" w:space="0" w:color="8EA9DB"/>
              <w:left w:val="single" w:sz="4" w:space="0" w:color="8EA9DB"/>
              <w:bottom w:val="single" w:sz="4" w:space="0" w:color="8EA9DB"/>
              <w:right w:val="nil"/>
            </w:tcBorders>
            <w:shd w:val="clear" w:color="D9E1F2" w:fill="D9E1F2"/>
            <w:noWrap/>
            <w:vAlign w:val="bottom"/>
            <w:hideMark/>
          </w:tcPr>
          <w:p w14:paraId="2C01094F"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157,837</w:t>
            </w:r>
          </w:p>
        </w:tc>
        <w:tc>
          <w:tcPr>
            <w:tcW w:w="920" w:type="dxa"/>
            <w:tcBorders>
              <w:top w:val="single" w:sz="4" w:space="0" w:color="8EA9DB"/>
              <w:left w:val="nil"/>
              <w:bottom w:val="single" w:sz="4" w:space="0" w:color="8EA9DB"/>
              <w:right w:val="nil"/>
            </w:tcBorders>
            <w:shd w:val="clear" w:color="D9E1F2" w:fill="D9E1F2"/>
            <w:noWrap/>
            <w:vAlign w:val="bottom"/>
            <w:hideMark/>
          </w:tcPr>
          <w:p w14:paraId="3ECEE428"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315,675</w:t>
            </w:r>
          </w:p>
        </w:tc>
        <w:tc>
          <w:tcPr>
            <w:tcW w:w="920" w:type="dxa"/>
            <w:tcBorders>
              <w:top w:val="single" w:sz="4" w:space="0" w:color="8EA9DB"/>
              <w:left w:val="nil"/>
              <w:bottom w:val="single" w:sz="4" w:space="0" w:color="8EA9DB"/>
              <w:right w:val="nil"/>
            </w:tcBorders>
            <w:shd w:val="clear" w:color="D9E1F2" w:fill="D9E1F2"/>
            <w:noWrap/>
            <w:vAlign w:val="bottom"/>
            <w:hideMark/>
          </w:tcPr>
          <w:p w14:paraId="22139ECF"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nil"/>
            </w:tcBorders>
            <w:shd w:val="clear" w:color="D9E1F2" w:fill="D9E1F2"/>
            <w:noWrap/>
            <w:vAlign w:val="bottom"/>
            <w:hideMark/>
          </w:tcPr>
          <w:p w14:paraId="65C04197"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nil"/>
            </w:tcBorders>
            <w:shd w:val="clear" w:color="D9E1F2" w:fill="D9E1F2"/>
            <w:noWrap/>
            <w:vAlign w:val="bottom"/>
            <w:hideMark/>
          </w:tcPr>
          <w:p w14:paraId="1BA12842"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nil"/>
            </w:tcBorders>
            <w:shd w:val="clear" w:color="D9E1F2" w:fill="D9E1F2"/>
            <w:noWrap/>
            <w:vAlign w:val="bottom"/>
            <w:hideMark/>
          </w:tcPr>
          <w:p w14:paraId="10921CC2"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nil"/>
            </w:tcBorders>
            <w:shd w:val="clear" w:color="D9E1F2" w:fill="D9E1F2"/>
            <w:noWrap/>
            <w:vAlign w:val="bottom"/>
            <w:hideMark/>
          </w:tcPr>
          <w:p w14:paraId="5065FB78"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nil"/>
            </w:tcBorders>
            <w:shd w:val="clear" w:color="D9E1F2" w:fill="D9E1F2"/>
            <w:noWrap/>
            <w:vAlign w:val="bottom"/>
            <w:hideMark/>
          </w:tcPr>
          <w:p w14:paraId="736CFEE3"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nil"/>
            </w:tcBorders>
            <w:shd w:val="clear" w:color="D9E1F2" w:fill="D9E1F2"/>
            <w:noWrap/>
            <w:vAlign w:val="bottom"/>
            <w:hideMark/>
          </w:tcPr>
          <w:p w14:paraId="377B3191"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c>
          <w:tcPr>
            <w:tcW w:w="920" w:type="dxa"/>
            <w:tcBorders>
              <w:top w:val="single" w:sz="4" w:space="0" w:color="8EA9DB"/>
              <w:left w:val="nil"/>
              <w:bottom w:val="single" w:sz="4" w:space="0" w:color="8EA9DB"/>
              <w:right w:val="single" w:sz="4" w:space="0" w:color="8EA9DB"/>
            </w:tcBorders>
            <w:shd w:val="clear" w:color="D9E1F2" w:fill="D9E1F2"/>
            <w:noWrap/>
            <w:vAlign w:val="bottom"/>
            <w:hideMark/>
          </w:tcPr>
          <w:p w14:paraId="0C295F1F" w14:textId="77777777" w:rsidR="00797A96" w:rsidRPr="00DD36CC" w:rsidRDefault="00797A96" w:rsidP="00797A96">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473,512</w:t>
            </w:r>
          </w:p>
        </w:tc>
      </w:tr>
    </w:tbl>
    <w:p w14:paraId="7BFF5503" w14:textId="77777777" w:rsidR="00A62D6A" w:rsidRPr="007E663E" w:rsidRDefault="00A62D6A" w:rsidP="00F56845">
      <w:pPr>
        <w:pStyle w:val="Vieta"/>
        <w:numPr>
          <w:ilvl w:val="0"/>
          <w:numId w:val="0"/>
        </w:numPr>
        <w:spacing w:line="240" w:lineRule="auto"/>
        <w:rPr>
          <w:rFonts w:ascii="Arial" w:hAnsi="Arial" w:cs="Arial"/>
          <w:i/>
          <w:lang w:val="es-ES_tradnl"/>
        </w:rPr>
      </w:pPr>
    </w:p>
    <w:p w14:paraId="0D6D3CB1" w14:textId="77777777" w:rsidR="005B2F80" w:rsidRPr="007E663E" w:rsidRDefault="005B2F80" w:rsidP="00F56845">
      <w:pPr>
        <w:pStyle w:val="Vieta"/>
        <w:numPr>
          <w:ilvl w:val="0"/>
          <w:numId w:val="0"/>
        </w:numPr>
        <w:spacing w:line="240" w:lineRule="auto"/>
        <w:rPr>
          <w:rFonts w:ascii="Arial" w:hAnsi="Arial" w:cs="Arial"/>
          <w:i/>
          <w:lang w:val="es-ES_tradnl"/>
        </w:rPr>
      </w:pPr>
      <w:r w:rsidRPr="007E663E">
        <w:rPr>
          <w:rFonts w:ascii="Arial" w:hAnsi="Arial" w:cs="Arial"/>
          <w:i/>
          <w:lang w:val="es-ES_tradnl"/>
        </w:rPr>
        <w:t>Tercer beneficio: Ahorro de tiempo y costos de traslado por atenciones vía web</w:t>
      </w:r>
    </w:p>
    <w:p w14:paraId="32BE1BA8" w14:textId="77777777" w:rsidR="005B2F80" w:rsidRPr="007E663E" w:rsidRDefault="005B2F80" w:rsidP="00F56845">
      <w:pPr>
        <w:pStyle w:val="Vieta"/>
        <w:numPr>
          <w:ilvl w:val="0"/>
          <w:numId w:val="0"/>
        </w:numPr>
        <w:spacing w:line="240" w:lineRule="auto"/>
        <w:rPr>
          <w:rFonts w:ascii="Arial" w:hAnsi="Arial" w:cs="Arial"/>
          <w:lang w:val="es-ES_tradnl"/>
        </w:rPr>
      </w:pPr>
    </w:p>
    <w:p w14:paraId="4237CF34" w14:textId="77777777" w:rsidR="00BD1E78" w:rsidRPr="007E663E" w:rsidRDefault="00BD1E78" w:rsidP="00F56845">
      <w:pPr>
        <w:pStyle w:val="Vieta"/>
        <w:numPr>
          <w:ilvl w:val="0"/>
          <w:numId w:val="0"/>
        </w:numPr>
        <w:spacing w:line="240" w:lineRule="auto"/>
        <w:rPr>
          <w:rFonts w:ascii="Arial" w:hAnsi="Arial" w:cs="Arial"/>
          <w:lang w:val="es-ES_tradnl"/>
        </w:rPr>
      </w:pPr>
      <w:r w:rsidRPr="007E663E">
        <w:rPr>
          <w:rFonts w:ascii="Arial" w:hAnsi="Arial" w:cs="Arial"/>
          <w:lang w:val="es-ES_tradnl"/>
        </w:rPr>
        <w:t xml:space="preserve">Los supuestos para el </w:t>
      </w:r>
      <w:r w:rsidR="002C167A" w:rsidRPr="007E663E">
        <w:rPr>
          <w:rFonts w:ascii="Arial" w:hAnsi="Arial" w:cs="Arial"/>
          <w:lang w:val="es-ES_tradnl"/>
        </w:rPr>
        <w:t>cálculo</w:t>
      </w:r>
      <w:r w:rsidR="00F90129" w:rsidRPr="007E663E">
        <w:rPr>
          <w:rFonts w:ascii="Arial" w:hAnsi="Arial" w:cs="Arial"/>
          <w:lang w:val="es-ES_tradnl"/>
        </w:rPr>
        <w:t xml:space="preserve"> del tercer beneficio asociado con la prestación de servicios web</w:t>
      </w:r>
      <w:r w:rsidRPr="007E663E">
        <w:rPr>
          <w:rFonts w:ascii="Arial" w:hAnsi="Arial" w:cs="Arial"/>
          <w:lang w:val="es-ES_tradnl"/>
        </w:rPr>
        <w:t xml:space="preserve"> se resume en la tabla 5</w:t>
      </w:r>
      <w:r w:rsidR="00FF58E2" w:rsidRPr="007E663E">
        <w:rPr>
          <w:rFonts w:ascii="Arial" w:hAnsi="Arial" w:cs="Arial"/>
          <w:lang w:val="es-ES_tradnl"/>
        </w:rPr>
        <w:t>.</w:t>
      </w:r>
    </w:p>
    <w:p w14:paraId="7214C931" w14:textId="77777777" w:rsidR="00BD1E78" w:rsidRPr="007E663E" w:rsidRDefault="00BD1E78" w:rsidP="00BD1E78">
      <w:pPr>
        <w:pStyle w:val="Vieta"/>
        <w:numPr>
          <w:ilvl w:val="0"/>
          <w:numId w:val="0"/>
        </w:numPr>
        <w:spacing w:line="240" w:lineRule="auto"/>
        <w:rPr>
          <w:rFonts w:ascii="Arial" w:hAnsi="Arial" w:cs="Arial"/>
          <w:lang w:val="es-ES_tradnl"/>
        </w:rPr>
      </w:pPr>
      <w:r w:rsidRPr="007E663E">
        <w:rPr>
          <w:rFonts w:ascii="Arial" w:hAnsi="Arial" w:cs="Arial"/>
          <w:lang w:val="es-ES_tradnl"/>
        </w:rPr>
        <w:t xml:space="preserve"> </w:t>
      </w:r>
    </w:p>
    <w:p w14:paraId="22774BB2" w14:textId="77777777" w:rsidR="00BD1E78" w:rsidRPr="00DD36CC" w:rsidRDefault="00BD1E78" w:rsidP="00BD1E78">
      <w:pPr>
        <w:pStyle w:val="Vieta"/>
        <w:numPr>
          <w:ilvl w:val="0"/>
          <w:numId w:val="0"/>
        </w:numPr>
        <w:spacing w:line="240" w:lineRule="auto"/>
        <w:jc w:val="center"/>
        <w:rPr>
          <w:rFonts w:ascii="Arial" w:hAnsi="Arial" w:cs="Arial"/>
          <w:b/>
          <w:sz w:val="20"/>
          <w:lang w:val="es-ES_tradnl"/>
        </w:rPr>
      </w:pPr>
      <w:r w:rsidRPr="00DD36CC">
        <w:rPr>
          <w:rFonts w:ascii="Arial" w:hAnsi="Arial" w:cs="Arial"/>
          <w:b/>
          <w:sz w:val="20"/>
          <w:lang w:val="es-ES_tradnl"/>
        </w:rPr>
        <w:t xml:space="preserve"> Tabla </w:t>
      </w:r>
      <w:r w:rsidR="00FF58E2" w:rsidRPr="00DD36CC">
        <w:rPr>
          <w:rFonts w:ascii="Arial" w:hAnsi="Arial" w:cs="Arial"/>
          <w:b/>
          <w:sz w:val="20"/>
          <w:lang w:val="es-ES_tradnl"/>
        </w:rPr>
        <w:t>5.</w:t>
      </w:r>
      <w:r w:rsidRPr="00DD36CC">
        <w:rPr>
          <w:rFonts w:ascii="Arial" w:hAnsi="Arial" w:cs="Arial"/>
          <w:b/>
          <w:sz w:val="20"/>
          <w:lang w:val="es-ES_tradnl"/>
        </w:rPr>
        <w:t xml:space="preserve"> Costos asociados a obtener una copia registral certificada via web </w:t>
      </w:r>
    </w:p>
    <w:tbl>
      <w:tblPr>
        <w:tblW w:w="7047" w:type="dxa"/>
        <w:jc w:val="center"/>
        <w:tblLook w:val="04A0" w:firstRow="1" w:lastRow="0" w:firstColumn="1" w:lastColumn="0" w:noHBand="0" w:noVBand="1"/>
      </w:tblPr>
      <w:tblGrid>
        <w:gridCol w:w="2807"/>
        <w:gridCol w:w="1205"/>
        <w:gridCol w:w="915"/>
        <w:gridCol w:w="1205"/>
        <w:gridCol w:w="915"/>
      </w:tblGrid>
      <w:tr w:rsidR="00096BD0" w:rsidRPr="00DD36CC" w14:paraId="07B04D5B" w14:textId="77777777" w:rsidTr="00BD1E78">
        <w:trPr>
          <w:trHeight w:val="276"/>
          <w:jc w:val="center"/>
        </w:trPr>
        <w:tc>
          <w:tcPr>
            <w:tcW w:w="2807" w:type="dxa"/>
            <w:tcBorders>
              <w:top w:val="nil"/>
              <w:left w:val="nil"/>
              <w:bottom w:val="nil"/>
              <w:right w:val="nil"/>
            </w:tcBorders>
            <w:shd w:val="clear" w:color="000000" w:fill="4472C4"/>
            <w:noWrap/>
            <w:vAlign w:val="bottom"/>
            <w:hideMark/>
          </w:tcPr>
          <w:p w14:paraId="559FBEE9" w14:textId="77777777" w:rsidR="00096BD0" w:rsidRPr="00DD36CC" w:rsidRDefault="00096BD0" w:rsidP="00096BD0">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 </w:t>
            </w:r>
          </w:p>
        </w:tc>
        <w:tc>
          <w:tcPr>
            <w:tcW w:w="2120" w:type="dxa"/>
            <w:gridSpan w:val="2"/>
            <w:tcBorders>
              <w:top w:val="nil"/>
              <w:left w:val="nil"/>
              <w:bottom w:val="single" w:sz="4" w:space="0" w:color="8EA9DB"/>
              <w:right w:val="nil"/>
            </w:tcBorders>
            <w:shd w:val="clear" w:color="000000" w:fill="4472C4"/>
            <w:noWrap/>
            <w:vAlign w:val="bottom"/>
            <w:hideMark/>
          </w:tcPr>
          <w:p w14:paraId="6C6BC2EA" w14:textId="77777777" w:rsidR="00096BD0" w:rsidRPr="00DD36CC" w:rsidRDefault="00096BD0" w:rsidP="00096BD0">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Sin Proyecto</w:t>
            </w:r>
          </w:p>
        </w:tc>
        <w:tc>
          <w:tcPr>
            <w:tcW w:w="2120" w:type="dxa"/>
            <w:gridSpan w:val="2"/>
            <w:tcBorders>
              <w:top w:val="nil"/>
              <w:left w:val="nil"/>
              <w:bottom w:val="single" w:sz="4" w:space="0" w:color="8EA9DB"/>
              <w:right w:val="nil"/>
            </w:tcBorders>
            <w:shd w:val="clear" w:color="000000" w:fill="4472C4"/>
            <w:noWrap/>
            <w:vAlign w:val="bottom"/>
            <w:hideMark/>
          </w:tcPr>
          <w:p w14:paraId="7D2175C7" w14:textId="77777777" w:rsidR="00096BD0" w:rsidRPr="00DD36CC" w:rsidRDefault="00096BD0" w:rsidP="00096BD0">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Con Proyecto</w:t>
            </w:r>
          </w:p>
        </w:tc>
      </w:tr>
      <w:tr w:rsidR="00096BD0" w:rsidRPr="00DD36CC" w14:paraId="2255E21B" w14:textId="77777777" w:rsidTr="00BD1E78">
        <w:trPr>
          <w:trHeight w:val="276"/>
          <w:jc w:val="center"/>
        </w:trPr>
        <w:tc>
          <w:tcPr>
            <w:tcW w:w="2807" w:type="dxa"/>
            <w:tcBorders>
              <w:top w:val="single" w:sz="4" w:space="0" w:color="8EA9DB"/>
              <w:left w:val="single" w:sz="4" w:space="0" w:color="8EA9DB"/>
              <w:bottom w:val="single" w:sz="4" w:space="0" w:color="8EA9DB"/>
              <w:right w:val="nil"/>
            </w:tcBorders>
            <w:shd w:val="clear" w:color="D9E1F2" w:fill="D9E1F2"/>
            <w:noWrap/>
            <w:vAlign w:val="bottom"/>
            <w:hideMark/>
          </w:tcPr>
          <w:p w14:paraId="11944B7E"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 </w:t>
            </w:r>
          </w:p>
        </w:tc>
        <w:tc>
          <w:tcPr>
            <w:tcW w:w="1205" w:type="dxa"/>
            <w:tcBorders>
              <w:top w:val="nil"/>
              <w:left w:val="nil"/>
              <w:bottom w:val="single" w:sz="4" w:space="0" w:color="8EA9DB"/>
              <w:right w:val="nil"/>
            </w:tcBorders>
            <w:shd w:val="clear" w:color="D9E1F2" w:fill="D9E1F2"/>
            <w:noWrap/>
            <w:vAlign w:val="bottom"/>
            <w:hideMark/>
          </w:tcPr>
          <w:p w14:paraId="0120D36E"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 xml:space="preserve"> Urbano </w:t>
            </w:r>
          </w:p>
        </w:tc>
        <w:tc>
          <w:tcPr>
            <w:tcW w:w="915" w:type="dxa"/>
            <w:tcBorders>
              <w:top w:val="nil"/>
              <w:left w:val="nil"/>
              <w:bottom w:val="single" w:sz="4" w:space="0" w:color="8EA9DB"/>
              <w:right w:val="nil"/>
            </w:tcBorders>
            <w:shd w:val="clear" w:color="D9E1F2" w:fill="D9E1F2"/>
            <w:noWrap/>
            <w:vAlign w:val="bottom"/>
            <w:hideMark/>
          </w:tcPr>
          <w:p w14:paraId="635BCE58"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 xml:space="preserve"> Rural </w:t>
            </w:r>
          </w:p>
        </w:tc>
        <w:tc>
          <w:tcPr>
            <w:tcW w:w="1205" w:type="dxa"/>
            <w:tcBorders>
              <w:top w:val="nil"/>
              <w:left w:val="nil"/>
              <w:bottom w:val="single" w:sz="4" w:space="0" w:color="8EA9DB"/>
              <w:right w:val="nil"/>
            </w:tcBorders>
            <w:shd w:val="clear" w:color="D9E1F2" w:fill="D9E1F2"/>
            <w:noWrap/>
            <w:vAlign w:val="bottom"/>
            <w:hideMark/>
          </w:tcPr>
          <w:p w14:paraId="5407E654"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 xml:space="preserve"> Urbano </w:t>
            </w:r>
          </w:p>
        </w:tc>
        <w:tc>
          <w:tcPr>
            <w:tcW w:w="915" w:type="dxa"/>
            <w:tcBorders>
              <w:top w:val="nil"/>
              <w:left w:val="nil"/>
              <w:bottom w:val="single" w:sz="4" w:space="0" w:color="8EA9DB"/>
              <w:right w:val="single" w:sz="4" w:space="0" w:color="8EA9DB"/>
            </w:tcBorders>
            <w:shd w:val="clear" w:color="D9E1F2" w:fill="D9E1F2"/>
            <w:noWrap/>
            <w:vAlign w:val="bottom"/>
            <w:hideMark/>
          </w:tcPr>
          <w:p w14:paraId="4E1BFA15"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 xml:space="preserve"> Rural </w:t>
            </w:r>
          </w:p>
        </w:tc>
      </w:tr>
      <w:tr w:rsidR="00096BD0" w:rsidRPr="00DD36CC" w14:paraId="6FBC9F40" w14:textId="77777777" w:rsidTr="00BD1E78">
        <w:trPr>
          <w:trHeight w:val="276"/>
          <w:jc w:val="center"/>
        </w:trPr>
        <w:tc>
          <w:tcPr>
            <w:tcW w:w="2807" w:type="dxa"/>
            <w:tcBorders>
              <w:top w:val="nil"/>
              <w:left w:val="single" w:sz="4" w:space="0" w:color="8EA9DB"/>
              <w:bottom w:val="single" w:sz="4" w:space="0" w:color="8EA9DB"/>
              <w:right w:val="nil"/>
            </w:tcBorders>
            <w:shd w:val="clear" w:color="auto" w:fill="auto"/>
            <w:noWrap/>
            <w:vAlign w:val="bottom"/>
            <w:hideMark/>
          </w:tcPr>
          <w:p w14:paraId="53CFDD8E"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Cantidad de visitas</w:t>
            </w:r>
          </w:p>
        </w:tc>
        <w:tc>
          <w:tcPr>
            <w:tcW w:w="1205" w:type="dxa"/>
            <w:tcBorders>
              <w:top w:val="nil"/>
              <w:left w:val="nil"/>
              <w:bottom w:val="single" w:sz="4" w:space="0" w:color="8EA9DB"/>
              <w:right w:val="nil"/>
            </w:tcBorders>
            <w:shd w:val="clear" w:color="auto" w:fill="auto"/>
            <w:noWrap/>
            <w:vAlign w:val="bottom"/>
            <w:hideMark/>
          </w:tcPr>
          <w:p w14:paraId="68736FD1"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w:t>
            </w:r>
          </w:p>
        </w:tc>
        <w:tc>
          <w:tcPr>
            <w:tcW w:w="915" w:type="dxa"/>
            <w:tcBorders>
              <w:top w:val="nil"/>
              <w:left w:val="nil"/>
              <w:bottom w:val="single" w:sz="4" w:space="0" w:color="8EA9DB"/>
              <w:right w:val="nil"/>
            </w:tcBorders>
            <w:shd w:val="clear" w:color="auto" w:fill="auto"/>
            <w:noWrap/>
            <w:vAlign w:val="bottom"/>
            <w:hideMark/>
          </w:tcPr>
          <w:p w14:paraId="2F959FF6"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w:t>
            </w:r>
          </w:p>
        </w:tc>
        <w:tc>
          <w:tcPr>
            <w:tcW w:w="1205" w:type="dxa"/>
            <w:tcBorders>
              <w:top w:val="nil"/>
              <w:left w:val="nil"/>
              <w:bottom w:val="single" w:sz="4" w:space="0" w:color="8EA9DB"/>
              <w:right w:val="nil"/>
            </w:tcBorders>
            <w:shd w:val="clear" w:color="auto" w:fill="auto"/>
            <w:noWrap/>
            <w:vAlign w:val="bottom"/>
            <w:hideMark/>
          </w:tcPr>
          <w:p w14:paraId="1A265D96"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w:t>
            </w:r>
          </w:p>
        </w:tc>
        <w:tc>
          <w:tcPr>
            <w:tcW w:w="915" w:type="dxa"/>
            <w:tcBorders>
              <w:top w:val="nil"/>
              <w:left w:val="nil"/>
              <w:bottom w:val="single" w:sz="4" w:space="0" w:color="8EA9DB"/>
              <w:right w:val="single" w:sz="4" w:space="0" w:color="8EA9DB"/>
            </w:tcBorders>
            <w:shd w:val="clear" w:color="auto" w:fill="auto"/>
            <w:noWrap/>
            <w:vAlign w:val="bottom"/>
            <w:hideMark/>
          </w:tcPr>
          <w:p w14:paraId="4CE10654"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w:t>
            </w:r>
          </w:p>
        </w:tc>
      </w:tr>
      <w:tr w:rsidR="00096BD0" w:rsidRPr="00DD36CC" w14:paraId="716A1FB9" w14:textId="77777777" w:rsidTr="00BD1E78">
        <w:trPr>
          <w:trHeight w:val="276"/>
          <w:jc w:val="center"/>
        </w:trPr>
        <w:tc>
          <w:tcPr>
            <w:tcW w:w="2807" w:type="dxa"/>
            <w:tcBorders>
              <w:top w:val="nil"/>
              <w:left w:val="single" w:sz="4" w:space="0" w:color="8EA9DB"/>
              <w:bottom w:val="single" w:sz="4" w:space="0" w:color="8EA9DB"/>
              <w:right w:val="nil"/>
            </w:tcBorders>
            <w:shd w:val="clear" w:color="D9E1F2" w:fill="D9E1F2"/>
            <w:noWrap/>
            <w:vAlign w:val="bottom"/>
            <w:hideMark/>
          </w:tcPr>
          <w:p w14:paraId="3236592E" w14:textId="77777777" w:rsidR="00096BD0" w:rsidRPr="00DD36CC" w:rsidRDefault="00096BD0" w:rsidP="00096BD0">
            <w:pPr>
              <w:spacing w:after="0" w:line="240" w:lineRule="auto"/>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Costo del pasaje</w:t>
            </w:r>
          </w:p>
        </w:tc>
        <w:tc>
          <w:tcPr>
            <w:tcW w:w="1205" w:type="dxa"/>
            <w:tcBorders>
              <w:top w:val="nil"/>
              <w:left w:val="nil"/>
              <w:bottom w:val="single" w:sz="4" w:space="0" w:color="8EA9DB"/>
              <w:right w:val="nil"/>
            </w:tcBorders>
            <w:shd w:val="clear" w:color="D9E1F2" w:fill="D9E1F2"/>
            <w:noWrap/>
            <w:vAlign w:val="bottom"/>
            <w:hideMark/>
          </w:tcPr>
          <w:p w14:paraId="6A080829"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4</w:t>
            </w:r>
          </w:p>
        </w:tc>
        <w:tc>
          <w:tcPr>
            <w:tcW w:w="915" w:type="dxa"/>
            <w:tcBorders>
              <w:top w:val="nil"/>
              <w:left w:val="nil"/>
              <w:bottom w:val="single" w:sz="4" w:space="0" w:color="8EA9DB"/>
              <w:right w:val="nil"/>
            </w:tcBorders>
            <w:shd w:val="clear" w:color="D9E1F2" w:fill="D9E1F2"/>
            <w:noWrap/>
            <w:vAlign w:val="bottom"/>
            <w:hideMark/>
          </w:tcPr>
          <w:p w14:paraId="512DED8D"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3</w:t>
            </w:r>
          </w:p>
        </w:tc>
        <w:tc>
          <w:tcPr>
            <w:tcW w:w="1205" w:type="dxa"/>
            <w:tcBorders>
              <w:top w:val="nil"/>
              <w:left w:val="nil"/>
              <w:bottom w:val="single" w:sz="4" w:space="0" w:color="8EA9DB"/>
              <w:right w:val="nil"/>
            </w:tcBorders>
            <w:shd w:val="clear" w:color="D9E1F2" w:fill="D9E1F2"/>
            <w:noWrap/>
            <w:vAlign w:val="bottom"/>
            <w:hideMark/>
          </w:tcPr>
          <w:p w14:paraId="69FF2033"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0</w:t>
            </w:r>
          </w:p>
        </w:tc>
        <w:tc>
          <w:tcPr>
            <w:tcW w:w="915" w:type="dxa"/>
            <w:tcBorders>
              <w:top w:val="nil"/>
              <w:left w:val="nil"/>
              <w:bottom w:val="single" w:sz="4" w:space="0" w:color="8EA9DB"/>
              <w:right w:val="single" w:sz="4" w:space="0" w:color="8EA9DB"/>
            </w:tcBorders>
            <w:shd w:val="clear" w:color="D9E1F2" w:fill="D9E1F2"/>
            <w:noWrap/>
            <w:vAlign w:val="bottom"/>
            <w:hideMark/>
          </w:tcPr>
          <w:p w14:paraId="7B832688" w14:textId="77777777" w:rsidR="00096BD0" w:rsidRPr="00DD36CC" w:rsidRDefault="00096BD0" w:rsidP="00096BD0">
            <w:pPr>
              <w:spacing w:after="0" w:line="240" w:lineRule="auto"/>
              <w:jc w:val="right"/>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0</w:t>
            </w:r>
          </w:p>
        </w:tc>
      </w:tr>
      <w:tr w:rsidR="00096BD0" w:rsidRPr="00DD36CC" w14:paraId="73C46802" w14:textId="77777777" w:rsidTr="00BD1E78">
        <w:trPr>
          <w:trHeight w:val="276"/>
          <w:jc w:val="center"/>
        </w:trPr>
        <w:tc>
          <w:tcPr>
            <w:tcW w:w="2807" w:type="dxa"/>
            <w:tcBorders>
              <w:top w:val="nil"/>
              <w:left w:val="single" w:sz="4" w:space="0" w:color="8EA9DB"/>
              <w:bottom w:val="single" w:sz="4" w:space="0" w:color="8EA9DB"/>
              <w:right w:val="nil"/>
            </w:tcBorders>
            <w:shd w:val="clear" w:color="auto" w:fill="auto"/>
            <w:noWrap/>
            <w:vAlign w:val="bottom"/>
            <w:hideMark/>
          </w:tcPr>
          <w:p w14:paraId="0F4FE0D7" w14:textId="77777777" w:rsidR="00096BD0" w:rsidRPr="00DD36CC" w:rsidRDefault="00096BD0" w:rsidP="00096BD0">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Tiempo de viaje ida y vuelta</w:t>
            </w:r>
          </w:p>
        </w:tc>
        <w:tc>
          <w:tcPr>
            <w:tcW w:w="1205" w:type="dxa"/>
            <w:tcBorders>
              <w:top w:val="nil"/>
              <w:left w:val="nil"/>
              <w:bottom w:val="single" w:sz="4" w:space="0" w:color="8EA9DB"/>
              <w:right w:val="nil"/>
            </w:tcBorders>
            <w:shd w:val="clear" w:color="auto" w:fill="auto"/>
            <w:noWrap/>
            <w:vAlign w:val="bottom"/>
            <w:hideMark/>
          </w:tcPr>
          <w:p w14:paraId="0671497D"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62</w:t>
            </w:r>
          </w:p>
        </w:tc>
        <w:tc>
          <w:tcPr>
            <w:tcW w:w="915" w:type="dxa"/>
            <w:tcBorders>
              <w:top w:val="nil"/>
              <w:left w:val="nil"/>
              <w:bottom w:val="single" w:sz="4" w:space="0" w:color="8EA9DB"/>
              <w:right w:val="nil"/>
            </w:tcBorders>
            <w:shd w:val="clear" w:color="auto" w:fill="auto"/>
            <w:noWrap/>
            <w:vAlign w:val="bottom"/>
            <w:hideMark/>
          </w:tcPr>
          <w:p w14:paraId="431CE86C"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40</w:t>
            </w:r>
          </w:p>
        </w:tc>
        <w:tc>
          <w:tcPr>
            <w:tcW w:w="1205" w:type="dxa"/>
            <w:tcBorders>
              <w:top w:val="nil"/>
              <w:left w:val="nil"/>
              <w:bottom w:val="single" w:sz="4" w:space="0" w:color="8EA9DB"/>
              <w:right w:val="nil"/>
            </w:tcBorders>
            <w:shd w:val="clear" w:color="auto" w:fill="auto"/>
            <w:noWrap/>
            <w:vAlign w:val="bottom"/>
            <w:hideMark/>
          </w:tcPr>
          <w:p w14:paraId="470D50EC"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0</w:t>
            </w:r>
          </w:p>
        </w:tc>
        <w:tc>
          <w:tcPr>
            <w:tcW w:w="915" w:type="dxa"/>
            <w:tcBorders>
              <w:top w:val="nil"/>
              <w:left w:val="nil"/>
              <w:bottom w:val="single" w:sz="4" w:space="0" w:color="8EA9DB"/>
              <w:right w:val="single" w:sz="4" w:space="0" w:color="8EA9DB"/>
            </w:tcBorders>
            <w:shd w:val="clear" w:color="auto" w:fill="auto"/>
            <w:noWrap/>
            <w:vAlign w:val="bottom"/>
            <w:hideMark/>
          </w:tcPr>
          <w:p w14:paraId="64E657D5"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0</w:t>
            </w:r>
          </w:p>
        </w:tc>
      </w:tr>
      <w:tr w:rsidR="00096BD0" w:rsidRPr="00DD36CC" w14:paraId="32F5AC84" w14:textId="77777777" w:rsidTr="00BD1E78">
        <w:trPr>
          <w:trHeight w:val="276"/>
          <w:jc w:val="center"/>
        </w:trPr>
        <w:tc>
          <w:tcPr>
            <w:tcW w:w="2807" w:type="dxa"/>
            <w:tcBorders>
              <w:top w:val="nil"/>
              <w:left w:val="single" w:sz="4" w:space="0" w:color="8EA9DB"/>
              <w:bottom w:val="single" w:sz="4" w:space="0" w:color="8EA9DB"/>
              <w:right w:val="nil"/>
            </w:tcBorders>
            <w:shd w:val="clear" w:color="D9E1F2" w:fill="D9E1F2"/>
            <w:noWrap/>
            <w:vAlign w:val="bottom"/>
            <w:hideMark/>
          </w:tcPr>
          <w:p w14:paraId="50D70891" w14:textId="77777777" w:rsidR="00096BD0" w:rsidRPr="00DD36CC" w:rsidRDefault="00096BD0" w:rsidP="00096BD0">
            <w:pPr>
              <w:spacing w:after="0" w:line="240" w:lineRule="auto"/>
              <w:rPr>
                <w:rFonts w:ascii="Arial" w:eastAsia="Times New Roman" w:hAnsi="Arial" w:cs="Arial"/>
                <w:color w:val="000000"/>
                <w:sz w:val="20"/>
                <w:szCs w:val="20"/>
                <w:lang w:val="es-ES_tradnl"/>
              </w:rPr>
            </w:pPr>
            <w:r w:rsidRPr="00DD36CC">
              <w:rPr>
                <w:rFonts w:ascii="Arial" w:eastAsia="Times New Roman" w:hAnsi="Arial" w:cs="Arial"/>
                <w:color w:val="000000"/>
                <w:sz w:val="20"/>
                <w:szCs w:val="20"/>
                <w:lang w:val="es-ES_tradnl"/>
              </w:rPr>
              <w:t>Tiempo de espera en la cola</w:t>
            </w:r>
          </w:p>
        </w:tc>
        <w:tc>
          <w:tcPr>
            <w:tcW w:w="1205" w:type="dxa"/>
            <w:tcBorders>
              <w:top w:val="nil"/>
              <w:left w:val="nil"/>
              <w:bottom w:val="single" w:sz="4" w:space="0" w:color="8EA9DB"/>
              <w:right w:val="nil"/>
            </w:tcBorders>
            <w:shd w:val="clear" w:color="D9E1F2" w:fill="D9E1F2"/>
            <w:noWrap/>
            <w:vAlign w:val="bottom"/>
            <w:hideMark/>
          </w:tcPr>
          <w:p w14:paraId="6470759F"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12</w:t>
            </w:r>
          </w:p>
        </w:tc>
        <w:tc>
          <w:tcPr>
            <w:tcW w:w="915" w:type="dxa"/>
            <w:tcBorders>
              <w:top w:val="nil"/>
              <w:left w:val="nil"/>
              <w:bottom w:val="single" w:sz="4" w:space="0" w:color="8EA9DB"/>
              <w:right w:val="nil"/>
            </w:tcBorders>
            <w:shd w:val="clear" w:color="D9E1F2" w:fill="D9E1F2"/>
            <w:noWrap/>
            <w:vAlign w:val="bottom"/>
            <w:hideMark/>
          </w:tcPr>
          <w:p w14:paraId="495D3186"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12</w:t>
            </w:r>
          </w:p>
        </w:tc>
        <w:tc>
          <w:tcPr>
            <w:tcW w:w="1205" w:type="dxa"/>
            <w:tcBorders>
              <w:top w:val="nil"/>
              <w:left w:val="nil"/>
              <w:bottom w:val="single" w:sz="4" w:space="0" w:color="8EA9DB"/>
              <w:right w:val="nil"/>
            </w:tcBorders>
            <w:shd w:val="clear" w:color="D9E1F2" w:fill="D9E1F2"/>
            <w:noWrap/>
            <w:vAlign w:val="bottom"/>
            <w:hideMark/>
          </w:tcPr>
          <w:p w14:paraId="1741B694"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0</w:t>
            </w:r>
          </w:p>
        </w:tc>
        <w:tc>
          <w:tcPr>
            <w:tcW w:w="915" w:type="dxa"/>
            <w:tcBorders>
              <w:top w:val="nil"/>
              <w:left w:val="nil"/>
              <w:bottom w:val="single" w:sz="4" w:space="0" w:color="8EA9DB"/>
              <w:right w:val="single" w:sz="4" w:space="0" w:color="8EA9DB"/>
            </w:tcBorders>
            <w:shd w:val="clear" w:color="D9E1F2" w:fill="D9E1F2"/>
            <w:noWrap/>
            <w:vAlign w:val="bottom"/>
            <w:hideMark/>
          </w:tcPr>
          <w:p w14:paraId="4F05F786"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0</w:t>
            </w:r>
          </w:p>
        </w:tc>
      </w:tr>
      <w:tr w:rsidR="00096BD0" w:rsidRPr="00DD36CC" w14:paraId="08E3AC6A" w14:textId="77777777" w:rsidTr="00BD1E78">
        <w:trPr>
          <w:trHeight w:val="276"/>
          <w:jc w:val="center"/>
        </w:trPr>
        <w:tc>
          <w:tcPr>
            <w:tcW w:w="2807" w:type="dxa"/>
            <w:tcBorders>
              <w:top w:val="nil"/>
              <w:left w:val="single" w:sz="4" w:space="0" w:color="8EA9DB"/>
              <w:bottom w:val="single" w:sz="4" w:space="0" w:color="8EA9DB"/>
              <w:right w:val="nil"/>
            </w:tcBorders>
            <w:shd w:val="clear" w:color="auto" w:fill="auto"/>
            <w:noWrap/>
            <w:vAlign w:val="bottom"/>
            <w:hideMark/>
          </w:tcPr>
          <w:p w14:paraId="15E81FD1" w14:textId="77777777" w:rsidR="00096BD0" w:rsidRPr="00DD36CC" w:rsidRDefault="002B5307" w:rsidP="00096BD0">
            <w:pPr>
              <w:spacing w:after="0" w:line="240" w:lineRule="auto"/>
              <w:rPr>
                <w:rFonts w:ascii="Arial" w:eastAsia="Times New Roman" w:hAnsi="Arial" w:cs="Arial"/>
                <w:color w:val="000000"/>
                <w:sz w:val="20"/>
                <w:szCs w:val="20"/>
              </w:rPr>
            </w:pPr>
            <w:r w:rsidRPr="00DD36CC">
              <w:rPr>
                <w:rFonts w:ascii="Arial" w:eastAsia="Times New Roman" w:hAnsi="Arial" w:cs="Arial"/>
                <w:color w:val="000000"/>
                <w:sz w:val="20"/>
                <w:szCs w:val="20"/>
              </w:rPr>
              <w:t>Tiempo de atenció</w:t>
            </w:r>
            <w:r w:rsidR="00096BD0" w:rsidRPr="00DD36CC">
              <w:rPr>
                <w:rFonts w:ascii="Arial" w:eastAsia="Times New Roman" w:hAnsi="Arial" w:cs="Arial"/>
                <w:color w:val="000000"/>
                <w:sz w:val="20"/>
                <w:szCs w:val="20"/>
              </w:rPr>
              <w:t>n</w:t>
            </w:r>
          </w:p>
        </w:tc>
        <w:tc>
          <w:tcPr>
            <w:tcW w:w="1205" w:type="dxa"/>
            <w:tcBorders>
              <w:top w:val="nil"/>
              <w:left w:val="nil"/>
              <w:bottom w:val="single" w:sz="4" w:space="0" w:color="8EA9DB"/>
              <w:right w:val="nil"/>
            </w:tcBorders>
            <w:shd w:val="clear" w:color="auto" w:fill="auto"/>
            <w:noWrap/>
            <w:vAlign w:val="bottom"/>
            <w:hideMark/>
          </w:tcPr>
          <w:p w14:paraId="051962EE"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10</w:t>
            </w:r>
          </w:p>
        </w:tc>
        <w:tc>
          <w:tcPr>
            <w:tcW w:w="915" w:type="dxa"/>
            <w:tcBorders>
              <w:top w:val="nil"/>
              <w:left w:val="nil"/>
              <w:bottom w:val="single" w:sz="4" w:space="0" w:color="8EA9DB"/>
              <w:right w:val="nil"/>
            </w:tcBorders>
            <w:shd w:val="clear" w:color="auto" w:fill="auto"/>
            <w:noWrap/>
            <w:vAlign w:val="bottom"/>
            <w:hideMark/>
          </w:tcPr>
          <w:p w14:paraId="39F4FB4F"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10</w:t>
            </w:r>
          </w:p>
        </w:tc>
        <w:tc>
          <w:tcPr>
            <w:tcW w:w="1205" w:type="dxa"/>
            <w:tcBorders>
              <w:top w:val="nil"/>
              <w:left w:val="nil"/>
              <w:bottom w:val="single" w:sz="4" w:space="0" w:color="8EA9DB"/>
              <w:right w:val="nil"/>
            </w:tcBorders>
            <w:shd w:val="clear" w:color="auto" w:fill="auto"/>
            <w:noWrap/>
            <w:vAlign w:val="bottom"/>
            <w:hideMark/>
          </w:tcPr>
          <w:p w14:paraId="0659DE0B"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5</w:t>
            </w:r>
          </w:p>
        </w:tc>
        <w:tc>
          <w:tcPr>
            <w:tcW w:w="915" w:type="dxa"/>
            <w:tcBorders>
              <w:top w:val="nil"/>
              <w:left w:val="nil"/>
              <w:bottom w:val="single" w:sz="4" w:space="0" w:color="8EA9DB"/>
              <w:right w:val="single" w:sz="4" w:space="0" w:color="8EA9DB"/>
            </w:tcBorders>
            <w:shd w:val="clear" w:color="auto" w:fill="auto"/>
            <w:noWrap/>
            <w:vAlign w:val="bottom"/>
            <w:hideMark/>
          </w:tcPr>
          <w:p w14:paraId="40A80564" w14:textId="77777777" w:rsidR="00096BD0" w:rsidRPr="00DD36CC" w:rsidRDefault="00096BD0" w:rsidP="00096BD0">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5</w:t>
            </w:r>
          </w:p>
        </w:tc>
      </w:tr>
    </w:tbl>
    <w:p w14:paraId="215A253E" w14:textId="77777777" w:rsidR="00BD1E78" w:rsidRPr="007E663E" w:rsidRDefault="00BD1E78" w:rsidP="00BD1E78">
      <w:pPr>
        <w:pStyle w:val="Vieta"/>
        <w:numPr>
          <w:ilvl w:val="0"/>
          <w:numId w:val="0"/>
        </w:numPr>
        <w:spacing w:line="240" w:lineRule="auto"/>
        <w:rPr>
          <w:rFonts w:ascii="Arial" w:hAnsi="Arial" w:cs="Arial"/>
          <w:lang w:val="es-ES_tradnl"/>
        </w:rPr>
      </w:pPr>
    </w:p>
    <w:p w14:paraId="1A5380FC"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lastRenderedPageBreak/>
        <w:t>De este modo el costo unitario de una copia de un acta registral vía web sin proyecto se calcula en 27 soles para los usuarios urbanos y 15.4 soles para los usuarios rurales. Con proyecto los costos de obtener una copa registral vía web serian 25.93 y 14.66 soles, respectivamente.</w:t>
      </w:r>
    </w:p>
    <w:p w14:paraId="108805A3" w14:textId="77777777" w:rsidR="002B5307" w:rsidRDefault="002B5307" w:rsidP="002B5307">
      <w:pPr>
        <w:pStyle w:val="Vieta"/>
        <w:numPr>
          <w:ilvl w:val="0"/>
          <w:numId w:val="0"/>
        </w:numPr>
        <w:spacing w:line="240" w:lineRule="auto"/>
        <w:rPr>
          <w:rFonts w:ascii="Arial" w:hAnsi="Arial" w:cs="Arial"/>
          <w:lang w:val="es-ES_tradnl"/>
        </w:rPr>
      </w:pPr>
    </w:p>
    <w:p w14:paraId="4D4CF9A2"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 xml:space="preserve">Al realizar un promedio ponderado entre la población rural y urbana, se estima que el costo promedio para obtener la copia de un acta registral vía web es de 24.1 soles en el escenario sin proyecto y 23.11 soles con proyecto. Análogamente, al aplicar una tasa de cambio de 3.5 soles por dólar estos valores se traducen en $6.89 y $6.60 dólares respectivamente. En relación con la matriz de resultados el insumo utilizado para el cálculo de los beneficios es el número de copias certificadas que se estiman para el año 4 en </w:t>
      </w:r>
      <w:r>
        <w:rPr>
          <w:rFonts w:ascii="Arial" w:hAnsi="Arial" w:cs="Arial"/>
          <w:b/>
          <w:lang w:val="es-ES_tradnl"/>
        </w:rPr>
        <w:t>255.000</w:t>
      </w:r>
    </w:p>
    <w:p w14:paraId="1D119744" w14:textId="77777777" w:rsidR="002B5307" w:rsidRDefault="002B5307" w:rsidP="002B5307">
      <w:pPr>
        <w:pStyle w:val="Vieta"/>
        <w:numPr>
          <w:ilvl w:val="0"/>
          <w:numId w:val="0"/>
        </w:numPr>
        <w:spacing w:line="240" w:lineRule="auto"/>
        <w:rPr>
          <w:rFonts w:ascii="Arial" w:hAnsi="Arial" w:cs="Arial"/>
          <w:lang w:val="es-ES_tradnl"/>
        </w:rPr>
      </w:pPr>
    </w:p>
    <w:p w14:paraId="46E4D642"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En resumen, los beneficios asociados al ahorro en la obtención de una copia de un acta registral certificada por la digitalización de las actas registrales son:</w:t>
      </w:r>
    </w:p>
    <w:p w14:paraId="53FC718D" w14:textId="77777777" w:rsidR="00BD1E78" w:rsidRPr="007E663E" w:rsidRDefault="00BD1E78" w:rsidP="00BD1E78">
      <w:pPr>
        <w:pStyle w:val="Vieta"/>
        <w:numPr>
          <w:ilvl w:val="0"/>
          <w:numId w:val="0"/>
        </w:numPr>
        <w:spacing w:line="240" w:lineRule="auto"/>
        <w:rPr>
          <w:rFonts w:ascii="Arial" w:hAnsi="Arial" w:cs="Arial"/>
          <w:lang w:val="es-ES_tradnl"/>
        </w:rPr>
      </w:pPr>
    </w:p>
    <w:p w14:paraId="169D0451" w14:textId="77777777" w:rsidR="00A07A5C" w:rsidRPr="007E663E" w:rsidRDefault="00A07A5C" w:rsidP="00F56845">
      <w:pPr>
        <w:pStyle w:val="Vieta"/>
        <w:numPr>
          <w:ilvl w:val="0"/>
          <w:numId w:val="0"/>
        </w:numPr>
        <w:spacing w:line="240" w:lineRule="auto"/>
        <w:rPr>
          <w:rFonts w:ascii="Arial" w:hAnsi="Arial" w:cs="Arial"/>
          <w:lang w:val="es-ES_tradnl"/>
        </w:rPr>
      </w:pPr>
    </w:p>
    <w:tbl>
      <w:tblPr>
        <w:tblW w:w="8320" w:type="dxa"/>
        <w:tblLook w:val="04A0" w:firstRow="1" w:lastRow="0" w:firstColumn="1" w:lastColumn="0" w:noHBand="0" w:noVBand="1"/>
      </w:tblPr>
      <w:tblGrid>
        <w:gridCol w:w="4520"/>
        <w:gridCol w:w="1920"/>
        <w:gridCol w:w="1880"/>
      </w:tblGrid>
      <w:tr w:rsidR="00311FD5" w:rsidRPr="007E663E" w14:paraId="035C4351" w14:textId="77777777" w:rsidTr="004E6927">
        <w:trPr>
          <w:trHeight w:val="276"/>
        </w:trPr>
        <w:tc>
          <w:tcPr>
            <w:tcW w:w="4520" w:type="dxa"/>
            <w:tcBorders>
              <w:top w:val="single" w:sz="4" w:space="0" w:color="8EA9DB"/>
              <w:left w:val="single" w:sz="4" w:space="0" w:color="8EA9DB"/>
              <w:bottom w:val="single" w:sz="4" w:space="0" w:color="8EA9DB"/>
              <w:right w:val="nil"/>
            </w:tcBorders>
            <w:shd w:val="clear" w:color="4472C4" w:fill="4472C4"/>
            <w:noWrap/>
            <w:vAlign w:val="bottom"/>
            <w:hideMark/>
          </w:tcPr>
          <w:p w14:paraId="20BB65F4" w14:textId="77777777" w:rsidR="00311FD5" w:rsidRPr="007E663E" w:rsidRDefault="00311FD5" w:rsidP="004E6927">
            <w:pPr>
              <w:spacing w:after="0" w:line="240" w:lineRule="auto"/>
              <w:rPr>
                <w:rFonts w:ascii="Arial" w:eastAsia="Times New Roman" w:hAnsi="Arial" w:cs="Arial"/>
                <w:b/>
                <w:bCs/>
                <w:color w:val="FFFFFF"/>
                <w:lang w:val="es-ES_tradnl"/>
              </w:rPr>
            </w:pPr>
          </w:p>
        </w:tc>
        <w:tc>
          <w:tcPr>
            <w:tcW w:w="1920" w:type="dxa"/>
            <w:tcBorders>
              <w:top w:val="single" w:sz="4" w:space="0" w:color="8EA9DB"/>
              <w:left w:val="nil"/>
              <w:bottom w:val="single" w:sz="4" w:space="0" w:color="8EA9DB"/>
              <w:right w:val="nil"/>
            </w:tcBorders>
            <w:shd w:val="clear" w:color="4472C4" w:fill="4472C4"/>
            <w:noWrap/>
            <w:vAlign w:val="bottom"/>
            <w:hideMark/>
          </w:tcPr>
          <w:p w14:paraId="504302E7" w14:textId="77777777" w:rsidR="00311FD5" w:rsidRPr="007E663E" w:rsidRDefault="00311FD5" w:rsidP="004E6927">
            <w:pPr>
              <w:spacing w:after="0" w:line="240" w:lineRule="auto"/>
              <w:rPr>
                <w:rFonts w:ascii="Arial" w:eastAsia="Times New Roman" w:hAnsi="Arial" w:cs="Arial"/>
                <w:b/>
                <w:bCs/>
                <w:color w:val="FFFFFF"/>
              </w:rPr>
            </w:pPr>
            <w:r w:rsidRPr="007E663E">
              <w:rPr>
                <w:rFonts w:ascii="Arial" w:eastAsia="Times New Roman" w:hAnsi="Arial" w:cs="Arial"/>
                <w:b/>
                <w:bCs/>
                <w:color w:val="FFFFFF"/>
              </w:rPr>
              <w:t>Urbano</w:t>
            </w:r>
          </w:p>
        </w:tc>
        <w:tc>
          <w:tcPr>
            <w:tcW w:w="1880" w:type="dxa"/>
            <w:tcBorders>
              <w:top w:val="single" w:sz="4" w:space="0" w:color="8EA9DB"/>
              <w:left w:val="nil"/>
              <w:bottom w:val="single" w:sz="4" w:space="0" w:color="8EA9DB"/>
              <w:right w:val="single" w:sz="4" w:space="0" w:color="8EA9DB"/>
            </w:tcBorders>
            <w:shd w:val="clear" w:color="4472C4" w:fill="4472C4"/>
            <w:noWrap/>
            <w:vAlign w:val="bottom"/>
            <w:hideMark/>
          </w:tcPr>
          <w:p w14:paraId="35D339C6" w14:textId="77777777" w:rsidR="00311FD5" w:rsidRPr="007E663E" w:rsidRDefault="00311FD5" w:rsidP="004E6927">
            <w:pPr>
              <w:spacing w:after="0" w:line="240" w:lineRule="auto"/>
              <w:rPr>
                <w:rFonts w:ascii="Arial" w:eastAsia="Times New Roman" w:hAnsi="Arial" w:cs="Arial"/>
                <w:b/>
                <w:bCs/>
                <w:color w:val="FFFFFF"/>
              </w:rPr>
            </w:pPr>
            <w:r w:rsidRPr="007E663E">
              <w:rPr>
                <w:rFonts w:ascii="Arial" w:eastAsia="Times New Roman" w:hAnsi="Arial" w:cs="Arial"/>
                <w:b/>
                <w:bCs/>
                <w:color w:val="FFFFFF"/>
              </w:rPr>
              <w:t>Rural</w:t>
            </w:r>
          </w:p>
        </w:tc>
      </w:tr>
      <w:tr w:rsidR="00311FD5" w:rsidRPr="007E663E" w14:paraId="21057499" w14:textId="77777777" w:rsidTr="004E6927">
        <w:trPr>
          <w:trHeight w:val="276"/>
        </w:trPr>
        <w:tc>
          <w:tcPr>
            <w:tcW w:w="4520" w:type="dxa"/>
            <w:tcBorders>
              <w:top w:val="single" w:sz="4" w:space="0" w:color="8EA9DB"/>
              <w:left w:val="single" w:sz="4" w:space="0" w:color="8EA9DB"/>
              <w:bottom w:val="single" w:sz="4" w:space="0" w:color="8EA9DB"/>
              <w:right w:val="nil"/>
            </w:tcBorders>
            <w:shd w:val="clear" w:color="D9E1F2" w:fill="D9E1F2"/>
            <w:noWrap/>
            <w:vAlign w:val="bottom"/>
            <w:hideMark/>
          </w:tcPr>
          <w:p w14:paraId="058F1A80" w14:textId="77777777" w:rsidR="00311FD5" w:rsidRPr="007E663E" w:rsidRDefault="00311FD5" w:rsidP="004E6927">
            <w:pPr>
              <w:spacing w:after="0" w:line="240" w:lineRule="auto"/>
              <w:rPr>
                <w:rFonts w:ascii="Arial" w:eastAsia="Times New Roman" w:hAnsi="Arial" w:cs="Arial"/>
                <w:color w:val="000000"/>
                <w:lang w:val="es-ES_tradnl"/>
              </w:rPr>
            </w:pPr>
            <w:r w:rsidRPr="007E663E">
              <w:rPr>
                <w:rFonts w:ascii="Arial" w:eastAsia="Times New Roman" w:hAnsi="Arial" w:cs="Arial"/>
                <w:color w:val="000000"/>
                <w:lang w:val="es-ES_tradnl"/>
              </w:rPr>
              <w:t>Beneficio por usuario para acceder a los servicios de registro e identificación vía web (en soles)</w:t>
            </w:r>
          </w:p>
        </w:tc>
        <w:tc>
          <w:tcPr>
            <w:tcW w:w="1920" w:type="dxa"/>
            <w:tcBorders>
              <w:top w:val="single" w:sz="4" w:space="0" w:color="8EA9DB"/>
              <w:left w:val="nil"/>
              <w:bottom w:val="single" w:sz="4" w:space="0" w:color="8EA9DB"/>
              <w:right w:val="nil"/>
            </w:tcBorders>
            <w:shd w:val="clear" w:color="D9E1F2" w:fill="D9E1F2"/>
            <w:noWrap/>
            <w:vAlign w:val="bottom"/>
            <w:hideMark/>
          </w:tcPr>
          <w:p w14:paraId="5DF84A15" w14:textId="77777777" w:rsidR="00311FD5" w:rsidRPr="007E663E" w:rsidRDefault="00311FD5" w:rsidP="004E6927">
            <w:pPr>
              <w:spacing w:after="0" w:line="240" w:lineRule="auto"/>
              <w:jc w:val="right"/>
              <w:rPr>
                <w:rFonts w:ascii="Arial" w:eastAsia="Times New Roman" w:hAnsi="Arial" w:cs="Arial"/>
                <w:color w:val="000000"/>
              </w:rPr>
            </w:pPr>
            <w:r w:rsidRPr="007E663E">
              <w:rPr>
                <w:rFonts w:ascii="Arial" w:eastAsia="Times New Roman" w:hAnsi="Arial" w:cs="Arial"/>
                <w:color w:val="000000"/>
              </w:rPr>
              <w:t>26</w:t>
            </w:r>
          </w:p>
        </w:tc>
        <w:tc>
          <w:tcPr>
            <w:tcW w:w="1880" w:type="dxa"/>
            <w:tcBorders>
              <w:top w:val="single" w:sz="4" w:space="0" w:color="8EA9DB"/>
              <w:left w:val="nil"/>
              <w:bottom w:val="single" w:sz="4" w:space="0" w:color="8EA9DB"/>
              <w:right w:val="single" w:sz="4" w:space="0" w:color="8EA9DB"/>
            </w:tcBorders>
            <w:shd w:val="clear" w:color="D9E1F2" w:fill="D9E1F2"/>
            <w:noWrap/>
            <w:vAlign w:val="bottom"/>
            <w:hideMark/>
          </w:tcPr>
          <w:p w14:paraId="193F0091" w14:textId="77777777" w:rsidR="00311FD5" w:rsidRPr="007E663E" w:rsidRDefault="00311FD5" w:rsidP="004E6927">
            <w:pPr>
              <w:spacing w:after="0" w:line="240" w:lineRule="auto"/>
              <w:jc w:val="right"/>
              <w:rPr>
                <w:rFonts w:ascii="Arial" w:eastAsia="Times New Roman" w:hAnsi="Arial" w:cs="Arial"/>
                <w:color w:val="000000"/>
              </w:rPr>
            </w:pPr>
            <w:r w:rsidRPr="007E663E">
              <w:rPr>
                <w:rFonts w:ascii="Arial" w:eastAsia="Times New Roman" w:hAnsi="Arial" w:cs="Arial"/>
                <w:color w:val="000000"/>
              </w:rPr>
              <w:t>15</w:t>
            </w:r>
          </w:p>
        </w:tc>
      </w:tr>
    </w:tbl>
    <w:p w14:paraId="6956D4B7" w14:textId="77777777" w:rsidR="00096BD0" w:rsidRPr="007E663E" w:rsidRDefault="00096BD0" w:rsidP="00F56845">
      <w:pPr>
        <w:pStyle w:val="Vieta"/>
        <w:numPr>
          <w:ilvl w:val="0"/>
          <w:numId w:val="0"/>
        </w:numPr>
        <w:spacing w:line="240" w:lineRule="auto"/>
        <w:rPr>
          <w:rFonts w:ascii="Arial" w:hAnsi="Arial" w:cs="Arial"/>
          <w:lang w:val="es-ES_tradnl"/>
        </w:rPr>
      </w:pPr>
    </w:p>
    <w:p w14:paraId="432B6718" w14:textId="77777777" w:rsidR="00BD1E78" w:rsidRPr="007E663E" w:rsidRDefault="00BD1E78" w:rsidP="00BD1E78">
      <w:pPr>
        <w:pStyle w:val="Vieta"/>
        <w:numPr>
          <w:ilvl w:val="0"/>
          <w:numId w:val="0"/>
        </w:numPr>
        <w:spacing w:line="240" w:lineRule="auto"/>
        <w:rPr>
          <w:rFonts w:ascii="Arial" w:hAnsi="Arial" w:cs="Arial"/>
          <w:lang w:val="es-ES_tradnl"/>
        </w:rPr>
      </w:pPr>
      <w:r w:rsidRPr="007E663E">
        <w:rPr>
          <w:rFonts w:ascii="Arial" w:hAnsi="Arial" w:cs="Arial"/>
          <w:lang w:val="es-ES_tradnl"/>
        </w:rPr>
        <w:t xml:space="preserve">Para la agregación de beneficios se hacen supuestos sobre el flujo de la demanda por copias de actas registrales </w:t>
      </w:r>
      <w:r w:rsidR="008B2732" w:rsidRPr="007E663E">
        <w:rPr>
          <w:rFonts w:ascii="Arial" w:hAnsi="Arial" w:cs="Arial"/>
          <w:lang w:val="es-ES_tradnl"/>
        </w:rPr>
        <w:t>vía</w:t>
      </w:r>
      <w:r w:rsidRPr="007E663E">
        <w:rPr>
          <w:rFonts w:ascii="Arial" w:hAnsi="Arial" w:cs="Arial"/>
          <w:lang w:val="es-ES_tradnl"/>
        </w:rPr>
        <w:t xml:space="preserve"> web, que es sobre quienes recae el beneficio</w:t>
      </w:r>
      <w:r w:rsidR="0033457E" w:rsidRPr="007E663E">
        <w:rPr>
          <w:rFonts w:ascii="Arial" w:hAnsi="Arial" w:cs="Arial"/>
          <w:lang w:val="es-ES_tradnl"/>
        </w:rPr>
        <w:t>. E</w:t>
      </w:r>
      <w:r w:rsidRPr="007E663E">
        <w:rPr>
          <w:rFonts w:ascii="Arial" w:hAnsi="Arial" w:cs="Arial"/>
          <w:lang w:val="es-ES_tradnl"/>
        </w:rPr>
        <w:t>ste flujo se puede ver de la siguiente manera:</w:t>
      </w:r>
    </w:p>
    <w:p w14:paraId="731ECBCC" w14:textId="77777777" w:rsidR="00BD1E78" w:rsidRPr="007E663E" w:rsidRDefault="00BD1E78" w:rsidP="00BD1E78">
      <w:pPr>
        <w:pStyle w:val="Vieta"/>
        <w:numPr>
          <w:ilvl w:val="0"/>
          <w:numId w:val="0"/>
        </w:numPr>
        <w:spacing w:line="240" w:lineRule="auto"/>
        <w:rPr>
          <w:rFonts w:ascii="Arial" w:hAnsi="Arial" w:cs="Arial"/>
          <w:lang w:val="es-ES_tradnl"/>
        </w:rPr>
      </w:pPr>
    </w:p>
    <w:p w14:paraId="7F7D4745" w14:textId="77777777" w:rsidR="002905B3" w:rsidRPr="00DD36CC" w:rsidRDefault="00BD1E78" w:rsidP="00DD36CC">
      <w:pPr>
        <w:pStyle w:val="Vieta"/>
        <w:numPr>
          <w:ilvl w:val="0"/>
          <w:numId w:val="0"/>
        </w:numPr>
        <w:spacing w:line="240" w:lineRule="auto"/>
        <w:jc w:val="center"/>
        <w:rPr>
          <w:rFonts w:ascii="Arial" w:hAnsi="Arial" w:cs="Arial"/>
          <w:b/>
          <w:sz w:val="20"/>
          <w:lang w:val="es-ES_tradnl"/>
        </w:rPr>
      </w:pPr>
      <w:r w:rsidRPr="00DD36CC">
        <w:rPr>
          <w:rFonts w:ascii="Arial" w:hAnsi="Arial" w:cs="Arial"/>
          <w:b/>
          <w:sz w:val="20"/>
          <w:lang w:val="es-ES_tradnl"/>
        </w:rPr>
        <w:t xml:space="preserve">Tabla </w:t>
      </w:r>
      <w:r w:rsidR="0033457E" w:rsidRPr="00DD36CC">
        <w:rPr>
          <w:rFonts w:ascii="Arial" w:hAnsi="Arial" w:cs="Arial"/>
          <w:b/>
          <w:sz w:val="20"/>
          <w:lang w:val="es-ES_tradnl"/>
        </w:rPr>
        <w:t>6.</w:t>
      </w:r>
      <w:r w:rsidRPr="00DD36CC">
        <w:rPr>
          <w:rFonts w:ascii="Arial" w:hAnsi="Arial" w:cs="Arial"/>
          <w:b/>
          <w:sz w:val="20"/>
          <w:lang w:val="es-ES_tradnl"/>
        </w:rPr>
        <w:t xml:space="preserve"> flujo de demanda por actas registrales fuera de la ciudad de origen</w:t>
      </w:r>
    </w:p>
    <w:tbl>
      <w:tblPr>
        <w:tblW w:w="10120" w:type="dxa"/>
        <w:tblInd w:w="-917" w:type="dxa"/>
        <w:tblLook w:val="04A0" w:firstRow="1" w:lastRow="0" w:firstColumn="1" w:lastColumn="0" w:noHBand="0" w:noVBand="1"/>
      </w:tblPr>
      <w:tblGrid>
        <w:gridCol w:w="1012"/>
        <w:gridCol w:w="1012"/>
        <w:gridCol w:w="1012"/>
        <w:gridCol w:w="1012"/>
        <w:gridCol w:w="1012"/>
        <w:gridCol w:w="1012"/>
        <w:gridCol w:w="1012"/>
        <w:gridCol w:w="1012"/>
        <w:gridCol w:w="1012"/>
        <w:gridCol w:w="1012"/>
      </w:tblGrid>
      <w:tr w:rsidR="00311FD5" w:rsidRPr="00DD36CC" w14:paraId="7C538895" w14:textId="77777777" w:rsidTr="00DD36CC">
        <w:trPr>
          <w:trHeight w:val="276"/>
        </w:trPr>
        <w:tc>
          <w:tcPr>
            <w:tcW w:w="1012" w:type="dxa"/>
            <w:tcBorders>
              <w:top w:val="single" w:sz="4" w:space="0" w:color="8EA9DB"/>
              <w:left w:val="single" w:sz="4" w:space="0" w:color="8EA9DB"/>
              <w:bottom w:val="single" w:sz="4" w:space="0" w:color="8EA9DB"/>
              <w:right w:val="nil"/>
            </w:tcBorders>
            <w:shd w:val="clear" w:color="4472C4" w:fill="4472C4"/>
            <w:noWrap/>
            <w:vAlign w:val="bottom"/>
            <w:hideMark/>
          </w:tcPr>
          <w:p w14:paraId="04240D25"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1</w:t>
            </w:r>
          </w:p>
        </w:tc>
        <w:tc>
          <w:tcPr>
            <w:tcW w:w="1012" w:type="dxa"/>
            <w:tcBorders>
              <w:top w:val="single" w:sz="4" w:space="0" w:color="8EA9DB"/>
              <w:left w:val="nil"/>
              <w:bottom w:val="single" w:sz="4" w:space="0" w:color="8EA9DB"/>
              <w:right w:val="nil"/>
            </w:tcBorders>
            <w:shd w:val="clear" w:color="4472C4" w:fill="4472C4"/>
            <w:noWrap/>
            <w:vAlign w:val="bottom"/>
            <w:hideMark/>
          </w:tcPr>
          <w:p w14:paraId="7618E748"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2</w:t>
            </w:r>
          </w:p>
        </w:tc>
        <w:tc>
          <w:tcPr>
            <w:tcW w:w="1012" w:type="dxa"/>
            <w:tcBorders>
              <w:top w:val="single" w:sz="4" w:space="0" w:color="8EA9DB"/>
              <w:left w:val="nil"/>
              <w:bottom w:val="single" w:sz="4" w:space="0" w:color="8EA9DB"/>
              <w:right w:val="nil"/>
            </w:tcBorders>
            <w:shd w:val="clear" w:color="4472C4" w:fill="4472C4"/>
            <w:noWrap/>
            <w:vAlign w:val="bottom"/>
            <w:hideMark/>
          </w:tcPr>
          <w:p w14:paraId="346DA0C1"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3</w:t>
            </w:r>
          </w:p>
        </w:tc>
        <w:tc>
          <w:tcPr>
            <w:tcW w:w="1012" w:type="dxa"/>
            <w:tcBorders>
              <w:top w:val="single" w:sz="4" w:space="0" w:color="8EA9DB"/>
              <w:left w:val="nil"/>
              <w:bottom w:val="single" w:sz="4" w:space="0" w:color="8EA9DB"/>
              <w:right w:val="nil"/>
            </w:tcBorders>
            <w:shd w:val="clear" w:color="4472C4" w:fill="4472C4"/>
            <w:noWrap/>
            <w:vAlign w:val="bottom"/>
            <w:hideMark/>
          </w:tcPr>
          <w:p w14:paraId="6CBCDFA8"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4</w:t>
            </w:r>
          </w:p>
        </w:tc>
        <w:tc>
          <w:tcPr>
            <w:tcW w:w="1012" w:type="dxa"/>
            <w:tcBorders>
              <w:top w:val="single" w:sz="4" w:space="0" w:color="8EA9DB"/>
              <w:left w:val="nil"/>
              <w:bottom w:val="single" w:sz="4" w:space="0" w:color="8EA9DB"/>
              <w:right w:val="nil"/>
            </w:tcBorders>
            <w:shd w:val="clear" w:color="4472C4" w:fill="4472C4"/>
            <w:noWrap/>
            <w:vAlign w:val="bottom"/>
            <w:hideMark/>
          </w:tcPr>
          <w:p w14:paraId="24DD1E2E"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5</w:t>
            </w:r>
          </w:p>
        </w:tc>
        <w:tc>
          <w:tcPr>
            <w:tcW w:w="1012" w:type="dxa"/>
            <w:tcBorders>
              <w:top w:val="single" w:sz="4" w:space="0" w:color="8EA9DB"/>
              <w:left w:val="nil"/>
              <w:bottom w:val="single" w:sz="4" w:space="0" w:color="8EA9DB"/>
              <w:right w:val="nil"/>
            </w:tcBorders>
            <w:shd w:val="clear" w:color="4472C4" w:fill="4472C4"/>
            <w:noWrap/>
            <w:vAlign w:val="bottom"/>
            <w:hideMark/>
          </w:tcPr>
          <w:p w14:paraId="51DB7EC9"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6</w:t>
            </w:r>
          </w:p>
        </w:tc>
        <w:tc>
          <w:tcPr>
            <w:tcW w:w="1012" w:type="dxa"/>
            <w:tcBorders>
              <w:top w:val="single" w:sz="4" w:space="0" w:color="8EA9DB"/>
              <w:left w:val="single" w:sz="4" w:space="0" w:color="8EA9DB"/>
              <w:bottom w:val="single" w:sz="4" w:space="0" w:color="8EA9DB"/>
              <w:right w:val="nil"/>
            </w:tcBorders>
            <w:shd w:val="clear" w:color="4472C4" w:fill="4472C4"/>
            <w:noWrap/>
            <w:vAlign w:val="bottom"/>
            <w:hideMark/>
          </w:tcPr>
          <w:p w14:paraId="6C9BC813"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7</w:t>
            </w:r>
          </w:p>
        </w:tc>
        <w:tc>
          <w:tcPr>
            <w:tcW w:w="1012" w:type="dxa"/>
            <w:tcBorders>
              <w:top w:val="single" w:sz="4" w:space="0" w:color="8EA9DB"/>
              <w:left w:val="nil"/>
              <w:bottom w:val="single" w:sz="4" w:space="0" w:color="8EA9DB"/>
              <w:right w:val="nil"/>
            </w:tcBorders>
            <w:shd w:val="clear" w:color="4472C4" w:fill="4472C4"/>
            <w:noWrap/>
            <w:vAlign w:val="bottom"/>
            <w:hideMark/>
          </w:tcPr>
          <w:p w14:paraId="2F575FB0"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8</w:t>
            </w:r>
          </w:p>
        </w:tc>
        <w:tc>
          <w:tcPr>
            <w:tcW w:w="1012" w:type="dxa"/>
            <w:tcBorders>
              <w:top w:val="single" w:sz="4" w:space="0" w:color="8EA9DB"/>
              <w:left w:val="nil"/>
              <w:bottom w:val="single" w:sz="4" w:space="0" w:color="8EA9DB"/>
              <w:right w:val="nil"/>
            </w:tcBorders>
            <w:shd w:val="clear" w:color="4472C4" w:fill="4472C4"/>
            <w:noWrap/>
            <w:vAlign w:val="bottom"/>
            <w:hideMark/>
          </w:tcPr>
          <w:p w14:paraId="45FEB43C"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9</w:t>
            </w:r>
          </w:p>
        </w:tc>
        <w:tc>
          <w:tcPr>
            <w:tcW w:w="1012" w:type="dxa"/>
            <w:tcBorders>
              <w:top w:val="single" w:sz="4" w:space="0" w:color="8EA9DB"/>
              <w:left w:val="nil"/>
              <w:bottom w:val="single" w:sz="4" w:space="0" w:color="8EA9DB"/>
              <w:right w:val="nil"/>
            </w:tcBorders>
            <w:shd w:val="clear" w:color="4472C4" w:fill="4472C4"/>
            <w:noWrap/>
            <w:vAlign w:val="bottom"/>
            <w:hideMark/>
          </w:tcPr>
          <w:p w14:paraId="57553EB5" w14:textId="77777777" w:rsidR="00311FD5" w:rsidRPr="00DD36CC" w:rsidRDefault="00311FD5" w:rsidP="00311FD5">
            <w:pPr>
              <w:spacing w:after="0" w:line="240" w:lineRule="auto"/>
              <w:jc w:val="center"/>
              <w:rPr>
                <w:rFonts w:ascii="Arial" w:eastAsia="Times New Roman" w:hAnsi="Arial" w:cs="Arial"/>
                <w:b/>
                <w:bCs/>
                <w:color w:val="FFFFFF"/>
                <w:sz w:val="20"/>
                <w:szCs w:val="20"/>
                <w:lang w:val="es-CO"/>
              </w:rPr>
            </w:pPr>
            <w:r w:rsidRPr="00DD36CC">
              <w:rPr>
                <w:rFonts w:ascii="Arial" w:eastAsia="Times New Roman" w:hAnsi="Arial" w:cs="Arial"/>
                <w:b/>
                <w:bCs/>
                <w:color w:val="FFFFFF"/>
                <w:sz w:val="20"/>
                <w:szCs w:val="20"/>
                <w:lang w:val="es-CO"/>
              </w:rPr>
              <w:t>Año 10</w:t>
            </w:r>
          </w:p>
        </w:tc>
      </w:tr>
      <w:tr w:rsidR="00311FD5" w:rsidRPr="00DD36CC" w14:paraId="1F6E1D44" w14:textId="77777777" w:rsidTr="00DD36CC">
        <w:trPr>
          <w:trHeight w:val="276"/>
        </w:trPr>
        <w:tc>
          <w:tcPr>
            <w:tcW w:w="1012" w:type="dxa"/>
            <w:tcBorders>
              <w:top w:val="nil"/>
              <w:left w:val="single" w:sz="4" w:space="0" w:color="8EA9DB"/>
              <w:bottom w:val="single" w:sz="4" w:space="0" w:color="8EA9DB"/>
              <w:right w:val="nil"/>
            </w:tcBorders>
            <w:shd w:val="clear" w:color="D9E1F2" w:fill="D9E1F2"/>
            <w:noWrap/>
            <w:vAlign w:val="bottom"/>
            <w:hideMark/>
          </w:tcPr>
          <w:p w14:paraId="2BABAC60"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255,466</w:t>
            </w:r>
          </w:p>
        </w:tc>
        <w:tc>
          <w:tcPr>
            <w:tcW w:w="1012" w:type="dxa"/>
            <w:tcBorders>
              <w:top w:val="nil"/>
              <w:left w:val="nil"/>
              <w:bottom w:val="single" w:sz="4" w:space="0" w:color="8EA9DB"/>
              <w:right w:val="nil"/>
            </w:tcBorders>
            <w:shd w:val="clear" w:color="D9E1F2" w:fill="D9E1F2"/>
            <w:noWrap/>
            <w:vAlign w:val="bottom"/>
            <w:hideMark/>
          </w:tcPr>
          <w:p w14:paraId="7400963F"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259,348</w:t>
            </w:r>
          </w:p>
        </w:tc>
        <w:tc>
          <w:tcPr>
            <w:tcW w:w="1012" w:type="dxa"/>
            <w:tcBorders>
              <w:top w:val="nil"/>
              <w:left w:val="nil"/>
              <w:bottom w:val="single" w:sz="4" w:space="0" w:color="8EA9DB"/>
              <w:right w:val="nil"/>
            </w:tcBorders>
            <w:shd w:val="clear" w:color="D9E1F2" w:fill="D9E1F2"/>
            <w:noWrap/>
            <w:vAlign w:val="bottom"/>
            <w:hideMark/>
          </w:tcPr>
          <w:p w14:paraId="5590D1A4"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262,869</w:t>
            </w:r>
          </w:p>
        </w:tc>
        <w:tc>
          <w:tcPr>
            <w:tcW w:w="1012" w:type="dxa"/>
            <w:tcBorders>
              <w:top w:val="nil"/>
              <w:left w:val="nil"/>
              <w:bottom w:val="single" w:sz="4" w:space="0" w:color="8EA9DB"/>
              <w:right w:val="nil"/>
            </w:tcBorders>
            <w:shd w:val="clear" w:color="D9E1F2" w:fill="D9E1F2"/>
            <w:noWrap/>
            <w:vAlign w:val="bottom"/>
            <w:hideMark/>
          </w:tcPr>
          <w:p w14:paraId="2FC76A01"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266,366</w:t>
            </w:r>
          </w:p>
        </w:tc>
        <w:tc>
          <w:tcPr>
            <w:tcW w:w="1012" w:type="dxa"/>
            <w:tcBorders>
              <w:top w:val="nil"/>
              <w:left w:val="nil"/>
              <w:bottom w:val="single" w:sz="4" w:space="0" w:color="8EA9DB"/>
              <w:right w:val="nil"/>
            </w:tcBorders>
            <w:shd w:val="clear" w:color="D9E1F2" w:fill="D9E1F2"/>
            <w:noWrap/>
            <w:vAlign w:val="bottom"/>
            <w:hideMark/>
          </w:tcPr>
          <w:p w14:paraId="103A71A5"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269,834</w:t>
            </w:r>
          </w:p>
        </w:tc>
        <w:tc>
          <w:tcPr>
            <w:tcW w:w="1012" w:type="dxa"/>
            <w:tcBorders>
              <w:top w:val="nil"/>
              <w:left w:val="nil"/>
              <w:bottom w:val="single" w:sz="4" w:space="0" w:color="8EA9DB"/>
              <w:right w:val="nil"/>
            </w:tcBorders>
            <w:shd w:val="clear" w:color="D9E1F2" w:fill="D9E1F2"/>
            <w:noWrap/>
            <w:vAlign w:val="bottom"/>
            <w:hideMark/>
          </w:tcPr>
          <w:p w14:paraId="2D269325"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273,274</w:t>
            </w:r>
          </w:p>
        </w:tc>
        <w:tc>
          <w:tcPr>
            <w:tcW w:w="1012" w:type="dxa"/>
            <w:tcBorders>
              <w:top w:val="nil"/>
              <w:left w:val="single" w:sz="4" w:space="0" w:color="8EA9DB"/>
              <w:bottom w:val="single" w:sz="4" w:space="0" w:color="8EA9DB"/>
              <w:right w:val="nil"/>
            </w:tcBorders>
            <w:shd w:val="clear" w:color="D9E1F2" w:fill="D9E1F2"/>
            <w:noWrap/>
            <w:vAlign w:val="bottom"/>
            <w:hideMark/>
          </w:tcPr>
          <w:p w14:paraId="3BE7C1DE"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276,689</w:t>
            </w:r>
          </w:p>
        </w:tc>
        <w:tc>
          <w:tcPr>
            <w:tcW w:w="1012" w:type="dxa"/>
            <w:tcBorders>
              <w:top w:val="nil"/>
              <w:left w:val="nil"/>
              <w:bottom w:val="single" w:sz="4" w:space="0" w:color="8EA9DB"/>
              <w:right w:val="nil"/>
            </w:tcBorders>
            <w:shd w:val="clear" w:color="D9E1F2" w:fill="D9E1F2"/>
            <w:noWrap/>
            <w:vAlign w:val="bottom"/>
            <w:hideMark/>
          </w:tcPr>
          <w:p w14:paraId="450529CE" w14:textId="77777777" w:rsidR="00311FD5" w:rsidRPr="00DD36CC" w:rsidRDefault="00311FD5" w:rsidP="00311FD5">
            <w:pPr>
              <w:spacing w:after="0" w:line="240" w:lineRule="auto"/>
              <w:jc w:val="center"/>
              <w:rPr>
                <w:rFonts w:ascii="Arial" w:eastAsia="Times New Roman" w:hAnsi="Arial" w:cs="Arial"/>
                <w:color w:val="000000"/>
                <w:sz w:val="20"/>
                <w:szCs w:val="20"/>
                <w:lang w:val="es-CO"/>
              </w:rPr>
            </w:pPr>
            <w:r w:rsidRPr="00DD36CC">
              <w:rPr>
                <w:rFonts w:ascii="Arial" w:eastAsia="Times New Roman" w:hAnsi="Arial" w:cs="Arial"/>
                <w:color w:val="000000"/>
                <w:sz w:val="20"/>
                <w:szCs w:val="20"/>
                <w:lang w:val="es-CO"/>
              </w:rPr>
              <w:t>280,076</w:t>
            </w:r>
          </w:p>
        </w:tc>
        <w:tc>
          <w:tcPr>
            <w:tcW w:w="1012" w:type="dxa"/>
            <w:tcBorders>
              <w:top w:val="nil"/>
              <w:left w:val="nil"/>
              <w:bottom w:val="single" w:sz="4" w:space="0" w:color="8EA9DB"/>
              <w:right w:val="nil"/>
            </w:tcBorders>
            <w:shd w:val="clear" w:color="D9E1F2" w:fill="D9E1F2"/>
            <w:noWrap/>
            <w:vAlign w:val="bottom"/>
            <w:hideMark/>
          </w:tcPr>
          <w:p w14:paraId="72219A9A" w14:textId="77777777" w:rsidR="00311FD5" w:rsidRPr="00DD36CC" w:rsidRDefault="00311FD5" w:rsidP="00311FD5">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283,422</w:t>
            </w:r>
          </w:p>
        </w:tc>
        <w:tc>
          <w:tcPr>
            <w:tcW w:w="1012" w:type="dxa"/>
            <w:tcBorders>
              <w:top w:val="nil"/>
              <w:left w:val="nil"/>
              <w:bottom w:val="single" w:sz="4" w:space="0" w:color="8EA9DB"/>
              <w:right w:val="nil"/>
            </w:tcBorders>
            <w:shd w:val="clear" w:color="D9E1F2" w:fill="D9E1F2"/>
            <w:noWrap/>
            <w:vAlign w:val="bottom"/>
            <w:hideMark/>
          </w:tcPr>
          <w:p w14:paraId="0E34ECD3" w14:textId="77777777" w:rsidR="00311FD5" w:rsidRPr="00DD36CC" w:rsidRDefault="00311FD5" w:rsidP="00311FD5">
            <w:pPr>
              <w:spacing w:after="0" w:line="240" w:lineRule="auto"/>
              <w:jc w:val="center"/>
              <w:rPr>
                <w:rFonts w:ascii="Arial" w:eastAsia="Times New Roman" w:hAnsi="Arial" w:cs="Arial"/>
                <w:color w:val="000000"/>
                <w:sz w:val="20"/>
                <w:szCs w:val="20"/>
              </w:rPr>
            </w:pPr>
            <w:r w:rsidRPr="00DD36CC">
              <w:rPr>
                <w:rFonts w:ascii="Arial" w:eastAsia="Times New Roman" w:hAnsi="Arial" w:cs="Arial"/>
                <w:color w:val="000000"/>
                <w:sz w:val="20"/>
                <w:szCs w:val="20"/>
              </w:rPr>
              <w:t>286,718</w:t>
            </w:r>
          </w:p>
        </w:tc>
      </w:tr>
    </w:tbl>
    <w:p w14:paraId="5E657F89" w14:textId="77777777" w:rsidR="00BD1E78" w:rsidRDefault="00BD1E78">
      <w:pPr>
        <w:pStyle w:val="Vieta"/>
        <w:numPr>
          <w:ilvl w:val="0"/>
          <w:numId w:val="0"/>
        </w:numPr>
        <w:spacing w:line="240" w:lineRule="auto"/>
        <w:rPr>
          <w:rFonts w:ascii="Arial" w:hAnsi="Arial" w:cs="Arial"/>
          <w:i/>
          <w:lang w:val="es-ES_tradnl"/>
        </w:rPr>
      </w:pPr>
    </w:p>
    <w:p w14:paraId="76DA8FB2" w14:textId="77777777" w:rsidR="002B5307" w:rsidRDefault="002B5307" w:rsidP="002B5307">
      <w:pPr>
        <w:pStyle w:val="Vieta"/>
        <w:numPr>
          <w:ilvl w:val="0"/>
          <w:numId w:val="0"/>
        </w:numPr>
        <w:spacing w:line="240" w:lineRule="auto"/>
        <w:rPr>
          <w:rFonts w:ascii="Arial" w:hAnsi="Arial" w:cs="Arial"/>
          <w:i/>
          <w:lang w:val="es-ES_tradnl"/>
        </w:rPr>
      </w:pPr>
      <w:r>
        <w:rPr>
          <w:rFonts w:ascii="Arial" w:hAnsi="Arial" w:cs="Arial"/>
          <w:i/>
          <w:lang w:val="es-ES_tradnl"/>
        </w:rPr>
        <w:t>Cuarto beneficio: Ahorro en costos de envíos para tramites de DNI y actas registrales</w:t>
      </w:r>
    </w:p>
    <w:p w14:paraId="39C79334" w14:textId="77777777" w:rsidR="002B5307" w:rsidRDefault="002B5307" w:rsidP="002B5307">
      <w:pPr>
        <w:pStyle w:val="Vieta"/>
        <w:numPr>
          <w:ilvl w:val="0"/>
          <w:numId w:val="0"/>
        </w:numPr>
        <w:spacing w:line="240" w:lineRule="auto"/>
        <w:rPr>
          <w:rFonts w:ascii="Arial" w:hAnsi="Arial" w:cs="Arial"/>
          <w:i/>
          <w:lang w:val="es-ES_tradnl"/>
        </w:rPr>
      </w:pPr>
    </w:p>
    <w:p w14:paraId="38670F54"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El cálculo de este beneficio se divide en dos partes, la primera hace referencia a los ahorros por la implementación en equipos de escaneo que permitirá ahorrar el envió de expedientes para el trámite de los documentos de identificación. El escenario sin proyecto, el costo de envió por kilogramo de papel se estima en 13.82 soles, con el proyecto el 100% de este costo se eliminará. Según RENIEC el flujo de expedientes se puede proyectar de la siguiente manera</w:t>
      </w:r>
    </w:p>
    <w:p w14:paraId="64C3D065" w14:textId="77777777" w:rsidR="00DD36CC" w:rsidRDefault="00DD36CC" w:rsidP="00DD36CC">
      <w:pPr>
        <w:pStyle w:val="Vieta"/>
        <w:numPr>
          <w:ilvl w:val="0"/>
          <w:numId w:val="0"/>
        </w:numPr>
        <w:spacing w:line="240" w:lineRule="auto"/>
        <w:rPr>
          <w:rFonts w:ascii="Arial" w:hAnsi="Arial" w:cs="Arial"/>
          <w:lang w:val="es-ES_tradnl"/>
        </w:rPr>
      </w:pPr>
    </w:p>
    <w:p w14:paraId="471EAC73" w14:textId="77777777" w:rsidR="002B5307" w:rsidRPr="00DD36CC" w:rsidRDefault="002B5307" w:rsidP="00DD36CC">
      <w:pPr>
        <w:pStyle w:val="Vieta"/>
        <w:numPr>
          <w:ilvl w:val="0"/>
          <w:numId w:val="0"/>
        </w:numPr>
        <w:spacing w:line="240" w:lineRule="auto"/>
        <w:jc w:val="center"/>
        <w:rPr>
          <w:rFonts w:ascii="Arial" w:hAnsi="Arial" w:cs="Arial"/>
          <w:b/>
          <w:sz w:val="20"/>
          <w:lang w:val="es-ES_tradnl"/>
        </w:rPr>
      </w:pPr>
      <w:r>
        <w:rPr>
          <w:rFonts w:ascii="Arial" w:hAnsi="Arial" w:cs="Arial"/>
          <w:lang w:val="es-ES_tradnl"/>
        </w:rPr>
        <w:t xml:space="preserve"> </w:t>
      </w:r>
      <w:r w:rsidRPr="00DD36CC">
        <w:rPr>
          <w:rFonts w:ascii="Arial" w:hAnsi="Arial" w:cs="Arial"/>
          <w:b/>
          <w:sz w:val="20"/>
          <w:lang w:val="es-ES_tradnl"/>
        </w:rPr>
        <w:t>Tabla 7. Flujo de envió de expedientes por correo para tramites de identificación</w:t>
      </w:r>
    </w:p>
    <w:tbl>
      <w:tblPr>
        <w:tblW w:w="6608" w:type="pct"/>
        <w:tblInd w:w="-1336" w:type="dxa"/>
        <w:tblCellMar>
          <w:left w:w="70" w:type="dxa"/>
          <w:right w:w="70" w:type="dxa"/>
        </w:tblCellMar>
        <w:tblLook w:val="04A0" w:firstRow="1" w:lastRow="0" w:firstColumn="1" w:lastColumn="0" w:noHBand="0" w:noVBand="1"/>
      </w:tblPr>
      <w:tblGrid>
        <w:gridCol w:w="4025"/>
        <w:gridCol w:w="687"/>
        <w:gridCol w:w="687"/>
        <w:gridCol w:w="687"/>
        <w:gridCol w:w="687"/>
        <w:gridCol w:w="687"/>
        <w:gridCol w:w="687"/>
        <w:gridCol w:w="687"/>
        <w:gridCol w:w="687"/>
        <w:gridCol w:w="687"/>
        <w:gridCol w:w="758"/>
      </w:tblGrid>
      <w:tr w:rsidR="002B5307" w14:paraId="5FBFC5A1" w14:textId="77777777" w:rsidTr="00DD36CC">
        <w:trPr>
          <w:trHeight w:val="300"/>
        </w:trPr>
        <w:tc>
          <w:tcPr>
            <w:tcW w:w="1835" w:type="pct"/>
            <w:tcBorders>
              <w:top w:val="single" w:sz="4" w:space="0" w:color="8EA9DB"/>
              <w:left w:val="single" w:sz="4" w:space="0" w:color="8EA9DB"/>
              <w:bottom w:val="single" w:sz="4" w:space="0" w:color="8EA9DB"/>
              <w:right w:val="nil"/>
            </w:tcBorders>
            <w:shd w:val="clear" w:color="auto" w:fill="4472C4"/>
            <w:noWrap/>
            <w:tcMar>
              <w:top w:w="15" w:type="dxa"/>
              <w:left w:w="70" w:type="dxa"/>
              <w:bottom w:w="15" w:type="dxa"/>
              <w:right w:w="70" w:type="dxa"/>
            </w:tcMar>
            <w:vAlign w:val="bottom"/>
            <w:hideMark/>
          </w:tcPr>
          <w:p w14:paraId="7ECA97FB" w14:textId="77777777" w:rsidR="002B5307" w:rsidRDefault="002B5307">
            <w:pPr>
              <w:rPr>
                <w:rFonts w:ascii="Arial" w:hAnsi="Arial" w:cs="Arial"/>
                <w:lang w:val="es-ES_tradnl"/>
              </w:rPr>
            </w:pP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3D358114"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1</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48A5B0B6"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2</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177904CB"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3</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18B9AEF3"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4</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26795388"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5</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1786452D"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6</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15188EBD"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7</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6A28B5C2"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8</w:t>
            </w:r>
          </w:p>
        </w:tc>
        <w:tc>
          <w:tcPr>
            <w:tcW w:w="313" w:type="pct"/>
            <w:tcBorders>
              <w:top w:val="single" w:sz="4" w:space="0" w:color="8EA9DB"/>
              <w:left w:val="nil"/>
              <w:bottom w:val="single" w:sz="4" w:space="0" w:color="8EA9DB"/>
              <w:right w:val="nil"/>
            </w:tcBorders>
            <w:shd w:val="clear" w:color="auto" w:fill="4472C4"/>
            <w:noWrap/>
            <w:tcMar>
              <w:top w:w="15" w:type="dxa"/>
              <w:left w:w="70" w:type="dxa"/>
              <w:bottom w:w="15" w:type="dxa"/>
              <w:right w:w="70" w:type="dxa"/>
            </w:tcMar>
            <w:vAlign w:val="bottom"/>
            <w:hideMark/>
          </w:tcPr>
          <w:p w14:paraId="36D1D028"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9</w:t>
            </w:r>
          </w:p>
        </w:tc>
        <w:tc>
          <w:tcPr>
            <w:tcW w:w="346" w:type="pct"/>
            <w:tcBorders>
              <w:top w:val="single" w:sz="4" w:space="0" w:color="8EA9DB"/>
              <w:left w:val="nil"/>
              <w:bottom w:val="single" w:sz="4" w:space="0" w:color="8EA9DB"/>
              <w:right w:val="single" w:sz="4" w:space="0" w:color="8EA9DB"/>
            </w:tcBorders>
            <w:shd w:val="clear" w:color="auto" w:fill="4472C4"/>
            <w:noWrap/>
            <w:tcMar>
              <w:top w:w="15" w:type="dxa"/>
              <w:left w:w="70" w:type="dxa"/>
              <w:bottom w:w="15" w:type="dxa"/>
              <w:right w:w="70" w:type="dxa"/>
            </w:tcMar>
            <w:vAlign w:val="bottom"/>
            <w:hideMark/>
          </w:tcPr>
          <w:p w14:paraId="2A2B71F6" w14:textId="77777777" w:rsidR="002B5307" w:rsidRDefault="002B5307">
            <w:pPr>
              <w:spacing w:after="0" w:line="240" w:lineRule="auto"/>
              <w:rPr>
                <w:rFonts w:eastAsia="Times New Roman"/>
                <w:b/>
                <w:bCs/>
                <w:color w:val="FFFFFF"/>
                <w:lang w:val="es-CO" w:eastAsia="es-CO"/>
              </w:rPr>
            </w:pPr>
            <w:r>
              <w:rPr>
                <w:rFonts w:eastAsia="Times New Roman"/>
                <w:b/>
                <w:bCs/>
                <w:color w:val="FFFFFF"/>
                <w:lang w:val="es-CO" w:eastAsia="es-CO"/>
              </w:rPr>
              <w:t>año 10</w:t>
            </w:r>
          </w:p>
        </w:tc>
      </w:tr>
      <w:tr w:rsidR="002B5307" w14:paraId="01308D0C" w14:textId="77777777" w:rsidTr="00DD36CC">
        <w:trPr>
          <w:trHeight w:val="300"/>
        </w:trPr>
        <w:tc>
          <w:tcPr>
            <w:tcW w:w="1835" w:type="pct"/>
            <w:noWrap/>
            <w:tcMar>
              <w:top w:w="15" w:type="dxa"/>
              <w:left w:w="70" w:type="dxa"/>
              <w:bottom w:w="15" w:type="dxa"/>
              <w:right w:w="70" w:type="dxa"/>
            </w:tcMar>
            <w:vAlign w:val="bottom"/>
            <w:hideMark/>
          </w:tcPr>
          <w:p w14:paraId="5B0D9478" w14:textId="77777777" w:rsidR="002B5307" w:rsidRDefault="002B5307">
            <w:pPr>
              <w:spacing w:after="0" w:line="240" w:lineRule="auto"/>
              <w:rPr>
                <w:rFonts w:eastAsia="Times New Roman"/>
                <w:color w:val="000000"/>
                <w:sz w:val="14"/>
                <w:szCs w:val="14"/>
                <w:lang w:val="es-CO" w:eastAsia="es-CO"/>
              </w:rPr>
            </w:pPr>
            <w:r>
              <w:rPr>
                <w:rFonts w:eastAsia="Times New Roman"/>
                <w:color w:val="000000"/>
                <w:sz w:val="14"/>
                <w:szCs w:val="14"/>
                <w:lang w:val="es-CO" w:eastAsia="es-CO"/>
              </w:rPr>
              <w:t>PROGRAMACIÓN DE ATENCIONES EN TRÁMITES DE IDENTIFICACIÓN</w:t>
            </w:r>
          </w:p>
        </w:tc>
        <w:tc>
          <w:tcPr>
            <w:tcW w:w="313" w:type="pct"/>
            <w:noWrap/>
            <w:tcMar>
              <w:top w:w="15" w:type="dxa"/>
              <w:left w:w="70" w:type="dxa"/>
              <w:bottom w:w="15" w:type="dxa"/>
              <w:right w:w="70" w:type="dxa"/>
            </w:tcMar>
            <w:vAlign w:val="bottom"/>
            <w:hideMark/>
          </w:tcPr>
          <w:p w14:paraId="33059769"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4,027,294</w:t>
            </w:r>
          </w:p>
        </w:tc>
        <w:tc>
          <w:tcPr>
            <w:tcW w:w="313" w:type="pct"/>
            <w:noWrap/>
            <w:tcMar>
              <w:top w:w="15" w:type="dxa"/>
              <w:left w:w="70" w:type="dxa"/>
              <w:bottom w:w="15" w:type="dxa"/>
              <w:right w:w="70" w:type="dxa"/>
            </w:tcMar>
            <w:vAlign w:val="bottom"/>
            <w:hideMark/>
          </w:tcPr>
          <w:p w14:paraId="788E6C7C"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4,080,090</w:t>
            </w:r>
          </w:p>
        </w:tc>
        <w:tc>
          <w:tcPr>
            <w:tcW w:w="313" w:type="pct"/>
            <w:noWrap/>
            <w:tcMar>
              <w:top w:w="15" w:type="dxa"/>
              <w:left w:w="70" w:type="dxa"/>
              <w:bottom w:w="15" w:type="dxa"/>
              <w:right w:w="70" w:type="dxa"/>
            </w:tcMar>
            <w:vAlign w:val="bottom"/>
            <w:hideMark/>
          </w:tcPr>
          <w:p w14:paraId="0AE4CCFB"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4,132,458</w:t>
            </w:r>
          </w:p>
        </w:tc>
        <w:tc>
          <w:tcPr>
            <w:tcW w:w="313" w:type="pct"/>
            <w:noWrap/>
            <w:tcMar>
              <w:top w:w="15" w:type="dxa"/>
              <w:left w:w="70" w:type="dxa"/>
              <w:bottom w:w="15" w:type="dxa"/>
              <w:right w:w="70" w:type="dxa"/>
            </w:tcMar>
            <w:vAlign w:val="bottom"/>
            <w:hideMark/>
          </w:tcPr>
          <w:p w14:paraId="06987D72"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4,184,566</w:t>
            </w:r>
          </w:p>
        </w:tc>
        <w:tc>
          <w:tcPr>
            <w:tcW w:w="313" w:type="pct"/>
            <w:noWrap/>
            <w:tcMar>
              <w:top w:w="15" w:type="dxa"/>
              <w:left w:w="70" w:type="dxa"/>
              <w:bottom w:w="15" w:type="dxa"/>
              <w:right w:w="70" w:type="dxa"/>
            </w:tcMar>
            <w:vAlign w:val="bottom"/>
            <w:hideMark/>
          </w:tcPr>
          <w:p w14:paraId="23114419"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4,236,218</w:t>
            </w:r>
          </w:p>
        </w:tc>
        <w:tc>
          <w:tcPr>
            <w:tcW w:w="313" w:type="pct"/>
            <w:noWrap/>
            <w:tcMar>
              <w:top w:w="15" w:type="dxa"/>
              <w:left w:w="70" w:type="dxa"/>
              <w:bottom w:w="15" w:type="dxa"/>
              <w:right w:w="70" w:type="dxa"/>
            </w:tcMar>
            <w:vAlign w:val="bottom"/>
            <w:hideMark/>
          </w:tcPr>
          <w:p w14:paraId="686E4A12"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4,287,418</w:t>
            </w:r>
          </w:p>
        </w:tc>
        <w:tc>
          <w:tcPr>
            <w:tcW w:w="313" w:type="pct"/>
            <w:noWrap/>
            <w:tcMar>
              <w:top w:w="15" w:type="dxa"/>
              <w:left w:w="70" w:type="dxa"/>
              <w:bottom w:w="15" w:type="dxa"/>
              <w:right w:w="70" w:type="dxa"/>
            </w:tcMar>
            <w:vAlign w:val="bottom"/>
            <w:hideMark/>
          </w:tcPr>
          <w:p w14:paraId="6A1C9051"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4,338,232</w:t>
            </w:r>
          </w:p>
        </w:tc>
        <w:tc>
          <w:tcPr>
            <w:tcW w:w="313" w:type="pct"/>
            <w:noWrap/>
            <w:tcMar>
              <w:top w:w="15" w:type="dxa"/>
              <w:left w:w="70" w:type="dxa"/>
              <w:bottom w:w="15" w:type="dxa"/>
              <w:right w:w="70" w:type="dxa"/>
            </w:tcMar>
            <w:vAlign w:val="bottom"/>
            <w:hideMark/>
          </w:tcPr>
          <w:p w14:paraId="64D97653"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4,388,598</w:t>
            </w:r>
          </w:p>
        </w:tc>
        <w:tc>
          <w:tcPr>
            <w:tcW w:w="313" w:type="pct"/>
            <w:noWrap/>
            <w:tcMar>
              <w:top w:w="15" w:type="dxa"/>
              <w:left w:w="70" w:type="dxa"/>
              <w:bottom w:w="15" w:type="dxa"/>
              <w:right w:w="70" w:type="dxa"/>
            </w:tcMar>
            <w:vAlign w:val="bottom"/>
            <w:hideMark/>
          </w:tcPr>
          <w:p w14:paraId="059D3482"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4,438,350</w:t>
            </w:r>
          </w:p>
        </w:tc>
        <w:tc>
          <w:tcPr>
            <w:tcW w:w="346" w:type="pct"/>
            <w:noWrap/>
            <w:tcMar>
              <w:top w:w="15" w:type="dxa"/>
              <w:left w:w="70" w:type="dxa"/>
              <w:bottom w:w="15" w:type="dxa"/>
              <w:right w:w="70" w:type="dxa"/>
            </w:tcMar>
            <w:vAlign w:val="bottom"/>
            <w:hideMark/>
          </w:tcPr>
          <w:p w14:paraId="7AF41758" w14:textId="77777777" w:rsidR="002B5307" w:rsidRDefault="002B5307">
            <w:pPr>
              <w:spacing w:after="0" w:line="240" w:lineRule="auto"/>
              <w:jc w:val="right"/>
              <w:rPr>
                <w:rFonts w:eastAsia="Times New Roman"/>
                <w:color w:val="000000"/>
                <w:sz w:val="12"/>
                <w:szCs w:val="12"/>
                <w:lang w:val="es-CO" w:eastAsia="es-CO"/>
              </w:rPr>
            </w:pPr>
            <w:r>
              <w:rPr>
                <w:rFonts w:eastAsia="Times New Roman"/>
                <w:color w:val="000000"/>
                <w:sz w:val="12"/>
                <w:szCs w:val="12"/>
                <w:lang w:val="es-CO" w:eastAsia="es-CO"/>
              </w:rPr>
              <w:t>4,487,329</w:t>
            </w:r>
          </w:p>
        </w:tc>
      </w:tr>
      <w:tr w:rsidR="002B5307" w14:paraId="144B9E52" w14:textId="77777777" w:rsidTr="00DD36CC">
        <w:trPr>
          <w:trHeight w:val="300"/>
        </w:trPr>
        <w:tc>
          <w:tcPr>
            <w:tcW w:w="1835" w:type="pct"/>
            <w:noWrap/>
            <w:tcMar>
              <w:top w:w="15" w:type="dxa"/>
              <w:left w:w="70" w:type="dxa"/>
              <w:bottom w:w="15" w:type="dxa"/>
              <w:right w:w="70" w:type="dxa"/>
            </w:tcMar>
            <w:vAlign w:val="bottom"/>
            <w:hideMark/>
          </w:tcPr>
          <w:p w14:paraId="3E9FC56C" w14:textId="77777777" w:rsidR="002B5307" w:rsidRDefault="002B5307">
            <w:pPr>
              <w:spacing w:after="0" w:line="240" w:lineRule="auto"/>
              <w:rPr>
                <w:rFonts w:eastAsia="Times New Roman"/>
                <w:color w:val="000000"/>
                <w:sz w:val="14"/>
                <w:szCs w:val="14"/>
                <w:lang w:val="es-CO" w:eastAsia="es-CO"/>
              </w:rPr>
            </w:pPr>
            <w:r>
              <w:rPr>
                <w:rFonts w:eastAsia="Times New Roman"/>
                <w:color w:val="000000"/>
                <w:sz w:val="14"/>
                <w:szCs w:val="14"/>
                <w:lang w:val="es-CO" w:eastAsia="es-CO"/>
              </w:rPr>
              <w:t>PROGRAMACIÓN DE CANTIDAD DE PAPELES A ENVIAR</w:t>
            </w:r>
          </w:p>
        </w:tc>
        <w:tc>
          <w:tcPr>
            <w:tcW w:w="313" w:type="pct"/>
            <w:noWrap/>
            <w:tcMar>
              <w:top w:w="15" w:type="dxa"/>
              <w:left w:w="70" w:type="dxa"/>
              <w:bottom w:w="15" w:type="dxa"/>
              <w:right w:w="70" w:type="dxa"/>
            </w:tcMar>
            <w:vAlign w:val="bottom"/>
            <w:hideMark/>
          </w:tcPr>
          <w:p w14:paraId="1265A5B1"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12,081,881</w:t>
            </w:r>
          </w:p>
        </w:tc>
        <w:tc>
          <w:tcPr>
            <w:tcW w:w="313" w:type="pct"/>
            <w:noWrap/>
            <w:tcMar>
              <w:top w:w="15" w:type="dxa"/>
              <w:left w:w="70" w:type="dxa"/>
              <w:bottom w:w="15" w:type="dxa"/>
              <w:right w:w="70" w:type="dxa"/>
            </w:tcMar>
            <w:vAlign w:val="bottom"/>
            <w:hideMark/>
          </w:tcPr>
          <w:p w14:paraId="609233FE"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12,240,271</w:t>
            </w:r>
          </w:p>
        </w:tc>
        <w:tc>
          <w:tcPr>
            <w:tcW w:w="313" w:type="pct"/>
            <w:noWrap/>
            <w:tcMar>
              <w:top w:w="15" w:type="dxa"/>
              <w:left w:w="70" w:type="dxa"/>
              <w:bottom w:w="15" w:type="dxa"/>
              <w:right w:w="70" w:type="dxa"/>
            </w:tcMar>
            <w:vAlign w:val="bottom"/>
            <w:hideMark/>
          </w:tcPr>
          <w:p w14:paraId="63E1760E"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12,397,375</w:t>
            </w:r>
          </w:p>
        </w:tc>
        <w:tc>
          <w:tcPr>
            <w:tcW w:w="313" w:type="pct"/>
            <w:noWrap/>
            <w:tcMar>
              <w:top w:w="15" w:type="dxa"/>
              <w:left w:w="70" w:type="dxa"/>
              <w:bottom w:w="15" w:type="dxa"/>
              <w:right w:w="70" w:type="dxa"/>
            </w:tcMar>
            <w:vAlign w:val="bottom"/>
            <w:hideMark/>
          </w:tcPr>
          <w:p w14:paraId="5B7AEEAC"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12,553,699</w:t>
            </w:r>
          </w:p>
        </w:tc>
        <w:tc>
          <w:tcPr>
            <w:tcW w:w="313" w:type="pct"/>
            <w:noWrap/>
            <w:tcMar>
              <w:top w:w="15" w:type="dxa"/>
              <w:left w:w="70" w:type="dxa"/>
              <w:bottom w:w="15" w:type="dxa"/>
              <w:right w:w="70" w:type="dxa"/>
            </w:tcMar>
            <w:vAlign w:val="bottom"/>
            <w:hideMark/>
          </w:tcPr>
          <w:p w14:paraId="1623126E"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12,708,655</w:t>
            </w:r>
          </w:p>
        </w:tc>
        <w:tc>
          <w:tcPr>
            <w:tcW w:w="313" w:type="pct"/>
            <w:noWrap/>
            <w:tcMar>
              <w:top w:w="15" w:type="dxa"/>
              <w:left w:w="70" w:type="dxa"/>
              <w:bottom w:w="15" w:type="dxa"/>
              <w:right w:w="70" w:type="dxa"/>
            </w:tcMar>
            <w:vAlign w:val="bottom"/>
            <w:hideMark/>
          </w:tcPr>
          <w:p w14:paraId="5A86C68C"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12,862,254</w:t>
            </w:r>
          </w:p>
        </w:tc>
        <w:tc>
          <w:tcPr>
            <w:tcW w:w="313" w:type="pct"/>
            <w:noWrap/>
            <w:tcMar>
              <w:top w:w="15" w:type="dxa"/>
              <w:left w:w="70" w:type="dxa"/>
              <w:bottom w:w="15" w:type="dxa"/>
              <w:right w:w="70" w:type="dxa"/>
            </w:tcMar>
            <w:vAlign w:val="bottom"/>
            <w:hideMark/>
          </w:tcPr>
          <w:p w14:paraId="7F7BD8B9"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13,014,697</w:t>
            </w:r>
          </w:p>
        </w:tc>
        <w:tc>
          <w:tcPr>
            <w:tcW w:w="313" w:type="pct"/>
            <w:noWrap/>
            <w:tcMar>
              <w:top w:w="15" w:type="dxa"/>
              <w:left w:w="70" w:type="dxa"/>
              <w:bottom w:w="15" w:type="dxa"/>
              <w:right w:w="70" w:type="dxa"/>
            </w:tcMar>
            <w:vAlign w:val="bottom"/>
            <w:hideMark/>
          </w:tcPr>
          <w:p w14:paraId="4D3638AD"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13,165,795</w:t>
            </w:r>
          </w:p>
        </w:tc>
        <w:tc>
          <w:tcPr>
            <w:tcW w:w="313" w:type="pct"/>
            <w:noWrap/>
            <w:tcMar>
              <w:top w:w="15" w:type="dxa"/>
              <w:left w:w="70" w:type="dxa"/>
              <w:bottom w:w="15" w:type="dxa"/>
              <w:right w:w="70" w:type="dxa"/>
            </w:tcMar>
            <w:vAlign w:val="bottom"/>
            <w:hideMark/>
          </w:tcPr>
          <w:p w14:paraId="34292E46"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13,315,051</w:t>
            </w:r>
          </w:p>
        </w:tc>
        <w:tc>
          <w:tcPr>
            <w:tcW w:w="346" w:type="pct"/>
            <w:noWrap/>
            <w:tcMar>
              <w:top w:w="15" w:type="dxa"/>
              <w:left w:w="70" w:type="dxa"/>
              <w:bottom w:w="15" w:type="dxa"/>
              <w:right w:w="70" w:type="dxa"/>
            </w:tcMar>
            <w:vAlign w:val="bottom"/>
            <w:hideMark/>
          </w:tcPr>
          <w:p w14:paraId="2AE0FCB6" w14:textId="77777777" w:rsidR="002B5307" w:rsidRDefault="002B5307">
            <w:pPr>
              <w:spacing w:after="0" w:line="240" w:lineRule="auto"/>
              <w:jc w:val="right"/>
              <w:rPr>
                <w:rFonts w:eastAsia="Times New Roman"/>
                <w:color w:val="000000"/>
                <w:sz w:val="12"/>
                <w:szCs w:val="12"/>
                <w:lang w:val="es-CO" w:eastAsia="es-CO"/>
              </w:rPr>
            </w:pPr>
            <w:r>
              <w:rPr>
                <w:rFonts w:eastAsia="Times New Roman"/>
                <w:color w:val="000000"/>
                <w:sz w:val="12"/>
                <w:szCs w:val="12"/>
                <w:lang w:val="es-CO" w:eastAsia="es-CO"/>
              </w:rPr>
              <w:t>13,461,987</w:t>
            </w:r>
          </w:p>
        </w:tc>
      </w:tr>
      <w:tr w:rsidR="002B5307" w14:paraId="008B9365" w14:textId="77777777" w:rsidTr="00DD36CC">
        <w:trPr>
          <w:trHeight w:val="300"/>
        </w:trPr>
        <w:tc>
          <w:tcPr>
            <w:tcW w:w="1835" w:type="pct"/>
            <w:noWrap/>
            <w:tcMar>
              <w:top w:w="15" w:type="dxa"/>
              <w:left w:w="70" w:type="dxa"/>
              <w:bottom w:w="15" w:type="dxa"/>
              <w:right w:w="70" w:type="dxa"/>
            </w:tcMar>
            <w:vAlign w:val="bottom"/>
            <w:hideMark/>
          </w:tcPr>
          <w:p w14:paraId="34057F37" w14:textId="77777777" w:rsidR="002B5307" w:rsidRDefault="002B5307">
            <w:pPr>
              <w:spacing w:after="0" w:line="240" w:lineRule="auto"/>
              <w:rPr>
                <w:rFonts w:eastAsia="Times New Roman"/>
                <w:color w:val="000000"/>
                <w:sz w:val="14"/>
                <w:szCs w:val="14"/>
                <w:lang w:val="es-CO" w:eastAsia="es-CO"/>
              </w:rPr>
            </w:pPr>
            <w:r>
              <w:rPr>
                <w:rFonts w:eastAsia="Times New Roman"/>
                <w:color w:val="000000"/>
                <w:sz w:val="14"/>
                <w:szCs w:val="14"/>
                <w:lang w:val="es-CO" w:eastAsia="es-CO"/>
              </w:rPr>
              <w:t>PESO EN KILOGRAMOS A ENVIAR POR COURIER</w:t>
            </w:r>
          </w:p>
        </w:tc>
        <w:tc>
          <w:tcPr>
            <w:tcW w:w="313" w:type="pct"/>
            <w:noWrap/>
            <w:tcMar>
              <w:top w:w="15" w:type="dxa"/>
              <w:left w:w="70" w:type="dxa"/>
              <w:bottom w:w="15" w:type="dxa"/>
              <w:right w:w="70" w:type="dxa"/>
            </w:tcMar>
            <w:vAlign w:val="bottom"/>
            <w:hideMark/>
          </w:tcPr>
          <w:p w14:paraId="51EE2923"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68,504</w:t>
            </w:r>
          </w:p>
        </w:tc>
        <w:tc>
          <w:tcPr>
            <w:tcW w:w="313" w:type="pct"/>
            <w:noWrap/>
            <w:tcMar>
              <w:top w:w="15" w:type="dxa"/>
              <w:left w:w="70" w:type="dxa"/>
              <w:bottom w:w="15" w:type="dxa"/>
              <w:right w:w="70" w:type="dxa"/>
            </w:tcMar>
            <w:vAlign w:val="bottom"/>
            <w:hideMark/>
          </w:tcPr>
          <w:p w14:paraId="38ACFA7C"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69,402</w:t>
            </w:r>
          </w:p>
        </w:tc>
        <w:tc>
          <w:tcPr>
            <w:tcW w:w="313" w:type="pct"/>
            <w:noWrap/>
            <w:tcMar>
              <w:top w:w="15" w:type="dxa"/>
              <w:left w:w="70" w:type="dxa"/>
              <w:bottom w:w="15" w:type="dxa"/>
              <w:right w:w="70" w:type="dxa"/>
            </w:tcMar>
            <w:vAlign w:val="bottom"/>
            <w:hideMark/>
          </w:tcPr>
          <w:p w14:paraId="5F12278F"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70,293</w:t>
            </w:r>
          </w:p>
        </w:tc>
        <w:tc>
          <w:tcPr>
            <w:tcW w:w="313" w:type="pct"/>
            <w:noWrap/>
            <w:tcMar>
              <w:top w:w="15" w:type="dxa"/>
              <w:left w:w="70" w:type="dxa"/>
              <w:bottom w:w="15" w:type="dxa"/>
              <w:right w:w="70" w:type="dxa"/>
            </w:tcMar>
            <w:vAlign w:val="bottom"/>
            <w:hideMark/>
          </w:tcPr>
          <w:p w14:paraId="568481D9"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71,179</w:t>
            </w:r>
          </w:p>
        </w:tc>
        <w:tc>
          <w:tcPr>
            <w:tcW w:w="313" w:type="pct"/>
            <w:noWrap/>
            <w:tcMar>
              <w:top w:w="15" w:type="dxa"/>
              <w:left w:w="70" w:type="dxa"/>
              <w:bottom w:w="15" w:type="dxa"/>
              <w:right w:w="70" w:type="dxa"/>
            </w:tcMar>
            <w:vAlign w:val="bottom"/>
            <w:hideMark/>
          </w:tcPr>
          <w:p w14:paraId="34764710"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72,058</w:t>
            </w:r>
          </w:p>
        </w:tc>
        <w:tc>
          <w:tcPr>
            <w:tcW w:w="313" w:type="pct"/>
            <w:noWrap/>
            <w:tcMar>
              <w:top w:w="15" w:type="dxa"/>
              <w:left w:w="70" w:type="dxa"/>
              <w:bottom w:w="15" w:type="dxa"/>
              <w:right w:w="70" w:type="dxa"/>
            </w:tcMar>
            <w:vAlign w:val="bottom"/>
            <w:hideMark/>
          </w:tcPr>
          <w:p w14:paraId="3890F380"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72,929</w:t>
            </w:r>
          </w:p>
        </w:tc>
        <w:tc>
          <w:tcPr>
            <w:tcW w:w="313" w:type="pct"/>
            <w:noWrap/>
            <w:tcMar>
              <w:top w:w="15" w:type="dxa"/>
              <w:left w:w="70" w:type="dxa"/>
              <w:bottom w:w="15" w:type="dxa"/>
              <w:right w:w="70" w:type="dxa"/>
            </w:tcMar>
            <w:vAlign w:val="bottom"/>
            <w:hideMark/>
          </w:tcPr>
          <w:p w14:paraId="2BDA424E"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73,793</w:t>
            </w:r>
          </w:p>
        </w:tc>
        <w:tc>
          <w:tcPr>
            <w:tcW w:w="313" w:type="pct"/>
            <w:noWrap/>
            <w:tcMar>
              <w:top w:w="15" w:type="dxa"/>
              <w:left w:w="70" w:type="dxa"/>
              <w:bottom w:w="15" w:type="dxa"/>
              <w:right w:w="70" w:type="dxa"/>
            </w:tcMar>
            <w:vAlign w:val="bottom"/>
            <w:hideMark/>
          </w:tcPr>
          <w:p w14:paraId="6F2E64C7"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74,650</w:t>
            </w:r>
          </w:p>
        </w:tc>
        <w:tc>
          <w:tcPr>
            <w:tcW w:w="313" w:type="pct"/>
            <w:noWrap/>
            <w:tcMar>
              <w:top w:w="15" w:type="dxa"/>
              <w:left w:w="70" w:type="dxa"/>
              <w:bottom w:w="15" w:type="dxa"/>
              <w:right w:w="70" w:type="dxa"/>
            </w:tcMar>
            <w:vAlign w:val="bottom"/>
            <w:hideMark/>
          </w:tcPr>
          <w:p w14:paraId="61DD1A35" w14:textId="77777777" w:rsidR="002B5307" w:rsidRPr="002B5307" w:rsidRDefault="002B5307">
            <w:pPr>
              <w:spacing w:after="0" w:line="240" w:lineRule="auto"/>
              <w:jc w:val="right"/>
              <w:rPr>
                <w:rFonts w:eastAsia="Times New Roman"/>
                <w:color w:val="000000"/>
                <w:sz w:val="12"/>
                <w:szCs w:val="12"/>
                <w:lang w:val="es-CO" w:eastAsia="es-CO"/>
              </w:rPr>
            </w:pPr>
            <w:r w:rsidRPr="002B5307">
              <w:rPr>
                <w:rFonts w:eastAsia="Times New Roman"/>
                <w:color w:val="000000"/>
                <w:sz w:val="12"/>
                <w:szCs w:val="12"/>
                <w:lang w:val="es-CO" w:eastAsia="es-CO"/>
              </w:rPr>
              <w:t>75,496</w:t>
            </w:r>
          </w:p>
        </w:tc>
        <w:tc>
          <w:tcPr>
            <w:tcW w:w="346" w:type="pct"/>
            <w:noWrap/>
            <w:tcMar>
              <w:top w:w="15" w:type="dxa"/>
              <w:left w:w="70" w:type="dxa"/>
              <w:bottom w:w="15" w:type="dxa"/>
              <w:right w:w="70" w:type="dxa"/>
            </w:tcMar>
            <w:vAlign w:val="bottom"/>
            <w:hideMark/>
          </w:tcPr>
          <w:p w14:paraId="7A433D17" w14:textId="77777777" w:rsidR="002B5307" w:rsidRDefault="002B5307">
            <w:pPr>
              <w:spacing w:after="0" w:line="240" w:lineRule="auto"/>
              <w:jc w:val="right"/>
              <w:rPr>
                <w:rFonts w:eastAsia="Times New Roman"/>
                <w:color w:val="000000"/>
                <w:sz w:val="12"/>
                <w:szCs w:val="12"/>
                <w:lang w:val="es-CO" w:eastAsia="es-CO"/>
              </w:rPr>
            </w:pPr>
            <w:r>
              <w:rPr>
                <w:rFonts w:eastAsia="Times New Roman"/>
                <w:color w:val="000000"/>
                <w:sz w:val="12"/>
                <w:szCs w:val="12"/>
                <w:lang w:val="es-CO" w:eastAsia="es-CO"/>
              </w:rPr>
              <w:t>76,329</w:t>
            </w:r>
          </w:p>
        </w:tc>
      </w:tr>
    </w:tbl>
    <w:p w14:paraId="05A23CDF" w14:textId="77777777" w:rsidR="002B5307" w:rsidRDefault="002B5307" w:rsidP="002B5307">
      <w:pPr>
        <w:pStyle w:val="Vieta"/>
        <w:numPr>
          <w:ilvl w:val="0"/>
          <w:numId w:val="0"/>
        </w:numPr>
        <w:spacing w:line="240" w:lineRule="auto"/>
        <w:rPr>
          <w:rFonts w:ascii="Arial" w:hAnsi="Arial" w:cs="Arial"/>
          <w:lang w:val="es-ES_tradnl"/>
        </w:rPr>
      </w:pPr>
    </w:p>
    <w:p w14:paraId="3C05ECD0" w14:textId="77777777" w:rsidR="002B5307" w:rsidRDefault="002B5307" w:rsidP="002B5307">
      <w:pPr>
        <w:pStyle w:val="Vieta"/>
        <w:numPr>
          <w:ilvl w:val="0"/>
          <w:numId w:val="0"/>
        </w:numPr>
        <w:spacing w:line="240" w:lineRule="auto"/>
        <w:rPr>
          <w:rFonts w:ascii="Arial" w:hAnsi="Arial" w:cs="Arial"/>
          <w:b/>
          <w:lang w:val="es-ES_tradnl"/>
        </w:rPr>
      </w:pPr>
      <w:r>
        <w:rPr>
          <w:rFonts w:ascii="Arial" w:hAnsi="Arial" w:cs="Arial"/>
          <w:lang w:val="es-ES_tradnl"/>
        </w:rPr>
        <w:t xml:space="preserve">De esta manera para el primer año, la multiplicación de 68,504 kilogramos por el costo unitario de envío (soles /kg) implica que sin el proyecto el costo sería </w:t>
      </w:r>
      <w:r>
        <w:rPr>
          <w:rFonts w:ascii="Arial" w:hAnsi="Arial" w:cs="Arial"/>
          <w:lang w:val="es-ES_tradnl"/>
        </w:rPr>
        <w:lastRenderedPageBreak/>
        <w:t xml:space="preserve">de 947,145 soles que a una tasa de cambio de 3.5 soles por dólar </w:t>
      </w:r>
      <w:r>
        <w:rPr>
          <w:rFonts w:ascii="Arial" w:hAnsi="Arial" w:cs="Arial"/>
          <w:b/>
          <w:lang w:val="es-ES_tradnl"/>
        </w:rPr>
        <w:t>significa 270,613 dólares</w:t>
      </w:r>
    </w:p>
    <w:p w14:paraId="4A5AB692" w14:textId="77777777" w:rsidR="002B5307" w:rsidRDefault="002B5307" w:rsidP="002B5307">
      <w:pPr>
        <w:pStyle w:val="Vieta"/>
        <w:numPr>
          <w:ilvl w:val="0"/>
          <w:numId w:val="0"/>
        </w:numPr>
        <w:spacing w:line="240" w:lineRule="auto"/>
        <w:rPr>
          <w:rFonts w:ascii="Arial" w:hAnsi="Arial" w:cs="Arial"/>
          <w:lang w:val="es-ES_tradnl"/>
        </w:rPr>
      </w:pPr>
    </w:p>
    <w:p w14:paraId="151AD2D0"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La segunda parte, se refiere al ahorro derivado de la descentralización de la impresión de los documentos de Lima, lo cual disminuye los costos de envió que en un escenario sin proyecto son 13.82 soles por kilogramo. En un escenario con proyecto, donde hay una descentralización de las impresiones, se calcula un costo de 8 soles por kilogramo (la reducción debiéndose a una menor distancia de envío), equivalente a un ahorro de 5.82 soles por kilogramo.</w:t>
      </w:r>
    </w:p>
    <w:p w14:paraId="41162BE3" w14:textId="77777777" w:rsidR="002B5307" w:rsidRDefault="002B5307" w:rsidP="002B5307">
      <w:pPr>
        <w:pStyle w:val="Vieta"/>
        <w:numPr>
          <w:ilvl w:val="0"/>
          <w:numId w:val="0"/>
        </w:numPr>
        <w:spacing w:line="240" w:lineRule="auto"/>
        <w:rPr>
          <w:rFonts w:ascii="Arial" w:hAnsi="Arial" w:cs="Arial"/>
          <w:lang w:val="es-ES_tradnl"/>
        </w:rPr>
      </w:pPr>
    </w:p>
    <w:p w14:paraId="0A9E7165"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Para agregar los beneficios se multiplica este ahorro por el estimado de envíos en kilogramos anualmente.</w:t>
      </w:r>
    </w:p>
    <w:p w14:paraId="7B70DF91" w14:textId="77777777" w:rsidR="002B5307" w:rsidRDefault="002B5307" w:rsidP="002B5307">
      <w:pPr>
        <w:pStyle w:val="Vieta"/>
        <w:numPr>
          <w:ilvl w:val="0"/>
          <w:numId w:val="0"/>
        </w:numPr>
        <w:spacing w:line="240" w:lineRule="auto"/>
        <w:rPr>
          <w:rFonts w:ascii="Arial" w:hAnsi="Arial" w:cs="Arial"/>
          <w:lang w:val="es-ES_tradnl"/>
        </w:rPr>
      </w:pPr>
    </w:p>
    <w:p w14:paraId="343DC080" w14:textId="77777777" w:rsidR="002B5307" w:rsidRPr="00DD36CC" w:rsidRDefault="002B5307" w:rsidP="00DD36CC">
      <w:pPr>
        <w:pStyle w:val="Vieta"/>
        <w:numPr>
          <w:ilvl w:val="0"/>
          <w:numId w:val="0"/>
        </w:numPr>
        <w:spacing w:line="240" w:lineRule="auto"/>
        <w:jc w:val="center"/>
        <w:rPr>
          <w:rFonts w:ascii="Arial" w:hAnsi="Arial" w:cs="Arial"/>
          <w:b/>
          <w:sz w:val="20"/>
          <w:lang w:val="es-ES_tradnl"/>
        </w:rPr>
      </w:pPr>
      <w:r w:rsidRPr="00DD36CC">
        <w:rPr>
          <w:rFonts w:ascii="Arial" w:hAnsi="Arial" w:cs="Arial"/>
          <w:b/>
          <w:sz w:val="20"/>
          <w:lang w:val="es-ES_tradnl"/>
        </w:rPr>
        <w:t>Tabla 8. Flujo de envió de DNI por correo, para entrega al ciudadano</w:t>
      </w:r>
    </w:p>
    <w:p w14:paraId="400ECE09" w14:textId="77777777" w:rsidR="002B5307" w:rsidRDefault="002B5307" w:rsidP="00DD36CC">
      <w:pPr>
        <w:pStyle w:val="Vieta"/>
        <w:numPr>
          <w:ilvl w:val="0"/>
          <w:numId w:val="0"/>
        </w:numPr>
        <w:spacing w:line="240" w:lineRule="auto"/>
        <w:rPr>
          <w:rFonts w:ascii="Arial" w:hAnsi="Arial" w:cs="Arial"/>
          <w:lang w:val="es-ES_tradnl"/>
        </w:rPr>
      </w:pPr>
      <w:r>
        <w:rPr>
          <w:rFonts w:ascii="Arial" w:hAnsi="Arial" w:cs="Arial"/>
          <w:noProof/>
          <w:lang w:val="en-US"/>
        </w:rPr>
        <w:drawing>
          <wp:inline distT="0" distB="0" distL="0" distR="0" wp14:anchorId="6E9FD675" wp14:editId="04F332A1">
            <wp:extent cx="6225540" cy="9525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25540" cy="952500"/>
                    </a:xfrm>
                    <a:prstGeom prst="rect">
                      <a:avLst/>
                    </a:prstGeom>
                    <a:noFill/>
                    <a:ln>
                      <a:noFill/>
                    </a:ln>
                  </pic:spPr>
                </pic:pic>
              </a:graphicData>
            </a:graphic>
          </wp:inline>
        </w:drawing>
      </w:r>
    </w:p>
    <w:p w14:paraId="1302F974" w14:textId="77777777" w:rsidR="002B5307" w:rsidRDefault="002B5307" w:rsidP="002B5307">
      <w:pPr>
        <w:pStyle w:val="Vieta"/>
        <w:numPr>
          <w:ilvl w:val="0"/>
          <w:numId w:val="0"/>
        </w:numPr>
        <w:spacing w:line="240" w:lineRule="auto"/>
        <w:rPr>
          <w:rFonts w:ascii="Arial" w:hAnsi="Arial" w:cs="Arial"/>
          <w:lang w:val="es-ES_tradnl"/>
        </w:rPr>
      </w:pPr>
    </w:p>
    <w:p w14:paraId="742883DF" w14:textId="77777777" w:rsidR="002B5307" w:rsidRDefault="002B5307" w:rsidP="002B5307">
      <w:pPr>
        <w:pStyle w:val="Vieta"/>
        <w:numPr>
          <w:ilvl w:val="0"/>
          <w:numId w:val="0"/>
        </w:numPr>
        <w:spacing w:line="240" w:lineRule="auto"/>
        <w:rPr>
          <w:rFonts w:ascii="Arial" w:hAnsi="Arial" w:cs="Arial"/>
          <w:lang w:val="es-ES_tradnl"/>
        </w:rPr>
      </w:pPr>
    </w:p>
    <w:p w14:paraId="5157ECB5"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 xml:space="preserve">La relación con la matriz de resultados se puede ver en el cómputo del costo de envío por kilogramo en línea de base 13.82 soles por los 102,172 kilogramos a enviar en promedio, esto significa en 1,412,017 soles que utilizando una tasa de cambio de 3.5 soles por dólar se traduce en </w:t>
      </w:r>
      <w:r>
        <w:rPr>
          <w:rFonts w:ascii="Arial" w:hAnsi="Arial" w:cs="Arial"/>
          <w:b/>
          <w:lang w:val="es-ES_tradnl"/>
        </w:rPr>
        <w:t>$</w:t>
      </w:r>
      <w:r w:rsidR="00DD36CC">
        <w:rPr>
          <w:rFonts w:ascii="Arial" w:hAnsi="Arial" w:cs="Arial"/>
          <w:b/>
          <w:lang w:val="es-ES_tradnl"/>
        </w:rPr>
        <w:t>403,433 (</w:t>
      </w:r>
      <w:r>
        <w:rPr>
          <w:rFonts w:ascii="Arial" w:hAnsi="Arial" w:cs="Arial"/>
          <w:b/>
          <w:lang w:val="es-ES_tradnl"/>
        </w:rPr>
        <w:t xml:space="preserve">403 miles de </w:t>
      </w:r>
      <w:r w:rsidR="00DD36CC">
        <w:rPr>
          <w:rFonts w:ascii="Arial" w:hAnsi="Arial" w:cs="Arial"/>
          <w:b/>
          <w:lang w:val="es-ES_tradnl"/>
        </w:rPr>
        <w:t>dólares</w:t>
      </w:r>
      <w:r>
        <w:rPr>
          <w:rFonts w:ascii="Arial" w:hAnsi="Arial" w:cs="Arial"/>
          <w:b/>
          <w:lang w:val="es-ES_tradnl"/>
        </w:rPr>
        <w:t>)</w:t>
      </w:r>
      <w:r>
        <w:rPr>
          <w:rFonts w:ascii="Arial" w:hAnsi="Arial" w:cs="Arial"/>
          <w:lang w:val="es-ES_tradnl"/>
        </w:rPr>
        <w:t xml:space="preserve">, </w:t>
      </w:r>
    </w:p>
    <w:p w14:paraId="3520CEC5" w14:textId="77777777" w:rsidR="002B5307" w:rsidRDefault="002B5307" w:rsidP="002B5307">
      <w:pPr>
        <w:pStyle w:val="Vieta"/>
        <w:numPr>
          <w:ilvl w:val="0"/>
          <w:numId w:val="0"/>
        </w:numPr>
        <w:spacing w:line="240" w:lineRule="auto"/>
        <w:rPr>
          <w:rFonts w:ascii="Arial" w:hAnsi="Arial" w:cs="Arial"/>
          <w:lang w:val="es-ES_tradnl"/>
        </w:rPr>
      </w:pPr>
    </w:p>
    <w:p w14:paraId="46A92E70" w14:textId="77777777" w:rsidR="002B5307" w:rsidRDefault="002B5307" w:rsidP="002B5307">
      <w:pPr>
        <w:pStyle w:val="Vieta"/>
        <w:numPr>
          <w:ilvl w:val="0"/>
          <w:numId w:val="0"/>
        </w:numPr>
        <w:spacing w:line="240" w:lineRule="auto"/>
        <w:rPr>
          <w:rFonts w:ascii="Arial" w:hAnsi="Arial" w:cs="Arial"/>
          <w:lang w:val="es-ES_tradnl"/>
        </w:rPr>
      </w:pPr>
      <w:r>
        <w:rPr>
          <w:rFonts w:ascii="Arial" w:hAnsi="Arial" w:cs="Arial"/>
          <w:lang w:val="es-ES_tradnl"/>
        </w:rPr>
        <w:t xml:space="preserve">La suma de los valores que componen este beneficio ($270,613 y $403,433) resultan </w:t>
      </w:r>
      <w:r>
        <w:rPr>
          <w:rFonts w:ascii="Arial" w:hAnsi="Arial" w:cs="Arial"/>
          <w:b/>
          <w:lang w:val="es-ES_tradnl"/>
        </w:rPr>
        <w:t>674,046 dólares</w:t>
      </w:r>
      <w:r>
        <w:rPr>
          <w:rFonts w:ascii="Arial" w:hAnsi="Arial" w:cs="Arial"/>
          <w:lang w:val="es-ES_tradnl"/>
        </w:rPr>
        <w:t xml:space="preserve">, esto es equivalente al valor del </w:t>
      </w:r>
      <w:r>
        <w:rPr>
          <w:rFonts w:ascii="Arial" w:hAnsi="Arial" w:cs="Arial"/>
          <w:i/>
          <w:lang w:val="es-ES_tradnl"/>
        </w:rPr>
        <w:t>indicador del costo anual de envío para entrega de DNI y de actas registrales</w:t>
      </w:r>
      <w:r>
        <w:rPr>
          <w:rFonts w:ascii="Arial" w:hAnsi="Arial" w:cs="Arial"/>
          <w:lang w:val="es-ES_tradnl"/>
        </w:rPr>
        <w:t xml:space="preserve"> en línea de base.</w:t>
      </w:r>
    </w:p>
    <w:p w14:paraId="6367547B" w14:textId="77777777" w:rsidR="00DD36CC" w:rsidRDefault="00DD36CC" w:rsidP="002B5307">
      <w:pPr>
        <w:pStyle w:val="Paragraph"/>
        <w:numPr>
          <w:ilvl w:val="0"/>
          <w:numId w:val="0"/>
        </w:numPr>
        <w:ind w:left="567"/>
        <w:rPr>
          <w:rFonts w:ascii="Arial" w:hAnsi="Arial" w:cs="Arial"/>
          <w:kern w:val="28"/>
        </w:rPr>
      </w:pPr>
    </w:p>
    <w:p w14:paraId="0E20CBB4" w14:textId="77777777" w:rsidR="00B84211" w:rsidRPr="007E663E" w:rsidRDefault="007B3237" w:rsidP="00860114">
      <w:pPr>
        <w:pStyle w:val="Paragraph"/>
        <w:numPr>
          <w:ilvl w:val="1"/>
          <w:numId w:val="1"/>
        </w:numPr>
        <w:rPr>
          <w:rFonts w:ascii="Arial" w:hAnsi="Arial" w:cs="Arial"/>
          <w:kern w:val="28"/>
        </w:rPr>
      </w:pPr>
      <w:r w:rsidRPr="007E663E">
        <w:rPr>
          <w:rFonts w:ascii="Arial" w:hAnsi="Arial" w:cs="Arial"/>
          <w:kern w:val="28"/>
        </w:rPr>
        <w:t>Para el cálculo de los costos se utilizan los siguientes supuestos:</w:t>
      </w:r>
    </w:p>
    <w:p w14:paraId="1B3363C7" w14:textId="77777777" w:rsidR="00B84211" w:rsidRPr="007E663E" w:rsidRDefault="001F52BD" w:rsidP="001F52BD">
      <w:pPr>
        <w:pStyle w:val="Vieta"/>
        <w:spacing w:line="240" w:lineRule="auto"/>
        <w:rPr>
          <w:rFonts w:ascii="Arial" w:hAnsi="Arial" w:cs="Arial"/>
        </w:rPr>
      </w:pPr>
      <w:r w:rsidRPr="007E663E">
        <w:rPr>
          <w:rFonts w:ascii="Arial" w:hAnsi="Arial" w:cs="Arial"/>
        </w:rPr>
        <w:t>Los costos correspondientes al primer</w:t>
      </w:r>
      <w:r w:rsidR="00BD1E78" w:rsidRPr="007E663E">
        <w:rPr>
          <w:rFonts w:ascii="Arial" w:hAnsi="Arial" w:cs="Arial"/>
        </w:rPr>
        <w:t xml:space="preserve"> y tercer</w:t>
      </w:r>
      <w:r w:rsidRPr="007E663E">
        <w:rPr>
          <w:rFonts w:ascii="Arial" w:hAnsi="Arial" w:cs="Arial"/>
        </w:rPr>
        <w:t xml:space="preserve"> </w:t>
      </w:r>
      <w:r w:rsidR="00C21339" w:rsidRPr="007E663E">
        <w:rPr>
          <w:rFonts w:ascii="Arial" w:hAnsi="Arial" w:cs="Arial"/>
        </w:rPr>
        <w:t>c</w:t>
      </w:r>
      <w:r w:rsidRPr="007E663E">
        <w:rPr>
          <w:rFonts w:ascii="Arial" w:hAnsi="Arial" w:cs="Arial"/>
        </w:rPr>
        <w:t>omponente</w:t>
      </w:r>
      <w:r w:rsidR="00BD1E78" w:rsidRPr="007E663E">
        <w:rPr>
          <w:rFonts w:ascii="Arial" w:hAnsi="Arial" w:cs="Arial"/>
        </w:rPr>
        <w:t xml:space="preserve"> </w:t>
      </w:r>
      <w:r w:rsidR="008B2732" w:rsidRPr="007E663E">
        <w:rPr>
          <w:rFonts w:ascii="Arial" w:hAnsi="Arial" w:cs="Arial"/>
        </w:rPr>
        <w:t>ascienden</w:t>
      </w:r>
      <w:r w:rsidRPr="007E663E">
        <w:rPr>
          <w:rFonts w:ascii="Arial" w:hAnsi="Arial" w:cs="Arial"/>
        </w:rPr>
        <w:t xml:space="preserve"> </w:t>
      </w:r>
      <w:r w:rsidR="008B2732" w:rsidRPr="007E663E">
        <w:rPr>
          <w:rFonts w:ascii="Arial" w:hAnsi="Arial" w:cs="Arial"/>
        </w:rPr>
        <w:t>a 104,310,688</w:t>
      </w:r>
      <w:r w:rsidR="00BD1E78" w:rsidRPr="007E663E">
        <w:rPr>
          <w:rFonts w:ascii="Arial" w:hAnsi="Arial" w:cs="Arial"/>
        </w:rPr>
        <w:t xml:space="preserve"> soles</w:t>
      </w:r>
      <w:r w:rsidRPr="007E663E">
        <w:rPr>
          <w:rFonts w:ascii="Arial" w:hAnsi="Arial" w:cs="Arial"/>
        </w:rPr>
        <w:t>, según datos del programa</w:t>
      </w:r>
      <w:r w:rsidR="002E147E" w:rsidRPr="007E663E">
        <w:rPr>
          <w:rFonts w:ascii="Arial" w:hAnsi="Arial" w:cs="Arial"/>
        </w:rPr>
        <w:t>.</w:t>
      </w:r>
    </w:p>
    <w:p w14:paraId="1D87834A" w14:textId="77777777" w:rsidR="00B84211" w:rsidRPr="007E663E" w:rsidRDefault="001F52BD" w:rsidP="001F52BD">
      <w:pPr>
        <w:pStyle w:val="Vieta"/>
        <w:spacing w:line="240" w:lineRule="auto"/>
        <w:rPr>
          <w:rFonts w:ascii="Arial" w:hAnsi="Arial" w:cs="Arial"/>
        </w:rPr>
      </w:pPr>
      <w:r w:rsidRPr="007E663E">
        <w:rPr>
          <w:rFonts w:ascii="Arial" w:hAnsi="Arial" w:cs="Arial"/>
        </w:rPr>
        <w:t>Los costos se ejecutarán</w:t>
      </w:r>
      <w:r w:rsidR="00BD1E78" w:rsidRPr="007E663E">
        <w:rPr>
          <w:rFonts w:ascii="Arial" w:hAnsi="Arial" w:cs="Arial"/>
        </w:rPr>
        <w:t xml:space="preserve"> en partes iguales durante 5 años</w:t>
      </w:r>
      <w:r w:rsidR="005E0FF8" w:rsidRPr="007E663E">
        <w:rPr>
          <w:rFonts w:ascii="Arial" w:hAnsi="Arial" w:cs="Arial"/>
        </w:rPr>
        <w:t>.</w:t>
      </w:r>
    </w:p>
    <w:p w14:paraId="72C477FC" w14:textId="77777777" w:rsidR="00B84211" w:rsidRPr="007E663E" w:rsidRDefault="001F52BD" w:rsidP="001F52BD">
      <w:pPr>
        <w:pStyle w:val="Vieta"/>
        <w:spacing w:line="240" w:lineRule="auto"/>
        <w:rPr>
          <w:rFonts w:ascii="Arial" w:hAnsi="Arial" w:cs="Arial"/>
        </w:rPr>
      </w:pPr>
      <w:r w:rsidRPr="007E663E">
        <w:rPr>
          <w:rFonts w:ascii="Arial" w:hAnsi="Arial" w:cs="Arial"/>
        </w:rPr>
        <w:t>El horizonte a partir del cual</w:t>
      </w:r>
      <w:r w:rsidR="00BD1E78" w:rsidRPr="007E663E">
        <w:rPr>
          <w:rFonts w:ascii="Arial" w:hAnsi="Arial" w:cs="Arial"/>
        </w:rPr>
        <w:t xml:space="preserve"> se calculan beneficios es de 10</w:t>
      </w:r>
      <w:r w:rsidRPr="007E663E">
        <w:rPr>
          <w:rFonts w:ascii="Arial" w:hAnsi="Arial" w:cs="Arial"/>
        </w:rPr>
        <w:t xml:space="preserve"> años. Luego de transcurrido ese período no se computarán beneficios, aunque es posible que existan. Este supuesto es conservador ya que de no cumplirse, los beneficios finales serían mayores a los estimados en este análisis</w:t>
      </w:r>
      <w:r w:rsidR="009332ED" w:rsidRPr="007E663E">
        <w:rPr>
          <w:rFonts w:ascii="Arial" w:hAnsi="Arial" w:cs="Arial"/>
        </w:rPr>
        <w:t>.</w:t>
      </w:r>
    </w:p>
    <w:p w14:paraId="763BF109" w14:textId="77777777" w:rsidR="00B84211" w:rsidRPr="007E663E" w:rsidRDefault="00B84211" w:rsidP="00BD1E78">
      <w:pPr>
        <w:pStyle w:val="Paragraph"/>
        <w:numPr>
          <w:ilvl w:val="0"/>
          <w:numId w:val="0"/>
        </w:numPr>
        <w:ind w:left="567"/>
        <w:rPr>
          <w:rFonts w:ascii="Arial" w:hAnsi="Arial" w:cs="Arial"/>
          <w:kern w:val="28"/>
        </w:rPr>
      </w:pPr>
    </w:p>
    <w:p w14:paraId="749AD516" w14:textId="77777777" w:rsidR="00B84211" w:rsidRPr="007E663E" w:rsidRDefault="00860114" w:rsidP="004E6927">
      <w:pPr>
        <w:pStyle w:val="Paragraph"/>
        <w:numPr>
          <w:ilvl w:val="1"/>
          <w:numId w:val="1"/>
        </w:numPr>
        <w:rPr>
          <w:rFonts w:ascii="Arial" w:hAnsi="Arial" w:cs="Arial"/>
          <w:kern w:val="28"/>
        </w:rPr>
      </w:pPr>
      <w:r w:rsidRPr="007E663E">
        <w:rPr>
          <w:rFonts w:ascii="Arial" w:hAnsi="Arial" w:cs="Arial"/>
          <w:b/>
        </w:rPr>
        <w:t>Cálculos.</w:t>
      </w:r>
      <w:r w:rsidRPr="007E663E">
        <w:rPr>
          <w:rFonts w:ascii="Arial" w:hAnsi="Arial" w:cs="Arial"/>
          <w:kern w:val="28"/>
        </w:rPr>
        <w:t xml:space="preserve"> </w:t>
      </w:r>
      <w:r w:rsidR="001F52BD" w:rsidRPr="007E663E">
        <w:rPr>
          <w:rFonts w:ascii="Arial" w:hAnsi="Arial" w:cs="Arial"/>
          <w:kern w:val="28"/>
        </w:rPr>
        <w:t xml:space="preserve">El primer cálculo necesario para el análisis consiste en la estimación de los beneficios anuales derivados de los ahorros a </w:t>
      </w:r>
      <w:r w:rsidR="004C1B7A" w:rsidRPr="007E663E">
        <w:rPr>
          <w:rFonts w:ascii="Arial" w:hAnsi="Arial" w:cs="Arial"/>
          <w:kern w:val="28"/>
        </w:rPr>
        <w:t xml:space="preserve">causa de la reducción </w:t>
      </w:r>
      <w:r w:rsidR="008B2732" w:rsidRPr="007E663E">
        <w:rPr>
          <w:rFonts w:ascii="Arial" w:hAnsi="Arial" w:cs="Arial"/>
          <w:kern w:val="28"/>
        </w:rPr>
        <w:t>de</w:t>
      </w:r>
      <w:r w:rsidR="004C1B7A" w:rsidRPr="007E663E">
        <w:rPr>
          <w:rFonts w:ascii="Arial" w:hAnsi="Arial" w:cs="Arial"/>
          <w:kern w:val="28"/>
        </w:rPr>
        <w:t xml:space="preserve"> los costos de transacción por persona multiplicada por el </w:t>
      </w:r>
      <w:r w:rsidR="00BD1E78" w:rsidRPr="007E663E">
        <w:rPr>
          <w:rFonts w:ascii="Arial" w:hAnsi="Arial" w:cs="Arial"/>
          <w:kern w:val="28"/>
        </w:rPr>
        <w:t>número</w:t>
      </w:r>
      <w:r w:rsidR="004C1B7A" w:rsidRPr="007E663E">
        <w:rPr>
          <w:rFonts w:ascii="Arial" w:hAnsi="Arial" w:cs="Arial"/>
          <w:kern w:val="28"/>
        </w:rPr>
        <w:t xml:space="preserve"> total de solicitantes por año</w:t>
      </w:r>
      <w:r w:rsidR="001F52BD" w:rsidRPr="007E663E">
        <w:rPr>
          <w:rFonts w:ascii="Arial" w:hAnsi="Arial" w:cs="Arial"/>
          <w:kern w:val="28"/>
        </w:rPr>
        <w:t xml:space="preserve">. Luego, esta fórmula será replicada para cada año aplicándose sobre ella una tasa de descuento del 12%. Para estimar los beneficios totales se debe </w:t>
      </w:r>
      <w:r w:rsidR="004C1B7A" w:rsidRPr="007E663E">
        <w:rPr>
          <w:rFonts w:ascii="Arial" w:hAnsi="Arial" w:cs="Arial"/>
          <w:kern w:val="28"/>
        </w:rPr>
        <w:t xml:space="preserve">tener en cuenta el supuesto </w:t>
      </w:r>
      <w:r w:rsidR="004C1B7A" w:rsidRPr="007E663E">
        <w:rPr>
          <w:rFonts w:ascii="Arial" w:hAnsi="Arial" w:cs="Arial"/>
          <w:kern w:val="28"/>
        </w:rPr>
        <w:lastRenderedPageBreak/>
        <w:t>de 1</w:t>
      </w:r>
      <w:r w:rsidR="001F52BD" w:rsidRPr="007E663E">
        <w:rPr>
          <w:rFonts w:ascii="Arial" w:hAnsi="Arial" w:cs="Arial"/>
          <w:kern w:val="28"/>
        </w:rPr>
        <w:t>0 años durante los cuales se consideran los efectos del componente. Sin embargo, a efectos de obtener el valor actual, debe tenerse en cuenta la tasa utilizada por el BID del 12%, lo que nos lleva a que los beneficios totales se deberían calcular mediante la siguiente fórmula:</w:t>
      </w:r>
    </w:p>
    <w:p w14:paraId="72ED9FB4" w14:textId="77777777" w:rsidR="00B84211" w:rsidRPr="007E663E" w:rsidRDefault="000D4175" w:rsidP="007E6104">
      <w:pPr>
        <w:spacing w:after="0" w:line="480" w:lineRule="auto"/>
        <w:ind w:left="567" w:hanging="567"/>
        <w:jc w:val="both"/>
        <w:rPr>
          <w:rFonts w:ascii="Arial" w:hAnsi="Arial" w:cs="Arial"/>
          <w:szCs w:val="24"/>
          <w:lang w:val="es-ES"/>
        </w:rPr>
      </w:pPr>
      <m:oMathPara>
        <m:oMath>
          <m:sSub>
            <m:sSubPr>
              <m:ctrlPr>
                <w:rPr>
                  <w:rFonts w:ascii="Cambria Math" w:hAnsi="Cambria Math" w:cs="Arial"/>
                  <w:i/>
                  <w:szCs w:val="24"/>
                  <w:lang w:val="es-ES"/>
                </w:rPr>
              </m:ctrlPr>
            </m:sSubPr>
            <m:e>
              <m:r>
                <w:rPr>
                  <w:rFonts w:ascii="Cambria Math" w:hAnsi="Cambria Math" w:cs="Arial"/>
                  <w:szCs w:val="24"/>
                  <w:lang w:val="es-ES"/>
                </w:rPr>
                <m:t>B</m:t>
              </m:r>
            </m:e>
            <m:sub>
              <m:r>
                <w:rPr>
                  <w:rFonts w:ascii="Cambria Math" w:hAnsi="Cambria Math" w:cs="Arial"/>
                  <w:szCs w:val="24"/>
                  <w:lang w:val="es-ES"/>
                </w:rPr>
                <m:t>tI</m:t>
              </m:r>
            </m:sub>
          </m:sSub>
          <m:r>
            <w:rPr>
              <w:rFonts w:ascii="Cambria Math" w:hAnsi="Cambria Math" w:cs="Arial"/>
              <w:szCs w:val="24"/>
              <w:lang w:val="es-ES"/>
            </w:rPr>
            <m:t>=</m:t>
          </m:r>
          <m:nary>
            <m:naryPr>
              <m:chr m:val="∑"/>
              <m:limLoc m:val="undOvr"/>
              <m:ctrlPr>
                <w:rPr>
                  <w:rFonts w:ascii="Cambria Math" w:hAnsi="Cambria Math" w:cs="Arial"/>
                  <w:i/>
                  <w:szCs w:val="24"/>
                  <w:lang w:val="es-ES"/>
                </w:rPr>
              </m:ctrlPr>
            </m:naryPr>
            <m:sub>
              <m:r>
                <w:rPr>
                  <w:rFonts w:ascii="Cambria Math" w:hAnsi="Cambria Math" w:cs="Arial"/>
                  <w:szCs w:val="24"/>
                  <w:lang w:val="es-ES"/>
                </w:rPr>
                <m:t>t=0</m:t>
              </m:r>
            </m:sub>
            <m:sup>
              <m:r>
                <w:rPr>
                  <w:rFonts w:ascii="Cambria Math" w:hAnsi="Cambria Math" w:cs="Arial"/>
                  <w:szCs w:val="24"/>
                  <w:lang w:val="es-ES"/>
                </w:rPr>
                <m:t>19</m:t>
              </m:r>
            </m:sup>
            <m:e>
              <m:f>
                <m:fPr>
                  <m:ctrlPr>
                    <w:rPr>
                      <w:rFonts w:ascii="Cambria Math" w:hAnsi="Cambria Math" w:cs="Arial"/>
                      <w:i/>
                      <w:szCs w:val="24"/>
                      <w:lang w:val="es-ES"/>
                    </w:rPr>
                  </m:ctrlPr>
                </m:fPr>
                <m:num>
                  <m:sSub>
                    <m:sSubPr>
                      <m:ctrlPr>
                        <w:rPr>
                          <w:rFonts w:ascii="Cambria Math" w:hAnsi="Cambria Math" w:cs="Arial"/>
                          <w:i/>
                          <w:szCs w:val="24"/>
                          <w:lang w:val="es-ES"/>
                        </w:rPr>
                      </m:ctrlPr>
                    </m:sSubPr>
                    <m:e>
                      <m:r>
                        <w:rPr>
                          <w:rFonts w:ascii="Cambria Math" w:hAnsi="Cambria Math" w:cs="Arial"/>
                          <w:szCs w:val="24"/>
                          <w:lang w:val="es-ES"/>
                        </w:rPr>
                        <m:t>B</m:t>
                      </m:r>
                    </m:e>
                    <m:sub>
                      <m:r>
                        <w:rPr>
                          <w:rFonts w:ascii="Cambria Math" w:hAnsi="Cambria Math" w:cs="Arial"/>
                          <w:szCs w:val="24"/>
                          <w:lang w:val="es-ES"/>
                        </w:rPr>
                        <m:t>t</m:t>
                      </m:r>
                    </m:sub>
                  </m:sSub>
                </m:num>
                <m:den>
                  <m:sSup>
                    <m:sSupPr>
                      <m:ctrlPr>
                        <w:rPr>
                          <w:rFonts w:ascii="Cambria Math" w:hAnsi="Cambria Math" w:cs="Arial"/>
                          <w:i/>
                          <w:szCs w:val="24"/>
                          <w:lang w:val="es-ES"/>
                        </w:rPr>
                      </m:ctrlPr>
                    </m:sSupPr>
                    <m:e>
                      <m:r>
                        <w:rPr>
                          <w:rFonts w:ascii="Cambria Math" w:hAnsi="Cambria Math" w:cs="Arial"/>
                          <w:szCs w:val="24"/>
                          <w:lang w:val="es-ES"/>
                        </w:rPr>
                        <m:t>1,12</m:t>
                      </m:r>
                    </m:e>
                    <m:sup>
                      <m:r>
                        <w:rPr>
                          <w:rFonts w:ascii="Cambria Math" w:hAnsi="Cambria Math" w:cs="Arial"/>
                          <w:szCs w:val="24"/>
                          <w:lang w:val="es-ES"/>
                        </w:rPr>
                        <m:t>t</m:t>
                      </m:r>
                    </m:sup>
                  </m:sSup>
                </m:den>
              </m:f>
            </m:e>
          </m:nary>
          <m:r>
            <w:rPr>
              <w:rFonts w:ascii="Cambria Math" w:hAnsi="Cambria Math" w:cs="Arial"/>
              <w:szCs w:val="24"/>
              <w:lang w:val="es-ES"/>
            </w:rPr>
            <m:t>,</m:t>
          </m:r>
        </m:oMath>
      </m:oMathPara>
    </w:p>
    <w:p w14:paraId="2114C031" w14:textId="77777777" w:rsidR="00B84211" w:rsidRPr="007E663E" w:rsidRDefault="00FD764A" w:rsidP="00860114">
      <w:pPr>
        <w:pStyle w:val="Paragraph"/>
        <w:numPr>
          <w:ilvl w:val="0"/>
          <w:numId w:val="0"/>
        </w:numPr>
        <w:ind w:left="562" w:hanging="562"/>
        <w:rPr>
          <w:rFonts w:ascii="Arial" w:hAnsi="Arial" w:cs="Arial"/>
          <w:kern w:val="28"/>
        </w:rPr>
      </w:pPr>
      <w:r w:rsidRPr="007E663E">
        <w:rPr>
          <w:rFonts w:ascii="Arial" w:hAnsi="Arial" w:cs="Arial"/>
          <w:szCs w:val="24"/>
        </w:rPr>
        <w:tab/>
      </w:r>
      <w:r w:rsidR="007B3237" w:rsidRPr="007E663E">
        <w:rPr>
          <w:rFonts w:ascii="Arial" w:hAnsi="Arial" w:cs="Arial"/>
          <w:szCs w:val="24"/>
        </w:rPr>
        <w:t xml:space="preserve">donde </w:t>
      </w:r>
      <m:oMath>
        <m:r>
          <w:rPr>
            <w:rFonts w:ascii="Cambria Math" w:hAnsi="Cambria Math" w:cs="Arial"/>
            <w:szCs w:val="24"/>
          </w:rPr>
          <m:t>I</m:t>
        </m:r>
      </m:oMath>
      <w:r w:rsidR="007B3237" w:rsidRPr="007E663E">
        <w:rPr>
          <w:rFonts w:ascii="Arial" w:hAnsi="Arial" w:cs="Arial"/>
          <w:i/>
          <w:szCs w:val="24"/>
        </w:rPr>
        <w:t xml:space="preserve"> </w:t>
      </w:r>
      <w:r w:rsidR="00BC7E94" w:rsidRPr="007E663E">
        <w:rPr>
          <w:rFonts w:ascii="Arial" w:hAnsi="Arial" w:cs="Arial"/>
          <w:szCs w:val="24"/>
        </w:rPr>
        <w:t>se</w:t>
      </w:r>
      <w:r w:rsidR="00AA0BF9" w:rsidRPr="007E663E">
        <w:rPr>
          <w:rFonts w:ascii="Arial" w:hAnsi="Arial" w:cs="Arial"/>
          <w:i/>
          <w:szCs w:val="24"/>
        </w:rPr>
        <w:t xml:space="preserve"> </w:t>
      </w:r>
      <w:r w:rsidR="007B3237" w:rsidRPr="007E663E">
        <w:rPr>
          <w:rFonts w:ascii="Arial" w:hAnsi="Arial" w:cs="Arial"/>
          <w:szCs w:val="24"/>
        </w:rPr>
        <w:t xml:space="preserve">refiere a que los beneficios son generados por el </w:t>
      </w:r>
      <w:r w:rsidR="007E6104" w:rsidRPr="007E663E">
        <w:rPr>
          <w:rFonts w:ascii="Arial" w:hAnsi="Arial" w:cs="Arial"/>
          <w:szCs w:val="24"/>
        </w:rPr>
        <w:t>Sub</w:t>
      </w:r>
      <w:r w:rsidR="007B3237" w:rsidRPr="007E663E">
        <w:rPr>
          <w:rFonts w:ascii="Arial" w:hAnsi="Arial" w:cs="Arial"/>
          <w:szCs w:val="24"/>
        </w:rPr>
        <w:t xml:space="preserve">componente de Información, </w:t>
      </w:r>
      <m:oMath>
        <m:r>
          <w:rPr>
            <w:rFonts w:ascii="Cambria Math" w:hAnsi="Cambria Math" w:cs="Arial"/>
            <w:szCs w:val="24"/>
          </w:rPr>
          <m:t>B</m:t>
        </m:r>
      </m:oMath>
      <w:r w:rsidR="007B3237" w:rsidRPr="007E663E">
        <w:rPr>
          <w:rFonts w:ascii="Arial" w:hAnsi="Arial" w:cs="Arial"/>
          <w:szCs w:val="24"/>
        </w:rPr>
        <w:t xml:space="preserve"> denota</w:t>
      </w:r>
      <w:r w:rsidR="00DF5014" w:rsidRPr="007E663E">
        <w:rPr>
          <w:rFonts w:ascii="Arial" w:hAnsi="Arial" w:cs="Arial"/>
          <w:szCs w:val="24"/>
        </w:rPr>
        <w:t xml:space="preserve"> los</w:t>
      </w:r>
      <w:r w:rsidR="007B3237" w:rsidRPr="007E663E">
        <w:rPr>
          <w:rFonts w:ascii="Arial" w:hAnsi="Arial" w:cs="Arial"/>
          <w:szCs w:val="24"/>
        </w:rPr>
        <w:t xml:space="preserve"> beneficios </w:t>
      </w:r>
      <w:r w:rsidR="00020F94">
        <w:rPr>
          <w:rFonts w:ascii="Arial" w:hAnsi="Arial" w:cs="Arial"/>
          <w:szCs w:val="24"/>
        </w:rPr>
        <w:t>y</w:t>
      </w:r>
      <w:r w:rsidR="00020F94" w:rsidRPr="007E663E">
        <w:rPr>
          <w:rFonts w:ascii="Arial" w:hAnsi="Arial" w:cs="Arial"/>
          <w:szCs w:val="24"/>
        </w:rPr>
        <w:t xml:space="preserve"> </w:t>
      </w:r>
      <m:oMath>
        <m:r>
          <w:rPr>
            <w:rFonts w:ascii="Cambria Math" w:hAnsi="Cambria Math" w:cs="Arial"/>
            <w:szCs w:val="24"/>
          </w:rPr>
          <m:t>t</m:t>
        </m:r>
      </m:oMath>
      <w:r w:rsidR="007B3237" w:rsidRPr="007E663E">
        <w:rPr>
          <w:rFonts w:ascii="Arial" w:hAnsi="Arial" w:cs="Arial"/>
          <w:szCs w:val="24"/>
        </w:rPr>
        <w:t xml:space="preserve"> indica el año corriente. </w:t>
      </w:r>
    </w:p>
    <w:p w14:paraId="341DDEC2" w14:textId="77777777" w:rsidR="00B84211" w:rsidRPr="007E663E" w:rsidRDefault="007B3237" w:rsidP="00860114">
      <w:pPr>
        <w:pStyle w:val="Paragraph"/>
        <w:numPr>
          <w:ilvl w:val="1"/>
          <w:numId w:val="1"/>
        </w:numPr>
        <w:ind w:left="562" w:hanging="562"/>
        <w:rPr>
          <w:rFonts w:ascii="Arial" w:hAnsi="Arial" w:cs="Arial"/>
          <w:szCs w:val="24"/>
        </w:rPr>
      </w:pPr>
      <w:r w:rsidRPr="007E663E">
        <w:rPr>
          <w:rFonts w:ascii="Arial" w:hAnsi="Arial" w:cs="Arial"/>
          <w:szCs w:val="24"/>
        </w:rPr>
        <w:t>Los costos de operación se calculan como el valor presente del flujo de gastos del proyecto. La fórmula utilizada es:</w:t>
      </w:r>
    </w:p>
    <w:p w14:paraId="78F792D6" w14:textId="77777777" w:rsidR="00B84211" w:rsidRPr="007E663E" w:rsidRDefault="000D4175" w:rsidP="007E6104">
      <w:pPr>
        <w:spacing w:after="0" w:line="480" w:lineRule="auto"/>
        <w:ind w:left="567" w:hanging="567"/>
        <w:jc w:val="center"/>
        <w:rPr>
          <w:rFonts w:ascii="Arial" w:hAnsi="Arial" w:cs="Arial"/>
          <w:sz w:val="24"/>
          <w:szCs w:val="24"/>
          <w:lang w:val="es-ES"/>
        </w:rPr>
      </w:pPr>
      <m:oMathPara>
        <m:oMath>
          <m:sSub>
            <m:sSubPr>
              <m:ctrlPr>
                <w:rPr>
                  <w:rFonts w:ascii="Cambria Math" w:hAnsi="Cambria Math" w:cs="Arial"/>
                  <w:i/>
                  <w:lang w:val="es-ES"/>
                </w:rPr>
              </m:ctrlPr>
            </m:sSubPr>
            <m:e>
              <m:r>
                <w:rPr>
                  <w:rFonts w:ascii="Cambria Math" w:hAnsi="Cambria Math" w:cs="Arial"/>
                  <w:lang w:val="es-ES"/>
                </w:rPr>
                <m:t>Co</m:t>
              </m:r>
            </m:e>
            <m:sub>
              <m:r>
                <w:rPr>
                  <w:rFonts w:ascii="Cambria Math" w:hAnsi="Cambria Math" w:cs="Arial"/>
                  <w:lang w:val="es-ES"/>
                </w:rPr>
                <m: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g</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4CC91E31" w14:textId="77777777" w:rsidR="00BD1E78" w:rsidRPr="007E663E" w:rsidRDefault="00FD764A" w:rsidP="00B31128">
      <w:pPr>
        <w:spacing w:before="120" w:after="120" w:line="240" w:lineRule="auto"/>
        <w:ind w:left="562" w:hanging="562"/>
        <w:jc w:val="both"/>
        <w:rPr>
          <w:rFonts w:ascii="Arial" w:hAnsi="Arial" w:cs="Arial"/>
          <w:lang w:val="es-CO"/>
        </w:rPr>
      </w:pPr>
      <w:r w:rsidRPr="007E663E">
        <w:rPr>
          <w:rFonts w:ascii="Arial" w:hAnsi="Arial" w:cs="Arial"/>
          <w:sz w:val="24"/>
          <w:lang w:val="es-ES"/>
        </w:rPr>
        <w:tab/>
      </w:r>
      <w:r w:rsidR="007B3237" w:rsidRPr="007E663E">
        <w:rPr>
          <w:rFonts w:ascii="Arial" w:hAnsi="Arial" w:cs="Arial"/>
          <w:sz w:val="24"/>
          <w:lang w:val="es-ES"/>
        </w:rPr>
        <w:t xml:space="preserve">donde g es el gasto anual para el </w:t>
      </w:r>
      <w:r w:rsidR="00F72EE9" w:rsidRPr="007E663E">
        <w:rPr>
          <w:rFonts w:ascii="Arial" w:hAnsi="Arial" w:cs="Arial"/>
          <w:sz w:val="24"/>
          <w:lang w:val="es-ES"/>
        </w:rPr>
        <w:t xml:space="preserve">componente de mejora de la calidad </w:t>
      </w:r>
      <w:r w:rsidR="007B3237" w:rsidRPr="007E663E">
        <w:rPr>
          <w:rFonts w:ascii="Arial" w:hAnsi="Arial" w:cs="Arial"/>
          <w:sz w:val="24"/>
          <w:lang w:val="es-ES"/>
        </w:rPr>
        <w:t xml:space="preserve">el </w:t>
      </w:r>
      <w:r w:rsidR="00027BD0" w:rsidRPr="007E663E">
        <w:rPr>
          <w:rFonts w:ascii="Arial" w:hAnsi="Arial" w:cs="Arial"/>
          <w:sz w:val="24"/>
          <w:lang w:val="es-ES"/>
        </w:rPr>
        <w:t>periodo</w:t>
      </w:r>
      <w:r w:rsidR="007B3237" w:rsidRPr="007E663E">
        <w:rPr>
          <w:rFonts w:ascii="Arial" w:hAnsi="Arial" w:cs="Arial"/>
          <w:sz w:val="24"/>
          <w:lang w:val="es-ES"/>
        </w:rPr>
        <w:t xml:space="preserve"> corriente. El costo </w:t>
      </w:r>
      <w:r w:rsidR="007C0A5D" w:rsidRPr="007E663E">
        <w:rPr>
          <w:rFonts w:ascii="Arial" w:hAnsi="Arial" w:cs="Arial"/>
          <w:sz w:val="24"/>
          <w:lang w:val="es-ES"/>
        </w:rPr>
        <w:t>total</w:t>
      </w:r>
      <w:r w:rsidR="007B3237" w:rsidRPr="007E663E">
        <w:rPr>
          <w:rFonts w:ascii="Arial" w:hAnsi="Arial" w:cs="Arial"/>
          <w:sz w:val="24"/>
          <w:lang w:val="es-ES"/>
        </w:rPr>
        <w:t xml:space="preserve"> es de </w:t>
      </w:r>
      <w:r w:rsidR="00BD1E78" w:rsidRPr="007E663E">
        <w:rPr>
          <w:rFonts w:ascii="Arial" w:hAnsi="Arial" w:cs="Arial"/>
          <w:lang w:val="es-CO"/>
        </w:rPr>
        <w:t>104,310,688 soles.</w:t>
      </w:r>
    </w:p>
    <w:p w14:paraId="5A9820C8" w14:textId="77777777" w:rsidR="00B41BAF" w:rsidRPr="007E663E" w:rsidRDefault="00B41BAF" w:rsidP="00B31128">
      <w:pPr>
        <w:spacing w:before="120" w:after="120" w:line="240" w:lineRule="auto"/>
        <w:ind w:left="562" w:hanging="562"/>
        <w:jc w:val="both"/>
        <w:rPr>
          <w:rFonts w:ascii="Arial" w:eastAsia="Times New Roman" w:hAnsi="Arial" w:cs="Arial"/>
          <w:kern w:val="28"/>
          <w:sz w:val="24"/>
          <w:szCs w:val="20"/>
          <w:lang w:val="es-ES"/>
        </w:rPr>
      </w:pPr>
    </w:p>
    <w:p w14:paraId="192E707A" w14:textId="77777777" w:rsidR="00B31128" w:rsidRPr="007E663E" w:rsidRDefault="00B41BAF" w:rsidP="00B31128">
      <w:pPr>
        <w:spacing w:before="120" w:after="120" w:line="240" w:lineRule="auto"/>
        <w:ind w:left="562" w:hanging="562"/>
        <w:jc w:val="both"/>
        <w:rPr>
          <w:rFonts w:ascii="Arial" w:eastAsia="Times New Roman" w:hAnsi="Arial" w:cs="Arial"/>
          <w:kern w:val="28"/>
          <w:sz w:val="24"/>
          <w:szCs w:val="20"/>
          <w:lang w:val="es-ES"/>
        </w:rPr>
      </w:pPr>
      <w:r w:rsidRPr="007E663E">
        <w:rPr>
          <w:rFonts w:ascii="Arial" w:eastAsia="Times New Roman" w:hAnsi="Arial" w:cs="Arial"/>
          <w:kern w:val="28"/>
          <w:sz w:val="24"/>
          <w:szCs w:val="20"/>
          <w:lang w:val="es-ES"/>
        </w:rPr>
        <w:t xml:space="preserve">         </w:t>
      </w:r>
      <w:r w:rsidR="00B31128" w:rsidRPr="007E663E">
        <w:rPr>
          <w:rFonts w:ascii="Arial" w:eastAsia="Times New Roman" w:hAnsi="Arial" w:cs="Arial"/>
          <w:kern w:val="28"/>
          <w:sz w:val="24"/>
          <w:szCs w:val="20"/>
          <w:lang w:val="es-ES"/>
        </w:rPr>
        <w:t xml:space="preserve">La tasa de cambio empleada para los </w:t>
      </w:r>
      <w:r w:rsidRPr="007E663E">
        <w:rPr>
          <w:rFonts w:ascii="Arial" w:eastAsia="Times New Roman" w:hAnsi="Arial" w:cs="Arial"/>
          <w:kern w:val="28"/>
          <w:sz w:val="24"/>
          <w:szCs w:val="20"/>
          <w:lang w:val="es-ES"/>
        </w:rPr>
        <w:t>cálculos</w:t>
      </w:r>
      <w:r w:rsidR="00B31128" w:rsidRPr="007E663E">
        <w:rPr>
          <w:rFonts w:ascii="Arial" w:eastAsia="Times New Roman" w:hAnsi="Arial" w:cs="Arial"/>
          <w:kern w:val="28"/>
          <w:sz w:val="24"/>
          <w:szCs w:val="20"/>
          <w:lang w:val="es-ES"/>
        </w:rPr>
        <w:t xml:space="preserve"> del análisis económico es de</w:t>
      </w:r>
      <w:r w:rsidRPr="007E663E">
        <w:rPr>
          <w:rFonts w:ascii="Arial" w:eastAsia="Times New Roman" w:hAnsi="Arial" w:cs="Arial"/>
          <w:kern w:val="28"/>
          <w:sz w:val="24"/>
          <w:szCs w:val="20"/>
          <w:lang w:val="es-ES"/>
        </w:rPr>
        <w:t xml:space="preserve"> 0.30 (sol/</w:t>
      </w:r>
      <w:r w:rsidR="008B2732" w:rsidRPr="007E663E">
        <w:rPr>
          <w:rFonts w:ascii="Arial" w:eastAsia="Times New Roman" w:hAnsi="Arial" w:cs="Arial"/>
          <w:kern w:val="28"/>
          <w:sz w:val="24"/>
          <w:szCs w:val="20"/>
          <w:lang w:val="es-ES"/>
        </w:rPr>
        <w:t>us</w:t>
      </w:r>
      <w:r w:rsidR="00044CA5" w:rsidRPr="007E663E">
        <w:rPr>
          <w:rFonts w:ascii="Arial" w:eastAsia="Times New Roman" w:hAnsi="Arial" w:cs="Arial"/>
          <w:kern w:val="28"/>
          <w:sz w:val="24"/>
          <w:szCs w:val="20"/>
          <w:lang w:val="es-ES"/>
        </w:rPr>
        <w:t>d</w:t>
      </w:r>
      <w:r w:rsidRPr="007E663E">
        <w:rPr>
          <w:rFonts w:ascii="Arial" w:eastAsia="Times New Roman" w:hAnsi="Arial" w:cs="Arial"/>
          <w:kern w:val="28"/>
          <w:sz w:val="24"/>
          <w:szCs w:val="20"/>
          <w:lang w:val="es-ES"/>
        </w:rPr>
        <w:t>)</w:t>
      </w:r>
    </w:p>
    <w:p w14:paraId="259DA74D" w14:textId="77777777" w:rsidR="00D433EF" w:rsidRPr="007E663E" w:rsidRDefault="00D433EF" w:rsidP="00D433EF">
      <w:pPr>
        <w:pStyle w:val="TItuloAnexo"/>
        <w:numPr>
          <w:ilvl w:val="0"/>
          <w:numId w:val="0"/>
        </w:numPr>
        <w:spacing w:before="0" w:after="120" w:line="240" w:lineRule="auto"/>
        <w:ind w:left="567"/>
        <w:jc w:val="both"/>
        <w:rPr>
          <w:rFonts w:ascii="Arial" w:hAnsi="Arial" w:cs="Arial"/>
          <w:b w:val="0"/>
        </w:rPr>
      </w:pPr>
    </w:p>
    <w:p w14:paraId="2C280A8B" w14:textId="77777777" w:rsidR="00B84211" w:rsidRPr="007E663E" w:rsidRDefault="00474B5D" w:rsidP="00D433EF">
      <w:pPr>
        <w:pStyle w:val="ListParagraph"/>
        <w:numPr>
          <w:ilvl w:val="0"/>
          <w:numId w:val="4"/>
        </w:numPr>
        <w:spacing w:after="0" w:line="480" w:lineRule="auto"/>
        <w:jc w:val="both"/>
        <w:rPr>
          <w:rFonts w:ascii="Arial" w:hAnsi="Arial" w:cs="Arial"/>
          <w:b/>
          <w:sz w:val="24"/>
          <w:szCs w:val="24"/>
          <w:lang w:val="es-ES"/>
        </w:rPr>
      </w:pPr>
      <w:r w:rsidRPr="007E663E">
        <w:rPr>
          <w:rFonts w:ascii="Arial" w:hAnsi="Arial" w:cs="Arial"/>
          <w:b/>
          <w:sz w:val="24"/>
          <w:szCs w:val="24"/>
          <w:lang w:val="es-ES"/>
        </w:rPr>
        <w:t xml:space="preserve"> Resultados, </w:t>
      </w:r>
      <w:r w:rsidR="00714298" w:rsidRPr="007E663E">
        <w:rPr>
          <w:rFonts w:ascii="Arial" w:hAnsi="Arial" w:cs="Arial"/>
          <w:b/>
          <w:sz w:val="24"/>
          <w:szCs w:val="24"/>
          <w:lang w:val="es-ES"/>
        </w:rPr>
        <w:t>análisis</w:t>
      </w:r>
      <w:r w:rsidR="00FA3356" w:rsidRPr="007E663E">
        <w:rPr>
          <w:rFonts w:ascii="Arial" w:hAnsi="Arial" w:cs="Arial"/>
          <w:b/>
          <w:sz w:val="24"/>
          <w:szCs w:val="24"/>
          <w:lang w:val="es-ES"/>
        </w:rPr>
        <w:t xml:space="preserve"> de sensibilidad</w:t>
      </w:r>
      <w:r w:rsidRPr="007E663E">
        <w:rPr>
          <w:rFonts w:ascii="Arial" w:hAnsi="Arial" w:cs="Arial"/>
          <w:b/>
          <w:sz w:val="24"/>
          <w:szCs w:val="24"/>
          <w:lang w:val="es-ES"/>
        </w:rPr>
        <w:t xml:space="preserve"> y </w:t>
      </w:r>
      <w:r w:rsidR="00714298" w:rsidRPr="007E663E">
        <w:rPr>
          <w:rFonts w:ascii="Arial" w:hAnsi="Arial" w:cs="Arial"/>
          <w:b/>
          <w:sz w:val="24"/>
          <w:szCs w:val="24"/>
          <w:lang w:val="es-ES"/>
        </w:rPr>
        <w:t>discusión</w:t>
      </w:r>
      <w:r w:rsidR="00FA3356" w:rsidRPr="007E663E">
        <w:rPr>
          <w:rFonts w:ascii="Arial" w:hAnsi="Arial" w:cs="Arial"/>
          <w:b/>
          <w:sz w:val="24"/>
          <w:szCs w:val="24"/>
          <w:lang w:val="es-ES"/>
        </w:rPr>
        <w:t>.</w:t>
      </w:r>
    </w:p>
    <w:p w14:paraId="17293A9C" w14:textId="77777777" w:rsidR="002B5307" w:rsidRPr="00DD36CC" w:rsidRDefault="00FA3356" w:rsidP="00DD36CC">
      <w:pPr>
        <w:pStyle w:val="Paragraph"/>
        <w:numPr>
          <w:ilvl w:val="1"/>
          <w:numId w:val="5"/>
        </w:numPr>
        <w:ind w:left="562" w:hanging="562"/>
        <w:rPr>
          <w:rFonts w:ascii="Arial" w:hAnsi="Arial" w:cs="Arial"/>
          <w:szCs w:val="24"/>
        </w:rPr>
      </w:pPr>
      <w:r w:rsidRPr="007E663E">
        <w:rPr>
          <w:rFonts w:ascii="Arial" w:hAnsi="Arial" w:cs="Arial"/>
          <w:szCs w:val="24"/>
        </w:rPr>
        <w:t xml:space="preserve">Debido a la gran cantidad de supuestos sobre los que se basa el </w:t>
      </w:r>
      <w:r w:rsidR="00714298" w:rsidRPr="007E663E">
        <w:rPr>
          <w:rFonts w:ascii="Arial" w:hAnsi="Arial" w:cs="Arial"/>
          <w:szCs w:val="24"/>
        </w:rPr>
        <w:t>análisis</w:t>
      </w:r>
      <w:r w:rsidRPr="007E663E">
        <w:rPr>
          <w:rFonts w:ascii="Arial" w:hAnsi="Arial" w:cs="Arial"/>
          <w:szCs w:val="24"/>
        </w:rPr>
        <w:t xml:space="preserve">, presentamos los resultados en paralelo al </w:t>
      </w:r>
      <w:r w:rsidR="00714298" w:rsidRPr="007E663E">
        <w:rPr>
          <w:rFonts w:ascii="Arial" w:hAnsi="Arial" w:cs="Arial"/>
          <w:szCs w:val="24"/>
        </w:rPr>
        <w:t>análisis</w:t>
      </w:r>
      <w:r w:rsidRPr="007E663E">
        <w:rPr>
          <w:rFonts w:ascii="Arial" w:hAnsi="Arial" w:cs="Arial"/>
          <w:szCs w:val="24"/>
        </w:rPr>
        <w:t xml:space="preserve"> de sensibilidad</w:t>
      </w:r>
      <w:r w:rsidR="009918CD" w:rsidRPr="007E663E">
        <w:rPr>
          <w:rFonts w:ascii="Arial" w:hAnsi="Arial" w:cs="Arial"/>
          <w:szCs w:val="24"/>
        </w:rPr>
        <w:t xml:space="preserve"> en la Tabla </w:t>
      </w:r>
      <w:r w:rsidR="00BA52C9" w:rsidRPr="007E663E">
        <w:rPr>
          <w:rFonts w:ascii="Arial" w:hAnsi="Arial" w:cs="Arial"/>
          <w:szCs w:val="24"/>
        </w:rPr>
        <w:t>5</w:t>
      </w:r>
      <w:r w:rsidRPr="007E663E">
        <w:rPr>
          <w:rFonts w:ascii="Arial" w:hAnsi="Arial" w:cs="Arial"/>
          <w:szCs w:val="24"/>
        </w:rPr>
        <w:t>.</w:t>
      </w:r>
      <w:r w:rsidR="0001649F" w:rsidRPr="007E663E">
        <w:rPr>
          <w:rFonts w:ascii="Arial" w:hAnsi="Arial" w:cs="Arial"/>
          <w:szCs w:val="24"/>
        </w:rPr>
        <w:t xml:space="preserve"> L</w:t>
      </w:r>
      <w:r w:rsidR="00A402D7" w:rsidRPr="007E663E">
        <w:rPr>
          <w:rFonts w:ascii="Arial" w:hAnsi="Arial" w:cs="Arial"/>
          <w:szCs w:val="24"/>
        </w:rPr>
        <w:t xml:space="preserve">a </w:t>
      </w:r>
      <w:r w:rsidR="0001649F" w:rsidRPr="007E663E">
        <w:rPr>
          <w:rFonts w:ascii="Arial" w:hAnsi="Arial" w:cs="Arial"/>
          <w:szCs w:val="24"/>
        </w:rPr>
        <w:t xml:space="preserve">variable en juego en el análisis </w:t>
      </w:r>
      <w:r w:rsidR="00A402D7" w:rsidRPr="007E663E">
        <w:rPr>
          <w:rFonts w:ascii="Arial" w:hAnsi="Arial" w:cs="Arial"/>
          <w:szCs w:val="24"/>
        </w:rPr>
        <w:t xml:space="preserve">de sensibilidad es la demanda esperada por los productos del RENIEC. Específicamente, en el escenario conservador se calculan los beneficios con base en una demanda del 25% menor de lo proyectado por el RENIEC. En el escenario optimista, se calculan con base en una demanda del 25% mayor a lo proyectado. </w:t>
      </w:r>
    </w:p>
    <w:p w14:paraId="23BA2A6C" w14:textId="77777777" w:rsidR="002B5307" w:rsidRPr="00DD36CC" w:rsidRDefault="002B5307" w:rsidP="002B5307">
      <w:pPr>
        <w:spacing w:after="0" w:line="240" w:lineRule="auto"/>
        <w:jc w:val="center"/>
        <w:rPr>
          <w:rFonts w:ascii="Arial" w:hAnsi="Arial" w:cs="Arial"/>
          <w:b/>
          <w:sz w:val="20"/>
          <w:szCs w:val="20"/>
          <w:lang w:val="es-ES_tradnl"/>
        </w:rPr>
      </w:pPr>
      <w:r>
        <w:rPr>
          <w:rFonts w:ascii="Arial" w:hAnsi="Arial" w:cs="Arial"/>
          <w:b/>
          <w:lang w:val="es-ES_tradnl"/>
        </w:rPr>
        <w:t xml:space="preserve">                  </w:t>
      </w:r>
      <w:r w:rsidRPr="00DD36CC">
        <w:rPr>
          <w:rFonts w:ascii="Arial" w:hAnsi="Arial" w:cs="Arial"/>
          <w:b/>
          <w:sz w:val="20"/>
          <w:szCs w:val="20"/>
          <w:lang w:val="es-ES_tradnl"/>
        </w:rPr>
        <w:t>Tabla 9. Costo-beneficio y escenarios</w:t>
      </w:r>
    </w:p>
    <w:tbl>
      <w:tblPr>
        <w:tblW w:w="0" w:type="auto"/>
        <w:jc w:val="center"/>
        <w:tblLook w:val="04A0" w:firstRow="1" w:lastRow="0" w:firstColumn="1" w:lastColumn="0" w:noHBand="0" w:noVBand="1"/>
      </w:tblPr>
      <w:tblGrid>
        <w:gridCol w:w="2951"/>
        <w:gridCol w:w="1496"/>
        <w:gridCol w:w="1450"/>
        <w:gridCol w:w="1329"/>
      </w:tblGrid>
      <w:tr w:rsidR="002B5307" w:rsidRPr="00DD36CC" w14:paraId="574E13DA" w14:textId="77777777" w:rsidTr="002B5307">
        <w:trPr>
          <w:trHeight w:val="288"/>
          <w:jc w:val="center"/>
        </w:trPr>
        <w:tc>
          <w:tcPr>
            <w:tcW w:w="0" w:type="auto"/>
            <w:tcBorders>
              <w:top w:val="single" w:sz="8" w:space="0" w:color="auto"/>
              <w:left w:val="single" w:sz="8" w:space="0" w:color="auto"/>
              <w:bottom w:val="single" w:sz="4" w:space="0" w:color="auto"/>
              <w:right w:val="single" w:sz="4" w:space="0" w:color="auto"/>
            </w:tcBorders>
            <w:noWrap/>
            <w:vAlign w:val="center"/>
            <w:hideMark/>
          </w:tcPr>
          <w:p w14:paraId="37FA2A1B" w14:textId="77777777" w:rsidR="002B5307" w:rsidRPr="00DD36CC" w:rsidRDefault="002B5307">
            <w:pPr>
              <w:rPr>
                <w:rFonts w:ascii="Arial" w:hAnsi="Arial" w:cs="Arial"/>
                <w:b/>
                <w:sz w:val="20"/>
                <w:szCs w:val="20"/>
                <w:lang w:val="es-ES_tradnl"/>
              </w:rPr>
            </w:pPr>
          </w:p>
        </w:tc>
        <w:tc>
          <w:tcPr>
            <w:tcW w:w="0" w:type="auto"/>
            <w:tcBorders>
              <w:top w:val="single" w:sz="8" w:space="0" w:color="auto"/>
              <w:left w:val="nil"/>
              <w:bottom w:val="single" w:sz="4" w:space="0" w:color="auto"/>
              <w:right w:val="single" w:sz="4" w:space="0" w:color="auto"/>
            </w:tcBorders>
            <w:noWrap/>
            <w:vAlign w:val="center"/>
            <w:hideMark/>
          </w:tcPr>
          <w:p w14:paraId="132E227B" w14:textId="77777777" w:rsidR="002B5307" w:rsidRPr="00DD36CC" w:rsidRDefault="002B5307">
            <w:pPr>
              <w:spacing w:after="0" w:line="240" w:lineRule="auto"/>
              <w:jc w:val="center"/>
              <w:rPr>
                <w:rFonts w:ascii="Arial" w:eastAsia="Times New Roman" w:hAnsi="Arial" w:cs="Arial"/>
                <w:b/>
                <w:bCs/>
                <w:color w:val="000000"/>
                <w:sz w:val="20"/>
                <w:szCs w:val="20"/>
              </w:rPr>
            </w:pPr>
            <w:r w:rsidRPr="00DD36CC">
              <w:rPr>
                <w:rFonts w:ascii="Arial" w:eastAsia="Times New Roman" w:hAnsi="Arial" w:cs="Arial"/>
                <w:b/>
                <w:bCs/>
                <w:color w:val="000000"/>
                <w:sz w:val="20"/>
                <w:szCs w:val="20"/>
              </w:rPr>
              <w:t>Base</w:t>
            </w:r>
          </w:p>
        </w:tc>
        <w:tc>
          <w:tcPr>
            <w:tcW w:w="0" w:type="auto"/>
            <w:tcBorders>
              <w:top w:val="single" w:sz="8" w:space="0" w:color="auto"/>
              <w:left w:val="nil"/>
              <w:bottom w:val="single" w:sz="4" w:space="0" w:color="auto"/>
              <w:right w:val="single" w:sz="4" w:space="0" w:color="auto"/>
            </w:tcBorders>
            <w:noWrap/>
            <w:vAlign w:val="center"/>
            <w:hideMark/>
          </w:tcPr>
          <w:p w14:paraId="6BED85E6" w14:textId="77777777" w:rsidR="002B5307" w:rsidRPr="00DD36CC" w:rsidRDefault="002B5307">
            <w:pPr>
              <w:spacing w:after="0" w:line="240" w:lineRule="auto"/>
              <w:jc w:val="center"/>
              <w:rPr>
                <w:rFonts w:ascii="Arial" w:eastAsia="Times New Roman" w:hAnsi="Arial" w:cs="Arial"/>
                <w:b/>
                <w:bCs/>
                <w:color w:val="000000"/>
                <w:sz w:val="20"/>
                <w:szCs w:val="20"/>
              </w:rPr>
            </w:pPr>
            <w:r w:rsidRPr="00DD36CC">
              <w:rPr>
                <w:rFonts w:ascii="Arial" w:eastAsia="Times New Roman" w:hAnsi="Arial" w:cs="Arial"/>
                <w:b/>
                <w:bCs/>
                <w:color w:val="000000"/>
                <w:sz w:val="20"/>
                <w:szCs w:val="20"/>
              </w:rPr>
              <w:t>Conservador</w:t>
            </w:r>
          </w:p>
        </w:tc>
        <w:tc>
          <w:tcPr>
            <w:tcW w:w="0" w:type="auto"/>
            <w:tcBorders>
              <w:top w:val="single" w:sz="8" w:space="0" w:color="auto"/>
              <w:left w:val="nil"/>
              <w:bottom w:val="single" w:sz="4" w:space="0" w:color="auto"/>
              <w:right w:val="single" w:sz="8" w:space="0" w:color="auto"/>
            </w:tcBorders>
            <w:noWrap/>
            <w:vAlign w:val="center"/>
            <w:hideMark/>
          </w:tcPr>
          <w:p w14:paraId="1236B1C2" w14:textId="77777777" w:rsidR="002B5307" w:rsidRPr="00DD36CC" w:rsidRDefault="002B5307">
            <w:pPr>
              <w:spacing w:after="0" w:line="240" w:lineRule="auto"/>
              <w:jc w:val="center"/>
              <w:rPr>
                <w:rFonts w:ascii="Arial" w:eastAsia="Times New Roman" w:hAnsi="Arial" w:cs="Arial"/>
                <w:b/>
                <w:bCs/>
                <w:color w:val="000000"/>
                <w:sz w:val="20"/>
                <w:szCs w:val="20"/>
              </w:rPr>
            </w:pPr>
            <w:r w:rsidRPr="00DD36CC">
              <w:rPr>
                <w:rFonts w:ascii="Arial" w:eastAsia="Times New Roman" w:hAnsi="Arial" w:cs="Arial"/>
                <w:b/>
                <w:bCs/>
                <w:color w:val="000000"/>
                <w:sz w:val="20"/>
                <w:szCs w:val="20"/>
              </w:rPr>
              <w:t>Optimista</w:t>
            </w:r>
          </w:p>
        </w:tc>
      </w:tr>
      <w:tr w:rsidR="002B5307" w:rsidRPr="00DD36CC" w14:paraId="4131D3C6" w14:textId="77777777" w:rsidTr="00DD36CC">
        <w:trPr>
          <w:trHeight w:val="296"/>
          <w:jc w:val="center"/>
        </w:trPr>
        <w:tc>
          <w:tcPr>
            <w:tcW w:w="0" w:type="auto"/>
            <w:tcBorders>
              <w:top w:val="nil"/>
              <w:left w:val="single" w:sz="8" w:space="0" w:color="auto"/>
              <w:bottom w:val="single" w:sz="4" w:space="0" w:color="auto"/>
              <w:right w:val="single" w:sz="4" w:space="0" w:color="auto"/>
            </w:tcBorders>
            <w:shd w:val="clear" w:color="auto" w:fill="FFF2CC"/>
            <w:noWrap/>
            <w:vAlign w:val="center"/>
            <w:hideMark/>
          </w:tcPr>
          <w:p w14:paraId="695C6AC2" w14:textId="77777777" w:rsidR="002B5307" w:rsidRPr="00DD36CC" w:rsidRDefault="002B5307" w:rsidP="00DD36CC">
            <w:pPr>
              <w:spacing w:after="0" w:line="240" w:lineRule="auto"/>
              <w:rPr>
                <w:rFonts w:ascii="Arial" w:eastAsia="Times New Roman" w:hAnsi="Arial" w:cs="Arial"/>
                <w:color w:val="000000"/>
                <w:sz w:val="20"/>
                <w:szCs w:val="20"/>
              </w:rPr>
            </w:pPr>
            <w:r w:rsidRPr="00DD36CC">
              <w:rPr>
                <w:rFonts w:ascii="Arial" w:eastAsia="Times New Roman" w:hAnsi="Arial" w:cs="Arial"/>
                <w:color w:val="000000"/>
                <w:sz w:val="20"/>
                <w:szCs w:val="20"/>
              </w:rPr>
              <w:t>Subtotal VPN beneficios (US$)</w:t>
            </w:r>
          </w:p>
        </w:tc>
        <w:tc>
          <w:tcPr>
            <w:tcW w:w="0" w:type="auto"/>
            <w:tcBorders>
              <w:top w:val="nil"/>
              <w:left w:val="nil"/>
              <w:bottom w:val="single" w:sz="4" w:space="0" w:color="auto"/>
              <w:right w:val="single" w:sz="4" w:space="0" w:color="auto"/>
            </w:tcBorders>
            <w:noWrap/>
            <w:vAlign w:val="bottom"/>
          </w:tcPr>
          <w:p w14:paraId="19788925" w14:textId="77777777" w:rsidR="002B5307" w:rsidRPr="00DD36CC" w:rsidRDefault="00DD36CC" w:rsidP="00DD36CC">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142,044,983</w:t>
            </w:r>
          </w:p>
        </w:tc>
        <w:tc>
          <w:tcPr>
            <w:tcW w:w="0" w:type="auto"/>
            <w:tcBorders>
              <w:top w:val="nil"/>
              <w:left w:val="nil"/>
              <w:bottom w:val="single" w:sz="4" w:space="0" w:color="auto"/>
              <w:right w:val="single" w:sz="4" w:space="0" w:color="auto"/>
            </w:tcBorders>
            <w:noWrap/>
            <w:vAlign w:val="bottom"/>
            <w:hideMark/>
          </w:tcPr>
          <w:p w14:paraId="4031FCCD"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108,713,302</w:t>
            </w:r>
          </w:p>
        </w:tc>
        <w:tc>
          <w:tcPr>
            <w:tcW w:w="0" w:type="auto"/>
            <w:tcBorders>
              <w:top w:val="nil"/>
              <w:left w:val="nil"/>
              <w:bottom w:val="single" w:sz="4" w:space="0" w:color="auto"/>
              <w:right w:val="single" w:sz="8" w:space="0" w:color="auto"/>
            </w:tcBorders>
            <w:noWrap/>
            <w:vAlign w:val="bottom"/>
            <w:hideMark/>
          </w:tcPr>
          <w:p w14:paraId="58BC0C54"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174,632,082</w:t>
            </w:r>
          </w:p>
        </w:tc>
      </w:tr>
      <w:tr w:rsidR="002B5307" w:rsidRPr="00DD36CC" w14:paraId="4AEED923" w14:textId="77777777" w:rsidTr="002B5307">
        <w:trPr>
          <w:trHeight w:val="288"/>
          <w:jc w:val="center"/>
        </w:trPr>
        <w:tc>
          <w:tcPr>
            <w:tcW w:w="0" w:type="auto"/>
            <w:tcBorders>
              <w:top w:val="nil"/>
              <w:left w:val="single" w:sz="8" w:space="0" w:color="auto"/>
              <w:bottom w:val="single" w:sz="4" w:space="0" w:color="auto"/>
              <w:right w:val="single" w:sz="4" w:space="0" w:color="auto"/>
            </w:tcBorders>
            <w:shd w:val="clear" w:color="auto" w:fill="FFF2CC"/>
            <w:noWrap/>
            <w:vAlign w:val="center"/>
            <w:hideMark/>
          </w:tcPr>
          <w:p w14:paraId="2F9623EE" w14:textId="77777777" w:rsidR="002B5307" w:rsidRPr="00DD36CC" w:rsidRDefault="002B5307" w:rsidP="00DD36CC">
            <w:pPr>
              <w:spacing w:after="0" w:line="240" w:lineRule="auto"/>
              <w:rPr>
                <w:rFonts w:ascii="Arial" w:eastAsia="Times New Roman" w:hAnsi="Arial" w:cs="Arial"/>
                <w:color w:val="000000"/>
                <w:sz w:val="20"/>
                <w:szCs w:val="20"/>
              </w:rPr>
            </w:pPr>
            <w:r w:rsidRPr="00DD36CC">
              <w:rPr>
                <w:rFonts w:ascii="Arial" w:eastAsia="Times New Roman" w:hAnsi="Arial" w:cs="Arial"/>
                <w:color w:val="000000"/>
                <w:sz w:val="20"/>
                <w:szCs w:val="20"/>
              </w:rPr>
              <w:t>Subtotal VPN costos (US$)</w:t>
            </w:r>
          </w:p>
        </w:tc>
        <w:tc>
          <w:tcPr>
            <w:tcW w:w="0" w:type="auto"/>
            <w:tcBorders>
              <w:top w:val="nil"/>
              <w:left w:val="nil"/>
              <w:bottom w:val="single" w:sz="4" w:space="0" w:color="auto"/>
              <w:right w:val="single" w:sz="4" w:space="0" w:color="auto"/>
            </w:tcBorders>
            <w:noWrap/>
            <w:vAlign w:val="bottom"/>
            <w:hideMark/>
          </w:tcPr>
          <w:p w14:paraId="2DED2280"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89,462,508</w:t>
            </w:r>
          </w:p>
        </w:tc>
        <w:tc>
          <w:tcPr>
            <w:tcW w:w="0" w:type="auto"/>
            <w:tcBorders>
              <w:top w:val="nil"/>
              <w:left w:val="nil"/>
              <w:bottom w:val="single" w:sz="4" w:space="0" w:color="auto"/>
              <w:right w:val="single" w:sz="4" w:space="0" w:color="auto"/>
            </w:tcBorders>
            <w:noWrap/>
            <w:vAlign w:val="bottom"/>
            <w:hideMark/>
          </w:tcPr>
          <w:p w14:paraId="7D515573"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89,534,603</w:t>
            </w:r>
          </w:p>
        </w:tc>
        <w:tc>
          <w:tcPr>
            <w:tcW w:w="0" w:type="auto"/>
            <w:tcBorders>
              <w:top w:val="nil"/>
              <w:left w:val="nil"/>
              <w:bottom w:val="single" w:sz="4" w:space="0" w:color="auto"/>
              <w:right w:val="single" w:sz="8" w:space="0" w:color="auto"/>
            </w:tcBorders>
            <w:noWrap/>
            <w:vAlign w:val="bottom"/>
            <w:hideMark/>
          </w:tcPr>
          <w:p w14:paraId="34480B86"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89,534,603</w:t>
            </w:r>
          </w:p>
        </w:tc>
      </w:tr>
      <w:tr w:rsidR="002B5307" w:rsidRPr="00DD36CC" w14:paraId="7BBA6EA7" w14:textId="77777777" w:rsidTr="002B5307">
        <w:trPr>
          <w:trHeight w:val="288"/>
          <w:jc w:val="center"/>
        </w:trPr>
        <w:tc>
          <w:tcPr>
            <w:tcW w:w="0" w:type="auto"/>
            <w:tcBorders>
              <w:top w:val="nil"/>
              <w:left w:val="single" w:sz="8" w:space="0" w:color="auto"/>
              <w:bottom w:val="single" w:sz="4" w:space="0" w:color="auto"/>
              <w:right w:val="single" w:sz="4" w:space="0" w:color="auto"/>
            </w:tcBorders>
            <w:shd w:val="clear" w:color="auto" w:fill="FFF2CC"/>
            <w:noWrap/>
            <w:vAlign w:val="center"/>
            <w:hideMark/>
          </w:tcPr>
          <w:p w14:paraId="480CFC2A" w14:textId="77777777" w:rsidR="002B5307" w:rsidRPr="00DD36CC" w:rsidRDefault="002B5307" w:rsidP="00DD36CC">
            <w:pPr>
              <w:spacing w:after="0" w:line="240" w:lineRule="auto"/>
              <w:rPr>
                <w:rFonts w:ascii="Arial" w:eastAsia="Times New Roman" w:hAnsi="Arial" w:cs="Arial"/>
                <w:color w:val="000000"/>
                <w:sz w:val="20"/>
                <w:szCs w:val="20"/>
              </w:rPr>
            </w:pPr>
            <w:r w:rsidRPr="00DD36CC">
              <w:rPr>
                <w:rFonts w:ascii="Arial" w:eastAsia="Times New Roman" w:hAnsi="Arial" w:cs="Arial"/>
                <w:color w:val="000000"/>
                <w:sz w:val="20"/>
                <w:szCs w:val="20"/>
              </w:rPr>
              <w:t>VPN (US$)</w:t>
            </w:r>
          </w:p>
        </w:tc>
        <w:tc>
          <w:tcPr>
            <w:tcW w:w="0" w:type="auto"/>
            <w:tcBorders>
              <w:top w:val="nil"/>
              <w:left w:val="nil"/>
              <w:bottom w:val="single" w:sz="4" w:space="0" w:color="auto"/>
              <w:right w:val="single" w:sz="4" w:space="0" w:color="auto"/>
            </w:tcBorders>
            <w:noWrap/>
            <w:vAlign w:val="bottom"/>
            <w:hideMark/>
          </w:tcPr>
          <w:p w14:paraId="3532B90A"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52,582,475.22</w:t>
            </w:r>
          </w:p>
        </w:tc>
        <w:tc>
          <w:tcPr>
            <w:tcW w:w="0" w:type="auto"/>
            <w:tcBorders>
              <w:top w:val="nil"/>
              <w:left w:val="nil"/>
              <w:bottom w:val="single" w:sz="4" w:space="0" w:color="auto"/>
              <w:right w:val="single" w:sz="4" w:space="0" w:color="auto"/>
            </w:tcBorders>
            <w:noWrap/>
            <w:vAlign w:val="bottom"/>
            <w:hideMark/>
          </w:tcPr>
          <w:p w14:paraId="75F1900B"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19,178,699</w:t>
            </w:r>
          </w:p>
        </w:tc>
        <w:tc>
          <w:tcPr>
            <w:tcW w:w="0" w:type="auto"/>
            <w:tcBorders>
              <w:top w:val="nil"/>
              <w:left w:val="nil"/>
              <w:bottom w:val="single" w:sz="4" w:space="0" w:color="auto"/>
              <w:right w:val="single" w:sz="8" w:space="0" w:color="auto"/>
            </w:tcBorders>
            <w:noWrap/>
            <w:vAlign w:val="bottom"/>
            <w:hideMark/>
          </w:tcPr>
          <w:p w14:paraId="4F2FE6EA"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85,097,478</w:t>
            </w:r>
          </w:p>
        </w:tc>
      </w:tr>
      <w:tr w:rsidR="002B5307" w:rsidRPr="00DD36CC" w14:paraId="268606D9" w14:textId="77777777" w:rsidTr="002B5307">
        <w:trPr>
          <w:trHeight w:val="64"/>
          <w:jc w:val="center"/>
        </w:trPr>
        <w:tc>
          <w:tcPr>
            <w:tcW w:w="0" w:type="auto"/>
            <w:tcBorders>
              <w:top w:val="nil"/>
              <w:left w:val="single" w:sz="8" w:space="0" w:color="auto"/>
              <w:bottom w:val="single" w:sz="4" w:space="0" w:color="auto"/>
              <w:right w:val="single" w:sz="4" w:space="0" w:color="auto"/>
            </w:tcBorders>
            <w:shd w:val="clear" w:color="auto" w:fill="FFF2CC"/>
            <w:noWrap/>
            <w:vAlign w:val="center"/>
            <w:hideMark/>
          </w:tcPr>
          <w:p w14:paraId="3A340018" w14:textId="77777777" w:rsidR="002B5307" w:rsidRPr="00DD36CC" w:rsidRDefault="002B5307" w:rsidP="00DD36CC">
            <w:pPr>
              <w:spacing w:after="0" w:line="240" w:lineRule="auto"/>
              <w:rPr>
                <w:rFonts w:ascii="Arial" w:eastAsia="Times New Roman" w:hAnsi="Arial" w:cs="Arial"/>
                <w:color w:val="000000"/>
                <w:sz w:val="20"/>
                <w:szCs w:val="20"/>
              </w:rPr>
            </w:pPr>
            <w:r w:rsidRPr="00DD36CC">
              <w:rPr>
                <w:rFonts w:ascii="Arial" w:eastAsia="Times New Roman" w:hAnsi="Arial" w:cs="Arial"/>
                <w:color w:val="000000"/>
                <w:sz w:val="20"/>
                <w:szCs w:val="20"/>
              </w:rPr>
              <w:t>Razon beneficio-costo</w:t>
            </w:r>
          </w:p>
        </w:tc>
        <w:tc>
          <w:tcPr>
            <w:tcW w:w="0" w:type="auto"/>
            <w:tcBorders>
              <w:top w:val="nil"/>
              <w:left w:val="nil"/>
              <w:bottom w:val="single" w:sz="4" w:space="0" w:color="auto"/>
              <w:right w:val="single" w:sz="4" w:space="0" w:color="auto"/>
            </w:tcBorders>
            <w:noWrap/>
            <w:vAlign w:val="bottom"/>
            <w:hideMark/>
          </w:tcPr>
          <w:p w14:paraId="77F46345"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1.59</w:t>
            </w:r>
          </w:p>
        </w:tc>
        <w:tc>
          <w:tcPr>
            <w:tcW w:w="0" w:type="auto"/>
            <w:tcBorders>
              <w:top w:val="nil"/>
              <w:left w:val="nil"/>
              <w:bottom w:val="single" w:sz="4" w:space="0" w:color="auto"/>
              <w:right w:val="single" w:sz="4" w:space="0" w:color="auto"/>
            </w:tcBorders>
            <w:noWrap/>
            <w:vAlign w:val="bottom"/>
            <w:hideMark/>
          </w:tcPr>
          <w:p w14:paraId="75914400"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1.21</w:t>
            </w:r>
          </w:p>
        </w:tc>
        <w:tc>
          <w:tcPr>
            <w:tcW w:w="0" w:type="auto"/>
            <w:tcBorders>
              <w:top w:val="nil"/>
              <w:left w:val="nil"/>
              <w:bottom w:val="single" w:sz="4" w:space="0" w:color="auto"/>
              <w:right w:val="single" w:sz="8" w:space="0" w:color="auto"/>
            </w:tcBorders>
            <w:noWrap/>
            <w:vAlign w:val="bottom"/>
            <w:hideMark/>
          </w:tcPr>
          <w:p w14:paraId="60EAB09B"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1.95</w:t>
            </w:r>
          </w:p>
        </w:tc>
      </w:tr>
      <w:tr w:rsidR="002B5307" w:rsidRPr="00DD36CC" w14:paraId="06F586B6" w14:textId="77777777" w:rsidTr="002B5307">
        <w:trPr>
          <w:trHeight w:val="300"/>
          <w:jc w:val="center"/>
        </w:trPr>
        <w:tc>
          <w:tcPr>
            <w:tcW w:w="0" w:type="auto"/>
            <w:tcBorders>
              <w:top w:val="nil"/>
              <w:left w:val="single" w:sz="8" w:space="0" w:color="auto"/>
              <w:bottom w:val="single" w:sz="8" w:space="0" w:color="auto"/>
              <w:right w:val="single" w:sz="4" w:space="0" w:color="auto"/>
            </w:tcBorders>
            <w:shd w:val="clear" w:color="auto" w:fill="FFF2CC"/>
            <w:noWrap/>
            <w:vAlign w:val="center"/>
            <w:hideMark/>
          </w:tcPr>
          <w:p w14:paraId="7EC172D1" w14:textId="77777777" w:rsidR="002B5307" w:rsidRPr="00DD36CC" w:rsidRDefault="002B5307" w:rsidP="00DD36CC">
            <w:pPr>
              <w:spacing w:after="0" w:line="240" w:lineRule="auto"/>
              <w:rPr>
                <w:rFonts w:ascii="Arial" w:eastAsia="Times New Roman" w:hAnsi="Arial" w:cs="Arial"/>
                <w:color w:val="000000"/>
                <w:sz w:val="20"/>
                <w:szCs w:val="20"/>
              </w:rPr>
            </w:pPr>
            <w:r w:rsidRPr="00DD36CC">
              <w:rPr>
                <w:rFonts w:ascii="Arial" w:eastAsia="Times New Roman" w:hAnsi="Arial" w:cs="Arial"/>
                <w:color w:val="000000"/>
                <w:sz w:val="20"/>
                <w:szCs w:val="20"/>
              </w:rPr>
              <w:t>Tasa interna de retorno</w:t>
            </w:r>
          </w:p>
        </w:tc>
        <w:tc>
          <w:tcPr>
            <w:tcW w:w="0" w:type="auto"/>
            <w:tcBorders>
              <w:top w:val="nil"/>
              <w:left w:val="nil"/>
              <w:bottom w:val="single" w:sz="8" w:space="0" w:color="auto"/>
              <w:right w:val="single" w:sz="4" w:space="0" w:color="auto"/>
            </w:tcBorders>
            <w:noWrap/>
            <w:vAlign w:val="bottom"/>
            <w:hideMark/>
          </w:tcPr>
          <w:p w14:paraId="5E5EC0C6"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57.59%</w:t>
            </w:r>
          </w:p>
        </w:tc>
        <w:tc>
          <w:tcPr>
            <w:tcW w:w="0" w:type="auto"/>
            <w:tcBorders>
              <w:top w:val="nil"/>
              <w:left w:val="nil"/>
              <w:bottom w:val="single" w:sz="8" w:space="0" w:color="auto"/>
              <w:right w:val="single" w:sz="4" w:space="0" w:color="auto"/>
            </w:tcBorders>
            <w:noWrap/>
            <w:vAlign w:val="bottom"/>
            <w:hideMark/>
          </w:tcPr>
          <w:p w14:paraId="741647B7"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25%</w:t>
            </w:r>
          </w:p>
        </w:tc>
        <w:tc>
          <w:tcPr>
            <w:tcW w:w="0" w:type="auto"/>
            <w:tcBorders>
              <w:top w:val="nil"/>
              <w:left w:val="nil"/>
              <w:bottom w:val="single" w:sz="8" w:space="0" w:color="auto"/>
              <w:right w:val="single" w:sz="8" w:space="0" w:color="auto"/>
            </w:tcBorders>
            <w:noWrap/>
            <w:vAlign w:val="bottom"/>
            <w:hideMark/>
          </w:tcPr>
          <w:p w14:paraId="15CA24E1" w14:textId="77777777" w:rsidR="002B5307" w:rsidRPr="00DD36CC" w:rsidRDefault="002B5307" w:rsidP="00DD36CC">
            <w:pPr>
              <w:spacing w:after="0" w:line="240" w:lineRule="auto"/>
              <w:jc w:val="right"/>
              <w:rPr>
                <w:rFonts w:ascii="Arial" w:eastAsia="Times New Roman" w:hAnsi="Arial" w:cs="Arial"/>
                <w:color w:val="000000"/>
                <w:sz w:val="20"/>
                <w:szCs w:val="20"/>
              </w:rPr>
            </w:pPr>
            <w:r w:rsidRPr="00DD36CC">
              <w:rPr>
                <w:rFonts w:ascii="Arial" w:eastAsia="Times New Roman" w:hAnsi="Arial" w:cs="Arial"/>
                <w:color w:val="000000"/>
                <w:sz w:val="20"/>
                <w:szCs w:val="20"/>
              </w:rPr>
              <w:t>123%</w:t>
            </w:r>
          </w:p>
        </w:tc>
      </w:tr>
    </w:tbl>
    <w:p w14:paraId="143DA5B9" w14:textId="77777777" w:rsidR="00DD36CC" w:rsidRDefault="00DD36CC" w:rsidP="00DD36CC">
      <w:pPr>
        <w:pStyle w:val="Paragraph"/>
        <w:numPr>
          <w:ilvl w:val="0"/>
          <w:numId w:val="0"/>
        </w:numPr>
        <w:tabs>
          <w:tab w:val="left" w:pos="720"/>
        </w:tabs>
        <w:ind w:left="540"/>
        <w:rPr>
          <w:rFonts w:ascii="Arial" w:hAnsi="Arial" w:cs="Arial"/>
          <w:szCs w:val="24"/>
        </w:rPr>
      </w:pPr>
    </w:p>
    <w:p w14:paraId="1C0B6720" w14:textId="77777777" w:rsidR="002B5307" w:rsidRDefault="002B5307" w:rsidP="00DD36CC">
      <w:pPr>
        <w:pStyle w:val="Paragraph"/>
        <w:numPr>
          <w:ilvl w:val="1"/>
          <w:numId w:val="15"/>
        </w:numPr>
        <w:tabs>
          <w:tab w:val="left" w:pos="720"/>
        </w:tabs>
        <w:ind w:left="540" w:hanging="540"/>
        <w:rPr>
          <w:rFonts w:ascii="Arial" w:hAnsi="Arial" w:cs="Arial"/>
          <w:szCs w:val="24"/>
        </w:rPr>
      </w:pPr>
      <w:r>
        <w:rPr>
          <w:rFonts w:ascii="Arial" w:hAnsi="Arial" w:cs="Arial"/>
          <w:szCs w:val="24"/>
        </w:rPr>
        <w:t>En el escenario base, la relación costo beneficio para el programa como   un todo resulta ser de 1.59. Esto significa que se espera recuperar 1,59</w:t>
      </w:r>
      <w:r w:rsidR="00DD36CC">
        <w:rPr>
          <w:rFonts w:ascii="Arial" w:hAnsi="Arial" w:cs="Arial"/>
          <w:szCs w:val="24"/>
        </w:rPr>
        <w:t> </w:t>
      </w:r>
      <w:r>
        <w:rPr>
          <w:rFonts w:ascii="Arial" w:hAnsi="Arial" w:cs="Arial"/>
          <w:szCs w:val="24"/>
        </w:rPr>
        <w:t>dólares por cada dólar invertido en el proyecto. La TIR social resulta ser del 57.59% y el valor presente neto es de $52,582,475.</w:t>
      </w:r>
    </w:p>
    <w:p w14:paraId="7C8003F3" w14:textId="77777777" w:rsidR="002B5307" w:rsidRDefault="002B5307" w:rsidP="002B5307">
      <w:pPr>
        <w:pStyle w:val="Paragraph"/>
        <w:numPr>
          <w:ilvl w:val="1"/>
          <w:numId w:val="15"/>
        </w:numPr>
        <w:tabs>
          <w:tab w:val="left" w:pos="720"/>
        </w:tabs>
        <w:ind w:left="562" w:hanging="562"/>
        <w:rPr>
          <w:rFonts w:ascii="Arial" w:hAnsi="Arial" w:cs="Arial"/>
          <w:szCs w:val="24"/>
        </w:rPr>
      </w:pPr>
      <w:r>
        <w:rPr>
          <w:rFonts w:ascii="Arial" w:hAnsi="Arial" w:cs="Arial"/>
          <w:szCs w:val="24"/>
        </w:rPr>
        <w:lastRenderedPageBreak/>
        <w:t>En el escenario más conservador, donde la demanda por cada uno de los servicios se estima en un 25% menos, resulta una TIR social del 25% para el programa como un todo. Esto demuestra que aun en escenarios desfavorables, este sigue siendo rentable para la sociedad.</w:t>
      </w:r>
    </w:p>
    <w:p w14:paraId="56246C80" w14:textId="77777777" w:rsidR="002B5307" w:rsidRDefault="002B5307" w:rsidP="002B5307">
      <w:pPr>
        <w:pStyle w:val="Paragraph"/>
        <w:numPr>
          <w:ilvl w:val="1"/>
          <w:numId w:val="15"/>
        </w:numPr>
        <w:tabs>
          <w:tab w:val="left" w:pos="720"/>
        </w:tabs>
        <w:ind w:left="562" w:hanging="562"/>
        <w:rPr>
          <w:rFonts w:ascii="Arial" w:hAnsi="Arial" w:cs="Arial"/>
          <w:szCs w:val="24"/>
        </w:rPr>
      </w:pPr>
      <w:r>
        <w:rPr>
          <w:rFonts w:ascii="Arial" w:hAnsi="Arial" w:cs="Arial"/>
          <w:szCs w:val="24"/>
        </w:rPr>
        <w:t>En un escenario más favorable, donde la demanda por los servicios aumenta en un 25% se obtiene una TIR social del 123%, siendo rentables ambos componentes una vez que se analizan por separado.</w:t>
      </w:r>
    </w:p>
    <w:p w14:paraId="4E6341A4" w14:textId="77777777" w:rsidR="002B5307" w:rsidRDefault="002B5307" w:rsidP="002B5307">
      <w:pPr>
        <w:pStyle w:val="Paragraph"/>
        <w:numPr>
          <w:ilvl w:val="1"/>
          <w:numId w:val="15"/>
        </w:numPr>
        <w:tabs>
          <w:tab w:val="left" w:pos="720"/>
        </w:tabs>
        <w:spacing w:before="0" w:after="0"/>
        <w:ind w:left="567" w:hanging="567"/>
        <w:rPr>
          <w:rFonts w:ascii="Arial" w:hAnsi="Arial" w:cs="Arial"/>
        </w:rPr>
      </w:pPr>
      <w:r>
        <w:rPr>
          <w:rFonts w:ascii="Arial" w:hAnsi="Arial" w:cs="Arial"/>
          <w:szCs w:val="24"/>
        </w:rPr>
        <w:t>Como conclusión final, puede afirmarse que el programa posee una alta rentabilidad social. Aun en los escenarios más conservadores mantiene la rentabilidad considerando el programa en el agregado, observando en el escenario base una razón costo beneficio de 1.59 dólares por cada dólar invertido, con una TIR social del 57.59%, superior a la tasa del 12% establecida como estándar del Banco.</w:t>
      </w:r>
    </w:p>
    <w:p w14:paraId="50DA13EF" w14:textId="77777777" w:rsidR="009B3AFA" w:rsidRPr="007E663E" w:rsidRDefault="009B3AFA" w:rsidP="008B0776">
      <w:pPr>
        <w:pStyle w:val="Paragraph"/>
        <w:numPr>
          <w:ilvl w:val="0"/>
          <w:numId w:val="0"/>
        </w:numPr>
        <w:ind w:left="562"/>
        <w:rPr>
          <w:rFonts w:ascii="Arial" w:hAnsi="Arial" w:cs="Arial"/>
          <w:szCs w:val="24"/>
        </w:rPr>
      </w:pPr>
    </w:p>
    <w:sectPr w:rsidR="009B3AFA" w:rsidRPr="007E663E" w:rsidSect="00214954">
      <w:headerReference w:type="default" r:id="rId19"/>
      <w:footerReference w:type="default" r:id="rId20"/>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17033" w14:textId="77777777" w:rsidR="00367B95" w:rsidRDefault="00367B95" w:rsidP="00CF5271">
      <w:pPr>
        <w:spacing w:after="0" w:line="240" w:lineRule="auto"/>
      </w:pPr>
      <w:r>
        <w:separator/>
      </w:r>
    </w:p>
  </w:endnote>
  <w:endnote w:type="continuationSeparator" w:id="0">
    <w:p w14:paraId="5DADDBE5" w14:textId="77777777" w:rsidR="00367B95" w:rsidRDefault="00367B95" w:rsidP="00CF5271">
      <w:pPr>
        <w:spacing w:after="0" w:line="240" w:lineRule="auto"/>
      </w:pPr>
      <w:r>
        <w:continuationSeparator/>
      </w:r>
    </w:p>
  </w:endnote>
  <w:endnote w:type="continuationNotice" w:id="1">
    <w:p w14:paraId="4BED321C" w14:textId="77777777" w:rsidR="00367B95" w:rsidRDefault="00367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0C21A" w14:textId="77777777" w:rsidR="004E6927" w:rsidRDefault="004E69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A022A" w14:textId="77777777" w:rsidR="00367B95" w:rsidRDefault="00367B95" w:rsidP="00CF5271">
      <w:pPr>
        <w:spacing w:after="0" w:line="240" w:lineRule="auto"/>
      </w:pPr>
      <w:r>
        <w:separator/>
      </w:r>
    </w:p>
  </w:footnote>
  <w:footnote w:type="continuationSeparator" w:id="0">
    <w:p w14:paraId="3BBC78B0" w14:textId="77777777" w:rsidR="00367B95" w:rsidRDefault="00367B95" w:rsidP="00CF5271">
      <w:pPr>
        <w:spacing w:after="0" w:line="240" w:lineRule="auto"/>
      </w:pPr>
      <w:r>
        <w:continuationSeparator/>
      </w:r>
    </w:p>
  </w:footnote>
  <w:footnote w:type="continuationNotice" w:id="1">
    <w:p w14:paraId="5BD35F20" w14:textId="77777777" w:rsidR="00367B95" w:rsidRDefault="00367B95">
      <w:pPr>
        <w:spacing w:after="0" w:line="240" w:lineRule="auto"/>
      </w:pPr>
    </w:p>
  </w:footnote>
  <w:footnote w:id="2">
    <w:p w14:paraId="299F608A" w14:textId="77777777" w:rsidR="00161975" w:rsidRPr="009B0896" w:rsidRDefault="00161975" w:rsidP="003A21FB">
      <w:pPr>
        <w:pStyle w:val="FootnoteText"/>
        <w:widowControl w:val="0"/>
        <w:ind w:left="720" w:hanging="720"/>
        <w:jc w:val="both"/>
        <w:rPr>
          <w:rFonts w:ascii="Arial" w:eastAsia="Arial" w:hAnsi="Arial" w:cs="Arial"/>
          <w:sz w:val="18"/>
          <w:szCs w:val="18"/>
          <w:lang w:val="es-CO"/>
        </w:rPr>
      </w:pPr>
      <w:r w:rsidRPr="009B0896">
        <w:rPr>
          <w:rFonts w:ascii="Arial" w:eastAsia="Arial" w:hAnsi="Arial" w:cs="Arial"/>
          <w:sz w:val="18"/>
          <w:szCs w:val="18"/>
          <w:vertAlign w:val="superscript"/>
          <w:lang w:val="es-CO"/>
        </w:rPr>
        <w:footnoteRef/>
      </w:r>
      <w:r w:rsidRPr="009B0896">
        <w:rPr>
          <w:rFonts w:ascii="Arial" w:eastAsia="Arial" w:hAnsi="Arial" w:cs="Arial"/>
          <w:sz w:val="18"/>
          <w:szCs w:val="18"/>
          <w:vertAlign w:val="superscript"/>
          <w:lang w:val="es-CO"/>
        </w:rPr>
        <w:t xml:space="preserve"> </w:t>
      </w:r>
      <w:r w:rsidRPr="009B0896">
        <w:rPr>
          <w:rFonts w:ascii="Arial" w:eastAsia="Arial" w:hAnsi="Arial" w:cs="Arial"/>
          <w:sz w:val="18"/>
          <w:szCs w:val="18"/>
          <w:vertAlign w:val="superscript"/>
          <w:lang w:val="es-CO"/>
        </w:rPr>
        <w:tab/>
      </w:r>
      <w:r w:rsidRPr="009B0896">
        <w:rPr>
          <w:rFonts w:ascii="Arial" w:eastAsia="Arial" w:hAnsi="Arial" w:cs="Arial"/>
          <w:sz w:val="18"/>
          <w:szCs w:val="18"/>
          <w:lang w:val="es-CO"/>
        </w:rPr>
        <w:t xml:space="preserve">Perú cuenta con una importante experiencia acumulada en la mejora del acceso a servicios de calidad. Como referencia se pueden mencionar los siguientes casos: a) el uso del acta registral electrónica en Lima ha permitido reducir la tasa de errores en la elaboración de las mismas, alcanzando casi el 0%, y su extensión al resto del territorio hará el servicio más equitativo; b) la emisión de más de 14.000 DNIs a partir de actas bilingües ha favorecido la inclusión de pueblos originarios y su ampliación a otras 6 lenguas potenciará este proceso inclusivo; c) la implementación de la captura en vivo (ver nota </w:t>
      </w:r>
      <w:r w:rsidRPr="009B0896">
        <w:rPr>
          <w:rFonts w:ascii="Arial" w:eastAsia="Arial" w:hAnsi="Arial" w:cs="Arial"/>
          <w:sz w:val="18"/>
          <w:szCs w:val="18"/>
          <w:lang w:val="es-CO"/>
        </w:rPr>
        <w:fldChar w:fldCharType="begin"/>
      </w:r>
      <w:r w:rsidRPr="009B0896">
        <w:rPr>
          <w:rFonts w:ascii="Arial" w:eastAsia="Arial" w:hAnsi="Arial" w:cs="Arial"/>
          <w:sz w:val="18"/>
          <w:szCs w:val="18"/>
          <w:lang w:val="es-CO"/>
        </w:rPr>
        <w:instrText xml:space="preserve"> NOTEREF _Ref476738083 \h  \* MERGEFORMAT </w:instrText>
      </w:r>
      <w:r w:rsidRPr="009B0896">
        <w:rPr>
          <w:rFonts w:ascii="Arial" w:eastAsia="Arial" w:hAnsi="Arial" w:cs="Arial"/>
          <w:sz w:val="18"/>
          <w:szCs w:val="18"/>
          <w:lang w:val="es-CO"/>
        </w:rPr>
      </w:r>
      <w:r w:rsidRPr="009B0896">
        <w:rPr>
          <w:rFonts w:ascii="Arial" w:eastAsia="Arial" w:hAnsi="Arial" w:cs="Arial"/>
          <w:sz w:val="18"/>
          <w:szCs w:val="18"/>
          <w:lang w:val="es-CO"/>
        </w:rPr>
        <w:fldChar w:fldCharType="separate"/>
      </w:r>
      <w:r w:rsidRPr="009B0896">
        <w:rPr>
          <w:rFonts w:ascii="Arial" w:eastAsia="Arial" w:hAnsi="Arial" w:cs="Arial"/>
          <w:sz w:val="18"/>
          <w:szCs w:val="18"/>
          <w:lang w:val="es-CO"/>
        </w:rPr>
        <w:t>35</w:t>
      </w:r>
      <w:r w:rsidRPr="009B0896">
        <w:rPr>
          <w:rFonts w:ascii="Arial" w:eastAsia="Arial" w:hAnsi="Arial" w:cs="Arial"/>
          <w:sz w:val="18"/>
          <w:szCs w:val="18"/>
          <w:lang w:val="es-CO"/>
        </w:rPr>
        <w:fldChar w:fldCharType="end"/>
      </w:r>
      <w:r w:rsidRPr="009B0896">
        <w:rPr>
          <w:rFonts w:ascii="Arial" w:eastAsia="Arial" w:hAnsi="Arial" w:cs="Arial"/>
          <w:sz w:val="18"/>
          <w:szCs w:val="18"/>
          <w:lang w:val="es-CO"/>
        </w:rPr>
        <w:t>), realizada como piloto en algunas oficinas de Lima, ha permitido reducir los costos operativos en la producción del DNI y su extensión al resto del país afectará positivamente la eficiencia del RENIEC.</w:t>
      </w:r>
    </w:p>
  </w:footnote>
  <w:footnote w:id="3">
    <w:p w14:paraId="62475038" w14:textId="77777777" w:rsidR="004E6927" w:rsidRPr="009B0896" w:rsidRDefault="004E6927" w:rsidP="003A21FB">
      <w:pPr>
        <w:pStyle w:val="FootnoteText"/>
        <w:widowControl w:val="0"/>
        <w:ind w:left="720" w:hanging="720"/>
        <w:jc w:val="both"/>
        <w:rPr>
          <w:rFonts w:ascii="Arial" w:eastAsia="Arial" w:hAnsi="Arial" w:cs="Arial"/>
          <w:sz w:val="18"/>
          <w:szCs w:val="18"/>
          <w:lang w:val="es-CO"/>
        </w:rPr>
      </w:pPr>
      <w:r w:rsidRPr="009B0896">
        <w:rPr>
          <w:rFonts w:ascii="Arial" w:eastAsia="Arial" w:hAnsi="Arial" w:cs="Arial"/>
          <w:sz w:val="18"/>
          <w:szCs w:val="18"/>
          <w:vertAlign w:val="superscript"/>
          <w:lang w:val="es-CO"/>
        </w:rPr>
        <w:footnoteRef/>
      </w:r>
      <w:r w:rsidRPr="009B0896">
        <w:rPr>
          <w:rFonts w:ascii="Arial" w:eastAsia="Arial" w:hAnsi="Arial" w:cs="Arial"/>
          <w:sz w:val="18"/>
          <w:szCs w:val="18"/>
          <w:vertAlign w:val="superscript"/>
          <w:lang w:val="es-CO"/>
        </w:rPr>
        <w:t xml:space="preserve"> </w:t>
      </w:r>
      <w:r w:rsidRPr="009B0896">
        <w:rPr>
          <w:rFonts w:ascii="Arial" w:eastAsia="Arial" w:hAnsi="Arial" w:cs="Arial"/>
          <w:sz w:val="18"/>
          <w:szCs w:val="18"/>
          <w:vertAlign w:val="superscript"/>
          <w:lang w:val="es-CO"/>
        </w:rPr>
        <w:tab/>
      </w:r>
      <w:r w:rsidRPr="009B0896">
        <w:rPr>
          <w:rFonts w:ascii="Arial" w:eastAsia="Arial" w:hAnsi="Arial" w:cs="Arial"/>
          <w:sz w:val="18"/>
          <w:szCs w:val="18"/>
          <w:lang w:val="es-CO"/>
        </w:rPr>
        <w:t xml:space="preserve">Estas actas corresponden a la totalidad de las OREC provinciales (189). Esta digitalización es una condición indispensable para que la información de estos ciudadanos esté disponible a través de la PIDE. </w:t>
      </w:r>
    </w:p>
  </w:footnote>
  <w:footnote w:id="4">
    <w:p w14:paraId="64DD5620" w14:textId="77777777" w:rsidR="004E6927" w:rsidRPr="009B0896" w:rsidRDefault="004E6927" w:rsidP="003A21FB">
      <w:pPr>
        <w:pStyle w:val="FootnoteText"/>
        <w:widowControl w:val="0"/>
        <w:ind w:left="720" w:hanging="720"/>
        <w:jc w:val="both"/>
        <w:rPr>
          <w:rFonts w:ascii="Arial" w:eastAsia="Arial" w:hAnsi="Arial" w:cs="Arial"/>
          <w:sz w:val="18"/>
          <w:szCs w:val="18"/>
          <w:lang w:val="es-CO"/>
        </w:rPr>
      </w:pPr>
      <w:r w:rsidRPr="009B0896">
        <w:rPr>
          <w:rFonts w:ascii="Arial" w:eastAsia="Arial" w:hAnsi="Arial" w:cs="Arial"/>
          <w:sz w:val="18"/>
          <w:szCs w:val="18"/>
          <w:vertAlign w:val="superscript"/>
          <w:lang w:val="es-CO"/>
        </w:rPr>
        <w:footnoteRef/>
      </w:r>
      <w:r w:rsidRPr="009B0896">
        <w:rPr>
          <w:rFonts w:ascii="Arial" w:eastAsia="Arial" w:hAnsi="Arial" w:cs="Arial"/>
          <w:sz w:val="18"/>
          <w:szCs w:val="18"/>
          <w:lang w:val="es-CO"/>
        </w:rPr>
        <w:t xml:space="preserve"> </w:t>
      </w:r>
      <w:r w:rsidRPr="009B0896">
        <w:rPr>
          <w:rFonts w:ascii="Arial" w:eastAsia="Arial" w:hAnsi="Arial" w:cs="Arial"/>
          <w:sz w:val="18"/>
          <w:szCs w:val="18"/>
          <w:lang w:val="es-CO"/>
        </w:rPr>
        <w:tab/>
        <w:t>Se prevé la implementación de 31 nuevas ventanillas de RENIEC, la instalación de 30 PVM, el acondicionamiento térmico de 77 locales de atención. Estas acciones no implican nuevas infraestructuras ni ampliación de las actuales. Se optimizará el espacio existente.</w:t>
      </w:r>
    </w:p>
  </w:footnote>
  <w:footnote w:id="5">
    <w:p w14:paraId="1A3DE50A" w14:textId="77777777" w:rsidR="004E6927" w:rsidRPr="009B0896" w:rsidRDefault="004E6927" w:rsidP="003A21FB">
      <w:pPr>
        <w:pStyle w:val="FootnoteText"/>
        <w:widowControl w:val="0"/>
        <w:ind w:left="720" w:hanging="720"/>
        <w:jc w:val="both"/>
        <w:rPr>
          <w:rFonts w:ascii="Arial" w:eastAsia="Arial" w:hAnsi="Arial" w:cs="Arial"/>
          <w:sz w:val="18"/>
          <w:szCs w:val="18"/>
          <w:lang w:val="es-CO"/>
        </w:rPr>
      </w:pPr>
      <w:r w:rsidRPr="009B0896">
        <w:rPr>
          <w:rFonts w:ascii="Arial" w:eastAsia="Arial" w:hAnsi="Arial" w:cs="Arial"/>
          <w:sz w:val="18"/>
          <w:szCs w:val="18"/>
          <w:vertAlign w:val="superscript"/>
          <w:lang w:val="es-CO"/>
        </w:rPr>
        <w:footnoteRef/>
      </w:r>
      <w:r w:rsidRPr="009B0896">
        <w:rPr>
          <w:rFonts w:ascii="Arial" w:eastAsia="Arial" w:hAnsi="Arial" w:cs="Arial"/>
          <w:sz w:val="18"/>
          <w:szCs w:val="18"/>
          <w:vertAlign w:val="superscript"/>
          <w:lang w:val="es-CO"/>
        </w:rPr>
        <w:t xml:space="preserve"> </w:t>
      </w:r>
      <w:r w:rsidRPr="009B0896">
        <w:rPr>
          <w:rFonts w:ascii="Arial" w:eastAsia="Arial" w:hAnsi="Arial" w:cs="Arial"/>
          <w:sz w:val="18"/>
          <w:szCs w:val="18"/>
          <w:vertAlign w:val="superscript"/>
          <w:lang w:val="es-CO"/>
        </w:rPr>
        <w:tab/>
      </w:r>
      <w:r w:rsidRPr="009B0896">
        <w:rPr>
          <w:rFonts w:ascii="Arial" w:eastAsia="Arial" w:hAnsi="Arial" w:cs="Arial"/>
          <w:sz w:val="18"/>
          <w:szCs w:val="18"/>
          <w:lang w:val="es-CO"/>
        </w:rPr>
        <w:t>Se refiere a la toma de huellas y fotografía del rostro con equipos digitales en los propios locales de atención. Se instalarán en 611 ventanillas lo cual permitirá pasar del 4% de las atenciones con captura en vivo a 80%.</w:t>
      </w:r>
    </w:p>
  </w:footnote>
  <w:footnote w:id="6">
    <w:p w14:paraId="53887B30" w14:textId="77777777" w:rsidR="004E6927" w:rsidRPr="009B0896" w:rsidRDefault="004E6927" w:rsidP="003A21FB">
      <w:pPr>
        <w:pStyle w:val="FootnoteText"/>
        <w:widowControl w:val="0"/>
        <w:ind w:left="720" w:hanging="720"/>
        <w:jc w:val="both"/>
        <w:rPr>
          <w:rFonts w:ascii="Arial" w:eastAsia="Arial" w:hAnsi="Arial" w:cs="Arial"/>
          <w:sz w:val="18"/>
          <w:szCs w:val="18"/>
          <w:lang w:val="es-CO"/>
        </w:rPr>
      </w:pPr>
      <w:r w:rsidRPr="009B0896">
        <w:rPr>
          <w:rFonts w:ascii="Arial" w:eastAsia="Arial" w:hAnsi="Arial" w:cs="Arial"/>
          <w:sz w:val="18"/>
          <w:szCs w:val="18"/>
          <w:vertAlign w:val="superscript"/>
          <w:lang w:val="es-CO"/>
        </w:rPr>
        <w:footnoteRef/>
      </w:r>
      <w:r w:rsidRPr="009B0896">
        <w:rPr>
          <w:rFonts w:ascii="Arial" w:eastAsia="Arial" w:hAnsi="Arial" w:cs="Arial"/>
          <w:sz w:val="18"/>
          <w:szCs w:val="18"/>
          <w:vertAlign w:val="superscript"/>
          <w:lang w:val="es-CO"/>
        </w:rPr>
        <w:t xml:space="preserve"> </w:t>
      </w:r>
      <w:r w:rsidRPr="009B0896">
        <w:rPr>
          <w:rFonts w:ascii="Arial" w:eastAsia="Arial" w:hAnsi="Arial" w:cs="Arial"/>
          <w:sz w:val="18"/>
          <w:szCs w:val="18"/>
          <w:vertAlign w:val="superscript"/>
          <w:lang w:val="es-CO"/>
        </w:rPr>
        <w:tab/>
      </w:r>
      <w:r w:rsidRPr="009B0896">
        <w:rPr>
          <w:rFonts w:ascii="Arial" w:eastAsia="Arial" w:hAnsi="Arial" w:cs="Arial"/>
          <w:sz w:val="18"/>
          <w:szCs w:val="18"/>
          <w:lang w:val="es-CO"/>
        </w:rPr>
        <w:t>Se pasará de los 2 centros de producción actuales a 5. Los 3 nuevos estarán ubicados en regiones diferentes.</w:t>
      </w:r>
    </w:p>
  </w:footnote>
  <w:footnote w:id="7">
    <w:p w14:paraId="35EAB003" w14:textId="77777777" w:rsidR="004E6927" w:rsidRPr="009B0896" w:rsidRDefault="004E6927" w:rsidP="003A21FB">
      <w:pPr>
        <w:pStyle w:val="FootnoteText"/>
        <w:widowControl w:val="0"/>
        <w:ind w:left="720" w:hanging="720"/>
        <w:jc w:val="both"/>
        <w:rPr>
          <w:rFonts w:ascii="Arial" w:eastAsia="Arial" w:hAnsi="Arial" w:cs="Arial"/>
          <w:sz w:val="18"/>
          <w:szCs w:val="18"/>
          <w:lang w:val="es-CO"/>
        </w:rPr>
      </w:pPr>
      <w:r w:rsidRPr="009B0896">
        <w:rPr>
          <w:rFonts w:ascii="Arial" w:eastAsia="Arial" w:hAnsi="Arial" w:cs="Arial"/>
          <w:sz w:val="18"/>
          <w:szCs w:val="18"/>
          <w:vertAlign w:val="superscript"/>
          <w:lang w:val="es-CO"/>
        </w:rPr>
        <w:footnoteRef/>
      </w:r>
      <w:r w:rsidRPr="009B0896">
        <w:rPr>
          <w:rFonts w:ascii="Arial" w:eastAsia="Arial" w:hAnsi="Arial" w:cs="Arial"/>
          <w:sz w:val="18"/>
          <w:szCs w:val="18"/>
          <w:lang w:val="es-CO"/>
        </w:rPr>
        <w:t xml:space="preserve"> </w:t>
      </w:r>
      <w:r w:rsidRPr="009B0896">
        <w:rPr>
          <w:rFonts w:ascii="Arial" w:eastAsia="Arial" w:hAnsi="Arial" w:cs="Arial"/>
          <w:sz w:val="18"/>
          <w:szCs w:val="18"/>
          <w:lang w:val="es-CO"/>
        </w:rPr>
        <w:tab/>
        <w:t>Incluye cursos presenciales y virtuales dirigidos a los nuevos funcionarios de las OREC y de actualización para el personal estable.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76EF" w14:textId="77777777" w:rsidR="004E6927" w:rsidRDefault="004E69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2FF04063"/>
    <w:multiLevelType w:val="multilevel"/>
    <w:tmpl w:val="DB40B702"/>
    <w:lvl w:ilvl="0">
      <w:start w:val="2"/>
      <w:numFmt w:val="upperRoman"/>
      <w:lvlText w:val="%1."/>
      <w:lvlJc w:val="left"/>
      <w:pPr>
        <w:ind w:left="360" w:hanging="360"/>
      </w:pPr>
      <w:rPr>
        <w:rFonts w:hint="default"/>
      </w:rPr>
    </w:lvl>
    <w:lvl w:ilvl="1">
      <w:start w:val="2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423E0B63"/>
    <w:multiLevelType w:val="hybridMultilevel"/>
    <w:tmpl w:val="78222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8" w15:restartNumberingAfterBreak="0">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60711770"/>
    <w:multiLevelType w:val="multilevel"/>
    <w:tmpl w:val="1DEE8C32"/>
    <w:lvl w:ilvl="0">
      <w:start w:val="2"/>
      <w:numFmt w:val="upperRoman"/>
      <w:lvlText w:val="%1."/>
      <w:lvlJc w:val="left"/>
      <w:pPr>
        <w:ind w:left="360" w:hanging="360"/>
      </w:pPr>
      <w:rPr>
        <w:rFonts w:hint="default"/>
      </w:rPr>
    </w:lvl>
    <w:lvl w:ilvl="1">
      <w:start w:val="3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8"/>
  </w:num>
  <w:num w:numId="2">
    <w:abstractNumId w:val="0"/>
  </w:num>
  <w:num w:numId="3">
    <w:abstractNumId w:val="3"/>
  </w:num>
  <w:num w:numId="4">
    <w:abstractNumId w:val="2"/>
  </w:num>
  <w:num w:numId="5">
    <w:abstractNumId w:val="1"/>
  </w:num>
  <w:num w:numId="6">
    <w:abstractNumId w:val="6"/>
  </w:num>
  <w:num w:numId="7">
    <w:abstractNumId w:val="7"/>
  </w:num>
  <w:num w:numId="8">
    <w:abstractNumId w:val="4"/>
  </w:num>
  <w:num w:numId="9">
    <w:abstractNumId w:val="9"/>
  </w:num>
  <w:num w:numId="10">
    <w:abstractNumId w:val="5"/>
  </w:num>
  <w:num w:numId="11">
    <w:abstractNumId w:val="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markup="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0033"/>
    <w:rsid w:val="00002B2F"/>
    <w:rsid w:val="00005BB5"/>
    <w:rsid w:val="00005EDC"/>
    <w:rsid w:val="000117CA"/>
    <w:rsid w:val="00012B9A"/>
    <w:rsid w:val="00013021"/>
    <w:rsid w:val="0001439F"/>
    <w:rsid w:val="00014B7A"/>
    <w:rsid w:val="00015F9B"/>
    <w:rsid w:val="000163C5"/>
    <w:rsid w:val="0001649F"/>
    <w:rsid w:val="00020F94"/>
    <w:rsid w:val="000232C9"/>
    <w:rsid w:val="0002367A"/>
    <w:rsid w:val="0002382F"/>
    <w:rsid w:val="000250B3"/>
    <w:rsid w:val="00027BD0"/>
    <w:rsid w:val="00030267"/>
    <w:rsid w:val="00030B76"/>
    <w:rsid w:val="00031E1C"/>
    <w:rsid w:val="00032087"/>
    <w:rsid w:val="00036F86"/>
    <w:rsid w:val="00040226"/>
    <w:rsid w:val="00040932"/>
    <w:rsid w:val="000435C2"/>
    <w:rsid w:val="000447E8"/>
    <w:rsid w:val="00044CA5"/>
    <w:rsid w:val="00045FAD"/>
    <w:rsid w:val="000461F6"/>
    <w:rsid w:val="0005267A"/>
    <w:rsid w:val="000532C5"/>
    <w:rsid w:val="00055C95"/>
    <w:rsid w:val="00060365"/>
    <w:rsid w:val="000615C6"/>
    <w:rsid w:val="00062917"/>
    <w:rsid w:val="0006373A"/>
    <w:rsid w:val="0006705A"/>
    <w:rsid w:val="0006764A"/>
    <w:rsid w:val="00072EAB"/>
    <w:rsid w:val="00073D06"/>
    <w:rsid w:val="00080F7E"/>
    <w:rsid w:val="00084563"/>
    <w:rsid w:val="00086A1C"/>
    <w:rsid w:val="00086C0F"/>
    <w:rsid w:val="0009136C"/>
    <w:rsid w:val="000918F4"/>
    <w:rsid w:val="00094F89"/>
    <w:rsid w:val="00095081"/>
    <w:rsid w:val="00095862"/>
    <w:rsid w:val="00096255"/>
    <w:rsid w:val="00096BD0"/>
    <w:rsid w:val="00097D91"/>
    <w:rsid w:val="000A005B"/>
    <w:rsid w:val="000A254F"/>
    <w:rsid w:val="000A4240"/>
    <w:rsid w:val="000A474D"/>
    <w:rsid w:val="000A5455"/>
    <w:rsid w:val="000A57B1"/>
    <w:rsid w:val="000A6211"/>
    <w:rsid w:val="000A69B7"/>
    <w:rsid w:val="000B05C1"/>
    <w:rsid w:val="000B0A43"/>
    <w:rsid w:val="000B389F"/>
    <w:rsid w:val="000B3F73"/>
    <w:rsid w:val="000B6483"/>
    <w:rsid w:val="000C17DD"/>
    <w:rsid w:val="000C46A7"/>
    <w:rsid w:val="000C46E0"/>
    <w:rsid w:val="000C6E12"/>
    <w:rsid w:val="000C7F6E"/>
    <w:rsid w:val="000D0A77"/>
    <w:rsid w:val="000D3602"/>
    <w:rsid w:val="000D3AFA"/>
    <w:rsid w:val="000D4175"/>
    <w:rsid w:val="000D6314"/>
    <w:rsid w:val="000D64EC"/>
    <w:rsid w:val="000D6C2A"/>
    <w:rsid w:val="000E5FFA"/>
    <w:rsid w:val="000F2840"/>
    <w:rsid w:val="000F4BF7"/>
    <w:rsid w:val="00100AB6"/>
    <w:rsid w:val="00103836"/>
    <w:rsid w:val="00107A6D"/>
    <w:rsid w:val="00110CE8"/>
    <w:rsid w:val="00111647"/>
    <w:rsid w:val="00112CE5"/>
    <w:rsid w:val="001143E4"/>
    <w:rsid w:val="001144BE"/>
    <w:rsid w:val="00117D42"/>
    <w:rsid w:val="00120318"/>
    <w:rsid w:val="001246EE"/>
    <w:rsid w:val="0012607B"/>
    <w:rsid w:val="0012683F"/>
    <w:rsid w:val="00126A3E"/>
    <w:rsid w:val="00132D5C"/>
    <w:rsid w:val="0013499E"/>
    <w:rsid w:val="00140173"/>
    <w:rsid w:val="001423A3"/>
    <w:rsid w:val="001439C9"/>
    <w:rsid w:val="00146B6D"/>
    <w:rsid w:val="001472FC"/>
    <w:rsid w:val="0015295A"/>
    <w:rsid w:val="00152CB9"/>
    <w:rsid w:val="0015534D"/>
    <w:rsid w:val="00155361"/>
    <w:rsid w:val="00160A20"/>
    <w:rsid w:val="00161975"/>
    <w:rsid w:val="00163675"/>
    <w:rsid w:val="0016597C"/>
    <w:rsid w:val="00166F59"/>
    <w:rsid w:val="00167B44"/>
    <w:rsid w:val="00170F5E"/>
    <w:rsid w:val="00171377"/>
    <w:rsid w:val="001720BB"/>
    <w:rsid w:val="001725E9"/>
    <w:rsid w:val="00173607"/>
    <w:rsid w:val="00174B82"/>
    <w:rsid w:val="001767D4"/>
    <w:rsid w:val="00177892"/>
    <w:rsid w:val="0018102F"/>
    <w:rsid w:val="001827E7"/>
    <w:rsid w:val="00183F9E"/>
    <w:rsid w:val="0018538F"/>
    <w:rsid w:val="001865CF"/>
    <w:rsid w:val="00187201"/>
    <w:rsid w:val="001903F0"/>
    <w:rsid w:val="00196286"/>
    <w:rsid w:val="001A2A90"/>
    <w:rsid w:val="001B0A90"/>
    <w:rsid w:val="001B3BF7"/>
    <w:rsid w:val="001B6084"/>
    <w:rsid w:val="001C0414"/>
    <w:rsid w:val="001C268B"/>
    <w:rsid w:val="001C393B"/>
    <w:rsid w:val="001C3DCA"/>
    <w:rsid w:val="001D2D2E"/>
    <w:rsid w:val="001D7ADC"/>
    <w:rsid w:val="001D7F81"/>
    <w:rsid w:val="001E1015"/>
    <w:rsid w:val="001E150A"/>
    <w:rsid w:val="001E7B41"/>
    <w:rsid w:val="001F0D61"/>
    <w:rsid w:val="001F0E20"/>
    <w:rsid w:val="001F52BD"/>
    <w:rsid w:val="001F5569"/>
    <w:rsid w:val="00201A8D"/>
    <w:rsid w:val="00203219"/>
    <w:rsid w:val="002033E1"/>
    <w:rsid w:val="00204E18"/>
    <w:rsid w:val="00205916"/>
    <w:rsid w:val="00207204"/>
    <w:rsid w:val="0021056E"/>
    <w:rsid w:val="00212704"/>
    <w:rsid w:val="00212AE0"/>
    <w:rsid w:val="00214954"/>
    <w:rsid w:val="00215D5A"/>
    <w:rsid w:val="002168BA"/>
    <w:rsid w:val="002216F9"/>
    <w:rsid w:val="00224867"/>
    <w:rsid w:val="002306A0"/>
    <w:rsid w:val="002308DC"/>
    <w:rsid w:val="0023096C"/>
    <w:rsid w:val="002341D5"/>
    <w:rsid w:val="0023775E"/>
    <w:rsid w:val="00240208"/>
    <w:rsid w:val="00244A62"/>
    <w:rsid w:val="00245F30"/>
    <w:rsid w:val="0025036F"/>
    <w:rsid w:val="00250849"/>
    <w:rsid w:val="00252502"/>
    <w:rsid w:val="00253B58"/>
    <w:rsid w:val="002547CF"/>
    <w:rsid w:val="0025778E"/>
    <w:rsid w:val="00260D92"/>
    <w:rsid w:val="00263BC4"/>
    <w:rsid w:val="00266113"/>
    <w:rsid w:val="0027433B"/>
    <w:rsid w:val="002743B9"/>
    <w:rsid w:val="00274BD5"/>
    <w:rsid w:val="00275D75"/>
    <w:rsid w:val="00277E59"/>
    <w:rsid w:val="00286534"/>
    <w:rsid w:val="002873E1"/>
    <w:rsid w:val="002905B3"/>
    <w:rsid w:val="002907B2"/>
    <w:rsid w:val="00292081"/>
    <w:rsid w:val="0029622F"/>
    <w:rsid w:val="00296F07"/>
    <w:rsid w:val="002A1FC4"/>
    <w:rsid w:val="002A2073"/>
    <w:rsid w:val="002A21EA"/>
    <w:rsid w:val="002A4399"/>
    <w:rsid w:val="002B18ED"/>
    <w:rsid w:val="002B31BC"/>
    <w:rsid w:val="002B5307"/>
    <w:rsid w:val="002B650D"/>
    <w:rsid w:val="002B6B10"/>
    <w:rsid w:val="002B6C79"/>
    <w:rsid w:val="002B737A"/>
    <w:rsid w:val="002C167A"/>
    <w:rsid w:val="002C1CD6"/>
    <w:rsid w:val="002C3AEE"/>
    <w:rsid w:val="002C5257"/>
    <w:rsid w:val="002C54E7"/>
    <w:rsid w:val="002C571F"/>
    <w:rsid w:val="002C5E1A"/>
    <w:rsid w:val="002D29C7"/>
    <w:rsid w:val="002D4369"/>
    <w:rsid w:val="002D4E00"/>
    <w:rsid w:val="002D6F93"/>
    <w:rsid w:val="002D7584"/>
    <w:rsid w:val="002D7864"/>
    <w:rsid w:val="002D78F7"/>
    <w:rsid w:val="002E12EB"/>
    <w:rsid w:val="002E1368"/>
    <w:rsid w:val="002E147E"/>
    <w:rsid w:val="002E26C6"/>
    <w:rsid w:val="002E4202"/>
    <w:rsid w:val="002E4618"/>
    <w:rsid w:val="002E6B84"/>
    <w:rsid w:val="002E6BE0"/>
    <w:rsid w:val="002E7C5D"/>
    <w:rsid w:val="002F1652"/>
    <w:rsid w:val="002F1A99"/>
    <w:rsid w:val="002F27CA"/>
    <w:rsid w:val="002F2B64"/>
    <w:rsid w:val="002F4237"/>
    <w:rsid w:val="002F50C6"/>
    <w:rsid w:val="002F7EA4"/>
    <w:rsid w:val="00300939"/>
    <w:rsid w:val="00300ACA"/>
    <w:rsid w:val="00300D75"/>
    <w:rsid w:val="003030CC"/>
    <w:rsid w:val="0030523D"/>
    <w:rsid w:val="00307417"/>
    <w:rsid w:val="00311FD5"/>
    <w:rsid w:val="00313961"/>
    <w:rsid w:val="003140D5"/>
    <w:rsid w:val="003208FA"/>
    <w:rsid w:val="00323CBD"/>
    <w:rsid w:val="0032488E"/>
    <w:rsid w:val="003311E6"/>
    <w:rsid w:val="003332AB"/>
    <w:rsid w:val="0033457E"/>
    <w:rsid w:val="0033569A"/>
    <w:rsid w:val="003370D2"/>
    <w:rsid w:val="003376DF"/>
    <w:rsid w:val="00340C8E"/>
    <w:rsid w:val="00343805"/>
    <w:rsid w:val="00347051"/>
    <w:rsid w:val="00350002"/>
    <w:rsid w:val="00351067"/>
    <w:rsid w:val="0035511C"/>
    <w:rsid w:val="00356AD0"/>
    <w:rsid w:val="00356FCF"/>
    <w:rsid w:val="00357790"/>
    <w:rsid w:val="00360C5E"/>
    <w:rsid w:val="00362D8A"/>
    <w:rsid w:val="00367B95"/>
    <w:rsid w:val="00376FC1"/>
    <w:rsid w:val="003777EA"/>
    <w:rsid w:val="003805D2"/>
    <w:rsid w:val="00381F8D"/>
    <w:rsid w:val="00384560"/>
    <w:rsid w:val="00386B8A"/>
    <w:rsid w:val="0039137B"/>
    <w:rsid w:val="003918B7"/>
    <w:rsid w:val="00395746"/>
    <w:rsid w:val="003970BE"/>
    <w:rsid w:val="003A068D"/>
    <w:rsid w:val="003A0E30"/>
    <w:rsid w:val="003A21FB"/>
    <w:rsid w:val="003A453B"/>
    <w:rsid w:val="003A4F00"/>
    <w:rsid w:val="003B0030"/>
    <w:rsid w:val="003B0AAC"/>
    <w:rsid w:val="003B4278"/>
    <w:rsid w:val="003B7A64"/>
    <w:rsid w:val="003C0446"/>
    <w:rsid w:val="003C08A4"/>
    <w:rsid w:val="003C3C2F"/>
    <w:rsid w:val="003C531B"/>
    <w:rsid w:val="003C53F4"/>
    <w:rsid w:val="003C64D3"/>
    <w:rsid w:val="003C64E0"/>
    <w:rsid w:val="003D182A"/>
    <w:rsid w:val="003D308B"/>
    <w:rsid w:val="003D4E74"/>
    <w:rsid w:val="003D5018"/>
    <w:rsid w:val="003D5EC2"/>
    <w:rsid w:val="003D6624"/>
    <w:rsid w:val="003E494A"/>
    <w:rsid w:val="003E61DA"/>
    <w:rsid w:val="003E71C0"/>
    <w:rsid w:val="003F0640"/>
    <w:rsid w:val="003F7517"/>
    <w:rsid w:val="00402721"/>
    <w:rsid w:val="004078AA"/>
    <w:rsid w:val="00420840"/>
    <w:rsid w:val="004210C5"/>
    <w:rsid w:val="00423EB8"/>
    <w:rsid w:val="00424539"/>
    <w:rsid w:val="004249B4"/>
    <w:rsid w:val="0042561E"/>
    <w:rsid w:val="0042581D"/>
    <w:rsid w:val="00426736"/>
    <w:rsid w:val="00431689"/>
    <w:rsid w:val="00435054"/>
    <w:rsid w:val="004421F2"/>
    <w:rsid w:val="00442B47"/>
    <w:rsid w:val="00442BDF"/>
    <w:rsid w:val="004434A5"/>
    <w:rsid w:val="00445382"/>
    <w:rsid w:val="004478AE"/>
    <w:rsid w:val="00450385"/>
    <w:rsid w:val="00452907"/>
    <w:rsid w:val="004564D7"/>
    <w:rsid w:val="00456A59"/>
    <w:rsid w:val="004617D3"/>
    <w:rsid w:val="004617EA"/>
    <w:rsid w:val="00462308"/>
    <w:rsid w:val="00466C77"/>
    <w:rsid w:val="00467669"/>
    <w:rsid w:val="00470D03"/>
    <w:rsid w:val="00473037"/>
    <w:rsid w:val="00473371"/>
    <w:rsid w:val="00473E76"/>
    <w:rsid w:val="00474B5D"/>
    <w:rsid w:val="0048244D"/>
    <w:rsid w:val="00483327"/>
    <w:rsid w:val="00484351"/>
    <w:rsid w:val="00484DB6"/>
    <w:rsid w:val="004857AE"/>
    <w:rsid w:val="004869E4"/>
    <w:rsid w:val="00487558"/>
    <w:rsid w:val="004876EE"/>
    <w:rsid w:val="00487742"/>
    <w:rsid w:val="00493FE5"/>
    <w:rsid w:val="00494BDC"/>
    <w:rsid w:val="00494E6E"/>
    <w:rsid w:val="00495C1F"/>
    <w:rsid w:val="0049738C"/>
    <w:rsid w:val="004A1160"/>
    <w:rsid w:val="004A167E"/>
    <w:rsid w:val="004A1B8A"/>
    <w:rsid w:val="004A21B2"/>
    <w:rsid w:val="004A2F7B"/>
    <w:rsid w:val="004A383B"/>
    <w:rsid w:val="004A3FA5"/>
    <w:rsid w:val="004B2494"/>
    <w:rsid w:val="004B3A59"/>
    <w:rsid w:val="004B3A79"/>
    <w:rsid w:val="004B451F"/>
    <w:rsid w:val="004B52C3"/>
    <w:rsid w:val="004B77C2"/>
    <w:rsid w:val="004B7A5A"/>
    <w:rsid w:val="004C1201"/>
    <w:rsid w:val="004C19AB"/>
    <w:rsid w:val="004C1B7A"/>
    <w:rsid w:val="004C3C2F"/>
    <w:rsid w:val="004C3FBA"/>
    <w:rsid w:val="004C43FE"/>
    <w:rsid w:val="004C4B32"/>
    <w:rsid w:val="004C613C"/>
    <w:rsid w:val="004C7D80"/>
    <w:rsid w:val="004D0C3A"/>
    <w:rsid w:val="004D2C56"/>
    <w:rsid w:val="004D3E6C"/>
    <w:rsid w:val="004D4BD0"/>
    <w:rsid w:val="004D5EFD"/>
    <w:rsid w:val="004D6A36"/>
    <w:rsid w:val="004E084F"/>
    <w:rsid w:val="004E3F85"/>
    <w:rsid w:val="004E4612"/>
    <w:rsid w:val="004E4981"/>
    <w:rsid w:val="004E4DAC"/>
    <w:rsid w:val="004E6927"/>
    <w:rsid w:val="004F08F8"/>
    <w:rsid w:val="004F3440"/>
    <w:rsid w:val="004F3763"/>
    <w:rsid w:val="004F4C0D"/>
    <w:rsid w:val="004F5B95"/>
    <w:rsid w:val="00502419"/>
    <w:rsid w:val="00504003"/>
    <w:rsid w:val="0050552A"/>
    <w:rsid w:val="005069AB"/>
    <w:rsid w:val="0050796D"/>
    <w:rsid w:val="005117E4"/>
    <w:rsid w:val="00514048"/>
    <w:rsid w:val="0052640E"/>
    <w:rsid w:val="0052734A"/>
    <w:rsid w:val="00527A94"/>
    <w:rsid w:val="00531850"/>
    <w:rsid w:val="00531D72"/>
    <w:rsid w:val="00532251"/>
    <w:rsid w:val="00532604"/>
    <w:rsid w:val="00535F75"/>
    <w:rsid w:val="00536B0A"/>
    <w:rsid w:val="0053746A"/>
    <w:rsid w:val="00540CE0"/>
    <w:rsid w:val="00540F8F"/>
    <w:rsid w:val="00541132"/>
    <w:rsid w:val="0054153B"/>
    <w:rsid w:val="00547D6F"/>
    <w:rsid w:val="005517F1"/>
    <w:rsid w:val="00555355"/>
    <w:rsid w:val="00556A21"/>
    <w:rsid w:val="00560C34"/>
    <w:rsid w:val="00560CD8"/>
    <w:rsid w:val="00565115"/>
    <w:rsid w:val="005742FA"/>
    <w:rsid w:val="0057752B"/>
    <w:rsid w:val="00580239"/>
    <w:rsid w:val="00581D67"/>
    <w:rsid w:val="00582BAA"/>
    <w:rsid w:val="00583705"/>
    <w:rsid w:val="00585D0A"/>
    <w:rsid w:val="00585DBC"/>
    <w:rsid w:val="00585E7B"/>
    <w:rsid w:val="005907BE"/>
    <w:rsid w:val="00591D6A"/>
    <w:rsid w:val="005922B4"/>
    <w:rsid w:val="005A14BF"/>
    <w:rsid w:val="005A1630"/>
    <w:rsid w:val="005A201A"/>
    <w:rsid w:val="005A4675"/>
    <w:rsid w:val="005A62B7"/>
    <w:rsid w:val="005A69A9"/>
    <w:rsid w:val="005B2F80"/>
    <w:rsid w:val="005B552B"/>
    <w:rsid w:val="005B7D48"/>
    <w:rsid w:val="005C5A91"/>
    <w:rsid w:val="005C769A"/>
    <w:rsid w:val="005D12F6"/>
    <w:rsid w:val="005D1407"/>
    <w:rsid w:val="005D29A5"/>
    <w:rsid w:val="005D430F"/>
    <w:rsid w:val="005D58EE"/>
    <w:rsid w:val="005D6FE2"/>
    <w:rsid w:val="005E05D0"/>
    <w:rsid w:val="005E0AC0"/>
    <w:rsid w:val="005E0FF8"/>
    <w:rsid w:val="005E12BF"/>
    <w:rsid w:val="005E18AD"/>
    <w:rsid w:val="005E1BF9"/>
    <w:rsid w:val="005E2C6A"/>
    <w:rsid w:val="005E34D2"/>
    <w:rsid w:val="005E3B9D"/>
    <w:rsid w:val="005F1A0D"/>
    <w:rsid w:val="005F6FA6"/>
    <w:rsid w:val="005F7A38"/>
    <w:rsid w:val="00615AA5"/>
    <w:rsid w:val="006225CF"/>
    <w:rsid w:val="006333A4"/>
    <w:rsid w:val="00633D23"/>
    <w:rsid w:val="00637A31"/>
    <w:rsid w:val="00641DCD"/>
    <w:rsid w:val="00643CF0"/>
    <w:rsid w:val="00644464"/>
    <w:rsid w:val="00644B26"/>
    <w:rsid w:val="00650041"/>
    <w:rsid w:val="00650062"/>
    <w:rsid w:val="00652A91"/>
    <w:rsid w:val="00655622"/>
    <w:rsid w:val="006603BE"/>
    <w:rsid w:val="00661C9D"/>
    <w:rsid w:val="0066261B"/>
    <w:rsid w:val="00674058"/>
    <w:rsid w:val="00675628"/>
    <w:rsid w:val="00676A1C"/>
    <w:rsid w:val="006804DF"/>
    <w:rsid w:val="006813D8"/>
    <w:rsid w:val="00682C45"/>
    <w:rsid w:val="00682EC3"/>
    <w:rsid w:val="00686499"/>
    <w:rsid w:val="00686E0E"/>
    <w:rsid w:val="00687A6D"/>
    <w:rsid w:val="006901EF"/>
    <w:rsid w:val="00691245"/>
    <w:rsid w:val="006920F7"/>
    <w:rsid w:val="0069414B"/>
    <w:rsid w:val="00694696"/>
    <w:rsid w:val="00695E2F"/>
    <w:rsid w:val="0069696F"/>
    <w:rsid w:val="006A016E"/>
    <w:rsid w:val="006A0846"/>
    <w:rsid w:val="006A1D50"/>
    <w:rsid w:val="006A2923"/>
    <w:rsid w:val="006A37E3"/>
    <w:rsid w:val="006A3973"/>
    <w:rsid w:val="006A6F3A"/>
    <w:rsid w:val="006B2EE6"/>
    <w:rsid w:val="006B4175"/>
    <w:rsid w:val="006B63A8"/>
    <w:rsid w:val="006C0B27"/>
    <w:rsid w:val="006C46AA"/>
    <w:rsid w:val="006D2F82"/>
    <w:rsid w:val="006D4733"/>
    <w:rsid w:val="006E3238"/>
    <w:rsid w:val="006E3F51"/>
    <w:rsid w:val="006E4B83"/>
    <w:rsid w:val="006E4C85"/>
    <w:rsid w:val="006E60A1"/>
    <w:rsid w:val="006F1D22"/>
    <w:rsid w:val="006F1DBA"/>
    <w:rsid w:val="006F5BA4"/>
    <w:rsid w:val="006F6BDC"/>
    <w:rsid w:val="006F7FCE"/>
    <w:rsid w:val="007041A5"/>
    <w:rsid w:val="00706FAB"/>
    <w:rsid w:val="0070703D"/>
    <w:rsid w:val="007113A9"/>
    <w:rsid w:val="00714298"/>
    <w:rsid w:val="0071464D"/>
    <w:rsid w:val="007156F1"/>
    <w:rsid w:val="00715CDD"/>
    <w:rsid w:val="00716A16"/>
    <w:rsid w:val="007207F3"/>
    <w:rsid w:val="00720E9A"/>
    <w:rsid w:val="00724814"/>
    <w:rsid w:val="00726740"/>
    <w:rsid w:val="00727D7D"/>
    <w:rsid w:val="00731B21"/>
    <w:rsid w:val="0073491B"/>
    <w:rsid w:val="0073585A"/>
    <w:rsid w:val="00737A5A"/>
    <w:rsid w:val="00745C05"/>
    <w:rsid w:val="00746A2E"/>
    <w:rsid w:val="00753456"/>
    <w:rsid w:val="007548CD"/>
    <w:rsid w:val="007619BA"/>
    <w:rsid w:val="00762226"/>
    <w:rsid w:val="00765476"/>
    <w:rsid w:val="00765648"/>
    <w:rsid w:val="00765BCC"/>
    <w:rsid w:val="00771C06"/>
    <w:rsid w:val="00775EDE"/>
    <w:rsid w:val="007760DE"/>
    <w:rsid w:val="007826AA"/>
    <w:rsid w:val="00786DDF"/>
    <w:rsid w:val="0078704A"/>
    <w:rsid w:val="00787D25"/>
    <w:rsid w:val="00791B9A"/>
    <w:rsid w:val="0079324F"/>
    <w:rsid w:val="00794002"/>
    <w:rsid w:val="00794A2B"/>
    <w:rsid w:val="00797A96"/>
    <w:rsid w:val="007A1860"/>
    <w:rsid w:val="007A3E89"/>
    <w:rsid w:val="007A4DEC"/>
    <w:rsid w:val="007B3205"/>
    <w:rsid w:val="007B3237"/>
    <w:rsid w:val="007B5A16"/>
    <w:rsid w:val="007C00FA"/>
    <w:rsid w:val="007C0A5D"/>
    <w:rsid w:val="007C10BC"/>
    <w:rsid w:val="007C3A0D"/>
    <w:rsid w:val="007C3FE6"/>
    <w:rsid w:val="007C5FFB"/>
    <w:rsid w:val="007C6EC6"/>
    <w:rsid w:val="007D03A1"/>
    <w:rsid w:val="007D1888"/>
    <w:rsid w:val="007D259B"/>
    <w:rsid w:val="007D396A"/>
    <w:rsid w:val="007D7037"/>
    <w:rsid w:val="007D7BED"/>
    <w:rsid w:val="007E059C"/>
    <w:rsid w:val="007E05E0"/>
    <w:rsid w:val="007E180D"/>
    <w:rsid w:val="007E2918"/>
    <w:rsid w:val="007E4510"/>
    <w:rsid w:val="007E6104"/>
    <w:rsid w:val="007E62C1"/>
    <w:rsid w:val="007E663E"/>
    <w:rsid w:val="007E6BEA"/>
    <w:rsid w:val="007F0085"/>
    <w:rsid w:val="007F3457"/>
    <w:rsid w:val="007F4BF4"/>
    <w:rsid w:val="007F5638"/>
    <w:rsid w:val="007F5F25"/>
    <w:rsid w:val="007F7BBB"/>
    <w:rsid w:val="00800DFF"/>
    <w:rsid w:val="00802A5A"/>
    <w:rsid w:val="00806BE9"/>
    <w:rsid w:val="00812835"/>
    <w:rsid w:val="00813877"/>
    <w:rsid w:val="00814B33"/>
    <w:rsid w:val="00814D90"/>
    <w:rsid w:val="008160A7"/>
    <w:rsid w:val="00816159"/>
    <w:rsid w:val="00816620"/>
    <w:rsid w:val="0081697B"/>
    <w:rsid w:val="00821327"/>
    <w:rsid w:val="00821A94"/>
    <w:rsid w:val="00823012"/>
    <w:rsid w:val="0082652B"/>
    <w:rsid w:val="00826534"/>
    <w:rsid w:val="00830578"/>
    <w:rsid w:val="008353A9"/>
    <w:rsid w:val="00836158"/>
    <w:rsid w:val="008421E0"/>
    <w:rsid w:val="00844712"/>
    <w:rsid w:val="00847203"/>
    <w:rsid w:val="00847516"/>
    <w:rsid w:val="00847620"/>
    <w:rsid w:val="00850F3F"/>
    <w:rsid w:val="00850F9E"/>
    <w:rsid w:val="008531B3"/>
    <w:rsid w:val="008544A7"/>
    <w:rsid w:val="008545AC"/>
    <w:rsid w:val="00857E5B"/>
    <w:rsid w:val="00860114"/>
    <w:rsid w:val="00860164"/>
    <w:rsid w:val="008612C1"/>
    <w:rsid w:val="0086359C"/>
    <w:rsid w:val="00864771"/>
    <w:rsid w:val="00867419"/>
    <w:rsid w:val="008707E7"/>
    <w:rsid w:val="00882232"/>
    <w:rsid w:val="00884DD9"/>
    <w:rsid w:val="00887B86"/>
    <w:rsid w:val="00890733"/>
    <w:rsid w:val="00891BA0"/>
    <w:rsid w:val="00892643"/>
    <w:rsid w:val="008938B7"/>
    <w:rsid w:val="008944F0"/>
    <w:rsid w:val="008964CD"/>
    <w:rsid w:val="008A0563"/>
    <w:rsid w:val="008A367D"/>
    <w:rsid w:val="008A3903"/>
    <w:rsid w:val="008A3DC6"/>
    <w:rsid w:val="008A4318"/>
    <w:rsid w:val="008A4F02"/>
    <w:rsid w:val="008A5303"/>
    <w:rsid w:val="008A6FA9"/>
    <w:rsid w:val="008B0776"/>
    <w:rsid w:val="008B12CE"/>
    <w:rsid w:val="008B2732"/>
    <w:rsid w:val="008B459C"/>
    <w:rsid w:val="008B4FC8"/>
    <w:rsid w:val="008B69F9"/>
    <w:rsid w:val="008B7AB5"/>
    <w:rsid w:val="008B7AB8"/>
    <w:rsid w:val="008C25C2"/>
    <w:rsid w:val="008C2D30"/>
    <w:rsid w:val="008C7A94"/>
    <w:rsid w:val="008D249D"/>
    <w:rsid w:val="008D26E9"/>
    <w:rsid w:val="008D3186"/>
    <w:rsid w:val="008E0408"/>
    <w:rsid w:val="008E3746"/>
    <w:rsid w:val="008E3EE0"/>
    <w:rsid w:val="008E522D"/>
    <w:rsid w:val="008E536B"/>
    <w:rsid w:val="008E72AB"/>
    <w:rsid w:val="008E7C3E"/>
    <w:rsid w:val="008F1C90"/>
    <w:rsid w:val="008F47C0"/>
    <w:rsid w:val="008F68AE"/>
    <w:rsid w:val="008F7171"/>
    <w:rsid w:val="00900812"/>
    <w:rsid w:val="00905B45"/>
    <w:rsid w:val="00910130"/>
    <w:rsid w:val="0091259D"/>
    <w:rsid w:val="0091399D"/>
    <w:rsid w:val="00914524"/>
    <w:rsid w:val="0091507A"/>
    <w:rsid w:val="00915BD2"/>
    <w:rsid w:val="0091681A"/>
    <w:rsid w:val="00916829"/>
    <w:rsid w:val="00920249"/>
    <w:rsid w:val="00920841"/>
    <w:rsid w:val="0092482A"/>
    <w:rsid w:val="00925598"/>
    <w:rsid w:val="00925E70"/>
    <w:rsid w:val="00926C85"/>
    <w:rsid w:val="009307E2"/>
    <w:rsid w:val="00930885"/>
    <w:rsid w:val="00932AF4"/>
    <w:rsid w:val="009332ED"/>
    <w:rsid w:val="00934177"/>
    <w:rsid w:val="00936B50"/>
    <w:rsid w:val="009370D5"/>
    <w:rsid w:val="00937224"/>
    <w:rsid w:val="00937523"/>
    <w:rsid w:val="00937C74"/>
    <w:rsid w:val="00940623"/>
    <w:rsid w:val="00941AE5"/>
    <w:rsid w:val="009423CA"/>
    <w:rsid w:val="00942E03"/>
    <w:rsid w:val="00943CDD"/>
    <w:rsid w:val="00944259"/>
    <w:rsid w:val="00946BAC"/>
    <w:rsid w:val="00954E0E"/>
    <w:rsid w:val="0095645D"/>
    <w:rsid w:val="00961A68"/>
    <w:rsid w:val="00961FAB"/>
    <w:rsid w:val="00962BB2"/>
    <w:rsid w:val="00962D5E"/>
    <w:rsid w:val="00966650"/>
    <w:rsid w:val="00967D93"/>
    <w:rsid w:val="0097100E"/>
    <w:rsid w:val="00972C35"/>
    <w:rsid w:val="00974805"/>
    <w:rsid w:val="00975398"/>
    <w:rsid w:val="009776F0"/>
    <w:rsid w:val="00977940"/>
    <w:rsid w:val="00980972"/>
    <w:rsid w:val="00981783"/>
    <w:rsid w:val="00983703"/>
    <w:rsid w:val="00990A2D"/>
    <w:rsid w:val="009918CD"/>
    <w:rsid w:val="00991F14"/>
    <w:rsid w:val="00991FB6"/>
    <w:rsid w:val="00992C30"/>
    <w:rsid w:val="00993463"/>
    <w:rsid w:val="00993B65"/>
    <w:rsid w:val="009A4966"/>
    <w:rsid w:val="009A4A07"/>
    <w:rsid w:val="009A5E1A"/>
    <w:rsid w:val="009A6118"/>
    <w:rsid w:val="009A65E9"/>
    <w:rsid w:val="009B04E7"/>
    <w:rsid w:val="009B370F"/>
    <w:rsid w:val="009B3AFA"/>
    <w:rsid w:val="009B4C36"/>
    <w:rsid w:val="009B5347"/>
    <w:rsid w:val="009B78FC"/>
    <w:rsid w:val="009D0CF9"/>
    <w:rsid w:val="009D173F"/>
    <w:rsid w:val="009D40C4"/>
    <w:rsid w:val="009D413B"/>
    <w:rsid w:val="009D42E9"/>
    <w:rsid w:val="009D4D7F"/>
    <w:rsid w:val="009D7700"/>
    <w:rsid w:val="009E022D"/>
    <w:rsid w:val="009E3F16"/>
    <w:rsid w:val="009E4ACB"/>
    <w:rsid w:val="009E4C0B"/>
    <w:rsid w:val="009E6A82"/>
    <w:rsid w:val="009F09D0"/>
    <w:rsid w:val="009F58A4"/>
    <w:rsid w:val="009F7935"/>
    <w:rsid w:val="00A009BE"/>
    <w:rsid w:val="00A0126B"/>
    <w:rsid w:val="00A01685"/>
    <w:rsid w:val="00A02D6F"/>
    <w:rsid w:val="00A04200"/>
    <w:rsid w:val="00A04CB3"/>
    <w:rsid w:val="00A06BB5"/>
    <w:rsid w:val="00A07A5C"/>
    <w:rsid w:val="00A1566C"/>
    <w:rsid w:val="00A172F8"/>
    <w:rsid w:val="00A20176"/>
    <w:rsid w:val="00A257D9"/>
    <w:rsid w:val="00A26883"/>
    <w:rsid w:val="00A32B3D"/>
    <w:rsid w:val="00A33C47"/>
    <w:rsid w:val="00A34E26"/>
    <w:rsid w:val="00A35086"/>
    <w:rsid w:val="00A3757C"/>
    <w:rsid w:val="00A379AF"/>
    <w:rsid w:val="00A402D7"/>
    <w:rsid w:val="00A433A3"/>
    <w:rsid w:val="00A460A1"/>
    <w:rsid w:val="00A47BDF"/>
    <w:rsid w:val="00A54F3E"/>
    <w:rsid w:val="00A550A8"/>
    <w:rsid w:val="00A55B15"/>
    <w:rsid w:val="00A6013E"/>
    <w:rsid w:val="00A603AC"/>
    <w:rsid w:val="00A62D6A"/>
    <w:rsid w:val="00A65D42"/>
    <w:rsid w:val="00A72576"/>
    <w:rsid w:val="00A73731"/>
    <w:rsid w:val="00A74324"/>
    <w:rsid w:val="00A76FBF"/>
    <w:rsid w:val="00A77092"/>
    <w:rsid w:val="00A81295"/>
    <w:rsid w:val="00A81CE3"/>
    <w:rsid w:val="00A82095"/>
    <w:rsid w:val="00A83B1B"/>
    <w:rsid w:val="00A84ECC"/>
    <w:rsid w:val="00A855AD"/>
    <w:rsid w:val="00A864B0"/>
    <w:rsid w:val="00A87A33"/>
    <w:rsid w:val="00A93CD2"/>
    <w:rsid w:val="00A93FC3"/>
    <w:rsid w:val="00A95D49"/>
    <w:rsid w:val="00A978AC"/>
    <w:rsid w:val="00A97E3C"/>
    <w:rsid w:val="00AA0BF9"/>
    <w:rsid w:val="00AA1166"/>
    <w:rsid w:val="00AA43E4"/>
    <w:rsid w:val="00AA5C3E"/>
    <w:rsid w:val="00AA7352"/>
    <w:rsid w:val="00AA7D45"/>
    <w:rsid w:val="00AB1713"/>
    <w:rsid w:val="00AB2BA1"/>
    <w:rsid w:val="00AB4B14"/>
    <w:rsid w:val="00AB4DE3"/>
    <w:rsid w:val="00AC0554"/>
    <w:rsid w:val="00AC0A66"/>
    <w:rsid w:val="00AC0ED6"/>
    <w:rsid w:val="00AC466A"/>
    <w:rsid w:val="00AC5430"/>
    <w:rsid w:val="00AD0FC3"/>
    <w:rsid w:val="00AD23EB"/>
    <w:rsid w:val="00AD3B25"/>
    <w:rsid w:val="00AD4BFC"/>
    <w:rsid w:val="00AD73E4"/>
    <w:rsid w:val="00AD7BB9"/>
    <w:rsid w:val="00AD7D22"/>
    <w:rsid w:val="00AE0F64"/>
    <w:rsid w:val="00AE15DB"/>
    <w:rsid w:val="00AE1E4C"/>
    <w:rsid w:val="00AE3564"/>
    <w:rsid w:val="00AE58EE"/>
    <w:rsid w:val="00AE6DE6"/>
    <w:rsid w:val="00AE7557"/>
    <w:rsid w:val="00AF13B8"/>
    <w:rsid w:val="00AF3DF2"/>
    <w:rsid w:val="00AF4DCA"/>
    <w:rsid w:val="00AF70F4"/>
    <w:rsid w:val="00B000F6"/>
    <w:rsid w:val="00B00914"/>
    <w:rsid w:val="00B01B77"/>
    <w:rsid w:val="00B04792"/>
    <w:rsid w:val="00B05BE1"/>
    <w:rsid w:val="00B12527"/>
    <w:rsid w:val="00B14268"/>
    <w:rsid w:val="00B15E5E"/>
    <w:rsid w:val="00B166BF"/>
    <w:rsid w:val="00B243EA"/>
    <w:rsid w:val="00B24838"/>
    <w:rsid w:val="00B2552C"/>
    <w:rsid w:val="00B30804"/>
    <w:rsid w:val="00B31128"/>
    <w:rsid w:val="00B31AC1"/>
    <w:rsid w:val="00B3348B"/>
    <w:rsid w:val="00B334B8"/>
    <w:rsid w:val="00B365D7"/>
    <w:rsid w:val="00B37B5D"/>
    <w:rsid w:val="00B37E20"/>
    <w:rsid w:val="00B41BAF"/>
    <w:rsid w:val="00B44A5B"/>
    <w:rsid w:val="00B44DED"/>
    <w:rsid w:val="00B5093D"/>
    <w:rsid w:val="00B517AE"/>
    <w:rsid w:val="00B52224"/>
    <w:rsid w:val="00B5488C"/>
    <w:rsid w:val="00B57C35"/>
    <w:rsid w:val="00B622B1"/>
    <w:rsid w:val="00B62558"/>
    <w:rsid w:val="00B63B95"/>
    <w:rsid w:val="00B67554"/>
    <w:rsid w:val="00B675FC"/>
    <w:rsid w:val="00B74B48"/>
    <w:rsid w:val="00B80436"/>
    <w:rsid w:val="00B80BC4"/>
    <w:rsid w:val="00B815F3"/>
    <w:rsid w:val="00B822C7"/>
    <w:rsid w:val="00B84170"/>
    <w:rsid w:val="00B84211"/>
    <w:rsid w:val="00B84846"/>
    <w:rsid w:val="00B84AD5"/>
    <w:rsid w:val="00B90D94"/>
    <w:rsid w:val="00B91090"/>
    <w:rsid w:val="00B937D9"/>
    <w:rsid w:val="00B93BAE"/>
    <w:rsid w:val="00B94BCF"/>
    <w:rsid w:val="00B97D21"/>
    <w:rsid w:val="00BA0115"/>
    <w:rsid w:val="00BA2700"/>
    <w:rsid w:val="00BA52C9"/>
    <w:rsid w:val="00BB26A9"/>
    <w:rsid w:val="00BB2AC4"/>
    <w:rsid w:val="00BB51DD"/>
    <w:rsid w:val="00BB6E97"/>
    <w:rsid w:val="00BB78BA"/>
    <w:rsid w:val="00BC114F"/>
    <w:rsid w:val="00BC221E"/>
    <w:rsid w:val="00BC232B"/>
    <w:rsid w:val="00BC2797"/>
    <w:rsid w:val="00BC3EE3"/>
    <w:rsid w:val="00BC43C4"/>
    <w:rsid w:val="00BC6CE8"/>
    <w:rsid w:val="00BC7E94"/>
    <w:rsid w:val="00BD1290"/>
    <w:rsid w:val="00BD18E4"/>
    <w:rsid w:val="00BD1E78"/>
    <w:rsid w:val="00BD5D60"/>
    <w:rsid w:val="00BD5D9B"/>
    <w:rsid w:val="00BD6299"/>
    <w:rsid w:val="00BE2AA0"/>
    <w:rsid w:val="00BE31DE"/>
    <w:rsid w:val="00BE3F32"/>
    <w:rsid w:val="00BE6531"/>
    <w:rsid w:val="00BE762A"/>
    <w:rsid w:val="00BE7BEE"/>
    <w:rsid w:val="00BE7FBA"/>
    <w:rsid w:val="00BF3D88"/>
    <w:rsid w:val="00BF4134"/>
    <w:rsid w:val="00BF5A48"/>
    <w:rsid w:val="00BF7239"/>
    <w:rsid w:val="00BF76F7"/>
    <w:rsid w:val="00BF7BCB"/>
    <w:rsid w:val="00C0009C"/>
    <w:rsid w:val="00C01BC9"/>
    <w:rsid w:val="00C0546D"/>
    <w:rsid w:val="00C05A30"/>
    <w:rsid w:val="00C05CBC"/>
    <w:rsid w:val="00C06015"/>
    <w:rsid w:val="00C115D2"/>
    <w:rsid w:val="00C125F7"/>
    <w:rsid w:val="00C13665"/>
    <w:rsid w:val="00C14659"/>
    <w:rsid w:val="00C14D67"/>
    <w:rsid w:val="00C21339"/>
    <w:rsid w:val="00C23152"/>
    <w:rsid w:val="00C2366A"/>
    <w:rsid w:val="00C23DDB"/>
    <w:rsid w:val="00C25CE5"/>
    <w:rsid w:val="00C26E3A"/>
    <w:rsid w:val="00C27FA0"/>
    <w:rsid w:val="00C32A84"/>
    <w:rsid w:val="00C34460"/>
    <w:rsid w:val="00C355F9"/>
    <w:rsid w:val="00C3563D"/>
    <w:rsid w:val="00C40814"/>
    <w:rsid w:val="00C45B91"/>
    <w:rsid w:val="00C46051"/>
    <w:rsid w:val="00C477F4"/>
    <w:rsid w:val="00C47DEE"/>
    <w:rsid w:val="00C50195"/>
    <w:rsid w:val="00C5165F"/>
    <w:rsid w:val="00C51F2F"/>
    <w:rsid w:val="00C51FE2"/>
    <w:rsid w:val="00C5211C"/>
    <w:rsid w:val="00C52307"/>
    <w:rsid w:val="00C532DF"/>
    <w:rsid w:val="00C55882"/>
    <w:rsid w:val="00C55EA8"/>
    <w:rsid w:val="00C563A1"/>
    <w:rsid w:val="00C577C1"/>
    <w:rsid w:val="00C578B0"/>
    <w:rsid w:val="00C57D4E"/>
    <w:rsid w:val="00C627C5"/>
    <w:rsid w:val="00C63486"/>
    <w:rsid w:val="00C639D7"/>
    <w:rsid w:val="00C63D35"/>
    <w:rsid w:val="00C66157"/>
    <w:rsid w:val="00C66239"/>
    <w:rsid w:val="00C6631A"/>
    <w:rsid w:val="00C71A4D"/>
    <w:rsid w:val="00C74BE7"/>
    <w:rsid w:val="00C75575"/>
    <w:rsid w:val="00C8418E"/>
    <w:rsid w:val="00C846E4"/>
    <w:rsid w:val="00C87956"/>
    <w:rsid w:val="00C87A29"/>
    <w:rsid w:val="00C92E6F"/>
    <w:rsid w:val="00C9392E"/>
    <w:rsid w:val="00C957C4"/>
    <w:rsid w:val="00C9681A"/>
    <w:rsid w:val="00CA176C"/>
    <w:rsid w:val="00CA2349"/>
    <w:rsid w:val="00CA565D"/>
    <w:rsid w:val="00CA6562"/>
    <w:rsid w:val="00CA72C8"/>
    <w:rsid w:val="00CA7F25"/>
    <w:rsid w:val="00CB53E6"/>
    <w:rsid w:val="00CB5CCB"/>
    <w:rsid w:val="00CB7E91"/>
    <w:rsid w:val="00CC18C4"/>
    <w:rsid w:val="00CC22E0"/>
    <w:rsid w:val="00CC5225"/>
    <w:rsid w:val="00CC64BF"/>
    <w:rsid w:val="00CD02A4"/>
    <w:rsid w:val="00CD0C4B"/>
    <w:rsid w:val="00CD5FF8"/>
    <w:rsid w:val="00CD66BA"/>
    <w:rsid w:val="00CE4F49"/>
    <w:rsid w:val="00CE5086"/>
    <w:rsid w:val="00CE7D0F"/>
    <w:rsid w:val="00CF015C"/>
    <w:rsid w:val="00CF1E71"/>
    <w:rsid w:val="00CF3A39"/>
    <w:rsid w:val="00CF5271"/>
    <w:rsid w:val="00CF595E"/>
    <w:rsid w:val="00CF7330"/>
    <w:rsid w:val="00D00206"/>
    <w:rsid w:val="00D00C63"/>
    <w:rsid w:val="00D03452"/>
    <w:rsid w:val="00D05CAA"/>
    <w:rsid w:val="00D07C6A"/>
    <w:rsid w:val="00D07F6E"/>
    <w:rsid w:val="00D103FA"/>
    <w:rsid w:val="00D106A1"/>
    <w:rsid w:val="00D13462"/>
    <w:rsid w:val="00D13AAB"/>
    <w:rsid w:val="00D21A18"/>
    <w:rsid w:val="00D226F4"/>
    <w:rsid w:val="00D26B94"/>
    <w:rsid w:val="00D30299"/>
    <w:rsid w:val="00D332FF"/>
    <w:rsid w:val="00D34C4A"/>
    <w:rsid w:val="00D3688C"/>
    <w:rsid w:val="00D42405"/>
    <w:rsid w:val="00D42F75"/>
    <w:rsid w:val="00D433EF"/>
    <w:rsid w:val="00D44F22"/>
    <w:rsid w:val="00D47D07"/>
    <w:rsid w:val="00D5040D"/>
    <w:rsid w:val="00D50779"/>
    <w:rsid w:val="00D50E32"/>
    <w:rsid w:val="00D54711"/>
    <w:rsid w:val="00D54DA0"/>
    <w:rsid w:val="00D56A4E"/>
    <w:rsid w:val="00D57107"/>
    <w:rsid w:val="00D571CD"/>
    <w:rsid w:val="00D60630"/>
    <w:rsid w:val="00D62651"/>
    <w:rsid w:val="00D62A83"/>
    <w:rsid w:val="00D63057"/>
    <w:rsid w:val="00D6722F"/>
    <w:rsid w:val="00D71B1F"/>
    <w:rsid w:val="00D7219E"/>
    <w:rsid w:val="00D74199"/>
    <w:rsid w:val="00D778E1"/>
    <w:rsid w:val="00D8094E"/>
    <w:rsid w:val="00D8256F"/>
    <w:rsid w:val="00D873E2"/>
    <w:rsid w:val="00D87D38"/>
    <w:rsid w:val="00D929E6"/>
    <w:rsid w:val="00D9571A"/>
    <w:rsid w:val="00D96F65"/>
    <w:rsid w:val="00D973E5"/>
    <w:rsid w:val="00DA03C6"/>
    <w:rsid w:val="00DA0515"/>
    <w:rsid w:val="00DA353D"/>
    <w:rsid w:val="00DA42C2"/>
    <w:rsid w:val="00DA4A02"/>
    <w:rsid w:val="00DA4EAC"/>
    <w:rsid w:val="00DA4F0E"/>
    <w:rsid w:val="00DA79D0"/>
    <w:rsid w:val="00DA7B73"/>
    <w:rsid w:val="00DB04A9"/>
    <w:rsid w:val="00DB1E63"/>
    <w:rsid w:val="00DB1E70"/>
    <w:rsid w:val="00DB2945"/>
    <w:rsid w:val="00DB2FA4"/>
    <w:rsid w:val="00DB55CC"/>
    <w:rsid w:val="00DB6A84"/>
    <w:rsid w:val="00DB7856"/>
    <w:rsid w:val="00DB7C36"/>
    <w:rsid w:val="00DC111A"/>
    <w:rsid w:val="00DC2972"/>
    <w:rsid w:val="00DC451D"/>
    <w:rsid w:val="00DC4A51"/>
    <w:rsid w:val="00DC4A76"/>
    <w:rsid w:val="00DC5E1A"/>
    <w:rsid w:val="00DC6DBB"/>
    <w:rsid w:val="00DD36CC"/>
    <w:rsid w:val="00DD3CE0"/>
    <w:rsid w:val="00DD4545"/>
    <w:rsid w:val="00DD57DB"/>
    <w:rsid w:val="00DD5F33"/>
    <w:rsid w:val="00DE0CB5"/>
    <w:rsid w:val="00DE4343"/>
    <w:rsid w:val="00DE6067"/>
    <w:rsid w:val="00DE67E6"/>
    <w:rsid w:val="00DF01D2"/>
    <w:rsid w:val="00DF3C59"/>
    <w:rsid w:val="00DF5014"/>
    <w:rsid w:val="00DF61DE"/>
    <w:rsid w:val="00E0052C"/>
    <w:rsid w:val="00E01A50"/>
    <w:rsid w:val="00E01B5E"/>
    <w:rsid w:val="00E030B3"/>
    <w:rsid w:val="00E034AD"/>
    <w:rsid w:val="00E0395C"/>
    <w:rsid w:val="00E05BAC"/>
    <w:rsid w:val="00E05FCF"/>
    <w:rsid w:val="00E0652C"/>
    <w:rsid w:val="00E075D7"/>
    <w:rsid w:val="00E12856"/>
    <w:rsid w:val="00E15B0C"/>
    <w:rsid w:val="00E1680F"/>
    <w:rsid w:val="00E20373"/>
    <w:rsid w:val="00E208D2"/>
    <w:rsid w:val="00E213B9"/>
    <w:rsid w:val="00E21DC0"/>
    <w:rsid w:val="00E22A0C"/>
    <w:rsid w:val="00E22BFA"/>
    <w:rsid w:val="00E24CC2"/>
    <w:rsid w:val="00E24FC3"/>
    <w:rsid w:val="00E25A0A"/>
    <w:rsid w:val="00E261D6"/>
    <w:rsid w:val="00E31FCD"/>
    <w:rsid w:val="00E338D8"/>
    <w:rsid w:val="00E34F4D"/>
    <w:rsid w:val="00E408F0"/>
    <w:rsid w:val="00E45AC8"/>
    <w:rsid w:val="00E505DB"/>
    <w:rsid w:val="00E512F7"/>
    <w:rsid w:val="00E522DD"/>
    <w:rsid w:val="00E52A02"/>
    <w:rsid w:val="00E52C96"/>
    <w:rsid w:val="00E54D85"/>
    <w:rsid w:val="00E557A8"/>
    <w:rsid w:val="00E57C9B"/>
    <w:rsid w:val="00E60F8D"/>
    <w:rsid w:val="00E60FAD"/>
    <w:rsid w:val="00E62F03"/>
    <w:rsid w:val="00E67064"/>
    <w:rsid w:val="00E67426"/>
    <w:rsid w:val="00E709CF"/>
    <w:rsid w:val="00E70C96"/>
    <w:rsid w:val="00E75009"/>
    <w:rsid w:val="00E750DC"/>
    <w:rsid w:val="00E76D3C"/>
    <w:rsid w:val="00E8126C"/>
    <w:rsid w:val="00E87496"/>
    <w:rsid w:val="00E8786E"/>
    <w:rsid w:val="00E87A71"/>
    <w:rsid w:val="00E90C78"/>
    <w:rsid w:val="00E9266B"/>
    <w:rsid w:val="00E96630"/>
    <w:rsid w:val="00E97233"/>
    <w:rsid w:val="00EA153D"/>
    <w:rsid w:val="00EA3C7B"/>
    <w:rsid w:val="00EA5AB9"/>
    <w:rsid w:val="00EA62A9"/>
    <w:rsid w:val="00EB0363"/>
    <w:rsid w:val="00EB50D9"/>
    <w:rsid w:val="00EB5323"/>
    <w:rsid w:val="00EB7535"/>
    <w:rsid w:val="00EB7821"/>
    <w:rsid w:val="00EC0C69"/>
    <w:rsid w:val="00EC1595"/>
    <w:rsid w:val="00EC17E2"/>
    <w:rsid w:val="00EC4EF0"/>
    <w:rsid w:val="00EC7258"/>
    <w:rsid w:val="00ED2380"/>
    <w:rsid w:val="00ED23E9"/>
    <w:rsid w:val="00ED5D18"/>
    <w:rsid w:val="00ED72EB"/>
    <w:rsid w:val="00EE0318"/>
    <w:rsid w:val="00EE39AF"/>
    <w:rsid w:val="00EE5D02"/>
    <w:rsid w:val="00EE6148"/>
    <w:rsid w:val="00EE7C33"/>
    <w:rsid w:val="00EF0C8B"/>
    <w:rsid w:val="00EF10FB"/>
    <w:rsid w:val="00EF1BC9"/>
    <w:rsid w:val="00EF28EC"/>
    <w:rsid w:val="00EF7F66"/>
    <w:rsid w:val="00F01653"/>
    <w:rsid w:val="00F05CE4"/>
    <w:rsid w:val="00F062DC"/>
    <w:rsid w:val="00F07DCE"/>
    <w:rsid w:val="00F10A0B"/>
    <w:rsid w:val="00F10CE5"/>
    <w:rsid w:val="00F13A11"/>
    <w:rsid w:val="00F156F5"/>
    <w:rsid w:val="00F171DA"/>
    <w:rsid w:val="00F178E2"/>
    <w:rsid w:val="00F35EFB"/>
    <w:rsid w:val="00F40502"/>
    <w:rsid w:val="00F407E2"/>
    <w:rsid w:val="00F412C8"/>
    <w:rsid w:val="00F423FB"/>
    <w:rsid w:val="00F43063"/>
    <w:rsid w:val="00F4692D"/>
    <w:rsid w:val="00F50D3D"/>
    <w:rsid w:val="00F51E31"/>
    <w:rsid w:val="00F54627"/>
    <w:rsid w:val="00F56845"/>
    <w:rsid w:val="00F57611"/>
    <w:rsid w:val="00F65C7B"/>
    <w:rsid w:val="00F65CEE"/>
    <w:rsid w:val="00F6741C"/>
    <w:rsid w:val="00F70B80"/>
    <w:rsid w:val="00F716A2"/>
    <w:rsid w:val="00F71CF0"/>
    <w:rsid w:val="00F71D85"/>
    <w:rsid w:val="00F726F2"/>
    <w:rsid w:val="00F72B00"/>
    <w:rsid w:val="00F72EE9"/>
    <w:rsid w:val="00F772F0"/>
    <w:rsid w:val="00F80206"/>
    <w:rsid w:val="00F8090C"/>
    <w:rsid w:val="00F822B6"/>
    <w:rsid w:val="00F82303"/>
    <w:rsid w:val="00F83868"/>
    <w:rsid w:val="00F84141"/>
    <w:rsid w:val="00F8625B"/>
    <w:rsid w:val="00F8691D"/>
    <w:rsid w:val="00F877F9"/>
    <w:rsid w:val="00F90129"/>
    <w:rsid w:val="00F9079D"/>
    <w:rsid w:val="00F9183B"/>
    <w:rsid w:val="00FA3356"/>
    <w:rsid w:val="00FA3871"/>
    <w:rsid w:val="00FA5A4E"/>
    <w:rsid w:val="00FA76AF"/>
    <w:rsid w:val="00FB0227"/>
    <w:rsid w:val="00FB0F48"/>
    <w:rsid w:val="00FB1C2D"/>
    <w:rsid w:val="00FB1E47"/>
    <w:rsid w:val="00FB31DF"/>
    <w:rsid w:val="00FB67F8"/>
    <w:rsid w:val="00FB7E51"/>
    <w:rsid w:val="00FC1D84"/>
    <w:rsid w:val="00FC5BEA"/>
    <w:rsid w:val="00FD3666"/>
    <w:rsid w:val="00FD4F01"/>
    <w:rsid w:val="00FD68F7"/>
    <w:rsid w:val="00FD764A"/>
    <w:rsid w:val="00FE01C3"/>
    <w:rsid w:val="00FE0824"/>
    <w:rsid w:val="00FE13E6"/>
    <w:rsid w:val="00FE2B21"/>
    <w:rsid w:val="00FE3694"/>
    <w:rsid w:val="00FE3831"/>
    <w:rsid w:val="00FE4942"/>
    <w:rsid w:val="00FE5501"/>
    <w:rsid w:val="00FF21EE"/>
    <w:rsid w:val="00FF564A"/>
    <w:rsid w:val="00FF58E2"/>
    <w:rsid w:val="00FF5E57"/>
    <w:rsid w:val="00FF613A"/>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907818"/>
  <w15:docId w15:val="{037CB49D-4BAA-4F4E-AC5C-01759503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4"/>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0"/>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0"/>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0"/>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
    <w:basedOn w:val="DefaultParagraphFont"/>
    <w:link w:val="FootnoteText"/>
    <w:uiPriority w:val="99"/>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customStyle="1" w:styleId="ListParagraphChar">
    <w:name w:val="List Paragraph Char"/>
    <w:link w:val="ListParagraph"/>
    <w:uiPriority w:val="34"/>
    <w:locked/>
    <w:rsid w:val="009A6118"/>
    <w:rPr>
      <w:sz w:val="22"/>
      <w:szCs w:val="22"/>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5888">
      <w:bodyDiv w:val="1"/>
      <w:marLeft w:val="0"/>
      <w:marRight w:val="0"/>
      <w:marTop w:val="0"/>
      <w:marBottom w:val="0"/>
      <w:divBdr>
        <w:top w:val="none" w:sz="0" w:space="0" w:color="auto"/>
        <w:left w:val="none" w:sz="0" w:space="0" w:color="auto"/>
        <w:bottom w:val="none" w:sz="0" w:space="0" w:color="auto"/>
        <w:right w:val="none" w:sz="0" w:space="0" w:color="auto"/>
      </w:divBdr>
    </w:div>
    <w:div w:id="49233991">
      <w:bodyDiv w:val="1"/>
      <w:marLeft w:val="0"/>
      <w:marRight w:val="0"/>
      <w:marTop w:val="0"/>
      <w:marBottom w:val="0"/>
      <w:divBdr>
        <w:top w:val="none" w:sz="0" w:space="0" w:color="auto"/>
        <w:left w:val="none" w:sz="0" w:space="0" w:color="auto"/>
        <w:bottom w:val="none" w:sz="0" w:space="0" w:color="auto"/>
        <w:right w:val="none" w:sz="0" w:space="0" w:color="auto"/>
      </w:divBdr>
    </w:div>
    <w:div w:id="212012222">
      <w:bodyDiv w:val="1"/>
      <w:marLeft w:val="0"/>
      <w:marRight w:val="0"/>
      <w:marTop w:val="0"/>
      <w:marBottom w:val="0"/>
      <w:divBdr>
        <w:top w:val="none" w:sz="0" w:space="0" w:color="auto"/>
        <w:left w:val="none" w:sz="0" w:space="0" w:color="auto"/>
        <w:bottom w:val="none" w:sz="0" w:space="0" w:color="auto"/>
        <w:right w:val="none" w:sz="0" w:space="0" w:color="auto"/>
      </w:divBdr>
    </w:div>
    <w:div w:id="214701280">
      <w:bodyDiv w:val="1"/>
      <w:marLeft w:val="0"/>
      <w:marRight w:val="0"/>
      <w:marTop w:val="0"/>
      <w:marBottom w:val="0"/>
      <w:divBdr>
        <w:top w:val="none" w:sz="0" w:space="0" w:color="auto"/>
        <w:left w:val="none" w:sz="0" w:space="0" w:color="auto"/>
        <w:bottom w:val="none" w:sz="0" w:space="0" w:color="auto"/>
        <w:right w:val="none" w:sz="0" w:space="0" w:color="auto"/>
      </w:divBdr>
    </w:div>
    <w:div w:id="337274548">
      <w:bodyDiv w:val="1"/>
      <w:marLeft w:val="0"/>
      <w:marRight w:val="0"/>
      <w:marTop w:val="0"/>
      <w:marBottom w:val="0"/>
      <w:divBdr>
        <w:top w:val="none" w:sz="0" w:space="0" w:color="auto"/>
        <w:left w:val="none" w:sz="0" w:space="0" w:color="auto"/>
        <w:bottom w:val="none" w:sz="0" w:space="0" w:color="auto"/>
        <w:right w:val="none" w:sz="0" w:space="0" w:color="auto"/>
      </w:divBdr>
    </w:div>
    <w:div w:id="420375366">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39437031">
      <w:bodyDiv w:val="1"/>
      <w:marLeft w:val="0"/>
      <w:marRight w:val="0"/>
      <w:marTop w:val="0"/>
      <w:marBottom w:val="0"/>
      <w:divBdr>
        <w:top w:val="none" w:sz="0" w:space="0" w:color="auto"/>
        <w:left w:val="none" w:sz="0" w:space="0" w:color="auto"/>
        <w:bottom w:val="none" w:sz="0" w:space="0" w:color="auto"/>
        <w:right w:val="none" w:sz="0" w:space="0" w:color="auto"/>
      </w:divBdr>
    </w:div>
    <w:div w:id="541793480">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54518628">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891113343">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7807436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03501596">
      <w:bodyDiv w:val="1"/>
      <w:marLeft w:val="0"/>
      <w:marRight w:val="0"/>
      <w:marTop w:val="0"/>
      <w:marBottom w:val="0"/>
      <w:divBdr>
        <w:top w:val="none" w:sz="0" w:space="0" w:color="auto"/>
        <w:left w:val="none" w:sz="0" w:space="0" w:color="auto"/>
        <w:bottom w:val="none" w:sz="0" w:space="0" w:color="auto"/>
        <w:right w:val="none" w:sz="0" w:space="0" w:color="auto"/>
      </w:divBdr>
    </w:div>
    <w:div w:id="1128864661">
      <w:bodyDiv w:val="1"/>
      <w:marLeft w:val="0"/>
      <w:marRight w:val="0"/>
      <w:marTop w:val="0"/>
      <w:marBottom w:val="0"/>
      <w:divBdr>
        <w:top w:val="none" w:sz="0" w:space="0" w:color="auto"/>
        <w:left w:val="none" w:sz="0" w:space="0" w:color="auto"/>
        <w:bottom w:val="none" w:sz="0" w:space="0" w:color="auto"/>
        <w:right w:val="none" w:sz="0" w:space="0" w:color="auto"/>
      </w:divBdr>
    </w:div>
    <w:div w:id="1153452468">
      <w:bodyDiv w:val="1"/>
      <w:marLeft w:val="0"/>
      <w:marRight w:val="0"/>
      <w:marTop w:val="0"/>
      <w:marBottom w:val="0"/>
      <w:divBdr>
        <w:top w:val="none" w:sz="0" w:space="0" w:color="auto"/>
        <w:left w:val="none" w:sz="0" w:space="0" w:color="auto"/>
        <w:bottom w:val="none" w:sz="0" w:space="0" w:color="auto"/>
        <w:right w:val="none" w:sz="0" w:space="0" w:color="auto"/>
      </w:divBdr>
    </w:div>
    <w:div w:id="1161652860">
      <w:bodyDiv w:val="1"/>
      <w:marLeft w:val="0"/>
      <w:marRight w:val="0"/>
      <w:marTop w:val="0"/>
      <w:marBottom w:val="0"/>
      <w:divBdr>
        <w:top w:val="none" w:sz="0" w:space="0" w:color="auto"/>
        <w:left w:val="none" w:sz="0" w:space="0" w:color="auto"/>
        <w:bottom w:val="none" w:sz="0" w:space="0" w:color="auto"/>
        <w:right w:val="none" w:sz="0" w:space="0" w:color="auto"/>
      </w:divBdr>
    </w:div>
    <w:div w:id="1192845315">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09996410">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346053936">
      <w:bodyDiv w:val="1"/>
      <w:marLeft w:val="0"/>
      <w:marRight w:val="0"/>
      <w:marTop w:val="0"/>
      <w:marBottom w:val="0"/>
      <w:divBdr>
        <w:top w:val="none" w:sz="0" w:space="0" w:color="auto"/>
        <w:left w:val="none" w:sz="0" w:space="0" w:color="auto"/>
        <w:bottom w:val="none" w:sz="0" w:space="0" w:color="auto"/>
        <w:right w:val="none" w:sz="0" w:space="0" w:color="auto"/>
      </w:divBdr>
    </w:div>
    <w:div w:id="1438213224">
      <w:bodyDiv w:val="1"/>
      <w:marLeft w:val="0"/>
      <w:marRight w:val="0"/>
      <w:marTop w:val="0"/>
      <w:marBottom w:val="0"/>
      <w:divBdr>
        <w:top w:val="none" w:sz="0" w:space="0" w:color="auto"/>
        <w:left w:val="none" w:sz="0" w:space="0" w:color="auto"/>
        <w:bottom w:val="none" w:sz="0" w:space="0" w:color="auto"/>
        <w:right w:val="none" w:sz="0" w:space="0" w:color="auto"/>
      </w:divBdr>
    </w:div>
    <w:div w:id="1485587512">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91381342">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77782554">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092461915">
      <w:bodyDiv w:val="1"/>
      <w:marLeft w:val="0"/>
      <w:marRight w:val="0"/>
      <w:marTop w:val="0"/>
      <w:marBottom w:val="0"/>
      <w:divBdr>
        <w:top w:val="none" w:sz="0" w:space="0" w:color="auto"/>
        <w:left w:val="none" w:sz="0" w:space="0" w:color="auto"/>
        <w:bottom w:val="none" w:sz="0" w:space="0" w:color="auto"/>
        <w:right w:val="none" w:sz="0" w:space="0" w:color="auto"/>
      </w:divBdr>
    </w:div>
    <w:div w:id="2116752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www.cgdev.org/sites/default/files/1426862_file_Biometric_ID_for_Development.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pdf.wri.org/dd_prodem.pdf"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0A5070AE71FCC4396AD852C28860A58" ma:contentTypeVersion="27" ma:contentTypeDescription="A content type to manage public (operations) IDB documents" ma:contentTypeScope="" ma:versionID="24999bd6bffd9fbc19ed195443e456ef">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Gonzalez, Melissa Maria Laura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CIVIL REGISTRIES</TermName>
          <TermId xmlns="http://schemas.microsoft.com/office/infopath/2007/PartnerControls">11fc3bf8-452c-407f-bf4a-ce83f763cb8c</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57</Value>
      <Value>31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PE-L1171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R0000150174</Record_x0020_Number>
    <_dlc_DocId xmlns="cdc7663a-08f0-4737-9e8c-148ce897a09c">EZSHARE-1061213459-16</_dlc_DocId>
    <_dlc_DocIdUrl xmlns="cdc7663a-08f0-4737-9e8c-148ce897a09c">
      <Url>https://idbg.sharepoint.com/teams/EZ-PE-LON/PE-L1171/_layouts/15/DocIdRedir.aspx?ID=EZSHARE-1061213459-16</Url>
      <Description>EZSHARE-1061213459-16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3E43C-D1C7-4C29-A47B-8F1831556A05}"/>
</file>

<file path=customXml/itemProps2.xml><?xml version="1.0" encoding="utf-8"?>
<ds:datastoreItem xmlns:ds="http://schemas.openxmlformats.org/officeDocument/2006/customXml" ds:itemID="{756A08BB-01C8-454B-89AC-7EAA57EA99EE}">
  <ds:schemaRefs>
    <ds:schemaRef ds:uri="http://schemas.microsoft.com/sharepoint/v3/contenttype/forms"/>
  </ds:schemaRefs>
</ds:datastoreItem>
</file>

<file path=customXml/itemProps3.xml><?xml version="1.0" encoding="utf-8"?>
<ds:datastoreItem xmlns:ds="http://schemas.openxmlformats.org/officeDocument/2006/customXml" ds:itemID="{9EBD6D05-90F4-414D-8FB9-EDBBD87FA7D3}">
  <ds:schemaRefs>
    <ds:schemaRef ds:uri="http://schemas.microsoft.com/sharepoint/events"/>
  </ds:schemaRefs>
</ds:datastoreItem>
</file>

<file path=customXml/itemProps4.xml><?xml version="1.0" encoding="utf-8"?>
<ds:datastoreItem xmlns:ds="http://schemas.openxmlformats.org/officeDocument/2006/customXml" ds:itemID="{8711585E-D419-46B1-8EBE-76A571B4C71F}"/>
</file>

<file path=customXml/itemProps5.xml><?xml version="1.0" encoding="utf-8"?>
<ds:datastoreItem xmlns:ds="http://schemas.openxmlformats.org/officeDocument/2006/customXml" ds:itemID="{3CAD7104-1586-4E07-9B11-3552592A7922}">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cdc7663a-08f0-4737-9e8c-148ce897a09c"/>
    <ds:schemaRef ds:uri="http://schemas.microsoft.com/office/2006/metadata/properties"/>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A060ED78-0319-44CE-9671-61CCF8716972}"/>
</file>

<file path=customXml/itemProps7.xml><?xml version="1.0" encoding="utf-8"?>
<ds:datastoreItem xmlns:ds="http://schemas.openxmlformats.org/officeDocument/2006/customXml" ds:itemID="{7BEB673D-A3BD-4E7E-A578-A6E7E764534C}">
  <ds:schemaRefs>
    <ds:schemaRef ds:uri="http://schemas.openxmlformats.org/officeDocument/2006/bibliography"/>
  </ds:schemaRefs>
</ds:datastoreItem>
</file>

<file path=customXml/itemProps8.xml><?xml version="1.0" encoding="utf-8"?>
<ds:datastoreItem xmlns:ds="http://schemas.openxmlformats.org/officeDocument/2006/customXml" ds:itemID="{E5CB104F-A3D5-4D74-8AA5-F4EBA015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2919</Words>
  <Characters>16639</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Gibbons</dc:creator>
  <cp:keywords/>
  <cp:lastModifiedBy>Hoffman, Nathalie Alexandra</cp:lastModifiedBy>
  <cp:revision>3</cp:revision>
  <cp:lastPrinted>2012-04-19T20:57:00Z</cp:lastPrinted>
  <dcterms:created xsi:type="dcterms:W3CDTF">2017-05-23T15:56:00Z</dcterms:created>
  <dcterms:modified xsi:type="dcterms:W3CDTF">2017-05-23T16:00:00Z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57;#CIVIL REGISTRIES|11fc3bf8-452c-407f-bf4a-ce83f763cb8c</vt:lpwstr>
  </property>
  <property fmtid="{D5CDD505-2E9C-101B-9397-08002B2CF9AE}" pid="8" name="Fund IDB">
    <vt:lpwstr>34;#ORC|c028a4b2-ad8b-4cf4-9cac-a2ae6a778e23</vt:lpwstr>
  </property>
  <property fmtid="{D5CDD505-2E9C-101B-9397-08002B2CF9AE}" pid="9" name="Country">
    <vt:lpwstr>31;#Peru|c988f60b-81f1-4c24-8da7-d5473741c5b0</vt:lpwstr>
  </property>
  <property fmtid="{D5CDD505-2E9C-101B-9397-08002B2CF9AE}" pid="10" name="Sector IDB">
    <vt:lpwstr>44;#REFORM / MODERNIZATION OF THE STATE|c8fda4a7-691a-4c65-b227-9825197b5cd2</vt:lpwstr>
  </property>
  <property fmtid="{D5CDD505-2E9C-101B-9397-08002B2CF9AE}" pid="11" name="_dlc_DocIdItemGuid">
    <vt:lpwstr>286b29fb-ec7d-47d6-a507-e90683871a28</vt:lpwstr>
  </property>
  <property fmtid="{D5CDD505-2E9C-101B-9397-08002B2CF9AE}" pid="12" name="ContentTypeId">
    <vt:lpwstr>0x0101001A458A224826124E8B45B1D613300CFC0080A5070AE71FCC4396AD852C28860A58</vt:lpwstr>
  </property>
</Properties>
</file>