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4FF02" w14:textId="77777777" w:rsidR="00F721D4" w:rsidRPr="007F4A23" w:rsidRDefault="00F721D4" w:rsidP="003A542A">
      <w:pPr>
        <w:pStyle w:val="SubSubPar"/>
        <w:spacing w:after="0"/>
        <w:jc w:val="center"/>
        <w:rPr>
          <w:rFonts w:ascii="Arial" w:hAnsi="Arial" w:cs="Arial"/>
          <w:smallCaps/>
          <w:sz w:val="22"/>
          <w:szCs w:val="22"/>
          <w:lang w:val="es-ES"/>
        </w:rPr>
      </w:pPr>
      <w:r w:rsidRPr="007F4A23">
        <w:rPr>
          <w:rFonts w:ascii="Arial" w:hAnsi="Arial" w:cs="Arial"/>
          <w:smallCaps/>
          <w:sz w:val="22"/>
          <w:szCs w:val="22"/>
          <w:lang w:val="es-ES"/>
        </w:rPr>
        <w:t>Documento del Banco Interamericano De Desarrollo</w:t>
      </w:r>
    </w:p>
    <w:p w14:paraId="5184FF03" w14:textId="77777777" w:rsidR="00F721D4" w:rsidRPr="007F4A23" w:rsidRDefault="00F721D4" w:rsidP="003A542A">
      <w:pPr>
        <w:rPr>
          <w:rFonts w:ascii="Arial" w:hAnsi="Arial" w:cs="Arial"/>
          <w:sz w:val="22"/>
          <w:szCs w:val="22"/>
        </w:rPr>
      </w:pPr>
    </w:p>
    <w:p w14:paraId="5184FF04" w14:textId="77777777" w:rsidR="00F721D4" w:rsidRPr="007F4A23" w:rsidRDefault="00F721D4" w:rsidP="003A542A">
      <w:pPr>
        <w:rPr>
          <w:rFonts w:ascii="Arial" w:hAnsi="Arial" w:cs="Arial"/>
          <w:sz w:val="22"/>
          <w:szCs w:val="22"/>
        </w:rPr>
      </w:pPr>
    </w:p>
    <w:p w14:paraId="5184FF05" w14:textId="77777777" w:rsidR="00F721D4" w:rsidRPr="007F4A23" w:rsidRDefault="00F721D4" w:rsidP="003A542A">
      <w:pPr>
        <w:rPr>
          <w:rFonts w:ascii="Arial" w:hAnsi="Arial" w:cs="Arial"/>
          <w:sz w:val="22"/>
          <w:szCs w:val="22"/>
        </w:rPr>
      </w:pPr>
    </w:p>
    <w:p w14:paraId="5184FF06" w14:textId="77777777" w:rsidR="00F721D4" w:rsidRPr="00343AC7" w:rsidRDefault="00E318F9" w:rsidP="003A542A">
      <w:pPr>
        <w:pStyle w:val="SubSubPar"/>
        <w:spacing w:after="0"/>
        <w:jc w:val="center"/>
        <w:rPr>
          <w:rFonts w:ascii="Arial" w:hAnsi="Arial" w:cs="Arial"/>
          <w:b/>
          <w:smallCaps/>
          <w:sz w:val="28"/>
          <w:szCs w:val="28"/>
          <w:lang w:val="es-ES"/>
        </w:rPr>
      </w:pPr>
      <w:r w:rsidRPr="00343AC7">
        <w:rPr>
          <w:rFonts w:ascii="Arial" w:hAnsi="Arial" w:cs="Arial"/>
          <w:b/>
          <w:smallCaps/>
          <w:sz w:val="28"/>
          <w:szCs w:val="28"/>
          <w:lang w:val="es-ES"/>
        </w:rPr>
        <w:t>Chile</w:t>
      </w:r>
    </w:p>
    <w:p w14:paraId="5184FF07" w14:textId="77777777" w:rsidR="00F721D4" w:rsidRPr="007F4A23" w:rsidRDefault="00F721D4" w:rsidP="003A542A">
      <w:pPr>
        <w:rPr>
          <w:rFonts w:ascii="Arial" w:hAnsi="Arial" w:cs="Arial"/>
          <w:b/>
          <w:sz w:val="22"/>
          <w:szCs w:val="22"/>
        </w:rPr>
      </w:pPr>
    </w:p>
    <w:p w14:paraId="5184FF08" w14:textId="77777777" w:rsidR="00F721D4" w:rsidRPr="007F4A23" w:rsidRDefault="00F721D4" w:rsidP="003A542A">
      <w:pPr>
        <w:rPr>
          <w:rFonts w:ascii="Arial" w:hAnsi="Arial" w:cs="Arial"/>
          <w:b/>
          <w:sz w:val="22"/>
          <w:szCs w:val="22"/>
        </w:rPr>
      </w:pPr>
    </w:p>
    <w:p w14:paraId="5184FF09" w14:textId="77777777" w:rsidR="00F721D4" w:rsidRPr="007F4A23" w:rsidRDefault="00F721D4" w:rsidP="003A542A">
      <w:pPr>
        <w:rPr>
          <w:rFonts w:ascii="Arial" w:hAnsi="Arial" w:cs="Arial"/>
          <w:b/>
          <w:sz w:val="22"/>
          <w:szCs w:val="22"/>
        </w:rPr>
      </w:pPr>
    </w:p>
    <w:p w14:paraId="5184FF0A" w14:textId="77777777" w:rsidR="00F721D4" w:rsidRPr="007F4A23" w:rsidRDefault="00F721D4" w:rsidP="003A542A">
      <w:pPr>
        <w:rPr>
          <w:rFonts w:ascii="Arial" w:hAnsi="Arial" w:cs="Arial"/>
          <w:b/>
          <w:sz w:val="22"/>
          <w:szCs w:val="22"/>
        </w:rPr>
      </w:pPr>
    </w:p>
    <w:p w14:paraId="5184FF0B" w14:textId="77777777" w:rsidR="00F721D4" w:rsidRPr="007F4A23" w:rsidRDefault="00F721D4" w:rsidP="003A542A">
      <w:pPr>
        <w:rPr>
          <w:rFonts w:ascii="Arial" w:hAnsi="Arial" w:cs="Arial"/>
          <w:b/>
          <w:sz w:val="22"/>
          <w:szCs w:val="22"/>
        </w:rPr>
      </w:pPr>
    </w:p>
    <w:p w14:paraId="5184FF0C" w14:textId="77777777" w:rsidR="00F721D4" w:rsidRPr="007F4A23" w:rsidRDefault="00F721D4" w:rsidP="003A542A">
      <w:pPr>
        <w:pStyle w:val="SubSubPar"/>
        <w:spacing w:after="0"/>
        <w:jc w:val="center"/>
        <w:rPr>
          <w:rFonts w:ascii="Arial" w:hAnsi="Arial" w:cs="Arial"/>
          <w:b/>
          <w:smallCaps/>
          <w:sz w:val="22"/>
          <w:szCs w:val="22"/>
          <w:lang w:val="es-ES"/>
        </w:rPr>
      </w:pPr>
    </w:p>
    <w:p w14:paraId="5184FF0D" w14:textId="77777777" w:rsidR="00F721D4" w:rsidRPr="007F4A23" w:rsidRDefault="00E318F9" w:rsidP="003A542A">
      <w:pPr>
        <w:pStyle w:val="SubSubPar"/>
        <w:spacing w:after="0"/>
        <w:jc w:val="center"/>
        <w:rPr>
          <w:rFonts w:ascii="Arial" w:hAnsi="Arial" w:cs="Arial"/>
          <w:b/>
          <w:smallCaps/>
          <w:sz w:val="22"/>
          <w:szCs w:val="22"/>
          <w:lang w:val="es-ES"/>
        </w:rPr>
      </w:pPr>
      <w:r w:rsidRPr="007F4A23">
        <w:rPr>
          <w:rFonts w:ascii="Arial" w:hAnsi="Arial" w:cs="Arial"/>
          <w:b/>
          <w:smallCaps/>
          <w:sz w:val="22"/>
          <w:szCs w:val="22"/>
          <w:lang w:val="es-ES"/>
        </w:rPr>
        <w:t xml:space="preserve">PROGRAMA </w:t>
      </w:r>
      <w:r w:rsidR="00211EE7" w:rsidRPr="007F4A23">
        <w:rPr>
          <w:rFonts w:ascii="Arial" w:hAnsi="Arial" w:cs="Arial"/>
          <w:b/>
          <w:smallCaps/>
          <w:sz w:val="22"/>
          <w:szCs w:val="22"/>
          <w:lang w:val="es-ES"/>
        </w:rPr>
        <w:t xml:space="preserve">DE </w:t>
      </w:r>
      <w:r w:rsidRPr="007F4A23">
        <w:rPr>
          <w:rFonts w:ascii="Arial" w:hAnsi="Arial" w:cs="Arial"/>
          <w:b/>
          <w:smallCaps/>
          <w:sz w:val="22"/>
          <w:szCs w:val="22"/>
          <w:lang w:val="es-ES"/>
        </w:rPr>
        <w:t>FORTALECIMIENTO DE LA GESTION DEL SECTOR EDUCATIVO</w:t>
      </w:r>
    </w:p>
    <w:p w14:paraId="5184FF0E" w14:textId="77777777" w:rsidR="00F721D4" w:rsidRPr="007F4A23" w:rsidRDefault="00F721D4" w:rsidP="003A542A">
      <w:pPr>
        <w:pStyle w:val="SubSubPar"/>
        <w:spacing w:after="0"/>
        <w:jc w:val="center"/>
        <w:rPr>
          <w:rFonts w:ascii="Arial" w:hAnsi="Arial" w:cs="Arial"/>
          <w:b/>
          <w:smallCaps/>
          <w:sz w:val="22"/>
          <w:szCs w:val="22"/>
          <w:lang w:val="es-ES"/>
        </w:rPr>
      </w:pPr>
    </w:p>
    <w:p w14:paraId="5184FF0F" w14:textId="77777777" w:rsidR="00F721D4" w:rsidRPr="007F4A23" w:rsidRDefault="00F721D4" w:rsidP="003A542A">
      <w:pPr>
        <w:pStyle w:val="SubSubPar"/>
        <w:spacing w:after="0"/>
        <w:jc w:val="center"/>
        <w:rPr>
          <w:rFonts w:ascii="Arial" w:hAnsi="Arial" w:cs="Arial"/>
          <w:b/>
          <w:smallCaps/>
          <w:sz w:val="22"/>
          <w:szCs w:val="22"/>
          <w:lang w:val="es-ES"/>
        </w:rPr>
      </w:pPr>
    </w:p>
    <w:p w14:paraId="5184FF10" w14:textId="77777777" w:rsidR="00F721D4" w:rsidRPr="007F4A23" w:rsidRDefault="00F721D4" w:rsidP="003A542A">
      <w:pPr>
        <w:pStyle w:val="SubSubPar"/>
        <w:spacing w:after="0"/>
        <w:jc w:val="center"/>
        <w:rPr>
          <w:rFonts w:ascii="Arial" w:hAnsi="Arial" w:cs="Arial"/>
          <w:smallCaps/>
          <w:sz w:val="22"/>
          <w:szCs w:val="22"/>
          <w:lang w:val="es-ES"/>
        </w:rPr>
      </w:pPr>
      <w:r w:rsidRPr="007F4A23">
        <w:rPr>
          <w:rFonts w:ascii="Arial" w:hAnsi="Arial" w:cs="Arial"/>
          <w:b/>
          <w:smallCaps/>
          <w:sz w:val="22"/>
          <w:szCs w:val="22"/>
          <w:lang w:val="es-ES"/>
        </w:rPr>
        <w:t>(</w:t>
      </w:r>
      <w:r w:rsidR="00E318F9" w:rsidRPr="007F4A23">
        <w:rPr>
          <w:rFonts w:ascii="Arial" w:hAnsi="Arial" w:cs="Arial"/>
          <w:b/>
          <w:smallCaps/>
          <w:sz w:val="22"/>
          <w:szCs w:val="22"/>
          <w:lang w:val="es-ES"/>
        </w:rPr>
        <w:t>CH-L1081</w:t>
      </w:r>
      <w:r w:rsidRPr="007F4A23">
        <w:rPr>
          <w:rFonts w:ascii="Arial" w:hAnsi="Arial" w:cs="Arial"/>
          <w:b/>
          <w:smallCaps/>
          <w:sz w:val="22"/>
          <w:szCs w:val="22"/>
          <w:lang w:val="es-ES"/>
        </w:rPr>
        <w:t>)</w:t>
      </w:r>
    </w:p>
    <w:p w14:paraId="5184FF11" w14:textId="77777777" w:rsidR="00EB4688" w:rsidRPr="007F4A23" w:rsidRDefault="00EB4688" w:rsidP="003A542A">
      <w:pPr>
        <w:rPr>
          <w:rFonts w:ascii="Arial" w:hAnsi="Arial" w:cs="Arial"/>
          <w:sz w:val="22"/>
          <w:szCs w:val="22"/>
        </w:rPr>
      </w:pPr>
    </w:p>
    <w:p w14:paraId="5184FF12" w14:textId="77777777" w:rsidR="00F721D4" w:rsidRPr="007F4A23" w:rsidRDefault="00F721D4" w:rsidP="003A542A">
      <w:pPr>
        <w:rPr>
          <w:rFonts w:ascii="Arial" w:hAnsi="Arial" w:cs="Arial"/>
          <w:sz w:val="22"/>
          <w:szCs w:val="22"/>
        </w:rPr>
      </w:pPr>
    </w:p>
    <w:p w14:paraId="5184FF13" w14:textId="77777777" w:rsidR="00F721D4" w:rsidRPr="007F4A23" w:rsidRDefault="00F721D4" w:rsidP="003A542A">
      <w:pPr>
        <w:rPr>
          <w:rFonts w:ascii="Arial" w:hAnsi="Arial" w:cs="Arial"/>
          <w:sz w:val="22"/>
          <w:szCs w:val="22"/>
        </w:rPr>
      </w:pPr>
    </w:p>
    <w:p w14:paraId="5184FF14" w14:textId="77777777" w:rsidR="00EB4688" w:rsidRPr="007F4A23" w:rsidRDefault="00EB4688" w:rsidP="003A542A">
      <w:pPr>
        <w:pStyle w:val="SubSubPar"/>
        <w:spacing w:after="0"/>
        <w:jc w:val="center"/>
        <w:rPr>
          <w:rFonts w:ascii="Arial" w:hAnsi="Arial" w:cs="Arial"/>
          <w:b/>
          <w:smallCaps/>
          <w:sz w:val="22"/>
          <w:szCs w:val="22"/>
          <w:lang w:val="es-ES"/>
        </w:rPr>
      </w:pPr>
      <w:r w:rsidRPr="007F4A23">
        <w:rPr>
          <w:rFonts w:ascii="Arial" w:hAnsi="Arial" w:cs="Arial"/>
          <w:b/>
          <w:smallCaps/>
          <w:sz w:val="22"/>
          <w:szCs w:val="22"/>
          <w:lang w:val="es-ES"/>
        </w:rPr>
        <w:t>Análisis Económico</w:t>
      </w:r>
    </w:p>
    <w:p w14:paraId="5184FF15" w14:textId="77777777" w:rsidR="00EB4688" w:rsidRPr="007F4A23" w:rsidRDefault="00EB4688" w:rsidP="00EA548C">
      <w:pPr>
        <w:pStyle w:val="ListParagraph"/>
        <w:rPr>
          <w:rFonts w:ascii="Arial" w:hAnsi="Arial" w:cs="Arial"/>
        </w:rPr>
      </w:pPr>
    </w:p>
    <w:p w14:paraId="5184FF16" w14:textId="77777777" w:rsidR="00EB4688" w:rsidRPr="007F4A23" w:rsidRDefault="00EB4688" w:rsidP="003A542A">
      <w:pPr>
        <w:pStyle w:val="ListParagraph"/>
        <w:rPr>
          <w:rFonts w:ascii="Arial" w:hAnsi="Arial" w:cs="Arial"/>
        </w:rPr>
      </w:pPr>
    </w:p>
    <w:p w14:paraId="5184FF17" w14:textId="77777777" w:rsidR="00EB4688" w:rsidRPr="007F4A23" w:rsidRDefault="00EB4688" w:rsidP="003A542A">
      <w:pPr>
        <w:pStyle w:val="ListParagraph"/>
        <w:rPr>
          <w:rFonts w:ascii="Arial" w:hAnsi="Arial" w:cs="Arial"/>
        </w:rPr>
      </w:pPr>
    </w:p>
    <w:p w14:paraId="5184FF18" w14:textId="77777777" w:rsidR="00E66B7B" w:rsidRPr="007F4A23" w:rsidRDefault="00E66B7B" w:rsidP="003A542A">
      <w:pPr>
        <w:pStyle w:val="ListParagraph"/>
        <w:rPr>
          <w:rFonts w:ascii="Arial" w:hAnsi="Arial" w:cs="Arial"/>
        </w:rPr>
      </w:pPr>
    </w:p>
    <w:p w14:paraId="5184FF19" w14:textId="77777777" w:rsidR="00E66B7B" w:rsidRPr="007F4A23" w:rsidRDefault="00E66B7B" w:rsidP="003A542A">
      <w:pPr>
        <w:pStyle w:val="ListParagraph"/>
        <w:rPr>
          <w:rFonts w:ascii="Arial" w:hAnsi="Arial" w:cs="Arial"/>
        </w:rPr>
      </w:pPr>
    </w:p>
    <w:p w14:paraId="5184FF1A" w14:textId="77777777" w:rsidR="00EB4688" w:rsidRPr="007F4A23" w:rsidRDefault="00EB4688" w:rsidP="003A542A">
      <w:pPr>
        <w:rPr>
          <w:rFonts w:ascii="Arial" w:hAnsi="Arial" w:cs="Arial"/>
          <w:sz w:val="22"/>
          <w:szCs w:val="22"/>
        </w:rPr>
      </w:pPr>
    </w:p>
    <w:p w14:paraId="5184FF1B" w14:textId="77777777" w:rsidR="00B457E1" w:rsidRPr="007F4A23" w:rsidRDefault="00B457E1" w:rsidP="003A542A">
      <w:pPr>
        <w:rPr>
          <w:rFonts w:ascii="Arial" w:hAnsi="Arial" w:cs="Arial"/>
          <w:sz w:val="22"/>
          <w:szCs w:val="22"/>
        </w:rPr>
      </w:pPr>
    </w:p>
    <w:p w14:paraId="5184FF1C" w14:textId="77777777" w:rsidR="00B457E1" w:rsidRPr="007F4A23" w:rsidRDefault="00B457E1" w:rsidP="003A542A">
      <w:pPr>
        <w:rPr>
          <w:rFonts w:ascii="Arial" w:hAnsi="Arial" w:cs="Arial"/>
          <w:sz w:val="22"/>
          <w:szCs w:val="22"/>
        </w:rPr>
      </w:pPr>
    </w:p>
    <w:p w14:paraId="5184FF1D" w14:textId="77777777" w:rsidR="00B457E1" w:rsidRPr="007F4A23" w:rsidRDefault="00B457E1" w:rsidP="003A542A">
      <w:pPr>
        <w:rPr>
          <w:rFonts w:ascii="Arial" w:hAnsi="Arial" w:cs="Arial"/>
          <w:sz w:val="22"/>
          <w:szCs w:val="22"/>
        </w:rPr>
      </w:pPr>
    </w:p>
    <w:p w14:paraId="5184FF1E" w14:textId="77777777" w:rsidR="00B457E1" w:rsidRPr="007F4A23" w:rsidRDefault="00B457E1" w:rsidP="003A542A">
      <w:pPr>
        <w:rPr>
          <w:rFonts w:ascii="Arial" w:hAnsi="Arial" w:cs="Arial"/>
          <w:sz w:val="22"/>
          <w:szCs w:val="22"/>
        </w:rPr>
      </w:pPr>
    </w:p>
    <w:p w14:paraId="5184FF1F" w14:textId="77777777" w:rsidR="00B457E1" w:rsidRPr="007F4A23" w:rsidRDefault="00B457E1" w:rsidP="003A542A">
      <w:pPr>
        <w:rPr>
          <w:rFonts w:ascii="Arial" w:hAnsi="Arial" w:cs="Arial"/>
          <w:sz w:val="22"/>
          <w:szCs w:val="22"/>
        </w:rPr>
      </w:pPr>
    </w:p>
    <w:p w14:paraId="5184FF20" w14:textId="77777777" w:rsidR="00EB4688" w:rsidRPr="007F4A23" w:rsidRDefault="00EB4688" w:rsidP="003A542A">
      <w:pPr>
        <w:rPr>
          <w:rFonts w:ascii="Arial" w:hAnsi="Arial" w:cs="Arial"/>
          <w:sz w:val="22"/>
          <w:szCs w:val="22"/>
        </w:rPr>
      </w:pPr>
    </w:p>
    <w:p w14:paraId="5184FF22" w14:textId="77777777" w:rsidR="00381F3E" w:rsidRPr="007F4A23" w:rsidRDefault="00F721D4" w:rsidP="00821A0A">
      <w:pPr>
        <w:pStyle w:val="Heading1"/>
        <w:rPr>
          <w:rFonts w:ascii="Arial" w:hAnsi="Arial" w:cs="Arial"/>
          <w:sz w:val="22"/>
          <w:szCs w:val="22"/>
        </w:rPr>
      </w:pPr>
      <w:r w:rsidRPr="007F4A23">
        <w:rPr>
          <w:rFonts w:ascii="Arial" w:hAnsi="Arial" w:cs="Arial"/>
          <w:sz w:val="22"/>
          <w:szCs w:val="22"/>
        </w:rPr>
        <w:br w:type="page"/>
      </w:r>
      <w:r w:rsidR="00C67D0E" w:rsidRPr="007F4A23">
        <w:rPr>
          <w:rFonts w:ascii="Arial" w:hAnsi="Arial" w:cs="Arial"/>
          <w:sz w:val="22"/>
          <w:szCs w:val="22"/>
        </w:rPr>
        <w:lastRenderedPageBreak/>
        <w:t>Introducción</w:t>
      </w:r>
    </w:p>
    <w:p w14:paraId="5184FF23" w14:textId="46429559" w:rsidR="003A30D0" w:rsidRPr="007F4A23" w:rsidRDefault="006308E2" w:rsidP="003A542A">
      <w:pPr>
        <w:rPr>
          <w:rFonts w:ascii="Arial" w:hAnsi="Arial" w:cs="Arial"/>
          <w:sz w:val="22"/>
          <w:szCs w:val="22"/>
        </w:rPr>
      </w:pPr>
      <w:r w:rsidRPr="007F4A23">
        <w:rPr>
          <w:rFonts w:ascii="Arial" w:hAnsi="Arial" w:cs="Arial"/>
          <w:sz w:val="22"/>
          <w:szCs w:val="22"/>
        </w:rPr>
        <w:t xml:space="preserve">Este documento presenta el análisis económico ex ante del “Programa Fortalecimiento de la Gestión del Sector Educativo” (CH-L1081), cuya ejecución se tiene prevista para el período </w:t>
      </w:r>
      <w:r w:rsidR="000C2733" w:rsidRPr="007F4A23">
        <w:rPr>
          <w:rFonts w:ascii="Arial" w:hAnsi="Arial" w:cs="Arial"/>
          <w:sz w:val="22"/>
          <w:szCs w:val="22"/>
        </w:rPr>
        <w:t>20</w:t>
      </w:r>
      <w:r w:rsidR="00F67E4F">
        <w:rPr>
          <w:rFonts w:ascii="Arial" w:hAnsi="Arial" w:cs="Arial"/>
          <w:sz w:val="22"/>
          <w:szCs w:val="22"/>
        </w:rPr>
        <w:t>20</w:t>
      </w:r>
      <w:r w:rsidRPr="007F4A23">
        <w:rPr>
          <w:rFonts w:ascii="Arial" w:hAnsi="Arial" w:cs="Arial"/>
          <w:sz w:val="22"/>
          <w:szCs w:val="22"/>
        </w:rPr>
        <w:t>-</w:t>
      </w:r>
      <w:r w:rsidR="000C2733" w:rsidRPr="007F4A23">
        <w:rPr>
          <w:rFonts w:ascii="Arial" w:hAnsi="Arial" w:cs="Arial"/>
          <w:sz w:val="22"/>
          <w:szCs w:val="22"/>
        </w:rPr>
        <w:t>20</w:t>
      </w:r>
      <w:r w:rsidR="00B87BCD">
        <w:rPr>
          <w:rFonts w:ascii="Arial" w:hAnsi="Arial" w:cs="Arial"/>
          <w:sz w:val="22"/>
          <w:szCs w:val="22"/>
        </w:rPr>
        <w:t>2</w:t>
      </w:r>
      <w:r w:rsidR="00F67E4F">
        <w:rPr>
          <w:rFonts w:ascii="Arial" w:hAnsi="Arial" w:cs="Arial"/>
          <w:sz w:val="22"/>
          <w:szCs w:val="22"/>
        </w:rPr>
        <w:t>1</w:t>
      </w:r>
      <w:r w:rsidRPr="007F4A23">
        <w:rPr>
          <w:rFonts w:ascii="Arial" w:hAnsi="Arial" w:cs="Arial"/>
          <w:sz w:val="22"/>
          <w:szCs w:val="22"/>
        </w:rPr>
        <w:t>. El análisis se lleva a cabo mediante la metodología de costo-beneficio.</w:t>
      </w:r>
    </w:p>
    <w:p w14:paraId="5EAB7284" w14:textId="1F60AF26" w:rsidR="005F7163" w:rsidRDefault="004C514F" w:rsidP="00B6283F">
      <w:pPr>
        <w:rPr>
          <w:rFonts w:ascii="Arial" w:hAnsi="Arial" w:cs="Arial"/>
          <w:sz w:val="22"/>
          <w:szCs w:val="22"/>
        </w:rPr>
      </w:pPr>
      <w:r w:rsidRPr="00343AC7">
        <w:rPr>
          <w:rFonts w:ascii="Arial" w:hAnsi="Arial" w:cs="Arial"/>
          <w:sz w:val="22"/>
          <w:szCs w:val="22"/>
        </w:rPr>
        <w:t>El objetivo</w:t>
      </w:r>
      <w:r w:rsidR="006F3125">
        <w:rPr>
          <w:rFonts w:ascii="Arial" w:hAnsi="Arial" w:cs="Arial"/>
          <w:sz w:val="22"/>
          <w:szCs w:val="22"/>
        </w:rPr>
        <w:t xml:space="preserve"> </w:t>
      </w:r>
      <w:r w:rsidR="009907D8">
        <w:rPr>
          <w:rFonts w:ascii="Arial" w:hAnsi="Arial" w:cs="Arial"/>
          <w:sz w:val="22"/>
          <w:szCs w:val="22"/>
        </w:rPr>
        <w:t xml:space="preserve">general </w:t>
      </w:r>
      <w:r w:rsidR="006F3125" w:rsidRPr="006F3125">
        <w:rPr>
          <w:rFonts w:ascii="Arial" w:hAnsi="Arial" w:cs="Arial"/>
          <w:sz w:val="22"/>
          <w:szCs w:val="22"/>
        </w:rPr>
        <w:t>del programa es mejorar la calidad del sistema de la educación pública en Chile</w:t>
      </w:r>
      <w:r w:rsidR="00F46026">
        <w:rPr>
          <w:rFonts w:ascii="Arial" w:hAnsi="Arial" w:cs="Arial"/>
          <w:sz w:val="22"/>
          <w:szCs w:val="22"/>
        </w:rPr>
        <w:t xml:space="preserve">. Los objetivos específicos son </w:t>
      </w:r>
      <w:r w:rsidR="00B55599">
        <w:rPr>
          <w:rFonts w:ascii="Arial" w:hAnsi="Arial" w:cs="Arial"/>
          <w:sz w:val="22"/>
          <w:szCs w:val="22"/>
        </w:rPr>
        <w:t>fortalecer y/</w:t>
      </w:r>
      <w:r w:rsidR="00FA16BE">
        <w:rPr>
          <w:rFonts w:ascii="Arial" w:hAnsi="Arial" w:cs="Arial"/>
          <w:sz w:val="22"/>
          <w:szCs w:val="22"/>
        </w:rPr>
        <w:t xml:space="preserve">o </w:t>
      </w:r>
      <w:r w:rsidR="006F3125" w:rsidRPr="006F3125">
        <w:rPr>
          <w:rFonts w:ascii="Arial" w:hAnsi="Arial" w:cs="Arial"/>
          <w:sz w:val="22"/>
          <w:szCs w:val="22"/>
        </w:rPr>
        <w:t xml:space="preserve">capacidades de liderazgo </w:t>
      </w:r>
      <w:r w:rsidR="00312463" w:rsidRPr="006F3125">
        <w:rPr>
          <w:rFonts w:ascii="Arial" w:hAnsi="Arial" w:cs="Arial"/>
          <w:sz w:val="22"/>
          <w:szCs w:val="22"/>
        </w:rPr>
        <w:t xml:space="preserve">nivel central y local </w:t>
      </w:r>
      <w:r w:rsidR="006F3125" w:rsidRPr="006F3125">
        <w:rPr>
          <w:rFonts w:ascii="Arial" w:hAnsi="Arial" w:cs="Arial"/>
          <w:sz w:val="22"/>
          <w:szCs w:val="22"/>
        </w:rPr>
        <w:t xml:space="preserve">y </w:t>
      </w:r>
      <w:r w:rsidR="003D4D2D">
        <w:rPr>
          <w:rFonts w:ascii="Arial" w:hAnsi="Arial" w:cs="Arial"/>
          <w:sz w:val="22"/>
          <w:szCs w:val="22"/>
        </w:rPr>
        <w:t xml:space="preserve">fortalecer y/o </w:t>
      </w:r>
      <w:r w:rsidR="003D4D2D" w:rsidRPr="006F3125">
        <w:rPr>
          <w:rFonts w:ascii="Arial" w:hAnsi="Arial" w:cs="Arial"/>
          <w:sz w:val="22"/>
          <w:szCs w:val="22"/>
        </w:rPr>
        <w:t xml:space="preserve">capacidades </w:t>
      </w:r>
      <w:r w:rsidR="006F3125" w:rsidRPr="006F3125">
        <w:rPr>
          <w:rFonts w:ascii="Arial" w:hAnsi="Arial" w:cs="Arial"/>
          <w:sz w:val="22"/>
          <w:szCs w:val="22"/>
        </w:rPr>
        <w:t>soporte técnico-pedagógico a nivel central y local</w:t>
      </w:r>
      <w:r w:rsidR="00B93656">
        <w:rPr>
          <w:rFonts w:ascii="Arial" w:hAnsi="Arial" w:cs="Arial"/>
          <w:sz w:val="22"/>
          <w:szCs w:val="22"/>
        </w:rPr>
        <w:t xml:space="preserve">. </w:t>
      </w:r>
      <w:r w:rsidR="009B2782" w:rsidRPr="00B6283F">
        <w:rPr>
          <w:rFonts w:ascii="Arial" w:hAnsi="Arial" w:cs="Arial"/>
          <w:sz w:val="22"/>
          <w:szCs w:val="22"/>
        </w:rPr>
        <w:t>Para ello, apoyará la implementación de la Ley 21.040</w:t>
      </w:r>
      <w:r w:rsidR="009B2782">
        <w:rPr>
          <w:rFonts w:ascii="Arial" w:hAnsi="Arial" w:cs="Arial"/>
          <w:sz w:val="22"/>
          <w:szCs w:val="22"/>
        </w:rPr>
        <w:t xml:space="preserve"> a través de </w:t>
      </w:r>
      <w:r w:rsidR="005F7163">
        <w:rPr>
          <w:rFonts w:ascii="Arial" w:hAnsi="Arial" w:cs="Arial"/>
          <w:sz w:val="22"/>
          <w:szCs w:val="22"/>
        </w:rPr>
        <w:t xml:space="preserve">dos </w:t>
      </w:r>
      <w:r w:rsidR="00B87BCD">
        <w:rPr>
          <w:rFonts w:ascii="Arial" w:hAnsi="Arial" w:cs="Arial"/>
          <w:sz w:val="22"/>
          <w:szCs w:val="22"/>
        </w:rPr>
        <w:t>componente</w:t>
      </w:r>
      <w:r w:rsidR="005F7163">
        <w:rPr>
          <w:rFonts w:ascii="Arial" w:hAnsi="Arial" w:cs="Arial"/>
          <w:sz w:val="22"/>
          <w:szCs w:val="22"/>
        </w:rPr>
        <w:t>s</w:t>
      </w:r>
      <w:r w:rsidR="00B87BCD">
        <w:rPr>
          <w:rFonts w:ascii="Arial" w:hAnsi="Arial" w:cs="Arial"/>
          <w:sz w:val="22"/>
          <w:szCs w:val="22"/>
        </w:rPr>
        <w:t xml:space="preserve"> que condensa</w:t>
      </w:r>
      <w:r w:rsidR="009B2782">
        <w:rPr>
          <w:rFonts w:ascii="Arial" w:hAnsi="Arial" w:cs="Arial"/>
          <w:sz w:val="22"/>
          <w:szCs w:val="22"/>
        </w:rPr>
        <w:t>n</w:t>
      </w:r>
      <w:r w:rsidR="00B87BCD">
        <w:rPr>
          <w:rFonts w:ascii="Arial" w:hAnsi="Arial" w:cs="Arial"/>
          <w:sz w:val="22"/>
          <w:szCs w:val="22"/>
        </w:rPr>
        <w:t xml:space="preserve"> las actividades de los tres componentes de la operación </w:t>
      </w:r>
      <w:r w:rsidR="00B6283F">
        <w:rPr>
          <w:rFonts w:ascii="Arial" w:hAnsi="Arial" w:cs="Arial"/>
          <w:sz w:val="22"/>
          <w:szCs w:val="22"/>
        </w:rPr>
        <w:t>original. E</w:t>
      </w:r>
      <w:r w:rsidR="005F7163">
        <w:rPr>
          <w:rFonts w:ascii="Arial" w:hAnsi="Arial" w:cs="Arial"/>
          <w:sz w:val="22"/>
          <w:szCs w:val="22"/>
        </w:rPr>
        <w:t>l primer componente</w:t>
      </w:r>
      <w:r w:rsidR="009B2782">
        <w:rPr>
          <w:rFonts w:ascii="Arial" w:hAnsi="Arial" w:cs="Arial"/>
          <w:sz w:val="22"/>
          <w:szCs w:val="22"/>
        </w:rPr>
        <w:t>,</w:t>
      </w:r>
      <w:r w:rsidR="005F7163">
        <w:rPr>
          <w:rFonts w:ascii="Arial" w:hAnsi="Arial" w:cs="Arial"/>
          <w:sz w:val="22"/>
          <w:szCs w:val="22"/>
        </w:rPr>
        <w:t xml:space="preserve"> de liderazgo y gestión del sistema educativo</w:t>
      </w:r>
      <w:r w:rsidR="009B2782">
        <w:rPr>
          <w:rFonts w:ascii="Arial" w:hAnsi="Arial" w:cs="Arial"/>
          <w:sz w:val="22"/>
          <w:szCs w:val="22"/>
        </w:rPr>
        <w:t xml:space="preserve">, </w:t>
      </w:r>
      <w:r w:rsidR="005F7163">
        <w:rPr>
          <w:rFonts w:ascii="Arial" w:hAnsi="Arial" w:cs="Arial"/>
          <w:sz w:val="22"/>
          <w:szCs w:val="22"/>
        </w:rPr>
        <w:t>financiará</w:t>
      </w:r>
      <w:r w:rsidR="009B2782">
        <w:rPr>
          <w:rFonts w:ascii="Arial" w:hAnsi="Arial" w:cs="Arial"/>
          <w:sz w:val="22"/>
          <w:szCs w:val="22"/>
        </w:rPr>
        <w:t xml:space="preserve"> los costos asociados con: (i) instalación y fortalecimiento institucional de la Dirección de Educación Pública; (ii) preparación del traspaso del servicio educativo en municipios que van a convertirse en Servicios Locales de Educación Pública (SLEP</w:t>
      </w:r>
      <w:r w:rsidR="00DE1D16">
        <w:rPr>
          <w:rFonts w:ascii="Arial" w:hAnsi="Arial" w:cs="Arial"/>
          <w:sz w:val="22"/>
          <w:szCs w:val="22"/>
        </w:rPr>
        <w:t>s</w:t>
      </w:r>
      <w:r w:rsidR="009B2782">
        <w:rPr>
          <w:rFonts w:ascii="Arial" w:hAnsi="Arial" w:cs="Arial"/>
          <w:sz w:val="22"/>
          <w:szCs w:val="22"/>
        </w:rPr>
        <w:t>); (iii)</w:t>
      </w:r>
      <w:r w:rsidR="00C805A5">
        <w:rPr>
          <w:rFonts w:ascii="Arial" w:hAnsi="Arial" w:cs="Arial"/>
          <w:sz w:val="22"/>
          <w:szCs w:val="22"/>
        </w:rPr>
        <w:t> </w:t>
      </w:r>
      <w:r w:rsidR="009B2782">
        <w:rPr>
          <w:rFonts w:ascii="Arial" w:hAnsi="Arial" w:cs="Arial"/>
          <w:sz w:val="22"/>
          <w:szCs w:val="22"/>
        </w:rPr>
        <w:t>instalación de los SLEP</w:t>
      </w:r>
      <w:r w:rsidR="00DE1D16">
        <w:rPr>
          <w:rFonts w:ascii="Arial" w:hAnsi="Arial" w:cs="Arial"/>
          <w:sz w:val="22"/>
          <w:szCs w:val="22"/>
        </w:rPr>
        <w:t>s</w:t>
      </w:r>
      <w:r w:rsidR="009B2782">
        <w:rPr>
          <w:rFonts w:ascii="Arial" w:hAnsi="Arial" w:cs="Arial"/>
          <w:sz w:val="22"/>
          <w:szCs w:val="22"/>
        </w:rPr>
        <w:t>; y (iv) gestión y liderazgo de los SLEP</w:t>
      </w:r>
      <w:r w:rsidR="00DE1D16">
        <w:rPr>
          <w:rFonts w:ascii="Arial" w:hAnsi="Arial" w:cs="Arial"/>
          <w:sz w:val="22"/>
          <w:szCs w:val="22"/>
        </w:rPr>
        <w:t>s</w:t>
      </w:r>
      <w:r w:rsidR="009B2782">
        <w:rPr>
          <w:rFonts w:ascii="Arial" w:hAnsi="Arial" w:cs="Arial"/>
          <w:sz w:val="22"/>
          <w:szCs w:val="22"/>
        </w:rPr>
        <w:t xml:space="preserve">. El componente 2, de soporte técnico pedagógico, financiará los costos asociados con acciones de apoyo técnico pedagógico desde los SLEP. </w:t>
      </w:r>
    </w:p>
    <w:p w14:paraId="5184FF28" w14:textId="237A4820" w:rsidR="002D4E2A" w:rsidRPr="007F4A23" w:rsidRDefault="002D4E2A" w:rsidP="003A542A">
      <w:pPr>
        <w:rPr>
          <w:rFonts w:ascii="Arial" w:hAnsi="Arial" w:cs="Arial"/>
          <w:sz w:val="22"/>
          <w:szCs w:val="22"/>
        </w:rPr>
      </w:pPr>
      <w:r w:rsidRPr="007F4A23">
        <w:rPr>
          <w:rFonts w:ascii="Arial" w:hAnsi="Arial" w:cs="Arial"/>
          <w:sz w:val="22"/>
          <w:szCs w:val="22"/>
        </w:rPr>
        <w:t xml:space="preserve">Considerando la naturaleza del Programa el análisis </w:t>
      </w:r>
      <w:r w:rsidR="00B76B1A">
        <w:rPr>
          <w:rFonts w:ascii="Arial" w:hAnsi="Arial" w:cs="Arial"/>
          <w:sz w:val="22"/>
          <w:szCs w:val="22"/>
        </w:rPr>
        <w:t>económico de este,</w:t>
      </w:r>
      <w:r w:rsidRPr="007F4A23">
        <w:rPr>
          <w:rFonts w:ascii="Arial" w:hAnsi="Arial" w:cs="Arial"/>
          <w:sz w:val="22"/>
          <w:szCs w:val="22"/>
        </w:rPr>
        <w:t xml:space="preserve"> que se detalla en las líneas siguientes</w:t>
      </w:r>
      <w:r w:rsidR="00B76B1A">
        <w:rPr>
          <w:rFonts w:ascii="Arial" w:hAnsi="Arial" w:cs="Arial"/>
          <w:sz w:val="22"/>
          <w:szCs w:val="22"/>
        </w:rPr>
        <w:t>,</w:t>
      </w:r>
      <w:r w:rsidRPr="007F4A23">
        <w:rPr>
          <w:rFonts w:ascii="Arial" w:hAnsi="Arial" w:cs="Arial"/>
          <w:sz w:val="22"/>
          <w:szCs w:val="22"/>
        </w:rPr>
        <w:t xml:space="preserve"> se efectúa cuantificando </w:t>
      </w:r>
      <w:r w:rsidR="00CB2A37" w:rsidRPr="007F4A23">
        <w:rPr>
          <w:rFonts w:ascii="Arial" w:hAnsi="Arial" w:cs="Arial"/>
          <w:sz w:val="22"/>
          <w:szCs w:val="22"/>
        </w:rPr>
        <w:t xml:space="preserve">sus </w:t>
      </w:r>
      <w:r w:rsidRPr="007F4A23">
        <w:rPr>
          <w:rFonts w:ascii="Arial" w:hAnsi="Arial" w:cs="Arial"/>
          <w:sz w:val="22"/>
          <w:szCs w:val="22"/>
        </w:rPr>
        <w:t>costos y beneficios sin distinguir entre sus componentes ya que se trata de acciones de mejoramiento institucional cuyos beneficiarios finales son la totalidad de los estudiantes de los establecimientos que comiencen a operar bajo la nueva institucionalidad.</w:t>
      </w:r>
    </w:p>
    <w:p w14:paraId="5184FF29" w14:textId="0A495CAA" w:rsidR="003A30D0" w:rsidRPr="007F4A23" w:rsidRDefault="008D22FC" w:rsidP="003A542A">
      <w:pPr>
        <w:rPr>
          <w:rFonts w:ascii="Arial" w:hAnsi="Arial" w:cs="Arial"/>
          <w:sz w:val="22"/>
          <w:szCs w:val="22"/>
        </w:rPr>
      </w:pPr>
      <w:r w:rsidRPr="00343AC7">
        <w:rPr>
          <w:rFonts w:ascii="Arial" w:hAnsi="Arial" w:cs="Arial"/>
          <w:sz w:val="22"/>
          <w:szCs w:val="22"/>
        </w:rPr>
        <w:t xml:space="preserve">Se espera que </w:t>
      </w:r>
      <w:r w:rsidR="005002EE" w:rsidRPr="00343AC7">
        <w:rPr>
          <w:rFonts w:ascii="Arial" w:hAnsi="Arial" w:cs="Arial"/>
          <w:sz w:val="22"/>
          <w:szCs w:val="22"/>
        </w:rPr>
        <w:t>las mejoras de calidad asociadas al</w:t>
      </w:r>
      <w:r w:rsidRPr="00343AC7">
        <w:rPr>
          <w:rFonts w:ascii="Arial" w:hAnsi="Arial" w:cs="Arial"/>
          <w:sz w:val="22"/>
          <w:szCs w:val="22"/>
        </w:rPr>
        <w:t xml:space="preserve"> cambio en el modelo de gestión de la Educación Pública </w:t>
      </w:r>
      <w:r w:rsidR="00103F0C" w:rsidRPr="00343AC7">
        <w:rPr>
          <w:rFonts w:ascii="Arial" w:hAnsi="Arial" w:cs="Arial"/>
          <w:sz w:val="22"/>
          <w:szCs w:val="22"/>
        </w:rPr>
        <w:t>p</w:t>
      </w:r>
      <w:r w:rsidRPr="00343AC7">
        <w:rPr>
          <w:rFonts w:ascii="Arial" w:hAnsi="Arial" w:cs="Arial"/>
          <w:sz w:val="22"/>
          <w:szCs w:val="22"/>
        </w:rPr>
        <w:t xml:space="preserve">rimaria y </w:t>
      </w:r>
      <w:r w:rsidR="00103F0C" w:rsidRPr="00343AC7">
        <w:rPr>
          <w:rFonts w:ascii="Arial" w:hAnsi="Arial" w:cs="Arial"/>
          <w:sz w:val="22"/>
          <w:szCs w:val="22"/>
        </w:rPr>
        <w:t>s</w:t>
      </w:r>
      <w:r w:rsidRPr="00343AC7">
        <w:rPr>
          <w:rFonts w:ascii="Arial" w:hAnsi="Arial" w:cs="Arial"/>
          <w:sz w:val="22"/>
          <w:szCs w:val="22"/>
        </w:rPr>
        <w:t xml:space="preserve">ecundaria </w:t>
      </w:r>
      <w:r w:rsidR="00061F85">
        <w:rPr>
          <w:rFonts w:ascii="Arial" w:hAnsi="Arial" w:cs="Arial"/>
          <w:sz w:val="22"/>
          <w:szCs w:val="22"/>
        </w:rPr>
        <w:t>genere</w:t>
      </w:r>
      <w:r w:rsidR="00103F0C" w:rsidRPr="00343AC7">
        <w:rPr>
          <w:rFonts w:ascii="Arial" w:hAnsi="Arial" w:cs="Arial"/>
          <w:sz w:val="22"/>
          <w:szCs w:val="22"/>
        </w:rPr>
        <w:t xml:space="preserve"> dos beneficios. P</w:t>
      </w:r>
      <w:r w:rsidR="002D4E2A" w:rsidRPr="00343AC7">
        <w:rPr>
          <w:rFonts w:ascii="Arial" w:hAnsi="Arial" w:cs="Arial"/>
          <w:sz w:val="22"/>
          <w:szCs w:val="22"/>
        </w:rPr>
        <w:t xml:space="preserve">rimero, un número mayor de individuos que ingresan de la educación terciaria </w:t>
      </w:r>
      <w:r w:rsidR="00061F85" w:rsidRPr="00343AC7">
        <w:rPr>
          <w:rFonts w:ascii="Arial" w:hAnsi="Arial" w:cs="Arial"/>
          <w:sz w:val="22"/>
          <w:szCs w:val="22"/>
        </w:rPr>
        <w:t>y,</w:t>
      </w:r>
      <w:r w:rsidR="002D4E2A" w:rsidRPr="00343AC7">
        <w:rPr>
          <w:rFonts w:ascii="Arial" w:hAnsi="Arial" w:cs="Arial"/>
          <w:sz w:val="22"/>
          <w:szCs w:val="22"/>
        </w:rPr>
        <w:t xml:space="preserve"> por consiguiente, de mantenerse las actuales tasas de titulación en dicho nivel educacional, una mayor cantidad de sujetos accediendo a mayores ingresos producto de haber alcanzado </w:t>
      </w:r>
      <w:r w:rsidR="00151074" w:rsidRPr="00343AC7">
        <w:rPr>
          <w:rFonts w:ascii="Arial" w:hAnsi="Arial" w:cs="Arial"/>
          <w:sz w:val="22"/>
          <w:szCs w:val="22"/>
        </w:rPr>
        <w:t xml:space="preserve">un </w:t>
      </w:r>
      <w:r w:rsidR="002D4E2A" w:rsidRPr="00343AC7">
        <w:rPr>
          <w:rFonts w:ascii="Arial" w:hAnsi="Arial" w:cs="Arial"/>
          <w:sz w:val="22"/>
          <w:szCs w:val="22"/>
        </w:rPr>
        <w:t>nivel educacional de educación terciara completa o incompleta.</w:t>
      </w:r>
      <w:r w:rsidR="00D038C0" w:rsidRPr="00343AC7">
        <w:rPr>
          <w:rFonts w:ascii="Arial" w:hAnsi="Arial" w:cs="Arial"/>
          <w:sz w:val="22"/>
          <w:szCs w:val="22"/>
        </w:rPr>
        <w:t xml:space="preserve"> Segundo, por concepto de reducción en las tasas de repetición tanto en educación primaria como secundaria</w:t>
      </w:r>
      <w:r w:rsidR="00551A11">
        <w:rPr>
          <w:rFonts w:ascii="Arial" w:hAnsi="Arial" w:cs="Arial"/>
          <w:sz w:val="22"/>
          <w:szCs w:val="22"/>
        </w:rPr>
        <w:t>,</w:t>
      </w:r>
      <w:r w:rsidR="002831B0" w:rsidRPr="00343AC7">
        <w:rPr>
          <w:rFonts w:ascii="Arial" w:hAnsi="Arial" w:cs="Arial"/>
          <w:sz w:val="22"/>
          <w:szCs w:val="22"/>
        </w:rPr>
        <w:t xml:space="preserve"> </w:t>
      </w:r>
      <w:r w:rsidR="00444B5C">
        <w:rPr>
          <w:rFonts w:ascii="Arial" w:hAnsi="Arial" w:cs="Arial"/>
          <w:sz w:val="22"/>
          <w:szCs w:val="22"/>
        </w:rPr>
        <w:t xml:space="preserve">y </w:t>
      </w:r>
      <w:r w:rsidR="00484A05">
        <w:rPr>
          <w:rFonts w:ascii="Arial" w:hAnsi="Arial" w:cs="Arial"/>
          <w:sz w:val="22"/>
          <w:szCs w:val="22"/>
        </w:rPr>
        <w:t>por</w:t>
      </w:r>
      <w:r w:rsidR="002831B0" w:rsidRPr="00343AC7">
        <w:rPr>
          <w:rFonts w:ascii="Arial" w:hAnsi="Arial" w:cs="Arial"/>
          <w:sz w:val="22"/>
          <w:szCs w:val="22"/>
        </w:rPr>
        <w:t xml:space="preserve"> consiguiente </w:t>
      </w:r>
      <w:r w:rsidR="00444B5C">
        <w:rPr>
          <w:rFonts w:ascii="Arial" w:hAnsi="Arial" w:cs="Arial"/>
          <w:sz w:val="22"/>
          <w:szCs w:val="22"/>
        </w:rPr>
        <w:t xml:space="preserve">el </w:t>
      </w:r>
      <w:r w:rsidR="002831B0" w:rsidRPr="00343AC7">
        <w:rPr>
          <w:rFonts w:ascii="Arial" w:hAnsi="Arial" w:cs="Arial"/>
          <w:sz w:val="22"/>
          <w:szCs w:val="22"/>
        </w:rPr>
        <w:t xml:space="preserve">ahorro en costos de operación del sistema </w:t>
      </w:r>
      <w:r w:rsidR="00015442">
        <w:rPr>
          <w:rFonts w:ascii="Arial" w:hAnsi="Arial" w:cs="Arial"/>
          <w:sz w:val="22"/>
          <w:szCs w:val="22"/>
        </w:rPr>
        <w:t>asociados a</w:t>
      </w:r>
      <w:r w:rsidR="002831B0" w:rsidRPr="00343AC7">
        <w:rPr>
          <w:rFonts w:ascii="Arial" w:hAnsi="Arial" w:cs="Arial"/>
          <w:sz w:val="22"/>
          <w:szCs w:val="22"/>
        </w:rPr>
        <w:t xml:space="preserve"> volver a entregar prestaciones educacionales a los repitentes</w:t>
      </w:r>
      <w:r w:rsidR="00D038C0" w:rsidRPr="00343AC7">
        <w:rPr>
          <w:rFonts w:ascii="Arial" w:hAnsi="Arial" w:cs="Arial"/>
          <w:sz w:val="22"/>
          <w:szCs w:val="22"/>
        </w:rPr>
        <w:t>.</w:t>
      </w:r>
    </w:p>
    <w:p w14:paraId="5184FF2A" w14:textId="1560F74D" w:rsidR="003A2A6A" w:rsidRPr="007F4A23" w:rsidRDefault="00D038C0" w:rsidP="003A542A">
      <w:pPr>
        <w:rPr>
          <w:rFonts w:ascii="Arial" w:hAnsi="Arial" w:cs="Arial"/>
          <w:sz w:val="22"/>
          <w:szCs w:val="22"/>
        </w:rPr>
      </w:pPr>
      <w:r w:rsidRPr="007F4A23">
        <w:rPr>
          <w:rFonts w:ascii="Arial" w:hAnsi="Arial" w:cs="Arial"/>
          <w:sz w:val="22"/>
          <w:szCs w:val="22"/>
        </w:rPr>
        <w:t xml:space="preserve">El análisis de rentabilidad considera tres escenarios </w:t>
      </w:r>
      <w:r w:rsidR="002831B0" w:rsidRPr="007F4A23">
        <w:rPr>
          <w:rFonts w:ascii="Arial" w:hAnsi="Arial" w:cs="Arial"/>
          <w:sz w:val="22"/>
          <w:szCs w:val="22"/>
        </w:rPr>
        <w:t>para la estimación de los beneficios directos del programa</w:t>
      </w:r>
      <w:r w:rsidRPr="007F4A23">
        <w:rPr>
          <w:rFonts w:ascii="Arial" w:hAnsi="Arial" w:cs="Arial"/>
          <w:sz w:val="22"/>
          <w:szCs w:val="22"/>
        </w:rPr>
        <w:t>. Un escenario pesimista en que sólo se produc</w:t>
      </w:r>
      <w:r w:rsidR="003B47DE" w:rsidRPr="007F4A23">
        <w:rPr>
          <w:rFonts w:ascii="Arial" w:hAnsi="Arial" w:cs="Arial"/>
          <w:sz w:val="22"/>
          <w:szCs w:val="22"/>
        </w:rPr>
        <w:t>e un 2</w:t>
      </w:r>
      <w:r w:rsidRPr="007F4A23">
        <w:rPr>
          <w:rFonts w:ascii="Arial" w:hAnsi="Arial" w:cs="Arial"/>
          <w:sz w:val="22"/>
          <w:szCs w:val="22"/>
        </w:rPr>
        <w:t xml:space="preserve">% de aumento en la cantidad de sujetos que ingresa a la educación superior, un escenario moderado en que la misma proporción alcanza un </w:t>
      </w:r>
      <w:r w:rsidR="009715D0" w:rsidRPr="007F4A23">
        <w:rPr>
          <w:rFonts w:ascii="Arial" w:hAnsi="Arial" w:cs="Arial"/>
          <w:sz w:val="22"/>
          <w:szCs w:val="22"/>
        </w:rPr>
        <w:t>5</w:t>
      </w:r>
      <w:r w:rsidRPr="007F4A23">
        <w:rPr>
          <w:rFonts w:ascii="Arial" w:hAnsi="Arial" w:cs="Arial"/>
          <w:sz w:val="22"/>
          <w:szCs w:val="22"/>
        </w:rPr>
        <w:t>% y finalmente un escenario optimista en que se produce un aumento de 1</w:t>
      </w:r>
      <w:r w:rsidR="009715D0" w:rsidRPr="007F4A23">
        <w:rPr>
          <w:rFonts w:ascii="Arial" w:hAnsi="Arial" w:cs="Arial"/>
          <w:sz w:val="22"/>
          <w:szCs w:val="22"/>
        </w:rPr>
        <w:t>0</w:t>
      </w:r>
      <w:r w:rsidRPr="007F4A23">
        <w:rPr>
          <w:rFonts w:ascii="Arial" w:hAnsi="Arial" w:cs="Arial"/>
          <w:sz w:val="22"/>
          <w:szCs w:val="22"/>
        </w:rPr>
        <w:t>% en la cantidad de sujetos de los establecimientos incorporados al programa que ingresan a la educación terciaria.</w:t>
      </w:r>
      <w:r w:rsidR="0040003D">
        <w:rPr>
          <w:rFonts w:ascii="Arial" w:hAnsi="Arial" w:cs="Arial"/>
          <w:sz w:val="22"/>
          <w:szCs w:val="22"/>
        </w:rPr>
        <w:t xml:space="preserve"> Por su parte, para la estimación de beneficios indirectos</w:t>
      </w:r>
      <w:r w:rsidR="009E5FC8">
        <w:rPr>
          <w:rFonts w:ascii="Arial" w:hAnsi="Arial" w:cs="Arial"/>
          <w:sz w:val="22"/>
          <w:szCs w:val="22"/>
        </w:rPr>
        <w:t xml:space="preserve">, se considera solo un escenario, donde se supone </w:t>
      </w:r>
      <w:r w:rsidR="009E5FC8" w:rsidRPr="007F4A23">
        <w:rPr>
          <w:rFonts w:ascii="Arial" w:hAnsi="Arial" w:cs="Arial"/>
          <w:sz w:val="22"/>
          <w:szCs w:val="22"/>
        </w:rPr>
        <w:t xml:space="preserve">una reducción de </w:t>
      </w:r>
      <w:r w:rsidR="009E5FC8">
        <w:rPr>
          <w:rFonts w:ascii="Arial" w:hAnsi="Arial" w:cs="Arial"/>
          <w:sz w:val="22"/>
          <w:szCs w:val="22"/>
        </w:rPr>
        <w:t>un 1</w:t>
      </w:r>
      <w:r w:rsidR="009E5FC8" w:rsidRPr="007F4A23">
        <w:rPr>
          <w:rFonts w:ascii="Arial" w:hAnsi="Arial" w:cs="Arial"/>
          <w:sz w:val="22"/>
          <w:szCs w:val="22"/>
        </w:rPr>
        <w:t>% en la tasa de repetición en los niveles de media y básica</w:t>
      </w:r>
      <w:r w:rsidR="00704775">
        <w:rPr>
          <w:rFonts w:ascii="Arial" w:hAnsi="Arial" w:cs="Arial"/>
          <w:sz w:val="22"/>
          <w:szCs w:val="22"/>
        </w:rPr>
        <w:t>.</w:t>
      </w:r>
    </w:p>
    <w:p w14:paraId="5184FF2B" w14:textId="77777777" w:rsidR="003A30D0" w:rsidRPr="007F4A23" w:rsidRDefault="003A30D0" w:rsidP="00821A0A">
      <w:pPr>
        <w:pStyle w:val="Heading1"/>
        <w:rPr>
          <w:rFonts w:ascii="Arial" w:hAnsi="Arial" w:cs="Arial"/>
          <w:sz w:val="22"/>
          <w:szCs w:val="22"/>
        </w:rPr>
      </w:pPr>
      <w:r w:rsidRPr="007F4A23">
        <w:rPr>
          <w:rFonts w:ascii="Arial" w:hAnsi="Arial" w:cs="Arial"/>
          <w:sz w:val="22"/>
          <w:szCs w:val="22"/>
        </w:rPr>
        <w:t>Metodología</w:t>
      </w:r>
    </w:p>
    <w:p w14:paraId="5184FF2C" w14:textId="77777777" w:rsidR="003A30D0" w:rsidRPr="007F4A23" w:rsidRDefault="003A30D0" w:rsidP="003A542A">
      <w:pPr>
        <w:rPr>
          <w:rFonts w:ascii="Arial" w:hAnsi="Arial" w:cs="Arial"/>
          <w:sz w:val="22"/>
          <w:szCs w:val="22"/>
        </w:rPr>
      </w:pPr>
    </w:p>
    <w:p w14:paraId="5184FF2D" w14:textId="03A09249" w:rsidR="003A30D0" w:rsidRPr="007F4A23" w:rsidRDefault="003A30D0" w:rsidP="00FF578E">
      <w:pPr>
        <w:pStyle w:val="Heading2"/>
        <w:numPr>
          <w:ilvl w:val="1"/>
          <w:numId w:val="32"/>
        </w:numPr>
        <w:ind w:left="720" w:hanging="720"/>
        <w:rPr>
          <w:rFonts w:ascii="Arial" w:hAnsi="Arial" w:cs="Arial"/>
          <w:sz w:val="22"/>
          <w:szCs w:val="22"/>
        </w:rPr>
      </w:pPr>
      <w:r w:rsidRPr="007F4A23">
        <w:rPr>
          <w:rFonts w:ascii="Arial" w:hAnsi="Arial" w:cs="Arial"/>
          <w:sz w:val="22"/>
          <w:szCs w:val="22"/>
        </w:rPr>
        <w:t xml:space="preserve">Beneficios </w:t>
      </w:r>
      <w:r w:rsidR="00961877" w:rsidRPr="007F4A23">
        <w:rPr>
          <w:rFonts w:ascii="Arial" w:hAnsi="Arial" w:cs="Arial"/>
          <w:sz w:val="22"/>
          <w:szCs w:val="22"/>
        </w:rPr>
        <w:t xml:space="preserve">Económicos </w:t>
      </w:r>
      <w:r w:rsidRPr="007F4A23">
        <w:rPr>
          <w:rFonts w:ascii="Arial" w:hAnsi="Arial" w:cs="Arial"/>
          <w:sz w:val="22"/>
          <w:szCs w:val="22"/>
        </w:rPr>
        <w:t>Directos</w:t>
      </w:r>
    </w:p>
    <w:p w14:paraId="5184FF2E" w14:textId="77777777" w:rsidR="00F70BC2" w:rsidRPr="007F4A23" w:rsidRDefault="00F70BC2" w:rsidP="003A542A">
      <w:pPr>
        <w:numPr>
          <w:ilvl w:val="0"/>
          <w:numId w:val="22"/>
        </w:numPr>
        <w:rPr>
          <w:rFonts w:ascii="Arial" w:hAnsi="Arial" w:cs="Arial"/>
          <w:sz w:val="22"/>
          <w:szCs w:val="22"/>
        </w:rPr>
      </w:pPr>
      <w:r w:rsidRPr="007F4A23">
        <w:rPr>
          <w:rFonts w:ascii="Arial" w:hAnsi="Arial" w:cs="Arial"/>
          <w:sz w:val="22"/>
          <w:szCs w:val="22"/>
        </w:rPr>
        <w:t>Antecedentes</w:t>
      </w:r>
    </w:p>
    <w:p w14:paraId="5184FF2F" w14:textId="77777777" w:rsidR="00CF4C70" w:rsidRPr="007F4A23" w:rsidRDefault="00CF4C70" w:rsidP="00892C7B">
      <w:pPr>
        <w:rPr>
          <w:rFonts w:ascii="Arial" w:hAnsi="Arial" w:cs="Arial"/>
          <w:sz w:val="22"/>
          <w:szCs w:val="22"/>
        </w:rPr>
      </w:pPr>
      <w:r w:rsidRPr="007F4A23">
        <w:rPr>
          <w:rFonts w:ascii="Arial" w:hAnsi="Arial" w:cs="Arial"/>
          <w:sz w:val="22"/>
          <w:szCs w:val="22"/>
        </w:rPr>
        <w:t>Dadas las características específicas del Programa no existe abundante evidencia que permita estimar el efecto de las acciones consideradas por el Programa, de tal manera que dicha evidencia debe encontrarse en investigaciones efectuadas fundamentalmente sobre objetos de estudio de naturaleza comparable</w:t>
      </w:r>
      <w:r w:rsidR="000C2733" w:rsidRPr="007F4A23">
        <w:rPr>
          <w:rFonts w:ascii="Arial" w:hAnsi="Arial" w:cs="Arial"/>
          <w:sz w:val="22"/>
          <w:szCs w:val="22"/>
        </w:rPr>
        <w:t>,</w:t>
      </w:r>
      <w:r w:rsidRPr="007F4A23">
        <w:rPr>
          <w:rFonts w:ascii="Arial" w:hAnsi="Arial" w:cs="Arial"/>
          <w:sz w:val="22"/>
          <w:szCs w:val="22"/>
        </w:rPr>
        <w:t xml:space="preserve"> tales como el efecto de la calidad </w:t>
      </w:r>
      <w:r w:rsidRPr="007F4A23">
        <w:rPr>
          <w:rFonts w:ascii="Arial" w:hAnsi="Arial" w:cs="Arial"/>
          <w:sz w:val="22"/>
          <w:szCs w:val="22"/>
        </w:rPr>
        <w:lastRenderedPageBreak/>
        <w:t>de la administración territorial (liderazgo de la autoridad distrital) y la investigación en aquellas prácticas específicas que se ha determinado tienen un efecto significativo en el desempeño de los estudiantes.</w:t>
      </w:r>
    </w:p>
    <w:p w14:paraId="5184FF30" w14:textId="603D40B0" w:rsidR="00CF4C70" w:rsidRPr="007F4A23" w:rsidRDefault="00D76E17" w:rsidP="00892C7B">
      <w:pPr>
        <w:rPr>
          <w:rFonts w:ascii="Arial" w:hAnsi="Arial" w:cs="Arial"/>
          <w:sz w:val="22"/>
          <w:szCs w:val="22"/>
        </w:rPr>
      </w:pPr>
      <w:r w:rsidRPr="007F4A23">
        <w:rPr>
          <w:rFonts w:ascii="Arial" w:hAnsi="Arial" w:cs="Arial"/>
          <w:sz w:val="22"/>
          <w:szCs w:val="22"/>
        </w:rPr>
        <w:t xml:space="preserve">Respecto al primer conjunto de evidencias son relevantes los hallazgos de </w:t>
      </w:r>
      <w:bookmarkStart w:id="0" w:name="_Hlk19096739"/>
      <w:r w:rsidRPr="007F4A23">
        <w:rPr>
          <w:rFonts w:ascii="Arial" w:hAnsi="Arial" w:cs="Arial"/>
          <w:sz w:val="22"/>
          <w:szCs w:val="22"/>
        </w:rPr>
        <w:fldChar w:fldCharType="begin" w:fldLock="1"/>
      </w:r>
      <w:r w:rsidRPr="007F4A23">
        <w:rPr>
          <w:rFonts w:ascii="Arial" w:hAnsi="Arial" w:cs="Arial"/>
          <w:sz w:val="22"/>
          <w:szCs w:val="22"/>
        </w:rPr>
        <w:instrText>ADDIN CSL_CITATION { "citationItems" : [ { "id" : "ITEM-1", "itemData" : { "author" : [ { "dropping-particle" : "", "family" : "Whitehurst", "given" : "Grover J Russ", "non-dropping-particle" : "", "parse-names" : false, "suffix" : "" }, { "dropping-particle" : "", "family" : "Chingos", "given" : "Matthew M", "non-dropping-particle" : "", "parse-names" : false, "suffix" : "" }, { "dropping-particle" : "", "family" : "Gallaher", "given" : "Michael R", "non-dropping-particle" : "", "parse-names" : false, "suffix" : "" } ], "id" : "ITEM-1", "issue" : "March", "issued" : { "date-parts" : [ [ "2013" ] ] }, "title" : "Do School District Matter?", "type" : "article-journal" }, "uris" : [ "http://www.mendeley.com/documents/?uuid=848a77a7-c758-4c1d-a94b-cb75a14312de" ] } ], "mendeley" : { "formattedCitation" : "(Whitehurst et al. 2013)", "manualFormatting" : "Whitehurst et al. (2013)", "plainTextFormattedCitation" : "(Whitehurst et al. 2013)", "previouslyFormattedCitation" : "(Whitehurst et al. 2013)" }, "properties" : { "noteIndex" : 0 }, "schema" : "https://github.com/citation-style-language/schema/raw/master/csl-citation.json" }</w:instrText>
      </w:r>
      <w:r w:rsidRPr="007F4A23">
        <w:rPr>
          <w:rFonts w:ascii="Arial" w:hAnsi="Arial" w:cs="Arial"/>
          <w:sz w:val="22"/>
          <w:szCs w:val="22"/>
        </w:rPr>
        <w:fldChar w:fldCharType="separate"/>
      </w:r>
      <w:r w:rsidRPr="007F4A23">
        <w:rPr>
          <w:rFonts w:ascii="Arial" w:hAnsi="Arial" w:cs="Arial"/>
          <w:noProof/>
          <w:sz w:val="22"/>
          <w:szCs w:val="22"/>
        </w:rPr>
        <w:t>Whitehurst et al. (2013)</w:t>
      </w:r>
      <w:r w:rsidRPr="007F4A23">
        <w:rPr>
          <w:rFonts w:ascii="Arial" w:hAnsi="Arial" w:cs="Arial"/>
          <w:sz w:val="22"/>
          <w:szCs w:val="22"/>
        </w:rPr>
        <w:fldChar w:fldCharType="end"/>
      </w:r>
      <w:r w:rsidRPr="007F4A23">
        <w:rPr>
          <w:rFonts w:ascii="Arial" w:hAnsi="Arial" w:cs="Arial"/>
          <w:sz w:val="22"/>
          <w:szCs w:val="22"/>
        </w:rPr>
        <w:t>,</w:t>
      </w:r>
      <w:bookmarkEnd w:id="0"/>
      <w:r w:rsidRPr="007F4A23">
        <w:rPr>
          <w:rFonts w:ascii="Arial" w:hAnsi="Arial" w:cs="Arial"/>
          <w:sz w:val="22"/>
          <w:szCs w:val="22"/>
        </w:rPr>
        <w:t xml:space="preserve"> quienes desarrollan su investigación en Estados Unidos utilizando evidencia administrativa de Florida y Carolina del Norte</w:t>
      </w:r>
      <w:r w:rsidR="00704775">
        <w:rPr>
          <w:rFonts w:ascii="Arial" w:hAnsi="Arial" w:cs="Arial"/>
          <w:sz w:val="22"/>
          <w:szCs w:val="22"/>
        </w:rPr>
        <w:t>,</w:t>
      </w:r>
      <w:r w:rsidRPr="007F4A23">
        <w:rPr>
          <w:rFonts w:ascii="Arial" w:hAnsi="Arial" w:cs="Arial"/>
          <w:sz w:val="22"/>
          <w:szCs w:val="22"/>
        </w:rPr>
        <w:t xml:space="preserve"> intentan</w:t>
      </w:r>
      <w:r w:rsidR="001D7FEA" w:rsidRPr="007F4A23">
        <w:rPr>
          <w:rFonts w:ascii="Arial" w:hAnsi="Arial" w:cs="Arial"/>
          <w:sz w:val="22"/>
          <w:szCs w:val="22"/>
        </w:rPr>
        <w:t>do</w:t>
      </w:r>
      <w:r w:rsidRPr="007F4A23">
        <w:rPr>
          <w:rFonts w:ascii="Arial" w:hAnsi="Arial" w:cs="Arial"/>
          <w:sz w:val="22"/>
          <w:szCs w:val="22"/>
        </w:rPr>
        <w:t xml:space="preserve"> cuantificar la influencia de las características de los Distritos Educativos en el desempeño de los alumnos de los colegios dependientes de dichas divisiones a</w:t>
      </w:r>
      <w:r w:rsidR="001D7FEA" w:rsidRPr="007F4A23">
        <w:rPr>
          <w:rFonts w:ascii="Arial" w:hAnsi="Arial" w:cs="Arial"/>
          <w:sz w:val="22"/>
          <w:szCs w:val="22"/>
        </w:rPr>
        <w:t xml:space="preserve">dministrativas, controlando por </w:t>
      </w:r>
      <w:r w:rsidR="006965E3" w:rsidRPr="007F4A23">
        <w:rPr>
          <w:rFonts w:ascii="Arial" w:hAnsi="Arial" w:cs="Arial"/>
          <w:sz w:val="22"/>
          <w:szCs w:val="22"/>
        </w:rPr>
        <w:t>los atributos de los colegios, profesores y diferencias entre los estudiantes</w:t>
      </w:r>
      <w:r w:rsidR="00344E97" w:rsidRPr="007F4A23">
        <w:rPr>
          <w:rFonts w:ascii="Arial" w:hAnsi="Arial" w:cs="Arial"/>
          <w:sz w:val="22"/>
          <w:szCs w:val="22"/>
        </w:rPr>
        <w:t>. Si bien es cierto</w:t>
      </w:r>
      <w:r w:rsidR="005C1010">
        <w:rPr>
          <w:rFonts w:ascii="Arial" w:hAnsi="Arial" w:cs="Arial"/>
          <w:sz w:val="22"/>
          <w:szCs w:val="22"/>
        </w:rPr>
        <w:t xml:space="preserve"> que</w:t>
      </w:r>
      <w:r w:rsidR="00344E97" w:rsidRPr="007F4A23">
        <w:rPr>
          <w:rFonts w:ascii="Arial" w:hAnsi="Arial" w:cs="Arial"/>
          <w:sz w:val="22"/>
          <w:szCs w:val="22"/>
        </w:rPr>
        <w:t xml:space="preserve"> los autores destacan el hecho de que los atributos de los distritos logran explicar sólo una pequeña proporción del desempeño de sus estudiantes (menos del 5%)</w:t>
      </w:r>
      <w:r w:rsidR="00201225" w:rsidRPr="007F4A23">
        <w:rPr>
          <w:rFonts w:ascii="Arial" w:hAnsi="Arial" w:cs="Arial"/>
          <w:sz w:val="22"/>
          <w:szCs w:val="22"/>
        </w:rPr>
        <w:t>, siendo la mayor parte de los desempeños explicada por variables sociodemográficas de los individuos</w:t>
      </w:r>
      <w:r w:rsidR="005C1010">
        <w:rPr>
          <w:rFonts w:ascii="Arial" w:hAnsi="Arial" w:cs="Arial"/>
          <w:sz w:val="22"/>
          <w:szCs w:val="22"/>
        </w:rPr>
        <w:t xml:space="preserve">, </w:t>
      </w:r>
      <w:r w:rsidR="00344E97" w:rsidRPr="007F4A23">
        <w:rPr>
          <w:rFonts w:ascii="Arial" w:hAnsi="Arial" w:cs="Arial"/>
          <w:sz w:val="22"/>
          <w:szCs w:val="22"/>
        </w:rPr>
        <w:t>al analizar en mayor detalle l</w:t>
      </w:r>
      <w:r w:rsidR="00201225" w:rsidRPr="007F4A23">
        <w:rPr>
          <w:rFonts w:ascii="Arial" w:hAnsi="Arial" w:cs="Arial"/>
          <w:sz w:val="22"/>
          <w:szCs w:val="22"/>
        </w:rPr>
        <w:t>as estimaciones, al comparar los distritos con mejor y peor desempeño</w:t>
      </w:r>
      <w:r w:rsidR="00F7296E" w:rsidRPr="007F4A23">
        <w:rPr>
          <w:rFonts w:ascii="Arial" w:hAnsi="Arial" w:cs="Arial"/>
          <w:sz w:val="22"/>
          <w:szCs w:val="22"/>
        </w:rPr>
        <w:t>,</w:t>
      </w:r>
      <w:r w:rsidR="00201225" w:rsidRPr="007F4A23">
        <w:rPr>
          <w:rFonts w:ascii="Arial" w:hAnsi="Arial" w:cs="Arial"/>
          <w:sz w:val="22"/>
          <w:szCs w:val="22"/>
        </w:rPr>
        <w:t xml:space="preserve"> las diferencias observadas van más allá de lo que </w:t>
      </w:r>
      <w:r w:rsidR="00174420" w:rsidRPr="007F4A23">
        <w:rPr>
          <w:rFonts w:ascii="Arial" w:hAnsi="Arial" w:cs="Arial"/>
          <w:sz w:val="22"/>
          <w:szCs w:val="22"/>
        </w:rPr>
        <w:t xml:space="preserve">se </w:t>
      </w:r>
      <w:r w:rsidR="00201225" w:rsidRPr="007F4A23">
        <w:rPr>
          <w:rFonts w:ascii="Arial" w:hAnsi="Arial" w:cs="Arial"/>
          <w:sz w:val="22"/>
          <w:szCs w:val="22"/>
        </w:rPr>
        <w:t xml:space="preserve">esperaría </w:t>
      </w:r>
      <w:r w:rsidR="00A92A0D">
        <w:rPr>
          <w:rFonts w:ascii="Arial" w:hAnsi="Arial" w:cs="Arial"/>
          <w:sz w:val="22"/>
          <w:szCs w:val="22"/>
        </w:rPr>
        <w:t xml:space="preserve">en base a </w:t>
      </w:r>
      <w:r w:rsidR="00201225" w:rsidRPr="007F4A23">
        <w:rPr>
          <w:rFonts w:ascii="Arial" w:hAnsi="Arial" w:cs="Arial"/>
          <w:sz w:val="22"/>
          <w:szCs w:val="22"/>
        </w:rPr>
        <w:t>las diferencias observadas en sus estudiantes.</w:t>
      </w:r>
      <w:r w:rsidR="00174420" w:rsidRPr="007F4A23">
        <w:rPr>
          <w:rFonts w:ascii="Arial" w:hAnsi="Arial" w:cs="Arial"/>
          <w:sz w:val="22"/>
          <w:szCs w:val="22"/>
        </w:rPr>
        <w:t xml:space="preserve"> Cuantificadas como desviaciones estándar del indicador de desempeño escolar</w:t>
      </w:r>
      <w:r w:rsidR="002C7D22">
        <w:rPr>
          <w:rFonts w:ascii="Arial" w:hAnsi="Arial" w:cs="Arial"/>
          <w:sz w:val="22"/>
          <w:szCs w:val="22"/>
        </w:rPr>
        <w:t>,</w:t>
      </w:r>
      <w:r w:rsidR="00174420" w:rsidRPr="007F4A23">
        <w:rPr>
          <w:rFonts w:ascii="Arial" w:hAnsi="Arial" w:cs="Arial"/>
          <w:sz w:val="22"/>
          <w:szCs w:val="22"/>
        </w:rPr>
        <w:t xml:space="preserve"> se observa que en Carolina del Norte la diferencia en desempeño entre los peores y mejores se eleva a 0,42 desviaciones estándar. Considerando el logro promedio de un año de educación en el resultado en test de matemáticas (entre 4° y 5°</w:t>
      </w:r>
      <w:r w:rsidR="001F10C8" w:rsidRPr="007F4A23">
        <w:rPr>
          <w:rFonts w:ascii="Arial" w:hAnsi="Arial" w:cs="Arial"/>
          <w:sz w:val="22"/>
          <w:szCs w:val="22"/>
        </w:rPr>
        <w:t xml:space="preserve"> grado</w:t>
      </w:r>
      <w:r w:rsidR="00174420" w:rsidRPr="007F4A23">
        <w:rPr>
          <w:rFonts w:ascii="Arial" w:hAnsi="Arial" w:cs="Arial"/>
          <w:sz w:val="22"/>
          <w:szCs w:val="22"/>
        </w:rPr>
        <w:t>)</w:t>
      </w:r>
      <w:r w:rsidR="002C7D22">
        <w:rPr>
          <w:rFonts w:ascii="Arial" w:hAnsi="Arial" w:cs="Arial"/>
          <w:sz w:val="22"/>
          <w:szCs w:val="22"/>
        </w:rPr>
        <w:t>,</w:t>
      </w:r>
      <w:r w:rsidR="00174420" w:rsidRPr="007F4A23">
        <w:rPr>
          <w:rFonts w:ascii="Arial" w:hAnsi="Arial" w:cs="Arial"/>
          <w:sz w:val="22"/>
          <w:szCs w:val="22"/>
        </w:rPr>
        <w:t xml:space="preserve"> se puede interpretar la distancia en el desempeño en</w:t>
      </w:r>
      <w:r w:rsidR="001F10C8" w:rsidRPr="007F4A23">
        <w:rPr>
          <w:rFonts w:ascii="Arial" w:hAnsi="Arial" w:cs="Arial"/>
          <w:sz w:val="22"/>
          <w:szCs w:val="22"/>
        </w:rPr>
        <w:t>tre</w:t>
      </w:r>
      <w:r w:rsidR="00174420" w:rsidRPr="007F4A23">
        <w:rPr>
          <w:rFonts w:ascii="Arial" w:hAnsi="Arial" w:cs="Arial"/>
          <w:sz w:val="22"/>
          <w:szCs w:val="22"/>
        </w:rPr>
        <w:t xml:space="preserve"> los mejores y peores distritos como equivalente al logro obtenido en el 80% de un año promedio de formación en dicha materia.</w:t>
      </w:r>
      <w:r w:rsidR="005A4393" w:rsidRPr="007F4A23">
        <w:rPr>
          <w:rFonts w:ascii="Arial" w:hAnsi="Arial" w:cs="Arial"/>
          <w:sz w:val="22"/>
          <w:szCs w:val="22"/>
        </w:rPr>
        <w:t xml:space="preserve"> En esta misma investigación los autores encuentran evidencia contundente del rol del liderazgo de los directores de los colegios en el desempeño de sus alumnos. Este tipo de evidencia también ha sido constatada por otros autores </w:t>
      </w:r>
      <w:bookmarkStart w:id="1" w:name="_Hlk19096729"/>
      <w:r w:rsidR="002C7D22">
        <w:rPr>
          <w:rFonts w:ascii="Arial" w:hAnsi="Arial" w:cs="Arial"/>
          <w:sz w:val="22"/>
          <w:szCs w:val="22"/>
        </w:rPr>
        <w:t xml:space="preserve">como </w:t>
      </w:r>
      <w:r w:rsidR="005A4393" w:rsidRPr="007F4A23">
        <w:rPr>
          <w:rFonts w:ascii="Arial" w:hAnsi="Arial" w:cs="Arial"/>
          <w:sz w:val="22"/>
          <w:szCs w:val="22"/>
        </w:rPr>
        <w:fldChar w:fldCharType="begin" w:fldLock="1"/>
      </w:r>
      <w:r w:rsidR="005A4393" w:rsidRPr="007F4A23">
        <w:rPr>
          <w:rFonts w:ascii="Arial" w:hAnsi="Arial" w:cs="Arial"/>
          <w:sz w:val="22"/>
          <w:szCs w:val="22"/>
        </w:rPr>
        <w:instrText>ADDIN CSL_CITATION { "citationItems" : [ { "id" : "ITEM-1", "itemData" : { "abstract" : "This report summarizes main results from a national study of how leaders in urban school district central offices fundamentally transformed their work and relation- ships with schools to support districtwide teaching and learning improvement. All three study districts had been posting gains in student achievement and credited their progress, in part, to efforts to radically change their work at the central office level. We aimed to understand more specifically what these central offices were doing. The study breaks new ground in educational research by uncovering the daily work practices and activities of central office administrators as they sought not just to make the central office more efficient but also to transform the central office into a support system to help all schools improve the quality of teaching and learning. Our findings reveal that leaders in these systems, first and foremost, understood what decades of experience and research have shown: that districts generally do not see districtwide improvements in teaching and learning without substantial engagement by their central offices in helping all schools build their capacity for improvement. Central offices and the people who work in them are not simply part of the background noise in school improvement. Rather, school district central office administrators exercise essential leadership, in partnership with school leaders, to build capacity throughout public educational systems for teaching and learning improvements. The districts in this study were attempting to heed those lessons by engaging in an approach to central office change we call \u201ccentral office transformation.\u201d Central office transformation is a far cry from central-office-administration-as-usual. This approach to reform", "author" : [ { "dropping-particle" : "", "family" : "Honig", "given" : "Meredith I", "non-dropping-particle" : "", "parse-names" : false, "suffix" : "" }, { "dropping-particle" : "", "family" : "Copland", "given" : "Michael a", "non-dropping-particle" : "", "parse-names" : false, "suffix" : "" }, { "dropping-particle" : "", "family" : "Newton", "given" : "Morena", "non-dropping-particle" : "", "parse-names" : false, "suffix" : "" }, { "dropping-particle" : "", "family" : "Matson", "given" : "Elizabeth", "non-dropping-particle" : "", "parse-names" : false, "suffix" : "" }, { "dropping-particle" : "", "family" : "Rogers", "given" : "Bethany", "non-dropping-particle" : "", "parse-names" : false, "suffix" : "" } ], "id" : "ITEM-1", "issue" : "April", "issued" : { "date-parts" : [ [ "2010" ] ] }, "title" : "Central Office Transformation for District-wide Teaching and Learning Improvement \u2013 Executive Summary The Study of Leadership for Learning Improvement", "type" : "article-journal" }, "uris" : [ "http://www.mendeley.com/documents/?uuid=6e0f3747-e621-4128-a3d3-3a4178673ab2" ] } ], "mendeley" : { "formattedCitation" : "(Honig et al. 2010)", "plainTextFormattedCitation" : "(Honig et al. 2010)", "previouslyFormattedCitation" : "(Honig et al. 2010)" }, "properties" : { "noteIndex" : 0 }, "schema" : "https://github.com/citation-style-language/schema/raw/master/csl-citation.json" }</w:instrText>
      </w:r>
      <w:r w:rsidR="005A4393" w:rsidRPr="007F4A23">
        <w:rPr>
          <w:rFonts w:ascii="Arial" w:hAnsi="Arial" w:cs="Arial"/>
          <w:sz w:val="22"/>
          <w:szCs w:val="22"/>
        </w:rPr>
        <w:fldChar w:fldCharType="separate"/>
      </w:r>
      <w:r w:rsidR="005A4393" w:rsidRPr="007F4A23">
        <w:rPr>
          <w:rFonts w:ascii="Arial" w:hAnsi="Arial" w:cs="Arial"/>
          <w:noProof/>
          <w:sz w:val="22"/>
          <w:szCs w:val="22"/>
        </w:rPr>
        <w:t xml:space="preserve">Honig et al. </w:t>
      </w:r>
      <w:r w:rsidR="002C7D22">
        <w:rPr>
          <w:rFonts w:ascii="Arial" w:hAnsi="Arial" w:cs="Arial"/>
          <w:noProof/>
          <w:sz w:val="22"/>
          <w:szCs w:val="22"/>
        </w:rPr>
        <w:t>(</w:t>
      </w:r>
      <w:r w:rsidR="005A4393" w:rsidRPr="007F4A23">
        <w:rPr>
          <w:rFonts w:ascii="Arial" w:hAnsi="Arial" w:cs="Arial"/>
          <w:noProof/>
          <w:sz w:val="22"/>
          <w:szCs w:val="22"/>
        </w:rPr>
        <w:t>2010)</w:t>
      </w:r>
      <w:r w:rsidR="005A4393" w:rsidRPr="007F4A23">
        <w:rPr>
          <w:rFonts w:ascii="Arial" w:hAnsi="Arial" w:cs="Arial"/>
          <w:sz w:val="22"/>
          <w:szCs w:val="22"/>
        </w:rPr>
        <w:fldChar w:fldCharType="end"/>
      </w:r>
      <w:bookmarkEnd w:id="1"/>
      <w:r w:rsidR="00D16935">
        <w:rPr>
          <w:rFonts w:ascii="Arial" w:hAnsi="Arial" w:cs="Arial"/>
          <w:sz w:val="22"/>
          <w:szCs w:val="22"/>
        </w:rPr>
        <w:t>.</w:t>
      </w:r>
    </w:p>
    <w:p w14:paraId="5184FF31" w14:textId="3850DCBC" w:rsidR="00892C7B" w:rsidRDefault="005A4393" w:rsidP="00D76E17">
      <w:pPr>
        <w:rPr>
          <w:rFonts w:ascii="Arial" w:hAnsi="Arial" w:cs="Arial"/>
          <w:sz w:val="22"/>
          <w:szCs w:val="22"/>
        </w:rPr>
      </w:pPr>
      <w:r w:rsidRPr="007F4A23">
        <w:rPr>
          <w:rFonts w:ascii="Arial" w:hAnsi="Arial" w:cs="Arial"/>
          <w:sz w:val="22"/>
          <w:szCs w:val="22"/>
        </w:rPr>
        <w:t>Considerando que la evidencia mencionada no resulta del todo adecuada para la constatación de efectos del Programa, p</w:t>
      </w:r>
      <w:r w:rsidR="00892C7B" w:rsidRPr="007F4A23">
        <w:rPr>
          <w:rFonts w:ascii="Arial" w:hAnsi="Arial" w:cs="Arial"/>
          <w:sz w:val="22"/>
          <w:szCs w:val="22"/>
        </w:rPr>
        <w:t xml:space="preserve">ara </w:t>
      </w:r>
      <w:r w:rsidRPr="007F4A23">
        <w:rPr>
          <w:rFonts w:ascii="Arial" w:hAnsi="Arial" w:cs="Arial"/>
          <w:sz w:val="22"/>
          <w:szCs w:val="22"/>
        </w:rPr>
        <w:t>indagar</w:t>
      </w:r>
      <w:r w:rsidR="00892C7B" w:rsidRPr="007F4A23">
        <w:rPr>
          <w:rFonts w:ascii="Arial" w:hAnsi="Arial" w:cs="Arial"/>
          <w:sz w:val="22"/>
          <w:szCs w:val="22"/>
        </w:rPr>
        <w:t xml:space="preserve"> los eventuales beneficios directos que se producirían </w:t>
      </w:r>
      <w:r w:rsidR="00D80CAE">
        <w:rPr>
          <w:rFonts w:ascii="Arial" w:hAnsi="Arial" w:cs="Arial"/>
          <w:sz w:val="22"/>
          <w:szCs w:val="22"/>
        </w:rPr>
        <w:t>debido a</w:t>
      </w:r>
      <w:r w:rsidR="00892C7B" w:rsidRPr="007F4A23">
        <w:rPr>
          <w:rFonts w:ascii="Arial" w:hAnsi="Arial" w:cs="Arial"/>
          <w:sz w:val="22"/>
          <w:szCs w:val="22"/>
        </w:rPr>
        <w:t xml:space="preserve"> la implementación del Programa</w:t>
      </w:r>
      <w:r w:rsidR="003D2154">
        <w:rPr>
          <w:rFonts w:ascii="Arial" w:hAnsi="Arial" w:cs="Arial"/>
          <w:sz w:val="22"/>
          <w:szCs w:val="22"/>
        </w:rPr>
        <w:t>,</w:t>
      </w:r>
      <w:r w:rsidR="00892C7B" w:rsidRPr="007F4A23">
        <w:rPr>
          <w:rFonts w:ascii="Arial" w:hAnsi="Arial" w:cs="Arial"/>
          <w:sz w:val="22"/>
          <w:szCs w:val="22"/>
        </w:rPr>
        <w:t xml:space="preserve"> resulta pertinente </w:t>
      </w:r>
      <w:r w:rsidR="00CF4C70" w:rsidRPr="007F4A23">
        <w:rPr>
          <w:rFonts w:ascii="Arial" w:hAnsi="Arial" w:cs="Arial"/>
          <w:sz w:val="22"/>
          <w:szCs w:val="22"/>
        </w:rPr>
        <w:t>efectuar</w:t>
      </w:r>
      <w:r w:rsidR="00892C7B" w:rsidRPr="007F4A23">
        <w:rPr>
          <w:rFonts w:ascii="Arial" w:hAnsi="Arial" w:cs="Arial"/>
          <w:sz w:val="22"/>
          <w:szCs w:val="22"/>
        </w:rPr>
        <w:t xml:space="preserve"> </w:t>
      </w:r>
      <w:r w:rsidR="00582836" w:rsidRPr="007F4A23">
        <w:rPr>
          <w:rFonts w:ascii="Arial" w:hAnsi="Arial" w:cs="Arial"/>
          <w:sz w:val="22"/>
          <w:szCs w:val="22"/>
        </w:rPr>
        <w:t>el contraste</w:t>
      </w:r>
      <w:r w:rsidR="00892C7B" w:rsidRPr="007F4A23">
        <w:rPr>
          <w:rFonts w:ascii="Arial" w:hAnsi="Arial" w:cs="Arial"/>
          <w:sz w:val="22"/>
          <w:szCs w:val="22"/>
        </w:rPr>
        <w:t xml:space="preserve"> en el desempeño en diversas variables </w:t>
      </w:r>
      <w:r w:rsidR="00CF4C70" w:rsidRPr="007F4A23">
        <w:rPr>
          <w:rFonts w:ascii="Arial" w:hAnsi="Arial" w:cs="Arial"/>
          <w:sz w:val="22"/>
          <w:szCs w:val="22"/>
        </w:rPr>
        <w:t>entre los establecimientos que funcionan bajo la reglamentación y lógica de la administración municipal</w:t>
      </w:r>
      <w:r w:rsidR="00D76E17" w:rsidRPr="007F4A23">
        <w:rPr>
          <w:rFonts w:ascii="Arial" w:hAnsi="Arial" w:cs="Arial"/>
          <w:sz w:val="22"/>
          <w:szCs w:val="22"/>
        </w:rPr>
        <w:t xml:space="preserve"> y otros que funcionan de manera distinta tales como los</w:t>
      </w:r>
      <w:r w:rsidR="00582836" w:rsidRPr="007F4A23">
        <w:rPr>
          <w:rFonts w:ascii="Arial" w:hAnsi="Arial" w:cs="Arial"/>
          <w:sz w:val="22"/>
          <w:szCs w:val="22"/>
        </w:rPr>
        <w:t xml:space="preserve"> </w:t>
      </w:r>
      <w:r w:rsidR="00892C7B" w:rsidRPr="007F4A23">
        <w:rPr>
          <w:rFonts w:ascii="Arial" w:hAnsi="Arial" w:cs="Arial"/>
          <w:sz w:val="22"/>
          <w:szCs w:val="22"/>
        </w:rPr>
        <w:t xml:space="preserve">establecimientos </w:t>
      </w:r>
      <w:r w:rsidR="00582836" w:rsidRPr="007F4A23">
        <w:rPr>
          <w:rFonts w:ascii="Arial" w:hAnsi="Arial" w:cs="Arial"/>
          <w:sz w:val="22"/>
          <w:szCs w:val="22"/>
        </w:rPr>
        <w:t xml:space="preserve">del sector particular subvencionado. En primer </w:t>
      </w:r>
      <w:r w:rsidR="006C135F" w:rsidRPr="007F4A23">
        <w:rPr>
          <w:rFonts w:ascii="Arial" w:hAnsi="Arial" w:cs="Arial"/>
          <w:sz w:val="22"/>
          <w:szCs w:val="22"/>
        </w:rPr>
        <w:t>lugar,</w:t>
      </w:r>
      <w:r w:rsidR="00582836" w:rsidRPr="007F4A23">
        <w:rPr>
          <w:rFonts w:ascii="Arial" w:hAnsi="Arial" w:cs="Arial"/>
          <w:sz w:val="22"/>
          <w:szCs w:val="22"/>
        </w:rPr>
        <w:t xml:space="preserve"> se analiza el desempeño de estos </w:t>
      </w:r>
      <w:r w:rsidR="00881DE1">
        <w:rPr>
          <w:rFonts w:ascii="Arial" w:hAnsi="Arial" w:cs="Arial"/>
          <w:sz w:val="22"/>
          <w:szCs w:val="22"/>
        </w:rPr>
        <w:t>dos</w:t>
      </w:r>
      <w:r w:rsidR="00881DE1" w:rsidRPr="007F4A23">
        <w:rPr>
          <w:rFonts w:ascii="Arial" w:hAnsi="Arial" w:cs="Arial"/>
          <w:sz w:val="22"/>
          <w:szCs w:val="22"/>
        </w:rPr>
        <w:t xml:space="preserve"> </w:t>
      </w:r>
      <w:r w:rsidR="00582836" w:rsidRPr="007F4A23">
        <w:rPr>
          <w:rFonts w:ascii="Arial" w:hAnsi="Arial" w:cs="Arial"/>
          <w:sz w:val="22"/>
          <w:szCs w:val="22"/>
        </w:rPr>
        <w:t>tipos de establecimientos desde el punto de vista de su desempeño en las pruebas SIMCE de matemáticas y lenguaje</w:t>
      </w:r>
      <w:r w:rsidR="007B0BC9" w:rsidRPr="007F4A23">
        <w:rPr>
          <w:rFonts w:ascii="Arial" w:hAnsi="Arial" w:cs="Arial"/>
          <w:sz w:val="22"/>
          <w:szCs w:val="22"/>
        </w:rPr>
        <w:t>:</w:t>
      </w:r>
    </w:p>
    <w:p w14:paraId="65BC437C" w14:textId="77777777" w:rsidR="00BC2217" w:rsidRDefault="00BC2217" w:rsidP="00D16935">
      <w:pPr>
        <w:pStyle w:val="Caption"/>
        <w:keepNext/>
        <w:jc w:val="left"/>
        <w:rPr>
          <w:rFonts w:ascii="Arial" w:hAnsi="Arial" w:cs="Arial"/>
          <w:sz w:val="18"/>
          <w:szCs w:val="18"/>
        </w:rPr>
      </w:pPr>
    </w:p>
    <w:p w14:paraId="5184FF32" w14:textId="7D34981B" w:rsidR="00582836" w:rsidRPr="00343AC7" w:rsidRDefault="00582836" w:rsidP="00D16935">
      <w:pPr>
        <w:pStyle w:val="Caption"/>
        <w:keepNext/>
        <w:jc w:val="left"/>
        <w:rPr>
          <w:rFonts w:ascii="Arial" w:hAnsi="Arial" w:cs="Arial"/>
          <w:sz w:val="18"/>
          <w:szCs w:val="18"/>
        </w:rPr>
      </w:pPr>
      <w:r w:rsidRPr="00343AC7">
        <w:rPr>
          <w:rFonts w:ascii="Arial" w:hAnsi="Arial" w:cs="Arial"/>
          <w:sz w:val="18"/>
          <w:szCs w:val="18"/>
        </w:rPr>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010C24">
        <w:rPr>
          <w:rFonts w:ascii="Arial" w:hAnsi="Arial" w:cs="Arial"/>
          <w:noProof/>
          <w:sz w:val="18"/>
          <w:szCs w:val="18"/>
        </w:rPr>
        <w:t>1</w:t>
      </w:r>
      <w:r w:rsidRPr="00343AC7">
        <w:rPr>
          <w:rFonts w:ascii="Arial" w:hAnsi="Arial" w:cs="Arial"/>
          <w:sz w:val="18"/>
          <w:szCs w:val="18"/>
        </w:rPr>
        <w:fldChar w:fldCharType="end"/>
      </w:r>
      <w:r w:rsidRPr="00343AC7">
        <w:rPr>
          <w:rFonts w:ascii="Arial" w:hAnsi="Arial" w:cs="Arial"/>
          <w:sz w:val="18"/>
          <w:szCs w:val="18"/>
        </w:rPr>
        <w:t xml:space="preserve">: </w:t>
      </w:r>
      <w:r w:rsidR="00881DE1">
        <w:rPr>
          <w:rFonts w:ascii="Arial" w:hAnsi="Arial" w:cs="Arial"/>
          <w:sz w:val="18"/>
          <w:szCs w:val="18"/>
        </w:rPr>
        <w:t>Brechas en el desempeño</w:t>
      </w:r>
      <w:r w:rsidR="00881DE1" w:rsidRPr="00343AC7">
        <w:rPr>
          <w:rFonts w:ascii="Arial" w:hAnsi="Arial" w:cs="Arial"/>
          <w:sz w:val="18"/>
          <w:szCs w:val="18"/>
        </w:rPr>
        <w:t xml:space="preserve"> </w:t>
      </w:r>
      <w:r w:rsidRPr="00343AC7">
        <w:rPr>
          <w:rFonts w:ascii="Arial" w:hAnsi="Arial" w:cs="Arial"/>
          <w:sz w:val="18"/>
          <w:szCs w:val="18"/>
        </w:rPr>
        <w:t xml:space="preserve">académico </w:t>
      </w:r>
      <w:r w:rsidR="007B0BC9" w:rsidRPr="00343AC7">
        <w:rPr>
          <w:rFonts w:ascii="Arial" w:hAnsi="Arial" w:cs="Arial"/>
          <w:sz w:val="18"/>
          <w:szCs w:val="18"/>
        </w:rPr>
        <w:t xml:space="preserve">promedio </w:t>
      </w:r>
      <w:r w:rsidRPr="00343AC7">
        <w:rPr>
          <w:rFonts w:ascii="Arial" w:hAnsi="Arial" w:cs="Arial"/>
          <w:sz w:val="18"/>
          <w:szCs w:val="18"/>
        </w:rPr>
        <w:t xml:space="preserve">en SIMCE </w:t>
      </w:r>
      <w:r w:rsidR="00881DE1">
        <w:rPr>
          <w:rFonts w:ascii="Arial" w:hAnsi="Arial" w:cs="Arial"/>
          <w:sz w:val="18"/>
          <w:szCs w:val="18"/>
        </w:rPr>
        <w:t>entre</w:t>
      </w:r>
      <w:r w:rsidRPr="00343AC7">
        <w:rPr>
          <w:rFonts w:ascii="Arial" w:hAnsi="Arial" w:cs="Arial"/>
          <w:sz w:val="18"/>
          <w:szCs w:val="18"/>
        </w:rPr>
        <w:t xml:space="preserve"> establecimiento</w:t>
      </w:r>
      <w:r w:rsidR="00881DE1">
        <w:rPr>
          <w:rFonts w:ascii="Arial" w:hAnsi="Arial" w:cs="Arial"/>
          <w:sz w:val="18"/>
          <w:szCs w:val="18"/>
        </w:rPr>
        <w:t>s privados subvencionados y municipales (a favor de privados subvencionados)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1227"/>
        <w:gridCol w:w="1527"/>
      </w:tblGrid>
      <w:tr w:rsidR="00881DE1" w:rsidRPr="00343AC7" w14:paraId="5184FF37" w14:textId="77777777" w:rsidTr="00D16935">
        <w:tc>
          <w:tcPr>
            <w:tcW w:w="4506" w:type="dxa"/>
            <w:shd w:val="clear" w:color="auto" w:fill="auto"/>
          </w:tcPr>
          <w:p w14:paraId="5184FF33" w14:textId="0BFAEA3B" w:rsidR="00881DE1" w:rsidRPr="00343AC7" w:rsidRDefault="00881DE1" w:rsidP="00DC2DF0">
            <w:pPr>
              <w:rPr>
                <w:rFonts w:ascii="Arial" w:hAnsi="Arial" w:cs="Arial"/>
                <w:sz w:val="18"/>
                <w:szCs w:val="18"/>
              </w:rPr>
            </w:pPr>
          </w:p>
        </w:tc>
        <w:tc>
          <w:tcPr>
            <w:tcW w:w="1227" w:type="dxa"/>
            <w:shd w:val="clear" w:color="auto" w:fill="auto"/>
          </w:tcPr>
          <w:p w14:paraId="5184FF34" w14:textId="0FB10B59" w:rsidR="00881DE1" w:rsidRPr="00343AC7" w:rsidRDefault="00881DE1" w:rsidP="00EA548C">
            <w:pPr>
              <w:jc w:val="center"/>
              <w:rPr>
                <w:rFonts w:ascii="Arial" w:hAnsi="Arial" w:cs="Arial"/>
                <w:sz w:val="18"/>
                <w:szCs w:val="18"/>
              </w:rPr>
            </w:pPr>
            <w:r>
              <w:rPr>
                <w:rFonts w:ascii="Arial" w:hAnsi="Arial" w:cs="Arial"/>
                <w:sz w:val="18"/>
                <w:szCs w:val="18"/>
              </w:rPr>
              <w:t>4to básico</w:t>
            </w:r>
          </w:p>
        </w:tc>
        <w:tc>
          <w:tcPr>
            <w:tcW w:w="1527" w:type="dxa"/>
            <w:shd w:val="clear" w:color="auto" w:fill="auto"/>
          </w:tcPr>
          <w:p w14:paraId="5184FF35" w14:textId="160D0E95" w:rsidR="00881DE1" w:rsidRPr="00343AC7" w:rsidRDefault="00881DE1" w:rsidP="00EA548C">
            <w:pPr>
              <w:jc w:val="center"/>
              <w:rPr>
                <w:rFonts w:ascii="Arial" w:hAnsi="Arial" w:cs="Arial"/>
                <w:sz w:val="18"/>
                <w:szCs w:val="18"/>
              </w:rPr>
            </w:pPr>
            <w:r>
              <w:rPr>
                <w:rFonts w:ascii="Arial" w:hAnsi="Arial" w:cs="Arial"/>
                <w:sz w:val="18"/>
                <w:szCs w:val="18"/>
              </w:rPr>
              <w:t xml:space="preserve">II medio </w:t>
            </w:r>
          </w:p>
        </w:tc>
      </w:tr>
      <w:tr w:rsidR="00881DE1" w:rsidRPr="00343AC7" w14:paraId="5184FF3C" w14:textId="77777777" w:rsidTr="00D16935">
        <w:tc>
          <w:tcPr>
            <w:tcW w:w="4506" w:type="dxa"/>
            <w:shd w:val="clear" w:color="auto" w:fill="auto"/>
          </w:tcPr>
          <w:p w14:paraId="5184FF38" w14:textId="77777777" w:rsidR="00881DE1" w:rsidRPr="00343AC7" w:rsidRDefault="00881DE1" w:rsidP="00DC2DF0">
            <w:pPr>
              <w:rPr>
                <w:rFonts w:ascii="Arial" w:hAnsi="Arial" w:cs="Arial"/>
                <w:sz w:val="18"/>
                <w:szCs w:val="18"/>
              </w:rPr>
            </w:pPr>
            <w:r w:rsidRPr="00343AC7">
              <w:rPr>
                <w:rFonts w:ascii="Arial" w:hAnsi="Arial" w:cs="Arial"/>
                <w:sz w:val="18"/>
                <w:szCs w:val="18"/>
              </w:rPr>
              <w:t>SIMCE Lenguaje</w:t>
            </w:r>
          </w:p>
        </w:tc>
        <w:tc>
          <w:tcPr>
            <w:tcW w:w="1227" w:type="dxa"/>
            <w:shd w:val="clear" w:color="auto" w:fill="auto"/>
          </w:tcPr>
          <w:p w14:paraId="5184FF39" w14:textId="0DF514EB" w:rsidR="00881DE1" w:rsidRPr="00343AC7" w:rsidRDefault="00881DE1" w:rsidP="00EA548C">
            <w:pPr>
              <w:jc w:val="center"/>
              <w:rPr>
                <w:rFonts w:ascii="Arial" w:hAnsi="Arial" w:cs="Arial"/>
                <w:sz w:val="18"/>
                <w:szCs w:val="18"/>
              </w:rPr>
            </w:pPr>
            <w:r>
              <w:rPr>
                <w:rFonts w:ascii="Arial" w:hAnsi="Arial" w:cs="Arial"/>
                <w:sz w:val="18"/>
                <w:szCs w:val="18"/>
              </w:rPr>
              <w:t>15,6</w:t>
            </w:r>
          </w:p>
        </w:tc>
        <w:tc>
          <w:tcPr>
            <w:tcW w:w="1527" w:type="dxa"/>
            <w:shd w:val="clear" w:color="auto" w:fill="auto"/>
          </w:tcPr>
          <w:p w14:paraId="5184FF3A" w14:textId="0E3023FC" w:rsidR="00881DE1" w:rsidRPr="00343AC7" w:rsidRDefault="00881DE1" w:rsidP="00EA548C">
            <w:pPr>
              <w:jc w:val="center"/>
              <w:rPr>
                <w:rFonts w:ascii="Arial" w:hAnsi="Arial" w:cs="Arial"/>
                <w:sz w:val="18"/>
                <w:szCs w:val="18"/>
              </w:rPr>
            </w:pPr>
            <w:r>
              <w:rPr>
                <w:rFonts w:ascii="Arial" w:hAnsi="Arial" w:cs="Arial"/>
                <w:sz w:val="18"/>
                <w:szCs w:val="18"/>
              </w:rPr>
              <w:t>21,1</w:t>
            </w:r>
          </w:p>
        </w:tc>
      </w:tr>
      <w:tr w:rsidR="00881DE1" w:rsidRPr="00343AC7" w14:paraId="5184FF41" w14:textId="77777777" w:rsidTr="00D16935">
        <w:tc>
          <w:tcPr>
            <w:tcW w:w="4506" w:type="dxa"/>
            <w:shd w:val="clear" w:color="auto" w:fill="auto"/>
          </w:tcPr>
          <w:p w14:paraId="5184FF3D" w14:textId="77777777" w:rsidR="00881DE1" w:rsidRPr="00343AC7" w:rsidRDefault="00881DE1" w:rsidP="00DC2DF0">
            <w:pPr>
              <w:rPr>
                <w:rFonts w:ascii="Arial" w:hAnsi="Arial" w:cs="Arial"/>
                <w:sz w:val="18"/>
                <w:szCs w:val="18"/>
              </w:rPr>
            </w:pPr>
            <w:r w:rsidRPr="00343AC7">
              <w:rPr>
                <w:rFonts w:ascii="Arial" w:hAnsi="Arial" w:cs="Arial"/>
                <w:sz w:val="18"/>
                <w:szCs w:val="18"/>
              </w:rPr>
              <w:t>SIMCE Matemáticas</w:t>
            </w:r>
          </w:p>
        </w:tc>
        <w:tc>
          <w:tcPr>
            <w:tcW w:w="1227" w:type="dxa"/>
            <w:shd w:val="clear" w:color="auto" w:fill="auto"/>
          </w:tcPr>
          <w:p w14:paraId="5184FF3E" w14:textId="67E13F41" w:rsidR="00881DE1" w:rsidRPr="00343AC7" w:rsidRDefault="00881DE1" w:rsidP="00EA548C">
            <w:pPr>
              <w:jc w:val="center"/>
              <w:rPr>
                <w:rFonts w:ascii="Arial" w:hAnsi="Arial" w:cs="Arial"/>
                <w:sz w:val="18"/>
                <w:szCs w:val="18"/>
              </w:rPr>
            </w:pPr>
            <w:r>
              <w:rPr>
                <w:rFonts w:ascii="Arial" w:hAnsi="Arial" w:cs="Arial"/>
                <w:sz w:val="18"/>
                <w:szCs w:val="18"/>
              </w:rPr>
              <w:t>18,9</w:t>
            </w:r>
          </w:p>
        </w:tc>
        <w:tc>
          <w:tcPr>
            <w:tcW w:w="1527" w:type="dxa"/>
            <w:shd w:val="clear" w:color="auto" w:fill="auto"/>
          </w:tcPr>
          <w:p w14:paraId="5184FF3F" w14:textId="4744901B" w:rsidR="00881DE1" w:rsidRPr="00343AC7" w:rsidRDefault="00881DE1" w:rsidP="00EA548C">
            <w:pPr>
              <w:jc w:val="center"/>
              <w:rPr>
                <w:rFonts w:ascii="Arial" w:hAnsi="Arial" w:cs="Arial"/>
                <w:sz w:val="18"/>
                <w:szCs w:val="18"/>
              </w:rPr>
            </w:pPr>
            <w:r>
              <w:rPr>
                <w:rFonts w:ascii="Arial" w:hAnsi="Arial" w:cs="Arial"/>
                <w:sz w:val="18"/>
                <w:szCs w:val="18"/>
              </w:rPr>
              <w:t>38,7</w:t>
            </w:r>
          </w:p>
        </w:tc>
      </w:tr>
    </w:tbl>
    <w:p w14:paraId="5184FF42" w14:textId="7CC89E6B" w:rsidR="00582836" w:rsidRPr="00343AC7" w:rsidRDefault="007B0BC9" w:rsidP="00D16935">
      <w:pPr>
        <w:jc w:val="left"/>
        <w:rPr>
          <w:rFonts w:ascii="Arial" w:hAnsi="Arial" w:cs="Arial"/>
          <w:sz w:val="18"/>
          <w:szCs w:val="18"/>
          <w:lang w:val="es-CL"/>
        </w:rPr>
      </w:pPr>
      <w:r w:rsidRPr="00343AC7">
        <w:rPr>
          <w:rFonts w:ascii="Arial" w:hAnsi="Arial" w:cs="Arial"/>
          <w:sz w:val="18"/>
          <w:szCs w:val="18"/>
          <w:lang w:val="es-CL"/>
        </w:rPr>
        <w:t xml:space="preserve">Fuente: </w:t>
      </w:r>
      <w:bookmarkStart w:id="2" w:name="_Hlk19096719"/>
      <w:r w:rsidR="00B33B07">
        <w:rPr>
          <w:rFonts w:ascii="Arial" w:hAnsi="Arial" w:cs="Arial"/>
          <w:sz w:val="18"/>
          <w:szCs w:val="18"/>
          <w:lang w:val="es-CL"/>
        </w:rPr>
        <w:t xml:space="preserve">Agencia de la Calidad (2016). </w:t>
      </w:r>
    </w:p>
    <w:bookmarkEnd w:id="2"/>
    <w:p w14:paraId="5184FF43" w14:textId="77777777" w:rsidR="00615F44" w:rsidRDefault="00615F44" w:rsidP="00892C7B">
      <w:pPr>
        <w:rPr>
          <w:rFonts w:ascii="Arial" w:hAnsi="Arial" w:cs="Arial"/>
          <w:sz w:val="22"/>
          <w:szCs w:val="22"/>
        </w:rPr>
      </w:pPr>
    </w:p>
    <w:p w14:paraId="5184FF44" w14:textId="3CE566B3" w:rsidR="00DC2DF0" w:rsidRPr="007F4A23" w:rsidRDefault="007B0BC9" w:rsidP="00892C7B">
      <w:pPr>
        <w:rPr>
          <w:rFonts w:ascii="Arial" w:hAnsi="Arial" w:cs="Arial"/>
          <w:sz w:val="22"/>
          <w:szCs w:val="22"/>
        </w:rPr>
      </w:pPr>
      <w:r w:rsidRPr="007F4A23">
        <w:rPr>
          <w:rFonts w:ascii="Arial" w:hAnsi="Arial" w:cs="Arial"/>
          <w:sz w:val="22"/>
          <w:szCs w:val="22"/>
        </w:rPr>
        <w:t>Tal como puede observarse</w:t>
      </w:r>
      <w:r w:rsidR="00A216AE">
        <w:rPr>
          <w:rFonts w:ascii="Arial" w:hAnsi="Arial" w:cs="Arial"/>
          <w:sz w:val="22"/>
          <w:szCs w:val="22"/>
        </w:rPr>
        <w:t>,</w:t>
      </w:r>
      <w:r w:rsidRPr="007F4A23">
        <w:rPr>
          <w:rFonts w:ascii="Arial" w:hAnsi="Arial" w:cs="Arial"/>
          <w:sz w:val="22"/>
          <w:szCs w:val="22"/>
        </w:rPr>
        <w:t xml:space="preserve"> los alumnos </w:t>
      </w:r>
      <w:r w:rsidR="00881DE1">
        <w:rPr>
          <w:rFonts w:ascii="Arial" w:hAnsi="Arial" w:cs="Arial"/>
          <w:sz w:val="22"/>
          <w:szCs w:val="22"/>
        </w:rPr>
        <w:t xml:space="preserve">de cuarto básico </w:t>
      </w:r>
      <w:r w:rsidRPr="007F4A23">
        <w:rPr>
          <w:rFonts w:ascii="Arial" w:hAnsi="Arial" w:cs="Arial"/>
          <w:sz w:val="22"/>
          <w:szCs w:val="22"/>
        </w:rPr>
        <w:t xml:space="preserve">de establecimientos municipalizados tienen un desempeño inferior </w:t>
      </w:r>
      <w:r w:rsidR="00DC2DF0" w:rsidRPr="007F4A23">
        <w:rPr>
          <w:rFonts w:ascii="Arial" w:hAnsi="Arial" w:cs="Arial"/>
          <w:sz w:val="22"/>
          <w:szCs w:val="22"/>
        </w:rPr>
        <w:t>en</w:t>
      </w:r>
      <w:r w:rsidR="00881DE1">
        <w:rPr>
          <w:rFonts w:ascii="Arial" w:hAnsi="Arial" w:cs="Arial"/>
          <w:sz w:val="22"/>
          <w:szCs w:val="22"/>
        </w:rPr>
        <w:t xml:space="preserve"> entre 15 y 18 puntos </w:t>
      </w:r>
      <w:r w:rsidR="00DC2DF0" w:rsidRPr="007F4A23">
        <w:rPr>
          <w:rFonts w:ascii="Arial" w:hAnsi="Arial" w:cs="Arial"/>
          <w:sz w:val="22"/>
          <w:szCs w:val="22"/>
        </w:rPr>
        <w:t xml:space="preserve">al ser comparados con los establecimientos </w:t>
      </w:r>
      <w:r w:rsidR="00881DE1">
        <w:rPr>
          <w:rFonts w:ascii="Arial" w:hAnsi="Arial" w:cs="Arial"/>
          <w:sz w:val="22"/>
          <w:szCs w:val="22"/>
        </w:rPr>
        <w:t>privados subvencionados</w:t>
      </w:r>
      <w:r w:rsidR="00DC2DF0" w:rsidRPr="007F4A23">
        <w:rPr>
          <w:rFonts w:ascii="Arial" w:hAnsi="Arial" w:cs="Arial"/>
          <w:sz w:val="22"/>
          <w:szCs w:val="22"/>
        </w:rPr>
        <w:t>. Esta heterogeneidad en los desempeños se acrecienta conforme los estudiantes avanzan en su proceso educativo</w:t>
      </w:r>
      <w:r w:rsidR="00881DE1">
        <w:rPr>
          <w:rFonts w:ascii="Arial" w:hAnsi="Arial" w:cs="Arial"/>
          <w:sz w:val="22"/>
          <w:szCs w:val="22"/>
        </w:rPr>
        <w:t xml:space="preserve"> llegando a brechas de hasta 38 puntos en segundo medio</w:t>
      </w:r>
      <w:r w:rsidR="00DC2DF0" w:rsidRPr="007F4A23">
        <w:rPr>
          <w:rFonts w:ascii="Arial" w:hAnsi="Arial" w:cs="Arial"/>
          <w:sz w:val="22"/>
          <w:szCs w:val="22"/>
        </w:rPr>
        <w:t xml:space="preserve">. </w:t>
      </w:r>
      <w:r w:rsidR="00881DE1">
        <w:rPr>
          <w:rFonts w:ascii="Arial" w:hAnsi="Arial" w:cs="Arial"/>
          <w:sz w:val="22"/>
          <w:szCs w:val="22"/>
        </w:rPr>
        <w:t>Más aún</w:t>
      </w:r>
      <w:r w:rsidR="00DC2DF0" w:rsidRPr="007F4A23">
        <w:rPr>
          <w:rFonts w:ascii="Arial" w:hAnsi="Arial" w:cs="Arial"/>
          <w:sz w:val="22"/>
          <w:szCs w:val="22"/>
        </w:rPr>
        <w:t>, si se analiza un conjunto de variables que caracterizan la transición desde la educación secundaria a la terciaria se observan diferencias aún más importantes entre estas tipolog</w:t>
      </w:r>
      <w:r w:rsidR="00B46BF1" w:rsidRPr="007F4A23">
        <w:rPr>
          <w:rFonts w:ascii="Arial" w:hAnsi="Arial" w:cs="Arial"/>
          <w:sz w:val="22"/>
          <w:szCs w:val="22"/>
        </w:rPr>
        <w:t xml:space="preserve">ías. </w:t>
      </w:r>
      <w:r w:rsidR="00D10E93" w:rsidRPr="007F4A23">
        <w:rPr>
          <w:rFonts w:ascii="Arial" w:hAnsi="Arial" w:cs="Arial"/>
          <w:sz w:val="22"/>
          <w:szCs w:val="22"/>
        </w:rPr>
        <w:t xml:space="preserve">Sobre la base de </w:t>
      </w:r>
      <w:r w:rsidR="00B92137">
        <w:rPr>
          <w:rFonts w:ascii="Arial" w:hAnsi="Arial" w:cs="Arial"/>
          <w:sz w:val="22"/>
          <w:szCs w:val="22"/>
        </w:rPr>
        <w:t>la</w:t>
      </w:r>
      <w:r w:rsidR="00B92137" w:rsidRPr="007F4A23">
        <w:rPr>
          <w:rFonts w:ascii="Arial" w:hAnsi="Arial" w:cs="Arial"/>
          <w:sz w:val="22"/>
          <w:szCs w:val="22"/>
        </w:rPr>
        <w:t xml:space="preserve"> </w:t>
      </w:r>
      <w:r w:rsidR="00D10E93" w:rsidRPr="007F4A23">
        <w:rPr>
          <w:rFonts w:ascii="Arial" w:hAnsi="Arial" w:cs="Arial"/>
          <w:sz w:val="22"/>
          <w:szCs w:val="22"/>
        </w:rPr>
        <w:t>cohorte 20</w:t>
      </w:r>
      <w:r w:rsidR="006C135F">
        <w:rPr>
          <w:rFonts w:ascii="Arial" w:hAnsi="Arial" w:cs="Arial"/>
          <w:sz w:val="22"/>
          <w:szCs w:val="22"/>
        </w:rPr>
        <w:t>1</w:t>
      </w:r>
      <w:r w:rsidR="009B2782">
        <w:rPr>
          <w:rFonts w:ascii="Arial" w:hAnsi="Arial" w:cs="Arial"/>
          <w:sz w:val="22"/>
          <w:szCs w:val="22"/>
        </w:rPr>
        <w:t>6</w:t>
      </w:r>
      <w:r w:rsidR="00D10E93" w:rsidRPr="007F4A23">
        <w:rPr>
          <w:rFonts w:ascii="Arial" w:hAnsi="Arial" w:cs="Arial"/>
          <w:sz w:val="22"/>
          <w:szCs w:val="22"/>
        </w:rPr>
        <w:t xml:space="preserve"> de alumnos egresados de educación secundaria se observa que m</w:t>
      </w:r>
      <w:r w:rsidR="00B46BF1" w:rsidRPr="007F4A23">
        <w:rPr>
          <w:rFonts w:ascii="Arial" w:hAnsi="Arial" w:cs="Arial"/>
          <w:sz w:val="22"/>
          <w:szCs w:val="22"/>
        </w:rPr>
        <w:t>ientras el 7</w:t>
      </w:r>
      <w:r w:rsidR="009B2782">
        <w:rPr>
          <w:rFonts w:ascii="Arial" w:hAnsi="Arial" w:cs="Arial"/>
          <w:sz w:val="22"/>
          <w:szCs w:val="22"/>
        </w:rPr>
        <w:t>3</w:t>
      </w:r>
      <w:r w:rsidR="00EC008B">
        <w:rPr>
          <w:rFonts w:ascii="Arial" w:hAnsi="Arial" w:cs="Arial"/>
          <w:sz w:val="22"/>
          <w:szCs w:val="22"/>
        </w:rPr>
        <w:t>,</w:t>
      </w:r>
      <w:r w:rsidR="009B2782">
        <w:rPr>
          <w:rFonts w:ascii="Arial" w:hAnsi="Arial" w:cs="Arial"/>
          <w:sz w:val="22"/>
          <w:szCs w:val="22"/>
        </w:rPr>
        <w:t>1</w:t>
      </w:r>
      <w:r w:rsidR="00B46BF1" w:rsidRPr="007F4A23">
        <w:rPr>
          <w:rFonts w:ascii="Arial" w:hAnsi="Arial" w:cs="Arial"/>
          <w:sz w:val="22"/>
          <w:szCs w:val="22"/>
        </w:rPr>
        <w:t xml:space="preserve">% de los egresados de establecimientos </w:t>
      </w:r>
      <w:r w:rsidR="00B46BF1" w:rsidRPr="007F4A23">
        <w:rPr>
          <w:rFonts w:ascii="Arial" w:hAnsi="Arial" w:cs="Arial"/>
          <w:sz w:val="22"/>
          <w:szCs w:val="22"/>
        </w:rPr>
        <w:lastRenderedPageBreak/>
        <w:t xml:space="preserve">privados ingresan a la educación superior al año siguiente de su egreso, en el caso de los establecimientos </w:t>
      </w:r>
      <w:r w:rsidR="006C135F">
        <w:rPr>
          <w:rFonts w:ascii="Arial" w:hAnsi="Arial" w:cs="Arial"/>
          <w:sz w:val="22"/>
          <w:szCs w:val="22"/>
        </w:rPr>
        <w:t>privados subvencionados y municipales</w:t>
      </w:r>
      <w:r w:rsidR="00B46BF1" w:rsidRPr="007F4A23">
        <w:rPr>
          <w:rFonts w:ascii="Arial" w:hAnsi="Arial" w:cs="Arial"/>
          <w:sz w:val="22"/>
          <w:szCs w:val="22"/>
        </w:rPr>
        <w:t xml:space="preserve"> esta cifra alcanza sólo el </w:t>
      </w:r>
      <w:r w:rsidR="009B2782">
        <w:rPr>
          <w:rFonts w:ascii="Arial" w:hAnsi="Arial" w:cs="Arial"/>
          <w:sz w:val="22"/>
          <w:szCs w:val="22"/>
        </w:rPr>
        <w:t>49</w:t>
      </w:r>
      <w:r w:rsidR="00EC008B">
        <w:rPr>
          <w:rFonts w:ascii="Arial" w:hAnsi="Arial" w:cs="Arial"/>
          <w:sz w:val="22"/>
          <w:szCs w:val="22"/>
        </w:rPr>
        <w:t>,</w:t>
      </w:r>
      <w:r w:rsidR="009B2782">
        <w:rPr>
          <w:rFonts w:ascii="Arial" w:hAnsi="Arial" w:cs="Arial"/>
          <w:sz w:val="22"/>
          <w:szCs w:val="22"/>
        </w:rPr>
        <w:t>7</w:t>
      </w:r>
      <w:r w:rsidR="006C135F">
        <w:rPr>
          <w:rFonts w:ascii="Arial" w:hAnsi="Arial" w:cs="Arial"/>
          <w:sz w:val="22"/>
          <w:szCs w:val="22"/>
        </w:rPr>
        <w:t>% y 4</w:t>
      </w:r>
      <w:r w:rsidR="009B2782">
        <w:rPr>
          <w:rFonts w:ascii="Arial" w:hAnsi="Arial" w:cs="Arial"/>
          <w:sz w:val="22"/>
          <w:szCs w:val="22"/>
        </w:rPr>
        <w:t>3</w:t>
      </w:r>
      <w:r w:rsidR="00EC008B">
        <w:rPr>
          <w:rFonts w:ascii="Arial" w:hAnsi="Arial" w:cs="Arial"/>
          <w:sz w:val="22"/>
          <w:szCs w:val="22"/>
        </w:rPr>
        <w:t>,</w:t>
      </w:r>
      <w:r w:rsidR="009B2782">
        <w:rPr>
          <w:rFonts w:ascii="Arial" w:hAnsi="Arial" w:cs="Arial"/>
          <w:sz w:val="22"/>
          <w:szCs w:val="22"/>
        </w:rPr>
        <w:t>5</w:t>
      </w:r>
      <w:r w:rsidR="006C135F">
        <w:rPr>
          <w:rFonts w:ascii="Arial" w:hAnsi="Arial" w:cs="Arial"/>
          <w:sz w:val="22"/>
          <w:szCs w:val="22"/>
        </w:rPr>
        <w:t>% respectivamente</w:t>
      </w:r>
      <w:r w:rsidR="00B46BF1" w:rsidRPr="007F4A23">
        <w:rPr>
          <w:rFonts w:ascii="Arial" w:hAnsi="Arial" w:cs="Arial"/>
          <w:sz w:val="22"/>
          <w:szCs w:val="22"/>
        </w:rPr>
        <w:t>. Si se analiza este mismo dato</w:t>
      </w:r>
      <w:r w:rsidR="00A0516D">
        <w:rPr>
          <w:rFonts w:ascii="Arial" w:hAnsi="Arial" w:cs="Arial"/>
          <w:sz w:val="22"/>
          <w:szCs w:val="22"/>
        </w:rPr>
        <w:t>,</w:t>
      </w:r>
      <w:r w:rsidR="00B46BF1" w:rsidRPr="007F4A23">
        <w:rPr>
          <w:rFonts w:ascii="Arial" w:hAnsi="Arial" w:cs="Arial"/>
          <w:sz w:val="22"/>
          <w:szCs w:val="22"/>
        </w:rPr>
        <w:t xml:space="preserve"> pero a</w:t>
      </w:r>
      <w:r w:rsidR="00BD33DF">
        <w:rPr>
          <w:rFonts w:ascii="Arial" w:hAnsi="Arial" w:cs="Arial"/>
          <w:sz w:val="22"/>
          <w:szCs w:val="22"/>
        </w:rPr>
        <w:t xml:space="preserve"> los 2</w:t>
      </w:r>
      <w:r w:rsidR="00B46BF1" w:rsidRPr="007F4A23">
        <w:rPr>
          <w:rFonts w:ascii="Arial" w:hAnsi="Arial" w:cs="Arial"/>
          <w:sz w:val="22"/>
          <w:szCs w:val="22"/>
        </w:rPr>
        <w:t xml:space="preserve"> años del egreso </w:t>
      </w:r>
      <w:r w:rsidR="00D10E93" w:rsidRPr="007F4A23">
        <w:rPr>
          <w:rFonts w:ascii="Arial" w:hAnsi="Arial" w:cs="Arial"/>
          <w:sz w:val="22"/>
          <w:szCs w:val="22"/>
        </w:rPr>
        <w:t xml:space="preserve">de la cohorte </w:t>
      </w:r>
      <w:r w:rsidR="00B46BF1" w:rsidRPr="007F4A23">
        <w:rPr>
          <w:rFonts w:ascii="Arial" w:hAnsi="Arial" w:cs="Arial"/>
          <w:sz w:val="22"/>
          <w:szCs w:val="22"/>
        </w:rPr>
        <w:t xml:space="preserve">se observa que el </w:t>
      </w:r>
      <w:r w:rsidR="00EC008B">
        <w:rPr>
          <w:rFonts w:ascii="Arial" w:hAnsi="Arial" w:cs="Arial"/>
          <w:sz w:val="22"/>
          <w:szCs w:val="22"/>
        </w:rPr>
        <w:t>9</w:t>
      </w:r>
      <w:r w:rsidR="00BD33DF">
        <w:rPr>
          <w:rFonts w:ascii="Arial" w:hAnsi="Arial" w:cs="Arial"/>
          <w:sz w:val="22"/>
          <w:szCs w:val="22"/>
        </w:rPr>
        <w:t>1</w:t>
      </w:r>
      <w:r w:rsidR="00EC008B">
        <w:rPr>
          <w:rFonts w:ascii="Arial" w:hAnsi="Arial" w:cs="Arial"/>
          <w:sz w:val="22"/>
          <w:szCs w:val="22"/>
        </w:rPr>
        <w:t>,</w:t>
      </w:r>
      <w:r w:rsidR="00BD33DF">
        <w:rPr>
          <w:rFonts w:ascii="Arial" w:hAnsi="Arial" w:cs="Arial"/>
          <w:sz w:val="22"/>
          <w:szCs w:val="22"/>
        </w:rPr>
        <w:t>3</w:t>
      </w:r>
      <w:r w:rsidR="00EC008B">
        <w:rPr>
          <w:rFonts w:ascii="Arial" w:hAnsi="Arial" w:cs="Arial"/>
          <w:sz w:val="22"/>
          <w:szCs w:val="22"/>
        </w:rPr>
        <w:t xml:space="preserve">%, </w:t>
      </w:r>
      <w:r w:rsidR="00BD33DF">
        <w:rPr>
          <w:rFonts w:ascii="Arial" w:hAnsi="Arial" w:cs="Arial"/>
          <w:sz w:val="22"/>
          <w:szCs w:val="22"/>
        </w:rPr>
        <w:t>71</w:t>
      </w:r>
      <w:r w:rsidR="00B46BF1" w:rsidRPr="007F4A23">
        <w:rPr>
          <w:rFonts w:ascii="Arial" w:hAnsi="Arial" w:cs="Arial"/>
          <w:sz w:val="22"/>
          <w:szCs w:val="22"/>
        </w:rPr>
        <w:t xml:space="preserve">% y el </w:t>
      </w:r>
      <w:r w:rsidR="00EC008B">
        <w:rPr>
          <w:rFonts w:ascii="Arial" w:hAnsi="Arial" w:cs="Arial"/>
          <w:sz w:val="22"/>
          <w:szCs w:val="22"/>
        </w:rPr>
        <w:t>6</w:t>
      </w:r>
      <w:r w:rsidR="00BD33DF">
        <w:rPr>
          <w:rFonts w:ascii="Arial" w:hAnsi="Arial" w:cs="Arial"/>
          <w:sz w:val="22"/>
          <w:szCs w:val="22"/>
        </w:rPr>
        <w:t>0</w:t>
      </w:r>
      <w:r w:rsidR="00B46BF1" w:rsidRPr="007F4A23">
        <w:rPr>
          <w:rFonts w:ascii="Arial" w:hAnsi="Arial" w:cs="Arial"/>
          <w:sz w:val="22"/>
          <w:szCs w:val="22"/>
        </w:rPr>
        <w:t xml:space="preserve">% de los egresados de colegios </w:t>
      </w:r>
      <w:r w:rsidR="00EC008B">
        <w:rPr>
          <w:rFonts w:ascii="Arial" w:hAnsi="Arial" w:cs="Arial"/>
          <w:sz w:val="22"/>
          <w:szCs w:val="22"/>
        </w:rPr>
        <w:t xml:space="preserve">privados, privados subvencionados </w:t>
      </w:r>
      <w:r w:rsidR="00B46BF1" w:rsidRPr="007F4A23">
        <w:rPr>
          <w:rFonts w:ascii="Arial" w:hAnsi="Arial" w:cs="Arial"/>
          <w:sz w:val="22"/>
          <w:szCs w:val="22"/>
        </w:rPr>
        <w:t xml:space="preserve">y municipalizados respectivamente hacen ingreso a la educación superior </w:t>
      </w:r>
      <w:r w:rsidR="00EC008B">
        <w:rPr>
          <w:rFonts w:ascii="Arial" w:hAnsi="Arial" w:cs="Arial"/>
          <w:sz w:val="22"/>
          <w:szCs w:val="22"/>
        </w:rPr>
        <w:t>(SIES, 2018).</w:t>
      </w:r>
    </w:p>
    <w:p w14:paraId="5184FF45" w14:textId="47A1B180" w:rsidR="004105A3" w:rsidRPr="007F4A23" w:rsidRDefault="004105A3" w:rsidP="00892C7B">
      <w:pPr>
        <w:rPr>
          <w:rFonts w:ascii="Arial" w:hAnsi="Arial" w:cs="Arial"/>
          <w:sz w:val="22"/>
          <w:szCs w:val="22"/>
        </w:rPr>
      </w:pPr>
      <w:r w:rsidRPr="007F4A23">
        <w:rPr>
          <w:rFonts w:ascii="Arial" w:hAnsi="Arial" w:cs="Arial"/>
          <w:sz w:val="22"/>
          <w:szCs w:val="22"/>
        </w:rPr>
        <w:t>Por o</w:t>
      </w:r>
      <w:r w:rsidR="00F7296E" w:rsidRPr="007F4A23">
        <w:rPr>
          <w:rFonts w:ascii="Arial" w:hAnsi="Arial" w:cs="Arial"/>
          <w:sz w:val="22"/>
          <w:szCs w:val="22"/>
        </w:rPr>
        <w:t>tro</w:t>
      </w:r>
      <w:r w:rsidRPr="007F4A23">
        <w:rPr>
          <w:rFonts w:ascii="Arial" w:hAnsi="Arial" w:cs="Arial"/>
          <w:sz w:val="22"/>
          <w:szCs w:val="22"/>
        </w:rPr>
        <w:t xml:space="preserve"> lado, para el caso </w:t>
      </w:r>
      <w:r w:rsidR="00EC008B">
        <w:rPr>
          <w:rFonts w:ascii="Arial" w:hAnsi="Arial" w:cs="Arial"/>
          <w:sz w:val="22"/>
          <w:szCs w:val="22"/>
        </w:rPr>
        <w:t>c</w:t>
      </w:r>
      <w:r w:rsidRPr="007F4A23">
        <w:rPr>
          <w:rFonts w:ascii="Arial" w:hAnsi="Arial" w:cs="Arial"/>
          <w:sz w:val="22"/>
          <w:szCs w:val="22"/>
        </w:rPr>
        <w:t xml:space="preserve">hileno </w:t>
      </w:r>
      <w:r w:rsidR="00F7296E" w:rsidRPr="007F4A23">
        <w:rPr>
          <w:rFonts w:ascii="Arial" w:hAnsi="Arial" w:cs="Arial"/>
          <w:sz w:val="22"/>
          <w:szCs w:val="22"/>
        </w:rPr>
        <w:t xml:space="preserve">se </w:t>
      </w:r>
      <w:r w:rsidR="00F4130B" w:rsidRPr="007F4A23">
        <w:rPr>
          <w:rFonts w:ascii="Arial" w:hAnsi="Arial" w:cs="Arial"/>
          <w:sz w:val="22"/>
          <w:szCs w:val="22"/>
        </w:rPr>
        <w:t xml:space="preserve">evidencia </w:t>
      </w:r>
      <w:r w:rsidR="000E04F4" w:rsidRPr="007F4A23">
        <w:rPr>
          <w:rFonts w:ascii="Arial" w:hAnsi="Arial" w:cs="Arial"/>
          <w:sz w:val="22"/>
          <w:szCs w:val="22"/>
        </w:rPr>
        <w:t>e</w:t>
      </w:r>
      <w:r w:rsidR="00F4130B" w:rsidRPr="007F4A23">
        <w:rPr>
          <w:rFonts w:ascii="Arial" w:hAnsi="Arial" w:cs="Arial"/>
          <w:sz w:val="22"/>
          <w:szCs w:val="22"/>
        </w:rPr>
        <w:t>l efecto positivo en los ingresos y salarios de la educación terciaria</w:t>
      </w:r>
      <w:r w:rsidR="00F113D4" w:rsidRPr="007F4A23">
        <w:rPr>
          <w:rFonts w:ascii="Arial" w:hAnsi="Arial" w:cs="Arial"/>
          <w:sz w:val="22"/>
          <w:szCs w:val="22"/>
        </w:rPr>
        <w:t xml:space="preserve">. En efecto, </w:t>
      </w:r>
      <w:bookmarkStart w:id="3" w:name="_Hlk19096773"/>
      <w:r w:rsidR="00F113D4" w:rsidRPr="007F4A23">
        <w:rPr>
          <w:rFonts w:ascii="Arial" w:hAnsi="Arial" w:cs="Arial"/>
          <w:sz w:val="22"/>
          <w:szCs w:val="22"/>
        </w:rPr>
        <w:t xml:space="preserve">tanto </w:t>
      </w:r>
      <w:r w:rsidR="000E04F4"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"DOI" : "10.3386/w18817", "ISBN" : "9781604138795", "author" : [ { "dropping-particle" : "", "family" : "Reyes", "given" : "Loreto", "non-dropping-particle" : "", "parse-names" : false, "suffix" : "" }, { "dropping-particle" : "", "family" : "Rodr\u00edguez", "given" : "Jorge", "non-dropping-particle" : "", "parse-names" : false, "suffix" : "" }, { "dropping-particle" : "", "family" : "Urz\u00faa", "given" : "Sergio", "non-dropping-particle" : "", "parse-names" : false, "suffix" : "" } ], "id" : "ITEM-1", "issued" : { "date-parts" : [ [ "2013", "2" ] ] }, "publisher-place" : "Cambridge, MA", "title" : "Heterogeneous Economic Returns to Postsecondary Degrees: Evidence from Chile", "type" : "report" }, "uris" : [ "http://www.mendeley.com/documents/?uuid=3634f035-540c-4c23-ab0a-7e5734b65c2c" ] } ], "mendeley" : { "formattedCitation" : "(Reyes et al. 2013)", "manualFormatting" : "Reyes et al. (2013)", "plainTextFormattedCitation" : "(Reyes et al. 2013)", "previouslyFormattedCitation" : "(Reyes et al. 2013)" }, "properties" : { "noteIndex" : 0 }, "schema" : "https://github.com/citation-style-language/schema/raw/master/csl-citation.json" }</w:instrText>
      </w:r>
      <w:r w:rsidR="000E04F4" w:rsidRPr="007F4A23">
        <w:rPr>
          <w:rFonts w:ascii="Arial" w:hAnsi="Arial" w:cs="Arial"/>
          <w:sz w:val="22"/>
          <w:szCs w:val="22"/>
        </w:rPr>
        <w:fldChar w:fldCharType="separate"/>
      </w:r>
      <w:r w:rsidR="00795AF1" w:rsidRPr="007F4A23">
        <w:rPr>
          <w:rFonts w:ascii="Arial" w:hAnsi="Arial" w:cs="Arial"/>
          <w:noProof/>
          <w:sz w:val="22"/>
          <w:szCs w:val="22"/>
        </w:rPr>
        <w:t xml:space="preserve">Reyes et al. </w:t>
      </w:r>
      <w:r w:rsidR="001E7A28" w:rsidRPr="007F4A23">
        <w:rPr>
          <w:rFonts w:ascii="Arial" w:hAnsi="Arial" w:cs="Arial"/>
          <w:noProof/>
          <w:sz w:val="22"/>
          <w:szCs w:val="22"/>
        </w:rPr>
        <w:t>(</w:t>
      </w:r>
      <w:r w:rsidR="00795AF1" w:rsidRPr="007F4A23">
        <w:rPr>
          <w:rFonts w:ascii="Arial" w:hAnsi="Arial" w:cs="Arial"/>
          <w:noProof/>
          <w:sz w:val="22"/>
          <w:szCs w:val="22"/>
        </w:rPr>
        <w:t>201</w:t>
      </w:r>
      <w:r w:rsidR="001E7A28" w:rsidRPr="007F4A23">
        <w:rPr>
          <w:rFonts w:ascii="Arial" w:hAnsi="Arial" w:cs="Arial"/>
          <w:noProof/>
          <w:sz w:val="22"/>
          <w:szCs w:val="22"/>
        </w:rPr>
        <w:t>3)</w:t>
      </w:r>
      <w:r w:rsidR="000E04F4" w:rsidRPr="007F4A23">
        <w:rPr>
          <w:rFonts w:ascii="Arial" w:hAnsi="Arial" w:cs="Arial"/>
          <w:sz w:val="22"/>
          <w:szCs w:val="22"/>
        </w:rPr>
        <w:fldChar w:fldCharType="end"/>
      </w:r>
      <w:r w:rsidR="00F4130B" w:rsidRPr="007F4A23">
        <w:rPr>
          <w:rFonts w:ascii="Arial" w:hAnsi="Arial" w:cs="Arial"/>
          <w:sz w:val="22"/>
          <w:szCs w:val="22"/>
        </w:rPr>
        <w:t xml:space="preserve"> </w:t>
      </w:r>
      <w:r w:rsidR="000E04F4" w:rsidRPr="007F4A23">
        <w:rPr>
          <w:rFonts w:ascii="Arial" w:hAnsi="Arial" w:cs="Arial"/>
          <w:sz w:val="22"/>
          <w:szCs w:val="22"/>
        </w:rPr>
        <w:t>,</w:t>
      </w:r>
      <w:r w:rsidR="00795AF1" w:rsidRPr="007F4A23">
        <w:rPr>
          <w:rFonts w:ascii="Arial" w:hAnsi="Arial" w:cs="Arial"/>
          <w:sz w:val="22"/>
          <w:szCs w:val="22"/>
        </w:rPr>
        <w:fldChar w:fldCharType="begin" w:fldLock="1"/>
      </w:r>
      <w:r w:rsidR="001E7A28" w:rsidRPr="007F4A23">
        <w:rPr>
          <w:rFonts w:ascii="Arial" w:hAnsi="Arial" w:cs="Arial"/>
          <w:sz w:val="22"/>
          <w:szCs w:val="22"/>
        </w:rPr>
        <w:instrText>ADDIN CSL_CITATION { "citationItems" : [ { "id" : "ITEM-1", "itemData" : { "abstract" : "Este documento presenta nueva evidencia del rol del sistema de educaci\u00f3n superior como un mecanismo de movilidad social. La visi\u00f3n es s\u00f3lo econ\u00f3mica, poniendo \u00e9nfasis en las condiciones laborales de quienes han pasado por el sistema de educaci\u00f3n superior y la rentabilidad econ\u00f3mica asociada a esta decisi\u00f3n. \u2022 El documento enfatiza la importancia de entregar informaci\u00f3n desagregada (por carrera e instituci\u00f3n) respecto de variables fundamentales que afectan las decisiones de matr\u00edculas de las personas (y sus familias). Se utiliza el caso de las carreras universitarias derecho, psicolog\u00eda, periodismo e ingenier\u00eda comercial como ejemplos. \u2022 Para un porcentaje importante de la poblaci\u00f3n, particularmente aquellos que no se titulan, el paso por el sistema de educaci\u00f3n superior puede no significar mejores condiciones econ\u00f3micas que las que hubiesen tenido en caso de no haber pasado por \u00e9l. Incluso para aquellos titulados de carreras universitarias se documenta la posibilidad emp\u00edrica de retornos negativos. Se propone un ranking en base a la metodolog\u00eda desarrollada en este documento y los datos p\u00fablicos disponibles. \u2022 Se argumenta que m\u00e1s y mejor informaci\u00f3n no solamente asegurar\u00e1 que hogares y personas puedan tomar mejores decisiones, sino que tambi\u00e9n encausar\u00e1 el mejor uso de recursos p\u00fablicos. \u2022 El an\u00e1lisis de este documento demuestra la urgencia de presentar m\u00e1s y mejor evidencia respecto del verdadero rol del sistema de educaci\u00f3n superior como generador de movilidad social. \u00bfContribuye el sistema de educaci\u00f3n superior a la movilidad social? Por supuesto que s\u00ed, toda vez que esta es de calidad y el estudiante tiene la capacidad para aprovecharlo.", "author" : [ { "dropping-particle" : "", "family" : "Urz\u00faa", "given" : "Sergio", "non-dropping-particle" : "", "parse-names" : false, "suffix" : "" } ], "container-title" : "Estudios Publicos - CEP", "id" : "ITEM-1", "issued" : { "date-parts" : [ [ "2012" ] ] }, "page" : "1-43", "title" : "La Rentabilidad de la Educaci\u00f3n Superior en Chile: \u00bf Educacion Superior para todos?", "type" : "article-journal" }, "uris" : [ "http://www.mendeley.com/documents/?uuid=c0c9ecc5-2a46-4be2-bbfd-38307f516239" ] } ], "mendeley" : { "formattedCitation" : "(Urz\u00faa 2012)", "manualFormatting" : "Urz\u00faa (2012)", "plainTextFormattedCitation" : "(Urz\u00faa 2012)", "previouslyFormattedCitation" : "(Urz\u00faa 2012)" }, "properties" : { "noteIndex" : 0 }, "schema" : "https://github.com/citation-style-language/schema/raw/master/csl-citation.json" }</w:instrText>
      </w:r>
      <w:r w:rsidR="00795AF1" w:rsidRPr="007F4A23">
        <w:rPr>
          <w:rFonts w:ascii="Arial" w:hAnsi="Arial" w:cs="Arial"/>
          <w:sz w:val="22"/>
          <w:szCs w:val="22"/>
        </w:rPr>
        <w:fldChar w:fldCharType="separate"/>
      </w:r>
      <w:r w:rsidR="00795AF1" w:rsidRPr="007F4A23">
        <w:rPr>
          <w:rFonts w:ascii="Arial" w:hAnsi="Arial" w:cs="Arial"/>
          <w:noProof/>
          <w:sz w:val="22"/>
          <w:szCs w:val="22"/>
        </w:rPr>
        <w:t xml:space="preserve">Urzúa </w:t>
      </w:r>
      <w:r w:rsidR="001E7A28" w:rsidRPr="007F4A23">
        <w:rPr>
          <w:rFonts w:ascii="Arial" w:hAnsi="Arial" w:cs="Arial"/>
          <w:noProof/>
          <w:sz w:val="22"/>
          <w:szCs w:val="22"/>
        </w:rPr>
        <w:t>(</w:t>
      </w:r>
      <w:r w:rsidR="00795AF1" w:rsidRPr="007F4A23">
        <w:rPr>
          <w:rFonts w:ascii="Arial" w:hAnsi="Arial" w:cs="Arial"/>
          <w:noProof/>
          <w:sz w:val="22"/>
          <w:szCs w:val="22"/>
        </w:rPr>
        <w:t>201</w:t>
      </w:r>
      <w:r w:rsidR="001E7A28" w:rsidRPr="007F4A23">
        <w:rPr>
          <w:rFonts w:ascii="Arial" w:hAnsi="Arial" w:cs="Arial"/>
          <w:noProof/>
          <w:sz w:val="22"/>
          <w:szCs w:val="22"/>
        </w:rPr>
        <w:t>2)</w:t>
      </w:r>
      <w:r w:rsidR="00795AF1" w:rsidRPr="007F4A23">
        <w:rPr>
          <w:rFonts w:ascii="Arial" w:hAnsi="Arial" w:cs="Arial"/>
          <w:sz w:val="22"/>
          <w:szCs w:val="22"/>
        </w:rPr>
        <w:fldChar w:fldCharType="end"/>
      </w:r>
      <w:r w:rsidR="00F113D4" w:rsidRPr="007F4A23">
        <w:rPr>
          <w:rFonts w:ascii="Arial" w:hAnsi="Arial" w:cs="Arial"/>
          <w:sz w:val="22"/>
          <w:szCs w:val="22"/>
        </w:rPr>
        <w:t xml:space="preserve"> como</w:t>
      </w:r>
      <w:r w:rsidR="00795AF1" w:rsidRPr="007F4A23">
        <w:rPr>
          <w:rFonts w:ascii="Arial" w:hAnsi="Arial" w:cs="Arial"/>
          <w:sz w:val="22"/>
          <w:szCs w:val="22"/>
        </w:rPr>
        <w:t xml:space="preserve"> </w:t>
      </w:r>
      <w:r w:rsidR="00795AF1" w:rsidRPr="007F4A23">
        <w:rPr>
          <w:rFonts w:ascii="Arial" w:hAnsi="Arial" w:cs="Arial"/>
          <w:sz w:val="22"/>
          <w:szCs w:val="22"/>
        </w:rPr>
        <w:fldChar w:fldCharType="begin" w:fldLock="1"/>
      </w:r>
      <w:r w:rsidR="001E7A28" w:rsidRPr="007F4A23">
        <w:rPr>
          <w:rFonts w:ascii="Arial" w:hAnsi="Arial" w:cs="Arial"/>
          <w:sz w:val="22"/>
          <w:szCs w:val="22"/>
        </w:rPr>
        <w:instrText>ADDIN CSL_CITATION { "citationItems" : [ { "id" : "ITEM-1", "itemData" : { "author" : [ { "dropping-particle" : "", "family" : "Arellano", "given" : "Soledad", "non-dropping-particle" : "", "parse-names" : false, "suffix" : "" }, { "dropping-particle" : "", "family" : "Braun", "given" : "Matias", "non-dropping-particle" : "", "parse-names" : false, "suffix" : "" } ], "container-title" : "Cuadernos de Economia", "id" : "ITEM-1", "issue" : "107", "issued" : { "date-parts" : [ [ "1999" ] ] }, "page" : "685-724", "title" : "Rentabilidad de la educacion formal en Chile", "type" : "article", "volume" : "36" }, "uris" : [ "http://www.mendeley.com/documents/?uuid=5ac2615f-1884-4d68-a795-fcd7b9920810" ] } ], "mendeley" : { "formattedCitation" : "(Arellano &amp; Braun 1999)", "manualFormatting" : "Arellano &amp; Braun (1999)", "plainTextFormattedCitation" : "(Arellano &amp; Braun 1999)", "previouslyFormattedCitation" : "(Arellano &amp; Braun 1999)" }, "properties" : { "noteIndex" : 0 }, "schema" : "https://github.com/citation-style-language/schema/raw/master/csl-citation.json" }</w:instrText>
      </w:r>
      <w:r w:rsidR="00795AF1" w:rsidRPr="007F4A23">
        <w:rPr>
          <w:rFonts w:ascii="Arial" w:hAnsi="Arial" w:cs="Arial"/>
          <w:sz w:val="22"/>
          <w:szCs w:val="22"/>
        </w:rPr>
        <w:fldChar w:fldCharType="separate"/>
      </w:r>
      <w:r w:rsidR="00795AF1" w:rsidRPr="007F4A23">
        <w:rPr>
          <w:rFonts w:ascii="Arial" w:hAnsi="Arial" w:cs="Arial"/>
          <w:noProof/>
          <w:sz w:val="22"/>
          <w:szCs w:val="22"/>
        </w:rPr>
        <w:t xml:space="preserve">Arellano &amp; Braun </w:t>
      </w:r>
      <w:r w:rsidR="001E7A28" w:rsidRPr="007F4A23">
        <w:rPr>
          <w:rFonts w:ascii="Arial" w:hAnsi="Arial" w:cs="Arial"/>
          <w:noProof/>
          <w:sz w:val="22"/>
          <w:szCs w:val="22"/>
        </w:rPr>
        <w:t>(</w:t>
      </w:r>
      <w:r w:rsidR="00795AF1" w:rsidRPr="007F4A23">
        <w:rPr>
          <w:rFonts w:ascii="Arial" w:hAnsi="Arial" w:cs="Arial"/>
          <w:noProof/>
          <w:sz w:val="22"/>
          <w:szCs w:val="22"/>
        </w:rPr>
        <w:t>199</w:t>
      </w:r>
      <w:r w:rsidR="001E7A28" w:rsidRPr="007F4A23">
        <w:rPr>
          <w:rFonts w:ascii="Arial" w:hAnsi="Arial" w:cs="Arial"/>
          <w:noProof/>
          <w:sz w:val="22"/>
          <w:szCs w:val="22"/>
        </w:rPr>
        <w:t>9)</w:t>
      </w:r>
      <w:r w:rsidR="00795AF1" w:rsidRPr="007F4A23">
        <w:rPr>
          <w:rFonts w:ascii="Arial" w:hAnsi="Arial" w:cs="Arial"/>
          <w:sz w:val="22"/>
          <w:szCs w:val="22"/>
        </w:rPr>
        <w:fldChar w:fldCharType="end"/>
      </w:r>
      <w:bookmarkEnd w:id="3"/>
      <w:r w:rsidR="00F113D4" w:rsidRPr="007F4A23">
        <w:rPr>
          <w:rFonts w:ascii="Arial" w:hAnsi="Arial" w:cs="Arial"/>
          <w:sz w:val="22"/>
          <w:szCs w:val="22"/>
        </w:rPr>
        <w:t>, usando distintos métodos y distintos sets de información</w:t>
      </w:r>
      <w:r w:rsidR="006C3FDD">
        <w:rPr>
          <w:rFonts w:ascii="Arial" w:hAnsi="Arial" w:cs="Arial"/>
          <w:sz w:val="22"/>
          <w:szCs w:val="22"/>
        </w:rPr>
        <w:t>,</w:t>
      </w:r>
      <w:r w:rsidR="00F113D4" w:rsidRPr="007F4A23">
        <w:rPr>
          <w:rFonts w:ascii="Arial" w:hAnsi="Arial" w:cs="Arial"/>
          <w:sz w:val="22"/>
          <w:szCs w:val="22"/>
        </w:rPr>
        <w:t xml:space="preserve"> logran verificar que aquellos sujetos que acceden a educación </w:t>
      </w:r>
      <w:r w:rsidR="002A5329" w:rsidRPr="007F4A23">
        <w:rPr>
          <w:rFonts w:ascii="Arial" w:hAnsi="Arial" w:cs="Arial"/>
          <w:sz w:val="22"/>
          <w:szCs w:val="22"/>
        </w:rPr>
        <w:t xml:space="preserve">terciaria </w:t>
      </w:r>
      <w:r w:rsidR="00F113D4" w:rsidRPr="007F4A23">
        <w:rPr>
          <w:rFonts w:ascii="Arial" w:hAnsi="Arial" w:cs="Arial"/>
          <w:sz w:val="22"/>
          <w:szCs w:val="22"/>
        </w:rPr>
        <w:t xml:space="preserve">presentan, en promedio, mayores niveles de ingreso que los que sólo obtienen niveles de educación menores, </w:t>
      </w:r>
      <w:r w:rsidR="002A5329" w:rsidRPr="007F4A23">
        <w:rPr>
          <w:rFonts w:ascii="Arial" w:hAnsi="Arial" w:cs="Arial"/>
          <w:sz w:val="22"/>
          <w:szCs w:val="22"/>
        </w:rPr>
        <w:t>sea que hayan terminado o no dicho nivel educativo.</w:t>
      </w:r>
    </w:p>
    <w:p w14:paraId="5184FF48" w14:textId="45C8E131" w:rsidR="00DC2DF0" w:rsidRPr="007F4A23" w:rsidRDefault="008478DF" w:rsidP="00892C7B">
      <w:pPr>
        <w:rPr>
          <w:rFonts w:ascii="Arial" w:hAnsi="Arial" w:cs="Arial"/>
          <w:sz w:val="22"/>
          <w:szCs w:val="22"/>
        </w:rPr>
      </w:pPr>
      <w:r w:rsidRPr="007F4A23">
        <w:rPr>
          <w:rFonts w:ascii="Arial" w:hAnsi="Arial" w:cs="Arial"/>
          <w:sz w:val="22"/>
          <w:szCs w:val="22"/>
        </w:rPr>
        <w:t>En la misma línea,</w:t>
      </w:r>
      <w:r w:rsidR="002A5329" w:rsidRPr="007F4A23">
        <w:rPr>
          <w:rFonts w:ascii="Arial" w:hAnsi="Arial" w:cs="Arial"/>
          <w:sz w:val="22"/>
          <w:szCs w:val="22"/>
        </w:rPr>
        <w:t xml:space="preserve"> la investigación desarrollada por </w:t>
      </w:r>
      <w:bookmarkStart w:id="4" w:name="_Hlk19096816"/>
      <w:r w:rsidR="002A5329" w:rsidRPr="007F4A23">
        <w:rPr>
          <w:rFonts w:ascii="Arial" w:hAnsi="Arial" w:cs="Arial"/>
          <w:sz w:val="22"/>
          <w:szCs w:val="22"/>
        </w:rPr>
        <w:fldChar w:fldCharType="begin" w:fldLock="1"/>
      </w:r>
      <w:r w:rsidR="002A5329" w:rsidRPr="007F4A23">
        <w:rPr>
          <w:rFonts w:ascii="Arial" w:hAnsi="Arial" w:cs="Arial"/>
          <w:sz w:val="22"/>
          <w:szCs w:val="22"/>
        </w:rPr>
        <w:instrText>ADDIN CSL_CITATION { "citationItems" : [ { "id" : "ITEM-1", "itemData" : { "author" : [ { "dropping-particle" : "", "family" : "Contreras", "given" : "Dante", "non-dropping-particle" : "", "parse-names" : false, "suffix" : "" }, { "dropping-particle" : "", "family" : "Rodr", "given" : "Jorge", "non-dropping-particle" : "", "parse-names" : false, "suffix" : "" }, { "dropping-particle" : "", "family" : "Bank", "given" : "Inter-american Development", "non-dropping-particle" : "", "parse-names" : false, "suffix" : "" }, { "dropping-particle" : "", "family" : "Urz", "given" : "Sergio", "non-dropping-particle" : "", "parse-names" : false, "suffix" : "" } ], "id" : "ITEM-1", "issued" : { "date-parts" : [ [ "2012" ] ] }, "page" : "1-36", "title" : "The origins of inequality in chile", "type" : "article-journal" }, "uris" : [ "http://www.mendeley.com/documents/?uuid=beea6aa0-cb26-430e-8421-74b65d4cacbf" ] } ], "mendeley" : { "formattedCitation" : "(Contreras et al. 2012)", "manualFormatting" : "Contreras et al. 2012", "plainTextFormattedCitation" : "(Contreras et al. 2012)", "previouslyFormattedCitation" : "(Contreras et al. 2012)" }, "properties" : { "noteIndex" : 0 }, "schema" : "https://github.com/citation-style-language/schema/raw/master/csl-citation.json" }</w:instrText>
      </w:r>
      <w:r w:rsidR="002A5329" w:rsidRPr="007F4A23">
        <w:rPr>
          <w:rFonts w:ascii="Arial" w:hAnsi="Arial" w:cs="Arial"/>
          <w:sz w:val="22"/>
          <w:szCs w:val="22"/>
        </w:rPr>
        <w:fldChar w:fldCharType="separate"/>
      </w:r>
      <w:r w:rsidR="002A5329" w:rsidRPr="007F4A23">
        <w:rPr>
          <w:rFonts w:ascii="Arial" w:hAnsi="Arial" w:cs="Arial"/>
          <w:noProof/>
          <w:sz w:val="22"/>
          <w:szCs w:val="22"/>
        </w:rPr>
        <w:t xml:space="preserve">Contreras et al. </w:t>
      </w:r>
      <w:r w:rsidR="00F71785">
        <w:rPr>
          <w:rFonts w:ascii="Arial" w:hAnsi="Arial" w:cs="Arial"/>
          <w:noProof/>
          <w:sz w:val="22"/>
          <w:szCs w:val="22"/>
        </w:rPr>
        <w:t>(</w:t>
      </w:r>
      <w:r w:rsidR="002A5329" w:rsidRPr="007F4A23">
        <w:rPr>
          <w:rFonts w:ascii="Arial" w:hAnsi="Arial" w:cs="Arial"/>
          <w:noProof/>
          <w:sz w:val="22"/>
          <w:szCs w:val="22"/>
        </w:rPr>
        <w:t>2012</w:t>
      </w:r>
      <w:r w:rsidR="002A5329" w:rsidRPr="007F4A23">
        <w:rPr>
          <w:rFonts w:ascii="Arial" w:hAnsi="Arial" w:cs="Arial"/>
          <w:sz w:val="22"/>
          <w:szCs w:val="22"/>
        </w:rPr>
        <w:fldChar w:fldCharType="end"/>
      </w:r>
      <w:bookmarkEnd w:id="4"/>
      <w:r w:rsidR="00F71785">
        <w:rPr>
          <w:rFonts w:ascii="Arial" w:hAnsi="Arial" w:cs="Arial"/>
          <w:sz w:val="22"/>
          <w:szCs w:val="22"/>
        </w:rPr>
        <w:t>)</w:t>
      </w:r>
      <w:r w:rsidR="002A5329" w:rsidRPr="007F4A23">
        <w:rPr>
          <w:rFonts w:ascii="Arial" w:hAnsi="Arial" w:cs="Arial"/>
          <w:sz w:val="22"/>
          <w:szCs w:val="22"/>
        </w:rPr>
        <w:t xml:space="preserve"> permite conjugar simultáneamente el efecto de haber estudiado en establecimientos de distinta dependencia (municipales y privados) y el haber alcanzado distintos niveles de educación, observ</w:t>
      </w:r>
      <w:r w:rsidRPr="007F4A23">
        <w:rPr>
          <w:rFonts w:ascii="Arial" w:hAnsi="Arial" w:cs="Arial"/>
          <w:sz w:val="22"/>
          <w:szCs w:val="22"/>
        </w:rPr>
        <w:t>ándose que los sujetos que estudiaron en establecimientos municipalizados presentan en promedio menores niveles de ingreso que aquellos que estudiaron en establecimientos privados y que dicha diferencia se debe en parte a una menor proporción de los primeros que ingresan y que finalizan la educación superior.</w:t>
      </w:r>
    </w:p>
    <w:p w14:paraId="5184FF49" w14:textId="77777777" w:rsidR="00F70BC2" w:rsidRPr="007F4A23" w:rsidRDefault="00F70BC2" w:rsidP="00FF578E">
      <w:pPr>
        <w:numPr>
          <w:ilvl w:val="0"/>
          <w:numId w:val="22"/>
        </w:numPr>
        <w:spacing w:before="240"/>
        <w:rPr>
          <w:rFonts w:ascii="Arial" w:hAnsi="Arial" w:cs="Arial"/>
          <w:sz w:val="22"/>
          <w:szCs w:val="22"/>
        </w:rPr>
      </w:pPr>
      <w:r w:rsidRPr="007F4A23">
        <w:rPr>
          <w:rFonts w:ascii="Arial" w:hAnsi="Arial" w:cs="Arial"/>
          <w:sz w:val="22"/>
          <w:szCs w:val="22"/>
        </w:rPr>
        <w:t>Supuestos</w:t>
      </w:r>
    </w:p>
    <w:p w14:paraId="5184FF4A" w14:textId="26E60BFE" w:rsidR="001E7A28" w:rsidRPr="007F4A23" w:rsidRDefault="001E7A28" w:rsidP="00802ADB">
      <w:pPr>
        <w:rPr>
          <w:rFonts w:ascii="Arial" w:hAnsi="Arial" w:cs="Arial"/>
          <w:sz w:val="22"/>
          <w:szCs w:val="22"/>
        </w:rPr>
      </w:pPr>
      <w:r w:rsidRPr="007F4A23">
        <w:rPr>
          <w:rFonts w:ascii="Arial" w:hAnsi="Arial" w:cs="Arial"/>
          <w:sz w:val="22"/>
          <w:szCs w:val="22"/>
        </w:rPr>
        <w:t>Dada la no existencia de evidencia que permita vincular directamente la implementación de acciones como las contempladas en el programa con efectos tales como el aumento en los ingresos de los sujetos que estudian en establecimientos en los que se implementa este tipo de transformaciones una vez que se incorporen a la fuerza de trabajo, para efectos de la estimación de los beneficios directos del Programa se establecen los siguientes supuestos:</w:t>
      </w:r>
    </w:p>
    <w:p w14:paraId="5184FF4B" w14:textId="77777777" w:rsidR="001E7A28" w:rsidRPr="007F4A23" w:rsidRDefault="001E7A28" w:rsidP="001E7A28">
      <w:pPr>
        <w:numPr>
          <w:ilvl w:val="1"/>
          <w:numId w:val="22"/>
        </w:numPr>
        <w:rPr>
          <w:rFonts w:ascii="Arial" w:hAnsi="Arial" w:cs="Arial"/>
          <w:sz w:val="22"/>
          <w:szCs w:val="22"/>
        </w:rPr>
      </w:pPr>
      <w:r w:rsidRPr="007F4A23">
        <w:rPr>
          <w:rFonts w:ascii="Arial" w:hAnsi="Arial" w:cs="Arial"/>
          <w:sz w:val="22"/>
          <w:szCs w:val="22"/>
        </w:rPr>
        <w:t>La tasa de descuento utilizada es del 12%, según el estándar del Banco.</w:t>
      </w:r>
    </w:p>
    <w:p w14:paraId="5184FF4C" w14:textId="0AD80418" w:rsidR="000D6064" w:rsidRPr="00343AC7" w:rsidRDefault="000D6064" w:rsidP="00923518">
      <w:pPr>
        <w:numPr>
          <w:ilvl w:val="1"/>
          <w:numId w:val="22"/>
        </w:numPr>
        <w:rPr>
          <w:rFonts w:ascii="Arial" w:hAnsi="Arial" w:cs="Arial"/>
          <w:sz w:val="22"/>
          <w:szCs w:val="22"/>
        </w:rPr>
      </w:pPr>
      <w:r w:rsidRPr="00343AC7">
        <w:rPr>
          <w:rFonts w:ascii="Arial" w:hAnsi="Arial" w:cs="Arial"/>
          <w:sz w:val="22"/>
          <w:szCs w:val="22"/>
        </w:rPr>
        <w:t xml:space="preserve">Si bien se espera que en el mediano y largo plazo la nueva institucionalidad de la educación pública </w:t>
      </w:r>
      <w:r w:rsidR="00190C8B">
        <w:rPr>
          <w:rFonts w:ascii="Arial" w:hAnsi="Arial" w:cs="Arial"/>
          <w:sz w:val="22"/>
          <w:szCs w:val="22"/>
        </w:rPr>
        <w:t>tenga</w:t>
      </w:r>
      <w:r w:rsidR="00190C8B" w:rsidRPr="00343AC7">
        <w:rPr>
          <w:rFonts w:ascii="Arial" w:hAnsi="Arial" w:cs="Arial"/>
          <w:sz w:val="22"/>
          <w:szCs w:val="22"/>
        </w:rPr>
        <w:t xml:space="preserve"> </w:t>
      </w:r>
      <w:r w:rsidRPr="00343AC7">
        <w:rPr>
          <w:rFonts w:ascii="Arial" w:hAnsi="Arial" w:cs="Arial"/>
          <w:sz w:val="22"/>
          <w:szCs w:val="22"/>
        </w:rPr>
        <w:t xml:space="preserve">como efecto un mayor porcentaje de estudiantes matriculados en escuelas públicas en primaria y media, transformando la tendencia decreciente observada en los últimos años, en las estimaciones de los beneficios </w:t>
      </w:r>
      <w:r w:rsidR="005C7C86" w:rsidRPr="00343AC7">
        <w:rPr>
          <w:rFonts w:ascii="Arial" w:hAnsi="Arial" w:cs="Arial"/>
          <w:sz w:val="22"/>
          <w:szCs w:val="22"/>
        </w:rPr>
        <w:t xml:space="preserve">aquí realizada </w:t>
      </w:r>
      <w:r w:rsidRPr="00343AC7">
        <w:rPr>
          <w:rFonts w:ascii="Arial" w:hAnsi="Arial" w:cs="Arial"/>
          <w:sz w:val="22"/>
          <w:szCs w:val="22"/>
        </w:rPr>
        <w:t xml:space="preserve">se utiliza un supuesto más conservador donde el sector público mantiene el nivel actual de participación en la matrícula total del país. </w:t>
      </w:r>
    </w:p>
    <w:p w14:paraId="5184FF4D" w14:textId="02A80BD3" w:rsidR="001E7A28" w:rsidRPr="002B5032" w:rsidRDefault="002B5032" w:rsidP="00923518">
      <w:pPr>
        <w:numPr>
          <w:ilvl w:val="1"/>
          <w:numId w:val="22"/>
        </w:numPr>
        <w:rPr>
          <w:rFonts w:ascii="Arial" w:hAnsi="Arial" w:cs="Arial"/>
          <w:sz w:val="22"/>
          <w:szCs w:val="22"/>
        </w:rPr>
      </w:pPr>
      <w:r>
        <w:rPr>
          <w:rFonts w:ascii="Arial" w:hAnsi="Arial" w:cs="Arial"/>
          <w:sz w:val="22"/>
          <w:szCs w:val="22"/>
        </w:rPr>
        <w:t>L</w:t>
      </w:r>
      <w:r w:rsidR="001E7A28" w:rsidRPr="002B5032">
        <w:rPr>
          <w:rFonts w:ascii="Arial" w:hAnsi="Arial" w:cs="Arial"/>
          <w:sz w:val="22"/>
          <w:szCs w:val="22"/>
        </w:rPr>
        <w:t xml:space="preserve">as estimaciones de beneficios directos de esta evaluación sólo se limitan a suponer que el </w:t>
      </w:r>
      <w:r w:rsidR="001E7A28" w:rsidRPr="0090561F">
        <w:rPr>
          <w:rFonts w:ascii="Arial" w:hAnsi="Arial" w:cs="Arial"/>
          <w:bCs/>
          <w:sz w:val="22"/>
          <w:szCs w:val="22"/>
        </w:rPr>
        <w:t xml:space="preserve">efecto del </w:t>
      </w:r>
      <w:r w:rsidR="00067697" w:rsidRPr="0090561F">
        <w:rPr>
          <w:rFonts w:ascii="Arial" w:hAnsi="Arial" w:cs="Arial"/>
          <w:bCs/>
          <w:sz w:val="22"/>
          <w:szCs w:val="22"/>
        </w:rPr>
        <w:t xml:space="preserve">Programa </w:t>
      </w:r>
      <w:r w:rsidRPr="0090561F">
        <w:rPr>
          <w:rFonts w:ascii="Arial" w:hAnsi="Arial" w:cs="Arial"/>
          <w:bCs/>
          <w:sz w:val="22"/>
          <w:szCs w:val="22"/>
        </w:rPr>
        <w:t>consistirá en</w:t>
      </w:r>
      <w:r w:rsidR="00067697" w:rsidRPr="0090561F">
        <w:rPr>
          <w:rFonts w:ascii="Arial" w:hAnsi="Arial" w:cs="Arial"/>
          <w:bCs/>
          <w:sz w:val="22"/>
          <w:szCs w:val="22"/>
        </w:rPr>
        <w:t xml:space="preserve"> un</w:t>
      </w:r>
      <w:r w:rsidR="001E7A28" w:rsidRPr="0090561F">
        <w:rPr>
          <w:rFonts w:ascii="Arial" w:hAnsi="Arial" w:cs="Arial"/>
          <w:bCs/>
          <w:sz w:val="22"/>
          <w:szCs w:val="22"/>
        </w:rPr>
        <w:t xml:space="preserve"> aumento en distintas magnitudes de la </w:t>
      </w:r>
      <w:r w:rsidR="00AC4499" w:rsidRPr="0090561F">
        <w:rPr>
          <w:rFonts w:ascii="Arial" w:hAnsi="Arial" w:cs="Arial"/>
          <w:bCs/>
          <w:sz w:val="22"/>
          <w:szCs w:val="22"/>
        </w:rPr>
        <w:t>proporción</w:t>
      </w:r>
      <w:r w:rsidR="001E7A28" w:rsidRPr="0090561F">
        <w:rPr>
          <w:rFonts w:ascii="Arial" w:hAnsi="Arial" w:cs="Arial"/>
          <w:bCs/>
          <w:sz w:val="22"/>
          <w:szCs w:val="22"/>
        </w:rPr>
        <w:t xml:space="preserve"> de sujetos que hace ingreso a la educación terciaria</w:t>
      </w:r>
      <w:r w:rsidR="00067697" w:rsidRPr="0090561F">
        <w:rPr>
          <w:rFonts w:ascii="Arial" w:hAnsi="Arial" w:cs="Arial"/>
          <w:bCs/>
          <w:sz w:val="22"/>
          <w:szCs w:val="22"/>
        </w:rPr>
        <w:t xml:space="preserve"> </w:t>
      </w:r>
      <w:r w:rsidR="00067697" w:rsidRPr="002B5032">
        <w:rPr>
          <w:rFonts w:ascii="Arial" w:hAnsi="Arial" w:cs="Arial"/>
          <w:sz w:val="22"/>
          <w:szCs w:val="22"/>
        </w:rPr>
        <w:t>y la modificación que se produce en sus ingresos producto del paso por dicho nivel educacional, ya sea para sujetos que lo completan como para aquellos que no lo completan</w:t>
      </w:r>
      <w:r w:rsidR="00DE3091" w:rsidRPr="002B5032">
        <w:rPr>
          <w:rFonts w:ascii="Arial" w:hAnsi="Arial" w:cs="Arial"/>
          <w:sz w:val="22"/>
          <w:szCs w:val="22"/>
        </w:rPr>
        <w:t>.</w:t>
      </w:r>
      <w:r>
        <w:rPr>
          <w:rFonts w:ascii="Arial" w:hAnsi="Arial" w:cs="Arial"/>
          <w:sz w:val="22"/>
          <w:szCs w:val="22"/>
        </w:rPr>
        <w:t xml:space="preserve"> Dentro de los beneficiarios solo se considerarán los estudiantes que se encuentres en los primeros 11 SLEP, debido a que luego de la evaluación a realizarse el año 2021, no es clara como se realizará la gradualidad en el resto del territorio. </w:t>
      </w:r>
    </w:p>
    <w:p w14:paraId="5184FF4E" w14:textId="03DA5A80" w:rsidR="001E7A28" w:rsidRPr="007F4A23" w:rsidRDefault="001E7A28" w:rsidP="001E7A28">
      <w:pPr>
        <w:numPr>
          <w:ilvl w:val="1"/>
          <w:numId w:val="22"/>
        </w:numPr>
        <w:rPr>
          <w:rFonts w:ascii="Arial" w:hAnsi="Arial" w:cs="Arial"/>
          <w:sz w:val="22"/>
          <w:szCs w:val="22"/>
        </w:rPr>
      </w:pPr>
      <w:r w:rsidRPr="007F4A23">
        <w:rPr>
          <w:rFonts w:ascii="Arial" w:hAnsi="Arial" w:cs="Arial"/>
          <w:sz w:val="22"/>
          <w:szCs w:val="22"/>
        </w:rPr>
        <w:t>Una vez ingresados a la educación terciaria los usuarios del Programa alcanzarán la tasa actual de éxito en el término de dicho nivel educativo</w:t>
      </w:r>
      <w:r w:rsidR="00FC69F8" w:rsidRPr="007F4A23">
        <w:rPr>
          <w:rFonts w:ascii="Arial" w:hAnsi="Arial" w:cs="Arial"/>
          <w:sz w:val="22"/>
          <w:szCs w:val="22"/>
        </w:rPr>
        <w:t xml:space="preserve"> </w:t>
      </w:r>
      <w:r w:rsidR="00FC69F8" w:rsidRPr="007F4A23">
        <w:rPr>
          <w:rFonts w:ascii="Arial" w:hAnsi="Arial" w:cs="Arial"/>
          <w:sz w:val="22"/>
          <w:szCs w:val="22"/>
        </w:rPr>
        <w:lastRenderedPageBreak/>
        <w:t>(3</w:t>
      </w:r>
      <w:r w:rsidR="002B3BA5">
        <w:rPr>
          <w:rFonts w:ascii="Arial" w:hAnsi="Arial" w:cs="Arial"/>
          <w:sz w:val="22"/>
          <w:szCs w:val="22"/>
        </w:rPr>
        <w:t>8</w:t>
      </w:r>
      <w:r w:rsidR="00FC69F8" w:rsidRPr="007F4A23">
        <w:rPr>
          <w:rFonts w:ascii="Arial" w:hAnsi="Arial" w:cs="Arial"/>
          <w:sz w:val="22"/>
          <w:szCs w:val="22"/>
        </w:rPr>
        <w:t>%)</w:t>
      </w:r>
      <w:r w:rsidR="00FC69F8" w:rsidRPr="007F4A23">
        <w:rPr>
          <w:rStyle w:val="FootnoteReference"/>
          <w:rFonts w:ascii="Arial" w:hAnsi="Arial" w:cs="Arial"/>
          <w:sz w:val="22"/>
          <w:szCs w:val="22"/>
        </w:rPr>
        <w:footnoteReference w:id="2"/>
      </w:r>
      <w:r w:rsidRPr="007F4A23">
        <w:rPr>
          <w:rFonts w:ascii="Arial" w:hAnsi="Arial" w:cs="Arial"/>
          <w:sz w:val="22"/>
          <w:szCs w:val="22"/>
        </w:rPr>
        <w:t xml:space="preserve">. Es por lo anterior que los beneficios del Programa estimados de esta forma no serán el resultado de una mayor tasa de aprobación de educación terciaria sino que solamente el producto de una mayor cantidad de sujetos egresados de los establecimientos emplazados en territorios donde </w:t>
      </w:r>
      <w:r w:rsidR="00F7296E" w:rsidRPr="007F4A23">
        <w:rPr>
          <w:rFonts w:ascii="Arial" w:hAnsi="Arial" w:cs="Arial"/>
          <w:sz w:val="22"/>
          <w:szCs w:val="22"/>
        </w:rPr>
        <w:t xml:space="preserve">el </w:t>
      </w:r>
      <w:r w:rsidR="00D10E93" w:rsidRPr="007F4A23">
        <w:rPr>
          <w:rFonts w:ascii="Arial" w:hAnsi="Arial" w:cs="Arial"/>
          <w:sz w:val="22"/>
          <w:szCs w:val="22"/>
        </w:rPr>
        <w:t>P</w:t>
      </w:r>
      <w:r w:rsidRPr="007F4A23">
        <w:rPr>
          <w:rFonts w:ascii="Arial" w:hAnsi="Arial" w:cs="Arial"/>
          <w:sz w:val="22"/>
          <w:szCs w:val="22"/>
        </w:rPr>
        <w:t>rograma se implementará</w:t>
      </w:r>
      <w:r w:rsidR="00052C7C" w:rsidRPr="007F4A23">
        <w:rPr>
          <w:rFonts w:ascii="Arial" w:hAnsi="Arial" w:cs="Arial"/>
          <w:sz w:val="22"/>
          <w:szCs w:val="22"/>
        </w:rPr>
        <w:t xml:space="preserve"> </w:t>
      </w:r>
      <w:r w:rsidR="00FC69F8" w:rsidRPr="007F4A23">
        <w:rPr>
          <w:rFonts w:ascii="Arial" w:hAnsi="Arial" w:cs="Arial"/>
          <w:sz w:val="22"/>
          <w:szCs w:val="22"/>
        </w:rPr>
        <w:t xml:space="preserve">que ingresan a la educación terciaria </w:t>
      </w:r>
      <w:r w:rsidR="00052C7C" w:rsidRPr="007F4A23">
        <w:rPr>
          <w:rFonts w:ascii="Arial" w:hAnsi="Arial" w:cs="Arial"/>
          <w:sz w:val="22"/>
          <w:szCs w:val="22"/>
        </w:rPr>
        <w:t>y por lo tanto, una mayor cantidad de sujetos accediendo a ingresos mayores producto de alcanzar niveles educacionales educación terciaria completa o incompleta</w:t>
      </w:r>
      <w:r w:rsidR="00AC4499" w:rsidRPr="007F4A23">
        <w:rPr>
          <w:rFonts w:ascii="Arial" w:hAnsi="Arial" w:cs="Arial"/>
          <w:sz w:val="22"/>
          <w:szCs w:val="22"/>
        </w:rPr>
        <w:t>.</w:t>
      </w:r>
    </w:p>
    <w:p w14:paraId="5184FF4F" w14:textId="77777777" w:rsidR="00CC6957" w:rsidRPr="007F4A23" w:rsidRDefault="00CC6957" w:rsidP="001E7A28">
      <w:pPr>
        <w:numPr>
          <w:ilvl w:val="1"/>
          <w:numId w:val="22"/>
        </w:numPr>
        <w:rPr>
          <w:rFonts w:ascii="Arial" w:hAnsi="Arial" w:cs="Arial"/>
          <w:sz w:val="22"/>
          <w:szCs w:val="22"/>
        </w:rPr>
      </w:pPr>
      <w:r w:rsidRPr="007F4A23">
        <w:rPr>
          <w:rFonts w:ascii="Arial" w:hAnsi="Arial" w:cs="Arial"/>
          <w:sz w:val="22"/>
          <w:szCs w:val="22"/>
        </w:rPr>
        <w:t>Considerando la longevidad del actual modelo de educación municipalizada se efectuará las estimaciones asumiendo un horizonte temporal de 30 años como duración de la nueva política pública.</w:t>
      </w:r>
    </w:p>
    <w:p w14:paraId="5184FF50" w14:textId="77777777" w:rsidR="00AC4499" w:rsidRPr="007F4A23" w:rsidRDefault="00AC4499" w:rsidP="001E7A28">
      <w:pPr>
        <w:numPr>
          <w:ilvl w:val="1"/>
          <w:numId w:val="22"/>
        </w:numPr>
        <w:rPr>
          <w:rFonts w:ascii="Arial" w:hAnsi="Arial" w:cs="Arial"/>
          <w:sz w:val="22"/>
          <w:szCs w:val="22"/>
        </w:rPr>
      </w:pPr>
      <w:r w:rsidRPr="007F4A23">
        <w:rPr>
          <w:rFonts w:ascii="Arial" w:hAnsi="Arial" w:cs="Arial"/>
          <w:sz w:val="22"/>
          <w:szCs w:val="22"/>
        </w:rPr>
        <w:t>Se establecen tres escenarios distintos sobre la base de tres tasas de ingreso a la educación terciaria:</w:t>
      </w:r>
    </w:p>
    <w:p w14:paraId="5184FF51" w14:textId="47024158" w:rsidR="00AC4499" w:rsidRPr="007F4A23" w:rsidRDefault="00AC4499" w:rsidP="00AC4499">
      <w:pPr>
        <w:numPr>
          <w:ilvl w:val="2"/>
          <w:numId w:val="22"/>
        </w:numPr>
        <w:rPr>
          <w:rFonts w:ascii="Arial" w:hAnsi="Arial" w:cs="Arial"/>
          <w:sz w:val="22"/>
          <w:szCs w:val="22"/>
        </w:rPr>
      </w:pPr>
      <w:r w:rsidRPr="007F4A23">
        <w:rPr>
          <w:rFonts w:ascii="Arial" w:hAnsi="Arial" w:cs="Arial"/>
          <w:sz w:val="22"/>
          <w:szCs w:val="22"/>
        </w:rPr>
        <w:t xml:space="preserve">Escenario 1 (E1): Aumento en la tasa de ingreso a la educación terciaria </w:t>
      </w:r>
      <w:r w:rsidR="00D10E93" w:rsidRPr="007F4A23">
        <w:rPr>
          <w:rFonts w:ascii="Arial" w:hAnsi="Arial" w:cs="Arial"/>
          <w:sz w:val="22"/>
          <w:szCs w:val="22"/>
        </w:rPr>
        <w:t>2</w:t>
      </w:r>
      <w:r w:rsidRPr="007F4A23">
        <w:rPr>
          <w:rFonts w:ascii="Arial" w:hAnsi="Arial" w:cs="Arial"/>
          <w:sz w:val="22"/>
          <w:szCs w:val="22"/>
        </w:rPr>
        <w:t>% mayor a la tasa actual (</w:t>
      </w:r>
      <w:r w:rsidR="00EC008B">
        <w:rPr>
          <w:rFonts w:ascii="Arial" w:hAnsi="Arial" w:cs="Arial"/>
          <w:sz w:val="22"/>
          <w:szCs w:val="22"/>
        </w:rPr>
        <w:t>6</w:t>
      </w:r>
      <w:r w:rsidR="00BD33DF">
        <w:rPr>
          <w:rFonts w:ascii="Arial" w:hAnsi="Arial" w:cs="Arial"/>
          <w:sz w:val="22"/>
          <w:szCs w:val="22"/>
        </w:rPr>
        <w:t>0</w:t>
      </w:r>
      <w:r w:rsidRPr="007F4A23">
        <w:rPr>
          <w:rFonts w:ascii="Arial" w:hAnsi="Arial" w:cs="Arial"/>
          <w:sz w:val="22"/>
          <w:szCs w:val="22"/>
        </w:rPr>
        <w:t>%)</w:t>
      </w:r>
      <w:r w:rsidR="00AC22A9">
        <w:rPr>
          <w:rFonts w:ascii="Arial" w:hAnsi="Arial" w:cs="Arial"/>
          <w:sz w:val="22"/>
          <w:szCs w:val="22"/>
        </w:rPr>
        <w:t>.</w:t>
      </w:r>
    </w:p>
    <w:p w14:paraId="5184FF52" w14:textId="4993D294" w:rsidR="00F70BC2" w:rsidRPr="007F4A23" w:rsidRDefault="00AC4499" w:rsidP="003A542A">
      <w:pPr>
        <w:numPr>
          <w:ilvl w:val="2"/>
          <w:numId w:val="22"/>
        </w:numPr>
        <w:rPr>
          <w:rFonts w:ascii="Arial" w:hAnsi="Arial" w:cs="Arial"/>
          <w:sz w:val="22"/>
          <w:szCs w:val="22"/>
        </w:rPr>
      </w:pPr>
      <w:r w:rsidRPr="007F4A23">
        <w:rPr>
          <w:rFonts w:ascii="Arial" w:hAnsi="Arial" w:cs="Arial"/>
          <w:sz w:val="22"/>
          <w:szCs w:val="22"/>
        </w:rPr>
        <w:t xml:space="preserve">Escenarios 2 (E2): Aumento en la tasa de ingreso a la educación terciaria </w:t>
      </w:r>
      <w:r w:rsidR="00D10E93" w:rsidRPr="007F4A23">
        <w:rPr>
          <w:rFonts w:ascii="Arial" w:hAnsi="Arial" w:cs="Arial"/>
          <w:sz w:val="22"/>
          <w:szCs w:val="22"/>
        </w:rPr>
        <w:t>5</w:t>
      </w:r>
      <w:r w:rsidRPr="007F4A23">
        <w:rPr>
          <w:rFonts w:ascii="Arial" w:hAnsi="Arial" w:cs="Arial"/>
          <w:sz w:val="22"/>
          <w:szCs w:val="22"/>
        </w:rPr>
        <w:t>% mayor a la tasa actual (</w:t>
      </w:r>
      <w:r w:rsidR="00EC008B">
        <w:rPr>
          <w:rFonts w:ascii="Arial" w:hAnsi="Arial" w:cs="Arial"/>
          <w:sz w:val="22"/>
          <w:szCs w:val="22"/>
        </w:rPr>
        <w:t>6</w:t>
      </w:r>
      <w:r w:rsidR="00BD33DF">
        <w:rPr>
          <w:rFonts w:ascii="Arial" w:hAnsi="Arial" w:cs="Arial"/>
          <w:sz w:val="22"/>
          <w:szCs w:val="22"/>
        </w:rPr>
        <w:t>0</w:t>
      </w:r>
      <w:r w:rsidRPr="007F4A23">
        <w:rPr>
          <w:rFonts w:ascii="Arial" w:hAnsi="Arial" w:cs="Arial"/>
          <w:sz w:val="22"/>
          <w:szCs w:val="22"/>
        </w:rPr>
        <w:t>%)</w:t>
      </w:r>
      <w:r w:rsidR="00AC22A9">
        <w:rPr>
          <w:rFonts w:ascii="Arial" w:hAnsi="Arial" w:cs="Arial"/>
          <w:sz w:val="22"/>
          <w:szCs w:val="22"/>
        </w:rPr>
        <w:t>.</w:t>
      </w:r>
    </w:p>
    <w:p w14:paraId="5184FF53" w14:textId="3C91B50B" w:rsidR="00AC4499" w:rsidRDefault="00AC4499" w:rsidP="003A542A">
      <w:pPr>
        <w:numPr>
          <w:ilvl w:val="2"/>
          <w:numId w:val="22"/>
        </w:numPr>
        <w:rPr>
          <w:rFonts w:ascii="Arial" w:hAnsi="Arial" w:cs="Arial"/>
          <w:sz w:val="22"/>
          <w:szCs w:val="22"/>
        </w:rPr>
      </w:pPr>
      <w:r w:rsidRPr="007F4A23">
        <w:rPr>
          <w:rFonts w:ascii="Arial" w:hAnsi="Arial" w:cs="Arial"/>
          <w:sz w:val="22"/>
          <w:szCs w:val="22"/>
        </w:rPr>
        <w:t xml:space="preserve">Escenarios 3 (E3): Aumento en la tasa de ingreso a la educación terciaria </w:t>
      </w:r>
      <w:r w:rsidR="00D10E93" w:rsidRPr="007F4A23">
        <w:rPr>
          <w:rFonts w:ascii="Arial" w:hAnsi="Arial" w:cs="Arial"/>
          <w:sz w:val="22"/>
          <w:szCs w:val="22"/>
        </w:rPr>
        <w:t>10</w:t>
      </w:r>
      <w:r w:rsidRPr="007F4A23">
        <w:rPr>
          <w:rFonts w:ascii="Arial" w:hAnsi="Arial" w:cs="Arial"/>
          <w:sz w:val="22"/>
          <w:szCs w:val="22"/>
        </w:rPr>
        <w:t>% mayor a la tasa actual (</w:t>
      </w:r>
      <w:r w:rsidR="00EC008B">
        <w:rPr>
          <w:rFonts w:ascii="Arial" w:hAnsi="Arial" w:cs="Arial"/>
          <w:sz w:val="22"/>
          <w:szCs w:val="22"/>
        </w:rPr>
        <w:t>6</w:t>
      </w:r>
      <w:r w:rsidR="00BD33DF">
        <w:rPr>
          <w:rFonts w:ascii="Arial" w:hAnsi="Arial" w:cs="Arial"/>
          <w:sz w:val="22"/>
          <w:szCs w:val="22"/>
        </w:rPr>
        <w:t>0</w:t>
      </w:r>
      <w:r w:rsidRPr="007F4A23">
        <w:rPr>
          <w:rFonts w:ascii="Arial" w:hAnsi="Arial" w:cs="Arial"/>
          <w:sz w:val="22"/>
          <w:szCs w:val="22"/>
        </w:rPr>
        <w:t>%)</w:t>
      </w:r>
      <w:r w:rsidR="00AC22A9">
        <w:rPr>
          <w:rFonts w:ascii="Arial" w:hAnsi="Arial" w:cs="Arial"/>
          <w:sz w:val="22"/>
          <w:szCs w:val="22"/>
        </w:rPr>
        <w:t>.</w:t>
      </w:r>
    </w:p>
    <w:p w14:paraId="08531CD0" w14:textId="77777777" w:rsidR="007D1CD6" w:rsidRDefault="00AC22A9" w:rsidP="00AC22A9">
      <w:pPr>
        <w:pStyle w:val="ListParagraph"/>
        <w:numPr>
          <w:ilvl w:val="1"/>
          <w:numId w:val="22"/>
        </w:numPr>
        <w:rPr>
          <w:rFonts w:ascii="Arial" w:hAnsi="Arial" w:cs="Arial"/>
        </w:rPr>
      </w:pPr>
      <w:r w:rsidRPr="00AC22A9">
        <w:rPr>
          <w:rFonts w:ascii="Arial" w:hAnsi="Arial" w:cs="Arial"/>
        </w:rPr>
        <w:t>Para efectuar la conversión de pesos chilenos a dólares americanos se</w:t>
      </w:r>
      <w:r>
        <w:rPr>
          <w:rFonts w:ascii="Arial" w:hAnsi="Arial" w:cs="Arial"/>
        </w:rPr>
        <w:t xml:space="preserve"> utilizará </w:t>
      </w:r>
      <w:r w:rsidRPr="00AC22A9">
        <w:rPr>
          <w:rFonts w:ascii="Arial" w:hAnsi="Arial" w:cs="Arial"/>
        </w:rPr>
        <w:t xml:space="preserve">un tipo de cambio de CL$750 por USD. </w:t>
      </w:r>
    </w:p>
    <w:p w14:paraId="440AEFA1" w14:textId="7D1C6562" w:rsidR="00AC22A9" w:rsidRPr="00AC22A9" w:rsidRDefault="007D1CD6" w:rsidP="00AC22A9">
      <w:pPr>
        <w:pStyle w:val="ListParagraph"/>
        <w:numPr>
          <w:ilvl w:val="1"/>
          <w:numId w:val="22"/>
        </w:numPr>
        <w:rPr>
          <w:rFonts w:ascii="Arial" w:hAnsi="Arial" w:cs="Arial"/>
        </w:rPr>
      </w:pPr>
      <w:r>
        <w:rPr>
          <w:rFonts w:ascii="Arial" w:hAnsi="Arial" w:cs="Arial"/>
        </w:rPr>
        <w:t xml:space="preserve">La tasa de </w:t>
      </w:r>
      <w:r w:rsidR="009721C0">
        <w:rPr>
          <w:rFonts w:ascii="Arial" w:hAnsi="Arial" w:cs="Arial"/>
        </w:rPr>
        <w:t xml:space="preserve">inflación anual utilizada será de un 3%, </w:t>
      </w:r>
      <w:r w:rsidR="00AC22A9" w:rsidRPr="00AC22A9">
        <w:rPr>
          <w:rFonts w:ascii="Arial" w:hAnsi="Arial" w:cs="Arial"/>
        </w:rPr>
        <w:t>valor establecido por el Banco Central de Chile como meta.</w:t>
      </w:r>
    </w:p>
    <w:p w14:paraId="5184FF54" w14:textId="4673E9C5" w:rsidR="00AC4499" w:rsidRPr="007F4A23" w:rsidRDefault="00AC4499" w:rsidP="00AC4499">
      <w:pPr>
        <w:rPr>
          <w:rFonts w:ascii="Arial" w:hAnsi="Arial" w:cs="Arial"/>
          <w:sz w:val="22"/>
          <w:szCs w:val="22"/>
        </w:rPr>
      </w:pPr>
      <w:r w:rsidRPr="007F4A23">
        <w:rPr>
          <w:rFonts w:ascii="Arial" w:hAnsi="Arial" w:cs="Arial"/>
          <w:sz w:val="22"/>
          <w:szCs w:val="22"/>
        </w:rPr>
        <w:t xml:space="preserve">Considerando el hecho de que la tasa de ingreso a la educación terciaria actual de los estudiantes de establecimientos particulares es de </w:t>
      </w:r>
      <w:r w:rsidR="00EC008B">
        <w:rPr>
          <w:rFonts w:ascii="Arial" w:hAnsi="Arial" w:cs="Arial"/>
          <w:sz w:val="22"/>
          <w:szCs w:val="22"/>
        </w:rPr>
        <w:t>9</w:t>
      </w:r>
      <w:r w:rsidR="00BD33DF">
        <w:rPr>
          <w:rFonts w:ascii="Arial" w:hAnsi="Arial" w:cs="Arial"/>
          <w:sz w:val="22"/>
          <w:szCs w:val="22"/>
        </w:rPr>
        <w:t>1</w:t>
      </w:r>
      <w:r w:rsidR="00EC008B">
        <w:rPr>
          <w:rFonts w:ascii="Arial" w:hAnsi="Arial" w:cs="Arial"/>
          <w:sz w:val="22"/>
          <w:szCs w:val="22"/>
        </w:rPr>
        <w:t>,</w:t>
      </w:r>
      <w:r w:rsidR="00BD33DF">
        <w:rPr>
          <w:rFonts w:ascii="Arial" w:hAnsi="Arial" w:cs="Arial"/>
          <w:sz w:val="22"/>
          <w:szCs w:val="22"/>
        </w:rPr>
        <w:t>3</w:t>
      </w:r>
      <w:r w:rsidRPr="007F4A23">
        <w:rPr>
          <w:rFonts w:ascii="Arial" w:hAnsi="Arial" w:cs="Arial"/>
          <w:sz w:val="22"/>
          <w:szCs w:val="22"/>
        </w:rPr>
        <w:t>%</w:t>
      </w:r>
      <w:r w:rsidR="002C06CC" w:rsidRPr="007F4A23">
        <w:rPr>
          <w:rFonts w:ascii="Arial" w:hAnsi="Arial" w:cs="Arial"/>
          <w:sz w:val="22"/>
          <w:szCs w:val="22"/>
        </w:rPr>
        <w:t>, cualquiera sea el escenario</w:t>
      </w:r>
      <w:r w:rsidR="00297EC9" w:rsidRPr="007F4A23">
        <w:rPr>
          <w:rFonts w:ascii="Arial" w:hAnsi="Arial" w:cs="Arial"/>
          <w:sz w:val="22"/>
          <w:szCs w:val="22"/>
        </w:rPr>
        <w:t xml:space="preserve"> el porcentaje de alumnos ingresados a la educación terciaria de establecimientos </w:t>
      </w:r>
      <w:r w:rsidR="002C06CC" w:rsidRPr="007F4A23">
        <w:rPr>
          <w:rFonts w:ascii="Arial" w:hAnsi="Arial" w:cs="Arial"/>
          <w:sz w:val="22"/>
          <w:szCs w:val="22"/>
        </w:rPr>
        <w:t>en los que se implementará el Programa</w:t>
      </w:r>
      <w:r w:rsidR="00297EC9" w:rsidRPr="007F4A23">
        <w:rPr>
          <w:rFonts w:ascii="Arial" w:hAnsi="Arial" w:cs="Arial"/>
          <w:sz w:val="22"/>
          <w:szCs w:val="22"/>
        </w:rPr>
        <w:t xml:space="preserve"> será menor</w:t>
      </w:r>
      <w:r w:rsidR="002C06CC" w:rsidRPr="007F4A23">
        <w:rPr>
          <w:rFonts w:ascii="Arial" w:hAnsi="Arial" w:cs="Arial"/>
          <w:sz w:val="22"/>
          <w:szCs w:val="22"/>
        </w:rPr>
        <w:t xml:space="preserve"> a dicha cifra (</w:t>
      </w:r>
      <w:r w:rsidR="00EC008B">
        <w:rPr>
          <w:rFonts w:ascii="Arial" w:hAnsi="Arial" w:cs="Arial"/>
          <w:sz w:val="22"/>
          <w:szCs w:val="22"/>
        </w:rPr>
        <w:t>7</w:t>
      </w:r>
      <w:r w:rsidR="00BD33DF">
        <w:rPr>
          <w:rFonts w:ascii="Arial" w:hAnsi="Arial" w:cs="Arial"/>
          <w:sz w:val="22"/>
          <w:szCs w:val="22"/>
        </w:rPr>
        <w:t>0</w:t>
      </w:r>
      <w:r w:rsidR="002C06CC" w:rsidRPr="007F4A23">
        <w:rPr>
          <w:rFonts w:ascii="Arial" w:hAnsi="Arial" w:cs="Arial"/>
          <w:sz w:val="22"/>
          <w:szCs w:val="22"/>
        </w:rPr>
        <w:t>% en el caso del escenario 3)</w:t>
      </w:r>
      <w:r w:rsidR="00297EC9" w:rsidRPr="007F4A23">
        <w:rPr>
          <w:rFonts w:ascii="Arial" w:hAnsi="Arial" w:cs="Arial"/>
          <w:sz w:val="22"/>
          <w:szCs w:val="22"/>
        </w:rPr>
        <w:t xml:space="preserve">. De la misma forma, considerando los hallazgos de </w:t>
      </w:r>
      <w:r w:rsidR="00297EC9"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"author" : [ { "dropping-particle" : "", "family" : "Whitehurst", "given" : "Grover J Russ", "non-dropping-particle" : "", "parse-names" : false, "suffix" : "" }, { "dropping-particle" : "", "family" : "Chingos", "given" : "Matthew M", "non-dropping-particle" : "", "parse-names" : false, "suffix" : "" }, { "dropping-particle" : "", "family" : "Gallaher", "given" : "Michael R", "non-dropping-particle" : "", "parse-names" : false, "suffix" : "" } ], "id" : "ITEM-1", "issue" : "March", "issued" : { "date-parts" : [ [ "2013" ] ] }, "title" : "Do School District Matter?", "type" : "article-journal" }, "uris" : [ "http://www.mendeley.com/documents/?uuid=848a77a7-c758-4c1d-a94b-cb75a14312de" ] } ], "mendeley" : { "formattedCitation" : "(Whitehurst et al. 2013)", "manualFormatting" : "Whitehurst et al. 2013", "plainTextFormattedCitation" : "(Whitehurst et al. 2013)", "previouslyFormattedCitation" : "(Whitehurst et al. 2013)" }, "properties" : { "noteIndex" : 0 }, "schema" : "https://github.com/citation-style-language/schema/raw/master/csl-citation.json" }</w:instrText>
      </w:r>
      <w:r w:rsidR="00297EC9" w:rsidRPr="007F4A23">
        <w:rPr>
          <w:rFonts w:ascii="Arial" w:hAnsi="Arial" w:cs="Arial"/>
          <w:sz w:val="22"/>
          <w:szCs w:val="22"/>
        </w:rPr>
        <w:fldChar w:fldCharType="separate"/>
      </w:r>
      <w:r w:rsidR="00297EC9" w:rsidRPr="007F4A23">
        <w:rPr>
          <w:rFonts w:ascii="Arial" w:hAnsi="Arial" w:cs="Arial"/>
          <w:noProof/>
          <w:sz w:val="22"/>
          <w:szCs w:val="22"/>
        </w:rPr>
        <w:t xml:space="preserve">Whitehurst et al. </w:t>
      </w:r>
      <w:r w:rsidR="00151EF7">
        <w:rPr>
          <w:rFonts w:ascii="Arial" w:hAnsi="Arial" w:cs="Arial"/>
          <w:noProof/>
          <w:sz w:val="22"/>
          <w:szCs w:val="22"/>
        </w:rPr>
        <w:t>(</w:t>
      </w:r>
      <w:r w:rsidR="00297EC9" w:rsidRPr="007F4A23">
        <w:rPr>
          <w:rFonts w:ascii="Arial" w:hAnsi="Arial" w:cs="Arial"/>
          <w:noProof/>
          <w:sz w:val="22"/>
          <w:szCs w:val="22"/>
        </w:rPr>
        <w:t>2013</w:t>
      </w:r>
      <w:r w:rsidR="00297EC9" w:rsidRPr="007F4A23">
        <w:rPr>
          <w:rFonts w:ascii="Arial" w:hAnsi="Arial" w:cs="Arial"/>
          <w:sz w:val="22"/>
          <w:szCs w:val="22"/>
        </w:rPr>
        <w:fldChar w:fldCharType="end"/>
      </w:r>
      <w:r w:rsidR="00151EF7">
        <w:rPr>
          <w:rFonts w:ascii="Arial" w:hAnsi="Arial" w:cs="Arial"/>
          <w:sz w:val="22"/>
          <w:szCs w:val="22"/>
        </w:rPr>
        <w:t>)</w:t>
      </w:r>
      <w:r w:rsidR="00297EC9" w:rsidRPr="007F4A23">
        <w:rPr>
          <w:rFonts w:ascii="Arial" w:hAnsi="Arial" w:cs="Arial"/>
          <w:sz w:val="22"/>
          <w:szCs w:val="22"/>
        </w:rPr>
        <w:t xml:space="preserve">, los tres escenarios planteados parecen del todo verosímiles considerando que cambios relevantes en la modalidad de administración de dichos establecimientos podrían generar </w:t>
      </w:r>
      <w:r w:rsidR="001326E4" w:rsidRPr="007F4A23">
        <w:rPr>
          <w:rFonts w:ascii="Arial" w:hAnsi="Arial" w:cs="Arial"/>
          <w:sz w:val="22"/>
          <w:szCs w:val="22"/>
        </w:rPr>
        <w:t>una mejora en la calidad educativa equivalente a un 25% del aprendizaje de un año escolar.</w:t>
      </w:r>
      <w:r w:rsidR="007C4757">
        <w:rPr>
          <w:rFonts w:ascii="Arial" w:hAnsi="Arial" w:cs="Arial"/>
          <w:sz w:val="22"/>
          <w:szCs w:val="22"/>
        </w:rPr>
        <w:t xml:space="preserve"> Estos tres escenarios se definieron </w:t>
      </w:r>
      <w:r w:rsidR="00073A2E">
        <w:rPr>
          <w:rFonts w:ascii="Arial" w:hAnsi="Arial" w:cs="Arial"/>
          <w:sz w:val="22"/>
          <w:szCs w:val="22"/>
        </w:rPr>
        <w:t xml:space="preserve">de manera de </w:t>
      </w:r>
      <w:r w:rsidR="007C4757">
        <w:rPr>
          <w:rFonts w:ascii="Arial" w:hAnsi="Arial" w:cs="Arial"/>
          <w:sz w:val="22"/>
          <w:szCs w:val="22"/>
        </w:rPr>
        <w:t xml:space="preserve">incorporar al análisis </w:t>
      </w:r>
      <w:r w:rsidR="00180DE8">
        <w:rPr>
          <w:rFonts w:ascii="Arial" w:hAnsi="Arial" w:cs="Arial"/>
          <w:sz w:val="22"/>
          <w:szCs w:val="22"/>
        </w:rPr>
        <w:t xml:space="preserve">económico los riesgos </w:t>
      </w:r>
      <w:r w:rsidR="00460A00">
        <w:rPr>
          <w:rFonts w:ascii="Arial" w:hAnsi="Arial" w:cs="Arial"/>
          <w:sz w:val="22"/>
          <w:szCs w:val="22"/>
        </w:rPr>
        <w:t>identificado</w:t>
      </w:r>
      <w:r w:rsidR="00591E9A">
        <w:rPr>
          <w:rFonts w:ascii="Arial" w:hAnsi="Arial" w:cs="Arial"/>
          <w:sz w:val="22"/>
          <w:szCs w:val="22"/>
        </w:rPr>
        <w:t xml:space="preserve">s </w:t>
      </w:r>
      <w:r w:rsidR="00916ECF">
        <w:rPr>
          <w:rFonts w:ascii="Arial" w:hAnsi="Arial" w:cs="Arial"/>
          <w:sz w:val="22"/>
          <w:szCs w:val="22"/>
        </w:rPr>
        <w:t>en el</w:t>
      </w:r>
      <w:r w:rsidR="00111256">
        <w:rPr>
          <w:rFonts w:ascii="Arial" w:hAnsi="Arial" w:cs="Arial"/>
          <w:sz w:val="22"/>
          <w:szCs w:val="22"/>
        </w:rPr>
        <w:t xml:space="preserve"> análisis de riesgos de la operación, siendo los más relevantes</w:t>
      </w:r>
      <w:r w:rsidR="00DD37CB">
        <w:rPr>
          <w:rFonts w:ascii="Arial" w:hAnsi="Arial" w:cs="Arial"/>
          <w:sz w:val="22"/>
          <w:szCs w:val="22"/>
        </w:rPr>
        <w:t xml:space="preserve">: (i) que </w:t>
      </w:r>
      <w:r w:rsidR="000A67AF">
        <w:rPr>
          <w:rFonts w:ascii="Arial" w:hAnsi="Arial" w:cs="Arial"/>
          <w:sz w:val="22"/>
          <w:szCs w:val="22"/>
        </w:rPr>
        <w:t xml:space="preserve">la poca experiencia de la DEP </w:t>
      </w:r>
      <w:r w:rsidR="00AC61B2">
        <w:rPr>
          <w:rFonts w:ascii="Arial" w:hAnsi="Arial" w:cs="Arial"/>
          <w:sz w:val="22"/>
          <w:szCs w:val="22"/>
        </w:rPr>
        <w:t>en la gestión de proyectos con organizamos internacionales</w:t>
      </w:r>
      <w:r w:rsidR="0023558A">
        <w:rPr>
          <w:rFonts w:ascii="Arial" w:hAnsi="Arial" w:cs="Arial"/>
          <w:sz w:val="22"/>
          <w:szCs w:val="22"/>
        </w:rPr>
        <w:t xml:space="preserve"> lleve a dificultades administrativas que </w:t>
      </w:r>
      <w:r w:rsidR="00AA59B1">
        <w:rPr>
          <w:rFonts w:ascii="Arial" w:hAnsi="Arial" w:cs="Arial"/>
          <w:sz w:val="22"/>
          <w:szCs w:val="22"/>
        </w:rPr>
        <w:t>generen</w:t>
      </w:r>
      <w:r w:rsidR="00B45678">
        <w:rPr>
          <w:rFonts w:ascii="Arial" w:hAnsi="Arial" w:cs="Arial"/>
          <w:sz w:val="22"/>
          <w:szCs w:val="22"/>
        </w:rPr>
        <w:t xml:space="preserve"> retrasos </w:t>
      </w:r>
      <w:r w:rsidR="00AA59B1">
        <w:rPr>
          <w:rFonts w:ascii="Arial" w:hAnsi="Arial" w:cs="Arial"/>
          <w:sz w:val="22"/>
          <w:szCs w:val="22"/>
        </w:rPr>
        <w:t xml:space="preserve">en el cronograma de </w:t>
      </w:r>
      <w:r w:rsidR="00192698">
        <w:rPr>
          <w:rFonts w:ascii="Arial" w:hAnsi="Arial" w:cs="Arial"/>
          <w:sz w:val="22"/>
          <w:szCs w:val="22"/>
        </w:rPr>
        <w:t>ejecución</w:t>
      </w:r>
      <w:r w:rsidR="00AC61B2">
        <w:rPr>
          <w:rFonts w:ascii="Arial" w:hAnsi="Arial" w:cs="Arial"/>
          <w:sz w:val="22"/>
          <w:szCs w:val="22"/>
        </w:rPr>
        <w:t xml:space="preserve">; y (ii) </w:t>
      </w:r>
      <w:r w:rsidR="00A26513">
        <w:rPr>
          <w:rFonts w:ascii="Arial" w:hAnsi="Arial" w:cs="Arial"/>
          <w:sz w:val="22"/>
          <w:szCs w:val="22"/>
        </w:rPr>
        <w:t>que l</w:t>
      </w:r>
      <w:r w:rsidR="00192698" w:rsidRPr="00192698">
        <w:rPr>
          <w:rFonts w:ascii="Arial" w:hAnsi="Arial" w:cs="Arial"/>
          <w:sz w:val="22"/>
          <w:szCs w:val="22"/>
        </w:rPr>
        <w:t>a reactivación de los incidentes producto de la crisis social en Chile desde el 18 de octubre de 2019 o los efectos del COVID-19 obstaculicen</w:t>
      </w:r>
      <w:r w:rsidR="00192698">
        <w:rPr>
          <w:rFonts w:ascii="Arial" w:hAnsi="Arial" w:cs="Arial"/>
          <w:sz w:val="22"/>
          <w:szCs w:val="22"/>
        </w:rPr>
        <w:t xml:space="preserve"> la verificación de resultados. </w:t>
      </w:r>
      <w:r w:rsidR="00E36A41">
        <w:rPr>
          <w:rFonts w:ascii="Arial" w:hAnsi="Arial" w:cs="Arial"/>
          <w:sz w:val="22"/>
          <w:szCs w:val="22"/>
        </w:rPr>
        <w:t xml:space="preserve">Así, se utilizó el supuesto de </w:t>
      </w:r>
      <w:r w:rsidR="00AA4B8E">
        <w:rPr>
          <w:rFonts w:ascii="Arial" w:hAnsi="Arial" w:cs="Arial"/>
          <w:sz w:val="22"/>
          <w:szCs w:val="22"/>
        </w:rPr>
        <w:t>que,</w:t>
      </w:r>
      <w:r w:rsidR="00E36A41">
        <w:rPr>
          <w:rFonts w:ascii="Arial" w:hAnsi="Arial" w:cs="Arial"/>
          <w:sz w:val="22"/>
          <w:szCs w:val="22"/>
        </w:rPr>
        <w:t xml:space="preserve"> s</w:t>
      </w:r>
      <w:r w:rsidR="00A73D7A">
        <w:rPr>
          <w:rFonts w:ascii="Arial" w:hAnsi="Arial" w:cs="Arial"/>
          <w:sz w:val="22"/>
          <w:szCs w:val="22"/>
        </w:rPr>
        <w:t xml:space="preserve">i uno de estos riesgos afectara significativamente la operación, </w:t>
      </w:r>
      <w:r w:rsidR="001B3908" w:rsidRPr="007F4A23">
        <w:rPr>
          <w:rFonts w:ascii="Arial" w:hAnsi="Arial" w:cs="Arial"/>
          <w:sz w:val="22"/>
          <w:szCs w:val="22"/>
        </w:rPr>
        <w:t>tasa de ingreso a la educación terciaria</w:t>
      </w:r>
      <w:r w:rsidR="001B3908">
        <w:rPr>
          <w:rFonts w:ascii="Arial" w:hAnsi="Arial" w:cs="Arial"/>
          <w:sz w:val="22"/>
          <w:szCs w:val="22"/>
        </w:rPr>
        <w:t xml:space="preserve"> </w:t>
      </w:r>
      <w:r w:rsidR="009E724F">
        <w:rPr>
          <w:rFonts w:ascii="Arial" w:hAnsi="Arial" w:cs="Arial"/>
          <w:sz w:val="22"/>
          <w:szCs w:val="22"/>
        </w:rPr>
        <w:t xml:space="preserve">en vez de aumenta un 10% solo lo haría </w:t>
      </w:r>
      <w:r w:rsidR="001B3908">
        <w:rPr>
          <w:rFonts w:ascii="Arial" w:hAnsi="Arial" w:cs="Arial"/>
          <w:sz w:val="22"/>
          <w:szCs w:val="22"/>
        </w:rPr>
        <w:t xml:space="preserve">un </w:t>
      </w:r>
      <w:r w:rsidR="00C14F3F">
        <w:rPr>
          <w:rFonts w:ascii="Arial" w:hAnsi="Arial" w:cs="Arial"/>
          <w:sz w:val="22"/>
          <w:szCs w:val="22"/>
        </w:rPr>
        <w:t xml:space="preserve">5%, y si ambos </w:t>
      </w:r>
      <w:r w:rsidR="009E724F">
        <w:rPr>
          <w:rFonts w:ascii="Arial" w:hAnsi="Arial" w:cs="Arial"/>
          <w:sz w:val="22"/>
          <w:szCs w:val="22"/>
        </w:rPr>
        <w:t>riesgos afectaran la</w:t>
      </w:r>
      <w:r w:rsidR="004A7B4A">
        <w:rPr>
          <w:rFonts w:ascii="Arial" w:hAnsi="Arial" w:cs="Arial"/>
          <w:sz w:val="22"/>
          <w:szCs w:val="22"/>
        </w:rPr>
        <w:t xml:space="preserve"> operación, la tasa de </w:t>
      </w:r>
      <w:r w:rsidR="004A7B4A" w:rsidRPr="007F4A23">
        <w:rPr>
          <w:rFonts w:ascii="Arial" w:hAnsi="Arial" w:cs="Arial"/>
          <w:sz w:val="22"/>
          <w:szCs w:val="22"/>
        </w:rPr>
        <w:t>ingreso a la educación terciaria</w:t>
      </w:r>
      <w:r w:rsidR="004A7B4A">
        <w:rPr>
          <w:rFonts w:ascii="Arial" w:hAnsi="Arial" w:cs="Arial"/>
          <w:sz w:val="22"/>
          <w:szCs w:val="22"/>
        </w:rPr>
        <w:t xml:space="preserve"> solo aumentaría un 2%. </w:t>
      </w:r>
    </w:p>
    <w:p w14:paraId="5184FF55" w14:textId="77777777" w:rsidR="001326E4" w:rsidRPr="007F4A23" w:rsidRDefault="001326E4" w:rsidP="00AC4499">
      <w:pPr>
        <w:rPr>
          <w:rFonts w:ascii="Arial" w:hAnsi="Arial" w:cs="Arial"/>
          <w:sz w:val="22"/>
          <w:szCs w:val="22"/>
        </w:rPr>
      </w:pPr>
    </w:p>
    <w:p w14:paraId="5184FF56" w14:textId="77777777" w:rsidR="003A30D0" w:rsidRPr="007F4A23" w:rsidRDefault="003A30D0" w:rsidP="003A542A">
      <w:pPr>
        <w:numPr>
          <w:ilvl w:val="0"/>
          <w:numId w:val="22"/>
        </w:numPr>
        <w:rPr>
          <w:rFonts w:ascii="Arial" w:hAnsi="Arial" w:cs="Arial"/>
          <w:sz w:val="22"/>
          <w:szCs w:val="22"/>
        </w:rPr>
      </w:pPr>
      <w:r w:rsidRPr="007F4A23">
        <w:rPr>
          <w:rFonts w:ascii="Arial" w:hAnsi="Arial" w:cs="Arial"/>
          <w:sz w:val="22"/>
          <w:szCs w:val="22"/>
        </w:rPr>
        <w:lastRenderedPageBreak/>
        <w:t>Metodología</w:t>
      </w:r>
    </w:p>
    <w:p w14:paraId="5184FF57" w14:textId="531D1CBC" w:rsidR="003A30D0" w:rsidRPr="007F4A23" w:rsidRDefault="001326E4" w:rsidP="003A542A">
      <w:pPr>
        <w:rPr>
          <w:rFonts w:ascii="Arial" w:hAnsi="Arial" w:cs="Arial"/>
          <w:sz w:val="22"/>
          <w:szCs w:val="22"/>
        </w:rPr>
      </w:pPr>
      <w:bookmarkStart w:id="5" w:name="_Hlk18329661"/>
      <w:r w:rsidRPr="007F4A23">
        <w:rPr>
          <w:rFonts w:ascii="Arial" w:hAnsi="Arial" w:cs="Arial"/>
          <w:sz w:val="22"/>
          <w:szCs w:val="22"/>
        </w:rPr>
        <w:t xml:space="preserve">Para la estimación de los beneficios directos del programa se determinó en primer lugar las primas de ingreso que diferencian a los individuos que no alcanzan educación superior de aquellos que </w:t>
      </w:r>
      <w:r w:rsidR="00FE110A" w:rsidRPr="007F4A23">
        <w:rPr>
          <w:rFonts w:ascii="Arial" w:hAnsi="Arial" w:cs="Arial"/>
          <w:sz w:val="22"/>
          <w:szCs w:val="22"/>
        </w:rPr>
        <w:t>sí</w:t>
      </w:r>
      <w:r w:rsidRPr="007F4A23">
        <w:rPr>
          <w:rFonts w:ascii="Arial" w:hAnsi="Arial" w:cs="Arial"/>
          <w:sz w:val="22"/>
          <w:szCs w:val="22"/>
        </w:rPr>
        <w:t xml:space="preserve">, sea que estos la completen o no. </w:t>
      </w:r>
      <w:bookmarkStart w:id="6" w:name="_Hlk18329693"/>
      <w:r w:rsidRPr="002B5032">
        <w:rPr>
          <w:rFonts w:ascii="Arial" w:hAnsi="Arial" w:cs="Arial"/>
          <w:sz w:val="22"/>
          <w:szCs w:val="22"/>
        </w:rPr>
        <w:t xml:space="preserve">Para ello se </w:t>
      </w:r>
      <w:r w:rsidR="00792A48" w:rsidRPr="002B5032">
        <w:rPr>
          <w:rFonts w:ascii="Arial" w:hAnsi="Arial" w:cs="Arial"/>
          <w:sz w:val="22"/>
          <w:szCs w:val="22"/>
        </w:rPr>
        <w:t xml:space="preserve">estimó la regresión de </w:t>
      </w:r>
      <w:r w:rsidR="00792A48" w:rsidRPr="002B5032">
        <w:rPr>
          <w:rFonts w:ascii="Arial" w:hAnsi="Arial" w:cs="Arial"/>
          <w:sz w:val="22"/>
          <w:szCs w:val="22"/>
          <w:highlight w:val="yellow"/>
        </w:rPr>
        <w:fldChar w:fldCharType="begin" w:fldLock="1"/>
      </w:r>
      <w:r w:rsidR="00792A48" w:rsidRPr="002B5032">
        <w:rPr>
          <w:rFonts w:ascii="Arial" w:hAnsi="Arial" w:cs="Arial"/>
          <w:sz w:val="22"/>
          <w:szCs w:val="22"/>
        </w:rPr>
        <w:instrText>ADDIN CSL_CITATION { "citationItems" : [ { "id" : "ITEM-1", "itemData" : { "abstract" : "The author, a pioneering researcher on investment in human capital, presents a seminal attempt at a systematic analysis of personal income distribution. The framework is a human capital model based upon the aggregate earnings distribution of white, male, urban workers and the net investments in human capital among these workers. Schooling and post-school investment are designated as the two principal elements of human capital; when specific measures of post-school investment are unavailable, experience (estimated from age and the length of schooling) is used. In the theoretical section, the author demonstrates that years of experience rather than age should be emphasized in interpreting earnings variations. Educational differences of the random group of white, male, urban workers accounted for only seven percent of the earnings differential. Mincer shows empirically that schooling has more explanatory power for groups with constant years of experience than for groups of the same age, and that the explanatory power is at its peak for groups with seven to nine years of experience. The author finds further confirmation of experience over age in the data on female earnings. Suggestions for future research are the inclusion of females, blacks, older people, and nonurban people and the inclusion of nonemployment income. (Author/EA)", "author" : [ { "dropping-particle" : "", "family" : "Mincer", "given" : "Jacob", "non-dropping-particle" : "", "parse-names" : false, "suffix" : "" } ], "container-title" : "NBER", "id" : "ITEM-1", "issued" : { "date-parts" : [ [ "1974" ] ] }, "title" : "Schooling, Experience, and Earnings. Human Behavior &amp; Social Institutions No. 2", "type" : "book", "volume" : "I" }, "uris" : [ "http://www.mendeley.com/documents/?uuid=f9fc54cf-fc6f-4df0-931e-602cb1211a9a" ] } ], "mendeley" : { "formattedCitation" : "(Mincer 1974)", "manualFormatting" : "Mincer (1974)", "plainTextFormattedCitation" : "(Mincer 1974)", "previouslyFormattedCitation" : "(Mincer 1974)" }, "properties" : { "noteIndex" : 0 }, "schema" : "https://github.com/citation-style-language/schema/raw/master/csl-citation.json" }</w:instrText>
      </w:r>
      <w:r w:rsidR="00792A48" w:rsidRPr="002B5032">
        <w:rPr>
          <w:rFonts w:ascii="Arial" w:hAnsi="Arial" w:cs="Arial"/>
          <w:sz w:val="22"/>
          <w:szCs w:val="22"/>
          <w:highlight w:val="yellow"/>
        </w:rPr>
        <w:fldChar w:fldCharType="separate"/>
      </w:r>
      <w:r w:rsidR="00792A48" w:rsidRPr="002B5032">
        <w:rPr>
          <w:rFonts w:ascii="Arial" w:hAnsi="Arial" w:cs="Arial"/>
          <w:noProof/>
          <w:sz w:val="22"/>
          <w:szCs w:val="22"/>
        </w:rPr>
        <w:t>Mincer (1974)</w:t>
      </w:r>
      <w:r w:rsidR="00792A48" w:rsidRPr="002B5032">
        <w:rPr>
          <w:rFonts w:ascii="Arial" w:hAnsi="Arial" w:cs="Arial"/>
          <w:sz w:val="22"/>
          <w:szCs w:val="22"/>
          <w:highlight w:val="yellow"/>
        </w:rPr>
        <w:fldChar w:fldCharType="end"/>
      </w:r>
      <w:r w:rsidR="00792A48" w:rsidRPr="002B5032">
        <w:rPr>
          <w:rFonts w:ascii="Arial" w:hAnsi="Arial" w:cs="Arial"/>
          <w:sz w:val="22"/>
          <w:szCs w:val="22"/>
        </w:rPr>
        <w:t xml:space="preserve"> en la base de datos de la encuesta CASEN 201</w:t>
      </w:r>
      <w:r w:rsidR="003D26E6">
        <w:rPr>
          <w:rFonts w:ascii="Arial" w:hAnsi="Arial" w:cs="Arial"/>
          <w:sz w:val="22"/>
          <w:szCs w:val="22"/>
        </w:rPr>
        <w:t>7</w:t>
      </w:r>
      <w:r w:rsidR="00792A48" w:rsidRPr="002B5032">
        <w:rPr>
          <w:rFonts w:ascii="Arial" w:hAnsi="Arial" w:cs="Arial"/>
          <w:sz w:val="22"/>
          <w:szCs w:val="22"/>
        </w:rPr>
        <w:t>. En dicho modelo se utilizó como variable dependiente el logaritmo del ingreso del trabajo por hora y como variables explicativas</w:t>
      </w:r>
      <w:r w:rsidR="00745D7C" w:rsidRPr="003D26E6">
        <w:rPr>
          <w:rFonts w:ascii="Arial" w:hAnsi="Arial" w:cs="Arial"/>
          <w:sz w:val="22"/>
          <w:szCs w:val="22"/>
        </w:rPr>
        <w:t>, s</w:t>
      </w:r>
      <w:r w:rsidR="00792A48" w:rsidRPr="002B5032">
        <w:rPr>
          <w:rFonts w:ascii="Arial" w:hAnsi="Arial" w:cs="Arial"/>
          <w:sz w:val="22"/>
          <w:szCs w:val="22"/>
        </w:rPr>
        <w:t>iguiendo el planteamiento original</w:t>
      </w:r>
      <w:r w:rsidR="00745D7C" w:rsidRPr="003D26E6">
        <w:rPr>
          <w:rFonts w:ascii="Arial" w:hAnsi="Arial" w:cs="Arial"/>
          <w:sz w:val="22"/>
          <w:szCs w:val="22"/>
        </w:rPr>
        <w:t>,</w:t>
      </w:r>
      <w:r w:rsidR="00792A48" w:rsidRPr="002B5032">
        <w:rPr>
          <w:rFonts w:ascii="Arial" w:hAnsi="Arial" w:cs="Arial"/>
          <w:sz w:val="22"/>
          <w:szCs w:val="22"/>
        </w:rPr>
        <w:t xml:space="preserve"> se utilizó el sexo, </w:t>
      </w:r>
      <w:r w:rsidR="00745D7C" w:rsidRPr="003D26E6">
        <w:rPr>
          <w:rFonts w:ascii="Arial" w:hAnsi="Arial" w:cs="Arial"/>
          <w:sz w:val="22"/>
          <w:szCs w:val="22"/>
        </w:rPr>
        <w:t>la</w:t>
      </w:r>
      <w:r w:rsidR="00745D7C" w:rsidRPr="002B5032">
        <w:rPr>
          <w:rFonts w:ascii="Arial" w:hAnsi="Arial" w:cs="Arial"/>
          <w:sz w:val="22"/>
          <w:szCs w:val="22"/>
        </w:rPr>
        <w:t xml:space="preserve"> </w:t>
      </w:r>
      <w:r w:rsidR="00EF4EE6" w:rsidRPr="002B5032">
        <w:rPr>
          <w:rFonts w:ascii="Arial" w:hAnsi="Arial" w:cs="Arial"/>
          <w:sz w:val="22"/>
          <w:szCs w:val="22"/>
        </w:rPr>
        <w:t>experiencia laboral, la experiencia laboral al cuadrado, así como también dos variables dumm</w:t>
      </w:r>
      <w:r w:rsidR="00745D7C" w:rsidRPr="003D26E6">
        <w:rPr>
          <w:rFonts w:ascii="Arial" w:hAnsi="Arial" w:cs="Arial"/>
          <w:sz w:val="22"/>
          <w:szCs w:val="22"/>
        </w:rPr>
        <w:t>y</w:t>
      </w:r>
      <w:r w:rsidR="00EF4EE6" w:rsidRPr="002B5032">
        <w:rPr>
          <w:rFonts w:ascii="Arial" w:hAnsi="Arial" w:cs="Arial"/>
          <w:sz w:val="22"/>
          <w:szCs w:val="22"/>
        </w:rPr>
        <w:t xml:space="preserve">, una para la identificación de los sujetos que alcanzan educación de nivel terciaria completa y otra para </w:t>
      </w:r>
      <w:r w:rsidR="00EF4EE6" w:rsidRPr="00E26F3C">
        <w:rPr>
          <w:rFonts w:ascii="Arial" w:hAnsi="Arial" w:cs="Arial"/>
          <w:sz w:val="22"/>
          <w:szCs w:val="22"/>
        </w:rPr>
        <w:t>los que alcanzan educación terciaria incompleta.</w:t>
      </w:r>
      <w:r w:rsidR="00645DE4" w:rsidRPr="00E26F3C">
        <w:rPr>
          <w:rFonts w:ascii="Arial" w:hAnsi="Arial" w:cs="Arial"/>
          <w:sz w:val="22"/>
          <w:szCs w:val="22"/>
        </w:rPr>
        <w:t xml:space="preserve"> El coeficiente de regresión de ambas variables permite estimar el efecto señalización (</w:t>
      </w:r>
      <w:r w:rsidR="00645DE4" w:rsidRPr="00E26F3C">
        <w:rPr>
          <w:rFonts w:ascii="Arial" w:hAnsi="Arial" w:cs="Arial"/>
          <w:i/>
          <w:sz w:val="22"/>
          <w:szCs w:val="22"/>
        </w:rPr>
        <w:t>sheepskin effect</w:t>
      </w:r>
      <w:r w:rsidR="00645DE4" w:rsidRPr="00E26F3C">
        <w:rPr>
          <w:rFonts w:ascii="Arial" w:hAnsi="Arial" w:cs="Arial"/>
          <w:sz w:val="22"/>
          <w:szCs w:val="22"/>
        </w:rPr>
        <w:t xml:space="preserve">) de estos niveles educacionales en el ingreso de los encuestados, obteniéndose valores de </w:t>
      </w:r>
      <w:r w:rsidR="00B62188" w:rsidRPr="008D2C76">
        <w:rPr>
          <w:rFonts w:ascii="Arial" w:hAnsi="Arial" w:cs="Arial"/>
          <w:sz w:val="22"/>
          <w:szCs w:val="22"/>
        </w:rPr>
        <w:t>0,</w:t>
      </w:r>
      <w:r w:rsidR="002B5032" w:rsidRPr="003D26E6">
        <w:rPr>
          <w:rFonts w:ascii="Arial" w:hAnsi="Arial" w:cs="Arial"/>
          <w:sz w:val="22"/>
          <w:szCs w:val="22"/>
        </w:rPr>
        <w:t>3</w:t>
      </w:r>
      <w:r w:rsidR="002B5032" w:rsidRPr="002B5032">
        <w:rPr>
          <w:rFonts w:ascii="Arial" w:hAnsi="Arial" w:cs="Arial"/>
          <w:sz w:val="22"/>
          <w:szCs w:val="22"/>
        </w:rPr>
        <w:t xml:space="preserve">1 </w:t>
      </w:r>
      <w:r w:rsidR="00BD4924" w:rsidRPr="002B5032">
        <w:rPr>
          <w:rFonts w:ascii="Arial" w:hAnsi="Arial" w:cs="Arial"/>
          <w:sz w:val="22"/>
          <w:szCs w:val="22"/>
        </w:rPr>
        <w:t xml:space="preserve">y </w:t>
      </w:r>
      <w:r w:rsidR="00B62188" w:rsidRPr="002B5032">
        <w:rPr>
          <w:rFonts w:ascii="Arial" w:hAnsi="Arial" w:cs="Arial"/>
          <w:sz w:val="22"/>
          <w:szCs w:val="22"/>
        </w:rPr>
        <w:t>0,</w:t>
      </w:r>
      <w:r w:rsidR="002B5032" w:rsidRPr="003D26E6">
        <w:rPr>
          <w:rFonts w:ascii="Arial" w:hAnsi="Arial" w:cs="Arial"/>
          <w:sz w:val="22"/>
          <w:szCs w:val="22"/>
        </w:rPr>
        <w:t>76</w:t>
      </w:r>
      <w:r w:rsidR="00B62188" w:rsidRPr="002B5032">
        <w:rPr>
          <w:rFonts w:ascii="Arial" w:hAnsi="Arial" w:cs="Arial"/>
          <w:sz w:val="22"/>
          <w:szCs w:val="22"/>
        </w:rPr>
        <w:t xml:space="preserve"> los cuales pueden ser interpretados como diferencias porcentuales de ingreso por hora de trabajo respecto a la situación base (educación media completa)</w:t>
      </w:r>
      <w:r w:rsidR="00BD4924" w:rsidRPr="00E26F3C">
        <w:rPr>
          <w:rFonts w:ascii="Arial" w:hAnsi="Arial" w:cs="Arial"/>
          <w:sz w:val="22"/>
          <w:szCs w:val="22"/>
        </w:rPr>
        <w:t>. Con esta ecuación se calculan los retornos salariales</w:t>
      </w:r>
      <w:r w:rsidR="00BD4924" w:rsidRPr="00FA20F2">
        <w:rPr>
          <w:rFonts w:ascii="Arial" w:hAnsi="Arial" w:cs="Arial"/>
          <w:sz w:val="22"/>
          <w:szCs w:val="22"/>
        </w:rPr>
        <w:t xml:space="preserve"> de los trabajadores entre 25 y 55 años según nivel educativo alcanza</w:t>
      </w:r>
      <w:r w:rsidR="00BD4924" w:rsidRPr="006254BE">
        <w:rPr>
          <w:rFonts w:ascii="Arial" w:hAnsi="Arial" w:cs="Arial"/>
          <w:sz w:val="22"/>
          <w:szCs w:val="22"/>
        </w:rPr>
        <w:t>do.</w:t>
      </w:r>
      <w:bookmarkEnd w:id="6"/>
    </w:p>
    <w:bookmarkEnd w:id="5"/>
    <w:p w14:paraId="5184FF58" w14:textId="56C38B61" w:rsidR="00067697" w:rsidRPr="007F4A23" w:rsidRDefault="00BD4924" w:rsidP="003A542A">
      <w:pPr>
        <w:rPr>
          <w:rFonts w:ascii="Arial" w:hAnsi="Arial" w:cs="Arial"/>
          <w:sz w:val="22"/>
          <w:szCs w:val="22"/>
        </w:rPr>
      </w:pPr>
      <w:r w:rsidRPr="00B5398C">
        <w:rPr>
          <w:rFonts w:ascii="Arial" w:hAnsi="Arial" w:cs="Arial"/>
          <w:sz w:val="22"/>
          <w:szCs w:val="22"/>
        </w:rPr>
        <w:t>Respecto a la cantidad de personas que verían aumentar sus i</w:t>
      </w:r>
      <w:r w:rsidR="00FE110A" w:rsidRPr="00B5398C">
        <w:rPr>
          <w:rFonts w:ascii="Arial" w:hAnsi="Arial" w:cs="Arial"/>
          <w:sz w:val="22"/>
          <w:szCs w:val="22"/>
        </w:rPr>
        <w:t>ngresos en las magnitudes recién estimadas</w:t>
      </w:r>
      <w:r w:rsidR="00B5398C" w:rsidRPr="00B5398C">
        <w:rPr>
          <w:rFonts w:ascii="Arial" w:hAnsi="Arial" w:cs="Arial"/>
          <w:sz w:val="22"/>
          <w:szCs w:val="22"/>
        </w:rPr>
        <w:t>,</w:t>
      </w:r>
      <w:r w:rsidR="00FE110A" w:rsidRPr="00B5398C">
        <w:rPr>
          <w:rFonts w:ascii="Arial" w:hAnsi="Arial" w:cs="Arial"/>
          <w:sz w:val="22"/>
          <w:szCs w:val="22"/>
        </w:rPr>
        <w:t xml:space="preserve"> de acuerdo </w:t>
      </w:r>
      <w:r w:rsidR="00B5398C" w:rsidRPr="00B5398C">
        <w:rPr>
          <w:rFonts w:ascii="Arial" w:hAnsi="Arial" w:cs="Arial"/>
          <w:sz w:val="22"/>
          <w:szCs w:val="22"/>
        </w:rPr>
        <w:t xml:space="preserve">con lo dispuesto en </w:t>
      </w:r>
      <w:r w:rsidR="00FE110A" w:rsidRPr="00B5398C">
        <w:rPr>
          <w:rFonts w:ascii="Arial" w:hAnsi="Arial" w:cs="Arial"/>
          <w:sz w:val="22"/>
          <w:szCs w:val="22"/>
        </w:rPr>
        <w:t>la</w:t>
      </w:r>
      <w:r w:rsidR="00E26F3C" w:rsidRPr="00B5398C">
        <w:rPr>
          <w:rFonts w:ascii="Arial" w:hAnsi="Arial" w:cs="Arial"/>
          <w:sz w:val="22"/>
          <w:szCs w:val="22"/>
        </w:rPr>
        <w:t xml:space="preserve"> Ley </w:t>
      </w:r>
      <w:r w:rsidR="00B5398C" w:rsidRPr="00B5398C">
        <w:rPr>
          <w:rFonts w:ascii="Arial" w:hAnsi="Arial" w:cs="Arial"/>
          <w:sz w:val="22"/>
          <w:szCs w:val="22"/>
        </w:rPr>
        <w:t xml:space="preserve">21.040 </w:t>
      </w:r>
      <w:r w:rsidR="00E26F3C" w:rsidRPr="00B5398C">
        <w:rPr>
          <w:rFonts w:ascii="Arial" w:hAnsi="Arial" w:cs="Arial"/>
          <w:sz w:val="22"/>
          <w:szCs w:val="22"/>
        </w:rPr>
        <w:t>en 20</w:t>
      </w:r>
      <w:r w:rsidR="00CE2EC3">
        <w:rPr>
          <w:rFonts w:ascii="Arial" w:hAnsi="Arial" w:cs="Arial"/>
          <w:sz w:val="22"/>
          <w:szCs w:val="22"/>
        </w:rPr>
        <w:t>20</w:t>
      </w:r>
      <w:r w:rsidR="00E26F3C" w:rsidRPr="00B5398C">
        <w:rPr>
          <w:rFonts w:ascii="Arial" w:hAnsi="Arial" w:cs="Arial"/>
          <w:sz w:val="22"/>
          <w:szCs w:val="22"/>
        </w:rPr>
        <w:t xml:space="preserve"> hay </w:t>
      </w:r>
      <w:r w:rsidR="00CE2EC3">
        <w:rPr>
          <w:rFonts w:ascii="Arial" w:hAnsi="Arial" w:cs="Arial"/>
          <w:sz w:val="22"/>
          <w:szCs w:val="22"/>
        </w:rPr>
        <w:t>7</w:t>
      </w:r>
      <w:r w:rsidR="00E26F3C" w:rsidRPr="00B5398C">
        <w:rPr>
          <w:rFonts w:ascii="Arial" w:hAnsi="Arial" w:cs="Arial"/>
          <w:sz w:val="22"/>
          <w:szCs w:val="22"/>
        </w:rPr>
        <w:t xml:space="preserve"> Servicios Locales de Educación Pública (SLEP) con el servicio educativo transferido</w:t>
      </w:r>
      <w:r w:rsidR="0089355D">
        <w:rPr>
          <w:rFonts w:ascii="Arial" w:hAnsi="Arial" w:cs="Arial"/>
          <w:sz w:val="22"/>
          <w:szCs w:val="22"/>
        </w:rPr>
        <w:t xml:space="preserve"> y</w:t>
      </w:r>
      <w:r w:rsidR="00E26F3C" w:rsidRPr="00B5398C">
        <w:rPr>
          <w:rFonts w:ascii="Arial" w:hAnsi="Arial" w:cs="Arial"/>
          <w:sz w:val="22"/>
          <w:szCs w:val="22"/>
        </w:rPr>
        <w:t xml:space="preserve"> </w:t>
      </w:r>
      <w:r w:rsidR="00B5398C" w:rsidRPr="00B5398C">
        <w:rPr>
          <w:rFonts w:ascii="Arial" w:hAnsi="Arial" w:cs="Arial"/>
          <w:sz w:val="22"/>
          <w:szCs w:val="22"/>
        </w:rPr>
        <w:t>en 202</w:t>
      </w:r>
      <w:r w:rsidR="0089355D">
        <w:rPr>
          <w:rFonts w:ascii="Arial" w:hAnsi="Arial" w:cs="Arial"/>
          <w:sz w:val="22"/>
          <w:szCs w:val="22"/>
        </w:rPr>
        <w:t>1</w:t>
      </w:r>
      <w:r w:rsidR="00B5398C" w:rsidRPr="00B5398C">
        <w:rPr>
          <w:rFonts w:ascii="Arial" w:hAnsi="Arial" w:cs="Arial"/>
          <w:sz w:val="22"/>
          <w:szCs w:val="22"/>
        </w:rPr>
        <w:t xml:space="preserve"> se llegará a </w:t>
      </w:r>
      <w:r w:rsidR="001407BB">
        <w:rPr>
          <w:rFonts w:ascii="Arial" w:hAnsi="Arial" w:cs="Arial"/>
          <w:sz w:val="22"/>
          <w:szCs w:val="22"/>
        </w:rPr>
        <w:t>11</w:t>
      </w:r>
      <w:r w:rsidR="00E26F3C" w:rsidRPr="00B5398C">
        <w:rPr>
          <w:rFonts w:ascii="Arial" w:hAnsi="Arial" w:cs="Arial"/>
          <w:sz w:val="22"/>
          <w:szCs w:val="22"/>
        </w:rPr>
        <w:t xml:space="preserve"> </w:t>
      </w:r>
      <w:r w:rsidR="00B5398C" w:rsidRPr="00B5398C">
        <w:rPr>
          <w:rFonts w:ascii="Arial" w:hAnsi="Arial" w:cs="Arial"/>
          <w:sz w:val="22"/>
          <w:szCs w:val="22"/>
        </w:rPr>
        <w:t>SLEP</w:t>
      </w:r>
      <w:r w:rsidR="00E26F3C" w:rsidRPr="00B5398C">
        <w:rPr>
          <w:rFonts w:ascii="Arial" w:hAnsi="Arial" w:cs="Arial"/>
          <w:sz w:val="22"/>
          <w:szCs w:val="22"/>
        </w:rPr>
        <w:t>. Debido a que el año 2021 se realizará una evaluación la implementación de la Ley, lo que puede generar cambios en el cronograma de implementación, solo se considerará la matrícula de estos Servicios</w:t>
      </w:r>
      <w:r w:rsidR="00FE110A" w:rsidRPr="00B5398C">
        <w:rPr>
          <w:rFonts w:ascii="Arial" w:hAnsi="Arial" w:cs="Arial"/>
          <w:sz w:val="22"/>
          <w:szCs w:val="22"/>
        </w:rPr>
        <w:t xml:space="preserve">. </w:t>
      </w:r>
      <w:r w:rsidR="00E26F3C" w:rsidRPr="00B5398C">
        <w:rPr>
          <w:rFonts w:ascii="Arial" w:hAnsi="Arial" w:cs="Arial"/>
          <w:sz w:val="22"/>
          <w:szCs w:val="22"/>
        </w:rPr>
        <w:t xml:space="preserve">Así, utilizando datos de matrícula de 2016, se considerará una matrícula de </w:t>
      </w:r>
      <w:r w:rsidR="00F10A3A">
        <w:rPr>
          <w:rFonts w:ascii="Arial" w:hAnsi="Arial" w:cs="Arial"/>
          <w:sz w:val="22"/>
          <w:szCs w:val="22"/>
        </w:rPr>
        <w:t>105.987</w:t>
      </w:r>
      <w:r w:rsidR="00E26F3C" w:rsidRPr="00B5398C">
        <w:rPr>
          <w:rFonts w:ascii="Arial" w:hAnsi="Arial" w:cs="Arial"/>
          <w:sz w:val="22"/>
          <w:szCs w:val="22"/>
        </w:rPr>
        <w:t xml:space="preserve"> para los </w:t>
      </w:r>
      <w:r w:rsidR="00C7493A">
        <w:rPr>
          <w:rFonts w:ascii="Arial" w:hAnsi="Arial" w:cs="Arial"/>
          <w:sz w:val="22"/>
          <w:szCs w:val="22"/>
        </w:rPr>
        <w:t>7</w:t>
      </w:r>
      <w:r w:rsidR="00E26F3C" w:rsidRPr="00B5398C">
        <w:rPr>
          <w:rFonts w:ascii="Arial" w:hAnsi="Arial" w:cs="Arial"/>
          <w:sz w:val="22"/>
          <w:szCs w:val="22"/>
        </w:rPr>
        <w:t xml:space="preserve"> SLEP</w:t>
      </w:r>
      <w:r w:rsidR="00C7493A">
        <w:rPr>
          <w:rFonts w:ascii="Arial" w:hAnsi="Arial" w:cs="Arial"/>
          <w:sz w:val="22"/>
          <w:szCs w:val="22"/>
        </w:rPr>
        <w:t xml:space="preserve"> vigentes en 2020</w:t>
      </w:r>
      <w:r w:rsidR="0006754A">
        <w:rPr>
          <w:rFonts w:ascii="Arial" w:hAnsi="Arial" w:cs="Arial"/>
          <w:sz w:val="22"/>
          <w:szCs w:val="22"/>
        </w:rPr>
        <w:t xml:space="preserve"> </w:t>
      </w:r>
      <w:r w:rsidR="00E26F3C" w:rsidRPr="00B5398C">
        <w:rPr>
          <w:rFonts w:ascii="Arial" w:hAnsi="Arial" w:cs="Arial"/>
          <w:sz w:val="22"/>
          <w:szCs w:val="22"/>
        </w:rPr>
        <w:t xml:space="preserve">y 71.388 para los SLEP </w:t>
      </w:r>
      <w:r w:rsidR="00C7493A">
        <w:rPr>
          <w:rFonts w:ascii="Arial" w:hAnsi="Arial" w:cs="Arial"/>
          <w:sz w:val="22"/>
          <w:szCs w:val="22"/>
        </w:rPr>
        <w:t>que entran en</w:t>
      </w:r>
      <w:r w:rsidR="00E26F3C" w:rsidRPr="00B5398C">
        <w:rPr>
          <w:rFonts w:ascii="Arial" w:hAnsi="Arial" w:cs="Arial"/>
          <w:sz w:val="22"/>
          <w:szCs w:val="22"/>
        </w:rPr>
        <w:t xml:space="preserve"> 2021. De esta manera, de 2021 en adelante se considera una matrícula total de 177.375</w:t>
      </w:r>
      <w:r w:rsidR="008A79FC" w:rsidRPr="00B5398C">
        <w:rPr>
          <w:rFonts w:ascii="Arial" w:hAnsi="Arial" w:cs="Arial"/>
          <w:sz w:val="22"/>
          <w:szCs w:val="22"/>
        </w:rPr>
        <w:t xml:space="preserve">. </w:t>
      </w:r>
      <w:r w:rsidR="00CC6957" w:rsidRPr="00B5398C">
        <w:rPr>
          <w:rFonts w:ascii="Arial" w:hAnsi="Arial" w:cs="Arial"/>
          <w:sz w:val="22"/>
          <w:szCs w:val="22"/>
        </w:rPr>
        <w:t xml:space="preserve">Sobre estos universos se determinó las </w:t>
      </w:r>
      <w:r w:rsidR="00067697" w:rsidRPr="00B5398C">
        <w:rPr>
          <w:rFonts w:ascii="Arial" w:hAnsi="Arial" w:cs="Arial"/>
          <w:sz w:val="22"/>
          <w:szCs w:val="22"/>
        </w:rPr>
        <w:t>cantidades adicionales de alumnos ingresados a la educación terciaria en</w:t>
      </w:r>
      <w:r w:rsidR="00CC6957" w:rsidRPr="00B5398C">
        <w:rPr>
          <w:rFonts w:ascii="Arial" w:hAnsi="Arial" w:cs="Arial"/>
          <w:sz w:val="22"/>
          <w:szCs w:val="22"/>
        </w:rPr>
        <w:t xml:space="preserve"> cada uno de los tres escenarios planteados para cada uno de los 30 años del horizonte de evaluación. </w:t>
      </w:r>
      <w:r w:rsidR="00067697" w:rsidRPr="00B5398C">
        <w:rPr>
          <w:rFonts w:ascii="Arial" w:hAnsi="Arial" w:cs="Arial"/>
          <w:sz w:val="22"/>
          <w:szCs w:val="22"/>
        </w:rPr>
        <w:t xml:space="preserve">Puesto que se supone que la tasa de titulación de educación terciaria de los estudiantes provenientes de establecimientos tratados por el programa no se </w:t>
      </w:r>
      <w:r w:rsidR="0033342A" w:rsidRPr="00B5398C">
        <w:rPr>
          <w:rFonts w:ascii="Arial" w:hAnsi="Arial" w:cs="Arial"/>
          <w:sz w:val="22"/>
          <w:szCs w:val="22"/>
        </w:rPr>
        <w:t>modifica</w:t>
      </w:r>
      <w:r w:rsidR="00067697" w:rsidRPr="00B5398C">
        <w:rPr>
          <w:rFonts w:ascii="Arial" w:hAnsi="Arial" w:cs="Arial"/>
          <w:sz w:val="22"/>
          <w:szCs w:val="22"/>
        </w:rPr>
        <w:t xml:space="preserve"> producto de su implementación, del total de los alumnos ingresados a este tipo de educación</w:t>
      </w:r>
      <w:r w:rsidR="0033342A" w:rsidRPr="00B5398C">
        <w:rPr>
          <w:rFonts w:ascii="Arial" w:hAnsi="Arial" w:cs="Arial"/>
          <w:sz w:val="22"/>
          <w:szCs w:val="22"/>
        </w:rPr>
        <w:t xml:space="preserve"> el 3</w:t>
      </w:r>
      <w:r w:rsidR="009A058A" w:rsidRPr="00B5398C">
        <w:rPr>
          <w:rFonts w:ascii="Arial" w:hAnsi="Arial" w:cs="Arial"/>
          <w:sz w:val="22"/>
          <w:szCs w:val="22"/>
        </w:rPr>
        <w:t>8</w:t>
      </w:r>
      <w:r w:rsidR="0033342A" w:rsidRPr="00B5398C">
        <w:rPr>
          <w:rFonts w:ascii="Arial" w:hAnsi="Arial" w:cs="Arial"/>
          <w:sz w:val="22"/>
          <w:szCs w:val="22"/>
        </w:rPr>
        <w:t>% terminaría los estudios en dicho nivel y el resto sólo alcanzaría educación terciaria incompleta.</w:t>
      </w:r>
    </w:p>
    <w:p w14:paraId="5184FF59" w14:textId="5F2B93C1" w:rsidR="0033342A" w:rsidRPr="007F4A23" w:rsidRDefault="00CC6957" w:rsidP="0033342A">
      <w:pPr>
        <w:rPr>
          <w:rFonts w:ascii="Arial" w:hAnsi="Arial" w:cs="Arial"/>
          <w:sz w:val="22"/>
          <w:szCs w:val="22"/>
        </w:rPr>
      </w:pPr>
      <w:r w:rsidRPr="007F4A23">
        <w:rPr>
          <w:rFonts w:ascii="Arial" w:hAnsi="Arial" w:cs="Arial"/>
          <w:sz w:val="22"/>
          <w:szCs w:val="22"/>
        </w:rPr>
        <w:t>Finalmente</w:t>
      </w:r>
      <w:r w:rsidR="00067697" w:rsidRPr="007F4A23">
        <w:rPr>
          <w:rFonts w:ascii="Arial" w:hAnsi="Arial" w:cs="Arial"/>
          <w:sz w:val="22"/>
          <w:szCs w:val="22"/>
        </w:rPr>
        <w:t>,</w:t>
      </w:r>
      <w:r w:rsidRPr="007F4A23">
        <w:rPr>
          <w:rFonts w:ascii="Arial" w:hAnsi="Arial" w:cs="Arial"/>
          <w:sz w:val="22"/>
          <w:szCs w:val="22"/>
        </w:rPr>
        <w:t xml:space="preserve"> </w:t>
      </w:r>
      <w:r w:rsidR="0033342A" w:rsidRPr="007F4A23">
        <w:rPr>
          <w:rFonts w:ascii="Arial" w:hAnsi="Arial" w:cs="Arial"/>
          <w:sz w:val="22"/>
          <w:szCs w:val="22"/>
        </w:rPr>
        <w:t>la cantidad de</w:t>
      </w:r>
      <w:r w:rsidRPr="007F4A23">
        <w:rPr>
          <w:rFonts w:ascii="Arial" w:hAnsi="Arial" w:cs="Arial"/>
          <w:sz w:val="22"/>
          <w:szCs w:val="22"/>
        </w:rPr>
        <w:t xml:space="preserve"> beneficios por año fueron calculados multiplicando la cantidad de estudiantes </w:t>
      </w:r>
      <w:r w:rsidR="0033342A" w:rsidRPr="007F4A23">
        <w:rPr>
          <w:rFonts w:ascii="Arial" w:hAnsi="Arial" w:cs="Arial"/>
          <w:sz w:val="22"/>
          <w:szCs w:val="22"/>
        </w:rPr>
        <w:t>que alcanzarían educación terciaria completa o incompleta</w:t>
      </w:r>
      <w:r w:rsidR="00067697" w:rsidRPr="007F4A23">
        <w:rPr>
          <w:rFonts w:ascii="Arial" w:hAnsi="Arial" w:cs="Arial"/>
          <w:sz w:val="22"/>
          <w:szCs w:val="22"/>
        </w:rPr>
        <w:t xml:space="preserve"> por </w:t>
      </w:r>
      <w:r w:rsidR="000844B6" w:rsidRPr="007F4A23">
        <w:rPr>
          <w:rFonts w:ascii="Arial" w:hAnsi="Arial" w:cs="Arial"/>
          <w:sz w:val="22"/>
          <w:szCs w:val="22"/>
        </w:rPr>
        <w:t xml:space="preserve">sus respectivas </w:t>
      </w:r>
      <w:r w:rsidR="00067697" w:rsidRPr="007F4A23">
        <w:rPr>
          <w:rFonts w:ascii="Arial" w:hAnsi="Arial" w:cs="Arial"/>
          <w:sz w:val="22"/>
          <w:szCs w:val="22"/>
        </w:rPr>
        <w:t>primas de ingreso como consecuencia del efecto señalización estimado en etapas anteriores.</w:t>
      </w:r>
      <w:r w:rsidR="0033342A" w:rsidRPr="007F4A23">
        <w:rPr>
          <w:rFonts w:ascii="Arial" w:hAnsi="Arial" w:cs="Arial"/>
          <w:sz w:val="22"/>
          <w:szCs w:val="22"/>
        </w:rPr>
        <w:t xml:space="preserve"> Los beneficios anuales estimados de esta fueron totalizados a valor presente mediante la siguiente expresión</w:t>
      </w:r>
      <w:r w:rsidR="0033342A" w:rsidRPr="00190C8B">
        <w:rPr>
          <w:rFonts w:ascii="Arial" w:hAnsi="Arial" w:cs="Arial"/>
          <w:sz w:val="22"/>
          <w:szCs w:val="22"/>
        </w:rPr>
        <w:t>:</w:t>
      </w:r>
    </w:p>
    <w:p w14:paraId="5184FF5A" w14:textId="125E6B76" w:rsidR="0033342A" w:rsidRPr="007F4A23" w:rsidRDefault="00FF578E" w:rsidP="0033342A">
      <w:pPr>
        <w:spacing w:before="120"/>
        <w:ind w:left="709" w:hanging="709"/>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t</m:t>
              </m:r>
            </m:sub>
          </m:sSub>
          <m:nary>
            <m:naryPr>
              <m:chr m:val="∑"/>
              <m:limLoc m:val="undOvr"/>
              <m:ctrlPr>
                <w:rPr>
                  <w:rFonts w:ascii="Cambria Math" w:hAnsi="Cambria Math" w:cs="Arial"/>
                  <w:i/>
                  <w:sz w:val="22"/>
                  <w:szCs w:val="22"/>
                </w:rPr>
              </m:ctrlPr>
            </m:naryPr>
            <m:sub>
              <m:r>
                <w:rPr>
                  <w:rFonts w:ascii="Cambria Math" w:hAnsi="Cambria Math" w:cs="Arial"/>
                  <w:sz w:val="22"/>
                  <w:szCs w:val="22"/>
                </w:rPr>
                <m:t>t=5</m:t>
              </m:r>
            </m:sub>
            <m:sup>
              <m:r>
                <w:rPr>
                  <w:rFonts w:ascii="Cambria Math" w:hAnsi="Cambria Math" w:cs="Arial"/>
                  <w:sz w:val="22"/>
                  <w:szCs w:val="22"/>
                </w:rPr>
                <m:t>30</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t</m:t>
                      </m:r>
                    </m:sub>
                  </m:sSub>
                </m:num>
                <m:den>
                  <m:sSup>
                    <m:sSupPr>
                      <m:ctrlPr>
                        <w:rPr>
                          <w:rFonts w:ascii="Cambria Math" w:hAnsi="Cambria Math" w:cs="Arial"/>
                          <w:i/>
                          <w:sz w:val="22"/>
                          <w:szCs w:val="22"/>
                        </w:rPr>
                      </m:ctrlPr>
                    </m:sSupPr>
                    <m:e>
                      <m:r>
                        <w:rPr>
                          <w:rFonts w:ascii="Cambria Math" w:hAnsi="Cambria Math" w:cs="Arial"/>
                          <w:sz w:val="22"/>
                          <w:szCs w:val="22"/>
                        </w:rPr>
                        <m:t>1,12</m:t>
                      </m:r>
                    </m:e>
                    <m:sup>
                      <m:r>
                        <w:rPr>
                          <w:rFonts w:ascii="Cambria Math" w:hAnsi="Cambria Math" w:cs="Arial"/>
                          <w:sz w:val="22"/>
                          <w:szCs w:val="22"/>
                        </w:rPr>
                        <m:t>t</m:t>
                      </m:r>
                    </m:sup>
                  </m:sSup>
                </m:den>
              </m:f>
            </m:e>
          </m:nary>
        </m:oMath>
      </m:oMathPara>
    </w:p>
    <w:p w14:paraId="5184FF5B" w14:textId="77777777" w:rsidR="0033342A" w:rsidRPr="007F4A23" w:rsidRDefault="0033342A" w:rsidP="0033342A">
      <w:pPr>
        <w:rPr>
          <w:rFonts w:ascii="Arial" w:hAnsi="Arial" w:cs="Arial"/>
          <w:sz w:val="22"/>
          <w:szCs w:val="22"/>
        </w:rPr>
      </w:pPr>
    </w:p>
    <w:p w14:paraId="5184FF5C" w14:textId="48759A80" w:rsidR="003A30D0" w:rsidRPr="00343AC7" w:rsidRDefault="003A30D0" w:rsidP="00FF578E">
      <w:pPr>
        <w:pStyle w:val="Heading2"/>
        <w:numPr>
          <w:ilvl w:val="1"/>
          <w:numId w:val="32"/>
        </w:numPr>
        <w:ind w:left="720" w:hanging="720"/>
        <w:rPr>
          <w:rFonts w:ascii="Arial" w:hAnsi="Arial" w:cs="Arial"/>
          <w:sz w:val="22"/>
          <w:szCs w:val="22"/>
        </w:rPr>
      </w:pPr>
      <w:r w:rsidRPr="007F4A23">
        <w:rPr>
          <w:rFonts w:ascii="Arial" w:hAnsi="Arial" w:cs="Arial"/>
          <w:sz w:val="22"/>
          <w:szCs w:val="22"/>
        </w:rPr>
        <w:t xml:space="preserve">Beneficios </w:t>
      </w:r>
      <w:r w:rsidR="00961877" w:rsidRPr="007F4A23">
        <w:rPr>
          <w:rFonts w:ascii="Arial" w:hAnsi="Arial" w:cs="Arial"/>
          <w:sz w:val="22"/>
          <w:szCs w:val="22"/>
        </w:rPr>
        <w:t>Económicos Indirectos</w:t>
      </w:r>
    </w:p>
    <w:p w14:paraId="5184FF5D" w14:textId="77777777" w:rsidR="00F70BC2" w:rsidRPr="007F4A23" w:rsidRDefault="00F70BC2" w:rsidP="003A542A">
      <w:pPr>
        <w:numPr>
          <w:ilvl w:val="0"/>
          <w:numId w:val="23"/>
        </w:numPr>
        <w:rPr>
          <w:rFonts w:ascii="Arial" w:hAnsi="Arial" w:cs="Arial"/>
          <w:sz w:val="22"/>
          <w:szCs w:val="22"/>
        </w:rPr>
      </w:pPr>
      <w:r w:rsidRPr="007F4A23">
        <w:rPr>
          <w:rFonts w:ascii="Arial" w:hAnsi="Arial" w:cs="Arial"/>
          <w:sz w:val="22"/>
          <w:szCs w:val="22"/>
        </w:rPr>
        <w:t>Antecedentes</w:t>
      </w:r>
    </w:p>
    <w:p w14:paraId="5184FF5E" w14:textId="67DC03A7" w:rsidR="003A0251" w:rsidRPr="007F4A23" w:rsidRDefault="007A5BA6" w:rsidP="00761A98">
      <w:pPr>
        <w:rPr>
          <w:rFonts w:ascii="Arial" w:hAnsi="Arial" w:cs="Arial"/>
          <w:sz w:val="22"/>
          <w:szCs w:val="22"/>
        </w:rPr>
      </w:pPr>
      <w:r>
        <w:rPr>
          <w:rFonts w:ascii="Arial" w:hAnsi="Arial" w:cs="Arial"/>
          <w:sz w:val="22"/>
          <w:szCs w:val="22"/>
        </w:rPr>
        <w:t xml:space="preserve">Además de </w:t>
      </w:r>
      <w:r w:rsidR="00C21B6C" w:rsidRPr="007F4A23">
        <w:rPr>
          <w:rFonts w:ascii="Arial" w:hAnsi="Arial" w:cs="Arial"/>
          <w:sz w:val="22"/>
          <w:szCs w:val="22"/>
        </w:rPr>
        <w:t xml:space="preserve">los beneficios directos </w:t>
      </w:r>
      <w:r w:rsidR="0009104C" w:rsidRPr="007F4A23">
        <w:rPr>
          <w:rFonts w:ascii="Arial" w:hAnsi="Arial" w:cs="Arial"/>
          <w:sz w:val="22"/>
          <w:szCs w:val="22"/>
        </w:rPr>
        <w:t>del Programa, resulta verosímil estimar que también se produzcan beneficios indirectos del programa en la forma de una reducción en las tasas de repetición de los alumnos de los establecimientos dependientes de los Servicios Locales de Educación</w:t>
      </w:r>
      <w:r w:rsidR="00330219">
        <w:rPr>
          <w:rFonts w:ascii="Arial" w:hAnsi="Arial" w:cs="Arial"/>
          <w:sz w:val="22"/>
          <w:szCs w:val="22"/>
        </w:rPr>
        <w:t xml:space="preserve"> Pública</w:t>
      </w:r>
      <w:r w:rsidR="0009104C" w:rsidRPr="007F4A23">
        <w:rPr>
          <w:rFonts w:ascii="Arial" w:hAnsi="Arial" w:cs="Arial"/>
          <w:sz w:val="22"/>
          <w:szCs w:val="22"/>
        </w:rPr>
        <w:t xml:space="preserve">. Al respecto es necesario mencionar que, de acuerdo </w:t>
      </w:r>
      <w:r w:rsidR="00BD33DF">
        <w:rPr>
          <w:rFonts w:ascii="Arial" w:hAnsi="Arial" w:cs="Arial"/>
          <w:sz w:val="22"/>
          <w:szCs w:val="22"/>
        </w:rPr>
        <w:t>con</w:t>
      </w:r>
      <w:r w:rsidR="0009104C" w:rsidRPr="007F4A23">
        <w:rPr>
          <w:rFonts w:ascii="Arial" w:hAnsi="Arial" w:cs="Arial"/>
          <w:sz w:val="22"/>
          <w:szCs w:val="22"/>
        </w:rPr>
        <w:t xml:space="preserve"> la</w:t>
      </w:r>
      <w:r w:rsidR="00761A98" w:rsidRPr="007F4A23">
        <w:rPr>
          <w:rFonts w:ascii="Arial" w:hAnsi="Arial" w:cs="Arial"/>
          <w:sz w:val="22"/>
          <w:szCs w:val="22"/>
        </w:rPr>
        <w:t>s</w:t>
      </w:r>
      <w:r w:rsidR="0009104C" w:rsidRPr="007F4A23">
        <w:rPr>
          <w:rFonts w:ascii="Arial" w:hAnsi="Arial" w:cs="Arial"/>
          <w:sz w:val="22"/>
          <w:szCs w:val="22"/>
        </w:rPr>
        <w:t xml:space="preserve"> estadísticas del centro de estudios del Ministerio de Educación</w:t>
      </w:r>
      <w:r w:rsidR="00244003">
        <w:rPr>
          <w:rFonts w:ascii="Arial" w:hAnsi="Arial" w:cs="Arial"/>
          <w:sz w:val="22"/>
          <w:szCs w:val="22"/>
        </w:rPr>
        <w:t>,</w:t>
      </w:r>
      <w:r w:rsidR="0009104C" w:rsidRPr="007F4A23">
        <w:rPr>
          <w:rStyle w:val="FootnoteReference"/>
          <w:rFonts w:ascii="Arial" w:hAnsi="Arial" w:cs="Arial"/>
          <w:sz w:val="22"/>
          <w:szCs w:val="22"/>
        </w:rPr>
        <w:footnoteReference w:id="3"/>
      </w:r>
      <w:r w:rsidR="0009104C" w:rsidRPr="007F4A23">
        <w:rPr>
          <w:rFonts w:ascii="Arial" w:hAnsi="Arial" w:cs="Arial"/>
          <w:sz w:val="22"/>
          <w:szCs w:val="22"/>
        </w:rPr>
        <w:t xml:space="preserve"> </w:t>
      </w:r>
      <w:bookmarkStart w:id="7" w:name="_Hlk19104758"/>
      <w:r w:rsidR="00244003">
        <w:rPr>
          <w:rFonts w:ascii="Arial" w:hAnsi="Arial" w:cs="Arial"/>
          <w:sz w:val="22"/>
          <w:szCs w:val="22"/>
        </w:rPr>
        <w:t xml:space="preserve">para </w:t>
      </w:r>
      <w:r w:rsidR="00244003">
        <w:rPr>
          <w:rFonts w:ascii="Arial" w:hAnsi="Arial" w:cs="Arial"/>
          <w:sz w:val="22"/>
          <w:szCs w:val="22"/>
        </w:rPr>
        <w:lastRenderedPageBreak/>
        <w:t>2016</w:t>
      </w:r>
      <w:r w:rsidR="00244003" w:rsidRPr="007F4A23">
        <w:rPr>
          <w:rFonts w:ascii="Arial" w:hAnsi="Arial" w:cs="Arial"/>
          <w:sz w:val="22"/>
          <w:szCs w:val="22"/>
        </w:rPr>
        <w:t xml:space="preserve"> </w:t>
      </w:r>
      <w:r w:rsidR="0009104C" w:rsidRPr="007F4A23">
        <w:rPr>
          <w:rFonts w:ascii="Arial" w:hAnsi="Arial" w:cs="Arial"/>
          <w:sz w:val="22"/>
          <w:szCs w:val="22"/>
        </w:rPr>
        <w:t xml:space="preserve">la tasa de repetición por año de alumnos </w:t>
      </w:r>
      <w:r w:rsidR="00330219">
        <w:rPr>
          <w:rFonts w:ascii="Arial" w:hAnsi="Arial" w:cs="Arial"/>
          <w:sz w:val="22"/>
          <w:szCs w:val="22"/>
        </w:rPr>
        <w:t xml:space="preserve">de educación básica </w:t>
      </w:r>
      <w:r w:rsidR="0009104C" w:rsidRPr="007F4A23">
        <w:rPr>
          <w:rFonts w:ascii="Arial" w:hAnsi="Arial" w:cs="Arial"/>
          <w:sz w:val="22"/>
          <w:szCs w:val="22"/>
        </w:rPr>
        <w:t xml:space="preserve">en establecimientos de dependencia municipal </w:t>
      </w:r>
      <w:r w:rsidR="00244003">
        <w:rPr>
          <w:rFonts w:ascii="Arial" w:hAnsi="Arial" w:cs="Arial"/>
          <w:sz w:val="22"/>
          <w:szCs w:val="22"/>
        </w:rPr>
        <w:t>alcanzaba</w:t>
      </w:r>
      <w:r w:rsidR="00244003" w:rsidRPr="007F4A23">
        <w:rPr>
          <w:rFonts w:ascii="Arial" w:hAnsi="Arial" w:cs="Arial"/>
          <w:sz w:val="22"/>
          <w:szCs w:val="22"/>
        </w:rPr>
        <w:t xml:space="preserve"> </w:t>
      </w:r>
      <w:r w:rsidR="00761A98" w:rsidRPr="007F4A23">
        <w:rPr>
          <w:rFonts w:ascii="Arial" w:hAnsi="Arial" w:cs="Arial"/>
          <w:sz w:val="22"/>
          <w:szCs w:val="22"/>
        </w:rPr>
        <w:t xml:space="preserve">un </w:t>
      </w:r>
      <w:r w:rsidR="00B16D61">
        <w:rPr>
          <w:rFonts w:ascii="Arial" w:hAnsi="Arial" w:cs="Arial"/>
          <w:sz w:val="22"/>
          <w:szCs w:val="22"/>
        </w:rPr>
        <w:t>5</w:t>
      </w:r>
      <w:r w:rsidR="00761A98" w:rsidRPr="007F4A23">
        <w:rPr>
          <w:rFonts w:ascii="Arial" w:hAnsi="Arial" w:cs="Arial"/>
          <w:sz w:val="22"/>
          <w:szCs w:val="22"/>
        </w:rPr>
        <w:t xml:space="preserve">%, mientras que la magnitud calculada para colegios </w:t>
      </w:r>
      <w:r w:rsidR="00244003">
        <w:rPr>
          <w:rFonts w:ascii="Arial" w:hAnsi="Arial" w:cs="Arial"/>
          <w:sz w:val="22"/>
          <w:szCs w:val="22"/>
        </w:rPr>
        <w:t xml:space="preserve">privados </w:t>
      </w:r>
      <w:r w:rsidR="00761A98" w:rsidRPr="007F4A23">
        <w:rPr>
          <w:rFonts w:ascii="Arial" w:hAnsi="Arial" w:cs="Arial"/>
          <w:sz w:val="22"/>
          <w:szCs w:val="22"/>
        </w:rPr>
        <w:t>subvencionados alcanza</w:t>
      </w:r>
      <w:r w:rsidR="00244003">
        <w:rPr>
          <w:rFonts w:ascii="Arial" w:hAnsi="Arial" w:cs="Arial"/>
          <w:sz w:val="22"/>
          <w:szCs w:val="22"/>
        </w:rPr>
        <w:t>ba</w:t>
      </w:r>
      <w:r w:rsidR="00761A98" w:rsidRPr="007F4A23">
        <w:rPr>
          <w:rFonts w:ascii="Arial" w:hAnsi="Arial" w:cs="Arial"/>
          <w:sz w:val="22"/>
          <w:szCs w:val="22"/>
        </w:rPr>
        <w:t xml:space="preserve"> un </w:t>
      </w:r>
      <w:r w:rsidR="00B16D61">
        <w:rPr>
          <w:rFonts w:ascii="Arial" w:hAnsi="Arial" w:cs="Arial"/>
          <w:sz w:val="22"/>
          <w:szCs w:val="22"/>
        </w:rPr>
        <w:t>3,1</w:t>
      </w:r>
      <w:r w:rsidR="00761A98" w:rsidRPr="007F4A23">
        <w:rPr>
          <w:rFonts w:ascii="Arial" w:hAnsi="Arial" w:cs="Arial"/>
          <w:sz w:val="22"/>
          <w:szCs w:val="22"/>
        </w:rPr>
        <w:t xml:space="preserve">% y un </w:t>
      </w:r>
      <w:r w:rsidR="00B16D61">
        <w:rPr>
          <w:rFonts w:ascii="Arial" w:hAnsi="Arial" w:cs="Arial"/>
          <w:sz w:val="22"/>
          <w:szCs w:val="22"/>
        </w:rPr>
        <w:t>0,8</w:t>
      </w:r>
      <w:r w:rsidR="00761A98" w:rsidRPr="007F4A23">
        <w:rPr>
          <w:rFonts w:ascii="Arial" w:hAnsi="Arial" w:cs="Arial"/>
          <w:sz w:val="22"/>
          <w:szCs w:val="22"/>
        </w:rPr>
        <w:t>% en privados.</w:t>
      </w:r>
      <w:r w:rsidR="00B16D61">
        <w:rPr>
          <w:rFonts w:ascii="Arial" w:hAnsi="Arial" w:cs="Arial"/>
          <w:sz w:val="22"/>
          <w:szCs w:val="22"/>
        </w:rPr>
        <w:t xml:space="preserve"> En el caso de educación media la tasa de repitencia en establecimientos municipales alcanza un 8,1%, y en privados subvencionados y privados alcanza un 4,8% y un 1,7%</w:t>
      </w:r>
      <w:r w:rsidR="00957124">
        <w:rPr>
          <w:rFonts w:ascii="Arial" w:hAnsi="Arial" w:cs="Arial"/>
          <w:sz w:val="22"/>
          <w:szCs w:val="22"/>
        </w:rPr>
        <w:t> </w:t>
      </w:r>
      <w:r w:rsidR="00B16D61">
        <w:rPr>
          <w:rFonts w:ascii="Arial" w:hAnsi="Arial" w:cs="Arial"/>
          <w:sz w:val="22"/>
          <w:szCs w:val="22"/>
        </w:rPr>
        <w:t xml:space="preserve">respectivamente. </w:t>
      </w:r>
    </w:p>
    <w:bookmarkEnd w:id="7"/>
    <w:p w14:paraId="5184FF5F" w14:textId="77777777" w:rsidR="00F70BC2" w:rsidRPr="007F4A23" w:rsidRDefault="00F70BC2" w:rsidP="00FF578E">
      <w:pPr>
        <w:numPr>
          <w:ilvl w:val="0"/>
          <w:numId w:val="23"/>
        </w:numPr>
        <w:spacing w:before="240"/>
        <w:rPr>
          <w:rFonts w:ascii="Arial" w:hAnsi="Arial" w:cs="Arial"/>
          <w:sz w:val="22"/>
          <w:szCs w:val="22"/>
        </w:rPr>
      </w:pPr>
      <w:r w:rsidRPr="007F4A23">
        <w:rPr>
          <w:rFonts w:ascii="Arial" w:hAnsi="Arial" w:cs="Arial"/>
          <w:sz w:val="22"/>
          <w:szCs w:val="22"/>
        </w:rPr>
        <w:t>Metodología</w:t>
      </w:r>
    </w:p>
    <w:p w14:paraId="5184FF60" w14:textId="40254F2A" w:rsidR="003B3641" w:rsidRPr="007F4A23" w:rsidRDefault="00761A98" w:rsidP="003A542A">
      <w:pPr>
        <w:rPr>
          <w:rFonts w:ascii="Arial" w:hAnsi="Arial" w:cs="Arial"/>
          <w:sz w:val="22"/>
          <w:szCs w:val="22"/>
        </w:rPr>
      </w:pPr>
      <w:r w:rsidRPr="007F4A23">
        <w:rPr>
          <w:rFonts w:ascii="Arial" w:hAnsi="Arial" w:cs="Arial"/>
          <w:sz w:val="22"/>
          <w:szCs w:val="22"/>
        </w:rPr>
        <w:t>Tomando en cuenta los antecedentes recién mencionados se calcul</w:t>
      </w:r>
      <w:r w:rsidR="00095CB4" w:rsidRPr="007F4A23">
        <w:rPr>
          <w:rFonts w:ascii="Arial" w:hAnsi="Arial" w:cs="Arial"/>
          <w:sz w:val="22"/>
          <w:szCs w:val="22"/>
        </w:rPr>
        <w:t>ó</w:t>
      </w:r>
      <w:r w:rsidRPr="007F4A23">
        <w:rPr>
          <w:rFonts w:ascii="Arial" w:hAnsi="Arial" w:cs="Arial"/>
          <w:sz w:val="22"/>
          <w:szCs w:val="22"/>
        </w:rPr>
        <w:t xml:space="preserve"> el efecto de una reducción de un </w:t>
      </w:r>
      <w:r w:rsidR="00330219">
        <w:rPr>
          <w:rFonts w:ascii="Arial" w:hAnsi="Arial" w:cs="Arial"/>
          <w:sz w:val="22"/>
          <w:szCs w:val="22"/>
        </w:rPr>
        <w:t>1</w:t>
      </w:r>
      <w:r w:rsidRPr="007F4A23">
        <w:rPr>
          <w:rFonts w:ascii="Arial" w:hAnsi="Arial" w:cs="Arial"/>
          <w:sz w:val="22"/>
          <w:szCs w:val="22"/>
        </w:rPr>
        <w:t>% en la tasa de repetición de los estudiantes de establecimientos en los que se implement</w:t>
      </w:r>
      <w:r w:rsidR="003B3641" w:rsidRPr="007F4A23">
        <w:rPr>
          <w:rFonts w:ascii="Arial" w:hAnsi="Arial" w:cs="Arial"/>
          <w:sz w:val="22"/>
          <w:szCs w:val="22"/>
        </w:rPr>
        <w:t>a</w:t>
      </w:r>
      <w:r w:rsidRPr="007F4A23">
        <w:rPr>
          <w:rFonts w:ascii="Arial" w:hAnsi="Arial" w:cs="Arial"/>
          <w:sz w:val="22"/>
          <w:szCs w:val="22"/>
        </w:rPr>
        <w:t xml:space="preserve"> el Programa. </w:t>
      </w:r>
      <w:r w:rsidR="00095CB4" w:rsidRPr="007F4A23">
        <w:rPr>
          <w:rFonts w:ascii="Arial" w:hAnsi="Arial" w:cs="Arial"/>
          <w:sz w:val="22"/>
          <w:szCs w:val="22"/>
        </w:rPr>
        <w:t xml:space="preserve">Para la valorización del costo de la repetición se </w:t>
      </w:r>
      <w:r w:rsidR="00C753ED" w:rsidRPr="007F4A23">
        <w:rPr>
          <w:rFonts w:ascii="Arial" w:hAnsi="Arial" w:cs="Arial"/>
          <w:sz w:val="22"/>
          <w:szCs w:val="22"/>
        </w:rPr>
        <w:t xml:space="preserve">consideró el gasto anual por estudiante de los niveles educacionales primario y secundario el que asciende a </w:t>
      </w:r>
      <w:r w:rsidR="00C753ED" w:rsidRPr="0005518A">
        <w:rPr>
          <w:rFonts w:ascii="Arial" w:hAnsi="Arial" w:cs="Arial"/>
          <w:sz w:val="22"/>
          <w:szCs w:val="22"/>
        </w:rPr>
        <w:t xml:space="preserve">USD 3.543 </w:t>
      </w:r>
      <w:r w:rsidR="00C753ED" w:rsidRPr="0005518A">
        <w:rPr>
          <w:rFonts w:ascii="Arial" w:hAnsi="Arial" w:cs="Arial"/>
          <w:sz w:val="22"/>
          <w:szCs w:val="22"/>
        </w:rPr>
        <w:fldChar w:fldCharType="begin" w:fldLock="1"/>
      </w:r>
      <w:r w:rsidR="00D76E17" w:rsidRPr="00190C8B">
        <w:rPr>
          <w:rFonts w:ascii="Arial" w:hAnsi="Arial" w:cs="Arial"/>
          <w:sz w:val="22"/>
          <w:szCs w:val="22"/>
        </w:rPr>
        <w:instrText>ADDIN CSL_CITATION { "citationItems" : [ { "id" : "ITEM-1", "itemData" : { "DOI" : "10.1787/19991487", "ISBN" : "1999-1487", "author" : [ { "dropping-particle" : "", "family" : "OECD", "given" : "", "non-dropping-particle" : "", "parse-names" : false, "suffix" : "" } ], "id" : "ITEM-1", "issued" : { "date-parts" : [ [ "2014" ] ] }, "number-of-pages" : "570", "title" : "Education at a Glance 2014: OECD Indicators", "type" : "book" }, "uris" : [ "http://www.mendeley.com/documents/?uuid=192cdea4-52b2-47c0-84c9-0cc6ab6e6bac" ] } ], "mendeley" : { "formattedCitation" : "(OECD 2014)", "plainTextFormattedCitation" : "(OECD 2014)", "previouslyFormattedCitation" : "(OECD 2014)" }, "properties" : { "noteIndex" : 0 }, "schema" : "https://github.com/citation-style-language/schema/raw/master/csl-citation.json" }</w:instrText>
      </w:r>
      <w:r w:rsidR="00C753ED" w:rsidRPr="0005518A">
        <w:rPr>
          <w:rFonts w:ascii="Arial" w:hAnsi="Arial" w:cs="Arial"/>
          <w:sz w:val="22"/>
          <w:szCs w:val="22"/>
        </w:rPr>
        <w:fldChar w:fldCharType="separate"/>
      </w:r>
      <w:r w:rsidR="00222A4E" w:rsidRPr="0005518A">
        <w:rPr>
          <w:rFonts w:ascii="Arial" w:hAnsi="Arial" w:cs="Arial"/>
          <w:noProof/>
          <w:sz w:val="22"/>
          <w:szCs w:val="22"/>
        </w:rPr>
        <w:t>(OECD</w:t>
      </w:r>
      <w:r w:rsidR="005215F8" w:rsidRPr="00190C8B">
        <w:rPr>
          <w:rFonts w:ascii="Arial" w:hAnsi="Arial" w:cs="Arial"/>
          <w:noProof/>
          <w:sz w:val="22"/>
          <w:szCs w:val="22"/>
        </w:rPr>
        <w:t>,</w:t>
      </w:r>
      <w:r w:rsidR="00222A4E" w:rsidRPr="0005518A">
        <w:rPr>
          <w:rFonts w:ascii="Arial" w:hAnsi="Arial" w:cs="Arial"/>
          <w:noProof/>
          <w:sz w:val="22"/>
          <w:szCs w:val="22"/>
        </w:rPr>
        <w:t xml:space="preserve"> 2014)</w:t>
      </w:r>
      <w:r w:rsidR="00C753ED" w:rsidRPr="0005518A">
        <w:rPr>
          <w:rFonts w:ascii="Arial" w:hAnsi="Arial" w:cs="Arial"/>
          <w:sz w:val="22"/>
          <w:szCs w:val="22"/>
        </w:rPr>
        <w:fldChar w:fldCharType="end"/>
      </w:r>
      <w:r w:rsidR="00C753ED" w:rsidRPr="0005518A">
        <w:rPr>
          <w:rFonts w:ascii="Arial" w:hAnsi="Arial" w:cs="Arial"/>
          <w:sz w:val="22"/>
          <w:szCs w:val="22"/>
        </w:rPr>
        <w:t>.</w:t>
      </w:r>
      <w:r w:rsidR="00C753ED" w:rsidRPr="007F4A23">
        <w:rPr>
          <w:rFonts w:ascii="Arial" w:hAnsi="Arial" w:cs="Arial"/>
          <w:sz w:val="22"/>
          <w:szCs w:val="22"/>
        </w:rPr>
        <w:t xml:space="preserve"> Es importante señalar en este punto que de este valor no incluye los costos de oportunidad que implica el retraso </w:t>
      </w:r>
      <w:r w:rsidR="006B5AE2" w:rsidRPr="007F4A23">
        <w:rPr>
          <w:rFonts w:ascii="Arial" w:hAnsi="Arial" w:cs="Arial"/>
          <w:sz w:val="22"/>
          <w:szCs w:val="22"/>
        </w:rPr>
        <w:t xml:space="preserve">en la incorporación de dichos sujetos al mercado del trabajo, razón por la cual el costo social de la repetición puede ser sustancialmente mayor que el gasto público que implica entregar un año adicional de educación a un estudiante repitente </w:t>
      </w:r>
      <w:r w:rsidR="006B5AE2"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"author" : [ { "dropping-particle" : "", "family" : "Pisa", "given" : "The", "non-dropping-particle" : "", "parse-names" : false, "suffix" : "" } ], "id" : "ITEM-1", "issued" : { "date-parts" : [ [ "2011" ] ] }, "page" : "1-4", "title" : "in Focus", "type" : "article-journal", "volume" : "10" }, "uris" : [ "http://www.mendeley.com/documents/?uuid=a7c0006b-7c87-4cd6-a37f-6424924f5834" ] } ], "mendeley" : { "formattedCitation" : "(Pisa 2011)", "plainTextFormattedCitation" : "(Pisa 2011)", "previouslyFormattedCitation" : "(Pisa 2011)" }, "properties" : { "noteIndex" : 0 }, "schema" : "https://github.com/citation-style-language/schema/raw/master/csl-citation.json" }</w:instrText>
      </w:r>
      <w:r w:rsidR="006B5AE2" w:rsidRPr="007F4A23">
        <w:rPr>
          <w:rFonts w:ascii="Arial" w:hAnsi="Arial" w:cs="Arial"/>
          <w:sz w:val="22"/>
          <w:szCs w:val="22"/>
        </w:rPr>
        <w:fldChar w:fldCharType="separate"/>
      </w:r>
      <w:r w:rsidR="006B5AE2" w:rsidRPr="007F4A23">
        <w:rPr>
          <w:rFonts w:ascii="Arial" w:hAnsi="Arial" w:cs="Arial"/>
          <w:noProof/>
          <w:sz w:val="22"/>
          <w:szCs w:val="22"/>
        </w:rPr>
        <w:t>(Pisa</w:t>
      </w:r>
      <w:r w:rsidR="005215F8">
        <w:rPr>
          <w:rFonts w:ascii="Arial" w:hAnsi="Arial" w:cs="Arial"/>
          <w:noProof/>
          <w:sz w:val="22"/>
          <w:szCs w:val="22"/>
        </w:rPr>
        <w:t>,</w:t>
      </w:r>
      <w:r w:rsidR="006B5AE2" w:rsidRPr="007F4A23">
        <w:rPr>
          <w:rFonts w:ascii="Arial" w:hAnsi="Arial" w:cs="Arial"/>
          <w:noProof/>
          <w:sz w:val="22"/>
          <w:szCs w:val="22"/>
        </w:rPr>
        <w:t xml:space="preserve"> 2011)</w:t>
      </w:r>
      <w:r w:rsidR="006B5AE2" w:rsidRPr="007F4A23">
        <w:rPr>
          <w:rFonts w:ascii="Arial" w:hAnsi="Arial" w:cs="Arial"/>
          <w:sz w:val="22"/>
          <w:szCs w:val="22"/>
        </w:rPr>
        <w:fldChar w:fldCharType="end"/>
      </w:r>
      <w:r w:rsidR="006B5AE2" w:rsidRPr="007F4A23">
        <w:rPr>
          <w:rFonts w:ascii="Arial" w:hAnsi="Arial" w:cs="Arial"/>
          <w:sz w:val="22"/>
          <w:szCs w:val="22"/>
        </w:rPr>
        <w:t>.</w:t>
      </w:r>
    </w:p>
    <w:p w14:paraId="5184FF61" w14:textId="77777777" w:rsidR="003A30D0" w:rsidRPr="007F4A23" w:rsidRDefault="003A30D0" w:rsidP="003A542A">
      <w:pPr>
        <w:rPr>
          <w:rFonts w:ascii="Arial" w:hAnsi="Arial" w:cs="Arial"/>
          <w:sz w:val="22"/>
          <w:szCs w:val="22"/>
        </w:rPr>
      </w:pPr>
    </w:p>
    <w:p w14:paraId="5184FF62" w14:textId="77777777" w:rsidR="003A30D0" w:rsidRPr="007F4A23" w:rsidRDefault="003A30D0" w:rsidP="00FF578E">
      <w:pPr>
        <w:pStyle w:val="Heading2"/>
        <w:numPr>
          <w:ilvl w:val="1"/>
          <w:numId w:val="32"/>
        </w:numPr>
        <w:ind w:left="720" w:hanging="720"/>
        <w:rPr>
          <w:rFonts w:ascii="Arial" w:hAnsi="Arial" w:cs="Arial"/>
          <w:sz w:val="22"/>
          <w:szCs w:val="22"/>
        </w:rPr>
      </w:pPr>
      <w:r w:rsidRPr="007F4A23">
        <w:rPr>
          <w:rFonts w:ascii="Arial" w:hAnsi="Arial" w:cs="Arial"/>
          <w:sz w:val="22"/>
          <w:szCs w:val="22"/>
        </w:rPr>
        <w:t>Costos Económicos</w:t>
      </w:r>
      <w:r w:rsidR="00C1224F" w:rsidRPr="007F4A23">
        <w:rPr>
          <w:rFonts w:ascii="Arial" w:hAnsi="Arial" w:cs="Arial"/>
          <w:sz w:val="22"/>
          <w:szCs w:val="22"/>
        </w:rPr>
        <w:t>:</w:t>
      </w:r>
    </w:p>
    <w:p w14:paraId="5B7D56D8" w14:textId="4E8F5CD6" w:rsidR="00AE4D82" w:rsidRDefault="00AE4D82" w:rsidP="00C1224F">
      <w:pPr>
        <w:rPr>
          <w:rFonts w:ascii="Arial" w:hAnsi="Arial" w:cs="Arial"/>
          <w:sz w:val="22"/>
          <w:szCs w:val="22"/>
        </w:rPr>
      </w:pPr>
      <w:r w:rsidRPr="00AE4D82">
        <w:rPr>
          <w:rFonts w:ascii="Arial" w:hAnsi="Arial" w:cs="Arial"/>
          <w:sz w:val="22"/>
          <w:szCs w:val="22"/>
        </w:rPr>
        <w:t xml:space="preserve">Los costos considerados para la evaluación incluyen los relacionados con las inversiones totales del Programa, más la consideración de uno de los principales costos de operación: </w:t>
      </w:r>
      <w:r>
        <w:rPr>
          <w:rFonts w:ascii="Arial" w:hAnsi="Arial" w:cs="Arial"/>
          <w:sz w:val="22"/>
          <w:szCs w:val="22"/>
        </w:rPr>
        <w:t xml:space="preserve">los costos de operación de la DEP. </w:t>
      </w:r>
    </w:p>
    <w:p w14:paraId="5184FF66" w14:textId="647F409B" w:rsidR="003A0251" w:rsidRPr="00357FFB" w:rsidRDefault="0004652F" w:rsidP="00343AC7">
      <w:pPr>
        <w:rPr>
          <w:rFonts w:ascii="Arial" w:hAnsi="Arial" w:cs="Arial"/>
          <w:sz w:val="22"/>
          <w:szCs w:val="22"/>
        </w:rPr>
      </w:pPr>
      <w:r w:rsidRPr="007F4A23">
        <w:rPr>
          <w:rFonts w:ascii="Arial" w:hAnsi="Arial" w:cs="Arial"/>
          <w:sz w:val="22"/>
          <w:szCs w:val="22"/>
        </w:rPr>
        <w:t xml:space="preserve">Al analizar la estructura </w:t>
      </w:r>
      <w:r w:rsidR="00CD01A8">
        <w:rPr>
          <w:rFonts w:ascii="Arial" w:hAnsi="Arial" w:cs="Arial"/>
          <w:sz w:val="22"/>
          <w:szCs w:val="22"/>
        </w:rPr>
        <w:t>costos</w:t>
      </w:r>
      <w:r w:rsidRPr="007F4A23">
        <w:rPr>
          <w:rFonts w:ascii="Arial" w:hAnsi="Arial" w:cs="Arial"/>
          <w:sz w:val="22"/>
          <w:szCs w:val="22"/>
        </w:rPr>
        <w:t xml:space="preserve"> </w:t>
      </w:r>
      <w:r w:rsidR="005F5AD0">
        <w:rPr>
          <w:rFonts w:ascii="Arial" w:hAnsi="Arial" w:cs="Arial"/>
          <w:sz w:val="22"/>
          <w:szCs w:val="22"/>
        </w:rPr>
        <w:t>de</w:t>
      </w:r>
      <w:r w:rsidR="00AE4D82">
        <w:rPr>
          <w:rFonts w:ascii="Arial" w:hAnsi="Arial" w:cs="Arial"/>
          <w:sz w:val="22"/>
          <w:szCs w:val="22"/>
        </w:rPr>
        <w:t xml:space="preserve"> inversión de</w:t>
      </w:r>
      <w:r w:rsidR="005F5AD0">
        <w:rPr>
          <w:rFonts w:ascii="Arial" w:hAnsi="Arial" w:cs="Arial"/>
          <w:sz w:val="22"/>
          <w:szCs w:val="22"/>
        </w:rPr>
        <w:t xml:space="preserve">l programa </w:t>
      </w:r>
      <w:r w:rsidRPr="007F4A23">
        <w:rPr>
          <w:rFonts w:ascii="Arial" w:hAnsi="Arial" w:cs="Arial"/>
          <w:sz w:val="22"/>
          <w:szCs w:val="22"/>
        </w:rPr>
        <w:t xml:space="preserve">por año se observa </w:t>
      </w:r>
      <w:r w:rsidR="00CD01A8">
        <w:rPr>
          <w:rFonts w:ascii="Arial" w:hAnsi="Arial" w:cs="Arial"/>
          <w:sz w:val="22"/>
          <w:szCs w:val="22"/>
        </w:rPr>
        <w:t xml:space="preserve">una evolución creciente, </w:t>
      </w:r>
      <w:r w:rsidRPr="007F4A23">
        <w:rPr>
          <w:rFonts w:ascii="Arial" w:hAnsi="Arial" w:cs="Arial"/>
          <w:sz w:val="22"/>
          <w:szCs w:val="22"/>
        </w:rPr>
        <w:t xml:space="preserve">que </w:t>
      </w:r>
      <w:r w:rsidR="00CD01A8">
        <w:rPr>
          <w:rFonts w:ascii="Arial" w:hAnsi="Arial" w:cs="Arial"/>
          <w:sz w:val="22"/>
          <w:szCs w:val="22"/>
        </w:rPr>
        <w:t xml:space="preserve">comienza con </w:t>
      </w:r>
      <w:r w:rsidR="00CD01A8" w:rsidRPr="00357FFB">
        <w:rPr>
          <w:rFonts w:ascii="Arial" w:hAnsi="Arial" w:cs="Arial"/>
          <w:sz w:val="22"/>
          <w:szCs w:val="22"/>
        </w:rPr>
        <w:t xml:space="preserve">un </w:t>
      </w:r>
      <w:r w:rsidR="000D5FDC">
        <w:rPr>
          <w:rFonts w:ascii="Arial" w:hAnsi="Arial" w:cs="Arial"/>
          <w:sz w:val="22"/>
          <w:szCs w:val="22"/>
        </w:rPr>
        <w:t>25</w:t>
      </w:r>
      <w:r w:rsidR="00CD01A8" w:rsidRPr="00357FFB">
        <w:rPr>
          <w:rFonts w:ascii="Arial" w:hAnsi="Arial" w:cs="Arial"/>
          <w:sz w:val="22"/>
          <w:szCs w:val="22"/>
        </w:rPr>
        <w:t xml:space="preserve">% el 2020, </w:t>
      </w:r>
      <w:r w:rsidR="0005518A" w:rsidRPr="00357FFB">
        <w:rPr>
          <w:rFonts w:ascii="Arial" w:hAnsi="Arial" w:cs="Arial"/>
          <w:sz w:val="22"/>
          <w:szCs w:val="22"/>
        </w:rPr>
        <w:t xml:space="preserve">y </w:t>
      </w:r>
      <w:r w:rsidR="00CD01A8" w:rsidRPr="00357FFB">
        <w:rPr>
          <w:rFonts w:ascii="Arial" w:hAnsi="Arial" w:cs="Arial"/>
          <w:sz w:val="22"/>
          <w:szCs w:val="22"/>
        </w:rPr>
        <w:t xml:space="preserve">un </w:t>
      </w:r>
      <w:r w:rsidR="009E620C">
        <w:rPr>
          <w:rFonts w:ascii="Arial" w:hAnsi="Arial" w:cs="Arial"/>
          <w:sz w:val="22"/>
          <w:szCs w:val="22"/>
        </w:rPr>
        <w:t>75</w:t>
      </w:r>
      <w:r w:rsidR="00CD01A8" w:rsidRPr="00357FFB">
        <w:rPr>
          <w:rFonts w:ascii="Arial" w:hAnsi="Arial" w:cs="Arial"/>
          <w:sz w:val="22"/>
          <w:szCs w:val="22"/>
        </w:rPr>
        <w:t>% el 2021</w:t>
      </w:r>
      <w:r w:rsidR="0005518A" w:rsidRPr="00357FFB">
        <w:rPr>
          <w:rFonts w:ascii="Arial" w:hAnsi="Arial" w:cs="Arial"/>
          <w:sz w:val="22"/>
          <w:szCs w:val="22"/>
        </w:rPr>
        <w:t>.</w:t>
      </w:r>
    </w:p>
    <w:p w14:paraId="5184FF67" w14:textId="4834DB2B" w:rsidR="00C1224F" w:rsidRPr="00357FFB" w:rsidRDefault="00C1224F" w:rsidP="00C1224F">
      <w:pPr>
        <w:pStyle w:val="Caption"/>
        <w:keepNext/>
        <w:jc w:val="center"/>
        <w:rPr>
          <w:rFonts w:ascii="Arial" w:hAnsi="Arial" w:cs="Arial"/>
          <w:sz w:val="18"/>
          <w:szCs w:val="18"/>
        </w:rPr>
      </w:pPr>
      <w:r w:rsidRPr="00357FFB">
        <w:rPr>
          <w:rFonts w:ascii="Arial" w:hAnsi="Arial" w:cs="Arial"/>
          <w:sz w:val="18"/>
          <w:szCs w:val="18"/>
        </w:rPr>
        <w:t xml:space="preserve">Tabla </w:t>
      </w:r>
      <w:r w:rsidRPr="00357FFB">
        <w:rPr>
          <w:rFonts w:ascii="Arial" w:hAnsi="Arial" w:cs="Arial"/>
          <w:sz w:val="18"/>
          <w:szCs w:val="18"/>
        </w:rPr>
        <w:fldChar w:fldCharType="begin"/>
      </w:r>
      <w:r w:rsidRPr="00357FFB">
        <w:rPr>
          <w:rFonts w:ascii="Arial" w:hAnsi="Arial" w:cs="Arial"/>
          <w:sz w:val="18"/>
          <w:szCs w:val="18"/>
        </w:rPr>
        <w:instrText xml:space="preserve"> SEQ Tabla \* ARABIC </w:instrText>
      </w:r>
      <w:r w:rsidRPr="00357FFB">
        <w:rPr>
          <w:rFonts w:ascii="Arial" w:hAnsi="Arial" w:cs="Arial"/>
          <w:sz w:val="18"/>
          <w:szCs w:val="18"/>
        </w:rPr>
        <w:fldChar w:fldCharType="separate"/>
      </w:r>
      <w:r w:rsidR="00010C24">
        <w:rPr>
          <w:rFonts w:ascii="Arial" w:hAnsi="Arial" w:cs="Arial"/>
          <w:noProof/>
          <w:sz w:val="18"/>
          <w:szCs w:val="18"/>
        </w:rPr>
        <w:t>2</w:t>
      </w:r>
      <w:r w:rsidRPr="00357FFB">
        <w:rPr>
          <w:rFonts w:ascii="Arial" w:hAnsi="Arial" w:cs="Arial"/>
          <w:sz w:val="18"/>
          <w:szCs w:val="18"/>
        </w:rPr>
        <w:fldChar w:fldCharType="end"/>
      </w:r>
      <w:r w:rsidRPr="00357FFB">
        <w:rPr>
          <w:rFonts w:ascii="Arial" w:hAnsi="Arial" w:cs="Arial"/>
          <w:sz w:val="18"/>
          <w:szCs w:val="18"/>
        </w:rPr>
        <w:t xml:space="preserve">: Estimación de costos </w:t>
      </w:r>
      <w:r w:rsidR="00CD01A8" w:rsidRPr="00357FFB">
        <w:rPr>
          <w:rFonts w:ascii="Arial" w:hAnsi="Arial" w:cs="Arial"/>
          <w:sz w:val="18"/>
          <w:szCs w:val="18"/>
        </w:rPr>
        <w:t xml:space="preserve">del programa por </w:t>
      </w:r>
      <w:r w:rsidR="0005518A" w:rsidRPr="00357FFB">
        <w:rPr>
          <w:rFonts w:ascii="Arial" w:hAnsi="Arial" w:cs="Arial"/>
          <w:sz w:val="18"/>
          <w:szCs w:val="18"/>
        </w:rPr>
        <w:t xml:space="preserve">componente y por </w:t>
      </w:r>
      <w:r w:rsidR="00CD01A8" w:rsidRPr="00357FFB">
        <w:rPr>
          <w:rFonts w:ascii="Arial" w:hAnsi="Arial" w:cs="Arial"/>
          <w:sz w:val="18"/>
          <w:szCs w:val="18"/>
        </w:rPr>
        <w:t>año</w:t>
      </w:r>
      <w:r w:rsidRPr="00357FFB">
        <w:rPr>
          <w:rFonts w:ascii="Arial" w:hAnsi="Arial" w:cs="Arial"/>
          <w:sz w:val="18"/>
          <w:szCs w:val="18"/>
        </w:rPr>
        <w:t xml:space="preserve"> (en USD)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9"/>
        <w:gridCol w:w="1117"/>
        <w:gridCol w:w="1117"/>
        <w:gridCol w:w="1117"/>
      </w:tblGrid>
      <w:tr w:rsidR="0005518A" w:rsidRPr="00DB431C" w14:paraId="5184FF6E" w14:textId="77777777" w:rsidTr="00A31BB9">
        <w:tc>
          <w:tcPr>
            <w:tcW w:w="0" w:type="auto"/>
            <w:shd w:val="clear" w:color="auto" w:fill="auto"/>
          </w:tcPr>
          <w:p w14:paraId="5184FF68" w14:textId="77777777" w:rsidR="0005518A" w:rsidRPr="00357FFB" w:rsidRDefault="0005518A" w:rsidP="00A31BB9">
            <w:pPr>
              <w:spacing w:after="0"/>
              <w:rPr>
                <w:rFonts w:ascii="Arial" w:hAnsi="Arial" w:cs="Arial"/>
                <w:sz w:val="18"/>
                <w:szCs w:val="18"/>
              </w:rPr>
            </w:pPr>
            <w:r w:rsidRPr="00357FFB">
              <w:rPr>
                <w:rFonts w:ascii="Arial" w:hAnsi="Arial" w:cs="Arial"/>
                <w:sz w:val="18"/>
                <w:szCs w:val="18"/>
              </w:rPr>
              <w:t>Año</w:t>
            </w:r>
          </w:p>
        </w:tc>
        <w:tc>
          <w:tcPr>
            <w:tcW w:w="0" w:type="auto"/>
            <w:shd w:val="clear" w:color="auto" w:fill="auto"/>
            <w:vAlign w:val="center"/>
          </w:tcPr>
          <w:p w14:paraId="5184FF69" w14:textId="0E4E5167" w:rsidR="0005518A" w:rsidRPr="00357FFB" w:rsidRDefault="0005518A" w:rsidP="00A31BB9">
            <w:pPr>
              <w:spacing w:after="0"/>
              <w:jc w:val="center"/>
              <w:rPr>
                <w:rFonts w:ascii="Arial" w:hAnsi="Arial" w:cs="Arial"/>
                <w:sz w:val="18"/>
                <w:szCs w:val="18"/>
              </w:rPr>
            </w:pPr>
            <w:r w:rsidRPr="00357FFB">
              <w:rPr>
                <w:rFonts w:ascii="Arial" w:hAnsi="Arial" w:cs="Arial"/>
                <w:sz w:val="18"/>
                <w:szCs w:val="18"/>
              </w:rPr>
              <w:t>2020</w:t>
            </w:r>
          </w:p>
        </w:tc>
        <w:tc>
          <w:tcPr>
            <w:tcW w:w="0" w:type="auto"/>
            <w:shd w:val="clear" w:color="auto" w:fill="auto"/>
            <w:vAlign w:val="center"/>
          </w:tcPr>
          <w:p w14:paraId="5184FF6A" w14:textId="6D9586E6" w:rsidR="0005518A" w:rsidRPr="00357FFB" w:rsidRDefault="0005518A" w:rsidP="00A31BB9">
            <w:pPr>
              <w:spacing w:after="0"/>
              <w:jc w:val="center"/>
              <w:rPr>
                <w:rFonts w:ascii="Arial" w:hAnsi="Arial" w:cs="Arial"/>
                <w:sz w:val="18"/>
                <w:szCs w:val="18"/>
              </w:rPr>
            </w:pPr>
            <w:r w:rsidRPr="00357FFB">
              <w:rPr>
                <w:rFonts w:ascii="Arial" w:hAnsi="Arial" w:cs="Arial"/>
                <w:sz w:val="18"/>
                <w:szCs w:val="18"/>
              </w:rPr>
              <w:t>2021</w:t>
            </w:r>
          </w:p>
        </w:tc>
        <w:tc>
          <w:tcPr>
            <w:tcW w:w="0" w:type="auto"/>
            <w:shd w:val="clear" w:color="auto" w:fill="auto"/>
            <w:vAlign w:val="center"/>
          </w:tcPr>
          <w:p w14:paraId="5184FF6D" w14:textId="77777777" w:rsidR="0005518A" w:rsidRPr="00357FFB" w:rsidRDefault="0005518A" w:rsidP="00A31BB9">
            <w:pPr>
              <w:spacing w:after="0"/>
              <w:jc w:val="center"/>
              <w:rPr>
                <w:rFonts w:ascii="Arial" w:hAnsi="Arial" w:cs="Arial"/>
                <w:sz w:val="18"/>
                <w:szCs w:val="18"/>
              </w:rPr>
            </w:pPr>
            <w:r w:rsidRPr="00357FFB">
              <w:rPr>
                <w:rFonts w:ascii="Arial" w:hAnsi="Arial" w:cs="Arial"/>
                <w:sz w:val="18"/>
                <w:szCs w:val="18"/>
              </w:rPr>
              <w:t>TOTAL</w:t>
            </w:r>
          </w:p>
        </w:tc>
      </w:tr>
      <w:tr w:rsidR="00357FFB" w:rsidRPr="00DB431C" w14:paraId="34EF57D3" w14:textId="77777777" w:rsidTr="00A31BB9">
        <w:tc>
          <w:tcPr>
            <w:tcW w:w="0" w:type="auto"/>
            <w:shd w:val="clear" w:color="auto" w:fill="auto"/>
          </w:tcPr>
          <w:p w14:paraId="357AEFB5" w14:textId="18B96564" w:rsidR="00357FFB" w:rsidRPr="00357FFB" w:rsidRDefault="00BA4250" w:rsidP="00A31BB9">
            <w:pPr>
              <w:spacing w:after="0"/>
              <w:rPr>
                <w:rFonts w:ascii="Arial" w:hAnsi="Arial" w:cs="Arial"/>
                <w:sz w:val="18"/>
                <w:szCs w:val="18"/>
              </w:rPr>
            </w:pPr>
            <w:r>
              <w:rPr>
                <w:rFonts w:ascii="Arial" w:hAnsi="Arial" w:cs="Arial"/>
                <w:sz w:val="18"/>
                <w:szCs w:val="18"/>
              </w:rPr>
              <w:t xml:space="preserve">Anticipo </w:t>
            </w:r>
          </w:p>
        </w:tc>
        <w:tc>
          <w:tcPr>
            <w:tcW w:w="0" w:type="auto"/>
            <w:shd w:val="clear" w:color="auto" w:fill="auto"/>
            <w:vAlign w:val="center"/>
          </w:tcPr>
          <w:p w14:paraId="484AB9C9" w14:textId="575FBE46" w:rsidR="00357FFB" w:rsidRPr="00357FFB" w:rsidRDefault="008E25DD" w:rsidP="00A31BB9">
            <w:pPr>
              <w:spacing w:after="0"/>
              <w:jc w:val="center"/>
              <w:rPr>
                <w:rFonts w:ascii="Arial" w:hAnsi="Arial" w:cs="Arial"/>
                <w:sz w:val="18"/>
                <w:szCs w:val="18"/>
              </w:rPr>
            </w:pPr>
            <w:r>
              <w:rPr>
                <w:rFonts w:ascii="Arial" w:hAnsi="Arial" w:cs="Arial"/>
                <w:sz w:val="18"/>
                <w:szCs w:val="18"/>
              </w:rPr>
              <w:t>5</w:t>
            </w:r>
            <w:r w:rsidR="004F10B0">
              <w:rPr>
                <w:rFonts w:ascii="Arial" w:hAnsi="Arial" w:cs="Arial"/>
                <w:sz w:val="18"/>
                <w:szCs w:val="18"/>
              </w:rPr>
              <w:t>.000.000</w:t>
            </w:r>
          </w:p>
        </w:tc>
        <w:tc>
          <w:tcPr>
            <w:tcW w:w="0" w:type="auto"/>
            <w:shd w:val="clear" w:color="auto" w:fill="auto"/>
            <w:vAlign w:val="center"/>
          </w:tcPr>
          <w:p w14:paraId="75C63559" w14:textId="77777777" w:rsidR="00357FFB" w:rsidRPr="00357FFB" w:rsidRDefault="00357FFB" w:rsidP="00A31BB9">
            <w:pPr>
              <w:spacing w:after="0"/>
              <w:jc w:val="center"/>
              <w:rPr>
                <w:rFonts w:ascii="Arial" w:hAnsi="Arial" w:cs="Arial"/>
                <w:sz w:val="18"/>
                <w:szCs w:val="18"/>
              </w:rPr>
            </w:pPr>
          </w:p>
        </w:tc>
        <w:tc>
          <w:tcPr>
            <w:tcW w:w="0" w:type="auto"/>
            <w:shd w:val="clear" w:color="auto" w:fill="auto"/>
            <w:vAlign w:val="center"/>
          </w:tcPr>
          <w:p w14:paraId="4FF995A9" w14:textId="4C199CAD" w:rsidR="00357FFB" w:rsidRPr="00357FFB" w:rsidRDefault="009B7165" w:rsidP="00A31BB9">
            <w:pPr>
              <w:spacing w:after="0"/>
              <w:jc w:val="center"/>
              <w:rPr>
                <w:rFonts w:ascii="Arial" w:hAnsi="Arial" w:cs="Arial"/>
                <w:sz w:val="18"/>
                <w:szCs w:val="18"/>
              </w:rPr>
            </w:pPr>
            <w:r>
              <w:rPr>
                <w:rFonts w:ascii="Arial" w:hAnsi="Arial" w:cs="Arial"/>
                <w:sz w:val="18"/>
                <w:szCs w:val="18"/>
              </w:rPr>
              <w:t>5.000.000</w:t>
            </w:r>
          </w:p>
        </w:tc>
      </w:tr>
      <w:tr w:rsidR="0005518A" w:rsidRPr="00DB431C" w14:paraId="5184FF75" w14:textId="77777777" w:rsidTr="00A31BB9">
        <w:tc>
          <w:tcPr>
            <w:tcW w:w="0" w:type="auto"/>
            <w:shd w:val="clear" w:color="auto" w:fill="auto"/>
          </w:tcPr>
          <w:p w14:paraId="5184FF6F" w14:textId="1C652563" w:rsidR="0005518A" w:rsidRPr="00357FFB" w:rsidRDefault="0005518A" w:rsidP="00A31BB9">
            <w:pPr>
              <w:spacing w:after="0"/>
              <w:rPr>
                <w:rFonts w:ascii="Arial" w:hAnsi="Arial" w:cs="Arial"/>
                <w:sz w:val="18"/>
                <w:szCs w:val="18"/>
              </w:rPr>
            </w:pPr>
            <w:r w:rsidRPr="00357FFB">
              <w:rPr>
                <w:rFonts w:ascii="Arial" w:hAnsi="Arial" w:cs="Arial"/>
                <w:sz w:val="18"/>
                <w:szCs w:val="18"/>
              </w:rPr>
              <w:t xml:space="preserve">Componente 1. Liderazgo y gestión del sistema educativo </w:t>
            </w:r>
          </w:p>
        </w:tc>
        <w:tc>
          <w:tcPr>
            <w:tcW w:w="0" w:type="auto"/>
            <w:shd w:val="clear" w:color="auto" w:fill="auto"/>
            <w:vAlign w:val="center"/>
          </w:tcPr>
          <w:p w14:paraId="5184FF70" w14:textId="00DE71D3" w:rsidR="0005518A" w:rsidRPr="00357FFB" w:rsidRDefault="004F10B0" w:rsidP="00A31BB9">
            <w:pPr>
              <w:spacing w:after="0"/>
              <w:jc w:val="center"/>
              <w:rPr>
                <w:rFonts w:ascii="Arial" w:hAnsi="Arial" w:cs="Arial"/>
                <w:sz w:val="18"/>
                <w:szCs w:val="18"/>
              </w:rPr>
            </w:pPr>
            <w:r>
              <w:rPr>
                <w:rFonts w:ascii="Arial" w:hAnsi="Arial" w:cs="Arial"/>
                <w:sz w:val="18"/>
                <w:szCs w:val="18"/>
              </w:rPr>
              <w:t>3.750.000</w:t>
            </w:r>
          </w:p>
        </w:tc>
        <w:tc>
          <w:tcPr>
            <w:tcW w:w="0" w:type="auto"/>
            <w:shd w:val="clear" w:color="auto" w:fill="auto"/>
            <w:vAlign w:val="center"/>
          </w:tcPr>
          <w:p w14:paraId="5184FF71" w14:textId="70C15443" w:rsidR="0005518A" w:rsidRPr="00357FFB" w:rsidRDefault="002C5D2D" w:rsidP="00A31BB9">
            <w:pPr>
              <w:spacing w:after="0"/>
              <w:jc w:val="center"/>
              <w:rPr>
                <w:rFonts w:ascii="Arial" w:hAnsi="Arial" w:cs="Arial"/>
                <w:sz w:val="18"/>
                <w:szCs w:val="18"/>
              </w:rPr>
            </w:pPr>
            <w:r>
              <w:rPr>
                <w:rFonts w:ascii="Arial" w:hAnsi="Arial" w:cs="Arial"/>
                <w:sz w:val="18"/>
                <w:szCs w:val="18"/>
              </w:rPr>
              <w:t>25.500.000</w:t>
            </w:r>
          </w:p>
        </w:tc>
        <w:tc>
          <w:tcPr>
            <w:tcW w:w="0" w:type="auto"/>
            <w:shd w:val="clear" w:color="auto" w:fill="auto"/>
            <w:vAlign w:val="center"/>
          </w:tcPr>
          <w:p w14:paraId="5184FF74" w14:textId="43CA796A" w:rsidR="002C5D2D" w:rsidRPr="00357FFB" w:rsidRDefault="002C5D2D" w:rsidP="000247B2">
            <w:pPr>
              <w:spacing w:after="0"/>
              <w:jc w:val="center"/>
              <w:rPr>
                <w:rFonts w:ascii="Arial" w:hAnsi="Arial" w:cs="Arial"/>
                <w:sz w:val="18"/>
                <w:szCs w:val="18"/>
              </w:rPr>
            </w:pPr>
            <w:r>
              <w:rPr>
                <w:rFonts w:ascii="Arial" w:hAnsi="Arial" w:cs="Arial"/>
                <w:sz w:val="18"/>
                <w:szCs w:val="18"/>
              </w:rPr>
              <w:t>29</w:t>
            </w:r>
            <w:r w:rsidR="000247B2">
              <w:rPr>
                <w:rFonts w:ascii="Arial" w:hAnsi="Arial" w:cs="Arial"/>
                <w:sz w:val="18"/>
                <w:szCs w:val="18"/>
              </w:rPr>
              <w:t>.250</w:t>
            </w:r>
            <w:r w:rsidR="009B7165">
              <w:rPr>
                <w:rFonts w:ascii="Arial" w:hAnsi="Arial" w:cs="Arial"/>
                <w:sz w:val="18"/>
                <w:szCs w:val="18"/>
              </w:rPr>
              <w:t>.000</w:t>
            </w:r>
          </w:p>
        </w:tc>
      </w:tr>
      <w:tr w:rsidR="0005518A" w:rsidRPr="00DB431C" w14:paraId="4896074B" w14:textId="77777777" w:rsidTr="00A31BB9">
        <w:tc>
          <w:tcPr>
            <w:tcW w:w="0" w:type="auto"/>
            <w:shd w:val="clear" w:color="auto" w:fill="auto"/>
          </w:tcPr>
          <w:p w14:paraId="11B46C08" w14:textId="17CB2F38" w:rsidR="0005518A" w:rsidRPr="00357FFB" w:rsidRDefault="0005518A" w:rsidP="00A31BB9">
            <w:pPr>
              <w:spacing w:after="0"/>
              <w:rPr>
                <w:rFonts w:ascii="Arial" w:hAnsi="Arial" w:cs="Arial"/>
                <w:sz w:val="18"/>
                <w:szCs w:val="18"/>
              </w:rPr>
            </w:pPr>
            <w:r w:rsidRPr="00357FFB">
              <w:rPr>
                <w:rFonts w:ascii="Arial" w:hAnsi="Arial" w:cs="Arial"/>
                <w:sz w:val="18"/>
                <w:szCs w:val="18"/>
              </w:rPr>
              <w:t xml:space="preserve">Componente 2. Soporte técnico pedagógico </w:t>
            </w:r>
          </w:p>
        </w:tc>
        <w:tc>
          <w:tcPr>
            <w:tcW w:w="0" w:type="auto"/>
            <w:shd w:val="clear" w:color="auto" w:fill="auto"/>
            <w:vAlign w:val="center"/>
          </w:tcPr>
          <w:p w14:paraId="51A11C9D" w14:textId="49A0AC40" w:rsidR="0005518A" w:rsidRPr="00357FFB" w:rsidRDefault="0005323F" w:rsidP="00A31BB9">
            <w:pPr>
              <w:spacing w:after="0"/>
              <w:jc w:val="center"/>
              <w:rPr>
                <w:rFonts w:ascii="Arial" w:hAnsi="Arial" w:cs="Arial"/>
                <w:sz w:val="18"/>
                <w:szCs w:val="18"/>
              </w:rPr>
            </w:pPr>
            <w:r>
              <w:rPr>
                <w:rFonts w:ascii="Arial" w:hAnsi="Arial" w:cs="Arial"/>
                <w:sz w:val="18"/>
                <w:szCs w:val="18"/>
              </w:rPr>
              <w:t>3.750.000</w:t>
            </w:r>
          </w:p>
        </w:tc>
        <w:tc>
          <w:tcPr>
            <w:tcW w:w="0" w:type="auto"/>
            <w:shd w:val="clear" w:color="auto" w:fill="auto"/>
            <w:vAlign w:val="center"/>
          </w:tcPr>
          <w:p w14:paraId="2CD3853C" w14:textId="33FCFDCD" w:rsidR="0005518A" w:rsidRPr="00357FFB" w:rsidRDefault="002C5D2D" w:rsidP="00A31BB9">
            <w:pPr>
              <w:spacing w:after="0"/>
              <w:jc w:val="center"/>
              <w:rPr>
                <w:rFonts w:ascii="Arial" w:hAnsi="Arial" w:cs="Arial"/>
                <w:sz w:val="18"/>
                <w:szCs w:val="18"/>
              </w:rPr>
            </w:pPr>
            <w:r>
              <w:rPr>
                <w:rFonts w:ascii="Arial" w:hAnsi="Arial" w:cs="Arial"/>
                <w:sz w:val="18"/>
                <w:szCs w:val="18"/>
              </w:rPr>
              <w:t>12.000.000</w:t>
            </w:r>
          </w:p>
        </w:tc>
        <w:tc>
          <w:tcPr>
            <w:tcW w:w="0" w:type="auto"/>
            <w:shd w:val="clear" w:color="auto" w:fill="auto"/>
            <w:vAlign w:val="center"/>
          </w:tcPr>
          <w:p w14:paraId="420157E7" w14:textId="0BA16031" w:rsidR="0005518A" w:rsidRPr="00357FFB" w:rsidDel="00CD01A8" w:rsidRDefault="009B7165" w:rsidP="00A31BB9">
            <w:pPr>
              <w:spacing w:after="0"/>
              <w:jc w:val="center"/>
              <w:rPr>
                <w:rFonts w:ascii="Arial" w:hAnsi="Arial" w:cs="Arial"/>
                <w:sz w:val="18"/>
                <w:szCs w:val="18"/>
              </w:rPr>
            </w:pPr>
            <w:r>
              <w:rPr>
                <w:rFonts w:ascii="Arial" w:hAnsi="Arial" w:cs="Arial"/>
                <w:sz w:val="18"/>
                <w:szCs w:val="18"/>
              </w:rPr>
              <w:t>15.750.000</w:t>
            </w:r>
          </w:p>
        </w:tc>
      </w:tr>
      <w:tr w:rsidR="0005518A" w:rsidRPr="00DB431C" w14:paraId="5C3E0C81" w14:textId="77777777" w:rsidTr="00A31BB9">
        <w:tc>
          <w:tcPr>
            <w:tcW w:w="0" w:type="auto"/>
            <w:shd w:val="clear" w:color="auto" w:fill="auto"/>
          </w:tcPr>
          <w:p w14:paraId="6AC79062" w14:textId="450DF839" w:rsidR="0005518A" w:rsidRPr="00357FFB" w:rsidRDefault="0005518A" w:rsidP="00A31BB9">
            <w:pPr>
              <w:spacing w:after="0"/>
              <w:rPr>
                <w:rFonts w:ascii="Arial" w:hAnsi="Arial" w:cs="Arial"/>
                <w:sz w:val="18"/>
                <w:szCs w:val="18"/>
              </w:rPr>
            </w:pPr>
            <w:r w:rsidRPr="00357FFB">
              <w:rPr>
                <w:rFonts w:ascii="Arial" w:hAnsi="Arial" w:cs="Arial"/>
                <w:sz w:val="18"/>
                <w:szCs w:val="18"/>
              </w:rPr>
              <w:t>TOTAL</w:t>
            </w:r>
          </w:p>
        </w:tc>
        <w:tc>
          <w:tcPr>
            <w:tcW w:w="0" w:type="auto"/>
            <w:shd w:val="clear" w:color="auto" w:fill="auto"/>
            <w:vAlign w:val="center"/>
          </w:tcPr>
          <w:p w14:paraId="04FAE5A8" w14:textId="48F3EC8D" w:rsidR="0005518A" w:rsidRPr="00357FFB" w:rsidRDefault="002C5D2D" w:rsidP="00A31BB9">
            <w:pPr>
              <w:spacing w:after="0"/>
              <w:jc w:val="center"/>
              <w:rPr>
                <w:rFonts w:ascii="Arial" w:hAnsi="Arial" w:cs="Arial"/>
                <w:sz w:val="18"/>
                <w:szCs w:val="18"/>
              </w:rPr>
            </w:pPr>
            <w:r>
              <w:rPr>
                <w:rFonts w:ascii="Arial" w:hAnsi="Arial" w:cs="Arial"/>
                <w:sz w:val="18"/>
                <w:szCs w:val="18"/>
              </w:rPr>
              <w:t>12.500.000</w:t>
            </w:r>
          </w:p>
        </w:tc>
        <w:tc>
          <w:tcPr>
            <w:tcW w:w="0" w:type="auto"/>
            <w:shd w:val="clear" w:color="auto" w:fill="auto"/>
            <w:vAlign w:val="center"/>
          </w:tcPr>
          <w:p w14:paraId="284920CB" w14:textId="50C6B244" w:rsidR="0005518A" w:rsidRPr="00357FFB" w:rsidRDefault="00803399" w:rsidP="00A31BB9">
            <w:pPr>
              <w:spacing w:after="0"/>
              <w:jc w:val="center"/>
              <w:rPr>
                <w:rFonts w:ascii="Arial" w:hAnsi="Arial" w:cs="Arial"/>
                <w:sz w:val="18"/>
                <w:szCs w:val="18"/>
              </w:rPr>
            </w:pPr>
            <w:r>
              <w:rPr>
                <w:rFonts w:ascii="Arial" w:hAnsi="Arial" w:cs="Arial"/>
                <w:sz w:val="18"/>
                <w:szCs w:val="18"/>
              </w:rPr>
              <w:t>37.500.000</w:t>
            </w:r>
          </w:p>
        </w:tc>
        <w:tc>
          <w:tcPr>
            <w:tcW w:w="0" w:type="auto"/>
            <w:shd w:val="clear" w:color="auto" w:fill="auto"/>
            <w:vAlign w:val="center"/>
          </w:tcPr>
          <w:p w14:paraId="633AA7A3" w14:textId="1400747D" w:rsidR="0005518A" w:rsidRPr="00357FFB" w:rsidDel="00CD01A8" w:rsidRDefault="0005518A" w:rsidP="00A31BB9">
            <w:pPr>
              <w:spacing w:after="0"/>
              <w:jc w:val="center"/>
              <w:rPr>
                <w:rFonts w:ascii="Arial" w:hAnsi="Arial" w:cs="Arial"/>
                <w:sz w:val="18"/>
                <w:szCs w:val="18"/>
              </w:rPr>
            </w:pPr>
            <w:r w:rsidRPr="00357FFB">
              <w:rPr>
                <w:rFonts w:ascii="Arial" w:hAnsi="Arial" w:cs="Arial"/>
                <w:sz w:val="18"/>
                <w:szCs w:val="18"/>
              </w:rPr>
              <w:t>50.000.000</w:t>
            </w:r>
          </w:p>
        </w:tc>
      </w:tr>
    </w:tbl>
    <w:p w14:paraId="5184FF99" w14:textId="2FD35B62" w:rsidR="003A30D0" w:rsidRDefault="00C1224F" w:rsidP="003A542A">
      <w:pPr>
        <w:rPr>
          <w:rFonts w:ascii="Arial" w:hAnsi="Arial" w:cs="Arial"/>
          <w:sz w:val="18"/>
          <w:szCs w:val="18"/>
        </w:rPr>
      </w:pPr>
      <w:r w:rsidRPr="00357FFB">
        <w:rPr>
          <w:rFonts w:ascii="Arial" w:hAnsi="Arial" w:cs="Arial"/>
          <w:sz w:val="18"/>
          <w:szCs w:val="18"/>
        </w:rPr>
        <w:t xml:space="preserve">Fuente: </w:t>
      </w:r>
      <w:r w:rsidR="00CD01A8" w:rsidRPr="00357FFB">
        <w:rPr>
          <w:rFonts w:ascii="Arial" w:hAnsi="Arial" w:cs="Arial"/>
          <w:sz w:val="18"/>
          <w:szCs w:val="18"/>
        </w:rPr>
        <w:t>Matriz de resultados</w:t>
      </w:r>
      <w:r w:rsidR="00451232" w:rsidRPr="00357FFB">
        <w:rPr>
          <w:rFonts w:ascii="Arial" w:hAnsi="Arial" w:cs="Arial"/>
          <w:sz w:val="18"/>
          <w:szCs w:val="18"/>
        </w:rPr>
        <w:t xml:space="preserve"> del programa</w:t>
      </w:r>
      <w:r w:rsidR="0005518A" w:rsidRPr="00357FFB">
        <w:rPr>
          <w:rFonts w:ascii="Arial" w:hAnsi="Arial" w:cs="Arial"/>
          <w:sz w:val="18"/>
          <w:szCs w:val="18"/>
        </w:rPr>
        <w:t>. Basado en el año de la ejecución presupuestaria</w:t>
      </w:r>
      <w:r w:rsidR="00451232" w:rsidRPr="00357FFB">
        <w:rPr>
          <w:rFonts w:ascii="Arial" w:hAnsi="Arial" w:cs="Arial"/>
          <w:sz w:val="18"/>
          <w:szCs w:val="18"/>
        </w:rPr>
        <w:t>.</w:t>
      </w:r>
      <w:r w:rsidR="00CD01A8">
        <w:rPr>
          <w:rFonts w:ascii="Arial" w:hAnsi="Arial" w:cs="Arial"/>
          <w:sz w:val="18"/>
          <w:szCs w:val="18"/>
        </w:rPr>
        <w:t xml:space="preserve"> </w:t>
      </w:r>
    </w:p>
    <w:p w14:paraId="5200971B" w14:textId="48043B04" w:rsidR="00B633F9" w:rsidRDefault="00AE4D82" w:rsidP="00B633F9">
      <w:pPr>
        <w:rPr>
          <w:rFonts w:ascii="Arial" w:hAnsi="Arial" w:cs="Arial"/>
          <w:sz w:val="22"/>
          <w:szCs w:val="22"/>
        </w:rPr>
      </w:pPr>
      <w:r w:rsidRPr="00AE4D82">
        <w:rPr>
          <w:rFonts w:ascii="Arial" w:hAnsi="Arial" w:cs="Arial"/>
          <w:sz w:val="22"/>
          <w:szCs w:val="22"/>
        </w:rPr>
        <w:t>Como prox</w:t>
      </w:r>
      <w:r w:rsidR="00A2354C">
        <w:rPr>
          <w:rFonts w:ascii="Arial" w:hAnsi="Arial" w:cs="Arial"/>
          <w:sz w:val="22"/>
          <w:szCs w:val="22"/>
        </w:rPr>
        <w:t>y</w:t>
      </w:r>
      <w:r w:rsidRPr="00AE4D82">
        <w:rPr>
          <w:rFonts w:ascii="Arial" w:hAnsi="Arial" w:cs="Arial"/>
          <w:sz w:val="22"/>
          <w:szCs w:val="22"/>
        </w:rPr>
        <w:t xml:space="preserve"> de los costos de operación de las inversiones </w:t>
      </w:r>
      <w:r w:rsidR="00B633F9" w:rsidRPr="0068454F">
        <w:rPr>
          <w:rFonts w:ascii="Arial" w:hAnsi="Arial" w:cs="Arial"/>
          <w:sz w:val="22"/>
          <w:szCs w:val="22"/>
        </w:rPr>
        <w:t>del Programa se consideran los costos de operación de la Dirección de Educación Pública, pues será a través de la DEP que se canalizarán todos los apoyos a los S</w:t>
      </w:r>
      <w:r w:rsidR="005F5AD0">
        <w:rPr>
          <w:rFonts w:ascii="Arial" w:hAnsi="Arial" w:cs="Arial"/>
          <w:sz w:val="22"/>
          <w:szCs w:val="22"/>
        </w:rPr>
        <w:t>LEP</w:t>
      </w:r>
      <w:r w:rsidR="00B633F9" w:rsidRPr="0068454F">
        <w:rPr>
          <w:rFonts w:ascii="Arial" w:hAnsi="Arial" w:cs="Arial"/>
          <w:sz w:val="22"/>
          <w:szCs w:val="22"/>
        </w:rPr>
        <w:t xml:space="preserve">. Para determinar estos costos se consideraron los </w:t>
      </w:r>
      <w:r w:rsidR="00B633F9" w:rsidRPr="00B633F9">
        <w:rPr>
          <w:rFonts w:ascii="Arial" w:hAnsi="Arial" w:cs="Arial"/>
          <w:sz w:val="22"/>
          <w:szCs w:val="22"/>
        </w:rPr>
        <w:t xml:space="preserve">gastos en </w:t>
      </w:r>
      <w:r w:rsidR="00B633F9" w:rsidRPr="0068454F">
        <w:rPr>
          <w:rFonts w:ascii="Arial" w:hAnsi="Arial" w:cs="Arial"/>
          <w:sz w:val="22"/>
          <w:szCs w:val="22"/>
        </w:rPr>
        <w:t>personal y bienes y servicios de consumo de la DEP según la Ley de Presupuesto de 20</w:t>
      </w:r>
      <w:r w:rsidR="00A9495E">
        <w:rPr>
          <w:rFonts w:ascii="Arial" w:hAnsi="Arial" w:cs="Arial"/>
          <w:sz w:val="22"/>
          <w:szCs w:val="22"/>
        </w:rPr>
        <w:t>20</w:t>
      </w:r>
      <w:r w:rsidR="00B633F9" w:rsidRPr="0068454F">
        <w:rPr>
          <w:rFonts w:ascii="Arial" w:hAnsi="Arial" w:cs="Arial"/>
          <w:sz w:val="22"/>
          <w:szCs w:val="22"/>
        </w:rPr>
        <w:t>, alcanzando así CLP 6</w:t>
      </w:r>
      <w:r w:rsidR="00B633F9">
        <w:rPr>
          <w:rFonts w:ascii="Arial" w:hAnsi="Arial" w:cs="Arial"/>
          <w:sz w:val="22"/>
          <w:szCs w:val="22"/>
        </w:rPr>
        <w:t>.</w:t>
      </w:r>
      <w:r w:rsidR="0024780C">
        <w:rPr>
          <w:rFonts w:ascii="Arial" w:hAnsi="Arial" w:cs="Arial"/>
          <w:sz w:val="22"/>
          <w:szCs w:val="22"/>
        </w:rPr>
        <w:t>945</w:t>
      </w:r>
      <w:r w:rsidR="00B633F9">
        <w:rPr>
          <w:rFonts w:ascii="Arial" w:hAnsi="Arial" w:cs="Arial"/>
          <w:sz w:val="22"/>
          <w:szCs w:val="22"/>
        </w:rPr>
        <w:t>.</w:t>
      </w:r>
      <w:r w:rsidR="00A2354C">
        <w:rPr>
          <w:rFonts w:ascii="Arial" w:hAnsi="Arial" w:cs="Arial"/>
          <w:sz w:val="22"/>
          <w:szCs w:val="22"/>
        </w:rPr>
        <w:t>261</w:t>
      </w:r>
      <w:r w:rsidR="00B633F9">
        <w:rPr>
          <w:rFonts w:ascii="Arial" w:hAnsi="Arial" w:cs="Arial"/>
          <w:sz w:val="22"/>
          <w:szCs w:val="22"/>
        </w:rPr>
        <w:t>.</w:t>
      </w:r>
      <w:r w:rsidR="00B633F9" w:rsidRPr="0068454F">
        <w:rPr>
          <w:rFonts w:ascii="Arial" w:hAnsi="Arial" w:cs="Arial"/>
          <w:sz w:val="22"/>
          <w:szCs w:val="22"/>
        </w:rPr>
        <w:t>000 anuales.</w:t>
      </w:r>
      <w:r w:rsidR="00B633F9" w:rsidRPr="00AE4D82">
        <w:rPr>
          <w:rFonts w:ascii="Arial" w:hAnsi="Arial" w:cs="Arial"/>
          <w:sz w:val="22"/>
          <w:szCs w:val="22"/>
        </w:rPr>
        <w:t xml:space="preserve"> </w:t>
      </w:r>
      <w:r w:rsidR="00B633F9" w:rsidRPr="00B633F9">
        <w:rPr>
          <w:rFonts w:ascii="Arial" w:hAnsi="Arial" w:cs="Arial"/>
          <w:sz w:val="22"/>
          <w:szCs w:val="22"/>
        </w:rPr>
        <w:t>Resulta necesario señalar que los recursos que permitirán financiar el gasto operacional del Programa provendrán en su totalidad del Presupuesto del Gobierno</w:t>
      </w:r>
    </w:p>
    <w:p w14:paraId="005F914E" w14:textId="096E8D27" w:rsidR="00B633F9" w:rsidRPr="003D26E6" w:rsidRDefault="00B633F9" w:rsidP="008D2C76">
      <w:pPr>
        <w:rPr>
          <w:rFonts w:ascii="Arial" w:hAnsi="Arial" w:cs="Arial"/>
          <w:sz w:val="22"/>
          <w:szCs w:val="22"/>
        </w:rPr>
      </w:pPr>
      <w:r w:rsidRPr="007F4A23">
        <w:rPr>
          <w:rFonts w:ascii="Arial" w:hAnsi="Arial" w:cs="Arial"/>
          <w:sz w:val="22"/>
          <w:szCs w:val="22"/>
        </w:rPr>
        <w:t xml:space="preserve">Finalmente, </w:t>
      </w:r>
      <w:r w:rsidRPr="00B633F9">
        <w:rPr>
          <w:rFonts w:ascii="Arial" w:hAnsi="Arial" w:cs="Arial"/>
          <w:sz w:val="22"/>
          <w:szCs w:val="22"/>
        </w:rPr>
        <w:t xml:space="preserve">una vez determinados los costos operacionales anuales del Programa estos son expresados en valores del año anterior al inicio del Programa, una vez aplicada la tasa de descuento de 12% mediante la siguiente </w:t>
      </w:r>
      <w:r w:rsidRPr="007F4A23">
        <w:rPr>
          <w:rFonts w:ascii="Arial" w:hAnsi="Arial" w:cs="Arial"/>
          <w:sz w:val="22"/>
          <w:szCs w:val="22"/>
        </w:rPr>
        <w:t>expresión</w:t>
      </w:r>
      <w:r>
        <w:rPr>
          <w:rFonts w:ascii="Arial" w:hAnsi="Arial" w:cs="Arial"/>
          <w:sz w:val="22"/>
          <w:szCs w:val="22"/>
        </w:rPr>
        <w:t>:</w:t>
      </w:r>
    </w:p>
    <w:p w14:paraId="5184FFCD" w14:textId="2982010C" w:rsidR="00802ADB" w:rsidRPr="007F4A23" w:rsidRDefault="00FF578E" w:rsidP="003A542A">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t</m:t>
              </m:r>
            </m:sub>
          </m:sSub>
          <m:nary>
            <m:naryPr>
              <m:chr m:val="∑"/>
              <m:limLoc m:val="undOvr"/>
              <m:ctrlPr>
                <w:rPr>
                  <w:rFonts w:ascii="Cambria Math" w:hAnsi="Cambria Math" w:cs="Arial"/>
                  <w:i/>
                  <w:sz w:val="22"/>
                  <w:szCs w:val="22"/>
                </w:rPr>
              </m:ctrlPr>
            </m:naryPr>
            <m:sub>
              <m:r>
                <w:rPr>
                  <w:rFonts w:ascii="Cambria Math" w:hAnsi="Cambria Math" w:cs="Arial"/>
                  <w:sz w:val="22"/>
                  <w:szCs w:val="22"/>
                </w:rPr>
                <m:t>t=1</m:t>
              </m:r>
            </m:sub>
            <m:sup>
              <m:r>
                <w:rPr>
                  <w:rFonts w:ascii="Cambria Math" w:hAnsi="Cambria Math" w:cs="Arial"/>
                  <w:sz w:val="22"/>
                  <w:szCs w:val="22"/>
                </w:rPr>
                <m:t>30</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t</m:t>
                      </m:r>
                    </m:sub>
                  </m:sSub>
                </m:num>
                <m:den>
                  <m:sSup>
                    <m:sSupPr>
                      <m:ctrlPr>
                        <w:rPr>
                          <w:rFonts w:ascii="Cambria Math" w:hAnsi="Cambria Math" w:cs="Arial"/>
                          <w:i/>
                          <w:sz w:val="22"/>
                          <w:szCs w:val="22"/>
                        </w:rPr>
                      </m:ctrlPr>
                    </m:sSupPr>
                    <m:e>
                      <m:r>
                        <w:rPr>
                          <w:rFonts w:ascii="Cambria Math" w:hAnsi="Cambria Math" w:cs="Arial"/>
                          <w:sz w:val="22"/>
                          <w:szCs w:val="22"/>
                        </w:rPr>
                        <m:t>1,12</m:t>
                      </m:r>
                    </m:e>
                    <m:sup>
                      <m:r>
                        <w:rPr>
                          <w:rFonts w:ascii="Cambria Math" w:hAnsi="Cambria Math" w:cs="Arial"/>
                          <w:sz w:val="22"/>
                          <w:szCs w:val="22"/>
                        </w:rPr>
                        <m:t>t</m:t>
                      </m:r>
                    </m:sup>
                  </m:sSup>
                </m:den>
              </m:f>
            </m:e>
          </m:nary>
        </m:oMath>
      </m:oMathPara>
    </w:p>
    <w:p w14:paraId="5184FFCE" w14:textId="7B4583CB" w:rsidR="00DF5001" w:rsidRPr="007F4A23" w:rsidRDefault="00802ADB" w:rsidP="003A542A">
      <w:pPr>
        <w:rPr>
          <w:rFonts w:ascii="Arial" w:hAnsi="Arial" w:cs="Arial"/>
          <w:sz w:val="22"/>
          <w:szCs w:val="22"/>
        </w:rPr>
      </w:pPr>
      <w:r w:rsidRPr="007F4A23">
        <w:rPr>
          <w:rFonts w:ascii="Arial" w:hAnsi="Arial" w:cs="Arial"/>
          <w:sz w:val="22"/>
          <w:szCs w:val="22"/>
        </w:rPr>
        <w:t xml:space="preserve">Tal como se </w:t>
      </w:r>
      <w:r w:rsidR="00AE4D82">
        <w:rPr>
          <w:rFonts w:ascii="Arial" w:hAnsi="Arial" w:cs="Arial"/>
          <w:sz w:val="22"/>
          <w:szCs w:val="22"/>
        </w:rPr>
        <w:t xml:space="preserve">detalló </w:t>
      </w:r>
      <w:r w:rsidRPr="007F4A23">
        <w:rPr>
          <w:rFonts w:ascii="Arial" w:hAnsi="Arial" w:cs="Arial"/>
          <w:sz w:val="22"/>
          <w:szCs w:val="22"/>
        </w:rPr>
        <w:t>anteriormente</w:t>
      </w:r>
      <w:r w:rsidR="00AE4D82">
        <w:rPr>
          <w:rFonts w:ascii="Arial" w:hAnsi="Arial" w:cs="Arial"/>
          <w:sz w:val="22"/>
          <w:szCs w:val="22"/>
        </w:rPr>
        <w:t>,</w:t>
      </w:r>
      <w:r w:rsidRPr="007F4A23">
        <w:rPr>
          <w:rFonts w:ascii="Arial" w:hAnsi="Arial" w:cs="Arial"/>
          <w:sz w:val="22"/>
          <w:szCs w:val="22"/>
        </w:rPr>
        <w:t xml:space="preserve"> tanto para los costos como para los beneficios del Programa se considera un horizonte de evaluación de 30 años.</w:t>
      </w:r>
    </w:p>
    <w:p w14:paraId="5184FFCF" w14:textId="77777777" w:rsidR="00802ADB" w:rsidRPr="007F4A23" w:rsidRDefault="00802ADB" w:rsidP="003A542A">
      <w:pPr>
        <w:rPr>
          <w:rFonts w:ascii="Arial" w:hAnsi="Arial" w:cs="Arial"/>
          <w:sz w:val="22"/>
          <w:szCs w:val="22"/>
        </w:rPr>
      </w:pPr>
    </w:p>
    <w:p w14:paraId="5184FFD0" w14:textId="77777777" w:rsidR="003A30D0" w:rsidRPr="007F4A23" w:rsidRDefault="00961877" w:rsidP="00FF578E">
      <w:pPr>
        <w:pStyle w:val="Heading1"/>
        <w:numPr>
          <w:ilvl w:val="0"/>
          <w:numId w:val="32"/>
        </w:numPr>
        <w:rPr>
          <w:rFonts w:ascii="Arial" w:hAnsi="Arial" w:cs="Arial"/>
          <w:sz w:val="22"/>
          <w:szCs w:val="22"/>
        </w:rPr>
      </w:pPr>
      <w:r w:rsidRPr="007F4A23">
        <w:rPr>
          <w:rFonts w:ascii="Arial" w:hAnsi="Arial" w:cs="Arial"/>
          <w:sz w:val="22"/>
          <w:szCs w:val="22"/>
        </w:rPr>
        <w:t>Resultados del Análisis Económico</w:t>
      </w:r>
    </w:p>
    <w:p w14:paraId="6C9A5A85" w14:textId="24E231BA" w:rsidR="00E67FAD" w:rsidRDefault="00B62188" w:rsidP="00343AC7">
      <w:pPr>
        <w:rPr>
          <w:rFonts w:ascii="Arial" w:hAnsi="Arial" w:cs="Arial"/>
          <w:sz w:val="22"/>
          <w:szCs w:val="22"/>
        </w:rPr>
      </w:pPr>
      <w:r w:rsidRPr="007F4A23">
        <w:rPr>
          <w:rFonts w:ascii="Arial" w:hAnsi="Arial" w:cs="Arial"/>
          <w:sz w:val="22"/>
          <w:szCs w:val="22"/>
        </w:rPr>
        <w:lastRenderedPageBreak/>
        <w:t>Una vez estimados los coeficientes de re</w:t>
      </w:r>
      <w:r w:rsidR="00802ADB" w:rsidRPr="007F4A23">
        <w:rPr>
          <w:rFonts w:ascii="Arial" w:hAnsi="Arial" w:cs="Arial"/>
          <w:sz w:val="22"/>
          <w:szCs w:val="22"/>
        </w:rPr>
        <w:t xml:space="preserve">gresión de las variables </w:t>
      </w:r>
      <w:r w:rsidR="00802ADB" w:rsidRPr="00FF578E">
        <w:rPr>
          <w:rFonts w:ascii="Arial" w:hAnsi="Arial" w:cs="Arial"/>
          <w:i/>
          <w:iCs/>
          <w:sz w:val="22"/>
          <w:szCs w:val="22"/>
        </w:rPr>
        <w:t>dumm</w:t>
      </w:r>
      <w:r w:rsidR="00CD01A8" w:rsidRPr="00FF578E">
        <w:rPr>
          <w:rFonts w:ascii="Arial" w:hAnsi="Arial" w:cs="Arial"/>
          <w:i/>
          <w:iCs/>
          <w:sz w:val="22"/>
          <w:szCs w:val="22"/>
        </w:rPr>
        <w:t>y</w:t>
      </w:r>
      <w:r w:rsidRPr="007F4A23">
        <w:rPr>
          <w:rFonts w:ascii="Arial" w:hAnsi="Arial" w:cs="Arial"/>
          <w:sz w:val="22"/>
          <w:szCs w:val="22"/>
        </w:rPr>
        <w:t xml:space="preserve"> en el modelo Mincer se utilizan dichos valores para la </w:t>
      </w:r>
      <w:r w:rsidR="00802ADB" w:rsidRPr="007F4A23">
        <w:rPr>
          <w:rFonts w:ascii="Arial" w:hAnsi="Arial" w:cs="Arial"/>
          <w:sz w:val="22"/>
          <w:szCs w:val="22"/>
        </w:rPr>
        <w:t>determinación</w:t>
      </w:r>
      <w:r w:rsidRPr="007F4A23">
        <w:rPr>
          <w:rFonts w:ascii="Arial" w:hAnsi="Arial" w:cs="Arial"/>
          <w:sz w:val="22"/>
          <w:szCs w:val="22"/>
        </w:rPr>
        <w:t xml:space="preserve"> de la diferencia salarial entre los sujetos que poseen sólo educación secundaria completa y aquellos que poseen educación terciaria incompleta y completa. </w:t>
      </w:r>
      <w:r w:rsidR="00E67FAD">
        <w:rPr>
          <w:rFonts w:ascii="Arial" w:hAnsi="Arial" w:cs="Arial"/>
          <w:sz w:val="22"/>
          <w:szCs w:val="22"/>
        </w:rPr>
        <w:t>Así, debido a que el d</w:t>
      </w:r>
      <w:r w:rsidR="00E67FAD" w:rsidRPr="00E67FAD">
        <w:rPr>
          <w:rFonts w:ascii="Arial" w:hAnsi="Arial" w:cs="Arial"/>
          <w:sz w:val="22"/>
          <w:szCs w:val="22"/>
        </w:rPr>
        <w:t xml:space="preserve">iferencial </w:t>
      </w:r>
      <w:r w:rsidR="00E67FAD">
        <w:rPr>
          <w:rFonts w:ascii="Arial" w:hAnsi="Arial" w:cs="Arial"/>
          <w:sz w:val="22"/>
          <w:szCs w:val="22"/>
        </w:rPr>
        <w:t xml:space="preserve">por </w:t>
      </w:r>
      <w:r w:rsidR="00E67FAD" w:rsidRPr="00E67FAD">
        <w:rPr>
          <w:rFonts w:ascii="Arial" w:hAnsi="Arial" w:cs="Arial"/>
          <w:sz w:val="22"/>
          <w:szCs w:val="22"/>
        </w:rPr>
        <w:t xml:space="preserve">hora de trabajo </w:t>
      </w:r>
      <w:r w:rsidR="00E67FAD">
        <w:rPr>
          <w:rFonts w:ascii="Arial" w:hAnsi="Arial" w:cs="Arial"/>
          <w:sz w:val="22"/>
          <w:szCs w:val="22"/>
        </w:rPr>
        <w:t>con educación superior incompleta en USD es de 1,21 y con educación superior completa es de 2,</w:t>
      </w:r>
      <w:r w:rsidR="001E4D84">
        <w:rPr>
          <w:rFonts w:ascii="Arial" w:hAnsi="Arial" w:cs="Arial"/>
          <w:sz w:val="22"/>
          <w:szCs w:val="22"/>
        </w:rPr>
        <w:t>97, la diferencia salaria</w:t>
      </w:r>
      <w:r w:rsidR="00AF2CA5">
        <w:rPr>
          <w:rFonts w:ascii="Arial" w:hAnsi="Arial" w:cs="Arial"/>
          <w:sz w:val="22"/>
          <w:szCs w:val="22"/>
        </w:rPr>
        <w:t>l</w:t>
      </w:r>
      <w:r w:rsidR="001E4D84">
        <w:rPr>
          <w:rFonts w:ascii="Arial" w:hAnsi="Arial" w:cs="Arial"/>
          <w:sz w:val="22"/>
          <w:szCs w:val="22"/>
        </w:rPr>
        <w:t xml:space="preserve"> anual es de USD2.737 y USD6.740 respectivamente. </w:t>
      </w:r>
    </w:p>
    <w:p w14:paraId="5184FFD1" w14:textId="1DB53C62" w:rsidR="00802ADB" w:rsidRPr="00343AC7" w:rsidRDefault="001E4D84" w:rsidP="00343AC7">
      <w:pPr>
        <w:rPr>
          <w:rFonts w:ascii="Arial" w:hAnsi="Arial" w:cs="Arial"/>
          <w:sz w:val="22"/>
          <w:szCs w:val="22"/>
        </w:rPr>
      </w:pPr>
      <w:r>
        <w:rPr>
          <w:rFonts w:ascii="Arial" w:hAnsi="Arial" w:cs="Arial"/>
          <w:sz w:val="22"/>
          <w:szCs w:val="22"/>
        </w:rPr>
        <w:t>Considerando lo anterior, l</w:t>
      </w:r>
      <w:r w:rsidR="00B62188" w:rsidRPr="007F4A23">
        <w:rPr>
          <w:rFonts w:ascii="Arial" w:hAnsi="Arial" w:cs="Arial"/>
          <w:sz w:val="22"/>
          <w:szCs w:val="22"/>
        </w:rPr>
        <w:t>a</w:t>
      </w:r>
      <w:r w:rsidR="00192938" w:rsidRPr="007F4A23">
        <w:rPr>
          <w:rFonts w:ascii="Arial" w:hAnsi="Arial" w:cs="Arial"/>
          <w:sz w:val="22"/>
          <w:szCs w:val="22"/>
        </w:rPr>
        <w:t>s</w:t>
      </w:r>
      <w:r w:rsidR="00B62188" w:rsidRPr="007F4A23">
        <w:rPr>
          <w:rFonts w:ascii="Arial" w:hAnsi="Arial" w:cs="Arial"/>
          <w:sz w:val="22"/>
          <w:szCs w:val="22"/>
        </w:rPr>
        <w:t xml:space="preserve"> siguiente</w:t>
      </w:r>
      <w:r w:rsidR="00192938" w:rsidRPr="007F4A23">
        <w:rPr>
          <w:rFonts w:ascii="Arial" w:hAnsi="Arial" w:cs="Arial"/>
          <w:sz w:val="22"/>
          <w:szCs w:val="22"/>
        </w:rPr>
        <w:t>s</w:t>
      </w:r>
      <w:r w:rsidR="00B62188" w:rsidRPr="007F4A23">
        <w:rPr>
          <w:rFonts w:ascii="Arial" w:hAnsi="Arial" w:cs="Arial"/>
          <w:sz w:val="22"/>
          <w:szCs w:val="22"/>
        </w:rPr>
        <w:t xml:space="preserve"> tabla</w:t>
      </w:r>
      <w:r w:rsidR="00192938" w:rsidRPr="007F4A23">
        <w:rPr>
          <w:rFonts w:ascii="Arial" w:hAnsi="Arial" w:cs="Arial"/>
          <w:sz w:val="22"/>
          <w:szCs w:val="22"/>
        </w:rPr>
        <w:t>s</w:t>
      </w:r>
      <w:r w:rsidR="00B62188" w:rsidRPr="007F4A23">
        <w:rPr>
          <w:rFonts w:ascii="Arial" w:hAnsi="Arial" w:cs="Arial"/>
          <w:sz w:val="22"/>
          <w:szCs w:val="22"/>
        </w:rPr>
        <w:t xml:space="preserve"> presenta</w:t>
      </w:r>
      <w:r w:rsidR="00192938" w:rsidRPr="007F4A23">
        <w:rPr>
          <w:rFonts w:ascii="Arial" w:hAnsi="Arial" w:cs="Arial"/>
          <w:sz w:val="22"/>
          <w:szCs w:val="22"/>
        </w:rPr>
        <w:t>n</w:t>
      </w:r>
      <w:r w:rsidR="00B62188" w:rsidRPr="007F4A23">
        <w:rPr>
          <w:rFonts w:ascii="Arial" w:hAnsi="Arial" w:cs="Arial"/>
          <w:sz w:val="22"/>
          <w:szCs w:val="22"/>
        </w:rPr>
        <w:t xml:space="preserve"> los </w:t>
      </w:r>
      <w:r>
        <w:rPr>
          <w:rFonts w:ascii="Arial" w:hAnsi="Arial" w:cs="Arial"/>
          <w:sz w:val="22"/>
          <w:szCs w:val="22"/>
        </w:rPr>
        <w:t>beneficios directos totales generado por el</w:t>
      </w:r>
      <w:r w:rsidRPr="007F4A23">
        <w:rPr>
          <w:rFonts w:ascii="Arial" w:hAnsi="Arial" w:cs="Arial"/>
          <w:sz w:val="22"/>
          <w:szCs w:val="22"/>
        </w:rPr>
        <w:t xml:space="preserve"> </w:t>
      </w:r>
      <w:r w:rsidR="00B62188" w:rsidRPr="007F4A23">
        <w:rPr>
          <w:rFonts w:ascii="Arial" w:hAnsi="Arial" w:cs="Arial"/>
          <w:sz w:val="22"/>
          <w:szCs w:val="22"/>
        </w:rPr>
        <w:t xml:space="preserve">diferencial de ingresos estimado entre ambas tipologías de </w:t>
      </w:r>
      <w:r w:rsidR="00EC5B54" w:rsidRPr="007F4A23">
        <w:rPr>
          <w:rFonts w:ascii="Arial" w:hAnsi="Arial" w:cs="Arial"/>
          <w:sz w:val="22"/>
          <w:szCs w:val="22"/>
        </w:rPr>
        <w:t>sujetos</w:t>
      </w:r>
      <w:r>
        <w:rPr>
          <w:rFonts w:ascii="Arial" w:hAnsi="Arial" w:cs="Arial"/>
          <w:sz w:val="22"/>
          <w:szCs w:val="22"/>
        </w:rPr>
        <w:t xml:space="preserve"> para las primeras </w:t>
      </w:r>
      <w:r w:rsidR="009F73A4">
        <w:rPr>
          <w:rFonts w:ascii="Arial" w:hAnsi="Arial" w:cs="Arial"/>
          <w:sz w:val="22"/>
          <w:szCs w:val="22"/>
        </w:rPr>
        <w:t>2</w:t>
      </w:r>
      <w:r w:rsidR="00772B87">
        <w:rPr>
          <w:rFonts w:ascii="Arial" w:hAnsi="Arial" w:cs="Arial"/>
          <w:sz w:val="22"/>
          <w:szCs w:val="22"/>
        </w:rPr>
        <w:t xml:space="preserve"> </w:t>
      </w:r>
      <w:r>
        <w:rPr>
          <w:rFonts w:ascii="Arial" w:hAnsi="Arial" w:cs="Arial"/>
          <w:sz w:val="22"/>
          <w:szCs w:val="22"/>
        </w:rPr>
        <w:t>cohortes de graduados</w:t>
      </w:r>
      <w:r>
        <w:rPr>
          <w:rStyle w:val="FootnoteReference"/>
          <w:rFonts w:ascii="Arial" w:hAnsi="Arial" w:cs="Arial"/>
          <w:sz w:val="22"/>
          <w:szCs w:val="22"/>
        </w:rPr>
        <w:footnoteReference w:id="4"/>
      </w:r>
      <w:r>
        <w:rPr>
          <w:rFonts w:ascii="Arial" w:hAnsi="Arial" w:cs="Arial"/>
          <w:sz w:val="22"/>
          <w:szCs w:val="22"/>
        </w:rPr>
        <w:t xml:space="preserve"> en</w:t>
      </w:r>
      <w:r w:rsidR="00EC5B54" w:rsidRPr="007F4A23">
        <w:rPr>
          <w:rFonts w:ascii="Arial" w:hAnsi="Arial" w:cs="Arial"/>
          <w:sz w:val="22"/>
          <w:szCs w:val="22"/>
        </w:rPr>
        <w:t xml:space="preserve"> </w:t>
      </w:r>
      <w:r w:rsidR="00192938" w:rsidRPr="007F4A23">
        <w:rPr>
          <w:rFonts w:ascii="Arial" w:hAnsi="Arial" w:cs="Arial"/>
          <w:sz w:val="22"/>
          <w:szCs w:val="22"/>
        </w:rPr>
        <w:t xml:space="preserve">cada uno de los tres escenarios. </w:t>
      </w:r>
    </w:p>
    <w:p w14:paraId="5184FFD2" w14:textId="6A28216B" w:rsidR="00EC5B54" w:rsidRPr="00343AC7" w:rsidRDefault="00EC5B54" w:rsidP="00EC5B54">
      <w:pPr>
        <w:pStyle w:val="Caption"/>
        <w:keepNext/>
        <w:rPr>
          <w:rFonts w:ascii="Arial" w:hAnsi="Arial" w:cs="Arial"/>
          <w:sz w:val="18"/>
          <w:szCs w:val="18"/>
        </w:rPr>
      </w:pPr>
      <w:r w:rsidRPr="00343AC7">
        <w:rPr>
          <w:rFonts w:ascii="Arial" w:hAnsi="Arial" w:cs="Arial"/>
          <w:sz w:val="18"/>
          <w:szCs w:val="18"/>
        </w:rPr>
        <w:t xml:space="preserve">Tabla </w:t>
      </w:r>
      <w:r w:rsidR="00772B87">
        <w:rPr>
          <w:rFonts w:ascii="Arial" w:hAnsi="Arial" w:cs="Arial"/>
          <w:sz w:val="18"/>
          <w:szCs w:val="18"/>
        </w:rPr>
        <w:t>3</w:t>
      </w:r>
      <w:r w:rsidR="001E4D84">
        <w:rPr>
          <w:rFonts w:ascii="Arial" w:hAnsi="Arial" w:cs="Arial"/>
          <w:sz w:val="18"/>
          <w:szCs w:val="18"/>
        </w:rPr>
        <w:t>.</w:t>
      </w:r>
      <w:r w:rsidRPr="00343AC7">
        <w:rPr>
          <w:rFonts w:ascii="Arial" w:hAnsi="Arial" w:cs="Arial"/>
          <w:sz w:val="18"/>
          <w:szCs w:val="18"/>
        </w:rPr>
        <w:t xml:space="preserve"> Escenario</w:t>
      </w:r>
      <w:r w:rsidR="001E4D84">
        <w:rPr>
          <w:rFonts w:ascii="Arial" w:hAnsi="Arial" w:cs="Arial"/>
          <w:sz w:val="18"/>
          <w:szCs w:val="18"/>
        </w:rPr>
        <w:t xml:space="preserve"> 1: </w:t>
      </w:r>
      <w:r w:rsidRPr="00343AC7">
        <w:rPr>
          <w:rFonts w:ascii="Arial" w:hAnsi="Arial" w:cs="Arial"/>
          <w:sz w:val="18"/>
          <w:szCs w:val="18"/>
        </w:rPr>
        <w:t xml:space="preserve">Cálculo de beneficios del Programa sobre la base de los ingresos </w:t>
      </w:r>
      <w:r w:rsidR="00C3050D" w:rsidRPr="00343AC7">
        <w:rPr>
          <w:rFonts w:ascii="Arial" w:hAnsi="Arial" w:cs="Arial"/>
          <w:sz w:val="18"/>
          <w:szCs w:val="18"/>
        </w:rPr>
        <w:t>incrementales de un aumento de 2</w:t>
      </w:r>
      <w:r w:rsidRPr="00343AC7">
        <w:rPr>
          <w:rFonts w:ascii="Arial" w:hAnsi="Arial" w:cs="Arial"/>
          <w:sz w:val="18"/>
          <w:szCs w:val="18"/>
        </w:rPr>
        <w:t>% en la cantidad de egresados de la educación secundaria que ingresa a la educación terciaria</w:t>
      </w:r>
      <w:r w:rsidR="001E4D84">
        <w:rPr>
          <w:rFonts w:ascii="Arial" w:hAnsi="Arial" w:cs="Arial"/>
          <w:sz w:val="18"/>
          <w:szCs w:val="18"/>
        </w:rPr>
        <w:t xml:space="preserve"> </w:t>
      </w:r>
    </w:p>
    <w:tbl>
      <w:tblPr>
        <w:tblStyle w:val="TableGrid"/>
        <w:tblW w:w="7438" w:type="dxa"/>
        <w:tblLook w:val="04A0" w:firstRow="1" w:lastRow="0" w:firstColumn="1" w:lastColumn="0" w:noHBand="0" w:noVBand="1"/>
      </w:tblPr>
      <w:tblGrid>
        <w:gridCol w:w="4811"/>
        <w:gridCol w:w="1518"/>
        <w:gridCol w:w="1109"/>
      </w:tblGrid>
      <w:tr w:rsidR="00A822B7" w:rsidRPr="00343AC7" w14:paraId="5184FFD7" w14:textId="0827F417" w:rsidTr="00DD20EA">
        <w:tc>
          <w:tcPr>
            <w:tcW w:w="4811" w:type="dxa"/>
          </w:tcPr>
          <w:p w14:paraId="5184FFD4" w14:textId="2096F9CA" w:rsidR="00A822B7" w:rsidRPr="001E4D84" w:rsidRDefault="00A822B7" w:rsidP="003D26E6">
            <w:pPr>
              <w:pStyle w:val="Caption"/>
              <w:keepNext/>
              <w:rPr>
                <w:rFonts w:ascii="Arial" w:hAnsi="Arial" w:cs="Arial"/>
                <w:sz w:val="18"/>
                <w:szCs w:val="18"/>
              </w:rPr>
            </w:pPr>
          </w:p>
        </w:tc>
        <w:tc>
          <w:tcPr>
            <w:tcW w:w="1518" w:type="dxa"/>
            <w:shd w:val="clear" w:color="auto" w:fill="auto"/>
            <w:vAlign w:val="center"/>
          </w:tcPr>
          <w:p w14:paraId="5184FFD5" w14:textId="6558DEB2" w:rsidR="00A822B7" w:rsidRPr="0047538A" w:rsidRDefault="00A822B7" w:rsidP="003D26E6">
            <w:pPr>
              <w:spacing w:after="0"/>
              <w:jc w:val="center"/>
              <w:rPr>
                <w:rFonts w:ascii="Arial" w:hAnsi="Arial" w:cs="Arial"/>
                <w:sz w:val="18"/>
                <w:szCs w:val="18"/>
              </w:rPr>
            </w:pPr>
            <w:r w:rsidRPr="0047538A">
              <w:rPr>
                <w:rFonts w:ascii="Arial" w:hAnsi="Arial" w:cs="Arial"/>
                <w:sz w:val="18"/>
                <w:szCs w:val="18"/>
              </w:rPr>
              <w:t>2024</w:t>
            </w:r>
          </w:p>
        </w:tc>
        <w:tc>
          <w:tcPr>
            <w:tcW w:w="1109" w:type="dxa"/>
            <w:shd w:val="clear" w:color="auto" w:fill="auto"/>
            <w:vAlign w:val="center"/>
          </w:tcPr>
          <w:p w14:paraId="5184FFD6" w14:textId="1D642F21" w:rsidR="00A822B7" w:rsidRPr="00DD20EA" w:rsidRDefault="00A822B7" w:rsidP="003D26E6">
            <w:pPr>
              <w:spacing w:after="0"/>
              <w:jc w:val="center"/>
              <w:rPr>
                <w:rFonts w:ascii="Arial" w:hAnsi="Arial" w:cs="Arial"/>
                <w:sz w:val="18"/>
                <w:szCs w:val="18"/>
              </w:rPr>
            </w:pPr>
            <w:r w:rsidRPr="00DD20EA">
              <w:rPr>
                <w:rFonts w:ascii="Arial" w:hAnsi="Arial" w:cs="Arial"/>
                <w:sz w:val="18"/>
                <w:szCs w:val="18"/>
              </w:rPr>
              <w:t>2025</w:t>
            </w:r>
          </w:p>
        </w:tc>
      </w:tr>
      <w:tr w:rsidR="00A822B7" w:rsidRPr="00343AC7" w14:paraId="5184FFDC" w14:textId="489A7B96" w:rsidTr="00DD20EA">
        <w:tc>
          <w:tcPr>
            <w:tcW w:w="4811" w:type="dxa"/>
          </w:tcPr>
          <w:p w14:paraId="5184FFD9" w14:textId="3EA4D0B8" w:rsidR="00A822B7" w:rsidRPr="008D2C76" w:rsidRDefault="00A822B7" w:rsidP="00192938">
            <w:pPr>
              <w:spacing w:after="0"/>
              <w:rPr>
                <w:rFonts w:ascii="Arial" w:hAnsi="Arial" w:cs="Arial"/>
                <w:sz w:val="18"/>
                <w:szCs w:val="18"/>
              </w:rPr>
            </w:pPr>
            <w:r w:rsidRPr="008D2C76">
              <w:rPr>
                <w:rFonts w:ascii="Arial" w:hAnsi="Arial" w:cs="Arial"/>
                <w:sz w:val="18"/>
                <w:szCs w:val="18"/>
              </w:rPr>
              <w:t>N</w:t>
            </w:r>
            <w:r w:rsidRPr="003D26E6">
              <w:rPr>
                <w:rFonts w:ascii="Arial" w:hAnsi="Arial" w:cs="Arial"/>
                <w:sz w:val="18"/>
                <w:szCs w:val="18"/>
              </w:rPr>
              <w:t>ú</w:t>
            </w:r>
            <w:r w:rsidRPr="008D2C76">
              <w:rPr>
                <w:rFonts w:ascii="Arial" w:hAnsi="Arial" w:cs="Arial"/>
                <w:sz w:val="18"/>
                <w:szCs w:val="18"/>
              </w:rPr>
              <w:t>m</w:t>
            </w:r>
            <w:r w:rsidRPr="003D26E6">
              <w:rPr>
                <w:rFonts w:ascii="Arial" w:hAnsi="Arial" w:cs="Arial"/>
                <w:sz w:val="18"/>
                <w:szCs w:val="18"/>
              </w:rPr>
              <w:t xml:space="preserve">ero de </w:t>
            </w:r>
            <w:r w:rsidRPr="008D2C76">
              <w:rPr>
                <w:rFonts w:ascii="Arial" w:hAnsi="Arial" w:cs="Arial"/>
                <w:sz w:val="18"/>
                <w:szCs w:val="18"/>
              </w:rPr>
              <w:t>benef</w:t>
            </w:r>
            <w:r w:rsidRPr="003D26E6">
              <w:rPr>
                <w:rFonts w:ascii="Arial" w:hAnsi="Arial" w:cs="Arial"/>
                <w:sz w:val="18"/>
                <w:szCs w:val="18"/>
              </w:rPr>
              <w:t>iciarios</w:t>
            </w:r>
            <w:r w:rsidRPr="008D2C76">
              <w:rPr>
                <w:rFonts w:ascii="Arial" w:hAnsi="Arial" w:cs="Arial"/>
                <w:sz w:val="18"/>
                <w:szCs w:val="18"/>
              </w:rPr>
              <w:t xml:space="preserve"> directos </w:t>
            </w:r>
            <w:r w:rsidRPr="003D26E6">
              <w:rPr>
                <w:rFonts w:ascii="Arial" w:hAnsi="Arial" w:cs="Arial"/>
                <w:sz w:val="18"/>
                <w:szCs w:val="18"/>
              </w:rPr>
              <w:t>con educación superior incompleta</w:t>
            </w:r>
            <w:r w:rsidRPr="008D2C76">
              <w:rPr>
                <w:rFonts w:ascii="Arial" w:hAnsi="Arial" w:cs="Arial"/>
                <w:sz w:val="18"/>
                <w:szCs w:val="18"/>
              </w:rPr>
              <w:t xml:space="preserve"> (</w:t>
            </w:r>
            <w:r w:rsidRPr="003D26E6">
              <w:rPr>
                <w:rFonts w:ascii="Arial" w:hAnsi="Arial" w:cs="Arial"/>
                <w:sz w:val="18"/>
                <w:szCs w:val="18"/>
              </w:rPr>
              <w:t>a</w:t>
            </w:r>
            <w:r w:rsidRPr="008D2C76">
              <w:rPr>
                <w:rFonts w:ascii="Arial" w:hAnsi="Arial" w:cs="Arial"/>
                <w:sz w:val="18"/>
                <w:szCs w:val="18"/>
              </w:rPr>
              <w:t xml:space="preserve">dicionales a </w:t>
            </w:r>
            <w:r w:rsidRPr="003D26E6">
              <w:rPr>
                <w:rFonts w:ascii="Arial" w:hAnsi="Arial" w:cs="Arial"/>
                <w:sz w:val="18"/>
                <w:szCs w:val="18"/>
              </w:rPr>
              <w:t xml:space="preserve">la </w:t>
            </w:r>
            <w:r w:rsidRPr="008D2C76">
              <w:rPr>
                <w:rFonts w:ascii="Arial" w:hAnsi="Arial" w:cs="Arial"/>
                <w:sz w:val="18"/>
                <w:szCs w:val="18"/>
              </w:rPr>
              <w:t>sit</w:t>
            </w:r>
            <w:r w:rsidRPr="003D26E6">
              <w:rPr>
                <w:rFonts w:ascii="Arial" w:hAnsi="Arial" w:cs="Arial"/>
                <w:sz w:val="18"/>
                <w:szCs w:val="18"/>
              </w:rPr>
              <w:t>uación a</w:t>
            </w:r>
            <w:r w:rsidRPr="008D2C76">
              <w:rPr>
                <w:rFonts w:ascii="Arial" w:hAnsi="Arial" w:cs="Arial"/>
                <w:sz w:val="18"/>
                <w:szCs w:val="18"/>
              </w:rPr>
              <w:t>ctual</w:t>
            </w:r>
            <w:r w:rsidRPr="003D26E6">
              <w:rPr>
                <w:rFonts w:ascii="Arial" w:hAnsi="Arial" w:cs="Arial"/>
                <w:sz w:val="18"/>
                <w:szCs w:val="18"/>
              </w:rPr>
              <w:t>)</w:t>
            </w:r>
          </w:p>
        </w:tc>
        <w:tc>
          <w:tcPr>
            <w:tcW w:w="1518" w:type="dxa"/>
            <w:shd w:val="clear" w:color="auto" w:fill="auto"/>
            <w:vAlign w:val="center"/>
          </w:tcPr>
          <w:p w14:paraId="5184FFDA" w14:textId="2770BE03" w:rsidR="00A822B7" w:rsidRPr="0047538A" w:rsidRDefault="00A822B7" w:rsidP="003D26E6">
            <w:pPr>
              <w:spacing w:after="0"/>
              <w:jc w:val="center"/>
              <w:rPr>
                <w:rFonts w:ascii="Arial" w:hAnsi="Arial" w:cs="Arial"/>
                <w:sz w:val="18"/>
                <w:szCs w:val="18"/>
              </w:rPr>
            </w:pPr>
            <w:r w:rsidRPr="0047538A">
              <w:rPr>
                <w:rFonts w:ascii="Arial" w:hAnsi="Arial" w:cs="Arial"/>
                <w:sz w:val="18"/>
                <w:szCs w:val="18"/>
              </w:rPr>
              <w:t>68</w:t>
            </w:r>
          </w:p>
        </w:tc>
        <w:tc>
          <w:tcPr>
            <w:tcW w:w="1109" w:type="dxa"/>
            <w:shd w:val="clear" w:color="auto" w:fill="auto"/>
            <w:vAlign w:val="center"/>
          </w:tcPr>
          <w:p w14:paraId="5184FFDB" w14:textId="2B363555" w:rsidR="00A822B7" w:rsidRPr="00DD20EA" w:rsidRDefault="00A822B7" w:rsidP="003D26E6">
            <w:pPr>
              <w:spacing w:after="0"/>
              <w:jc w:val="center"/>
              <w:rPr>
                <w:rFonts w:ascii="Arial" w:hAnsi="Arial" w:cs="Arial"/>
                <w:sz w:val="18"/>
                <w:szCs w:val="18"/>
              </w:rPr>
            </w:pPr>
            <w:r w:rsidRPr="00DD20EA">
              <w:rPr>
                <w:rFonts w:ascii="Arial" w:hAnsi="Arial" w:cs="Arial"/>
                <w:sz w:val="18"/>
                <w:szCs w:val="18"/>
              </w:rPr>
              <w:t>1</w:t>
            </w:r>
            <w:r w:rsidR="00776EDE" w:rsidRPr="00DD20EA">
              <w:rPr>
                <w:rFonts w:ascii="Arial" w:hAnsi="Arial" w:cs="Arial"/>
                <w:sz w:val="18"/>
                <w:szCs w:val="18"/>
              </w:rPr>
              <w:t>81</w:t>
            </w:r>
          </w:p>
        </w:tc>
      </w:tr>
      <w:tr w:rsidR="00A822B7" w:rsidRPr="00343AC7" w14:paraId="5184FFE1" w14:textId="064D3EE7" w:rsidTr="00DD20EA">
        <w:tc>
          <w:tcPr>
            <w:tcW w:w="4811" w:type="dxa"/>
          </w:tcPr>
          <w:p w14:paraId="5184FFDE" w14:textId="283D6789" w:rsidR="00A822B7" w:rsidRPr="00343AC7" w:rsidRDefault="00A822B7" w:rsidP="00192938">
            <w:pPr>
              <w:spacing w:after="0"/>
              <w:rPr>
                <w:rFonts w:ascii="Arial" w:hAnsi="Arial" w:cs="Arial"/>
                <w:sz w:val="18"/>
                <w:szCs w:val="18"/>
              </w:rPr>
            </w:pPr>
            <w:r w:rsidRPr="001E4D84">
              <w:rPr>
                <w:rFonts w:ascii="Arial" w:hAnsi="Arial" w:cs="Arial"/>
                <w:sz w:val="18"/>
                <w:szCs w:val="18"/>
              </w:rPr>
              <w:t xml:space="preserve">Beneficios directos totales </w:t>
            </w:r>
            <w:r>
              <w:rPr>
                <w:rFonts w:ascii="Arial" w:hAnsi="Arial" w:cs="Arial"/>
                <w:sz w:val="18"/>
                <w:szCs w:val="18"/>
              </w:rPr>
              <w:t xml:space="preserve">por aumento en beneficiaros con </w:t>
            </w:r>
            <w:r w:rsidRPr="001E4D84">
              <w:rPr>
                <w:rFonts w:ascii="Arial" w:hAnsi="Arial" w:cs="Arial"/>
                <w:sz w:val="18"/>
                <w:szCs w:val="18"/>
              </w:rPr>
              <w:t>ed</w:t>
            </w:r>
            <w:r>
              <w:rPr>
                <w:rFonts w:ascii="Arial" w:hAnsi="Arial" w:cs="Arial"/>
                <w:sz w:val="18"/>
                <w:szCs w:val="18"/>
              </w:rPr>
              <w:t>ucación s</w:t>
            </w:r>
            <w:r w:rsidRPr="001E4D84">
              <w:rPr>
                <w:rFonts w:ascii="Arial" w:hAnsi="Arial" w:cs="Arial"/>
                <w:sz w:val="18"/>
                <w:szCs w:val="18"/>
              </w:rPr>
              <w:t>up</w:t>
            </w:r>
            <w:r>
              <w:rPr>
                <w:rFonts w:ascii="Arial" w:hAnsi="Arial" w:cs="Arial"/>
                <w:sz w:val="18"/>
                <w:szCs w:val="18"/>
              </w:rPr>
              <w:t>erior</w:t>
            </w:r>
            <w:r w:rsidRPr="001E4D84">
              <w:rPr>
                <w:rFonts w:ascii="Arial" w:hAnsi="Arial" w:cs="Arial"/>
                <w:sz w:val="18"/>
                <w:szCs w:val="18"/>
              </w:rPr>
              <w:t xml:space="preserve"> incompleta</w:t>
            </w:r>
          </w:p>
        </w:tc>
        <w:tc>
          <w:tcPr>
            <w:tcW w:w="1518" w:type="dxa"/>
            <w:shd w:val="clear" w:color="auto" w:fill="auto"/>
            <w:vAlign w:val="center"/>
          </w:tcPr>
          <w:p w14:paraId="5184FFDF" w14:textId="59A8D937" w:rsidR="00A822B7" w:rsidRPr="0047538A" w:rsidRDefault="00A822B7" w:rsidP="003D26E6">
            <w:pPr>
              <w:spacing w:after="0"/>
              <w:jc w:val="center"/>
              <w:rPr>
                <w:rFonts w:ascii="Arial" w:hAnsi="Arial" w:cs="Arial"/>
                <w:sz w:val="18"/>
                <w:szCs w:val="18"/>
              </w:rPr>
            </w:pPr>
            <w:r w:rsidRPr="0047538A">
              <w:rPr>
                <w:rFonts w:ascii="Arial" w:hAnsi="Arial" w:cs="Arial"/>
                <w:sz w:val="18"/>
                <w:szCs w:val="18"/>
              </w:rPr>
              <w:t>184.894</w:t>
            </w:r>
          </w:p>
        </w:tc>
        <w:tc>
          <w:tcPr>
            <w:tcW w:w="1109" w:type="dxa"/>
            <w:shd w:val="clear" w:color="auto" w:fill="auto"/>
            <w:vAlign w:val="center"/>
          </w:tcPr>
          <w:p w14:paraId="5184FFE0" w14:textId="0A710A29" w:rsidR="00A822B7" w:rsidRPr="00DD20EA" w:rsidRDefault="00DD6707" w:rsidP="003D26E6">
            <w:pPr>
              <w:spacing w:after="0"/>
              <w:jc w:val="center"/>
              <w:rPr>
                <w:rFonts w:ascii="Arial" w:hAnsi="Arial" w:cs="Arial"/>
                <w:sz w:val="18"/>
                <w:szCs w:val="18"/>
              </w:rPr>
            </w:pPr>
            <w:r w:rsidRPr="00DD20EA">
              <w:rPr>
                <w:rFonts w:ascii="Arial" w:hAnsi="Arial" w:cs="Arial"/>
                <w:sz w:val="18"/>
                <w:szCs w:val="18"/>
              </w:rPr>
              <w:t>494.323</w:t>
            </w:r>
          </w:p>
        </w:tc>
      </w:tr>
      <w:tr w:rsidR="00A822B7" w:rsidRPr="00343AC7" w14:paraId="5184FFE6" w14:textId="3CFD4C85" w:rsidTr="00DD20EA">
        <w:tc>
          <w:tcPr>
            <w:tcW w:w="4811" w:type="dxa"/>
          </w:tcPr>
          <w:p w14:paraId="5184FFE3" w14:textId="346FE515" w:rsidR="00A822B7" w:rsidRPr="00343AC7" w:rsidRDefault="00A822B7" w:rsidP="001E4D84">
            <w:pPr>
              <w:spacing w:after="0"/>
              <w:rPr>
                <w:rFonts w:ascii="Arial" w:hAnsi="Arial" w:cs="Arial"/>
                <w:sz w:val="18"/>
                <w:szCs w:val="18"/>
              </w:rPr>
            </w:pPr>
            <w:r w:rsidRPr="0068454F">
              <w:rPr>
                <w:rFonts w:ascii="Arial" w:hAnsi="Arial" w:cs="Arial"/>
                <w:sz w:val="18"/>
                <w:szCs w:val="18"/>
              </w:rPr>
              <w:t>Número de beneficiarios directos con educación superior completa (adicionales a la situación actual)</w:t>
            </w:r>
          </w:p>
        </w:tc>
        <w:tc>
          <w:tcPr>
            <w:tcW w:w="1518" w:type="dxa"/>
            <w:shd w:val="clear" w:color="auto" w:fill="auto"/>
            <w:vAlign w:val="center"/>
          </w:tcPr>
          <w:p w14:paraId="5184FFE4" w14:textId="5988474C" w:rsidR="00A822B7" w:rsidRPr="0047538A" w:rsidRDefault="00DD20EA" w:rsidP="003D26E6">
            <w:pPr>
              <w:spacing w:after="0"/>
              <w:jc w:val="center"/>
              <w:rPr>
                <w:rFonts w:ascii="Arial" w:hAnsi="Arial" w:cs="Arial"/>
                <w:sz w:val="18"/>
                <w:szCs w:val="18"/>
              </w:rPr>
            </w:pPr>
            <w:r>
              <w:rPr>
                <w:rFonts w:ascii="Arial" w:hAnsi="Arial" w:cs="Arial"/>
                <w:sz w:val="18"/>
                <w:szCs w:val="18"/>
              </w:rPr>
              <w:t>41</w:t>
            </w:r>
          </w:p>
        </w:tc>
        <w:tc>
          <w:tcPr>
            <w:tcW w:w="1109" w:type="dxa"/>
            <w:shd w:val="clear" w:color="auto" w:fill="auto"/>
            <w:vAlign w:val="center"/>
          </w:tcPr>
          <w:p w14:paraId="5184FFE5" w14:textId="5C24047A" w:rsidR="00A822B7" w:rsidRPr="00DD20EA" w:rsidRDefault="00CF6FA4" w:rsidP="003D26E6">
            <w:pPr>
              <w:spacing w:after="0"/>
              <w:jc w:val="center"/>
              <w:rPr>
                <w:rFonts w:ascii="Arial" w:hAnsi="Arial" w:cs="Arial"/>
                <w:sz w:val="18"/>
                <w:szCs w:val="18"/>
              </w:rPr>
            </w:pPr>
            <w:r w:rsidRPr="00DD20EA">
              <w:rPr>
                <w:rFonts w:ascii="Arial" w:hAnsi="Arial" w:cs="Arial"/>
                <w:sz w:val="18"/>
                <w:szCs w:val="18"/>
              </w:rPr>
              <w:t>111</w:t>
            </w:r>
          </w:p>
        </w:tc>
      </w:tr>
      <w:tr w:rsidR="00A822B7" w:rsidRPr="00343AC7" w14:paraId="5184FFEB" w14:textId="69803D08" w:rsidTr="00DD20EA">
        <w:tc>
          <w:tcPr>
            <w:tcW w:w="4811" w:type="dxa"/>
          </w:tcPr>
          <w:p w14:paraId="5184FFE8" w14:textId="1AA423B9" w:rsidR="00A822B7" w:rsidRPr="00343AC7" w:rsidRDefault="00A822B7" w:rsidP="001E4D84">
            <w:pPr>
              <w:spacing w:after="0"/>
              <w:rPr>
                <w:rFonts w:ascii="Arial" w:hAnsi="Arial" w:cs="Arial"/>
                <w:sz w:val="18"/>
                <w:szCs w:val="18"/>
              </w:rPr>
            </w:pPr>
            <w:r w:rsidRPr="001E4D84">
              <w:rPr>
                <w:rFonts w:ascii="Arial" w:hAnsi="Arial" w:cs="Arial"/>
                <w:sz w:val="18"/>
                <w:szCs w:val="18"/>
              </w:rPr>
              <w:t xml:space="preserve">Beneficios directos totales </w:t>
            </w:r>
            <w:r>
              <w:rPr>
                <w:rFonts w:ascii="Arial" w:hAnsi="Arial" w:cs="Arial"/>
                <w:sz w:val="18"/>
                <w:szCs w:val="18"/>
              </w:rPr>
              <w:t xml:space="preserve">por aumento en beneficiaros con </w:t>
            </w:r>
            <w:r w:rsidRPr="001E4D84">
              <w:rPr>
                <w:rFonts w:ascii="Arial" w:hAnsi="Arial" w:cs="Arial"/>
                <w:sz w:val="18"/>
                <w:szCs w:val="18"/>
              </w:rPr>
              <w:t>ed</w:t>
            </w:r>
            <w:r>
              <w:rPr>
                <w:rFonts w:ascii="Arial" w:hAnsi="Arial" w:cs="Arial"/>
                <w:sz w:val="18"/>
                <w:szCs w:val="18"/>
              </w:rPr>
              <w:t>ucación s</w:t>
            </w:r>
            <w:r w:rsidRPr="001E4D84">
              <w:rPr>
                <w:rFonts w:ascii="Arial" w:hAnsi="Arial" w:cs="Arial"/>
                <w:sz w:val="18"/>
                <w:szCs w:val="18"/>
              </w:rPr>
              <w:t>up</w:t>
            </w:r>
            <w:r>
              <w:rPr>
                <w:rFonts w:ascii="Arial" w:hAnsi="Arial" w:cs="Arial"/>
                <w:sz w:val="18"/>
                <w:szCs w:val="18"/>
              </w:rPr>
              <w:t>erior</w:t>
            </w:r>
            <w:r w:rsidRPr="001E4D84">
              <w:rPr>
                <w:rFonts w:ascii="Arial" w:hAnsi="Arial" w:cs="Arial"/>
                <w:sz w:val="18"/>
                <w:szCs w:val="18"/>
              </w:rPr>
              <w:t xml:space="preserve"> completa</w:t>
            </w:r>
          </w:p>
        </w:tc>
        <w:tc>
          <w:tcPr>
            <w:tcW w:w="1518" w:type="dxa"/>
            <w:shd w:val="clear" w:color="auto" w:fill="auto"/>
            <w:vAlign w:val="center"/>
          </w:tcPr>
          <w:p w14:paraId="5184FFE9" w14:textId="6CCC9C4D" w:rsidR="00A822B7" w:rsidRPr="0047538A" w:rsidRDefault="00A822B7" w:rsidP="003D26E6">
            <w:pPr>
              <w:spacing w:after="0"/>
              <w:jc w:val="center"/>
              <w:rPr>
                <w:rFonts w:ascii="Arial" w:hAnsi="Arial" w:cs="Arial"/>
                <w:sz w:val="18"/>
                <w:szCs w:val="18"/>
              </w:rPr>
            </w:pPr>
            <w:r w:rsidRPr="00DD20EA">
              <w:rPr>
                <w:rFonts w:ascii="Arial" w:hAnsi="Arial" w:cs="Arial"/>
                <w:sz w:val="18"/>
                <w:szCs w:val="18"/>
              </w:rPr>
              <w:t>279.069</w:t>
            </w:r>
          </w:p>
        </w:tc>
        <w:tc>
          <w:tcPr>
            <w:tcW w:w="1109" w:type="dxa"/>
            <w:shd w:val="clear" w:color="auto" w:fill="auto"/>
            <w:vAlign w:val="center"/>
          </w:tcPr>
          <w:p w14:paraId="5184FFEA" w14:textId="009529F7" w:rsidR="00A822B7" w:rsidRPr="00DD20EA" w:rsidRDefault="00CF6FA4" w:rsidP="003D26E6">
            <w:pPr>
              <w:spacing w:after="0"/>
              <w:jc w:val="center"/>
              <w:rPr>
                <w:rFonts w:ascii="Arial" w:hAnsi="Arial" w:cs="Arial"/>
                <w:sz w:val="18"/>
                <w:szCs w:val="18"/>
              </w:rPr>
            </w:pPr>
            <w:r w:rsidRPr="00DD20EA">
              <w:rPr>
                <w:rFonts w:ascii="Arial" w:hAnsi="Arial" w:cs="Arial"/>
                <w:sz w:val="18"/>
                <w:szCs w:val="18"/>
              </w:rPr>
              <w:t>746.106</w:t>
            </w:r>
          </w:p>
        </w:tc>
      </w:tr>
      <w:tr w:rsidR="00A822B7" w:rsidRPr="00343AC7" w14:paraId="5184FFF5" w14:textId="32ACE000" w:rsidTr="00DD20EA">
        <w:tc>
          <w:tcPr>
            <w:tcW w:w="4811" w:type="dxa"/>
          </w:tcPr>
          <w:p w14:paraId="5184FFF2" w14:textId="41A6CE58" w:rsidR="00A822B7" w:rsidRPr="00343AC7" w:rsidRDefault="00A822B7" w:rsidP="001E4D84">
            <w:pPr>
              <w:spacing w:after="0"/>
              <w:rPr>
                <w:rFonts w:ascii="Arial" w:hAnsi="Arial" w:cs="Arial"/>
                <w:sz w:val="18"/>
                <w:szCs w:val="18"/>
              </w:rPr>
            </w:pPr>
            <w:r w:rsidRPr="00772B87">
              <w:rPr>
                <w:rFonts w:ascii="Arial" w:hAnsi="Arial" w:cs="Arial"/>
                <w:sz w:val="18"/>
                <w:szCs w:val="18"/>
              </w:rPr>
              <w:t>TOTAL BENEFICIOS DIRECTOS (c/inflación 3%anual)</w:t>
            </w:r>
            <w:r>
              <w:rPr>
                <w:rFonts w:ascii="Arial" w:hAnsi="Arial" w:cs="Arial"/>
                <w:sz w:val="18"/>
                <w:szCs w:val="18"/>
              </w:rPr>
              <w:t xml:space="preserve"> </w:t>
            </w:r>
          </w:p>
        </w:tc>
        <w:tc>
          <w:tcPr>
            <w:tcW w:w="1518" w:type="dxa"/>
            <w:shd w:val="clear" w:color="auto" w:fill="auto"/>
            <w:vAlign w:val="center"/>
          </w:tcPr>
          <w:p w14:paraId="5184FFF3" w14:textId="7577A319" w:rsidR="00A822B7" w:rsidRPr="0047538A" w:rsidRDefault="00A822B7" w:rsidP="003D26E6">
            <w:pPr>
              <w:spacing w:after="0"/>
              <w:jc w:val="center"/>
              <w:rPr>
                <w:rFonts w:ascii="Arial" w:hAnsi="Arial" w:cs="Arial"/>
                <w:sz w:val="18"/>
                <w:szCs w:val="18"/>
              </w:rPr>
            </w:pPr>
            <w:r w:rsidRPr="00DD20EA">
              <w:rPr>
                <w:rFonts w:ascii="Arial" w:hAnsi="Arial" w:cs="Arial"/>
                <w:sz w:val="18"/>
                <w:szCs w:val="18"/>
              </w:rPr>
              <w:t>522.194</w:t>
            </w:r>
          </w:p>
        </w:tc>
        <w:tc>
          <w:tcPr>
            <w:tcW w:w="1109" w:type="dxa"/>
            <w:shd w:val="clear" w:color="auto" w:fill="auto"/>
            <w:vAlign w:val="center"/>
          </w:tcPr>
          <w:p w14:paraId="5184FFF4" w14:textId="09B8E308" w:rsidR="00A822B7" w:rsidRPr="00DD20EA" w:rsidRDefault="00E90DC1" w:rsidP="003D26E6">
            <w:pPr>
              <w:spacing w:after="0"/>
              <w:jc w:val="center"/>
              <w:rPr>
                <w:rFonts w:ascii="Arial" w:hAnsi="Arial" w:cs="Arial"/>
                <w:sz w:val="18"/>
                <w:szCs w:val="18"/>
              </w:rPr>
            </w:pPr>
            <w:r w:rsidRPr="00DD20EA">
              <w:rPr>
                <w:rFonts w:ascii="Arial" w:hAnsi="Arial" w:cs="Arial"/>
                <w:sz w:val="18"/>
                <w:szCs w:val="18"/>
              </w:rPr>
              <w:t>1.4</w:t>
            </w:r>
            <w:r w:rsidR="0047538A" w:rsidRPr="00DD20EA">
              <w:rPr>
                <w:rFonts w:ascii="Arial" w:hAnsi="Arial" w:cs="Arial"/>
                <w:sz w:val="18"/>
                <w:szCs w:val="18"/>
              </w:rPr>
              <w:t>37.997</w:t>
            </w:r>
          </w:p>
        </w:tc>
      </w:tr>
    </w:tbl>
    <w:p w14:paraId="51850005" w14:textId="77777777" w:rsidR="00B62188" w:rsidRPr="00343AC7" w:rsidRDefault="00B62188" w:rsidP="003A542A">
      <w:pPr>
        <w:rPr>
          <w:rFonts w:ascii="Arial" w:hAnsi="Arial" w:cs="Arial"/>
          <w:sz w:val="18"/>
          <w:szCs w:val="18"/>
        </w:rPr>
      </w:pPr>
    </w:p>
    <w:p w14:paraId="51850006" w14:textId="70A64C53" w:rsidR="00192938" w:rsidRPr="00343AC7" w:rsidRDefault="00192938" w:rsidP="00343AC7">
      <w:pPr>
        <w:pStyle w:val="Caption"/>
        <w:keepNext/>
        <w:rPr>
          <w:rFonts w:ascii="Arial" w:hAnsi="Arial" w:cs="Arial"/>
          <w:sz w:val="18"/>
          <w:szCs w:val="18"/>
        </w:rPr>
      </w:pPr>
      <w:r w:rsidRPr="00343AC7">
        <w:rPr>
          <w:rFonts w:ascii="Arial" w:hAnsi="Arial" w:cs="Arial"/>
          <w:sz w:val="18"/>
          <w:szCs w:val="18"/>
        </w:rPr>
        <w:t xml:space="preserve">Tabla </w:t>
      </w:r>
      <w:r w:rsidR="00772B87">
        <w:rPr>
          <w:rFonts w:ascii="Arial" w:hAnsi="Arial" w:cs="Arial"/>
          <w:sz w:val="18"/>
          <w:szCs w:val="18"/>
        </w:rPr>
        <w:t>4.</w:t>
      </w:r>
      <w:r w:rsidRPr="00343AC7">
        <w:rPr>
          <w:rFonts w:ascii="Arial" w:hAnsi="Arial" w:cs="Arial"/>
          <w:sz w:val="18"/>
          <w:szCs w:val="18"/>
        </w:rPr>
        <w:t xml:space="preserve"> Escenario</w:t>
      </w:r>
      <w:r w:rsidR="00772B87">
        <w:rPr>
          <w:rFonts w:ascii="Arial" w:hAnsi="Arial" w:cs="Arial"/>
          <w:sz w:val="18"/>
          <w:szCs w:val="18"/>
        </w:rPr>
        <w:t xml:space="preserve"> </w:t>
      </w:r>
      <w:r w:rsidR="003D26E6">
        <w:rPr>
          <w:rFonts w:ascii="Arial" w:hAnsi="Arial" w:cs="Arial"/>
          <w:sz w:val="18"/>
          <w:szCs w:val="18"/>
        </w:rPr>
        <w:t>2</w:t>
      </w:r>
      <w:r w:rsidR="00772B87">
        <w:rPr>
          <w:rFonts w:ascii="Arial" w:hAnsi="Arial" w:cs="Arial"/>
          <w:sz w:val="18"/>
          <w:szCs w:val="18"/>
        </w:rPr>
        <w:t>:</w:t>
      </w:r>
      <w:r w:rsidRPr="00343AC7">
        <w:rPr>
          <w:rFonts w:ascii="Arial" w:hAnsi="Arial" w:cs="Arial"/>
          <w:sz w:val="18"/>
          <w:szCs w:val="18"/>
        </w:rPr>
        <w:t xml:space="preserve"> Cálculo de beneficios del Programa sobre la base de los ingresos incrementales de un aumento de </w:t>
      </w:r>
      <w:r w:rsidR="00C3050D" w:rsidRPr="00343AC7">
        <w:rPr>
          <w:rFonts w:ascii="Arial" w:hAnsi="Arial" w:cs="Arial"/>
          <w:sz w:val="18"/>
          <w:szCs w:val="18"/>
        </w:rPr>
        <w:t>5</w:t>
      </w:r>
      <w:r w:rsidRPr="00343AC7">
        <w:rPr>
          <w:rFonts w:ascii="Arial" w:hAnsi="Arial" w:cs="Arial"/>
          <w:sz w:val="18"/>
          <w:szCs w:val="18"/>
        </w:rPr>
        <w:t xml:space="preserve">% en la cantidad de egresados de la educación secundaria que ingresa a la educación terciaria </w:t>
      </w:r>
    </w:p>
    <w:tbl>
      <w:tblPr>
        <w:tblStyle w:val="TableGrid"/>
        <w:tblW w:w="7555" w:type="dxa"/>
        <w:tblLayout w:type="fixed"/>
        <w:tblLook w:val="04A0" w:firstRow="1" w:lastRow="0" w:firstColumn="1" w:lastColumn="0" w:noHBand="0" w:noVBand="1"/>
      </w:tblPr>
      <w:tblGrid>
        <w:gridCol w:w="5305"/>
        <w:gridCol w:w="1080"/>
        <w:gridCol w:w="1170"/>
      </w:tblGrid>
      <w:tr w:rsidR="00DD20EA" w:rsidRPr="00343AC7" w14:paraId="7949D190" w14:textId="77777777" w:rsidTr="00592666">
        <w:tc>
          <w:tcPr>
            <w:tcW w:w="5305" w:type="dxa"/>
          </w:tcPr>
          <w:p w14:paraId="32065E65" w14:textId="77777777" w:rsidR="00DD20EA" w:rsidRPr="0068454F" w:rsidRDefault="00DD20EA" w:rsidP="00641662">
            <w:pPr>
              <w:pStyle w:val="Caption"/>
              <w:keepNext/>
              <w:rPr>
                <w:rFonts w:ascii="Arial" w:hAnsi="Arial" w:cs="Arial"/>
                <w:b w:val="0"/>
                <w:bCs w:val="0"/>
                <w:sz w:val="18"/>
                <w:szCs w:val="18"/>
              </w:rPr>
            </w:pPr>
          </w:p>
        </w:tc>
        <w:tc>
          <w:tcPr>
            <w:tcW w:w="1080" w:type="dxa"/>
            <w:vAlign w:val="center"/>
          </w:tcPr>
          <w:p w14:paraId="3960200F" w14:textId="14EA6CF8" w:rsidR="00DD20EA" w:rsidRPr="00DD20EA" w:rsidRDefault="00DD20EA" w:rsidP="005C69F5">
            <w:pPr>
              <w:spacing w:after="0"/>
              <w:jc w:val="center"/>
              <w:rPr>
                <w:rFonts w:ascii="Arial" w:hAnsi="Arial" w:cs="Arial"/>
                <w:sz w:val="18"/>
                <w:szCs w:val="18"/>
              </w:rPr>
            </w:pPr>
            <w:r w:rsidRPr="00DD20EA">
              <w:rPr>
                <w:rFonts w:ascii="Arial" w:hAnsi="Arial" w:cs="Arial"/>
                <w:sz w:val="18"/>
                <w:szCs w:val="18"/>
              </w:rPr>
              <w:t>202</w:t>
            </w:r>
            <w:r>
              <w:rPr>
                <w:rFonts w:ascii="Arial" w:hAnsi="Arial" w:cs="Arial"/>
                <w:sz w:val="18"/>
                <w:szCs w:val="18"/>
              </w:rPr>
              <w:t>4</w:t>
            </w:r>
          </w:p>
        </w:tc>
        <w:tc>
          <w:tcPr>
            <w:tcW w:w="1170" w:type="dxa"/>
            <w:vAlign w:val="center"/>
          </w:tcPr>
          <w:p w14:paraId="37BAB159" w14:textId="6629186C" w:rsidR="00DD20EA" w:rsidRPr="00343AC7" w:rsidRDefault="00DD20EA" w:rsidP="005C69F5">
            <w:pPr>
              <w:spacing w:after="0"/>
              <w:jc w:val="center"/>
              <w:rPr>
                <w:rFonts w:ascii="Arial" w:hAnsi="Arial" w:cs="Arial"/>
                <w:sz w:val="18"/>
                <w:szCs w:val="18"/>
              </w:rPr>
            </w:pPr>
            <w:r>
              <w:rPr>
                <w:rFonts w:ascii="Arial" w:hAnsi="Arial" w:cs="Arial"/>
                <w:sz w:val="18"/>
                <w:szCs w:val="18"/>
              </w:rPr>
              <w:t>20254</w:t>
            </w:r>
          </w:p>
        </w:tc>
      </w:tr>
      <w:tr w:rsidR="00DD20EA" w:rsidRPr="00343AC7" w14:paraId="7C8A3D08" w14:textId="77777777" w:rsidTr="00592666">
        <w:tc>
          <w:tcPr>
            <w:tcW w:w="5305" w:type="dxa"/>
          </w:tcPr>
          <w:p w14:paraId="1FF9748E" w14:textId="77777777" w:rsidR="00DD20EA" w:rsidRPr="0068454F" w:rsidRDefault="00DD20EA" w:rsidP="00641662">
            <w:pPr>
              <w:spacing w:after="0"/>
              <w:rPr>
                <w:rFonts w:ascii="Arial" w:hAnsi="Arial" w:cs="Arial"/>
                <w:sz w:val="18"/>
                <w:szCs w:val="18"/>
              </w:rPr>
            </w:pPr>
            <w:r w:rsidRPr="0068454F">
              <w:rPr>
                <w:rFonts w:ascii="Arial" w:hAnsi="Arial" w:cs="Arial"/>
                <w:sz w:val="18"/>
                <w:szCs w:val="18"/>
              </w:rPr>
              <w:t>Número de beneficiarios directos con educación superior incompleta (adicionales a la situación actual)</w:t>
            </w:r>
          </w:p>
        </w:tc>
        <w:tc>
          <w:tcPr>
            <w:tcW w:w="1080" w:type="dxa"/>
            <w:vAlign w:val="center"/>
          </w:tcPr>
          <w:p w14:paraId="3FF92D26" w14:textId="00632F61" w:rsidR="00DD20EA" w:rsidRPr="00DD20EA" w:rsidRDefault="00D531DD" w:rsidP="005C69F5">
            <w:pPr>
              <w:spacing w:after="0"/>
              <w:jc w:val="center"/>
              <w:rPr>
                <w:rFonts w:ascii="Arial" w:hAnsi="Arial" w:cs="Arial"/>
                <w:sz w:val="18"/>
                <w:szCs w:val="18"/>
              </w:rPr>
            </w:pPr>
            <w:r>
              <w:rPr>
                <w:rFonts w:ascii="Arial" w:hAnsi="Arial" w:cs="Arial"/>
                <w:sz w:val="18"/>
                <w:szCs w:val="18"/>
              </w:rPr>
              <w:t>169</w:t>
            </w:r>
          </w:p>
        </w:tc>
        <w:tc>
          <w:tcPr>
            <w:tcW w:w="1170" w:type="dxa"/>
            <w:vAlign w:val="center"/>
          </w:tcPr>
          <w:p w14:paraId="5545E22C" w14:textId="781D4213" w:rsidR="00DD20EA" w:rsidRPr="00343AC7" w:rsidRDefault="00D531DD" w:rsidP="005C69F5">
            <w:pPr>
              <w:spacing w:after="0"/>
              <w:jc w:val="center"/>
              <w:rPr>
                <w:rFonts w:ascii="Arial" w:hAnsi="Arial" w:cs="Arial"/>
                <w:sz w:val="18"/>
                <w:szCs w:val="18"/>
              </w:rPr>
            </w:pPr>
            <w:r>
              <w:rPr>
                <w:rFonts w:ascii="Arial" w:hAnsi="Arial" w:cs="Arial"/>
                <w:sz w:val="18"/>
                <w:szCs w:val="18"/>
              </w:rPr>
              <w:t>452</w:t>
            </w:r>
          </w:p>
        </w:tc>
      </w:tr>
      <w:tr w:rsidR="00DD20EA" w:rsidRPr="00343AC7" w14:paraId="0001DFB0" w14:textId="77777777" w:rsidTr="00592666">
        <w:tc>
          <w:tcPr>
            <w:tcW w:w="5305" w:type="dxa"/>
          </w:tcPr>
          <w:p w14:paraId="5E544421" w14:textId="77777777" w:rsidR="00DD20EA" w:rsidRPr="00343AC7" w:rsidRDefault="00DD20EA" w:rsidP="00641662">
            <w:pPr>
              <w:spacing w:after="0"/>
              <w:rPr>
                <w:rFonts w:ascii="Arial" w:hAnsi="Arial" w:cs="Arial"/>
                <w:sz w:val="18"/>
                <w:szCs w:val="18"/>
              </w:rPr>
            </w:pPr>
            <w:r w:rsidRPr="001E4D84">
              <w:rPr>
                <w:rFonts w:ascii="Arial" w:hAnsi="Arial" w:cs="Arial"/>
                <w:sz w:val="18"/>
                <w:szCs w:val="18"/>
              </w:rPr>
              <w:t xml:space="preserve">Beneficios directos totales </w:t>
            </w:r>
            <w:r>
              <w:rPr>
                <w:rFonts w:ascii="Arial" w:hAnsi="Arial" w:cs="Arial"/>
                <w:sz w:val="18"/>
                <w:szCs w:val="18"/>
              </w:rPr>
              <w:t xml:space="preserve">por aumento en beneficiaros con </w:t>
            </w:r>
            <w:r w:rsidRPr="001E4D84">
              <w:rPr>
                <w:rFonts w:ascii="Arial" w:hAnsi="Arial" w:cs="Arial"/>
                <w:sz w:val="18"/>
                <w:szCs w:val="18"/>
              </w:rPr>
              <w:t>ed</w:t>
            </w:r>
            <w:r>
              <w:rPr>
                <w:rFonts w:ascii="Arial" w:hAnsi="Arial" w:cs="Arial"/>
                <w:sz w:val="18"/>
                <w:szCs w:val="18"/>
              </w:rPr>
              <w:t>ucación s</w:t>
            </w:r>
            <w:r w:rsidRPr="001E4D84">
              <w:rPr>
                <w:rFonts w:ascii="Arial" w:hAnsi="Arial" w:cs="Arial"/>
                <w:sz w:val="18"/>
                <w:szCs w:val="18"/>
              </w:rPr>
              <w:t>up</w:t>
            </w:r>
            <w:r>
              <w:rPr>
                <w:rFonts w:ascii="Arial" w:hAnsi="Arial" w:cs="Arial"/>
                <w:sz w:val="18"/>
                <w:szCs w:val="18"/>
              </w:rPr>
              <w:t>erior</w:t>
            </w:r>
            <w:r w:rsidRPr="001E4D84">
              <w:rPr>
                <w:rFonts w:ascii="Arial" w:hAnsi="Arial" w:cs="Arial"/>
                <w:sz w:val="18"/>
                <w:szCs w:val="18"/>
              </w:rPr>
              <w:t xml:space="preserve"> incompleta</w:t>
            </w:r>
          </w:p>
        </w:tc>
        <w:tc>
          <w:tcPr>
            <w:tcW w:w="1080" w:type="dxa"/>
            <w:vAlign w:val="center"/>
          </w:tcPr>
          <w:p w14:paraId="61C6994D" w14:textId="157CC8B2" w:rsidR="00DD20EA" w:rsidRPr="00DD20EA" w:rsidRDefault="00D531DD" w:rsidP="005C69F5">
            <w:pPr>
              <w:spacing w:after="0"/>
              <w:jc w:val="center"/>
              <w:rPr>
                <w:rFonts w:ascii="Arial" w:hAnsi="Arial" w:cs="Arial"/>
                <w:sz w:val="18"/>
                <w:szCs w:val="18"/>
              </w:rPr>
            </w:pPr>
            <w:r>
              <w:rPr>
                <w:rFonts w:ascii="Arial" w:hAnsi="Arial" w:cs="Arial"/>
                <w:sz w:val="18"/>
                <w:szCs w:val="18"/>
              </w:rPr>
              <w:t>462.234</w:t>
            </w:r>
          </w:p>
        </w:tc>
        <w:tc>
          <w:tcPr>
            <w:tcW w:w="1170" w:type="dxa"/>
            <w:vAlign w:val="center"/>
          </w:tcPr>
          <w:p w14:paraId="1AF40DB8" w14:textId="6F2C04D7" w:rsidR="00DD20EA" w:rsidRPr="00343AC7" w:rsidRDefault="00D531DD" w:rsidP="005C69F5">
            <w:pPr>
              <w:spacing w:after="0"/>
              <w:jc w:val="center"/>
              <w:rPr>
                <w:rFonts w:ascii="Arial" w:hAnsi="Arial" w:cs="Arial"/>
                <w:sz w:val="18"/>
                <w:szCs w:val="18"/>
              </w:rPr>
            </w:pPr>
            <w:r>
              <w:rPr>
                <w:rFonts w:ascii="Arial" w:hAnsi="Arial" w:cs="Arial"/>
                <w:sz w:val="18"/>
                <w:szCs w:val="18"/>
              </w:rPr>
              <w:t>1.235.807</w:t>
            </w:r>
          </w:p>
        </w:tc>
      </w:tr>
      <w:tr w:rsidR="00DD20EA" w:rsidRPr="00343AC7" w14:paraId="10B3C1CA" w14:textId="77777777" w:rsidTr="00592666">
        <w:tc>
          <w:tcPr>
            <w:tcW w:w="5305" w:type="dxa"/>
          </w:tcPr>
          <w:p w14:paraId="62EF003C" w14:textId="77777777" w:rsidR="00DD20EA" w:rsidRPr="00343AC7" w:rsidRDefault="00DD20EA" w:rsidP="00641662">
            <w:pPr>
              <w:spacing w:after="0"/>
              <w:rPr>
                <w:rFonts w:ascii="Arial" w:hAnsi="Arial" w:cs="Arial"/>
                <w:sz w:val="18"/>
                <w:szCs w:val="18"/>
              </w:rPr>
            </w:pPr>
            <w:r w:rsidRPr="0068454F">
              <w:rPr>
                <w:rFonts w:ascii="Arial" w:hAnsi="Arial" w:cs="Arial"/>
                <w:sz w:val="18"/>
                <w:szCs w:val="18"/>
              </w:rPr>
              <w:t>Número de beneficiarios directos con educación superior completa (adicionales a la situación actual)</w:t>
            </w:r>
          </w:p>
        </w:tc>
        <w:tc>
          <w:tcPr>
            <w:tcW w:w="1080" w:type="dxa"/>
            <w:vAlign w:val="center"/>
          </w:tcPr>
          <w:p w14:paraId="05E8D877" w14:textId="06C2A472" w:rsidR="00DD20EA" w:rsidRPr="00DD20EA" w:rsidRDefault="00D531DD" w:rsidP="005C69F5">
            <w:pPr>
              <w:spacing w:after="0"/>
              <w:jc w:val="center"/>
              <w:rPr>
                <w:rFonts w:ascii="Arial" w:hAnsi="Arial" w:cs="Arial"/>
                <w:sz w:val="18"/>
                <w:szCs w:val="18"/>
              </w:rPr>
            </w:pPr>
            <w:r>
              <w:rPr>
                <w:rFonts w:ascii="Arial" w:hAnsi="Arial" w:cs="Arial"/>
                <w:sz w:val="18"/>
                <w:szCs w:val="18"/>
              </w:rPr>
              <w:t>104</w:t>
            </w:r>
          </w:p>
        </w:tc>
        <w:tc>
          <w:tcPr>
            <w:tcW w:w="1170" w:type="dxa"/>
            <w:vAlign w:val="center"/>
          </w:tcPr>
          <w:p w14:paraId="50C50653" w14:textId="742B5219" w:rsidR="00DD20EA" w:rsidRPr="00343AC7" w:rsidRDefault="00D531DD" w:rsidP="005C69F5">
            <w:pPr>
              <w:spacing w:after="0"/>
              <w:jc w:val="center"/>
              <w:rPr>
                <w:rFonts w:ascii="Arial" w:hAnsi="Arial" w:cs="Arial"/>
                <w:sz w:val="18"/>
                <w:szCs w:val="18"/>
              </w:rPr>
            </w:pPr>
            <w:r>
              <w:rPr>
                <w:rFonts w:ascii="Arial" w:hAnsi="Arial" w:cs="Arial"/>
                <w:sz w:val="18"/>
                <w:szCs w:val="18"/>
              </w:rPr>
              <w:t>277</w:t>
            </w:r>
          </w:p>
        </w:tc>
      </w:tr>
      <w:tr w:rsidR="00DD20EA" w:rsidRPr="00343AC7" w14:paraId="1A68C07D" w14:textId="77777777" w:rsidTr="00592666">
        <w:tc>
          <w:tcPr>
            <w:tcW w:w="5305" w:type="dxa"/>
          </w:tcPr>
          <w:p w14:paraId="5B1E2657" w14:textId="77777777" w:rsidR="00DD20EA" w:rsidRPr="00343AC7" w:rsidRDefault="00DD20EA" w:rsidP="00641662">
            <w:pPr>
              <w:spacing w:after="0"/>
              <w:rPr>
                <w:rFonts w:ascii="Arial" w:hAnsi="Arial" w:cs="Arial"/>
                <w:sz w:val="18"/>
                <w:szCs w:val="18"/>
              </w:rPr>
            </w:pPr>
            <w:r w:rsidRPr="001E4D84">
              <w:rPr>
                <w:rFonts w:ascii="Arial" w:hAnsi="Arial" w:cs="Arial"/>
                <w:sz w:val="18"/>
                <w:szCs w:val="18"/>
              </w:rPr>
              <w:t xml:space="preserve">Beneficios directos totales </w:t>
            </w:r>
            <w:r>
              <w:rPr>
                <w:rFonts w:ascii="Arial" w:hAnsi="Arial" w:cs="Arial"/>
                <w:sz w:val="18"/>
                <w:szCs w:val="18"/>
              </w:rPr>
              <w:t xml:space="preserve">por aumento en beneficiaros con </w:t>
            </w:r>
            <w:r w:rsidRPr="001E4D84">
              <w:rPr>
                <w:rFonts w:ascii="Arial" w:hAnsi="Arial" w:cs="Arial"/>
                <w:sz w:val="18"/>
                <w:szCs w:val="18"/>
              </w:rPr>
              <w:t>ed</w:t>
            </w:r>
            <w:r>
              <w:rPr>
                <w:rFonts w:ascii="Arial" w:hAnsi="Arial" w:cs="Arial"/>
                <w:sz w:val="18"/>
                <w:szCs w:val="18"/>
              </w:rPr>
              <w:t>ucación s</w:t>
            </w:r>
            <w:r w:rsidRPr="001E4D84">
              <w:rPr>
                <w:rFonts w:ascii="Arial" w:hAnsi="Arial" w:cs="Arial"/>
                <w:sz w:val="18"/>
                <w:szCs w:val="18"/>
              </w:rPr>
              <w:t>up</w:t>
            </w:r>
            <w:r>
              <w:rPr>
                <w:rFonts w:ascii="Arial" w:hAnsi="Arial" w:cs="Arial"/>
                <w:sz w:val="18"/>
                <w:szCs w:val="18"/>
              </w:rPr>
              <w:t>erior</w:t>
            </w:r>
            <w:r w:rsidRPr="001E4D84">
              <w:rPr>
                <w:rFonts w:ascii="Arial" w:hAnsi="Arial" w:cs="Arial"/>
                <w:sz w:val="18"/>
                <w:szCs w:val="18"/>
              </w:rPr>
              <w:t xml:space="preserve"> completa</w:t>
            </w:r>
          </w:p>
        </w:tc>
        <w:tc>
          <w:tcPr>
            <w:tcW w:w="1080" w:type="dxa"/>
            <w:vAlign w:val="center"/>
          </w:tcPr>
          <w:p w14:paraId="2EB1CE25" w14:textId="3CF97B20" w:rsidR="00DD20EA" w:rsidRPr="00DD20EA" w:rsidRDefault="00492096" w:rsidP="005C69F5">
            <w:pPr>
              <w:spacing w:after="0"/>
              <w:jc w:val="center"/>
              <w:rPr>
                <w:rFonts w:ascii="Arial" w:hAnsi="Arial" w:cs="Arial"/>
                <w:sz w:val="18"/>
                <w:szCs w:val="18"/>
              </w:rPr>
            </w:pPr>
            <w:r>
              <w:rPr>
                <w:rFonts w:ascii="Arial" w:hAnsi="Arial" w:cs="Arial"/>
                <w:sz w:val="18"/>
                <w:szCs w:val="18"/>
              </w:rPr>
              <w:t>697.672</w:t>
            </w:r>
          </w:p>
        </w:tc>
        <w:tc>
          <w:tcPr>
            <w:tcW w:w="1170" w:type="dxa"/>
            <w:vAlign w:val="center"/>
          </w:tcPr>
          <w:p w14:paraId="763E228D" w14:textId="49F53FC9" w:rsidR="00DD20EA" w:rsidRPr="00343AC7" w:rsidRDefault="00492096" w:rsidP="005C69F5">
            <w:pPr>
              <w:spacing w:after="0"/>
              <w:jc w:val="center"/>
              <w:rPr>
                <w:rFonts w:ascii="Arial" w:hAnsi="Arial" w:cs="Arial"/>
                <w:sz w:val="18"/>
                <w:szCs w:val="18"/>
              </w:rPr>
            </w:pPr>
            <w:r>
              <w:rPr>
                <w:rFonts w:ascii="Arial" w:hAnsi="Arial" w:cs="Arial"/>
                <w:sz w:val="18"/>
                <w:szCs w:val="18"/>
              </w:rPr>
              <w:t>1.865.264</w:t>
            </w:r>
          </w:p>
        </w:tc>
      </w:tr>
      <w:tr w:rsidR="00DD20EA" w:rsidRPr="00343AC7" w14:paraId="2E7671F3" w14:textId="77777777" w:rsidTr="00592666">
        <w:tc>
          <w:tcPr>
            <w:tcW w:w="5305" w:type="dxa"/>
          </w:tcPr>
          <w:p w14:paraId="479F7789" w14:textId="77777777" w:rsidR="00DD20EA" w:rsidRPr="00343AC7" w:rsidRDefault="00DD20EA" w:rsidP="00641662">
            <w:pPr>
              <w:spacing w:after="0"/>
              <w:rPr>
                <w:rFonts w:ascii="Arial" w:hAnsi="Arial" w:cs="Arial"/>
                <w:sz w:val="18"/>
                <w:szCs w:val="18"/>
              </w:rPr>
            </w:pPr>
            <w:r w:rsidRPr="00772B87">
              <w:rPr>
                <w:rFonts w:ascii="Arial" w:hAnsi="Arial" w:cs="Arial"/>
                <w:sz w:val="18"/>
                <w:szCs w:val="18"/>
              </w:rPr>
              <w:t>TOTAL BENEFICIOS DIRECTOS (c/inflación 3%anual)</w:t>
            </w:r>
            <w:r>
              <w:rPr>
                <w:rFonts w:ascii="Arial" w:hAnsi="Arial" w:cs="Arial"/>
                <w:sz w:val="18"/>
                <w:szCs w:val="18"/>
              </w:rPr>
              <w:t xml:space="preserve"> </w:t>
            </w:r>
          </w:p>
        </w:tc>
        <w:tc>
          <w:tcPr>
            <w:tcW w:w="1080" w:type="dxa"/>
            <w:vAlign w:val="center"/>
          </w:tcPr>
          <w:p w14:paraId="4BB99F4E" w14:textId="609CCE98" w:rsidR="00DD20EA" w:rsidRPr="00DD20EA" w:rsidRDefault="000B0CBF" w:rsidP="005C69F5">
            <w:pPr>
              <w:spacing w:after="0"/>
              <w:jc w:val="center"/>
              <w:rPr>
                <w:rFonts w:ascii="Arial" w:hAnsi="Arial" w:cs="Arial"/>
                <w:sz w:val="18"/>
                <w:szCs w:val="18"/>
              </w:rPr>
            </w:pPr>
            <w:r>
              <w:rPr>
                <w:rFonts w:ascii="Arial" w:hAnsi="Arial" w:cs="Arial"/>
                <w:sz w:val="18"/>
                <w:szCs w:val="18"/>
              </w:rPr>
              <w:t>1.305.484</w:t>
            </w:r>
          </w:p>
        </w:tc>
        <w:tc>
          <w:tcPr>
            <w:tcW w:w="1170" w:type="dxa"/>
            <w:vAlign w:val="center"/>
          </w:tcPr>
          <w:p w14:paraId="2B2159B1" w14:textId="7AAE8F7B" w:rsidR="00DD20EA" w:rsidRPr="00343AC7" w:rsidRDefault="007C1514" w:rsidP="005C69F5">
            <w:pPr>
              <w:spacing w:after="0"/>
              <w:jc w:val="center"/>
              <w:rPr>
                <w:rFonts w:ascii="Arial" w:hAnsi="Arial" w:cs="Arial"/>
                <w:sz w:val="18"/>
                <w:szCs w:val="18"/>
              </w:rPr>
            </w:pPr>
            <w:r>
              <w:rPr>
                <w:rFonts w:ascii="Arial" w:hAnsi="Arial" w:cs="Arial"/>
                <w:sz w:val="18"/>
                <w:szCs w:val="18"/>
              </w:rPr>
              <w:t>3.5</w:t>
            </w:r>
            <w:r w:rsidR="00803AAB">
              <w:rPr>
                <w:rFonts w:ascii="Arial" w:hAnsi="Arial" w:cs="Arial"/>
                <w:sz w:val="18"/>
                <w:szCs w:val="18"/>
              </w:rPr>
              <w:t>94.992</w:t>
            </w:r>
          </w:p>
        </w:tc>
      </w:tr>
    </w:tbl>
    <w:p w14:paraId="51850039" w14:textId="77777777" w:rsidR="003A6AB4" w:rsidRPr="00343AC7" w:rsidRDefault="003A6AB4" w:rsidP="003A542A">
      <w:pPr>
        <w:rPr>
          <w:rFonts w:ascii="Arial" w:hAnsi="Arial" w:cs="Arial"/>
          <w:sz w:val="18"/>
          <w:szCs w:val="18"/>
        </w:rPr>
      </w:pPr>
    </w:p>
    <w:p w14:paraId="5185003A" w14:textId="1C5F442B" w:rsidR="00192938" w:rsidRDefault="00192938" w:rsidP="00192938">
      <w:pPr>
        <w:pStyle w:val="Caption"/>
        <w:keepNext/>
        <w:rPr>
          <w:rFonts w:ascii="Arial" w:hAnsi="Arial" w:cs="Arial"/>
          <w:sz w:val="18"/>
          <w:szCs w:val="18"/>
        </w:rPr>
      </w:pPr>
      <w:r w:rsidRPr="00343AC7">
        <w:rPr>
          <w:rFonts w:ascii="Arial" w:hAnsi="Arial" w:cs="Arial"/>
          <w:sz w:val="18"/>
          <w:szCs w:val="18"/>
        </w:rPr>
        <w:t xml:space="preserve">Tabla </w:t>
      </w:r>
      <w:r w:rsidR="00772B87">
        <w:rPr>
          <w:rFonts w:ascii="Arial" w:hAnsi="Arial" w:cs="Arial"/>
          <w:sz w:val="18"/>
          <w:szCs w:val="18"/>
        </w:rPr>
        <w:t>5</w:t>
      </w:r>
      <w:r w:rsidR="005C69F5">
        <w:rPr>
          <w:rFonts w:ascii="Arial" w:hAnsi="Arial" w:cs="Arial"/>
          <w:sz w:val="18"/>
          <w:szCs w:val="18"/>
        </w:rPr>
        <w:t>.</w:t>
      </w:r>
      <w:r w:rsidRPr="00343AC7">
        <w:rPr>
          <w:rFonts w:ascii="Arial" w:hAnsi="Arial" w:cs="Arial"/>
          <w:sz w:val="18"/>
          <w:szCs w:val="18"/>
        </w:rPr>
        <w:t xml:space="preserve"> Escenario</w:t>
      </w:r>
      <w:r w:rsidR="005C69F5">
        <w:rPr>
          <w:rFonts w:ascii="Arial" w:hAnsi="Arial" w:cs="Arial"/>
          <w:sz w:val="18"/>
          <w:szCs w:val="18"/>
        </w:rPr>
        <w:t xml:space="preserve"> 3:</w:t>
      </w:r>
      <w:r w:rsidRPr="00343AC7">
        <w:rPr>
          <w:rFonts w:ascii="Arial" w:hAnsi="Arial" w:cs="Arial"/>
          <w:sz w:val="18"/>
          <w:szCs w:val="18"/>
        </w:rPr>
        <w:t xml:space="preserve"> Cálculo de beneficios del Programa sobre la base de los ingresos incrementales de un aumento de </w:t>
      </w:r>
      <w:r w:rsidR="00C3050D" w:rsidRPr="00343AC7">
        <w:rPr>
          <w:rFonts w:ascii="Arial" w:hAnsi="Arial" w:cs="Arial"/>
          <w:sz w:val="18"/>
          <w:szCs w:val="18"/>
        </w:rPr>
        <w:t>10</w:t>
      </w:r>
      <w:r w:rsidRPr="00343AC7">
        <w:rPr>
          <w:rFonts w:ascii="Arial" w:hAnsi="Arial" w:cs="Arial"/>
          <w:sz w:val="18"/>
          <w:szCs w:val="18"/>
        </w:rPr>
        <w:t xml:space="preserve">% en la cantidad de egresados de la educación secundaria que ingresa a la educación terciaria </w:t>
      </w:r>
    </w:p>
    <w:tbl>
      <w:tblPr>
        <w:tblStyle w:val="TableGrid"/>
        <w:tblW w:w="7375" w:type="dxa"/>
        <w:tblLook w:val="04A0" w:firstRow="1" w:lastRow="0" w:firstColumn="1" w:lastColumn="0" w:noHBand="0" w:noVBand="1"/>
      </w:tblPr>
      <w:tblGrid>
        <w:gridCol w:w="5278"/>
        <w:gridCol w:w="1017"/>
        <w:gridCol w:w="1080"/>
      </w:tblGrid>
      <w:tr w:rsidR="00C21798" w:rsidRPr="00343AC7" w14:paraId="5F7FDE67" w14:textId="77777777" w:rsidTr="00CA7A38">
        <w:tc>
          <w:tcPr>
            <w:tcW w:w="5278" w:type="dxa"/>
          </w:tcPr>
          <w:p w14:paraId="0D07B0E4" w14:textId="77777777" w:rsidR="00C21798" w:rsidRPr="0068454F" w:rsidRDefault="00C21798" w:rsidP="00641662">
            <w:pPr>
              <w:pStyle w:val="Caption"/>
              <w:keepNext/>
              <w:rPr>
                <w:rFonts w:ascii="Arial" w:hAnsi="Arial" w:cs="Arial"/>
                <w:b w:val="0"/>
                <w:bCs w:val="0"/>
                <w:sz w:val="18"/>
                <w:szCs w:val="18"/>
              </w:rPr>
            </w:pPr>
          </w:p>
        </w:tc>
        <w:tc>
          <w:tcPr>
            <w:tcW w:w="1017" w:type="dxa"/>
          </w:tcPr>
          <w:p w14:paraId="7B19E441" w14:textId="15C361F7" w:rsidR="00C21798" w:rsidRPr="00C21798" w:rsidRDefault="00C21798" w:rsidP="00641662">
            <w:pPr>
              <w:spacing w:after="0"/>
              <w:rPr>
                <w:rFonts w:ascii="Arial" w:hAnsi="Arial" w:cs="Arial"/>
                <w:sz w:val="18"/>
                <w:szCs w:val="18"/>
              </w:rPr>
            </w:pPr>
            <w:r w:rsidRPr="00C21798">
              <w:rPr>
                <w:rFonts w:ascii="Arial" w:hAnsi="Arial" w:cs="Arial"/>
                <w:sz w:val="18"/>
                <w:szCs w:val="18"/>
              </w:rPr>
              <w:t>202</w:t>
            </w:r>
            <w:r>
              <w:rPr>
                <w:rFonts w:ascii="Arial" w:hAnsi="Arial" w:cs="Arial"/>
                <w:sz w:val="18"/>
                <w:szCs w:val="18"/>
              </w:rPr>
              <w:t>4</w:t>
            </w:r>
          </w:p>
        </w:tc>
        <w:tc>
          <w:tcPr>
            <w:tcW w:w="1080" w:type="dxa"/>
          </w:tcPr>
          <w:p w14:paraId="2B56921E" w14:textId="0391F303" w:rsidR="00C21798" w:rsidRPr="00343AC7" w:rsidRDefault="00C21798" w:rsidP="00641662">
            <w:pPr>
              <w:spacing w:after="0"/>
              <w:rPr>
                <w:rFonts w:ascii="Arial" w:hAnsi="Arial" w:cs="Arial"/>
                <w:sz w:val="18"/>
                <w:szCs w:val="18"/>
              </w:rPr>
            </w:pPr>
            <w:r>
              <w:rPr>
                <w:rFonts w:ascii="Arial" w:hAnsi="Arial" w:cs="Arial"/>
                <w:sz w:val="18"/>
                <w:szCs w:val="18"/>
              </w:rPr>
              <w:t>2025</w:t>
            </w:r>
          </w:p>
        </w:tc>
      </w:tr>
      <w:tr w:rsidR="00C21798" w:rsidRPr="00343AC7" w14:paraId="27DD1666" w14:textId="77777777" w:rsidTr="00CA7A38">
        <w:tc>
          <w:tcPr>
            <w:tcW w:w="5278" w:type="dxa"/>
          </w:tcPr>
          <w:p w14:paraId="47840762" w14:textId="77777777" w:rsidR="00C21798" w:rsidRPr="0068454F" w:rsidRDefault="00C21798" w:rsidP="00641662">
            <w:pPr>
              <w:spacing w:after="0"/>
              <w:rPr>
                <w:rFonts w:ascii="Arial" w:hAnsi="Arial" w:cs="Arial"/>
                <w:sz w:val="18"/>
                <w:szCs w:val="18"/>
              </w:rPr>
            </w:pPr>
            <w:r w:rsidRPr="0068454F">
              <w:rPr>
                <w:rFonts w:ascii="Arial" w:hAnsi="Arial" w:cs="Arial"/>
                <w:sz w:val="18"/>
                <w:szCs w:val="18"/>
              </w:rPr>
              <w:t>Número de beneficiarios directos con educación superior incompleta (adicionales a la situación actual)</w:t>
            </w:r>
          </w:p>
        </w:tc>
        <w:tc>
          <w:tcPr>
            <w:tcW w:w="1017" w:type="dxa"/>
          </w:tcPr>
          <w:p w14:paraId="2F1C1F02" w14:textId="11246900" w:rsidR="00C21798" w:rsidRPr="00C21798" w:rsidRDefault="006F331D" w:rsidP="00641662">
            <w:pPr>
              <w:spacing w:after="0"/>
              <w:rPr>
                <w:rFonts w:ascii="Arial" w:hAnsi="Arial" w:cs="Arial"/>
                <w:sz w:val="18"/>
                <w:szCs w:val="18"/>
              </w:rPr>
            </w:pPr>
            <w:r>
              <w:rPr>
                <w:rFonts w:ascii="Arial" w:hAnsi="Arial" w:cs="Arial"/>
                <w:sz w:val="18"/>
                <w:szCs w:val="18"/>
              </w:rPr>
              <w:t>338</w:t>
            </w:r>
          </w:p>
        </w:tc>
        <w:tc>
          <w:tcPr>
            <w:tcW w:w="1080" w:type="dxa"/>
          </w:tcPr>
          <w:p w14:paraId="64DE527C" w14:textId="3CDCCD3D" w:rsidR="00C21798" w:rsidRPr="00343AC7" w:rsidRDefault="006F331D" w:rsidP="00641662">
            <w:pPr>
              <w:spacing w:after="0"/>
              <w:rPr>
                <w:rFonts w:ascii="Arial" w:hAnsi="Arial" w:cs="Arial"/>
                <w:sz w:val="18"/>
                <w:szCs w:val="18"/>
              </w:rPr>
            </w:pPr>
            <w:r>
              <w:rPr>
                <w:rFonts w:ascii="Arial" w:hAnsi="Arial" w:cs="Arial"/>
                <w:sz w:val="18"/>
                <w:szCs w:val="18"/>
              </w:rPr>
              <w:t>903</w:t>
            </w:r>
          </w:p>
        </w:tc>
      </w:tr>
      <w:tr w:rsidR="00C21798" w:rsidRPr="00343AC7" w14:paraId="756688FB" w14:textId="77777777" w:rsidTr="00CA7A38">
        <w:tc>
          <w:tcPr>
            <w:tcW w:w="5278" w:type="dxa"/>
          </w:tcPr>
          <w:p w14:paraId="67B114FA" w14:textId="77777777" w:rsidR="00C21798" w:rsidRPr="00343AC7" w:rsidRDefault="00C21798" w:rsidP="00641662">
            <w:pPr>
              <w:spacing w:after="0"/>
              <w:rPr>
                <w:rFonts w:ascii="Arial" w:hAnsi="Arial" w:cs="Arial"/>
                <w:sz w:val="18"/>
                <w:szCs w:val="18"/>
              </w:rPr>
            </w:pPr>
            <w:r w:rsidRPr="001E4D84">
              <w:rPr>
                <w:rFonts w:ascii="Arial" w:hAnsi="Arial" w:cs="Arial"/>
                <w:sz w:val="18"/>
                <w:szCs w:val="18"/>
              </w:rPr>
              <w:t xml:space="preserve">Beneficios directos totales </w:t>
            </w:r>
            <w:r>
              <w:rPr>
                <w:rFonts w:ascii="Arial" w:hAnsi="Arial" w:cs="Arial"/>
                <w:sz w:val="18"/>
                <w:szCs w:val="18"/>
              </w:rPr>
              <w:t xml:space="preserve">por aumento en beneficiaros con </w:t>
            </w:r>
            <w:r w:rsidRPr="001E4D84">
              <w:rPr>
                <w:rFonts w:ascii="Arial" w:hAnsi="Arial" w:cs="Arial"/>
                <w:sz w:val="18"/>
                <w:szCs w:val="18"/>
              </w:rPr>
              <w:t>ed</w:t>
            </w:r>
            <w:r>
              <w:rPr>
                <w:rFonts w:ascii="Arial" w:hAnsi="Arial" w:cs="Arial"/>
                <w:sz w:val="18"/>
                <w:szCs w:val="18"/>
              </w:rPr>
              <w:t>ucación s</w:t>
            </w:r>
            <w:r w:rsidRPr="001E4D84">
              <w:rPr>
                <w:rFonts w:ascii="Arial" w:hAnsi="Arial" w:cs="Arial"/>
                <w:sz w:val="18"/>
                <w:szCs w:val="18"/>
              </w:rPr>
              <w:t>up</w:t>
            </w:r>
            <w:r>
              <w:rPr>
                <w:rFonts w:ascii="Arial" w:hAnsi="Arial" w:cs="Arial"/>
                <w:sz w:val="18"/>
                <w:szCs w:val="18"/>
              </w:rPr>
              <w:t>erior</w:t>
            </w:r>
            <w:r w:rsidRPr="001E4D84">
              <w:rPr>
                <w:rFonts w:ascii="Arial" w:hAnsi="Arial" w:cs="Arial"/>
                <w:sz w:val="18"/>
                <w:szCs w:val="18"/>
              </w:rPr>
              <w:t xml:space="preserve"> incompleta</w:t>
            </w:r>
          </w:p>
        </w:tc>
        <w:tc>
          <w:tcPr>
            <w:tcW w:w="1017" w:type="dxa"/>
          </w:tcPr>
          <w:p w14:paraId="0F7EB76E" w14:textId="7DBA6563" w:rsidR="00C21798" w:rsidRPr="00C21798" w:rsidRDefault="006F331D" w:rsidP="00641662">
            <w:pPr>
              <w:spacing w:after="0"/>
              <w:rPr>
                <w:rFonts w:ascii="Arial" w:hAnsi="Arial" w:cs="Arial"/>
                <w:sz w:val="18"/>
                <w:szCs w:val="18"/>
              </w:rPr>
            </w:pPr>
            <w:r>
              <w:rPr>
                <w:rFonts w:ascii="Arial" w:hAnsi="Arial" w:cs="Arial"/>
                <w:sz w:val="18"/>
                <w:szCs w:val="18"/>
              </w:rPr>
              <w:t>924.468</w:t>
            </w:r>
          </w:p>
        </w:tc>
        <w:tc>
          <w:tcPr>
            <w:tcW w:w="1080" w:type="dxa"/>
          </w:tcPr>
          <w:p w14:paraId="0B4FAD10" w14:textId="72D08B10" w:rsidR="00C21798" w:rsidRPr="00343AC7" w:rsidRDefault="00E10F01" w:rsidP="00641662">
            <w:pPr>
              <w:spacing w:after="0"/>
              <w:rPr>
                <w:rFonts w:ascii="Arial" w:hAnsi="Arial" w:cs="Arial"/>
                <w:sz w:val="18"/>
                <w:szCs w:val="18"/>
              </w:rPr>
            </w:pPr>
            <w:r>
              <w:rPr>
                <w:rFonts w:ascii="Arial" w:hAnsi="Arial" w:cs="Arial"/>
                <w:sz w:val="18"/>
                <w:szCs w:val="18"/>
              </w:rPr>
              <w:t>2.471.615</w:t>
            </w:r>
          </w:p>
        </w:tc>
      </w:tr>
      <w:tr w:rsidR="00C21798" w:rsidRPr="00343AC7" w14:paraId="39C916FF" w14:textId="77777777" w:rsidTr="00CA7A38">
        <w:tc>
          <w:tcPr>
            <w:tcW w:w="5278" w:type="dxa"/>
          </w:tcPr>
          <w:p w14:paraId="79A206E2" w14:textId="77777777" w:rsidR="00C21798" w:rsidRPr="00343AC7" w:rsidRDefault="00C21798" w:rsidP="00641662">
            <w:pPr>
              <w:spacing w:after="0"/>
              <w:rPr>
                <w:rFonts w:ascii="Arial" w:hAnsi="Arial" w:cs="Arial"/>
                <w:sz w:val="18"/>
                <w:szCs w:val="18"/>
              </w:rPr>
            </w:pPr>
            <w:r w:rsidRPr="0068454F">
              <w:rPr>
                <w:rFonts w:ascii="Arial" w:hAnsi="Arial" w:cs="Arial"/>
                <w:sz w:val="18"/>
                <w:szCs w:val="18"/>
              </w:rPr>
              <w:t>Número de beneficiarios directos con educación superior completa (adicionales a la situación actual)</w:t>
            </w:r>
          </w:p>
        </w:tc>
        <w:tc>
          <w:tcPr>
            <w:tcW w:w="1017" w:type="dxa"/>
          </w:tcPr>
          <w:p w14:paraId="57EEF620" w14:textId="4573C7A5" w:rsidR="00C21798" w:rsidRPr="00343AC7" w:rsidRDefault="00404F0D" w:rsidP="00641662">
            <w:pPr>
              <w:spacing w:after="0"/>
              <w:rPr>
                <w:rFonts w:ascii="Arial" w:hAnsi="Arial" w:cs="Arial"/>
                <w:sz w:val="18"/>
                <w:szCs w:val="18"/>
              </w:rPr>
            </w:pPr>
            <w:r>
              <w:rPr>
                <w:rFonts w:ascii="Arial" w:hAnsi="Arial" w:cs="Arial"/>
                <w:sz w:val="18"/>
                <w:szCs w:val="18"/>
              </w:rPr>
              <w:t>207</w:t>
            </w:r>
          </w:p>
        </w:tc>
        <w:tc>
          <w:tcPr>
            <w:tcW w:w="1080" w:type="dxa"/>
          </w:tcPr>
          <w:p w14:paraId="0565045E" w14:textId="05BECEE6" w:rsidR="00C21798" w:rsidRPr="00343AC7" w:rsidRDefault="00B2532B" w:rsidP="00641662">
            <w:pPr>
              <w:spacing w:after="0"/>
              <w:rPr>
                <w:rFonts w:ascii="Arial" w:hAnsi="Arial" w:cs="Arial"/>
                <w:sz w:val="18"/>
                <w:szCs w:val="18"/>
              </w:rPr>
            </w:pPr>
            <w:r>
              <w:rPr>
                <w:rFonts w:ascii="Arial" w:hAnsi="Arial" w:cs="Arial"/>
                <w:sz w:val="18"/>
                <w:szCs w:val="18"/>
              </w:rPr>
              <w:t>553</w:t>
            </w:r>
          </w:p>
        </w:tc>
      </w:tr>
      <w:tr w:rsidR="00C21798" w:rsidRPr="00343AC7" w14:paraId="34CDB423" w14:textId="77777777" w:rsidTr="00CA7A38">
        <w:tc>
          <w:tcPr>
            <w:tcW w:w="5278" w:type="dxa"/>
          </w:tcPr>
          <w:p w14:paraId="7284075B" w14:textId="77777777" w:rsidR="00C21798" w:rsidRPr="00343AC7" w:rsidRDefault="00C21798" w:rsidP="00641662">
            <w:pPr>
              <w:spacing w:after="0"/>
              <w:rPr>
                <w:rFonts w:ascii="Arial" w:hAnsi="Arial" w:cs="Arial"/>
                <w:sz w:val="18"/>
                <w:szCs w:val="18"/>
              </w:rPr>
            </w:pPr>
            <w:r w:rsidRPr="001E4D84">
              <w:rPr>
                <w:rFonts w:ascii="Arial" w:hAnsi="Arial" w:cs="Arial"/>
                <w:sz w:val="18"/>
                <w:szCs w:val="18"/>
              </w:rPr>
              <w:lastRenderedPageBreak/>
              <w:t xml:space="preserve">Beneficios directos totales </w:t>
            </w:r>
            <w:r>
              <w:rPr>
                <w:rFonts w:ascii="Arial" w:hAnsi="Arial" w:cs="Arial"/>
                <w:sz w:val="18"/>
                <w:szCs w:val="18"/>
              </w:rPr>
              <w:t xml:space="preserve">por aumento en beneficiaros con </w:t>
            </w:r>
            <w:r w:rsidRPr="001E4D84">
              <w:rPr>
                <w:rFonts w:ascii="Arial" w:hAnsi="Arial" w:cs="Arial"/>
                <w:sz w:val="18"/>
                <w:szCs w:val="18"/>
              </w:rPr>
              <w:t>ed</w:t>
            </w:r>
            <w:r>
              <w:rPr>
                <w:rFonts w:ascii="Arial" w:hAnsi="Arial" w:cs="Arial"/>
                <w:sz w:val="18"/>
                <w:szCs w:val="18"/>
              </w:rPr>
              <w:t>ucación s</w:t>
            </w:r>
            <w:r w:rsidRPr="001E4D84">
              <w:rPr>
                <w:rFonts w:ascii="Arial" w:hAnsi="Arial" w:cs="Arial"/>
                <w:sz w:val="18"/>
                <w:szCs w:val="18"/>
              </w:rPr>
              <w:t>up</w:t>
            </w:r>
            <w:r>
              <w:rPr>
                <w:rFonts w:ascii="Arial" w:hAnsi="Arial" w:cs="Arial"/>
                <w:sz w:val="18"/>
                <w:szCs w:val="18"/>
              </w:rPr>
              <w:t>erior</w:t>
            </w:r>
            <w:r w:rsidRPr="001E4D84">
              <w:rPr>
                <w:rFonts w:ascii="Arial" w:hAnsi="Arial" w:cs="Arial"/>
                <w:sz w:val="18"/>
                <w:szCs w:val="18"/>
              </w:rPr>
              <w:t xml:space="preserve"> completa</w:t>
            </w:r>
          </w:p>
        </w:tc>
        <w:tc>
          <w:tcPr>
            <w:tcW w:w="1017" w:type="dxa"/>
          </w:tcPr>
          <w:p w14:paraId="4E1B1C47" w14:textId="04140BC0" w:rsidR="00C21798" w:rsidRPr="00343AC7" w:rsidRDefault="00B2532B" w:rsidP="00641662">
            <w:pPr>
              <w:spacing w:after="0"/>
              <w:rPr>
                <w:rFonts w:ascii="Arial" w:hAnsi="Arial" w:cs="Arial"/>
                <w:sz w:val="18"/>
                <w:szCs w:val="18"/>
              </w:rPr>
            </w:pPr>
            <w:r>
              <w:rPr>
                <w:rFonts w:ascii="Arial" w:hAnsi="Arial" w:cs="Arial"/>
                <w:sz w:val="18"/>
                <w:szCs w:val="18"/>
              </w:rPr>
              <w:t>1.395.344</w:t>
            </w:r>
          </w:p>
        </w:tc>
        <w:tc>
          <w:tcPr>
            <w:tcW w:w="1080" w:type="dxa"/>
          </w:tcPr>
          <w:p w14:paraId="0118B121" w14:textId="10136F16" w:rsidR="00C21798" w:rsidRPr="00343AC7" w:rsidRDefault="0061088E" w:rsidP="00641662">
            <w:pPr>
              <w:spacing w:after="0"/>
              <w:rPr>
                <w:rFonts w:ascii="Arial" w:hAnsi="Arial" w:cs="Arial"/>
                <w:sz w:val="18"/>
                <w:szCs w:val="18"/>
              </w:rPr>
            </w:pPr>
            <w:r>
              <w:rPr>
                <w:rFonts w:ascii="Arial" w:hAnsi="Arial" w:cs="Arial"/>
                <w:sz w:val="18"/>
                <w:szCs w:val="18"/>
              </w:rPr>
              <w:t>3.730.529</w:t>
            </w:r>
          </w:p>
        </w:tc>
      </w:tr>
      <w:tr w:rsidR="00C21798" w:rsidRPr="00343AC7" w14:paraId="4374DBB6" w14:textId="77777777" w:rsidTr="00CA7A38">
        <w:tc>
          <w:tcPr>
            <w:tcW w:w="5278" w:type="dxa"/>
          </w:tcPr>
          <w:p w14:paraId="530A98E1" w14:textId="77777777" w:rsidR="00C21798" w:rsidRPr="00343AC7" w:rsidRDefault="00C21798" w:rsidP="00641662">
            <w:pPr>
              <w:spacing w:after="0"/>
              <w:rPr>
                <w:rFonts w:ascii="Arial" w:hAnsi="Arial" w:cs="Arial"/>
                <w:sz w:val="18"/>
                <w:szCs w:val="18"/>
              </w:rPr>
            </w:pPr>
            <w:r w:rsidRPr="00772B87">
              <w:rPr>
                <w:rFonts w:ascii="Arial" w:hAnsi="Arial" w:cs="Arial"/>
                <w:sz w:val="18"/>
                <w:szCs w:val="18"/>
              </w:rPr>
              <w:t>TOTAL BENEFICIOS DIRECTOS (c/inflación 3%anual)</w:t>
            </w:r>
            <w:r>
              <w:rPr>
                <w:rFonts w:ascii="Arial" w:hAnsi="Arial" w:cs="Arial"/>
                <w:sz w:val="18"/>
                <w:szCs w:val="18"/>
              </w:rPr>
              <w:t xml:space="preserve"> </w:t>
            </w:r>
          </w:p>
        </w:tc>
        <w:tc>
          <w:tcPr>
            <w:tcW w:w="1017" w:type="dxa"/>
          </w:tcPr>
          <w:p w14:paraId="5897CF92" w14:textId="54996A85" w:rsidR="00C21798" w:rsidRPr="00343AC7" w:rsidRDefault="00117364" w:rsidP="00641662">
            <w:pPr>
              <w:spacing w:after="0"/>
              <w:rPr>
                <w:rFonts w:ascii="Arial" w:hAnsi="Arial" w:cs="Arial"/>
                <w:sz w:val="18"/>
                <w:szCs w:val="18"/>
              </w:rPr>
            </w:pPr>
            <w:r>
              <w:rPr>
                <w:rFonts w:ascii="Arial" w:hAnsi="Arial" w:cs="Arial"/>
                <w:sz w:val="18"/>
                <w:szCs w:val="18"/>
              </w:rPr>
              <w:t>2.610.969</w:t>
            </w:r>
          </w:p>
        </w:tc>
        <w:tc>
          <w:tcPr>
            <w:tcW w:w="1080" w:type="dxa"/>
          </w:tcPr>
          <w:p w14:paraId="5302FA17" w14:textId="19EBAC00" w:rsidR="00C21798" w:rsidRPr="00343AC7" w:rsidRDefault="008A6BC2" w:rsidP="00641662">
            <w:pPr>
              <w:spacing w:after="0"/>
              <w:rPr>
                <w:rFonts w:ascii="Arial" w:hAnsi="Arial" w:cs="Arial"/>
                <w:sz w:val="18"/>
                <w:szCs w:val="18"/>
              </w:rPr>
            </w:pPr>
            <w:r>
              <w:rPr>
                <w:rFonts w:ascii="Arial" w:hAnsi="Arial" w:cs="Arial"/>
                <w:sz w:val="18"/>
                <w:szCs w:val="18"/>
              </w:rPr>
              <w:t>7.189.984</w:t>
            </w:r>
          </w:p>
        </w:tc>
      </w:tr>
    </w:tbl>
    <w:p w14:paraId="5185006D" w14:textId="79D1724D" w:rsidR="00192938" w:rsidRPr="007F4A23" w:rsidRDefault="00C752A8" w:rsidP="00454CC4">
      <w:pPr>
        <w:spacing w:before="240"/>
        <w:ind w:right="-46"/>
        <w:rPr>
          <w:rFonts w:ascii="Arial" w:hAnsi="Arial" w:cs="Arial"/>
          <w:sz w:val="22"/>
          <w:szCs w:val="22"/>
        </w:rPr>
      </w:pPr>
      <w:r>
        <w:rPr>
          <w:rFonts w:ascii="Arial" w:hAnsi="Arial" w:cs="Arial"/>
          <w:sz w:val="22"/>
          <w:szCs w:val="22"/>
        </w:rPr>
        <w:t xml:space="preserve">Por su parte, los beneficios indirectos generados por una reducción en la repitencia, como se describió en la sección correspondiente, </w:t>
      </w:r>
      <w:r w:rsidR="00662D46" w:rsidRPr="007F4A23">
        <w:rPr>
          <w:rFonts w:ascii="Arial" w:hAnsi="Arial" w:cs="Arial"/>
          <w:sz w:val="22"/>
          <w:szCs w:val="22"/>
        </w:rPr>
        <w:t>se despliegan en la siguiente tabla:</w:t>
      </w:r>
    </w:p>
    <w:p w14:paraId="5185006E" w14:textId="148DF86E" w:rsidR="00662D46" w:rsidRPr="00343AC7" w:rsidRDefault="00662D46" w:rsidP="00662D46">
      <w:pPr>
        <w:pStyle w:val="Caption"/>
        <w:keepNext/>
        <w:rPr>
          <w:rFonts w:ascii="Arial" w:hAnsi="Arial" w:cs="Arial"/>
          <w:sz w:val="18"/>
          <w:szCs w:val="18"/>
        </w:rPr>
      </w:pPr>
      <w:r w:rsidRPr="00343AC7">
        <w:rPr>
          <w:rFonts w:ascii="Arial" w:hAnsi="Arial" w:cs="Arial"/>
          <w:sz w:val="18"/>
          <w:szCs w:val="18"/>
        </w:rPr>
        <w:t xml:space="preserve">Tabla </w:t>
      </w:r>
      <w:r w:rsidR="00454CC4">
        <w:rPr>
          <w:rFonts w:ascii="Arial" w:hAnsi="Arial" w:cs="Arial"/>
          <w:sz w:val="18"/>
          <w:szCs w:val="18"/>
        </w:rPr>
        <w:t>6</w:t>
      </w:r>
      <w:r w:rsidRPr="00343AC7">
        <w:rPr>
          <w:rFonts w:ascii="Arial" w:hAnsi="Arial" w:cs="Arial"/>
          <w:sz w:val="18"/>
          <w:szCs w:val="18"/>
        </w:rPr>
        <w:t xml:space="preserve">: Estimación de beneficios indirectos del Programa producto de una reducción de </w:t>
      </w:r>
      <w:r w:rsidR="008D2C76">
        <w:rPr>
          <w:rFonts w:ascii="Arial" w:hAnsi="Arial" w:cs="Arial"/>
          <w:sz w:val="18"/>
          <w:szCs w:val="18"/>
        </w:rPr>
        <w:t>1</w:t>
      </w:r>
      <w:r w:rsidRPr="00343AC7">
        <w:rPr>
          <w:rFonts w:ascii="Arial" w:hAnsi="Arial" w:cs="Arial"/>
          <w:sz w:val="18"/>
          <w:szCs w:val="18"/>
        </w:rPr>
        <w:t>% en la tasa de repeticiones</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49"/>
        <w:gridCol w:w="1499"/>
        <w:gridCol w:w="1607"/>
      </w:tblGrid>
      <w:tr w:rsidR="00782C30" w:rsidRPr="00343AC7" w14:paraId="51850074" w14:textId="77777777" w:rsidTr="00782C30">
        <w:trPr>
          <w:trHeight w:val="300"/>
        </w:trPr>
        <w:tc>
          <w:tcPr>
            <w:tcW w:w="4495" w:type="dxa"/>
            <w:shd w:val="clear" w:color="auto" w:fill="auto"/>
            <w:noWrap/>
            <w:vAlign w:val="center"/>
          </w:tcPr>
          <w:p w14:paraId="5185006F" w14:textId="1FC9E67D" w:rsidR="00782C30" w:rsidRPr="00343AC7" w:rsidRDefault="00782C30" w:rsidP="006B6BD4">
            <w:pPr>
              <w:spacing w:after="0"/>
              <w:jc w:val="left"/>
              <w:rPr>
                <w:rFonts w:ascii="Arial" w:hAnsi="Arial" w:cs="Arial"/>
                <w:sz w:val="18"/>
                <w:szCs w:val="18"/>
              </w:rPr>
            </w:pPr>
          </w:p>
        </w:tc>
        <w:tc>
          <w:tcPr>
            <w:tcW w:w="1260" w:type="dxa"/>
            <w:shd w:val="clear" w:color="auto" w:fill="auto"/>
            <w:noWrap/>
            <w:vAlign w:val="center"/>
          </w:tcPr>
          <w:p w14:paraId="51850071" w14:textId="7DFAC7CB"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2020</w:t>
            </w:r>
          </w:p>
        </w:tc>
        <w:tc>
          <w:tcPr>
            <w:tcW w:w="1350" w:type="dxa"/>
            <w:shd w:val="clear" w:color="auto" w:fill="auto"/>
            <w:noWrap/>
            <w:vAlign w:val="center"/>
          </w:tcPr>
          <w:p w14:paraId="51850072" w14:textId="1EC31157"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2021</w:t>
            </w:r>
            <w:r w:rsidR="00727DA9">
              <w:rPr>
                <w:rFonts w:ascii="Arial" w:hAnsi="Arial" w:cs="Arial"/>
                <w:sz w:val="18"/>
                <w:szCs w:val="18"/>
              </w:rPr>
              <w:t xml:space="preserve"> </w:t>
            </w:r>
          </w:p>
        </w:tc>
      </w:tr>
      <w:tr w:rsidR="00782C30" w:rsidRPr="00343AC7" w14:paraId="5185007A" w14:textId="77777777" w:rsidTr="00782C30">
        <w:trPr>
          <w:trHeight w:val="300"/>
        </w:trPr>
        <w:tc>
          <w:tcPr>
            <w:tcW w:w="4495" w:type="dxa"/>
            <w:shd w:val="clear" w:color="auto" w:fill="auto"/>
            <w:noWrap/>
            <w:vAlign w:val="center"/>
            <w:hideMark/>
          </w:tcPr>
          <w:p w14:paraId="51850075" w14:textId="69954D78" w:rsidR="00782C30" w:rsidRPr="00343AC7" w:rsidRDefault="00782C30" w:rsidP="006B6BD4">
            <w:pPr>
              <w:spacing w:after="0"/>
              <w:jc w:val="left"/>
              <w:rPr>
                <w:rFonts w:ascii="Arial" w:hAnsi="Arial" w:cs="Arial"/>
                <w:sz w:val="18"/>
                <w:szCs w:val="18"/>
              </w:rPr>
            </w:pPr>
            <w:r>
              <w:rPr>
                <w:rFonts w:ascii="Arial" w:hAnsi="Arial" w:cs="Arial"/>
                <w:sz w:val="18"/>
                <w:szCs w:val="18"/>
              </w:rPr>
              <w:t xml:space="preserve">Matrícula </w:t>
            </w:r>
          </w:p>
        </w:tc>
        <w:tc>
          <w:tcPr>
            <w:tcW w:w="1260" w:type="dxa"/>
            <w:shd w:val="clear" w:color="auto" w:fill="auto"/>
            <w:noWrap/>
            <w:vAlign w:val="center"/>
          </w:tcPr>
          <w:p w14:paraId="51850077" w14:textId="5916FC9A"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105.987</w:t>
            </w:r>
          </w:p>
        </w:tc>
        <w:tc>
          <w:tcPr>
            <w:tcW w:w="1350" w:type="dxa"/>
            <w:shd w:val="clear" w:color="auto" w:fill="auto"/>
            <w:noWrap/>
            <w:vAlign w:val="center"/>
          </w:tcPr>
          <w:p w14:paraId="51850078" w14:textId="60191E76"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177.375</w:t>
            </w:r>
          </w:p>
        </w:tc>
      </w:tr>
      <w:tr w:rsidR="00782C30" w:rsidRPr="00343AC7" w14:paraId="51850080" w14:textId="77777777" w:rsidTr="00782C30">
        <w:trPr>
          <w:trHeight w:val="300"/>
        </w:trPr>
        <w:tc>
          <w:tcPr>
            <w:tcW w:w="4495" w:type="dxa"/>
            <w:shd w:val="clear" w:color="auto" w:fill="auto"/>
            <w:noWrap/>
            <w:vAlign w:val="center"/>
            <w:hideMark/>
          </w:tcPr>
          <w:p w14:paraId="5185007B" w14:textId="46F252AB" w:rsidR="00782C30" w:rsidRPr="00343AC7" w:rsidRDefault="00782C30" w:rsidP="006B6BD4">
            <w:pPr>
              <w:spacing w:after="0"/>
              <w:jc w:val="left"/>
              <w:rPr>
                <w:rFonts w:ascii="Arial" w:hAnsi="Arial" w:cs="Arial"/>
                <w:sz w:val="18"/>
                <w:szCs w:val="18"/>
              </w:rPr>
            </w:pPr>
            <w:r w:rsidRPr="00343AC7">
              <w:rPr>
                <w:rFonts w:ascii="Arial" w:hAnsi="Arial" w:cs="Arial"/>
                <w:sz w:val="18"/>
                <w:szCs w:val="18"/>
              </w:rPr>
              <w:t>Estudiantes Ed. Primaria</w:t>
            </w:r>
            <w:r>
              <w:rPr>
                <w:rFonts w:ascii="Arial" w:hAnsi="Arial" w:cs="Arial"/>
                <w:sz w:val="18"/>
                <w:szCs w:val="18"/>
              </w:rPr>
              <w:t xml:space="preserve"> (67%)</w:t>
            </w:r>
          </w:p>
        </w:tc>
        <w:tc>
          <w:tcPr>
            <w:tcW w:w="1260" w:type="dxa"/>
            <w:shd w:val="clear" w:color="auto" w:fill="auto"/>
            <w:noWrap/>
            <w:vAlign w:val="center"/>
          </w:tcPr>
          <w:p w14:paraId="5185007D" w14:textId="1E667AD4"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71.011</w:t>
            </w:r>
          </w:p>
        </w:tc>
        <w:tc>
          <w:tcPr>
            <w:tcW w:w="1350" w:type="dxa"/>
            <w:shd w:val="clear" w:color="auto" w:fill="auto"/>
            <w:noWrap/>
            <w:vAlign w:val="center"/>
          </w:tcPr>
          <w:p w14:paraId="5185007E" w14:textId="233B6A13"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118.841</w:t>
            </w:r>
          </w:p>
        </w:tc>
      </w:tr>
      <w:tr w:rsidR="00782C30" w:rsidRPr="00343AC7" w14:paraId="51850086" w14:textId="77777777" w:rsidTr="00782C30">
        <w:trPr>
          <w:trHeight w:val="300"/>
        </w:trPr>
        <w:tc>
          <w:tcPr>
            <w:tcW w:w="4495" w:type="dxa"/>
            <w:shd w:val="clear" w:color="auto" w:fill="auto"/>
            <w:noWrap/>
            <w:vAlign w:val="center"/>
            <w:hideMark/>
          </w:tcPr>
          <w:p w14:paraId="51850081" w14:textId="458D5899" w:rsidR="00782C30" w:rsidRPr="00343AC7" w:rsidRDefault="00782C30" w:rsidP="006B6BD4">
            <w:pPr>
              <w:spacing w:after="0"/>
              <w:jc w:val="left"/>
              <w:rPr>
                <w:rFonts w:ascii="Arial" w:hAnsi="Arial" w:cs="Arial"/>
                <w:sz w:val="18"/>
                <w:szCs w:val="18"/>
              </w:rPr>
            </w:pPr>
            <w:r w:rsidRPr="00343AC7">
              <w:rPr>
                <w:rFonts w:ascii="Arial" w:hAnsi="Arial" w:cs="Arial"/>
                <w:sz w:val="18"/>
                <w:szCs w:val="18"/>
              </w:rPr>
              <w:t>Estudiantes Ed. Secundaria</w:t>
            </w:r>
            <w:r>
              <w:rPr>
                <w:rFonts w:ascii="Arial" w:hAnsi="Arial" w:cs="Arial"/>
                <w:sz w:val="18"/>
                <w:szCs w:val="18"/>
              </w:rPr>
              <w:t xml:space="preserve"> (33%)</w:t>
            </w:r>
          </w:p>
        </w:tc>
        <w:tc>
          <w:tcPr>
            <w:tcW w:w="1260" w:type="dxa"/>
            <w:shd w:val="clear" w:color="auto" w:fill="auto"/>
            <w:noWrap/>
            <w:vAlign w:val="center"/>
          </w:tcPr>
          <w:p w14:paraId="51850083" w14:textId="7F48FE49"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34.976</w:t>
            </w:r>
          </w:p>
        </w:tc>
        <w:tc>
          <w:tcPr>
            <w:tcW w:w="1350" w:type="dxa"/>
            <w:shd w:val="clear" w:color="auto" w:fill="auto"/>
            <w:noWrap/>
            <w:vAlign w:val="center"/>
          </w:tcPr>
          <w:p w14:paraId="51850084" w14:textId="1F225429"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58.534</w:t>
            </w:r>
          </w:p>
        </w:tc>
      </w:tr>
      <w:tr w:rsidR="00782C30" w:rsidRPr="00343AC7" w14:paraId="5185008C" w14:textId="77777777" w:rsidTr="00782C30">
        <w:trPr>
          <w:trHeight w:val="300"/>
        </w:trPr>
        <w:tc>
          <w:tcPr>
            <w:tcW w:w="4495" w:type="dxa"/>
            <w:shd w:val="clear" w:color="auto" w:fill="auto"/>
            <w:noWrap/>
            <w:vAlign w:val="center"/>
            <w:hideMark/>
          </w:tcPr>
          <w:p w14:paraId="51850087" w14:textId="2FD7ADBE" w:rsidR="00782C30" w:rsidRPr="00343AC7" w:rsidRDefault="00782C30" w:rsidP="006B6BD4">
            <w:pPr>
              <w:spacing w:after="0"/>
              <w:jc w:val="left"/>
              <w:rPr>
                <w:rFonts w:ascii="Arial" w:hAnsi="Arial" w:cs="Arial"/>
                <w:sz w:val="18"/>
                <w:szCs w:val="18"/>
              </w:rPr>
            </w:pPr>
            <w:r w:rsidRPr="00343AC7">
              <w:rPr>
                <w:rFonts w:ascii="Arial" w:hAnsi="Arial" w:cs="Arial"/>
                <w:sz w:val="18"/>
                <w:szCs w:val="18"/>
              </w:rPr>
              <w:t>Reducción Repetición Básica (</w:t>
            </w:r>
            <w:r>
              <w:rPr>
                <w:rFonts w:ascii="Arial" w:hAnsi="Arial" w:cs="Arial"/>
                <w:sz w:val="18"/>
                <w:szCs w:val="18"/>
              </w:rPr>
              <w:t>1</w:t>
            </w:r>
            <w:r w:rsidRPr="00343AC7">
              <w:rPr>
                <w:rFonts w:ascii="Arial" w:hAnsi="Arial" w:cs="Arial"/>
                <w:sz w:val="18"/>
                <w:szCs w:val="18"/>
              </w:rPr>
              <w:t>%)</w:t>
            </w:r>
          </w:p>
        </w:tc>
        <w:tc>
          <w:tcPr>
            <w:tcW w:w="1260" w:type="dxa"/>
            <w:shd w:val="clear" w:color="auto" w:fill="auto"/>
            <w:noWrap/>
            <w:vAlign w:val="center"/>
          </w:tcPr>
          <w:p w14:paraId="51850089" w14:textId="5B9C8D0C"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710</w:t>
            </w:r>
          </w:p>
        </w:tc>
        <w:tc>
          <w:tcPr>
            <w:tcW w:w="1350" w:type="dxa"/>
            <w:shd w:val="clear" w:color="auto" w:fill="auto"/>
            <w:noWrap/>
            <w:vAlign w:val="center"/>
          </w:tcPr>
          <w:p w14:paraId="5185008A" w14:textId="1D4E93AD"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1.188</w:t>
            </w:r>
          </w:p>
        </w:tc>
      </w:tr>
      <w:tr w:rsidR="00782C30" w:rsidRPr="00343AC7" w14:paraId="51850092" w14:textId="77777777" w:rsidTr="00782C30">
        <w:trPr>
          <w:trHeight w:val="300"/>
        </w:trPr>
        <w:tc>
          <w:tcPr>
            <w:tcW w:w="4495" w:type="dxa"/>
            <w:shd w:val="clear" w:color="auto" w:fill="auto"/>
            <w:noWrap/>
            <w:vAlign w:val="center"/>
            <w:hideMark/>
          </w:tcPr>
          <w:p w14:paraId="5185008D" w14:textId="3CB5BD28" w:rsidR="00782C30" w:rsidRPr="00343AC7" w:rsidRDefault="00782C30" w:rsidP="006B6BD4">
            <w:pPr>
              <w:spacing w:after="0"/>
              <w:jc w:val="left"/>
              <w:rPr>
                <w:rFonts w:ascii="Arial" w:hAnsi="Arial" w:cs="Arial"/>
                <w:sz w:val="18"/>
                <w:szCs w:val="18"/>
              </w:rPr>
            </w:pPr>
            <w:r w:rsidRPr="00343AC7">
              <w:rPr>
                <w:rFonts w:ascii="Arial" w:hAnsi="Arial" w:cs="Arial"/>
                <w:sz w:val="18"/>
                <w:szCs w:val="18"/>
              </w:rPr>
              <w:t>Reducción Repetición Media (</w:t>
            </w:r>
            <w:r>
              <w:rPr>
                <w:rFonts w:ascii="Arial" w:hAnsi="Arial" w:cs="Arial"/>
                <w:sz w:val="18"/>
                <w:szCs w:val="18"/>
              </w:rPr>
              <w:t>1</w:t>
            </w:r>
            <w:r w:rsidRPr="00343AC7">
              <w:rPr>
                <w:rFonts w:ascii="Arial" w:hAnsi="Arial" w:cs="Arial"/>
                <w:sz w:val="18"/>
                <w:szCs w:val="18"/>
              </w:rPr>
              <w:t>%)</w:t>
            </w:r>
          </w:p>
        </w:tc>
        <w:tc>
          <w:tcPr>
            <w:tcW w:w="1260" w:type="dxa"/>
            <w:shd w:val="clear" w:color="auto" w:fill="auto"/>
            <w:noWrap/>
            <w:vAlign w:val="center"/>
          </w:tcPr>
          <w:p w14:paraId="5185008F" w14:textId="6C3F5876"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350</w:t>
            </w:r>
          </w:p>
        </w:tc>
        <w:tc>
          <w:tcPr>
            <w:tcW w:w="1350" w:type="dxa"/>
            <w:shd w:val="clear" w:color="auto" w:fill="auto"/>
            <w:noWrap/>
            <w:vAlign w:val="center"/>
          </w:tcPr>
          <w:p w14:paraId="51850090" w14:textId="5340C663" w:rsidR="00782C30" w:rsidRPr="00454CC4" w:rsidRDefault="00782C30" w:rsidP="006B6BD4">
            <w:pPr>
              <w:spacing w:after="0"/>
              <w:jc w:val="center"/>
              <w:rPr>
                <w:rFonts w:ascii="Arial" w:hAnsi="Arial" w:cs="Arial"/>
                <w:sz w:val="18"/>
                <w:szCs w:val="18"/>
              </w:rPr>
            </w:pPr>
            <w:r w:rsidRPr="00454CC4">
              <w:rPr>
                <w:rFonts w:ascii="Arial" w:hAnsi="Arial" w:cs="Arial"/>
                <w:sz w:val="18"/>
                <w:szCs w:val="18"/>
              </w:rPr>
              <w:t>585</w:t>
            </w:r>
          </w:p>
        </w:tc>
      </w:tr>
      <w:tr w:rsidR="00782C30" w:rsidRPr="00343AC7" w14:paraId="51850098" w14:textId="77777777" w:rsidTr="00782C30">
        <w:trPr>
          <w:trHeight w:val="300"/>
        </w:trPr>
        <w:tc>
          <w:tcPr>
            <w:tcW w:w="4495" w:type="dxa"/>
            <w:shd w:val="clear" w:color="auto" w:fill="auto"/>
            <w:noWrap/>
            <w:vAlign w:val="center"/>
          </w:tcPr>
          <w:p w14:paraId="51850093" w14:textId="03D24F7F" w:rsidR="00782C30" w:rsidRPr="00343AC7" w:rsidRDefault="00782C30" w:rsidP="006B6BD4">
            <w:pPr>
              <w:spacing w:after="0"/>
              <w:jc w:val="left"/>
              <w:rPr>
                <w:rFonts w:ascii="Arial" w:hAnsi="Arial" w:cs="Arial"/>
                <w:sz w:val="18"/>
                <w:szCs w:val="18"/>
              </w:rPr>
            </w:pPr>
            <w:r w:rsidRPr="00343AC7">
              <w:rPr>
                <w:rFonts w:ascii="Arial" w:hAnsi="Arial" w:cs="Arial"/>
                <w:sz w:val="18"/>
                <w:szCs w:val="18"/>
              </w:rPr>
              <w:t xml:space="preserve">Ahorro Anual en USD </w:t>
            </w:r>
            <w:r w:rsidRPr="00772B87">
              <w:rPr>
                <w:rFonts w:ascii="Arial" w:hAnsi="Arial" w:cs="Arial"/>
                <w:sz w:val="18"/>
                <w:szCs w:val="18"/>
              </w:rPr>
              <w:t>(c/inflación 3%anual)</w:t>
            </w:r>
          </w:p>
        </w:tc>
        <w:tc>
          <w:tcPr>
            <w:tcW w:w="1260" w:type="dxa"/>
            <w:shd w:val="clear" w:color="auto" w:fill="auto"/>
            <w:noWrap/>
            <w:vAlign w:val="center"/>
          </w:tcPr>
          <w:p w14:paraId="51850095" w14:textId="01322909" w:rsidR="00782C30" w:rsidRPr="00454CC4" w:rsidRDefault="00112A8D" w:rsidP="006B6BD4">
            <w:pPr>
              <w:spacing w:after="0"/>
              <w:jc w:val="center"/>
              <w:rPr>
                <w:rFonts w:ascii="Arial" w:hAnsi="Arial" w:cs="Arial"/>
                <w:sz w:val="18"/>
                <w:szCs w:val="18"/>
              </w:rPr>
            </w:pPr>
            <w:r>
              <w:rPr>
                <w:rFonts w:ascii="Arial" w:hAnsi="Arial" w:cs="Arial"/>
                <w:sz w:val="18"/>
                <w:szCs w:val="18"/>
              </w:rPr>
              <w:t>3.867.773</w:t>
            </w:r>
          </w:p>
        </w:tc>
        <w:tc>
          <w:tcPr>
            <w:tcW w:w="1350" w:type="dxa"/>
            <w:shd w:val="clear" w:color="auto" w:fill="auto"/>
            <w:noWrap/>
            <w:vAlign w:val="center"/>
          </w:tcPr>
          <w:p w14:paraId="51850096" w14:textId="7C5CF81C" w:rsidR="00782C30" w:rsidRPr="00454CC4" w:rsidRDefault="009C3627" w:rsidP="006B6BD4">
            <w:pPr>
              <w:spacing w:after="0"/>
              <w:jc w:val="center"/>
              <w:rPr>
                <w:rFonts w:ascii="Arial" w:hAnsi="Arial" w:cs="Arial"/>
                <w:sz w:val="18"/>
                <w:szCs w:val="18"/>
              </w:rPr>
            </w:pPr>
            <w:r>
              <w:rPr>
                <w:rFonts w:ascii="Arial" w:hAnsi="Arial" w:cs="Arial"/>
                <w:sz w:val="18"/>
                <w:szCs w:val="18"/>
              </w:rPr>
              <w:t>6.667.116</w:t>
            </w:r>
          </w:p>
        </w:tc>
      </w:tr>
    </w:tbl>
    <w:p w14:paraId="51850099" w14:textId="4F2A9329" w:rsidR="003A30D0" w:rsidRPr="007F4A23" w:rsidRDefault="00272AED" w:rsidP="00343AC7">
      <w:pPr>
        <w:spacing w:before="240"/>
        <w:rPr>
          <w:rFonts w:ascii="Arial" w:hAnsi="Arial" w:cs="Arial"/>
          <w:sz w:val="22"/>
          <w:szCs w:val="22"/>
        </w:rPr>
      </w:pPr>
      <w:r w:rsidRPr="00EF15BA">
        <w:rPr>
          <w:rFonts w:ascii="Arial" w:hAnsi="Arial" w:cs="Arial"/>
          <w:sz w:val="22"/>
          <w:szCs w:val="22"/>
        </w:rPr>
        <w:t>P</w:t>
      </w:r>
      <w:r w:rsidR="00ED64DC" w:rsidRPr="00EF15BA">
        <w:rPr>
          <w:rFonts w:ascii="Arial" w:hAnsi="Arial" w:cs="Arial"/>
          <w:sz w:val="22"/>
          <w:szCs w:val="22"/>
        </w:rPr>
        <w:t xml:space="preserve">uesto que </w:t>
      </w:r>
      <w:r w:rsidR="002D01B2" w:rsidRPr="00EF15BA">
        <w:rPr>
          <w:rFonts w:ascii="Arial" w:hAnsi="Arial" w:cs="Arial"/>
          <w:sz w:val="22"/>
          <w:szCs w:val="22"/>
        </w:rPr>
        <w:t xml:space="preserve">durante </w:t>
      </w:r>
      <w:r w:rsidR="00ED64DC" w:rsidRPr="00EF15BA">
        <w:rPr>
          <w:rFonts w:ascii="Arial" w:hAnsi="Arial" w:cs="Arial"/>
          <w:sz w:val="22"/>
          <w:szCs w:val="22"/>
        </w:rPr>
        <w:t xml:space="preserve">los primeros años de ejecución del Programa se contempla sólo la obtención de beneficios indirectos producto de la reducción en la tasa de repetición de los cursos de </w:t>
      </w:r>
      <w:r w:rsidR="009E0E72" w:rsidRPr="00EF15BA">
        <w:rPr>
          <w:rFonts w:ascii="Arial" w:hAnsi="Arial" w:cs="Arial"/>
          <w:sz w:val="22"/>
          <w:szCs w:val="22"/>
        </w:rPr>
        <w:t>1</w:t>
      </w:r>
      <w:r w:rsidR="00ED64DC" w:rsidRPr="00EF15BA">
        <w:rPr>
          <w:rFonts w:ascii="Arial" w:hAnsi="Arial" w:cs="Arial"/>
          <w:sz w:val="22"/>
          <w:szCs w:val="22"/>
        </w:rPr>
        <w:t xml:space="preserve">% y que </w:t>
      </w:r>
      <w:r w:rsidR="00576666" w:rsidRPr="00EF15BA">
        <w:rPr>
          <w:rFonts w:ascii="Arial" w:hAnsi="Arial" w:cs="Arial"/>
          <w:sz w:val="22"/>
          <w:szCs w:val="22"/>
        </w:rPr>
        <w:t>sólo a partir d</w:t>
      </w:r>
      <w:r w:rsidR="00576666" w:rsidRPr="00EF795C">
        <w:rPr>
          <w:rFonts w:ascii="Arial" w:hAnsi="Arial" w:cs="Arial"/>
          <w:sz w:val="22"/>
          <w:szCs w:val="22"/>
        </w:rPr>
        <w:t xml:space="preserve">el </w:t>
      </w:r>
      <w:r w:rsidR="00C36E8B" w:rsidRPr="00EF795C">
        <w:rPr>
          <w:rFonts w:ascii="Arial" w:hAnsi="Arial" w:cs="Arial"/>
          <w:sz w:val="22"/>
          <w:szCs w:val="22"/>
        </w:rPr>
        <w:t>segundo</w:t>
      </w:r>
      <w:r w:rsidR="00576666" w:rsidRPr="00EF15BA">
        <w:rPr>
          <w:rFonts w:ascii="Arial" w:hAnsi="Arial" w:cs="Arial"/>
          <w:sz w:val="22"/>
          <w:szCs w:val="22"/>
        </w:rPr>
        <w:t xml:space="preserve"> año de operación se espera atender a la totalidad de los estudiantes planificados</w:t>
      </w:r>
      <w:r w:rsidR="00DE518F" w:rsidRPr="00EF15BA">
        <w:rPr>
          <w:rFonts w:ascii="Arial" w:hAnsi="Arial" w:cs="Arial"/>
          <w:sz w:val="22"/>
          <w:szCs w:val="22"/>
        </w:rPr>
        <w:t xml:space="preserve">, durante esos años el balance entre costos y beneficios arroja valores negativos. Sin embargo, en la medida en que aumenta la cantidad de estudiantes </w:t>
      </w:r>
      <w:r w:rsidR="00962F66" w:rsidRPr="00EF15BA">
        <w:rPr>
          <w:rFonts w:ascii="Arial" w:hAnsi="Arial" w:cs="Arial"/>
          <w:sz w:val="22"/>
          <w:szCs w:val="22"/>
        </w:rPr>
        <w:t xml:space="preserve">que </w:t>
      </w:r>
      <w:r w:rsidR="00DE518F" w:rsidRPr="00EF15BA">
        <w:rPr>
          <w:rFonts w:ascii="Arial" w:hAnsi="Arial" w:cs="Arial"/>
          <w:sz w:val="22"/>
          <w:szCs w:val="22"/>
        </w:rPr>
        <w:t xml:space="preserve">aumentan los ahorros por un menor número de repitentes y </w:t>
      </w:r>
      <w:r w:rsidR="00962F66" w:rsidRPr="00EF15BA">
        <w:rPr>
          <w:rFonts w:ascii="Arial" w:hAnsi="Arial" w:cs="Arial"/>
          <w:sz w:val="22"/>
          <w:szCs w:val="22"/>
        </w:rPr>
        <w:t>que</w:t>
      </w:r>
      <w:r w:rsidR="00DE518F" w:rsidRPr="00EF15BA">
        <w:rPr>
          <w:rFonts w:ascii="Arial" w:hAnsi="Arial" w:cs="Arial"/>
          <w:sz w:val="22"/>
          <w:szCs w:val="22"/>
        </w:rPr>
        <w:t xml:space="preserve"> a partir del </w:t>
      </w:r>
      <w:r w:rsidR="00DE518F" w:rsidRPr="00EF795C">
        <w:rPr>
          <w:rFonts w:ascii="Arial" w:hAnsi="Arial" w:cs="Arial"/>
          <w:sz w:val="22"/>
          <w:szCs w:val="22"/>
        </w:rPr>
        <w:t>año 202</w:t>
      </w:r>
      <w:r w:rsidR="00356FC0" w:rsidRPr="00EF795C">
        <w:rPr>
          <w:rFonts w:ascii="Arial" w:hAnsi="Arial" w:cs="Arial"/>
          <w:sz w:val="22"/>
          <w:szCs w:val="22"/>
        </w:rPr>
        <w:t>4</w:t>
      </w:r>
      <w:r w:rsidR="00DE518F" w:rsidRPr="00EF795C">
        <w:rPr>
          <w:rFonts w:ascii="Arial" w:hAnsi="Arial" w:cs="Arial"/>
          <w:sz w:val="22"/>
          <w:szCs w:val="22"/>
        </w:rPr>
        <w:t xml:space="preserve"> comienzan</w:t>
      </w:r>
      <w:r w:rsidR="00DE518F" w:rsidRPr="00EF15BA">
        <w:rPr>
          <w:rFonts w:ascii="Arial" w:hAnsi="Arial" w:cs="Arial"/>
          <w:sz w:val="22"/>
          <w:szCs w:val="22"/>
        </w:rPr>
        <w:t xml:space="preserve"> a recibirse paulatinamente los flujos estimados de beneficios producto del ingreso al mercado del trabajo de un mayor número de estudiantes con educación terciaria completa e incompleta, esta situación se revierte por completo, lo que queda de manifiesto al comparar los costos y beneficios en valor presente en cada uno de los 3 escenarios considerados</w:t>
      </w:r>
      <w:r w:rsidRPr="00EF15BA">
        <w:rPr>
          <w:rFonts w:ascii="Arial" w:hAnsi="Arial" w:cs="Arial"/>
          <w:sz w:val="22"/>
          <w:szCs w:val="22"/>
        </w:rPr>
        <w:t>, tal como se puede observar en la tabla 7</w:t>
      </w:r>
      <w:r w:rsidR="00962F66" w:rsidRPr="00EF15BA">
        <w:rPr>
          <w:rFonts w:ascii="Arial" w:hAnsi="Arial" w:cs="Arial"/>
          <w:sz w:val="22"/>
          <w:szCs w:val="22"/>
        </w:rPr>
        <w:t>.</w:t>
      </w:r>
      <w:r w:rsidR="00962F66">
        <w:rPr>
          <w:rFonts w:ascii="Arial" w:hAnsi="Arial" w:cs="Arial"/>
          <w:sz w:val="22"/>
          <w:szCs w:val="22"/>
        </w:rPr>
        <w:t xml:space="preserve"> </w:t>
      </w:r>
    </w:p>
    <w:p w14:paraId="5185009A" w14:textId="7BA9EAE9" w:rsidR="00DE518F" w:rsidRPr="00343AC7" w:rsidRDefault="00DE518F" w:rsidP="00DE518F">
      <w:pPr>
        <w:pStyle w:val="Caption"/>
        <w:keepNext/>
        <w:rPr>
          <w:rFonts w:ascii="Arial" w:hAnsi="Arial" w:cs="Arial"/>
          <w:sz w:val="18"/>
          <w:szCs w:val="18"/>
        </w:rPr>
      </w:pPr>
      <w:bookmarkStart w:id="8" w:name="_Ref432118011"/>
      <w:r w:rsidRPr="00343AC7">
        <w:rPr>
          <w:rFonts w:ascii="Arial" w:hAnsi="Arial" w:cs="Arial"/>
          <w:sz w:val="18"/>
          <w:szCs w:val="18"/>
        </w:rPr>
        <w:t xml:space="preserve">Tabla </w:t>
      </w:r>
      <w:r w:rsidR="00454CC4">
        <w:rPr>
          <w:rFonts w:ascii="Arial" w:hAnsi="Arial" w:cs="Arial"/>
          <w:sz w:val="18"/>
          <w:szCs w:val="18"/>
        </w:rPr>
        <w:t>7</w:t>
      </w:r>
      <w:bookmarkEnd w:id="8"/>
      <w:r w:rsidRPr="00343AC7">
        <w:rPr>
          <w:rFonts w:ascii="Arial" w:hAnsi="Arial" w:cs="Arial"/>
          <w:sz w:val="18"/>
          <w:szCs w:val="18"/>
        </w:rPr>
        <w:t>: Indicadores de Rentabilidad Social del Programa en tres escenarios</w:t>
      </w:r>
    </w:p>
    <w:tbl>
      <w:tblPr>
        <w:tblW w:w="8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0"/>
        <w:gridCol w:w="1350"/>
        <w:gridCol w:w="1440"/>
        <w:gridCol w:w="1260"/>
        <w:gridCol w:w="1080"/>
        <w:gridCol w:w="1244"/>
      </w:tblGrid>
      <w:tr w:rsidR="00196A70" w:rsidRPr="00343AC7" w14:paraId="518500A1" w14:textId="77777777" w:rsidTr="003D26E6">
        <w:trPr>
          <w:trHeight w:val="457"/>
        </w:trPr>
        <w:tc>
          <w:tcPr>
            <w:tcW w:w="2230" w:type="dxa"/>
            <w:shd w:val="clear" w:color="auto" w:fill="auto"/>
            <w:noWrap/>
            <w:vAlign w:val="bottom"/>
            <w:hideMark/>
          </w:tcPr>
          <w:p w14:paraId="5185009B" w14:textId="77777777" w:rsidR="00DE518F" w:rsidRPr="00A6386D" w:rsidRDefault="00DE518F" w:rsidP="00DE518F">
            <w:pPr>
              <w:spacing w:after="0"/>
              <w:jc w:val="left"/>
              <w:rPr>
                <w:rFonts w:ascii="Arial" w:hAnsi="Arial" w:cs="Arial"/>
                <w:b/>
                <w:sz w:val="18"/>
                <w:szCs w:val="18"/>
              </w:rPr>
            </w:pPr>
          </w:p>
        </w:tc>
        <w:tc>
          <w:tcPr>
            <w:tcW w:w="1350" w:type="dxa"/>
            <w:shd w:val="clear" w:color="auto" w:fill="auto"/>
            <w:vAlign w:val="center"/>
            <w:hideMark/>
          </w:tcPr>
          <w:p w14:paraId="5185009C" w14:textId="77777777" w:rsidR="00DE518F" w:rsidRPr="00A6386D" w:rsidRDefault="00DE518F" w:rsidP="0072655B">
            <w:pPr>
              <w:spacing w:after="0"/>
              <w:ind w:left="-160"/>
              <w:jc w:val="center"/>
              <w:rPr>
                <w:rFonts w:ascii="Arial" w:hAnsi="Arial" w:cs="Arial"/>
                <w:b/>
                <w:sz w:val="18"/>
                <w:szCs w:val="18"/>
              </w:rPr>
            </w:pPr>
            <w:r w:rsidRPr="00A6386D">
              <w:rPr>
                <w:rFonts w:ascii="Arial" w:hAnsi="Arial" w:cs="Arial"/>
                <w:b/>
                <w:sz w:val="18"/>
                <w:szCs w:val="18"/>
              </w:rPr>
              <w:t>VP Costos (USD)</w:t>
            </w:r>
          </w:p>
        </w:tc>
        <w:tc>
          <w:tcPr>
            <w:tcW w:w="1440" w:type="dxa"/>
            <w:shd w:val="clear" w:color="auto" w:fill="auto"/>
            <w:vAlign w:val="center"/>
            <w:hideMark/>
          </w:tcPr>
          <w:p w14:paraId="5185009D" w14:textId="77777777" w:rsidR="00DE518F" w:rsidRPr="00A6386D" w:rsidRDefault="00DE518F" w:rsidP="00DE518F">
            <w:pPr>
              <w:spacing w:after="0"/>
              <w:jc w:val="center"/>
              <w:rPr>
                <w:rFonts w:ascii="Arial" w:hAnsi="Arial" w:cs="Arial"/>
                <w:b/>
                <w:sz w:val="18"/>
                <w:szCs w:val="18"/>
              </w:rPr>
            </w:pPr>
            <w:r w:rsidRPr="00A6386D">
              <w:rPr>
                <w:rFonts w:ascii="Arial" w:hAnsi="Arial" w:cs="Arial"/>
                <w:b/>
                <w:sz w:val="18"/>
                <w:szCs w:val="18"/>
              </w:rPr>
              <w:t>VP Beneficios (USD)</w:t>
            </w:r>
          </w:p>
        </w:tc>
        <w:tc>
          <w:tcPr>
            <w:tcW w:w="1260" w:type="dxa"/>
            <w:shd w:val="clear" w:color="auto" w:fill="auto"/>
            <w:vAlign w:val="center"/>
            <w:hideMark/>
          </w:tcPr>
          <w:p w14:paraId="5185009E" w14:textId="77777777" w:rsidR="00DE518F" w:rsidRPr="00A6386D" w:rsidRDefault="00DE518F" w:rsidP="00DE518F">
            <w:pPr>
              <w:spacing w:after="0"/>
              <w:jc w:val="center"/>
              <w:rPr>
                <w:rFonts w:ascii="Arial" w:hAnsi="Arial" w:cs="Arial"/>
                <w:b/>
                <w:sz w:val="18"/>
                <w:szCs w:val="18"/>
              </w:rPr>
            </w:pPr>
            <w:r w:rsidRPr="00A6386D">
              <w:rPr>
                <w:rFonts w:ascii="Arial" w:hAnsi="Arial" w:cs="Arial"/>
                <w:b/>
                <w:sz w:val="18"/>
                <w:szCs w:val="18"/>
              </w:rPr>
              <w:t>Valor Presente Neto (USD)</w:t>
            </w:r>
          </w:p>
        </w:tc>
        <w:tc>
          <w:tcPr>
            <w:tcW w:w="1080" w:type="dxa"/>
            <w:shd w:val="clear" w:color="auto" w:fill="auto"/>
            <w:vAlign w:val="center"/>
            <w:hideMark/>
          </w:tcPr>
          <w:p w14:paraId="5185009F" w14:textId="77777777" w:rsidR="00DE518F" w:rsidRPr="00A6386D" w:rsidRDefault="00DE518F" w:rsidP="00DE518F">
            <w:pPr>
              <w:spacing w:after="0"/>
              <w:jc w:val="center"/>
              <w:rPr>
                <w:rFonts w:ascii="Arial" w:hAnsi="Arial" w:cs="Arial"/>
                <w:b/>
                <w:sz w:val="18"/>
                <w:szCs w:val="18"/>
              </w:rPr>
            </w:pPr>
            <w:r w:rsidRPr="00A6386D">
              <w:rPr>
                <w:rFonts w:ascii="Arial" w:hAnsi="Arial" w:cs="Arial"/>
                <w:b/>
                <w:sz w:val="18"/>
                <w:szCs w:val="18"/>
              </w:rPr>
              <w:t>Razón Beneficio</w:t>
            </w:r>
            <w:r w:rsidR="00196A70" w:rsidRPr="00A6386D">
              <w:rPr>
                <w:rFonts w:ascii="Arial" w:hAnsi="Arial" w:cs="Arial"/>
                <w:b/>
                <w:sz w:val="18"/>
                <w:szCs w:val="18"/>
              </w:rPr>
              <w:t xml:space="preserve"> </w:t>
            </w:r>
            <w:r w:rsidRPr="00A6386D">
              <w:rPr>
                <w:rFonts w:ascii="Arial" w:hAnsi="Arial" w:cs="Arial"/>
                <w:b/>
                <w:sz w:val="18"/>
                <w:szCs w:val="18"/>
              </w:rPr>
              <w:t>/Costo</w:t>
            </w:r>
          </w:p>
        </w:tc>
        <w:tc>
          <w:tcPr>
            <w:tcW w:w="1244" w:type="dxa"/>
            <w:shd w:val="clear" w:color="auto" w:fill="auto"/>
            <w:vAlign w:val="center"/>
            <w:hideMark/>
          </w:tcPr>
          <w:p w14:paraId="518500A0" w14:textId="77777777" w:rsidR="00DE518F" w:rsidRPr="00A6386D" w:rsidRDefault="00DE518F" w:rsidP="00DE518F">
            <w:pPr>
              <w:spacing w:after="0"/>
              <w:jc w:val="center"/>
              <w:rPr>
                <w:rFonts w:ascii="Arial" w:hAnsi="Arial" w:cs="Arial"/>
                <w:b/>
                <w:sz w:val="18"/>
                <w:szCs w:val="18"/>
              </w:rPr>
            </w:pPr>
            <w:r w:rsidRPr="00A6386D">
              <w:rPr>
                <w:rFonts w:ascii="Arial" w:hAnsi="Arial" w:cs="Arial"/>
                <w:b/>
                <w:sz w:val="18"/>
                <w:szCs w:val="18"/>
              </w:rPr>
              <w:t>TIR</w:t>
            </w:r>
          </w:p>
        </w:tc>
      </w:tr>
      <w:tr w:rsidR="00196A70" w:rsidRPr="00343AC7" w14:paraId="518500A8" w14:textId="77777777" w:rsidTr="00454CC4">
        <w:trPr>
          <w:trHeight w:val="300"/>
        </w:trPr>
        <w:tc>
          <w:tcPr>
            <w:tcW w:w="2230" w:type="dxa"/>
            <w:shd w:val="clear" w:color="auto" w:fill="auto"/>
            <w:noWrap/>
            <w:vAlign w:val="bottom"/>
            <w:hideMark/>
          </w:tcPr>
          <w:p w14:paraId="518500A2" w14:textId="77777777" w:rsidR="00DE518F" w:rsidRPr="00A6386D" w:rsidRDefault="00DE518F" w:rsidP="00DE518F">
            <w:pPr>
              <w:spacing w:after="0"/>
              <w:jc w:val="left"/>
              <w:rPr>
                <w:rFonts w:ascii="Arial" w:hAnsi="Arial" w:cs="Arial"/>
                <w:sz w:val="18"/>
                <w:szCs w:val="18"/>
              </w:rPr>
            </w:pPr>
            <w:r w:rsidRPr="00A6386D">
              <w:rPr>
                <w:rFonts w:ascii="Arial" w:hAnsi="Arial" w:cs="Arial"/>
                <w:sz w:val="18"/>
                <w:szCs w:val="18"/>
              </w:rPr>
              <w:t>Escenario 1 (</w:t>
            </w:r>
            <w:r w:rsidR="00F01BCC" w:rsidRPr="00A6386D">
              <w:rPr>
                <w:rFonts w:ascii="Arial" w:hAnsi="Arial" w:cs="Arial"/>
                <w:sz w:val="18"/>
                <w:szCs w:val="18"/>
              </w:rPr>
              <w:t>2</w:t>
            </w:r>
            <w:r w:rsidRPr="00A6386D">
              <w:rPr>
                <w:rFonts w:ascii="Arial" w:hAnsi="Arial" w:cs="Arial"/>
                <w:sz w:val="18"/>
                <w:szCs w:val="18"/>
              </w:rPr>
              <w:t xml:space="preserve">% </w:t>
            </w:r>
            <w:r w:rsidR="00196A70" w:rsidRPr="00A6386D">
              <w:rPr>
                <w:rFonts w:ascii="Arial" w:hAnsi="Arial" w:cs="Arial"/>
                <w:sz w:val="18"/>
                <w:szCs w:val="18"/>
              </w:rPr>
              <w:t xml:space="preserve">aumento </w:t>
            </w:r>
            <w:r w:rsidRPr="00A6386D">
              <w:rPr>
                <w:rFonts w:ascii="Arial" w:hAnsi="Arial" w:cs="Arial"/>
                <w:sz w:val="18"/>
                <w:szCs w:val="18"/>
              </w:rPr>
              <w:t>ingreso a Ed. Sup.)</w:t>
            </w:r>
          </w:p>
        </w:tc>
        <w:tc>
          <w:tcPr>
            <w:tcW w:w="1350" w:type="dxa"/>
            <w:shd w:val="clear" w:color="auto" w:fill="auto"/>
            <w:noWrap/>
            <w:vAlign w:val="center"/>
          </w:tcPr>
          <w:p w14:paraId="518500A3" w14:textId="2F5C5986" w:rsidR="00DE518F" w:rsidRPr="00851F52" w:rsidRDefault="00754649" w:rsidP="00DE518F">
            <w:pPr>
              <w:spacing w:after="0"/>
              <w:jc w:val="center"/>
              <w:rPr>
                <w:rFonts w:ascii="Arial" w:hAnsi="Arial" w:cs="Arial"/>
                <w:sz w:val="18"/>
                <w:szCs w:val="18"/>
              </w:rPr>
            </w:pPr>
            <w:r w:rsidRPr="00851F52">
              <w:rPr>
                <w:rFonts w:ascii="Arial" w:hAnsi="Arial" w:cs="Arial"/>
                <w:sz w:val="18"/>
                <w:szCs w:val="18"/>
              </w:rPr>
              <w:t>78.684.766</w:t>
            </w:r>
          </w:p>
        </w:tc>
        <w:tc>
          <w:tcPr>
            <w:tcW w:w="1440" w:type="dxa"/>
            <w:shd w:val="clear" w:color="auto" w:fill="auto"/>
            <w:noWrap/>
            <w:vAlign w:val="center"/>
          </w:tcPr>
          <w:p w14:paraId="518500A4" w14:textId="04E3240E" w:rsidR="00DE518F" w:rsidRPr="00851F52" w:rsidRDefault="00754649" w:rsidP="00DF5BB3">
            <w:pPr>
              <w:spacing w:after="0"/>
              <w:jc w:val="center"/>
              <w:rPr>
                <w:rFonts w:ascii="Arial" w:hAnsi="Arial" w:cs="Arial"/>
                <w:sz w:val="18"/>
                <w:szCs w:val="18"/>
              </w:rPr>
            </w:pPr>
            <w:r w:rsidRPr="00851F52">
              <w:rPr>
                <w:rFonts w:ascii="Arial" w:hAnsi="Arial" w:cs="Arial"/>
                <w:sz w:val="18"/>
                <w:szCs w:val="18"/>
              </w:rPr>
              <w:t>118.889.456</w:t>
            </w:r>
          </w:p>
        </w:tc>
        <w:tc>
          <w:tcPr>
            <w:tcW w:w="1260" w:type="dxa"/>
            <w:shd w:val="clear" w:color="auto" w:fill="auto"/>
            <w:noWrap/>
            <w:vAlign w:val="center"/>
          </w:tcPr>
          <w:p w14:paraId="518500A5" w14:textId="18EACD4F" w:rsidR="00DE518F" w:rsidRPr="00851F52" w:rsidRDefault="00454CC4" w:rsidP="00DE518F">
            <w:pPr>
              <w:spacing w:after="0"/>
              <w:jc w:val="center"/>
              <w:rPr>
                <w:rFonts w:ascii="Arial" w:hAnsi="Arial" w:cs="Arial"/>
                <w:sz w:val="18"/>
                <w:szCs w:val="18"/>
              </w:rPr>
            </w:pPr>
            <w:r w:rsidRPr="00851F52">
              <w:rPr>
                <w:rFonts w:ascii="Arial" w:hAnsi="Arial" w:cs="Arial"/>
                <w:sz w:val="18"/>
                <w:szCs w:val="18"/>
              </w:rPr>
              <w:t>-</w:t>
            </w:r>
            <w:r w:rsidR="00A6386D" w:rsidRPr="00851F52">
              <w:rPr>
                <w:rFonts w:ascii="Arial" w:hAnsi="Arial" w:cs="Arial"/>
                <w:sz w:val="18"/>
                <w:szCs w:val="18"/>
              </w:rPr>
              <w:t>-5.777.453</w:t>
            </w:r>
          </w:p>
        </w:tc>
        <w:tc>
          <w:tcPr>
            <w:tcW w:w="1080" w:type="dxa"/>
            <w:shd w:val="clear" w:color="auto" w:fill="auto"/>
            <w:noWrap/>
            <w:vAlign w:val="center"/>
          </w:tcPr>
          <w:p w14:paraId="518500A6" w14:textId="5158CC48" w:rsidR="00DE518F" w:rsidRPr="00851F52" w:rsidRDefault="00454CC4" w:rsidP="00DE518F">
            <w:pPr>
              <w:spacing w:after="0"/>
              <w:jc w:val="center"/>
              <w:rPr>
                <w:rFonts w:ascii="Arial" w:hAnsi="Arial" w:cs="Arial"/>
                <w:sz w:val="18"/>
                <w:szCs w:val="18"/>
              </w:rPr>
            </w:pPr>
            <w:r w:rsidRPr="00851F52">
              <w:rPr>
                <w:rFonts w:ascii="Arial" w:hAnsi="Arial" w:cs="Arial"/>
                <w:sz w:val="18"/>
                <w:szCs w:val="18"/>
              </w:rPr>
              <w:t>1,</w:t>
            </w:r>
            <w:r w:rsidR="00754649" w:rsidRPr="00851F52">
              <w:rPr>
                <w:rFonts w:ascii="Arial" w:hAnsi="Arial" w:cs="Arial"/>
                <w:sz w:val="18"/>
                <w:szCs w:val="18"/>
              </w:rPr>
              <w:t>51</w:t>
            </w:r>
          </w:p>
        </w:tc>
        <w:tc>
          <w:tcPr>
            <w:tcW w:w="1244" w:type="dxa"/>
            <w:shd w:val="clear" w:color="auto" w:fill="auto"/>
            <w:noWrap/>
            <w:vAlign w:val="center"/>
          </w:tcPr>
          <w:p w14:paraId="518500A7" w14:textId="56A1C11E" w:rsidR="00DE518F" w:rsidRPr="00851F52" w:rsidRDefault="00A6386D" w:rsidP="00DF5BB3">
            <w:pPr>
              <w:spacing w:after="0"/>
              <w:jc w:val="center"/>
              <w:rPr>
                <w:rFonts w:ascii="Arial" w:hAnsi="Arial" w:cs="Arial"/>
                <w:sz w:val="18"/>
                <w:szCs w:val="18"/>
              </w:rPr>
            </w:pPr>
            <w:r w:rsidRPr="00851F52">
              <w:rPr>
                <w:rFonts w:ascii="Arial" w:hAnsi="Arial" w:cs="Arial"/>
                <w:sz w:val="18"/>
                <w:szCs w:val="18"/>
              </w:rPr>
              <w:t>11,2</w:t>
            </w:r>
            <w:r w:rsidR="00454CC4" w:rsidRPr="00851F52">
              <w:rPr>
                <w:rFonts w:ascii="Arial" w:hAnsi="Arial" w:cs="Arial"/>
                <w:sz w:val="18"/>
                <w:szCs w:val="18"/>
              </w:rPr>
              <w:t>%</w:t>
            </w:r>
          </w:p>
        </w:tc>
      </w:tr>
      <w:tr w:rsidR="00196A70" w:rsidRPr="00343AC7" w14:paraId="518500AF" w14:textId="77777777" w:rsidTr="00454CC4">
        <w:trPr>
          <w:trHeight w:val="300"/>
        </w:trPr>
        <w:tc>
          <w:tcPr>
            <w:tcW w:w="2230" w:type="dxa"/>
            <w:shd w:val="clear" w:color="auto" w:fill="auto"/>
            <w:noWrap/>
            <w:vAlign w:val="bottom"/>
            <w:hideMark/>
          </w:tcPr>
          <w:p w14:paraId="518500A9" w14:textId="77777777" w:rsidR="00DE518F" w:rsidRPr="00A6386D" w:rsidRDefault="00DE518F" w:rsidP="00F01BCC">
            <w:pPr>
              <w:spacing w:after="0"/>
              <w:jc w:val="left"/>
              <w:rPr>
                <w:rFonts w:ascii="Arial" w:hAnsi="Arial" w:cs="Arial"/>
                <w:sz w:val="18"/>
                <w:szCs w:val="18"/>
              </w:rPr>
            </w:pPr>
            <w:r w:rsidRPr="00A6386D">
              <w:rPr>
                <w:rFonts w:ascii="Arial" w:hAnsi="Arial" w:cs="Arial"/>
                <w:sz w:val="18"/>
                <w:szCs w:val="18"/>
              </w:rPr>
              <w:t>Escenario 2 (</w:t>
            </w:r>
            <w:r w:rsidR="00F01BCC" w:rsidRPr="00A6386D">
              <w:rPr>
                <w:rFonts w:ascii="Arial" w:hAnsi="Arial" w:cs="Arial"/>
                <w:sz w:val="18"/>
                <w:szCs w:val="18"/>
              </w:rPr>
              <w:t>5</w:t>
            </w:r>
            <w:r w:rsidRPr="00A6386D">
              <w:rPr>
                <w:rFonts w:ascii="Arial" w:hAnsi="Arial" w:cs="Arial"/>
                <w:sz w:val="18"/>
                <w:szCs w:val="18"/>
              </w:rPr>
              <w:t xml:space="preserve">% </w:t>
            </w:r>
            <w:r w:rsidR="00196A70" w:rsidRPr="00A6386D">
              <w:rPr>
                <w:rFonts w:ascii="Arial" w:hAnsi="Arial" w:cs="Arial"/>
                <w:sz w:val="18"/>
                <w:szCs w:val="18"/>
              </w:rPr>
              <w:t xml:space="preserve">aumento </w:t>
            </w:r>
            <w:r w:rsidRPr="00A6386D">
              <w:rPr>
                <w:rFonts w:ascii="Arial" w:hAnsi="Arial" w:cs="Arial"/>
                <w:sz w:val="18"/>
                <w:szCs w:val="18"/>
              </w:rPr>
              <w:t>ingreso a Ed. Sup.)</w:t>
            </w:r>
          </w:p>
        </w:tc>
        <w:tc>
          <w:tcPr>
            <w:tcW w:w="1350" w:type="dxa"/>
            <w:shd w:val="clear" w:color="auto" w:fill="auto"/>
            <w:noWrap/>
            <w:vAlign w:val="center"/>
          </w:tcPr>
          <w:p w14:paraId="518500AA" w14:textId="167A895F" w:rsidR="00DE518F" w:rsidRPr="00851F52" w:rsidRDefault="00754649" w:rsidP="00DE518F">
            <w:pPr>
              <w:spacing w:after="0"/>
              <w:jc w:val="center"/>
              <w:rPr>
                <w:rFonts w:ascii="Arial" w:hAnsi="Arial" w:cs="Arial"/>
                <w:sz w:val="18"/>
                <w:szCs w:val="18"/>
              </w:rPr>
            </w:pPr>
            <w:r w:rsidRPr="00851F52">
              <w:rPr>
                <w:rFonts w:ascii="Arial" w:hAnsi="Arial" w:cs="Arial"/>
                <w:sz w:val="18"/>
                <w:szCs w:val="18"/>
              </w:rPr>
              <w:t>78.684.766</w:t>
            </w:r>
          </w:p>
        </w:tc>
        <w:tc>
          <w:tcPr>
            <w:tcW w:w="1440" w:type="dxa"/>
            <w:shd w:val="clear" w:color="auto" w:fill="auto"/>
            <w:noWrap/>
            <w:vAlign w:val="center"/>
          </w:tcPr>
          <w:p w14:paraId="518500AB" w14:textId="75F4C372" w:rsidR="00DE518F" w:rsidRPr="00851F52" w:rsidRDefault="00754649" w:rsidP="00DE518F">
            <w:pPr>
              <w:spacing w:after="0"/>
              <w:jc w:val="center"/>
              <w:rPr>
                <w:rFonts w:ascii="Arial" w:hAnsi="Arial" w:cs="Arial"/>
                <w:sz w:val="18"/>
                <w:szCs w:val="18"/>
              </w:rPr>
            </w:pPr>
            <w:r w:rsidRPr="00851F52">
              <w:rPr>
                <w:rFonts w:ascii="Arial" w:hAnsi="Arial" w:cs="Arial"/>
                <w:sz w:val="18"/>
                <w:szCs w:val="18"/>
              </w:rPr>
              <w:t>201.570.835</w:t>
            </w:r>
          </w:p>
        </w:tc>
        <w:tc>
          <w:tcPr>
            <w:tcW w:w="1260" w:type="dxa"/>
            <w:shd w:val="clear" w:color="auto" w:fill="auto"/>
            <w:noWrap/>
            <w:vAlign w:val="center"/>
          </w:tcPr>
          <w:p w14:paraId="518500AC" w14:textId="49FAE69F" w:rsidR="00DE518F" w:rsidRPr="00851F52" w:rsidRDefault="00A6386D" w:rsidP="00DE518F">
            <w:pPr>
              <w:spacing w:after="0"/>
              <w:jc w:val="center"/>
              <w:rPr>
                <w:rFonts w:ascii="Arial" w:hAnsi="Arial" w:cs="Arial"/>
                <w:sz w:val="18"/>
                <w:szCs w:val="18"/>
              </w:rPr>
            </w:pPr>
            <w:r w:rsidRPr="00851F52">
              <w:rPr>
                <w:rFonts w:ascii="Arial" w:hAnsi="Arial" w:cs="Arial"/>
                <w:sz w:val="18"/>
                <w:szCs w:val="18"/>
              </w:rPr>
              <w:t>76.903.927</w:t>
            </w:r>
          </w:p>
        </w:tc>
        <w:tc>
          <w:tcPr>
            <w:tcW w:w="1080" w:type="dxa"/>
            <w:shd w:val="clear" w:color="auto" w:fill="auto"/>
            <w:noWrap/>
            <w:vAlign w:val="center"/>
          </w:tcPr>
          <w:p w14:paraId="518500AD" w14:textId="396E457E" w:rsidR="00DE518F" w:rsidRPr="00851F52" w:rsidRDefault="00454CC4" w:rsidP="00DF5BB3">
            <w:pPr>
              <w:spacing w:after="0"/>
              <w:jc w:val="center"/>
              <w:rPr>
                <w:rFonts w:ascii="Arial" w:hAnsi="Arial" w:cs="Arial"/>
                <w:sz w:val="18"/>
                <w:szCs w:val="18"/>
              </w:rPr>
            </w:pPr>
            <w:r w:rsidRPr="00851F52">
              <w:rPr>
                <w:rFonts w:ascii="Arial" w:hAnsi="Arial" w:cs="Arial"/>
                <w:sz w:val="18"/>
                <w:szCs w:val="18"/>
              </w:rPr>
              <w:t>2,</w:t>
            </w:r>
            <w:r w:rsidR="00A6386D" w:rsidRPr="00851F52">
              <w:rPr>
                <w:rFonts w:ascii="Arial" w:hAnsi="Arial" w:cs="Arial"/>
                <w:sz w:val="18"/>
                <w:szCs w:val="18"/>
              </w:rPr>
              <w:t>56</w:t>
            </w:r>
          </w:p>
        </w:tc>
        <w:tc>
          <w:tcPr>
            <w:tcW w:w="1244" w:type="dxa"/>
            <w:shd w:val="clear" w:color="auto" w:fill="auto"/>
            <w:noWrap/>
            <w:vAlign w:val="center"/>
          </w:tcPr>
          <w:p w14:paraId="518500AE" w14:textId="566CC38C" w:rsidR="00DE518F" w:rsidRPr="00851F52" w:rsidRDefault="00A6386D" w:rsidP="00DF5BB3">
            <w:pPr>
              <w:spacing w:after="0"/>
              <w:jc w:val="center"/>
              <w:rPr>
                <w:rFonts w:ascii="Arial" w:hAnsi="Arial" w:cs="Arial"/>
                <w:sz w:val="18"/>
                <w:szCs w:val="18"/>
              </w:rPr>
            </w:pPr>
            <w:r w:rsidRPr="00851F52">
              <w:rPr>
                <w:rFonts w:ascii="Arial" w:hAnsi="Arial" w:cs="Arial"/>
                <w:sz w:val="18"/>
                <w:szCs w:val="18"/>
              </w:rPr>
              <w:t>19,1</w:t>
            </w:r>
            <w:r w:rsidR="00454CC4" w:rsidRPr="00851F52">
              <w:rPr>
                <w:rFonts w:ascii="Arial" w:hAnsi="Arial" w:cs="Arial"/>
                <w:sz w:val="18"/>
                <w:szCs w:val="18"/>
              </w:rPr>
              <w:t>%</w:t>
            </w:r>
          </w:p>
        </w:tc>
      </w:tr>
      <w:tr w:rsidR="00196A70" w:rsidRPr="00343AC7" w14:paraId="518500B6" w14:textId="77777777" w:rsidTr="00454CC4">
        <w:trPr>
          <w:trHeight w:val="300"/>
        </w:trPr>
        <w:tc>
          <w:tcPr>
            <w:tcW w:w="2230" w:type="dxa"/>
            <w:shd w:val="clear" w:color="auto" w:fill="auto"/>
            <w:noWrap/>
            <w:vAlign w:val="bottom"/>
            <w:hideMark/>
          </w:tcPr>
          <w:p w14:paraId="518500B0" w14:textId="77777777" w:rsidR="00DE518F" w:rsidRPr="00A6386D" w:rsidRDefault="00DE518F" w:rsidP="00F01BCC">
            <w:pPr>
              <w:spacing w:after="0"/>
              <w:jc w:val="left"/>
              <w:rPr>
                <w:rFonts w:ascii="Arial" w:hAnsi="Arial" w:cs="Arial"/>
                <w:sz w:val="18"/>
                <w:szCs w:val="18"/>
              </w:rPr>
            </w:pPr>
            <w:r w:rsidRPr="00A6386D">
              <w:rPr>
                <w:rFonts w:ascii="Arial" w:hAnsi="Arial" w:cs="Arial"/>
                <w:sz w:val="18"/>
                <w:szCs w:val="18"/>
              </w:rPr>
              <w:t>Escenario 3 (</w:t>
            </w:r>
            <w:r w:rsidR="00F01BCC" w:rsidRPr="00A6386D">
              <w:rPr>
                <w:rFonts w:ascii="Arial" w:hAnsi="Arial" w:cs="Arial"/>
                <w:sz w:val="18"/>
                <w:szCs w:val="18"/>
              </w:rPr>
              <w:t>10</w:t>
            </w:r>
            <w:r w:rsidRPr="00A6386D">
              <w:rPr>
                <w:rFonts w:ascii="Arial" w:hAnsi="Arial" w:cs="Arial"/>
                <w:sz w:val="18"/>
                <w:szCs w:val="18"/>
              </w:rPr>
              <w:t xml:space="preserve">% </w:t>
            </w:r>
            <w:r w:rsidR="00196A70" w:rsidRPr="00A6386D">
              <w:rPr>
                <w:rFonts w:ascii="Arial" w:hAnsi="Arial" w:cs="Arial"/>
                <w:sz w:val="18"/>
                <w:szCs w:val="18"/>
              </w:rPr>
              <w:t xml:space="preserve">aumento </w:t>
            </w:r>
            <w:r w:rsidRPr="00A6386D">
              <w:rPr>
                <w:rFonts w:ascii="Arial" w:hAnsi="Arial" w:cs="Arial"/>
                <w:sz w:val="18"/>
                <w:szCs w:val="18"/>
              </w:rPr>
              <w:t>ingreso a Ed. Sup.)</w:t>
            </w:r>
          </w:p>
        </w:tc>
        <w:tc>
          <w:tcPr>
            <w:tcW w:w="1350" w:type="dxa"/>
            <w:shd w:val="clear" w:color="auto" w:fill="auto"/>
            <w:noWrap/>
            <w:vAlign w:val="center"/>
          </w:tcPr>
          <w:p w14:paraId="518500B1" w14:textId="2596A45B" w:rsidR="00DE518F" w:rsidRPr="00851F52" w:rsidRDefault="00754649" w:rsidP="00DE518F">
            <w:pPr>
              <w:spacing w:after="0"/>
              <w:jc w:val="center"/>
              <w:rPr>
                <w:rFonts w:ascii="Arial" w:hAnsi="Arial" w:cs="Arial"/>
                <w:sz w:val="18"/>
                <w:szCs w:val="18"/>
              </w:rPr>
            </w:pPr>
            <w:r w:rsidRPr="00851F52">
              <w:rPr>
                <w:rFonts w:ascii="Arial" w:hAnsi="Arial" w:cs="Arial"/>
                <w:sz w:val="18"/>
                <w:szCs w:val="18"/>
              </w:rPr>
              <w:t>78.684.766</w:t>
            </w:r>
          </w:p>
        </w:tc>
        <w:tc>
          <w:tcPr>
            <w:tcW w:w="1440" w:type="dxa"/>
            <w:shd w:val="clear" w:color="auto" w:fill="auto"/>
            <w:noWrap/>
            <w:vAlign w:val="center"/>
          </w:tcPr>
          <w:p w14:paraId="518500B2" w14:textId="1F2C1060" w:rsidR="00DE518F" w:rsidRPr="00851F52" w:rsidRDefault="00754649" w:rsidP="00DE518F">
            <w:pPr>
              <w:spacing w:after="0"/>
              <w:jc w:val="center"/>
              <w:rPr>
                <w:rFonts w:ascii="Arial" w:hAnsi="Arial" w:cs="Arial"/>
                <w:sz w:val="18"/>
                <w:szCs w:val="18"/>
              </w:rPr>
            </w:pPr>
            <w:r w:rsidRPr="00851F52">
              <w:rPr>
                <w:rFonts w:ascii="Arial" w:hAnsi="Arial" w:cs="Arial"/>
                <w:sz w:val="18"/>
                <w:szCs w:val="18"/>
              </w:rPr>
              <w:t>339.373.135</w:t>
            </w:r>
          </w:p>
        </w:tc>
        <w:tc>
          <w:tcPr>
            <w:tcW w:w="1260" w:type="dxa"/>
            <w:shd w:val="clear" w:color="auto" w:fill="auto"/>
            <w:noWrap/>
            <w:vAlign w:val="center"/>
          </w:tcPr>
          <w:p w14:paraId="518500B3" w14:textId="787CFA21" w:rsidR="00DE518F" w:rsidRPr="00851F52" w:rsidRDefault="00A6386D" w:rsidP="00DE518F">
            <w:pPr>
              <w:spacing w:after="0"/>
              <w:jc w:val="center"/>
              <w:rPr>
                <w:rFonts w:ascii="Arial" w:hAnsi="Arial" w:cs="Arial"/>
                <w:sz w:val="18"/>
                <w:szCs w:val="18"/>
              </w:rPr>
            </w:pPr>
            <w:r w:rsidRPr="00851F52">
              <w:rPr>
                <w:rFonts w:ascii="Arial" w:hAnsi="Arial" w:cs="Arial"/>
                <w:sz w:val="18"/>
                <w:szCs w:val="18"/>
              </w:rPr>
              <w:t>217.706.227</w:t>
            </w:r>
          </w:p>
        </w:tc>
        <w:tc>
          <w:tcPr>
            <w:tcW w:w="1080" w:type="dxa"/>
            <w:shd w:val="clear" w:color="auto" w:fill="auto"/>
            <w:noWrap/>
            <w:vAlign w:val="center"/>
          </w:tcPr>
          <w:p w14:paraId="518500B4" w14:textId="6D94BA39" w:rsidR="00DE518F" w:rsidRPr="00851F52" w:rsidRDefault="00A6386D" w:rsidP="00DF5BB3">
            <w:pPr>
              <w:spacing w:after="0"/>
              <w:jc w:val="center"/>
              <w:rPr>
                <w:rFonts w:ascii="Arial" w:hAnsi="Arial" w:cs="Arial"/>
                <w:sz w:val="18"/>
                <w:szCs w:val="18"/>
              </w:rPr>
            </w:pPr>
            <w:r w:rsidRPr="00851F52">
              <w:rPr>
                <w:rFonts w:ascii="Arial" w:hAnsi="Arial" w:cs="Arial"/>
                <w:sz w:val="18"/>
                <w:szCs w:val="18"/>
              </w:rPr>
              <w:t>4.31</w:t>
            </w:r>
          </w:p>
        </w:tc>
        <w:tc>
          <w:tcPr>
            <w:tcW w:w="1244" w:type="dxa"/>
            <w:shd w:val="clear" w:color="auto" w:fill="auto"/>
            <w:noWrap/>
            <w:vAlign w:val="center"/>
          </w:tcPr>
          <w:p w14:paraId="518500B5" w14:textId="7DB90ED2" w:rsidR="00DE518F" w:rsidRPr="00851F52" w:rsidRDefault="00A6386D" w:rsidP="00DF5BB3">
            <w:pPr>
              <w:spacing w:after="0"/>
              <w:jc w:val="center"/>
              <w:rPr>
                <w:rFonts w:ascii="Arial" w:hAnsi="Arial" w:cs="Arial"/>
                <w:sz w:val="18"/>
                <w:szCs w:val="18"/>
              </w:rPr>
            </w:pPr>
            <w:r w:rsidRPr="00851F52">
              <w:rPr>
                <w:rFonts w:ascii="Arial" w:hAnsi="Arial" w:cs="Arial"/>
                <w:sz w:val="18"/>
                <w:szCs w:val="18"/>
              </w:rPr>
              <w:t>26</w:t>
            </w:r>
            <w:r w:rsidR="00454CC4" w:rsidRPr="00851F52">
              <w:rPr>
                <w:rFonts w:ascii="Arial" w:hAnsi="Arial" w:cs="Arial"/>
                <w:sz w:val="18"/>
                <w:szCs w:val="18"/>
              </w:rPr>
              <w:t>%</w:t>
            </w:r>
          </w:p>
        </w:tc>
      </w:tr>
    </w:tbl>
    <w:p w14:paraId="518500B7" w14:textId="77777777" w:rsidR="00821A0A" w:rsidRPr="007F4A23" w:rsidRDefault="00821A0A" w:rsidP="00DE518F">
      <w:pPr>
        <w:spacing w:after="0"/>
        <w:jc w:val="left"/>
        <w:rPr>
          <w:rFonts w:ascii="Arial" w:hAnsi="Arial" w:cs="Arial"/>
          <w:sz w:val="22"/>
          <w:szCs w:val="22"/>
        </w:rPr>
      </w:pPr>
    </w:p>
    <w:p w14:paraId="518500B8" w14:textId="5EAF6242" w:rsidR="00821A0A" w:rsidRDefault="00962F66" w:rsidP="00821A0A">
      <w:pPr>
        <w:rPr>
          <w:rFonts w:ascii="Arial" w:hAnsi="Arial" w:cs="Arial"/>
          <w:sz w:val="22"/>
          <w:szCs w:val="22"/>
        </w:rPr>
      </w:pPr>
      <w:r>
        <w:rPr>
          <w:rFonts w:ascii="Arial" w:hAnsi="Arial" w:cs="Arial"/>
          <w:sz w:val="22"/>
          <w:szCs w:val="22"/>
        </w:rPr>
        <w:t>Así, s</w:t>
      </w:r>
      <w:r w:rsidR="00821A0A" w:rsidRPr="007F4A23">
        <w:rPr>
          <w:rFonts w:ascii="Arial" w:hAnsi="Arial" w:cs="Arial"/>
          <w:sz w:val="22"/>
          <w:szCs w:val="22"/>
        </w:rPr>
        <w:t xml:space="preserve">obre la base de los supuestos y los procedimientos descritos </w:t>
      </w:r>
      <w:r>
        <w:rPr>
          <w:rFonts w:ascii="Arial" w:hAnsi="Arial" w:cs="Arial"/>
          <w:sz w:val="22"/>
          <w:szCs w:val="22"/>
        </w:rPr>
        <w:t xml:space="preserve">anteriormente, </w:t>
      </w:r>
      <w:r w:rsidR="00821A0A" w:rsidRPr="007F4A23">
        <w:rPr>
          <w:rFonts w:ascii="Arial" w:hAnsi="Arial" w:cs="Arial"/>
          <w:sz w:val="22"/>
          <w:szCs w:val="22"/>
        </w:rPr>
        <w:t>se observa que en los escenario</w:t>
      </w:r>
      <w:r>
        <w:rPr>
          <w:rFonts w:ascii="Arial" w:hAnsi="Arial" w:cs="Arial"/>
          <w:sz w:val="22"/>
          <w:szCs w:val="22"/>
        </w:rPr>
        <w:t xml:space="preserve">s 2 y 3 </w:t>
      </w:r>
      <w:r w:rsidR="00821A0A" w:rsidRPr="007F4A23">
        <w:rPr>
          <w:rFonts w:ascii="Arial" w:hAnsi="Arial" w:cs="Arial"/>
          <w:sz w:val="22"/>
          <w:szCs w:val="22"/>
        </w:rPr>
        <w:t>el programa presenta beneficios netos que</w:t>
      </w:r>
      <w:r w:rsidR="00641662">
        <w:rPr>
          <w:rFonts w:ascii="Arial" w:hAnsi="Arial" w:cs="Arial"/>
          <w:sz w:val="22"/>
          <w:szCs w:val="22"/>
        </w:rPr>
        <w:t xml:space="preserve"> </w:t>
      </w:r>
      <w:r w:rsidR="00821A0A" w:rsidRPr="007F4A23">
        <w:rPr>
          <w:rFonts w:ascii="Arial" w:hAnsi="Arial" w:cs="Arial"/>
          <w:sz w:val="22"/>
          <w:szCs w:val="22"/>
        </w:rPr>
        <w:t>supera</w:t>
      </w:r>
      <w:r>
        <w:rPr>
          <w:rFonts w:ascii="Arial" w:hAnsi="Arial" w:cs="Arial"/>
          <w:sz w:val="22"/>
          <w:szCs w:val="22"/>
        </w:rPr>
        <w:t>n</w:t>
      </w:r>
      <w:r w:rsidR="00821A0A" w:rsidRPr="007F4A23">
        <w:rPr>
          <w:rFonts w:ascii="Arial" w:hAnsi="Arial" w:cs="Arial"/>
          <w:sz w:val="22"/>
          <w:szCs w:val="22"/>
        </w:rPr>
        <w:t xml:space="preserve"> la sumatoria de la inversión y los costos anuales de operación del Programa. </w:t>
      </w:r>
    </w:p>
    <w:p w14:paraId="518500B9" w14:textId="77777777" w:rsidR="00211EE7" w:rsidRPr="007F4A23" w:rsidRDefault="00211EE7">
      <w:pPr>
        <w:spacing w:after="0"/>
        <w:jc w:val="left"/>
        <w:rPr>
          <w:rFonts w:ascii="Arial" w:hAnsi="Arial" w:cs="Arial"/>
          <w:b/>
          <w:smallCaps/>
          <w:sz w:val="22"/>
          <w:szCs w:val="22"/>
        </w:rPr>
      </w:pPr>
    </w:p>
    <w:p w14:paraId="518500BA" w14:textId="77777777" w:rsidR="00211EE7" w:rsidRPr="007F4A23" w:rsidRDefault="00821A0A" w:rsidP="00FF578E">
      <w:pPr>
        <w:pStyle w:val="Heading1"/>
        <w:numPr>
          <w:ilvl w:val="0"/>
          <w:numId w:val="32"/>
        </w:numPr>
        <w:rPr>
          <w:rFonts w:ascii="Arial" w:hAnsi="Arial" w:cs="Arial"/>
          <w:sz w:val="22"/>
          <w:szCs w:val="22"/>
        </w:rPr>
      </w:pPr>
      <w:r w:rsidRPr="007F4A23">
        <w:rPr>
          <w:rFonts w:ascii="Arial" w:hAnsi="Arial" w:cs="Arial"/>
          <w:sz w:val="22"/>
          <w:szCs w:val="22"/>
        </w:rPr>
        <w:t>Consideraciones finales</w:t>
      </w:r>
    </w:p>
    <w:p w14:paraId="518500BB" w14:textId="149A631F" w:rsidR="00750A0D" w:rsidRPr="007F4A23" w:rsidRDefault="00211EE7" w:rsidP="00211EE7">
      <w:pPr>
        <w:rPr>
          <w:rFonts w:ascii="Arial" w:hAnsi="Arial" w:cs="Arial"/>
          <w:sz w:val="22"/>
          <w:szCs w:val="22"/>
        </w:rPr>
      </w:pPr>
      <w:r w:rsidRPr="007F4A23">
        <w:rPr>
          <w:rFonts w:ascii="Arial" w:hAnsi="Arial" w:cs="Arial"/>
          <w:sz w:val="22"/>
          <w:szCs w:val="22"/>
        </w:rPr>
        <w:t xml:space="preserve">Las estimaciones </w:t>
      </w:r>
      <w:r w:rsidR="00750A0D" w:rsidRPr="007F4A23">
        <w:rPr>
          <w:rFonts w:ascii="Arial" w:hAnsi="Arial" w:cs="Arial"/>
          <w:sz w:val="22"/>
          <w:szCs w:val="22"/>
        </w:rPr>
        <w:t xml:space="preserve">de beneficios directos </w:t>
      </w:r>
      <w:r w:rsidRPr="007F4A23">
        <w:rPr>
          <w:rFonts w:ascii="Arial" w:hAnsi="Arial" w:cs="Arial"/>
          <w:sz w:val="22"/>
          <w:szCs w:val="22"/>
        </w:rPr>
        <w:t>implementadas para la evaluación costo/beneficio del Programa de Fortalecimiento de la Gestión del Sector Educativo</w:t>
      </w:r>
      <w:r w:rsidR="00750A0D" w:rsidRPr="007F4A23">
        <w:rPr>
          <w:rFonts w:ascii="Arial" w:hAnsi="Arial" w:cs="Arial"/>
          <w:sz w:val="22"/>
          <w:szCs w:val="22"/>
        </w:rPr>
        <w:t xml:space="preserve"> se fundamentan principalmente en el efecto de una mayor cantidad de egresados de educación secundaria y por consiguiente, una mayor cantidad de personas que habiendo terminado o no dicho nivel educacional gozarán de salarios mayores que los que hubieran obtenido por el término de su educación secundaria, habiéndose estimado </w:t>
      </w:r>
      <w:r w:rsidR="00750A0D" w:rsidRPr="007F4A23">
        <w:rPr>
          <w:rFonts w:ascii="Arial" w:hAnsi="Arial" w:cs="Arial"/>
          <w:sz w:val="22"/>
          <w:szCs w:val="22"/>
        </w:rPr>
        <w:lastRenderedPageBreak/>
        <w:t xml:space="preserve">dichos premios mediante </w:t>
      </w:r>
      <w:r w:rsidR="00750A0D" w:rsidRPr="4C30D4F6">
        <w:rPr>
          <w:rFonts w:ascii="Arial" w:hAnsi="Arial" w:cs="Arial"/>
          <w:sz w:val="22"/>
          <w:szCs w:val="22"/>
        </w:rPr>
        <w:t>regresiones</w:t>
      </w:r>
      <w:r w:rsidR="00750A0D" w:rsidRPr="007F4A23">
        <w:rPr>
          <w:rFonts w:ascii="Arial" w:hAnsi="Arial" w:cs="Arial"/>
          <w:sz w:val="22"/>
          <w:szCs w:val="22"/>
        </w:rPr>
        <w:t xml:space="preserve"> de Mincer tanto para el caso de</w:t>
      </w:r>
      <w:r w:rsidR="00272AED">
        <w:rPr>
          <w:rFonts w:ascii="Arial" w:hAnsi="Arial" w:cs="Arial"/>
          <w:sz w:val="22"/>
          <w:szCs w:val="22"/>
        </w:rPr>
        <w:t xml:space="preserve"> t</w:t>
      </w:r>
      <w:r w:rsidR="00750A0D" w:rsidRPr="007F4A23">
        <w:rPr>
          <w:rFonts w:ascii="Arial" w:hAnsi="Arial" w:cs="Arial"/>
          <w:sz w:val="22"/>
          <w:szCs w:val="22"/>
        </w:rPr>
        <w:t xml:space="preserve">itulados como de no titulados en </w:t>
      </w:r>
      <w:r w:rsidR="00272AED">
        <w:rPr>
          <w:rFonts w:ascii="Arial" w:hAnsi="Arial" w:cs="Arial"/>
          <w:sz w:val="22"/>
          <w:szCs w:val="22"/>
        </w:rPr>
        <w:t>e</w:t>
      </w:r>
      <w:r w:rsidR="00750A0D" w:rsidRPr="007F4A23">
        <w:rPr>
          <w:rFonts w:ascii="Arial" w:hAnsi="Arial" w:cs="Arial"/>
          <w:sz w:val="22"/>
          <w:szCs w:val="22"/>
        </w:rPr>
        <w:t xml:space="preserve">ducación terciaria. </w:t>
      </w:r>
    </w:p>
    <w:p w14:paraId="518500BC" w14:textId="55898135" w:rsidR="001277DA" w:rsidRPr="0064384E" w:rsidRDefault="00272AED" w:rsidP="00211EE7">
      <w:pPr>
        <w:rPr>
          <w:rFonts w:ascii="Arial" w:hAnsi="Arial" w:cs="Arial"/>
          <w:sz w:val="22"/>
          <w:szCs w:val="22"/>
        </w:rPr>
      </w:pPr>
      <w:r w:rsidRPr="0064384E">
        <w:rPr>
          <w:rFonts w:ascii="Arial" w:hAnsi="Arial" w:cs="Arial"/>
          <w:sz w:val="22"/>
          <w:szCs w:val="22"/>
        </w:rPr>
        <w:t>Por el lado de los beneficios indirectos, estos se fundamentan en que el cambio en el modelo de gestión de la educación pública contribuirá a la reducción en las tasas de repetición generando un ahorro en costos de operación del sistema para volver a entregar prestaciones educacionales a los repitentes.</w:t>
      </w:r>
      <w:r w:rsidR="0064384E" w:rsidRPr="0064384E">
        <w:rPr>
          <w:rFonts w:ascii="Arial" w:hAnsi="Arial" w:cs="Arial"/>
          <w:sz w:val="22"/>
          <w:szCs w:val="22"/>
        </w:rPr>
        <w:t xml:space="preserve"> Considerando que </w:t>
      </w:r>
      <w:r w:rsidR="00B66353" w:rsidRPr="0064384E">
        <w:rPr>
          <w:rFonts w:ascii="Arial" w:hAnsi="Arial" w:cs="Arial"/>
          <w:sz w:val="22"/>
          <w:szCs w:val="22"/>
        </w:rPr>
        <w:t xml:space="preserve">la tasa de repitencia de los establecimientos municipales </w:t>
      </w:r>
      <w:r w:rsidR="0064384E" w:rsidRPr="0064384E">
        <w:rPr>
          <w:rFonts w:ascii="Arial" w:hAnsi="Arial" w:cs="Arial"/>
          <w:sz w:val="22"/>
          <w:szCs w:val="22"/>
        </w:rPr>
        <w:t xml:space="preserve">en educación básica es de 5% y en educación media es de un 8,1%, una reducción de un 1% resulta verosímil considerando estas tasas en establecimientos particulares subvencionados (3,1% y 4,8%) y privados (0,8% y 1,7%). </w:t>
      </w:r>
      <w:r w:rsidR="00B75D79" w:rsidRPr="0064384E">
        <w:rPr>
          <w:rFonts w:ascii="Arial" w:hAnsi="Arial" w:cs="Arial"/>
          <w:sz w:val="22"/>
          <w:szCs w:val="22"/>
        </w:rPr>
        <w:t>Adicional a esta constatación debe considerarse que en la estimación de estos beneficios indirectos no se ha incorporado la estimación de beneficios producto de la reducción en el costo de oportunidad para la sociedad de posponer el ingreso al mercado del trabajo de estos individuos.</w:t>
      </w:r>
    </w:p>
    <w:p w14:paraId="518500BD" w14:textId="2AA29E69" w:rsidR="00852DFA" w:rsidRPr="0064384E" w:rsidRDefault="00940A39" w:rsidP="00211EE7">
      <w:pPr>
        <w:rPr>
          <w:rFonts w:ascii="Arial" w:hAnsi="Arial" w:cs="Arial"/>
          <w:sz w:val="22"/>
          <w:szCs w:val="22"/>
        </w:rPr>
      </w:pPr>
      <w:r w:rsidRPr="0064384E">
        <w:rPr>
          <w:rFonts w:ascii="Arial" w:hAnsi="Arial" w:cs="Arial"/>
          <w:sz w:val="22"/>
          <w:szCs w:val="22"/>
        </w:rPr>
        <w:t>Por otro lado</w:t>
      </w:r>
      <w:r w:rsidR="00B75D79" w:rsidRPr="0064384E">
        <w:rPr>
          <w:rFonts w:ascii="Arial" w:hAnsi="Arial" w:cs="Arial"/>
          <w:sz w:val="22"/>
          <w:szCs w:val="22"/>
        </w:rPr>
        <w:t xml:space="preserve">, debe considerarse </w:t>
      </w:r>
      <w:r w:rsidR="0064384E">
        <w:rPr>
          <w:rFonts w:ascii="Arial" w:hAnsi="Arial" w:cs="Arial"/>
          <w:sz w:val="22"/>
          <w:szCs w:val="22"/>
        </w:rPr>
        <w:t xml:space="preserve">que dentro de los beneficios </w:t>
      </w:r>
      <w:r w:rsidR="00B75D79" w:rsidRPr="0064384E">
        <w:rPr>
          <w:rFonts w:ascii="Arial" w:hAnsi="Arial" w:cs="Arial"/>
          <w:sz w:val="22"/>
          <w:szCs w:val="22"/>
        </w:rPr>
        <w:t xml:space="preserve">resulta razonable suponer que el Programa también podría tener efectos en la proporción de sujetos que terminan sus estudios post secundarios lo que aumentaría adicionalmente el monto de los beneficios directos estimados, </w:t>
      </w:r>
      <w:r w:rsidR="0064384E">
        <w:rPr>
          <w:rFonts w:ascii="Arial" w:hAnsi="Arial" w:cs="Arial"/>
          <w:sz w:val="22"/>
          <w:szCs w:val="22"/>
        </w:rPr>
        <w:t xml:space="preserve">o un efecto en el nivel de </w:t>
      </w:r>
      <w:r w:rsidR="0064384E" w:rsidRPr="00272AED">
        <w:rPr>
          <w:rFonts w:ascii="Arial" w:hAnsi="Arial" w:cs="Arial"/>
          <w:sz w:val="22"/>
          <w:szCs w:val="22"/>
        </w:rPr>
        <w:t>deserción</w:t>
      </w:r>
      <w:r w:rsidR="0064384E">
        <w:rPr>
          <w:rFonts w:ascii="Arial" w:hAnsi="Arial" w:cs="Arial"/>
          <w:sz w:val="22"/>
          <w:szCs w:val="22"/>
        </w:rPr>
        <w:t xml:space="preserve"> en el sistema, efectos que no fueron considerados </w:t>
      </w:r>
      <w:r w:rsidR="00B75D79" w:rsidRPr="0064384E">
        <w:rPr>
          <w:rFonts w:ascii="Arial" w:hAnsi="Arial" w:cs="Arial"/>
          <w:sz w:val="22"/>
          <w:szCs w:val="22"/>
        </w:rPr>
        <w:t xml:space="preserve">en esa evaluación por no contar con evidencia que permita establecer </w:t>
      </w:r>
      <w:r w:rsidR="00CB2A37" w:rsidRPr="0064384E">
        <w:rPr>
          <w:rFonts w:ascii="Arial" w:hAnsi="Arial" w:cs="Arial"/>
          <w:sz w:val="22"/>
          <w:szCs w:val="22"/>
        </w:rPr>
        <w:t>una relación entre este tipo de inversiones y el aumento en la proporción de sujetos que terminan la educación superior</w:t>
      </w:r>
      <w:r w:rsidR="0064384E">
        <w:rPr>
          <w:rFonts w:ascii="Arial" w:hAnsi="Arial" w:cs="Arial"/>
          <w:sz w:val="22"/>
          <w:szCs w:val="22"/>
        </w:rPr>
        <w:t xml:space="preserve"> o en una reducción en la deserción</w:t>
      </w:r>
      <w:r w:rsidR="00CB2A37" w:rsidRPr="0064384E">
        <w:rPr>
          <w:rFonts w:ascii="Arial" w:hAnsi="Arial" w:cs="Arial"/>
          <w:sz w:val="22"/>
          <w:szCs w:val="22"/>
        </w:rPr>
        <w:t>, circunstancia que da cuenta de que incluso los resultados positivos observados son el producto de supuestos más bien moderados respecto de otros beneficios del Programa.</w:t>
      </w:r>
    </w:p>
    <w:p w14:paraId="518500BF" w14:textId="2595A700" w:rsidR="00750A0D" w:rsidRDefault="00334102" w:rsidP="0064384E">
      <w:pPr>
        <w:rPr>
          <w:rFonts w:ascii="Arial" w:hAnsi="Arial" w:cs="Arial"/>
          <w:sz w:val="22"/>
          <w:szCs w:val="22"/>
        </w:rPr>
      </w:pPr>
      <w:r w:rsidRPr="007F4A23">
        <w:rPr>
          <w:rFonts w:ascii="Arial" w:hAnsi="Arial" w:cs="Arial"/>
          <w:sz w:val="22"/>
          <w:szCs w:val="22"/>
        </w:rPr>
        <w:t xml:space="preserve">Finalmente, debe decirse que las estimaciones realizadas en este estudio se consideran un piso ya que </w:t>
      </w:r>
      <w:r w:rsidR="0064384E" w:rsidRPr="0064384E">
        <w:rPr>
          <w:rFonts w:ascii="Arial" w:hAnsi="Arial" w:cs="Arial"/>
          <w:sz w:val="22"/>
          <w:szCs w:val="22"/>
        </w:rPr>
        <w:t>solo consideran los estudiantes de los primeros 11 SLEP y no a toda la matricula que se verá beneficiada por el Programa; no considera</w:t>
      </w:r>
      <w:r w:rsidR="0064384E">
        <w:rPr>
          <w:rFonts w:ascii="Arial" w:hAnsi="Arial" w:cs="Arial"/>
          <w:sz w:val="22"/>
          <w:szCs w:val="22"/>
        </w:rPr>
        <w:t>n</w:t>
      </w:r>
      <w:r w:rsidR="0064384E" w:rsidRPr="0064384E">
        <w:rPr>
          <w:rFonts w:ascii="Arial" w:hAnsi="Arial" w:cs="Arial"/>
          <w:sz w:val="22"/>
          <w:szCs w:val="22"/>
        </w:rPr>
        <w:t xml:space="preserve"> un aumento en la matricula publica, a pesar de ser uno de los objetivos de la Estrategia Nacional de Educación Pública</w:t>
      </w:r>
      <w:r w:rsidR="0064384E">
        <w:rPr>
          <w:rFonts w:ascii="Arial" w:hAnsi="Arial" w:cs="Arial"/>
          <w:sz w:val="22"/>
          <w:szCs w:val="22"/>
        </w:rPr>
        <w:t xml:space="preserve">; y </w:t>
      </w:r>
      <w:r w:rsidRPr="007F4A23">
        <w:rPr>
          <w:rFonts w:ascii="Arial" w:hAnsi="Arial" w:cs="Arial"/>
          <w:sz w:val="22"/>
          <w:szCs w:val="22"/>
        </w:rPr>
        <w:t>o incorporan externalidades positivas asociadas a mejoras en la educación de la población, tales como el impacto en menor criminalidad y drogadicción o ahorros en gastos en salud.</w:t>
      </w:r>
    </w:p>
    <w:p w14:paraId="46FAB2EA" w14:textId="77777777" w:rsidR="00471355" w:rsidRDefault="00471355">
      <w:pPr>
        <w:spacing w:after="0"/>
        <w:jc w:val="left"/>
        <w:rPr>
          <w:rFonts w:ascii="Arial" w:hAnsi="Arial" w:cs="Arial"/>
          <w:sz w:val="22"/>
          <w:szCs w:val="22"/>
          <w:lang w:eastAsia="es-CL"/>
        </w:rPr>
        <w:sectPr w:rsidR="00471355" w:rsidSect="00957124">
          <w:headerReference w:type="default" r:id="rId11"/>
          <w:footerReference w:type="default" r:id="rId12"/>
          <w:pgSz w:w="11906" w:h="16838"/>
          <w:pgMar w:top="1755" w:right="1701" w:bottom="1417" w:left="1701" w:header="708" w:footer="708" w:gutter="0"/>
          <w:cols w:space="708"/>
          <w:docGrid w:linePitch="360"/>
        </w:sectPr>
      </w:pPr>
    </w:p>
    <w:p w14:paraId="518500C0" w14:textId="07BA08F5" w:rsidR="005A4393" w:rsidRPr="007F4A23" w:rsidRDefault="00D008E3" w:rsidP="005A4393">
      <w:pPr>
        <w:pStyle w:val="Heading1"/>
        <w:numPr>
          <w:ilvl w:val="0"/>
          <w:numId w:val="0"/>
        </w:numPr>
        <w:jc w:val="both"/>
        <w:divId w:val="411853866"/>
        <w:rPr>
          <w:rFonts w:ascii="Arial" w:hAnsi="Arial" w:cs="Arial"/>
          <w:sz w:val="22"/>
          <w:szCs w:val="22"/>
        </w:rPr>
      </w:pPr>
      <w:r>
        <w:rPr>
          <w:rFonts w:ascii="Arial" w:hAnsi="Arial" w:cs="Arial"/>
          <w:sz w:val="22"/>
          <w:szCs w:val="22"/>
        </w:rPr>
        <w:lastRenderedPageBreak/>
        <w:t>R</w:t>
      </w:r>
      <w:r w:rsidR="005A4393" w:rsidRPr="007F4A23">
        <w:rPr>
          <w:rFonts w:ascii="Arial" w:hAnsi="Arial" w:cs="Arial"/>
          <w:sz w:val="22"/>
          <w:szCs w:val="22"/>
        </w:rPr>
        <w:t>EFERENCIAS</w:t>
      </w:r>
    </w:p>
    <w:p w14:paraId="09949A4C" w14:textId="77777777" w:rsidR="00B33B07" w:rsidRDefault="00881DE1">
      <w:pPr>
        <w:pStyle w:val="NormalWeb"/>
        <w:ind w:left="480" w:hanging="480"/>
        <w:divId w:val="411853866"/>
        <w:rPr>
          <w:rFonts w:ascii="Arial" w:hAnsi="Arial" w:cs="Arial"/>
          <w:sz w:val="22"/>
          <w:szCs w:val="22"/>
        </w:rPr>
      </w:pPr>
      <w:r>
        <w:rPr>
          <w:rFonts w:ascii="Arial" w:hAnsi="Arial" w:cs="Arial"/>
          <w:sz w:val="22"/>
          <w:szCs w:val="22"/>
        </w:rPr>
        <w:t>Agencia de la Calidad, 201</w:t>
      </w:r>
      <w:r w:rsidR="00B33B07">
        <w:rPr>
          <w:rFonts w:ascii="Arial" w:hAnsi="Arial" w:cs="Arial"/>
          <w:sz w:val="22"/>
          <w:szCs w:val="22"/>
        </w:rPr>
        <w:t xml:space="preserve">6. Resultados educativos 2016. Disponible en: </w:t>
      </w:r>
      <w:hyperlink r:id="rId13" w:history="1">
        <w:r w:rsidR="00B33B07" w:rsidRPr="003D26E6">
          <w:rPr>
            <w:rStyle w:val="Hyperlink"/>
            <w:rFonts w:ascii="Arial" w:hAnsi="Arial" w:cs="Arial"/>
            <w:sz w:val="22"/>
            <w:szCs w:val="22"/>
          </w:rPr>
          <w:t>http://archivos.agenciaeducacion.cl/ResultadosNacionales2016_.pdf</w:t>
        </w:r>
      </w:hyperlink>
      <w:r w:rsidR="00B33B07" w:rsidRPr="007F4A23">
        <w:rPr>
          <w:rFonts w:ascii="Arial" w:hAnsi="Arial" w:cs="Arial"/>
          <w:sz w:val="22"/>
          <w:szCs w:val="22"/>
        </w:rPr>
        <w:t xml:space="preserve"> </w:t>
      </w:r>
      <w:r w:rsidR="00B33B07">
        <w:rPr>
          <w:rFonts w:ascii="Arial" w:hAnsi="Arial" w:cs="Arial"/>
          <w:sz w:val="22"/>
          <w:szCs w:val="22"/>
        </w:rPr>
        <w:t xml:space="preserve"> </w:t>
      </w:r>
    </w:p>
    <w:p w14:paraId="518500C1" w14:textId="56BB1A3F" w:rsidR="005A4393" w:rsidRPr="003D26E6" w:rsidRDefault="00222A4E">
      <w:pPr>
        <w:pStyle w:val="NormalWeb"/>
        <w:ind w:left="480" w:hanging="480"/>
        <w:divId w:val="411853866"/>
        <w:rPr>
          <w:rFonts w:ascii="Arial" w:hAnsi="Arial" w:cs="Arial"/>
          <w:sz w:val="22"/>
          <w:szCs w:val="22"/>
          <w:lang w:val="es-ES"/>
        </w:rPr>
      </w:pPr>
      <w:r w:rsidRPr="007F4A23">
        <w:rPr>
          <w:rFonts w:ascii="Arial" w:hAnsi="Arial" w:cs="Arial"/>
          <w:sz w:val="22"/>
          <w:szCs w:val="22"/>
        </w:rPr>
        <w:fldChar w:fldCharType="begin" w:fldLock="1"/>
      </w:r>
      <w:r w:rsidRPr="007F4A23">
        <w:rPr>
          <w:rFonts w:ascii="Arial" w:hAnsi="Arial" w:cs="Arial"/>
          <w:sz w:val="22"/>
          <w:szCs w:val="22"/>
        </w:rPr>
        <w:instrText xml:space="preserve">ADDIN Mendeley Bibliography CSL_BIBLIOGRAPHY </w:instrText>
      </w:r>
      <w:r w:rsidRPr="007F4A23">
        <w:rPr>
          <w:rFonts w:ascii="Arial" w:hAnsi="Arial" w:cs="Arial"/>
          <w:sz w:val="22"/>
          <w:szCs w:val="22"/>
        </w:rPr>
        <w:fldChar w:fldCharType="separate"/>
      </w:r>
      <w:r w:rsidR="005A4393" w:rsidRPr="007F4A23">
        <w:rPr>
          <w:rFonts w:ascii="Arial" w:hAnsi="Arial" w:cs="Arial"/>
          <w:noProof/>
          <w:sz w:val="22"/>
          <w:szCs w:val="22"/>
        </w:rPr>
        <w:t xml:space="preserve">Arellano, S. &amp; Braun, M., 1999. Rentabilidad de la educacion formal en Chile. </w:t>
      </w:r>
      <w:r w:rsidR="005A4393" w:rsidRPr="003D26E6">
        <w:rPr>
          <w:rFonts w:ascii="Arial" w:hAnsi="Arial" w:cs="Arial"/>
          <w:i/>
          <w:sz w:val="22"/>
          <w:szCs w:val="22"/>
          <w:lang w:val="es-ES"/>
        </w:rPr>
        <w:t>Cuadernos de Economia</w:t>
      </w:r>
      <w:r w:rsidR="005A4393" w:rsidRPr="003D26E6">
        <w:rPr>
          <w:rFonts w:ascii="Arial" w:hAnsi="Arial" w:cs="Arial"/>
          <w:sz w:val="22"/>
          <w:szCs w:val="22"/>
          <w:lang w:val="es-ES"/>
        </w:rPr>
        <w:t>, 36(107), pp.685–724.</w:t>
      </w:r>
    </w:p>
    <w:p w14:paraId="62EACC4F" w14:textId="5F6D8C5C" w:rsidR="00244003" w:rsidRPr="003D26E6" w:rsidRDefault="00244003">
      <w:pPr>
        <w:pStyle w:val="NormalWeb"/>
        <w:ind w:left="480" w:hanging="480"/>
        <w:divId w:val="411853866"/>
        <w:rPr>
          <w:rFonts w:ascii="Arial" w:eastAsiaTheme="minorEastAsia" w:hAnsi="Arial" w:cs="Arial"/>
          <w:sz w:val="22"/>
          <w:szCs w:val="22"/>
          <w:lang w:val="es-ES"/>
        </w:rPr>
      </w:pPr>
      <w:r w:rsidRPr="003D26E6">
        <w:rPr>
          <w:rFonts w:ascii="Arial" w:hAnsi="Arial" w:cs="Arial"/>
          <w:sz w:val="22"/>
          <w:szCs w:val="22"/>
          <w:lang w:val="es-ES"/>
        </w:rPr>
        <w:t>Centro de Estudios</w:t>
      </w:r>
      <w:r>
        <w:rPr>
          <w:rFonts w:ascii="Arial" w:hAnsi="Arial" w:cs="Arial"/>
          <w:sz w:val="22"/>
          <w:szCs w:val="22"/>
          <w:lang w:val="es-ES"/>
        </w:rPr>
        <w:t xml:space="preserve">, </w:t>
      </w:r>
      <w:r w:rsidRPr="003D26E6">
        <w:rPr>
          <w:rFonts w:ascii="Arial" w:hAnsi="Arial" w:cs="Arial"/>
          <w:sz w:val="22"/>
          <w:szCs w:val="22"/>
          <w:lang w:val="es-ES"/>
        </w:rPr>
        <w:t>2018.</w:t>
      </w:r>
      <w:r>
        <w:rPr>
          <w:rFonts w:ascii="Arial" w:hAnsi="Arial" w:cs="Arial"/>
          <w:sz w:val="22"/>
          <w:szCs w:val="22"/>
          <w:lang w:val="es-ES"/>
        </w:rPr>
        <w:t xml:space="preserve"> Indicadores de la educación en Chile 2010-2016. Ministerio de Educación. Disponible en: </w:t>
      </w:r>
      <w:r w:rsidRPr="00244003">
        <w:rPr>
          <w:rFonts w:ascii="Arial" w:hAnsi="Arial" w:cs="Arial"/>
          <w:sz w:val="22"/>
          <w:szCs w:val="22"/>
          <w:lang w:val="es-ES"/>
        </w:rPr>
        <w:t>https://centroestudios.mineduc.cl/wp-content/uploads/sites/100/2018/03/INDICADORES_baja.pdf</w:t>
      </w:r>
      <w:r>
        <w:rPr>
          <w:rFonts w:ascii="Arial" w:hAnsi="Arial" w:cs="Arial"/>
          <w:sz w:val="22"/>
          <w:szCs w:val="22"/>
          <w:lang w:val="es-ES"/>
        </w:rPr>
        <w:t xml:space="preserve"> </w:t>
      </w:r>
    </w:p>
    <w:p w14:paraId="518500C2" w14:textId="77777777" w:rsidR="005A4393" w:rsidRPr="007F4A23" w:rsidRDefault="005A4393">
      <w:pPr>
        <w:pStyle w:val="NormalWeb"/>
        <w:ind w:left="480" w:hanging="480"/>
        <w:divId w:val="411853866"/>
        <w:rPr>
          <w:rFonts w:ascii="Arial" w:hAnsi="Arial" w:cs="Arial"/>
          <w:noProof/>
          <w:sz w:val="22"/>
          <w:szCs w:val="22"/>
          <w:lang w:val="en-US"/>
        </w:rPr>
      </w:pPr>
      <w:r w:rsidRPr="005215F8">
        <w:rPr>
          <w:rFonts w:ascii="Arial" w:hAnsi="Arial" w:cs="Arial"/>
          <w:noProof/>
          <w:sz w:val="22"/>
          <w:szCs w:val="22"/>
          <w:lang w:val="en-US"/>
        </w:rPr>
        <w:t xml:space="preserve">Contreras, D. et al., 2012. </w:t>
      </w:r>
      <w:r w:rsidRPr="007F4A23">
        <w:rPr>
          <w:rFonts w:ascii="Arial" w:hAnsi="Arial" w:cs="Arial"/>
          <w:noProof/>
          <w:sz w:val="22"/>
          <w:szCs w:val="22"/>
          <w:lang w:val="en-US"/>
        </w:rPr>
        <w:t>The origins of inequality in chile. , pp.1–36.</w:t>
      </w:r>
    </w:p>
    <w:p w14:paraId="518500C4" w14:textId="77777777"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fr-FR"/>
        </w:rPr>
        <w:t xml:space="preserve">Honig, M.I. et al., 2010. </w:t>
      </w:r>
      <w:r w:rsidRPr="007F4A23">
        <w:rPr>
          <w:rFonts w:ascii="Arial" w:hAnsi="Arial" w:cs="Arial"/>
          <w:noProof/>
          <w:sz w:val="22"/>
          <w:szCs w:val="22"/>
          <w:lang w:val="en-US"/>
        </w:rPr>
        <w:t>Central Office Transformation for District-wide Teaching and Learning Improvement – Executive Summary The Study of Leadership for Learning Improvement. , (April).</w:t>
      </w:r>
    </w:p>
    <w:p w14:paraId="518500C5" w14:textId="77777777"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en-US"/>
        </w:rPr>
        <w:t xml:space="preserve">Mincer, J., 1974. </w:t>
      </w:r>
      <w:r w:rsidRPr="007F4A23">
        <w:rPr>
          <w:rFonts w:ascii="Arial" w:hAnsi="Arial" w:cs="Arial"/>
          <w:i/>
          <w:iCs/>
          <w:noProof/>
          <w:sz w:val="22"/>
          <w:szCs w:val="22"/>
          <w:lang w:val="en-US"/>
        </w:rPr>
        <w:t>Schooling, Experience, and Earnings. Human Behavior &amp; Social Institutions No. 2</w:t>
      </w:r>
      <w:r w:rsidRPr="007F4A23">
        <w:rPr>
          <w:rFonts w:ascii="Arial" w:hAnsi="Arial" w:cs="Arial"/>
          <w:noProof/>
          <w:sz w:val="22"/>
          <w:szCs w:val="22"/>
          <w:lang w:val="en-US"/>
        </w:rPr>
        <w:t>, Available at: http://www.eric.ed.gov/ERICWebPortal/detail?accno=ED103621.</w:t>
      </w:r>
    </w:p>
    <w:p w14:paraId="518500C6" w14:textId="77777777"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en-US"/>
        </w:rPr>
        <w:t xml:space="preserve">OECD, 2014. </w:t>
      </w:r>
      <w:r w:rsidRPr="007F4A23">
        <w:rPr>
          <w:rFonts w:ascii="Arial" w:hAnsi="Arial" w:cs="Arial"/>
          <w:i/>
          <w:iCs/>
          <w:noProof/>
          <w:sz w:val="22"/>
          <w:szCs w:val="22"/>
          <w:lang w:val="en-US"/>
        </w:rPr>
        <w:t>Education at a Glance 2014: OECD Indicators</w:t>
      </w:r>
      <w:r w:rsidRPr="007F4A23">
        <w:rPr>
          <w:rFonts w:ascii="Arial" w:hAnsi="Arial" w:cs="Arial"/>
          <w:noProof/>
          <w:sz w:val="22"/>
          <w:szCs w:val="22"/>
          <w:lang w:val="en-US"/>
        </w:rPr>
        <w:t>,</w:t>
      </w:r>
    </w:p>
    <w:p w14:paraId="518500C7" w14:textId="77777777" w:rsidR="005A4393" w:rsidRPr="005002EE" w:rsidRDefault="005A4393">
      <w:pPr>
        <w:pStyle w:val="NormalWeb"/>
        <w:ind w:left="480" w:hanging="480"/>
        <w:divId w:val="411853866"/>
        <w:rPr>
          <w:rFonts w:ascii="Arial" w:hAnsi="Arial" w:cs="Arial"/>
          <w:sz w:val="22"/>
          <w:szCs w:val="22"/>
          <w:lang w:val="en-US"/>
        </w:rPr>
      </w:pPr>
      <w:r w:rsidRPr="005002EE">
        <w:rPr>
          <w:rFonts w:ascii="Arial" w:hAnsi="Arial" w:cs="Arial"/>
          <w:sz w:val="22"/>
          <w:szCs w:val="22"/>
          <w:lang w:val="en-US"/>
        </w:rPr>
        <w:t>Pisa, T., 2011. in Focus. , 10, pp.1–4.</w:t>
      </w:r>
    </w:p>
    <w:p w14:paraId="518500C8" w14:textId="38D1E332" w:rsidR="005A4393" w:rsidRPr="003D26E6" w:rsidRDefault="005A4393">
      <w:pPr>
        <w:pStyle w:val="NormalWeb"/>
        <w:ind w:left="480" w:hanging="480"/>
        <w:divId w:val="411853866"/>
        <w:rPr>
          <w:rFonts w:ascii="Arial" w:hAnsi="Arial" w:cs="Arial"/>
          <w:noProof/>
          <w:sz w:val="22"/>
          <w:szCs w:val="22"/>
          <w:lang w:val="es-ES"/>
        </w:rPr>
      </w:pPr>
      <w:r w:rsidRPr="007F4A23">
        <w:rPr>
          <w:rFonts w:ascii="Arial" w:hAnsi="Arial" w:cs="Arial"/>
          <w:noProof/>
          <w:sz w:val="22"/>
          <w:szCs w:val="22"/>
        </w:rPr>
        <w:t xml:space="preserve">Reyes, L., Rodríguez, J. &amp; Urzúa, S., 2013. </w:t>
      </w:r>
      <w:r w:rsidRPr="007F4A23">
        <w:rPr>
          <w:rFonts w:ascii="Arial" w:hAnsi="Arial" w:cs="Arial"/>
          <w:i/>
          <w:iCs/>
          <w:noProof/>
          <w:sz w:val="22"/>
          <w:szCs w:val="22"/>
          <w:lang w:val="en-US"/>
        </w:rPr>
        <w:t>Heterogeneous Economic Returns to Postsecondary Degrees: Evidence from Chile</w:t>
      </w:r>
      <w:r w:rsidRPr="007F4A23">
        <w:rPr>
          <w:rFonts w:ascii="Arial" w:hAnsi="Arial" w:cs="Arial"/>
          <w:noProof/>
          <w:sz w:val="22"/>
          <w:szCs w:val="22"/>
          <w:lang w:val="en-US"/>
        </w:rPr>
        <w:t xml:space="preserve">, Cambridge, MA. </w:t>
      </w:r>
      <w:r w:rsidRPr="003D26E6">
        <w:rPr>
          <w:rFonts w:ascii="Arial" w:hAnsi="Arial" w:cs="Arial"/>
          <w:noProof/>
          <w:sz w:val="22"/>
          <w:szCs w:val="22"/>
          <w:lang w:val="es-ES"/>
        </w:rPr>
        <w:t>Available at: http://www.nber.org/papers/w18817.pdf.</w:t>
      </w:r>
    </w:p>
    <w:p w14:paraId="6705BBD2" w14:textId="3CA8D3BB" w:rsidR="006C135F" w:rsidRPr="003D26E6" w:rsidRDefault="006C135F">
      <w:pPr>
        <w:pStyle w:val="NormalWeb"/>
        <w:ind w:left="480" w:hanging="480"/>
        <w:divId w:val="411853866"/>
        <w:rPr>
          <w:rFonts w:ascii="Arial" w:hAnsi="Arial" w:cs="Arial"/>
          <w:noProof/>
          <w:sz w:val="22"/>
          <w:szCs w:val="22"/>
          <w:lang w:val="es-ES"/>
        </w:rPr>
      </w:pPr>
      <w:r w:rsidRPr="003D26E6">
        <w:rPr>
          <w:rFonts w:ascii="Arial" w:hAnsi="Arial" w:cs="Arial"/>
          <w:noProof/>
          <w:sz w:val="22"/>
          <w:szCs w:val="22"/>
          <w:lang w:val="es-ES"/>
        </w:rPr>
        <w:t>Sistema de Información de E</w:t>
      </w:r>
      <w:r>
        <w:rPr>
          <w:rFonts w:ascii="Arial" w:hAnsi="Arial" w:cs="Arial"/>
          <w:noProof/>
          <w:sz w:val="22"/>
          <w:szCs w:val="22"/>
          <w:lang w:val="es-ES"/>
        </w:rPr>
        <w:t xml:space="preserve">ducación Superior (SIES), 2018. Informe de acceso a educación superior 2018. Disponible en: </w:t>
      </w:r>
      <w:r w:rsidRPr="006C135F">
        <w:rPr>
          <w:rFonts w:ascii="Arial" w:hAnsi="Arial" w:cs="Arial"/>
          <w:noProof/>
          <w:sz w:val="22"/>
          <w:szCs w:val="22"/>
          <w:lang w:val="es-ES"/>
        </w:rPr>
        <w:t>https://www.mifuturo.cl/wp-content/uploads/2019/03/Informe-Acceso-Educacio%CC%81n-Superior_10122018.pdf</w:t>
      </w:r>
      <w:r>
        <w:rPr>
          <w:rFonts w:ascii="Arial" w:hAnsi="Arial" w:cs="Arial"/>
          <w:noProof/>
          <w:sz w:val="22"/>
          <w:szCs w:val="22"/>
          <w:lang w:val="es-ES"/>
        </w:rPr>
        <w:t xml:space="preserve"> </w:t>
      </w:r>
    </w:p>
    <w:p w14:paraId="518500C9" w14:textId="77777777" w:rsidR="005A4393" w:rsidRPr="005002EE" w:rsidRDefault="005A4393">
      <w:pPr>
        <w:pStyle w:val="NormalWeb"/>
        <w:ind w:left="480" w:hanging="480"/>
        <w:divId w:val="411853866"/>
        <w:rPr>
          <w:rFonts w:ascii="Arial" w:hAnsi="Arial" w:cs="Arial"/>
          <w:sz w:val="22"/>
          <w:szCs w:val="22"/>
        </w:rPr>
      </w:pPr>
      <w:r w:rsidRPr="003D26E6">
        <w:rPr>
          <w:rFonts w:ascii="Arial" w:hAnsi="Arial" w:cs="Arial"/>
          <w:noProof/>
          <w:sz w:val="22"/>
          <w:szCs w:val="22"/>
          <w:lang w:val="es-ES"/>
        </w:rPr>
        <w:t xml:space="preserve">Urzúa, S., 2012. </w:t>
      </w:r>
      <w:r w:rsidRPr="007F4A23">
        <w:rPr>
          <w:rFonts w:ascii="Arial" w:hAnsi="Arial" w:cs="Arial"/>
          <w:noProof/>
          <w:sz w:val="22"/>
          <w:szCs w:val="22"/>
        </w:rPr>
        <w:t xml:space="preserve">La Rentabilidad de la Educación Superior en Chile: ¿ Educacion Superior para todos? </w:t>
      </w:r>
      <w:r w:rsidRPr="005002EE">
        <w:rPr>
          <w:rFonts w:ascii="Arial" w:hAnsi="Arial" w:cs="Arial"/>
          <w:i/>
          <w:sz w:val="22"/>
          <w:szCs w:val="22"/>
        </w:rPr>
        <w:t>Estudios Publicos - CEP</w:t>
      </w:r>
      <w:r w:rsidRPr="005002EE">
        <w:rPr>
          <w:rFonts w:ascii="Arial" w:hAnsi="Arial" w:cs="Arial"/>
          <w:sz w:val="22"/>
          <w:szCs w:val="22"/>
        </w:rPr>
        <w:t>, pp.1–43.</w:t>
      </w:r>
    </w:p>
    <w:p w14:paraId="518500CA" w14:textId="77777777" w:rsidR="005A4393" w:rsidRPr="007F4A23" w:rsidRDefault="005A4393">
      <w:pPr>
        <w:pStyle w:val="NormalWeb"/>
        <w:ind w:left="480" w:hanging="480"/>
        <w:divId w:val="411853866"/>
        <w:rPr>
          <w:rFonts w:ascii="Arial" w:hAnsi="Arial" w:cs="Arial"/>
          <w:noProof/>
          <w:sz w:val="22"/>
          <w:szCs w:val="22"/>
          <w:lang w:val="en-US"/>
        </w:rPr>
      </w:pPr>
      <w:r w:rsidRPr="005002EE">
        <w:rPr>
          <w:rFonts w:ascii="Arial" w:hAnsi="Arial" w:cs="Arial"/>
          <w:sz w:val="22"/>
          <w:szCs w:val="22"/>
        </w:rPr>
        <w:t xml:space="preserve">Whitehurst, G.J.R., Chingos, M.M. &amp; Gallaher, M.R., 2013. </w:t>
      </w:r>
      <w:r w:rsidRPr="007F4A23">
        <w:rPr>
          <w:rFonts w:ascii="Arial" w:hAnsi="Arial" w:cs="Arial"/>
          <w:noProof/>
          <w:sz w:val="22"/>
          <w:szCs w:val="22"/>
          <w:lang w:val="en-US"/>
        </w:rPr>
        <w:t>Do School District Matter? , (March).</w:t>
      </w:r>
    </w:p>
    <w:p w14:paraId="518500CB" w14:textId="77777777" w:rsidR="00AB4831" w:rsidRPr="007F4A23" w:rsidRDefault="00AB4831">
      <w:pPr>
        <w:spacing w:after="0"/>
        <w:jc w:val="left"/>
        <w:rPr>
          <w:rFonts w:ascii="Arial" w:hAnsi="Arial" w:cs="Arial"/>
          <w:noProof/>
          <w:sz w:val="22"/>
          <w:szCs w:val="22"/>
          <w:lang w:val="en-US" w:eastAsia="es-CL"/>
        </w:rPr>
      </w:pPr>
      <w:r w:rsidRPr="007F4A23">
        <w:rPr>
          <w:rFonts w:ascii="Arial" w:hAnsi="Arial" w:cs="Arial"/>
          <w:noProof/>
          <w:sz w:val="22"/>
          <w:szCs w:val="22"/>
          <w:lang w:val="en-US"/>
        </w:rPr>
        <w:br w:type="page"/>
      </w:r>
    </w:p>
    <w:p w14:paraId="518500CC" w14:textId="24069079" w:rsidR="00AB4831" w:rsidRPr="00F01BCC" w:rsidRDefault="00AB4831">
      <w:pPr>
        <w:pStyle w:val="NormalWeb"/>
        <w:ind w:left="480" w:hanging="480"/>
        <w:divId w:val="411853866"/>
        <w:rPr>
          <w:rFonts w:ascii="Arial" w:hAnsi="Arial" w:cs="Arial"/>
          <w:b/>
          <w:noProof/>
          <w:sz w:val="22"/>
          <w:szCs w:val="22"/>
          <w:lang w:val="es-ES_tradnl"/>
        </w:rPr>
      </w:pPr>
      <w:r w:rsidRPr="00F01BCC">
        <w:rPr>
          <w:rFonts w:ascii="Arial" w:hAnsi="Arial" w:cs="Arial"/>
          <w:b/>
          <w:noProof/>
          <w:sz w:val="22"/>
          <w:szCs w:val="22"/>
          <w:lang w:val="es-ES_tradnl"/>
        </w:rPr>
        <w:lastRenderedPageBreak/>
        <w:t>Anexo: Detalle del calculo de las estimaciones</w:t>
      </w:r>
    </w:p>
    <w:p w14:paraId="518500CD" w14:textId="77777777" w:rsidR="006079AD" w:rsidRPr="007F4A23" w:rsidRDefault="00222A4E" w:rsidP="006079A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sz w:val="22"/>
          <w:szCs w:val="22"/>
        </w:rPr>
      </w:pPr>
      <w:r w:rsidRPr="007F4A23">
        <w:rPr>
          <w:rFonts w:ascii="Arial" w:hAnsi="Arial" w:cs="Arial"/>
          <w:sz w:val="22"/>
          <w:szCs w:val="22"/>
        </w:rPr>
        <w:fldChar w:fldCharType="end"/>
      </w:r>
      <w:r w:rsidR="006079AD" w:rsidRPr="007F4A23">
        <w:rPr>
          <w:rFonts w:ascii="Arial" w:hAnsi="Arial" w:cs="Arial"/>
          <w:sz w:val="22"/>
          <w:szCs w:val="22"/>
        </w:rPr>
        <w:t>Archivo Excel con detalle de cálculo de las estimaciones</w:t>
      </w:r>
    </w:p>
    <w:p w14:paraId="518500CE" w14:textId="22A5A706" w:rsidR="003A30D0" w:rsidRPr="007F4A23" w:rsidRDefault="00FF578E" w:rsidP="00EA548C">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sz w:val="22"/>
          <w:szCs w:val="22"/>
        </w:rPr>
      </w:pPr>
      <w:hyperlink r:id="rId14" w:history="1">
        <w:r w:rsidR="00CB6F3F" w:rsidRPr="00CB6F3F">
          <w:rPr>
            <w:rStyle w:val="Hyperlink"/>
            <w:rFonts w:ascii="Arial" w:hAnsi="Arial" w:cs="Arial"/>
            <w:sz w:val="22"/>
            <w:szCs w:val="22"/>
          </w:rPr>
          <w:t>CH-L1081 Análisis Económico LS.xlsx</w:t>
        </w:r>
      </w:hyperlink>
    </w:p>
    <w:sectPr w:rsidR="003A30D0" w:rsidRPr="007F4A23" w:rsidSect="00FF578E">
      <w:pgSz w:w="11906" w:h="16838"/>
      <w:pgMar w:top="175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03F57" w14:textId="77777777" w:rsidR="0083132C" w:rsidRDefault="0083132C" w:rsidP="003A542A">
      <w:r>
        <w:separator/>
      </w:r>
    </w:p>
  </w:endnote>
  <w:endnote w:type="continuationSeparator" w:id="0">
    <w:p w14:paraId="32658243" w14:textId="77777777" w:rsidR="0083132C" w:rsidRDefault="0083132C" w:rsidP="003A542A">
      <w:r>
        <w:continuationSeparator/>
      </w:r>
    </w:p>
  </w:endnote>
  <w:endnote w:type="continuationNotice" w:id="1">
    <w:p w14:paraId="57994B83" w14:textId="77777777" w:rsidR="0083132C" w:rsidRDefault="008313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0D9" w14:textId="1455FF5F" w:rsidR="00641662" w:rsidRDefault="00641662" w:rsidP="003A542A">
    <w:pPr>
      <w:pStyle w:val="Footer"/>
    </w:pPr>
  </w:p>
  <w:p w14:paraId="518500DA" w14:textId="77777777" w:rsidR="00641662" w:rsidRDefault="00641662" w:rsidP="003A5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3F0FB" w14:textId="77777777" w:rsidR="0083132C" w:rsidRDefault="0083132C" w:rsidP="00802ADB">
      <w:pPr>
        <w:spacing w:after="0"/>
      </w:pPr>
      <w:r>
        <w:separator/>
      </w:r>
    </w:p>
  </w:footnote>
  <w:footnote w:type="continuationSeparator" w:id="0">
    <w:p w14:paraId="7183C11C" w14:textId="77777777" w:rsidR="0083132C" w:rsidRDefault="0083132C" w:rsidP="00802ADB">
      <w:pPr>
        <w:spacing w:after="0"/>
      </w:pPr>
      <w:r>
        <w:continuationSeparator/>
      </w:r>
    </w:p>
  </w:footnote>
  <w:footnote w:type="continuationNotice" w:id="1">
    <w:p w14:paraId="636DDF58" w14:textId="77777777" w:rsidR="0083132C" w:rsidRDefault="0083132C">
      <w:pPr>
        <w:spacing w:after="0"/>
      </w:pPr>
    </w:p>
  </w:footnote>
  <w:footnote w:id="2">
    <w:p w14:paraId="518500DB" w14:textId="7F8A9C90" w:rsidR="00641662" w:rsidRPr="00874B4D" w:rsidRDefault="00641662" w:rsidP="00874B4D">
      <w:pPr>
        <w:pStyle w:val="FootnoteText"/>
        <w:spacing w:after="0"/>
        <w:ind w:left="360" w:hanging="360"/>
        <w:rPr>
          <w:rFonts w:ascii="Arial" w:hAnsi="Arial" w:cs="Arial"/>
          <w:sz w:val="18"/>
          <w:szCs w:val="18"/>
          <w:lang w:val="es-CL"/>
        </w:rPr>
      </w:pPr>
      <w:r w:rsidRPr="00874B4D">
        <w:rPr>
          <w:rStyle w:val="FootnoteReference"/>
          <w:rFonts w:ascii="Arial" w:hAnsi="Arial" w:cs="Arial"/>
          <w:sz w:val="18"/>
          <w:szCs w:val="18"/>
        </w:rPr>
        <w:footnoteRef/>
      </w:r>
      <w:r w:rsidRPr="00874B4D">
        <w:rPr>
          <w:rFonts w:ascii="Arial" w:hAnsi="Arial" w:cs="Arial"/>
          <w:sz w:val="18"/>
          <w:szCs w:val="18"/>
        </w:rPr>
        <w:t xml:space="preserve"> </w:t>
      </w:r>
      <w:r w:rsidRPr="00874B4D">
        <w:rPr>
          <w:rFonts w:ascii="Arial" w:hAnsi="Arial" w:cs="Arial"/>
          <w:sz w:val="18"/>
          <w:szCs w:val="18"/>
        </w:rPr>
        <w:tab/>
      </w:r>
      <w:r w:rsidRPr="00874B4D">
        <w:rPr>
          <w:rFonts w:ascii="Arial" w:hAnsi="Arial" w:cs="Arial"/>
          <w:sz w:val="18"/>
          <w:szCs w:val="18"/>
          <w:lang w:val="es-CL"/>
        </w:rPr>
        <w:t>Estimación efectuada sobre la base de la encuesta CASEN 2017 identificando del total de sujetos de los quintiles de ingreso autónomo del hogar I y II (hogares de donde provienen principalmente los estudiantes de colegios municipales), que ingresan a la educación terciaria aquellos que finalmente se gradúan. Esta proporción alcanza a un 78% en el caso del quintil de ingresos autónomo del hogar más alto.</w:t>
      </w:r>
    </w:p>
  </w:footnote>
  <w:footnote w:id="3">
    <w:p w14:paraId="518500DD" w14:textId="7C17E9E4" w:rsidR="00641662" w:rsidRPr="00874B4D" w:rsidRDefault="00641662" w:rsidP="00874B4D">
      <w:pPr>
        <w:pStyle w:val="FootnoteText"/>
        <w:spacing w:after="0"/>
        <w:ind w:left="360" w:hanging="360"/>
        <w:rPr>
          <w:rFonts w:ascii="Arial" w:hAnsi="Arial" w:cs="Arial"/>
          <w:sz w:val="18"/>
          <w:szCs w:val="18"/>
          <w:lang w:val="es-CL"/>
        </w:rPr>
      </w:pPr>
      <w:r w:rsidRPr="00874B4D">
        <w:rPr>
          <w:rStyle w:val="FootnoteReference"/>
          <w:rFonts w:ascii="Arial" w:hAnsi="Arial" w:cs="Arial"/>
          <w:sz w:val="18"/>
          <w:szCs w:val="18"/>
        </w:rPr>
        <w:footnoteRef/>
      </w:r>
      <w:r w:rsidRPr="00874B4D">
        <w:rPr>
          <w:rFonts w:ascii="Arial" w:hAnsi="Arial" w:cs="Arial"/>
          <w:sz w:val="18"/>
          <w:szCs w:val="18"/>
        </w:rPr>
        <w:t xml:space="preserve"> </w:t>
      </w:r>
      <w:r w:rsidRPr="00874B4D">
        <w:rPr>
          <w:rFonts w:ascii="Arial" w:hAnsi="Arial" w:cs="Arial"/>
          <w:sz w:val="18"/>
          <w:szCs w:val="18"/>
        </w:rPr>
        <w:tab/>
        <w:t xml:space="preserve">Centro de Estudios (2018). </w:t>
      </w:r>
    </w:p>
  </w:footnote>
  <w:footnote w:id="4">
    <w:p w14:paraId="77B72F77" w14:textId="53FE3F6E" w:rsidR="00641662" w:rsidRPr="00FF578E" w:rsidRDefault="00641662" w:rsidP="00FF578E">
      <w:pPr>
        <w:pStyle w:val="FootnoteText"/>
        <w:ind w:left="360" w:hanging="360"/>
        <w:rPr>
          <w:rFonts w:ascii="Arial" w:hAnsi="Arial" w:cs="Arial"/>
          <w:sz w:val="18"/>
          <w:szCs w:val="18"/>
        </w:rPr>
      </w:pPr>
      <w:r w:rsidRPr="00FF578E">
        <w:rPr>
          <w:rStyle w:val="FootnoteReference"/>
          <w:rFonts w:ascii="Arial" w:hAnsi="Arial" w:cs="Arial"/>
          <w:sz w:val="18"/>
          <w:szCs w:val="18"/>
        </w:rPr>
        <w:footnoteRef/>
      </w:r>
      <w:r w:rsidRPr="00FF578E">
        <w:rPr>
          <w:rFonts w:ascii="Arial" w:hAnsi="Arial" w:cs="Arial"/>
          <w:sz w:val="18"/>
          <w:szCs w:val="18"/>
        </w:rPr>
        <w:t xml:space="preserve"> </w:t>
      </w:r>
      <w:r w:rsidR="00874B4D">
        <w:rPr>
          <w:rFonts w:ascii="Arial" w:hAnsi="Arial" w:cs="Arial"/>
          <w:sz w:val="18"/>
          <w:szCs w:val="18"/>
        </w:rPr>
        <w:tab/>
      </w:r>
      <w:r w:rsidR="006A6B0C" w:rsidRPr="00FF578E">
        <w:rPr>
          <w:rFonts w:ascii="Arial" w:hAnsi="Arial" w:cs="Arial"/>
          <w:sz w:val="18"/>
          <w:szCs w:val="18"/>
          <w:lang w:val="es-CL"/>
        </w:rPr>
        <w:t>Se considera que l</w:t>
      </w:r>
      <w:r w:rsidRPr="00FF578E">
        <w:rPr>
          <w:rFonts w:ascii="Arial" w:hAnsi="Arial" w:cs="Arial"/>
          <w:sz w:val="18"/>
          <w:szCs w:val="18"/>
          <w:lang w:val="es-CL"/>
        </w:rPr>
        <w:t>a primera cohorte de egresados de colegios en donde se ha implementado el programa egres</w:t>
      </w:r>
      <w:r w:rsidR="006A6B0C" w:rsidRPr="00FF578E">
        <w:rPr>
          <w:rFonts w:ascii="Arial" w:hAnsi="Arial" w:cs="Arial"/>
          <w:sz w:val="18"/>
          <w:szCs w:val="18"/>
          <w:lang w:val="es-CL"/>
        </w:rPr>
        <w:t xml:space="preserve">ará del </w:t>
      </w:r>
      <w:r w:rsidRPr="00FF578E">
        <w:rPr>
          <w:rFonts w:ascii="Arial" w:hAnsi="Arial" w:cs="Arial"/>
          <w:sz w:val="18"/>
          <w:szCs w:val="18"/>
          <w:lang w:val="es-CL"/>
        </w:rPr>
        <w:t>colegio el 20</w:t>
      </w:r>
      <w:r w:rsidR="006A6B0C" w:rsidRPr="00FF578E">
        <w:rPr>
          <w:rFonts w:ascii="Arial" w:hAnsi="Arial" w:cs="Arial"/>
          <w:sz w:val="18"/>
          <w:szCs w:val="18"/>
          <w:lang w:val="es-CL"/>
        </w:rPr>
        <w:t>20</w:t>
      </w:r>
      <w:r w:rsidR="0051464D" w:rsidRPr="00FF578E">
        <w:rPr>
          <w:rFonts w:ascii="Arial" w:hAnsi="Arial" w:cs="Arial"/>
          <w:sz w:val="18"/>
          <w:szCs w:val="18"/>
          <w:lang w:val="es-CL"/>
        </w:rPr>
        <w:t xml:space="preserve">, por lo que </w:t>
      </w:r>
      <w:r w:rsidR="00816F5B" w:rsidRPr="00FF578E">
        <w:rPr>
          <w:rFonts w:ascii="Arial" w:hAnsi="Arial" w:cs="Arial"/>
          <w:sz w:val="18"/>
          <w:szCs w:val="18"/>
          <w:lang w:val="es-CL"/>
        </w:rPr>
        <w:t>podrían comenza</w:t>
      </w:r>
      <w:r w:rsidR="00742363" w:rsidRPr="00FF578E">
        <w:rPr>
          <w:rFonts w:ascii="Arial" w:hAnsi="Arial" w:cs="Arial"/>
          <w:sz w:val="18"/>
          <w:szCs w:val="18"/>
          <w:lang w:val="es-CL"/>
        </w:rPr>
        <w:t>r</w:t>
      </w:r>
      <w:r w:rsidRPr="00FF578E">
        <w:rPr>
          <w:rFonts w:ascii="Arial" w:hAnsi="Arial" w:cs="Arial"/>
          <w:sz w:val="18"/>
          <w:szCs w:val="18"/>
          <w:lang w:val="es-CL"/>
        </w:rPr>
        <w:t xml:space="preserve"> la educación terciaria </w:t>
      </w:r>
      <w:r w:rsidR="007C0373" w:rsidRPr="00FF578E">
        <w:rPr>
          <w:rFonts w:ascii="Arial" w:hAnsi="Arial" w:cs="Arial"/>
          <w:sz w:val="18"/>
          <w:szCs w:val="18"/>
          <w:lang w:val="es-CL"/>
        </w:rPr>
        <w:t>en 20</w:t>
      </w:r>
      <w:r w:rsidR="006A6B0C" w:rsidRPr="00FF578E">
        <w:rPr>
          <w:rFonts w:ascii="Arial" w:hAnsi="Arial" w:cs="Arial"/>
          <w:sz w:val="18"/>
          <w:szCs w:val="18"/>
          <w:lang w:val="es-CL"/>
        </w:rPr>
        <w:t>21</w:t>
      </w:r>
      <w:r w:rsidR="0010505D" w:rsidRPr="00FF578E">
        <w:rPr>
          <w:rFonts w:ascii="Arial" w:hAnsi="Arial" w:cs="Arial"/>
          <w:sz w:val="18"/>
          <w:szCs w:val="18"/>
          <w:lang w:val="es-CL"/>
        </w:rPr>
        <w:t xml:space="preserve">, titularse </w:t>
      </w:r>
      <w:r w:rsidR="007E69B8" w:rsidRPr="00FF578E">
        <w:rPr>
          <w:rFonts w:ascii="Arial" w:hAnsi="Arial" w:cs="Arial"/>
          <w:sz w:val="18"/>
          <w:szCs w:val="18"/>
          <w:lang w:val="es-CL"/>
        </w:rPr>
        <w:t>a partir del</w:t>
      </w:r>
      <w:r w:rsidRPr="00FF578E">
        <w:rPr>
          <w:rFonts w:ascii="Arial" w:hAnsi="Arial" w:cs="Arial"/>
          <w:sz w:val="18"/>
          <w:szCs w:val="18"/>
          <w:lang w:val="es-CL"/>
        </w:rPr>
        <w:t xml:space="preserve"> año 2023 </w:t>
      </w:r>
      <w:r w:rsidR="0010505D" w:rsidRPr="00FF578E">
        <w:rPr>
          <w:rFonts w:ascii="Arial" w:hAnsi="Arial" w:cs="Arial"/>
          <w:sz w:val="18"/>
          <w:szCs w:val="18"/>
          <w:lang w:val="es-CL"/>
        </w:rPr>
        <w:t>y entrar al mercado laboral en 2024</w:t>
      </w:r>
      <w:r w:rsidRPr="00FF578E">
        <w:rPr>
          <w:rFonts w:ascii="Arial" w:hAnsi="Arial" w:cs="Arial"/>
          <w:sz w:val="18"/>
          <w:szCs w:val="18"/>
          <w:lang w:val="es-CL"/>
        </w:rPr>
        <w:t xml:space="preserve">. Solo se muestran las primeras </w:t>
      </w:r>
      <w:r w:rsidR="00175143" w:rsidRPr="00FF578E">
        <w:rPr>
          <w:rFonts w:ascii="Arial" w:hAnsi="Arial" w:cs="Arial"/>
          <w:sz w:val="18"/>
          <w:szCs w:val="18"/>
          <w:lang w:val="es-CL"/>
        </w:rPr>
        <w:t xml:space="preserve">dos </w:t>
      </w:r>
      <w:r w:rsidRPr="00FF578E">
        <w:rPr>
          <w:rFonts w:ascii="Arial" w:hAnsi="Arial" w:cs="Arial"/>
          <w:sz w:val="18"/>
          <w:szCs w:val="18"/>
          <w:lang w:val="es-CL"/>
        </w:rPr>
        <w:t xml:space="preserve">cohortes pues a partir de ese momento ya están los 11 SLEP en </w:t>
      </w:r>
      <w:r w:rsidR="0010505D" w:rsidRPr="00FF578E">
        <w:rPr>
          <w:rFonts w:ascii="Arial" w:hAnsi="Arial" w:cs="Arial"/>
          <w:sz w:val="18"/>
          <w:szCs w:val="18"/>
          <w:lang w:val="es-CL"/>
        </w:rPr>
        <w:t>funcionamiento, por</w:t>
      </w:r>
      <w:r w:rsidRPr="00FF578E">
        <w:rPr>
          <w:rFonts w:ascii="Arial" w:hAnsi="Arial" w:cs="Arial"/>
          <w:sz w:val="18"/>
          <w:szCs w:val="18"/>
          <w:lang w:val="es-CL"/>
        </w:rPr>
        <w:t xml:space="preserve"> lo que </w:t>
      </w:r>
      <w:r w:rsidR="00922650" w:rsidRPr="00FF578E">
        <w:rPr>
          <w:rFonts w:ascii="Arial" w:hAnsi="Arial" w:cs="Arial"/>
          <w:sz w:val="18"/>
          <w:szCs w:val="18"/>
          <w:lang w:val="es-CL"/>
        </w:rPr>
        <w:t xml:space="preserve">en años posteriores no habría un </w:t>
      </w:r>
      <w:r w:rsidRPr="00FF578E">
        <w:rPr>
          <w:rFonts w:ascii="Arial" w:hAnsi="Arial" w:cs="Arial"/>
          <w:sz w:val="18"/>
          <w:szCs w:val="18"/>
          <w:lang w:val="es-CL"/>
        </w:rPr>
        <w:t>aumento de beneficiarios por incorporación de nuevos SLEP</w:t>
      </w:r>
      <w:r w:rsidR="00AD2C05" w:rsidRPr="00FF578E">
        <w:rPr>
          <w:rFonts w:ascii="Arial" w:hAnsi="Arial" w:cs="Arial"/>
          <w:sz w:val="18"/>
          <w:szCs w:val="18"/>
          <w:lang w:val="es-CL"/>
        </w:rPr>
        <w:t xml:space="preserve">. Para mas detalles dirigirse al anexo </w:t>
      </w:r>
      <w:r w:rsidR="008F6B84" w:rsidRPr="00FF578E">
        <w:rPr>
          <w:rFonts w:ascii="Arial" w:hAnsi="Arial" w:cs="Arial"/>
          <w:sz w:val="18"/>
          <w:szCs w:val="18"/>
          <w:lang w:val="es-CL"/>
        </w:rPr>
        <w:t>con el detalle de las estimaciones.</w:t>
      </w:r>
      <w:r w:rsidR="00B832B6" w:rsidRPr="00FF578E">
        <w:rPr>
          <w:rFonts w:ascii="Arial" w:hAnsi="Arial" w:cs="Arial"/>
          <w:sz w:val="18"/>
          <w:szCs w:val="18"/>
          <w:lang w:val="es-C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79988"/>
      <w:docPartObj>
        <w:docPartGallery w:val="Page Numbers (Top of Page)"/>
        <w:docPartUnique/>
      </w:docPartObj>
    </w:sdtPr>
    <w:sdtEndPr>
      <w:rPr>
        <w:rFonts w:ascii="Arial" w:hAnsi="Arial" w:cs="Arial"/>
        <w:noProof/>
        <w:sz w:val="22"/>
        <w:szCs w:val="22"/>
      </w:rPr>
    </w:sdtEndPr>
    <w:sdtContent>
      <w:p w14:paraId="32DE1DB3" w14:textId="66BD278F" w:rsidR="00471355" w:rsidRPr="00FF578E" w:rsidRDefault="00471355">
        <w:pPr>
          <w:pStyle w:val="Header"/>
          <w:jc w:val="center"/>
          <w:rPr>
            <w:rFonts w:ascii="Arial" w:hAnsi="Arial" w:cs="Arial"/>
            <w:sz w:val="22"/>
            <w:szCs w:val="22"/>
          </w:rPr>
        </w:pPr>
        <w:r w:rsidRPr="00FF578E">
          <w:rPr>
            <w:rFonts w:ascii="Arial" w:hAnsi="Arial" w:cs="Arial"/>
            <w:sz w:val="22"/>
            <w:szCs w:val="22"/>
          </w:rPr>
          <w:fldChar w:fldCharType="begin"/>
        </w:r>
        <w:r w:rsidRPr="00FF578E">
          <w:rPr>
            <w:rFonts w:ascii="Arial" w:hAnsi="Arial" w:cs="Arial"/>
            <w:sz w:val="22"/>
            <w:szCs w:val="22"/>
          </w:rPr>
          <w:instrText xml:space="preserve"> PAGE   \* MERGEFORMAT </w:instrText>
        </w:r>
        <w:r w:rsidRPr="00FF578E">
          <w:rPr>
            <w:rFonts w:ascii="Arial" w:hAnsi="Arial" w:cs="Arial"/>
            <w:sz w:val="22"/>
            <w:szCs w:val="22"/>
          </w:rPr>
          <w:fldChar w:fldCharType="separate"/>
        </w:r>
        <w:r w:rsidRPr="00FF578E">
          <w:rPr>
            <w:rFonts w:ascii="Arial" w:hAnsi="Arial" w:cs="Arial"/>
            <w:noProof/>
            <w:sz w:val="22"/>
            <w:szCs w:val="22"/>
          </w:rPr>
          <w:t>2</w:t>
        </w:r>
        <w:r w:rsidRPr="00FF578E">
          <w:rPr>
            <w:rFonts w:ascii="Arial" w:hAnsi="Arial" w:cs="Arial"/>
            <w:noProof/>
            <w:sz w:val="22"/>
            <w:szCs w:val="22"/>
          </w:rPr>
          <w:fldChar w:fldCharType="end"/>
        </w:r>
      </w:p>
    </w:sdtContent>
  </w:sdt>
  <w:p w14:paraId="518500D8" w14:textId="77777777" w:rsidR="00641662" w:rsidRPr="00F721D4" w:rsidRDefault="00641662" w:rsidP="0095712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FF1"/>
    <w:multiLevelType w:val="multilevel"/>
    <w:tmpl w:val="2A7E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C1B06"/>
    <w:multiLevelType w:val="hybridMultilevel"/>
    <w:tmpl w:val="BC9A11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713393"/>
    <w:multiLevelType w:val="hybridMultilevel"/>
    <w:tmpl w:val="A1F0FEE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B6C2D"/>
    <w:multiLevelType w:val="hybridMultilevel"/>
    <w:tmpl w:val="9DD0B1C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0B142270"/>
    <w:multiLevelType w:val="hybridMultilevel"/>
    <w:tmpl w:val="BAE21E6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0DAB7FC9"/>
    <w:multiLevelType w:val="multilevel"/>
    <w:tmpl w:val="A2B2F9A6"/>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color w:val="auto"/>
        <w:lang w:val="es-ES"/>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14BA5F71"/>
    <w:multiLevelType w:val="multilevel"/>
    <w:tmpl w:val="30AC82A6"/>
    <w:lvl w:ilvl="0">
      <w:start w:val="1"/>
      <w:numFmt w:val="upperRoman"/>
      <w:pStyle w:val="Heading1"/>
      <w:lvlText w:val="%1."/>
      <w:lvlJc w:val="center"/>
      <w:pPr>
        <w:tabs>
          <w:tab w:val="num" w:pos="289"/>
        </w:tabs>
        <w:ind w:left="0" w:firstLine="288"/>
      </w:pPr>
      <w:rPr>
        <w:rFonts w:cs="Times New Roman" w:hint="default"/>
        <w:b/>
        <w:i w:val="0"/>
      </w:rPr>
    </w:lvl>
    <w:lvl w:ilvl="1">
      <w:start w:val="1"/>
      <w:numFmt w:val="decimal"/>
      <w:pStyle w:val="Heading2"/>
      <w:lvlText w:val="%1.%2"/>
      <w:lvlJc w:val="left"/>
      <w:pPr>
        <w:tabs>
          <w:tab w:val="num" w:pos="720"/>
        </w:tabs>
        <w:ind w:left="720" w:hanging="720"/>
      </w:pPr>
      <w:rPr>
        <w:rFonts w:cs="Times New Roman" w:hint="default"/>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8"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21E62D0A"/>
    <w:multiLevelType w:val="hybridMultilevel"/>
    <w:tmpl w:val="4DFE65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865DB"/>
    <w:multiLevelType w:val="hybridMultilevel"/>
    <w:tmpl w:val="13026FD8"/>
    <w:lvl w:ilvl="0" w:tplc="55B43FFA">
      <w:start w:val="1"/>
      <w:numFmt w:val="upperRoman"/>
      <w:lvlText w:val="%1."/>
      <w:lvlJc w:val="left"/>
      <w:pPr>
        <w:ind w:left="720" w:hanging="720"/>
      </w:pPr>
      <w:rPr>
        <w:rFonts w:hint="default"/>
        <w:i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15:restartNumberingAfterBreak="0">
    <w:nsid w:val="242B3BED"/>
    <w:multiLevelType w:val="multilevel"/>
    <w:tmpl w:val="2B2A2FBE"/>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rPr>
    </w:lvl>
    <w:lvl w:ilvl="2">
      <w:start w:val="1"/>
      <w:numFmt w:val="lowerLetter"/>
      <w:lvlText w:val="%3."/>
      <w:lvlJc w:val="left"/>
      <w:pPr>
        <w:tabs>
          <w:tab w:val="num" w:pos="2304"/>
        </w:tabs>
        <w:ind w:left="2304" w:hanging="432"/>
      </w:pPr>
      <w:rPr>
        <w:rFonts w:cs="Times New Roman"/>
      </w:rPr>
    </w:lvl>
    <w:lvl w:ilvl="3">
      <w:start w:val="1"/>
      <w:numFmt w:val="lowerRoman"/>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2" w15:restartNumberingAfterBreak="0">
    <w:nsid w:val="31E54E66"/>
    <w:multiLevelType w:val="hybridMultilevel"/>
    <w:tmpl w:val="BADAF27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15:restartNumberingAfterBreak="0">
    <w:nsid w:val="3F6844E3"/>
    <w:multiLevelType w:val="hybridMultilevel"/>
    <w:tmpl w:val="0AE8A3CE"/>
    <w:lvl w:ilvl="0" w:tplc="4E9077DA">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4218458A"/>
    <w:multiLevelType w:val="multilevel"/>
    <w:tmpl w:val="E30E43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223234"/>
    <w:multiLevelType w:val="hybridMultilevel"/>
    <w:tmpl w:val="E988B16A"/>
    <w:lvl w:ilvl="0" w:tplc="C7FA361A">
      <w:start w:val="1"/>
      <w:numFmt w:val="bullet"/>
      <w:lvlText w:val=""/>
      <w:lvlJc w:val="left"/>
      <w:pPr>
        <w:ind w:left="720" w:hanging="360"/>
      </w:pPr>
      <w:rPr>
        <w:rFonts w:ascii="Symbol" w:hAnsi="Symbol" w:hint="default"/>
      </w:rPr>
    </w:lvl>
    <w:lvl w:ilvl="1" w:tplc="F1444368">
      <w:start w:val="1"/>
      <w:numFmt w:val="bullet"/>
      <w:lvlText w:val=""/>
      <w:lvlJc w:val="left"/>
      <w:pPr>
        <w:tabs>
          <w:tab w:val="num" w:pos="1440"/>
        </w:tabs>
        <w:ind w:left="1440" w:hanging="360"/>
      </w:pPr>
      <w:rPr>
        <w:rFonts w:ascii="Wingdings" w:hAnsi="Wingdings" w:hint="default"/>
      </w:rPr>
    </w:lvl>
    <w:lvl w:ilvl="2" w:tplc="7166F054" w:tentative="1">
      <w:start w:val="1"/>
      <w:numFmt w:val="bullet"/>
      <w:lvlText w:val=""/>
      <w:lvlJc w:val="left"/>
      <w:pPr>
        <w:ind w:left="2160" w:hanging="360"/>
      </w:pPr>
      <w:rPr>
        <w:rFonts w:ascii="Wingdings" w:hAnsi="Wingdings" w:hint="default"/>
      </w:rPr>
    </w:lvl>
    <w:lvl w:ilvl="3" w:tplc="77DA7C78" w:tentative="1">
      <w:start w:val="1"/>
      <w:numFmt w:val="bullet"/>
      <w:lvlText w:val=""/>
      <w:lvlJc w:val="left"/>
      <w:pPr>
        <w:ind w:left="2880" w:hanging="360"/>
      </w:pPr>
      <w:rPr>
        <w:rFonts w:ascii="Symbol" w:hAnsi="Symbol" w:hint="default"/>
      </w:rPr>
    </w:lvl>
    <w:lvl w:ilvl="4" w:tplc="7EDE855C" w:tentative="1">
      <w:start w:val="1"/>
      <w:numFmt w:val="bullet"/>
      <w:lvlText w:val="o"/>
      <w:lvlJc w:val="left"/>
      <w:pPr>
        <w:ind w:left="3600" w:hanging="360"/>
      </w:pPr>
      <w:rPr>
        <w:rFonts w:ascii="Courier New" w:hAnsi="Courier New" w:cs="Symbol" w:hint="default"/>
      </w:rPr>
    </w:lvl>
    <w:lvl w:ilvl="5" w:tplc="ABEC1B9E" w:tentative="1">
      <w:start w:val="1"/>
      <w:numFmt w:val="bullet"/>
      <w:lvlText w:val=""/>
      <w:lvlJc w:val="left"/>
      <w:pPr>
        <w:ind w:left="4320" w:hanging="360"/>
      </w:pPr>
      <w:rPr>
        <w:rFonts w:ascii="Wingdings" w:hAnsi="Wingdings" w:hint="default"/>
      </w:rPr>
    </w:lvl>
    <w:lvl w:ilvl="6" w:tplc="FC42FEA2" w:tentative="1">
      <w:start w:val="1"/>
      <w:numFmt w:val="bullet"/>
      <w:lvlText w:val=""/>
      <w:lvlJc w:val="left"/>
      <w:pPr>
        <w:ind w:left="5040" w:hanging="360"/>
      </w:pPr>
      <w:rPr>
        <w:rFonts w:ascii="Symbol" w:hAnsi="Symbol" w:hint="default"/>
      </w:rPr>
    </w:lvl>
    <w:lvl w:ilvl="7" w:tplc="2C5A020C" w:tentative="1">
      <w:start w:val="1"/>
      <w:numFmt w:val="bullet"/>
      <w:lvlText w:val="o"/>
      <w:lvlJc w:val="left"/>
      <w:pPr>
        <w:ind w:left="5760" w:hanging="360"/>
      </w:pPr>
      <w:rPr>
        <w:rFonts w:ascii="Courier New" w:hAnsi="Courier New" w:cs="Symbol" w:hint="default"/>
      </w:rPr>
    </w:lvl>
    <w:lvl w:ilvl="8" w:tplc="FCB451F8" w:tentative="1">
      <w:start w:val="1"/>
      <w:numFmt w:val="bullet"/>
      <w:lvlText w:val=""/>
      <w:lvlJc w:val="left"/>
      <w:pPr>
        <w:ind w:left="6480" w:hanging="360"/>
      </w:pPr>
      <w:rPr>
        <w:rFonts w:ascii="Wingdings" w:hAnsi="Wingdings" w:hint="default"/>
      </w:rPr>
    </w:lvl>
  </w:abstractNum>
  <w:abstractNum w:abstractNumId="17" w15:restartNumberingAfterBreak="0">
    <w:nsid w:val="47AF545C"/>
    <w:multiLevelType w:val="hybridMultilevel"/>
    <w:tmpl w:val="CCFA423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48B9305E"/>
    <w:multiLevelType w:val="hybridMultilevel"/>
    <w:tmpl w:val="6602E0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9" w15:restartNumberingAfterBreak="0">
    <w:nsid w:val="4CEA0545"/>
    <w:multiLevelType w:val="hybridMultilevel"/>
    <w:tmpl w:val="9CAAB198"/>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0"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15:restartNumberingAfterBreak="0">
    <w:nsid w:val="53FE6E04"/>
    <w:multiLevelType w:val="hybridMultilevel"/>
    <w:tmpl w:val="D0247C82"/>
    <w:lvl w:ilvl="0" w:tplc="340A0017">
      <w:start w:val="1"/>
      <w:numFmt w:val="lowerLetter"/>
      <w:lvlText w:val="%1)"/>
      <w:lvlJc w:val="left"/>
      <w:pPr>
        <w:ind w:left="360" w:hanging="360"/>
      </w:pPr>
      <w:rPr>
        <w:rFonts w:hint="default"/>
      </w:rPr>
    </w:lvl>
    <w:lvl w:ilvl="1" w:tplc="340A0019">
      <w:start w:val="1"/>
      <w:numFmt w:val="lowerLetter"/>
      <w:lvlText w:val="%2."/>
      <w:lvlJc w:val="left"/>
      <w:pPr>
        <w:ind w:left="1080" w:hanging="360"/>
      </w:pPr>
    </w:lvl>
    <w:lvl w:ilvl="2" w:tplc="340A0001">
      <w:start w:val="1"/>
      <w:numFmt w:val="bullet"/>
      <w:lvlText w:val=""/>
      <w:lvlJc w:val="left"/>
      <w:pPr>
        <w:ind w:left="1800" w:hanging="180"/>
      </w:pPr>
      <w:rPr>
        <w:rFonts w:ascii="Symbol" w:hAnsi="Symbol" w:hint="default"/>
      </w:r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2" w15:restartNumberingAfterBreak="0">
    <w:nsid w:val="5A7756E3"/>
    <w:multiLevelType w:val="hybridMultilevel"/>
    <w:tmpl w:val="DDEC391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3" w15:restartNumberingAfterBreak="0">
    <w:nsid w:val="5B644567"/>
    <w:multiLevelType w:val="multilevel"/>
    <w:tmpl w:val="7E8056D0"/>
    <w:lvl w:ilvl="0">
      <w:start w:val="2"/>
      <w:numFmt w:val="upperRoman"/>
      <w:lvlText w:val="%1."/>
      <w:lvlJc w:val="left"/>
      <w:pPr>
        <w:ind w:left="360" w:hanging="360"/>
      </w:pPr>
      <w:rPr>
        <w:rFonts w:hint="default"/>
      </w:rPr>
    </w:lvl>
    <w:lvl w:ilvl="1">
      <w:start w:val="12"/>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5E286890"/>
    <w:multiLevelType w:val="hybridMultilevel"/>
    <w:tmpl w:val="470C0E18"/>
    <w:lvl w:ilvl="0" w:tplc="4E9077DA">
      <w:start w:val="1"/>
      <w:numFmt w:val="upperRoman"/>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E91D6B"/>
    <w:multiLevelType w:val="hybridMultilevel"/>
    <w:tmpl w:val="81EA57C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6" w15:restartNumberingAfterBreak="0">
    <w:nsid w:val="65A2570F"/>
    <w:multiLevelType w:val="multilevel"/>
    <w:tmpl w:val="8F5E8700"/>
    <w:lvl w:ilvl="0">
      <w:start w:val="1"/>
      <w:numFmt w:val="upperRoman"/>
      <w:lvlText w:val="%1."/>
      <w:lvlJc w:val="center"/>
      <w:pPr>
        <w:tabs>
          <w:tab w:val="num" w:pos="648"/>
        </w:tabs>
        <w:ind w:left="0" w:firstLine="288"/>
      </w:pPr>
      <w:rPr>
        <w:rFonts w:cs="Times New Roman" w:hint="default"/>
        <w:b/>
        <w:i w:val="0"/>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27" w15:restartNumberingAfterBreak="0">
    <w:nsid w:val="71064F33"/>
    <w:multiLevelType w:val="hybridMultilevel"/>
    <w:tmpl w:val="1F6CC8C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
  </w:num>
  <w:num w:numId="4">
    <w:abstractNumId w:val="20"/>
  </w:num>
  <w:num w:numId="5">
    <w:abstractNumId w:val="6"/>
  </w:num>
  <w:num w:numId="6">
    <w:abstractNumId w:val="1"/>
  </w:num>
  <w:num w:numId="7">
    <w:abstractNumId w:val="9"/>
  </w:num>
  <w:num w:numId="8">
    <w:abstractNumId w:val="6"/>
  </w:num>
  <w:num w:numId="9">
    <w:abstractNumId w:val="0"/>
  </w:num>
  <w:num w:numId="10">
    <w:abstractNumId w:val="5"/>
  </w:num>
  <w:num w:numId="11">
    <w:abstractNumId w:val="22"/>
  </w:num>
  <w:num w:numId="12">
    <w:abstractNumId w:val="2"/>
  </w:num>
  <w:num w:numId="13">
    <w:abstractNumId w:val="25"/>
  </w:num>
  <w:num w:numId="14">
    <w:abstractNumId w:val="23"/>
  </w:num>
  <w:num w:numId="15">
    <w:abstractNumId w:val="8"/>
  </w:num>
  <w:num w:numId="16">
    <w:abstractNumId w:val="18"/>
  </w:num>
  <w:num w:numId="17">
    <w:abstractNumId w:val="12"/>
  </w:num>
  <w:num w:numId="18">
    <w:abstractNumId w:val="4"/>
  </w:num>
  <w:num w:numId="19">
    <w:abstractNumId w:val="6"/>
  </w:num>
  <w:num w:numId="20">
    <w:abstractNumId w:val="27"/>
  </w:num>
  <w:num w:numId="21">
    <w:abstractNumId w:val="10"/>
  </w:num>
  <w:num w:numId="22">
    <w:abstractNumId w:val="21"/>
  </w:num>
  <w:num w:numId="23">
    <w:abstractNumId w:val="19"/>
  </w:num>
  <w:num w:numId="24">
    <w:abstractNumId w:val="13"/>
  </w:num>
  <w:num w:numId="25">
    <w:abstractNumId w:val="24"/>
  </w:num>
  <w:num w:numId="26">
    <w:abstractNumId w:val="24"/>
    <w:lvlOverride w:ilvl="0">
      <w:startOverride w:val="1"/>
    </w:lvlOverride>
  </w:num>
  <w:num w:numId="27">
    <w:abstractNumId w:val="17"/>
  </w:num>
  <w:num w:numId="28">
    <w:abstractNumId w:val="11"/>
  </w:num>
  <w:num w:numId="29">
    <w:abstractNumId w:val="24"/>
  </w:num>
  <w:num w:numId="30">
    <w:abstractNumId w:val="7"/>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D0E"/>
    <w:rsid w:val="00010C24"/>
    <w:rsid w:val="00010D28"/>
    <w:rsid w:val="00015442"/>
    <w:rsid w:val="00021734"/>
    <w:rsid w:val="000247B2"/>
    <w:rsid w:val="00041EB0"/>
    <w:rsid w:val="000437E9"/>
    <w:rsid w:val="0004652F"/>
    <w:rsid w:val="00047AE8"/>
    <w:rsid w:val="00050BCC"/>
    <w:rsid w:val="00052C7C"/>
    <w:rsid w:val="0005323F"/>
    <w:rsid w:val="0005518A"/>
    <w:rsid w:val="00060D33"/>
    <w:rsid w:val="00061F85"/>
    <w:rsid w:val="00064979"/>
    <w:rsid w:val="0006754A"/>
    <w:rsid w:val="00067697"/>
    <w:rsid w:val="0007027D"/>
    <w:rsid w:val="00073A2E"/>
    <w:rsid w:val="000768DB"/>
    <w:rsid w:val="00080EE7"/>
    <w:rsid w:val="000844B6"/>
    <w:rsid w:val="00087FF2"/>
    <w:rsid w:val="0009104C"/>
    <w:rsid w:val="00095CB4"/>
    <w:rsid w:val="00095F1C"/>
    <w:rsid w:val="00097932"/>
    <w:rsid w:val="000A0813"/>
    <w:rsid w:val="000A4C64"/>
    <w:rsid w:val="000A5CE2"/>
    <w:rsid w:val="000A67AF"/>
    <w:rsid w:val="000A73D7"/>
    <w:rsid w:val="000B0CBF"/>
    <w:rsid w:val="000C028A"/>
    <w:rsid w:val="000C0599"/>
    <w:rsid w:val="000C1233"/>
    <w:rsid w:val="000C2733"/>
    <w:rsid w:val="000C2AE3"/>
    <w:rsid w:val="000C2B10"/>
    <w:rsid w:val="000D445D"/>
    <w:rsid w:val="000D5FDC"/>
    <w:rsid w:val="000D6064"/>
    <w:rsid w:val="000D773D"/>
    <w:rsid w:val="000E04F4"/>
    <w:rsid w:val="001020F7"/>
    <w:rsid w:val="00103F0C"/>
    <w:rsid w:val="0010505D"/>
    <w:rsid w:val="00111256"/>
    <w:rsid w:val="00112A8D"/>
    <w:rsid w:val="00117364"/>
    <w:rsid w:val="00117FBB"/>
    <w:rsid w:val="00123DF2"/>
    <w:rsid w:val="001277DA"/>
    <w:rsid w:val="00127C79"/>
    <w:rsid w:val="00131712"/>
    <w:rsid w:val="001326E4"/>
    <w:rsid w:val="00140611"/>
    <w:rsid w:val="001407BB"/>
    <w:rsid w:val="00150034"/>
    <w:rsid w:val="00151074"/>
    <w:rsid w:val="00151EF7"/>
    <w:rsid w:val="00157DE1"/>
    <w:rsid w:val="00157F7D"/>
    <w:rsid w:val="00174420"/>
    <w:rsid w:val="00175143"/>
    <w:rsid w:val="00176147"/>
    <w:rsid w:val="00180DE8"/>
    <w:rsid w:val="00190C8B"/>
    <w:rsid w:val="00192698"/>
    <w:rsid w:val="001928BD"/>
    <w:rsid w:val="00192938"/>
    <w:rsid w:val="00196A70"/>
    <w:rsid w:val="00197849"/>
    <w:rsid w:val="001A13FB"/>
    <w:rsid w:val="001A28A5"/>
    <w:rsid w:val="001A4423"/>
    <w:rsid w:val="001B3908"/>
    <w:rsid w:val="001C72D1"/>
    <w:rsid w:val="001D7FEA"/>
    <w:rsid w:val="001E1AD0"/>
    <w:rsid w:val="001E2A75"/>
    <w:rsid w:val="001E2BD7"/>
    <w:rsid w:val="001E4D84"/>
    <w:rsid w:val="001E555C"/>
    <w:rsid w:val="001E6B7D"/>
    <w:rsid w:val="001E7A28"/>
    <w:rsid w:val="001F10C8"/>
    <w:rsid w:val="001F46C0"/>
    <w:rsid w:val="00201225"/>
    <w:rsid w:val="00211EE7"/>
    <w:rsid w:val="002219FC"/>
    <w:rsid w:val="00222A4E"/>
    <w:rsid w:val="0023184E"/>
    <w:rsid w:val="0023558A"/>
    <w:rsid w:val="00237399"/>
    <w:rsid w:val="00244003"/>
    <w:rsid w:val="002441AD"/>
    <w:rsid w:val="00244D72"/>
    <w:rsid w:val="00246F8B"/>
    <w:rsid w:val="0024780C"/>
    <w:rsid w:val="00247C72"/>
    <w:rsid w:val="00263C45"/>
    <w:rsid w:val="002662A9"/>
    <w:rsid w:val="0026756D"/>
    <w:rsid w:val="00272AED"/>
    <w:rsid w:val="002831B0"/>
    <w:rsid w:val="00286D56"/>
    <w:rsid w:val="00297EC9"/>
    <w:rsid w:val="002A5329"/>
    <w:rsid w:val="002A60FC"/>
    <w:rsid w:val="002B3BA5"/>
    <w:rsid w:val="002B5032"/>
    <w:rsid w:val="002B7A0D"/>
    <w:rsid w:val="002C06CC"/>
    <w:rsid w:val="002C0C88"/>
    <w:rsid w:val="002C5D2D"/>
    <w:rsid w:val="002C617E"/>
    <w:rsid w:val="002C7590"/>
    <w:rsid w:val="002C7D22"/>
    <w:rsid w:val="002D01B2"/>
    <w:rsid w:val="002D3587"/>
    <w:rsid w:val="002D4E2A"/>
    <w:rsid w:val="002E090A"/>
    <w:rsid w:val="002E2A62"/>
    <w:rsid w:val="002F2238"/>
    <w:rsid w:val="00304D7E"/>
    <w:rsid w:val="00310350"/>
    <w:rsid w:val="00312463"/>
    <w:rsid w:val="003248EE"/>
    <w:rsid w:val="00330219"/>
    <w:rsid w:val="00330888"/>
    <w:rsid w:val="0033342A"/>
    <w:rsid w:val="00334102"/>
    <w:rsid w:val="003364C4"/>
    <w:rsid w:val="00343AC7"/>
    <w:rsid w:val="00344D7E"/>
    <w:rsid w:val="00344E97"/>
    <w:rsid w:val="00356FC0"/>
    <w:rsid w:val="00357FFB"/>
    <w:rsid w:val="0036546B"/>
    <w:rsid w:val="00371CF0"/>
    <w:rsid w:val="00381F3E"/>
    <w:rsid w:val="0038313E"/>
    <w:rsid w:val="003832E5"/>
    <w:rsid w:val="00383EDE"/>
    <w:rsid w:val="00387031"/>
    <w:rsid w:val="00387127"/>
    <w:rsid w:val="003A0251"/>
    <w:rsid w:val="003A2A6A"/>
    <w:rsid w:val="003A30D0"/>
    <w:rsid w:val="003A542A"/>
    <w:rsid w:val="003A68ED"/>
    <w:rsid w:val="003A6AB4"/>
    <w:rsid w:val="003B2905"/>
    <w:rsid w:val="003B3641"/>
    <w:rsid w:val="003B47DE"/>
    <w:rsid w:val="003B6FB1"/>
    <w:rsid w:val="003C749B"/>
    <w:rsid w:val="003D15A6"/>
    <w:rsid w:val="003D2154"/>
    <w:rsid w:val="003D26E6"/>
    <w:rsid w:val="003D4D2D"/>
    <w:rsid w:val="003E4FBD"/>
    <w:rsid w:val="003F3AF3"/>
    <w:rsid w:val="0040003D"/>
    <w:rsid w:val="00404076"/>
    <w:rsid w:val="00404F0D"/>
    <w:rsid w:val="004105A3"/>
    <w:rsid w:val="00416560"/>
    <w:rsid w:val="00422F6C"/>
    <w:rsid w:val="004275EA"/>
    <w:rsid w:val="004428D0"/>
    <w:rsid w:val="00444B5C"/>
    <w:rsid w:val="0044554F"/>
    <w:rsid w:val="00447163"/>
    <w:rsid w:val="00451232"/>
    <w:rsid w:val="00454CC4"/>
    <w:rsid w:val="00460A00"/>
    <w:rsid w:val="00466534"/>
    <w:rsid w:val="00471355"/>
    <w:rsid w:val="0047538A"/>
    <w:rsid w:val="004846E4"/>
    <w:rsid w:val="00484A05"/>
    <w:rsid w:val="00486137"/>
    <w:rsid w:val="00492096"/>
    <w:rsid w:val="00492CE6"/>
    <w:rsid w:val="004A4980"/>
    <w:rsid w:val="004A7B4A"/>
    <w:rsid w:val="004B4105"/>
    <w:rsid w:val="004B5B17"/>
    <w:rsid w:val="004C053B"/>
    <w:rsid w:val="004C514F"/>
    <w:rsid w:val="004C7FF9"/>
    <w:rsid w:val="004E1CCA"/>
    <w:rsid w:val="004E2C61"/>
    <w:rsid w:val="004F10B0"/>
    <w:rsid w:val="004F2792"/>
    <w:rsid w:val="004F5190"/>
    <w:rsid w:val="005002EE"/>
    <w:rsid w:val="0051464D"/>
    <w:rsid w:val="00514E0F"/>
    <w:rsid w:val="005155CD"/>
    <w:rsid w:val="00516443"/>
    <w:rsid w:val="0052121C"/>
    <w:rsid w:val="005215F8"/>
    <w:rsid w:val="0052225D"/>
    <w:rsid w:val="00530876"/>
    <w:rsid w:val="00551A11"/>
    <w:rsid w:val="00556511"/>
    <w:rsid w:val="00576666"/>
    <w:rsid w:val="00582836"/>
    <w:rsid w:val="00591E9A"/>
    <w:rsid w:val="00592666"/>
    <w:rsid w:val="005A2CFC"/>
    <w:rsid w:val="005A4393"/>
    <w:rsid w:val="005A5087"/>
    <w:rsid w:val="005A6AB0"/>
    <w:rsid w:val="005B0098"/>
    <w:rsid w:val="005B10B1"/>
    <w:rsid w:val="005C1010"/>
    <w:rsid w:val="005C2DBF"/>
    <w:rsid w:val="005C3419"/>
    <w:rsid w:val="005C56C3"/>
    <w:rsid w:val="005C69F5"/>
    <w:rsid w:val="005C7C86"/>
    <w:rsid w:val="005D2F9A"/>
    <w:rsid w:val="005E52A9"/>
    <w:rsid w:val="005E6300"/>
    <w:rsid w:val="005F0944"/>
    <w:rsid w:val="005F5AD0"/>
    <w:rsid w:val="005F7163"/>
    <w:rsid w:val="005F73D8"/>
    <w:rsid w:val="00603BD3"/>
    <w:rsid w:val="00604F25"/>
    <w:rsid w:val="006079AD"/>
    <w:rsid w:val="0061088E"/>
    <w:rsid w:val="00615F44"/>
    <w:rsid w:val="006230F9"/>
    <w:rsid w:val="006254BE"/>
    <w:rsid w:val="00627E15"/>
    <w:rsid w:val="006308E2"/>
    <w:rsid w:val="006379DA"/>
    <w:rsid w:val="00641662"/>
    <w:rsid w:val="0064384E"/>
    <w:rsid w:val="00645DE4"/>
    <w:rsid w:val="00651A90"/>
    <w:rsid w:val="00654F45"/>
    <w:rsid w:val="0066087E"/>
    <w:rsid w:val="00662D46"/>
    <w:rsid w:val="00687FB3"/>
    <w:rsid w:val="00691162"/>
    <w:rsid w:val="00692B36"/>
    <w:rsid w:val="0069626F"/>
    <w:rsid w:val="006965E3"/>
    <w:rsid w:val="006A2CF4"/>
    <w:rsid w:val="006A6B0C"/>
    <w:rsid w:val="006B2157"/>
    <w:rsid w:val="006B4732"/>
    <w:rsid w:val="006B5AE2"/>
    <w:rsid w:val="006B6BD4"/>
    <w:rsid w:val="006B6D6E"/>
    <w:rsid w:val="006C0B7B"/>
    <w:rsid w:val="006C135F"/>
    <w:rsid w:val="006C3FDD"/>
    <w:rsid w:val="006D0DAA"/>
    <w:rsid w:val="006D343C"/>
    <w:rsid w:val="006D3D67"/>
    <w:rsid w:val="006E4C20"/>
    <w:rsid w:val="006E7632"/>
    <w:rsid w:val="006E76A9"/>
    <w:rsid w:val="006F3125"/>
    <w:rsid w:val="006F331D"/>
    <w:rsid w:val="00703834"/>
    <w:rsid w:val="00704775"/>
    <w:rsid w:val="00704F57"/>
    <w:rsid w:val="007060B6"/>
    <w:rsid w:val="007119FE"/>
    <w:rsid w:val="0071438D"/>
    <w:rsid w:val="00723826"/>
    <w:rsid w:val="0072655B"/>
    <w:rsid w:val="007270C5"/>
    <w:rsid w:val="00727DA9"/>
    <w:rsid w:val="00732E27"/>
    <w:rsid w:val="00735F58"/>
    <w:rsid w:val="0074003D"/>
    <w:rsid w:val="00740E60"/>
    <w:rsid w:val="00742363"/>
    <w:rsid w:val="00745D7C"/>
    <w:rsid w:val="00750A0D"/>
    <w:rsid w:val="00754649"/>
    <w:rsid w:val="00761A98"/>
    <w:rsid w:val="007642A7"/>
    <w:rsid w:val="00772B87"/>
    <w:rsid w:val="007761E0"/>
    <w:rsid w:val="00776EDE"/>
    <w:rsid w:val="00782C30"/>
    <w:rsid w:val="00792A48"/>
    <w:rsid w:val="00795AF1"/>
    <w:rsid w:val="007A43B8"/>
    <w:rsid w:val="007A5BA6"/>
    <w:rsid w:val="007B0BC9"/>
    <w:rsid w:val="007B255B"/>
    <w:rsid w:val="007C0373"/>
    <w:rsid w:val="007C1514"/>
    <w:rsid w:val="007C156C"/>
    <w:rsid w:val="007C4757"/>
    <w:rsid w:val="007C5797"/>
    <w:rsid w:val="007D1CD6"/>
    <w:rsid w:val="007E38B5"/>
    <w:rsid w:val="007E69B8"/>
    <w:rsid w:val="007F4A23"/>
    <w:rsid w:val="00800138"/>
    <w:rsid w:val="00801D2A"/>
    <w:rsid w:val="00802ADB"/>
    <w:rsid w:val="00803399"/>
    <w:rsid w:val="00803AAB"/>
    <w:rsid w:val="00804268"/>
    <w:rsid w:val="008122C5"/>
    <w:rsid w:val="00814AFF"/>
    <w:rsid w:val="00816F5B"/>
    <w:rsid w:val="00821A0A"/>
    <w:rsid w:val="008265B2"/>
    <w:rsid w:val="00826F38"/>
    <w:rsid w:val="00827D1A"/>
    <w:rsid w:val="0083132C"/>
    <w:rsid w:val="00833F32"/>
    <w:rsid w:val="00842610"/>
    <w:rsid w:val="008478DF"/>
    <w:rsid w:val="00851F52"/>
    <w:rsid w:val="00852C07"/>
    <w:rsid w:val="00852DFA"/>
    <w:rsid w:val="00855604"/>
    <w:rsid w:val="00865225"/>
    <w:rsid w:val="00874B4D"/>
    <w:rsid w:val="00875D62"/>
    <w:rsid w:val="00881C15"/>
    <w:rsid w:val="00881DE1"/>
    <w:rsid w:val="008837BD"/>
    <w:rsid w:val="00883E49"/>
    <w:rsid w:val="00892C7B"/>
    <w:rsid w:val="0089355D"/>
    <w:rsid w:val="00894771"/>
    <w:rsid w:val="008A6BC2"/>
    <w:rsid w:val="008A739C"/>
    <w:rsid w:val="008A79FC"/>
    <w:rsid w:val="008B15F3"/>
    <w:rsid w:val="008C36D5"/>
    <w:rsid w:val="008D22FC"/>
    <w:rsid w:val="008D2C76"/>
    <w:rsid w:val="008D3F71"/>
    <w:rsid w:val="008D799E"/>
    <w:rsid w:val="008E25DD"/>
    <w:rsid w:val="008E6865"/>
    <w:rsid w:val="008F6B84"/>
    <w:rsid w:val="00900824"/>
    <w:rsid w:val="0090561F"/>
    <w:rsid w:val="00916ECF"/>
    <w:rsid w:val="00917929"/>
    <w:rsid w:val="00922650"/>
    <w:rsid w:val="00923025"/>
    <w:rsid w:val="00923518"/>
    <w:rsid w:val="00935781"/>
    <w:rsid w:val="00940A39"/>
    <w:rsid w:val="00946D42"/>
    <w:rsid w:val="00951712"/>
    <w:rsid w:val="00957124"/>
    <w:rsid w:val="00961877"/>
    <w:rsid w:val="00962F66"/>
    <w:rsid w:val="00963E65"/>
    <w:rsid w:val="00970D0D"/>
    <w:rsid w:val="009715D0"/>
    <w:rsid w:val="009721C0"/>
    <w:rsid w:val="00980ECB"/>
    <w:rsid w:val="009907D8"/>
    <w:rsid w:val="00995237"/>
    <w:rsid w:val="009A058A"/>
    <w:rsid w:val="009A27C2"/>
    <w:rsid w:val="009B2782"/>
    <w:rsid w:val="009B7165"/>
    <w:rsid w:val="009C3627"/>
    <w:rsid w:val="009C733C"/>
    <w:rsid w:val="009C7453"/>
    <w:rsid w:val="009D146A"/>
    <w:rsid w:val="009D2BE5"/>
    <w:rsid w:val="009E0E72"/>
    <w:rsid w:val="009E3023"/>
    <w:rsid w:val="009E3E09"/>
    <w:rsid w:val="009E5FC8"/>
    <w:rsid w:val="009E620C"/>
    <w:rsid w:val="009E724F"/>
    <w:rsid w:val="009F5F09"/>
    <w:rsid w:val="009F73A4"/>
    <w:rsid w:val="009F73D0"/>
    <w:rsid w:val="00A0516D"/>
    <w:rsid w:val="00A06C61"/>
    <w:rsid w:val="00A121D3"/>
    <w:rsid w:val="00A167AF"/>
    <w:rsid w:val="00A206D5"/>
    <w:rsid w:val="00A216AE"/>
    <w:rsid w:val="00A23279"/>
    <w:rsid w:val="00A2354C"/>
    <w:rsid w:val="00A24A1F"/>
    <w:rsid w:val="00A24CDD"/>
    <w:rsid w:val="00A24D2E"/>
    <w:rsid w:val="00A2537B"/>
    <w:rsid w:val="00A26513"/>
    <w:rsid w:val="00A31BB9"/>
    <w:rsid w:val="00A31FD6"/>
    <w:rsid w:val="00A41145"/>
    <w:rsid w:val="00A6386D"/>
    <w:rsid w:val="00A73D7A"/>
    <w:rsid w:val="00A74F42"/>
    <w:rsid w:val="00A80ECE"/>
    <w:rsid w:val="00A822B7"/>
    <w:rsid w:val="00A84299"/>
    <w:rsid w:val="00A86CDD"/>
    <w:rsid w:val="00A9115E"/>
    <w:rsid w:val="00A92711"/>
    <w:rsid w:val="00A92A0D"/>
    <w:rsid w:val="00A9495E"/>
    <w:rsid w:val="00AA1609"/>
    <w:rsid w:val="00AA260E"/>
    <w:rsid w:val="00AA2DC9"/>
    <w:rsid w:val="00AA440E"/>
    <w:rsid w:val="00AA4B8E"/>
    <w:rsid w:val="00AA59B1"/>
    <w:rsid w:val="00AA71F2"/>
    <w:rsid w:val="00AB01F7"/>
    <w:rsid w:val="00AB1EA5"/>
    <w:rsid w:val="00AB325E"/>
    <w:rsid w:val="00AB4831"/>
    <w:rsid w:val="00AC12D9"/>
    <w:rsid w:val="00AC22A9"/>
    <w:rsid w:val="00AC4499"/>
    <w:rsid w:val="00AC5A3A"/>
    <w:rsid w:val="00AC61B2"/>
    <w:rsid w:val="00AD2C05"/>
    <w:rsid w:val="00AD484D"/>
    <w:rsid w:val="00AD56A6"/>
    <w:rsid w:val="00AD7759"/>
    <w:rsid w:val="00AD7ED9"/>
    <w:rsid w:val="00AE4D82"/>
    <w:rsid w:val="00AF2CA5"/>
    <w:rsid w:val="00AF3F65"/>
    <w:rsid w:val="00AF65F6"/>
    <w:rsid w:val="00B00F53"/>
    <w:rsid w:val="00B1418A"/>
    <w:rsid w:val="00B16D61"/>
    <w:rsid w:val="00B173D1"/>
    <w:rsid w:val="00B17F82"/>
    <w:rsid w:val="00B2532B"/>
    <w:rsid w:val="00B27721"/>
    <w:rsid w:val="00B33B07"/>
    <w:rsid w:val="00B36D35"/>
    <w:rsid w:val="00B40528"/>
    <w:rsid w:val="00B42C24"/>
    <w:rsid w:val="00B447CA"/>
    <w:rsid w:val="00B44E1D"/>
    <w:rsid w:val="00B45678"/>
    <w:rsid w:val="00B457E1"/>
    <w:rsid w:val="00B45D05"/>
    <w:rsid w:val="00B46BF1"/>
    <w:rsid w:val="00B52239"/>
    <w:rsid w:val="00B5398C"/>
    <w:rsid w:val="00B55599"/>
    <w:rsid w:val="00B56217"/>
    <w:rsid w:val="00B57201"/>
    <w:rsid w:val="00B57F0D"/>
    <w:rsid w:val="00B62188"/>
    <w:rsid w:val="00B6283F"/>
    <w:rsid w:val="00B633F9"/>
    <w:rsid w:val="00B66353"/>
    <w:rsid w:val="00B713BB"/>
    <w:rsid w:val="00B73D97"/>
    <w:rsid w:val="00B741E1"/>
    <w:rsid w:val="00B75D79"/>
    <w:rsid w:val="00B76B1A"/>
    <w:rsid w:val="00B815C0"/>
    <w:rsid w:val="00B832B6"/>
    <w:rsid w:val="00B87BCD"/>
    <w:rsid w:val="00B92137"/>
    <w:rsid w:val="00B93656"/>
    <w:rsid w:val="00B96D14"/>
    <w:rsid w:val="00B97E1C"/>
    <w:rsid w:val="00BA0E44"/>
    <w:rsid w:val="00BA4250"/>
    <w:rsid w:val="00BA63AB"/>
    <w:rsid w:val="00BB4A25"/>
    <w:rsid w:val="00BB4D56"/>
    <w:rsid w:val="00BC1031"/>
    <w:rsid w:val="00BC1FC6"/>
    <w:rsid w:val="00BC2217"/>
    <w:rsid w:val="00BD33DF"/>
    <w:rsid w:val="00BD4924"/>
    <w:rsid w:val="00BE18AE"/>
    <w:rsid w:val="00BE7455"/>
    <w:rsid w:val="00BF036D"/>
    <w:rsid w:val="00BF2699"/>
    <w:rsid w:val="00BF77FC"/>
    <w:rsid w:val="00C00650"/>
    <w:rsid w:val="00C03590"/>
    <w:rsid w:val="00C1224F"/>
    <w:rsid w:val="00C1269C"/>
    <w:rsid w:val="00C14F3F"/>
    <w:rsid w:val="00C176EA"/>
    <w:rsid w:val="00C21798"/>
    <w:rsid w:val="00C21B6C"/>
    <w:rsid w:val="00C231E9"/>
    <w:rsid w:val="00C23E67"/>
    <w:rsid w:val="00C25ED1"/>
    <w:rsid w:val="00C3050D"/>
    <w:rsid w:val="00C3591E"/>
    <w:rsid w:val="00C36E8B"/>
    <w:rsid w:val="00C40D11"/>
    <w:rsid w:val="00C41EA2"/>
    <w:rsid w:val="00C47CA5"/>
    <w:rsid w:val="00C5046C"/>
    <w:rsid w:val="00C526EA"/>
    <w:rsid w:val="00C67D0E"/>
    <w:rsid w:val="00C67FE7"/>
    <w:rsid w:val="00C73B59"/>
    <w:rsid w:val="00C7493A"/>
    <w:rsid w:val="00C752A8"/>
    <w:rsid w:val="00C753ED"/>
    <w:rsid w:val="00C805A5"/>
    <w:rsid w:val="00C8312D"/>
    <w:rsid w:val="00C859FE"/>
    <w:rsid w:val="00C86978"/>
    <w:rsid w:val="00C87F2B"/>
    <w:rsid w:val="00CA7A38"/>
    <w:rsid w:val="00CB0F57"/>
    <w:rsid w:val="00CB2A0B"/>
    <w:rsid w:val="00CB2A37"/>
    <w:rsid w:val="00CB6F3F"/>
    <w:rsid w:val="00CB6FAA"/>
    <w:rsid w:val="00CC6957"/>
    <w:rsid w:val="00CD01A8"/>
    <w:rsid w:val="00CD4184"/>
    <w:rsid w:val="00CD45EB"/>
    <w:rsid w:val="00CE2EC3"/>
    <w:rsid w:val="00CE474C"/>
    <w:rsid w:val="00CE65E5"/>
    <w:rsid w:val="00CF10D0"/>
    <w:rsid w:val="00CF4C70"/>
    <w:rsid w:val="00CF6FA4"/>
    <w:rsid w:val="00D008E3"/>
    <w:rsid w:val="00D038C0"/>
    <w:rsid w:val="00D10E93"/>
    <w:rsid w:val="00D16935"/>
    <w:rsid w:val="00D218FF"/>
    <w:rsid w:val="00D231EE"/>
    <w:rsid w:val="00D23AFE"/>
    <w:rsid w:val="00D24F9B"/>
    <w:rsid w:val="00D26595"/>
    <w:rsid w:val="00D371C0"/>
    <w:rsid w:val="00D40A52"/>
    <w:rsid w:val="00D40FBB"/>
    <w:rsid w:val="00D531DD"/>
    <w:rsid w:val="00D56D6F"/>
    <w:rsid w:val="00D70634"/>
    <w:rsid w:val="00D76E17"/>
    <w:rsid w:val="00D80CAE"/>
    <w:rsid w:val="00D90F19"/>
    <w:rsid w:val="00D93471"/>
    <w:rsid w:val="00DA08EE"/>
    <w:rsid w:val="00DB3B51"/>
    <w:rsid w:val="00DB431C"/>
    <w:rsid w:val="00DB4706"/>
    <w:rsid w:val="00DC2DF0"/>
    <w:rsid w:val="00DC7326"/>
    <w:rsid w:val="00DD10BE"/>
    <w:rsid w:val="00DD161A"/>
    <w:rsid w:val="00DD1715"/>
    <w:rsid w:val="00DD1BDA"/>
    <w:rsid w:val="00DD20EA"/>
    <w:rsid w:val="00DD37CB"/>
    <w:rsid w:val="00DD5F39"/>
    <w:rsid w:val="00DD6707"/>
    <w:rsid w:val="00DE1D16"/>
    <w:rsid w:val="00DE3091"/>
    <w:rsid w:val="00DE518F"/>
    <w:rsid w:val="00DE6691"/>
    <w:rsid w:val="00DE6E21"/>
    <w:rsid w:val="00DF36F4"/>
    <w:rsid w:val="00DF5001"/>
    <w:rsid w:val="00DF5BB3"/>
    <w:rsid w:val="00E10F01"/>
    <w:rsid w:val="00E16933"/>
    <w:rsid w:val="00E26F3C"/>
    <w:rsid w:val="00E318F9"/>
    <w:rsid w:val="00E341CF"/>
    <w:rsid w:val="00E36A41"/>
    <w:rsid w:val="00E41F32"/>
    <w:rsid w:val="00E42920"/>
    <w:rsid w:val="00E5755D"/>
    <w:rsid w:val="00E66B7B"/>
    <w:rsid w:val="00E67FAD"/>
    <w:rsid w:val="00E74878"/>
    <w:rsid w:val="00E82B9E"/>
    <w:rsid w:val="00E86C17"/>
    <w:rsid w:val="00E86FD7"/>
    <w:rsid w:val="00E879C2"/>
    <w:rsid w:val="00E90DC1"/>
    <w:rsid w:val="00E933C5"/>
    <w:rsid w:val="00E933FE"/>
    <w:rsid w:val="00E956AC"/>
    <w:rsid w:val="00EA068F"/>
    <w:rsid w:val="00EA35AA"/>
    <w:rsid w:val="00EA4B83"/>
    <w:rsid w:val="00EA4FB8"/>
    <w:rsid w:val="00EA548C"/>
    <w:rsid w:val="00EB0806"/>
    <w:rsid w:val="00EB4688"/>
    <w:rsid w:val="00EC008B"/>
    <w:rsid w:val="00EC5B54"/>
    <w:rsid w:val="00ED3830"/>
    <w:rsid w:val="00ED64DC"/>
    <w:rsid w:val="00EE53F5"/>
    <w:rsid w:val="00EE5FE6"/>
    <w:rsid w:val="00EF11A9"/>
    <w:rsid w:val="00EF15BA"/>
    <w:rsid w:val="00EF3ADC"/>
    <w:rsid w:val="00EF4EE6"/>
    <w:rsid w:val="00EF795C"/>
    <w:rsid w:val="00F00F54"/>
    <w:rsid w:val="00F01BCC"/>
    <w:rsid w:val="00F0398F"/>
    <w:rsid w:val="00F03A86"/>
    <w:rsid w:val="00F10A3A"/>
    <w:rsid w:val="00F113D4"/>
    <w:rsid w:val="00F1620F"/>
    <w:rsid w:val="00F16900"/>
    <w:rsid w:val="00F20239"/>
    <w:rsid w:val="00F33DDA"/>
    <w:rsid w:val="00F4130B"/>
    <w:rsid w:val="00F4130E"/>
    <w:rsid w:val="00F46026"/>
    <w:rsid w:val="00F46A37"/>
    <w:rsid w:val="00F505AD"/>
    <w:rsid w:val="00F53A36"/>
    <w:rsid w:val="00F5409F"/>
    <w:rsid w:val="00F5411A"/>
    <w:rsid w:val="00F67E4F"/>
    <w:rsid w:val="00F70BC2"/>
    <w:rsid w:val="00F71785"/>
    <w:rsid w:val="00F721D4"/>
    <w:rsid w:val="00F7296E"/>
    <w:rsid w:val="00F7465B"/>
    <w:rsid w:val="00F863A5"/>
    <w:rsid w:val="00F93021"/>
    <w:rsid w:val="00FA1071"/>
    <w:rsid w:val="00FA16BE"/>
    <w:rsid w:val="00FA20F2"/>
    <w:rsid w:val="00FA69FB"/>
    <w:rsid w:val="00FB01C2"/>
    <w:rsid w:val="00FB3B2E"/>
    <w:rsid w:val="00FB6686"/>
    <w:rsid w:val="00FC029F"/>
    <w:rsid w:val="00FC69F8"/>
    <w:rsid w:val="00FD3F3E"/>
    <w:rsid w:val="00FD5252"/>
    <w:rsid w:val="00FD5A4E"/>
    <w:rsid w:val="00FE110A"/>
    <w:rsid w:val="00FF3F50"/>
    <w:rsid w:val="00FF578E"/>
    <w:rsid w:val="46931EA8"/>
    <w:rsid w:val="4C30D4F6"/>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4FF02"/>
  <w15:docId w15:val="{3B3BA14D-10AA-4ED5-9AB8-9E1C94E3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42A"/>
    <w:pPr>
      <w:spacing w:after="120"/>
      <w:jc w:val="both"/>
    </w:pPr>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821A0A"/>
    <w:pPr>
      <w:numPr>
        <w:numId w:val="30"/>
      </w:numPr>
      <w:jc w:val="center"/>
      <w:outlineLvl w:val="0"/>
    </w:pPr>
    <w:rPr>
      <w:b/>
      <w:smallCaps/>
    </w:rPr>
  </w:style>
  <w:style w:type="paragraph" w:styleId="Heading2">
    <w:name w:val="heading 2"/>
    <w:basedOn w:val="Normal"/>
    <w:next w:val="Normal"/>
    <w:link w:val="Heading2Char"/>
    <w:uiPriority w:val="9"/>
    <w:unhideWhenUsed/>
    <w:qFormat/>
    <w:rsid w:val="00EA4B83"/>
    <w:pPr>
      <w:numPr>
        <w:ilvl w:val="1"/>
        <w:numId w:val="30"/>
      </w:num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D0E"/>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4C7FF9"/>
    <w:pPr>
      <w:tabs>
        <w:tab w:val="left" w:pos="1440"/>
      </w:tabs>
      <w:spacing w:after="240"/>
      <w:jc w:val="center"/>
    </w:pPr>
    <w:rPr>
      <w:b/>
      <w:smallCaps/>
      <w:szCs w:val="20"/>
      <w:lang w:eastAsia="en-US"/>
    </w:rPr>
  </w:style>
  <w:style w:type="paragraph" w:customStyle="1" w:styleId="Paragraph">
    <w:name w:val="Paragraph"/>
    <w:basedOn w:val="BodyTextIndent"/>
    <w:link w:val="ParagraphChar"/>
    <w:rsid w:val="004C7FF9"/>
    <w:pPr>
      <w:spacing w:before="120"/>
      <w:ind w:left="0"/>
      <w:outlineLvl w:val="1"/>
    </w:pPr>
    <w:rPr>
      <w:szCs w:val="20"/>
      <w:lang w:eastAsia="en-US"/>
    </w:rPr>
  </w:style>
  <w:style w:type="paragraph" w:customStyle="1" w:styleId="subpar">
    <w:name w:val="subpar"/>
    <w:basedOn w:val="BodyTextIndent3"/>
    <w:rsid w:val="004C7FF9"/>
    <w:pPr>
      <w:spacing w:before="120"/>
      <w:ind w:left="0"/>
      <w:outlineLvl w:val="2"/>
    </w:pPr>
    <w:rPr>
      <w:sz w:val="24"/>
      <w:szCs w:val="20"/>
      <w:lang w:val="es-ES_tradnl" w:eastAsia="en-US"/>
    </w:rPr>
  </w:style>
  <w:style w:type="paragraph" w:customStyle="1" w:styleId="SubSubPar">
    <w:name w:val="SubSubPar"/>
    <w:basedOn w:val="subpar"/>
    <w:rsid w:val="004C7FF9"/>
    <w:pPr>
      <w:tabs>
        <w:tab w:val="left" w:pos="0"/>
      </w:tabs>
    </w:pPr>
  </w:style>
  <w:style w:type="character" w:customStyle="1" w:styleId="ParagraphChar">
    <w:name w:val="Paragraph Char"/>
    <w:link w:val="Paragraph"/>
    <w:rsid w:val="004C7FF9"/>
    <w:rPr>
      <w:rFonts w:ascii="Times New Roman" w:eastAsia="Times New Roman" w:hAnsi="Times New Roman"/>
      <w:sz w:val="24"/>
      <w:lang w:val="es-ES" w:eastAsia="en-US"/>
    </w:rPr>
  </w:style>
  <w:style w:type="paragraph" w:styleId="BodyTextIndent">
    <w:name w:val="Body Text Indent"/>
    <w:basedOn w:val="Normal"/>
    <w:link w:val="BodyTextIndentChar"/>
    <w:uiPriority w:val="99"/>
    <w:semiHidden/>
    <w:unhideWhenUsed/>
    <w:rsid w:val="004C7FF9"/>
    <w:pPr>
      <w:ind w:left="283"/>
    </w:pPr>
  </w:style>
  <w:style w:type="character" w:customStyle="1" w:styleId="BodyTextIndentChar">
    <w:name w:val="Body Text Indent Char"/>
    <w:link w:val="BodyTextIndent"/>
    <w:uiPriority w:val="99"/>
    <w:semiHidden/>
    <w:rsid w:val="004C7FF9"/>
    <w:rPr>
      <w:rFonts w:ascii="Times New Roman" w:eastAsia="Times New Roman" w:hAnsi="Times New Roman"/>
      <w:sz w:val="24"/>
      <w:szCs w:val="24"/>
      <w:lang w:val="es-ES" w:eastAsia="es-ES"/>
    </w:rPr>
  </w:style>
  <w:style w:type="paragraph" w:styleId="BodyTextIndent3">
    <w:name w:val="Body Text Indent 3"/>
    <w:basedOn w:val="Normal"/>
    <w:link w:val="BodyTextIndent3Char"/>
    <w:uiPriority w:val="99"/>
    <w:semiHidden/>
    <w:unhideWhenUsed/>
    <w:rsid w:val="004C7FF9"/>
    <w:pPr>
      <w:ind w:left="283"/>
    </w:pPr>
    <w:rPr>
      <w:sz w:val="16"/>
      <w:szCs w:val="16"/>
    </w:rPr>
  </w:style>
  <w:style w:type="character" w:customStyle="1" w:styleId="BodyTextIndent3Char">
    <w:name w:val="Body Text Indent 3 Char"/>
    <w:link w:val="BodyTextIndent3"/>
    <w:uiPriority w:val="99"/>
    <w:semiHidden/>
    <w:rsid w:val="004C7FF9"/>
    <w:rPr>
      <w:rFonts w:ascii="Times New Roman" w:eastAsia="Times New Roman" w:hAnsi="Times New Roman"/>
      <w:sz w:val="16"/>
      <w:szCs w:val="16"/>
      <w:lang w:val="es-ES" w:eastAsia="es-ES"/>
    </w:rPr>
  </w:style>
  <w:style w:type="character" w:customStyle="1" w:styleId="Heading1Char">
    <w:name w:val="Heading 1 Char"/>
    <w:link w:val="Heading1"/>
    <w:uiPriority w:val="9"/>
    <w:rsid w:val="00821A0A"/>
    <w:rPr>
      <w:rFonts w:ascii="Times New Roman" w:eastAsia="Times New Roman" w:hAnsi="Times New Roman"/>
      <w:b/>
      <w:smallCaps/>
      <w:sz w:val="24"/>
      <w:szCs w:val="24"/>
      <w:lang w:val="es-ES" w:eastAsia="es-ES"/>
    </w:rPr>
  </w:style>
  <w:style w:type="paragraph" w:styleId="DocumentMap">
    <w:name w:val="Document Map"/>
    <w:basedOn w:val="Normal"/>
    <w:link w:val="DocumentMapChar"/>
    <w:uiPriority w:val="99"/>
    <w:semiHidden/>
    <w:unhideWhenUsed/>
    <w:rsid w:val="00B447CA"/>
    <w:rPr>
      <w:rFonts w:ascii="Tahoma" w:hAnsi="Tahoma" w:cs="Tahoma"/>
      <w:sz w:val="16"/>
      <w:szCs w:val="16"/>
    </w:rPr>
  </w:style>
  <w:style w:type="character" w:customStyle="1" w:styleId="DocumentMapChar">
    <w:name w:val="Document Map Char"/>
    <w:link w:val="DocumentMap"/>
    <w:uiPriority w:val="99"/>
    <w:semiHidden/>
    <w:rsid w:val="00B447CA"/>
    <w:rPr>
      <w:rFonts w:ascii="Tahoma" w:eastAsia="Times New Roman" w:hAnsi="Tahoma" w:cs="Tahoma"/>
      <w:sz w:val="16"/>
      <w:szCs w:val="16"/>
      <w:lang w:val="es-ES" w:eastAsia="es-ES"/>
    </w:rPr>
  </w:style>
  <w:style w:type="paragraph" w:styleId="BalloonText">
    <w:name w:val="Balloon Text"/>
    <w:basedOn w:val="Normal"/>
    <w:link w:val="BalloonTextChar"/>
    <w:uiPriority w:val="99"/>
    <w:semiHidden/>
    <w:unhideWhenUsed/>
    <w:rsid w:val="00E42920"/>
    <w:rPr>
      <w:rFonts w:ascii="Tahoma" w:hAnsi="Tahoma" w:cs="Tahoma"/>
      <w:sz w:val="16"/>
      <w:szCs w:val="16"/>
    </w:rPr>
  </w:style>
  <w:style w:type="character" w:customStyle="1" w:styleId="BalloonTextChar">
    <w:name w:val="Balloon Text Char"/>
    <w:link w:val="BalloonText"/>
    <w:uiPriority w:val="99"/>
    <w:semiHidden/>
    <w:rsid w:val="00E42920"/>
    <w:rPr>
      <w:rFonts w:ascii="Tahoma" w:eastAsia="Times New Roman" w:hAnsi="Tahoma" w:cs="Tahoma"/>
      <w:sz w:val="16"/>
      <w:szCs w:val="16"/>
      <w:lang w:val="es-ES" w:eastAsia="es-ES"/>
    </w:rPr>
  </w:style>
  <w:style w:type="paragraph" w:styleId="FootnoteText">
    <w:name w:val="footnote text"/>
    <w:basedOn w:val="Normal"/>
    <w:link w:val="FootnoteTextChar"/>
    <w:uiPriority w:val="99"/>
    <w:semiHidden/>
    <w:unhideWhenUsed/>
    <w:rsid w:val="00C526EA"/>
    <w:rPr>
      <w:sz w:val="20"/>
      <w:szCs w:val="20"/>
    </w:rPr>
  </w:style>
  <w:style w:type="character" w:customStyle="1" w:styleId="FootnoteTextChar">
    <w:name w:val="Footnote Text Char"/>
    <w:link w:val="FootnoteText"/>
    <w:uiPriority w:val="99"/>
    <w:semiHidden/>
    <w:rsid w:val="00C526EA"/>
    <w:rPr>
      <w:rFonts w:ascii="Times New Roman" w:eastAsia="Times New Roman" w:hAnsi="Times New Roman"/>
      <w:lang w:val="es-ES" w:eastAsia="es-ES"/>
    </w:rPr>
  </w:style>
  <w:style w:type="character" w:styleId="FootnoteReference">
    <w:name w:val="footnote reference"/>
    <w:uiPriority w:val="99"/>
    <w:semiHidden/>
    <w:unhideWhenUsed/>
    <w:rsid w:val="00C526EA"/>
    <w:rPr>
      <w:vertAlign w:val="superscript"/>
    </w:rPr>
  </w:style>
  <w:style w:type="character" w:customStyle="1" w:styleId="ParagraphCar">
    <w:name w:val="Paragraph Car"/>
    <w:rsid w:val="00740E60"/>
    <w:rPr>
      <w:rFonts w:ascii="Times New Roman" w:eastAsia="Times New Roman" w:hAnsi="Times New Roman"/>
      <w:sz w:val="24"/>
    </w:rPr>
  </w:style>
  <w:style w:type="character" w:styleId="CommentReference">
    <w:name w:val="annotation reference"/>
    <w:uiPriority w:val="99"/>
    <w:semiHidden/>
    <w:unhideWhenUsed/>
    <w:rsid w:val="006C0B7B"/>
    <w:rPr>
      <w:sz w:val="16"/>
      <w:szCs w:val="16"/>
    </w:rPr>
  </w:style>
  <w:style w:type="paragraph" w:styleId="CommentText">
    <w:name w:val="annotation text"/>
    <w:basedOn w:val="Normal"/>
    <w:link w:val="CommentTextChar"/>
    <w:uiPriority w:val="99"/>
    <w:semiHidden/>
    <w:unhideWhenUsed/>
    <w:rsid w:val="006C0B7B"/>
    <w:rPr>
      <w:sz w:val="20"/>
      <w:szCs w:val="20"/>
    </w:rPr>
  </w:style>
  <w:style w:type="character" w:customStyle="1" w:styleId="CommentTextChar">
    <w:name w:val="Comment Text Char"/>
    <w:link w:val="CommentText"/>
    <w:uiPriority w:val="99"/>
    <w:semiHidden/>
    <w:rsid w:val="006C0B7B"/>
    <w:rPr>
      <w:rFonts w:ascii="Times New Roman" w:eastAsia="Times New Roman" w:hAnsi="Times New Roman"/>
      <w:lang w:val="es-ES" w:eastAsia="es-ES"/>
    </w:rPr>
  </w:style>
  <w:style w:type="paragraph" w:styleId="CommentSubject">
    <w:name w:val="annotation subject"/>
    <w:basedOn w:val="CommentText"/>
    <w:next w:val="CommentText"/>
    <w:link w:val="CommentSubjectChar"/>
    <w:uiPriority w:val="99"/>
    <w:semiHidden/>
    <w:unhideWhenUsed/>
    <w:rsid w:val="006C0B7B"/>
    <w:rPr>
      <w:b/>
      <w:bCs/>
    </w:rPr>
  </w:style>
  <w:style w:type="character" w:customStyle="1" w:styleId="CommentSubjectChar">
    <w:name w:val="Comment Subject Char"/>
    <w:link w:val="CommentSubject"/>
    <w:uiPriority w:val="99"/>
    <w:semiHidden/>
    <w:rsid w:val="006C0B7B"/>
    <w:rPr>
      <w:rFonts w:ascii="Times New Roman" w:eastAsia="Times New Roman" w:hAnsi="Times New Roman"/>
      <w:b/>
      <w:bCs/>
      <w:lang w:val="es-ES" w:eastAsia="es-ES"/>
    </w:rPr>
  </w:style>
  <w:style w:type="paragraph" w:styleId="BodyText">
    <w:name w:val="Body Text"/>
    <w:basedOn w:val="Normal"/>
    <w:link w:val="BodyTextChar"/>
    <w:uiPriority w:val="99"/>
    <w:unhideWhenUsed/>
    <w:rsid w:val="00EB4688"/>
  </w:style>
  <w:style w:type="character" w:customStyle="1" w:styleId="BodyTextChar">
    <w:name w:val="Body Text Char"/>
    <w:link w:val="BodyText"/>
    <w:uiPriority w:val="99"/>
    <w:rsid w:val="00EB4688"/>
    <w:rPr>
      <w:rFonts w:ascii="Times New Roman" w:eastAsia="Times New Roman" w:hAnsi="Times New Roman"/>
      <w:sz w:val="24"/>
      <w:szCs w:val="24"/>
      <w:lang w:val="es-ES" w:eastAsia="es-ES"/>
    </w:rPr>
  </w:style>
  <w:style w:type="paragraph" w:styleId="Title">
    <w:name w:val="Title"/>
    <w:basedOn w:val="Normal"/>
    <w:link w:val="TitleChar"/>
    <w:qFormat/>
    <w:rsid w:val="00EB4688"/>
    <w:pPr>
      <w:tabs>
        <w:tab w:val="left" w:pos="1440"/>
        <w:tab w:val="left" w:pos="3060"/>
      </w:tabs>
      <w:jc w:val="center"/>
      <w:outlineLvl w:val="0"/>
    </w:pPr>
    <w:rPr>
      <w:szCs w:val="20"/>
      <w:lang w:val="en-US" w:eastAsia="en-US"/>
    </w:rPr>
  </w:style>
  <w:style w:type="character" w:customStyle="1" w:styleId="TitleChar">
    <w:name w:val="Title Char"/>
    <w:link w:val="Title"/>
    <w:rsid w:val="00EB4688"/>
    <w:rPr>
      <w:rFonts w:ascii="Times New Roman" w:eastAsia="Times New Roman" w:hAnsi="Times New Roman"/>
      <w:sz w:val="24"/>
      <w:lang w:val="en-US" w:eastAsia="en-US"/>
    </w:rPr>
  </w:style>
  <w:style w:type="paragraph" w:customStyle="1" w:styleId="Newpage">
    <w:name w:val="Newpage"/>
    <w:basedOn w:val="Normal"/>
    <w:rsid w:val="00EB4688"/>
    <w:pPr>
      <w:tabs>
        <w:tab w:val="left" w:pos="1440"/>
        <w:tab w:val="left" w:pos="3060"/>
      </w:tabs>
      <w:jc w:val="center"/>
    </w:pPr>
    <w:rPr>
      <w:rFonts w:cs="Arial"/>
      <w:b/>
      <w:smallCaps/>
      <w:szCs w:val="20"/>
      <w:lang w:val="en-US" w:eastAsia="en-US"/>
    </w:rPr>
  </w:style>
  <w:style w:type="paragraph" w:styleId="Header">
    <w:name w:val="header"/>
    <w:basedOn w:val="Normal"/>
    <w:link w:val="HeaderChar"/>
    <w:uiPriority w:val="99"/>
    <w:unhideWhenUsed/>
    <w:rsid w:val="00B457E1"/>
    <w:pPr>
      <w:tabs>
        <w:tab w:val="center" w:pos="4680"/>
        <w:tab w:val="right" w:pos="9360"/>
      </w:tabs>
    </w:pPr>
  </w:style>
  <w:style w:type="character" w:customStyle="1" w:styleId="HeaderChar">
    <w:name w:val="Header Char"/>
    <w:link w:val="Header"/>
    <w:uiPriority w:val="99"/>
    <w:rsid w:val="00B457E1"/>
    <w:rPr>
      <w:rFonts w:ascii="Times New Roman" w:eastAsia="Times New Roman" w:hAnsi="Times New Roman"/>
      <w:sz w:val="24"/>
      <w:szCs w:val="24"/>
      <w:lang w:val="es-ES" w:eastAsia="es-ES"/>
    </w:rPr>
  </w:style>
  <w:style w:type="paragraph" w:styleId="Footer">
    <w:name w:val="footer"/>
    <w:basedOn w:val="Normal"/>
    <w:link w:val="FooterChar"/>
    <w:uiPriority w:val="99"/>
    <w:unhideWhenUsed/>
    <w:rsid w:val="00B457E1"/>
    <w:pPr>
      <w:tabs>
        <w:tab w:val="center" w:pos="4680"/>
        <w:tab w:val="right" w:pos="9360"/>
      </w:tabs>
    </w:pPr>
  </w:style>
  <w:style w:type="character" w:customStyle="1" w:styleId="FooterChar">
    <w:name w:val="Footer Char"/>
    <w:link w:val="Footer"/>
    <w:uiPriority w:val="99"/>
    <w:rsid w:val="00B457E1"/>
    <w:rPr>
      <w:rFonts w:ascii="Times New Roman" w:eastAsia="Times New Roman" w:hAnsi="Times New Roman"/>
      <w:sz w:val="24"/>
      <w:szCs w:val="24"/>
      <w:lang w:val="es-ES" w:eastAsia="es-ES"/>
    </w:rPr>
  </w:style>
  <w:style w:type="character" w:styleId="Hyperlink">
    <w:name w:val="Hyperlink"/>
    <w:uiPriority w:val="99"/>
    <w:unhideWhenUsed/>
    <w:rsid w:val="000A0813"/>
    <w:rPr>
      <w:color w:val="0000FF"/>
      <w:u w:val="single"/>
    </w:rPr>
  </w:style>
  <w:style w:type="character" w:customStyle="1" w:styleId="Heading2Char">
    <w:name w:val="Heading 2 Char"/>
    <w:link w:val="Heading2"/>
    <w:uiPriority w:val="9"/>
    <w:rsid w:val="00EA4B83"/>
    <w:rPr>
      <w:rFonts w:ascii="Times New Roman" w:eastAsia="Times New Roman" w:hAnsi="Times New Roman"/>
      <w:b/>
      <w:sz w:val="24"/>
      <w:szCs w:val="24"/>
      <w:lang w:val="es-ES" w:eastAsia="es-ES"/>
    </w:rPr>
  </w:style>
  <w:style w:type="table" w:styleId="TableGrid">
    <w:name w:val="Table Grid"/>
    <w:basedOn w:val="TableNormal"/>
    <w:uiPriority w:val="59"/>
    <w:rsid w:val="006B4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1224F"/>
    <w:rPr>
      <w:b/>
      <w:bCs/>
      <w:sz w:val="20"/>
      <w:szCs w:val="20"/>
    </w:rPr>
  </w:style>
  <w:style w:type="paragraph" w:styleId="NormalWeb">
    <w:name w:val="Normal (Web)"/>
    <w:basedOn w:val="Normal"/>
    <w:uiPriority w:val="99"/>
    <w:unhideWhenUsed/>
    <w:rsid w:val="00B97E1C"/>
    <w:pPr>
      <w:spacing w:before="100" w:beforeAutospacing="1" w:after="100" w:afterAutospacing="1"/>
      <w:jc w:val="left"/>
    </w:pPr>
    <w:rPr>
      <w:lang w:val="es-CL" w:eastAsia="es-CL"/>
    </w:rPr>
  </w:style>
  <w:style w:type="character" w:styleId="UnresolvedMention">
    <w:name w:val="Unresolved Mention"/>
    <w:basedOn w:val="DefaultParagraphFont"/>
    <w:uiPriority w:val="99"/>
    <w:semiHidden/>
    <w:unhideWhenUsed/>
    <w:rsid w:val="00CB6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883073">
      <w:bodyDiv w:val="1"/>
      <w:marLeft w:val="0"/>
      <w:marRight w:val="0"/>
      <w:marTop w:val="0"/>
      <w:marBottom w:val="0"/>
      <w:divBdr>
        <w:top w:val="none" w:sz="0" w:space="0" w:color="auto"/>
        <w:left w:val="none" w:sz="0" w:space="0" w:color="auto"/>
        <w:bottom w:val="none" w:sz="0" w:space="0" w:color="auto"/>
        <w:right w:val="none" w:sz="0" w:space="0" w:color="auto"/>
      </w:divBdr>
    </w:div>
    <w:div w:id="365378179">
      <w:bodyDiv w:val="1"/>
      <w:marLeft w:val="0"/>
      <w:marRight w:val="0"/>
      <w:marTop w:val="0"/>
      <w:marBottom w:val="0"/>
      <w:divBdr>
        <w:top w:val="none" w:sz="0" w:space="0" w:color="auto"/>
        <w:left w:val="none" w:sz="0" w:space="0" w:color="auto"/>
        <w:bottom w:val="none" w:sz="0" w:space="0" w:color="auto"/>
        <w:right w:val="none" w:sz="0" w:space="0" w:color="auto"/>
      </w:divBdr>
    </w:div>
    <w:div w:id="521211356">
      <w:bodyDiv w:val="1"/>
      <w:marLeft w:val="0"/>
      <w:marRight w:val="0"/>
      <w:marTop w:val="0"/>
      <w:marBottom w:val="0"/>
      <w:divBdr>
        <w:top w:val="none" w:sz="0" w:space="0" w:color="auto"/>
        <w:left w:val="none" w:sz="0" w:space="0" w:color="auto"/>
        <w:bottom w:val="none" w:sz="0" w:space="0" w:color="auto"/>
        <w:right w:val="none" w:sz="0" w:space="0" w:color="auto"/>
      </w:divBdr>
    </w:div>
    <w:div w:id="526334496">
      <w:bodyDiv w:val="1"/>
      <w:marLeft w:val="0"/>
      <w:marRight w:val="0"/>
      <w:marTop w:val="0"/>
      <w:marBottom w:val="0"/>
      <w:divBdr>
        <w:top w:val="none" w:sz="0" w:space="0" w:color="auto"/>
        <w:left w:val="none" w:sz="0" w:space="0" w:color="auto"/>
        <w:bottom w:val="none" w:sz="0" w:space="0" w:color="auto"/>
        <w:right w:val="none" w:sz="0" w:space="0" w:color="auto"/>
      </w:divBdr>
    </w:div>
    <w:div w:id="563369829">
      <w:bodyDiv w:val="1"/>
      <w:marLeft w:val="0"/>
      <w:marRight w:val="0"/>
      <w:marTop w:val="0"/>
      <w:marBottom w:val="0"/>
      <w:divBdr>
        <w:top w:val="none" w:sz="0" w:space="0" w:color="auto"/>
        <w:left w:val="none" w:sz="0" w:space="0" w:color="auto"/>
        <w:bottom w:val="none" w:sz="0" w:space="0" w:color="auto"/>
        <w:right w:val="none" w:sz="0" w:space="0" w:color="auto"/>
      </w:divBdr>
    </w:div>
    <w:div w:id="583805660">
      <w:bodyDiv w:val="1"/>
      <w:marLeft w:val="0"/>
      <w:marRight w:val="0"/>
      <w:marTop w:val="0"/>
      <w:marBottom w:val="0"/>
      <w:divBdr>
        <w:top w:val="none" w:sz="0" w:space="0" w:color="auto"/>
        <w:left w:val="none" w:sz="0" w:space="0" w:color="auto"/>
        <w:bottom w:val="none" w:sz="0" w:space="0" w:color="auto"/>
        <w:right w:val="none" w:sz="0" w:space="0" w:color="auto"/>
      </w:divBdr>
      <w:divsChild>
        <w:div w:id="430273238">
          <w:marLeft w:val="0"/>
          <w:marRight w:val="0"/>
          <w:marTop w:val="0"/>
          <w:marBottom w:val="0"/>
          <w:divBdr>
            <w:top w:val="none" w:sz="0" w:space="0" w:color="auto"/>
            <w:left w:val="none" w:sz="0" w:space="0" w:color="auto"/>
            <w:bottom w:val="none" w:sz="0" w:space="0" w:color="auto"/>
            <w:right w:val="none" w:sz="0" w:space="0" w:color="auto"/>
          </w:divBdr>
          <w:divsChild>
            <w:div w:id="1124230458">
              <w:marLeft w:val="0"/>
              <w:marRight w:val="0"/>
              <w:marTop w:val="0"/>
              <w:marBottom w:val="0"/>
              <w:divBdr>
                <w:top w:val="none" w:sz="0" w:space="0" w:color="auto"/>
                <w:left w:val="none" w:sz="0" w:space="0" w:color="auto"/>
                <w:bottom w:val="none" w:sz="0" w:space="0" w:color="auto"/>
                <w:right w:val="none" w:sz="0" w:space="0" w:color="auto"/>
              </w:divBdr>
              <w:divsChild>
                <w:div w:id="729769178">
                  <w:marLeft w:val="0"/>
                  <w:marRight w:val="0"/>
                  <w:marTop w:val="0"/>
                  <w:marBottom w:val="0"/>
                  <w:divBdr>
                    <w:top w:val="none" w:sz="0" w:space="0" w:color="auto"/>
                    <w:left w:val="none" w:sz="0" w:space="0" w:color="auto"/>
                    <w:bottom w:val="none" w:sz="0" w:space="0" w:color="auto"/>
                    <w:right w:val="none" w:sz="0" w:space="0" w:color="auto"/>
                  </w:divBdr>
                  <w:divsChild>
                    <w:div w:id="748893202">
                      <w:marLeft w:val="0"/>
                      <w:marRight w:val="0"/>
                      <w:marTop w:val="0"/>
                      <w:marBottom w:val="0"/>
                      <w:divBdr>
                        <w:top w:val="none" w:sz="0" w:space="0" w:color="auto"/>
                        <w:left w:val="none" w:sz="0" w:space="0" w:color="auto"/>
                        <w:bottom w:val="none" w:sz="0" w:space="0" w:color="auto"/>
                        <w:right w:val="none" w:sz="0" w:space="0" w:color="auto"/>
                      </w:divBdr>
                      <w:divsChild>
                        <w:div w:id="41185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0815233">
      <w:bodyDiv w:val="1"/>
      <w:marLeft w:val="0"/>
      <w:marRight w:val="0"/>
      <w:marTop w:val="0"/>
      <w:marBottom w:val="0"/>
      <w:divBdr>
        <w:top w:val="none" w:sz="0" w:space="0" w:color="auto"/>
        <w:left w:val="none" w:sz="0" w:space="0" w:color="auto"/>
        <w:bottom w:val="none" w:sz="0" w:space="0" w:color="auto"/>
        <w:right w:val="none" w:sz="0" w:space="0" w:color="auto"/>
      </w:divBdr>
    </w:div>
    <w:div w:id="702633553">
      <w:bodyDiv w:val="1"/>
      <w:marLeft w:val="0"/>
      <w:marRight w:val="0"/>
      <w:marTop w:val="0"/>
      <w:marBottom w:val="0"/>
      <w:divBdr>
        <w:top w:val="none" w:sz="0" w:space="0" w:color="auto"/>
        <w:left w:val="none" w:sz="0" w:space="0" w:color="auto"/>
        <w:bottom w:val="none" w:sz="0" w:space="0" w:color="auto"/>
        <w:right w:val="none" w:sz="0" w:space="0" w:color="auto"/>
      </w:divBdr>
    </w:div>
    <w:div w:id="742334388">
      <w:bodyDiv w:val="1"/>
      <w:marLeft w:val="0"/>
      <w:marRight w:val="0"/>
      <w:marTop w:val="0"/>
      <w:marBottom w:val="0"/>
      <w:divBdr>
        <w:top w:val="none" w:sz="0" w:space="0" w:color="auto"/>
        <w:left w:val="none" w:sz="0" w:space="0" w:color="auto"/>
        <w:bottom w:val="none" w:sz="0" w:space="0" w:color="auto"/>
        <w:right w:val="none" w:sz="0" w:space="0" w:color="auto"/>
      </w:divBdr>
    </w:div>
    <w:div w:id="849295469">
      <w:bodyDiv w:val="1"/>
      <w:marLeft w:val="0"/>
      <w:marRight w:val="0"/>
      <w:marTop w:val="0"/>
      <w:marBottom w:val="0"/>
      <w:divBdr>
        <w:top w:val="none" w:sz="0" w:space="0" w:color="auto"/>
        <w:left w:val="none" w:sz="0" w:space="0" w:color="auto"/>
        <w:bottom w:val="none" w:sz="0" w:space="0" w:color="auto"/>
        <w:right w:val="none" w:sz="0" w:space="0" w:color="auto"/>
      </w:divBdr>
      <w:divsChild>
        <w:div w:id="1008217355">
          <w:marLeft w:val="0"/>
          <w:marRight w:val="0"/>
          <w:marTop w:val="0"/>
          <w:marBottom w:val="0"/>
          <w:divBdr>
            <w:top w:val="none" w:sz="0" w:space="0" w:color="auto"/>
            <w:left w:val="none" w:sz="0" w:space="0" w:color="auto"/>
            <w:bottom w:val="none" w:sz="0" w:space="0" w:color="auto"/>
            <w:right w:val="none" w:sz="0" w:space="0" w:color="auto"/>
          </w:divBdr>
          <w:divsChild>
            <w:div w:id="449973979">
              <w:marLeft w:val="0"/>
              <w:marRight w:val="0"/>
              <w:marTop w:val="0"/>
              <w:marBottom w:val="0"/>
              <w:divBdr>
                <w:top w:val="none" w:sz="0" w:space="0" w:color="auto"/>
                <w:left w:val="none" w:sz="0" w:space="0" w:color="auto"/>
                <w:bottom w:val="none" w:sz="0" w:space="0" w:color="auto"/>
                <w:right w:val="none" w:sz="0" w:space="0" w:color="auto"/>
              </w:divBdr>
              <w:divsChild>
                <w:div w:id="320550290">
                  <w:marLeft w:val="0"/>
                  <w:marRight w:val="0"/>
                  <w:marTop w:val="0"/>
                  <w:marBottom w:val="0"/>
                  <w:divBdr>
                    <w:top w:val="none" w:sz="0" w:space="0" w:color="auto"/>
                    <w:left w:val="none" w:sz="0" w:space="0" w:color="auto"/>
                    <w:bottom w:val="none" w:sz="0" w:space="0" w:color="auto"/>
                    <w:right w:val="none" w:sz="0" w:space="0" w:color="auto"/>
                  </w:divBdr>
                  <w:divsChild>
                    <w:div w:id="497817816">
                      <w:marLeft w:val="0"/>
                      <w:marRight w:val="0"/>
                      <w:marTop w:val="0"/>
                      <w:marBottom w:val="0"/>
                      <w:divBdr>
                        <w:top w:val="none" w:sz="0" w:space="0" w:color="auto"/>
                        <w:left w:val="none" w:sz="0" w:space="0" w:color="auto"/>
                        <w:bottom w:val="none" w:sz="0" w:space="0" w:color="auto"/>
                        <w:right w:val="none" w:sz="0" w:space="0" w:color="auto"/>
                      </w:divBdr>
                      <w:divsChild>
                        <w:div w:id="1718892456">
                          <w:marLeft w:val="0"/>
                          <w:marRight w:val="0"/>
                          <w:marTop w:val="0"/>
                          <w:marBottom w:val="0"/>
                          <w:divBdr>
                            <w:top w:val="none" w:sz="0" w:space="0" w:color="auto"/>
                            <w:left w:val="none" w:sz="0" w:space="0" w:color="auto"/>
                            <w:bottom w:val="none" w:sz="0" w:space="0" w:color="auto"/>
                            <w:right w:val="none" w:sz="0" w:space="0" w:color="auto"/>
                          </w:divBdr>
                          <w:divsChild>
                            <w:div w:id="1535263145">
                              <w:marLeft w:val="0"/>
                              <w:marRight w:val="0"/>
                              <w:marTop w:val="0"/>
                              <w:marBottom w:val="0"/>
                              <w:divBdr>
                                <w:top w:val="none" w:sz="0" w:space="0" w:color="auto"/>
                                <w:left w:val="none" w:sz="0" w:space="0" w:color="auto"/>
                                <w:bottom w:val="none" w:sz="0" w:space="0" w:color="auto"/>
                                <w:right w:val="none" w:sz="0" w:space="0" w:color="auto"/>
                              </w:divBdr>
                              <w:divsChild>
                                <w:div w:id="1107891092">
                                  <w:marLeft w:val="0"/>
                                  <w:marRight w:val="0"/>
                                  <w:marTop w:val="0"/>
                                  <w:marBottom w:val="0"/>
                                  <w:divBdr>
                                    <w:top w:val="none" w:sz="0" w:space="0" w:color="auto"/>
                                    <w:left w:val="none" w:sz="0" w:space="0" w:color="auto"/>
                                    <w:bottom w:val="none" w:sz="0" w:space="0" w:color="auto"/>
                                    <w:right w:val="none" w:sz="0" w:space="0" w:color="auto"/>
                                  </w:divBdr>
                                  <w:divsChild>
                                    <w:div w:id="1686782085">
                                      <w:marLeft w:val="0"/>
                                      <w:marRight w:val="0"/>
                                      <w:marTop w:val="0"/>
                                      <w:marBottom w:val="0"/>
                                      <w:divBdr>
                                        <w:top w:val="none" w:sz="0" w:space="0" w:color="auto"/>
                                        <w:left w:val="none" w:sz="0" w:space="0" w:color="auto"/>
                                        <w:bottom w:val="none" w:sz="0" w:space="0" w:color="auto"/>
                                        <w:right w:val="none" w:sz="0" w:space="0" w:color="auto"/>
                                      </w:divBdr>
                                      <w:divsChild>
                                        <w:div w:id="15086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4953645">
      <w:bodyDiv w:val="1"/>
      <w:marLeft w:val="0"/>
      <w:marRight w:val="0"/>
      <w:marTop w:val="0"/>
      <w:marBottom w:val="0"/>
      <w:divBdr>
        <w:top w:val="none" w:sz="0" w:space="0" w:color="auto"/>
        <w:left w:val="none" w:sz="0" w:space="0" w:color="auto"/>
        <w:bottom w:val="none" w:sz="0" w:space="0" w:color="auto"/>
        <w:right w:val="none" w:sz="0" w:space="0" w:color="auto"/>
      </w:divBdr>
    </w:div>
    <w:div w:id="963852780">
      <w:bodyDiv w:val="1"/>
      <w:marLeft w:val="0"/>
      <w:marRight w:val="0"/>
      <w:marTop w:val="0"/>
      <w:marBottom w:val="0"/>
      <w:divBdr>
        <w:top w:val="none" w:sz="0" w:space="0" w:color="auto"/>
        <w:left w:val="none" w:sz="0" w:space="0" w:color="auto"/>
        <w:bottom w:val="none" w:sz="0" w:space="0" w:color="auto"/>
        <w:right w:val="none" w:sz="0" w:space="0" w:color="auto"/>
      </w:divBdr>
    </w:div>
    <w:div w:id="967933163">
      <w:bodyDiv w:val="1"/>
      <w:marLeft w:val="0"/>
      <w:marRight w:val="0"/>
      <w:marTop w:val="0"/>
      <w:marBottom w:val="0"/>
      <w:divBdr>
        <w:top w:val="none" w:sz="0" w:space="0" w:color="auto"/>
        <w:left w:val="none" w:sz="0" w:space="0" w:color="auto"/>
        <w:bottom w:val="none" w:sz="0" w:space="0" w:color="auto"/>
        <w:right w:val="none" w:sz="0" w:space="0" w:color="auto"/>
      </w:divBdr>
    </w:div>
    <w:div w:id="1022124791">
      <w:bodyDiv w:val="1"/>
      <w:marLeft w:val="0"/>
      <w:marRight w:val="0"/>
      <w:marTop w:val="0"/>
      <w:marBottom w:val="0"/>
      <w:divBdr>
        <w:top w:val="none" w:sz="0" w:space="0" w:color="auto"/>
        <w:left w:val="none" w:sz="0" w:space="0" w:color="auto"/>
        <w:bottom w:val="none" w:sz="0" w:space="0" w:color="auto"/>
        <w:right w:val="none" w:sz="0" w:space="0" w:color="auto"/>
      </w:divBdr>
    </w:div>
    <w:div w:id="1040856079">
      <w:bodyDiv w:val="1"/>
      <w:marLeft w:val="0"/>
      <w:marRight w:val="0"/>
      <w:marTop w:val="0"/>
      <w:marBottom w:val="0"/>
      <w:divBdr>
        <w:top w:val="none" w:sz="0" w:space="0" w:color="auto"/>
        <w:left w:val="none" w:sz="0" w:space="0" w:color="auto"/>
        <w:bottom w:val="none" w:sz="0" w:space="0" w:color="auto"/>
        <w:right w:val="none" w:sz="0" w:space="0" w:color="auto"/>
      </w:divBdr>
    </w:div>
    <w:div w:id="1052967063">
      <w:bodyDiv w:val="1"/>
      <w:marLeft w:val="0"/>
      <w:marRight w:val="0"/>
      <w:marTop w:val="0"/>
      <w:marBottom w:val="0"/>
      <w:divBdr>
        <w:top w:val="none" w:sz="0" w:space="0" w:color="auto"/>
        <w:left w:val="none" w:sz="0" w:space="0" w:color="auto"/>
        <w:bottom w:val="none" w:sz="0" w:space="0" w:color="auto"/>
        <w:right w:val="none" w:sz="0" w:space="0" w:color="auto"/>
      </w:divBdr>
    </w:div>
    <w:div w:id="1139305578">
      <w:bodyDiv w:val="1"/>
      <w:marLeft w:val="0"/>
      <w:marRight w:val="0"/>
      <w:marTop w:val="0"/>
      <w:marBottom w:val="0"/>
      <w:divBdr>
        <w:top w:val="none" w:sz="0" w:space="0" w:color="auto"/>
        <w:left w:val="none" w:sz="0" w:space="0" w:color="auto"/>
        <w:bottom w:val="none" w:sz="0" w:space="0" w:color="auto"/>
        <w:right w:val="none" w:sz="0" w:space="0" w:color="auto"/>
      </w:divBdr>
    </w:div>
    <w:div w:id="1182011843">
      <w:bodyDiv w:val="1"/>
      <w:marLeft w:val="0"/>
      <w:marRight w:val="0"/>
      <w:marTop w:val="0"/>
      <w:marBottom w:val="0"/>
      <w:divBdr>
        <w:top w:val="none" w:sz="0" w:space="0" w:color="auto"/>
        <w:left w:val="none" w:sz="0" w:space="0" w:color="auto"/>
        <w:bottom w:val="none" w:sz="0" w:space="0" w:color="auto"/>
        <w:right w:val="none" w:sz="0" w:space="0" w:color="auto"/>
      </w:divBdr>
    </w:div>
    <w:div w:id="1221557013">
      <w:bodyDiv w:val="1"/>
      <w:marLeft w:val="0"/>
      <w:marRight w:val="0"/>
      <w:marTop w:val="0"/>
      <w:marBottom w:val="0"/>
      <w:divBdr>
        <w:top w:val="none" w:sz="0" w:space="0" w:color="auto"/>
        <w:left w:val="none" w:sz="0" w:space="0" w:color="auto"/>
        <w:bottom w:val="none" w:sz="0" w:space="0" w:color="auto"/>
        <w:right w:val="none" w:sz="0" w:space="0" w:color="auto"/>
      </w:divBdr>
    </w:div>
    <w:div w:id="1268806263">
      <w:bodyDiv w:val="1"/>
      <w:marLeft w:val="0"/>
      <w:marRight w:val="0"/>
      <w:marTop w:val="0"/>
      <w:marBottom w:val="0"/>
      <w:divBdr>
        <w:top w:val="none" w:sz="0" w:space="0" w:color="auto"/>
        <w:left w:val="none" w:sz="0" w:space="0" w:color="auto"/>
        <w:bottom w:val="none" w:sz="0" w:space="0" w:color="auto"/>
        <w:right w:val="none" w:sz="0" w:space="0" w:color="auto"/>
      </w:divBdr>
    </w:div>
    <w:div w:id="1391343611">
      <w:bodyDiv w:val="1"/>
      <w:marLeft w:val="0"/>
      <w:marRight w:val="0"/>
      <w:marTop w:val="0"/>
      <w:marBottom w:val="0"/>
      <w:divBdr>
        <w:top w:val="none" w:sz="0" w:space="0" w:color="auto"/>
        <w:left w:val="none" w:sz="0" w:space="0" w:color="auto"/>
        <w:bottom w:val="none" w:sz="0" w:space="0" w:color="auto"/>
        <w:right w:val="none" w:sz="0" w:space="0" w:color="auto"/>
      </w:divBdr>
    </w:div>
    <w:div w:id="1458991058">
      <w:bodyDiv w:val="1"/>
      <w:marLeft w:val="0"/>
      <w:marRight w:val="0"/>
      <w:marTop w:val="0"/>
      <w:marBottom w:val="0"/>
      <w:divBdr>
        <w:top w:val="none" w:sz="0" w:space="0" w:color="auto"/>
        <w:left w:val="none" w:sz="0" w:space="0" w:color="auto"/>
        <w:bottom w:val="none" w:sz="0" w:space="0" w:color="auto"/>
        <w:right w:val="none" w:sz="0" w:space="0" w:color="auto"/>
      </w:divBdr>
      <w:divsChild>
        <w:div w:id="60442587">
          <w:marLeft w:val="0"/>
          <w:marRight w:val="0"/>
          <w:marTop w:val="0"/>
          <w:marBottom w:val="0"/>
          <w:divBdr>
            <w:top w:val="none" w:sz="0" w:space="0" w:color="auto"/>
            <w:left w:val="none" w:sz="0" w:space="0" w:color="auto"/>
            <w:bottom w:val="none" w:sz="0" w:space="0" w:color="auto"/>
            <w:right w:val="none" w:sz="0" w:space="0" w:color="auto"/>
          </w:divBdr>
          <w:divsChild>
            <w:div w:id="1942184927">
              <w:marLeft w:val="0"/>
              <w:marRight w:val="0"/>
              <w:marTop w:val="0"/>
              <w:marBottom w:val="0"/>
              <w:divBdr>
                <w:top w:val="none" w:sz="0" w:space="0" w:color="auto"/>
                <w:left w:val="none" w:sz="0" w:space="0" w:color="auto"/>
                <w:bottom w:val="none" w:sz="0" w:space="0" w:color="auto"/>
                <w:right w:val="none" w:sz="0" w:space="0" w:color="auto"/>
              </w:divBdr>
              <w:divsChild>
                <w:div w:id="5765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06805">
          <w:marLeft w:val="0"/>
          <w:marRight w:val="0"/>
          <w:marTop w:val="0"/>
          <w:marBottom w:val="0"/>
          <w:divBdr>
            <w:top w:val="none" w:sz="0" w:space="0" w:color="auto"/>
            <w:left w:val="none" w:sz="0" w:space="0" w:color="auto"/>
            <w:bottom w:val="none" w:sz="0" w:space="0" w:color="auto"/>
            <w:right w:val="none" w:sz="0" w:space="0" w:color="auto"/>
          </w:divBdr>
        </w:div>
      </w:divsChild>
    </w:div>
    <w:div w:id="1473138153">
      <w:bodyDiv w:val="1"/>
      <w:marLeft w:val="0"/>
      <w:marRight w:val="0"/>
      <w:marTop w:val="0"/>
      <w:marBottom w:val="0"/>
      <w:divBdr>
        <w:top w:val="none" w:sz="0" w:space="0" w:color="auto"/>
        <w:left w:val="none" w:sz="0" w:space="0" w:color="auto"/>
        <w:bottom w:val="none" w:sz="0" w:space="0" w:color="auto"/>
        <w:right w:val="none" w:sz="0" w:space="0" w:color="auto"/>
      </w:divBdr>
    </w:div>
    <w:div w:id="1536310913">
      <w:bodyDiv w:val="1"/>
      <w:marLeft w:val="0"/>
      <w:marRight w:val="0"/>
      <w:marTop w:val="0"/>
      <w:marBottom w:val="0"/>
      <w:divBdr>
        <w:top w:val="none" w:sz="0" w:space="0" w:color="auto"/>
        <w:left w:val="none" w:sz="0" w:space="0" w:color="auto"/>
        <w:bottom w:val="none" w:sz="0" w:space="0" w:color="auto"/>
        <w:right w:val="none" w:sz="0" w:space="0" w:color="auto"/>
      </w:divBdr>
    </w:div>
    <w:div w:id="1588808563">
      <w:bodyDiv w:val="1"/>
      <w:marLeft w:val="0"/>
      <w:marRight w:val="0"/>
      <w:marTop w:val="0"/>
      <w:marBottom w:val="0"/>
      <w:divBdr>
        <w:top w:val="none" w:sz="0" w:space="0" w:color="auto"/>
        <w:left w:val="none" w:sz="0" w:space="0" w:color="auto"/>
        <w:bottom w:val="none" w:sz="0" w:space="0" w:color="auto"/>
        <w:right w:val="none" w:sz="0" w:space="0" w:color="auto"/>
      </w:divBdr>
      <w:divsChild>
        <w:div w:id="2065908065">
          <w:marLeft w:val="0"/>
          <w:marRight w:val="0"/>
          <w:marTop w:val="0"/>
          <w:marBottom w:val="0"/>
          <w:divBdr>
            <w:top w:val="none" w:sz="0" w:space="0" w:color="auto"/>
            <w:left w:val="none" w:sz="0" w:space="0" w:color="auto"/>
            <w:bottom w:val="none" w:sz="0" w:space="0" w:color="auto"/>
            <w:right w:val="none" w:sz="0" w:space="0" w:color="auto"/>
          </w:divBdr>
          <w:divsChild>
            <w:div w:id="15817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3928">
      <w:bodyDiv w:val="1"/>
      <w:marLeft w:val="0"/>
      <w:marRight w:val="0"/>
      <w:marTop w:val="0"/>
      <w:marBottom w:val="0"/>
      <w:divBdr>
        <w:top w:val="none" w:sz="0" w:space="0" w:color="auto"/>
        <w:left w:val="none" w:sz="0" w:space="0" w:color="auto"/>
        <w:bottom w:val="none" w:sz="0" w:space="0" w:color="auto"/>
        <w:right w:val="none" w:sz="0" w:space="0" w:color="auto"/>
      </w:divBdr>
    </w:div>
    <w:div w:id="1841120882">
      <w:bodyDiv w:val="1"/>
      <w:marLeft w:val="0"/>
      <w:marRight w:val="0"/>
      <w:marTop w:val="0"/>
      <w:marBottom w:val="0"/>
      <w:divBdr>
        <w:top w:val="none" w:sz="0" w:space="0" w:color="auto"/>
        <w:left w:val="none" w:sz="0" w:space="0" w:color="auto"/>
        <w:bottom w:val="none" w:sz="0" w:space="0" w:color="auto"/>
        <w:right w:val="none" w:sz="0" w:space="0" w:color="auto"/>
      </w:divBdr>
    </w:div>
    <w:div w:id="208602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rchivos.agenciaeducacion.cl/ResultadosNacionales2016_.pdf"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dbg-my.sharepoint.com/personal/soledadb_iadb_org/Documents/Chile/CH-L1081%20NEP/POD%20Reformulacion%20CH-L1081/Analisis%20Economico/Versi&#243;n%20nueva/CH-L1081%20An&#225;lisis%20Econ&#243;mico%20LS.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3629/OC-CH;</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PRIMARY EDUCATION</TermName>
          <TermId xmlns="http://schemas.microsoft.com/office/infopath/2007/PartnerControls">3c9aef6b-e3d8-4e56-bc3a-dd53e692346f</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55</Value>
      <Value>25</Value>
      <Value>3</Value>
      <Value>115</Value>
      <Value>28</Value>
    </TaxCatchAll>
    <Operation_x0020_Type xmlns="cdc7663a-08f0-4737-9e8c-148ce897a09c" xsi:nil="true"/>
    <Package_x0020_Code xmlns="cdc7663a-08f0-4737-9e8c-148ce897a09c" xsi:nil="true"/>
    <Identifier xmlns="cdc7663a-08f0-4737-9e8c-148ce897a09c" xsi:nil="true"/>
    <Project_x0020_Number xmlns="cdc7663a-08f0-4737-9e8c-148ce897a09c">CH-L1081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EZSHARE-1066095100-25</_dlc_DocId>
    <_dlc_DocIdUrl xmlns="cdc7663a-08f0-4737-9e8c-148ce897a09c">
      <Url>https://idbg.sharepoint.com/teams/EZ-CH-LON/CH-L1081/_layouts/15/DocIdRedir.aspx?ID=EZSHARE-1066095100-25</Url>
      <Description>EZSHARE-1066095100-25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0058355DB12A44F9AAC7EB17D10B298" ma:contentTypeVersion="2116" ma:contentTypeDescription="A content type to manage public (operations) IDB documents" ma:contentTypeScope="" ma:versionID="d69423447c8bdaefd8ae379bb571f015">
  <xsd:schema xmlns:xsd="http://www.w3.org/2001/XMLSchema" xmlns:xs="http://www.w3.org/2001/XMLSchema" xmlns:p="http://schemas.microsoft.com/office/2006/metadata/properties" xmlns:ns2="cdc7663a-08f0-4737-9e8c-148ce897a09c" targetNamespace="http://schemas.microsoft.com/office/2006/metadata/properties" ma:root="true" ma:fieldsID="9f116cb9bc392eb9d5366b9a04db00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ACEA3FC-E30C-42E4-97D9-ACDA7D44A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8E8746-279C-473F-8C89-3E720D03227C}">
  <ds:schemaRefs>
    <ds:schemaRef ds:uri="http://schemas.microsoft.com/sharepoint/v3/contenttype/forms"/>
  </ds:schemaRefs>
</ds:datastoreItem>
</file>

<file path=customXml/itemProps3.xml><?xml version="1.0" encoding="utf-8"?>
<ds:datastoreItem xmlns:ds="http://schemas.openxmlformats.org/officeDocument/2006/customXml" ds:itemID="{74D002E4-294A-4BED-BD8C-5CCA18DF613A}"/>
</file>

<file path=customXml/itemProps4.xml><?xml version="1.0" encoding="utf-8"?>
<ds:datastoreItem xmlns:ds="http://schemas.openxmlformats.org/officeDocument/2006/customXml" ds:itemID="{009FD84A-F20F-45B7-A5B1-5D690AEBFD25}">
  <ds:schemaRefs>
    <ds:schemaRef ds:uri="http://schemas.openxmlformats.org/officeDocument/2006/bibliography"/>
  </ds:schemaRefs>
</ds:datastoreItem>
</file>

<file path=customXml/itemProps5.xml><?xml version="1.0" encoding="utf-8"?>
<ds:datastoreItem xmlns:ds="http://schemas.openxmlformats.org/officeDocument/2006/customXml" ds:itemID="{E382307C-E61C-4064-A376-7AC173955347}"/>
</file>

<file path=customXml/itemProps6.xml><?xml version="1.0" encoding="utf-8"?>
<ds:datastoreItem xmlns:ds="http://schemas.openxmlformats.org/officeDocument/2006/customXml" ds:itemID="{148C1222-3EA8-4A9C-A330-48E13101478B}"/>
</file>

<file path=customXml/itemProps7.xml><?xml version="1.0" encoding="utf-8"?>
<ds:datastoreItem xmlns:ds="http://schemas.openxmlformats.org/officeDocument/2006/customXml" ds:itemID="{AD581A8E-0451-44B2-B1ED-AD56B253F0B1}"/>
</file>

<file path=docProps/app.xml><?xml version="1.0" encoding="utf-8"?>
<Properties xmlns="http://schemas.openxmlformats.org/officeDocument/2006/extended-properties" xmlns:vt="http://schemas.openxmlformats.org/officeDocument/2006/docPropsVTypes">
  <Template>Normal.dotm</Template>
  <TotalTime>75</TotalTime>
  <Pages>12</Pages>
  <Words>7067</Words>
  <Characters>38869</Characters>
  <Application>Microsoft Office Word</Application>
  <DocSecurity>0</DocSecurity>
  <Lines>323</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45845</CharactersWithSpaces>
  <SharedDoc>false</SharedDoc>
  <HLinks>
    <vt:vector size="12" baseType="variant">
      <vt:variant>
        <vt:i4>13893659</vt:i4>
      </vt:variant>
      <vt:variant>
        <vt:i4>42</vt:i4>
      </vt:variant>
      <vt:variant>
        <vt:i4>0</vt:i4>
      </vt:variant>
      <vt:variant>
        <vt:i4>5</vt:i4>
      </vt:variant>
      <vt:variant>
        <vt:lpwstr>https://idbg-my.sharepoint.com/personal/soledadb_iadb_org/Documents/Chile/CH-L1081 NEP/POD Reformulacion CH-L1081/Analisis Economico/Versión nueva/CH-L1081 Análisis Económico LS.xlsx</vt:lpwstr>
      </vt:variant>
      <vt:variant>
        <vt:lpwstr/>
      </vt:variant>
      <vt:variant>
        <vt:i4>1900656</vt:i4>
      </vt:variant>
      <vt:variant>
        <vt:i4>36</vt:i4>
      </vt:variant>
      <vt:variant>
        <vt:i4>0</vt:i4>
      </vt:variant>
      <vt:variant>
        <vt:i4>5</vt:i4>
      </vt:variant>
      <vt:variant>
        <vt:lpwstr>http://archivos.agenciaeducacion.cl/ResultadosNacionales2016_.pdf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keywords/>
  <cp:lastModifiedBy>Blasco, Ivana</cp:lastModifiedBy>
  <cp:revision>67</cp:revision>
  <cp:lastPrinted>2020-02-20T15:54:00Z</cp:lastPrinted>
  <dcterms:created xsi:type="dcterms:W3CDTF">2020-03-02T14:08:00Z</dcterms:created>
  <dcterms:modified xsi:type="dcterms:W3CDTF">2020-05-11T22:25:00Z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rodrigosalaspo@gmail.com@www.mendeley.com</vt:lpwstr>
  </property>
  <property fmtid="{D5CDD505-2E9C-101B-9397-08002B2CF9AE}" pid="4" name="Mendeley Citation Style_1">
    <vt:lpwstr>http://www.zotero.org/styles/harvard1</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6" name="TaxKeyword">
    <vt:lpwstr/>
  </property>
  <property fmtid="{D5CDD505-2E9C-101B-9397-08002B2CF9AE}" pid="27" name="TaxKeywordTaxHTField">
    <vt:lpwstr/>
  </property>
  <property fmtid="{D5CDD505-2E9C-101B-9397-08002B2CF9AE}" pid="28" name="Series Operations IDB">
    <vt:lpwstr/>
  </property>
  <property fmtid="{D5CDD505-2E9C-101B-9397-08002B2CF9AE}" pid="29" name="Sub-Sector">
    <vt:lpwstr>115;#PRIMARY EDUCATION|3c9aef6b-e3d8-4e56-bc3a-dd53e692346f</vt:lpwstr>
  </property>
  <property fmtid="{D5CDD505-2E9C-101B-9397-08002B2CF9AE}" pid="30" name="Country">
    <vt:lpwstr>25;#Chile|0646c65c-e431-42e3-a932-0671c6b608b9</vt:lpwstr>
  </property>
  <property fmtid="{D5CDD505-2E9C-101B-9397-08002B2CF9AE}" pid="31" name="_dlc_DocIdItemGuid">
    <vt:lpwstr>b76ea135-fc55-41d8-9c51-b193b0afc8ef</vt:lpwstr>
  </property>
  <property fmtid="{D5CDD505-2E9C-101B-9397-08002B2CF9AE}" pid="32" name="Fund IDB">
    <vt:lpwstr>28;#ORC|c028a4b2-ad8b-4cf4-9cac-a2ae6a778e23</vt:lpwstr>
  </property>
  <property fmtid="{D5CDD505-2E9C-101B-9397-08002B2CF9AE}" pid="33" name="Sector IDB">
    <vt:lpwstr>55;#EDUCATION|e61db9d8-dcb9-423f-a737-53d6e603e7c4</vt:lpwstr>
  </property>
  <property fmtid="{D5CDD505-2E9C-101B-9397-08002B2CF9AE}" pid="34" name="Function Operations IDB">
    <vt:lpwstr>3;#Project Preparation Planning and Design|29ca0c72-1fc4-435f-a09c-28585cb5eac9</vt:lpwstr>
  </property>
  <property fmtid="{D5CDD505-2E9C-101B-9397-08002B2CF9AE}" pid="35" name="ContentTypeId">
    <vt:lpwstr>0x0101001A458A224826124E8B45B1D613300CFC00A0058355DB12A44F9AAC7EB17D10B298</vt:lpwstr>
  </property>
</Properties>
</file>