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AB0F7" w14:textId="77777777" w:rsidR="001F411A" w:rsidRPr="00152CDF" w:rsidRDefault="001F411A" w:rsidP="00FA3F72">
      <w:pPr>
        <w:tabs>
          <w:tab w:val="left" w:pos="0"/>
        </w:tabs>
        <w:spacing w:before="120" w:line="240" w:lineRule="auto"/>
        <w:jc w:val="center"/>
        <w:outlineLvl w:val="2"/>
        <w:rPr>
          <w:rFonts w:ascii="Arial" w:hAnsi="Arial" w:cs="Arial"/>
          <w:smallCaps/>
          <w:lang w:val="es-ES_tradnl"/>
        </w:rPr>
      </w:pPr>
    </w:p>
    <w:p w14:paraId="4FA3F43B" w14:textId="77777777" w:rsidR="001F411A" w:rsidRPr="00152CDF" w:rsidRDefault="001F411A" w:rsidP="00FA3F72">
      <w:pPr>
        <w:tabs>
          <w:tab w:val="left" w:pos="0"/>
        </w:tabs>
        <w:spacing w:before="120" w:line="240" w:lineRule="auto"/>
        <w:jc w:val="center"/>
        <w:outlineLvl w:val="2"/>
        <w:rPr>
          <w:rFonts w:ascii="Arial" w:hAnsi="Arial" w:cs="Arial"/>
          <w:smallCaps/>
          <w:lang w:val="es-ES_tradnl"/>
        </w:rPr>
      </w:pPr>
      <w:r w:rsidRPr="00152CDF">
        <w:rPr>
          <w:rFonts w:ascii="Arial" w:hAnsi="Arial" w:cs="Arial"/>
          <w:smallCaps/>
          <w:lang w:val="es-ES_tradnl"/>
        </w:rPr>
        <w:t>DOCUMENTO DEL BANCO INTERAMERICANO DE DESARROLLO</w:t>
      </w:r>
    </w:p>
    <w:p w14:paraId="5FDD690D" w14:textId="77777777" w:rsidR="001F411A" w:rsidRPr="00152CDF" w:rsidRDefault="001F411A" w:rsidP="00FA3F72">
      <w:pPr>
        <w:tabs>
          <w:tab w:val="left" w:pos="0"/>
        </w:tabs>
        <w:spacing w:before="120" w:line="240" w:lineRule="auto"/>
        <w:jc w:val="center"/>
        <w:outlineLvl w:val="2"/>
        <w:rPr>
          <w:rFonts w:ascii="Arial" w:hAnsi="Arial" w:cs="Arial"/>
          <w:smallCaps/>
          <w:lang w:val="es-ES_tradnl"/>
        </w:rPr>
      </w:pPr>
    </w:p>
    <w:p w14:paraId="4C140DF6" w14:textId="77777777" w:rsidR="001F411A" w:rsidRPr="00152CDF" w:rsidRDefault="001F411A" w:rsidP="00FA3F72">
      <w:pPr>
        <w:tabs>
          <w:tab w:val="left" w:pos="0"/>
        </w:tabs>
        <w:spacing w:before="120" w:line="240" w:lineRule="auto"/>
        <w:jc w:val="center"/>
        <w:outlineLvl w:val="2"/>
        <w:rPr>
          <w:rFonts w:ascii="Arial" w:hAnsi="Arial" w:cs="Arial"/>
          <w:smallCaps/>
          <w:lang w:val="es-ES_tradnl"/>
        </w:rPr>
      </w:pPr>
    </w:p>
    <w:p w14:paraId="386861F8" w14:textId="77777777" w:rsidR="001F411A" w:rsidRPr="00152CDF" w:rsidRDefault="003D3860" w:rsidP="00FA3F72">
      <w:pPr>
        <w:tabs>
          <w:tab w:val="left" w:pos="0"/>
        </w:tabs>
        <w:spacing w:before="120" w:line="240" w:lineRule="auto"/>
        <w:jc w:val="center"/>
        <w:outlineLvl w:val="2"/>
        <w:rPr>
          <w:rFonts w:ascii="Arial" w:hAnsi="Arial" w:cs="Arial"/>
          <w:b/>
          <w:smallCaps/>
          <w:lang w:val="es-ES_tradnl"/>
        </w:rPr>
      </w:pPr>
      <w:r w:rsidRPr="00152CDF">
        <w:rPr>
          <w:rFonts w:ascii="Arial" w:hAnsi="Arial" w:cs="Arial"/>
          <w:b/>
          <w:smallCaps/>
          <w:lang w:val="es-ES_tradnl"/>
        </w:rPr>
        <w:t>CHILE</w:t>
      </w:r>
    </w:p>
    <w:p w14:paraId="17834B80" w14:textId="77777777" w:rsidR="001F411A" w:rsidRPr="00152CDF" w:rsidRDefault="001F411A" w:rsidP="00FA3F72">
      <w:pPr>
        <w:tabs>
          <w:tab w:val="left" w:pos="0"/>
        </w:tabs>
        <w:spacing w:before="120" w:line="240" w:lineRule="auto"/>
        <w:jc w:val="center"/>
        <w:outlineLvl w:val="2"/>
        <w:rPr>
          <w:rFonts w:ascii="Arial" w:hAnsi="Arial" w:cs="Arial"/>
          <w:smallCaps/>
          <w:lang w:val="es-ES_tradnl"/>
        </w:rPr>
      </w:pPr>
    </w:p>
    <w:p w14:paraId="22F43043" w14:textId="77777777" w:rsidR="001F411A" w:rsidRPr="00152CDF" w:rsidRDefault="001F411A" w:rsidP="00FA3F72">
      <w:pPr>
        <w:tabs>
          <w:tab w:val="left" w:pos="0"/>
        </w:tabs>
        <w:spacing w:before="120" w:line="240" w:lineRule="auto"/>
        <w:jc w:val="center"/>
        <w:outlineLvl w:val="2"/>
        <w:rPr>
          <w:rFonts w:ascii="Arial" w:hAnsi="Arial" w:cs="Arial"/>
          <w:smallCaps/>
          <w:lang w:val="es-ES_tradnl"/>
        </w:rPr>
      </w:pPr>
    </w:p>
    <w:p w14:paraId="0CEC4E1D" w14:textId="77777777" w:rsidR="001F411A" w:rsidRPr="00152CDF" w:rsidRDefault="002C48EC" w:rsidP="00FA3F72">
      <w:pPr>
        <w:tabs>
          <w:tab w:val="left" w:pos="0"/>
        </w:tabs>
        <w:spacing w:before="120" w:line="240" w:lineRule="auto"/>
        <w:jc w:val="center"/>
        <w:outlineLvl w:val="2"/>
        <w:rPr>
          <w:rFonts w:ascii="Arial" w:hAnsi="Arial" w:cs="Arial"/>
          <w:b/>
          <w:smallCaps/>
          <w:lang w:val="es-ES_tradnl"/>
        </w:rPr>
      </w:pPr>
      <w:r w:rsidRPr="00152CDF">
        <w:rPr>
          <w:rFonts w:ascii="Arial" w:hAnsi="Arial" w:cs="Arial"/>
          <w:b/>
          <w:smallCaps/>
          <w:lang w:val="es-ES_tradnl"/>
        </w:rPr>
        <w:t>FORTALECIMIENTO DE LA GESTION DEL SECTOR EDUCATIVO</w:t>
      </w:r>
    </w:p>
    <w:p w14:paraId="607D64DB" w14:textId="77777777" w:rsidR="001F411A" w:rsidRPr="00152CDF" w:rsidRDefault="001F411A" w:rsidP="00FA3F72">
      <w:pPr>
        <w:tabs>
          <w:tab w:val="left" w:pos="0"/>
        </w:tabs>
        <w:spacing w:before="120" w:line="240" w:lineRule="auto"/>
        <w:jc w:val="center"/>
        <w:outlineLvl w:val="2"/>
        <w:rPr>
          <w:rFonts w:ascii="Arial" w:hAnsi="Arial" w:cs="Arial"/>
          <w:b/>
          <w:smallCaps/>
          <w:lang w:val="es-ES_tradnl"/>
        </w:rPr>
      </w:pPr>
    </w:p>
    <w:p w14:paraId="459319D9" w14:textId="77777777" w:rsidR="001F411A" w:rsidRPr="00152CDF" w:rsidRDefault="002C48EC" w:rsidP="00FA3F72">
      <w:pPr>
        <w:tabs>
          <w:tab w:val="left" w:pos="0"/>
        </w:tabs>
        <w:spacing w:before="120" w:line="240" w:lineRule="auto"/>
        <w:jc w:val="center"/>
        <w:outlineLvl w:val="2"/>
        <w:rPr>
          <w:rFonts w:ascii="Arial" w:hAnsi="Arial" w:cs="Arial"/>
          <w:b/>
          <w:smallCaps/>
          <w:lang w:val="es-ES_tradnl"/>
        </w:rPr>
      </w:pPr>
      <w:r w:rsidRPr="00152CDF">
        <w:rPr>
          <w:rFonts w:ascii="Arial" w:hAnsi="Arial" w:cs="Arial"/>
          <w:b/>
          <w:smallCaps/>
          <w:lang w:val="es-ES_tradnl"/>
        </w:rPr>
        <w:t>(CH-</w:t>
      </w:r>
      <w:proofErr w:type="spellStart"/>
      <w:r w:rsidRPr="00152CDF">
        <w:rPr>
          <w:rFonts w:ascii="Arial" w:hAnsi="Arial" w:cs="Arial"/>
          <w:b/>
          <w:smallCaps/>
          <w:lang w:val="es-ES_tradnl"/>
        </w:rPr>
        <w:t>L1081</w:t>
      </w:r>
      <w:proofErr w:type="spellEnd"/>
      <w:r w:rsidR="001F411A" w:rsidRPr="00152CDF">
        <w:rPr>
          <w:rFonts w:ascii="Arial" w:hAnsi="Arial" w:cs="Arial"/>
          <w:b/>
          <w:smallCaps/>
          <w:lang w:val="es-ES_tradnl"/>
        </w:rPr>
        <w:t>)</w:t>
      </w:r>
    </w:p>
    <w:p w14:paraId="37537013" w14:textId="77777777" w:rsidR="001F411A" w:rsidRPr="00152CDF" w:rsidRDefault="001F411A" w:rsidP="00FA3F72">
      <w:pPr>
        <w:tabs>
          <w:tab w:val="left" w:pos="0"/>
        </w:tabs>
        <w:spacing w:before="120" w:line="240" w:lineRule="auto"/>
        <w:jc w:val="center"/>
        <w:outlineLvl w:val="2"/>
        <w:rPr>
          <w:rFonts w:ascii="Arial" w:hAnsi="Arial" w:cs="Arial"/>
          <w:smallCaps/>
          <w:lang w:val="es-ES_tradnl"/>
        </w:rPr>
      </w:pPr>
    </w:p>
    <w:p w14:paraId="16FF655E" w14:textId="77777777" w:rsidR="001F411A" w:rsidRPr="00152CDF" w:rsidRDefault="001F411A" w:rsidP="00FA3F72">
      <w:pPr>
        <w:tabs>
          <w:tab w:val="left" w:pos="0"/>
        </w:tabs>
        <w:spacing w:before="120" w:line="240" w:lineRule="auto"/>
        <w:jc w:val="center"/>
        <w:outlineLvl w:val="2"/>
        <w:rPr>
          <w:rFonts w:ascii="Arial" w:hAnsi="Arial" w:cs="Arial"/>
          <w:b/>
          <w:smallCaps/>
          <w:lang w:val="es-ES_tradnl"/>
        </w:rPr>
      </w:pPr>
      <w:r w:rsidRPr="00152CDF">
        <w:rPr>
          <w:rFonts w:ascii="Arial" w:hAnsi="Arial" w:cs="Arial"/>
          <w:b/>
          <w:smallCaps/>
          <w:lang w:val="es-ES_tradnl"/>
        </w:rPr>
        <w:t>Plan de Monitoreo y Evaluación</w:t>
      </w:r>
    </w:p>
    <w:p w14:paraId="5EE0802B" w14:textId="77777777" w:rsidR="001F411A" w:rsidRPr="00152CDF" w:rsidRDefault="001F411A" w:rsidP="00FA3F72">
      <w:pPr>
        <w:spacing w:line="240" w:lineRule="auto"/>
        <w:rPr>
          <w:rFonts w:ascii="Arial" w:hAnsi="Arial" w:cs="Arial"/>
          <w:lang w:val="es-ES_tradnl"/>
        </w:rPr>
      </w:pPr>
    </w:p>
    <w:p w14:paraId="65A1D43A" w14:textId="77777777" w:rsidR="001F411A" w:rsidRPr="00152CDF" w:rsidRDefault="001F411A" w:rsidP="00FA3F72">
      <w:pPr>
        <w:spacing w:line="240" w:lineRule="auto"/>
        <w:rPr>
          <w:rFonts w:ascii="Arial" w:hAnsi="Arial" w:cs="Arial"/>
          <w:lang w:val="es-ES_tradnl"/>
        </w:rPr>
      </w:pPr>
    </w:p>
    <w:p w14:paraId="0C579069" w14:textId="77777777" w:rsidR="001F411A" w:rsidRPr="00152CDF" w:rsidRDefault="001F411A" w:rsidP="00FA3F72">
      <w:pPr>
        <w:spacing w:line="240" w:lineRule="auto"/>
        <w:rPr>
          <w:rFonts w:ascii="Arial" w:hAnsi="Arial" w:cs="Arial"/>
          <w:lang w:val="es-ES_tradnl"/>
        </w:rPr>
      </w:pPr>
    </w:p>
    <w:p w14:paraId="164BCFBC" w14:textId="77777777" w:rsidR="00A04F70" w:rsidRPr="00152CDF" w:rsidRDefault="00A04F70" w:rsidP="00FA3F72">
      <w:pPr>
        <w:spacing w:line="240" w:lineRule="auto"/>
        <w:rPr>
          <w:rFonts w:ascii="Arial" w:hAnsi="Arial" w:cs="Arial"/>
          <w:lang w:val="es-ES_tradnl"/>
        </w:rPr>
      </w:pPr>
    </w:p>
    <w:p w14:paraId="756D0CA0" w14:textId="77777777" w:rsidR="00DE1432" w:rsidRPr="00152CDF" w:rsidRDefault="00DE1432" w:rsidP="00FA3F72">
      <w:pPr>
        <w:spacing w:line="240" w:lineRule="auto"/>
        <w:rPr>
          <w:rFonts w:ascii="Arial" w:hAnsi="Arial" w:cs="Arial"/>
          <w:lang w:val="es-ES_tradnl"/>
        </w:rPr>
      </w:pPr>
    </w:p>
    <w:p w14:paraId="738A5234" w14:textId="77777777" w:rsidR="0043455F" w:rsidRPr="00152CDF" w:rsidRDefault="0043455F" w:rsidP="00FA3F72">
      <w:pPr>
        <w:tabs>
          <w:tab w:val="left" w:pos="1440"/>
          <w:tab w:val="left" w:pos="3060"/>
        </w:tabs>
        <w:spacing w:line="240" w:lineRule="auto"/>
        <w:jc w:val="center"/>
        <w:rPr>
          <w:rFonts w:ascii="Arial" w:hAnsi="Arial" w:cs="Arial"/>
          <w:lang w:val="es-ES_tradnl"/>
        </w:rPr>
      </w:pPr>
    </w:p>
    <w:p w14:paraId="1C808D4E" w14:textId="77777777" w:rsidR="001C43AD" w:rsidRPr="00152CDF" w:rsidRDefault="001C43AD" w:rsidP="00FA3F72">
      <w:pPr>
        <w:tabs>
          <w:tab w:val="left" w:pos="1440"/>
          <w:tab w:val="left" w:pos="3060"/>
        </w:tabs>
        <w:spacing w:line="240" w:lineRule="auto"/>
        <w:jc w:val="center"/>
        <w:rPr>
          <w:rFonts w:ascii="Arial" w:hAnsi="Arial" w:cs="Arial"/>
          <w:lang w:val="es-ES_tradnl"/>
        </w:rPr>
      </w:pPr>
    </w:p>
    <w:p w14:paraId="0AB998EB" w14:textId="1D739B1E" w:rsidR="0043455F" w:rsidRPr="00152CDF" w:rsidRDefault="0043455F" w:rsidP="00FA3F72">
      <w:pPr>
        <w:pBdr>
          <w:top w:val="single" w:sz="4" w:space="1" w:color="auto"/>
          <w:left w:val="single" w:sz="4" w:space="4" w:color="auto"/>
          <w:bottom w:val="single" w:sz="4" w:space="1" w:color="auto"/>
          <w:right w:val="single" w:sz="4" w:space="4" w:color="auto"/>
        </w:pBdr>
        <w:tabs>
          <w:tab w:val="left" w:pos="1440"/>
          <w:tab w:val="left" w:pos="3060"/>
        </w:tabs>
        <w:spacing w:line="240" w:lineRule="auto"/>
        <w:jc w:val="both"/>
        <w:rPr>
          <w:rFonts w:ascii="Arial" w:hAnsi="Arial" w:cs="Arial"/>
          <w:spacing w:val="-6"/>
          <w:lang w:val="es-ES_tradnl"/>
        </w:rPr>
      </w:pPr>
      <w:r w:rsidRPr="00152CDF">
        <w:rPr>
          <w:rFonts w:ascii="Arial" w:hAnsi="Arial" w:cs="Arial"/>
          <w:lang w:val="es-ES_tradnl"/>
        </w:rPr>
        <w:t xml:space="preserve">Este documento fue preparado por el equipo de proyecto integrado por: </w:t>
      </w:r>
      <w:r w:rsidR="003D10A4" w:rsidRPr="00152CDF">
        <w:rPr>
          <w:rFonts w:ascii="Arial" w:hAnsi="Arial" w:cs="Arial"/>
          <w:spacing w:val="-6"/>
          <w:lang w:val="es-ES_tradnl"/>
        </w:rPr>
        <w:t>Analía Jaimovich (EDU/</w:t>
      </w:r>
      <w:proofErr w:type="spellStart"/>
      <w:r w:rsidR="003D10A4" w:rsidRPr="00152CDF">
        <w:rPr>
          <w:rFonts w:ascii="Arial" w:hAnsi="Arial" w:cs="Arial"/>
          <w:spacing w:val="-6"/>
          <w:lang w:val="es-ES_tradnl"/>
        </w:rPr>
        <w:t>CCH</w:t>
      </w:r>
      <w:proofErr w:type="spellEnd"/>
      <w:r w:rsidR="003D10A4" w:rsidRPr="00152CDF">
        <w:rPr>
          <w:rFonts w:ascii="Arial" w:hAnsi="Arial" w:cs="Arial"/>
          <w:spacing w:val="-6"/>
          <w:lang w:val="es-ES_tradnl"/>
        </w:rPr>
        <w:t xml:space="preserve">); </w:t>
      </w:r>
      <w:r w:rsidR="008579D0" w:rsidRPr="00152CDF">
        <w:rPr>
          <w:rFonts w:ascii="Arial" w:hAnsi="Arial" w:cs="Arial"/>
          <w:spacing w:val="-6"/>
          <w:lang w:val="es-ES_tradnl"/>
        </w:rPr>
        <w:t xml:space="preserve">María Soledad Bos (SCL/EDU); </w:t>
      </w:r>
      <w:r w:rsidR="006C088D" w:rsidRPr="00152CDF">
        <w:rPr>
          <w:rFonts w:ascii="Arial" w:hAnsi="Arial" w:cs="Arial"/>
          <w:spacing w:val="-6"/>
          <w:lang w:val="es-ES_tradnl"/>
        </w:rPr>
        <w:t>Marcela Ortiz</w:t>
      </w:r>
      <w:r w:rsidR="003D10A4" w:rsidRPr="00152CDF">
        <w:rPr>
          <w:rFonts w:ascii="Arial" w:hAnsi="Arial" w:cs="Arial"/>
          <w:spacing w:val="-6"/>
          <w:lang w:val="es-ES_tradnl"/>
        </w:rPr>
        <w:t xml:space="preserve"> </w:t>
      </w:r>
      <w:r w:rsidR="00176DDB" w:rsidRPr="00152CDF">
        <w:rPr>
          <w:rFonts w:ascii="Arial" w:hAnsi="Arial" w:cs="Arial"/>
          <w:spacing w:val="-6"/>
          <w:lang w:val="es-ES_tradnl"/>
        </w:rPr>
        <w:t>(consultor</w:t>
      </w:r>
      <w:r w:rsidR="006C088D" w:rsidRPr="00152CDF">
        <w:rPr>
          <w:rFonts w:ascii="Arial" w:hAnsi="Arial" w:cs="Arial"/>
          <w:spacing w:val="-6"/>
          <w:lang w:val="es-ES_tradnl"/>
        </w:rPr>
        <w:t>a</w:t>
      </w:r>
      <w:r w:rsidR="00176DDB" w:rsidRPr="00152CDF">
        <w:rPr>
          <w:rFonts w:ascii="Arial" w:hAnsi="Arial" w:cs="Arial"/>
          <w:spacing w:val="-6"/>
          <w:lang w:val="es-ES_tradnl"/>
        </w:rPr>
        <w:t>)</w:t>
      </w:r>
      <w:r w:rsidR="006C088D" w:rsidRPr="00152CDF">
        <w:rPr>
          <w:rFonts w:ascii="Arial" w:hAnsi="Arial" w:cs="Arial"/>
          <w:spacing w:val="-6"/>
          <w:lang w:val="es-ES_tradnl"/>
        </w:rPr>
        <w:t xml:space="preserve"> Liora Schwartz (consultora); Manuel </w:t>
      </w:r>
      <w:r w:rsidR="00257E45" w:rsidRPr="00152CDF">
        <w:rPr>
          <w:rFonts w:ascii="Arial" w:hAnsi="Arial" w:cs="Arial"/>
          <w:spacing w:val="-6"/>
          <w:lang w:val="es-ES_tradnl"/>
        </w:rPr>
        <w:t>Alcaino</w:t>
      </w:r>
      <w:r w:rsidR="006C088D" w:rsidRPr="00152CDF">
        <w:rPr>
          <w:rFonts w:ascii="Arial" w:hAnsi="Arial" w:cs="Arial"/>
          <w:spacing w:val="-6"/>
          <w:lang w:val="es-ES_tradnl"/>
        </w:rPr>
        <w:t xml:space="preserve"> (consultor)</w:t>
      </w:r>
      <w:r w:rsidRPr="00152CDF">
        <w:rPr>
          <w:rFonts w:ascii="Arial" w:hAnsi="Arial" w:cs="Arial"/>
          <w:spacing w:val="-6"/>
          <w:lang w:val="es-ES_tradnl"/>
        </w:rPr>
        <w:t>.</w:t>
      </w:r>
      <w:r w:rsidRPr="00152CDF">
        <w:rPr>
          <w:rFonts w:ascii="Arial" w:hAnsi="Arial" w:cs="Arial"/>
          <w:lang w:val="es-ES_tradnl"/>
        </w:rPr>
        <w:t xml:space="preserve">  </w:t>
      </w:r>
    </w:p>
    <w:p w14:paraId="0D2C2FF6" w14:textId="77777777" w:rsidR="009574B8" w:rsidRPr="00152CDF" w:rsidRDefault="009574B8" w:rsidP="00FA3F72">
      <w:pPr>
        <w:spacing w:line="240" w:lineRule="auto"/>
        <w:rPr>
          <w:rFonts w:ascii="Arial" w:hAnsi="Arial" w:cs="Arial"/>
          <w:b/>
          <w:lang w:val="es-ES_tradnl"/>
        </w:rPr>
        <w:sectPr w:rsidR="009574B8" w:rsidRPr="00152CDF" w:rsidSect="00E762B6">
          <w:headerReference w:type="default" r:id="rId11"/>
          <w:footerReference w:type="default" r:id="rId12"/>
          <w:type w:val="continuous"/>
          <w:pgSz w:w="12240" w:h="15840"/>
          <w:pgMar w:top="1440" w:right="1440" w:bottom="1440" w:left="1440" w:header="720" w:footer="720" w:gutter="0"/>
          <w:cols w:space="720"/>
          <w:docGrid w:linePitch="360"/>
        </w:sectPr>
      </w:pPr>
    </w:p>
    <w:p w14:paraId="7338B9DE" w14:textId="085385AD" w:rsidR="00C266EB" w:rsidRPr="00152CDF" w:rsidRDefault="00AA126D">
      <w:pPr>
        <w:rPr>
          <w:rFonts w:ascii="Arial" w:hAnsi="Arial" w:cs="Arial"/>
          <w:b/>
          <w:smallCaps/>
          <w:lang w:val="es-ES_tradnl"/>
        </w:rPr>
      </w:pPr>
      <w:r w:rsidRPr="00152CDF">
        <w:rPr>
          <w:rFonts w:ascii="Arial" w:hAnsi="Arial" w:cs="Arial"/>
          <w:b/>
          <w:smallCaps/>
          <w:lang w:val="es-ES_tradnl"/>
        </w:rPr>
        <w:br w:type="page"/>
      </w:r>
    </w:p>
    <w:tbl>
      <w:tblPr>
        <w:tblW w:w="953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31"/>
      </w:tblGrid>
      <w:tr w:rsidR="00163CAA" w:rsidRPr="00152CDF" w14:paraId="69C0D140" w14:textId="77777777" w:rsidTr="007842B4">
        <w:trPr>
          <w:trHeight w:val="328"/>
        </w:trPr>
        <w:tc>
          <w:tcPr>
            <w:tcW w:w="9531" w:type="dxa"/>
          </w:tcPr>
          <w:p w14:paraId="3D5E67CC" w14:textId="25CF0D34" w:rsidR="00163CAA" w:rsidRPr="00152CDF" w:rsidRDefault="00163CAA" w:rsidP="00163CAA">
            <w:pPr>
              <w:pStyle w:val="ColorfulList-Accent11"/>
              <w:spacing w:after="0" w:line="360" w:lineRule="auto"/>
              <w:ind w:left="0"/>
              <w:jc w:val="center"/>
              <w:rPr>
                <w:rFonts w:ascii="Arial" w:eastAsia="Arial Unicode MS" w:hAnsi="Arial" w:cs="Arial"/>
                <w:bCs/>
                <w:smallCaps/>
                <w:lang w:val="es-ES_tradnl"/>
              </w:rPr>
            </w:pPr>
            <w:r w:rsidRPr="00152CDF">
              <w:rPr>
                <w:rFonts w:ascii="Arial" w:eastAsia="Arial Unicode MS" w:hAnsi="Arial" w:cs="Arial"/>
                <w:bCs/>
                <w:smallCaps/>
                <w:lang w:val="es-ES_tradnl"/>
              </w:rPr>
              <w:lastRenderedPageBreak/>
              <w:t>Abreviaciones</w:t>
            </w:r>
          </w:p>
        </w:tc>
      </w:tr>
      <w:tr w:rsidR="00163CAA" w:rsidRPr="00376B9E" w14:paraId="21FF9565" w14:textId="77777777" w:rsidTr="007842B4">
        <w:trPr>
          <w:trHeight w:val="2861"/>
        </w:trPr>
        <w:tc>
          <w:tcPr>
            <w:tcW w:w="9531" w:type="dxa"/>
          </w:tcPr>
          <w:p w14:paraId="5DB1C1C4" w14:textId="77777777" w:rsidR="00802E52" w:rsidRPr="00152CDF" w:rsidRDefault="00802E52" w:rsidP="00CA049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ADP</w:t>
            </w:r>
            <w:proofErr w:type="spellEnd"/>
            <w:r w:rsidRPr="00152CDF">
              <w:rPr>
                <w:rFonts w:ascii="Arial" w:eastAsia="Arial Unicode MS" w:hAnsi="Arial" w:cs="Arial"/>
                <w:bCs/>
                <w:smallCaps/>
                <w:lang w:val="es-ES_tradnl"/>
              </w:rPr>
              <w:t>: Sistema de Alta Dirección Pública</w:t>
            </w:r>
          </w:p>
          <w:p w14:paraId="0763706C" w14:textId="31E88857"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r w:rsidRPr="00152CDF">
              <w:rPr>
                <w:rFonts w:ascii="Arial" w:eastAsia="Arial Unicode MS" w:hAnsi="Arial" w:cs="Arial"/>
                <w:bCs/>
                <w:smallCaps/>
                <w:lang w:val="es-ES_tradnl"/>
              </w:rPr>
              <w:t>CDC: Convenios de Desempeño Colectivo</w:t>
            </w:r>
          </w:p>
          <w:p w14:paraId="40C34ED1" w14:textId="7CC712EF" w:rsidR="00611CB9" w:rsidRPr="00152CDF" w:rsidRDefault="00611CB9"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CNED</w:t>
            </w:r>
            <w:proofErr w:type="spellEnd"/>
            <w:r w:rsidRPr="00152CDF">
              <w:rPr>
                <w:rFonts w:ascii="Arial" w:eastAsia="Arial Unicode MS" w:hAnsi="Arial" w:cs="Arial"/>
                <w:bCs/>
                <w:smallCaps/>
                <w:lang w:val="es-ES_tradnl"/>
              </w:rPr>
              <w:t>: Consejo nacional de Educación</w:t>
            </w:r>
          </w:p>
          <w:p w14:paraId="0CDC8826" w14:textId="77777777"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CPEIP</w:t>
            </w:r>
            <w:proofErr w:type="spellEnd"/>
            <w:r w:rsidRPr="00152CDF">
              <w:rPr>
                <w:rFonts w:ascii="Arial" w:eastAsia="Arial Unicode MS" w:hAnsi="Arial" w:cs="Arial"/>
                <w:bCs/>
                <w:smallCaps/>
                <w:lang w:val="es-ES_tradnl"/>
              </w:rPr>
              <w:t>: Centro de Perfeccionamiento, Experimentación e Investigaciones Pedagógicas</w:t>
            </w:r>
          </w:p>
          <w:p w14:paraId="035FD407" w14:textId="77777777"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r w:rsidRPr="00152CDF">
              <w:rPr>
                <w:rFonts w:ascii="Arial" w:eastAsia="Arial Unicode MS" w:hAnsi="Arial" w:cs="Arial"/>
                <w:bCs/>
                <w:smallCaps/>
                <w:lang w:val="es-ES_tradnl"/>
              </w:rPr>
              <w:t>DEP: Dirección de Educación Pública</w:t>
            </w:r>
          </w:p>
          <w:p w14:paraId="0E55C931" w14:textId="2638E54F"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DIPRES</w:t>
            </w:r>
            <w:proofErr w:type="spellEnd"/>
            <w:r w:rsidRPr="00152CDF">
              <w:rPr>
                <w:rFonts w:ascii="Arial" w:eastAsia="Arial Unicode MS" w:hAnsi="Arial" w:cs="Arial"/>
                <w:bCs/>
                <w:smallCaps/>
                <w:lang w:val="es-ES_tradnl"/>
              </w:rPr>
              <w:t>: Dirección de Presupuestos</w:t>
            </w:r>
          </w:p>
          <w:p w14:paraId="6FC1D240" w14:textId="3A190C28" w:rsidR="002B26F4" w:rsidRPr="00152CDF" w:rsidRDefault="002B26F4"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ENEP</w:t>
            </w:r>
            <w:proofErr w:type="spellEnd"/>
            <w:r w:rsidRPr="00152CDF">
              <w:rPr>
                <w:rFonts w:ascii="Arial" w:eastAsia="Arial Unicode MS" w:hAnsi="Arial" w:cs="Arial"/>
                <w:bCs/>
                <w:smallCaps/>
                <w:lang w:val="es-ES_tradnl"/>
              </w:rPr>
              <w:t>: Estrategia Nacional de la Educación Pública</w:t>
            </w:r>
          </w:p>
          <w:p w14:paraId="0C141C91" w14:textId="77777777" w:rsidR="00802E52" w:rsidRDefault="00802E52" w:rsidP="00CA049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FAEP</w:t>
            </w:r>
            <w:proofErr w:type="spellEnd"/>
            <w:r w:rsidRPr="00152CDF">
              <w:rPr>
                <w:rFonts w:ascii="Arial" w:eastAsia="Arial Unicode MS" w:hAnsi="Arial" w:cs="Arial"/>
                <w:bCs/>
                <w:smallCaps/>
                <w:lang w:val="es-ES_tradnl"/>
              </w:rPr>
              <w:t>: Fondo de Apoyo a la Educación Pública</w:t>
            </w:r>
          </w:p>
          <w:p w14:paraId="538B256E" w14:textId="6B1C727B" w:rsidR="00095A05" w:rsidRPr="00152CDF" w:rsidRDefault="00095A05" w:rsidP="00CA049A">
            <w:pPr>
              <w:pStyle w:val="ColorfulList-Accent11"/>
              <w:spacing w:after="0" w:line="360" w:lineRule="auto"/>
              <w:ind w:left="-9"/>
              <w:rPr>
                <w:rFonts w:ascii="Arial" w:eastAsia="Arial Unicode MS" w:hAnsi="Arial" w:cs="Arial"/>
                <w:bCs/>
                <w:smallCaps/>
                <w:lang w:val="es-ES_tradnl"/>
              </w:rPr>
            </w:pPr>
            <w:r>
              <w:rPr>
                <w:rFonts w:ascii="Arial" w:eastAsia="Arial Unicode MS" w:hAnsi="Arial" w:cs="Arial"/>
                <w:bCs/>
                <w:smallCaps/>
                <w:lang w:val="es-ES_tradnl"/>
              </w:rPr>
              <w:t>LB: Línea de base</w:t>
            </w:r>
          </w:p>
          <w:p w14:paraId="7A98B041" w14:textId="77777777"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r w:rsidRPr="00152CDF">
              <w:rPr>
                <w:rFonts w:ascii="Arial" w:eastAsia="Arial Unicode MS" w:hAnsi="Arial" w:cs="Arial"/>
                <w:bCs/>
                <w:smallCaps/>
                <w:lang w:val="es-ES_tradnl"/>
              </w:rPr>
              <w:t>MINEDUC: Ministerio de Educación</w:t>
            </w:r>
          </w:p>
          <w:p w14:paraId="4EAE95B0" w14:textId="77777777"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PBR</w:t>
            </w:r>
            <w:proofErr w:type="spellEnd"/>
            <w:r w:rsidRPr="00152CDF">
              <w:rPr>
                <w:rFonts w:ascii="Arial" w:eastAsia="Arial Unicode MS" w:hAnsi="Arial" w:cs="Arial"/>
                <w:bCs/>
                <w:smallCaps/>
                <w:lang w:val="es-ES_tradnl"/>
              </w:rPr>
              <w:t>: Préstamo Basado en Resultados</w:t>
            </w:r>
          </w:p>
          <w:p w14:paraId="1AB16651" w14:textId="77777777" w:rsidR="00802E52" w:rsidRPr="00152CDF" w:rsidRDefault="00802E52" w:rsidP="00CA049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PEL</w:t>
            </w:r>
            <w:proofErr w:type="spellEnd"/>
            <w:r w:rsidRPr="00152CDF">
              <w:rPr>
                <w:rFonts w:ascii="Arial" w:eastAsia="Arial Unicode MS" w:hAnsi="Arial" w:cs="Arial"/>
                <w:bCs/>
                <w:smallCaps/>
                <w:lang w:val="es-ES_tradnl"/>
              </w:rPr>
              <w:t>: Plan Estratégico Local</w:t>
            </w:r>
          </w:p>
          <w:p w14:paraId="22AF020D" w14:textId="77777777"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PM</w:t>
            </w:r>
            <w:r w:rsidRPr="00152CDF" w:rsidDel="00A04C65">
              <w:rPr>
                <w:rFonts w:ascii="Arial" w:eastAsia="Arial Unicode MS" w:hAnsi="Arial" w:cs="Arial"/>
                <w:bCs/>
                <w:smallCaps/>
                <w:lang w:val="es-ES_tradnl"/>
              </w:rPr>
              <w:t>&amp;</w:t>
            </w:r>
            <w:r w:rsidRPr="00152CDF">
              <w:rPr>
                <w:rFonts w:ascii="Arial" w:eastAsia="Arial Unicode MS" w:hAnsi="Arial" w:cs="Arial"/>
                <w:bCs/>
                <w:smallCaps/>
                <w:lang w:val="es-ES_tradnl"/>
              </w:rPr>
              <w:t>E</w:t>
            </w:r>
            <w:proofErr w:type="spellEnd"/>
            <w:r w:rsidRPr="00152CDF">
              <w:rPr>
                <w:rFonts w:ascii="Arial" w:eastAsia="Arial Unicode MS" w:hAnsi="Arial" w:cs="Arial"/>
                <w:bCs/>
                <w:smallCaps/>
                <w:lang w:val="es-ES_tradnl"/>
              </w:rPr>
              <w:t>: Plan de Monitoreo y Evaluación</w:t>
            </w:r>
          </w:p>
          <w:p w14:paraId="2EEE7149" w14:textId="0EE8214C"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PMG</w:t>
            </w:r>
            <w:proofErr w:type="spellEnd"/>
            <w:r w:rsidRPr="00152CDF">
              <w:rPr>
                <w:rFonts w:ascii="Arial" w:eastAsia="Arial Unicode MS" w:hAnsi="Arial" w:cs="Arial"/>
                <w:bCs/>
                <w:smallCaps/>
                <w:lang w:val="es-ES_tradnl"/>
              </w:rPr>
              <w:t>: Programa de Mejoramiento de Gestión</w:t>
            </w:r>
          </w:p>
          <w:p w14:paraId="2CD898FD" w14:textId="2C220C19" w:rsidR="00932022" w:rsidRPr="00152CDF" w:rsidRDefault="00932022" w:rsidP="00163CAA">
            <w:pPr>
              <w:pStyle w:val="ColorfulList-Accent11"/>
              <w:spacing w:after="0" w:line="360" w:lineRule="auto"/>
              <w:ind w:left="-9"/>
              <w:rPr>
                <w:rFonts w:ascii="Arial" w:eastAsia="Arial Unicode MS" w:hAnsi="Arial" w:cs="Arial"/>
                <w:bCs/>
                <w:smallCaps/>
                <w:lang w:val="es-ES_tradnl"/>
              </w:rPr>
            </w:pPr>
            <w:r w:rsidRPr="00152CDF">
              <w:rPr>
                <w:rFonts w:ascii="Arial" w:eastAsia="Arial Unicode MS" w:hAnsi="Arial" w:cs="Arial"/>
                <w:bCs/>
                <w:smallCaps/>
                <w:lang w:val="es-ES_tradnl"/>
              </w:rPr>
              <w:t>PEP</w:t>
            </w:r>
            <w:r w:rsidR="003C1A81" w:rsidRPr="00152CDF">
              <w:rPr>
                <w:rFonts w:ascii="Arial" w:eastAsia="Arial Unicode MS" w:hAnsi="Arial" w:cs="Arial"/>
                <w:bCs/>
                <w:smallCaps/>
                <w:lang w:val="es-ES_tradnl"/>
              </w:rPr>
              <w:t>: Plan de Ejecución del Proyecto</w:t>
            </w:r>
          </w:p>
          <w:p w14:paraId="7A5207F2" w14:textId="79CC474F" w:rsidR="008E44CA" w:rsidRPr="00152CDF" w:rsidRDefault="008E44CA" w:rsidP="00163CAA">
            <w:pPr>
              <w:pStyle w:val="ColorfulList-Accent11"/>
              <w:spacing w:after="0" w:line="360" w:lineRule="auto"/>
              <w:ind w:left="-9"/>
              <w:rPr>
                <w:rFonts w:ascii="Arial" w:eastAsia="Arial Unicode MS" w:hAnsi="Arial" w:cs="Arial"/>
                <w:bCs/>
                <w:smallCaps/>
                <w:lang w:val="es-ES_tradnl"/>
              </w:rPr>
            </w:pPr>
            <w:r w:rsidRPr="00152CDF">
              <w:rPr>
                <w:rFonts w:ascii="Arial" w:eastAsia="Arial Unicode MS" w:hAnsi="Arial" w:cs="Arial"/>
                <w:bCs/>
                <w:smallCaps/>
                <w:lang w:val="es-ES_tradnl"/>
              </w:rPr>
              <w:t>POA:</w:t>
            </w:r>
            <w:r w:rsidR="00932022" w:rsidRPr="00152CDF">
              <w:rPr>
                <w:rFonts w:ascii="Arial" w:eastAsia="Arial Unicode MS" w:hAnsi="Arial" w:cs="Arial"/>
                <w:bCs/>
                <w:smallCaps/>
                <w:lang w:val="es-ES_tradnl"/>
              </w:rPr>
              <w:t xml:space="preserve"> </w:t>
            </w:r>
            <w:r w:rsidRPr="00152CDF">
              <w:rPr>
                <w:rFonts w:ascii="Arial" w:eastAsia="Arial Unicode MS" w:hAnsi="Arial" w:cs="Arial"/>
                <w:bCs/>
                <w:smallCaps/>
                <w:lang w:val="es-ES_tradnl"/>
              </w:rPr>
              <w:t>Plan Anual de Operación</w:t>
            </w:r>
          </w:p>
          <w:p w14:paraId="0C7CB8B7" w14:textId="77777777"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POD</w:t>
            </w:r>
            <w:proofErr w:type="spellEnd"/>
            <w:r w:rsidRPr="00152CDF">
              <w:rPr>
                <w:rFonts w:ascii="Arial" w:eastAsia="Arial Unicode MS" w:hAnsi="Arial" w:cs="Arial"/>
                <w:bCs/>
                <w:smallCaps/>
                <w:lang w:val="es-ES_tradnl"/>
              </w:rPr>
              <w:t>: Propuesta para el Desarrollo de la Operación</w:t>
            </w:r>
          </w:p>
          <w:p w14:paraId="27C70AFD" w14:textId="77777777"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ROP</w:t>
            </w:r>
            <w:proofErr w:type="spellEnd"/>
            <w:r w:rsidRPr="00152CDF">
              <w:rPr>
                <w:rFonts w:ascii="Arial" w:eastAsia="Arial Unicode MS" w:hAnsi="Arial" w:cs="Arial"/>
                <w:bCs/>
                <w:smallCaps/>
                <w:lang w:val="es-ES_tradnl"/>
              </w:rPr>
              <w:t>: Reglamento Operativo del Proyecto</w:t>
            </w:r>
          </w:p>
          <w:p w14:paraId="19FD62D4" w14:textId="77777777"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SAC</w:t>
            </w:r>
            <w:proofErr w:type="spellEnd"/>
            <w:r w:rsidRPr="00152CDF">
              <w:rPr>
                <w:rFonts w:ascii="Arial" w:eastAsia="Arial Unicode MS" w:hAnsi="Arial" w:cs="Arial"/>
                <w:bCs/>
                <w:smallCaps/>
                <w:lang w:val="es-ES_tradnl"/>
              </w:rPr>
              <w:t>: Sistema de Aseguramiento de la Calidad</w:t>
            </w:r>
          </w:p>
          <w:p w14:paraId="28C52D78" w14:textId="77777777" w:rsidR="00802E52" w:rsidRPr="00152CDF" w:rsidRDefault="00802E52" w:rsidP="00CA049A">
            <w:pPr>
              <w:pStyle w:val="ColorfulList-Accent11"/>
              <w:spacing w:after="0" w:line="360" w:lineRule="auto"/>
              <w:ind w:left="-9"/>
              <w:rPr>
                <w:rFonts w:ascii="Arial" w:eastAsia="Arial Unicode MS" w:hAnsi="Arial" w:cs="Arial"/>
                <w:bCs/>
                <w:smallCaps/>
                <w:lang w:val="es-ES_tradnl"/>
              </w:rPr>
            </w:pPr>
            <w:r w:rsidRPr="00152CDF">
              <w:rPr>
                <w:rFonts w:ascii="Arial" w:eastAsia="Arial Unicode MS" w:hAnsi="Arial" w:cs="Arial"/>
                <w:bCs/>
                <w:smallCaps/>
                <w:lang w:val="es-ES_tradnl"/>
              </w:rPr>
              <w:t>SIMCE: Sistema Nacional de Evaluación de Resultados de Aprendizaje</w:t>
            </w:r>
          </w:p>
          <w:p w14:paraId="2F6E0EE4" w14:textId="43903100" w:rsidR="00802E52" w:rsidRPr="00152CDF" w:rsidRDefault="00802E52" w:rsidP="00163CAA">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SLEP</w:t>
            </w:r>
            <w:proofErr w:type="spellEnd"/>
            <w:r w:rsidRPr="00152CDF">
              <w:rPr>
                <w:rFonts w:ascii="Arial" w:eastAsia="Arial Unicode MS" w:hAnsi="Arial" w:cs="Arial"/>
                <w:bCs/>
                <w:smallCaps/>
                <w:lang w:val="es-ES_tradnl"/>
              </w:rPr>
              <w:t>: Servicio Local de Educación Pública</w:t>
            </w:r>
          </w:p>
          <w:p w14:paraId="7F52AE8F" w14:textId="48E11A0D" w:rsidR="00163CAA" w:rsidRPr="00152CDF" w:rsidRDefault="00802E52" w:rsidP="004907A1">
            <w:pPr>
              <w:pStyle w:val="ColorfulList-Accent11"/>
              <w:spacing w:after="0" w:line="360" w:lineRule="auto"/>
              <w:ind w:left="-9"/>
              <w:rPr>
                <w:rFonts w:ascii="Arial" w:eastAsia="Arial Unicode MS" w:hAnsi="Arial" w:cs="Arial"/>
                <w:bCs/>
                <w:smallCaps/>
                <w:lang w:val="es-ES_tradnl"/>
              </w:rPr>
            </w:pPr>
            <w:proofErr w:type="spellStart"/>
            <w:r w:rsidRPr="00152CDF">
              <w:rPr>
                <w:rFonts w:ascii="Arial" w:eastAsia="Arial Unicode MS" w:hAnsi="Arial" w:cs="Arial"/>
                <w:bCs/>
                <w:smallCaps/>
                <w:lang w:val="es-ES_tradnl"/>
              </w:rPr>
              <w:t>UCP</w:t>
            </w:r>
            <w:proofErr w:type="spellEnd"/>
            <w:r w:rsidRPr="00152CDF">
              <w:rPr>
                <w:rFonts w:ascii="Arial" w:eastAsia="Arial Unicode MS" w:hAnsi="Arial" w:cs="Arial"/>
                <w:bCs/>
                <w:smallCaps/>
                <w:lang w:val="es-ES_tradnl"/>
              </w:rPr>
              <w:t>: Unidad Coordinadora de Proyecto</w:t>
            </w:r>
          </w:p>
        </w:tc>
      </w:tr>
    </w:tbl>
    <w:p w14:paraId="15B8EECC" w14:textId="77777777" w:rsidR="00C266EB" w:rsidRPr="00152CDF" w:rsidRDefault="00C266EB" w:rsidP="00C266EB">
      <w:pPr>
        <w:pStyle w:val="ColorfulList-Accent11"/>
        <w:spacing w:after="0" w:line="360" w:lineRule="auto"/>
        <w:ind w:left="0"/>
        <w:jc w:val="center"/>
        <w:rPr>
          <w:rFonts w:ascii="Arial" w:eastAsia="Arial Unicode MS" w:hAnsi="Arial" w:cs="Arial"/>
          <w:bCs/>
          <w:smallCaps/>
          <w:lang w:val="es-ES_tradnl"/>
        </w:rPr>
      </w:pPr>
    </w:p>
    <w:p w14:paraId="7B671901" w14:textId="133A3EE6" w:rsidR="00163CAA" w:rsidRPr="00152CDF" w:rsidRDefault="00163CAA">
      <w:pPr>
        <w:rPr>
          <w:rFonts w:ascii="Arial" w:hAnsi="Arial" w:cs="Arial"/>
          <w:b/>
          <w:smallCaps/>
          <w:lang w:val="es-ES_tradnl"/>
        </w:rPr>
      </w:pPr>
      <w:r w:rsidRPr="00152CDF">
        <w:rPr>
          <w:rFonts w:ascii="Arial" w:hAnsi="Arial" w:cs="Arial"/>
          <w:b/>
          <w:smallCaps/>
          <w:lang w:val="es-ES_tradnl"/>
        </w:rPr>
        <w:br w:type="page"/>
      </w:r>
    </w:p>
    <w:p w14:paraId="623F811E" w14:textId="77777777" w:rsidR="00344C44" w:rsidRPr="00152CDF" w:rsidRDefault="00344C44" w:rsidP="00FA3F72">
      <w:pPr>
        <w:keepNext/>
        <w:tabs>
          <w:tab w:val="left" w:pos="3060"/>
        </w:tabs>
        <w:spacing w:before="240" w:line="240" w:lineRule="auto"/>
        <w:jc w:val="center"/>
        <w:rPr>
          <w:rFonts w:ascii="Arial" w:hAnsi="Arial" w:cs="Arial"/>
          <w:b/>
          <w:smallCaps/>
          <w:lang w:val="es-ES_tradnl"/>
        </w:rPr>
      </w:pPr>
      <w:r w:rsidRPr="00152CDF">
        <w:rPr>
          <w:rFonts w:ascii="Arial" w:hAnsi="Arial" w:cs="Arial"/>
          <w:b/>
          <w:smallCaps/>
          <w:lang w:val="es-ES_tradnl"/>
        </w:rPr>
        <w:lastRenderedPageBreak/>
        <w:t>Índice</w:t>
      </w:r>
    </w:p>
    <w:p w14:paraId="79206363" w14:textId="3B319C43" w:rsidR="007D2E0F" w:rsidRDefault="00344C44">
      <w:pPr>
        <w:pStyle w:val="TOC1"/>
        <w:tabs>
          <w:tab w:val="left" w:pos="440"/>
          <w:tab w:val="right" w:leader="dot" w:pos="9350"/>
        </w:tabs>
        <w:rPr>
          <w:rFonts w:eastAsiaTheme="minorEastAsia"/>
          <w:noProof/>
          <w:lang w:val="es-CL" w:eastAsia="es-CL"/>
        </w:rPr>
      </w:pPr>
      <w:r w:rsidRPr="00152CDF">
        <w:rPr>
          <w:rFonts w:ascii="Arial" w:hAnsi="Arial" w:cs="Arial"/>
          <w:smallCaps/>
          <w:lang w:val="es-ES_tradnl"/>
        </w:rPr>
        <w:fldChar w:fldCharType="begin"/>
      </w:r>
      <w:r w:rsidRPr="00152CDF">
        <w:rPr>
          <w:rFonts w:ascii="Arial" w:hAnsi="Arial" w:cs="Arial"/>
          <w:smallCaps/>
          <w:lang w:val="es-ES_tradnl"/>
        </w:rPr>
        <w:instrText xml:space="preserve"> TOC \f \t "Chapter,1,FirstHeading,2,SecHeading,3" </w:instrText>
      </w:r>
      <w:r w:rsidRPr="00152CDF">
        <w:rPr>
          <w:rFonts w:ascii="Arial" w:hAnsi="Arial" w:cs="Arial"/>
          <w:smallCaps/>
          <w:lang w:val="es-ES_tradnl"/>
        </w:rPr>
        <w:fldChar w:fldCharType="separate"/>
      </w:r>
      <w:r w:rsidR="007D2E0F" w:rsidRPr="00C6268A">
        <w:rPr>
          <w:rFonts w:ascii="Arial" w:hAnsi="Arial" w:cs="Arial"/>
          <w:noProof/>
          <w:lang w:val="es-ES_tradnl"/>
        </w:rPr>
        <w:t>I.</w:t>
      </w:r>
      <w:r w:rsidR="007D2E0F">
        <w:rPr>
          <w:rFonts w:eastAsiaTheme="minorEastAsia"/>
          <w:noProof/>
          <w:lang w:val="es-CL" w:eastAsia="es-CL"/>
        </w:rPr>
        <w:tab/>
      </w:r>
      <w:r w:rsidR="007D2E0F" w:rsidRPr="00C6268A">
        <w:rPr>
          <w:rFonts w:ascii="Arial" w:hAnsi="Arial" w:cs="Arial"/>
          <w:noProof/>
          <w:lang w:val="es-ES_tradnl"/>
        </w:rPr>
        <w:t>Introducción</w:t>
      </w:r>
      <w:r w:rsidR="007D2E0F" w:rsidRPr="007D2E0F">
        <w:rPr>
          <w:noProof/>
          <w:lang w:val="es-CL"/>
        </w:rPr>
        <w:tab/>
      </w:r>
      <w:r w:rsidR="007D2E0F">
        <w:rPr>
          <w:noProof/>
        </w:rPr>
        <w:fldChar w:fldCharType="begin"/>
      </w:r>
      <w:r w:rsidR="007D2E0F" w:rsidRPr="007D2E0F">
        <w:rPr>
          <w:noProof/>
          <w:lang w:val="es-CL"/>
        </w:rPr>
        <w:instrText xml:space="preserve"> PAGEREF _Toc34300349 \h </w:instrText>
      </w:r>
      <w:r w:rsidR="007D2E0F">
        <w:rPr>
          <w:noProof/>
        </w:rPr>
      </w:r>
      <w:r w:rsidR="007D2E0F">
        <w:rPr>
          <w:noProof/>
        </w:rPr>
        <w:fldChar w:fldCharType="separate"/>
      </w:r>
      <w:r w:rsidR="007D2E0F">
        <w:rPr>
          <w:noProof/>
          <w:lang w:val="es-CL"/>
        </w:rPr>
        <w:t>4</w:t>
      </w:r>
      <w:r w:rsidR="007D2E0F">
        <w:rPr>
          <w:noProof/>
        </w:rPr>
        <w:fldChar w:fldCharType="end"/>
      </w:r>
    </w:p>
    <w:p w14:paraId="6A91B2A4" w14:textId="53344AB9" w:rsidR="007D2E0F" w:rsidRDefault="007D2E0F">
      <w:pPr>
        <w:pStyle w:val="TOC1"/>
        <w:tabs>
          <w:tab w:val="left" w:pos="440"/>
          <w:tab w:val="right" w:leader="dot" w:pos="9350"/>
        </w:tabs>
        <w:rPr>
          <w:rFonts w:eastAsiaTheme="minorEastAsia"/>
          <w:noProof/>
          <w:lang w:val="es-CL" w:eastAsia="es-CL"/>
        </w:rPr>
      </w:pPr>
      <w:r w:rsidRPr="00C6268A">
        <w:rPr>
          <w:rFonts w:ascii="Arial" w:hAnsi="Arial" w:cs="Arial"/>
          <w:noProof/>
          <w:lang w:val="es-ES_tradnl"/>
        </w:rPr>
        <w:t>II.</w:t>
      </w:r>
      <w:r>
        <w:rPr>
          <w:rFonts w:eastAsiaTheme="minorEastAsia"/>
          <w:noProof/>
          <w:lang w:val="es-CL" w:eastAsia="es-CL"/>
        </w:rPr>
        <w:tab/>
      </w:r>
      <w:r w:rsidRPr="00C6268A">
        <w:rPr>
          <w:rFonts w:ascii="Arial" w:hAnsi="Arial" w:cs="Arial"/>
          <w:noProof/>
          <w:lang w:val="es-ES_tradnl"/>
        </w:rPr>
        <w:t>Monitoreo</w:t>
      </w:r>
      <w:r w:rsidRPr="007D2E0F">
        <w:rPr>
          <w:noProof/>
          <w:lang w:val="es-CL"/>
        </w:rPr>
        <w:tab/>
      </w:r>
      <w:r>
        <w:rPr>
          <w:noProof/>
        </w:rPr>
        <w:fldChar w:fldCharType="begin"/>
      </w:r>
      <w:r w:rsidRPr="007D2E0F">
        <w:rPr>
          <w:noProof/>
          <w:lang w:val="es-CL"/>
        </w:rPr>
        <w:instrText xml:space="preserve"> PAGEREF _Toc34300350 \h </w:instrText>
      </w:r>
      <w:r>
        <w:rPr>
          <w:noProof/>
        </w:rPr>
      </w:r>
      <w:r>
        <w:rPr>
          <w:noProof/>
        </w:rPr>
        <w:fldChar w:fldCharType="separate"/>
      </w:r>
      <w:r>
        <w:rPr>
          <w:noProof/>
          <w:lang w:val="es-CL"/>
        </w:rPr>
        <w:t>5</w:t>
      </w:r>
      <w:r>
        <w:rPr>
          <w:noProof/>
        </w:rPr>
        <w:fldChar w:fldCharType="end"/>
      </w:r>
    </w:p>
    <w:p w14:paraId="727F2A25" w14:textId="2450D365" w:rsidR="007D2E0F" w:rsidRDefault="007D2E0F">
      <w:pPr>
        <w:pStyle w:val="TOC2"/>
        <w:rPr>
          <w:rFonts w:eastAsiaTheme="minorEastAsia"/>
          <w:noProof/>
          <w:lang w:val="es-CL" w:eastAsia="es-CL"/>
        </w:rPr>
      </w:pPr>
      <w:r w:rsidRPr="00C6268A">
        <w:rPr>
          <w:rFonts w:ascii="Arial" w:hAnsi="Arial" w:cs="Arial"/>
          <w:noProof/>
          <w:lang w:val="es-ES_tradnl"/>
        </w:rPr>
        <w:t>A.</w:t>
      </w:r>
      <w:r>
        <w:rPr>
          <w:rFonts w:eastAsiaTheme="minorEastAsia"/>
          <w:noProof/>
          <w:lang w:val="es-CL" w:eastAsia="es-CL"/>
        </w:rPr>
        <w:tab/>
      </w:r>
      <w:r w:rsidRPr="00C6268A">
        <w:rPr>
          <w:rFonts w:ascii="Arial" w:hAnsi="Arial" w:cs="Arial"/>
          <w:noProof/>
          <w:lang w:val="es-ES_tradnl"/>
        </w:rPr>
        <w:t>Indicadores:</w:t>
      </w:r>
      <w:r w:rsidRPr="007D2E0F">
        <w:rPr>
          <w:noProof/>
          <w:lang w:val="es-CL"/>
        </w:rPr>
        <w:tab/>
      </w:r>
      <w:r>
        <w:rPr>
          <w:noProof/>
        </w:rPr>
        <w:fldChar w:fldCharType="begin"/>
      </w:r>
      <w:r w:rsidRPr="007D2E0F">
        <w:rPr>
          <w:noProof/>
          <w:lang w:val="es-CL"/>
        </w:rPr>
        <w:instrText xml:space="preserve"> PAGEREF _Toc34300351 \h </w:instrText>
      </w:r>
      <w:r>
        <w:rPr>
          <w:noProof/>
        </w:rPr>
      </w:r>
      <w:r>
        <w:rPr>
          <w:noProof/>
        </w:rPr>
        <w:fldChar w:fldCharType="separate"/>
      </w:r>
      <w:r>
        <w:rPr>
          <w:noProof/>
          <w:lang w:val="es-CL"/>
        </w:rPr>
        <w:t>6</w:t>
      </w:r>
      <w:r>
        <w:rPr>
          <w:noProof/>
        </w:rPr>
        <w:fldChar w:fldCharType="end"/>
      </w:r>
    </w:p>
    <w:p w14:paraId="1380D537" w14:textId="34081716" w:rsidR="007D2E0F" w:rsidRDefault="007D2E0F">
      <w:pPr>
        <w:pStyle w:val="TOC2"/>
        <w:rPr>
          <w:rFonts w:eastAsiaTheme="minorEastAsia"/>
          <w:noProof/>
          <w:lang w:val="es-CL" w:eastAsia="es-CL"/>
        </w:rPr>
      </w:pPr>
      <w:r w:rsidRPr="00C6268A">
        <w:rPr>
          <w:rFonts w:ascii="Arial" w:hAnsi="Arial" w:cs="Arial"/>
          <w:noProof/>
          <w:lang w:val="es-ES_tradnl"/>
        </w:rPr>
        <w:t>B.</w:t>
      </w:r>
      <w:r>
        <w:rPr>
          <w:rFonts w:eastAsiaTheme="minorEastAsia"/>
          <w:noProof/>
          <w:lang w:val="es-CL" w:eastAsia="es-CL"/>
        </w:rPr>
        <w:tab/>
      </w:r>
      <w:r w:rsidRPr="00C6268A">
        <w:rPr>
          <w:rFonts w:ascii="Arial" w:hAnsi="Arial" w:cs="Arial"/>
          <w:noProof/>
          <w:lang w:val="es-ES_tradnl"/>
        </w:rPr>
        <w:t>Monitoreo de indicadores generales de implementación</w:t>
      </w:r>
      <w:r w:rsidRPr="007D2E0F">
        <w:rPr>
          <w:noProof/>
          <w:lang w:val="es-CL"/>
        </w:rPr>
        <w:tab/>
      </w:r>
      <w:r>
        <w:rPr>
          <w:noProof/>
        </w:rPr>
        <w:fldChar w:fldCharType="begin"/>
      </w:r>
      <w:r w:rsidRPr="007D2E0F">
        <w:rPr>
          <w:noProof/>
          <w:lang w:val="es-CL"/>
        </w:rPr>
        <w:instrText xml:space="preserve"> PAGEREF _Toc34300352 \h </w:instrText>
      </w:r>
      <w:r>
        <w:rPr>
          <w:noProof/>
        </w:rPr>
      </w:r>
      <w:r>
        <w:rPr>
          <w:noProof/>
        </w:rPr>
        <w:fldChar w:fldCharType="separate"/>
      </w:r>
      <w:r>
        <w:rPr>
          <w:noProof/>
          <w:lang w:val="es-CL"/>
        </w:rPr>
        <w:t>6</w:t>
      </w:r>
      <w:r>
        <w:rPr>
          <w:noProof/>
        </w:rPr>
        <w:fldChar w:fldCharType="end"/>
      </w:r>
    </w:p>
    <w:p w14:paraId="5080578D" w14:textId="4E3FA6B1" w:rsidR="007D2E0F" w:rsidRDefault="007D2E0F">
      <w:pPr>
        <w:pStyle w:val="TOC2"/>
        <w:rPr>
          <w:rFonts w:eastAsiaTheme="minorEastAsia"/>
          <w:noProof/>
          <w:lang w:val="es-CL" w:eastAsia="es-CL"/>
        </w:rPr>
      </w:pPr>
      <w:r w:rsidRPr="00C6268A">
        <w:rPr>
          <w:rFonts w:ascii="Arial" w:hAnsi="Arial" w:cs="Arial"/>
          <w:noProof/>
          <w:lang w:val="es-ES_tradnl"/>
        </w:rPr>
        <w:t>C.</w:t>
      </w:r>
      <w:r>
        <w:rPr>
          <w:rFonts w:eastAsiaTheme="minorEastAsia"/>
          <w:noProof/>
          <w:lang w:val="es-CL" w:eastAsia="es-CL"/>
        </w:rPr>
        <w:tab/>
      </w:r>
      <w:r w:rsidRPr="00C6268A">
        <w:rPr>
          <w:rFonts w:ascii="Arial" w:hAnsi="Arial" w:cs="Arial"/>
          <w:noProof/>
          <w:lang w:val="es-ES_tradnl"/>
        </w:rPr>
        <w:t>Monitoreo de indicadores para desembolso de tramos</w:t>
      </w:r>
      <w:r w:rsidRPr="007D2E0F">
        <w:rPr>
          <w:noProof/>
          <w:lang w:val="es-CL"/>
        </w:rPr>
        <w:tab/>
      </w:r>
      <w:r>
        <w:rPr>
          <w:noProof/>
        </w:rPr>
        <w:fldChar w:fldCharType="begin"/>
      </w:r>
      <w:r w:rsidRPr="007D2E0F">
        <w:rPr>
          <w:noProof/>
          <w:lang w:val="es-CL"/>
        </w:rPr>
        <w:instrText xml:space="preserve"> PAGEREF _Toc34300353 \h </w:instrText>
      </w:r>
      <w:r>
        <w:rPr>
          <w:noProof/>
        </w:rPr>
      </w:r>
      <w:r>
        <w:rPr>
          <w:noProof/>
        </w:rPr>
        <w:fldChar w:fldCharType="separate"/>
      </w:r>
      <w:r>
        <w:rPr>
          <w:noProof/>
          <w:lang w:val="es-CL"/>
        </w:rPr>
        <w:t>15</w:t>
      </w:r>
      <w:r>
        <w:rPr>
          <w:noProof/>
        </w:rPr>
        <w:fldChar w:fldCharType="end"/>
      </w:r>
    </w:p>
    <w:p w14:paraId="66AB9B61" w14:textId="1B7A4679" w:rsidR="007D2E0F" w:rsidRDefault="007D2E0F">
      <w:pPr>
        <w:pStyle w:val="TOC2"/>
        <w:rPr>
          <w:rFonts w:eastAsiaTheme="minorEastAsia"/>
          <w:noProof/>
          <w:lang w:val="es-CL" w:eastAsia="es-CL"/>
        </w:rPr>
      </w:pPr>
      <w:r w:rsidRPr="00C6268A">
        <w:rPr>
          <w:rFonts w:ascii="Arial" w:hAnsi="Arial" w:cs="Arial"/>
          <w:noProof/>
          <w:lang w:val="es-ES_tradnl"/>
        </w:rPr>
        <w:t>D.</w:t>
      </w:r>
      <w:r>
        <w:rPr>
          <w:rFonts w:eastAsiaTheme="minorEastAsia"/>
          <w:noProof/>
          <w:lang w:val="es-CL" w:eastAsia="es-CL"/>
        </w:rPr>
        <w:tab/>
      </w:r>
      <w:r w:rsidRPr="00C6268A">
        <w:rPr>
          <w:rFonts w:ascii="Arial" w:hAnsi="Arial" w:cs="Arial"/>
          <w:noProof/>
          <w:lang w:val="es-ES_tradnl"/>
        </w:rPr>
        <w:t>Presentación de informes</w:t>
      </w:r>
      <w:r w:rsidRPr="007D2E0F">
        <w:rPr>
          <w:noProof/>
          <w:lang w:val="es-CL"/>
        </w:rPr>
        <w:tab/>
      </w:r>
      <w:r>
        <w:rPr>
          <w:noProof/>
        </w:rPr>
        <w:fldChar w:fldCharType="begin"/>
      </w:r>
      <w:r w:rsidRPr="007D2E0F">
        <w:rPr>
          <w:noProof/>
          <w:lang w:val="es-CL"/>
        </w:rPr>
        <w:instrText xml:space="preserve"> PAGEREF _Toc34300354 \h </w:instrText>
      </w:r>
      <w:r>
        <w:rPr>
          <w:noProof/>
        </w:rPr>
      </w:r>
      <w:r>
        <w:rPr>
          <w:noProof/>
        </w:rPr>
        <w:fldChar w:fldCharType="separate"/>
      </w:r>
      <w:r>
        <w:rPr>
          <w:noProof/>
          <w:lang w:val="es-CL"/>
        </w:rPr>
        <w:t>21</w:t>
      </w:r>
      <w:r>
        <w:rPr>
          <w:noProof/>
        </w:rPr>
        <w:fldChar w:fldCharType="end"/>
      </w:r>
    </w:p>
    <w:p w14:paraId="6074CC4D" w14:textId="1CBD3E11" w:rsidR="007D2E0F" w:rsidRDefault="007D2E0F">
      <w:pPr>
        <w:pStyle w:val="TOC2"/>
        <w:rPr>
          <w:rFonts w:eastAsiaTheme="minorEastAsia"/>
          <w:noProof/>
          <w:lang w:val="es-CL" w:eastAsia="es-CL"/>
        </w:rPr>
      </w:pPr>
      <w:r w:rsidRPr="00C6268A">
        <w:rPr>
          <w:rFonts w:ascii="Arial" w:hAnsi="Arial" w:cs="Arial"/>
          <w:noProof/>
          <w:lang w:val="es-ES_tradnl"/>
        </w:rPr>
        <w:t>E.</w:t>
      </w:r>
      <w:r>
        <w:rPr>
          <w:rFonts w:eastAsiaTheme="minorEastAsia"/>
          <w:noProof/>
          <w:lang w:val="es-CL" w:eastAsia="es-CL"/>
        </w:rPr>
        <w:tab/>
      </w:r>
      <w:r w:rsidRPr="00C6268A">
        <w:rPr>
          <w:rFonts w:ascii="Arial" w:hAnsi="Arial" w:cs="Arial"/>
          <w:noProof/>
          <w:lang w:val="es-ES_tradnl"/>
        </w:rPr>
        <w:t>Coordinación, Plan de Trabajo y presupuesto del monitoreo</w:t>
      </w:r>
      <w:r w:rsidRPr="007D2E0F">
        <w:rPr>
          <w:noProof/>
          <w:lang w:val="es-CL"/>
        </w:rPr>
        <w:tab/>
      </w:r>
      <w:r>
        <w:rPr>
          <w:noProof/>
        </w:rPr>
        <w:fldChar w:fldCharType="begin"/>
      </w:r>
      <w:r w:rsidRPr="007D2E0F">
        <w:rPr>
          <w:noProof/>
          <w:lang w:val="es-CL"/>
        </w:rPr>
        <w:instrText xml:space="preserve"> PAGEREF _Toc34300355 \h </w:instrText>
      </w:r>
      <w:r>
        <w:rPr>
          <w:noProof/>
        </w:rPr>
      </w:r>
      <w:r>
        <w:rPr>
          <w:noProof/>
        </w:rPr>
        <w:fldChar w:fldCharType="separate"/>
      </w:r>
      <w:r>
        <w:rPr>
          <w:noProof/>
          <w:lang w:val="es-CL"/>
        </w:rPr>
        <w:t>21</w:t>
      </w:r>
      <w:r>
        <w:rPr>
          <w:noProof/>
        </w:rPr>
        <w:fldChar w:fldCharType="end"/>
      </w:r>
    </w:p>
    <w:p w14:paraId="7BCE8DAC" w14:textId="3DCF990C" w:rsidR="007D2E0F" w:rsidRDefault="007D2E0F">
      <w:pPr>
        <w:pStyle w:val="TOC1"/>
        <w:tabs>
          <w:tab w:val="left" w:pos="660"/>
          <w:tab w:val="right" w:leader="dot" w:pos="9350"/>
        </w:tabs>
        <w:rPr>
          <w:rFonts w:eastAsiaTheme="minorEastAsia"/>
          <w:noProof/>
          <w:lang w:val="es-CL" w:eastAsia="es-CL"/>
        </w:rPr>
      </w:pPr>
      <w:r w:rsidRPr="00C6268A">
        <w:rPr>
          <w:rFonts w:ascii="Arial" w:hAnsi="Arial" w:cs="Arial"/>
          <w:noProof/>
          <w:lang w:val="es-ES_tradnl"/>
        </w:rPr>
        <w:t>III.</w:t>
      </w:r>
      <w:r>
        <w:rPr>
          <w:rFonts w:eastAsiaTheme="minorEastAsia"/>
          <w:noProof/>
          <w:lang w:val="es-CL" w:eastAsia="es-CL"/>
        </w:rPr>
        <w:tab/>
      </w:r>
      <w:r w:rsidRPr="00C6268A">
        <w:rPr>
          <w:rFonts w:ascii="Arial" w:hAnsi="Arial" w:cs="Arial"/>
          <w:noProof/>
          <w:lang w:val="es-ES_tradnl"/>
        </w:rPr>
        <w:t>Evaluación</w:t>
      </w:r>
      <w:r>
        <w:rPr>
          <w:noProof/>
        </w:rPr>
        <w:tab/>
      </w:r>
      <w:r>
        <w:rPr>
          <w:noProof/>
        </w:rPr>
        <w:fldChar w:fldCharType="begin"/>
      </w:r>
      <w:r>
        <w:rPr>
          <w:noProof/>
        </w:rPr>
        <w:instrText xml:space="preserve"> PAGEREF _Toc34300356 \h </w:instrText>
      </w:r>
      <w:r>
        <w:rPr>
          <w:noProof/>
        </w:rPr>
      </w:r>
      <w:r>
        <w:rPr>
          <w:noProof/>
        </w:rPr>
        <w:fldChar w:fldCharType="separate"/>
      </w:r>
      <w:r>
        <w:rPr>
          <w:noProof/>
        </w:rPr>
        <w:t>22</w:t>
      </w:r>
      <w:r>
        <w:rPr>
          <w:noProof/>
        </w:rPr>
        <w:fldChar w:fldCharType="end"/>
      </w:r>
    </w:p>
    <w:p w14:paraId="3E1DE84F" w14:textId="75ED422F" w:rsidR="007D2E0F" w:rsidRDefault="007D2E0F">
      <w:pPr>
        <w:pStyle w:val="TOC1"/>
        <w:tabs>
          <w:tab w:val="left" w:pos="660"/>
          <w:tab w:val="right" w:leader="dot" w:pos="9350"/>
        </w:tabs>
        <w:rPr>
          <w:rFonts w:eastAsiaTheme="minorEastAsia"/>
          <w:noProof/>
          <w:lang w:val="es-CL" w:eastAsia="es-CL"/>
        </w:rPr>
      </w:pPr>
      <w:r w:rsidRPr="00C6268A">
        <w:rPr>
          <w:rFonts w:ascii="Arial" w:hAnsi="Arial" w:cs="Arial"/>
          <w:noProof/>
          <w:lang w:val="es-ES_tradnl"/>
        </w:rPr>
        <w:t>IV.</w:t>
      </w:r>
      <w:r>
        <w:rPr>
          <w:rFonts w:eastAsiaTheme="minorEastAsia"/>
          <w:noProof/>
          <w:lang w:val="es-CL" w:eastAsia="es-CL"/>
        </w:rPr>
        <w:tab/>
      </w:r>
      <w:r w:rsidRPr="00C6268A">
        <w:rPr>
          <w:rFonts w:ascii="Arial" w:hAnsi="Arial" w:cs="Arial"/>
          <w:noProof/>
          <w:lang w:val="es-ES_tradnl"/>
        </w:rPr>
        <w:t>Referencias</w:t>
      </w:r>
      <w:r>
        <w:rPr>
          <w:noProof/>
        </w:rPr>
        <w:tab/>
      </w:r>
      <w:r>
        <w:rPr>
          <w:noProof/>
        </w:rPr>
        <w:fldChar w:fldCharType="begin"/>
      </w:r>
      <w:r>
        <w:rPr>
          <w:noProof/>
        </w:rPr>
        <w:instrText xml:space="preserve"> PAGEREF _Toc34300357 \h </w:instrText>
      </w:r>
      <w:r>
        <w:rPr>
          <w:noProof/>
        </w:rPr>
      </w:r>
      <w:r>
        <w:rPr>
          <w:noProof/>
        </w:rPr>
        <w:fldChar w:fldCharType="separate"/>
      </w:r>
      <w:r>
        <w:rPr>
          <w:noProof/>
        </w:rPr>
        <w:t>31</w:t>
      </w:r>
      <w:r>
        <w:rPr>
          <w:noProof/>
        </w:rPr>
        <w:fldChar w:fldCharType="end"/>
      </w:r>
    </w:p>
    <w:p w14:paraId="31E2E5B4" w14:textId="77777777" w:rsidR="00344C44" w:rsidRPr="00152CDF" w:rsidRDefault="00344C44" w:rsidP="00FA3F72">
      <w:pPr>
        <w:keepNext/>
        <w:tabs>
          <w:tab w:val="left" w:pos="3060"/>
        </w:tabs>
        <w:spacing w:before="240" w:line="240" w:lineRule="auto"/>
        <w:rPr>
          <w:rFonts w:ascii="Arial" w:hAnsi="Arial" w:cs="Arial"/>
          <w:b/>
          <w:smallCaps/>
          <w:lang w:val="es-ES_tradnl"/>
        </w:rPr>
      </w:pPr>
      <w:r w:rsidRPr="00152CDF">
        <w:rPr>
          <w:rFonts w:ascii="Arial" w:hAnsi="Arial" w:cs="Arial"/>
          <w:lang w:val="es-ES_tradnl"/>
        </w:rPr>
        <w:fldChar w:fldCharType="end"/>
      </w:r>
    </w:p>
    <w:p w14:paraId="6892F099" w14:textId="77777777" w:rsidR="00344C44" w:rsidRPr="00152CDF" w:rsidRDefault="00344C44" w:rsidP="00FA3F72">
      <w:pPr>
        <w:keepNext/>
        <w:tabs>
          <w:tab w:val="left" w:pos="3060"/>
        </w:tabs>
        <w:spacing w:before="240" w:line="240" w:lineRule="auto"/>
        <w:jc w:val="center"/>
        <w:rPr>
          <w:rFonts w:ascii="Arial" w:hAnsi="Arial" w:cs="Arial"/>
          <w:b/>
          <w:smallCaps/>
          <w:lang w:val="es-ES_tradnl"/>
        </w:rPr>
      </w:pPr>
    </w:p>
    <w:p w14:paraId="6824FEFD" w14:textId="77777777" w:rsidR="00344C44" w:rsidRPr="00152CDF" w:rsidRDefault="00344C44">
      <w:pPr>
        <w:pStyle w:val="Chapter"/>
        <w:numPr>
          <w:ilvl w:val="0"/>
          <w:numId w:val="0"/>
        </w:numPr>
        <w:ind w:left="288"/>
        <w:jc w:val="left"/>
        <w:rPr>
          <w:rFonts w:ascii="Arial" w:hAnsi="Arial" w:cs="Arial"/>
          <w:sz w:val="22"/>
          <w:lang w:val="es-ES_tradnl"/>
        </w:rPr>
      </w:pPr>
      <w:bookmarkStart w:id="0" w:name="_Toc301033060"/>
    </w:p>
    <w:p w14:paraId="6E570ED8" w14:textId="77777777" w:rsidR="00344C44" w:rsidRPr="00152CDF" w:rsidRDefault="00344C44" w:rsidP="00FA3F72">
      <w:pPr>
        <w:spacing w:line="240" w:lineRule="auto"/>
        <w:rPr>
          <w:rFonts w:ascii="Arial" w:hAnsi="Arial" w:cs="Arial"/>
          <w:lang w:val="es-ES_tradnl"/>
        </w:rPr>
      </w:pPr>
    </w:p>
    <w:p w14:paraId="1CE153A1" w14:textId="77777777" w:rsidR="00344C44" w:rsidRPr="00152CDF" w:rsidRDefault="00344C44" w:rsidP="00FA3F72">
      <w:pPr>
        <w:spacing w:line="240" w:lineRule="auto"/>
        <w:rPr>
          <w:rFonts w:ascii="Arial" w:hAnsi="Arial" w:cs="Arial"/>
          <w:lang w:val="es-ES_tradnl"/>
        </w:rPr>
      </w:pPr>
    </w:p>
    <w:p w14:paraId="0B521558" w14:textId="77777777" w:rsidR="00613658" w:rsidRPr="00152CDF" w:rsidRDefault="00613658" w:rsidP="00FA3F72">
      <w:pPr>
        <w:spacing w:line="240" w:lineRule="auto"/>
        <w:rPr>
          <w:rFonts w:ascii="Arial" w:hAnsi="Arial" w:cs="Arial"/>
          <w:lang w:val="es-ES_tradnl"/>
        </w:rPr>
      </w:pPr>
    </w:p>
    <w:p w14:paraId="670979E1" w14:textId="0D62F3EF" w:rsidR="00D71415" w:rsidRPr="00152CDF" w:rsidRDefault="00D71415">
      <w:pPr>
        <w:rPr>
          <w:rFonts w:ascii="Arial" w:hAnsi="Arial" w:cs="Arial"/>
          <w:lang w:val="es-ES_tradnl"/>
        </w:rPr>
      </w:pPr>
      <w:r w:rsidRPr="00152CDF">
        <w:rPr>
          <w:rFonts w:ascii="Arial" w:hAnsi="Arial" w:cs="Arial"/>
          <w:lang w:val="es-ES_tradnl"/>
        </w:rPr>
        <w:br w:type="page"/>
      </w:r>
    </w:p>
    <w:p w14:paraId="71958D51" w14:textId="64547267" w:rsidR="004B7FAE" w:rsidRPr="00152CDF" w:rsidRDefault="00EF2E9A" w:rsidP="00F402D5">
      <w:pPr>
        <w:pStyle w:val="Chapter"/>
        <w:rPr>
          <w:rFonts w:ascii="Arial" w:hAnsi="Arial" w:cs="Arial"/>
          <w:lang w:val="es-ES_tradnl"/>
        </w:rPr>
      </w:pPr>
      <w:bookmarkStart w:id="1" w:name="_Toc34300349"/>
      <w:r w:rsidRPr="00152CDF">
        <w:rPr>
          <w:rFonts w:ascii="Arial" w:hAnsi="Arial" w:cs="Arial"/>
          <w:lang w:val="es-ES_tradnl"/>
        </w:rPr>
        <w:lastRenderedPageBreak/>
        <w:t>Introducción</w:t>
      </w:r>
      <w:bookmarkEnd w:id="0"/>
      <w:bookmarkEnd w:id="1"/>
    </w:p>
    <w:p w14:paraId="45557826" w14:textId="608F6808" w:rsidR="00163CAA" w:rsidRPr="00152CDF" w:rsidRDefault="00D65456" w:rsidP="00F947D6">
      <w:pPr>
        <w:pStyle w:val="Heading2"/>
        <w:numPr>
          <w:ilvl w:val="1"/>
          <w:numId w:val="28"/>
        </w:numPr>
        <w:spacing w:before="120"/>
        <w:rPr>
          <w:lang w:val="es-ES_tradnl"/>
        </w:rPr>
      </w:pPr>
      <w:r>
        <w:rPr>
          <w:lang w:val="es-ES_tradnl"/>
        </w:rPr>
        <w:t>E</w:t>
      </w:r>
      <w:r w:rsidR="00F66669" w:rsidRPr="00152CDF">
        <w:rPr>
          <w:lang w:val="es-ES_tradnl"/>
        </w:rPr>
        <w:t xml:space="preserve">ste documento describe los mecanismos de monitoreo y evaluación de </w:t>
      </w:r>
      <w:r w:rsidR="00C07B9B" w:rsidRPr="00152CDF">
        <w:rPr>
          <w:lang w:val="es-ES_tradnl"/>
        </w:rPr>
        <w:t xml:space="preserve">Programa </w:t>
      </w:r>
      <w:r w:rsidR="00F66669" w:rsidRPr="00152CDF">
        <w:rPr>
          <w:lang w:val="es-ES_tradnl"/>
        </w:rPr>
        <w:t xml:space="preserve">de Fortalecimiento de la Gestión </w:t>
      </w:r>
      <w:r w:rsidR="007C0D48" w:rsidRPr="00152CDF">
        <w:rPr>
          <w:lang w:val="es-ES_tradnl"/>
        </w:rPr>
        <w:t xml:space="preserve">del Sector </w:t>
      </w:r>
      <w:r w:rsidR="00F66669" w:rsidRPr="00152CDF">
        <w:rPr>
          <w:lang w:val="es-ES_tradnl"/>
        </w:rPr>
        <w:t>Educativ</w:t>
      </w:r>
      <w:r w:rsidR="007C0D48" w:rsidRPr="00152CDF">
        <w:rPr>
          <w:lang w:val="es-ES_tradnl"/>
        </w:rPr>
        <w:t>o</w:t>
      </w:r>
      <w:r w:rsidR="00F66669" w:rsidRPr="00152CDF">
        <w:rPr>
          <w:lang w:val="es-ES_tradnl"/>
        </w:rPr>
        <w:t xml:space="preserve"> (CH-</w:t>
      </w:r>
      <w:proofErr w:type="spellStart"/>
      <w:r w:rsidR="00F66669" w:rsidRPr="00152CDF">
        <w:rPr>
          <w:lang w:val="es-ES_tradnl"/>
        </w:rPr>
        <w:t>L1081</w:t>
      </w:r>
      <w:proofErr w:type="spellEnd"/>
      <w:r w:rsidR="00F66669" w:rsidRPr="00152CDF">
        <w:rPr>
          <w:lang w:val="es-ES_tradnl"/>
        </w:rPr>
        <w:t>)</w:t>
      </w:r>
      <w:r w:rsidR="000E5A8C" w:rsidRPr="00152CDF">
        <w:rPr>
          <w:lang w:val="es-ES_tradnl"/>
        </w:rPr>
        <w:t xml:space="preserve"> que se encuentra en su primera etapa de </w:t>
      </w:r>
      <w:r w:rsidR="00AB28D3" w:rsidRPr="00152CDF">
        <w:rPr>
          <w:lang w:val="es-ES_tradnl"/>
        </w:rPr>
        <w:t>implementación</w:t>
      </w:r>
      <w:r w:rsidR="008900AC" w:rsidRPr="00152CDF">
        <w:rPr>
          <w:lang w:val="es-ES_tradnl"/>
        </w:rPr>
        <w:t xml:space="preserve">. </w:t>
      </w:r>
      <w:r w:rsidR="00730308" w:rsidRPr="00152CDF">
        <w:rPr>
          <w:lang w:val="es-ES_tradnl"/>
        </w:rPr>
        <w:t xml:space="preserve">La operación, por USD 50 millones de financiamiento del Banco, está estructurado como un </w:t>
      </w:r>
      <w:r w:rsidR="004D000C" w:rsidRPr="00152CDF">
        <w:rPr>
          <w:lang w:val="es-ES_tradnl"/>
        </w:rPr>
        <w:t>P</w:t>
      </w:r>
      <w:r w:rsidR="00730308" w:rsidRPr="00152CDF">
        <w:rPr>
          <w:lang w:val="es-ES_tradnl"/>
        </w:rPr>
        <w:t xml:space="preserve">réstamo </w:t>
      </w:r>
      <w:r w:rsidR="004D000C" w:rsidRPr="00152CDF">
        <w:rPr>
          <w:lang w:val="es-ES_tradnl"/>
        </w:rPr>
        <w:t>B</w:t>
      </w:r>
      <w:r w:rsidR="00730308" w:rsidRPr="00152CDF">
        <w:rPr>
          <w:lang w:val="es-ES_tradnl"/>
        </w:rPr>
        <w:t xml:space="preserve">asado en </w:t>
      </w:r>
      <w:r w:rsidR="004D000C" w:rsidRPr="00152CDF">
        <w:rPr>
          <w:lang w:val="es-ES_tradnl"/>
        </w:rPr>
        <w:t>R</w:t>
      </w:r>
      <w:r w:rsidR="00730308" w:rsidRPr="00152CDF">
        <w:rPr>
          <w:lang w:val="es-ES_tradnl"/>
        </w:rPr>
        <w:t>esultados (</w:t>
      </w:r>
      <w:proofErr w:type="spellStart"/>
      <w:r w:rsidR="00730308" w:rsidRPr="00152CDF">
        <w:rPr>
          <w:lang w:val="es-ES_tradnl"/>
        </w:rPr>
        <w:t>PBR</w:t>
      </w:r>
      <w:proofErr w:type="spellEnd"/>
      <w:r w:rsidR="00730308" w:rsidRPr="00152CDF">
        <w:rPr>
          <w:lang w:val="es-ES_tradnl"/>
        </w:rPr>
        <w:t>)</w:t>
      </w:r>
      <w:r w:rsidR="00BA38FE" w:rsidRPr="00152CDF">
        <w:rPr>
          <w:lang w:val="es-ES_tradnl"/>
        </w:rPr>
        <w:t>.</w:t>
      </w:r>
      <w:r w:rsidR="00F66669" w:rsidRPr="00152CDF">
        <w:rPr>
          <w:lang w:val="es-ES_tradnl"/>
        </w:rPr>
        <w:t xml:space="preserve"> </w:t>
      </w:r>
    </w:p>
    <w:p w14:paraId="5100CCDB" w14:textId="4F3E201B" w:rsidR="00362931" w:rsidRDefault="004D1F92" w:rsidP="00F947D6">
      <w:pPr>
        <w:pStyle w:val="Heading2"/>
        <w:numPr>
          <w:ilvl w:val="1"/>
          <w:numId w:val="28"/>
        </w:numPr>
        <w:spacing w:before="120"/>
        <w:rPr>
          <w:lang w:val="es-ES_tradnl"/>
        </w:rPr>
      </w:pPr>
      <w:r w:rsidRPr="00152CDF">
        <w:rPr>
          <w:lang w:val="es-ES_tradnl"/>
        </w:rPr>
        <w:t>El objetivo del programa es mejorar la calidad del sistema de la educación pública en Chile</w:t>
      </w:r>
      <w:r w:rsidR="00AE7E7F">
        <w:rPr>
          <w:lang w:val="es-ES_tradnl"/>
        </w:rPr>
        <w:t xml:space="preserve">. Se comprometen dos líneas de acción </w:t>
      </w:r>
      <w:r w:rsidR="00AE7E7F" w:rsidRPr="00152CDF">
        <w:rPr>
          <w:lang w:val="es-ES_tradnl"/>
        </w:rPr>
        <w:t>a nivel central y local</w:t>
      </w:r>
      <w:r w:rsidR="00AE7E7F">
        <w:rPr>
          <w:lang w:val="es-ES_tradnl"/>
        </w:rPr>
        <w:t>: (</w:t>
      </w:r>
      <w:r w:rsidR="00D65456">
        <w:rPr>
          <w:lang w:val="es-ES_tradnl"/>
        </w:rPr>
        <w:t>i</w:t>
      </w:r>
      <w:r w:rsidR="00AE7E7F">
        <w:rPr>
          <w:lang w:val="es-ES_tradnl"/>
        </w:rPr>
        <w:t xml:space="preserve">) fortalecer </w:t>
      </w:r>
      <w:r w:rsidRPr="00152CDF">
        <w:rPr>
          <w:lang w:val="es-ES_tradnl"/>
        </w:rPr>
        <w:t xml:space="preserve">y/o </w:t>
      </w:r>
      <w:r w:rsidR="00AE7E7F">
        <w:rPr>
          <w:lang w:val="es-ES_tradnl"/>
        </w:rPr>
        <w:t xml:space="preserve">crear </w:t>
      </w:r>
      <w:r w:rsidRPr="00152CDF">
        <w:rPr>
          <w:lang w:val="es-ES_tradnl"/>
        </w:rPr>
        <w:t xml:space="preserve">capacidades de liderazgo y </w:t>
      </w:r>
      <w:r w:rsidR="00AE7E7F">
        <w:rPr>
          <w:lang w:val="es-ES_tradnl"/>
        </w:rPr>
        <w:t xml:space="preserve">fortalecer </w:t>
      </w:r>
      <w:r w:rsidR="00AE7E7F" w:rsidRPr="00152CDF">
        <w:rPr>
          <w:lang w:val="es-ES_tradnl"/>
        </w:rPr>
        <w:t xml:space="preserve">y/o </w:t>
      </w:r>
      <w:r w:rsidR="00AE7E7F">
        <w:rPr>
          <w:lang w:val="es-ES_tradnl"/>
        </w:rPr>
        <w:t xml:space="preserve">crear </w:t>
      </w:r>
      <w:r w:rsidR="00AE7E7F" w:rsidRPr="00152CDF">
        <w:rPr>
          <w:lang w:val="es-ES_tradnl"/>
        </w:rPr>
        <w:t>capacidades</w:t>
      </w:r>
      <w:r w:rsidR="00AE7E7F">
        <w:rPr>
          <w:lang w:val="es-ES_tradnl"/>
        </w:rPr>
        <w:t>;</w:t>
      </w:r>
      <w:r w:rsidR="00AE7E7F" w:rsidRPr="00152CDF">
        <w:rPr>
          <w:lang w:val="es-ES_tradnl"/>
        </w:rPr>
        <w:t xml:space="preserve"> </w:t>
      </w:r>
      <w:r w:rsidR="00AE7E7F">
        <w:rPr>
          <w:lang w:val="es-ES_tradnl"/>
        </w:rPr>
        <w:t>(</w:t>
      </w:r>
      <w:r w:rsidR="00D65456">
        <w:rPr>
          <w:lang w:val="es-ES_tradnl"/>
        </w:rPr>
        <w:t>2</w:t>
      </w:r>
      <w:r w:rsidR="00AE7E7F">
        <w:rPr>
          <w:lang w:val="es-ES_tradnl"/>
        </w:rPr>
        <w:t xml:space="preserve">) fortalecer y crear capacidades de </w:t>
      </w:r>
      <w:r w:rsidRPr="00152CDF">
        <w:rPr>
          <w:lang w:val="es-ES_tradnl"/>
        </w:rPr>
        <w:t>soporte técnico-pedagógico</w:t>
      </w:r>
      <w:r w:rsidR="003F129C" w:rsidRPr="00152CDF">
        <w:rPr>
          <w:lang w:val="es-ES_tradnl"/>
        </w:rPr>
        <w:t xml:space="preserve">. </w:t>
      </w:r>
      <w:r w:rsidR="00F66669" w:rsidRPr="00152CDF">
        <w:rPr>
          <w:lang w:val="es-ES_tradnl"/>
        </w:rPr>
        <w:t xml:space="preserve">El programa comprende </w:t>
      </w:r>
      <w:r w:rsidR="00163CAA" w:rsidRPr="00152CDF">
        <w:rPr>
          <w:lang w:val="es-ES_tradnl"/>
        </w:rPr>
        <w:t xml:space="preserve">dos </w:t>
      </w:r>
      <w:r w:rsidR="00F66669" w:rsidRPr="00152CDF">
        <w:rPr>
          <w:lang w:val="es-ES_tradnl"/>
        </w:rPr>
        <w:t>componentes</w:t>
      </w:r>
      <w:r w:rsidR="00163CAA" w:rsidRPr="00152CDF">
        <w:rPr>
          <w:lang w:val="es-ES_tradnl"/>
        </w:rPr>
        <w:t xml:space="preserve"> fundamentales:</w:t>
      </w:r>
    </w:p>
    <w:p w14:paraId="2341A0A1" w14:textId="77777777" w:rsidR="00362931" w:rsidRPr="00362931" w:rsidRDefault="00362931" w:rsidP="00362931">
      <w:pPr>
        <w:spacing w:after="0"/>
        <w:rPr>
          <w:lang w:val="es-ES_tradnl"/>
        </w:rPr>
      </w:pPr>
    </w:p>
    <w:p w14:paraId="1E8F6314" w14:textId="54392168" w:rsidR="00163CAA" w:rsidRPr="00152CDF" w:rsidRDefault="00D01EED" w:rsidP="00362931">
      <w:pPr>
        <w:pStyle w:val="ListParagraph"/>
        <w:numPr>
          <w:ilvl w:val="0"/>
          <w:numId w:val="8"/>
        </w:numPr>
        <w:spacing w:after="0" w:line="240" w:lineRule="auto"/>
        <w:jc w:val="both"/>
        <w:rPr>
          <w:rFonts w:ascii="Arial" w:eastAsia="Times New Roman" w:hAnsi="Arial" w:cs="Arial"/>
          <w:b/>
          <w:bCs/>
          <w:color w:val="000000"/>
          <w:lang w:val="es-ES_tradnl" w:eastAsia="es-CL"/>
        </w:rPr>
      </w:pPr>
      <w:r w:rsidRPr="00152CDF">
        <w:rPr>
          <w:rFonts w:ascii="Arial" w:hAnsi="Arial" w:cs="Arial"/>
          <w:b/>
          <w:bCs/>
          <w:lang w:val="es-ES_tradnl"/>
        </w:rPr>
        <w:t>Componente I.</w:t>
      </w:r>
      <w:r w:rsidRPr="00152CDF">
        <w:rPr>
          <w:rFonts w:ascii="Arial" w:hAnsi="Arial" w:cs="Arial"/>
          <w:lang w:val="es-ES_tradnl"/>
        </w:rPr>
        <w:t xml:space="preserve"> </w:t>
      </w:r>
      <w:r w:rsidR="00DE0D86" w:rsidRPr="00152CDF">
        <w:rPr>
          <w:rFonts w:ascii="Arial" w:hAnsi="Arial" w:cs="Arial"/>
          <w:b/>
          <w:bCs/>
          <w:lang w:val="es-ES_tradnl"/>
        </w:rPr>
        <w:t>Liderazgo y gestión del sistema educativo</w:t>
      </w:r>
      <w:r w:rsidR="002307E8" w:rsidRPr="00152CDF">
        <w:rPr>
          <w:rFonts w:ascii="Arial" w:hAnsi="Arial" w:cs="Arial"/>
          <w:b/>
          <w:bCs/>
          <w:lang w:val="es-ES_tradnl"/>
        </w:rPr>
        <w:t xml:space="preserve"> (US</w:t>
      </w:r>
      <w:r w:rsidR="008579D0" w:rsidRPr="00152CDF">
        <w:rPr>
          <w:rFonts w:ascii="Arial" w:hAnsi="Arial" w:cs="Arial"/>
          <w:b/>
          <w:bCs/>
          <w:lang w:val="es-ES_tradnl"/>
        </w:rPr>
        <w:t xml:space="preserve">$ </w:t>
      </w:r>
      <w:r w:rsidR="00F6538E">
        <w:rPr>
          <w:rFonts w:ascii="Arial" w:eastAsia="Times New Roman" w:hAnsi="Arial" w:cs="Arial"/>
          <w:b/>
          <w:bCs/>
          <w:color w:val="000000"/>
          <w:lang w:val="es-ES_tradnl" w:eastAsia="es-CL"/>
        </w:rPr>
        <w:t>31</w:t>
      </w:r>
      <w:r w:rsidR="00EE016C" w:rsidRPr="00152CDF">
        <w:rPr>
          <w:rFonts w:ascii="Arial" w:eastAsia="Times New Roman" w:hAnsi="Arial" w:cs="Arial"/>
          <w:b/>
          <w:bCs/>
          <w:color w:val="000000"/>
          <w:lang w:val="es-ES_tradnl" w:eastAsia="es-CL"/>
        </w:rPr>
        <w:t>.</w:t>
      </w:r>
      <w:r w:rsidR="00F6538E">
        <w:rPr>
          <w:rFonts w:ascii="Arial" w:eastAsia="Times New Roman" w:hAnsi="Arial" w:cs="Arial"/>
          <w:b/>
          <w:bCs/>
          <w:color w:val="000000"/>
          <w:lang w:val="es-ES_tradnl" w:eastAsia="es-CL"/>
        </w:rPr>
        <w:t>750</w:t>
      </w:r>
      <w:r w:rsidR="00EE016C" w:rsidRPr="00152CDF">
        <w:rPr>
          <w:rFonts w:ascii="Arial" w:eastAsia="Times New Roman" w:hAnsi="Arial" w:cs="Arial"/>
          <w:b/>
          <w:bCs/>
          <w:color w:val="000000"/>
          <w:lang w:val="es-ES_tradnl" w:eastAsia="es-CL"/>
        </w:rPr>
        <w:t>.000</w:t>
      </w:r>
      <w:r w:rsidR="008579D0" w:rsidRPr="00152CDF">
        <w:rPr>
          <w:rFonts w:ascii="Arial" w:eastAsia="Times New Roman" w:hAnsi="Arial" w:cs="Arial"/>
          <w:b/>
          <w:bCs/>
          <w:color w:val="000000"/>
          <w:lang w:val="es-ES_tradnl" w:eastAsia="es-CL"/>
        </w:rPr>
        <w:t>)</w:t>
      </w:r>
      <w:r w:rsidRPr="00152CDF">
        <w:rPr>
          <w:rFonts w:ascii="Arial" w:hAnsi="Arial" w:cs="Arial"/>
          <w:b/>
          <w:bCs/>
          <w:lang w:val="es-ES_tradnl"/>
        </w:rPr>
        <w:t>.</w:t>
      </w:r>
      <w:r w:rsidR="00D868CB" w:rsidRPr="00152CDF">
        <w:rPr>
          <w:rFonts w:ascii="Arial" w:hAnsi="Arial" w:cs="Arial"/>
          <w:b/>
          <w:bCs/>
          <w:lang w:val="es-ES_tradnl"/>
        </w:rPr>
        <w:t xml:space="preserve"> </w:t>
      </w:r>
      <w:r w:rsidR="00D868CB" w:rsidRPr="00152CDF">
        <w:rPr>
          <w:rFonts w:ascii="Arial" w:hAnsi="Arial" w:cs="Arial"/>
          <w:lang w:val="es-ES_tradnl"/>
        </w:rPr>
        <w:t xml:space="preserve">Este componente está orientado a preparar el proceso de transición hacia una nueva institucionalidad a nivel local, fortaleciendo capacidades </w:t>
      </w:r>
      <w:r w:rsidR="00B027FC" w:rsidRPr="00152CDF">
        <w:rPr>
          <w:rFonts w:ascii="Arial" w:hAnsi="Arial" w:cs="Arial"/>
          <w:lang w:val="es-ES_tradnl"/>
        </w:rPr>
        <w:t>y apoyando la</w:t>
      </w:r>
      <w:r w:rsidR="00D868CB" w:rsidRPr="00152CDF">
        <w:rPr>
          <w:rFonts w:ascii="Arial" w:hAnsi="Arial" w:cs="Arial"/>
          <w:lang w:val="es-ES_tradnl"/>
        </w:rPr>
        <w:t xml:space="preserve"> </w:t>
      </w:r>
      <w:r w:rsidR="00B027FC" w:rsidRPr="00152CDF">
        <w:rPr>
          <w:rFonts w:ascii="Arial" w:hAnsi="Arial" w:cs="Arial"/>
          <w:lang w:val="es-ES_tradnl"/>
        </w:rPr>
        <w:t xml:space="preserve">instalación de los </w:t>
      </w:r>
      <w:r w:rsidR="00480F06" w:rsidRPr="00152CDF">
        <w:rPr>
          <w:rFonts w:ascii="Arial" w:hAnsi="Arial" w:cs="Arial"/>
          <w:lang w:val="es-ES_tradnl"/>
        </w:rPr>
        <w:t>Servicios Locales de Educación Pública</w:t>
      </w:r>
      <w:r w:rsidR="00307D71" w:rsidRPr="00152CDF">
        <w:rPr>
          <w:rFonts w:ascii="Arial" w:hAnsi="Arial" w:cs="Arial"/>
          <w:lang w:val="es-ES_tradnl"/>
        </w:rPr>
        <w:t xml:space="preserve"> (</w:t>
      </w:r>
      <w:proofErr w:type="spellStart"/>
      <w:r w:rsidR="00307D71" w:rsidRPr="00152CDF">
        <w:rPr>
          <w:rFonts w:ascii="Arial" w:hAnsi="Arial" w:cs="Arial"/>
          <w:lang w:val="es-ES_tradnl"/>
        </w:rPr>
        <w:t>SLEP</w:t>
      </w:r>
      <w:proofErr w:type="spellEnd"/>
      <w:r w:rsidR="00307D71" w:rsidRPr="00152CDF">
        <w:rPr>
          <w:rFonts w:ascii="Arial" w:hAnsi="Arial" w:cs="Arial"/>
          <w:lang w:val="es-ES_tradnl"/>
        </w:rPr>
        <w:t>)</w:t>
      </w:r>
      <w:r w:rsidR="00D868CB" w:rsidRPr="00152CDF">
        <w:rPr>
          <w:rFonts w:ascii="Arial" w:hAnsi="Arial" w:cs="Arial"/>
          <w:lang w:val="es-ES_tradnl"/>
        </w:rPr>
        <w:t>.</w:t>
      </w:r>
      <w:r w:rsidRPr="00152CDF">
        <w:rPr>
          <w:rFonts w:ascii="Arial" w:hAnsi="Arial" w:cs="Arial"/>
          <w:lang w:val="es-ES_tradnl"/>
        </w:rPr>
        <w:t xml:space="preserve"> El objetivo de este componente es </w:t>
      </w:r>
      <w:r w:rsidR="00471852" w:rsidRPr="00152CDF">
        <w:rPr>
          <w:rFonts w:ascii="Arial" w:hAnsi="Arial" w:cs="Arial"/>
          <w:lang w:val="es-ES_tradnl"/>
        </w:rPr>
        <w:t>potenciar el liderazgo</w:t>
      </w:r>
      <w:r w:rsidRPr="00152CDF">
        <w:rPr>
          <w:rFonts w:ascii="Arial" w:hAnsi="Arial" w:cs="Arial"/>
          <w:lang w:val="es-ES_tradnl"/>
        </w:rPr>
        <w:t xml:space="preserve"> de</w:t>
      </w:r>
      <w:r w:rsidR="00DE0D86" w:rsidRPr="00152CDF">
        <w:rPr>
          <w:rFonts w:ascii="Arial" w:hAnsi="Arial" w:cs="Arial"/>
          <w:lang w:val="es-ES_tradnl"/>
        </w:rPr>
        <w:t xml:space="preserve"> la Dirección de Educación Pública (DEP)</w:t>
      </w:r>
      <w:r w:rsidR="00471852" w:rsidRPr="00152CDF">
        <w:rPr>
          <w:rFonts w:ascii="Arial" w:hAnsi="Arial" w:cs="Arial"/>
          <w:lang w:val="es-ES_tradnl"/>
        </w:rPr>
        <w:t xml:space="preserve"> en su gestión</w:t>
      </w:r>
      <w:r w:rsidR="00D868CB" w:rsidRPr="00152CDF">
        <w:rPr>
          <w:rFonts w:ascii="Arial" w:hAnsi="Arial" w:cs="Arial"/>
          <w:lang w:val="es-ES_tradnl"/>
        </w:rPr>
        <w:t xml:space="preserve"> de</w:t>
      </w:r>
      <w:r w:rsidR="00471852" w:rsidRPr="00152CDF">
        <w:rPr>
          <w:rFonts w:ascii="Arial" w:hAnsi="Arial" w:cs="Arial"/>
          <w:lang w:val="es-ES_tradnl"/>
        </w:rPr>
        <w:t xml:space="preserve"> instalación y preparación </w:t>
      </w:r>
      <w:r w:rsidR="00D868CB" w:rsidRPr="00152CDF">
        <w:rPr>
          <w:rFonts w:ascii="Arial" w:hAnsi="Arial" w:cs="Arial"/>
          <w:lang w:val="es-ES_tradnl"/>
        </w:rPr>
        <w:t>para el</w:t>
      </w:r>
      <w:r w:rsidR="00471852" w:rsidRPr="00152CDF">
        <w:rPr>
          <w:rFonts w:ascii="Arial" w:hAnsi="Arial" w:cs="Arial"/>
          <w:lang w:val="es-ES_tradnl"/>
        </w:rPr>
        <w:t xml:space="preserve"> traspaso</w:t>
      </w:r>
      <w:r w:rsidR="00D868CB" w:rsidRPr="00152CDF">
        <w:rPr>
          <w:rFonts w:ascii="Arial" w:hAnsi="Arial" w:cs="Arial"/>
          <w:lang w:val="es-ES_tradnl"/>
        </w:rPr>
        <w:t xml:space="preserve"> del servicio educacional de los municipios a</w:t>
      </w:r>
      <w:r w:rsidR="00471852" w:rsidRPr="00152CDF">
        <w:rPr>
          <w:rFonts w:ascii="Arial" w:hAnsi="Arial" w:cs="Arial"/>
          <w:lang w:val="es-ES_tradnl"/>
        </w:rPr>
        <w:t xml:space="preserve"> los </w:t>
      </w:r>
      <w:proofErr w:type="spellStart"/>
      <w:r w:rsidR="00471852" w:rsidRPr="00152CDF">
        <w:rPr>
          <w:rFonts w:ascii="Arial" w:hAnsi="Arial" w:cs="Arial"/>
          <w:lang w:val="es-ES_tradnl"/>
        </w:rPr>
        <w:t>SLEPs</w:t>
      </w:r>
      <w:proofErr w:type="spellEnd"/>
      <w:r w:rsidRPr="00152CDF">
        <w:rPr>
          <w:rFonts w:ascii="Arial" w:hAnsi="Arial" w:cs="Arial"/>
          <w:lang w:val="es-ES_tradnl"/>
        </w:rPr>
        <w:t>.</w:t>
      </w:r>
      <w:r w:rsidR="002D1E78" w:rsidRPr="00152CDF">
        <w:rPr>
          <w:rFonts w:ascii="Arial" w:hAnsi="Arial" w:cs="Arial"/>
          <w:lang w:val="es-ES_tradnl"/>
        </w:rPr>
        <w:t xml:space="preserve"> Para alcanzar e</w:t>
      </w:r>
      <w:r w:rsidR="002F2B9D" w:rsidRPr="00152CDF">
        <w:rPr>
          <w:rFonts w:ascii="Arial" w:hAnsi="Arial" w:cs="Arial"/>
          <w:lang w:val="es-ES_tradnl"/>
        </w:rPr>
        <w:t>ste</w:t>
      </w:r>
      <w:r w:rsidR="002D1E78" w:rsidRPr="00152CDF">
        <w:rPr>
          <w:rFonts w:ascii="Arial" w:hAnsi="Arial" w:cs="Arial"/>
          <w:lang w:val="es-ES_tradnl"/>
        </w:rPr>
        <w:t xml:space="preserve"> </w:t>
      </w:r>
      <w:r w:rsidR="00AF47E7" w:rsidRPr="00152CDF">
        <w:rPr>
          <w:rFonts w:ascii="Arial" w:hAnsi="Arial" w:cs="Arial"/>
          <w:lang w:val="es-ES_tradnl"/>
        </w:rPr>
        <w:t xml:space="preserve">objetivo </w:t>
      </w:r>
      <w:r w:rsidR="002D1E78" w:rsidRPr="00152CDF">
        <w:rPr>
          <w:rFonts w:ascii="Arial" w:hAnsi="Arial" w:cs="Arial"/>
          <w:lang w:val="es-ES_tradnl"/>
        </w:rPr>
        <w:t xml:space="preserve">serán financiados </w:t>
      </w:r>
      <w:r w:rsidR="00471852" w:rsidRPr="00152CDF">
        <w:rPr>
          <w:rFonts w:ascii="Arial" w:hAnsi="Arial" w:cs="Arial"/>
          <w:lang w:val="es-ES_tradnl"/>
        </w:rPr>
        <w:t xml:space="preserve">cuatro subcomponentes: </w:t>
      </w:r>
      <w:r w:rsidR="00D65456">
        <w:rPr>
          <w:rFonts w:ascii="Arial" w:hAnsi="Arial" w:cs="Arial"/>
          <w:lang w:val="es-ES_tradnl"/>
        </w:rPr>
        <w:t>(</w:t>
      </w:r>
      <w:r w:rsidR="00471852" w:rsidRPr="00152CDF">
        <w:rPr>
          <w:rFonts w:ascii="Arial" w:hAnsi="Arial" w:cs="Arial"/>
          <w:lang w:val="es-ES_tradnl"/>
        </w:rPr>
        <w:t>i) Instalación y fortalecimiento institucional de la DEP</w:t>
      </w:r>
      <w:r w:rsidR="00D65456">
        <w:rPr>
          <w:rFonts w:ascii="Arial" w:hAnsi="Arial" w:cs="Arial"/>
          <w:lang w:val="es-ES_tradnl"/>
        </w:rPr>
        <w:t>;</w:t>
      </w:r>
      <w:r w:rsidR="00471852" w:rsidRPr="00152CDF">
        <w:rPr>
          <w:rFonts w:ascii="Arial" w:hAnsi="Arial" w:cs="Arial"/>
          <w:lang w:val="es-ES_tradnl"/>
        </w:rPr>
        <w:t xml:space="preserve"> </w:t>
      </w:r>
      <w:r w:rsidR="00D65456">
        <w:rPr>
          <w:rFonts w:ascii="Arial" w:hAnsi="Arial" w:cs="Arial"/>
          <w:lang w:val="es-ES_tradnl"/>
        </w:rPr>
        <w:t>(</w:t>
      </w:r>
      <w:proofErr w:type="spellStart"/>
      <w:r w:rsidR="00471852" w:rsidRPr="00152CDF">
        <w:rPr>
          <w:rFonts w:ascii="Arial" w:hAnsi="Arial" w:cs="Arial"/>
          <w:lang w:val="es-ES_tradnl"/>
        </w:rPr>
        <w:t>ii</w:t>
      </w:r>
      <w:proofErr w:type="spellEnd"/>
      <w:r w:rsidR="00471852" w:rsidRPr="00152CDF">
        <w:rPr>
          <w:rFonts w:ascii="Arial" w:hAnsi="Arial" w:cs="Arial"/>
          <w:lang w:val="es-ES_tradnl"/>
        </w:rPr>
        <w:t xml:space="preserve">) Preparación del traspaso del servicio educativo en municipios que </w:t>
      </w:r>
      <w:r w:rsidR="0086277F">
        <w:rPr>
          <w:rFonts w:ascii="Arial" w:hAnsi="Arial" w:cs="Arial"/>
          <w:lang w:val="es-ES_tradnl"/>
        </w:rPr>
        <w:t>van a convertirse</w:t>
      </w:r>
      <w:r w:rsidR="00471852" w:rsidRPr="00152CDF">
        <w:rPr>
          <w:rFonts w:ascii="Arial" w:hAnsi="Arial" w:cs="Arial"/>
          <w:lang w:val="es-ES_tradnl"/>
        </w:rPr>
        <w:t xml:space="preserve"> </w:t>
      </w:r>
      <w:r w:rsidR="0086277F">
        <w:rPr>
          <w:rFonts w:ascii="Arial" w:hAnsi="Arial" w:cs="Arial"/>
          <w:lang w:val="es-ES_tradnl"/>
        </w:rPr>
        <w:t>en</w:t>
      </w:r>
      <w:r w:rsidR="00471852" w:rsidRPr="00152CDF">
        <w:rPr>
          <w:rFonts w:ascii="Arial" w:hAnsi="Arial" w:cs="Arial"/>
          <w:lang w:val="es-ES_tradnl"/>
        </w:rPr>
        <w:t xml:space="preserve"> </w:t>
      </w:r>
      <w:proofErr w:type="spellStart"/>
      <w:r w:rsidR="00471852" w:rsidRPr="00152CDF">
        <w:rPr>
          <w:rFonts w:ascii="Arial" w:hAnsi="Arial" w:cs="Arial"/>
          <w:lang w:val="es-ES_tradnl"/>
        </w:rPr>
        <w:t>SLEPs</w:t>
      </w:r>
      <w:proofErr w:type="spellEnd"/>
      <w:r w:rsidR="00D65456">
        <w:rPr>
          <w:rFonts w:ascii="Arial" w:hAnsi="Arial" w:cs="Arial"/>
          <w:lang w:val="es-ES_tradnl"/>
        </w:rPr>
        <w:t>;</w:t>
      </w:r>
      <w:r w:rsidR="00471852" w:rsidRPr="00152CDF">
        <w:rPr>
          <w:rFonts w:ascii="Arial" w:hAnsi="Arial" w:cs="Arial"/>
          <w:lang w:val="es-ES_tradnl"/>
        </w:rPr>
        <w:t xml:space="preserve"> </w:t>
      </w:r>
      <w:r w:rsidR="00D65456">
        <w:rPr>
          <w:rFonts w:ascii="Arial" w:hAnsi="Arial" w:cs="Arial"/>
          <w:lang w:val="es-ES_tradnl"/>
        </w:rPr>
        <w:t>(</w:t>
      </w:r>
      <w:proofErr w:type="spellStart"/>
      <w:r w:rsidR="00471852" w:rsidRPr="00152CDF">
        <w:rPr>
          <w:rFonts w:ascii="Arial" w:hAnsi="Arial" w:cs="Arial"/>
          <w:lang w:val="es-ES_tradnl"/>
        </w:rPr>
        <w:t>iii</w:t>
      </w:r>
      <w:proofErr w:type="spellEnd"/>
      <w:r w:rsidR="00471852" w:rsidRPr="00152CDF">
        <w:rPr>
          <w:rFonts w:ascii="Arial" w:hAnsi="Arial" w:cs="Arial"/>
          <w:lang w:val="es-ES_tradnl"/>
        </w:rPr>
        <w:t xml:space="preserve">) instalación de los </w:t>
      </w:r>
      <w:proofErr w:type="spellStart"/>
      <w:r w:rsidR="00471852" w:rsidRPr="00152CDF">
        <w:rPr>
          <w:rFonts w:ascii="Arial" w:hAnsi="Arial" w:cs="Arial"/>
          <w:lang w:val="es-ES_tradnl"/>
        </w:rPr>
        <w:t>SLEPs</w:t>
      </w:r>
      <w:proofErr w:type="spellEnd"/>
      <w:r w:rsidR="00D65456">
        <w:rPr>
          <w:rFonts w:ascii="Arial" w:hAnsi="Arial" w:cs="Arial"/>
          <w:lang w:val="es-ES_tradnl"/>
        </w:rPr>
        <w:t>;</w:t>
      </w:r>
      <w:r w:rsidR="00471852" w:rsidRPr="00152CDF">
        <w:rPr>
          <w:rFonts w:ascii="Arial" w:hAnsi="Arial" w:cs="Arial"/>
          <w:lang w:val="es-ES_tradnl"/>
        </w:rPr>
        <w:t xml:space="preserve"> y </w:t>
      </w:r>
      <w:r w:rsidR="00D65456">
        <w:rPr>
          <w:rFonts w:ascii="Arial" w:hAnsi="Arial" w:cs="Arial"/>
          <w:lang w:val="es-ES_tradnl"/>
        </w:rPr>
        <w:t>(</w:t>
      </w:r>
      <w:proofErr w:type="spellStart"/>
      <w:r w:rsidR="00471852" w:rsidRPr="00152CDF">
        <w:rPr>
          <w:rFonts w:ascii="Arial" w:hAnsi="Arial" w:cs="Arial"/>
          <w:lang w:val="es-ES_tradnl"/>
        </w:rPr>
        <w:t>iv</w:t>
      </w:r>
      <w:proofErr w:type="spellEnd"/>
      <w:r w:rsidR="00471852" w:rsidRPr="00152CDF">
        <w:rPr>
          <w:rFonts w:ascii="Arial" w:hAnsi="Arial" w:cs="Arial"/>
          <w:lang w:val="es-ES_tradnl"/>
        </w:rPr>
        <w:t xml:space="preserve">) Gestión y liderazgo de los </w:t>
      </w:r>
      <w:proofErr w:type="spellStart"/>
      <w:r w:rsidR="00471852" w:rsidRPr="00152CDF">
        <w:rPr>
          <w:rFonts w:ascii="Arial" w:hAnsi="Arial" w:cs="Arial"/>
          <w:lang w:val="es-ES_tradnl"/>
        </w:rPr>
        <w:t>SLEPs</w:t>
      </w:r>
      <w:proofErr w:type="spellEnd"/>
      <w:r w:rsidR="00471852" w:rsidRPr="00152CDF">
        <w:rPr>
          <w:rFonts w:ascii="Arial" w:hAnsi="Arial" w:cs="Arial"/>
          <w:lang w:val="es-ES_tradnl"/>
        </w:rPr>
        <w:t>.</w:t>
      </w:r>
      <w:r w:rsidRPr="00152CDF">
        <w:rPr>
          <w:rFonts w:ascii="Arial" w:hAnsi="Arial" w:cs="Arial"/>
          <w:lang w:val="es-ES_tradnl"/>
        </w:rPr>
        <w:t xml:space="preserve"> </w:t>
      </w:r>
    </w:p>
    <w:p w14:paraId="640CAEBD" w14:textId="4F20F828" w:rsidR="003D3E4B" w:rsidRDefault="003D3E4B" w:rsidP="00362931">
      <w:pPr>
        <w:pStyle w:val="ListParagraph"/>
        <w:numPr>
          <w:ilvl w:val="0"/>
          <w:numId w:val="8"/>
        </w:numPr>
        <w:spacing w:after="0" w:line="240" w:lineRule="auto"/>
        <w:jc w:val="both"/>
        <w:rPr>
          <w:rFonts w:ascii="Arial" w:hAnsi="Arial" w:cs="Arial"/>
          <w:lang w:val="es-ES_tradnl"/>
        </w:rPr>
      </w:pPr>
      <w:r w:rsidRPr="00167A55">
        <w:rPr>
          <w:rFonts w:ascii="Arial" w:hAnsi="Arial" w:cs="Arial"/>
          <w:b/>
          <w:bCs/>
          <w:lang w:val="pt-BR"/>
        </w:rPr>
        <w:t xml:space="preserve">Componente II. </w:t>
      </w:r>
      <w:proofErr w:type="spellStart"/>
      <w:r w:rsidR="008579D0" w:rsidRPr="007D2E0F">
        <w:rPr>
          <w:rFonts w:ascii="Arial" w:hAnsi="Arial" w:cs="Arial"/>
          <w:b/>
          <w:lang w:val="pt-BR"/>
        </w:rPr>
        <w:t>Soporte</w:t>
      </w:r>
      <w:proofErr w:type="spellEnd"/>
      <w:r w:rsidR="008579D0" w:rsidRPr="007D2E0F">
        <w:rPr>
          <w:rFonts w:ascii="Arial" w:hAnsi="Arial" w:cs="Arial"/>
          <w:b/>
          <w:lang w:val="pt-BR"/>
        </w:rPr>
        <w:t xml:space="preserve"> Técnico Pedagógico (US$ </w:t>
      </w:r>
      <w:r w:rsidR="00F6538E" w:rsidRPr="007D2E0F">
        <w:rPr>
          <w:rFonts w:ascii="Arial" w:hAnsi="Arial" w:cs="Arial"/>
          <w:b/>
          <w:lang w:val="pt-BR"/>
        </w:rPr>
        <w:t>18.2</w:t>
      </w:r>
      <w:r w:rsidR="00EE016C" w:rsidRPr="007D2E0F">
        <w:rPr>
          <w:rFonts w:ascii="Arial" w:hAnsi="Arial" w:cs="Arial"/>
          <w:b/>
          <w:lang w:val="pt-BR"/>
        </w:rPr>
        <w:t>50.000</w:t>
      </w:r>
      <w:r w:rsidR="008579D0" w:rsidRPr="007D2E0F">
        <w:rPr>
          <w:rFonts w:ascii="Arial" w:hAnsi="Arial" w:cs="Arial"/>
          <w:b/>
          <w:lang w:val="pt-BR"/>
        </w:rPr>
        <w:t>)</w:t>
      </w:r>
      <w:r w:rsidRPr="007D2E0F">
        <w:rPr>
          <w:rFonts w:ascii="Arial" w:hAnsi="Arial" w:cs="Arial"/>
          <w:lang w:val="pt-BR"/>
        </w:rPr>
        <w:t xml:space="preserve">. </w:t>
      </w:r>
      <w:r w:rsidR="002D1E78" w:rsidRPr="00152CDF">
        <w:rPr>
          <w:rFonts w:ascii="Arial" w:hAnsi="Arial" w:cs="Arial"/>
          <w:lang w:val="es-ES_tradnl"/>
        </w:rPr>
        <w:t xml:space="preserve">Este </w:t>
      </w:r>
      <w:r w:rsidR="003466B8" w:rsidRPr="00152CDF">
        <w:rPr>
          <w:rFonts w:ascii="Arial" w:hAnsi="Arial" w:cs="Arial"/>
          <w:lang w:val="es-ES_tradnl"/>
        </w:rPr>
        <w:t xml:space="preserve">componente </w:t>
      </w:r>
      <w:r w:rsidR="00BC2EDB" w:rsidRPr="00152CDF">
        <w:rPr>
          <w:rFonts w:ascii="Arial" w:hAnsi="Arial" w:cs="Arial"/>
          <w:lang w:val="es-ES_tradnl"/>
        </w:rPr>
        <w:t xml:space="preserve">busca </w:t>
      </w:r>
      <w:r w:rsidR="00274AC3" w:rsidRPr="00152CDF">
        <w:rPr>
          <w:rFonts w:ascii="Arial" w:hAnsi="Arial" w:cs="Arial"/>
          <w:lang w:val="es-ES_tradnl"/>
        </w:rPr>
        <w:t xml:space="preserve">potenciar la </w:t>
      </w:r>
      <w:r w:rsidR="00965099" w:rsidRPr="00152CDF">
        <w:rPr>
          <w:rFonts w:ascii="Arial" w:hAnsi="Arial" w:cs="Arial"/>
          <w:lang w:val="es-ES_tradnl"/>
        </w:rPr>
        <w:t>mejora educativa</w:t>
      </w:r>
      <w:r w:rsidR="0085344E" w:rsidRPr="00152CDF">
        <w:rPr>
          <w:rFonts w:ascii="Arial" w:hAnsi="Arial" w:cs="Arial"/>
          <w:lang w:val="es-ES_tradnl"/>
        </w:rPr>
        <w:t xml:space="preserve"> de los centros educativos públicos</w:t>
      </w:r>
      <w:r w:rsidR="00965099" w:rsidRPr="00152CDF">
        <w:rPr>
          <w:rFonts w:ascii="Arial" w:hAnsi="Arial" w:cs="Arial"/>
          <w:lang w:val="es-ES_tradnl"/>
        </w:rPr>
        <w:t xml:space="preserve"> a través de</w:t>
      </w:r>
      <w:r w:rsidR="007E72B0" w:rsidRPr="00152CDF">
        <w:rPr>
          <w:rFonts w:ascii="Arial" w:hAnsi="Arial" w:cs="Arial"/>
          <w:lang w:val="es-ES_tradnl"/>
        </w:rPr>
        <w:t xml:space="preserve"> la</w:t>
      </w:r>
      <w:r w:rsidR="003466B8" w:rsidRPr="00152CDF">
        <w:rPr>
          <w:rFonts w:ascii="Arial" w:hAnsi="Arial" w:cs="Arial"/>
          <w:lang w:val="es-ES_tradnl"/>
        </w:rPr>
        <w:t xml:space="preserve"> implementación de</w:t>
      </w:r>
      <w:r w:rsidR="0085344E" w:rsidRPr="00152CDF">
        <w:rPr>
          <w:rFonts w:ascii="Arial" w:hAnsi="Arial" w:cs="Arial"/>
          <w:lang w:val="es-ES_tradnl"/>
        </w:rPr>
        <w:t xml:space="preserve"> </w:t>
      </w:r>
      <w:r w:rsidR="00274AC3" w:rsidRPr="00152CDF">
        <w:rPr>
          <w:rFonts w:ascii="Arial" w:hAnsi="Arial" w:cs="Arial"/>
          <w:lang w:val="es-ES_tradnl"/>
        </w:rPr>
        <w:t xml:space="preserve">soporte </w:t>
      </w:r>
      <w:r w:rsidR="003466B8" w:rsidRPr="00152CDF">
        <w:rPr>
          <w:rFonts w:ascii="Arial" w:hAnsi="Arial" w:cs="Arial"/>
          <w:lang w:val="es-ES_tradnl"/>
        </w:rPr>
        <w:t xml:space="preserve">técnico pedagógico </w:t>
      </w:r>
      <w:r w:rsidR="0085344E" w:rsidRPr="00152CDF">
        <w:rPr>
          <w:rFonts w:ascii="Arial" w:hAnsi="Arial" w:cs="Arial"/>
          <w:lang w:val="es-ES_tradnl"/>
        </w:rPr>
        <w:t xml:space="preserve">de la DEP </w:t>
      </w:r>
      <w:r w:rsidR="004677B3" w:rsidRPr="00152CDF">
        <w:rPr>
          <w:rFonts w:ascii="Arial" w:hAnsi="Arial" w:cs="Arial"/>
          <w:lang w:val="es-ES_tradnl"/>
        </w:rPr>
        <w:t xml:space="preserve">a </w:t>
      </w:r>
      <w:r w:rsidR="003466B8" w:rsidRPr="00152CDF">
        <w:rPr>
          <w:rFonts w:ascii="Arial" w:hAnsi="Arial" w:cs="Arial"/>
          <w:lang w:val="es-ES_tradnl"/>
        </w:rPr>
        <w:t xml:space="preserve">los </w:t>
      </w:r>
      <w:proofErr w:type="spellStart"/>
      <w:r w:rsidR="003466B8" w:rsidRPr="00152CDF">
        <w:rPr>
          <w:rFonts w:ascii="Arial" w:hAnsi="Arial" w:cs="Arial"/>
          <w:lang w:val="es-ES_tradnl"/>
        </w:rPr>
        <w:t>SLEPs</w:t>
      </w:r>
      <w:proofErr w:type="spellEnd"/>
      <w:r w:rsidR="003466B8" w:rsidRPr="00152CDF">
        <w:rPr>
          <w:rFonts w:ascii="Arial" w:hAnsi="Arial" w:cs="Arial"/>
          <w:lang w:val="es-ES_tradnl"/>
        </w:rPr>
        <w:t>.</w:t>
      </w:r>
      <w:r w:rsidR="002D1E78" w:rsidRPr="00152CDF">
        <w:rPr>
          <w:rFonts w:ascii="Arial" w:hAnsi="Arial" w:cs="Arial"/>
          <w:lang w:val="es-ES_tradnl"/>
        </w:rPr>
        <w:t xml:space="preserve"> </w:t>
      </w:r>
      <w:r w:rsidR="0050065F" w:rsidRPr="00152CDF">
        <w:rPr>
          <w:rFonts w:ascii="Arial" w:hAnsi="Arial" w:cs="Arial"/>
          <w:lang w:val="es-ES_tradnl"/>
        </w:rPr>
        <w:t xml:space="preserve">Para la consecución de este objetivo, </w:t>
      </w:r>
      <w:r w:rsidR="00F41B17" w:rsidRPr="00152CDF">
        <w:rPr>
          <w:rFonts w:ascii="Arial" w:hAnsi="Arial" w:cs="Arial"/>
          <w:lang w:val="es-ES_tradnl"/>
        </w:rPr>
        <w:t xml:space="preserve">se financia </w:t>
      </w:r>
      <w:r w:rsidR="004E248F" w:rsidRPr="00152CDF">
        <w:rPr>
          <w:rFonts w:ascii="Arial" w:hAnsi="Arial" w:cs="Arial"/>
          <w:lang w:val="es-ES_tradnl"/>
        </w:rPr>
        <w:t>un</w:t>
      </w:r>
      <w:r w:rsidR="00F41B17" w:rsidRPr="00152CDF">
        <w:rPr>
          <w:rFonts w:ascii="Arial" w:hAnsi="Arial" w:cs="Arial"/>
          <w:lang w:val="es-ES_tradnl"/>
        </w:rPr>
        <w:t xml:space="preserve"> </w:t>
      </w:r>
      <w:r w:rsidR="0050065F" w:rsidRPr="00152CDF">
        <w:rPr>
          <w:rFonts w:ascii="Arial" w:hAnsi="Arial" w:cs="Arial"/>
          <w:lang w:val="es-ES_tradnl"/>
        </w:rPr>
        <w:t>subcomponente</w:t>
      </w:r>
      <w:r w:rsidR="00662A0A" w:rsidRPr="00152CDF">
        <w:rPr>
          <w:rFonts w:ascii="Arial" w:hAnsi="Arial" w:cs="Arial"/>
          <w:lang w:val="es-ES_tradnl"/>
        </w:rPr>
        <w:t>:</w:t>
      </w:r>
      <w:r w:rsidR="00D24E9B" w:rsidRPr="00152CDF">
        <w:rPr>
          <w:rFonts w:ascii="Arial" w:hAnsi="Arial" w:cs="Arial"/>
          <w:lang w:val="es-ES_tradnl"/>
        </w:rPr>
        <w:t xml:space="preserve"> </w:t>
      </w:r>
      <w:r w:rsidR="00D65456">
        <w:rPr>
          <w:rFonts w:ascii="Arial" w:hAnsi="Arial" w:cs="Arial"/>
          <w:lang w:val="es-ES_tradnl"/>
        </w:rPr>
        <w:t>(</w:t>
      </w:r>
      <w:r w:rsidR="0050065F" w:rsidRPr="00152CDF">
        <w:rPr>
          <w:rFonts w:ascii="Arial" w:hAnsi="Arial" w:cs="Arial"/>
          <w:lang w:val="es-ES_tradnl"/>
        </w:rPr>
        <w:t xml:space="preserve">i) la implementación de acciones de apoyo técnico pedagógico desde los </w:t>
      </w:r>
      <w:proofErr w:type="spellStart"/>
      <w:r w:rsidR="0050065F" w:rsidRPr="00152CDF">
        <w:rPr>
          <w:rFonts w:ascii="Arial" w:hAnsi="Arial" w:cs="Arial"/>
          <w:lang w:val="es-ES_tradnl"/>
        </w:rPr>
        <w:t>SLEPs</w:t>
      </w:r>
      <w:proofErr w:type="spellEnd"/>
      <w:r w:rsidR="002D1E78" w:rsidRPr="00152CDF">
        <w:rPr>
          <w:rFonts w:ascii="Arial" w:hAnsi="Arial" w:cs="Arial"/>
          <w:lang w:val="es-ES_tradnl"/>
        </w:rPr>
        <w:t xml:space="preserve">. </w:t>
      </w:r>
    </w:p>
    <w:p w14:paraId="1651F4E4" w14:textId="77777777" w:rsidR="00F9594B" w:rsidRPr="00152CDF" w:rsidRDefault="00F9594B" w:rsidP="00F9594B">
      <w:pPr>
        <w:pStyle w:val="ListParagraph"/>
        <w:spacing w:after="0" w:line="240" w:lineRule="auto"/>
        <w:ind w:left="1440"/>
        <w:jc w:val="both"/>
        <w:rPr>
          <w:rFonts w:ascii="Arial" w:hAnsi="Arial" w:cs="Arial"/>
          <w:lang w:val="es-ES_tradnl"/>
        </w:rPr>
      </w:pPr>
    </w:p>
    <w:p w14:paraId="56DE0FDB" w14:textId="2B0B96FF" w:rsidR="00FB6CE3" w:rsidRPr="00906A14" w:rsidRDefault="00DF3A31" w:rsidP="00F947D6">
      <w:pPr>
        <w:pStyle w:val="Heading2"/>
        <w:numPr>
          <w:ilvl w:val="1"/>
          <w:numId w:val="28"/>
        </w:numPr>
      </w:pPr>
      <w:r w:rsidRPr="00906A14">
        <w:t>L</w:t>
      </w:r>
      <w:r w:rsidR="00FB6CE3" w:rsidRPr="00906A14">
        <w:t>os costos de las verificaciones externas de cumplimento de los resultados en cada uno de los tramos de desembolso</w:t>
      </w:r>
      <w:r w:rsidRPr="00906A14">
        <w:t xml:space="preserve"> serán </w:t>
      </w:r>
      <w:proofErr w:type="gramStart"/>
      <w:r w:rsidR="00A23749" w:rsidRPr="00906A14">
        <w:t>adicionales</w:t>
      </w:r>
      <w:proofErr w:type="gramEnd"/>
      <w:r w:rsidR="00A23749" w:rsidRPr="00906A14">
        <w:t xml:space="preserve"> al proyecto y asumidos por el Banco</w:t>
      </w:r>
      <w:r w:rsidR="003A57CC" w:rsidRPr="00906A14">
        <w:t xml:space="preserve">. </w:t>
      </w:r>
      <w:r w:rsidR="003163A2">
        <w:t xml:space="preserve">Asimismo, </w:t>
      </w:r>
      <w:r w:rsidR="00FD5F59">
        <w:t xml:space="preserve">el Banco realizará </w:t>
      </w:r>
      <w:r w:rsidR="00FB6CE3" w:rsidRPr="00906A14">
        <w:t>una evaluación de impacto de las intervenciones (US$ 0,1</w:t>
      </w:r>
      <w:r w:rsidR="0050093A" w:rsidRPr="00906A14">
        <w:t>5</w:t>
      </w:r>
      <w:r w:rsidR="00FB6CE3" w:rsidRPr="00906A14">
        <w:t xml:space="preserve"> millones).</w:t>
      </w:r>
    </w:p>
    <w:p w14:paraId="4015BF7E" w14:textId="77777777" w:rsidR="002D1E78" w:rsidRPr="00152CDF" w:rsidRDefault="002D1E78" w:rsidP="002D1E78">
      <w:pPr>
        <w:pStyle w:val="ListParagraph"/>
        <w:spacing w:line="240" w:lineRule="auto"/>
        <w:jc w:val="both"/>
        <w:rPr>
          <w:rFonts w:ascii="Arial" w:hAnsi="Arial" w:cs="Arial"/>
          <w:lang w:val="es-ES_tradnl"/>
        </w:rPr>
      </w:pPr>
    </w:p>
    <w:p w14:paraId="3D81CE62" w14:textId="44BCED9C" w:rsidR="00B25C3A" w:rsidRPr="00152CDF" w:rsidRDefault="00B25C3A" w:rsidP="006B75D4">
      <w:pPr>
        <w:spacing w:line="240" w:lineRule="auto"/>
        <w:jc w:val="both"/>
        <w:rPr>
          <w:rFonts w:ascii="Arial" w:hAnsi="Arial" w:cs="Arial"/>
          <w:lang w:val="es-ES_tradnl"/>
        </w:rPr>
      </w:pPr>
      <w:bookmarkStart w:id="2" w:name="_Toc301033061"/>
      <w:r w:rsidRPr="00152CDF">
        <w:rPr>
          <w:rFonts w:ascii="Arial" w:hAnsi="Arial" w:cs="Arial"/>
          <w:lang w:val="es-ES_tradnl"/>
        </w:rPr>
        <w:br w:type="page"/>
      </w:r>
    </w:p>
    <w:p w14:paraId="37D74F08" w14:textId="148ED5EB" w:rsidR="00A94D68" w:rsidRPr="00152CDF" w:rsidRDefault="008E121F" w:rsidP="00F947D6">
      <w:pPr>
        <w:pStyle w:val="Chapter"/>
        <w:numPr>
          <w:ilvl w:val="0"/>
          <w:numId w:val="28"/>
        </w:numPr>
        <w:rPr>
          <w:rFonts w:ascii="Arial" w:hAnsi="Arial" w:cs="Arial"/>
          <w:lang w:val="es-ES_tradnl"/>
        </w:rPr>
      </w:pPr>
      <w:bookmarkStart w:id="3" w:name="_Toc34300350"/>
      <w:r w:rsidRPr="00152CDF">
        <w:rPr>
          <w:rFonts w:ascii="Arial" w:hAnsi="Arial" w:cs="Arial"/>
          <w:lang w:val="es-ES_tradnl"/>
        </w:rPr>
        <w:lastRenderedPageBreak/>
        <w:t>M</w:t>
      </w:r>
      <w:r w:rsidR="00A94D68" w:rsidRPr="00152CDF">
        <w:rPr>
          <w:rFonts w:ascii="Arial" w:hAnsi="Arial" w:cs="Arial"/>
          <w:lang w:val="es-ES_tradnl"/>
        </w:rPr>
        <w:t>onitoreo</w:t>
      </w:r>
      <w:bookmarkEnd w:id="2"/>
      <w:bookmarkEnd w:id="3"/>
    </w:p>
    <w:p w14:paraId="6D1E328F" w14:textId="504D0BFA" w:rsidR="00151A8A" w:rsidRPr="00152CDF" w:rsidRDefault="00F74268" w:rsidP="00F947D6">
      <w:pPr>
        <w:pStyle w:val="Heading2"/>
        <w:numPr>
          <w:ilvl w:val="1"/>
          <w:numId w:val="28"/>
        </w:numPr>
        <w:spacing w:before="120"/>
        <w:rPr>
          <w:lang w:val="es-ES_tradnl"/>
        </w:rPr>
      </w:pPr>
      <w:r w:rsidRPr="00152CDF">
        <w:rPr>
          <w:lang w:val="es-ES_tradnl"/>
        </w:rPr>
        <w:t>El monitoreo permite</w:t>
      </w:r>
      <w:r w:rsidR="00144394" w:rsidRPr="00152CDF">
        <w:rPr>
          <w:lang w:val="es-ES_tradnl"/>
        </w:rPr>
        <w:t xml:space="preserve"> analizar de manera continua si la ejecución del Programa va encaminada a que se cumplan sus resultados.</w:t>
      </w:r>
      <w:r w:rsidR="00321286" w:rsidRPr="00152CDF">
        <w:rPr>
          <w:lang w:val="es-ES_tradnl"/>
        </w:rPr>
        <w:t xml:space="preserve"> Respecto de esta actividad,</w:t>
      </w:r>
      <w:r w:rsidR="00144394" w:rsidRPr="00152CDF">
        <w:rPr>
          <w:lang w:val="es-ES_tradnl"/>
        </w:rPr>
        <w:t xml:space="preserve"> </w:t>
      </w:r>
      <w:r w:rsidR="00321286" w:rsidRPr="00152CDF">
        <w:rPr>
          <w:lang w:val="es-ES_tradnl"/>
        </w:rPr>
        <w:t>l</w:t>
      </w:r>
      <w:r w:rsidR="001C1475" w:rsidRPr="00152CDF">
        <w:rPr>
          <w:lang w:val="es-ES_tradnl"/>
        </w:rPr>
        <w:t>a DEP será el o</w:t>
      </w:r>
      <w:r w:rsidR="00C9304D" w:rsidRPr="00152CDF">
        <w:rPr>
          <w:lang w:val="es-ES_tradnl"/>
        </w:rPr>
        <w:t xml:space="preserve">rganismo </w:t>
      </w:r>
      <w:r w:rsidR="001C1475" w:rsidRPr="00152CDF">
        <w:rPr>
          <w:lang w:val="es-ES_tradnl"/>
        </w:rPr>
        <w:t>responsable por la dirección general del proyecto</w:t>
      </w:r>
      <w:r w:rsidR="00F402D5" w:rsidRPr="00152CDF">
        <w:rPr>
          <w:lang w:val="es-ES_tradnl"/>
        </w:rPr>
        <w:t xml:space="preserve">. A su cargo estará </w:t>
      </w:r>
      <w:r w:rsidR="001C1475" w:rsidRPr="00152CDF">
        <w:rPr>
          <w:lang w:val="es-ES_tradnl"/>
        </w:rPr>
        <w:t xml:space="preserve">la dirección estratégica, planificación, ejecución y </w:t>
      </w:r>
      <w:r w:rsidR="009B6F31" w:rsidRPr="00152CDF">
        <w:rPr>
          <w:lang w:val="es-ES_tradnl"/>
        </w:rPr>
        <w:t xml:space="preserve">monitoreo periódico del cumplimiento de los productos y resultados del proyecto. </w:t>
      </w:r>
      <w:r w:rsidR="004D4CC3" w:rsidRPr="00152CDF">
        <w:rPr>
          <w:lang w:val="es-ES_tradnl"/>
        </w:rPr>
        <w:t>Dentro de la DEP</w:t>
      </w:r>
      <w:r w:rsidR="00EF64C5" w:rsidRPr="00152CDF">
        <w:rPr>
          <w:lang w:val="es-ES_tradnl"/>
        </w:rPr>
        <w:t xml:space="preserve">, el Departamento de Estrategia </w:t>
      </w:r>
      <w:r w:rsidR="00594281" w:rsidRPr="00152CDF">
        <w:rPr>
          <w:lang w:val="es-ES_tradnl"/>
        </w:rPr>
        <w:t xml:space="preserve">e Instrumentos de Gestión </w:t>
      </w:r>
      <w:r w:rsidR="00CD1D68" w:rsidRPr="00152CDF">
        <w:rPr>
          <w:lang w:val="es-ES_tradnl"/>
        </w:rPr>
        <w:t>ejercerá</w:t>
      </w:r>
      <w:r w:rsidR="00594281" w:rsidRPr="00152CDF">
        <w:rPr>
          <w:lang w:val="es-ES_tradnl"/>
        </w:rPr>
        <w:t xml:space="preserve"> </w:t>
      </w:r>
      <w:r w:rsidR="00CD1D68" w:rsidRPr="00152CDF">
        <w:rPr>
          <w:lang w:val="es-ES_tradnl"/>
        </w:rPr>
        <w:t>como</w:t>
      </w:r>
      <w:r w:rsidR="00594281" w:rsidRPr="00152CDF">
        <w:rPr>
          <w:lang w:val="es-ES_tradnl"/>
        </w:rPr>
        <w:t xml:space="preserve"> </w:t>
      </w:r>
      <w:r w:rsidR="00D93989" w:rsidRPr="00152CDF">
        <w:rPr>
          <w:lang w:val="es-ES_tradnl"/>
        </w:rPr>
        <w:t>Unidad Coordinadora de Pro</w:t>
      </w:r>
      <w:r w:rsidR="00151A8A" w:rsidRPr="00152CDF">
        <w:rPr>
          <w:lang w:val="es-ES_tradnl"/>
        </w:rPr>
        <w:t>y</w:t>
      </w:r>
      <w:r w:rsidR="00D93989" w:rsidRPr="00152CDF">
        <w:rPr>
          <w:lang w:val="es-ES_tradnl"/>
        </w:rPr>
        <w:t>ecto (</w:t>
      </w:r>
      <w:proofErr w:type="spellStart"/>
      <w:r w:rsidR="00D93989" w:rsidRPr="00152CDF">
        <w:rPr>
          <w:lang w:val="es-ES_tradnl"/>
        </w:rPr>
        <w:t>UCP</w:t>
      </w:r>
      <w:proofErr w:type="spellEnd"/>
      <w:r w:rsidR="00D93989" w:rsidRPr="00152CDF">
        <w:rPr>
          <w:lang w:val="es-ES_tradnl"/>
        </w:rPr>
        <w:t>)</w:t>
      </w:r>
      <w:r w:rsidR="00CD1D68" w:rsidRPr="00152CDF">
        <w:rPr>
          <w:lang w:val="es-ES_tradnl"/>
        </w:rPr>
        <w:t>.</w:t>
      </w:r>
    </w:p>
    <w:p w14:paraId="18FD0070" w14:textId="77777777" w:rsidR="00A34145" w:rsidRPr="00152CDF" w:rsidRDefault="00A34145" w:rsidP="00F947D6">
      <w:pPr>
        <w:pStyle w:val="Heading2"/>
        <w:numPr>
          <w:ilvl w:val="1"/>
          <w:numId w:val="28"/>
        </w:numPr>
        <w:spacing w:before="120"/>
        <w:rPr>
          <w:lang w:val="es-ES_tradnl"/>
        </w:rPr>
      </w:pPr>
      <w:r w:rsidRPr="00152CDF">
        <w:rPr>
          <w:lang w:val="es-ES_tradnl"/>
        </w:rPr>
        <w:t>El préstamo basado en resultados (</w:t>
      </w:r>
      <w:proofErr w:type="spellStart"/>
      <w:r w:rsidRPr="00152CDF">
        <w:rPr>
          <w:lang w:val="es-ES_tradnl"/>
        </w:rPr>
        <w:t>PBR</w:t>
      </w:r>
      <w:proofErr w:type="spellEnd"/>
      <w:r w:rsidRPr="00152CDF">
        <w:rPr>
          <w:lang w:val="es-ES_tradnl"/>
        </w:rPr>
        <w:t xml:space="preserve">) implica que los desembolsos se realizarán como resultado del cumplimiento de indicadores de resultados, definidos en la matriz de resultados. La modalidad establece la necesidad que una unidad externa e independiente del organismo ejecutor y del Banco realice una verificación del cumplimiento de las metas como requisito para el desembolso de la operación. </w:t>
      </w:r>
    </w:p>
    <w:p w14:paraId="48FA2A56" w14:textId="2EA86982" w:rsidR="00CD1428" w:rsidRPr="00152CDF" w:rsidRDefault="002E389F" w:rsidP="00F947D6">
      <w:pPr>
        <w:pStyle w:val="Heading2"/>
        <w:numPr>
          <w:ilvl w:val="1"/>
          <w:numId w:val="28"/>
        </w:numPr>
        <w:spacing w:before="120"/>
        <w:rPr>
          <w:lang w:val="es-ES_tradnl"/>
        </w:rPr>
      </w:pPr>
      <w:r w:rsidRPr="00152CDF">
        <w:rPr>
          <w:lang w:val="es-ES_tradnl"/>
        </w:rPr>
        <w:t xml:space="preserve">El seguimiento de los resultados se basará en el Plan de Ejecución del Proyecto (PEP) y </w:t>
      </w:r>
      <w:r w:rsidR="00565DA3" w:rsidRPr="00152CDF">
        <w:rPr>
          <w:lang w:val="es-ES_tradnl"/>
        </w:rPr>
        <w:t>l</w:t>
      </w:r>
      <w:r w:rsidRPr="00152CDF">
        <w:rPr>
          <w:lang w:val="es-ES_tradnl"/>
        </w:rPr>
        <w:t>a Matriz de Resultados. El esquema de monitoreo del proyecto incluirá: (i) la realización de al menos 2 reuniones por año para la revisión técnica y operativa de los avances del proyecto</w:t>
      </w:r>
      <w:r w:rsidR="00EE016C" w:rsidRPr="00152CDF">
        <w:rPr>
          <w:lang w:val="es-ES_tradnl"/>
        </w:rPr>
        <w:t xml:space="preserve"> y</w:t>
      </w:r>
      <w:r w:rsidRPr="00152CDF">
        <w:rPr>
          <w:lang w:val="es-ES_tradnl"/>
        </w:rPr>
        <w:t xml:space="preserve"> </w:t>
      </w:r>
      <w:r w:rsidR="009903C1" w:rsidRPr="00152CDF">
        <w:rPr>
          <w:lang w:val="es-ES_tradnl"/>
        </w:rPr>
        <w:t>evalua</w:t>
      </w:r>
      <w:r w:rsidR="00F8556C" w:rsidRPr="00152CDF">
        <w:rPr>
          <w:lang w:val="es-ES_tradnl"/>
        </w:rPr>
        <w:t xml:space="preserve">ción de </w:t>
      </w:r>
      <w:r w:rsidRPr="00152CDF">
        <w:rPr>
          <w:lang w:val="es-ES_tradnl"/>
        </w:rPr>
        <w:t>soluci</w:t>
      </w:r>
      <w:r w:rsidR="00F8556C" w:rsidRPr="00152CDF">
        <w:rPr>
          <w:lang w:val="es-ES_tradnl"/>
        </w:rPr>
        <w:t>ones a potenciales problemas</w:t>
      </w:r>
      <w:r w:rsidR="00B85328" w:rsidRPr="00152CDF">
        <w:rPr>
          <w:lang w:val="es-ES_tradnl"/>
        </w:rPr>
        <w:t xml:space="preserve"> en conjunto con</w:t>
      </w:r>
      <w:r w:rsidR="005F2C59" w:rsidRPr="00152CDF">
        <w:rPr>
          <w:lang w:val="es-ES_tradnl"/>
        </w:rPr>
        <w:t xml:space="preserve"> </w:t>
      </w:r>
      <w:r w:rsidRPr="00152CDF">
        <w:rPr>
          <w:lang w:val="es-ES_tradnl"/>
        </w:rPr>
        <w:t>actores relevantes de</w:t>
      </w:r>
      <w:r w:rsidR="00966D14" w:rsidRPr="00152CDF">
        <w:rPr>
          <w:lang w:val="es-ES_tradnl"/>
        </w:rPr>
        <w:t>l</w:t>
      </w:r>
      <w:r w:rsidR="00383726" w:rsidRPr="00152CDF">
        <w:rPr>
          <w:lang w:val="es-ES_tradnl"/>
        </w:rPr>
        <w:t xml:space="preserve"> </w:t>
      </w:r>
      <w:r w:rsidR="00B85328" w:rsidRPr="00152CDF">
        <w:rPr>
          <w:lang w:val="es-ES_tradnl"/>
        </w:rPr>
        <w:t>OE</w:t>
      </w:r>
      <w:r w:rsidR="26934610" w:rsidRPr="00152CDF">
        <w:rPr>
          <w:lang w:val="es-ES_tradnl"/>
        </w:rPr>
        <w:t>, e identificación de posibles necesidades del equipo</w:t>
      </w:r>
      <w:r w:rsidR="00E16F33" w:rsidRPr="00152CDF">
        <w:rPr>
          <w:lang w:val="es-ES_tradnl"/>
        </w:rPr>
        <w:t>;</w:t>
      </w:r>
      <w:r w:rsidRPr="00152CDF">
        <w:rPr>
          <w:lang w:val="es-ES_tradnl"/>
        </w:rPr>
        <w:t xml:space="preserve"> (</w:t>
      </w:r>
      <w:proofErr w:type="spellStart"/>
      <w:r w:rsidRPr="00152CDF">
        <w:rPr>
          <w:lang w:val="es-ES_tradnl"/>
        </w:rPr>
        <w:t>i</w:t>
      </w:r>
      <w:r w:rsidR="003444A0" w:rsidRPr="00152CDF">
        <w:rPr>
          <w:lang w:val="es-ES_tradnl"/>
        </w:rPr>
        <w:t>i</w:t>
      </w:r>
      <w:proofErr w:type="spellEnd"/>
      <w:r w:rsidRPr="00152CDF">
        <w:rPr>
          <w:lang w:val="es-ES_tradnl"/>
        </w:rPr>
        <w:t xml:space="preserve">) </w:t>
      </w:r>
      <w:r w:rsidR="002D5C98" w:rsidRPr="00152CDF">
        <w:rPr>
          <w:lang w:val="es-ES_tradnl"/>
        </w:rPr>
        <w:t>l</w:t>
      </w:r>
      <w:r w:rsidRPr="00152CDF">
        <w:rPr>
          <w:lang w:val="es-ES_tradnl"/>
        </w:rPr>
        <w:t>os informes semestrales de los logros de cada uno de los componentes y el desempeño del proyecto según la Matriz de Resultados; (</w:t>
      </w:r>
      <w:proofErr w:type="spellStart"/>
      <w:r w:rsidRPr="00152CDF">
        <w:rPr>
          <w:lang w:val="es-ES_tradnl"/>
        </w:rPr>
        <w:t>iii</w:t>
      </w:r>
      <w:proofErr w:type="spellEnd"/>
      <w:r w:rsidRPr="00152CDF">
        <w:rPr>
          <w:lang w:val="es-ES_tradnl"/>
        </w:rPr>
        <w:t xml:space="preserve">) el uso de herramientas de gestión consensuadas en el marco del </w:t>
      </w:r>
      <w:r w:rsidR="00697905" w:rsidRPr="00152CDF">
        <w:rPr>
          <w:lang w:val="es-ES_tradnl"/>
        </w:rPr>
        <w:t>t</w:t>
      </w:r>
      <w:r w:rsidRPr="00152CDF">
        <w:rPr>
          <w:lang w:val="es-ES_tradnl"/>
        </w:rPr>
        <w:t xml:space="preserve">aller de </w:t>
      </w:r>
      <w:r w:rsidR="00697905" w:rsidRPr="00152CDF">
        <w:rPr>
          <w:lang w:val="es-ES_tradnl"/>
        </w:rPr>
        <w:t>i</w:t>
      </w:r>
      <w:r w:rsidRPr="00152CDF">
        <w:rPr>
          <w:lang w:val="es-ES_tradnl"/>
        </w:rPr>
        <w:t xml:space="preserve">nicio del </w:t>
      </w:r>
      <w:r w:rsidR="00697905" w:rsidRPr="00152CDF">
        <w:rPr>
          <w:lang w:val="es-ES_tradnl"/>
        </w:rPr>
        <w:t>p</w:t>
      </w:r>
      <w:r w:rsidRPr="00152CDF">
        <w:rPr>
          <w:lang w:val="es-ES_tradnl"/>
        </w:rPr>
        <w:t>royecto, con el fin de contar con instrumentos adecuados para la planificación de las actividades y los procesos requeridos para alcanzar los productos físicos y resultados intermedios y finales, así como para darle seguimiento; (</w:t>
      </w:r>
      <w:proofErr w:type="spellStart"/>
      <w:r w:rsidRPr="00152CDF">
        <w:rPr>
          <w:lang w:val="es-ES_tradnl"/>
        </w:rPr>
        <w:t>iv</w:t>
      </w:r>
      <w:proofErr w:type="spellEnd"/>
      <w:r w:rsidRPr="00152CDF">
        <w:rPr>
          <w:lang w:val="es-ES_tradnl"/>
        </w:rPr>
        <w:t>)</w:t>
      </w:r>
      <w:r w:rsidR="00D65456">
        <w:rPr>
          <w:lang w:val="es-ES_tradnl"/>
        </w:rPr>
        <w:t> </w:t>
      </w:r>
      <w:r w:rsidRPr="00152CDF">
        <w:rPr>
          <w:lang w:val="es-ES_tradnl"/>
        </w:rPr>
        <w:t>el monitoreo de las</w:t>
      </w:r>
      <w:r w:rsidR="000E2E74" w:rsidRPr="00152CDF">
        <w:rPr>
          <w:lang w:val="es-ES_tradnl"/>
        </w:rPr>
        <w:t xml:space="preserve"> metas de los indicadores para desembolso de cada tramo a través de una verificación independiente; y (v) la utilización del Reglamento Operativo (</w:t>
      </w:r>
      <w:proofErr w:type="spellStart"/>
      <w:r w:rsidR="000E2E74" w:rsidRPr="00152CDF">
        <w:rPr>
          <w:lang w:val="es-ES_tradnl"/>
        </w:rPr>
        <w:t>RO</w:t>
      </w:r>
      <w:r w:rsidR="00550375" w:rsidRPr="00152CDF">
        <w:rPr>
          <w:lang w:val="es-ES_tradnl"/>
        </w:rPr>
        <w:t>P</w:t>
      </w:r>
      <w:proofErr w:type="spellEnd"/>
      <w:r w:rsidR="000E2E74" w:rsidRPr="00152CDF">
        <w:rPr>
          <w:lang w:val="es-ES_tradnl"/>
        </w:rPr>
        <w:t>) como herramienta de gestión y referencia principal en las revisiones de progreso realizadas con el Banco, incluyendo, entre otros: (a) la descripción detallada de la estrategia de ejecución de la operación del proyecto; (b) el esquema organizacional del proyecto; (c)</w:t>
      </w:r>
      <w:r w:rsidR="00D65456">
        <w:rPr>
          <w:lang w:val="es-ES_tradnl"/>
        </w:rPr>
        <w:t> </w:t>
      </w:r>
      <w:r w:rsidR="000E2E74" w:rsidRPr="00152CDF">
        <w:rPr>
          <w:lang w:val="es-ES_tradnl"/>
        </w:rPr>
        <w:t>los arreglos técnicos y operativos para su ejecución; (</w:t>
      </w:r>
      <w:r w:rsidR="00CA1B98">
        <w:rPr>
          <w:lang w:val="es-ES_tradnl"/>
        </w:rPr>
        <w:t>d</w:t>
      </w:r>
      <w:r w:rsidR="000E2E74" w:rsidRPr="00152CDF">
        <w:rPr>
          <w:lang w:val="es-ES_tradnl"/>
        </w:rPr>
        <w:t xml:space="preserve">) los mecanismos para actualizar el </w:t>
      </w:r>
      <w:proofErr w:type="spellStart"/>
      <w:r w:rsidR="000E2E74" w:rsidRPr="00152CDF">
        <w:rPr>
          <w:lang w:val="es-ES_tradnl"/>
        </w:rPr>
        <w:t>RO</w:t>
      </w:r>
      <w:r w:rsidR="00376C20" w:rsidRPr="00152CDF">
        <w:rPr>
          <w:lang w:val="es-ES_tradnl"/>
        </w:rPr>
        <w:t>P</w:t>
      </w:r>
      <w:proofErr w:type="spellEnd"/>
      <w:r w:rsidR="00640DBA">
        <w:rPr>
          <w:lang w:val="es-ES_tradnl"/>
        </w:rPr>
        <w:t>, entre otros</w:t>
      </w:r>
      <w:r w:rsidR="000E2E74" w:rsidRPr="00152CDF">
        <w:rPr>
          <w:lang w:val="es-ES_tradnl"/>
        </w:rPr>
        <w:t xml:space="preserve">. </w:t>
      </w:r>
    </w:p>
    <w:p w14:paraId="7078A8C9" w14:textId="0812858B" w:rsidR="00E957E8" w:rsidRPr="00152CDF" w:rsidRDefault="00E957E8" w:rsidP="00F947D6">
      <w:pPr>
        <w:spacing w:before="120" w:after="0" w:line="360" w:lineRule="auto"/>
        <w:jc w:val="both"/>
        <w:rPr>
          <w:rFonts w:ascii="Arial" w:hAnsi="Arial" w:cs="Arial"/>
          <w:lang w:val="es-ES_tradnl"/>
        </w:rPr>
      </w:pPr>
    </w:p>
    <w:p w14:paraId="7E1D4749" w14:textId="2F9B13B9" w:rsidR="00E957E8" w:rsidRPr="00152CDF" w:rsidRDefault="00E957E8" w:rsidP="00F57761">
      <w:pPr>
        <w:pStyle w:val="FirstHeading"/>
        <w:numPr>
          <w:ilvl w:val="0"/>
          <w:numId w:val="9"/>
        </w:numPr>
        <w:rPr>
          <w:rFonts w:ascii="Arial" w:hAnsi="Arial" w:cs="Arial"/>
          <w:b w:val="0"/>
          <w:lang w:val="es-ES_tradnl"/>
        </w:rPr>
      </w:pPr>
      <w:bookmarkStart w:id="4" w:name="_Toc34300351"/>
      <w:r w:rsidRPr="00152CDF">
        <w:rPr>
          <w:rFonts w:ascii="Arial" w:hAnsi="Arial" w:cs="Arial"/>
          <w:sz w:val="22"/>
          <w:lang w:val="es-ES_tradnl"/>
        </w:rPr>
        <w:lastRenderedPageBreak/>
        <w:t>Indicadores:</w:t>
      </w:r>
      <w:bookmarkEnd w:id="4"/>
    </w:p>
    <w:p w14:paraId="66CC859B" w14:textId="756D9778" w:rsidR="00E957E8" w:rsidRPr="00152CDF" w:rsidRDefault="00E957E8" w:rsidP="00F947D6">
      <w:pPr>
        <w:pStyle w:val="Heading2"/>
        <w:numPr>
          <w:ilvl w:val="1"/>
          <w:numId w:val="28"/>
        </w:numPr>
        <w:spacing w:before="120"/>
        <w:rPr>
          <w:lang w:val="es-ES_tradnl"/>
        </w:rPr>
      </w:pPr>
      <w:r w:rsidRPr="00152CDF">
        <w:rPr>
          <w:lang w:val="es-ES_tradnl"/>
        </w:rPr>
        <w:t>Los indicadores de monitoreo medirán el grado de avance en la consecución de cada uno de los productos, resultados y propósitos listados en la matriz de resultados, y los indicadores de impacto se medirán con la evaluación de impacto que se cita en la siguiente sección</w:t>
      </w:r>
      <w:r w:rsidR="00670F04" w:rsidRPr="00152CDF">
        <w:rPr>
          <w:lang w:val="es-ES_tradnl"/>
        </w:rPr>
        <w:t>.</w:t>
      </w:r>
    </w:p>
    <w:p w14:paraId="4930B55E" w14:textId="0D535BCE" w:rsidR="00B101EC" w:rsidRPr="00152CDF" w:rsidRDefault="00B101EC" w:rsidP="00F947D6">
      <w:pPr>
        <w:pStyle w:val="Heading2"/>
        <w:numPr>
          <w:ilvl w:val="1"/>
          <w:numId w:val="28"/>
        </w:numPr>
        <w:spacing w:before="120"/>
        <w:rPr>
          <w:lang w:val="es-ES_tradnl"/>
        </w:rPr>
      </w:pPr>
      <w:r w:rsidRPr="00152CDF">
        <w:rPr>
          <w:lang w:val="es-ES_tradnl"/>
        </w:rPr>
        <w:t xml:space="preserve">El BID y el Gobierno de Chile han acordado el uso de la Matriz de Resultados y las actividades definidas en el </w:t>
      </w:r>
      <w:proofErr w:type="spellStart"/>
      <w:r w:rsidRPr="00152CDF">
        <w:rPr>
          <w:lang w:val="es-ES_tradnl"/>
        </w:rPr>
        <w:t>PBR</w:t>
      </w:r>
      <w:proofErr w:type="spellEnd"/>
      <w:r w:rsidRPr="00152CDF">
        <w:rPr>
          <w:lang w:val="es-ES_tradnl"/>
        </w:rPr>
        <w:t xml:space="preserve"> como parte del plan de monitoreo de la operación. El monitoreo se </w:t>
      </w:r>
      <w:r w:rsidRPr="00152CDF">
        <w:rPr>
          <w:spacing w:val="-2"/>
          <w:lang w:val="es-ES_tradnl"/>
        </w:rPr>
        <w:t>basará</w:t>
      </w:r>
      <w:r w:rsidRPr="00152CDF">
        <w:rPr>
          <w:lang w:val="es-ES_tradnl"/>
        </w:rPr>
        <w:t xml:space="preserve"> en instrumentos </w:t>
      </w:r>
      <w:r w:rsidR="00756332">
        <w:rPr>
          <w:lang w:val="es-ES_tradnl"/>
        </w:rPr>
        <w:t>que operan en el sistema educativo y administración pública</w:t>
      </w:r>
      <w:r w:rsidR="00CD45CB">
        <w:rPr>
          <w:lang w:val="es-ES_tradnl"/>
        </w:rPr>
        <w:t xml:space="preserve"> en general</w:t>
      </w:r>
      <w:r w:rsidRPr="00152CDF">
        <w:rPr>
          <w:lang w:val="es-ES_tradnl"/>
        </w:rPr>
        <w:t>, como son los Convenios de Desempeño Colectivo (CDC), Programa de Mejoramiento de la Gestión (</w:t>
      </w:r>
      <w:proofErr w:type="spellStart"/>
      <w:r w:rsidRPr="00152CDF">
        <w:rPr>
          <w:lang w:val="es-ES_tradnl"/>
        </w:rPr>
        <w:t>PMG</w:t>
      </w:r>
      <w:proofErr w:type="spellEnd"/>
      <w:r w:rsidRPr="00152CDF">
        <w:rPr>
          <w:lang w:val="es-ES_tradnl"/>
        </w:rPr>
        <w:t xml:space="preserve">), Sistema de </w:t>
      </w:r>
      <w:r w:rsidR="00090193">
        <w:rPr>
          <w:lang w:val="es-ES_tradnl"/>
        </w:rPr>
        <w:t>Desarrollo Profesional Docente</w:t>
      </w:r>
      <w:r w:rsidR="00756332">
        <w:rPr>
          <w:lang w:val="es-ES_tradnl"/>
        </w:rPr>
        <w:t xml:space="preserve"> </w:t>
      </w:r>
      <w:r w:rsidRPr="00152CDF">
        <w:rPr>
          <w:lang w:val="es-ES_tradnl"/>
        </w:rPr>
        <w:t xml:space="preserve">y </w:t>
      </w:r>
      <w:r w:rsidR="004961BE" w:rsidRPr="00152CDF">
        <w:rPr>
          <w:lang w:val="es-ES_tradnl"/>
        </w:rPr>
        <w:t>e</w:t>
      </w:r>
      <w:r w:rsidRPr="00152CDF">
        <w:rPr>
          <w:lang w:val="es-ES_tradnl"/>
        </w:rPr>
        <w:t>valuación SIMCE</w:t>
      </w:r>
      <w:r w:rsidR="002E6B4A" w:rsidRPr="00152CDF">
        <w:rPr>
          <w:lang w:val="es-ES_tradnl"/>
        </w:rPr>
        <w:t xml:space="preserve"> elaborado por la</w:t>
      </w:r>
      <w:r w:rsidRPr="00152CDF">
        <w:rPr>
          <w:lang w:val="es-ES_tradnl"/>
        </w:rPr>
        <w:t xml:space="preserve"> Agencia de la Calidad. Sumado a otros </w:t>
      </w:r>
      <w:r w:rsidR="00E200AF">
        <w:rPr>
          <w:lang w:val="es-ES_tradnl"/>
        </w:rPr>
        <w:t>instrumentos necesarios para l</w:t>
      </w:r>
      <w:r w:rsidR="00E832D7">
        <w:rPr>
          <w:lang w:val="es-ES_tradnl"/>
        </w:rPr>
        <w:t>a instalación</w:t>
      </w:r>
      <w:r w:rsidR="00E200AF">
        <w:rPr>
          <w:lang w:val="es-ES_tradnl"/>
        </w:rPr>
        <w:t xml:space="preserve"> </w:t>
      </w:r>
      <w:r w:rsidR="00CD45CB">
        <w:rPr>
          <w:lang w:val="es-ES_tradnl"/>
        </w:rPr>
        <w:t xml:space="preserve">de la nueva institucionalidad </w:t>
      </w:r>
      <w:r w:rsidRPr="00152CDF">
        <w:rPr>
          <w:lang w:val="es-ES_tradnl"/>
        </w:rPr>
        <w:t xml:space="preserve">como son los Planes de Transición, así como los indicadores de avance de productos a ser instalados en la DEP junto con los </w:t>
      </w:r>
      <w:proofErr w:type="spellStart"/>
      <w:r w:rsidR="002F3291">
        <w:rPr>
          <w:lang w:val="es-ES_tradnl"/>
        </w:rPr>
        <w:t>SLEP</w:t>
      </w:r>
      <w:proofErr w:type="spellEnd"/>
      <w:r w:rsidRPr="00152CDF">
        <w:rPr>
          <w:lang w:val="es-ES_tradnl"/>
        </w:rPr>
        <w:t xml:space="preserve">. </w:t>
      </w:r>
    </w:p>
    <w:p w14:paraId="4665CA01" w14:textId="3CC45957" w:rsidR="002B1092" w:rsidRPr="00152CDF" w:rsidRDefault="002B1092" w:rsidP="00F57761">
      <w:pPr>
        <w:pStyle w:val="FirstHeading"/>
        <w:numPr>
          <w:ilvl w:val="0"/>
          <w:numId w:val="9"/>
        </w:numPr>
        <w:rPr>
          <w:rFonts w:ascii="Arial" w:hAnsi="Arial" w:cs="Arial"/>
          <w:b w:val="0"/>
          <w:lang w:val="es-ES_tradnl"/>
        </w:rPr>
      </w:pPr>
      <w:bookmarkStart w:id="5" w:name="_Toc34300352"/>
      <w:r w:rsidRPr="00152CDF">
        <w:rPr>
          <w:rFonts w:ascii="Arial" w:hAnsi="Arial" w:cs="Arial"/>
          <w:sz w:val="22"/>
          <w:lang w:val="es-ES_tradnl"/>
        </w:rPr>
        <w:t>Monitoreo de indicadores generales de implementación</w:t>
      </w:r>
      <w:bookmarkEnd w:id="5"/>
    </w:p>
    <w:p w14:paraId="37125611" w14:textId="09F94C84" w:rsidR="00E957E8" w:rsidRPr="00152CDF" w:rsidRDefault="00E957E8" w:rsidP="00F947D6">
      <w:pPr>
        <w:pStyle w:val="Heading2"/>
        <w:numPr>
          <w:ilvl w:val="1"/>
          <w:numId w:val="28"/>
        </w:numPr>
        <w:rPr>
          <w:lang w:val="es-ES_tradnl"/>
        </w:rPr>
      </w:pPr>
      <w:r w:rsidRPr="00152CDF">
        <w:rPr>
          <w:lang w:val="es-ES_tradnl"/>
        </w:rPr>
        <w:t>Con el fin de monitorear el avance en el logro de los productos y resultados esperados para el proyecto, la DEP y el Banco han acordado la realización de un seguimiento cercano a la ejecución del proyecto, monitoreando el cumplimiento de las metas tanto en términos de eficacia</w:t>
      </w:r>
      <w:r w:rsidR="00D31B3A" w:rsidRPr="00152CDF">
        <w:rPr>
          <w:lang w:val="es-ES_tradnl"/>
        </w:rPr>
        <w:t xml:space="preserve"> (</w:t>
      </w:r>
      <w:r w:rsidR="002870F1" w:rsidRPr="00152CDF">
        <w:rPr>
          <w:lang w:val="es-ES_tradnl"/>
        </w:rPr>
        <w:t xml:space="preserve">acciones relacionadas con </w:t>
      </w:r>
      <w:r w:rsidRPr="00152CDF">
        <w:rPr>
          <w:lang w:val="es-ES_tradnl"/>
        </w:rPr>
        <w:t>las necesidades</w:t>
      </w:r>
      <w:r w:rsidR="002870F1" w:rsidRPr="00152CDF">
        <w:rPr>
          <w:lang w:val="es-ES_tradnl"/>
        </w:rPr>
        <w:t xml:space="preserve"> identificadas en el diagnóstico</w:t>
      </w:r>
      <w:r w:rsidRPr="00152CDF">
        <w:rPr>
          <w:lang w:val="es-ES_tradnl"/>
        </w:rPr>
        <w:t>) como en términos de oportunidad (que las acciones lleguen en los momento</w:t>
      </w:r>
      <w:r w:rsidR="00FB1276" w:rsidRPr="00152CDF">
        <w:rPr>
          <w:lang w:val="es-ES_tradnl"/>
        </w:rPr>
        <w:t>s</w:t>
      </w:r>
      <w:r w:rsidRPr="00152CDF">
        <w:rPr>
          <w:lang w:val="es-ES_tradnl"/>
        </w:rPr>
        <w:t xml:space="preserve"> efectivamente planificados).</w:t>
      </w:r>
      <w:r w:rsidR="002870F1" w:rsidRPr="00152CDF">
        <w:rPr>
          <w:lang w:val="es-ES_tradnl"/>
        </w:rPr>
        <w:t xml:space="preserve"> Como se mencion</w:t>
      </w:r>
      <w:r w:rsidR="009C60B1" w:rsidRPr="00152CDF">
        <w:rPr>
          <w:lang w:val="es-ES_tradnl"/>
        </w:rPr>
        <w:t>a</w:t>
      </w:r>
      <w:r w:rsidR="002870F1" w:rsidRPr="00152CDF">
        <w:rPr>
          <w:lang w:val="es-ES_tradnl"/>
        </w:rPr>
        <w:t xml:space="preserve"> anteriormente,</w:t>
      </w:r>
      <w:r w:rsidR="00A66948" w:rsidRPr="00152CDF">
        <w:rPr>
          <w:lang w:val="es-ES_tradnl"/>
        </w:rPr>
        <w:t xml:space="preserve"> </w:t>
      </w:r>
      <w:r w:rsidR="002870F1" w:rsidRPr="00152CDF">
        <w:rPr>
          <w:lang w:val="es-ES_tradnl"/>
        </w:rPr>
        <w:t>p</w:t>
      </w:r>
      <w:r w:rsidR="00A66948" w:rsidRPr="00152CDF">
        <w:rPr>
          <w:lang w:val="es-ES_tradnl"/>
        </w:rPr>
        <w:t>ara determinar el logro de las metas definidas para cada desembolso</w:t>
      </w:r>
      <w:r w:rsidR="002870F1" w:rsidRPr="00152CDF">
        <w:rPr>
          <w:lang w:val="es-ES_tradnl"/>
        </w:rPr>
        <w:t>,</w:t>
      </w:r>
      <w:r w:rsidR="00A66948" w:rsidRPr="00152CDF">
        <w:rPr>
          <w:lang w:val="es-ES_tradnl"/>
        </w:rPr>
        <w:t xml:space="preserve"> se realizará un</w:t>
      </w:r>
      <w:r w:rsidR="00596B2A" w:rsidRPr="00152CDF">
        <w:rPr>
          <w:lang w:val="es-ES_tradnl"/>
        </w:rPr>
        <w:t>a evaluación independiente</w:t>
      </w:r>
      <w:r w:rsidR="00A66948" w:rsidRPr="00152CDF">
        <w:rPr>
          <w:lang w:val="es-ES_tradnl"/>
        </w:rPr>
        <w:t xml:space="preserve"> que </w:t>
      </w:r>
      <w:r w:rsidR="00596B2A" w:rsidRPr="00152CDF">
        <w:rPr>
          <w:lang w:val="es-ES_tradnl"/>
        </w:rPr>
        <w:t xml:space="preserve">canalice la </w:t>
      </w:r>
      <w:r w:rsidR="00A66948" w:rsidRPr="00152CDF">
        <w:rPr>
          <w:lang w:val="es-ES_tradnl"/>
        </w:rPr>
        <w:t xml:space="preserve">verificación de los resultados. </w:t>
      </w:r>
    </w:p>
    <w:p w14:paraId="2F8D7716" w14:textId="53F726D3" w:rsidR="0062244C" w:rsidRPr="00152CDF" w:rsidRDefault="00BA6BA5" w:rsidP="00F947D6">
      <w:pPr>
        <w:pStyle w:val="Heading2"/>
        <w:numPr>
          <w:ilvl w:val="1"/>
          <w:numId w:val="28"/>
        </w:numPr>
        <w:rPr>
          <w:lang w:val="es-ES_tradnl"/>
        </w:rPr>
      </w:pPr>
      <w:r w:rsidRPr="00152CDF">
        <w:rPr>
          <w:lang w:val="es-ES_tradnl"/>
        </w:rPr>
        <w:t>El monitoreo de las acciones y productos comprometidos por componente serán levantados mediante herramientas e instrumentos cuyo acceso y disponibilidad es</w:t>
      </w:r>
      <w:r w:rsidR="004F31D7">
        <w:rPr>
          <w:lang w:val="es-ES_tradnl"/>
        </w:rPr>
        <w:t>:</w:t>
      </w:r>
      <w:r w:rsidRPr="00152CDF">
        <w:rPr>
          <w:lang w:val="es-ES_tradnl"/>
        </w:rPr>
        <w:t xml:space="preserve"> </w:t>
      </w:r>
      <w:r w:rsidR="002870F1" w:rsidRPr="00152CDF">
        <w:rPr>
          <w:lang w:val="es-ES_tradnl"/>
        </w:rPr>
        <w:t xml:space="preserve">(i) </w:t>
      </w:r>
      <w:r w:rsidRPr="00152CDF">
        <w:rPr>
          <w:lang w:val="es-ES_tradnl"/>
        </w:rPr>
        <w:t>parte de la función regular que la DEP genera rutinariamente de acuerdo a su mandato legal; (</w:t>
      </w:r>
      <w:proofErr w:type="spellStart"/>
      <w:r w:rsidRPr="00152CDF">
        <w:rPr>
          <w:lang w:val="es-ES_tradnl"/>
        </w:rPr>
        <w:t>ii</w:t>
      </w:r>
      <w:proofErr w:type="spellEnd"/>
      <w:r w:rsidRPr="00152CDF">
        <w:rPr>
          <w:lang w:val="es-ES_tradnl"/>
        </w:rPr>
        <w:t xml:space="preserve">) convenios de acceso público </w:t>
      </w:r>
      <w:r w:rsidR="002870F1" w:rsidRPr="00152CDF">
        <w:rPr>
          <w:lang w:val="es-ES_tradnl"/>
        </w:rPr>
        <w:t xml:space="preserve">emanados </w:t>
      </w:r>
      <w:r w:rsidRPr="00152CDF">
        <w:rPr>
          <w:lang w:val="es-ES_tradnl"/>
        </w:rPr>
        <w:t>por la administración pública para el mejoramiento de la gestión institucional; (</w:t>
      </w:r>
      <w:proofErr w:type="spellStart"/>
      <w:r w:rsidRPr="00152CDF">
        <w:rPr>
          <w:lang w:val="es-ES_tradnl"/>
        </w:rPr>
        <w:t>iii</w:t>
      </w:r>
      <w:proofErr w:type="spellEnd"/>
      <w:r w:rsidRPr="00152CDF">
        <w:rPr>
          <w:lang w:val="es-ES_tradnl"/>
        </w:rPr>
        <w:t>) evaluaciones de carácter nacional que son elaborados por la Agencia de la Calidad en el marco del Sistema de Aseguramiento de la Calidad (</w:t>
      </w:r>
      <w:proofErr w:type="spellStart"/>
      <w:r w:rsidRPr="00152CDF">
        <w:rPr>
          <w:lang w:val="es-ES_tradnl"/>
        </w:rPr>
        <w:t>SAC</w:t>
      </w:r>
      <w:proofErr w:type="spellEnd"/>
      <w:r w:rsidRPr="00152CDF">
        <w:rPr>
          <w:lang w:val="es-ES_tradnl"/>
        </w:rPr>
        <w:t xml:space="preserve">) o por el </w:t>
      </w:r>
      <w:proofErr w:type="spellStart"/>
      <w:r w:rsidRPr="00152CDF">
        <w:rPr>
          <w:lang w:val="es-ES_tradnl"/>
        </w:rPr>
        <w:t>CPEIP</w:t>
      </w:r>
      <w:proofErr w:type="spellEnd"/>
      <w:r w:rsidRPr="00152CDF">
        <w:rPr>
          <w:lang w:val="es-ES_tradnl"/>
        </w:rPr>
        <w:t xml:space="preserve"> para </w:t>
      </w:r>
      <w:r w:rsidR="00E32B4F">
        <w:rPr>
          <w:lang w:val="es-ES_tradnl"/>
        </w:rPr>
        <w:t xml:space="preserve">el encasillamiento de </w:t>
      </w:r>
      <w:r w:rsidRPr="00152CDF">
        <w:rPr>
          <w:lang w:val="es-ES_tradnl"/>
        </w:rPr>
        <w:t>docente que se desempeñan en centros educativos de la administración pública</w:t>
      </w:r>
      <w:r w:rsidR="00821C44" w:rsidRPr="00152CDF">
        <w:rPr>
          <w:lang w:val="es-ES_tradnl"/>
        </w:rPr>
        <w:t xml:space="preserve">; </w:t>
      </w:r>
      <w:r w:rsidR="62B232EA" w:rsidRPr="00152CDF">
        <w:rPr>
          <w:lang w:val="es-ES_tradnl"/>
        </w:rPr>
        <w:t>(</w:t>
      </w:r>
      <w:proofErr w:type="spellStart"/>
      <w:r w:rsidR="00821C44" w:rsidRPr="00152CDF">
        <w:rPr>
          <w:lang w:val="es-ES_tradnl"/>
        </w:rPr>
        <w:t>iv</w:t>
      </w:r>
      <w:proofErr w:type="spellEnd"/>
      <w:r w:rsidR="00821C44" w:rsidRPr="00152CDF">
        <w:rPr>
          <w:lang w:val="es-ES_tradnl"/>
        </w:rPr>
        <w:t xml:space="preserve">) </w:t>
      </w:r>
      <w:r w:rsidR="00AA4D8B" w:rsidRPr="00152CDF">
        <w:rPr>
          <w:lang w:val="es-ES_tradnl"/>
        </w:rPr>
        <w:t>v</w:t>
      </w:r>
      <w:r w:rsidR="00E16D34" w:rsidRPr="00152CDF">
        <w:rPr>
          <w:lang w:val="es-ES_tradnl"/>
        </w:rPr>
        <w:t>erificación de los reportes</w:t>
      </w:r>
      <w:r w:rsidR="003B6D1A" w:rsidRPr="00152CDF">
        <w:rPr>
          <w:lang w:val="es-ES_tradnl"/>
        </w:rPr>
        <w:t xml:space="preserve">, registros y sistematización de la información </w:t>
      </w:r>
      <w:r w:rsidR="00E16D34" w:rsidRPr="00152CDF">
        <w:rPr>
          <w:lang w:val="es-ES_tradnl"/>
        </w:rPr>
        <w:t>generados por el OE para dar cuenta de las metas comprometidas</w:t>
      </w:r>
      <w:r w:rsidR="003B6D1A" w:rsidRPr="00152CDF">
        <w:rPr>
          <w:lang w:val="es-ES_tradnl"/>
        </w:rPr>
        <w:t>.</w:t>
      </w:r>
    </w:p>
    <w:p w14:paraId="53CCC467" w14:textId="2A1E6EBF" w:rsidR="00670F04" w:rsidRPr="00152CDF" w:rsidRDefault="00FB1276" w:rsidP="00F947D6">
      <w:pPr>
        <w:pStyle w:val="Heading2"/>
        <w:numPr>
          <w:ilvl w:val="1"/>
          <w:numId w:val="28"/>
        </w:numPr>
        <w:spacing w:before="120"/>
        <w:rPr>
          <w:lang w:val="es-ES_tradnl"/>
        </w:rPr>
        <w:sectPr w:rsidR="00670F04" w:rsidRPr="00152CDF" w:rsidSect="00E762B6">
          <w:type w:val="continuous"/>
          <w:pgSz w:w="12240" w:h="15840"/>
          <w:pgMar w:top="1440" w:right="1440" w:bottom="1440" w:left="1440" w:header="720" w:footer="720" w:gutter="0"/>
          <w:cols w:space="720"/>
          <w:docGrid w:linePitch="360"/>
        </w:sectPr>
      </w:pPr>
      <w:r w:rsidRPr="00152CDF">
        <w:rPr>
          <w:lang w:val="es-ES_tradnl"/>
        </w:rPr>
        <w:t xml:space="preserve">El Cuadro </w:t>
      </w:r>
      <w:r w:rsidR="004F31D7">
        <w:rPr>
          <w:lang w:val="es-ES_tradnl"/>
        </w:rPr>
        <w:t>2</w:t>
      </w:r>
      <w:r w:rsidRPr="00152CDF">
        <w:rPr>
          <w:lang w:val="es-ES_tradnl"/>
        </w:rPr>
        <w:t>.1 muestra los Indicadores de la Matriz de Resultados del Proyecto:</w:t>
      </w:r>
      <w:r w:rsidR="00670F04" w:rsidRPr="00152CDF">
        <w:rPr>
          <w:lang w:val="es-ES_tradnl"/>
        </w:rPr>
        <w:t xml:space="preserve"> </w:t>
      </w:r>
    </w:p>
    <w:p w14:paraId="71977324" w14:textId="6C8B585F" w:rsidR="009B6F31" w:rsidRDefault="00FB1276" w:rsidP="00FB1276">
      <w:pPr>
        <w:spacing w:after="0" w:line="240" w:lineRule="auto"/>
        <w:jc w:val="center"/>
        <w:rPr>
          <w:rFonts w:ascii="Arial" w:hAnsi="Arial" w:cs="Arial"/>
          <w:b/>
          <w:color w:val="000000"/>
          <w:lang w:val="es-ES_tradnl"/>
        </w:rPr>
      </w:pPr>
      <w:r w:rsidRPr="00152CDF">
        <w:rPr>
          <w:rFonts w:ascii="Arial" w:hAnsi="Arial" w:cs="Arial"/>
          <w:b/>
          <w:color w:val="000000"/>
          <w:lang w:val="es-ES_tradnl"/>
        </w:rPr>
        <w:lastRenderedPageBreak/>
        <w:t xml:space="preserve">CUADRO </w:t>
      </w:r>
      <w:r w:rsidR="004F31D7">
        <w:rPr>
          <w:rFonts w:ascii="Arial" w:hAnsi="Arial" w:cs="Arial"/>
          <w:b/>
          <w:color w:val="000000"/>
          <w:lang w:val="es-ES_tradnl"/>
        </w:rPr>
        <w:t>2</w:t>
      </w:r>
      <w:r w:rsidRPr="00152CDF">
        <w:rPr>
          <w:rFonts w:ascii="Arial" w:hAnsi="Arial" w:cs="Arial"/>
          <w:b/>
          <w:color w:val="000000"/>
          <w:lang w:val="es-ES_tradnl"/>
        </w:rPr>
        <w:t>.1: MATRIZ DE RESULTADOS</w:t>
      </w:r>
    </w:p>
    <w:p w14:paraId="5B77B346" w14:textId="6BB40667" w:rsidR="005D3D3C" w:rsidRPr="00105274" w:rsidRDefault="005D3D3C" w:rsidP="005D3D3C">
      <w:pPr>
        <w:autoSpaceDE w:val="0"/>
        <w:autoSpaceDN w:val="0"/>
        <w:adjustRightInd w:val="0"/>
        <w:spacing w:after="120" w:line="240" w:lineRule="auto"/>
        <w:jc w:val="center"/>
        <w:rPr>
          <w:rFonts w:ascii="Arial" w:hAnsi="Arial" w:cs="Arial"/>
          <w:b/>
          <w:bCs/>
          <w:smallCaps/>
          <w:sz w:val="20"/>
          <w:szCs w:val="20"/>
          <w:lang w:val="es-ES_tradnl"/>
        </w:rPr>
      </w:pPr>
    </w:p>
    <w:tbl>
      <w:tblPr>
        <w:tblStyle w:val="TableGrid"/>
        <w:tblW w:w="13338" w:type="dxa"/>
        <w:tblLook w:val="04A0" w:firstRow="1" w:lastRow="0" w:firstColumn="1" w:lastColumn="0" w:noHBand="0" w:noVBand="1"/>
      </w:tblPr>
      <w:tblGrid>
        <w:gridCol w:w="2718"/>
        <w:gridCol w:w="10620"/>
      </w:tblGrid>
      <w:tr w:rsidR="005D3D3C" w:rsidRPr="00376B9E" w14:paraId="54E9CEC7" w14:textId="77777777" w:rsidTr="00C76F20">
        <w:tc>
          <w:tcPr>
            <w:tcW w:w="2718" w:type="dxa"/>
          </w:tcPr>
          <w:p w14:paraId="1A2573B3" w14:textId="77777777" w:rsidR="005D3D3C" w:rsidRPr="00105274" w:rsidRDefault="005D3D3C" w:rsidP="00C76F20">
            <w:pPr>
              <w:pStyle w:val="Paragraph"/>
              <w:tabs>
                <w:tab w:val="clear" w:pos="720"/>
              </w:tabs>
              <w:ind w:left="0" w:firstLine="0"/>
              <w:jc w:val="left"/>
              <w:rPr>
                <w:rFonts w:ascii="Arial" w:hAnsi="Arial" w:cs="Arial"/>
                <w:b/>
                <w:sz w:val="20"/>
                <w:lang w:val="es-ES_tradnl"/>
              </w:rPr>
            </w:pPr>
            <w:r w:rsidRPr="00105274">
              <w:rPr>
                <w:rFonts w:ascii="Arial" w:hAnsi="Arial" w:cs="Arial"/>
                <w:b/>
                <w:sz w:val="20"/>
                <w:lang w:val="es-ES_tradnl"/>
              </w:rPr>
              <w:t xml:space="preserve">Objetivo del Programa: </w:t>
            </w:r>
          </w:p>
        </w:tc>
        <w:tc>
          <w:tcPr>
            <w:tcW w:w="10620" w:type="dxa"/>
          </w:tcPr>
          <w:p w14:paraId="29D469C1" w14:textId="77777777" w:rsidR="005D3D3C" w:rsidRPr="00105274" w:rsidRDefault="005D3D3C" w:rsidP="00C76F20">
            <w:pPr>
              <w:pStyle w:val="Paragraph"/>
              <w:tabs>
                <w:tab w:val="clear" w:pos="720"/>
              </w:tabs>
              <w:ind w:left="0" w:firstLine="0"/>
              <w:rPr>
                <w:rFonts w:ascii="Arial" w:hAnsi="Arial" w:cs="Arial"/>
                <w:sz w:val="20"/>
                <w:lang w:val="es-ES_tradnl"/>
              </w:rPr>
            </w:pPr>
            <w:r w:rsidRPr="00105274">
              <w:rPr>
                <w:rFonts w:ascii="Arial" w:hAnsi="Arial" w:cs="Arial"/>
                <w:sz w:val="20"/>
                <w:lang w:val="es-ES_tradnl"/>
              </w:rPr>
              <w:t>Mejorar la calidad del sistema de educación pública en Chile, a través del fortalecimiento y/o creación de capacidades de liderazgo y soporte técnico-pedagógico a nivel central y local de dicho sistema.</w:t>
            </w:r>
          </w:p>
        </w:tc>
      </w:tr>
    </w:tbl>
    <w:p w14:paraId="28AE94F1" w14:textId="77777777" w:rsidR="005D3D3C" w:rsidRPr="00105274" w:rsidRDefault="005D3D3C" w:rsidP="005D3D3C">
      <w:pPr>
        <w:autoSpaceDE w:val="0"/>
        <w:autoSpaceDN w:val="0"/>
        <w:adjustRightInd w:val="0"/>
        <w:spacing w:after="120" w:line="240" w:lineRule="auto"/>
        <w:jc w:val="both"/>
        <w:rPr>
          <w:rFonts w:ascii="Arial" w:hAnsi="Arial" w:cs="Arial"/>
          <w:b/>
          <w:sz w:val="20"/>
          <w:szCs w:val="20"/>
          <w:lang w:val="es-ES_tradnl"/>
        </w:rPr>
      </w:pPr>
    </w:p>
    <w:p w14:paraId="4C94A390" w14:textId="77777777" w:rsidR="005D3D3C" w:rsidRPr="00105274" w:rsidRDefault="005D3D3C" w:rsidP="005D3D3C">
      <w:pPr>
        <w:autoSpaceDE w:val="0"/>
        <w:autoSpaceDN w:val="0"/>
        <w:adjustRightInd w:val="0"/>
        <w:spacing w:after="120" w:line="240" w:lineRule="auto"/>
        <w:jc w:val="center"/>
        <w:rPr>
          <w:rFonts w:ascii="Arial" w:hAnsi="Arial" w:cs="Arial"/>
          <w:b/>
          <w:smallCaps/>
          <w:sz w:val="20"/>
          <w:szCs w:val="20"/>
          <w:lang w:val="es-ES_tradnl"/>
        </w:rPr>
      </w:pPr>
      <w:r w:rsidRPr="00105274">
        <w:rPr>
          <w:rFonts w:ascii="Arial" w:hAnsi="Arial" w:cs="Arial"/>
          <w:b/>
          <w:smallCaps/>
          <w:sz w:val="20"/>
          <w:szCs w:val="20"/>
          <w:lang w:val="es-ES_tradnl"/>
        </w:rPr>
        <w:t>Resultados de Objetivos Generales</w:t>
      </w:r>
      <w:r>
        <w:rPr>
          <w:rFonts w:ascii="Arial" w:hAnsi="Arial" w:cs="Arial"/>
          <w:b/>
          <w:smallCaps/>
          <w:sz w:val="20"/>
          <w:szCs w:val="20"/>
          <w:lang w:val="es-ES_tradnl"/>
        </w:rPr>
        <w:t xml:space="preserve"> de Desarrollo</w:t>
      </w:r>
    </w:p>
    <w:p w14:paraId="7D53A61F" w14:textId="77777777" w:rsidR="005D3D3C" w:rsidRPr="00105274" w:rsidRDefault="005D3D3C" w:rsidP="005D3D3C">
      <w:pPr>
        <w:spacing w:after="0" w:line="240" w:lineRule="auto"/>
        <w:jc w:val="center"/>
        <w:rPr>
          <w:rFonts w:ascii="Arial" w:hAnsi="Arial" w:cs="Arial"/>
          <w:b/>
          <w:color w:val="000000"/>
          <w:lang w:val="es-CL"/>
        </w:rPr>
      </w:pPr>
    </w:p>
    <w:tbl>
      <w:tblPr>
        <w:tblW w:w="13400" w:type="dxa"/>
        <w:jc w:val="center"/>
        <w:tblCellMar>
          <w:left w:w="70" w:type="dxa"/>
          <w:right w:w="70" w:type="dxa"/>
        </w:tblCellMar>
        <w:tblLook w:val="04A0" w:firstRow="1" w:lastRow="0" w:firstColumn="1" w:lastColumn="0" w:noHBand="0" w:noVBand="1"/>
      </w:tblPr>
      <w:tblGrid>
        <w:gridCol w:w="2960"/>
        <w:gridCol w:w="1170"/>
        <w:gridCol w:w="1620"/>
        <w:gridCol w:w="1620"/>
        <w:gridCol w:w="1620"/>
        <w:gridCol w:w="4410"/>
      </w:tblGrid>
      <w:tr w:rsidR="005D3D3C" w:rsidRPr="00376B9E" w14:paraId="5C75CD83" w14:textId="77777777" w:rsidTr="00C76F20">
        <w:trPr>
          <w:trHeight w:val="915"/>
          <w:jc w:val="center"/>
        </w:trPr>
        <w:tc>
          <w:tcPr>
            <w:tcW w:w="2960" w:type="dxa"/>
            <w:tcBorders>
              <w:top w:val="single" w:sz="4" w:space="0" w:color="auto"/>
              <w:left w:val="single" w:sz="4" w:space="0" w:color="auto"/>
              <w:bottom w:val="single" w:sz="8" w:space="0" w:color="000000" w:themeColor="text1"/>
              <w:right w:val="single" w:sz="8" w:space="0" w:color="000000" w:themeColor="text1"/>
            </w:tcBorders>
            <w:shd w:val="clear" w:color="auto" w:fill="BFBFBF" w:themeFill="background1" w:themeFillShade="BF"/>
            <w:vAlign w:val="center"/>
            <w:hideMark/>
          </w:tcPr>
          <w:p w14:paraId="0D18F929"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Indicadores</w:t>
            </w:r>
          </w:p>
        </w:tc>
        <w:tc>
          <w:tcPr>
            <w:tcW w:w="1170" w:type="dxa"/>
            <w:tcBorders>
              <w:top w:val="single" w:sz="4" w:space="0" w:color="auto"/>
              <w:left w:val="nil"/>
              <w:bottom w:val="single" w:sz="8" w:space="0" w:color="000000" w:themeColor="text1"/>
              <w:right w:val="single" w:sz="8" w:space="0" w:color="000000" w:themeColor="text1"/>
            </w:tcBorders>
            <w:shd w:val="clear" w:color="auto" w:fill="BFBFBF" w:themeFill="background1" w:themeFillShade="BF"/>
            <w:vAlign w:val="center"/>
            <w:hideMark/>
          </w:tcPr>
          <w:p w14:paraId="121B6427"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Unidad de medida</w:t>
            </w:r>
          </w:p>
        </w:tc>
        <w:tc>
          <w:tcPr>
            <w:tcW w:w="1620" w:type="dxa"/>
            <w:tcBorders>
              <w:top w:val="single" w:sz="4" w:space="0" w:color="auto"/>
              <w:left w:val="nil"/>
              <w:bottom w:val="single" w:sz="8" w:space="0" w:color="000000" w:themeColor="text1"/>
              <w:right w:val="single" w:sz="8" w:space="0" w:color="000000" w:themeColor="text1"/>
            </w:tcBorders>
            <w:shd w:val="clear" w:color="auto" w:fill="BFBFBF" w:themeFill="background1" w:themeFillShade="BF"/>
            <w:vAlign w:val="center"/>
            <w:hideMark/>
          </w:tcPr>
          <w:p w14:paraId="3FDDDFDE"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proofErr w:type="gramStart"/>
            <w:r w:rsidRPr="00105274">
              <w:rPr>
                <w:rFonts w:ascii="Arial" w:eastAsia="Times New Roman" w:hAnsi="Arial" w:cs="Arial"/>
                <w:b/>
                <w:bCs/>
                <w:color w:val="000000"/>
                <w:sz w:val="20"/>
                <w:szCs w:val="20"/>
                <w:lang w:val="es-CL" w:eastAsia="es-CL"/>
              </w:rPr>
              <w:t>Valor línea</w:t>
            </w:r>
            <w:proofErr w:type="gramEnd"/>
            <w:r w:rsidRPr="00105274">
              <w:rPr>
                <w:rFonts w:ascii="Arial" w:eastAsia="Times New Roman" w:hAnsi="Arial" w:cs="Arial"/>
                <w:b/>
                <w:bCs/>
                <w:color w:val="000000"/>
                <w:sz w:val="20"/>
                <w:szCs w:val="20"/>
                <w:lang w:val="es-CL" w:eastAsia="es-CL"/>
              </w:rPr>
              <w:t xml:space="preserve"> de base</w:t>
            </w:r>
          </w:p>
        </w:tc>
        <w:tc>
          <w:tcPr>
            <w:tcW w:w="1620" w:type="dxa"/>
            <w:tcBorders>
              <w:top w:val="single" w:sz="4" w:space="0" w:color="auto"/>
              <w:left w:val="nil"/>
              <w:bottom w:val="single" w:sz="8" w:space="0" w:color="000000" w:themeColor="text1"/>
              <w:right w:val="single" w:sz="8" w:space="0" w:color="000000" w:themeColor="text1"/>
            </w:tcBorders>
            <w:shd w:val="clear" w:color="auto" w:fill="BFBFBF" w:themeFill="background1" w:themeFillShade="BF"/>
            <w:vAlign w:val="center"/>
            <w:hideMark/>
          </w:tcPr>
          <w:p w14:paraId="3DE22E3A"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proofErr w:type="gramStart"/>
            <w:r w:rsidRPr="00105274">
              <w:rPr>
                <w:rFonts w:ascii="Arial" w:eastAsia="Times New Roman" w:hAnsi="Arial" w:cs="Arial"/>
                <w:b/>
                <w:bCs/>
                <w:color w:val="000000"/>
                <w:sz w:val="20"/>
                <w:szCs w:val="20"/>
                <w:lang w:val="es-CL" w:eastAsia="es-CL"/>
              </w:rPr>
              <w:t>Año línea</w:t>
            </w:r>
            <w:proofErr w:type="gramEnd"/>
            <w:r w:rsidRPr="00105274">
              <w:rPr>
                <w:rFonts w:ascii="Arial" w:eastAsia="Times New Roman" w:hAnsi="Arial" w:cs="Arial"/>
                <w:b/>
                <w:bCs/>
                <w:color w:val="000000"/>
                <w:sz w:val="20"/>
                <w:szCs w:val="20"/>
                <w:lang w:val="es-CL" w:eastAsia="es-CL"/>
              </w:rPr>
              <w:t xml:space="preserve"> de base</w:t>
            </w:r>
          </w:p>
        </w:tc>
        <w:tc>
          <w:tcPr>
            <w:tcW w:w="1620" w:type="dxa"/>
            <w:tcBorders>
              <w:top w:val="single" w:sz="4" w:space="0" w:color="auto"/>
              <w:left w:val="nil"/>
              <w:bottom w:val="single" w:sz="8" w:space="0" w:color="000000" w:themeColor="text1"/>
              <w:right w:val="single" w:sz="8" w:space="0" w:color="000000" w:themeColor="text1"/>
            </w:tcBorders>
            <w:shd w:val="clear" w:color="auto" w:fill="BFBFBF" w:themeFill="background1" w:themeFillShade="BF"/>
            <w:vAlign w:val="center"/>
            <w:hideMark/>
          </w:tcPr>
          <w:p w14:paraId="29143419"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Fin del proyecto</w:t>
            </w:r>
          </w:p>
        </w:tc>
        <w:tc>
          <w:tcPr>
            <w:tcW w:w="4410" w:type="dxa"/>
            <w:tcBorders>
              <w:top w:val="single" w:sz="4" w:space="0" w:color="auto"/>
              <w:left w:val="nil"/>
              <w:bottom w:val="single" w:sz="8" w:space="0" w:color="000000" w:themeColor="text1"/>
              <w:right w:val="single" w:sz="4" w:space="0" w:color="auto"/>
            </w:tcBorders>
            <w:shd w:val="clear" w:color="auto" w:fill="BFBFBF" w:themeFill="background1" w:themeFillShade="BF"/>
            <w:vAlign w:val="center"/>
            <w:hideMark/>
          </w:tcPr>
          <w:p w14:paraId="071F726F"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 xml:space="preserve">Observaciones y protocolo de medición </w:t>
            </w:r>
          </w:p>
        </w:tc>
      </w:tr>
      <w:tr w:rsidR="005D3D3C" w:rsidRPr="00376B9E" w14:paraId="4C2B2FD2" w14:textId="77777777" w:rsidTr="00C76F20">
        <w:trPr>
          <w:trHeight w:val="295"/>
          <w:jc w:val="center"/>
        </w:trPr>
        <w:tc>
          <w:tcPr>
            <w:tcW w:w="13400" w:type="dxa"/>
            <w:gridSpan w:val="6"/>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tcPr>
          <w:p w14:paraId="2E59F57B" w14:textId="77777777" w:rsidR="005D3D3C" w:rsidRPr="00105274" w:rsidRDefault="005D3D3C" w:rsidP="00C76F20">
            <w:pPr>
              <w:spacing w:after="0" w:line="240" w:lineRule="auto"/>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Objetivo general</w:t>
            </w:r>
            <w:r>
              <w:rPr>
                <w:rFonts w:ascii="Arial" w:eastAsia="Times New Roman" w:hAnsi="Arial" w:cs="Arial"/>
                <w:b/>
                <w:bCs/>
                <w:color w:val="000000"/>
                <w:sz w:val="20"/>
                <w:szCs w:val="20"/>
                <w:lang w:val="es-CL" w:eastAsia="es-CL"/>
              </w:rPr>
              <w:t xml:space="preserve"> de desarrollo</w:t>
            </w:r>
            <w:r w:rsidRPr="00105274">
              <w:rPr>
                <w:rFonts w:ascii="Arial" w:eastAsia="Times New Roman" w:hAnsi="Arial" w:cs="Arial"/>
                <w:b/>
                <w:bCs/>
                <w:color w:val="000000"/>
                <w:sz w:val="20"/>
                <w:szCs w:val="20"/>
                <w:lang w:val="es-CL" w:eastAsia="es-CL"/>
              </w:rPr>
              <w:t xml:space="preserve">: </w:t>
            </w:r>
            <w:r w:rsidRPr="00105274">
              <w:rPr>
                <w:rFonts w:ascii="Arial" w:hAnsi="Arial" w:cs="Arial"/>
                <w:sz w:val="20"/>
                <w:lang w:val="es-ES_tradnl"/>
              </w:rPr>
              <w:t>Mejorar la calidad del sistema de educación pública en Chile</w:t>
            </w:r>
          </w:p>
        </w:tc>
      </w:tr>
      <w:tr w:rsidR="005D3D3C" w:rsidRPr="00376B9E" w14:paraId="19E75D66" w14:textId="77777777" w:rsidTr="00C76F20">
        <w:trPr>
          <w:trHeight w:val="570"/>
          <w:jc w:val="center"/>
        </w:trPr>
        <w:tc>
          <w:tcPr>
            <w:tcW w:w="2960" w:type="dxa"/>
            <w:tcBorders>
              <w:top w:val="nil"/>
              <w:left w:val="single" w:sz="4" w:space="0" w:color="auto"/>
              <w:bottom w:val="nil"/>
              <w:right w:val="single" w:sz="8" w:space="0" w:color="000000" w:themeColor="text1"/>
            </w:tcBorders>
            <w:shd w:val="clear" w:color="auto" w:fill="auto"/>
            <w:vAlign w:val="center"/>
            <w:hideMark/>
          </w:tcPr>
          <w:p w14:paraId="2FD677B6"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bCs/>
                <w:color w:val="000000"/>
                <w:sz w:val="20"/>
                <w:szCs w:val="20"/>
                <w:lang w:val="es-CL" w:eastAsia="es-CL"/>
              </w:rPr>
              <w:t>Estudiantes en nivel insuficiente de 4º básico de escuelas públicas en prueba SIMCE matemáticas</w:t>
            </w:r>
          </w:p>
        </w:tc>
        <w:tc>
          <w:tcPr>
            <w:tcW w:w="1170" w:type="dxa"/>
            <w:tcBorders>
              <w:top w:val="nil"/>
              <w:left w:val="nil"/>
              <w:bottom w:val="nil"/>
              <w:right w:val="single" w:sz="8" w:space="0" w:color="000000" w:themeColor="text1"/>
            </w:tcBorders>
            <w:shd w:val="clear" w:color="auto" w:fill="auto"/>
            <w:vAlign w:val="center"/>
            <w:hideMark/>
          </w:tcPr>
          <w:p w14:paraId="51BB5496"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w:t>
            </w:r>
          </w:p>
        </w:tc>
        <w:tc>
          <w:tcPr>
            <w:tcW w:w="1620" w:type="dxa"/>
            <w:tcBorders>
              <w:top w:val="nil"/>
              <w:left w:val="nil"/>
              <w:bottom w:val="nil"/>
              <w:right w:val="single" w:sz="8" w:space="0" w:color="000000" w:themeColor="text1"/>
            </w:tcBorders>
            <w:shd w:val="clear" w:color="auto" w:fill="auto"/>
            <w:vAlign w:val="center"/>
            <w:hideMark/>
          </w:tcPr>
          <w:p w14:paraId="1AA8E5AC"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themeColor="text1"/>
                <w:sz w:val="20"/>
                <w:szCs w:val="20"/>
                <w:lang w:val="es-CL" w:eastAsia="es-CL"/>
              </w:rPr>
              <w:t>46</w:t>
            </w:r>
          </w:p>
        </w:tc>
        <w:tc>
          <w:tcPr>
            <w:tcW w:w="1620" w:type="dxa"/>
            <w:tcBorders>
              <w:top w:val="nil"/>
              <w:left w:val="nil"/>
              <w:bottom w:val="nil"/>
              <w:right w:val="single" w:sz="8" w:space="0" w:color="000000" w:themeColor="text1"/>
            </w:tcBorders>
            <w:shd w:val="clear" w:color="auto" w:fill="auto"/>
            <w:vAlign w:val="center"/>
            <w:hideMark/>
          </w:tcPr>
          <w:p w14:paraId="5C7FAF88"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2017</w:t>
            </w:r>
          </w:p>
        </w:tc>
        <w:tc>
          <w:tcPr>
            <w:tcW w:w="1620" w:type="dxa"/>
            <w:tcBorders>
              <w:top w:val="nil"/>
              <w:left w:val="nil"/>
              <w:bottom w:val="nil"/>
              <w:right w:val="single" w:sz="8" w:space="0" w:color="000000" w:themeColor="text1"/>
            </w:tcBorders>
            <w:shd w:val="clear" w:color="auto" w:fill="auto"/>
            <w:vAlign w:val="center"/>
            <w:hideMark/>
          </w:tcPr>
          <w:p w14:paraId="297DC927"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3FCD3B24">
              <w:rPr>
                <w:rFonts w:ascii="Arial" w:eastAsia="Times New Roman" w:hAnsi="Arial" w:cs="Arial"/>
                <w:b/>
                <w:bCs/>
                <w:color w:val="000000" w:themeColor="text1"/>
                <w:sz w:val="20"/>
                <w:szCs w:val="20"/>
                <w:lang w:val="es-CL" w:eastAsia="es-CL"/>
              </w:rPr>
              <w:t>41%</w:t>
            </w:r>
          </w:p>
        </w:tc>
        <w:tc>
          <w:tcPr>
            <w:tcW w:w="4410" w:type="dxa"/>
            <w:vMerge w:val="restart"/>
            <w:tcBorders>
              <w:top w:val="nil"/>
              <w:left w:val="nil"/>
              <w:right w:val="single" w:sz="4" w:space="0" w:color="auto"/>
            </w:tcBorders>
            <w:shd w:val="clear" w:color="auto" w:fill="auto"/>
            <w:vAlign w:val="center"/>
            <w:hideMark/>
          </w:tcPr>
          <w:p w14:paraId="599AA15A" w14:textId="77777777" w:rsidR="005D3D3C" w:rsidRPr="00105274" w:rsidRDefault="005D3D3C" w:rsidP="00C76F20">
            <w:pPr>
              <w:spacing w:after="0" w:line="240" w:lineRule="auto"/>
              <w:jc w:val="both"/>
              <w:rPr>
                <w:rFonts w:ascii="Arial" w:eastAsia="Times New Roman" w:hAnsi="Arial" w:cs="Arial"/>
                <w:bCs/>
                <w:color w:val="000000"/>
                <w:sz w:val="20"/>
                <w:szCs w:val="20"/>
                <w:lang w:val="es-CL" w:eastAsia="es-CL"/>
              </w:rPr>
            </w:pPr>
            <w:r w:rsidRPr="00105274">
              <w:rPr>
                <w:rFonts w:ascii="Arial" w:eastAsia="Times New Roman" w:hAnsi="Arial" w:cs="Arial"/>
                <w:bCs/>
                <w:color w:val="000000"/>
                <w:sz w:val="20"/>
                <w:szCs w:val="20"/>
                <w:lang w:val="es-CL" w:eastAsia="es-CL"/>
              </w:rPr>
              <w:t xml:space="preserve">El análisis se basará en el Sistema de Evaluación de Logros Educativos SIMCE levantado anualmente por la Agencia de Calidad de la Educación. El SIMCE incluye exámenes estandarizados anuales en lenguaje y matemática, entre otras. </w:t>
            </w:r>
          </w:p>
          <w:p w14:paraId="1C2CDEC7" w14:textId="77777777" w:rsidR="005D3D3C" w:rsidRPr="00105274" w:rsidRDefault="005D3D3C" w:rsidP="00C76F20">
            <w:pPr>
              <w:spacing w:after="0" w:line="240" w:lineRule="auto"/>
              <w:jc w:val="both"/>
              <w:rPr>
                <w:rFonts w:ascii="Arial" w:eastAsia="Times New Roman" w:hAnsi="Arial" w:cs="Arial"/>
                <w:bCs/>
                <w:color w:val="000000"/>
                <w:sz w:val="20"/>
                <w:szCs w:val="20"/>
                <w:lang w:val="es-CL" w:eastAsia="es-CL"/>
              </w:rPr>
            </w:pPr>
          </w:p>
          <w:p w14:paraId="006B2D0C" w14:textId="77777777" w:rsidR="005D3D3C" w:rsidRPr="00105274" w:rsidRDefault="005D3D3C" w:rsidP="00C76F20">
            <w:pPr>
              <w:spacing w:after="0" w:line="240" w:lineRule="auto"/>
              <w:jc w:val="both"/>
              <w:rPr>
                <w:rFonts w:ascii="Arial" w:eastAsia="Times New Roman" w:hAnsi="Arial" w:cs="Arial"/>
                <w:bCs/>
                <w:color w:val="000000"/>
                <w:sz w:val="20"/>
                <w:szCs w:val="20"/>
                <w:lang w:val="es-CL" w:eastAsia="es-CL"/>
              </w:rPr>
            </w:pPr>
            <w:r w:rsidRPr="00105274">
              <w:rPr>
                <w:rFonts w:ascii="Arial" w:eastAsia="Times New Roman" w:hAnsi="Arial" w:cs="Arial"/>
                <w:bCs/>
                <w:color w:val="000000"/>
                <w:sz w:val="20"/>
                <w:szCs w:val="20"/>
                <w:lang w:val="es-CL" w:eastAsia="es-CL"/>
              </w:rPr>
              <w:t xml:space="preserve">La línea de base corresponde al 2017 considerando que es el último año antes de la implementación de la primera ola de </w:t>
            </w:r>
            <w:proofErr w:type="spellStart"/>
            <w:r w:rsidRPr="00105274">
              <w:rPr>
                <w:rFonts w:ascii="Arial" w:eastAsia="Times New Roman" w:hAnsi="Arial" w:cs="Arial"/>
                <w:bCs/>
                <w:color w:val="000000"/>
                <w:sz w:val="20"/>
                <w:szCs w:val="20"/>
                <w:lang w:val="es-CL" w:eastAsia="es-CL"/>
              </w:rPr>
              <w:t>SLEPs</w:t>
            </w:r>
            <w:proofErr w:type="spellEnd"/>
            <w:r w:rsidRPr="00105274">
              <w:rPr>
                <w:rFonts w:ascii="Arial" w:eastAsia="Times New Roman" w:hAnsi="Arial" w:cs="Arial"/>
                <w:bCs/>
                <w:color w:val="000000"/>
                <w:sz w:val="20"/>
                <w:szCs w:val="20"/>
                <w:lang w:val="es-CL" w:eastAsia="es-CL"/>
              </w:rPr>
              <w:t>.</w:t>
            </w:r>
          </w:p>
          <w:p w14:paraId="2AABD40B" w14:textId="77777777" w:rsidR="005D3D3C" w:rsidRPr="00105274" w:rsidRDefault="005D3D3C" w:rsidP="00C76F20">
            <w:pPr>
              <w:spacing w:after="0" w:line="240" w:lineRule="auto"/>
              <w:jc w:val="both"/>
              <w:rPr>
                <w:rFonts w:ascii="Arial" w:eastAsia="Times New Roman" w:hAnsi="Arial" w:cs="Arial"/>
                <w:bCs/>
                <w:color w:val="000000"/>
                <w:sz w:val="20"/>
                <w:szCs w:val="20"/>
                <w:lang w:val="es-CL" w:eastAsia="es-CL"/>
              </w:rPr>
            </w:pPr>
          </w:p>
          <w:p w14:paraId="1CF263B2" w14:textId="77777777" w:rsidR="005D3D3C" w:rsidRPr="00105274" w:rsidRDefault="005D3D3C" w:rsidP="00C76F20">
            <w:pPr>
              <w:spacing w:after="0" w:line="240" w:lineRule="auto"/>
              <w:jc w:val="both"/>
              <w:rPr>
                <w:rFonts w:ascii="Arial" w:eastAsia="Times New Roman" w:hAnsi="Arial" w:cs="Arial"/>
                <w:bCs/>
                <w:color w:val="000000"/>
                <w:sz w:val="20"/>
                <w:szCs w:val="20"/>
                <w:lang w:val="es-CL" w:eastAsia="es-CL"/>
              </w:rPr>
            </w:pPr>
            <w:r w:rsidRPr="00105274">
              <w:rPr>
                <w:rFonts w:ascii="Arial" w:eastAsia="Times New Roman" w:hAnsi="Arial" w:cs="Arial"/>
                <w:bCs/>
                <w:color w:val="000000"/>
                <w:sz w:val="20"/>
                <w:szCs w:val="20"/>
                <w:lang w:val="es-CL" w:eastAsia="es-CL"/>
              </w:rPr>
              <w:t>Los estudiantes clasificados en el nivel insuficiente no logran demostrar consistentemente que han adquirido los conocimientos y habilidades más elementales estipulados en el currículum para el nivel evaluado. </w:t>
            </w:r>
          </w:p>
        </w:tc>
      </w:tr>
      <w:tr w:rsidR="005D3D3C" w:rsidRPr="00105274" w14:paraId="72BBC232" w14:textId="77777777" w:rsidTr="00C76F20">
        <w:trPr>
          <w:trHeight w:val="916"/>
          <w:jc w:val="center"/>
        </w:trPr>
        <w:tc>
          <w:tcPr>
            <w:tcW w:w="2960" w:type="dxa"/>
            <w:tcBorders>
              <w:top w:val="single" w:sz="8" w:space="0" w:color="000000" w:themeColor="text1"/>
              <w:left w:val="single" w:sz="4" w:space="0" w:color="auto"/>
              <w:bottom w:val="nil"/>
              <w:right w:val="single" w:sz="8" w:space="0" w:color="000000" w:themeColor="text1"/>
            </w:tcBorders>
            <w:shd w:val="clear" w:color="auto" w:fill="auto"/>
            <w:vAlign w:val="center"/>
            <w:hideMark/>
          </w:tcPr>
          <w:p w14:paraId="5BF6D6F3"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bCs/>
                <w:color w:val="000000"/>
                <w:sz w:val="20"/>
                <w:szCs w:val="20"/>
                <w:lang w:val="es-CL" w:eastAsia="es-CL"/>
              </w:rPr>
              <w:t>Estudiantes en nivel insuficiente de 4º básico de escuelas públicas en prueba SIMCE lenguaje</w:t>
            </w:r>
          </w:p>
        </w:tc>
        <w:tc>
          <w:tcPr>
            <w:tcW w:w="1170" w:type="dxa"/>
            <w:tcBorders>
              <w:top w:val="single" w:sz="8" w:space="0" w:color="000000" w:themeColor="text1"/>
              <w:left w:val="nil"/>
              <w:bottom w:val="nil"/>
              <w:right w:val="single" w:sz="8" w:space="0" w:color="000000" w:themeColor="text1"/>
            </w:tcBorders>
            <w:shd w:val="clear" w:color="auto" w:fill="auto"/>
            <w:vAlign w:val="center"/>
            <w:hideMark/>
          </w:tcPr>
          <w:p w14:paraId="27A11603"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w:t>
            </w:r>
          </w:p>
        </w:tc>
        <w:tc>
          <w:tcPr>
            <w:tcW w:w="1620" w:type="dxa"/>
            <w:tcBorders>
              <w:top w:val="single" w:sz="8" w:space="0" w:color="000000" w:themeColor="text1"/>
              <w:left w:val="nil"/>
              <w:bottom w:val="nil"/>
              <w:right w:val="single" w:sz="8" w:space="0" w:color="000000" w:themeColor="text1"/>
            </w:tcBorders>
            <w:shd w:val="clear" w:color="auto" w:fill="auto"/>
            <w:vAlign w:val="center"/>
            <w:hideMark/>
          </w:tcPr>
          <w:p w14:paraId="69D63845"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themeColor="text1"/>
                <w:sz w:val="20"/>
                <w:szCs w:val="20"/>
                <w:lang w:val="es-CL" w:eastAsia="es-CL"/>
              </w:rPr>
              <w:t>40</w:t>
            </w:r>
          </w:p>
        </w:tc>
        <w:tc>
          <w:tcPr>
            <w:tcW w:w="1620" w:type="dxa"/>
            <w:tcBorders>
              <w:top w:val="single" w:sz="8" w:space="0" w:color="000000" w:themeColor="text1"/>
              <w:left w:val="nil"/>
              <w:bottom w:val="nil"/>
              <w:right w:val="single" w:sz="8" w:space="0" w:color="000000" w:themeColor="text1"/>
            </w:tcBorders>
            <w:shd w:val="clear" w:color="auto" w:fill="auto"/>
            <w:vAlign w:val="center"/>
            <w:hideMark/>
          </w:tcPr>
          <w:p w14:paraId="5A399E55"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2017</w:t>
            </w:r>
          </w:p>
        </w:tc>
        <w:tc>
          <w:tcPr>
            <w:tcW w:w="1620" w:type="dxa"/>
            <w:tcBorders>
              <w:top w:val="single" w:sz="8" w:space="0" w:color="000000" w:themeColor="text1"/>
              <w:left w:val="nil"/>
              <w:bottom w:val="nil"/>
              <w:right w:val="single" w:sz="8" w:space="0" w:color="000000" w:themeColor="text1"/>
            </w:tcBorders>
            <w:shd w:val="clear" w:color="auto" w:fill="auto"/>
            <w:vAlign w:val="center"/>
            <w:hideMark/>
          </w:tcPr>
          <w:p w14:paraId="6F7C18F7"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3FCD3B24">
              <w:rPr>
                <w:rFonts w:ascii="Arial" w:eastAsia="Times New Roman" w:hAnsi="Arial" w:cs="Arial"/>
                <w:b/>
                <w:bCs/>
                <w:color w:val="000000" w:themeColor="text1"/>
                <w:sz w:val="20"/>
                <w:szCs w:val="20"/>
                <w:lang w:val="es-CL" w:eastAsia="es-CL"/>
              </w:rPr>
              <w:t>35%</w:t>
            </w:r>
          </w:p>
        </w:tc>
        <w:tc>
          <w:tcPr>
            <w:tcW w:w="4410" w:type="dxa"/>
            <w:vMerge/>
            <w:tcBorders>
              <w:right w:val="single" w:sz="4" w:space="0" w:color="auto"/>
            </w:tcBorders>
            <w:vAlign w:val="center"/>
            <w:hideMark/>
          </w:tcPr>
          <w:p w14:paraId="06D69FC3"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p>
        </w:tc>
      </w:tr>
      <w:tr w:rsidR="005D3D3C" w:rsidRPr="00105274" w14:paraId="4AC2ECF7" w14:textId="77777777" w:rsidTr="00C76F20">
        <w:trPr>
          <w:trHeight w:val="997"/>
          <w:jc w:val="center"/>
        </w:trPr>
        <w:tc>
          <w:tcPr>
            <w:tcW w:w="2960" w:type="dxa"/>
            <w:tcBorders>
              <w:top w:val="single" w:sz="8" w:space="0" w:color="000000" w:themeColor="text1"/>
              <w:left w:val="single" w:sz="4" w:space="0" w:color="auto"/>
              <w:bottom w:val="nil"/>
              <w:right w:val="single" w:sz="8" w:space="0" w:color="000000" w:themeColor="text1"/>
            </w:tcBorders>
            <w:shd w:val="clear" w:color="auto" w:fill="auto"/>
            <w:vAlign w:val="center"/>
            <w:hideMark/>
          </w:tcPr>
          <w:p w14:paraId="2815E782"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bCs/>
                <w:color w:val="000000"/>
                <w:sz w:val="20"/>
                <w:szCs w:val="20"/>
                <w:lang w:val="es-CL" w:eastAsia="es-CL"/>
              </w:rPr>
              <w:t>Estudiantes en nivel insuficiente de II medio de escuelas públicas en prueba SIMCE matemática</w:t>
            </w:r>
          </w:p>
        </w:tc>
        <w:tc>
          <w:tcPr>
            <w:tcW w:w="1170" w:type="dxa"/>
            <w:tcBorders>
              <w:top w:val="single" w:sz="8" w:space="0" w:color="000000" w:themeColor="text1"/>
              <w:left w:val="nil"/>
              <w:bottom w:val="nil"/>
              <w:right w:val="single" w:sz="8" w:space="0" w:color="000000" w:themeColor="text1"/>
            </w:tcBorders>
            <w:shd w:val="clear" w:color="auto" w:fill="auto"/>
            <w:vAlign w:val="center"/>
            <w:hideMark/>
          </w:tcPr>
          <w:p w14:paraId="6B5F3D11"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w:t>
            </w:r>
          </w:p>
        </w:tc>
        <w:tc>
          <w:tcPr>
            <w:tcW w:w="1620" w:type="dxa"/>
            <w:tcBorders>
              <w:top w:val="single" w:sz="8" w:space="0" w:color="000000" w:themeColor="text1"/>
              <w:left w:val="nil"/>
              <w:bottom w:val="nil"/>
              <w:right w:val="single" w:sz="8" w:space="0" w:color="000000" w:themeColor="text1"/>
            </w:tcBorders>
            <w:shd w:val="clear" w:color="auto" w:fill="auto"/>
            <w:vAlign w:val="center"/>
            <w:hideMark/>
          </w:tcPr>
          <w:p w14:paraId="3FB6A305"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themeColor="text1"/>
                <w:sz w:val="20"/>
                <w:szCs w:val="20"/>
                <w:lang w:val="es-CL" w:eastAsia="es-CL"/>
              </w:rPr>
              <w:t>67</w:t>
            </w:r>
          </w:p>
        </w:tc>
        <w:tc>
          <w:tcPr>
            <w:tcW w:w="1620" w:type="dxa"/>
            <w:tcBorders>
              <w:top w:val="single" w:sz="8" w:space="0" w:color="000000" w:themeColor="text1"/>
              <w:left w:val="nil"/>
              <w:bottom w:val="nil"/>
              <w:right w:val="single" w:sz="8" w:space="0" w:color="000000" w:themeColor="text1"/>
            </w:tcBorders>
            <w:shd w:val="clear" w:color="auto" w:fill="auto"/>
            <w:vAlign w:val="center"/>
            <w:hideMark/>
          </w:tcPr>
          <w:p w14:paraId="5C98DBBE"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2017</w:t>
            </w:r>
          </w:p>
        </w:tc>
        <w:tc>
          <w:tcPr>
            <w:tcW w:w="1620" w:type="dxa"/>
            <w:tcBorders>
              <w:top w:val="single" w:sz="8" w:space="0" w:color="000000" w:themeColor="text1"/>
              <w:left w:val="nil"/>
              <w:bottom w:val="nil"/>
              <w:right w:val="single" w:sz="8" w:space="0" w:color="000000" w:themeColor="text1"/>
            </w:tcBorders>
            <w:shd w:val="clear" w:color="auto" w:fill="auto"/>
            <w:vAlign w:val="center"/>
            <w:hideMark/>
          </w:tcPr>
          <w:p w14:paraId="6F32FB8F"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3FCD3B24">
              <w:rPr>
                <w:rFonts w:ascii="Arial" w:eastAsia="Times New Roman" w:hAnsi="Arial" w:cs="Arial"/>
                <w:b/>
                <w:bCs/>
                <w:color w:val="000000" w:themeColor="text1"/>
                <w:sz w:val="20"/>
                <w:szCs w:val="20"/>
                <w:lang w:val="es-CL" w:eastAsia="es-CL"/>
              </w:rPr>
              <w:t>62%</w:t>
            </w:r>
          </w:p>
        </w:tc>
        <w:tc>
          <w:tcPr>
            <w:tcW w:w="4410" w:type="dxa"/>
            <w:vMerge/>
            <w:tcBorders>
              <w:right w:val="single" w:sz="4" w:space="0" w:color="auto"/>
            </w:tcBorders>
            <w:vAlign w:val="center"/>
            <w:hideMark/>
          </w:tcPr>
          <w:p w14:paraId="11E9A09A"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p>
        </w:tc>
      </w:tr>
      <w:tr w:rsidR="005D3D3C" w:rsidRPr="00105274" w14:paraId="55DF7993" w14:textId="77777777" w:rsidTr="00C76F20">
        <w:trPr>
          <w:trHeight w:val="673"/>
          <w:jc w:val="center"/>
        </w:trPr>
        <w:tc>
          <w:tcPr>
            <w:tcW w:w="2960" w:type="dxa"/>
            <w:tcBorders>
              <w:top w:val="single" w:sz="8" w:space="0" w:color="000000" w:themeColor="text1"/>
              <w:left w:val="single" w:sz="4" w:space="0" w:color="auto"/>
              <w:bottom w:val="single" w:sz="4" w:space="0" w:color="auto"/>
              <w:right w:val="single" w:sz="8" w:space="0" w:color="000000" w:themeColor="text1"/>
            </w:tcBorders>
            <w:shd w:val="clear" w:color="auto" w:fill="FFFFFF" w:themeFill="background1"/>
            <w:vAlign w:val="center"/>
            <w:hideMark/>
          </w:tcPr>
          <w:p w14:paraId="3309A256"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bCs/>
                <w:color w:val="000000"/>
                <w:sz w:val="20"/>
                <w:szCs w:val="20"/>
                <w:lang w:val="es-CL" w:eastAsia="es-CL"/>
              </w:rPr>
              <w:t>Estudiantes en nivel insuficiente de II medio de escuelas públicas en prueba SIMCE lenguaje</w:t>
            </w:r>
          </w:p>
        </w:tc>
        <w:tc>
          <w:tcPr>
            <w:tcW w:w="1170" w:type="dxa"/>
            <w:tcBorders>
              <w:top w:val="single" w:sz="8" w:space="0" w:color="000000" w:themeColor="text1"/>
              <w:left w:val="nil"/>
              <w:bottom w:val="single" w:sz="4" w:space="0" w:color="auto"/>
              <w:right w:val="single" w:sz="8" w:space="0" w:color="000000" w:themeColor="text1"/>
            </w:tcBorders>
            <w:shd w:val="clear" w:color="auto" w:fill="FFFFFF" w:themeFill="background1"/>
            <w:vAlign w:val="center"/>
            <w:hideMark/>
          </w:tcPr>
          <w:p w14:paraId="13A5989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w:t>
            </w:r>
          </w:p>
        </w:tc>
        <w:tc>
          <w:tcPr>
            <w:tcW w:w="1620" w:type="dxa"/>
            <w:tcBorders>
              <w:top w:val="single" w:sz="8" w:space="0" w:color="000000" w:themeColor="text1"/>
              <w:left w:val="nil"/>
              <w:bottom w:val="single" w:sz="4" w:space="0" w:color="auto"/>
              <w:right w:val="single" w:sz="8" w:space="0" w:color="000000" w:themeColor="text1"/>
            </w:tcBorders>
            <w:shd w:val="clear" w:color="auto" w:fill="FFFFFF" w:themeFill="background1"/>
            <w:vAlign w:val="center"/>
            <w:hideMark/>
          </w:tcPr>
          <w:p w14:paraId="52DB4FB7"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themeColor="text1"/>
                <w:sz w:val="20"/>
                <w:szCs w:val="20"/>
                <w:lang w:val="es-CL" w:eastAsia="es-CL"/>
              </w:rPr>
              <w:t>62</w:t>
            </w:r>
          </w:p>
        </w:tc>
        <w:tc>
          <w:tcPr>
            <w:tcW w:w="1620" w:type="dxa"/>
            <w:tcBorders>
              <w:top w:val="single" w:sz="8" w:space="0" w:color="000000" w:themeColor="text1"/>
              <w:left w:val="nil"/>
              <w:bottom w:val="single" w:sz="4" w:space="0" w:color="auto"/>
              <w:right w:val="single" w:sz="8" w:space="0" w:color="000000" w:themeColor="text1"/>
            </w:tcBorders>
            <w:shd w:val="clear" w:color="auto" w:fill="FFFFFF" w:themeFill="background1"/>
            <w:vAlign w:val="center"/>
            <w:hideMark/>
          </w:tcPr>
          <w:p w14:paraId="428DF32D"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CL" w:eastAsia="es-CL"/>
              </w:rPr>
              <w:t>2017</w:t>
            </w:r>
          </w:p>
        </w:tc>
        <w:tc>
          <w:tcPr>
            <w:tcW w:w="1620" w:type="dxa"/>
            <w:tcBorders>
              <w:top w:val="single" w:sz="8" w:space="0" w:color="000000" w:themeColor="text1"/>
              <w:left w:val="nil"/>
              <w:bottom w:val="single" w:sz="4" w:space="0" w:color="auto"/>
              <w:right w:val="single" w:sz="8" w:space="0" w:color="000000" w:themeColor="text1"/>
            </w:tcBorders>
            <w:shd w:val="clear" w:color="auto" w:fill="FFFFFF" w:themeFill="background1"/>
            <w:vAlign w:val="center"/>
            <w:hideMark/>
          </w:tcPr>
          <w:p w14:paraId="5AB6DB10" w14:textId="77777777" w:rsidR="005D3D3C" w:rsidRPr="00105274" w:rsidRDefault="005D3D3C" w:rsidP="00C76F20">
            <w:pPr>
              <w:spacing w:after="0" w:line="240" w:lineRule="auto"/>
              <w:jc w:val="center"/>
              <w:rPr>
                <w:rFonts w:ascii="Arial" w:eastAsia="Times New Roman" w:hAnsi="Arial" w:cs="Arial"/>
                <w:b/>
                <w:bCs/>
                <w:color w:val="000000"/>
                <w:sz w:val="20"/>
                <w:szCs w:val="20"/>
                <w:lang w:val="es-CL" w:eastAsia="es-CL"/>
              </w:rPr>
            </w:pPr>
            <w:r w:rsidRPr="3FCD3B24">
              <w:rPr>
                <w:rFonts w:ascii="Arial" w:eastAsia="Times New Roman" w:hAnsi="Arial" w:cs="Arial"/>
                <w:b/>
                <w:bCs/>
                <w:color w:val="000000" w:themeColor="text1"/>
                <w:sz w:val="20"/>
                <w:szCs w:val="20"/>
                <w:lang w:val="es-CL" w:eastAsia="es-CL"/>
              </w:rPr>
              <w:t>57%</w:t>
            </w:r>
          </w:p>
        </w:tc>
        <w:tc>
          <w:tcPr>
            <w:tcW w:w="4410" w:type="dxa"/>
            <w:vMerge/>
            <w:tcBorders>
              <w:bottom w:val="single" w:sz="4" w:space="0" w:color="auto"/>
              <w:right w:val="single" w:sz="4" w:space="0" w:color="auto"/>
            </w:tcBorders>
            <w:vAlign w:val="center"/>
            <w:hideMark/>
          </w:tcPr>
          <w:p w14:paraId="33FEED39"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p>
        </w:tc>
      </w:tr>
    </w:tbl>
    <w:p w14:paraId="7947DC62" w14:textId="77777777" w:rsidR="005D3D3C" w:rsidRPr="00105274" w:rsidRDefault="005D3D3C" w:rsidP="005D3D3C">
      <w:pPr>
        <w:rPr>
          <w:rFonts w:ascii="Arial" w:hAnsi="Arial" w:cs="Arial"/>
          <w:b/>
          <w:color w:val="000000"/>
          <w:lang w:val="es-CL"/>
        </w:rPr>
      </w:pPr>
    </w:p>
    <w:p w14:paraId="54DE8F97" w14:textId="77777777" w:rsidR="005D3D3C" w:rsidRPr="00105274" w:rsidRDefault="005D3D3C" w:rsidP="005D3D3C">
      <w:pPr>
        <w:autoSpaceDE w:val="0"/>
        <w:autoSpaceDN w:val="0"/>
        <w:adjustRightInd w:val="0"/>
        <w:spacing w:after="120" w:line="240" w:lineRule="auto"/>
        <w:jc w:val="center"/>
        <w:rPr>
          <w:rFonts w:ascii="Arial" w:hAnsi="Arial" w:cs="Arial"/>
          <w:b/>
          <w:smallCaps/>
          <w:sz w:val="20"/>
          <w:szCs w:val="20"/>
          <w:lang w:val="es-CL"/>
        </w:rPr>
      </w:pPr>
    </w:p>
    <w:p w14:paraId="79377496" w14:textId="77777777" w:rsidR="005D3D3C" w:rsidRPr="00105274" w:rsidRDefault="005D3D3C" w:rsidP="005D3D3C">
      <w:pPr>
        <w:autoSpaceDE w:val="0"/>
        <w:autoSpaceDN w:val="0"/>
        <w:adjustRightInd w:val="0"/>
        <w:spacing w:after="120" w:line="240" w:lineRule="auto"/>
        <w:jc w:val="center"/>
        <w:rPr>
          <w:rFonts w:ascii="Arial" w:hAnsi="Arial" w:cs="Arial"/>
          <w:b/>
          <w:smallCaps/>
          <w:color w:val="000000"/>
          <w:sz w:val="20"/>
          <w:szCs w:val="20"/>
          <w:lang w:val="es-CL"/>
        </w:rPr>
      </w:pPr>
    </w:p>
    <w:p w14:paraId="5F808B70" w14:textId="77777777" w:rsidR="005D3D3C" w:rsidRPr="00105274" w:rsidRDefault="005D3D3C" w:rsidP="005D3D3C">
      <w:pPr>
        <w:spacing w:after="0" w:line="240" w:lineRule="auto"/>
        <w:rPr>
          <w:rFonts w:ascii="Arial" w:hAnsi="Arial" w:cs="Arial"/>
          <w:b/>
          <w:color w:val="000000"/>
          <w:lang w:val="es-CL"/>
        </w:rPr>
      </w:pPr>
      <w:r w:rsidRPr="00105274">
        <w:rPr>
          <w:rFonts w:ascii="Arial" w:hAnsi="Arial" w:cs="Arial"/>
          <w:b/>
          <w:color w:val="000000"/>
          <w:lang w:val="es-CL"/>
        </w:rPr>
        <w:br w:type="page"/>
      </w:r>
    </w:p>
    <w:p w14:paraId="617225B9" w14:textId="77777777" w:rsidR="005D3D3C" w:rsidRPr="00105274" w:rsidRDefault="005D3D3C" w:rsidP="005D3D3C">
      <w:pPr>
        <w:spacing w:after="0" w:line="240" w:lineRule="auto"/>
        <w:jc w:val="center"/>
        <w:rPr>
          <w:rFonts w:ascii="Arial" w:hAnsi="Arial" w:cs="Arial"/>
          <w:b/>
          <w:color w:val="000000"/>
          <w:lang w:val="es-CL"/>
        </w:rPr>
      </w:pPr>
      <w:r w:rsidRPr="00105274">
        <w:rPr>
          <w:rFonts w:ascii="Arial" w:hAnsi="Arial" w:cs="Arial"/>
          <w:b/>
          <w:smallCaps/>
          <w:sz w:val="20"/>
          <w:szCs w:val="20"/>
          <w:lang w:val="es-ES_tradnl"/>
        </w:rPr>
        <w:lastRenderedPageBreak/>
        <w:t>Resultados de Objetivos Específicos</w:t>
      </w:r>
      <w:r>
        <w:rPr>
          <w:rFonts w:ascii="Arial" w:hAnsi="Arial" w:cs="Arial"/>
          <w:b/>
          <w:smallCaps/>
          <w:sz w:val="20"/>
          <w:szCs w:val="20"/>
          <w:lang w:val="es-ES_tradnl"/>
        </w:rPr>
        <w:t xml:space="preserve"> de Desarrollo</w:t>
      </w:r>
    </w:p>
    <w:tbl>
      <w:tblPr>
        <w:tblW w:w="13143" w:type="dxa"/>
        <w:tblInd w:w="437" w:type="dxa"/>
        <w:tblLayout w:type="fixed"/>
        <w:tblCellMar>
          <w:left w:w="70" w:type="dxa"/>
          <w:right w:w="70" w:type="dxa"/>
        </w:tblCellMar>
        <w:tblLook w:val="04A0" w:firstRow="1" w:lastRow="0" w:firstColumn="1" w:lastColumn="0" w:noHBand="0" w:noVBand="1"/>
      </w:tblPr>
      <w:tblGrid>
        <w:gridCol w:w="2123"/>
        <w:gridCol w:w="940"/>
        <w:gridCol w:w="900"/>
        <w:gridCol w:w="990"/>
        <w:gridCol w:w="630"/>
        <w:gridCol w:w="594"/>
        <w:gridCol w:w="846"/>
        <w:gridCol w:w="1440"/>
        <w:gridCol w:w="810"/>
        <w:gridCol w:w="3870"/>
      </w:tblGrid>
      <w:tr w:rsidR="005D3D3C" w:rsidRPr="00376B9E" w14:paraId="6E10F093" w14:textId="77777777" w:rsidTr="00C76F20">
        <w:trPr>
          <w:trHeight w:val="20"/>
        </w:trPr>
        <w:tc>
          <w:tcPr>
            <w:tcW w:w="212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1E0278" w14:textId="77777777" w:rsidR="005D3D3C" w:rsidRPr="00105274" w:rsidRDefault="005D3D3C" w:rsidP="00C76F20">
            <w:pPr>
              <w:spacing w:after="0" w:line="240" w:lineRule="auto"/>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Indicadores</w:t>
            </w:r>
          </w:p>
        </w:tc>
        <w:tc>
          <w:tcPr>
            <w:tcW w:w="940" w:type="dxa"/>
            <w:tcBorders>
              <w:top w:val="single" w:sz="8" w:space="0" w:color="auto"/>
              <w:left w:val="nil"/>
              <w:bottom w:val="single" w:sz="8" w:space="0" w:color="auto"/>
              <w:right w:val="single" w:sz="8" w:space="0" w:color="auto"/>
            </w:tcBorders>
            <w:shd w:val="clear" w:color="auto" w:fill="auto"/>
            <w:vAlign w:val="center"/>
            <w:hideMark/>
          </w:tcPr>
          <w:p w14:paraId="6151B4BF"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Unidad de Medida</w:t>
            </w:r>
          </w:p>
        </w:tc>
        <w:tc>
          <w:tcPr>
            <w:tcW w:w="900" w:type="dxa"/>
            <w:tcBorders>
              <w:top w:val="single" w:sz="8" w:space="0" w:color="auto"/>
              <w:left w:val="nil"/>
              <w:bottom w:val="single" w:sz="8" w:space="0" w:color="auto"/>
              <w:right w:val="single" w:sz="8" w:space="0" w:color="auto"/>
            </w:tcBorders>
            <w:shd w:val="clear" w:color="auto" w:fill="auto"/>
            <w:vAlign w:val="center"/>
            <w:hideMark/>
          </w:tcPr>
          <w:p w14:paraId="168FE6AB"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proofErr w:type="gramStart"/>
            <w:r w:rsidRPr="00105274">
              <w:rPr>
                <w:rFonts w:ascii="Arial" w:eastAsia="Times New Roman" w:hAnsi="Arial" w:cs="Arial"/>
                <w:b/>
                <w:color w:val="000000"/>
                <w:sz w:val="20"/>
                <w:szCs w:val="20"/>
                <w:lang w:val="es-CL" w:eastAsia="es-CL"/>
              </w:rPr>
              <w:t>Valor línea</w:t>
            </w:r>
            <w:proofErr w:type="gramEnd"/>
            <w:r w:rsidRPr="00105274">
              <w:rPr>
                <w:rFonts w:ascii="Arial" w:eastAsia="Times New Roman" w:hAnsi="Arial" w:cs="Arial"/>
                <w:b/>
                <w:color w:val="000000"/>
                <w:sz w:val="20"/>
                <w:szCs w:val="20"/>
                <w:lang w:val="es-CL" w:eastAsia="es-CL"/>
              </w:rPr>
              <w:t xml:space="preserve"> de base</w:t>
            </w:r>
          </w:p>
        </w:tc>
        <w:tc>
          <w:tcPr>
            <w:tcW w:w="990" w:type="dxa"/>
            <w:tcBorders>
              <w:top w:val="single" w:sz="8" w:space="0" w:color="auto"/>
              <w:left w:val="nil"/>
              <w:bottom w:val="single" w:sz="8" w:space="0" w:color="auto"/>
              <w:right w:val="single" w:sz="8" w:space="0" w:color="auto"/>
            </w:tcBorders>
            <w:shd w:val="clear" w:color="auto" w:fill="auto"/>
            <w:vAlign w:val="center"/>
            <w:hideMark/>
          </w:tcPr>
          <w:p w14:paraId="2990FB73"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proofErr w:type="gramStart"/>
            <w:r w:rsidRPr="00105274">
              <w:rPr>
                <w:rFonts w:ascii="Arial" w:eastAsia="Times New Roman" w:hAnsi="Arial" w:cs="Arial"/>
                <w:b/>
                <w:color w:val="000000"/>
                <w:sz w:val="20"/>
                <w:szCs w:val="20"/>
                <w:lang w:val="es-CL" w:eastAsia="es-CL"/>
              </w:rPr>
              <w:t>Año línea</w:t>
            </w:r>
            <w:proofErr w:type="gramEnd"/>
            <w:r w:rsidRPr="00105274">
              <w:rPr>
                <w:rFonts w:ascii="Arial" w:eastAsia="Times New Roman" w:hAnsi="Arial" w:cs="Arial"/>
                <w:b/>
                <w:color w:val="000000"/>
                <w:sz w:val="20"/>
                <w:szCs w:val="20"/>
                <w:lang w:val="es-CL" w:eastAsia="es-CL"/>
              </w:rPr>
              <w:t xml:space="preserve"> de base</w:t>
            </w:r>
          </w:p>
        </w:tc>
        <w:tc>
          <w:tcPr>
            <w:tcW w:w="630" w:type="dxa"/>
            <w:tcBorders>
              <w:top w:val="single" w:sz="8" w:space="0" w:color="auto"/>
              <w:left w:val="nil"/>
              <w:bottom w:val="single" w:sz="8" w:space="0" w:color="auto"/>
              <w:right w:val="single" w:sz="8" w:space="0" w:color="auto"/>
            </w:tcBorders>
            <w:shd w:val="clear" w:color="auto" w:fill="auto"/>
            <w:vAlign w:val="center"/>
            <w:hideMark/>
          </w:tcPr>
          <w:p w14:paraId="3A0B2FA3"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Año 1</w:t>
            </w:r>
          </w:p>
        </w:tc>
        <w:tc>
          <w:tcPr>
            <w:tcW w:w="594" w:type="dxa"/>
            <w:tcBorders>
              <w:top w:val="single" w:sz="8" w:space="0" w:color="auto"/>
              <w:left w:val="nil"/>
              <w:bottom w:val="single" w:sz="8" w:space="0" w:color="auto"/>
              <w:right w:val="single" w:sz="8" w:space="0" w:color="auto"/>
            </w:tcBorders>
            <w:shd w:val="clear" w:color="auto" w:fill="auto"/>
            <w:vAlign w:val="center"/>
            <w:hideMark/>
          </w:tcPr>
          <w:p w14:paraId="5A2F5748"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Año 2</w:t>
            </w:r>
          </w:p>
        </w:tc>
        <w:tc>
          <w:tcPr>
            <w:tcW w:w="846" w:type="dxa"/>
            <w:tcBorders>
              <w:top w:val="single" w:sz="8" w:space="0" w:color="auto"/>
              <w:left w:val="nil"/>
              <w:bottom w:val="single" w:sz="8" w:space="0" w:color="auto"/>
              <w:right w:val="single" w:sz="8" w:space="0" w:color="auto"/>
            </w:tcBorders>
            <w:shd w:val="clear" w:color="auto" w:fill="auto"/>
            <w:vAlign w:val="center"/>
            <w:hideMark/>
          </w:tcPr>
          <w:p w14:paraId="6534418A"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Fin del proyecto</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20C349EA"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Medio de verificación</w:t>
            </w:r>
          </w:p>
        </w:tc>
        <w:tc>
          <w:tcPr>
            <w:tcW w:w="810" w:type="dxa"/>
            <w:tcBorders>
              <w:top w:val="single" w:sz="8" w:space="0" w:color="auto"/>
              <w:left w:val="nil"/>
              <w:bottom w:val="single" w:sz="8" w:space="0" w:color="auto"/>
              <w:right w:val="single" w:sz="8" w:space="0" w:color="auto"/>
            </w:tcBorders>
            <w:shd w:val="clear" w:color="auto" w:fill="auto"/>
            <w:vAlign w:val="center"/>
            <w:hideMark/>
          </w:tcPr>
          <w:p w14:paraId="7EF7565E"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Indicador para Desembolsos. (sí/no)</w:t>
            </w:r>
          </w:p>
        </w:tc>
        <w:tc>
          <w:tcPr>
            <w:tcW w:w="3870" w:type="dxa"/>
            <w:tcBorders>
              <w:top w:val="single" w:sz="8" w:space="0" w:color="auto"/>
              <w:left w:val="nil"/>
              <w:bottom w:val="single" w:sz="8" w:space="0" w:color="auto"/>
              <w:right w:val="single" w:sz="8" w:space="0" w:color="auto"/>
            </w:tcBorders>
            <w:shd w:val="clear" w:color="auto" w:fill="auto"/>
            <w:vAlign w:val="center"/>
            <w:hideMark/>
          </w:tcPr>
          <w:p w14:paraId="71B95579" w14:textId="77777777" w:rsidR="005D3D3C" w:rsidRPr="00105274" w:rsidRDefault="005D3D3C" w:rsidP="00C76F20">
            <w:pPr>
              <w:spacing w:after="0" w:line="240" w:lineRule="auto"/>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 xml:space="preserve">Observaciones </w:t>
            </w:r>
            <w:r w:rsidRPr="00105274">
              <w:rPr>
                <w:rFonts w:ascii="Arial" w:eastAsia="Times New Roman" w:hAnsi="Arial" w:cs="Arial"/>
                <w:b/>
                <w:bCs/>
                <w:color w:val="000000"/>
                <w:sz w:val="20"/>
                <w:szCs w:val="20"/>
                <w:lang w:val="es-CL" w:eastAsia="es-CL"/>
              </w:rPr>
              <w:t>y protocolo de medición</w:t>
            </w:r>
          </w:p>
        </w:tc>
      </w:tr>
      <w:tr w:rsidR="005D3D3C" w:rsidRPr="00376B9E" w14:paraId="24E89821" w14:textId="77777777" w:rsidTr="00C76F20">
        <w:trPr>
          <w:trHeight w:val="20"/>
        </w:trPr>
        <w:tc>
          <w:tcPr>
            <w:tcW w:w="13143" w:type="dxa"/>
            <w:gridSpan w:val="10"/>
            <w:tcBorders>
              <w:top w:val="single" w:sz="8" w:space="0" w:color="auto"/>
              <w:left w:val="single" w:sz="8" w:space="0" w:color="auto"/>
              <w:bottom w:val="single" w:sz="8" w:space="0" w:color="auto"/>
              <w:right w:val="single" w:sz="8" w:space="0" w:color="000000" w:themeColor="text1"/>
            </w:tcBorders>
            <w:shd w:val="clear" w:color="auto" w:fill="auto"/>
            <w:vAlign w:val="center"/>
            <w:hideMark/>
          </w:tcPr>
          <w:p w14:paraId="1AEA2DB7" w14:textId="77777777" w:rsidR="005D3D3C" w:rsidRPr="00105274" w:rsidRDefault="005D3D3C" w:rsidP="00C76F20">
            <w:pPr>
              <w:spacing w:after="0" w:line="240" w:lineRule="auto"/>
              <w:rPr>
                <w:rFonts w:ascii="Arial" w:hAnsi="Arial" w:cs="Arial"/>
                <w:lang w:val="es-ES"/>
              </w:rPr>
            </w:pPr>
            <w:r w:rsidRPr="00105274">
              <w:rPr>
                <w:rFonts w:ascii="Arial" w:eastAsia="Times New Roman" w:hAnsi="Arial" w:cs="Arial"/>
                <w:b/>
                <w:bCs/>
                <w:color w:val="000000" w:themeColor="text1"/>
                <w:sz w:val="20"/>
                <w:szCs w:val="20"/>
                <w:lang w:val="es-CL" w:eastAsia="es-CL"/>
              </w:rPr>
              <w:t xml:space="preserve">Objetivo Específico </w:t>
            </w:r>
            <w:r>
              <w:rPr>
                <w:rFonts w:ascii="Arial" w:eastAsia="Times New Roman" w:hAnsi="Arial" w:cs="Arial"/>
                <w:b/>
                <w:bCs/>
                <w:color w:val="000000" w:themeColor="text1"/>
                <w:sz w:val="20"/>
                <w:szCs w:val="20"/>
                <w:lang w:val="es-CL" w:eastAsia="es-CL"/>
              </w:rPr>
              <w:t xml:space="preserve">de Desarrollo </w:t>
            </w:r>
            <w:r w:rsidRPr="00105274">
              <w:rPr>
                <w:rFonts w:ascii="Arial" w:eastAsia="Times New Roman" w:hAnsi="Arial" w:cs="Arial"/>
                <w:b/>
                <w:bCs/>
                <w:color w:val="000000" w:themeColor="text1"/>
                <w:sz w:val="20"/>
                <w:szCs w:val="20"/>
                <w:lang w:val="es-CL" w:eastAsia="es-CL"/>
              </w:rPr>
              <w:t>1:</w:t>
            </w:r>
            <w:r w:rsidRPr="00105274">
              <w:rPr>
                <w:rFonts w:ascii="Arial" w:eastAsia="Times New Roman" w:hAnsi="Arial" w:cs="Arial"/>
                <w:color w:val="000000" w:themeColor="text1"/>
                <w:sz w:val="20"/>
                <w:szCs w:val="20"/>
                <w:lang w:val="es-CL" w:eastAsia="es-CL"/>
              </w:rPr>
              <w:t xml:space="preserve"> F</w:t>
            </w:r>
            <w:proofErr w:type="spellStart"/>
            <w:r w:rsidRPr="00105274">
              <w:rPr>
                <w:rFonts w:ascii="Arial" w:hAnsi="Arial" w:cs="Arial"/>
                <w:lang w:val="es-ES"/>
              </w:rPr>
              <w:t>ortalecer</w:t>
            </w:r>
            <w:proofErr w:type="spellEnd"/>
            <w:r w:rsidRPr="00105274">
              <w:rPr>
                <w:rFonts w:ascii="Arial" w:hAnsi="Arial" w:cs="Arial"/>
                <w:lang w:val="es-ES"/>
              </w:rPr>
              <w:t xml:space="preserve"> y/o crear capacidades de liderazgo a nivel central y local</w:t>
            </w:r>
          </w:p>
        </w:tc>
      </w:tr>
      <w:tr w:rsidR="005D3D3C" w:rsidRPr="00376B9E" w14:paraId="2BDF78C1" w14:textId="77777777" w:rsidTr="00C76F20">
        <w:trPr>
          <w:trHeight w:val="20"/>
        </w:trPr>
        <w:tc>
          <w:tcPr>
            <w:tcW w:w="13143" w:type="dxa"/>
            <w:gridSpan w:val="10"/>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hideMark/>
          </w:tcPr>
          <w:p w14:paraId="0A20EAE1" w14:textId="6B49A998" w:rsidR="005D3D3C" w:rsidRPr="00105274" w:rsidRDefault="005D3D3C" w:rsidP="00C76F20">
            <w:pPr>
              <w:spacing w:after="0" w:line="240" w:lineRule="auto"/>
              <w:rPr>
                <w:rFonts w:ascii="Arial" w:eastAsia="Times New Roman" w:hAnsi="Arial" w:cs="Arial"/>
                <w:b/>
                <w:color w:val="000000"/>
                <w:sz w:val="20"/>
                <w:szCs w:val="20"/>
                <w:lang w:val="es-CL" w:eastAsia="es-CL"/>
              </w:rPr>
            </w:pPr>
            <w:proofErr w:type="gramStart"/>
            <w:r w:rsidRPr="00105274">
              <w:rPr>
                <w:rFonts w:ascii="Arial" w:eastAsia="Times New Roman" w:hAnsi="Arial" w:cs="Arial"/>
                <w:b/>
                <w:color w:val="000000"/>
                <w:sz w:val="20"/>
                <w:szCs w:val="20"/>
                <w:lang w:val="es-CL" w:eastAsia="es-CL"/>
              </w:rPr>
              <w:t>Instalación</w:t>
            </w:r>
            <w:r w:rsidR="00521E2C">
              <w:rPr>
                <w:rFonts w:ascii="Arial" w:eastAsia="Times New Roman" w:hAnsi="Arial" w:cs="Arial"/>
                <w:b/>
                <w:color w:val="000000"/>
                <w:sz w:val="20"/>
                <w:szCs w:val="20"/>
                <w:lang w:val="es-CL" w:eastAsia="es-CL"/>
              </w:rPr>
              <w:t xml:space="preserve">, </w:t>
            </w:r>
            <w:r w:rsidRPr="00105274">
              <w:rPr>
                <w:rFonts w:ascii="Arial" w:eastAsia="Times New Roman" w:hAnsi="Arial" w:cs="Arial"/>
                <w:b/>
                <w:color w:val="000000"/>
                <w:sz w:val="20"/>
                <w:szCs w:val="20"/>
                <w:lang w:val="es-CL" w:eastAsia="es-CL"/>
              </w:rPr>
              <w:t xml:space="preserve"> fortalecimiento</w:t>
            </w:r>
            <w:proofErr w:type="gramEnd"/>
            <w:r w:rsidRPr="00105274">
              <w:rPr>
                <w:rFonts w:ascii="Arial" w:eastAsia="Times New Roman" w:hAnsi="Arial" w:cs="Arial"/>
                <w:b/>
                <w:color w:val="000000"/>
                <w:sz w:val="20"/>
                <w:szCs w:val="20"/>
                <w:lang w:val="es-CL" w:eastAsia="es-CL"/>
              </w:rPr>
              <w:t xml:space="preserve"> institucional </w:t>
            </w:r>
            <w:r w:rsidR="00521E2C">
              <w:rPr>
                <w:rFonts w:ascii="Arial" w:eastAsia="Times New Roman" w:hAnsi="Arial" w:cs="Arial"/>
                <w:b/>
                <w:color w:val="000000"/>
                <w:sz w:val="20"/>
                <w:szCs w:val="20"/>
                <w:lang w:val="es-CL" w:eastAsia="es-CL"/>
              </w:rPr>
              <w:t xml:space="preserve">y operación </w:t>
            </w:r>
            <w:r w:rsidRPr="00105274">
              <w:rPr>
                <w:rFonts w:ascii="Arial" w:eastAsia="Times New Roman" w:hAnsi="Arial" w:cs="Arial"/>
                <w:b/>
                <w:color w:val="000000"/>
                <w:sz w:val="20"/>
                <w:szCs w:val="20"/>
                <w:lang w:val="es-CL" w:eastAsia="es-CL"/>
              </w:rPr>
              <w:t xml:space="preserve">de la Dirección de Educación Pública </w:t>
            </w:r>
          </w:p>
        </w:tc>
      </w:tr>
      <w:tr w:rsidR="005D3D3C" w:rsidRPr="00105274" w14:paraId="7E97A2B6" w14:textId="77777777" w:rsidTr="00C76F20">
        <w:trPr>
          <w:trHeight w:val="20"/>
        </w:trPr>
        <w:tc>
          <w:tcPr>
            <w:tcW w:w="2123" w:type="dxa"/>
            <w:tcBorders>
              <w:top w:val="nil"/>
              <w:left w:val="single" w:sz="8" w:space="0" w:color="auto"/>
              <w:bottom w:val="single" w:sz="8" w:space="0" w:color="000000" w:themeColor="text1"/>
              <w:right w:val="single" w:sz="8" w:space="0" w:color="auto"/>
            </w:tcBorders>
            <w:shd w:val="clear" w:color="auto" w:fill="auto"/>
            <w:vAlign w:val="center"/>
            <w:hideMark/>
          </w:tcPr>
          <w:p w14:paraId="372854BD"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1.1. Número de centros de responsabilidad de la DEP que cumplen con al menos un 75% de las metas del CDC</w:t>
            </w:r>
          </w:p>
        </w:tc>
        <w:tc>
          <w:tcPr>
            <w:tcW w:w="940" w:type="dxa"/>
            <w:tcBorders>
              <w:top w:val="nil"/>
              <w:left w:val="single" w:sz="8" w:space="0" w:color="auto"/>
              <w:bottom w:val="single" w:sz="8" w:space="0" w:color="000000" w:themeColor="text1"/>
              <w:right w:val="single" w:sz="8" w:space="0" w:color="auto"/>
            </w:tcBorders>
            <w:shd w:val="clear" w:color="auto" w:fill="auto"/>
            <w:vAlign w:val="center"/>
            <w:hideMark/>
          </w:tcPr>
          <w:p w14:paraId="21479B39"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Centros</w:t>
            </w:r>
          </w:p>
        </w:tc>
        <w:tc>
          <w:tcPr>
            <w:tcW w:w="900" w:type="dxa"/>
            <w:tcBorders>
              <w:top w:val="nil"/>
              <w:left w:val="single" w:sz="8" w:space="0" w:color="auto"/>
              <w:bottom w:val="single" w:sz="8" w:space="0" w:color="000000" w:themeColor="text1"/>
              <w:right w:val="single" w:sz="8" w:space="0" w:color="auto"/>
            </w:tcBorders>
            <w:shd w:val="clear" w:color="auto" w:fill="auto"/>
            <w:vAlign w:val="center"/>
            <w:hideMark/>
          </w:tcPr>
          <w:p w14:paraId="531A94E6"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nil"/>
              <w:left w:val="single" w:sz="8" w:space="0" w:color="auto"/>
              <w:bottom w:val="single" w:sz="8" w:space="0" w:color="000000" w:themeColor="text1"/>
              <w:right w:val="single" w:sz="8" w:space="0" w:color="auto"/>
            </w:tcBorders>
            <w:shd w:val="clear" w:color="auto" w:fill="auto"/>
            <w:vAlign w:val="center"/>
            <w:hideMark/>
          </w:tcPr>
          <w:p w14:paraId="3DCF286D"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nil"/>
              <w:left w:val="single" w:sz="8" w:space="0" w:color="auto"/>
              <w:bottom w:val="single" w:sz="8" w:space="0" w:color="000000" w:themeColor="text1"/>
              <w:right w:val="single" w:sz="8" w:space="0" w:color="auto"/>
            </w:tcBorders>
            <w:shd w:val="clear" w:color="auto" w:fill="auto"/>
            <w:vAlign w:val="center"/>
            <w:hideMark/>
          </w:tcPr>
          <w:p w14:paraId="4F4EB484"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w:t>
            </w:r>
          </w:p>
        </w:tc>
        <w:tc>
          <w:tcPr>
            <w:tcW w:w="594" w:type="dxa"/>
            <w:tcBorders>
              <w:top w:val="nil"/>
              <w:left w:val="single" w:sz="8" w:space="0" w:color="auto"/>
              <w:bottom w:val="single" w:sz="8" w:space="0" w:color="000000" w:themeColor="text1"/>
              <w:right w:val="single" w:sz="8" w:space="0" w:color="auto"/>
            </w:tcBorders>
            <w:shd w:val="clear" w:color="auto" w:fill="auto"/>
            <w:vAlign w:val="center"/>
            <w:hideMark/>
          </w:tcPr>
          <w:p w14:paraId="196FFA6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5</w:t>
            </w:r>
          </w:p>
        </w:tc>
        <w:tc>
          <w:tcPr>
            <w:tcW w:w="846" w:type="dxa"/>
            <w:tcBorders>
              <w:top w:val="nil"/>
              <w:left w:val="single" w:sz="8" w:space="0" w:color="auto"/>
              <w:bottom w:val="single" w:sz="8" w:space="0" w:color="000000" w:themeColor="text1"/>
              <w:right w:val="single" w:sz="8" w:space="0" w:color="auto"/>
            </w:tcBorders>
            <w:shd w:val="clear" w:color="auto" w:fill="auto"/>
            <w:vAlign w:val="center"/>
            <w:hideMark/>
          </w:tcPr>
          <w:p w14:paraId="77E62213"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5</w:t>
            </w:r>
          </w:p>
        </w:tc>
        <w:tc>
          <w:tcPr>
            <w:tcW w:w="1440" w:type="dxa"/>
            <w:tcBorders>
              <w:top w:val="nil"/>
              <w:left w:val="single" w:sz="8" w:space="0" w:color="auto"/>
              <w:bottom w:val="single" w:sz="8" w:space="0" w:color="000000" w:themeColor="text1"/>
              <w:right w:val="single" w:sz="8" w:space="0" w:color="auto"/>
            </w:tcBorders>
            <w:shd w:val="clear" w:color="auto" w:fill="auto"/>
            <w:vAlign w:val="center"/>
            <w:hideMark/>
          </w:tcPr>
          <w:p w14:paraId="52B618E1"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Reporte de cumplimiento de metas CDC, MINEDUC</w:t>
            </w:r>
          </w:p>
        </w:tc>
        <w:tc>
          <w:tcPr>
            <w:tcW w:w="810" w:type="dxa"/>
            <w:tcBorders>
              <w:top w:val="nil"/>
              <w:left w:val="single" w:sz="8" w:space="0" w:color="auto"/>
              <w:bottom w:val="single" w:sz="8" w:space="0" w:color="000000" w:themeColor="text1"/>
              <w:right w:val="single" w:sz="8" w:space="0" w:color="auto"/>
            </w:tcBorders>
            <w:shd w:val="clear" w:color="auto" w:fill="auto"/>
            <w:vAlign w:val="center"/>
            <w:hideMark/>
          </w:tcPr>
          <w:p w14:paraId="2EE551D2"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Sí</w:t>
            </w:r>
          </w:p>
        </w:tc>
        <w:tc>
          <w:tcPr>
            <w:tcW w:w="3870" w:type="dxa"/>
            <w:tcBorders>
              <w:top w:val="nil"/>
              <w:left w:val="nil"/>
              <w:bottom w:val="single" w:sz="4" w:space="0" w:color="auto"/>
              <w:right w:val="single" w:sz="8" w:space="0" w:color="auto"/>
            </w:tcBorders>
            <w:shd w:val="clear" w:color="auto" w:fill="auto"/>
            <w:vAlign w:val="center"/>
            <w:hideMark/>
          </w:tcPr>
          <w:p w14:paraId="2E80B637"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En la Dirección de Educación pública existen 5 centros de responsabilidad.</w:t>
            </w:r>
          </w:p>
          <w:p w14:paraId="1ADB160D"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61E9C1CB"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Los Convenios de Desempeño (CDC) corresponden a metas de gestión comprometidas por equipos de trabajo de unidades o subunidades de la organización.</w:t>
            </w:r>
          </w:p>
          <w:p w14:paraId="5FBC771D"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5C3282BA"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Este convenio es revisado y validado por la División de Planificación y Presupuestos del Ministerio de Educación (</w:t>
            </w:r>
            <w:proofErr w:type="spellStart"/>
            <w:r w:rsidRPr="00105274">
              <w:rPr>
                <w:rFonts w:ascii="Arial" w:eastAsia="Times New Roman" w:hAnsi="Arial" w:cs="Arial"/>
                <w:color w:val="000000"/>
                <w:sz w:val="20"/>
                <w:szCs w:val="20"/>
                <w:lang w:val="es-CL" w:eastAsia="es-CL"/>
              </w:rPr>
              <w:t>DIPLAP</w:t>
            </w:r>
            <w:proofErr w:type="spellEnd"/>
            <w:r w:rsidRPr="00105274">
              <w:rPr>
                <w:rFonts w:ascii="Arial" w:eastAsia="Times New Roman" w:hAnsi="Arial" w:cs="Arial"/>
                <w:color w:val="000000"/>
                <w:sz w:val="20"/>
                <w:szCs w:val="20"/>
                <w:lang w:val="es-CL" w:eastAsia="es-CL"/>
              </w:rPr>
              <w:t xml:space="preserve">), es decir, un ente independiente de la DEP. Esta institución chequea el cumplimiento de los convenios de acuerdo a insumos que son provistos por la DEP y hace además una validación externa de cada </w:t>
            </w:r>
            <w:proofErr w:type="gramStart"/>
            <w:r w:rsidRPr="00105274">
              <w:rPr>
                <w:rFonts w:ascii="Arial" w:eastAsia="Times New Roman" w:hAnsi="Arial" w:cs="Arial"/>
                <w:color w:val="000000"/>
                <w:sz w:val="20"/>
                <w:szCs w:val="20"/>
                <w:lang w:val="es-CL" w:eastAsia="es-CL"/>
              </w:rPr>
              <w:t>meta física</w:t>
            </w:r>
            <w:proofErr w:type="gramEnd"/>
            <w:r w:rsidRPr="00105274">
              <w:rPr>
                <w:rFonts w:ascii="Arial" w:eastAsia="Times New Roman" w:hAnsi="Arial" w:cs="Arial"/>
                <w:color w:val="000000"/>
                <w:sz w:val="20"/>
                <w:szCs w:val="20"/>
                <w:lang w:val="es-CL" w:eastAsia="es-CL"/>
              </w:rPr>
              <w:t>.</w:t>
            </w:r>
          </w:p>
          <w:p w14:paraId="18CE08B1"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33303017"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Los CDC forman parte de un esquema de incentivos salariales basados en el cumplimiento de objetivos institucionales. </w:t>
            </w:r>
          </w:p>
          <w:p w14:paraId="5AB1A843" w14:textId="77777777" w:rsidR="005D3D3C" w:rsidRPr="00105274" w:rsidRDefault="005D3D3C" w:rsidP="00C76F20">
            <w:pPr>
              <w:spacing w:after="0" w:line="240" w:lineRule="auto"/>
              <w:jc w:val="both"/>
              <w:rPr>
                <w:rFonts w:ascii="Arial" w:eastAsia="Times New Roman" w:hAnsi="Arial" w:cs="Arial"/>
                <w:color w:val="000000"/>
                <w:sz w:val="20"/>
                <w:szCs w:val="20"/>
                <w:lang w:val="es-CL" w:eastAsia="es-CL"/>
              </w:rPr>
            </w:pPr>
          </w:p>
          <w:p w14:paraId="6C90FE3C" w14:textId="77777777" w:rsidR="005D3D3C" w:rsidRPr="00105274" w:rsidRDefault="005D3D3C" w:rsidP="00C76F20">
            <w:pPr>
              <w:spacing w:after="0" w:line="240" w:lineRule="auto"/>
              <w:jc w:val="both"/>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Cálculo del indicador: ver tabla 4</w:t>
            </w:r>
          </w:p>
          <w:p w14:paraId="11763338"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r>
      <w:tr w:rsidR="005D3D3C" w:rsidRPr="00105274" w14:paraId="60A90D6E" w14:textId="77777777" w:rsidTr="00C76F20">
        <w:trPr>
          <w:trHeight w:val="20"/>
        </w:trPr>
        <w:tc>
          <w:tcPr>
            <w:tcW w:w="2123" w:type="dxa"/>
            <w:tcBorders>
              <w:top w:val="nil"/>
              <w:left w:val="single" w:sz="8" w:space="0" w:color="auto"/>
              <w:bottom w:val="single" w:sz="8" w:space="0" w:color="auto"/>
              <w:right w:val="single" w:sz="8" w:space="0" w:color="auto"/>
            </w:tcBorders>
            <w:shd w:val="clear" w:color="auto" w:fill="auto"/>
            <w:vAlign w:val="center"/>
            <w:hideMark/>
          </w:tcPr>
          <w:p w14:paraId="1A4A293D"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1.2. Porcentaje de cumplimiento anual de la DEP en su </w:t>
            </w:r>
            <w:proofErr w:type="spellStart"/>
            <w:r w:rsidRPr="00105274">
              <w:rPr>
                <w:rFonts w:ascii="Arial" w:eastAsia="Times New Roman" w:hAnsi="Arial" w:cs="Arial"/>
                <w:color w:val="000000"/>
                <w:sz w:val="20"/>
                <w:szCs w:val="20"/>
                <w:lang w:val="es-CL" w:eastAsia="es-CL"/>
              </w:rPr>
              <w:t>PMG</w:t>
            </w:r>
            <w:proofErr w:type="spellEnd"/>
            <w:r w:rsidRPr="00105274">
              <w:rPr>
                <w:rFonts w:ascii="Arial" w:eastAsia="Times New Roman" w:hAnsi="Arial" w:cs="Arial"/>
                <w:color w:val="000000"/>
                <w:sz w:val="20"/>
                <w:szCs w:val="20"/>
                <w:lang w:val="es-CL" w:eastAsia="es-CL"/>
              </w:rPr>
              <w:t xml:space="preserve"> </w:t>
            </w:r>
          </w:p>
        </w:tc>
        <w:tc>
          <w:tcPr>
            <w:tcW w:w="940" w:type="dxa"/>
            <w:tcBorders>
              <w:top w:val="nil"/>
              <w:left w:val="nil"/>
              <w:bottom w:val="single" w:sz="8" w:space="0" w:color="auto"/>
              <w:right w:val="single" w:sz="8" w:space="0" w:color="auto"/>
            </w:tcBorders>
            <w:shd w:val="clear" w:color="auto" w:fill="auto"/>
            <w:vAlign w:val="center"/>
            <w:hideMark/>
          </w:tcPr>
          <w:p w14:paraId="2A1CCC39"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w:t>
            </w:r>
          </w:p>
        </w:tc>
        <w:tc>
          <w:tcPr>
            <w:tcW w:w="900" w:type="dxa"/>
            <w:tcBorders>
              <w:top w:val="nil"/>
              <w:left w:val="nil"/>
              <w:bottom w:val="single" w:sz="8" w:space="0" w:color="auto"/>
              <w:right w:val="single" w:sz="8" w:space="0" w:color="auto"/>
            </w:tcBorders>
            <w:shd w:val="clear" w:color="auto" w:fill="auto"/>
            <w:vAlign w:val="center"/>
            <w:hideMark/>
          </w:tcPr>
          <w:p w14:paraId="2DD36FFD"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nil"/>
              <w:left w:val="nil"/>
              <w:bottom w:val="single" w:sz="8" w:space="0" w:color="auto"/>
              <w:right w:val="single" w:sz="8" w:space="0" w:color="auto"/>
            </w:tcBorders>
            <w:shd w:val="clear" w:color="auto" w:fill="auto"/>
            <w:vAlign w:val="center"/>
            <w:hideMark/>
          </w:tcPr>
          <w:p w14:paraId="237C091D"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nil"/>
              <w:left w:val="nil"/>
              <w:bottom w:val="single" w:sz="8" w:space="0" w:color="auto"/>
              <w:right w:val="single" w:sz="8" w:space="0" w:color="auto"/>
            </w:tcBorders>
            <w:shd w:val="clear" w:color="auto" w:fill="auto"/>
            <w:vAlign w:val="center"/>
            <w:hideMark/>
          </w:tcPr>
          <w:p w14:paraId="68766CF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w:t>
            </w:r>
          </w:p>
        </w:tc>
        <w:tc>
          <w:tcPr>
            <w:tcW w:w="594" w:type="dxa"/>
            <w:tcBorders>
              <w:top w:val="nil"/>
              <w:left w:val="nil"/>
              <w:bottom w:val="single" w:sz="8" w:space="0" w:color="auto"/>
              <w:right w:val="single" w:sz="8" w:space="0" w:color="auto"/>
            </w:tcBorders>
            <w:shd w:val="clear" w:color="auto" w:fill="auto"/>
            <w:vAlign w:val="center"/>
            <w:hideMark/>
          </w:tcPr>
          <w:p w14:paraId="223EE186"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75</w:t>
            </w:r>
          </w:p>
        </w:tc>
        <w:tc>
          <w:tcPr>
            <w:tcW w:w="846" w:type="dxa"/>
            <w:tcBorders>
              <w:top w:val="nil"/>
              <w:left w:val="nil"/>
              <w:bottom w:val="single" w:sz="8" w:space="0" w:color="auto"/>
              <w:right w:val="single" w:sz="8" w:space="0" w:color="auto"/>
            </w:tcBorders>
            <w:shd w:val="clear" w:color="auto" w:fill="auto"/>
            <w:vAlign w:val="center"/>
            <w:hideMark/>
          </w:tcPr>
          <w:p w14:paraId="615EA872"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75 </w:t>
            </w:r>
          </w:p>
        </w:tc>
        <w:tc>
          <w:tcPr>
            <w:tcW w:w="1440" w:type="dxa"/>
            <w:tcBorders>
              <w:top w:val="nil"/>
              <w:left w:val="nil"/>
              <w:bottom w:val="single" w:sz="8" w:space="0" w:color="auto"/>
              <w:right w:val="single" w:sz="8" w:space="0" w:color="auto"/>
            </w:tcBorders>
            <w:shd w:val="clear" w:color="auto" w:fill="auto"/>
            <w:vAlign w:val="center"/>
            <w:hideMark/>
          </w:tcPr>
          <w:p w14:paraId="0771044B"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Informe de cumplimiento del </w:t>
            </w:r>
            <w:proofErr w:type="spellStart"/>
            <w:r w:rsidRPr="00105274">
              <w:rPr>
                <w:rFonts w:ascii="Arial" w:eastAsia="Times New Roman" w:hAnsi="Arial" w:cs="Arial"/>
                <w:color w:val="000000"/>
                <w:sz w:val="20"/>
                <w:szCs w:val="20"/>
                <w:lang w:val="es-CL" w:eastAsia="es-CL"/>
              </w:rPr>
              <w:t>PMG</w:t>
            </w:r>
            <w:proofErr w:type="spellEnd"/>
            <w:r w:rsidRPr="00105274">
              <w:rPr>
                <w:rFonts w:ascii="Arial" w:eastAsia="Times New Roman" w:hAnsi="Arial" w:cs="Arial"/>
                <w:color w:val="000000"/>
                <w:sz w:val="20"/>
                <w:szCs w:val="20"/>
                <w:lang w:val="es-CL" w:eastAsia="es-CL"/>
              </w:rPr>
              <w:t xml:space="preserve">, </w:t>
            </w:r>
            <w:proofErr w:type="spellStart"/>
            <w:r w:rsidRPr="00105274">
              <w:rPr>
                <w:rFonts w:ascii="Arial" w:eastAsia="Times New Roman" w:hAnsi="Arial" w:cs="Arial"/>
                <w:color w:val="000000"/>
                <w:sz w:val="20"/>
                <w:szCs w:val="20"/>
                <w:lang w:val="es-CL" w:eastAsia="es-CL"/>
              </w:rPr>
              <w:t>DIPRES</w:t>
            </w:r>
            <w:proofErr w:type="spellEnd"/>
            <w:r w:rsidRPr="00105274">
              <w:rPr>
                <w:rFonts w:ascii="Arial" w:eastAsia="Times New Roman" w:hAnsi="Arial" w:cs="Arial"/>
                <w:color w:val="000000"/>
                <w:sz w:val="20"/>
                <w:szCs w:val="20"/>
                <w:lang w:val="es-CL" w:eastAsia="es-CL"/>
              </w:rPr>
              <w:t>, Ministerio de Hacienda</w:t>
            </w:r>
          </w:p>
        </w:tc>
        <w:tc>
          <w:tcPr>
            <w:tcW w:w="810" w:type="dxa"/>
            <w:tcBorders>
              <w:top w:val="nil"/>
              <w:left w:val="nil"/>
              <w:bottom w:val="single" w:sz="8" w:space="0" w:color="auto"/>
              <w:right w:val="single" w:sz="8" w:space="0" w:color="auto"/>
            </w:tcBorders>
            <w:shd w:val="clear" w:color="auto" w:fill="auto"/>
            <w:vAlign w:val="center"/>
            <w:hideMark/>
          </w:tcPr>
          <w:p w14:paraId="15BE73C9"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 </w:t>
            </w:r>
            <w:r w:rsidRPr="00105274">
              <w:rPr>
                <w:rFonts w:ascii="Arial" w:eastAsia="Times New Roman" w:hAnsi="Arial" w:cs="Arial"/>
                <w:color w:val="000000"/>
                <w:sz w:val="20"/>
                <w:szCs w:val="20"/>
                <w:lang w:val="es-CL" w:eastAsia="es-CL"/>
              </w:rPr>
              <w:t>Sí</w:t>
            </w:r>
          </w:p>
        </w:tc>
        <w:tc>
          <w:tcPr>
            <w:tcW w:w="3870" w:type="dxa"/>
            <w:tcBorders>
              <w:top w:val="nil"/>
              <w:left w:val="nil"/>
              <w:bottom w:val="single" w:sz="8" w:space="0" w:color="auto"/>
              <w:right w:val="single" w:sz="8" w:space="0" w:color="auto"/>
            </w:tcBorders>
            <w:shd w:val="clear" w:color="auto" w:fill="auto"/>
            <w:vAlign w:val="center"/>
            <w:hideMark/>
          </w:tcPr>
          <w:p w14:paraId="466CA4E2"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El Programa de Mejoramiento de la Gestión (</w:t>
            </w:r>
            <w:proofErr w:type="spellStart"/>
            <w:r w:rsidRPr="00105274">
              <w:rPr>
                <w:rFonts w:ascii="Arial" w:eastAsia="Times New Roman" w:hAnsi="Arial" w:cs="Arial"/>
                <w:color w:val="000000"/>
                <w:sz w:val="20"/>
                <w:szCs w:val="20"/>
                <w:lang w:val="es-CL" w:eastAsia="es-CL"/>
              </w:rPr>
              <w:t>PMG</w:t>
            </w:r>
            <w:proofErr w:type="spellEnd"/>
            <w:r w:rsidRPr="00105274">
              <w:rPr>
                <w:rFonts w:ascii="Arial" w:eastAsia="Times New Roman" w:hAnsi="Arial" w:cs="Arial"/>
                <w:color w:val="000000"/>
                <w:sz w:val="20"/>
                <w:szCs w:val="20"/>
                <w:lang w:val="es-CL" w:eastAsia="es-CL"/>
              </w:rPr>
              <w:t>) forma parte de un esquema de incentivos salariales basados en el cumplimiento de objetivos institucionales en la administración pública chilena.</w:t>
            </w:r>
          </w:p>
          <w:p w14:paraId="50FE5B26"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48FBB3F8"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lastRenderedPageBreak/>
              <w:t xml:space="preserve">Este convenio es revisado por el Ministerio de Hacienda, es decir, un ente independiente de la DEP. </w:t>
            </w:r>
          </w:p>
          <w:p w14:paraId="7B3411E6"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179F9879" w14:textId="77777777" w:rsidR="005D3D3C" w:rsidRPr="00105274" w:rsidRDefault="005D3D3C" w:rsidP="00C76F20">
            <w:pPr>
              <w:spacing w:after="0" w:line="240" w:lineRule="auto"/>
              <w:jc w:val="both"/>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Cálculo del indicador: ver tabla 4</w:t>
            </w:r>
          </w:p>
        </w:tc>
      </w:tr>
      <w:tr w:rsidR="005D3D3C" w:rsidRPr="00376B9E" w14:paraId="72895B27" w14:textId="77777777" w:rsidTr="00C76F20">
        <w:trPr>
          <w:trHeight w:val="20"/>
        </w:trPr>
        <w:tc>
          <w:tcPr>
            <w:tcW w:w="2123" w:type="dxa"/>
            <w:tcBorders>
              <w:top w:val="nil"/>
              <w:left w:val="single" w:sz="8" w:space="0" w:color="auto"/>
              <w:bottom w:val="single" w:sz="8" w:space="0" w:color="auto"/>
              <w:right w:val="single" w:sz="8" w:space="0" w:color="auto"/>
            </w:tcBorders>
            <w:shd w:val="clear" w:color="auto" w:fill="auto"/>
            <w:vAlign w:val="center"/>
            <w:hideMark/>
          </w:tcPr>
          <w:p w14:paraId="50752CFF"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lastRenderedPageBreak/>
              <w:t xml:space="preserve">1.3 </w:t>
            </w:r>
            <w:proofErr w:type="gramStart"/>
            <w:r w:rsidRPr="00105274">
              <w:rPr>
                <w:rFonts w:ascii="Arial" w:eastAsia="Times New Roman" w:hAnsi="Arial" w:cs="Arial"/>
                <w:color w:val="000000"/>
                <w:sz w:val="20"/>
                <w:szCs w:val="20"/>
                <w:lang w:val="es-CL" w:eastAsia="es-CL"/>
              </w:rPr>
              <w:t>Director</w:t>
            </w:r>
            <w:proofErr w:type="gramEnd"/>
            <w:r w:rsidRPr="00105274">
              <w:rPr>
                <w:rFonts w:ascii="Arial" w:eastAsia="Times New Roman" w:hAnsi="Arial" w:cs="Arial"/>
                <w:color w:val="000000"/>
                <w:sz w:val="20"/>
                <w:szCs w:val="20"/>
                <w:lang w:val="es-CL" w:eastAsia="es-CL"/>
              </w:rPr>
              <w:t xml:space="preserve">/a de la DEP nombrado/a por </w:t>
            </w:r>
            <w:proofErr w:type="spellStart"/>
            <w:r w:rsidRPr="00105274">
              <w:rPr>
                <w:rFonts w:ascii="Arial" w:eastAsia="Times New Roman" w:hAnsi="Arial" w:cs="Arial"/>
                <w:color w:val="000000"/>
                <w:sz w:val="20"/>
                <w:szCs w:val="20"/>
                <w:lang w:val="es-CL" w:eastAsia="es-CL"/>
              </w:rPr>
              <w:t>ADP</w:t>
            </w:r>
            <w:proofErr w:type="spellEnd"/>
          </w:p>
        </w:tc>
        <w:tc>
          <w:tcPr>
            <w:tcW w:w="940" w:type="dxa"/>
            <w:tcBorders>
              <w:top w:val="nil"/>
              <w:left w:val="nil"/>
              <w:bottom w:val="single" w:sz="8" w:space="0" w:color="auto"/>
              <w:right w:val="single" w:sz="8" w:space="0" w:color="auto"/>
            </w:tcBorders>
            <w:shd w:val="clear" w:color="auto" w:fill="auto"/>
            <w:vAlign w:val="center"/>
            <w:hideMark/>
          </w:tcPr>
          <w:p w14:paraId="3A4C0C07"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Director/a</w:t>
            </w:r>
          </w:p>
        </w:tc>
        <w:tc>
          <w:tcPr>
            <w:tcW w:w="900" w:type="dxa"/>
            <w:tcBorders>
              <w:top w:val="nil"/>
              <w:left w:val="nil"/>
              <w:bottom w:val="single" w:sz="8" w:space="0" w:color="auto"/>
              <w:right w:val="single" w:sz="8" w:space="0" w:color="auto"/>
            </w:tcBorders>
            <w:shd w:val="clear" w:color="auto" w:fill="auto"/>
            <w:vAlign w:val="center"/>
            <w:hideMark/>
          </w:tcPr>
          <w:p w14:paraId="127636C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nil"/>
              <w:left w:val="nil"/>
              <w:bottom w:val="single" w:sz="8" w:space="0" w:color="auto"/>
              <w:right w:val="single" w:sz="8" w:space="0" w:color="auto"/>
            </w:tcBorders>
            <w:shd w:val="clear" w:color="auto" w:fill="auto"/>
            <w:vAlign w:val="center"/>
            <w:hideMark/>
          </w:tcPr>
          <w:p w14:paraId="5C1FEF51"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nil"/>
              <w:left w:val="nil"/>
              <w:bottom w:val="single" w:sz="8" w:space="0" w:color="auto"/>
              <w:right w:val="single" w:sz="8" w:space="0" w:color="auto"/>
            </w:tcBorders>
            <w:shd w:val="clear" w:color="auto" w:fill="auto"/>
            <w:vAlign w:val="center"/>
            <w:hideMark/>
          </w:tcPr>
          <w:p w14:paraId="502CE8C4"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w:t>
            </w:r>
          </w:p>
        </w:tc>
        <w:tc>
          <w:tcPr>
            <w:tcW w:w="594" w:type="dxa"/>
            <w:tcBorders>
              <w:top w:val="nil"/>
              <w:left w:val="nil"/>
              <w:bottom w:val="single" w:sz="8" w:space="0" w:color="auto"/>
              <w:right w:val="single" w:sz="8" w:space="0" w:color="auto"/>
            </w:tcBorders>
            <w:shd w:val="clear" w:color="auto" w:fill="auto"/>
            <w:vAlign w:val="center"/>
            <w:hideMark/>
          </w:tcPr>
          <w:p w14:paraId="65EA881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w:t>
            </w:r>
          </w:p>
        </w:tc>
        <w:tc>
          <w:tcPr>
            <w:tcW w:w="846" w:type="dxa"/>
            <w:tcBorders>
              <w:top w:val="nil"/>
              <w:left w:val="nil"/>
              <w:bottom w:val="single" w:sz="8" w:space="0" w:color="auto"/>
              <w:right w:val="single" w:sz="8" w:space="0" w:color="auto"/>
            </w:tcBorders>
            <w:shd w:val="clear" w:color="auto" w:fill="auto"/>
            <w:vAlign w:val="center"/>
            <w:hideMark/>
          </w:tcPr>
          <w:p w14:paraId="71738882"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w:t>
            </w:r>
          </w:p>
        </w:tc>
        <w:tc>
          <w:tcPr>
            <w:tcW w:w="1440" w:type="dxa"/>
            <w:tcBorders>
              <w:top w:val="nil"/>
              <w:left w:val="nil"/>
              <w:bottom w:val="single" w:sz="8" w:space="0" w:color="auto"/>
              <w:right w:val="single" w:sz="8" w:space="0" w:color="auto"/>
            </w:tcBorders>
            <w:shd w:val="clear" w:color="auto" w:fill="auto"/>
            <w:vAlign w:val="center"/>
            <w:hideMark/>
          </w:tcPr>
          <w:p w14:paraId="7848DF3B"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Nómina de nombramientos</w:t>
            </w:r>
            <w:r>
              <w:rPr>
                <w:rFonts w:ascii="Arial" w:eastAsia="Times New Roman" w:hAnsi="Arial" w:cs="Arial"/>
                <w:color w:val="000000"/>
                <w:sz w:val="20"/>
                <w:szCs w:val="20"/>
                <w:lang w:val="es-CL" w:eastAsia="es-CL"/>
              </w:rPr>
              <w:t>,</w:t>
            </w:r>
            <w:r w:rsidRPr="00105274">
              <w:rPr>
                <w:rFonts w:ascii="Arial" w:eastAsia="Times New Roman" w:hAnsi="Arial" w:cs="Arial"/>
                <w:color w:val="000000"/>
                <w:sz w:val="20"/>
                <w:szCs w:val="20"/>
                <w:lang w:val="es-CL" w:eastAsia="es-CL"/>
              </w:rPr>
              <w:t xml:space="preserve"> publicada en Alta Dirección Pública (</w:t>
            </w:r>
            <w:proofErr w:type="spellStart"/>
            <w:r w:rsidRPr="00105274">
              <w:rPr>
                <w:rFonts w:ascii="Arial" w:eastAsia="Times New Roman" w:hAnsi="Arial" w:cs="Arial"/>
                <w:color w:val="000000"/>
                <w:sz w:val="20"/>
                <w:szCs w:val="20"/>
                <w:lang w:val="es-CL" w:eastAsia="es-CL"/>
              </w:rPr>
              <w:t>ADP</w:t>
            </w:r>
            <w:proofErr w:type="spellEnd"/>
            <w:r w:rsidRPr="00105274">
              <w:rPr>
                <w:rFonts w:ascii="Arial" w:eastAsia="Times New Roman" w:hAnsi="Arial" w:cs="Arial"/>
                <w:color w:val="000000"/>
                <w:sz w:val="20"/>
                <w:szCs w:val="20"/>
                <w:lang w:val="es-CL" w:eastAsia="es-CL"/>
              </w:rPr>
              <w:t>) del Servicio Civil</w:t>
            </w:r>
            <w:r>
              <w:rPr>
                <w:rFonts w:ascii="Arial" w:eastAsia="Times New Roman" w:hAnsi="Arial" w:cs="Arial"/>
                <w:color w:val="000000"/>
                <w:sz w:val="20"/>
                <w:szCs w:val="20"/>
                <w:lang w:val="es-CL" w:eastAsia="es-CL"/>
              </w:rPr>
              <w:t>, Servicio Civil</w:t>
            </w:r>
            <w:r w:rsidRPr="00105274">
              <w:rPr>
                <w:rFonts w:ascii="Arial" w:eastAsia="Times New Roman" w:hAnsi="Arial" w:cs="Arial"/>
                <w:color w:val="000000"/>
                <w:sz w:val="20"/>
                <w:szCs w:val="20"/>
                <w:lang w:val="es-CL" w:eastAsia="es-CL"/>
              </w:rPr>
              <w:t>.</w:t>
            </w:r>
            <w:r w:rsidRPr="00105274">
              <w:rPr>
                <w:rFonts w:eastAsia="Times New Roman" w:cs="Calibri"/>
                <w:color w:val="000000"/>
                <w:sz w:val="20"/>
                <w:szCs w:val="20"/>
                <w:lang w:val="es-CL" w:eastAsia="es-CL"/>
              </w:rPr>
              <w:t> </w:t>
            </w:r>
          </w:p>
        </w:tc>
        <w:tc>
          <w:tcPr>
            <w:tcW w:w="810" w:type="dxa"/>
            <w:tcBorders>
              <w:top w:val="nil"/>
              <w:left w:val="nil"/>
              <w:bottom w:val="single" w:sz="8" w:space="0" w:color="auto"/>
              <w:right w:val="single" w:sz="8" w:space="0" w:color="auto"/>
            </w:tcBorders>
            <w:shd w:val="clear" w:color="auto" w:fill="auto"/>
            <w:vAlign w:val="center"/>
            <w:hideMark/>
          </w:tcPr>
          <w:p w14:paraId="1EA8CBF4"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No</w:t>
            </w:r>
          </w:p>
        </w:tc>
        <w:tc>
          <w:tcPr>
            <w:tcW w:w="3870" w:type="dxa"/>
            <w:tcBorders>
              <w:top w:val="nil"/>
              <w:left w:val="nil"/>
              <w:bottom w:val="single" w:sz="8" w:space="0" w:color="auto"/>
              <w:right w:val="single" w:sz="8" w:space="0" w:color="auto"/>
            </w:tcBorders>
            <w:shd w:val="clear" w:color="auto" w:fill="auto"/>
            <w:vAlign w:val="center"/>
            <w:hideMark/>
          </w:tcPr>
          <w:p w14:paraId="4CA50A4F"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themeColor="text1"/>
                <w:sz w:val="20"/>
                <w:szCs w:val="20"/>
                <w:lang w:val="es-CL" w:eastAsia="es-CL"/>
              </w:rPr>
              <w:t xml:space="preserve">Cálculo del indicador: Conteo del nombramiento del </w:t>
            </w:r>
            <w:proofErr w:type="gramStart"/>
            <w:r w:rsidRPr="00105274">
              <w:rPr>
                <w:rFonts w:ascii="Arial" w:eastAsia="Times New Roman" w:hAnsi="Arial" w:cs="Arial"/>
                <w:color w:val="000000" w:themeColor="text1"/>
                <w:sz w:val="20"/>
                <w:szCs w:val="20"/>
                <w:lang w:val="es-CL" w:eastAsia="es-CL"/>
              </w:rPr>
              <w:t>Director</w:t>
            </w:r>
            <w:proofErr w:type="gramEnd"/>
            <w:r w:rsidRPr="00105274">
              <w:rPr>
                <w:rFonts w:ascii="Arial" w:eastAsia="Times New Roman" w:hAnsi="Arial" w:cs="Arial"/>
                <w:color w:val="000000" w:themeColor="text1"/>
                <w:sz w:val="20"/>
                <w:szCs w:val="20"/>
                <w:lang w:val="es-CL" w:eastAsia="es-CL"/>
              </w:rPr>
              <w:t xml:space="preserve">/a de la DEP en la nómina publicada por la </w:t>
            </w:r>
            <w:proofErr w:type="spellStart"/>
            <w:r w:rsidRPr="00105274">
              <w:rPr>
                <w:rFonts w:ascii="Arial" w:eastAsia="Times New Roman" w:hAnsi="Arial" w:cs="Arial"/>
                <w:color w:val="000000" w:themeColor="text1"/>
                <w:sz w:val="20"/>
                <w:szCs w:val="20"/>
                <w:lang w:val="es-CL" w:eastAsia="es-CL"/>
              </w:rPr>
              <w:t>ADP</w:t>
            </w:r>
            <w:proofErr w:type="spellEnd"/>
            <w:r w:rsidRPr="00105274">
              <w:rPr>
                <w:rFonts w:ascii="Arial" w:eastAsia="Times New Roman" w:hAnsi="Arial" w:cs="Arial"/>
                <w:color w:val="000000" w:themeColor="text1"/>
                <w:sz w:val="20"/>
                <w:szCs w:val="20"/>
                <w:lang w:val="es-CL" w:eastAsia="es-CL"/>
              </w:rPr>
              <w:t xml:space="preserve"> con el resultado del concurso. El concurso de </w:t>
            </w:r>
            <w:proofErr w:type="spellStart"/>
            <w:r w:rsidRPr="00105274">
              <w:rPr>
                <w:rFonts w:ascii="Arial" w:eastAsia="Times New Roman" w:hAnsi="Arial" w:cs="Arial"/>
                <w:color w:val="000000" w:themeColor="text1"/>
                <w:sz w:val="20"/>
                <w:szCs w:val="20"/>
                <w:lang w:val="es-CL" w:eastAsia="es-CL"/>
              </w:rPr>
              <w:t>ADP</w:t>
            </w:r>
            <w:proofErr w:type="spellEnd"/>
            <w:r w:rsidRPr="00105274">
              <w:rPr>
                <w:rFonts w:ascii="Arial" w:eastAsia="Times New Roman" w:hAnsi="Arial" w:cs="Arial"/>
                <w:color w:val="000000" w:themeColor="text1"/>
                <w:sz w:val="20"/>
                <w:szCs w:val="20"/>
                <w:lang w:val="es-CL" w:eastAsia="es-CL"/>
              </w:rPr>
              <w:t xml:space="preserve"> lo lidera el servicio civil del país, externo a la DEP. </w:t>
            </w:r>
          </w:p>
        </w:tc>
      </w:tr>
      <w:tr w:rsidR="005D3D3C" w:rsidRPr="00376B9E" w14:paraId="520D06C4" w14:textId="77777777" w:rsidTr="00C76F20">
        <w:trPr>
          <w:trHeight w:val="20"/>
        </w:trPr>
        <w:tc>
          <w:tcPr>
            <w:tcW w:w="2123" w:type="dxa"/>
            <w:tcBorders>
              <w:top w:val="nil"/>
              <w:left w:val="single" w:sz="8" w:space="0" w:color="auto"/>
              <w:bottom w:val="single" w:sz="8" w:space="0" w:color="auto"/>
              <w:right w:val="single" w:sz="8" w:space="0" w:color="auto"/>
            </w:tcBorders>
            <w:shd w:val="clear" w:color="auto" w:fill="auto"/>
            <w:vAlign w:val="center"/>
            <w:hideMark/>
          </w:tcPr>
          <w:p w14:paraId="1A7ADAEF"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1.4. Aprobación de la Estrategia Nacional de Educación Pública</w:t>
            </w:r>
          </w:p>
        </w:tc>
        <w:tc>
          <w:tcPr>
            <w:tcW w:w="940" w:type="dxa"/>
            <w:tcBorders>
              <w:top w:val="nil"/>
              <w:left w:val="nil"/>
              <w:bottom w:val="single" w:sz="8" w:space="0" w:color="auto"/>
              <w:right w:val="single" w:sz="8" w:space="0" w:color="auto"/>
            </w:tcBorders>
            <w:shd w:val="clear" w:color="auto" w:fill="auto"/>
            <w:vAlign w:val="center"/>
            <w:hideMark/>
          </w:tcPr>
          <w:p w14:paraId="762DCEB9"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Estrategia</w:t>
            </w:r>
          </w:p>
        </w:tc>
        <w:tc>
          <w:tcPr>
            <w:tcW w:w="900" w:type="dxa"/>
            <w:tcBorders>
              <w:top w:val="nil"/>
              <w:left w:val="nil"/>
              <w:bottom w:val="single" w:sz="8" w:space="0" w:color="auto"/>
              <w:right w:val="single" w:sz="8" w:space="0" w:color="auto"/>
            </w:tcBorders>
            <w:shd w:val="clear" w:color="auto" w:fill="auto"/>
            <w:vAlign w:val="center"/>
            <w:hideMark/>
          </w:tcPr>
          <w:p w14:paraId="56608F7C"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nil"/>
              <w:left w:val="nil"/>
              <w:bottom w:val="single" w:sz="8" w:space="0" w:color="auto"/>
              <w:right w:val="single" w:sz="8" w:space="0" w:color="auto"/>
            </w:tcBorders>
            <w:shd w:val="clear" w:color="auto" w:fill="auto"/>
            <w:vAlign w:val="center"/>
            <w:hideMark/>
          </w:tcPr>
          <w:p w14:paraId="516D60B0"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nil"/>
              <w:left w:val="nil"/>
              <w:bottom w:val="single" w:sz="8" w:space="0" w:color="auto"/>
              <w:right w:val="single" w:sz="8" w:space="0" w:color="auto"/>
            </w:tcBorders>
            <w:shd w:val="clear" w:color="auto" w:fill="auto"/>
            <w:vAlign w:val="center"/>
            <w:hideMark/>
          </w:tcPr>
          <w:p w14:paraId="6C231534"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w:t>
            </w:r>
          </w:p>
        </w:tc>
        <w:tc>
          <w:tcPr>
            <w:tcW w:w="594" w:type="dxa"/>
            <w:tcBorders>
              <w:top w:val="nil"/>
              <w:left w:val="nil"/>
              <w:bottom w:val="single" w:sz="8" w:space="0" w:color="auto"/>
              <w:right w:val="single" w:sz="8" w:space="0" w:color="auto"/>
            </w:tcBorders>
            <w:shd w:val="clear" w:color="auto" w:fill="auto"/>
            <w:vAlign w:val="center"/>
            <w:hideMark/>
          </w:tcPr>
          <w:p w14:paraId="18F160DB"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w:t>
            </w:r>
          </w:p>
        </w:tc>
        <w:tc>
          <w:tcPr>
            <w:tcW w:w="846" w:type="dxa"/>
            <w:tcBorders>
              <w:top w:val="nil"/>
              <w:left w:val="nil"/>
              <w:bottom w:val="single" w:sz="8" w:space="0" w:color="auto"/>
              <w:right w:val="single" w:sz="8" w:space="0" w:color="auto"/>
            </w:tcBorders>
            <w:shd w:val="clear" w:color="auto" w:fill="auto"/>
            <w:vAlign w:val="center"/>
            <w:hideMark/>
          </w:tcPr>
          <w:p w14:paraId="7F1D79DC"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w:t>
            </w:r>
          </w:p>
        </w:tc>
        <w:tc>
          <w:tcPr>
            <w:tcW w:w="1440" w:type="dxa"/>
            <w:tcBorders>
              <w:top w:val="nil"/>
              <w:left w:val="nil"/>
              <w:bottom w:val="single" w:sz="8" w:space="0" w:color="auto"/>
              <w:right w:val="single" w:sz="8" w:space="0" w:color="auto"/>
            </w:tcBorders>
            <w:shd w:val="clear" w:color="auto" w:fill="auto"/>
            <w:vAlign w:val="center"/>
            <w:hideMark/>
          </w:tcPr>
          <w:p w14:paraId="28D8F7FE"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Decreto Supremo, </w:t>
            </w:r>
            <w:proofErr w:type="spellStart"/>
            <w:r w:rsidRPr="00105274">
              <w:rPr>
                <w:rFonts w:ascii="Arial" w:eastAsia="Times New Roman" w:hAnsi="Arial" w:cs="Arial"/>
                <w:color w:val="000000"/>
                <w:sz w:val="20"/>
                <w:szCs w:val="20"/>
                <w:lang w:val="es-CL" w:eastAsia="es-CL"/>
              </w:rPr>
              <w:t>ENEP</w:t>
            </w:r>
            <w:proofErr w:type="spellEnd"/>
            <w:r w:rsidRPr="0EE7702A">
              <w:rPr>
                <w:rFonts w:ascii="Arial" w:eastAsia="Times New Roman" w:hAnsi="Arial" w:cs="Arial"/>
                <w:color w:val="000000" w:themeColor="text1"/>
                <w:sz w:val="20"/>
                <w:szCs w:val="20"/>
                <w:lang w:val="es-CL" w:eastAsia="es-CL"/>
              </w:rPr>
              <w:t>, Ministerio de Educación</w:t>
            </w:r>
            <w:r w:rsidRPr="00105274">
              <w:rPr>
                <w:rFonts w:ascii="Arial" w:eastAsia="Times New Roman" w:hAnsi="Arial" w:cs="Arial"/>
                <w:color w:val="000000"/>
                <w:sz w:val="20"/>
                <w:szCs w:val="20"/>
                <w:lang w:val="es-CL" w:eastAsia="es-CL"/>
              </w:rPr>
              <w:t xml:space="preserve"> </w:t>
            </w:r>
          </w:p>
        </w:tc>
        <w:tc>
          <w:tcPr>
            <w:tcW w:w="810" w:type="dxa"/>
            <w:tcBorders>
              <w:top w:val="nil"/>
              <w:left w:val="nil"/>
              <w:bottom w:val="single" w:sz="8" w:space="0" w:color="auto"/>
              <w:right w:val="single" w:sz="8" w:space="0" w:color="auto"/>
            </w:tcBorders>
            <w:shd w:val="clear" w:color="auto" w:fill="auto"/>
            <w:vAlign w:val="center"/>
            <w:hideMark/>
          </w:tcPr>
          <w:p w14:paraId="26AE838C"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No</w:t>
            </w:r>
          </w:p>
        </w:tc>
        <w:tc>
          <w:tcPr>
            <w:tcW w:w="3870" w:type="dxa"/>
            <w:tcBorders>
              <w:top w:val="nil"/>
              <w:left w:val="nil"/>
              <w:bottom w:val="single" w:sz="8" w:space="0" w:color="auto"/>
              <w:right w:val="single" w:sz="8" w:space="0" w:color="auto"/>
            </w:tcBorders>
            <w:shd w:val="clear" w:color="auto" w:fill="auto"/>
            <w:vAlign w:val="center"/>
            <w:hideMark/>
          </w:tcPr>
          <w:p w14:paraId="0FF95526"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themeColor="text1"/>
                <w:sz w:val="20"/>
                <w:szCs w:val="20"/>
                <w:lang w:val="es-CL" w:eastAsia="es-CL"/>
              </w:rPr>
              <w:t>La Ley 21.040 establece la creación de una estrategia para la educación pública, en el que se formulen los objetivos, metas y acciones para la mejora educativa. El decreto supremo de ser firmado previa aprobación del Consejo Nacional de Educación (</w:t>
            </w:r>
            <w:proofErr w:type="spellStart"/>
            <w:r w:rsidRPr="00105274">
              <w:rPr>
                <w:rFonts w:ascii="Arial" w:eastAsia="Times New Roman" w:hAnsi="Arial" w:cs="Arial"/>
                <w:color w:val="000000" w:themeColor="text1"/>
                <w:sz w:val="20"/>
                <w:szCs w:val="20"/>
                <w:lang w:val="es-CL" w:eastAsia="es-CL"/>
              </w:rPr>
              <w:t>CNED</w:t>
            </w:r>
            <w:proofErr w:type="spellEnd"/>
            <w:r w:rsidRPr="00105274">
              <w:rPr>
                <w:rFonts w:ascii="Arial" w:eastAsia="Times New Roman" w:hAnsi="Arial" w:cs="Arial"/>
                <w:color w:val="000000" w:themeColor="text1"/>
                <w:sz w:val="20"/>
                <w:szCs w:val="20"/>
                <w:lang w:val="es-CL" w:eastAsia="es-CL"/>
              </w:rPr>
              <w:t xml:space="preserve">), institución externa a la DEP. </w:t>
            </w:r>
          </w:p>
          <w:p w14:paraId="6B444AA0"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35EFC254"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Cálculo del indicador: El indicador se cumple con la aprobación del Decreto Supremo que establece la </w:t>
            </w:r>
            <w:proofErr w:type="spellStart"/>
            <w:r w:rsidRPr="00105274">
              <w:rPr>
                <w:rFonts w:ascii="Arial" w:eastAsia="Times New Roman" w:hAnsi="Arial" w:cs="Arial"/>
                <w:color w:val="000000"/>
                <w:sz w:val="20"/>
                <w:szCs w:val="20"/>
                <w:lang w:val="es-CL" w:eastAsia="es-CL"/>
              </w:rPr>
              <w:t>ENEP</w:t>
            </w:r>
            <w:proofErr w:type="spellEnd"/>
            <w:r w:rsidRPr="00105274">
              <w:rPr>
                <w:rFonts w:ascii="Arial" w:eastAsia="Times New Roman" w:hAnsi="Arial" w:cs="Arial"/>
                <w:color w:val="000000"/>
                <w:sz w:val="20"/>
                <w:szCs w:val="20"/>
                <w:lang w:val="es-CL" w:eastAsia="es-CL"/>
              </w:rPr>
              <w:t>.</w:t>
            </w:r>
          </w:p>
          <w:p w14:paraId="49FEE110"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r>
      <w:tr w:rsidR="005D3D3C" w:rsidRPr="00376B9E" w14:paraId="0FD26071" w14:textId="77777777" w:rsidTr="00C76F20">
        <w:trPr>
          <w:trHeight w:val="20"/>
        </w:trPr>
        <w:tc>
          <w:tcPr>
            <w:tcW w:w="2123" w:type="dxa"/>
            <w:tcBorders>
              <w:top w:val="nil"/>
              <w:left w:val="single" w:sz="8" w:space="0" w:color="auto"/>
              <w:bottom w:val="single" w:sz="8" w:space="0" w:color="auto"/>
              <w:right w:val="single" w:sz="8" w:space="0" w:color="auto"/>
            </w:tcBorders>
            <w:shd w:val="clear" w:color="auto" w:fill="auto"/>
            <w:vAlign w:val="center"/>
          </w:tcPr>
          <w:p w14:paraId="58C972E1"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 xml:space="preserve">1.5 Número de alumnos beneficiados por el proyecto </w:t>
            </w:r>
          </w:p>
        </w:tc>
        <w:tc>
          <w:tcPr>
            <w:tcW w:w="940" w:type="dxa"/>
            <w:tcBorders>
              <w:top w:val="nil"/>
              <w:left w:val="nil"/>
              <w:bottom w:val="single" w:sz="8" w:space="0" w:color="auto"/>
              <w:right w:val="single" w:sz="8" w:space="0" w:color="auto"/>
            </w:tcBorders>
            <w:shd w:val="clear" w:color="auto" w:fill="auto"/>
            <w:vAlign w:val="center"/>
          </w:tcPr>
          <w:p w14:paraId="43490E3C" w14:textId="77777777" w:rsidR="005D3D3C" w:rsidRPr="00105274" w:rsidDel="00854DB2"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Alumnos</w:t>
            </w:r>
          </w:p>
        </w:tc>
        <w:tc>
          <w:tcPr>
            <w:tcW w:w="900" w:type="dxa"/>
            <w:tcBorders>
              <w:top w:val="nil"/>
              <w:left w:val="nil"/>
              <w:bottom w:val="single" w:sz="8" w:space="0" w:color="auto"/>
              <w:right w:val="single" w:sz="8" w:space="0" w:color="auto"/>
            </w:tcBorders>
            <w:shd w:val="clear" w:color="auto" w:fill="auto"/>
            <w:vAlign w:val="center"/>
          </w:tcPr>
          <w:p w14:paraId="64B3EE3C"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0</w:t>
            </w:r>
          </w:p>
        </w:tc>
        <w:tc>
          <w:tcPr>
            <w:tcW w:w="990" w:type="dxa"/>
            <w:tcBorders>
              <w:top w:val="nil"/>
              <w:left w:val="nil"/>
              <w:bottom w:val="single" w:sz="8" w:space="0" w:color="auto"/>
              <w:right w:val="single" w:sz="8" w:space="0" w:color="auto"/>
            </w:tcBorders>
            <w:shd w:val="clear" w:color="auto" w:fill="auto"/>
            <w:vAlign w:val="center"/>
          </w:tcPr>
          <w:p w14:paraId="65C756DA"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2017</w:t>
            </w:r>
          </w:p>
        </w:tc>
        <w:tc>
          <w:tcPr>
            <w:tcW w:w="630" w:type="dxa"/>
            <w:tcBorders>
              <w:top w:val="nil"/>
              <w:left w:val="nil"/>
              <w:bottom w:val="single" w:sz="8" w:space="0" w:color="auto"/>
              <w:right w:val="single" w:sz="8" w:space="0" w:color="auto"/>
            </w:tcBorders>
            <w:shd w:val="clear" w:color="auto" w:fill="auto"/>
            <w:vAlign w:val="center"/>
          </w:tcPr>
          <w:p w14:paraId="2B5BC7FB"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180.</w:t>
            </w:r>
            <w:r w:rsidRPr="00876191">
              <w:rPr>
                <w:rFonts w:ascii="Arial" w:eastAsia="Times New Roman" w:hAnsi="Arial" w:cs="Arial"/>
                <w:color w:val="000000"/>
                <w:sz w:val="20"/>
                <w:szCs w:val="20"/>
                <w:lang w:val="es-CL" w:eastAsia="es-CL"/>
              </w:rPr>
              <w:t>000</w:t>
            </w:r>
          </w:p>
        </w:tc>
        <w:tc>
          <w:tcPr>
            <w:tcW w:w="594" w:type="dxa"/>
            <w:tcBorders>
              <w:top w:val="nil"/>
              <w:left w:val="nil"/>
              <w:bottom w:val="single" w:sz="8" w:space="0" w:color="auto"/>
              <w:right w:val="single" w:sz="8" w:space="0" w:color="auto"/>
            </w:tcBorders>
            <w:shd w:val="clear" w:color="auto" w:fill="auto"/>
            <w:vAlign w:val="center"/>
          </w:tcPr>
          <w:p w14:paraId="7B13B967" w14:textId="77777777" w:rsidR="005D3D3C" w:rsidRPr="00876191" w:rsidRDefault="005D3D3C" w:rsidP="00C76F20">
            <w:pPr>
              <w:spacing w:after="0" w:line="240" w:lineRule="auto"/>
              <w:jc w:val="center"/>
              <w:rPr>
                <w:rFonts w:ascii="Arial" w:eastAsia="Times New Roman" w:hAnsi="Arial" w:cs="Arial"/>
                <w:color w:val="000000"/>
                <w:sz w:val="20"/>
                <w:szCs w:val="20"/>
                <w:lang w:val="es-CL" w:eastAsia="es-CL"/>
              </w:rPr>
            </w:pPr>
            <w:r w:rsidRPr="00876191">
              <w:rPr>
                <w:rFonts w:ascii="Arial" w:eastAsia="Times New Roman" w:hAnsi="Arial" w:cs="Arial"/>
                <w:color w:val="000000"/>
                <w:sz w:val="20"/>
                <w:szCs w:val="20"/>
                <w:lang w:val="es-CL" w:eastAsia="es-CL"/>
              </w:rPr>
              <w:t>1</w:t>
            </w:r>
            <w:r>
              <w:rPr>
                <w:rFonts w:ascii="Arial" w:eastAsia="Times New Roman" w:hAnsi="Arial" w:cs="Arial"/>
                <w:color w:val="000000"/>
                <w:sz w:val="20"/>
                <w:szCs w:val="20"/>
                <w:lang w:val="es-CL" w:eastAsia="es-CL"/>
              </w:rPr>
              <w:t>8</w:t>
            </w:r>
            <w:r w:rsidRPr="00876191">
              <w:rPr>
                <w:rFonts w:ascii="Arial" w:eastAsia="Times New Roman" w:hAnsi="Arial" w:cs="Arial"/>
                <w:color w:val="000000"/>
                <w:sz w:val="20"/>
                <w:szCs w:val="20"/>
                <w:lang w:val="es-CL" w:eastAsia="es-CL"/>
              </w:rPr>
              <w:t>0</w:t>
            </w:r>
            <w:r>
              <w:rPr>
                <w:rFonts w:ascii="Arial" w:eastAsia="Times New Roman" w:hAnsi="Arial" w:cs="Arial"/>
                <w:color w:val="000000"/>
                <w:sz w:val="20"/>
                <w:szCs w:val="20"/>
                <w:lang w:val="es-CL" w:eastAsia="es-CL"/>
              </w:rPr>
              <w:t>.</w:t>
            </w:r>
            <w:r w:rsidRPr="00876191">
              <w:rPr>
                <w:rFonts w:ascii="Arial" w:eastAsia="Times New Roman" w:hAnsi="Arial" w:cs="Arial"/>
                <w:color w:val="000000"/>
                <w:sz w:val="20"/>
                <w:szCs w:val="20"/>
                <w:lang w:val="es-CL" w:eastAsia="es-CL"/>
              </w:rPr>
              <w:t>000</w:t>
            </w:r>
          </w:p>
        </w:tc>
        <w:tc>
          <w:tcPr>
            <w:tcW w:w="846" w:type="dxa"/>
            <w:tcBorders>
              <w:top w:val="nil"/>
              <w:left w:val="nil"/>
              <w:bottom w:val="single" w:sz="8" w:space="0" w:color="auto"/>
              <w:right w:val="single" w:sz="8" w:space="0" w:color="auto"/>
            </w:tcBorders>
            <w:shd w:val="clear" w:color="auto" w:fill="auto"/>
            <w:vAlign w:val="center"/>
          </w:tcPr>
          <w:p w14:paraId="3EBCA0B9" w14:textId="77777777" w:rsidR="005D3D3C" w:rsidRPr="00876191" w:rsidRDefault="005D3D3C" w:rsidP="00C76F20">
            <w:pPr>
              <w:spacing w:after="0" w:line="240" w:lineRule="auto"/>
              <w:jc w:val="center"/>
              <w:rPr>
                <w:rFonts w:ascii="Arial" w:eastAsia="Times New Roman" w:hAnsi="Arial" w:cs="Arial"/>
                <w:color w:val="000000"/>
                <w:sz w:val="20"/>
                <w:szCs w:val="20"/>
                <w:lang w:val="es-CL" w:eastAsia="es-CL"/>
              </w:rPr>
            </w:pPr>
            <w:r w:rsidRPr="00876191">
              <w:rPr>
                <w:rFonts w:ascii="Arial" w:eastAsia="Times New Roman" w:hAnsi="Arial" w:cs="Arial"/>
                <w:color w:val="000000"/>
                <w:sz w:val="20"/>
                <w:szCs w:val="20"/>
                <w:lang w:val="es-CL" w:eastAsia="es-CL"/>
              </w:rPr>
              <w:t>1</w:t>
            </w:r>
            <w:r>
              <w:rPr>
                <w:rFonts w:ascii="Arial" w:eastAsia="Times New Roman" w:hAnsi="Arial" w:cs="Arial"/>
                <w:color w:val="000000"/>
                <w:sz w:val="20"/>
                <w:szCs w:val="20"/>
                <w:lang w:val="es-CL" w:eastAsia="es-CL"/>
              </w:rPr>
              <w:t>8</w:t>
            </w:r>
            <w:r w:rsidRPr="00876191">
              <w:rPr>
                <w:rFonts w:ascii="Arial" w:eastAsia="Times New Roman" w:hAnsi="Arial" w:cs="Arial"/>
                <w:color w:val="000000"/>
                <w:sz w:val="20"/>
                <w:szCs w:val="20"/>
                <w:lang w:val="es-CL" w:eastAsia="es-CL"/>
              </w:rPr>
              <w:t>0</w:t>
            </w:r>
            <w:r>
              <w:rPr>
                <w:rFonts w:ascii="Arial" w:eastAsia="Times New Roman" w:hAnsi="Arial" w:cs="Arial"/>
                <w:color w:val="000000"/>
                <w:sz w:val="20"/>
                <w:szCs w:val="20"/>
                <w:lang w:val="es-CL" w:eastAsia="es-CL"/>
              </w:rPr>
              <w:t>.</w:t>
            </w:r>
            <w:r w:rsidRPr="00876191">
              <w:rPr>
                <w:rFonts w:ascii="Arial" w:eastAsia="Times New Roman" w:hAnsi="Arial" w:cs="Arial"/>
                <w:color w:val="000000"/>
                <w:sz w:val="20"/>
                <w:szCs w:val="20"/>
                <w:lang w:val="es-CL" w:eastAsia="es-CL"/>
              </w:rPr>
              <w:t>000</w:t>
            </w:r>
          </w:p>
        </w:tc>
        <w:tc>
          <w:tcPr>
            <w:tcW w:w="1440" w:type="dxa"/>
            <w:tcBorders>
              <w:top w:val="nil"/>
              <w:left w:val="nil"/>
              <w:bottom w:val="single" w:sz="8" w:space="0" w:color="auto"/>
              <w:right w:val="single" w:sz="8" w:space="0" w:color="auto"/>
            </w:tcBorders>
            <w:shd w:val="clear" w:color="auto" w:fill="auto"/>
            <w:vAlign w:val="center"/>
          </w:tcPr>
          <w:p w14:paraId="656EC03B"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EE7702A">
              <w:rPr>
                <w:rFonts w:ascii="Arial" w:eastAsia="Times New Roman" w:hAnsi="Arial" w:cs="Arial"/>
                <w:color w:val="000000" w:themeColor="text1"/>
                <w:sz w:val="20"/>
                <w:szCs w:val="20"/>
                <w:lang w:val="es-CL" w:eastAsia="es-CL"/>
              </w:rPr>
              <w:t>Estadísticas de matrícula, Ministerio de Educación</w:t>
            </w:r>
          </w:p>
        </w:tc>
        <w:tc>
          <w:tcPr>
            <w:tcW w:w="810" w:type="dxa"/>
            <w:tcBorders>
              <w:top w:val="nil"/>
              <w:left w:val="nil"/>
              <w:bottom w:val="single" w:sz="8" w:space="0" w:color="auto"/>
              <w:right w:val="single" w:sz="8" w:space="0" w:color="auto"/>
            </w:tcBorders>
            <w:shd w:val="clear" w:color="auto" w:fill="auto"/>
            <w:vAlign w:val="center"/>
          </w:tcPr>
          <w:p w14:paraId="64D18E4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No</w:t>
            </w:r>
          </w:p>
        </w:tc>
        <w:tc>
          <w:tcPr>
            <w:tcW w:w="3870" w:type="dxa"/>
            <w:tcBorders>
              <w:top w:val="nil"/>
              <w:left w:val="nil"/>
              <w:bottom w:val="single" w:sz="8" w:space="0" w:color="auto"/>
              <w:right w:val="single" w:sz="8" w:space="0" w:color="auto"/>
            </w:tcBorders>
            <w:shd w:val="clear" w:color="auto" w:fill="auto"/>
            <w:vAlign w:val="center"/>
          </w:tcPr>
          <w:p w14:paraId="564BCA0D" w14:textId="77777777" w:rsidR="005D3D3C" w:rsidRDefault="005D3D3C" w:rsidP="00C76F20">
            <w:pPr>
              <w:spacing w:after="0" w:line="240" w:lineRule="auto"/>
              <w:rPr>
                <w:rFonts w:ascii="Arial" w:eastAsia="Times New Roman" w:hAnsi="Arial" w:cs="Arial"/>
                <w:color w:val="000000" w:themeColor="text1"/>
                <w:sz w:val="20"/>
                <w:szCs w:val="20"/>
                <w:lang w:val="es-CL" w:eastAsia="es-CL"/>
              </w:rPr>
            </w:pPr>
            <w:r>
              <w:rPr>
                <w:rFonts w:ascii="Arial" w:eastAsia="Times New Roman" w:hAnsi="Arial" w:cs="Arial"/>
                <w:color w:val="000000" w:themeColor="text1"/>
                <w:sz w:val="20"/>
                <w:szCs w:val="20"/>
                <w:lang w:val="es-CL" w:eastAsia="es-CL"/>
              </w:rPr>
              <w:t xml:space="preserve">Se consideran </w:t>
            </w:r>
            <w:r w:rsidRPr="0EE7702A">
              <w:rPr>
                <w:rFonts w:ascii="Arial" w:eastAsia="Times New Roman" w:hAnsi="Arial" w:cs="Arial"/>
                <w:color w:val="000000" w:themeColor="text1"/>
                <w:sz w:val="20"/>
                <w:szCs w:val="20"/>
                <w:lang w:val="es-CL" w:eastAsia="es-CL"/>
              </w:rPr>
              <w:t>como beneficiarios</w:t>
            </w:r>
            <w:r>
              <w:rPr>
                <w:rFonts w:ascii="Arial" w:eastAsia="Times New Roman" w:hAnsi="Arial" w:cs="Arial"/>
                <w:color w:val="000000" w:themeColor="text1"/>
                <w:sz w:val="20"/>
                <w:szCs w:val="20"/>
                <w:lang w:val="es-CL" w:eastAsia="es-CL"/>
              </w:rPr>
              <w:t xml:space="preserve"> </w:t>
            </w:r>
            <w:r w:rsidRPr="0EE7702A">
              <w:rPr>
                <w:rFonts w:ascii="Arial" w:eastAsia="Times New Roman" w:hAnsi="Arial" w:cs="Arial"/>
                <w:color w:val="000000" w:themeColor="text1"/>
                <w:sz w:val="20"/>
                <w:szCs w:val="20"/>
                <w:lang w:val="es-CL" w:eastAsia="es-CL"/>
              </w:rPr>
              <w:t>d</w:t>
            </w:r>
            <w:r>
              <w:rPr>
                <w:rFonts w:ascii="Arial" w:eastAsia="Times New Roman" w:hAnsi="Arial" w:cs="Arial"/>
                <w:color w:val="000000" w:themeColor="text1"/>
                <w:sz w:val="20"/>
                <w:szCs w:val="20"/>
                <w:lang w:val="es-CL" w:eastAsia="es-CL"/>
              </w:rPr>
              <w:t xml:space="preserve">el programa aquellos </w:t>
            </w:r>
            <w:r w:rsidRPr="0EE7702A">
              <w:rPr>
                <w:rFonts w:ascii="Arial" w:eastAsia="Times New Roman" w:hAnsi="Arial" w:cs="Arial"/>
                <w:color w:val="000000" w:themeColor="text1"/>
                <w:sz w:val="20"/>
                <w:szCs w:val="20"/>
                <w:lang w:val="es-CL" w:eastAsia="es-CL"/>
              </w:rPr>
              <w:t xml:space="preserve">alumnos </w:t>
            </w:r>
            <w:r>
              <w:rPr>
                <w:rFonts w:ascii="Arial" w:eastAsia="Times New Roman" w:hAnsi="Arial" w:cs="Arial"/>
                <w:color w:val="000000" w:themeColor="text1"/>
                <w:sz w:val="20"/>
                <w:szCs w:val="20"/>
                <w:lang w:val="es-CL" w:eastAsia="es-CL"/>
              </w:rPr>
              <w:t xml:space="preserve">que están matriculados en las escuelas que </w:t>
            </w:r>
            <w:r w:rsidRPr="0EE7702A">
              <w:rPr>
                <w:rFonts w:ascii="Arial" w:eastAsia="Times New Roman" w:hAnsi="Arial" w:cs="Arial"/>
                <w:color w:val="000000" w:themeColor="text1"/>
                <w:sz w:val="20"/>
                <w:szCs w:val="20"/>
                <w:lang w:val="es-CL" w:eastAsia="es-CL"/>
              </w:rPr>
              <w:t xml:space="preserve">forman </w:t>
            </w:r>
            <w:r>
              <w:rPr>
                <w:rFonts w:ascii="Arial" w:eastAsia="Times New Roman" w:hAnsi="Arial" w:cs="Arial"/>
                <w:color w:val="000000" w:themeColor="text1"/>
                <w:sz w:val="20"/>
                <w:szCs w:val="20"/>
                <w:lang w:val="es-CL" w:eastAsia="es-CL"/>
              </w:rPr>
              <w:t xml:space="preserve">parte de los nuevos </w:t>
            </w:r>
            <w:proofErr w:type="spellStart"/>
            <w:r>
              <w:rPr>
                <w:rFonts w:ascii="Arial" w:eastAsia="Times New Roman" w:hAnsi="Arial" w:cs="Arial"/>
                <w:color w:val="000000" w:themeColor="text1"/>
                <w:sz w:val="20"/>
                <w:szCs w:val="20"/>
                <w:lang w:val="es-CL" w:eastAsia="es-CL"/>
              </w:rPr>
              <w:t>SLEPs</w:t>
            </w:r>
            <w:proofErr w:type="spellEnd"/>
            <w:r>
              <w:rPr>
                <w:rFonts w:ascii="Arial" w:eastAsia="Times New Roman" w:hAnsi="Arial" w:cs="Arial"/>
                <w:color w:val="000000" w:themeColor="text1"/>
                <w:sz w:val="20"/>
                <w:szCs w:val="20"/>
                <w:lang w:val="es-CL" w:eastAsia="es-CL"/>
              </w:rPr>
              <w:t>.</w:t>
            </w:r>
          </w:p>
          <w:p w14:paraId="34933E86" w14:textId="77777777" w:rsidR="005D3D3C" w:rsidRPr="00105274" w:rsidRDefault="005D3D3C" w:rsidP="00C76F20">
            <w:pPr>
              <w:spacing w:after="0" w:line="240" w:lineRule="auto"/>
              <w:rPr>
                <w:rFonts w:ascii="Arial" w:eastAsia="Times New Roman" w:hAnsi="Arial" w:cs="Arial"/>
                <w:color w:val="000000" w:themeColor="text1"/>
                <w:sz w:val="20"/>
                <w:szCs w:val="20"/>
                <w:lang w:val="es-CL" w:eastAsia="es-CL"/>
              </w:rPr>
            </w:pPr>
          </w:p>
        </w:tc>
      </w:tr>
      <w:tr w:rsidR="005D3D3C" w:rsidRPr="00376B9E" w14:paraId="389C5F9A" w14:textId="77777777" w:rsidTr="00C76F20">
        <w:trPr>
          <w:trHeight w:val="20"/>
        </w:trPr>
        <w:tc>
          <w:tcPr>
            <w:tcW w:w="13143" w:type="dxa"/>
            <w:gridSpan w:val="10"/>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hideMark/>
          </w:tcPr>
          <w:p w14:paraId="14CA86A7" w14:textId="77777777" w:rsidR="005D3D3C" w:rsidRPr="00105274" w:rsidRDefault="005D3D3C" w:rsidP="00C76F20">
            <w:pPr>
              <w:spacing w:after="0" w:line="240" w:lineRule="auto"/>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 xml:space="preserve">Preparación del traspaso del servicio educativo en municipios que van a convertirse en </w:t>
            </w:r>
            <w:proofErr w:type="spellStart"/>
            <w:r w:rsidRPr="00105274">
              <w:rPr>
                <w:rFonts w:ascii="Arial" w:eastAsia="Times New Roman" w:hAnsi="Arial" w:cs="Arial"/>
                <w:b/>
                <w:color w:val="000000"/>
                <w:sz w:val="20"/>
                <w:szCs w:val="20"/>
                <w:lang w:val="es-CL" w:eastAsia="es-CL"/>
              </w:rPr>
              <w:t>SLEPs</w:t>
            </w:r>
            <w:proofErr w:type="spellEnd"/>
            <w:r w:rsidRPr="00105274">
              <w:rPr>
                <w:rFonts w:ascii="Arial" w:eastAsia="Times New Roman" w:hAnsi="Arial" w:cs="Arial"/>
                <w:b/>
                <w:color w:val="000000"/>
                <w:sz w:val="20"/>
                <w:szCs w:val="20"/>
                <w:lang w:val="es-CL" w:eastAsia="es-CL"/>
              </w:rPr>
              <w:t xml:space="preserve"> </w:t>
            </w:r>
          </w:p>
        </w:tc>
      </w:tr>
      <w:tr w:rsidR="005D3D3C" w:rsidRPr="00105274" w14:paraId="74FC7CAE" w14:textId="77777777" w:rsidTr="00C76F20">
        <w:trPr>
          <w:trHeight w:val="20"/>
        </w:trPr>
        <w:tc>
          <w:tcPr>
            <w:tcW w:w="2123" w:type="dxa"/>
            <w:tcBorders>
              <w:top w:val="nil"/>
              <w:left w:val="single" w:sz="8" w:space="0" w:color="auto"/>
              <w:bottom w:val="single" w:sz="8" w:space="0" w:color="000000" w:themeColor="text1"/>
              <w:right w:val="single" w:sz="8" w:space="0" w:color="auto"/>
            </w:tcBorders>
            <w:shd w:val="clear" w:color="auto" w:fill="auto"/>
            <w:vAlign w:val="center"/>
            <w:hideMark/>
          </w:tcPr>
          <w:p w14:paraId="620C73DB"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w:t>
            </w:r>
            <w:r>
              <w:rPr>
                <w:rFonts w:ascii="Arial" w:eastAsia="Times New Roman" w:hAnsi="Arial" w:cs="Arial"/>
                <w:color w:val="000000"/>
                <w:sz w:val="20"/>
                <w:szCs w:val="20"/>
                <w:lang w:val="es-CL" w:eastAsia="es-CL"/>
              </w:rPr>
              <w:t>6</w:t>
            </w:r>
            <w:r w:rsidRPr="00105274">
              <w:rPr>
                <w:rFonts w:ascii="Arial" w:eastAsia="Times New Roman" w:hAnsi="Arial" w:cs="Arial"/>
                <w:color w:val="000000"/>
                <w:sz w:val="20"/>
                <w:szCs w:val="20"/>
                <w:lang w:val="es-CL" w:eastAsia="es-CL"/>
              </w:rPr>
              <w:t xml:space="preserve">. Número de municipios con un plan de transición firmado y que ejecutan </w:t>
            </w:r>
            <w:proofErr w:type="spellStart"/>
            <w:r w:rsidRPr="00105274">
              <w:rPr>
                <w:rFonts w:ascii="Arial" w:eastAsia="Times New Roman" w:hAnsi="Arial" w:cs="Arial"/>
                <w:color w:val="000000"/>
                <w:sz w:val="20"/>
                <w:szCs w:val="20"/>
                <w:lang w:val="es-CL" w:eastAsia="es-CL"/>
              </w:rPr>
              <w:t>FAEP</w:t>
            </w:r>
            <w:proofErr w:type="spellEnd"/>
          </w:p>
        </w:tc>
        <w:tc>
          <w:tcPr>
            <w:tcW w:w="940" w:type="dxa"/>
            <w:tcBorders>
              <w:top w:val="nil"/>
              <w:left w:val="single" w:sz="8" w:space="0" w:color="auto"/>
              <w:bottom w:val="single" w:sz="8" w:space="0" w:color="000000" w:themeColor="text1"/>
              <w:right w:val="single" w:sz="8" w:space="0" w:color="auto"/>
            </w:tcBorders>
            <w:shd w:val="clear" w:color="auto" w:fill="auto"/>
            <w:vAlign w:val="center"/>
            <w:hideMark/>
          </w:tcPr>
          <w:p w14:paraId="12C57B64"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Municipios</w:t>
            </w:r>
          </w:p>
        </w:tc>
        <w:tc>
          <w:tcPr>
            <w:tcW w:w="900" w:type="dxa"/>
            <w:tcBorders>
              <w:top w:val="nil"/>
              <w:left w:val="single" w:sz="8" w:space="0" w:color="auto"/>
              <w:bottom w:val="single" w:sz="8" w:space="0" w:color="000000" w:themeColor="text1"/>
              <w:right w:val="single" w:sz="8" w:space="0" w:color="auto"/>
            </w:tcBorders>
            <w:shd w:val="clear" w:color="auto" w:fill="auto"/>
            <w:vAlign w:val="center"/>
            <w:hideMark/>
          </w:tcPr>
          <w:p w14:paraId="3D1B753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nil"/>
              <w:left w:val="single" w:sz="8" w:space="0" w:color="auto"/>
              <w:bottom w:val="single" w:sz="8" w:space="0" w:color="000000" w:themeColor="text1"/>
              <w:right w:val="single" w:sz="8" w:space="0" w:color="auto"/>
            </w:tcBorders>
            <w:shd w:val="clear" w:color="auto" w:fill="auto"/>
            <w:vAlign w:val="center"/>
            <w:hideMark/>
          </w:tcPr>
          <w:p w14:paraId="616C4FD6"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nil"/>
              <w:left w:val="single" w:sz="8" w:space="0" w:color="auto"/>
              <w:bottom w:val="single" w:sz="8" w:space="0" w:color="000000" w:themeColor="text1"/>
              <w:right w:val="single" w:sz="8" w:space="0" w:color="auto"/>
            </w:tcBorders>
            <w:shd w:val="clear" w:color="auto" w:fill="auto"/>
            <w:vAlign w:val="center"/>
            <w:hideMark/>
          </w:tcPr>
          <w:p w14:paraId="133FBFED"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w:t>
            </w:r>
          </w:p>
        </w:tc>
        <w:tc>
          <w:tcPr>
            <w:tcW w:w="594" w:type="dxa"/>
            <w:tcBorders>
              <w:top w:val="nil"/>
              <w:left w:val="single" w:sz="8" w:space="0" w:color="auto"/>
              <w:bottom w:val="single" w:sz="8" w:space="0" w:color="000000" w:themeColor="text1"/>
              <w:right w:val="single" w:sz="8" w:space="0" w:color="auto"/>
            </w:tcBorders>
            <w:shd w:val="clear" w:color="auto" w:fill="auto"/>
            <w:vAlign w:val="center"/>
            <w:hideMark/>
          </w:tcPr>
          <w:p w14:paraId="0FB2B241"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33</w:t>
            </w:r>
          </w:p>
        </w:tc>
        <w:tc>
          <w:tcPr>
            <w:tcW w:w="846" w:type="dxa"/>
            <w:tcBorders>
              <w:top w:val="nil"/>
              <w:left w:val="single" w:sz="8" w:space="0" w:color="auto"/>
              <w:bottom w:val="single" w:sz="8" w:space="0" w:color="000000" w:themeColor="text1"/>
              <w:right w:val="single" w:sz="8" w:space="0" w:color="auto"/>
            </w:tcBorders>
            <w:shd w:val="clear" w:color="auto" w:fill="auto"/>
            <w:vAlign w:val="center"/>
            <w:hideMark/>
          </w:tcPr>
          <w:p w14:paraId="556D223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33</w:t>
            </w:r>
          </w:p>
        </w:tc>
        <w:tc>
          <w:tcPr>
            <w:tcW w:w="1440" w:type="dxa"/>
            <w:tcBorders>
              <w:top w:val="nil"/>
              <w:left w:val="single" w:sz="8" w:space="0" w:color="auto"/>
              <w:bottom w:val="single" w:sz="8" w:space="0" w:color="000000" w:themeColor="text1"/>
              <w:right w:val="single" w:sz="8" w:space="0" w:color="auto"/>
            </w:tcBorders>
            <w:shd w:val="clear" w:color="auto" w:fill="auto"/>
            <w:vAlign w:val="center"/>
            <w:hideMark/>
          </w:tcPr>
          <w:p w14:paraId="56C626BE"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Informe de monitoreo de ejecución del </w:t>
            </w:r>
            <w:proofErr w:type="spellStart"/>
            <w:r w:rsidRPr="00105274">
              <w:rPr>
                <w:rFonts w:ascii="Arial" w:eastAsia="Times New Roman" w:hAnsi="Arial" w:cs="Arial"/>
                <w:color w:val="000000"/>
                <w:sz w:val="20"/>
                <w:szCs w:val="20"/>
                <w:lang w:val="es-CL" w:eastAsia="es-CL"/>
              </w:rPr>
              <w:t>FAEP</w:t>
            </w:r>
            <w:proofErr w:type="spellEnd"/>
            <w:r w:rsidRPr="00105274">
              <w:rPr>
                <w:rFonts w:ascii="Arial" w:eastAsia="Times New Roman" w:hAnsi="Arial" w:cs="Arial"/>
                <w:color w:val="000000"/>
                <w:sz w:val="20"/>
                <w:szCs w:val="20"/>
                <w:lang w:val="es-CL" w:eastAsia="es-CL"/>
              </w:rPr>
              <w:t xml:space="preserve"> para municipios con convenios de transición firmados</w:t>
            </w:r>
            <w:r w:rsidRPr="0EE7702A">
              <w:rPr>
                <w:rFonts w:ascii="Arial" w:eastAsia="Times New Roman" w:hAnsi="Arial" w:cs="Arial"/>
                <w:color w:val="000000" w:themeColor="text1"/>
                <w:sz w:val="20"/>
                <w:szCs w:val="20"/>
                <w:lang w:val="es-CL" w:eastAsia="es-CL"/>
              </w:rPr>
              <w:t>, DEP</w:t>
            </w:r>
            <w:r w:rsidRPr="00105274">
              <w:rPr>
                <w:rFonts w:ascii="Arial" w:eastAsia="Times New Roman" w:hAnsi="Arial" w:cs="Arial"/>
                <w:color w:val="000000"/>
                <w:sz w:val="20"/>
                <w:szCs w:val="20"/>
                <w:lang w:val="es-CL" w:eastAsia="es-CL"/>
              </w:rPr>
              <w:t xml:space="preserve"> </w:t>
            </w:r>
          </w:p>
        </w:tc>
        <w:tc>
          <w:tcPr>
            <w:tcW w:w="810" w:type="dxa"/>
            <w:tcBorders>
              <w:top w:val="nil"/>
              <w:left w:val="single" w:sz="8" w:space="0" w:color="auto"/>
              <w:bottom w:val="single" w:sz="8" w:space="0" w:color="000000" w:themeColor="text1"/>
              <w:right w:val="single" w:sz="8" w:space="0" w:color="auto"/>
            </w:tcBorders>
            <w:shd w:val="clear" w:color="auto" w:fill="auto"/>
            <w:vAlign w:val="center"/>
            <w:hideMark/>
          </w:tcPr>
          <w:p w14:paraId="0AC9188D"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Sí</w:t>
            </w:r>
            <w:r w:rsidRPr="00105274">
              <w:rPr>
                <w:rFonts w:ascii="Arial" w:eastAsia="Times New Roman" w:hAnsi="Arial" w:cs="Arial"/>
                <w:b/>
                <w:color w:val="000000"/>
                <w:sz w:val="20"/>
                <w:szCs w:val="20"/>
                <w:lang w:val="es-CL" w:eastAsia="es-CL"/>
              </w:rPr>
              <w:t> </w:t>
            </w:r>
          </w:p>
        </w:tc>
        <w:tc>
          <w:tcPr>
            <w:tcW w:w="3870" w:type="dxa"/>
            <w:tcBorders>
              <w:top w:val="nil"/>
              <w:left w:val="nil"/>
              <w:right w:val="single" w:sz="8" w:space="0" w:color="auto"/>
            </w:tcBorders>
            <w:shd w:val="clear" w:color="auto" w:fill="auto"/>
            <w:vAlign w:val="center"/>
            <w:hideMark/>
          </w:tcPr>
          <w:p w14:paraId="5FBF7E50"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Se considerará el plan de transición válido una vez suscrito por el sostenedor municipal y el MINEDUC.</w:t>
            </w:r>
          </w:p>
          <w:p w14:paraId="505D9987"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31D7C169"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La ejecución del </w:t>
            </w:r>
            <w:proofErr w:type="spellStart"/>
            <w:r w:rsidRPr="00105274">
              <w:rPr>
                <w:rFonts w:ascii="Arial" w:eastAsia="Times New Roman" w:hAnsi="Arial" w:cs="Arial"/>
                <w:color w:val="000000"/>
                <w:sz w:val="20"/>
                <w:szCs w:val="20"/>
                <w:lang w:val="es-CL" w:eastAsia="es-CL"/>
              </w:rPr>
              <w:t>FAEP</w:t>
            </w:r>
            <w:proofErr w:type="spellEnd"/>
            <w:r w:rsidRPr="00105274">
              <w:rPr>
                <w:rFonts w:ascii="Arial" w:eastAsia="Times New Roman" w:hAnsi="Arial" w:cs="Arial"/>
                <w:color w:val="000000"/>
                <w:sz w:val="20"/>
                <w:szCs w:val="20"/>
                <w:lang w:val="es-CL" w:eastAsia="es-CL"/>
              </w:rPr>
              <w:t xml:space="preserve"> es monitoreada a lo largo del año por la DEP.</w:t>
            </w:r>
          </w:p>
          <w:p w14:paraId="3D23AC2A"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1C90AAFD"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Cálculo del indicador: ver tabla 4</w:t>
            </w:r>
          </w:p>
        </w:tc>
      </w:tr>
      <w:tr w:rsidR="005D3D3C" w:rsidRPr="00105274" w14:paraId="09D043EF" w14:textId="77777777" w:rsidTr="00C76F20">
        <w:trPr>
          <w:trHeight w:val="20"/>
        </w:trPr>
        <w:tc>
          <w:tcPr>
            <w:tcW w:w="13143" w:type="dxa"/>
            <w:gridSpan w:val="10"/>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hideMark/>
          </w:tcPr>
          <w:p w14:paraId="15481813" w14:textId="77777777" w:rsidR="005D3D3C" w:rsidRPr="00105274" w:rsidRDefault="005D3D3C" w:rsidP="00C76F20">
            <w:pPr>
              <w:spacing w:after="0" w:line="240" w:lineRule="auto"/>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 xml:space="preserve">Instalación de los </w:t>
            </w:r>
            <w:proofErr w:type="spellStart"/>
            <w:r w:rsidRPr="00105274">
              <w:rPr>
                <w:rFonts w:ascii="Arial" w:eastAsia="Times New Roman" w:hAnsi="Arial" w:cs="Arial"/>
                <w:b/>
                <w:color w:val="000000"/>
                <w:sz w:val="20"/>
                <w:szCs w:val="20"/>
                <w:lang w:val="es-CL" w:eastAsia="es-CL"/>
              </w:rPr>
              <w:t>SLEPs</w:t>
            </w:r>
            <w:proofErr w:type="spellEnd"/>
          </w:p>
        </w:tc>
      </w:tr>
      <w:tr w:rsidR="005D3D3C" w:rsidRPr="00376B9E" w14:paraId="5FA27077" w14:textId="77777777" w:rsidTr="00C76F20">
        <w:trPr>
          <w:trHeight w:val="20"/>
        </w:trPr>
        <w:tc>
          <w:tcPr>
            <w:tcW w:w="2123" w:type="dxa"/>
            <w:tcBorders>
              <w:top w:val="nil"/>
              <w:left w:val="single" w:sz="8" w:space="0" w:color="auto"/>
              <w:bottom w:val="single" w:sz="4" w:space="0" w:color="auto"/>
              <w:right w:val="single" w:sz="8" w:space="0" w:color="auto"/>
            </w:tcBorders>
            <w:shd w:val="clear" w:color="auto" w:fill="auto"/>
            <w:vAlign w:val="center"/>
            <w:hideMark/>
          </w:tcPr>
          <w:p w14:paraId="15CACFB0"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lastRenderedPageBreak/>
              <w:t>1.</w:t>
            </w:r>
            <w:r>
              <w:rPr>
                <w:rFonts w:ascii="Arial" w:eastAsia="Times New Roman" w:hAnsi="Arial" w:cs="Arial"/>
                <w:color w:val="000000"/>
                <w:sz w:val="20"/>
                <w:szCs w:val="20"/>
                <w:lang w:val="es-CL" w:eastAsia="es-CL"/>
              </w:rPr>
              <w:t>7</w:t>
            </w:r>
            <w:r w:rsidRPr="00105274">
              <w:rPr>
                <w:rFonts w:ascii="Arial" w:eastAsia="Times New Roman" w:hAnsi="Arial" w:cs="Arial"/>
                <w:color w:val="000000"/>
                <w:sz w:val="20"/>
                <w:szCs w:val="20"/>
                <w:lang w:val="es-CL" w:eastAsia="es-CL"/>
              </w:rPr>
              <w:t xml:space="preserve"> Número de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que tienen su Comité Directivo constituido</w:t>
            </w:r>
          </w:p>
        </w:tc>
        <w:tc>
          <w:tcPr>
            <w:tcW w:w="940" w:type="dxa"/>
            <w:tcBorders>
              <w:top w:val="nil"/>
              <w:left w:val="nil"/>
              <w:bottom w:val="single" w:sz="4" w:space="0" w:color="auto"/>
              <w:right w:val="single" w:sz="8" w:space="0" w:color="auto"/>
            </w:tcBorders>
            <w:shd w:val="clear" w:color="auto" w:fill="auto"/>
            <w:vAlign w:val="center"/>
            <w:hideMark/>
          </w:tcPr>
          <w:p w14:paraId="208E5EB1"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 xml:space="preserve"> </w:t>
            </w:r>
            <w:proofErr w:type="spellStart"/>
            <w:r w:rsidRPr="6DC7C2D8">
              <w:rPr>
                <w:rFonts w:ascii="Arial" w:eastAsia="Times New Roman" w:hAnsi="Arial" w:cs="Arial"/>
                <w:color w:val="000000" w:themeColor="text1"/>
                <w:sz w:val="20"/>
                <w:szCs w:val="20"/>
                <w:lang w:val="es-CL" w:eastAsia="es-CL"/>
              </w:rPr>
              <w:t>SLEPs</w:t>
            </w:r>
            <w:proofErr w:type="spellEnd"/>
          </w:p>
        </w:tc>
        <w:tc>
          <w:tcPr>
            <w:tcW w:w="900" w:type="dxa"/>
            <w:tcBorders>
              <w:top w:val="nil"/>
              <w:left w:val="nil"/>
              <w:bottom w:val="single" w:sz="4" w:space="0" w:color="auto"/>
              <w:right w:val="single" w:sz="8" w:space="0" w:color="auto"/>
            </w:tcBorders>
            <w:shd w:val="clear" w:color="auto" w:fill="auto"/>
            <w:vAlign w:val="center"/>
            <w:hideMark/>
          </w:tcPr>
          <w:p w14:paraId="10D3784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nil"/>
              <w:left w:val="nil"/>
              <w:bottom w:val="single" w:sz="4" w:space="0" w:color="auto"/>
              <w:right w:val="single" w:sz="8" w:space="0" w:color="auto"/>
            </w:tcBorders>
            <w:shd w:val="clear" w:color="auto" w:fill="auto"/>
            <w:vAlign w:val="center"/>
            <w:hideMark/>
          </w:tcPr>
          <w:p w14:paraId="1BBA1CAE"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nil"/>
              <w:left w:val="nil"/>
              <w:bottom w:val="single" w:sz="4" w:space="0" w:color="auto"/>
              <w:right w:val="single" w:sz="8" w:space="0" w:color="auto"/>
            </w:tcBorders>
            <w:shd w:val="clear" w:color="auto" w:fill="auto"/>
            <w:vAlign w:val="center"/>
            <w:hideMark/>
          </w:tcPr>
          <w:p w14:paraId="4DEAED5E"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11</w:t>
            </w:r>
          </w:p>
        </w:tc>
        <w:tc>
          <w:tcPr>
            <w:tcW w:w="594" w:type="dxa"/>
            <w:tcBorders>
              <w:top w:val="nil"/>
              <w:left w:val="nil"/>
              <w:bottom w:val="single" w:sz="4" w:space="0" w:color="auto"/>
              <w:right w:val="single" w:sz="8" w:space="0" w:color="auto"/>
            </w:tcBorders>
            <w:shd w:val="clear" w:color="auto" w:fill="auto"/>
            <w:vAlign w:val="center"/>
            <w:hideMark/>
          </w:tcPr>
          <w:p w14:paraId="48A104CB"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w:t>
            </w:r>
          </w:p>
        </w:tc>
        <w:tc>
          <w:tcPr>
            <w:tcW w:w="846" w:type="dxa"/>
            <w:tcBorders>
              <w:top w:val="nil"/>
              <w:left w:val="nil"/>
              <w:bottom w:val="single" w:sz="4" w:space="0" w:color="auto"/>
              <w:right w:val="single" w:sz="8" w:space="0" w:color="auto"/>
            </w:tcBorders>
            <w:shd w:val="clear" w:color="auto" w:fill="auto"/>
            <w:vAlign w:val="center"/>
            <w:hideMark/>
          </w:tcPr>
          <w:p w14:paraId="6441AAD3"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11 </w:t>
            </w:r>
          </w:p>
        </w:tc>
        <w:tc>
          <w:tcPr>
            <w:tcW w:w="1440" w:type="dxa"/>
            <w:tcBorders>
              <w:top w:val="nil"/>
              <w:left w:val="nil"/>
              <w:bottom w:val="single" w:sz="4" w:space="0" w:color="auto"/>
              <w:right w:val="single" w:sz="8" w:space="0" w:color="auto"/>
            </w:tcBorders>
            <w:shd w:val="clear" w:color="auto" w:fill="auto"/>
            <w:vAlign w:val="center"/>
            <w:hideMark/>
          </w:tcPr>
          <w:p w14:paraId="46433AA4"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Acta de la 1ª sesión de los Comité Directivo</w:t>
            </w:r>
            <w:r w:rsidRPr="0EE7702A">
              <w:rPr>
                <w:rFonts w:ascii="Arial" w:eastAsia="Times New Roman" w:hAnsi="Arial" w:cs="Arial"/>
                <w:color w:val="000000" w:themeColor="text1"/>
                <w:sz w:val="20"/>
                <w:szCs w:val="20"/>
                <w:lang w:val="es-CL" w:eastAsia="es-CL"/>
              </w:rPr>
              <w:t>, DEP</w:t>
            </w:r>
          </w:p>
        </w:tc>
        <w:tc>
          <w:tcPr>
            <w:tcW w:w="810" w:type="dxa"/>
            <w:tcBorders>
              <w:top w:val="nil"/>
              <w:left w:val="nil"/>
              <w:bottom w:val="single" w:sz="4" w:space="0" w:color="auto"/>
              <w:right w:val="single" w:sz="8" w:space="0" w:color="auto"/>
            </w:tcBorders>
            <w:shd w:val="clear" w:color="auto" w:fill="auto"/>
            <w:vAlign w:val="center"/>
            <w:hideMark/>
          </w:tcPr>
          <w:p w14:paraId="1C2D8530"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 </w:t>
            </w:r>
            <w:r w:rsidRPr="00105274">
              <w:rPr>
                <w:rFonts w:ascii="Arial" w:eastAsia="Times New Roman" w:hAnsi="Arial" w:cs="Arial"/>
                <w:color w:val="000000"/>
                <w:sz w:val="20"/>
                <w:szCs w:val="20"/>
                <w:lang w:val="es-CL" w:eastAsia="es-CL"/>
              </w:rPr>
              <w:t>No</w:t>
            </w:r>
          </w:p>
        </w:tc>
        <w:tc>
          <w:tcPr>
            <w:tcW w:w="3870" w:type="dxa"/>
            <w:tcBorders>
              <w:top w:val="nil"/>
              <w:left w:val="nil"/>
              <w:bottom w:val="single" w:sz="4" w:space="0" w:color="auto"/>
              <w:right w:val="single" w:sz="8" w:space="0" w:color="auto"/>
            </w:tcBorders>
            <w:shd w:val="clear" w:color="auto" w:fill="auto"/>
            <w:vAlign w:val="center"/>
            <w:hideMark/>
          </w:tcPr>
          <w:p w14:paraId="195B5396" w14:textId="77777777" w:rsidR="005D3D3C" w:rsidRPr="00105274" w:rsidRDefault="005D3D3C" w:rsidP="00C76F20">
            <w:pPr>
              <w:spacing w:after="0" w:line="240" w:lineRule="auto"/>
              <w:rPr>
                <w:rFonts w:eastAsia="Times New Roman" w:cs="Calibri"/>
                <w:color w:val="000000"/>
                <w:sz w:val="20"/>
                <w:szCs w:val="20"/>
                <w:lang w:val="es-CL" w:eastAsia="es-CL"/>
              </w:rPr>
            </w:pPr>
            <w:r w:rsidRPr="00105274">
              <w:rPr>
                <w:rFonts w:ascii="Arial" w:eastAsia="Times New Roman" w:hAnsi="Arial" w:cs="Arial"/>
                <w:color w:val="000000"/>
                <w:sz w:val="20"/>
                <w:szCs w:val="20"/>
                <w:lang w:val="es-CL" w:eastAsia="es-CL"/>
              </w:rPr>
              <w:t>Cálculo del indicador: Conteo de actas de la 1ª sesión del Comité Directivo para cada tramo.</w:t>
            </w:r>
          </w:p>
        </w:tc>
      </w:tr>
      <w:tr w:rsidR="005D3D3C" w:rsidRPr="00105274" w14:paraId="13302D1B" w14:textId="77777777" w:rsidTr="00C76F20">
        <w:trPr>
          <w:trHeight w:val="20"/>
        </w:trPr>
        <w:tc>
          <w:tcPr>
            <w:tcW w:w="2123" w:type="dxa"/>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75C1704D"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w:t>
            </w:r>
            <w:r>
              <w:rPr>
                <w:rFonts w:ascii="Arial" w:eastAsia="Times New Roman" w:hAnsi="Arial" w:cs="Arial"/>
                <w:color w:val="000000"/>
                <w:sz w:val="20"/>
                <w:szCs w:val="20"/>
                <w:lang w:val="es-CL" w:eastAsia="es-CL"/>
              </w:rPr>
              <w:t>8</w:t>
            </w:r>
            <w:r w:rsidRPr="00105274">
              <w:rPr>
                <w:rFonts w:ascii="Arial" w:eastAsia="Times New Roman" w:hAnsi="Arial" w:cs="Arial"/>
                <w:color w:val="000000"/>
                <w:sz w:val="20"/>
                <w:szCs w:val="20"/>
                <w:lang w:val="es-CL" w:eastAsia="es-CL"/>
              </w:rPr>
              <w:t xml:space="preserve">. Número de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con servicio educativo traspasado</w:t>
            </w:r>
          </w:p>
        </w:tc>
        <w:tc>
          <w:tcPr>
            <w:tcW w:w="940" w:type="dxa"/>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18FE297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 xml:space="preserve"> </w:t>
            </w:r>
            <w:proofErr w:type="spellStart"/>
            <w:r w:rsidRPr="6DC7C2D8">
              <w:rPr>
                <w:rFonts w:ascii="Arial" w:eastAsia="Times New Roman" w:hAnsi="Arial" w:cs="Arial"/>
                <w:color w:val="000000" w:themeColor="text1"/>
                <w:sz w:val="20"/>
                <w:szCs w:val="20"/>
                <w:lang w:val="es-CL" w:eastAsia="es-CL"/>
              </w:rPr>
              <w:t>SLEPs</w:t>
            </w:r>
            <w:proofErr w:type="spellEnd"/>
          </w:p>
        </w:tc>
        <w:tc>
          <w:tcPr>
            <w:tcW w:w="900" w:type="dxa"/>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69899EDB"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5FA03596"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2034A944"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w:t>
            </w:r>
          </w:p>
        </w:tc>
        <w:tc>
          <w:tcPr>
            <w:tcW w:w="594" w:type="dxa"/>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1F4E4D27"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11</w:t>
            </w:r>
          </w:p>
        </w:tc>
        <w:tc>
          <w:tcPr>
            <w:tcW w:w="846" w:type="dxa"/>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19F2948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11 </w:t>
            </w:r>
          </w:p>
        </w:tc>
        <w:tc>
          <w:tcPr>
            <w:tcW w:w="1440" w:type="dxa"/>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0A38E433"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Resolución de traspaso del personal educativo de cada municipio constituyente del </w:t>
            </w:r>
            <w:proofErr w:type="spellStart"/>
            <w:r w:rsidRPr="00105274">
              <w:rPr>
                <w:rFonts w:ascii="Arial" w:eastAsia="Times New Roman" w:hAnsi="Arial" w:cs="Arial"/>
                <w:color w:val="000000"/>
                <w:sz w:val="20"/>
                <w:szCs w:val="20"/>
                <w:lang w:val="es-CL" w:eastAsia="es-CL"/>
              </w:rPr>
              <w:t>SLEP</w:t>
            </w:r>
            <w:proofErr w:type="spellEnd"/>
            <w:r w:rsidRPr="0EE7702A">
              <w:rPr>
                <w:rFonts w:ascii="Arial" w:eastAsia="Times New Roman" w:hAnsi="Arial" w:cs="Arial"/>
                <w:color w:val="000000" w:themeColor="text1"/>
                <w:sz w:val="20"/>
                <w:szCs w:val="20"/>
                <w:lang w:val="es-CL" w:eastAsia="es-CL"/>
              </w:rPr>
              <w:t>, MINEDUC</w:t>
            </w:r>
            <w:r w:rsidRPr="00105274">
              <w:rPr>
                <w:rFonts w:ascii="Arial" w:eastAsia="Times New Roman" w:hAnsi="Arial" w:cs="Arial"/>
                <w:color w:val="000000"/>
                <w:sz w:val="20"/>
                <w:szCs w:val="20"/>
                <w:lang w:val="es-CL" w:eastAsia="es-CL"/>
              </w:rPr>
              <w:t xml:space="preserve"> </w:t>
            </w:r>
          </w:p>
        </w:tc>
        <w:tc>
          <w:tcPr>
            <w:tcW w:w="810" w:type="dxa"/>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4397343F" w14:textId="77777777" w:rsidR="005D3D3C" w:rsidRPr="00105274" w:rsidRDefault="005D3D3C" w:rsidP="00C76F20">
            <w:pPr>
              <w:spacing w:after="0" w:line="240" w:lineRule="auto"/>
              <w:jc w:val="center"/>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 </w:t>
            </w:r>
            <w:r w:rsidRPr="00105274">
              <w:rPr>
                <w:rFonts w:ascii="Arial" w:eastAsia="Times New Roman" w:hAnsi="Arial" w:cs="Arial"/>
                <w:color w:val="000000"/>
                <w:sz w:val="20"/>
                <w:szCs w:val="20"/>
                <w:lang w:val="es-CL" w:eastAsia="es-CL"/>
              </w:rPr>
              <w:t>Sí</w:t>
            </w:r>
          </w:p>
        </w:tc>
        <w:tc>
          <w:tcPr>
            <w:tcW w:w="3870" w:type="dxa"/>
            <w:tcBorders>
              <w:top w:val="single" w:sz="4" w:space="0" w:color="auto"/>
              <w:left w:val="nil"/>
              <w:right w:val="single" w:sz="8" w:space="0" w:color="auto"/>
            </w:tcBorders>
            <w:shd w:val="clear" w:color="auto" w:fill="auto"/>
            <w:vAlign w:val="center"/>
            <w:hideMark/>
          </w:tcPr>
          <w:p w14:paraId="1ABC25D0"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Se considera que el servicio educativo ha sido traspasado cuando existe una resolución de traspaso del personal educativo por cada comuna constituyente del </w:t>
            </w:r>
            <w:proofErr w:type="spellStart"/>
            <w:r w:rsidRPr="00105274">
              <w:rPr>
                <w:rFonts w:ascii="Arial" w:eastAsia="Times New Roman" w:hAnsi="Arial" w:cs="Arial"/>
                <w:color w:val="000000"/>
                <w:sz w:val="20"/>
                <w:szCs w:val="20"/>
                <w:lang w:val="es-CL" w:eastAsia="es-CL"/>
              </w:rPr>
              <w:t>SLEP</w:t>
            </w:r>
            <w:proofErr w:type="spellEnd"/>
            <w:r w:rsidRPr="00105274">
              <w:rPr>
                <w:rFonts w:ascii="Arial" w:eastAsia="Times New Roman" w:hAnsi="Arial" w:cs="Arial"/>
                <w:color w:val="000000"/>
                <w:sz w:val="20"/>
                <w:szCs w:val="20"/>
                <w:lang w:val="es-CL" w:eastAsia="es-CL"/>
              </w:rPr>
              <w:t xml:space="preserve"> (Artículo 22 Ley 21040).</w:t>
            </w:r>
          </w:p>
          <w:p w14:paraId="3F0356A2"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7E1F55EC"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Cálculo del indicador: ver tabla 4 </w:t>
            </w:r>
          </w:p>
        </w:tc>
      </w:tr>
      <w:tr w:rsidR="005D3D3C" w:rsidRPr="00105274" w14:paraId="4C0A4C19" w14:textId="77777777" w:rsidTr="00C76F20">
        <w:trPr>
          <w:trHeight w:val="430"/>
        </w:trPr>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F2DB7"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w:t>
            </w:r>
            <w:r>
              <w:rPr>
                <w:rFonts w:ascii="Arial" w:eastAsia="Times New Roman" w:hAnsi="Arial" w:cs="Arial"/>
                <w:color w:val="000000"/>
                <w:sz w:val="20"/>
                <w:szCs w:val="20"/>
                <w:lang w:val="es-CL" w:eastAsia="es-CL"/>
              </w:rPr>
              <w:t>9</w:t>
            </w:r>
            <w:r w:rsidRPr="00105274">
              <w:rPr>
                <w:rFonts w:ascii="Arial" w:eastAsia="Times New Roman" w:hAnsi="Arial" w:cs="Arial"/>
                <w:color w:val="000000"/>
                <w:sz w:val="20"/>
                <w:szCs w:val="20"/>
                <w:lang w:val="es-CL" w:eastAsia="es-CL"/>
              </w:rPr>
              <w:t xml:space="preserve">. Número de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w:t>
            </w:r>
            <w:r>
              <w:rPr>
                <w:rFonts w:ascii="Arial" w:eastAsia="Times New Roman" w:hAnsi="Arial" w:cs="Arial"/>
                <w:color w:val="000000"/>
                <w:sz w:val="20"/>
                <w:szCs w:val="20"/>
                <w:lang w:val="es-CL" w:eastAsia="es-CL"/>
              </w:rPr>
              <w:t xml:space="preserve">con servicio educativo traspasado y </w:t>
            </w:r>
            <w:r w:rsidRPr="00105274">
              <w:rPr>
                <w:rFonts w:ascii="Arial" w:eastAsia="Times New Roman" w:hAnsi="Arial" w:cs="Arial"/>
                <w:color w:val="000000"/>
                <w:sz w:val="20"/>
                <w:szCs w:val="20"/>
                <w:lang w:val="es-CL" w:eastAsia="es-CL"/>
              </w:rPr>
              <w:t xml:space="preserve">que tienen un Director Ejecutivo nombrado por </w:t>
            </w:r>
            <w:proofErr w:type="spellStart"/>
            <w:r w:rsidRPr="00105274">
              <w:rPr>
                <w:rFonts w:ascii="Arial" w:eastAsia="Times New Roman" w:hAnsi="Arial" w:cs="Arial"/>
                <w:color w:val="000000"/>
                <w:sz w:val="20"/>
                <w:szCs w:val="20"/>
                <w:lang w:val="es-CL" w:eastAsia="es-CL"/>
              </w:rPr>
              <w:t>ADP</w:t>
            </w:r>
            <w:proofErr w:type="spellEnd"/>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9953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proofErr w:type="spellStart"/>
            <w:r w:rsidRPr="6DC7C2D8">
              <w:rPr>
                <w:rFonts w:ascii="Arial" w:eastAsia="Times New Roman" w:hAnsi="Arial" w:cs="Arial"/>
                <w:color w:val="000000" w:themeColor="text1"/>
                <w:sz w:val="20"/>
                <w:szCs w:val="20"/>
                <w:lang w:val="es-CL" w:eastAsia="es-CL"/>
              </w:rPr>
              <w:t>SLEPs</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DCFEB"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E5704"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D1CD3"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7CBD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11</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3638C"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11 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EE267"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Nómina de nombramientos publicada en Alta Dirección Pública (</w:t>
            </w:r>
            <w:proofErr w:type="spellStart"/>
            <w:r w:rsidRPr="00105274">
              <w:rPr>
                <w:rFonts w:ascii="Arial" w:eastAsia="Times New Roman" w:hAnsi="Arial" w:cs="Arial"/>
                <w:color w:val="000000"/>
                <w:sz w:val="20"/>
                <w:szCs w:val="20"/>
                <w:lang w:val="es-CL" w:eastAsia="es-CL"/>
              </w:rPr>
              <w:t>ADP</w:t>
            </w:r>
            <w:proofErr w:type="spellEnd"/>
            <w:r w:rsidRPr="00105274">
              <w:rPr>
                <w:rFonts w:ascii="Arial" w:eastAsia="Times New Roman" w:hAnsi="Arial" w:cs="Arial"/>
                <w:color w:val="000000"/>
                <w:sz w:val="20"/>
                <w:szCs w:val="20"/>
                <w:lang w:val="es-CL" w:eastAsia="es-CL"/>
              </w:rPr>
              <w:t>) con el resultado de los concursos</w:t>
            </w:r>
            <w:r w:rsidRPr="0EE7702A">
              <w:rPr>
                <w:rFonts w:eastAsia="Times New Roman" w:cs="Calibri"/>
                <w:color w:val="000000" w:themeColor="text1"/>
                <w:sz w:val="20"/>
                <w:szCs w:val="20"/>
                <w:lang w:val="es-CL" w:eastAsia="es-CL"/>
              </w:rPr>
              <w:t xml:space="preserve"> </w:t>
            </w:r>
            <w:r w:rsidRPr="0EE7702A">
              <w:rPr>
                <w:rFonts w:ascii="Arial" w:eastAsia="Times New Roman" w:hAnsi="Arial" w:cs="Arial"/>
                <w:color w:val="000000" w:themeColor="text1"/>
                <w:sz w:val="20"/>
                <w:szCs w:val="20"/>
                <w:lang w:val="es-CL" w:eastAsia="es-CL"/>
              </w:rPr>
              <w:t>del Servicio Civil</w:t>
            </w:r>
            <w:r>
              <w:rPr>
                <w:rFonts w:ascii="Arial" w:eastAsia="Times New Roman" w:hAnsi="Arial" w:cs="Arial"/>
                <w:color w:val="000000" w:themeColor="text1"/>
                <w:sz w:val="20"/>
                <w:szCs w:val="20"/>
                <w:lang w:val="es-CL" w:eastAsia="es-CL"/>
              </w:rPr>
              <w:t>, Servicio Civil</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05CAA"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No </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CFB808"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Los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comenzaron a operar de manera gradual: 4 en 2018, 3 el 2020 y 4 el 2021. </w:t>
            </w:r>
          </w:p>
          <w:p w14:paraId="66D3CF50"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66C52A0B"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El nombramiento de los Directores Ejecutivos tiene vigencia por 6 años. Para efectos de validación del indicador, cada año se comprobará el nombramiento del Director Ejecutivo de los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que entran en vigor ese año.</w:t>
            </w:r>
          </w:p>
          <w:p w14:paraId="34EADD1C"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31315157"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Cálculo del indicador: Conteo de directores/as de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nombrados en la nómina publicada por </w:t>
            </w:r>
            <w:proofErr w:type="spellStart"/>
            <w:r w:rsidRPr="00105274">
              <w:rPr>
                <w:rFonts w:ascii="Arial" w:eastAsia="Times New Roman" w:hAnsi="Arial" w:cs="Arial"/>
                <w:color w:val="000000"/>
                <w:sz w:val="20"/>
                <w:szCs w:val="20"/>
                <w:lang w:val="es-CL" w:eastAsia="es-CL"/>
              </w:rPr>
              <w:t>ADP</w:t>
            </w:r>
            <w:proofErr w:type="spellEnd"/>
            <w:r w:rsidRPr="00105274">
              <w:rPr>
                <w:rFonts w:ascii="Arial" w:eastAsia="Times New Roman" w:hAnsi="Arial" w:cs="Arial"/>
                <w:color w:val="000000"/>
                <w:sz w:val="20"/>
                <w:szCs w:val="20"/>
                <w:lang w:val="es-CL" w:eastAsia="es-CL"/>
              </w:rPr>
              <w:t xml:space="preserve"> para cada tramo.</w:t>
            </w:r>
          </w:p>
        </w:tc>
      </w:tr>
      <w:tr w:rsidR="005D3D3C" w:rsidRPr="00376B9E" w14:paraId="6A6BE2B9" w14:textId="77777777" w:rsidTr="00C76F20">
        <w:trPr>
          <w:trHeight w:val="20"/>
        </w:trPr>
        <w:tc>
          <w:tcPr>
            <w:tcW w:w="13143" w:type="dxa"/>
            <w:gridSpan w:val="10"/>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hideMark/>
          </w:tcPr>
          <w:p w14:paraId="42163E96" w14:textId="77777777" w:rsidR="005D3D3C" w:rsidRPr="00105274" w:rsidRDefault="005D3D3C" w:rsidP="00C76F20">
            <w:pPr>
              <w:spacing w:after="0" w:line="240" w:lineRule="auto"/>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 xml:space="preserve">Gestión y liderazgo de los </w:t>
            </w:r>
            <w:proofErr w:type="spellStart"/>
            <w:r w:rsidRPr="00105274">
              <w:rPr>
                <w:rFonts w:ascii="Arial" w:eastAsia="Times New Roman" w:hAnsi="Arial" w:cs="Arial"/>
                <w:b/>
                <w:color w:val="000000"/>
                <w:sz w:val="20"/>
                <w:szCs w:val="20"/>
                <w:lang w:val="es-CL" w:eastAsia="es-CL"/>
              </w:rPr>
              <w:t>SLEPs</w:t>
            </w:r>
            <w:proofErr w:type="spellEnd"/>
          </w:p>
        </w:tc>
      </w:tr>
      <w:tr w:rsidR="005D3D3C" w:rsidRPr="00105274" w14:paraId="40DC3DF8" w14:textId="77777777" w:rsidTr="00C76F20">
        <w:trPr>
          <w:trHeight w:val="3240"/>
        </w:trPr>
        <w:tc>
          <w:tcPr>
            <w:tcW w:w="21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E5B211"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lastRenderedPageBreak/>
              <w:t>1.</w:t>
            </w:r>
            <w:r>
              <w:rPr>
                <w:rFonts w:ascii="Arial" w:eastAsia="Times New Roman" w:hAnsi="Arial" w:cs="Arial"/>
                <w:color w:val="000000"/>
                <w:sz w:val="20"/>
                <w:szCs w:val="20"/>
                <w:lang w:val="es-CL" w:eastAsia="es-CL"/>
              </w:rPr>
              <w:t>10</w:t>
            </w:r>
            <w:r w:rsidRPr="00105274">
              <w:rPr>
                <w:rFonts w:ascii="Arial" w:eastAsia="Times New Roman" w:hAnsi="Arial" w:cs="Arial"/>
                <w:color w:val="000000"/>
                <w:sz w:val="20"/>
                <w:szCs w:val="20"/>
                <w:lang w:val="es-CL" w:eastAsia="es-CL"/>
              </w:rPr>
              <w:t xml:space="preserve">. Número de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que cuentan con un Plan </w:t>
            </w:r>
            <w:r>
              <w:rPr>
                <w:rFonts w:ascii="Arial" w:eastAsia="Times New Roman" w:hAnsi="Arial" w:cs="Arial"/>
                <w:color w:val="000000"/>
                <w:sz w:val="20"/>
                <w:szCs w:val="20"/>
                <w:lang w:val="es-CL" w:eastAsia="es-CL"/>
              </w:rPr>
              <w:t xml:space="preserve">Estratégico Local </w:t>
            </w:r>
            <w:r w:rsidRPr="00105274">
              <w:rPr>
                <w:rFonts w:ascii="Arial" w:eastAsia="Times New Roman" w:hAnsi="Arial" w:cs="Arial"/>
                <w:color w:val="000000"/>
                <w:sz w:val="20"/>
                <w:szCs w:val="20"/>
                <w:lang w:val="es-CL" w:eastAsia="es-CL"/>
              </w:rPr>
              <w:t>vigente</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D0E5E"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 xml:space="preserve"> </w:t>
            </w:r>
            <w:proofErr w:type="spellStart"/>
            <w:r w:rsidRPr="6DC7C2D8">
              <w:rPr>
                <w:rFonts w:ascii="Arial" w:eastAsia="Times New Roman" w:hAnsi="Arial" w:cs="Arial"/>
                <w:color w:val="000000" w:themeColor="text1"/>
                <w:sz w:val="20"/>
                <w:szCs w:val="20"/>
                <w:lang w:val="es-CL" w:eastAsia="es-CL"/>
              </w:rPr>
              <w:t>SLEPs</w:t>
            </w:r>
            <w:proofErr w:type="spellEnd"/>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4CFDF9"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B7FA6C"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0EC73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4 </w:t>
            </w:r>
          </w:p>
        </w:tc>
        <w:tc>
          <w:tcPr>
            <w:tcW w:w="5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FD7BD9"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w:t>
            </w:r>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84F8C3"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8553D"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 w:eastAsia="es-CL"/>
              </w:rPr>
              <w:t xml:space="preserve">Plan Anual de cada </w:t>
            </w:r>
            <w:proofErr w:type="spellStart"/>
            <w:r w:rsidRPr="00105274">
              <w:rPr>
                <w:rFonts w:ascii="Arial" w:eastAsia="Times New Roman" w:hAnsi="Arial" w:cs="Arial"/>
                <w:color w:val="000000"/>
                <w:sz w:val="20"/>
                <w:szCs w:val="20"/>
                <w:lang w:val="es-ES" w:eastAsia="es-CL"/>
              </w:rPr>
              <w:t>SLEP</w:t>
            </w:r>
            <w:proofErr w:type="spellEnd"/>
            <w:r w:rsidRPr="0EE7702A">
              <w:rPr>
                <w:rFonts w:ascii="Arial" w:eastAsia="Times New Roman" w:hAnsi="Arial" w:cs="Arial"/>
                <w:color w:val="000000" w:themeColor="text1"/>
                <w:sz w:val="20"/>
                <w:szCs w:val="20"/>
                <w:lang w:val="es-ES" w:eastAsia="es-CL"/>
              </w:rPr>
              <w:t xml:space="preserve">, </w:t>
            </w:r>
            <w:proofErr w:type="spellStart"/>
            <w:r w:rsidRPr="0EE7702A">
              <w:rPr>
                <w:rFonts w:ascii="Arial" w:eastAsia="Times New Roman" w:hAnsi="Arial" w:cs="Arial"/>
                <w:color w:val="000000" w:themeColor="text1"/>
                <w:sz w:val="20"/>
                <w:szCs w:val="20"/>
                <w:lang w:val="es-ES" w:eastAsia="es-CL"/>
              </w:rPr>
              <w:t>SLEPs</w:t>
            </w:r>
            <w:proofErr w:type="spellEnd"/>
          </w:p>
        </w:tc>
        <w:tc>
          <w:tcPr>
            <w:tcW w:w="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ADD80"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 w:eastAsia="es-CL"/>
              </w:rPr>
              <w:t> No</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05741"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Los </w:t>
            </w:r>
            <w:r>
              <w:rPr>
                <w:rFonts w:ascii="Arial" w:eastAsia="Times New Roman" w:hAnsi="Arial" w:cs="Arial"/>
                <w:color w:val="000000"/>
                <w:sz w:val="20"/>
                <w:szCs w:val="20"/>
                <w:lang w:val="es-CL" w:eastAsia="es-CL"/>
              </w:rPr>
              <w:t xml:space="preserve">Planes Estratégicos </w:t>
            </w:r>
            <w:proofErr w:type="spellStart"/>
            <w:r>
              <w:rPr>
                <w:rFonts w:ascii="Arial" w:eastAsia="Times New Roman" w:hAnsi="Arial" w:cs="Arial"/>
                <w:color w:val="000000"/>
                <w:sz w:val="20"/>
                <w:szCs w:val="20"/>
                <w:lang w:val="es-CL" w:eastAsia="es-CL"/>
              </w:rPr>
              <w:t>Locale</w:t>
            </w:r>
            <w:r w:rsidRPr="00105274">
              <w:rPr>
                <w:rFonts w:ascii="Arial" w:eastAsia="Times New Roman" w:hAnsi="Arial" w:cs="Arial"/>
                <w:color w:val="000000"/>
                <w:sz w:val="20"/>
                <w:szCs w:val="20"/>
                <w:lang w:val="es-CL" w:eastAsia="es-CL"/>
              </w:rPr>
              <w:t>de</w:t>
            </w:r>
            <w:proofErr w:type="spellEnd"/>
            <w:r w:rsidRPr="00105274">
              <w:rPr>
                <w:rFonts w:ascii="Arial" w:eastAsia="Times New Roman" w:hAnsi="Arial" w:cs="Arial"/>
                <w:color w:val="000000"/>
                <w:sz w:val="20"/>
                <w:szCs w:val="20"/>
                <w:lang w:val="es-CL" w:eastAsia="es-CL"/>
              </w:rPr>
              <w:t xml:space="preserve"> los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incluyen </w:t>
            </w:r>
            <w:r>
              <w:rPr>
                <w:rFonts w:ascii="Arial" w:eastAsia="Times New Roman" w:hAnsi="Arial" w:cs="Arial"/>
                <w:color w:val="000000"/>
                <w:sz w:val="20"/>
                <w:szCs w:val="20"/>
                <w:lang w:val="es-CL" w:eastAsia="es-CL"/>
              </w:rPr>
              <w:t>el diagnostico, objetivo, prioridades y acciones de</w:t>
            </w:r>
            <w:r w:rsidRPr="00105274">
              <w:rPr>
                <w:rFonts w:ascii="Arial" w:eastAsia="Times New Roman" w:hAnsi="Arial" w:cs="Arial"/>
                <w:color w:val="000000"/>
                <w:sz w:val="20"/>
                <w:szCs w:val="20"/>
                <w:lang w:val="es-CL" w:eastAsia="es-CL"/>
              </w:rPr>
              <w:t xml:space="preserve"> cada </w:t>
            </w:r>
            <w:proofErr w:type="spellStart"/>
            <w:r w:rsidRPr="00105274">
              <w:rPr>
                <w:rFonts w:ascii="Arial" w:eastAsia="Times New Roman" w:hAnsi="Arial" w:cs="Arial"/>
                <w:color w:val="000000"/>
                <w:sz w:val="20"/>
                <w:szCs w:val="20"/>
                <w:lang w:val="es-CL" w:eastAsia="es-CL"/>
              </w:rPr>
              <w:t>SLEP</w:t>
            </w:r>
            <w:proofErr w:type="spellEnd"/>
            <w:proofErr w:type="gramStart"/>
            <w:r w:rsidRPr="00105274">
              <w:rPr>
                <w:rFonts w:ascii="Arial" w:eastAsia="Times New Roman" w:hAnsi="Arial" w:cs="Arial"/>
                <w:color w:val="000000"/>
                <w:sz w:val="20"/>
                <w:szCs w:val="20"/>
                <w:lang w:val="es-CL" w:eastAsia="es-CL"/>
              </w:rPr>
              <w:t>. .</w:t>
            </w:r>
            <w:proofErr w:type="gramEnd"/>
            <w:r w:rsidRPr="00105274">
              <w:rPr>
                <w:rFonts w:ascii="Arial" w:eastAsia="Times New Roman" w:hAnsi="Arial" w:cs="Arial"/>
                <w:color w:val="000000"/>
                <w:sz w:val="20"/>
                <w:szCs w:val="20"/>
                <w:lang w:val="es-CL" w:eastAsia="es-CL"/>
              </w:rPr>
              <w:t xml:space="preserve"> </w:t>
            </w:r>
          </w:p>
          <w:p w14:paraId="60F05E35"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005B125E"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Cálculo del indicador: Conteo de </w:t>
            </w:r>
            <w:proofErr w:type="spellStart"/>
            <w:r>
              <w:rPr>
                <w:rFonts w:ascii="Arial" w:eastAsia="Times New Roman" w:hAnsi="Arial" w:cs="Arial"/>
                <w:color w:val="000000"/>
                <w:sz w:val="20"/>
                <w:szCs w:val="20"/>
                <w:lang w:val="es-CL" w:eastAsia="es-CL"/>
              </w:rPr>
              <w:t>SLEPs</w:t>
            </w:r>
            <w:proofErr w:type="spellEnd"/>
            <w:r>
              <w:rPr>
                <w:rFonts w:ascii="Arial" w:eastAsia="Times New Roman" w:hAnsi="Arial" w:cs="Arial"/>
                <w:color w:val="000000"/>
                <w:sz w:val="20"/>
                <w:szCs w:val="20"/>
                <w:lang w:val="es-CL" w:eastAsia="es-CL"/>
              </w:rPr>
              <w:t xml:space="preserve"> con </w:t>
            </w:r>
            <w:r w:rsidRPr="00105274">
              <w:rPr>
                <w:rFonts w:ascii="Arial" w:eastAsia="Times New Roman" w:hAnsi="Arial" w:cs="Arial"/>
                <w:color w:val="000000"/>
                <w:sz w:val="20"/>
                <w:szCs w:val="20"/>
                <w:lang w:val="es-CL" w:eastAsia="es-CL"/>
              </w:rPr>
              <w:t xml:space="preserve">Plan </w:t>
            </w:r>
            <w:r>
              <w:rPr>
                <w:rFonts w:ascii="Arial" w:eastAsia="Times New Roman" w:hAnsi="Arial" w:cs="Arial"/>
                <w:color w:val="000000"/>
                <w:sz w:val="20"/>
                <w:szCs w:val="20"/>
                <w:lang w:val="es-CL" w:eastAsia="es-CL"/>
              </w:rPr>
              <w:t>Estratégico Local</w:t>
            </w:r>
            <w:r w:rsidRPr="00105274">
              <w:rPr>
                <w:rFonts w:ascii="Arial" w:eastAsia="Times New Roman" w:hAnsi="Arial" w:cs="Arial"/>
                <w:color w:val="000000"/>
                <w:sz w:val="20"/>
                <w:szCs w:val="20"/>
                <w:lang w:val="es-CL" w:eastAsia="es-CL"/>
              </w:rPr>
              <w:t xml:space="preserve"> correspondiente a cada tramo.</w:t>
            </w:r>
          </w:p>
        </w:tc>
      </w:tr>
      <w:tr w:rsidR="005D3D3C" w:rsidRPr="00105274" w14:paraId="3EF88415" w14:textId="77777777" w:rsidTr="00C76F20">
        <w:trPr>
          <w:trHeight w:val="20"/>
        </w:trPr>
        <w:tc>
          <w:tcPr>
            <w:tcW w:w="2123" w:type="dxa"/>
            <w:vMerge/>
            <w:vAlign w:val="center"/>
            <w:hideMark/>
          </w:tcPr>
          <w:p w14:paraId="5C42382C"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940" w:type="dxa"/>
            <w:vMerge/>
            <w:vAlign w:val="center"/>
            <w:hideMark/>
          </w:tcPr>
          <w:p w14:paraId="7371D97B"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900" w:type="dxa"/>
            <w:vMerge/>
            <w:vAlign w:val="center"/>
            <w:hideMark/>
          </w:tcPr>
          <w:p w14:paraId="71B13A4B"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990" w:type="dxa"/>
            <w:vMerge/>
            <w:vAlign w:val="center"/>
            <w:hideMark/>
          </w:tcPr>
          <w:p w14:paraId="37163DC4"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630" w:type="dxa"/>
            <w:vMerge/>
            <w:vAlign w:val="center"/>
            <w:hideMark/>
          </w:tcPr>
          <w:p w14:paraId="6B4C5F0B"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594" w:type="dxa"/>
            <w:vMerge/>
            <w:vAlign w:val="center"/>
            <w:hideMark/>
          </w:tcPr>
          <w:p w14:paraId="6BE716D7"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846" w:type="dxa"/>
            <w:vMerge/>
            <w:vAlign w:val="center"/>
            <w:hideMark/>
          </w:tcPr>
          <w:p w14:paraId="1B641B09"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1440" w:type="dxa"/>
            <w:vMerge/>
            <w:vAlign w:val="center"/>
            <w:hideMark/>
          </w:tcPr>
          <w:p w14:paraId="6A6DF585"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810" w:type="dxa"/>
            <w:vMerge/>
            <w:vAlign w:val="center"/>
            <w:hideMark/>
          </w:tcPr>
          <w:p w14:paraId="1770D393"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3870" w:type="dxa"/>
            <w:tcBorders>
              <w:top w:val="nil"/>
              <w:left w:val="nil"/>
              <w:bottom w:val="nil"/>
              <w:right w:val="single" w:sz="8" w:space="0" w:color="auto"/>
            </w:tcBorders>
            <w:shd w:val="clear" w:color="auto" w:fill="auto"/>
            <w:vAlign w:val="center"/>
            <w:hideMark/>
          </w:tcPr>
          <w:p w14:paraId="5E71633A"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r>
      <w:tr w:rsidR="005D3D3C" w:rsidRPr="00105274" w14:paraId="3206CB61" w14:textId="77777777" w:rsidTr="00C76F20">
        <w:trPr>
          <w:trHeight w:val="20"/>
        </w:trPr>
        <w:tc>
          <w:tcPr>
            <w:tcW w:w="2123" w:type="dxa"/>
            <w:vMerge/>
            <w:vAlign w:val="center"/>
            <w:hideMark/>
          </w:tcPr>
          <w:p w14:paraId="5EEFF590"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940" w:type="dxa"/>
            <w:vMerge/>
            <w:vAlign w:val="center"/>
            <w:hideMark/>
          </w:tcPr>
          <w:p w14:paraId="36AC90A5"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900" w:type="dxa"/>
            <w:vMerge/>
            <w:vAlign w:val="center"/>
            <w:hideMark/>
          </w:tcPr>
          <w:p w14:paraId="1535E309"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990" w:type="dxa"/>
            <w:vMerge/>
            <w:vAlign w:val="center"/>
            <w:hideMark/>
          </w:tcPr>
          <w:p w14:paraId="4F53829F"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630" w:type="dxa"/>
            <w:vMerge/>
            <w:vAlign w:val="center"/>
            <w:hideMark/>
          </w:tcPr>
          <w:p w14:paraId="51C6E9FF"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594" w:type="dxa"/>
            <w:vMerge/>
            <w:vAlign w:val="center"/>
            <w:hideMark/>
          </w:tcPr>
          <w:p w14:paraId="570BCC7A"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846" w:type="dxa"/>
            <w:vMerge/>
            <w:vAlign w:val="center"/>
            <w:hideMark/>
          </w:tcPr>
          <w:p w14:paraId="7AB05349"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1440" w:type="dxa"/>
            <w:vMerge/>
            <w:vAlign w:val="center"/>
            <w:hideMark/>
          </w:tcPr>
          <w:p w14:paraId="59781818"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810" w:type="dxa"/>
            <w:vMerge/>
            <w:vAlign w:val="center"/>
            <w:hideMark/>
          </w:tcPr>
          <w:p w14:paraId="6F41453B"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c>
          <w:tcPr>
            <w:tcW w:w="3870" w:type="dxa"/>
            <w:tcBorders>
              <w:top w:val="nil"/>
              <w:left w:val="nil"/>
              <w:bottom w:val="single" w:sz="8" w:space="0" w:color="auto"/>
              <w:right w:val="single" w:sz="8" w:space="0" w:color="auto"/>
            </w:tcBorders>
            <w:shd w:val="clear" w:color="auto" w:fill="auto"/>
            <w:vAlign w:val="center"/>
            <w:hideMark/>
          </w:tcPr>
          <w:p w14:paraId="3609D395"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r>
      <w:tr w:rsidR="005D3D3C" w:rsidRPr="00105274" w14:paraId="0A87D972" w14:textId="77777777" w:rsidTr="00C76F20">
        <w:trPr>
          <w:trHeight w:val="1897"/>
        </w:trPr>
        <w:tc>
          <w:tcPr>
            <w:tcW w:w="212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9B51052" w14:textId="68BF008F"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1.1</w:t>
            </w:r>
            <w:r>
              <w:rPr>
                <w:rFonts w:ascii="Arial" w:eastAsia="Times New Roman" w:hAnsi="Arial" w:cs="Arial"/>
                <w:color w:val="000000"/>
                <w:sz w:val="20"/>
                <w:szCs w:val="20"/>
                <w:lang w:val="es-CL" w:eastAsia="es-CL"/>
              </w:rPr>
              <w:t>1</w:t>
            </w:r>
            <w:r w:rsidRPr="00105274">
              <w:rPr>
                <w:rFonts w:ascii="Arial" w:eastAsia="Times New Roman" w:hAnsi="Arial" w:cs="Arial"/>
                <w:color w:val="000000"/>
                <w:sz w:val="20"/>
                <w:szCs w:val="20"/>
                <w:lang w:val="es-CL" w:eastAsia="es-CL"/>
              </w:rPr>
              <w:t xml:space="preserve">. Número de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cuyos Directores Ejecutivos cumplen satisfactoriamente su convenio de gestión</w:t>
            </w:r>
            <w:r w:rsidR="00032FC9">
              <w:rPr>
                <w:rFonts w:ascii="Arial" w:eastAsia="Times New Roman" w:hAnsi="Arial" w:cs="Arial"/>
                <w:color w:val="000000"/>
                <w:sz w:val="20"/>
                <w:szCs w:val="20"/>
                <w:lang w:val="es-CL" w:eastAsia="es-CL"/>
              </w:rPr>
              <w:t xml:space="preserve"> educacional</w:t>
            </w:r>
          </w:p>
        </w:tc>
        <w:tc>
          <w:tcPr>
            <w:tcW w:w="940" w:type="dxa"/>
            <w:tcBorders>
              <w:top w:val="single" w:sz="4" w:space="0" w:color="auto"/>
              <w:left w:val="nil"/>
              <w:bottom w:val="single" w:sz="8" w:space="0" w:color="auto"/>
              <w:right w:val="single" w:sz="8" w:space="0" w:color="auto"/>
            </w:tcBorders>
            <w:shd w:val="clear" w:color="auto" w:fill="auto"/>
            <w:vAlign w:val="center"/>
            <w:hideMark/>
          </w:tcPr>
          <w:p w14:paraId="423FE996"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 xml:space="preserve"> </w:t>
            </w:r>
            <w:proofErr w:type="spellStart"/>
            <w:r w:rsidRPr="6DC7C2D8">
              <w:rPr>
                <w:rFonts w:ascii="Arial" w:eastAsia="Times New Roman" w:hAnsi="Arial" w:cs="Arial"/>
                <w:color w:val="000000" w:themeColor="text1"/>
                <w:sz w:val="20"/>
                <w:szCs w:val="20"/>
                <w:lang w:val="es-CL" w:eastAsia="es-CL"/>
              </w:rPr>
              <w:t>SLEPs</w:t>
            </w:r>
            <w:proofErr w:type="spellEnd"/>
          </w:p>
        </w:tc>
        <w:tc>
          <w:tcPr>
            <w:tcW w:w="900" w:type="dxa"/>
            <w:tcBorders>
              <w:top w:val="single" w:sz="4" w:space="0" w:color="auto"/>
              <w:left w:val="nil"/>
              <w:bottom w:val="single" w:sz="8" w:space="0" w:color="auto"/>
              <w:right w:val="single" w:sz="8" w:space="0" w:color="auto"/>
            </w:tcBorders>
            <w:shd w:val="clear" w:color="auto" w:fill="auto"/>
            <w:vAlign w:val="center"/>
            <w:hideMark/>
          </w:tcPr>
          <w:p w14:paraId="28F10A7E"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single" w:sz="4" w:space="0" w:color="auto"/>
              <w:left w:val="nil"/>
              <w:bottom w:val="single" w:sz="8" w:space="0" w:color="auto"/>
              <w:right w:val="single" w:sz="8" w:space="0" w:color="auto"/>
            </w:tcBorders>
            <w:shd w:val="clear" w:color="auto" w:fill="auto"/>
            <w:vAlign w:val="center"/>
            <w:hideMark/>
          </w:tcPr>
          <w:p w14:paraId="422C45EF"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single" w:sz="4" w:space="0" w:color="auto"/>
              <w:left w:val="nil"/>
              <w:bottom w:val="single" w:sz="8" w:space="0" w:color="auto"/>
              <w:right w:val="single" w:sz="8" w:space="0" w:color="auto"/>
            </w:tcBorders>
            <w:shd w:val="clear" w:color="auto" w:fill="auto"/>
            <w:vAlign w:val="center"/>
            <w:hideMark/>
          </w:tcPr>
          <w:p w14:paraId="3783CA93"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4</w:t>
            </w:r>
          </w:p>
        </w:tc>
        <w:tc>
          <w:tcPr>
            <w:tcW w:w="594" w:type="dxa"/>
            <w:tcBorders>
              <w:top w:val="single" w:sz="4" w:space="0" w:color="auto"/>
              <w:left w:val="nil"/>
              <w:bottom w:val="single" w:sz="8" w:space="0" w:color="auto"/>
              <w:right w:val="single" w:sz="8" w:space="0" w:color="auto"/>
            </w:tcBorders>
            <w:shd w:val="clear" w:color="auto" w:fill="auto"/>
            <w:vAlign w:val="center"/>
            <w:hideMark/>
          </w:tcPr>
          <w:p w14:paraId="55FF40B1"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3C61B79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w:t>
            </w:r>
          </w:p>
        </w:tc>
        <w:tc>
          <w:tcPr>
            <w:tcW w:w="1440" w:type="dxa"/>
            <w:tcBorders>
              <w:top w:val="single" w:sz="4" w:space="0" w:color="auto"/>
              <w:left w:val="nil"/>
              <w:bottom w:val="single" w:sz="8" w:space="0" w:color="auto"/>
              <w:right w:val="single" w:sz="8" w:space="0" w:color="auto"/>
            </w:tcBorders>
            <w:shd w:val="clear" w:color="auto" w:fill="auto"/>
            <w:vAlign w:val="center"/>
            <w:hideMark/>
          </w:tcPr>
          <w:p w14:paraId="0BCD0E46" w14:textId="03FC1280"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Última evaluación del convenio de gestión de cada director</w:t>
            </w:r>
            <w:r w:rsidRPr="0EE7702A">
              <w:rPr>
                <w:rFonts w:ascii="Arial" w:eastAsia="Times New Roman" w:hAnsi="Arial" w:cs="Arial"/>
                <w:color w:val="000000" w:themeColor="text1"/>
                <w:sz w:val="20"/>
                <w:szCs w:val="20"/>
                <w:lang w:val="es-CL" w:eastAsia="es-CL"/>
              </w:rPr>
              <w:t xml:space="preserve">, </w:t>
            </w:r>
            <w:r w:rsidR="002D611F">
              <w:rPr>
                <w:rFonts w:ascii="Arial" w:eastAsia="Times New Roman" w:hAnsi="Arial" w:cs="Arial"/>
                <w:color w:val="000000" w:themeColor="text1"/>
                <w:sz w:val="20"/>
                <w:szCs w:val="20"/>
                <w:lang w:val="es-CL" w:eastAsia="es-CL"/>
              </w:rPr>
              <w:t>DEP</w:t>
            </w:r>
            <w:r w:rsidRPr="00105274">
              <w:rPr>
                <w:rFonts w:ascii="Arial" w:eastAsia="Times New Roman" w:hAnsi="Arial" w:cs="Arial"/>
                <w:color w:val="000000"/>
                <w:sz w:val="20"/>
                <w:szCs w:val="20"/>
                <w:lang w:val="es-CL" w:eastAsia="es-CL"/>
              </w:rPr>
              <w:t xml:space="preserve"> </w:t>
            </w:r>
          </w:p>
        </w:tc>
        <w:tc>
          <w:tcPr>
            <w:tcW w:w="810" w:type="dxa"/>
            <w:tcBorders>
              <w:top w:val="single" w:sz="4" w:space="0" w:color="auto"/>
              <w:left w:val="nil"/>
              <w:bottom w:val="single" w:sz="8" w:space="0" w:color="auto"/>
              <w:right w:val="single" w:sz="4" w:space="0" w:color="auto"/>
            </w:tcBorders>
            <w:shd w:val="clear" w:color="auto" w:fill="auto"/>
            <w:vAlign w:val="center"/>
            <w:hideMark/>
          </w:tcPr>
          <w:p w14:paraId="54A954EB"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Sí</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B8BC4" w14:textId="0842CEBC" w:rsidR="005D3D3C" w:rsidRPr="00105274" w:rsidRDefault="005D3D3C"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color w:val="000000"/>
                <w:sz w:val="20"/>
                <w:szCs w:val="20"/>
                <w:lang w:val="es-ES_tradnl" w:eastAsia="es-CL"/>
              </w:rPr>
              <w:t xml:space="preserve">Se entenderán por convenios </w:t>
            </w:r>
            <w:r w:rsidR="00F556FB">
              <w:rPr>
                <w:rFonts w:ascii="Arial" w:eastAsia="Times New Roman" w:hAnsi="Arial" w:cs="Arial"/>
                <w:color w:val="000000"/>
                <w:sz w:val="20"/>
                <w:szCs w:val="20"/>
                <w:lang w:val="es-ES_tradnl" w:eastAsia="es-CL"/>
              </w:rPr>
              <w:t>de gestión educacional</w:t>
            </w:r>
            <w:r w:rsidR="00F556FB" w:rsidRPr="00105274">
              <w:rPr>
                <w:rFonts w:ascii="Arial" w:eastAsia="Times New Roman" w:hAnsi="Arial" w:cs="Arial"/>
                <w:color w:val="000000"/>
                <w:sz w:val="20"/>
                <w:szCs w:val="20"/>
                <w:lang w:val="es-ES_tradnl" w:eastAsia="es-CL"/>
              </w:rPr>
              <w:t xml:space="preserve"> </w:t>
            </w:r>
            <w:r w:rsidRPr="00105274">
              <w:rPr>
                <w:rFonts w:ascii="Arial" w:eastAsia="Times New Roman" w:hAnsi="Arial" w:cs="Arial"/>
                <w:color w:val="000000"/>
                <w:sz w:val="20"/>
                <w:szCs w:val="20"/>
                <w:lang w:val="es-ES_tradnl" w:eastAsia="es-CL"/>
              </w:rPr>
              <w:t>los convenios de gestión elaborados por la Alta Dirección Pública (</w:t>
            </w:r>
            <w:proofErr w:type="spellStart"/>
            <w:r w:rsidRPr="00105274">
              <w:rPr>
                <w:rFonts w:ascii="Arial" w:eastAsia="Times New Roman" w:hAnsi="Arial" w:cs="Arial"/>
                <w:color w:val="000000"/>
                <w:sz w:val="20"/>
                <w:szCs w:val="20"/>
                <w:lang w:val="es-ES_tradnl" w:eastAsia="es-CL"/>
              </w:rPr>
              <w:t>ADP</w:t>
            </w:r>
            <w:proofErr w:type="spellEnd"/>
            <w:r w:rsidRPr="00105274">
              <w:rPr>
                <w:rFonts w:ascii="Arial" w:eastAsia="Times New Roman" w:hAnsi="Arial" w:cs="Arial"/>
                <w:color w:val="000000"/>
                <w:sz w:val="20"/>
                <w:szCs w:val="20"/>
                <w:lang w:val="es-ES_tradnl" w:eastAsia="es-CL"/>
              </w:rPr>
              <w:t>)</w:t>
            </w:r>
            <w:r w:rsidR="002D611F">
              <w:rPr>
                <w:rFonts w:ascii="Arial" w:eastAsia="Times New Roman" w:hAnsi="Arial" w:cs="Arial"/>
                <w:color w:val="000000"/>
                <w:sz w:val="20"/>
                <w:szCs w:val="20"/>
                <w:lang w:val="es-ES_tradnl" w:eastAsia="es-CL"/>
              </w:rPr>
              <w:t xml:space="preserve"> y </w:t>
            </w:r>
            <w:r w:rsidR="0072414B">
              <w:rPr>
                <w:rFonts w:ascii="Arial" w:eastAsia="Times New Roman" w:hAnsi="Arial" w:cs="Arial"/>
                <w:color w:val="000000"/>
                <w:sz w:val="20"/>
                <w:szCs w:val="20"/>
                <w:lang w:val="es-ES_tradnl" w:eastAsia="es-CL"/>
              </w:rPr>
              <w:t>los convenios transitorios</w:t>
            </w:r>
            <w:r w:rsidRPr="00105274">
              <w:rPr>
                <w:rFonts w:ascii="Arial" w:eastAsia="Times New Roman" w:hAnsi="Arial" w:cs="Arial"/>
                <w:color w:val="000000"/>
                <w:sz w:val="20"/>
                <w:szCs w:val="20"/>
                <w:lang w:val="es-ES_tradnl" w:eastAsia="es-CL"/>
              </w:rPr>
              <w:t xml:space="preserve">. </w:t>
            </w:r>
            <w:proofErr w:type="gramStart"/>
            <w:r w:rsidRPr="00105274">
              <w:rPr>
                <w:rFonts w:ascii="Arial" w:eastAsia="Times New Roman" w:hAnsi="Arial" w:cs="Arial"/>
                <w:sz w:val="20"/>
                <w:szCs w:val="20"/>
                <w:lang w:val="es-ES_tradnl" w:eastAsia="es-CL"/>
              </w:rPr>
              <w:t>Est</w:t>
            </w:r>
            <w:r w:rsidR="0072414B">
              <w:rPr>
                <w:rFonts w:ascii="Arial" w:eastAsia="Times New Roman" w:hAnsi="Arial" w:cs="Arial"/>
                <w:sz w:val="20"/>
                <w:szCs w:val="20"/>
                <w:lang w:val="es-ES_tradnl" w:eastAsia="es-CL"/>
              </w:rPr>
              <w:t>os</w:t>
            </w:r>
            <w:r w:rsidRPr="00105274">
              <w:rPr>
                <w:rFonts w:ascii="Arial" w:eastAsia="Times New Roman" w:hAnsi="Arial" w:cs="Arial"/>
                <w:sz w:val="20"/>
                <w:szCs w:val="20"/>
                <w:lang w:val="es-ES_tradnl" w:eastAsia="es-CL"/>
              </w:rPr>
              <w:t xml:space="preserve"> instrumento</w:t>
            </w:r>
            <w:r w:rsidR="0072414B">
              <w:rPr>
                <w:rFonts w:ascii="Arial" w:eastAsia="Times New Roman" w:hAnsi="Arial" w:cs="Arial"/>
                <w:sz w:val="20"/>
                <w:szCs w:val="20"/>
                <w:lang w:val="es-ES_tradnl" w:eastAsia="es-CL"/>
              </w:rPr>
              <w:t>s</w:t>
            </w:r>
            <w:r w:rsidRPr="00105274">
              <w:rPr>
                <w:rFonts w:ascii="Arial" w:eastAsia="Times New Roman" w:hAnsi="Arial" w:cs="Arial"/>
                <w:sz w:val="20"/>
                <w:szCs w:val="20"/>
                <w:lang w:val="es-ES_tradnl" w:eastAsia="es-CL"/>
              </w:rPr>
              <w:t xml:space="preserve"> de gestión contiene</w:t>
            </w:r>
            <w:proofErr w:type="gramEnd"/>
            <w:r w:rsidRPr="00105274">
              <w:rPr>
                <w:rFonts w:ascii="Arial" w:eastAsia="Times New Roman" w:hAnsi="Arial" w:cs="Arial"/>
                <w:sz w:val="20"/>
                <w:szCs w:val="20"/>
                <w:lang w:val="es-ES_tradnl" w:eastAsia="es-CL"/>
              </w:rPr>
              <w:t xml:space="preserve"> metas con base de medición anual en áreas estratégicas. </w:t>
            </w:r>
          </w:p>
          <w:p w14:paraId="449DDA96" w14:textId="0601AC43" w:rsidR="005D3D3C" w:rsidRPr="00105274" w:rsidRDefault="005D3D3C"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El porcentaje de cumplimiento de las metas se extrae a través de un informe que realiza la DEP del grado de avance en el cumplimiento de cada convenio. Se entenderá como satisfactorio cuando un director ejecutivo logre al menos un 75% del nivel de cumplimiento de su convenio</w:t>
            </w:r>
            <w:r w:rsidR="00393C9B">
              <w:rPr>
                <w:rFonts w:ascii="Arial" w:eastAsia="Times New Roman" w:hAnsi="Arial" w:cs="Arial"/>
                <w:sz w:val="20"/>
                <w:szCs w:val="20"/>
                <w:lang w:val="es-ES_tradnl" w:eastAsia="es-CL"/>
              </w:rPr>
              <w:t xml:space="preserve"> en la respectiva medición anual</w:t>
            </w:r>
            <w:r w:rsidRPr="00105274">
              <w:rPr>
                <w:rFonts w:ascii="Arial" w:eastAsia="Times New Roman" w:hAnsi="Arial" w:cs="Arial"/>
                <w:sz w:val="20"/>
                <w:szCs w:val="20"/>
                <w:lang w:val="es-ES_tradnl" w:eastAsia="es-CL"/>
              </w:rPr>
              <w:t>.</w:t>
            </w:r>
          </w:p>
          <w:p w14:paraId="76D7740C" w14:textId="77777777" w:rsidR="005D3D3C" w:rsidRPr="00105274" w:rsidRDefault="005D3D3C" w:rsidP="00C76F20">
            <w:pPr>
              <w:spacing w:after="0" w:line="240" w:lineRule="auto"/>
              <w:rPr>
                <w:rFonts w:ascii="Arial" w:eastAsia="Times New Roman" w:hAnsi="Arial" w:cs="Arial"/>
                <w:sz w:val="20"/>
                <w:szCs w:val="20"/>
                <w:lang w:val="es-ES_tradnl" w:eastAsia="es-CL"/>
              </w:rPr>
            </w:pPr>
          </w:p>
          <w:p w14:paraId="428BDC1B" w14:textId="77777777" w:rsidR="005D3D3C" w:rsidRPr="00105274" w:rsidRDefault="005D3D3C"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color w:val="000000"/>
                <w:sz w:val="20"/>
                <w:szCs w:val="20"/>
                <w:lang w:val="es-CL" w:eastAsia="es-CL"/>
              </w:rPr>
              <w:t>Cálculo del indicador: ver tabla 4</w:t>
            </w:r>
          </w:p>
        </w:tc>
      </w:tr>
      <w:tr w:rsidR="005D3D3C" w:rsidRPr="00376B9E" w14:paraId="55B4BAD6" w14:textId="77777777" w:rsidTr="00C76F20">
        <w:trPr>
          <w:trHeight w:val="20"/>
        </w:trPr>
        <w:tc>
          <w:tcPr>
            <w:tcW w:w="13143" w:type="dxa"/>
            <w:gridSpan w:val="10"/>
            <w:tcBorders>
              <w:top w:val="single" w:sz="8" w:space="0" w:color="auto"/>
              <w:left w:val="single" w:sz="8" w:space="0" w:color="auto"/>
              <w:bottom w:val="single" w:sz="8" w:space="0" w:color="auto"/>
              <w:right w:val="single" w:sz="8" w:space="0" w:color="000000" w:themeColor="text1"/>
            </w:tcBorders>
            <w:shd w:val="clear" w:color="auto" w:fill="auto"/>
            <w:vAlign w:val="center"/>
            <w:hideMark/>
          </w:tcPr>
          <w:p w14:paraId="18AD9188" w14:textId="77777777" w:rsidR="005D3D3C" w:rsidRPr="00105274" w:rsidRDefault="005D3D3C" w:rsidP="00C76F20">
            <w:pPr>
              <w:spacing w:after="0" w:line="240" w:lineRule="auto"/>
              <w:rPr>
                <w:rFonts w:ascii="Arial" w:eastAsia="Times New Roman" w:hAnsi="Arial" w:cs="Arial"/>
                <w:b/>
                <w:color w:val="000000"/>
                <w:sz w:val="20"/>
                <w:szCs w:val="20"/>
                <w:lang w:val="es-ES_tradnl" w:eastAsia="es-CL"/>
              </w:rPr>
            </w:pPr>
            <w:r w:rsidRPr="00105274">
              <w:rPr>
                <w:rFonts w:ascii="Arial" w:eastAsia="Times New Roman" w:hAnsi="Arial" w:cs="Arial"/>
                <w:b/>
                <w:color w:val="000000"/>
                <w:sz w:val="20"/>
                <w:szCs w:val="20"/>
                <w:lang w:val="es-CL" w:eastAsia="es-CL"/>
              </w:rPr>
              <w:t xml:space="preserve">Objetivo Específico </w:t>
            </w:r>
            <w:r>
              <w:rPr>
                <w:rFonts w:ascii="Arial" w:eastAsia="Times New Roman" w:hAnsi="Arial" w:cs="Arial"/>
                <w:b/>
                <w:color w:val="000000"/>
                <w:sz w:val="20"/>
                <w:szCs w:val="20"/>
                <w:lang w:val="es-CL" w:eastAsia="es-CL"/>
              </w:rPr>
              <w:t xml:space="preserve">de Desarrollo </w:t>
            </w:r>
            <w:r w:rsidRPr="00105274">
              <w:rPr>
                <w:rFonts w:ascii="Arial" w:eastAsia="Times New Roman" w:hAnsi="Arial" w:cs="Arial"/>
                <w:b/>
                <w:color w:val="000000"/>
                <w:sz w:val="20"/>
                <w:szCs w:val="20"/>
                <w:lang w:val="es-CL" w:eastAsia="es-CL"/>
              </w:rPr>
              <w:t>2:</w:t>
            </w:r>
            <w:r w:rsidRPr="00105274">
              <w:rPr>
                <w:rFonts w:ascii="Arial" w:eastAsia="Times New Roman" w:hAnsi="Arial" w:cs="Arial"/>
                <w:color w:val="000000"/>
                <w:sz w:val="20"/>
                <w:szCs w:val="20"/>
                <w:lang w:val="es-CL" w:eastAsia="es-CL"/>
              </w:rPr>
              <w:t xml:space="preserve"> </w:t>
            </w:r>
            <w:r w:rsidRPr="00105274">
              <w:rPr>
                <w:rFonts w:ascii="Arial" w:hAnsi="Arial" w:cs="Arial"/>
                <w:lang w:val="es-ES_tradnl"/>
              </w:rPr>
              <w:t xml:space="preserve">Fortalecer y/o crear capacidades de soporte técnico-pedagógico a nivel central y local </w:t>
            </w:r>
          </w:p>
        </w:tc>
      </w:tr>
      <w:tr w:rsidR="005D3D3C" w:rsidRPr="00376B9E" w14:paraId="27A7BF99" w14:textId="77777777" w:rsidTr="00C76F20">
        <w:trPr>
          <w:trHeight w:val="20"/>
        </w:trPr>
        <w:tc>
          <w:tcPr>
            <w:tcW w:w="13143" w:type="dxa"/>
            <w:gridSpan w:val="10"/>
            <w:tcBorders>
              <w:top w:val="single" w:sz="8" w:space="0" w:color="auto"/>
              <w:left w:val="single" w:sz="8" w:space="0" w:color="auto"/>
              <w:bottom w:val="single" w:sz="4" w:space="0" w:color="auto"/>
              <w:right w:val="single" w:sz="8" w:space="0" w:color="000000" w:themeColor="text1"/>
            </w:tcBorders>
            <w:shd w:val="clear" w:color="auto" w:fill="D9D9D9" w:themeFill="background1" w:themeFillShade="D9"/>
            <w:vAlign w:val="center"/>
            <w:hideMark/>
          </w:tcPr>
          <w:p w14:paraId="117098EF" w14:textId="77777777" w:rsidR="005D3D3C" w:rsidRPr="00105274" w:rsidRDefault="005D3D3C" w:rsidP="00C76F20">
            <w:pPr>
              <w:spacing w:after="0" w:line="240" w:lineRule="auto"/>
              <w:rPr>
                <w:rFonts w:ascii="Arial" w:eastAsia="Times New Roman" w:hAnsi="Arial" w:cs="Arial"/>
                <w:b/>
                <w:color w:val="000000"/>
                <w:sz w:val="20"/>
                <w:szCs w:val="20"/>
                <w:lang w:val="es-CL" w:eastAsia="es-CL"/>
              </w:rPr>
            </w:pPr>
            <w:r w:rsidRPr="00105274">
              <w:rPr>
                <w:rFonts w:ascii="Arial" w:eastAsia="Times New Roman" w:hAnsi="Arial" w:cs="Arial"/>
                <w:b/>
                <w:color w:val="000000"/>
                <w:sz w:val="20"/>
                <w:szCs w:val="20"/>
                <w:lang w:val="es-CL" w:eastAsia="es-CL"/>
              </w:rPr>
              <w:t xml:space="preserve">Acciones de apoyo técnico pedagógico desde los </w:t>
            </w:r>
            <w:proofErr w:type="spellStart"/>
            <w:r w:rsidRPr="00105274">
              <w:rPr>
                <w:rFonts w:ascii="Arial" w:eastAsia="Times New Roman" w:hAnsi="Arial" w:cs="Arial"/>
                <w:b/>
                <w:color w:val="000000"/>
                <w:sz w:val="20"/>
                <w:szCs w:val="20"/>
                <w:lang w:val="es-CL" w:eastAsia="es-CL"/>
              </w:rPr>
              <w:t>SLEPs</w:t>
            </w:r>
            <w:proofErr w:type="spellEnd"/>
          </w:p>
        </w:tc>
      </w:tr>
      <w:tr w:rsidR="005D3D3C" w:rsidRPr="00376B9E" w14:paraId="38866D86" w14:textId="77777777" w:rsidTr="00C76F20">
        <w:trPr>
          <w:trHeight w:val="20"/>
        </w:trPr>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E21F4" w14:textId="245E5B69"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2.1. Número de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que cuentan con un plan </w:t>
            </w:r>
            <w:r w:rsidR="00B4403D">
              <w:rPr>
                <w:rFonts w:ascii="Arial" w:eastAsia="Times New Roman" w:hAnsi="Arial" w:cs="Arial"/>
                <w:color w:val="000000"/>
                <w:sz w:val="20"/>
                <w:szCs w:val="20"/>
                <w:lang w:val="es-CL" w:eastAsia="es-CL"/>
              </w:rPr>
              <w:t xml:space="preserve">global </w:t>
            </w:r>
            <w:r w:rsidRPr="00105274">
              <w:rPr>
                <w:rFonts w:ascii="Arial" w:eastAsia="Times New Roman" w:hAnsi="Arial" w:cs="Arial"/>
                <w:color w:val="000000"/>
                <w:sz w:val="20"/>
                <w:szCs w:val="20"/>
                <w:lang w:val="es-CL" w:eastAsia="es-CL"/>
              </w:rPr>
              <w:t>de apoyo técnico pedagógico para la mejora de la calidad educativa</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97185"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 xml:space="preserve"> </w:t>
            </w:r>
            <w:proofErr w:type="spellStart"/>
            <w:r w:rsidRPr="6DC7C2D8">
              <w:rPr>
                <w:rFonts w:ascii="Arial" w:eastAsia="Times New Roman" w:hAnsi="Arial" w:cs="Arial"/>
                <w:color w:val="000000" w:themeColor="text1"/>
                <w:sz w:val="20"/>
                <w:szCs w:val="20"/>
                <w:lang w:val="es-CL" w:eastAsia="es-CL"/>
              </w:rPr>
              <w:t>SLEPs</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4DA0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D08CD"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7542C"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50290"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11</w:t>
            </w:r>
            <w:r w:rsidRPr="00105274">
              <w:rPr>
                <w:rFonts w:eastAsia="Times New Roman" w:cs="Calibri"/>
                <w:color w:val="000000"/>
                <w:sz w:val="20"/>
                <w:szCs w:val="20"/>
                <w:lang w:val="es-CL" w:eastAsia="es-CL"/>
              </w:rPr>
              <w:t>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01B57"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11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5A7F4" w14:textId="6643C9B4"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Plan </w:t>
            </w:r>
            <w:r w:rsidR="00B4403D">
              <w:rPr>
                <w:rFonts w:ascii="Arial" w:eastAsia="Times New Roman" w:hAnsi="Arial" w:cs="Arial"/>
                <w:color w:val="000000"/>
                <w:sz w:val="20"/>
                <w:szCs w:val="20"/>
                <w:lang w:val="es-CL" w:eastAsia="es-CL"/>
              </w:rPr>
              <w:t xml:space="preserve">global </w:t>
            </w:r>
            <w:r w:rsidRPr="00105274">
              <w:rPr>
                <w:rFonts w:ascii="Arial" w:eastAsia="Times New Roman" w:hAnsi="Arial" w:cs="Arial"/>
                <w:color w:val="000000"/>
                <w:sz w:val="20"/>
                <w:szCs w:val="20"/>
                <w:lang w:val="es-CL" w:eastAsia="es-CL"/>
              </w:rPr>
              <w:t xml:space="preserve">de apoyo técnico pedagógico de cada </w:t>
            </w:r>
            <w:proofErr w:type="spellStart"/>
            <w:r w:rsidRPr="00105274">
              <w:rPr>
                <w:rFonts w:ascii="Arial" w:eastAsia="Times New Roman" w:hAnsi="Arial" w:cs="Arial"/>
                <w:color w:val="000000"/>
                <w:sz w:val="20"/>
                <w:szCs w:val="20"/>
                <w:lang w:val="es-CL" w:eastAsia="es-CL"/>
              </w:rPr>
              <w:t>SLEP</w:t>
            </w:r>
            <w:proofErr w:type="spellEnd"/>
            <w:r w:rsidRPr="0EE7702A">
              <w:rPr>
                <w:rFonts w:ascii="Arial" w:eastAsia="Times New Roman" w:hAnsi="Arial" w:cs="Arial"/>
                <w:color w:val="000000" w:themeColor="text1"/>
                <w:sz w:val="20"/>
                <w:szCs w:val="20"/>
                <w:lang w:val="es-CL" w:eastAsia="es-CL"/>
              </w:rPr>
              <w:t xml:space="preserve">, </w:t>
            </w:r>
            <w:proofErr w:type="spellStart"/>
            <w:r w:rsidRPr="0EE7702A">
              <w:rPr>
                <w:rFonts w:ascii="Arial" w:eastAsia="Times New Roman" w:hAnsi="Arial" w:cs="Arial"/>
                <w:color w:val="000000" w:themeColor="text1"/>
                <w:sz w:val="20"/>
                <w:szCs w:val="20"/>
                <w:lang w:val="es-CL" w:eastAsia="es-CL"/>
              </w:rPr>
              <w:t>SLEPs</w:t>
            </w:r>
            <w:proofErr w:type="spellEnd"/>
            <w:r w:rsidRPr="0EE7702A">
              <w:rPr>
                <w:rFonts w:ascii="Arial" w:eastAsia="Times New Roman" w:hAnsi="Arial" w:cs="Arial"/>
                <w:color w:val="000000" w:themeColor="text1"/>
                <w:sz w:val="20"/>
                <w:szCs w:val="20"/>
                <w:lang w:val="es-CL" w:eastAsia="es-CL"/>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92331"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w:t>
            </w:r>
            <w:r>
              <w:rPr>
                <w:rFonts w:ascii="Arial" w:eastAsia="Times New Roman" w:hAnsi="Arial" w:cs="Arial"/>
                <w:color w:val="000000"/>
                <w:sz w:val="20"/>
                <w:szCs w:val="20"/>
                <w:lang w:val="es-CL" w:eastAsia="es-CL"/>
              </w:rPr>
              <w:t>Sí</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7E9B0" w14:textId="093A2F08"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El </w:t>
            </w:r>
            <w:proofErr w:type="gramStart"/>
            <w:r w:rsidR="009109C0">
              <w:rPr>
                <w:rFonts w:ascii="Arial" w:eastAsia="Times New Roman" w:hAnsi="Arial" w:cs="Arial"/>
                <w:color w:val="000000"/>
                <w:sz w:val="20"/>
                <w:szCs w:val="20"/>
                <w:lang w:val="es-CL" w:eastAsia="es-CL"/>
              </w:rPr>
              <w:t xml:space="preserve">modelo </w:t>
            </w:r>
            <w:r w:rsidR="009109C0" w:rsidRPr="00105274">
              <w:rPr>
                <w:rFonts w:ascii="Arial" w:eastAsia="Times New Roman" w:hAnsi="Arial" w:cs="Arial"/>
                <w:color w:val="000000"/>
                <w:sz w:val="20"/>
                <w:szCs w:val="20"/>
                <w:lang w:val="es-CL" w:eastAsia="es-CL"/>
              </w:rPr>
              <w:t xml:space="preserve"> </w:t>
            </w:r>
            <w:r w:rsidRPr="00105274">
              <w:rPr>
                <w:rFonts w:ascii="Arial" w:eastAsia="Times New Roman" w:hAnsi="Arial" w:cs="Arial"/>
                <w:color w:val="000000"/>
                <w:sz w:val="20"/>
                <w:szCs w:val="20"/>
                <w:lang w:val="es-CL" w:eastAsia="es-CL"/>
              </w:rPr>
              <w:t>de</w:t>
            </w:r>
            <w:proofErr w:type="gramEnd"/>
            <w:r w:rsidRPr="00105274">
              <w:rPr>
                <w:rFonts w:ascii="Arial" w:eastAsia="Times New Roman" w:hAnsi="Arial" w:cs="Arial"/>
                <w:color w:val="000000"/>
                <w:sz w:val="20"/>
                <w:szCs w:val="20"/>
                <w:lang w:val="es-CL" w:eastAsia="es-CL"/>
              </w:rPr>
              <w:t xml:space="preserve"> apoyo técnico pedagógico considera 5 etapas: </w:t>
            </w:r>
            <w:r>
              <w:rPr>
                <w:rFonts w:ascii="Arial" w:eastAsia="Times New Roman" w:hAnsi="Arial" w:cs="Arial"/>
                <w:color w:val="000000"/>
                <w:sz w:val="20"/>
                <w:szCs w:val="20"/>
                <w:lang w:val="es-CL" w:eastAsia="es-CL"/>
              </w:rPr>
              <w:t>(</w:t>
            </w:r>
            <w:r w:rsidRPr="00105274">
              <w:rPr>
                <w:rFonts w:ascii="Arial" w:eastAsia="Times New Roman" w:hAnsi="Arial" w:cs="Arial"/>
                <w:color w:val="000000"/>
                <w:sz w:val="20"/>
                <w:szCs w:val="20"/>
                <w:lang w:val="es-CL" w:eastAsia="es-CL"/>
              </w:rPr>
              <w:t xml:space="preserve">i) involucramiento; </w:t>
            </w:r>
            <w:r>
              <w:rPr>
                <w:rFonts w:ascii="Arial" w:eastAsia="Times New Roman" w:hAnsi="Arial" w:cs="Arial"/>
                <w:color w:val="000000"/>
                <w:sz w:val="20"/>
                <w:szCs w:val="20"/>
                <w:lang w:val="es-CL" w:eastAsia="es-CL"/>
              </w:rPr>
              <w:t>(</w:t>
            </w:r>
            <w:proofErr w:type="spellStart"/>
            <w:r w:rsidRPr="00105274">
              <w:rPr>
                <w:rFonts w:ascii="Arial" w:eastAsia="Times New Roman" w:hAnsi="Arial" w:cs="Arial"/>
                <w:color w:val="000000"/>
                <w:sz w:val="20"/>
                <w:szCs w:val="20"/>
                <w:lang w:val="es-CL" w:eastAsia="es-CL"/>
              </w:rPr>
              <w:t>ii</w:t>
            </w:r>
            <w:proofErr w:type="spellEnd"/>
            <w:r w:rsidRPr="00105274">
              <w:rPr>
                <w:rFonts w:ascii="Arial" w:eastAsia="Times New Roman" w:hAnsi="Arial" w:cs="Arial"/>
                <w:color w:val="000000"/>
                <w:sz w:val="20"/>
                <w:szCs w:val="20"/>
                <w:lang w:val="es-CL" w:eastAsia="es-CL"/>
              </w:rPr>
              <w:t xml:space="preserve">) diagnóstico; </w:t>
            </w:r>
            <w:r>
              <w:rPr>
                <w:rFonts w:ascii="Arial" w:eastAsia="Times New Roman" w:hAnsi="Arial" w:cs="Arial"/>
                <w:color w:val="000000"/>
                <w:sz w:val="20"/>
                <w:szCs w:val="20"/>
                <w:lang w:val="es-CL" w:eastAsia="es-CL"/>
              </w:rPr>
              <w:t>(</w:t>
            </w:r>
            <w:proofErr w:type="spellStart"/>
            <w:r w:rsidRPr="00105274">
              <w:rPr>
                <w:rFonts w:ascii="Arial" w:eastAsia="Times New Roman" w:hAnsi="Arial" w:cs="Arial"/>
                <w:color w:val="000000"/>
                <w:sz w:val="20"/>
                <w:szCs w:val="20"/>
                <w:lang w:val="es-CL" w:eastAsia="es-CL"/>
              </w:rPr>
              <w:t>iii</w:t>
            </w:r>
            <w:proofErr w:type="spellEnd"/>
            <w:r w:rsidRPr="00105274">
              <w:rPr>
                <w:rFonts w:ascii="Arial" w:eastAsia="Times New Roman" w:hAnsi="Arial" w:cs="Arial"/>
                <w:color w:val="000000"/>
                <w:sz w:val="20"/>
                <w:szCs w:val="20"/>
                <w:lang w:val="es-CL" w:eastAsia="es-CL"/>
              </w:rPr>
              <w:t xml:space="preserve">) planificación; </w:t>
            </w:r>
            <w:r>
              <w:rPr>
                <w:rFonts w:ascii="Arial" w:eastAsia="Times New Roman" w:hAnsi="Arial" w:cs="Arial"/>
                <w:color w:val="000000"/>
                <w:sz w:val="20"/>
                <w:szCs w:val="20"/>
                <w:lang w:val="es-CL" w:eastAsia="es-CL"/>
              </w:rPr>
              <w:t>(</w:t>
            </w:r>
            <w:proofErr w:type="spellStart"/>
            <w:r w:rsidRPr="00105274">
              <w:rPr>
                <w:rFonts w:ascii="Arial" w:eastAsia="Times New Roman" w:hAnsi="Arial" w:cs="Arial"/>
                <w:color w:val="000000"/>
                <w:sz w:val="20"/>
                <w:szCs w:val="20"/>
                <w:lang w:val="es-CL" w:eastAsia="es-CL"/>
              </w:rPr>
              <w:t>iv</w:t>
            </w:r>
            <w:proofErr w:type="spellEnd"/>
            <w:r w:rsidRPr="00105274">
              <w:rPr>
                <w:rFonts w:ascii="Arial" w:eastAsia="Times New Roman" w:hAnsi="Arial" w:cs="Arial"/>
                <w:color w:val="000000"/>
                <w:sz w:val="20"/>
                <w:szCs w:val="20"/>
                <w:lang w:val="es-CL" w:eastAsia="es-CL"/>
              </w:rPr>
              <w:t>) ejecución</w:t>
            </w:r>
            <w:r>
              <w:rPr>
                <w:rFonts w:ascii="Arial" w:eastAsia="Times New Roman" w:hAnsi="Arial" w:cs="Arial"/>
                <w:color w:val="000000"/>
                <w:sz w:val="20"/>
                <w:szCs w:val="20"/>
                <w:lang w:val="es-CL" w:eastAsia="es-CL"/>
              </w:rPr>
              <w:t>;</w:t>
            </w:r>
            <w:r w:rsidRPr="00105274">
              <w:rPr>
                <w:rFonts w:ascii="Arial" w:eastAsia="Times New Roman" w:hAnsi="Arial" w:cs="Arial"/>
                <w:color w:val="000000"/>
                <w:sz w:val="20"/>
                <w:szCs w:val="20"/>
                <w:lang w:val="es-CL" w:eastAsia="es-CL"/>
              </w:rPr>
              <w:t xml:space="preserve"> y </w:t>
            </w:r>
            <w:r>
              <w:rPr>
                <w:rFonts w:ascii="Arial" w:eastAsia="Times New Roman" w:hAnsi="Arial" w:cs="Arial"/>
                <w:color w:val="000000"/>
                <w:sz w:val="20"/>
                <w:szCs w:val="20"/>
                <w:lang w:val="es-CL" w:eastAsia="es-CL"/>
              </w:rPr>
              <w:t>(</w:t>
            </w:r>
            <w:r w:rsidRPr="00105274">
              <w:rPr>
                <w:rFonts w:ascii="Arial" w:eastAsia="Times New Roman" w:hAnsi="Arial" w:cs="Arial"/>
                <w:color w:val="000000"/>
                <w:sz w:val="20"/>
                <w:szCs w:val="20"/>
                <w:lang w:val="es-CL" w:eastAsia="es-CL"/>
              </w:rPr>
              <w:t xml:space="preserve">v) evaluación. </w:t>
            </w:r>
          </w:p>
          <w:p w14:paraId="438CEB71"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05DD87F0" w14:textId="77777777" w:rsidR="006C4E4D" w:rsidRPr="00105274" w:rsidRDefault="006C4E4D" w:rsidP="006C4E4D">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Como parte de est</w:t>
            </w:r>
            <w:r>
              <w:rPr>
                <w:rFonts w:ascii="Arial" w:eastAsia="Times New Roman" w:hAnsi="Arial" w:cs="Arial"/>
                <w:color w:val="000000"/>
                <w:sz w:val="20"/>
                <w:szCs w:val="20"/>
                <w:lang w:val="es-CL" w:eastAsia="es-CL"/>
              </w:rPr>
              <w:t>e modelo de apoyo técnico pedagógico</w:t>
            </w:r>
            <w:r w:rsidRPr="00105274">
              <w:rPr>
                <w:rFonts w:ascii="Arial" w:eastAsia="Times New Roman" w:hAnsi="Arial" w:cs="Arial"/>
                <w:color w:val="000000"/>
                <w:sz w:val="20"/>
                <w:szCs w:val="20"/>
                <w:lang w:val="es-CL" w:eastAsia="es-CL"/>
              </w:rPr>
              <w:t xml:space="preserve">, se compromete la </w:t>
            </w:r>
            <w:r w:rsidRPr="00105274">
              <w:rPr>
                <w:rFonts w:ascii="Arial" w:eastAsia="Times New Roman" w:hAnsi="Arial" w:cs="Arial"/>
                <w:color w:val="000000"/>
                <w:sz w:val="20"/>
                <w:szCs w:val="20"/>
                <w:lang w:val="es-CL" w:eastAsia="es-CL"/>
              </w:rPr>
              <w:lastRenderedPageBreak/>
              <w:t>necesidad que cada Servicio Local diseñe su propio plan global de apoyo técnico pedagógico.</w:t>
            </w:r>
          </w:p>
          <w:p w14:paraId="1EB4C34D" w14:textId="77777777" w:rsidR="006C4E4D" w:rsidRDefault="006C4E4D" w:rsidP="006C4E4D">
            <w:pPr>
              <w:spacing w:after="0" w:line="240" w:lineRule="auto"/>
              <w:rPr>
                <w:rFonts w:ascii="Arial" w:eastAsia="Times New Roman" w:hAnsi="Arial" w:cs="Arial"/>
                <w:color w:val="000000"/>
                <w:sz w:val="20"/>
                <w:szCs w:val="20"/>
                <w:lang w:val="es-CL" w:eastAsia="es-CL"/>
              </w:rPr>
            </w:pPr>
          </w:p>
          <w:p w14:paraId="45DD49A4" w14:textId="10BB6CF1" w:rsidR="005D3D3C" w:rsidRPr="00105274" w:rsidRDefault="006C4E4D" w:rsidP="00C76F20">
            <w:pPr>
              <w:spacing w:after="0" w:line="240" w:lineRule="auto"/>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Este plan se desprende de la etapa (</w:t>
            </w:r>
            <w:proofErr w:type="spellStart"/>
            <w:r>
              <w:rPr>
                <w:rFonts w:ascii="Arial" w:eastAsia="Times New Roman" w:hAnsi="Arial" w:cs="Arial"/>
                <w:color w:val="000000"/>
                <w:sz w:val="20"/>
                <w:szCs w:val="20"/>
                <w:lang w:val="es-CL" w:eastAsia="es-CL"/>
              </w:rPr>
              <w:t>iii</w:t>
            </w:r>
            <w:proofErr w:type="spellEnd"/>
            <w:r>
              <w:rPr>
                <w:rFonts w:ascii="Arial" w:eastAsia="Times New Roman" w:hAnsi="Arial" w:cs="Arial"/>
                <w:color w:val="000000"/>
                <w:sz w:val="20"/>
                <w:szCs w:val="20"/>
                <w:lang w:val="es-CL" w:eastAsia="es-CL"/>
              </w:rPr>
              <w:t xml:space="preserve">) planificación y contiene problemáticas detectadas en los establecimientos del </w:t>
            </w:r>
            <w:proofErr w:type="spellStart"/>
            <w:r>
              <w:rPr>
                <w:rFonts w:ascii="Arial" w:eastAsia="Times New Roman" w:hAnsi="Arial" w:cs="Arial"/>
                <w:color w:val="000000"/>
                <w:sz w:val="20"/>
                <w:szCs w:val="20"/>
                <w:lang w:val="es-CL" w:eastAsia="es-CL"/>
              </w:rPr>
              <w:t>SLEP</w:t>
            </w:r>
            <w:proofErr w:type="spellEnd"/>
            <w:r>
              <w:rPr>
                <w:rFonts w:ascii="Arial" w:eastAsia="Times New Roman" w:hAnsi="Arial" w:cs="Arial"/>
                <w:color w:val="000000"/>
                <w:sz w:val="20"/>
                <w:szCs w:val="20"/>
                <w:lang w:val="es-CL" w:eastAsia="es-CL"/>
              </w:rPr>
              <w:t xml:space="preserve"> y objetivos estratégicos y acciones a trabajar.</w:t>
            </w:r>
          </w:p>
          <w:p w14:paraId="555EFFC1" w14:textId="4F5D869B"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Cálculo del indicador: Conteo de </w:t>
            </w:r>
            <w:proofErr w:type="spellStart"/>
            <w:r w:rsidR="005B7D5B">
              <w:rPr>
                <w:rFonts w:ascii="Arial" w:eastAsia="Times New Roman" w:hAnsi="Arial" w:cs="Arial"/>
                <w:color w:val="000000"/>
                <w:sz w:val="20"/>
                <w:szCs w:val="20"/>
                <w:lang w:val="es-CL" w:eastAsia="es-CL"/>
              </w:rPr>
              <w:t>SLEPs</w:t>
            </w:r>
            <w:proofErr w:type="spellEnd"/>
            <w:r w:rsidR="005D6E14">
              <w:rPr>
                <w:rFonts w:ascii="Arial" w:eastAsia="Times New Roman" w:hAnsi="Arial" w:cs="Arial"/>
                <w:color w:val="000000"/>
                <w:sz w:val="20"/>
                <w:szCs w:val="20"/>
                <w:lang w:val="es-CL" w:eastAsia="es-CL"/>
              </w:rPr>
              <w:t xml:space="preserve"> con </w:t>
            </w:r>
            <w:r w:rsidRPr="00105274">
              <w:rPr>
                <w:rFonts w:ascii="Arial" w:eastAsia="Times New Roman" w:hAnsi="Arial" w:cs="Arial"/>
                <w:color w:val="000000"/>
                <w:sz w:val="20"/>
                <w:szCs w:val="20"/>
                <w:lang w:val="es-CL" w:eastAsia="es-CL"/>
              </w:rPr>
              <w:t>pla</w:t>
            </w:r>
            <w:r w:rsidR="005D6E14">
              <w:rPr>
                <w:rFonts w:ascii="Arial" w:eastAsia="Times New Roman" w:hAnsi="Arial" w:cs="Arial"/>
                <w:color w:val="000000"/>
                <w:sz w:val="20"/>
                <w:szCs w:val="20"/>
                <w:lang w:val="es-CL" w:eastAsia="es-CL"/>
              </w:rPr>
              <w:t xml:space="preserve">n </w:t>
            </w:r>
            <w:proofErr w:type="gramStart"/>
            <w:r w:rsidR="005D6E14">
              <w:rPr>
                <w:rFonts w:ascii="Arial" w:eastAsia="Times New Roman" w:hAnsi="Arial" w:cs="Arial"/>
                <w:color w:val="000000"/>
                <w:sz w:val="20"/>
                <w:szCs w:val="20"/>
                <w:lang w:val="es-CL" w:eastAsia="es-CL"/>
              </w:rPr>
              <w:t xml:space="preserve">global </w:t>
            </w:r>
            <w:r w:rsidRPr="00105274">
              <w:rPr>
                <w:rFonts w:ascii="Arial" w:eastAsia="Times New Roman" w:hAnsi="Arial" w:cs="Arial"/>
                <w:color w:val="000000"/>
                <w:sz w:val="20"/>
                <w:szCs w:val="20"/>
                <w:lang w:val="es-CL" w:eastAsia="es-CL"/>
              </w:rPr>
              <w:t xml:space="preserve"> de</w:t>
            </w:r>
            <w:proofErr w:type="gramEnd"/>
            <w:r w:rsidRPr="00105274">
              <w:rPr>
                <w:rFonts w:ascii="Arial" w:eastAsia="Times New Roman" w:hAnsi="Arial" w:cs="Arial"/>
                <w:color w:val="000000"/>
                <w:sz w:val="20"/>
                <w:szCs w:val="20"/>
                <w:lang w:val="es-CL" w:eastAsia="es-CL"/>
              </w:rPr>
              <w:t xml:space="preserve"> apoyo técnico pedagógico.</w:t>
            </w:r>
          </w:p>
        </w:tc>
      </w:tr>
      <w:tr w:rsidR="005D3D3C" w:rsidRPr="00376B9E" w14:paraId="03C3046C" w14:textId="77777777" w:rsidTr="00C76F20">
        <w:trPr>
          <w:trHeight w:val="3000"/>
        </w:trPr>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826D" w14:textId="22201B3D" w:rsidR="005D3D3C" w:rsidRPr="00105274" w:rsidRDefault="005D3D3C" w:rsidP="00C76F20">
            <w:pPr>
              <w:spacing w:after="0" w:line="240" w:lineRule="auto"/>
              <w:rPr>
                <w:rFonts w:ascii="Arial" w:eastAsia="Times New Roman" w:hAnsi="Arial" w:cs="Arial"/>
                <w:color w:val="000000"/>
                <w:sz w:val="20"/>
                <w:szCs w:val="20"/>
                <w:lang w:val="es-ES_tradnl" w:eastAsia="es-CL"/>
              </w:rPr>
            </w:pPr>
            <w:r w:rsidRPr="00105274">
              <w:rPr>
                <w:rFonts w:ascii="Arial" w:eastAsia="Times New Roman" w:hAnsi="Arial" w:cs="Arial"/>
                <w:color w:val="000000"/>
                <w:sz w:val="20"/>
                <w:szCs w:val="20"/>
                <w:lang w:val="es-CL" w:eastAsia="es-CL"/>
              </w:rPr>
              <w:lastRenderedPageBreak/>
              <w:t xml:space="preserve">2.2. </w:t>
            </w:r>
            <w:r w:rsidRPr="00105274">
              <w:rPr>
                <w:rFonts w:ascii="Arial" w:eastAsia="Times New Roman" w:hAnsi="Arial" w:cs="Arial"/>
                <w:color w:val="000000"/>
                <w:sz w:val="20"/>
                <w:szCs w:val="20"/>
                <w:lang w:val="es-ES_tradnl" w:eastAsia="es-CL"/>
              </w:rPr>
              <w:t xml:space="preserve">Número de </w:t>
            </w:r>
            <w:proofErr w:type="spellStart"/>
            <w:r w:rsidRPr="00105274">
              <w:rPr>
                <w:rFonts w:ascii="Arial" w:eastAsia="Times New Roman" w:hAnsi="Arial" w:cs="Arial"/>
                <w:color w:val="000000"/>
                <w:sz w:val="20"/>
                <w:szCs w:val="20"/>
                <w:lang w:val="es-ES_tradnl" w:eastAsia="es-CL"/>
              </w:rPr>
              <w:t>SLEPs</w:t>
            </w:r>
            <w:proofErr w:type="spellEnd"/>
            <w:r w:rsidRPr="00105274">
              <w:rPr>
                <w:rFonts w:ascii="Arial" w:eastAsia="Times New Roman" w:hAnsi="Arial" w:cs="Arial"/>
                <w:color w:val="000000"/>
                <w:sz w:val="20"/>
                <w:szCs w:val="20"/>
                <w:lang w:val="es-ES_tradnl" w:eastAsia="es-CL"/>
              </w:rPr>
              <w:t xml:space="preserve"> cuyos establecimientos implementan el plan </w:t>
            </w:r>
            <w:r w:rsidR="00124E37">
              <w:rPr>
                <w:rFonts w:ascii="Arial" w:eastAsia="Times New Roman" w:hAnsi="Arial" w:cs="Arial"/>
                <w:color w:val="000000"/>
                <w:sz w:val="20"/>
                <w:szCs w:val="20"/>
                <w:lang w:val="es-ES_tradnl" w:eastAsia="es-CL"/>
              </w:rPr>
              <w:t xml:space="preserve">global </w:t>
            </w:r>
            <w:r w:rsidRPr="00105274">
              <w:rPr>
                <w:rFonts w:ascii="Arial" w:eastAsia="Times New Roman" w:hAnsi="Arial" w:cs="Arial"/>
                <w:color w:val="000000"/>
                <w:sz w:val="20"/>
                <w:szCs w:val="20"/>
                <w:lang w:val="es-ES_tradnl" w:eastAsia="es-CL"/>
              </w:rPr>
              <w:t>de apoyo técnico</w:t>
            </w:r>
            <w:r w:rsidRPr="00105274">
              <w:rPr>
                <w:rFonts w:ascii="Arial" w:eastAsia="Times New Roman" w:hAnsi="Arial" w:cs="Arial"/>
                <w:color w:val="000000"/>
                <w:sz w:val="20"/>
                <w:szCs w:val="20"/>
                <w:lang w:val="es-CL" w:eastAsia="es-CL"/>
              </w:rPr>
              <w:t xml:space="preserve"> pedagógico</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C53C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 xml:space="preserve"> </w:t>
            </w:r>
            <w:proofErr w:type="spellStart"/>
            <w:r w:rsidRPr="6DC7C2D8">
              <w:rPr>
                <w:rFonts w:ascii="Arial" w:eastAsia="Times New Roman" w:hAnsi="Arial" w:cs="Arial"/>
                <w:color w:val="000000" w:themeColor="text1"/>
                <w:sz w:val="20"/>
                <w:szCs w:val="20"/>
                <w:lang w:val="es-CL" w:eastAsia="es-CL"/>
              </w:rPr>
              <w:t>SLEPs</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704BC"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D7B6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4402F"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F517F"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649E1"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D2749"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Informe de avance de implementación del plan de apoyo técnico pedagógico</w:t>
            </w:r>
            <w:r w:rsidRPr="0EE7702A">
              <w:rPr>
                <w:rFonts w:ascii="Arial" w:eastAsia="Times New Roman" w:hAnsi="Arial" w:cs="Arial"/>
                <w:color w:val="000000" w:themeColor="text1"/>
                <w:sz w:val="20"/>
                <w:szCs w:val="20"/>
                <w:lang w:val="es-CL" w:eastAsia="es-CL"/>
              </w:rPr>
              <w:t>, DEP</w:t>
            </w:r>
            <w:r w:rsidRPr="00105274">
              <w:rPr>
                <w:rFonts w:ascii="Arial" w:eastAsia="Times New Roman" w:hAnsi="Arial" w:cs="Arial"/>
                <w:color w:val="000000"/>
                <w:sz w:val="20"/>
                <w:szCs w:val="20"/>
                <w:lang w:val="es-CL" w:eastAsia="es-CL"/>
              </w:rPr>
              <w:t xml:space="preserve">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9009A"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No</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8C8B2" w14:textId="21BA9A93"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Se entenderá como plan implementado cuando al menos el </w:t>
            </w:r>
            <w:r w:rsidR="00E6453C">
              <w:rPr>
                <w:rFonts w:ascii="Arial" w:eastAsia="Times New Roman" w:hAnsi="Arial" w:cs="Arial"/>
                <w:color w:val="000000"/>
                <w:sz w:val="20"/>
                <w:szCs w:val="20"/>
                <w:lang w:val="es-CL" w:eastAsia="es-CL"/>
              </w:rPr>
              <w:t>6</w:t>
            </w:r>
            <w:r w:rsidR="00E6453C" w:rsidRPr="00105274">
              <w:rPr>
                <w:rFonts w:ascii="Arial" w:eastAsia="Times New Roman" w:hAnsi="Arial" w:cs="Arial"/>
                <w:color w:val="000000"/>
                <w:sz w:val="20"/>
                <w:szCs w:val="20"/>
                <w:lang w:val="es-CL" w:eastAsia="es-CL"/>
              </w:rPr>
              <w:t>0</w:t>
            </w:r>
            <w:r w:rsidRPr="00105274">
              <w:rPr>
                <w:rFonts w:ascii="Arial" w:eastAsia="Times New Roman" w:hAnsi="Arial" w:cs="Arial"/>
                <w:color w:val="000000"/>
                <w:sz w:val="20"/>
                <w:szCs w:val="20"/>
                <w:lang w:val="es-CL" w:eastAsia="es-CL"/>
              </w:rPr>
              <w:t xml:space="preserve">% de </w:t>
            </w:r>
            <w:r w:rsidR="00945FE5">
              <w:rPr>
                <w:rFonts w:ascii="Arial" w:eastAsia="Times New Roman" w:hAnsi="Arial" w:cs="Arial"/>
                <w:color w:val="000000"/>
                <w:sz w:val="20"/>
                <w:szCs w:val="20"/>
                <w:lang w:val="es-CL" w:eastAsia="es-CL"/>
              </w:rPr>
              <w:t xml:space="preserve">los </w:t>
            </w:r>
            <w:proofErr w:type="gramStart"/>
            <w:r w:rsidR="00945FE5">
              <w:rPr>
                <w:rFonts w:ascii="Arial" w:eastAsia="Times New Roman" w:hAnsi="Arial" w:cs="Arial"/>
                <w:color w:val="000000"/>
                <w:sz w:val="20"/>
                <w:szCs w:val="20"/>
                <w:lang w:val="es-CL" w:eastAsia="es-CL"/>
              </w:rPr>
              <w:t xml:space="preserve">establecimientos </w:t>
            </w:r>
            <w:r w:rsidRPr="00105274">
              <w:rPr>
                <w:rFonts w:ascii="Arial" w:eastAsia="Times New Roman" w:hAnsi="Arial" w:cs="Arial"/>
                <w:color w:val="000000"/>
                <w:sz w:val="20"/>
                <w:szCs w:val="20"/>
                <w:lang w:val="es-CL" w:eastAsia="es-CL"/>
              </w:rPr>
              <w:t xml:space="preserve"> dentro</w:t>
            </w:r>
            <w:proofErr w:type="gramEnd"/>
            <w:r w:rsidRPr="00105274">
              <w:rPr>
                <w:rFonts w:ascii="Arial" w:eastAsia="Times New Roman" w:hAnsi="Arial" w:cs="Arial"/>
                <w:color w:val="000000"/>
                <w:sz w:val="20"/>
                <w:szCs w:val="20"/>
                <w:lang w:val="es-CL" w:eastAsia="es-CL"/>
              </w:rPr>
              <w:t xml:space="preserve"> del </w:t>
            </w:r>
            <w:proofErr w:type="spellStart"/>
            <w:r w:rsidRPr="00105274">
              <w:rPr>
                <w:rFonts w:ascii="Arial" w:eastAsia="Times New Roman" w:hAnsi="Arial" w:cs="Arial"/>
                <w:color w:val="000000"/>
                <w:sz w:val="20"/>
                <w:szCs w:val="20"/>
                <w:lang w:val="es-CL" w:eastAsia="es-CL"/>
              </w:rPr>
              <w:t>SLEP</w:t>
            </w:r>
            <w:proofErr w:type="spellEnd"/>
            <w:r w:rsidRPr="00105274">
              <w:rPr>
                <w:rFonts w:ascii="Arial" w:eastAsia="Times New Roman" w:hAnsi="Arial" w:cs="Arial"/>
                <w:color w:val="000000"/>
                <w:sz w:val="20"/>
                <w:szCs w:val="20"/>
                <w:lang w:val="es-CL" w:eastAsia="es-CL"/>
              </w:rPr>
              <w:t xml:space="preserve"> </w:t>
            </w:r>
            <w:r w:rsidR="00325AE8">
              <w:rPr>
                <w:rFonts w:ascii="Arial" w:eastAsia="Times New Roman" w:hAnsi="Arial" w:cs="Arial"/>
                <w:color w:val="000000"/>
                <w:sz w:val="20"/>
                <w:szCs w:val="20"/>
                <w:lang w:val="es-CL" w:eastAsia="es-CL"/>
              </w:rPr>
              <w:t>estén</w:t>
            </w:r>
            <w:r w:rsidRPr="00105274">
              <w:rPr>
                <w:rFonts w:ascii="Arial" w:eastAsia="Times New Roman" w:hAnsi="Arial" w:cs="Arial"/>
                <w:color w:val="000000"/>
                <w:sz w:val="20"/>
                <w:szCs w:val="20"/>
                <w:lang w:val="es-CL" w:eastAsia="es-CL"/>
              </w:rPr>
              <w:t xml:space="preserve"> implementado </w:t>
            </w:r>
            <w:r w:rsidR="00FE2CA7">
              <w:rPr>
                <w:rFonts w:ascii="Arial" w:eastAsia="Times New Roman" w:hAnsi="Arial" w:cs="Arial"/>
                <w:color w:val="000000"/>
                <w:sz w:val="20"/>
                <w:szCs w:val="20"/>
                <w:lang w:val="es-CL" w:eastAsia="es-CL"/>
              </w:rPr>
              <w:t xml:space="preserve">al menos una acción </w:t>
            </w:r>
            <w:r w:rsidR="00CF4738">
              <w:rPr>
                <w:rFonts w:ascii="Arial" w:eastAsia="Times New Roman" w:hAnsi="Arial" w:cs="Arial"/>
                <w:color w:val="000000"/>
                <w:sz w:val="20"/>
                <w:szCs w:val="20"/>
                <w:lang w:val="es-CL" w:eastAsia="es-CL"/>
              </w:rPr>
              <w:t xml:space="preserve">del </w:t>
            </w:r>
            <w:r w:rsidRPr="00105274">
              <w:rPr>
                <w:rFonts w:ascii="Arial" w:eastAsia="Times New Roman" w:hAnsi="Arial" w:cs="Arial"/>
                <w:color w:val="000000"/>
                <w:sz w:val="20"/>
                <w:szCs w:val="20"/>
                <w:lang w:val="es-CL" w:eastAsia="es-CL"/>
              </w:rPr>
              <w:t>plan</w:t>
            </w:r>
            <w:r w:rsidR="00CF4738">
              <w:rPr>
                <w:rFonts w:ascii="Arial" w:eastAsia="Times New Roman" w:hAnsi="Arial" w:cs="Arial"/>
                <w:color w:val="000000"/>
                <w:sz w:val="20"/>
                <w:szCs w:val="20"/>
                <w:lang w:val="es-CL" w:eastAsia="es-CL"/>
              </w:rPr>
              <w:t xml:space="preserve"> global</w:t>
            </w:r>
            <w:r w:rsidRPr="00105274">
              <w:rPr>
                <w:rFonts w:ascii="Arial" w:eastAsia="Times New Roman" w:hAnsi="Arial" w:cs="Arial"/>
                <w:color w:val="000000"/>
                <w:sz w:val="20"/>
                <w:szCs w:val="20"/>
                <w:lang w:val="es-CL" w:eastAsia="es-CL"/>
              </w:rPr>
              <w:t xml:space="preserve"> de apoyo técnico pedagógico. </w:t>
            </w:r>
          </w:p>
          <w:p w14:paraId="1DD829B6"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w:t>
            </w:r>
          </w:p>
          <w:p w14:paraId="08C4E4D1" w14:textId="0EC8BD9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Cálculo del indicador: Cada Servicio Local, debe informar a la DEP sobre el estado de avance de su plan de apoyo técnico pedagógico con </w:t>
            </w:r>
            <w:r w:rsidR="00846F6C">
              <w:rPr>
                <w:rFonts w:ascii="Arial" w:eastAsia="Times New Roman" w:hAnsi="Arial" w:cs="Arial"/>
                <w:color w:val="000000"/>
                <w:sz w:val="20"/>
                <w:szCs w:val="20"/>
                <w:lang w:val="es-CL" w:eastAsia="es-CL"/>
              </w:rPr>
              <w:t xml:space="preserve">los </w:t>
            </w:r>
            <w:r w:rsidR="00B77531">
              <w:rPr>
                <w:rFonts w:ascii="Arial" w:eastAsia="Times New Roman" w:hAnsi="Arial" w:cs="Arial"/>
                <w:color w:val="000000"/>
                <w:sz w:val="20"/>
                <w:szCs w:val="20"/>
                <w:lang w:val="es-CL" w:eastAsia="es-CL"/>
              </w:rPr>
              <w:t>establecimiento</w:t>
            </w:r>
            <w:r w:rsidR="00846F6C">
              <w:rPr>
                <w:rFonts w:ascii="Arial" w:eastAsia="Times New Roman" w:hAnsi="Arial" w:cs="Arial"/>
                <w:color w:val="000000"/>
                <w:sz w:val="20"/>
                <w:szCs w:val="20"/>
                <w:lang w:val="es-CL" w:eastAsia="es-CL"/>
              </w:rPr>
              <w:t>s</w:t>
            </w:r>
            <w:r w:rsidR="00B77531">
              <w:rPr>
                <w:rFonts w:ascii="Arial" w:eastAsia="Times New Roman" w:hAnsi="Arial" w:cs="Arial"/>
                <w:color w:val="000000"/>
                <w:sz w:val="20"/>
                <w:szCs w:val="20"/>
                <w:lang w:val="es-CL" w:eastAsia="es-CL"/>
              </w:rPr>
              <w:t xml:space="preserve"> educacional</w:t>
            </w:r>
            <w:r w:rsidR="00846F6C">
              <w:rPr>
                <w:rFonts w:ascii="Arial" w:eastAsia="Times New Roman" w:hAnsi="Arial" w:cs="Arial"/>
                <w:color w:val="000000"/>
                <w:sz w:val="20"/>
                <w:szCs w:val="20"/>
                <w:lang w:val="es-CL" w:eastAsia="es-CL"/>
              </w:rPr>
              <w:t>es</w:t>
            </w:r>
            <w:r w:rsidRPr="00105274">
              <w:rPr>
                <w:rFonts w:ascii="Arial" w:eastAsia="Times New Roman" w:hAnsi="Arial" w:cs="Arial"/>
                <w:color w:val="000000"/>
                <w:sz w:val="20"/>
                <w:szCs w:val="20"/>
                <w:lang w:val="es-CL" w:eastAsia="es-CL"/>
              </w:rPr>
              <w:t>.</w:t>
            </w:r>
            <w:r w:rsidRPr="00105274">
              <w:rPr>
                <w:rFonts w:ascii="Arial" w:eastAsia="Times New Roman" w:hAnsi="Arial" w:cs="Arial"/>
                <w:sz w:val="20"/>
                <w:szCs w:val="20"/>
                <w:lang w:val="es-ES_tradnl" w:eastAsia="es-CL"/>
              </w:rPr>
              <w:t xml:space="preserve"> La DEP revisará el cumplimiento de los planes de apoyo técnico pedagógico</w:t>
            </w:r>
          </w:p>
          <w:p w14:paraId="048AD429"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5CF9DF24" w14:textId="77777777" w:rsidR="005D3D3C" w:rsidRPr="00105274" w:rsidRDefault="005D3D3C" w:rsidP="00C76F20">
            <w:pPr>
              <w:spacing w:after="0" w:line="240" w:lineRule="auto"/>
              <w:rPr>
                <w:rFonts w:ascii="Arial" w:eastAsia="Times New Roman" w:hAnsi="Arial" w:cs="Arial"/>
                <w:sz w:val="20"/>
                <w:szCs w:val="20"/>
                <w:lang w:val="es-ES_tradnl" w:eastAsia="es-CL"/>
              </w:rPr>
            </w:pPr>
          </w:p>
          <w:p w14:paraId="78F25565"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tc>
      </w:tr>
      <w:tr w:rsidR="005D3D3C" w:rsidRPr="00376B9E" w14:paraId="0ECEB05D" w14:textId="77777777" w:rsidTr="00C76F20">
        <w:trPr>
          <w:trHeight w:val="20"/>
        </w:trPr>
        <w:tc>
          <w:tcPr>
            <w:tcW w:w="212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B8D591B"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2.3. Número de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que aumentan el porcentaje de docentes que se encuentran en el tramo avanzado de la Carrera Docente</w:t>
            </w:r>
          </w:p>
        </w:tc>
        <w:tc>
          <w:tcPr>
            <w:tcW w:w="940" w:type="dxa"/>
            <w:tcBorders>
              <w:top w:val="single" w:sz="4" w:space="0" w:color="auto"/>
              <w:left w:val="nil"/>
              <w:bottom w:val="single" w:sz="8" w:space="0" w:color="auto"/>
              <w:right w:val="single" w:sz="8" w:space="0" w:color="auto"/>
            </w:tcBorders>
            <w:shd w:val="clear" w:color="auto" w:fill="auto"/>
            <w:vAlign w:val="center"/>
            <w:hideMark/>
          </w:tcPr>
          <w:p w14:paraId="28A051A7"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6DC7C2D8">
              <w:rPr>
                <w:rFonts w:ascii="Arial" w:eastAsia="Times New Roman" w:hAnsi="Arial" w:cs="Arial"/>
                <w:color w:val="000000" w:themeColor="text1"/>
                <w:sz w:val="20"/>
                <w:szCs w:val="20"/>
                <w:lang w:val="es-CL" w:eastAsia="es-CL"/>
              </w:rPr>
              <w:t xml:space="preserve"> </w:t>
            </w:r>
            <w:proofErr w:type="spellStart"/>
            <w:r w:rsidRPr="6DC7C2D8">
              <w:rPr>
                <w:rFonts w:ascii="Arial" w:eastAsia="Times New Roman" w:hAnsi="Arial" w:cs="Arial"/>
                <w:color w:val="000000" w:themeColor="text1"/>
                <w:sz w:val="20"/>
                <w:szCs w:val="20"/>
                <w:lang w:val="es-CL" w:eastAsia="es-CL"/>
              </w:rPr>
              <w:t>SLEPs</w:t>
            </w:r>
            <w:proofErr w:type="spellEnd"/>
          </w:p>
        </w:tc>
        <w:tc>
          <w:tcPr>
            <w:tcW w:w="900" w:type="dxa"/>
            <w:tcBorders>
              <w:top w:val="single" w:sz="4" w:space="0" w:color="auto"/>
              <w:left w:val="nil"/>
              <w:bottom w:val="single" w:sz="8" w:space="0" w:color="auto"/>
              <w:right w:val="single" w:sz="8" w:space="0" w:color="auto"/>
            </w:tcBorders>
            <w:shd w:val="clear" w:color="auto" w:fill="auto"/>
            <w:vAlign w:val="center"/>
            <w:hideMark/>
          </w:tcPr>
          <w:p w14:paraId="29693C6D"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proofErr w:type="spellStart"/>
            <w:r w:rsidRPr="00105274">
              <w:rPr>
                <w:rFonts w:ascii="Arial" w:eastAsia="Times New Roman" w:hAnsi="Arial" w:cs="Arial"/>
                <w:color w:val="000000"/>
                <w:sz w:val="20"/>
                <w:szCs w:val="20"/>
                <w:lang w:val="es-CL" w:eastAsia="es-CL"/>
              </w:rPr>
              <w:t>TBD</w:t>
            </w:r>
            <w:proofErr w:type="spellEnd"/>
          </w:p>
        </w:tc>
        <w:tc>
          <w:tcPr>
            <w:tcW w:w="990" w:type="dxa"/>
            <w:tcBorders>
              <w:top w:val="single" w:sz="4" w:space="0" w:color="auto"/>
              <w:left w:val="nil"/>
              <w:bottom w:val="single" w:sz="8" w:space="0" w:color="auto"/>
              <w:right w:val="single" w:sz="8" w:space="0" w:color="auto"/>
            </w:tcBorders>
            <w:shd w:val="clear" w:color="auto" w:fill="auto"/>
            <w:vAlign w:val="center"/>
            <w:hideMark/>
          </w:tcPr>
          <w:p w14:paraId="453FE362"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2017</w:t>
            </w:r>
          </w:p>
        </w:tc>
        <w:tc>
          <w:tcPr>
            <w:tcW w:w="630" w:type="dxa"/>
            <w:tcBorders>
              <w:top w:val="single" w:sz="4" w:space="0" w:color="auto"/>
              <w:left w:val="nil"/>
              <w:bottom w:val="single" w:sz="8" w:space="0" w:color="auto"/>
              <w:right w:val="single" w:sz="8" w:space="0" w:color="auto"/>
            </w:tcBorders>
            <w:shd w:val="clear" w:color="auto" w:fill="auto"/>
            <w:vAlign w:val="center"/>
            <w:hideMark/>
          </w:tcPr>
          <w:p w14:paraId="3F0312E0"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w:t>
            </w:r>
          </w:p>
        </w:tc>
        <w:tc>
          <w:tcPr>
            <w:tcW w:w="594" w:type="dxa"/>
            <w:tcBorders>
              <w:top w:val="single" w:sz="4" w:space="0" w:color="auto"/>
              <w:left w:val="nil"/>
              <w:bottom w:val="single" w:sz="8" w:space="0" w:color="auto"/>
              <w:right w:val="single" w:sz="8" w:space="0" w:color="auto"/>
            </w:tcBorders>
            <w:shd w:val="clear" w:color="auto" w:fill="auto"/>
            <w:vAlign w:val="center"/>
            <w:hideMark/>
          </w:tcPr>
          <w:p w14:paraId="73F7E0E8"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4</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077C13B4"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4</w:t>
            </w:r>
          </w:p>
        </w:tc>
        <w:tc>
          <w:tcPr>
            <w:tcW w:w="1440" w:type="dxa"/>
            <w:tcBorders>
              <w:top w:val="single" w:sz="4" w:space="0" w:color="auto"/>
              <w:left w:val="nil"/>
              <w:bottom w:val="single" w:sz="8" w:space="0" w:color="auto"/>
              <w:right w:val="single" w:sz="8" w:space="0" w:color="auto"/>
            </w:tcBorders>
            <w:shd w:val="clear" w:color="auto" w:fill="auto"/>
            <w:vAlign w:val="center"/>
            <w:hideMark/>
          </w:tcPr>
          <w:p w14:paraId="3E0C97C3"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Style w:val="normaltextrun1"/>
                <w:rFonts w:ascii="Arial" w:hAnsi="Arial" w:cs="Arial"/>
                <w:color w:val="000000"/>
                <w:szCs w:val="20"/>
                <w:lang w:val="es-CL"/>
              </w:rPr>
              <w:t>Base de datos de Cargos Docentes, MINEDUC</w:t>
            </w:r>
          </w:p>
        </w:tc>
        <w:tc>
          <w:tcPr>
            <w:tcW w:w="810" w:type="dxa"/>
            <w:tcBorders>
              <w:top w:val="single" w:sz="4" w:space="0" w:color="auto"/>
              <w:left w:val="nil"/>
              <w:bottom w:val="single" w:sz="8" w:space="0" w:color="auto"/>
              <w:right w:val="single" w:sz="8" w:space="0" w:color="auto"/>
            </w:tcBorders>
            <w:shd w:val="clear" w:color="auto" w:fill="auto"/>
            <w:vAlign w:val="center"/>
            <w:hideMark/>
          </w:tcPr>
          <w:p w14:paraId="0426F699" w14:textId="77777777" w:rsidR="005D3D3C" w:rsidRPr="00105274" w:rsidRDefault="005D3D3C"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No </w:t>
            </w:r>
          </w:p>
        </w:tc>
        <w:tc>
          <w:tcPr>
            <w:tcW w:w="3870" w:type="dxa"/>
            <w:tcBorders>
              <w:top w:val="single" w:sz="4" w:space="0" w:color="auto"/>
              <w:left w:val="nil"/>
              <w:bottom w:val="single" w:sz="8" w:space="0" w:color="auto"/>
              <w:right w:val="single" w:sz="8" w:space="0" w:color="auto"/>
            </w:tcBorders>
            <w:shd w:val="clear" w:color="auto" w:fill="auto"/>
            <w:vAlign w:val="center"/>
            <w:hideMark/>
          </w:tcPr>
          <w:p w14:paraId="65CF0E7E"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La Carrera Docente cuenta con 5 etapas: inicial, temprano, avanzado, experto I y experto II. Para avanzar los docentes deben contar con ciertos años de experiencia y aprobar evaluaciones pedagógicas y de conocimientos. </w:t>
            </w:r>
          </w:p>
          <w:p w14:paraId="536BD97B"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6B831820"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Cálculo del indicador: Conteo de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donde el número de docentes en el sistema clasificados en el tramo avanzado dividido por el número total de los docentes en el sistema para el período de medición es mayor que para línea de base. Para construir la línea de base, se tomará la información del </w:t>
            </w:r>
            <w:r w:rsidRPr="00105274">
              <w:rPr>
                <w:rFonts w:ascii="Arial" w:eastAsia="Times New Roman" w:hAnsi="Arial" w:cs="Arial"/>
                <w:color w:val="000000"/>
                <w:sz w:val="20"/>
                <w:szCs w:val="20"/>
                <w:lang w:val="es-CL" w:eastAsia="es-CL"/>
              </w:rPr>
              <w:lastRenderedPageBreak/>
              <w:t xml:space="preserve">encasillamiento de docentes que se desempeñan para dicho año en las comunas que conformarán el </w:t>
            </w:r>
            <w:proofErr w:type="spellStart"/>
            <w:r w:rsidRPr="00105274">
              <w:rPr>
                <w:rFonts w:ascii="Arial" w:eastAsia="Times New Roman" w:hAnsi="Arial" w:cs="Arial"/>
                <w:color w:val="000000"/>
                <w:sz w:val="20"/>
                <w:szCs w:val="20"/>
                <w:lang w:val="es-CL" w:eastAsia="es-CL"/>
              </w:rPr>
              <w:t>SLEP</w:t>
            </w:r>
            <w:proofErr w:type="spellEnd"/>
            <w:r w:rsidRPr="00105274">
              <w:rPr>
                <w:rFonts w:ascii="Arial" w:eastAsia="Times New Roman" w:hAnsi="Arial" w:cs="Arial"/>
                <w:color w:val="000000"/>
                <w:sz w:val="20"/>
                <w:szCs w:val="20"/>
                <w:lang w:val="es-CL" w:eastAsia="es-CL"/>
              </w:rPr>
              <w:t xml:space="preserve"> en los años siguientes. La base de datos de Cargos Docentes provista por el MINEDUC informa sobre cada docente y su encasillamiento en los tramos de la carrera docente que permiten hacer el cálculo descrito anteriormente.</w:t>
            </w:r>
          </w:p>
          <w:p w14:paraId="1F4178AA"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p>
          <w:p w14:paraId="2DBEE11C" w14:textId="77777777" w:rsidR="005D3D3C" w:rsidRPr="00105274" w:rsidRDefault="005D3D3C"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CL" w:eastAsia="es-CL"/>
              </w:rPr>
              <w:t xml:space="preserve">Para este indicador sólo se incluirán los cuatro primeros </w:t>
            </w:r>
            <w:proofErr w:type="spellStart"/>
            <w:r w:rsidRPr="00105274">
              <w:rPr>
                <w:rFonts w:ascii="Arial" w:eastAsia="Times New Roman" w:hAnsi="Arial" w:cs="Arial"/>
                <w:color w:val="000000"/>
                <w:sz w:val="20"/>
                <w:szCs w:val="20"/>
                <w:lang w:val="es-CL" w:eastAsia="es-CL"/>
              </w:rPr>
              <w:t>SLEPs</w:t>
            </w:r>
            <w:proofErr w:type="spellEnd"/>
            <w:r w:rsidRPr="00105274">
              <w:rPr>
                <w:rFonts w:ascii="Arial" w:eastAsia="Times New Roman" w:hAnsi="Arial" w:cs="Arial"/>
                <w:color w:val="000000"/>
                <w:sz w:val="20"/>
                <w:szCs w:val="20"/>
                <w:lang w:val="es-CL" w:eastAsia="es-CL"/>
              </w:rPr>
              <w:t xml:space="preserve"> que iniciaron sus funciones el 2018 y que tendrán una mayor exposición al programa</w:t>
            </w:r>
          </w:p>
        </w:tc>
      </w:tr>
    </w:tbl>
    <w:p w14:paraId="2A509450" w14:textId="77777777" w:rsidR="005D3D3C" w:rsidRDefault="005D3D3C" w:rsidP="005D3D3C">
      <w:pPr>
        <w:spacing w:line="240" w:lineRule="auto"/>
        <w:jc w:val="center"/>
        <w:rPr>
          <w:rFonts w:ascii="Arial" w:hAnsi="Arial" w:cs="Arial"/>
          <w:b/>
          <w:lang w:val="es-CL"/>
        </w:rPr>
        <w:sectPr w:rsidR="005D3D3C" w:rsidSect="00C76F20">
          <w:headerReference w:type="even" r:id="rId13"/>
          <w:headerReference w:type="default" r:id="rId14"/>
          <w:footerReference w:type="default" r:id="rId15"/>
          <w:pgSz w:w="15840" w:h="12240" w:orient="landscape"/>
          <w:pgMar w:top="1008" w:right="1440" w:bottom="1008" w:left="1440" w:header="720" w:footer="720" w:gutter="0"/>
          <w:cols w:space="720"/>
          <w:docGrid w:linePitch="360"/>
        </w:sectPr>
      </w:pPr>
    </w:p>
    <w:p w14:paraId="72B488FB" w14:textId="77777777" w:rsidR="002B537A" w:rsidRPr="00105274" w:rsidRDefault="002B537A" w:rsidP="002B537A">
      <w:pPr>
        <w:spacing w:line="240" w:lineRule="auto"/>
        <w:jc w:val="center"/>
        <w:rPr>
          <w:rFonts w:ascii="Arial" w:hAnsi="Arial" w:cs="Arial"/>
          <w:b/>
          <w:lang w:val="es-CL"/>
        </w:rPr>
      </w:pPr>
    </w:p>
    <w:p w14:paraId="7BED06D7" w14:textId="0D6BADA0" w:rsidR="00136A96" w:rsidRPr="00152CDF" w:rsidRDefault="00E35670" w:rsidP="00B37C53">
      <w:pPr>
        <w:spacing w:line="240" w:lineRule="auto"/>
        <w:jc w:val="center"/>
        <w:rPr>
          <w:rFonts w:ascii="Arial" w:hAnsi="Arial" w:cs="Arial"/>
          <w:b/>
          <w:lang w:val="es-ES_tradnl"/>
        </w:rPr>
      </w:pPr>
      <w:r w:rsidRPr="00152CDF">
        <w:rPr>
          <w:rFonts w:ascii="Arial" w:hAnsi="Arial" w:cs="Arial"/>
          <w:b/>
          <w:lang w:val="es-ES_tradnl"/>
        </w:rPr>
        <w:t>Productos</w:t>
      </w:r>
    </w:p>
    <w:tbl>
      <w:tblPr>
        <w:tblW w:w="5146" w:type="pct"/>
        <w:jc w:val="center"/>
        <w:tblLayout w:type="fixed"/>
        <w:tblCellMar>
          <w:left w:w="70" w:type="dxa"/>
          <w:right w:w="70" w:type="dxa"/>
        </w:tblCellMar>
        <w:tblLook w:val="04A0" w:firstRow="1" w:lastRow="0" w:firstColumn="1" w:lastColumn="0" w:noHBand="0" w:noVBand="1"/>
      </w:tblPr>
      <w:tblGrid>
        <w:gridCol w:w="3685"/>
        <w:gridCol w:w="1351"/>
        <w:gridCol w:w="802"/>
        <w:gridCol w:w="1106"/>
        <w:gridCol w:w="869"/>
        <w:gridCol w:w="802"/>
        <w:gridCol w:w="1018"/>
        <w:gridCol w:w="3690"/>
      </w:tblGrid>
      <w:tr w:rsidR="00C707F9" w:rsidRPr="00152CDF" w14:paraId="5993482A" w14:textId="5A2CA618" w:rsidTr="632B5BC6">
        <w:trPr>
          <w:trHeight w:val="20"/>
          <w:jc w:val="center"/>
        </w:trPr>
        <w:tc>
          <w:tcPr>
            <w:tcW w:w="1383" w:type="pct"/>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1E30D661" w14:textId="77777777" w:rsidR="00384310" w:rsidRPr="00252A0B" w:rsidRDefault="00384310" w:rsidP="00384310">
            <w:pPr>
              <w:spacing w:after="0" w:line="240" w:lineRule="auto"/>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Componentes, líneas de acción y resultados</w:t>
            </w:r>
          </w:p>
        </w:tc>
        <w:tc>
          <w:tcPr>
            <w:tcW w:w="507"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7BCC21F" w14:textId="4CF4DFEC" w:rsidR="00384310" w:rsidRPr="00252A0B" w:rsidRDefault="00384310" w:rsidP="00384310">
            <w:pPr>
              <w:spacing w:after="0" w:line="240" w:lineRule="auto"/>
              <w:jc w:val="center"/>
              <w:rPr>
                <w:rFonts w:ascii="Arial" w:eastAsia="Times New Roman" w:hAnsi="Arial" w:cs="Arial"/>
                <w:b/>
                <w:color w:val="000000"/>
                <w:sz w:val="20"/>
                <w:szCs w:val="20"/>
                <w:lang w:val="es-ES_tradnl" w:eastAsia="es-CL"/>
              </w:rPr>
            </w:pPr>
            <w:r w:rsidRPr="00252A0B">
              <w:rPr>
                <w:rFonts w:ascii="Arial" w:hAnsi="Arial" w:cs="Arial"/>
                <w:b/>
                <w:sz w:val="20"/>
                <w:szCs w:val="20"/>
                <w:lang w:val="es-ES_tradnl"/>
              </w:rPr>
              <w:t>Unidad de medida</w:t>
            </w:r>
          </w:p>
        </w:tc>
        <w:tc>
          <w:tcPr>
            <w:tcW w:w="716" w:type="pct"/>
            <w:gridSpan w:val="2"/>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noWrap/>
            <w:vAlign w:val="center"/>
            <w:hideMark/>
          </w:tcPr>
          <w:p w14:paraId="529D0487" w14:textId="485E6104" w:rsidR="00384310" w:rsidRPr="00252A0B" w:rsidRDefault="00384310" w:rsidP="00384310">
            <w:pPr>
              <w:spacing w:after="0" w:line="240" w:lineRule="auto"/>
              <w:jc w:val="center"/>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Línea de base</w:t>
            </w:r>
          </w:p>
        </w:tc>
        <w:tc>
          <w:tcPr>
            <w:tcW w:w="326" w:type="pct"/>
            <w:tcBorders>
              <w:top w:val="single" w:sz="8" w:space="0" w:color="auto"/>
              <w:left w:val="nil"/>
              <w:bottom w:val="single" w:sz="8" w:space="0" w:color="auto"/>
              <w:right w:val="nil"/>
            </w:tcBorders>
            <w:shd w:val="clear" w:color="auto" w:fill="D9D9D9" w:themeFill="background1" w:themeFillShade="D9"/>
            <w:noWrap/>
            <w:vAlign w:val="center"/>
            <w:hideMark/>
          </w:tcPr>
          <w:p w14:paraId="6CC39F35" w14:textId="77777777" w:rsidR="00384310" w:rsidRPr="00252A0B" w:rsidRDefault="00384310">
            <w:pPr>
              <w:spacing w:after="0" w:line="240" w:lineRule="auto"/>
              <w:jc w:val="center"/>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Año 1</w:t>
            </w:r>
          </w:p>
        </w:tc>
        <w:tc>
          <w:tcPr>
            <w:tcW w:w="301" w:type="pct"/>
            <w:tcBorders>
              <w:top w:val="single" w:sz="8" w:space="0" w:color="auto"/>
              <w:left w:val="nil"/>
              <w:bottom w:val="single" w:sz="8" w:space="0" w:color="auto"/>
              <w:right w:val="nil"/>
            </w:tcBorders>
            <w:shd w:val="clear" w:color="auto" w:fill="D9D9D9" w:themeFill="background1" w:themeFillShade="D9"/>
            <w:noWrap/>
            <w:vAlign w:val="center"/>
            <w:hideMark/>
          </w:tcPr>
          <w:p w14:paraId="27BFB13C" w14:textId="77777777" w:rsidR="00384310" w:rsidRPr="00252A0B" w:rsidRDefault="00384310">
            <w:pPr>
              <w:spacing w:after="0" w:line="240" w:lineRule="auto"/>
              <w:jc w:val="center"/>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Año 2</w:t>
            </w:r>
          </w:p>
        </w:tc>
        <w:tc>
          <w:tcPr>
            <w:tcW w:w="382" w:type="pct"/>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7A0AD46F" w14:textId="0854D5DB" w:rsidR="00384310" w:rsidRPr="00252A0B" w:rsidRDefault="00384310">
            <w:pPr>
              <w:spacing w:after="0" w:line="240" w:lineRule="auto"/>
              <w:jc w:val="center"/>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 xml:space="preserve">Final </w:t>
            </w:r>
            <w:proofErr w:type="spellStart"/>
            <w:r w:rsidRPr="00252A0B">
              <w:rPr>
                <w:rFonts w:ascii="Arial" w:eastAsia="Times New Roman" w:hAnsi="Arial" w:cs="Arial"/>
                <w:b/>
                <w:color w:val="000000"/>
                <w:sz w:val="20"/>
                <w:szCs w:val="20"/>
                <w:lang w:val="es-ES_tradnl" w:eastAsia="es-CL"/>
              </w:rPr>
              <w:t>proy</w:t>
            </w:r>
            <w:proofErr w:type="spellEnd"/>
            <w:r w:rsidR="00F57CB6" w:rsidRPr="00252A0B">
              <w:rPr>
                <w:rFonts w:ascii="Arial" w:eastAsia="Times New Roman" w:hAnsi="Arial" w:cs="Arial"/>
                <w:b/>
                <w:color w:val="000000"/>
                <w:sz w:val="20"/>
                <w:szCs w:val="20"/>
                <w:lang w:val="es-ES_tradnl" w:eastAsia="es-CL"/>
              </w:rPr>
              <w:t>.</w:t>
            </w:r>
          </w:p>
        </w:tc>
        <w:tc>
          <w:tcPr>
            <w:tcW w:w="1385" w:type="pct"/>
            <w:tcBorders>
              <w:top w:val="single" w:sz="8" w:space="0" w:color="auto"/>
              <w:left w:val="nil"/>
              <w:bottom w:val="single" w:sz="4" w:space="0" w:color="auto"/>
              <w:right w:val="single" w:sz="8" w:space="0" w:color="auto"/>
            </w:tcBorders>
            <w:shd w:val="clear" w:color="auto" w:fill="D9D9D9" w:themeFill="background1" w:themeFillShade="D9"/>
            <w:vAlign w:val="center"/>
          </w:tcPr>
          <w:p w14:paraId="7DECBE9B" w14:textId="5F5AE18E" w:rsidR="00384310" w:rsidRPr="00252A0B" w:rsidRDefault="00D535CE" w:rsidP="00384310">
            <w:pPr>
              <w:spacing w:after="0" w:line="240" w:lineRule="auto"/>
              <w:jc w:val="center"/>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Medios</w:t>
            </w:r>
            <w:r w:rsidR="002E3FF9" w:rsidRPr="00252A0B">
              <w:rPr>
                <w:rFonts w:ascii="Arial" w:eastAsia="Times New Roman" w:hAnsi="Arial" w:cs="Arial"/>
                <w:b/>
                <w:color w:val="000000"/>
                <w:sz w:val="20"/>
                <w:szCs w:val="20"/>
                <w:lang w:val="es-ES_tradnl" w:eastAsia="es-CL"/>
              </w:rPr>
              <w:t xml:space="preserve"> de verificación</w:t>
            </w:r>
          </w:p>
        </w:tc>
      </w:tr>
      <w:tr w:rsidR="00254A71" w:rsidRPr="00152CDF" w14:paraId="4DA5D6FE" w14:textId="56599132"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02446800" w14:textId="77777777" w:rsidR="00384310" w:rsidRPr="00252A0B" w:rsidRDefault="00384310" w:rsidP="00384310">
            <w:pPr>
              <w:spacing w:after="0" w:line="240" w:lineRule="auto"/>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 </w:t>
            </w:r>
          </w:p>
        </w:tc>
        <w:tc>
          <w:tcPr>
            <w:tcW w:w="507" w:type="pct"/>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1CB6A2C0" w14:textId="77777777" w:rsidR="00384310" w:rsidRPr="00252A0B" w:rsidRDefault="00384310" w:rsidP="00384310">
            <w:pPr>
              <w:spacing w:after="0" w:line="240" w:lineRule="auto"/>
              <w:jc w:val="center"/>
              <w:rPr>
                <w:rFonts w:ascii="Arial" w:eastAsia="Times New Roman" w:hAnsi="Arial" w:cs="Arial"/>
                <w:b/>
                <w:color w:val="000000"/>
                <w:sz w:val="20"/>
                <w:szCs w:val="20"/>
                <w:lang w:val="es-ES_tradnl" w:eastAsia="es-CL"/>
              </w:rPr>
            </w:pPr>
          </w:p>
        </w:tc>
        <w:tc>
          <w:tcPr>
            <w:tcW w:w="301" w:type="pct"/>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15567B54" w14:textId="295AD553" w:rsidR="00384310" w:rsidRPr="00252A0B" w:rsidRDefault="00384310" w:rsidP="00384310">
            <w:pPr>
              <w:spacing w:after="0" w:line="240" w:lineRule="auto"/>
              <w:jc w:val="center"/>
              <w:rPr>
                <w:rFonts w:ascii="Arial" w:eastAsia="Times New Roman" w:hAnsi="Arial" w:cs="Arial"/>
                <w:b/>
                <w:color w:val="000000"/>
                <w:sz w:val="20"/>
                <w:szCs w:val="20"/>
                <w:lang w:val="es-ES_tradnl" w:eastAsia="es-CL"/>
              </w:rPr>
            </w:pPr>
            <w:proofErr w:type="gramStart"/>
            <w:r w:rsidRPr="00252A0B">
              <w:rPr>
                <w:rFonts w:ascii="Arial" w:eastAsia="Times New Roman" w:hAnsi="Arial" w:cs="Arial"/>
                <w:b/>
                <w:color w:val="000000"/>
                <w:sz w:val="20"/>
                <w:szCs w:val="20"/>
                <w:lang w:val="es-ES_tradnl" w:eastAsia="es-CL"/>
              </w:rPr>
              <w:t>Meta física</w:t>
            </w:r>
            <w:proofErr w:type="gramEnd"/>
          </w:p>
        </w:tc>
        <w:tc>
          <w:tcPr>
            <w:tcW w:w="415" w:type="pct"/>
            <w:tcBorders>
              <w:top w:val="single" w:sz="4" w:space="0" w:color="auto"/>
              <w:left w:val="nil"/>
              <w:bottom w:val="single" w:sz="4" w:space="0" w:color="auto"/>
              <w:right w:val="single" w:sz="8" w:space="0" w:color="auto"/>
            </w:tcBorders>
            <w:shd w:val="clear" w:color="auto" w:fill="D9D9D9" w:themeFill="background1" w:themeFillShade="D9"/>
            <w:vAlign w:val="center"/>
            <w:hideMark/>
          </w:tcPr>
          <w:p w14:paraId="31C60941" w14:textId="238DA45D" w:rsidR="00384310" w:rsidRPr="00252A0B" w:rsidRDefault="00384310" w:rsidP="00384310">
            <w:pPr>
              <w:spacing w:after="0" w:line="240" w:lineRule="auto"/>
              <w:jc w:val="center"/>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Mes de medición</w:t>
            </w:r>
          </w:p>
        </w:tc>
        <w:tc>
          <w:tcPr>
            <w:tcW w:w="32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55DD4E3" w14:textId="036A996E" w:rsidR="00384310" w:rsidRPr="00252A0B" w:rsidRDefault="00384310">
            <w:pPr>
              <w:spacing w:after="0" w:line="240" w:lineRule="auto"/>
              <w:jc w:val="center"/>
              <w:rPr>
                <w:rFonts w:ascii="Arial" w:eastAsia="Times New Roman" w:hAnsi="Arial" w:cs="Arial"/>
                <w:b/>
                <w:color w:val="000000"/>
                <w:sz w:val="20"/>
                <w:szCs w:val="20"/>
                <w:lang w:val="es-ES_tradnl" w:eastAsia="es-CL"/>
              </w:rPr>
            </w:pPr>
            <w:proofErr w:type="gramStart"/>
            <w:r w:rsidRPr="00252A0B">
              <w:rPr>
                <w:rFonts w:ascii="Arial" w:eastAsia="Times New Roman" w:hAnsi="Arial" w:cs="Arial"/>
                <w:b/>
                <w:color w:val="000000"/>
                <w:sz w:val="20"/>
                <w:szCs w:val="20"/>
                <w:lang w:val="es-ES_tradnl" w:eastAsia="es-CL"/>
              </w:rPr>
              <w:t>Meta física</w:t>
            </w:r>
            <w:proofErr w:type="gramEnd"/>
          </w:p>
        </w:tc>
        <w:tc>
          <w:tcPr>
            <w:tcW w:w="30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BBCCCE0" w14:textId="54ABD397" w:rsidR="00384310" w:rsidRPr="00252A0B" w:rsidRDefault="00384310">
            <w:pPr>
              <w:spacing w:after="0" w:line="240" w:lineRule="auto"/>
              <w:jc w:val="center"/>
              <w:rPr>
                <w:rFonts w:ascii="Arial" w:eastAsia="Times New Roman" w:hAnsi="Arial" w:cs="Arial"/>
                <w:b/>
                <w:color w:val="000000"/>
                <w:sz w:val="20"/>
                <w:szCs w:val="20"/>
                <w:lang w:val="es-ES_tradnl" w:eastAsia="es-CL"/>
              </w:rPr>
            </w:pPr>
            <w:proofErr w:type="gramStart"/>
            <w:r w:rsidRPr="00252A0B">
              <w:rPr>
                <w:rFonts w:ascii="Arial" w:eastAsia="Times New Roman" w:hAnsi="Arial" w:cs="Arial"/>
                <w:b/>
                <w:color w:val="000000"/>
                <w:sz w:val="20"/>
                <w:szCs w:val="20"/>
                <w:lang w:val="es-ES_tradnl" w:eastAsia="es-CL"/>
              </w:rPr>
              <w:t>Meta física</w:t>
            </w:r>
            <w:proofErr w:type="gramEnd"/>
          </w:p>
        </w:tc>
        <w:tc>
          <w:tcPr>
            <w:tcW w:w="382" w:type="pct"/>
            <w:tcBorders>
              <w:top w:val="nil"/>
              <w:left w:val="nil"/>
              <w:bottom w:val="single" w:sz="4" w:space="0" w:color="auto"/>
              <w:right w:val="single" w:sz="8" w:space="0" w:color="auto"/>
            </w:tcBorders>
            <w:shd w:val="clear" w:color="auto" w:fill="D9D9D9" w:themeFill="background1" w:themeFillShade="D9"/>
            <w:vAlign w:val="center"/>
            <w:hideMark/>
          </w:tcPr>
          <w:p w14:paraId="6BBD8562" w14:textId="0DC02A7B" w:rsidR="00384310" w:rsidRPr="00252A0B" w:rsidRDefault="00384310">
            <w:pPr>
              <w:spacing w:after="0" w:line="240" w:lineRule="auto"/>
              <w:jc w:val="center"/>
              <w:rPr>
                <w:rFonts w:ascii="Arial" w:eastAsia="Times New Roman" w:hAnsi="Arial" w:cs="Arial"/>
                <w:b/>
                <w:color w:val="000000"/>
                <w:sz w:val="20"/>
                <w:szCs w:val="20"/>
                <w:lang w:val="es-ES_tradnl" w:eastAsia="es-CL"/>
              </w:rPr>
            </w:pPr>
            <w:proofErr w:type="gramStart"/>
            <w:r w:rsidRPr="00252A0B">
              <w:rPr>
                <w:rFonts w:ascii="Arial" w:eastAsia="Times New Roman" w:hAnsi="Arial" w:cs="Arial"/>
                <w:b/>
                <w:color w:val="000000"/>
                <w:sz w:val="20"/>
                <w:szCs w:val="20"/>
                <w:lang w:val="es-ES_tradnl" w:eastAsia="es-CL"/>
              </w:rPr>
              <w:t>Meta física</w:t>
            </w:r>
            <w:proofErr w:type="gramEnd"/>
          </w:p>
        </w:tc>
        <w:tc>
          <w:tcPr>
            <w:tcW w:w="1385" w:type="pct"/>
            <w:tcBorders>
              <w:top w:val="nil"/>
              <w:left w:val="nil"/>
              <w:bottom w:val="single" w:sz="4" w:space="0" w:color="auto"/>
              <w:right w:val="single" w:sz="8" w:space="0" w:color="auto"/>
            </w:tcBorders>
            <w:shd w:val="clear" w:color="auto" w:fill="D9D9D9" w:themeFill="background1" w:themeFillShade="D9"/>
            <w:vAlign w:val="center"/>
          </w:tcPr>
          <w:p w14:paraId="45240CB9" w14:textId="77777777" w:rsidR="00384310" w:rsidRPr="00252A0B" w:rsidRDefault="00384310" w:rsidP="00384310">
            <w:pPr>
              <w:spacing w:after="0" w:line="240" w:lineRule="auto"/>
              <w:jc w:val="center"/>
              <w:rPr>
                <w:rFonts w:ascii="Arial" w:eastAsia="Times New Roman" w:hAnsi="Arial" w:cs="Arial"/>
                <w:b/>
                <w:color w:val="000000"/>
                <w:sz w:val="20"/>
                <w:szCs w:val="20"/>
                <w:lang w:val="es-ES_tradnl" w:eastAsia="es-CL"/>
              </w:rPr>
            </w:pPr>
          </w:p>
        </w:tc>
      </w:tr>
      <w:tr w:rsidR="00CD0A76" w:rsidRPr="00376B9E" w14:paraId="6E1A7921" w14:textId="53516181" w:rsidTr="632B5BC6">
        <w:trPr>
          <w:trHeight w:val="20"/>
          <w:jc w:val="center"/>
        </w:trPr>
        <w:tc>
          <w:tcPr>
            <w:tcW w:w="5000" w:type="pct"/>
            <w:gridSpan w:val="8"/>
            <w:tcBorders>
              <w:top w:val="nil"/>
              <w:left w:val="single" w:sz="4" w:space="0" w:color="auto"/>
              <w:bottom w:val="single" w:sz="4" w:space="0" w:color="auto"/>
              <w:right w:val="single" w:sz="8" w:space="0" w:color="auto"/>
            </w:tcBorders>
            <w:shd w:val="clear" w:color="auto" w:fill="A6A6A6" w:themeFill="background1" w:themeFillShade="A6"/>
            <w:vAlign w:val="bottom"/>
            <w:hideMark/>
          </w:tcPr>
          <w:p w14:paraId="4718F10D" w14:textId="0C10FF0A" w:rsidR="00CD0A76" w:rsidRPr="00CD0A76" w:rsidRDefault="00CD0A76" w:rsidP="00CD0A76">
            <w:pPr>
              <w:spacing w:after="0" w:line="240" w:lineRule="auto"/>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Componente 1: liderazgo y gestión del sistema educativo.</w:t>
            </w:r>
            <w:r w:rsidRPr="00252A0B">
              <w:rPr>
                <w:rFonts w:ascii="Arial" w:eastAsia="Times New Roman" w:hAnsi="Arial" w:cs="Arial"/>
                <w:b/>
                <w:sz w:val="20"/>
                <w:szCs w:val="20"/>
                <w:lang w:val="es-ES_tradnl" w:eastAsia="es-CL"/>
              </w:rPr>
              <w:t> </w:t>
            </w:r>
          </w:p>
          <w:p w14:paraId="74167285" w14:textId="17C04B64" w:rsidR="00CD0A76" w:rsidRPr="00252A0B" w:rsidRDefault="00CD0A76" w:rsidP="00384310">
            <w:pPr>
              <w:spacing w:after="0" w:line="240" w:lineRule="auto"/>
              <w:jc w:val="center"/>
              <w:rPr>
                <w:rFonts w:ascii="Arial" w:eastAsia="Times New Roman" w:hAnsi="Arial" w:cs="Arial"/>
                <w:b/>
                <w:sz w:val="20"/>
                <w:szCs w:val="20"/>
                <w:lang w:val="es-ES_tradnl" w:eastAsia="es-CL"/>
              </w:rPr>
            </w:pPr>
            <w:r w:rsidRPr="00252A0B">
              <w:rPr>
                <w:rFonts w:ascii="Arial" w:eastAsia="Times New Roman" w:hAnsi="Arial" w:cs="Arial"/>
                <w:b/>
                <w:sz w:val="20"/>
                <w:szCs w:val="20"/>
                <w:lang w:val="es-ES_tradnl" w:eastAsia="es-CL"/>
              </w:rPr>
              <w:t> </w:t>
            </w:r>
          </w:p>
        </w:tc>
      </w:tr>
      <w:tr w:rsidR="00CD0A76" w:rsidRPr="00376B9E" w14:paraId="31DAAFE5" w14:textId="00415871" w:rsidTr="632B5BC6">
        <w:trPr>
          <w:trHeight w:val="386"/>
          <w:jc w:val="center"/>
        </w:trPr>
        <w:tc>
          <w:tcPr>
            <w:tcW w:w="5000" w:type="pct"/>
            <w:gridSpan w:val="8"/>
            <w:tcBorders>
              <w:top w:val="nil"/>
              <w:left w:val="single" w:sz="4" w:space="0" w:color="auto"/>
              <w:bottom w:val="single" w:sz="4" w:space="0" w:color="auto"/>
              <w:right w:val="single" w:sz="8" w:space="0" w:color="auto"/>
            </w:tcBorders>
            <w:shd w:val="clear" w:color="auto" w:fill="BFBFBF" w:themeFill="background1" w:themeFillShade="BF"/>
            <w:vAlign w:val="bottom"/>
            <w:hideMark/>
          </w:tcPr>
          <w:p w14:paraId="65EAA11E" w14:textId="461E0892" w:rsidR="00CD0A76" w:rsidRPr="00252A0B" w:rsidRDefault="00CD0A76" w:rsidP="00CD0A76">
            <w:pPr>
              <w:spacing w:after="0" w:line="240" w:lineRule="auto"/>
              <w:rPr>
                <w:rFonts w:ascii="Arial" w:eastAsia="Times New Roman" w:hAnsi="Arial" w:cs="Arial"/>
                <w:b/>
                <w:sz w:val="20"/>
                <w:szCs w:val="20"/>
                <w:lang w:val="es-ES_tradnl" w:eastAsia="es-CL"/>
              </w:rPr>
            </w:pPr>
            <w:r w:rsidRPr="00252A0B">
              <w:rPr>
                <w:rFonts w:ascii="Arial" w:eastAsia="Times New Roman" w:hAnsi="Arial" w:cs="Arial"/>
                <w:b/>
                <w:color w:val="000000"/>
                <w:sz w:val="20"/>
                <w:szCs w:val="20"/>
                <w:lang w:val="es-ES_tradnl" w:eastAsia="es-CL"/>
              </w:rPr>
              <w:t xml:space="preserve">1.1 </w:t>
            </w:r>
            <w:proofErr w:type="gramStart"/>
            <w:r w:rsidRPr="00252A0B">
              <w:rPr>
                <w:rFonts w:ascii="Arial" w:eastAsia="Times New Roman" w:hAnsi="Arial" w:cs="Arial"/>
                <w:b/>
                <w:color w:val="000000"/>
                <w:sz w:val="20"/>
                <w:szCs w:val="20"/>
                <w:lang w:val="es-ES_tradnl" w:eastAsia="es-CL"/>
              </w:rPr>
              <w:t>Instalación</w:t>
            </w:r>
            <w:r w:rsidR="00043787">
              <w:rPr>
                <w:rFonts w:ascii="Arial" w:eastAsia="Times New Roman" w:hAnsi="Arial" w:cs="Arial"/>
                <w:b/>
                <w:color w:val="000000"/>
                <w:sz w:val="20"/>
                <w:szCs w:val="20"/>
                <w:lang w:val="es-ES_tradnl" w:eastAsia="es-CL"/>
              </w:rPr>
              <w:t xml:space="preserve">, </w:t>
            </w:r>
            <w:r w:rsidRPr="00252A0B">
              <w:rPr>
                <w:rFonts w:ascii="Arial" w:eastAsia="Times New Roman" w:hAnsi="Arial" w:cs="Arial"/>
                <w:b/>
                <w:color w:val="000000"/>
                <w:sz w:val="20"/>
                <w:szCs w:val="20"/>
                <w:lang w:val="es-ES_tradnl" w:eastAsia="es-CL"/>
              </w:rPr>
              <w:t xml:space="preserve"> fortalecimiento</w:t>
            </w:r>
            <w:proofErr w:type="gramEnd"/>
            <w:r w:rsidRPr="00252A0B">
              <w:rPr>
                <w:rFonts w:ascii="Arial" w:eastAsia="Times New Roman" w:hAnsi="Arial" w:cs="Arial"/>
                <w:b/>
                <w:color w:val="000000"/>
                <w:sz w:val="20"/>
                <w:szCs w:val="20"/>
                <w:lang w:val="es-ES_tradnl" w:eastAsia="es-CL"/>
              </w:rPr>
              <w:t xml:space="preserve"> institucional </w:t>
            </w:r>
            <w:r w:rsidR="00043787">
              <w:rPr>
                <w:rFonts w:ascii="Arial" w:eastAsia="Times New Roman" w:hAnsi="Arial" w:cs="Arial"/>
                <w:b/>
                <w:color w:val="000000"/>
                <w:sz w:val="20"/>
                <w:szCs w:val="20"/>
                <w:lang w:val="es-ES_tradnl" w:eastAsia="es-CL"/>
              </w:rPr>
              <w:t xml:space="preserve">y operación </w:t>
            </w:r>
            <w:r w:rsidRPr="00252A0B">
              <w:rPr>
                <w:rFonts w:ascii="Arial" w:eastAsia="Times New Roman" w:hAnsi="Arial" w:cs="Arial"/>
                <w:b/>
                <w:color w:val="000000"/>
                <w:sz w:val="20"/>
                <w:szCs w:val="20"/>
                <w:lang w:val="es-ES_tradnl" w:eastAsia="es-CL"/>
              </w:rPr>
              <w:t xml:space="preserve">de la Dirección de Educación Pública  </w:t>
            </w:r>
            <w:r w:rsidRPr="00252A0B">
              <w:rPr>
                <w:rFonts w:ascii="Arial" w:eastAsia="Times New Roman" w:hAnsi="Arial" w:cs="Arial"/>
                <w:b/>
                <w:sz w:val="20"/>
                <w:szCs w:val="20"/>
                <w:lang w:val="es-ES_tradnl" w:eastAsia="es-CL"/>
              </w:rPr>
              <w:t> </w:t>
            </w:r>
          </w:p>
        </w:tc>
      </w:tr>
      <w:tr w:rsidR="00BB5350" w:rsidRPr="00376B9E" w14:paraId="6C645610" w14:textId="72243152"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2D9ABDCF" w14:textId="73D9ED2B" w:rsidR="00384310" w:rsidRPr="00252A0B" w:rsidRDefault="00002711" w:rsidP="00384310">
            <w:pPr>
              <w:spacing w:after="0" w:line="240" w:lineRule="auto"/>
              <w:rPr>
                <w:rFonts w:ascii="Arial" w:eastAsia="Times New Roman" w:hAnsi="Arial" w:cs="Arial"/>
                <w:color w:val="000000"/>
                <w:sz w:val="20"/>
                <w:szCs w:val="20"/>
                <w:lang w:val="es-ES_tradnl" w:eastAsia="es-CL"/>
              </w:rPr>
            </w:pPr>
            <w:r>
              <w:rPr>
                <w:rFonts w:ascii="Arial" w:eastAsia="Times New Roman" w:hAnsi="Arial" w:cs="Arial"/>
                <w:color w:val="000000"/>
                <w:sz w:val="20"/>
                <w:szCs w:val="20"/>
                <w:lang w:val="es-ES_tradnl" w:eastAsia="es-CL"/>
              </w:rPr>
              <w:t>Do</w:t>
            </w:r>
            <w:r w:rsidR="000A4EE5">
              <w:rPr>
                <w:rFonts w:ascii="Arial" w:eastAsia="Times New Roman" w:hAnsi="Arial" w:cs="Arial"/>
                <w:color w:val="000000"/>
                <w:sz w:val="20"/>
                <w:szCs w:val="20"/>
                <w:lang w:val="es-ES_tradnl" w:eastAsia="es-CL"/>
              </w:rPr>
              <w:t>cumento de la e</w:t>
            </w:r>
            <w:r w:rsidR="00384310" w:rsidRPr="00252A0B">
              <w:rPr>
                <w:rFonts w:ascii="Arial" w:eastAsia="Times New Roman" w:hAnsi="Arial" w:cs="Arial"/>
                <w:color w:val="000000"/>
                <w:sz w:val="20"/>
                <w:szCs w:val="20"/>
                <w:lang w:val="es-ES_tradnl" w:eastAsia="es-CL"/>
              </w:rPr>
              <w:t>structura organizacional de la DEP</w:t>
            </w:r>
            <w:r w:rsidR="006C006A" w:rsidRPr="00252A0B">
              <w:rPr>
                <w:rFonts w:ascii="Arial" w:eastAsia="Times New Roman" w:hAnsi="Arial" w:cs="Arial"/>
                <w:color w:val="000000"/>
                <w:sz w:val="20"/>
                <w:szCs w:val="20"/>
                <w:lang w:val="es-ES_tradnl" w:eastAsia="es-CL"/>
              </w:rPr>
              <w:t xml:space="preserve"> </w:t>
            </w:r>
            <w:r w:rsidR="00AC14AB">
              <w:rPr>
                <w:rFonts w:ascii="Arial" w:eastAsia="Times New Roman" w:hAnsi="Arial" w:cs="Arial"/>
                <w:color w:val="000000"/>
                <w:sz w:val="20"/>
                <w:szCs w:val="20"/>
                <w:lang w:val="es-ES_tradnl" w:eastAsia="es-CL"/>
              </w:rPr>
              <w:t>publicado</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671A48F7" w14:textId="693F3B05"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hAnsi="Arial" w:cs="Arial"/>
                <w:sz w:val="20"/>
                <w:szCs w:val="20"/>
                <w:lang w:val="es-ES_tradnl"/>
              </w:rPr>
              <w:t>Documento</w:t>
            </w:r>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24706AF8" w14:textId="69907D0D"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07C46B7D" w14:textId="04D68BAD"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155C4127"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w:t>
            </w:r>
          </w:p>
        </w:tc>
        <w:tc>
          <w:tcPr>
            <w:tcW w:w="301" w:type="pct"/>
            <w:tcBorders>
              <w:top w:val="nil"/>
              <w:left w:val="nil"/>
              <w:bottom w:val="single" w:sz="4" w:space="0" w:color="auto"/>
              <w:right w:val="single" w:sz="4" w:space="0" w:color="auto"/>
            </w:tcBorders>
            <w:shd w:val="clear" w:color="auto" w:fill="FFFFFF" w:themeFill="background1"/>
            <w:vAlign w:val="center"/>
            <w:hideMark/>
          </w:tcPr>
          <w:p w14:paraId="0F3C2520"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033FD691"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w:t>
            </w:r>
          </w:p>
        </w:tc>
        <w:tc>
          <w:tcPr>
            <w:tcW w:w="1385" w:type="pct"/>
            <w:tcBorders>
              <w:top w:val="nil"/>
              <w:left w:val="nil"/>
              <w:bottom w:val="single" w:sz="4" w:space="0" w:color="auto"/>
              <w:right w:val="single" w:sz="8" w:space="0" w:color="auto"/>
            </w:tcBorders>
            <w:shd w:val="clear" w:color="auto" w:fill="FFFFFF" w:themeFill="background1"/>
            <w:vAlign w:val="center"/>
          </w:tcPr>
          <w:p w14:paraId="71851B42" w14:textId="2DAAE17B" w:rsidR="00384310" w:rsidRPr="00252A0B" w:rsidRDefault="00D535CE"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Documento con organigrama de la DEP.</w:t>
            </w:r>
            <w:r w:rsidR="00E7042D">
              <w:rPr>
                <w:rFonts w:ascii="Arial" w:eastAsia="Times New Roman" w:hAnsi="Arial" w:cs="Arial"/>
                <w:sz w:val="20"/>
                <w:szCs w:val="20"/>
                <w:lang w:val="es-ES_tradnl" w:eastAsia="es-CL"/>
              </w:rPr>
              <w:t xml:space="preserve"> </w:t>
            </w:r>
            <w:r w:rsidR="001205BC">
              <w:rPr>
                <w:rFonts w:ascii="Arial" w:eastAsia="Times New Roman" w:hAnsi="Arial" w:cs="Arial"/>
                <w:sz w:val="20"/>
                <w:szCs w:val="20"/>
                <w:lang w:val="es-ES_tradnl" w:eastAsia="es-CL"/>
              </w:rPr>
              <w:t>Publicación</w:t>
            </w:r>
            <w:r w:rsidR="00E7042D">
              <w:rPr>
                <w:rFonts w:ascii="Arial" w:eastAsia="Times New Roman" w:hAnsi="Arial" w:cs="Arial"/>
                <w:sz w:val="20"/>
                <w:szCs w:val="20"/>
                <w:lang w:val="es-ES_tradnl" w:eastAsia="es-CL"/>
              </w:rPr>
              <w:t xml:space="preserve"> </w:t>
            </w:r>
            <w:r w:rsidR="006E09A7">
              <w:rPr>
                <w:rFonts w:ascii="Arial" w:eastAsia="Times New Roman" w:hAnsi="Arial" w:cs="Arial"/>
                <w:sz w:val="20"/>
                <w:szCs w:val="20"/>
                <w:lang w:val="es-ES_tradnl" w:eastAsia="es-CL"/>
              </w:rPr>
              <w:t>digital por parte de la DEP</w:t>
            </w:r>
          </w:p>
        </w:tc>
      </w:tr>
      <w:tr w:rsidR="00BB5350" w:rsidRPr="00376B9E" w14:paraId="743A841A" w14:textId="1F17D9FE"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60469028" w14:textId="0A6C7087" w:rsidR="00384310" w:rsidRPr="00252A0B" w:rsidRDefault="001F782E" w:rsidP="00384310">
            <w:pPr>
              <w:spacing w:after="0" w:line="240" w:lineRule="auto"/>
              <w:rPr>
                <w:rFonts w:ascii="Arial" w:eastAsia="Times New Roman" w:hAnsi="Arial" w:cs="Arial"/>
                <w:color w:val="000000"/>
                <w:sz w:val="20"/>
                <w:szCs w:val="20"/>
                <w:lang w:val="es-ES_tradnl" w:eastAsia="es-CL"/>
              </w:rPr>
            </w:pPr>
            <w:r>
              <w:rPr>
                <w:rFonts w:ascii="Arial" w:eastAsia="Times New Roman" w:hAnsi="Arial" w:cs="Arial"/>
                <w:color w:val="000000"/>
                <w:sz w:val="20"/>
                <w:szCs w:val="20"/>
                <w:lang w:val="es-ES_tradnl" w:eastAsia="es-CL"/>
              </w:rPr>
              <w:t>Porcentaje</w:t>
            </w:r>
            <w:r w:rsidR="006D505E">
              <w:rPr>
                <w:rFonts w:ascii="Arial" w:eastAsia="Times New Roman" w:hAnsi="Arial" w:cs="Arial"/>
                <w:color w:val="000000"/>
                <w:sz w:val="20"/>
                <w:szCs w:val="20"/>
                <w:lang w:val="es-ES_tradnl" w:eastAsia="es-CL"/>
              </w:rPr>
              <w:t xml:space="preserve"> de p</w:t>
            </w:r>
            <w:r w:rsidR="00384310" w:rsidRPr="00252A0B">
              <w:rPr>
                <w:rFonts w:ascii="Arial" w:eastAsia="Times New Roman" w:hAnsi="Arial" w:cs="Arial"/>
                <w:color w:val="000000"/>
                <w:sz w:val="20"/>
                <w:szCs w:val="20"/>
                <w:lang w:val="es-ES_tradnl" w:eastAsia="es-CL"/>
              </w:rPr>
              <w:t>ersonal DEP contratado</w:t>
            </w:r>
            <w:r w:rsidR="006D505E">
              <w:rPr>
                <w:rFonts w:ascii="Arial" w:eastAsia="Times New Roman" w:hAnsi="Arial" w:cs="Arial"/>
                <w:color w:val="000000"/>
                <w:sz w:val="20"/>
                <w:szCs w:val="20"/>
                <w:lang w:val="es-ES_tradnl" w:eastAsia="es-CL"/>
              </w:rPr>
              <w:t xml:space="preserve"> </w:t>
            </w:r>
            <w:proofErr w:type="gramStart"/>
            <w:r w:rsidR="006D505E">
              <w:rPr>
                <w:rFonts w:ascii="Arial" w:eastAsia="Times New Roman" w:hAnsi="Arial" w:cs="Arial"/>
                <w:color w:val="000000"/>
                <w:sz w:val="20"/>
                <w:szCs w:val="20"/>
                <w:lang w:val="es-ES_tradnl" w:eastAsia="es-CL"/>
              </w:rPr>
              <w:t>en relación a</w:t>
            </w:r>
            <w:proofErr w:type="gramEnd"/>
            <w:r w:rsidR="006D505E">
              <w:rPr>
                <w:rFonts w:ascii="Arial" w:eastAsia="Times New Roman" w:hAnsi="Arial" w:cs="Arial"/>
                <w:color w:val="000000"/>
                <w:sz w:val="20"/>
                <w:szCs w:val="20"/>
                <w:lang w:val="es-ES_tradnl" w:eastAsia="es-CL"/>
              </w:rPr>
              <w:t xml:space="preserve"> lo que establece el </w:t>
            </w:r>
            <w:proofErr w:type="spellStart"/>
            <w:r w:rsidR="006D505E">
              <w:rPr>
                <w:rFonts w:ascii="Arial" w:eastAsia="Times New Roman" w:hAnsi="Arial" w:cs="Arial"/>
                <w:color w:val="000000"/>
                <w:sz w:val="20"/>
                <w:szCs w:val="20"/>
                <w:lang w:val="es-ES_tradnl" w:eastAsia="es-CL"/>
              </w:rPr>
              <w:t>DFL</w:t>
            </w:r>
            <w:proofErr w:type="spellEnd"/>
            <w:r w:rsidR="006D505E">
              <w:rPr>
                <w:rFonts w:ascii="Arial" w:eastAsia="Times New Roman" w:hAnsi="Arial" w:cs="Arial"/>
                <w:color w:val="000000"/>
                <w:sz w:val="20"/>
                <w:szCs w:val="20"/>
                <w:lang w:val="es-ES_tradnl" w:eastAsia="es-CL"/>
              </w:rPr>
              <w:t xml:space="preserve"> </w:t>
            </w:r>
            <w:r w:rsidR="002D2CAF">
              <w:rPr>
                <w:rFonts w:ascii="Arial" w:eastAsia="Times New Roman" w:hAnsi="Arial" w:cs="Arial"/>
                <w:color w:val="000000"/>
                <w:sz w:val="20"/>
                <w:szCs w:val="20"/>
                <w:lang w:val="es-ES_tradnl" w:eastAsia="es-CL"/>
              </w:rPr>
              <w:t xml:space="preserve">que fija </w:t>
            </w:r>
            <w:r w:rsidR="006E09A7">
              <w:rPr>
                <w:rFonts w:ascii="Arial" w:eastAsia="Times New Roman" w:hAnsi="Arial" w:cs="Arial"/>
                <w:color w:val="000000"/>
                <w:sz w:val="20"/>
                <w:szCs w:val="20"/>
                <w:lang w:val="es-ES_tradnl" w:eastAsia="es-CL"/>
              </w:rPr>
              <w:t>la dotación</w:t>
            </w:r>
            <w:r w:rsidR="002D2CAF">
              <w:rPr>
                <w:rFonts w:ascii="Arial" w:eastAsia="Times New Roman" w:hAnsi="Arial" w:cs="Arial"/>
                <w:color w:val="000000"/>
                <w:sz w:val="20"/>
                <w:szCs w:val="20"/>
                <w:lang w:val="es-ES_tradnl" w:eastAsia="es-CL"/>
              </w:rPr>
              <w:t xml:space="preserve"> </w:t>
            </w:r>
            <w:r w:rsidR="006E09A7">
              <w:rPr>
                <w:rFonts w:ascii="Arial" w:eastAsia="Times New Roman" w:hAnsi="Arial" w:cs="Arial"/>
                <w:color w:val="000000"/>
                <w:sz w:val="20"/>
                <w:szCs w:val="20"/>
                <w:lang w:val="es-ES_tradnl" w:eastAsia="es-CL"/>
              </w:rPr>
              <w:t xml:space="preserve">de la </w:t>
            </w:r>
            <w:r w:rsidR="005F3E4D">
              <w:rPr>
                <w:rFonts w:ascii="Arial" w:eastAsia="Times New Roman" w:hAnsi="Arial" w:cs="Arial"/>
                <w:color w:val="000000"/>
                <w:sz w:val="20"/>
                <w:szCs w:val="20"/>
                <w:lang w:val="es-ES_tradnl" w:eastAsia="es-CL"/>
              </w:rPr>
              <w:t>institución</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0700DDE9" w14:textId="39C82A4D"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hAnsi="Arial" w:cs="Arial"/>
                <w:sz w:val="20"/>
                <w:szCs w:val="20"/>
                <w:lang w:val="es-ES_tradnl"/>
              </w:rPr>
              <w:t>Porcentaje</w:t>
            </w:r>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0E15418D" w14:textId="0F6DEBEF"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60806ABA" w14:textId="1B882564"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noWrap/>
            <w:vAlign w:val="center"/>
            <w:hideMark/>
          </w:tcPr>
          <w:p w14:paraId="398B5DBA" w14:textId="77777777" w:rsidR="00384310" w:rsidRPr="00252A0B" w:rsidRDefault="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75%</w:t>
            </w:r>
          </w:p>
        </w:tc>
        <w:tc>
          <w:tcPr>
            <w:tcW w:w="301" w:type="pct"/>
            <w:tcBorders>
              <w:top w:val="nil"/>
              <w:left w:val="nil"/>
              <w:bottom w:val="single" w:sz="4" w:space="0" w:color="auto"/>
              <w:right w:val="single" w:sz="4" w:space="0" w:color="auto"/>
            </w:tcBorders>
            <w:shd w:val="clear" w:color="auto" w:fill="FFFFFF" w:themeFill="background1"/>
            <w:noWrap/>
            <w:vAlign w:val="center"/>
            <w:hideMark/>
          </w:tcPr>
          <w:p w14:paraId="32978196" w14:textId="77777777" w:rsidR="00384310" w:rsidRPr="00252A0B" w:rsidRDefault="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85%</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0661E986" w14:textId="3FC5E629" w:rsidR="00384310" w:rsidRPr="00252A0B" w:rsidRDefault="00D535CE">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85</w:t>
            </w:r>
            <w:r w:rsidR="00384310" w:rsidRPr="00252A0B">
              <w:rPr>
                <w:rFonts w:ascii="Arial" w:eastAsia="Times New Roman" w:hAnsi="Arial" w:cs="Arial"/>
                <w:color w:val="000000"/>
                <w:sz w:val="20"/>
                <w:szCs w:val="20"/>
                <w:lang w:val="es-ES_tradnl" w:eastAsia="es-CL"/>
              </w:rPr>
              <w:t>%</w:t>
            </w:r>
          </w:p>
        </w:tc>
        <w:tc>
          <w:tcPr>
            <w:tcW w:w="1385" w:type="pct"/>
            <w:tcBorders>
              <w:top w:val="nil"/>
              <w:left w:val="nil"/>
              <w:bottom w:val="single" w:sz="4" w:space="0" w:color="auto"/>
              <w:right w:val="single" w:sz="8" w:space="0" w:color="auto"/>
            </w:tcBorders>
            <w:shd w:val="clear" w:color="auto" w:fill="FFFFFF" w:themeFill="background1"/>
            <w:vAlign w:val="center"/>
          </w:tcPr>
          <w:p w14:paraId="5218A0CA" w14:textId="261B8518" w:rsidR="00374D32" w:rsidRPr="00252A0B" w:rsidRDefault="006D3AB6" w:rsidP="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sz w:val="20"/>
                <w:szCs w:val="20"/>
                <w:lang w:val="es-ES_tradnl" w:eastAsia="es-CL"/>
              </w:rPr>
              <w:t xml:space="preserve">Informe </w:t>
            </w:r>
            <w:r w:rsidR="00D535CE" w:rsidRPr="00252A0B">
              <w:rPr>
                <w:rFonts w:ascii="Arial" w:eastAsia="Times New Roman" w:hAnsi="Arial" w:cs="Arial"/>
                <w:sz w:val="20"/>
                <w:szCs w:val="20"/>
                <w:lang w:val="es-ES_tradnl" w:eastAsia="es-CL"/>
              </w:rPr>
              <w:t>de la DEP.</w:t>
            </w:r>
          </w:p>
          <w:p w14:paraId="7112A3FC" w14:textId="623A80D5" w:rsidR="00384310" w:rsidRPr="00252A0B" w:rsidRDefault="00A34E5A" w:rsidP="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 xml:space="preserve">Numerador </w:t>
            </w:r>
            <w:r w:rsidR="00DC309B" w:rsidRPr="00252A0B">
              <w:rPr>
                <w:rFonts w:ascii="Arial" w:eastAsia="Times New Roman" w:hAnsi="Arial" w:cs="Arial"/>
                <w:color w:val="000000"/>
                <w:sz w:val="20"/>
                <w:szCs w:val="20"/>
                <w:lang w:val="es-ES_tradnl" w:eastAsia="es-CL"/>
              </w:rPr>
              <w:t xml:space="preserve">corresponde a funcionarios contratados mientras que el denominador </w:t>
            </w:r>
            <w:r w:rsidRPr="00252A0B">
              <w:rPr>
                <w:rFonts w:ascii="Arial" w:eastAsia="Times New Roman" w:hAnsi="Arial" w:cs="Arial"/>
                <w:color w:val="000000"/>
                <w:sz w:val="20"/>
                <w:szCs w:val="20"/>
                <w:lang w:val="es-ES_tradnl" w:eastAsia="es-CL"/>
              </w:rPr>
              <w:t xml:space="preserve">es el total </w:t>
            </w:r>
            <w:r w:rsidR="00177CD1" w:rsidRPr="00252A0B">
              <w:rPr>
                <w:rFonts w:ascii="Arial" w:eastAsia="Times New Roman" w:hAnsi="Arial" w:cs="Arial"/>
                <w:color w:val="000000"/>
                <w:sz w:val="20"/>
                <w:szCs w:val="20"/>
                <w:lang w:val="es-ES_tradnl" w:eastAsia="es-CL"/>
              </w:rPr>
              <w:t xml:space="preserve">de planta fijado en el </w:t>
            </w:r>
            <w:proofErr w:type="spellStart"/>
            <w:r w:rsidR="00177CD1" w:rsidRPr="00252A0B">
              <w:rPr>
                <w:rFonts w:ascii="Arial" w:eastAsia="Times New Roman" w:hAnsi="Arial" w:cs="Arial"/>
                <w:color w:val="000000"/>
                <w:sz w:val="20"/>
                <w:szCs w:val="20"/>
                <w:lang w:val="es-ES_tradnl" w:eastAsia="es-CL"/>
              </w:rPr>
              <w:t>DFL</w:t>
            </w:r>
            <w:proofErr w:type="spellEnd"/>
            <w:r w:rsidR="00177CD1" w:rsidRPr="00252A0B">
              <w:rPr>
                <w:rFonts w:ascii="Arial" w:eastAsia="Times New Roman" w:hAnsi="Arial" w:cs="Arial"/>
                <w:color w:val="000000"/>
                <w:sz w:val="20"/>
                <w:szCs w:val="20"/>
                <w:lang w:val="es-ES_tradnl" w:eastAsia="es-CL"/>
              </w:rPr>
              <w:t xml:space="preserve"> asociado a la Ley 20</w:t>
            </w:r>
            <w:r w:rsidR="00374D32" w:rsidRPr="00252A0B">
              <w:rPr>
                <w:rFonts w:ascii="Arial" w:eastAsia="Times New Roman" w:hAnsi="Arial" w:cs="Arial"/>
                <w:color w:val="000000"/>
                <w:sz w:val="20"/>
                <w:szCs w:val="20"/>
                <w:lang w:val="es-ES_tradnl" w:eastAsia="es-CL"/>
              </w:rPr>
              <w:t>.040</w:t>
            </w:r>
            <w:r w:rsidR="00D535CE" w:rsidRPr="00252A0B">
              <w:rPr>
                <w:rFonts w:ascii="Arial" w:eastAsia="Times New Roman" w:hAnsi="Arial" w:cs="Arial"/>
                <w:color w:val="000000"/>
                <w:sz w:val="20"/>
                <w:szCs w:val="20"/>
                <w:lang w:val="es-ES_tradnl" w:eastAsia="es-CL"/>
              </w:rPr>
              <w:t>.</w:t>
            </w:r>
          </w:p>
        </w:tc>
      </w:tr>
      <w:tr w:rsidR="00BB5350" w:rsidRPr="00376B9E" w14:paraId="47670701" w14:textId="67D735D7"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03EAC02D" w14:textId="7D259FB7" w:rsidR="00384310" w:rsidRPr="00252A0B" w:rsidRDefault="00030D65" w:rsidP="00384310">
            <w:pPr>
              <w:spacing w:after="0" w:line="240" w:lineRule="auto"/>
              <w:rPr>
                <w:rFonts w:ascii="Arial" w:eastAsia="Times New Roman" w:hAnsi="Arial" w:cs="Arial"/>
                <w:color w:val="000000"/>
                <w:sz w:val="20"/>
                <w:szCs w:val="20"/>
                <w:lang w:val="es-ES_tradnl" w:eastAsia="es-CL"/>
              </w:rPr>
            </w:pPr>
            <w:r>
              <w:rPr>
                <w:rFonts w:ascii="Arial" w:eastAsia="Times New Roman" w:hAnsi="Arial" w:cs="Arial"/>
                <w:color w:val="000000"/>
                <w:sz w:val="20"/>
                <w:szCs w:val="20"/>
                <w:lang w:val="es-ES_tradnl" w:eastAsia="es-CL"/>
              </w:rPr>
              <w:t>Numero de j</w:t>
            </w:r>
            <w:r w:rsidR="00384310" w:rsidRPr="00252A0B">
              <w:rPr>
                <w:rFonts w:ascii="Arial" w:eastAsia="Times New Roman" w:hAnsi="Arial" w:cs="Arial"/>
                <w:color w:val="000000"/>
                <w:sz w:val="20"/>
                <w:szCs w:val="20"/>
                <w:lang w:val="es-ES_tradnl" w:eastAsia="es-CL"/>
              </w:rPr>
              <w:t xml:space="preserve">efes de División </w:t>
            </w:r>
            <w:r w:rsidR="00ED1965" w:rsidRPr="00252A0B">
              <w:rPr>
                <w:rFonts w:ascii="Arial" w:eastAsia="Times New Roman" w:hAnsi="Arial" w:cs="Arial"/>
                <w:color w:val="000000"/>
                <w:sz w:val="20"/>
                <w:szCs w:val="20"/>
                <w:lang w:val="es-ES_tradnl" w:eastAsia="es-CL"/>
              </w:rPr>
              <w:t xml:space="preserve">de la DEP </w:t>
            </w:r>
            <w:r w:rsidR="00384310" w:rsidRPr="00252A0B">
              <w:rPr>
                <w:rFonts w:ascii="Arial" w:eastAsia="Times New Roman" w:hAnsi="Arial" w:cs="Arial"/>
                <w:color w:val="000000"/>
                <w:sz w:val="20"/>
                <w:szCs w:val="20"/>
                <w:lang w:val="es-ES_tradnl" w:eastAsia="es-CL"/>
              </w:rPr>
              <w:t xml:space="preserve">contratados </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1E6548FF" w14:textId="276D23EC" w:rsidR="00384310" w:rsidRPr="00252A0B" w:rsidRDefault="00E262AD" w:rsidP="00384310">
            <w:pPr>
              <w:spacing w:after="0" w:line="240" w:lineRule="auto"/>
              <w:jc w:val="center"/>
              <w:rPr>
                <w:rFonts w:ascii="Arial" w:eastAsia="Times New Roman" w:hAnsi="Arial" w:cs="Arial"/>
                <w:sz w:val="20"/>
                <w:szCs w:val="20"/>
                <w:lang w:val="es-ES_tradnl" w:eastAsia="es-CL"/>
              </w:rPr>
            </w:pPr>
            <w:r>
              <w:rPr>
                <w:rFonts w:ascii="Arial" w:hAnsi="Arial" w:cs="Arial"/>
                <w:sz w:val="20"/>
                <w:szCs w:val="20"/>
                <w:lang w:val="es-ES_tradnl"/>
              </w:rPr>
              <w:t>Jefes de División</w:t>
            </w:r>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5FDB3305" w14:textId="31C64582"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77413B40" w14:textId="4E899811"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noWrap/>
            <w:vAlign w:val="center"/>
            <w:hideMark/>
          </w:tcPr>
          <w:p w14:paraId="1C8B10CB" w14:textId="77777777" w:rsidR="00384310" w:rsidRPr="00252A0B" w:rsidRDefault="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4</w:t>
            </w:r>
          </w:p>
        </w:tc>
        <w:tc>
          <w:tcPr>
            <w:tcW w:w="301" w:type="pct"/>
            <w:tcBorders>
              <w:top w:val="nil"/>
              <w:left w:val="nil"/>
              <w:bottom w:val="single" w:sz="4" w:space="0" w:color="auto"/>
              <w:right w:val="single" w:sz="4" w:space="0" w:color="auto"/>
            </w:tcBorders>
            <w:shd w:val="clear" w:color="auto" w:fill="FFFFFF" w:themeFill="background1"/>
            <w:vAlign w:val="center"/>
            <w:hideMark/>
          </w:tcPr>
          <w:p w14:paraId="1E10100B" w14:textId="77777777" w:rsidR="00384310" w:rsidRPr="00252A0B" w:rsidRDefault="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4</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78F4A1BC" w14:textId="77777777" w:rsidR="00384310" w:rsidRPr="00252A0B" w:rsidRDefault="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4</w:t>
            </w:r>
          </w:p>
        </w:tc>
        <w:tc>
          <w:tcPr>
            <w:tcW w:w="1385" w:type="pct"/>
            <w:tcBorders>
              <w:top w:val="nil"/>
              <w:left w:val="nil"/>
              <w:bottom w:val="single" w:sz="4" w:space="0" w:color="auto"/>
              <w:right w:val="single" w:sz="8" w:space="0" w:color="auto"/>
            </w:tcBorders>
            <w:shd w:val="clear" w:color="auto" w:fill="FFFFFF" w:themeFill="background1"/>
            <w:vAlign w:val="center"/>
          </w:tcPr>
          <w:p w14:paraId="1240118D" w14:textId="4C4E06FE" w:rsidR="00D535CE" w:rsidRPr="00252A0B" w:rsidRDefault="00D535CE" w:rsidP="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 xml:space="preserve">Informe de la DEP </w:t>
            </w:r>
          </w:p>
          <w:p w14:paraId="463954AB" w14:textId="59EC13A5" w:rsidR="00384310" w:rsidRPr="00252A0B" w:rsidRDefault="0048406B" w:rsidP="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 xml:space="preserve">Numerador corresponde a </w:t>
            </w:r>
            <w:r w:rsidR="00B80AA8">
              <w:rPr>
                <w:rFonts w:ascii="Arial" w:eastAsia="Times New Roman" w:hAnsi="Arial" w:cs="Arial"/>
                <w:color w:val="000000"/>
                <w:sz w:val="20"/>
                <w:szCs w:val="20"/>
                <w:lang w:val="es-ES_tradnl" w:eastAsia="es-CL"/>
              </w:rPr>
              <w:t>J</w:t>
            </w:r>
            <w:r w:rsidRPr="00252A0B">
              <w:rPr>
                <w:rFonts w:ascii="Arial" w:eastAsia="Times New Roman" w:hAnsi="Arial" w:cs="Arial"/>
                <w:color w:val="000000"/>
                <w:sz w:val="20"/>
                <w:szCs w:val="20"/>
                <w:lang w:val="es-ES_tradnl" w:eastAsia="es-CL"/>
              </w:rPr>
              <w:t xml:space="preserve">efes de </w:t>
            </w:r>
            <w:r w:rsidR="00B80AA8">
              <w:rPr>
                <w:rFonts w:ascii="Arial" w:eastAsia="Times New Roman" w:hAnsi="Arial" w:cs="Arial"/>
                <w:color w:val="000000"/>
                <w:sz w:val="20"/>
                <w:szCs w:val="20"/>
                <w:lang w:val="es-ES_tradnl" w:eastAsia="es-CL"/>
              </w:rPr>
              <w:t>D</w:t>
            </w:r>
            <w:r w:rsidRPr="00252A0B">
              <w:rPr>
                <w:rFonts w:ascii="Arial" w:eastAsia="Times New Roman" w:hAnsi="Arial" w:cs="Arial"/>
                <w:color w:val="000000"/>
                <w:sz w:val="20"/>
                <w:szCs w:val="20"/>
                <w:lang w:val="es-ES_tradnl" w:eastAsia="es-CL"/>
              </w:rPr>
              <w:t>ivisión</w:t>
            </w:r>
            <w:r w:rsidR="00444051" w:rsidRPr="00252A0B">
              <w:rPr>
                <w:rFonts w:ascii="Arial" w:eastAsia="Times New Roman" w:hAnsi="Arial" w:cs="Arial"/>
                <w:color w:val="000000"/>
                <w:sz w:val="20"/>
                <w:szCs w:val="20"/>
                <w:lang w:val="es-ES_tradnl" w:eastAsia="es-CL"/>
              </w:rPr>
              <w:t xml:space="preserve"> contratados</w:t>
            </w:r>
            <w:r w:rsidRPr="00252A0B">
              <w:rPr>
                <w:rFonts w:ascii="Arial" w:eastAsia="Times New Roman" w:hAnsi="Arial" w:cs="Arial"/>
                <w:color w:val="000000"/>
                <w:sz w:val="20"/>
                <w:szCs w:val="20"/>
                <w:lang w:val="es-ES_tradnl" w:eastAsia="es-CL"/>
              </w:rPr>
              <w:t xml:space="preserve"> mientras que el denominador es el total de planta fijado</w:t>
            </w:r>
            <w:r w:rsidR="00444051" w:rsidRPr="00252A0B">
              <w:rPr>
                <w:rFonts w:ascii="Arial" w:eastAsia="Times New Roman" w:hAnsi="Arial" w:cs="Arial"/>
                <w:color w:val="000000"/>
                <w:sz w:val="20"/>
                <w:szCs w:val="20"/>
                <w:lang w:val="es-ES_tradnl" w:eastAsia="es-CL"/>
              </w:rPr>
              <w:t xml:space="preserve"> con ese nivel jerárquico</w:t>
            </w:r>
            <w:r w:rsidRPr="00252A0B">
              <w:rPr>
                <w:rFonts w:ascii="Arial" w:eastAsia="Times New Roman" w:hAnsi="Arial" w:cs="Arial"/>
                <w:color w:val="000000"/>
                <w:sz w:val="20"/>
                <w:szCs w:val="20"/>
                <w:lang w:val="es-ES_tradnl" w:eastAsia="es-CL"/>
              </w:rPr>
              <w:t xml:space="preserve"> en el </w:t>
            </w:r>
            <w:proofErr w:type="spellStart"/>
            <w:r w:rsidRPr="00252A0B">
              <w:rPr>
                <w:rFonts w:ascii="Arial" w:eastAsia="Times New Roman" w:hAnsi="Arial" w:cs="Arial"/>
                <w:color w:val="000000"/>
                <w:sz w:val="20"/>
                <w:szCs w:val="20"/>
                <w:lang w:val="es-ES_tradnl" w:eastAsia="es-CL"/>
              </w:rPr>
              <w:t>DFL</w:t>
            </w:r>
            <w:proofErr w:type="spellEnd"/>
            <w:r w:rsidRPr="00252A0B">
              <w:rPr>
                <w:rFonts w:ascii="Arial" w:eastAsia="Times New Roman" w:hAnsi="Arial" w:cs="Arial"/>
                <w:color w:val="000000"/>
                <w:sz w:val="20"/>
                <w:szCs w:val="20"/>
                <w:lang w:val="es-ES_tradnl" w:eastAsia="es-CL"/>
              </w:rPr>
              <w:t xml:space="preserve"> asociado a la Ley 20.040</w:t>
            </w:r>
            <w:r w:rsidR="00D535CE" w:rsidRPr="00252A0B">
              <w:rPr>
                <w:rFonts w:ascii="Arial" w:eastAsia="Times New Roman" w:hAnsi="Arial" w:cs="Arial"/>
                <w:color w:val="000000"/>
                <w:sz w:val="20"/>
                <w:szCs w:val="20"/>
                <w:lang w:val="es-ES_tradnl" w:eastAsia="es-CL"/>
              </w:rPr>
              <w:t>.</w:t>
            </w:r>
          </w:p>
        </w:tc>
      </w:tr>
      <w:tr w:rsidR="00857020" w:rsidRPr="00376B9E" w14:paraId="1DBF3B94" w14:textId="7F6A1EFD"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56848189" w14:textId="2107D2B4" w:rsidR="00384310" w:rsidRPr="00252A0B" w:rsidRDefault="00514AAF" w:rsidP="632B5BC6">
            <w:pPr>
              <w:spacing w:after="0" w:line="240" w:lineRule="auto"/>
              <w:rPr>
                <w:rFonts w:ascii="Arial" w:eastAsia="Times New Roman" w:hAnsi="Arial" w:cs="Arial"/>
                <w:color w:val="000000"/>
                <w:sz w:val="20"/>
                <w:szCs w:val="20"/>
                <w:lang w:val="es-ES" w:eastAsia="es-CL"/>
              </w:rPr>
            </w:pPr>
            <w:r w:rsidRPr="632B5BC6">
              <w:rPr>
                <w:rFonts w:ascii="Arial" w:eastAsia="Times New Roman" w:hAnsi="Arial" w:cs="Arial"/>
                <w:color w:val="000000" w:themeColor="text1"/>
                <w:sz w:val="20"/>
                <w:szCs w:val="20"/>
                <w:lang w:val="es-ES" w:eastAsia="es-CL"/>
              </w:rPr>
              <w:t>Documento de p</w:t>
            </w:r>
            <w:r w:rsidR="00384310" w:rsidRPr="632B5BC6">
              <w:rPr>
                <w:rFonts w:ascii="Arial" w:eastAsia="Times New Roman" w:hAnsi="Arial" w:cs="Arial"/>
                <w:color w:val="000000" w:themeColor="text1"/>
                <w:sz w:val="20"/>
                <w:szCs w:val="20"/>
                <w:lang w:val="es-ES" w:eastAsia="es-CL"/>
              </w:rPr>
              <w:t xml:space="preserve">lanificación estratégica </w:t>
            </w:r>
            <w:r w:rsidR="7E664A20" w:rsidRPr="632B5BC6">
              <w:rPr>
                <w:rFonts w:ascii="Arial" w:eastAsia="Times New Roman" w:hAnsi="Arial" w:cs="Arial"/>
                <w:color w:val="000000" w:themeColor="text1"/>
                <w:sz w:val="20"/>
                <w:szCs w:val="20"/>
                <w:lang w:val="es-ES" w:eastAsia="es-CL"/>
              </w:rPr>
              <w:t>bi</w:t>
            </w:r>
            <w:r w:rsidR="00D535CE" w:rsidRPr="632B5BC6">
              <w:rPr>
                <w:rFonts w:ascii="Arial" w:eastAsia="Times New Roman" w:hAnsi="Arial" w:cs="Arial"/>
                <w:color w:val="000000" w:themeColor="text1"/>
                <w:sz w:val="20"/>
                <w:szCs w:val="20"/>
                <w:lang w:val="es-ES" w:eastAsia="es-CL"/>
              </w:rPr>
              <w:t xml:space="preserve">anual </w:t>
            </w:r>
            <w:r w:rsidR="00384310" w:rsidRPr="632B5BC6">
              <w:rPr>
                <w:rFonts w:ascii="Arial" w:eastAsia="Times New Roman" w:hAnsi="Arial" w:cs="Arial"/>
                <w:color w:val="000000" w:themeColor="text1"/>
                <w:sz w:val="20"/>
                <w:szCs w:val="20"/>
                <w:lang w:val="es-ES" w:eastAsia="es-CL"/>
              </w:rPr>
              <w:t>de la DEP</w:t>
            </w:r>
            <w:r w:rsidR="00D535CE" w:rsidRPr="632B5BC6">
              <w:rPr>
                <w:rFonts w:ascii="Arial" w:eastAsia="Times New Roman" w:hAnsi="Arial" w:cs="Arial"/>
                <w:color w:val="000000" w:themeColor="text1"/>
                <w:sz w:val="20"/>
                <w:szCs w:val="20"/>
                <w:lang w:val="es-ES" w:eastAsia="es-CL"/>
              </w:rPr>
              <w:t xml:space="preserve"> elaborada</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14070E69" w14:textId="091F19B1"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hAnsi="Arial" w:cs="Arial"/>
                <w:sz w:val="20"/>
                <w:szCs w:val="20"/>
                <w:lang w:val="es-ES_tradnl"/>
              </w:rPr>
              <w:t>Documento</w:t>
            </w:r>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346A4C3F" w14:textId="123EF343"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6CFBE0CE" w14:textId="5E3B05F2"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noWrap/>
            <w:vAlign w:val="center"/>
            <w:hideMark/>
          </w:tcPr>
          <w:p w14:paraId="15EC2976" w14:textId="77777777" w:rsidR="00384310" w:rsidRPr="00252A0B" w:rsidRDefault="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1</w:t>
            </w:r>
          </w:p>
        </w:tc>
        <w:tc>
          <w:tcPr>
            <w:tcW w:w="301" w:type="pct"/>
            <w:tcBorders>
              <w:top w:val="nil"/>
              <w:left w:val="nil"/>
              <w:bottom w:val="single" w:sz="4" w:space="0" w:color="auto"/>
              <w:right w:val="single" w:sz="4" w:space="0" w:color="auto"/>
            </w:tcBorders>
            <w:shd w:val="clear" w:color="auto" w:fill="FFFFFF" w:themeFill="background1"/>
            <w:vAlign w:val="center"/>
            <w:hideMark/>
          </w:tcPr>
          <w:p w14:paraId="1FFF59A1" w14:textId="77777777" w:rsidR="00384310" w:rsidRPr="00252A0B" w:rsidRDefault="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1</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7AB47649" w14:textId="6B40A698" w:rsidR="00384310" w:rsidRPr="00252A0B" w:rsidRDefault="00D535CE">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2</w:t>
            </w:r>
          </w:p>
        </w:tc>
        <w:tc>
          <w:tcPr>
            <w:tcW w:w="1385" w:type="pct"/>
            <w:tcBorders>
              <w:top w:val="nil"/>
              <w:left w:val="nil"/>
              <w:bottom w:val="single" w:sz="4" w:space="0" w:color="auto"/>
              <w:right w:val="single" w:sz="8" w:space="0" w:color="auto"/>
            </w:tcBorders>
            <w:shd w:val="clear" w:color="auto" w:fill="FFFFFF" w:themeFill="background1"/>
            <w:vAlign w:val="center"/>
          </w:tcPr>
          <w:p w14:paraId="2533BDC2" w14:textId="64F1DB77" w:rsidR="00384310" w:rsidRPr="00252A0B" w:rsidRDefault="00D535CE" w:rsidP="00384310">
            <w:pPr>
              <w:spacing w:after="0" w:line="240" w:lineRule="auto"/>
              <w:jc w:val="center"/>
              <w:rPr>
                <w:rFonts w:ascii="Arial" w:eastAsia="Times New Roman" w:hAnsi="Arial" w:cs="Arial"/>
                <w:color w:val="000000"/>
                <w:sz w:val="20"/>
                <w:szCs w:val="20"/>
                <w:lang w:val="es-ES_tradnl" w:eastAsia="es-CL"/>
              </w:rPr>
            </w:pPr>
            <w:r w:rsidRPr="00252A0B">
              <w:rPr>
                <w:rFonts w:ascii="Arial" w:eastAsia="Times New Roman" w:hAnsi="Arial" w:cs="Arial"/>
                <w:sz w:val="20"/>
                <w:szCs w:val="20"/>
                <w:lang w:val="es-ES_tradnl" w:eastAsia="es-CL"/>
              </w:rPr>
              <w:t>Documento de planificación estratégica</w:t>
            </w:r>
            <w:r w:rsidR="005F3E4D">
              <w:rPr>
                <w:rFonts w:ascii="Arial" w:eastAsia="Times New Roman" w:hAnsi="Arial" w:cs="Arial"/>
                <w:sz w:val="20"/>
                <w:szCs w:val="20"/>
                <w:lang w:val="es-ES_tradnl" w:eastAsia="es-CL"/>
              </w:rPr>
              <w:t>, DEP</w:t>
            </w:r>
            <w:r w:rsidRPr="00252A0B">
              <w:rPr>
                <w:rFonts w:ascii="Arial" w:eastAsia="Times New Roman" w:hAnsi="Arial" w:cs="Arial"/>
                <w:sz w:val="20"/>
                <w:szCs w:val="20"/>
                <w:lang w:val="es-ES_tradnl" w:eastAsia="es-CL"/>
              </w:rPr>
              <w:t xml:space="preserve">. </w:t>
            </w:r>
          </w:p>
        </w:tc>
      </w:tr>
      <w:tr w:rsidR="00CD0A76" w:rsidRPr="00376B9E" w14:paraId="24D9D6C4" w14:textId="23320646" w:rsidTr="632B5BC6">
        <w:trPr>
          <w:trHeight w:val="20"/>
          <w:jc w:val="center"/>
        </w:trPr>
        <w:tc>
          <w:tcPr>
            <w:tcW w:w="5000" w:type="pct"/>
            <w:gridSpan w:val="8"/>
            <w:tcBorders>
              <w:top w:val="nil"/>
              <w:left w:val="single" w:sz="4" w:space="0" w:color="auto"/>
              <w:bottom w:val="single" w:sz="4" w:space="0" w:color="auto"/>
              <w:right w:val="single" w:sz="8" w:space="0" w:color="auto"/>
            </w:tcBorders>
            <w:shd w:val="clear" w:color="auto" w:fill="D9D9D9" w:themeFill="background1" w:themeFillShade="D9"/>
            <w:vAlign w:val="bottom"/>
            <w:hideMark/>
          </w:tcPr>
          <w:p w14:paraId="4AB97E6D" w14:textId="4EFE6532" w:rsidR="00CD0A76" w:rsidRPr="00CD0A76" w:rsidRDefault="00CD0A76" w:rsidP="00CD0A76">
            <w:pPr>
              <w:spacing w:after="0" w:line="240" w:lineRule="auto"/>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 xml:space="preserve">1.2. Preparación del traspaso del servicio educativo en municipios que van a convertirse en </w:t>
            </w:r>
            <w:proofErr w:type="spellStart"/>
            <w:r w:rsidRPr="00252A0B">
              <w:rPr>
                <w:rFonts w:ascii="Arial" w:eastAsia="Times New Roman" w:hAnsi="Arial" w:cs="Arial"/>
                <w:b/>
                <w:color w:val="000000"/>
                <w:sz w:val="20"/>
                <w:szCs w:val="20"/>
                <w:lang w:val="es-ES_tradnl" w:eastAsia="es-CL"/>
              </w:rPr>
              <w:t>SLEPs</w:t>
            </w:r>
            <w:proofErr w:type="spellEnd"/>
            <w:r w:rsidRPr="00252A0B">
              <w:rPr>
                <w:rFonts w:ascii="Arial" w:eastAsia="Times New Roman" w:hAnsi="Arial" w:cs="Arial"/>
                <w:b/>
                <w:color w:val="000000"/>
                <w:sz w:val="20"/>
                <w:szCs w:val="20"/>
                <w:lang w:val="es-ES_tradnl" w:eastAsia="es-CL"/>
              </w:rPr>
              <w:t xml:space="preserve"> </w:t>
            </w:r>
            <w:r w:rsidRPr="00252A0B">
              <w:rPr>
                <w:rFonts w:ascii="Arial" w:eastAsia="Times New Roman" w:hAnsi="Arial" w:cs="Arial"/>
                <w:b/>
                <w:sz w:val="20"/>
                <w:szCs w:val="20"/>
                <w:lang w:val="es-ES_tradnl" w:eastAsia="es-CL"/>
              </w:rPr>
              <w:t> </w:t>
            </w:r>
          </w:p>
          <w:p w14:paraId="51276460" w14:textId="1041E34B" w:rsidR="00CD0A76" w:rsidRPr="00252A0B" w:rsidRDefault="00CD0A76" w:rsidP="00384310">
            <w:pPr>
              <w:spacing w:after="0" w:line="240" w:lineRule="auto"/>
              <w:jc w:val="center"/>
              <w:rPr>
                <w:rFonts w:ascii="Arial" w:eastAsia="Times New Roman" w:hAnsi="Arial" w:cs="Arial"/>
                <w:b/>
                <w:sz w:val="20"/>
                <w:szCs w:val="20"/>
                <w:lang w:val="es-ES_tradnl" w:eastAsia="es-CL"/>
              </w:rPr>
            </w:pPr>
            <w:r w:rsidRPr="00252A0B">
              <w:rPr>
                <w:rFonts w:ascii="Arial" w:eastAsia="Times New Roman" w:hAnsi="Arial" w:cs="Arial"/>
                <w:b/>
                <w:sz w:val="20"/>
                <w:szCs w:val="20"/>
                <w:lang w:val="es-ES_tradnl" w:eastAsia="es-CL"/>
              </w:rPr>
              <w:t> </w:t>
            </w:r>
          </w:p>
        </w:tc>
      </w:tr>
      <w:tr w:rsidR="00857020" w:rsidRPr="00376B9E" w14:paraId="7E2BD8D7" w14:textId="38123516"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5410F1A5" w14:textId="2D7D6170" w:rsidR="00384310" w:rsidRPr="00252A0B" w:rsidRDefault="00384310" w:rsidP="00384310">
            <w:pPr>
              <w:spacing w:after="0" w:line="240" w:lineRule="auto"/>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 xml:space="preserve">Municipios que reciben </w:t>
            </w:r>
            <w:r w:rsidR="00ED5C59">
              <w:rPr>
                <w:rFonts w:ascii="Arial" w:eastAsia="Times New Roman" w:hAnsi="Arial" w:cs="Arial"/>
                <w:color w:val="000000"/>
                <w:sz w:val="20"/>
                <w:szCs w:val="20"/>
                <w:lang w:val="es-ES_tradnl" w:eastAsia="es-CL"/>
              </w:rPr>
              <w:t xml:space="preserve">servicio de </w:t>
            </w:r>
            <w:r w:rsidRPr="00252A0B">
              <w:rPr>
                <w:rFonts w:ascii="Arial" w:eastAsia="Times New Roman" w:hAnsi="Arial" w:cs="Arial"/>
                <w:color w:val="000000"/>
                <w:sz w:val="20"/>
                <w:szCs w:val="20"/>
                <w:lang w:val="es-ES_tradnl" w:eastAsia="es-CL"/>
              </w:rPr>
              <w:t>apoyo para la recolección de información</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65074CF8" w14:textId="092951ED"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hAnsi="Arial" w:cs="Arial"/>
                <w:sz w:val="20"/>
                <w:szCs w:val="20"/>
                <w:lang w:val="es-ES_tradnl"/>
              </w:rPr>
              <w:t>Municipios</w:t>
            </w:r>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29133BFB" w14:textId="18F75F14"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61F0DB62" w14:textId="11F80109"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701D1837" w14:textId="491D199D" w:rsidR="00384310" w:rsidRPr="00252A0B" w:rsidRDefault="005B2BF3">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33</w:t>
            </w:r>
          </w:p>
        </w:tc>
        <w:tc>
          <w:tcPr>
            <w:tcW w:w="301" w:type="pct"/>
            <w:tcBorders>
              <w:top w:val="nil"/>
              <w:left w:val="nil"/>
              <w:bottom w:val="single" w:sz="4" w:space="0" w:color="auto"/>
              <w:right w:val="single" w:sz="4" w:space="0" w:color="auto"/>
            </w:tcBorders>
            <w:shd w:val="clear" w:color="auto" w:fill="FFFFFF" w:themeFill="background1"/>
            <w:vAlign w:val="center"/>
            <w:hideMark/>
          </w:tcPr>
          <w:p w14:paraId="2736D91D" w14:textId="6B80C3FE" w:rsidR="00384310" w:rsidRPr="00252A0B" w:rsidRDefault="005B2BF3">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33</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2917ED12" w14:textId="465B6E17" w:rsidR="00384310" w:rsidRPr="00252A0B" w:rsidRDefault="005B2BF3">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33</w:t>
            </w:r>
          </w:p>
        </w:tc>
        <w:tc>
          <w:tcPr>
            <w:tcW w:w="1385" w:type="pct"/>
            <w:tcBorders>
              <w:top w:val="nil"/>
              <w:left w:val="nil"/>
              <w:bottom w:val="single" w:sz="4" w:space="0" w:color="auto"/>
              <w:right w:val="single" w:sz="8" w:space="0" w:color="auto"/>
            </w:tcBorders>
            <w:shd w:val="clear" w:color="auto" w:fill="FFFFFF" w:themeFill="background1"/>
            <w:vAlign w:val="center"/>
          </w:tcPr>
          <w:p w14:paraId="2D8B4BC9" w14:textId="3E0FCD2B" w:rsidR="00384310" w:rsidRPr="00252A0B" w:rsidRDefault="006D3AB6" w:rsidP="00384310">
            <w:pPr>
              <w:spacing w:after="0" w:line="240" w:lineRule="auto"/>
              <w:jc w:val="center"/>
              <w:rPr>
                <w:rFonts w:ascii="Arial" w:eastAsia="Times New Roman" w:hAnsi="Arial" w:cs="Arial"/>
                <w:sz w:val="20"/>
                <w:szCs w:val="20"/>
                <w:lang w:val="es-ES_tradnl" w:eastAsia="es-CL"/>
              </w:rPr>
            </w:pPr>
            <w:r w:rsidRPr="002D736E">
              <w:rPr>
                <w:rFonts w:ascii="Arial" w:eastAsia="Times New Roman" w:hAnsi="Arial" w:cs="Arial"/>
                <w:sz w:val="20"/>
                <w:szCs w:val="20"/>
                <w:lang w:val="es-ES_tradnl" w:eastAsia="es-CL"/>
              </w:rPr>
              <w:t>Informe</w:t>
            </w:r>
            <w:r w:rsidRPr="00252A0B">
              <w:rPr>
                <w:rFonts w:ascii="Arial" w:eastAsia="Times New Roman" w:hAnsi="Arial" w:cs="Arial"/>
                <w:sz w:val="20"/>
                <w:szCs w:val="20"/>
                <w:lang w:val="es-ES_tradnl" w:eastAsia="es-CL"/>
              </w:rPr>
              <w:t xml:space="preserve"> </w:t>
            </w:r>
            <w:r w:rsidR="00926E8E">
              <w:rPr>
                <w:rFonts w:ascii="Arial" w:eastAsia="Times New Roman" w:hAnsi="Arial" w:cs="Arial"/>
                <w:sz w:val="20"/>
                <w:szCs w:val="20"/>
                <w:lang w:val="es-ES_tradnl" w:eastAsia="es-CL"/>
              </w:rPr>
              <w:t xml:space="preserve">elaborado por la DEP </w:t>
            </w:r>
            <w:r w:rsidR="0091635C">
              <w:rPr>
                <w:rFonts w:ascii="Arial" w:eastAsia="Times New Roman" w:hAnsi="Arial" w:cs="Arial"/>
                <w:sz w:val="20"/>
                <w:szCs w:val="20"/>
                <w:lang w:val="es-ES_tradnl" w:eastAsia="es-CL"/>
              </w:rPr>
              <w:t xml:space="preserve">sobre apoyo al traspaso </w:t>
            </w:r>
          </w:p>
        </w:tc>
      </w:tr>
      <w:tr w:rsidR="00857020" w:rsidRPr="00376B9E" w14:paraId="612DDB15" w14:textId="392E8C90"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732AA5F7" w14:textId="1AE841BB" w:rsidR="00384310" w:rsidRPr="00252A0B" w:rsidRDefault="00384310" w:rsidP="00384310">
            <w:pPr>
              <w:spacing w:after="0" w:line="240" w:lineRule="auto"/>
              <w:rPr>
                <w:rFonts w:ascii="Arial" w:eastAsia="Times New Roman" w:hAnsi="Arial" w:cs="Arial"/>
                <w:color w:val="000000"/>
                <w:sz w:val="20"/>
                <w:szCs w:val="20"/>
                <w:lang w:val="es-ES_tradnl" w:eastAsia="es-CL"/>
              </w:rPr>
            </w:pPr>
            <w:r w:rsidRPr="00252A0B">
              <w:rPr>
                <w:rFonts w:ascii="Arial" w:eastAsia="Times New Roman" w:hAnsi="Arial" w:cs="Arial"/>
                <w:color w:val="000000"/>
                <w:sz w:val="20"/>
                <w:szCs w:val="20"/>
                <w:lang w:val="es-ES_tradnl" w:eastAsia="es-CL"/>
              </w:rPr>
              <w:t xml:space="preserve">Municipios con resolución de traspaso emitidas por </w:t>
            </w:r>
            <w:r w:rsidR="00AA32B0">
              <w:rPr>
                <w:rFonts w:ascii="Arial" w:eastAsia="Times New Roman" w:hAnsi="Arial" w:cs="Arial"/>
                <w:color w:val="000000"/>
                <w:sz w:val="20"/>
                <w:szCs w:val="20"/>
                <w:lang w:val="es-ES_tradnl" w:eastAsia="es-CL"/>
              </w:rPr>
              <w:t>el MINEDUC</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6F5B6D33" w14:textId="1138B489"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hAnsi="Arial" w:cs="Arial"/>
                <w:sz w:val="20"/>
                <w:szCs w:val="20"/>
                <w:lang w:val="es-ES_tradnl"/>
              </w:rPr>
              <w:t>Municipios</w:t>
            </w:r>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462DEA4B" w14:textId="2350D72C"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6A8218EF" w14:textId="7AE01AC4"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1C0372ED" w14:textId="05DE72F8" w:rsidR="00384310" w:rsidRPr="00252A0B" w:rsidRDefault="005B2BF3">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33</w:t>
            </w:r>
          </w:p>
        </w:tc>
        <w:tc>
          <w:tcPr>
            <w:tcW w:w="301" w:type="pct"/>
            <w:tcBorders>
              <w:top w:val="nil"/>
              <w:left w:val="nil"/>
              <w:bottom w:val="single" w:sz="4" w:space="0" w:color="auto"/>
              <w:right w:val="single" w:sz="4" w:space="0" w:color="auto"/>
            </w:tcBorders>
            <w:shd w:val="clear" w:color="auto" w:fill="FFFFFF" w:themeFill="background1"/>
            <w:vAlign w:val="center"/>
            <w:hideMark/>
          </w:tcPr>
          <w:p w14:paraId="4B5CA95E" w14:textId="3EE89DDF" w:rsidR="00384310" w:rsidRPr="00252A0B" w:rsidRDefault="00D535CE">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1D20F4EC" w14:textId="2CD9B7BB" w:rsidR="00384310" w:rsidRPr="00252A0B" w:rsidRDefault="005B2BF3">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33</w:t>
            </w:r>
          </w:p>
        </w:tc>
        <w:tc>
          <w:tcPr>
            <w:tcW w:w="1385" w:type="pct"/>
            <w:tcBorders>
              <w:top w:val="nil"/>
              <w:left w:val="nil"/>
              <w:bottom w:val="single" w:sz="4" w:space="0" w:color="auto"/>
              <w:right w:val="single" w:sz="8" w:space="0" w:color="auto"/>
            </w:tcBorders>
            <w:shd w:val="clear" w:color="auto" w:fill="FFFFFF" w:themeFill="background1"/>
            <w:vAlign w:val="center"/>
          </w:tcPr>
          <w:p w14:paraId="49D34162" w14:textId="7F3ECF65" w:rsidR="00384310" w:rsidRPr="00252A0B" w:rsidRDefault="00D535CE"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Resoluciones de traspaso</w:t>
            </w:r>
            <w:r w:rsidR="004C5492">
              <w:rPr>
                <w:rFonts w:ascii="Arial" w:eastAsia="Times New Roman" w:hAnsi="Arial" w:cs="Arial"/>
                <w:sz w:val="20"/>
                <w:szCs w:val="20"/>
                <w:lang w:val="es-ES_tradnl" w:eastAsia="es-CL"/>
              </w:rPr>
              <w:t>, elaborado por el MINEDUC</w:t>
            </w:r>
            <w:r w:rsidRPr="00252A0B">
              <w:rPr>
                <w:rFonts w:ascii="Arial" w:eastAsia="Times New Roman" w:hAnsi="Arial" w:cs="Arial"/>
                <w:sz w:val="20"/>
                <w:szCs w:val="20"/>
                <w:lang w:val="es-ES_tradnl" w:eastAsia="es-CL"/>
              </w:rPr>
              <w:t xml:space="preserve"> </w:t>
            </w:r>
          </w:p>
        </w:tc>
      </w:tr>
      <w:tr w:rsidR="00CD0A76" w:rsidRPr="00152CDF" w14:paraId="21369E99" w14:textId="0AFE8BF7" w:rsidTr="632B5BC6">
        <w:trPr>
          <w:trHeight w:val="20"/>
          <w:jc w:val="center"/>
        </w:trPr>
        <w:tc>
          <w:tcPr>
            <w:tcW w:w="5000" w:type="pct"/>
            <w:gridSpan w:val="8"/>
            <w:tcBorders>
              <w:top w:val="nil"/>
              <w:left w:val="single" w:sz="4" w:space="0" w:color="auto"/>
              <w:bottom w:val="single" w:sz="4" w:space="0" w:color="auto"/>
              <w:right w:val="single" w:sz="8" w:space="0" w:color="auto"/>
            </w:tcBorders>
            <w:shd w:val="clear" w:color="auto" w:fill="D9D9D9" w:themeFill="background1" w:themeFillShade="D9"/>
            <w:vAlign w:val="bottom"/>
            <w:hideMark/>
          </w:tcPr>
          <w:p w14:paraId="726DA712" w14:textId="4C0F1CC3" w:rsidR="00CD0A76" w:rsidRPr="00CD0A76" w:rsidRDefault="00CD0A76" w:rsidP="00CD0A76">
            <w:pPr>
              <w:spacing w:after="0" w:line="240" w:lineRule="auto"/>
              <w:rPr>
                <w:rFonts w:ascii="Arial" w:eastAsia="Times New Roman" w:hAnsi="Arial" w:cs="Arial"/>
                <w:b/>
                <w:color w:val="000000"/>
                <w:sz w:val="20"/>
                <w:szCs w:val="20"/>
                <w:lang w:val="es-ES_tradnl" w:eastAsia="es-CL"/>
              </w:rPr>
            </w:pPr>
            <w:r w:rsidRPr="00252A0B">
              <w:rPr>
                <w:rFonts w:ascii="Arial" w:eastAsia="Times New Roman" w:hAnsi="Arial" w:cs="Arial"/>
                <w:b/>
                <w:color w:val="000000"/>
                <w:sz w:val="20"/>
                <w:szCs w:val="20"/>
                <w:lang w:val="es-ES_tradnl" w:eastAsia="es-CL"/>
              </w:rPr>
              <w:t xml:space="preserve">1.3. Instalación de los </w:t>
            </w:r>
            <w:proofErr w:type="spellStart"/>
            <w:r w:rsidRPr="00252A0B">
              <w:rPr>
                <w:rFonts w:ascii="Arial" w:eastAsia="Times New Roman" w:hAnsi="Arial" w:cs="Arial"/>
                <w:b/>
                <w:color w:val="000000"/>
                <w:sz w:val="20"/>
                <w:szCs w:val="20"/>
                <w:lang w:val="es-ES_tradnl" w:eastAsia="es-CL"/>
              </w:rPr>
              <w:t>SLEPs</w:t>
            </w:r>
            <w:proofErr w:type="spellEnd"/>
            <w:r w:rsidRPr="00252A0B">
              <w:rPr>
                <w:rFonts w:ascii="Arial" w:eastAsia="Times New Roman" w:hAnsi="Arial" w:cs="Arial"/>
                <w:b/>
                <w:sz w:val="20"/>
                <w:szCs w:val="20"/>
                <w:lang w:val="es-ES_tradnl" w:eastAsia="es-CL"/>
              </w:rPr>
              <w:t> </w:t>
            </w:r>
          </w:p>
          <w:p w14:paraId="624C4078" w14:textId="1B85ADEA" w:rsidR="00CD0A76" w:rsidRPr="00252A0B" w:rsidRDefault="00CD0A76" w:rsidP="00384310">
            <w:pPr>
              <w:spacing w:after="0" w:line="240" w:lineRule="auto"/>
              <w:jc w:val="center"/>
              <w:rPr>
                <w:rFonts w:ascii="Arial" w:eastAsia="Times New Roman" w:hAnsi="Arial" w:cs="Arial"/>
                <w:b/>
                <w:sz w:val="20"/>
                <w:szCs w:val="20"/>
                <w:lang w:val="es-ES_tradnl" w:eastAsia="es-CL"/>
              </w:rPr>
            </w:pPr>
            <w:r w:rsidRPr="00252A0B">
              <w:rPr>
                <w:rFonts w:ascii="Arial" w:eastAsia="Times New Roman" w:hAnsi="Arial" w:cs="Arial"/>
                <w:b/>
                <w:sz w:val="20"/>
                <w:szCs w:val="20"/>
                <w:lang w:val="es-ES_tradnl" w:eastAsia="es-CL"/>
              </w:rPr>
              <w:t> </w:t>
            </w:r>
          </w:p>
        </w:tc>
      </w:tr>
      <w:tr w:rsidR="00857020" w:rsidRPr="00376B9E" w14:paraId="1F659601" w14:textId="39899E6A"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476F19DD" w14:textId="2099823F" w:rsidR="00384310" w:rsidRPr="000F40E6" w:rsidRDefault="00E66201" w:rsidP="00384310">
            <w:pPr>
              <w:spacing w:after="0" w:line="240" w:lineRule="auto"/>
              <w:rPr>
                <w:rFonts w:ascii="Arial" w:eastAsia="Times New Roman" w:hAnsi="Arial" w:cs="Arial"/>
                <w:sz w:val="20"/>
                <w:szCs w:val="20"/>
                <w:lang w:val="es-ES_tradnl" w:eastAsia="es-CL"/>
              </w:rPr>
            </w:pPr>
            <w:proofErr w:type="spellStart"/>
            <w:r>
              <w:rPr>
                <w:rFonts w:ascii="Arial" w:eastAsia="Times New Roman" w:hAnsi="Arial" w:cs="Arial"/>
                <w:color w:val="000000"/>
                <w:sz w:val="20"/>
                <w:szCs w:val="20"/>
                <w:lang w:val="es-ES_tradnl" w:eastAsia="es-CL"/>
              </w:rPr>
              <w:t>S</w:t>
            </w:r>
            <w:r w:rsidRPr="00E66201">
              <w:rPr>
                <w:rFonts w:ascii="Arial" w:eastAsia="Times New Roman" w:hAnsi="Arial" w:cs="Arial"/>
                <w:color w:val="000000"/>
                <w:sz w:val="20"/>
                <w:szCs w:val="20"/>
                <w:lang w:val="es-ES_tradnl" w:eastAsia="es-CL"/>
              </w:rPr>
              <w:t>LEP</w:t>
            </w:r>
            <w:r w:rsidR="000F40E6">
              <w:rPr>
                <w:rFonts w:ascii="Arial" w:eastAsia="Times New Roman" w:hAnsi="Arial" w:cs="Arial"/>
                <w:color w:val="000000"/>
                <w:sz w:val="20"/>
                <w:szCs w:val="20"/>
                <w:lang w:val="es-ES_tradnl" w:eastAsia="es-CL"/>
              </w:rPr>
              <w:t>s</w:t>
            </w:r>
            <w:proofErr w:type="spellEnd"/>
            <w:r w:rsidRPr="00E66201">
              <w:rPr>
                <w:rFonts w:ascii="Arial" w:eastAsia="Times New Roman" w:hAnsi="Arial" w:cs="Arial"/>
                <w:color w:val="000000"/>
                <w:sz w:val="20"/>
                <w:szCs w:val="20"/>
                <w:lang w:val="es-ES_tradnl" w:eastAsia="es-CL"/>
              </w:rPr>
              <w:t xml:space="preserve"> con llamado a concurso por </w:t>
            </w:r>
            <w:proofErr w:type="spellStart"/>
            <w:r w:rsidRPr="00E66201">
              <w:rPr>
                <w:rFonts w:ascii="Arial" w:eastAsia="Times New Roman" w:hAnsi="Arial" w:cs="Arial"/>
                <w:color w:val="000000"/>
                <w:sz w:val="20"/>
                <w:szCs w:val="20"/>
                <w:lang w:val="es-ES_tradnl" w:eastAsia="es-CL"/>
              </w:rPr>
              <w:t>ADP</w:t>
            </w:r>
            <w:proofErr w:type="spellEnd"/>
            <w:r w:rsidRPr="00E66201">
              <w:rPr>
                <w:rFonts w:ascii="Arial" w:eastAsia="Times New Roman" w:hAnsi="Arial" w:cs="Arial"/>
                <w:color w:val="000000"/>
                <w:sz w:val="20"/>
                <w:szCs w:val="20"/>
                <w:lang w:val="es-ES_tradnl" w:eastAsia="es-CL"/>
              </w:rPr>
              <w:t xml:space="preserve"> para nombramiento de directores ejecutivo</w:t>
            </w:r>
            <w:r w:rsidR="000F40E6">
              <w:rPr>
                <w:rFonts w:ascii="Arial" w:eastAsia="Times New Roman" w:hAnsi="Arial" w:cs="Arial"/>
                <w:color w:val="000000"/>
                <w:sz w:val="20"/>
                <w:szCs w:val="20"/>
                <w:lang w:val="es-ES_tradnl" w:eastAsia="es-CL"/>
              </w:rPr>
              <w:t>s</w:t>
            </w:r>
            <w:r w:rsidR="00313789">
              <w:rPr>
                <w:rFonts w:ascii="Arial" w:eastAsia="Times New Roman" w:hAnsi="Arial" w:cs="Arial"/>
                <w:color w:val="000000"/>
                <w:sz w:val="20"/>
                <w:szCs w:val="20"/>
                <w:lang w:val="es-ES_tradnl" w:eastAsia="es-CL"/>
              </w:rPr>
              <w:t xml:space="preserve"> publicado</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0EA88E71" w14:textId="442AFF2F" w:rsidR="00384310" w:rsidRPr="00252A0B" w:rsidRDefault="002B329A" w:rsidP="00384310">
            <w:pPr>
              <w:spacing w:after="0" w:line="240" w:lineRule="auto"/>
              <w:jc w:val="center"/>
              <w:rPr>
                <w:rFonts w:ascii="Arial" w:eastAsia="Times New Roman" w:hAnsi="Arial" w:cs="Arial"/>
                <w:sz w:val="20"/>
                <w:szCs w:val="20"/>
                <w:lang w:val="es-ES_tradnl" w:eastAsia="es-CL"/>
              </w:rPr>
            </w:pPr>
            <w:proofErr w:type="spellStart"/>
            <w:r>
              <w:rPr>
                <w:rFonts w:ascii="Arial" w:hAnsi="Arial" w:cs="Arial"/>
                <w:sz w:val="20"/>
                <w:szCs w:val="20"/>
                <w:lang w:val="es-ES_tradnl"/>
              </w:rPr>
              <w:t>SLEP</w:t>
            </w:r>
            <w:proofErr w:type="spellEnd"/>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0C401BAA" w14:textId="3590CA2A"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1271FD36" w14:textId="189E7F10"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3A0BB9CA"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11</w:t>
            </w:r>
          </w:p>
        </w:tc>
        <w:tc>
          <w:tcPr>
            <w:tcW w:w="301" w:type="pct"/>
            <w:tcBorders>
              <w:top w:val="nil"/>
              <w:left w:val="nil"/>
              <w:bottom w:val="single" w:sz="4" w:space="0" w:color="auto"/>
              <w:right w:val="single" w:sz="4" w:space="0" w:color="auto"/>
            </w:tcBorders>
            <w:shd w:val="clear" w:color="auto" w:fill="FFFFFF" w:themeFill="background1"/>
            <w:vAlign w:val="center"/>
            <w:hideMark/>
          </w:tcPr>
          <w:p w14:paraId="6EE3448F"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278A4F8E"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11</w:t>
            </w:r>
          </w:p>
        </w:tc>
        <w:tc>
          <w:tcPr>
            <w:tcW w:w="1385" w:type="pct"/>
            <w:tcBorders>
              <w:top w:val="nil"/>
              <w:left w:val="nil"/>
              <w:bottom w:val="single" w:sz="4" w:space="0" w:color="auto"/>
              <w:right w:val="single" w:sz="8" w:space="0" w:color="auto"/>
            </w:tcBorders>
            <w:shd w:val="clear" w:color="auto" w:fill="FFFFFF" w:themeFill="background1"/>
            <w:vAlign w:val="center"/>
          </w:tcPr>
          <w:p w14:paraId="6F8F2484" w14:textId="408C85F7" w:rsidR="00384310" w:rsidRPr="002D736E" w:rsidRDefault="00F833F2"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 xml:space="preserve">Publicación </w:t>
            </w:r>
            <w:r w:rsidR="00D84F35">
              <w:rPr>
                <w:rFonts w:ascii="Arial" w:eastAsia="Times New Roman" w:hAnsi="Arial" w:cs="Arial"/>
                <w:sz w:val="20"/>
                <w:szCs w:val="20"/>
                <w:lang w:val="es-ES_tradnl" w:eastAsia="es-CL"/>
              </w:rPr>
              <w:t>de</w:t>
            </w:r>
            <w:r w:rsidR="00427F59">
              <w:rPr>
                <w:rFonts w:ascii="Arial" w:eastAsia="Times New Roman" w:hAnsi="Arial" w:cs="Arial"/>
                <w:sz w:val="20"/>
                <w:szCs w:val="20"/>
                <w:lang w:val="es-ES_tradnl" w:eastAsia="es-CL"/>
              </w:rPr>
              <w:t>l</w:t>
            </w:r>
            <w:r w:rsidR="00D84F35">
              <w:rPr>
                <w:rFonts w:ascii="Arial" w:eastAsia="Times New Roman" w:hAnsi="Arial" w:cs="Arial"/>
                <w:sz w:val="20"/>
                <w:szCs w:val="20"/>
                <w:lang w:val="es-ES_tradnl" w:eastAsia="es-CL"/>
              </w:rPr>
              <w:t xml:space="preserve"> </w:t>
            </w:r>
            <w:r>
              <w:rPr>
                <w:rFonts w:ascii="Arial" w:eastAsia="Times New Roman" w:hAnsi="Arial" w:cs="Arial"/>
                <w:sz w:val="20"/>
                <w:szCs w:val="20"/>
                <w:lang w:val="es-ES_tradnl" w:eastAsia="es-CL"/>
              </w:rPr>
              <w:t>llamado a concurso, Servicio Civil</w:t>
            </w:r>
            <w:r w:rsidRPr="002D736E">
              <w:rPr>
                <w:rFonts w:ascii="Arial" w:eastAsia="Times New Roman" w:hAnsi="Arial" w:cs="Arial"/>
                <w:sz w:val="20"/>
                <w:szCs w:val="20"/>
                <w:lang w:val="es-ES_tradnl" w:eastAsia="es-CL"/>
              </w:rPr>
              <w:t xml:space="preserve"> </w:t>
            </w:r>
          </w:p>
        </w:tc>
      </w:tr>
      <w:tr w:rsidR="00857020" w:rsidRPr="00152CDF" w14:paraId="07BA186C" w14:textId="31D16517"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17387A89" w14:textId="69FC310A" w:rsidR="00384310" w:rsidRPr="00252A0B" w:rsidRDefault="00384310" w:rsidP="00384310">
            <w:pPr>
              <w:spacing w:after="0" w:line="240" w:lineRule="auto"/>
              <w:rPr>
                <w:rFonts w:ascii="Arial" w:eastAsia="Times New Roman" w:hAnsi="Arial" w:cs="Arial"/>
                <w:sz w:val="20"/>
                <w:szCs w:val="20"/>
                <w:lang w:val="es-ES_tradnl" w:eastAsia="es-CL"/>
              </w:rPr>
            </w:pPr>
            <w:proofErr w:type="spellStart"/>
            <w:r w:rsidRPr="00252A0B">
              <w:rPr>
                <w:rFonts w:ascii="Arial" w:eastAsia="Times New Roman" w:hAnsi="Arial" w:cs="Arial"/>
                <w:sz w:val="20"/>
                <w:szCs w:val="20"/>
                <w:lang w:val="es-ES_tradnl" w:eastAsia="es-CL"/>
              </w:rPr>
              <w:lastRenderedPageBreak/>
              <w:t>SLEPs</w:t>
            </w:r>
            <w:proofErr w:type="spellEnd"/>
            <w:r w:rsidRPr="00252A0B">
              <w:rPr>
                <w:rFonts w:ascii="Arial" w:eastAsia="Times New Roman" w:hAnsi="Arial" w:cs="Arial"/>
                <w:sz w:val="20"/>
                <w:szCs w:val="20"/>
                <w:lang w:val="es-ES_tradnl" w:eastAsia="es-CL"/>
              </w:rPr>
              <w:t xml:space="preserve"> con oficio de cambio de sostenedor </w:t>
            </w:r>
            <w:r w:rsidR="00084C6F">
              <w:rPr>
                <w:rFonts w:ascii="Arial" w:eastAsia="Times New Roman" w:hAnsi="Arial" w:cs="Arial"/>
                <w:sz w:val="20"/>
                <w:szCs w:val="20"/>
                <w:lang w:val="es-ES_tradnl" w:eastAsia="es-CL"/>
              </w:rPr>
              <w:t>publicado</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377AFB24" w14:textId="16116602" w:rsidR="00384310" w:rsidRPr="00252A0B" w:rsidRDefault="00384310" w:rsidP="00384310">
            <w:pPr>
              <w:spacing w:after="0" w:line="240" w:lineRule="auto"/>
              <w:jc w:val="center"/>
              <w:rPr>
                <w:rFonts w:ascii="Arial" w:eastAsia="Times New Roman" w:hAnsi="Arial" w:cs="Arial"/>
                <w:sz w:val="20"/>
                <w:szCs w:val="20"/>
                <w:lang w:val="es-ES_tradnl" w:eastAsia="es-CL"/>
              </w:rPr>
            </w:pPr>
            <w:proofErr w:type="spellStart"/>
            <w:r w:rsidRPr="00252A0B">
              <w:rPr>
                <w:rFonts w:ascii="Arial" w:hAnsi="Arial" w:cs="Arial"/>
                <w:sz w:val="20"/>
                <w:szCs w:val="20"/>
                <w:lang w:val="es-ES_tradnl"/>
              </w:rPr>
              <w:t>SLEP</w:t>
            </w:r>
            <w:proofErr w:type="spellEnd"/>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6CC19749" w14:textId="11D51B0A"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59D5AA3A" w14:textId="30BA688F"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74F063AF"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7</w:t>
            </w:r>
          </w:p>
        </w:tc>
        <w:tc>
          <w:tcPr>
            <w:tcW w:w="301" w:type="pct"/>
            <w:tcBorders>
              <w:top w:val="nil"/>
              <w:left w:val="nil"/>
              <w:bottom w:val="single" w:sz="4" w:space="0" w:color="auto"/>
              <w:right w:val="single" w:sz="4" w:space="0" w:color="auto"/>
            </w:tcBorders>
            <w:shd w:val="clear" w:color="auto" w:fill="FFFFFF" w:themeFill="background1"/>
            <w:vAlign w:val="center"/>
            <w:hideMark/>
          </w:tcPr>
          <w:p w14:paraId="452D3100" w14:textId="303E4AAA" w:rsidR="00384310" w:rsidRPr="00252A0B" w:rsidRDefault="00D535CE">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4</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15A4C189"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11</w:t>
            </w:r>
          </w:p>
        </w:tc>
        <w:tc>
          <w:tcPr>
            <w:tcW w:w="1385" w:type="pct"/>
            <w:tcBorders>
              <w:top w:val="nil"/>
              <w:left w:val="nil"/>
              <w:bottom w:val="single" w:sz="4" w:space="0" w:color="auto"/>
              <w:right w:val="single" w:sz="8" w:space="0" w:color="auto"/>
            </w:tcBorders>
            <w:shd w:val="clear" w:color="auto" w:fill="FFFFFF" w:themeFill="background1"/>
            <w:vAlign w:val="center"/>
          </w:tcPr>
          <w:p w14:paraId="491FF819" w14:textId="5B5A4F8F" w:rsidR="00384310" w:rsidRPr="002D736E" w:rsidRDefault="00901061" w:rsidP="00384310">
            <w:pPr>
              <w:spacing w:after="0" w:line="240" w:lineRule="auto"/>
              <w:jc w:val="center"/>
              <w:rPr>
                <w:rFonts w:ascii="Arial" w:eastAsia="Times New Roman" w:hAnsi="Arial" w:cs="Arial"/>
                <w:sz w:val="20"/>
                <w:szCs w:val="20"/>
                <w:lang w:val="es-ES_tradnl" w:eastAsia="es-CL"/>
              </w:rPr>
            </w:pPr>
            <w:r w:rsidRPr="002D736E">
              <w:rPr>
                <w:rFonts w:ascii="Arial" w:eastAsia="Times New Roman" w:hAnsi="Arial" w:cs="Arial"/>
                <w:sz w:val="20"/>
                <w:szCs w:val="20"/>
                <w:lang w:val="es-ES_tradnl" w:eastAsia="es-CL"/>
              </w:rPr>
              <w:t xml:space="preserve">Oficio </w:t>
            </w:r>
            <w:r w:rsidR="00D535CE" w:rsidRPr="002D736E">
              <w:rPr>
                <w:rFonts w:ascii="Arial" w:eastAsia="Times New Roman" w:hAnsi="Arial" w:cs="Arial"/>
                <w:sz w:val="20"/>
                <w:szCs w:val="20"/>
                <w:lang w:val="es-ES_tradnl" w:eastAsia="es-CL"/>
              </w:rPr>
              <w:t xml:space="preserve">de </w:t>
            </w:r>
            <w:r w:rsidRPr="002D736E">
              <w:rPr>
                <w:rFonts w:ascii="Arial" w:eastAsia="Times New Roman" w:hAnsi="Arial" w:cs="Arial"/>
                <w:sz w:val="20"/>
                <w:szCs w:val="20"/>
                <w:lang w:val="es-ES_tradnl" w:eastAsia="es-CL"/>
              </w:rPr>
              <w:t>SEREMI</w:t>
            </w:r>
            <w:r w:rsidR="004C5492">
              <w:rPr>
                <w:rFonts w:ascii="Arial" w:eastAsia="Times New Roman" w:hAnsi="Arial" w:cs="Arial"/>
                <w:sz w:val="20"/>
                <w:szCs w:val="20"/>
                <w:lang w:val="es-ES_tradnl" w:eastAsia="es-CL"/>
              </w:rPr>
              <w:t>, MINEDUC</w:t>
            </w:r>
          </w:p>
        </w:tc>
      </w:tr>
      <w:tr w:rsidR="00857020" w:rsidRPr="00152CDF" w14:paraId="1DA9DEE5" w14:textId="698CEFC9"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bottom"/>
            <w:hideMark/>
          </w:tcPr>
          <w:p w14:paraId="09478CA1" w14:textId="7354495D" w:rsidR="00384310" w:rsidRPr="00252A0B" w:rsidRDefault="00384310" w:rsidP="00384310">
            <w:pPr>
              <w:spacing w:after="0" w:line="240" w:lineRule="auto"/>
              <w:rPr>
                <w:rFonts w:ascii="Arial" w:eastAsia="Times New Roman" w:hAnsi="Arial" w:cs="Arial"/>
                <w:sz w:val="20"/>
                <w:szCs w:val="20"/>
                <w:lang w:val="es-ES_tradnl" w:eastAsia="es-CL"/>
              </w:rPr>
            </w:pPr>
            <w:proofErr w:type="spellStart"/>
            <w:r w:rsidRPr="00252A0B">
              <w:rPr>
                <w:rFonts w:ascii="Arial" w:eastAsia="Times New Roman" w:hAnsi="Arial" w:cs="Arial"/>
                <w:sz w:val="20"/>
                <w:szCs w:val="20"/>
                <w:lang w:val="es-ES_tradnl" w:eastAsia="es-CL"/>
              </w:rPr>
              <w:t>SLEPs</w:t>
            </w:r>
            <w:proofErr w:type="spellEnd"/>
            <w:r w:rsidRPr="00252A0B">
              <w:rPr>
                <w:rFonts w:ascii="Arial" w:eastAsia="Times New Roman" w:hAnsi="Arial" w:cs="Arial"/>
                <w:sz w:val="20"/>
                <w:szCs w:val="20"/>
                <w:lang w:val="es-ES_tradnl" w:eastAsia="es-CL"/>
              </w:rPr>
              <w:t xml:space="preserve"> con </w:t>
            </w:r>
            <w:r w:rsidR="00DC22F5">
              <w:rPr>
                <w:rFonts w:ascii="Arial" w:eastAsia="Times New Roman" w:hAnsi="Arial" w:cs="Arial"/>
                <w:sz w:val="20"/>
                <w:szCs w:val="20"/>
                <w:lang w:val="es-ES_tradnl" w:eastAsia="es-CL"/>
              </w:rPr>
              <w:t>servicio de</w:t>
            </w:r>
            <w:r w:rsidRPr="00252A0B">
              <w:rPr>
                <w:rFonts w:ascii="Arial" w:eastAsia="Times New Roman" w:hAnsi="Arial" w:cs="Arial"/>
                <w:sz w:val="20"/>
                <w:szCs w:val="20"/>
                <w:lang w:val="es-ES_tradnl" w:eastAsia="es-CL"/>
              </w:rPr>
              <w:t xml:space="preserve"> apoyo de DEP para la coordinación y ejecución de concursos cerrados para la contratación de personal </w:t>
            </w:r>
            <w:r w:rsidR="00313789">
              <w:rPr>
                <w:rFonts w:ascii="Arial" w:eastAsia="Times New Roman" w:hAnsi="Arial" w:cs="Arial"/>
                <w:sz w:val="20"/>
                <w:szCs w:val="20"/>
                <w:lang w:val="es-ES_tradnl" w:eastAsia="es-CL"/>
              </w:rPr>
              <w:t xml:space="preserve">recibido </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72AC0E3D" w14:textId="348305A9" w:rsidR="00384310" w:rsidRPr="00252A0B" w:rsidRDefault="00384310" w:rsidP="00384310">
            <w:pPr>
              <w:spacing w:after="0" w:line="240" w:lineRule="auto"/>
              <w:jc w:val="center"/>
              <w:rPr>
                <w:rFonts w:ascii="Arial" w:eastAsia="Times New Roman" w:hAnsi="Arial" w:cs="Arial"/>
                <w:sz w:val="20"/>
                <w:szCs w:val="20"/>
                <w:lang w:val="es-ES_tradnl" w:eastAsia="es-CL"/>
              </w:rPr>
            </w:pPr>
            <w:proofErr w:type="spellStart"/>
            <w:r w:rsidRPr="00252A0B">
              <w:rPr>
                <w:rFonts w:ascii="Arial" w:hAnsi="Arial" w:cs="Arial"/>
                <w:sz w:val="20"/>
                <w:szCs w:val="20"/>
                <w:lang w:val="es-ES_tradnl"/>
              </w:rPr>
              <w:t>SLEP</w:t>
            </w:r>
            <w:proofErr w:type="spellEnd"/>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18EAA21B" w14:textId="5F95034A"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7C59A053" w14:textId="04DC9A9D"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15688B0A"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7</w:t>
            </w:r>
          </w:p>
        </w:tc>
        <w:tc>
          <w:tcPr>
            <w:tcW w:w="301" w:type="pct"/>
            <w:tcBorders>
              <w:top w:val="nil"/>
              <w:left w:val="nil"/>
              <w:bottom w:val="single" w:sz="4" w:space="0" w:color="auto"/>
              <w:right w:val="single" w:sz="4" w:space="0" w:color="auto"/>
            </w:tcBorders>
            <w:shd w:val="clear" w:color="auto" w:fill="FFFFFF" w:themeFill="background1"/>
            <w:vAlign w:val="center"/>
            <w:hideMark/>
          </w:tcPr>
          <w:p w14:paraId="66AAADE9" w14:textId="60C336CB" w:rsidR="00384310" w:rsidRPr="00252A0B" w:rsidRDefault="00D535CE">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4</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46D5E6FB"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11</w:t>
            </w:r>
          </w:p>
        </w:tc>
        <w:tc>
          <w:tcPr>
            <w:tcW w:w="1385" w:type="pct"/>
            <w:tcBorders>
              <w:top w:val="nil"/>
              <w:left w:val="nil"/>
              <w:bottom w:val="single" w:sz="4" w:space="0" w:color="auto"/>
              <w:right w:val="single" w:sz="8" w:space="0" w:color="auto"/>
            </w:tcBorders>
            <w:shd w:val="clear" w:color="auto" w:fill="FFFFFF" w:themeFill="background1"/>
            <w:vAlign w:val="center"/>
          </w:tcPr>
          <w:p w14:paraId="5ED7ED6D" w14:textId="0AF24472" w:rsidR="00384310" w:rsidRPr="002D736E" w:rsidRDefault="00E15F07" w:rsidP="00384310">
            <w:pPr>
              <w:spacing w:after="0" w:line="240" w:lineRule="auto"/>
              <w:jc w:val="center"/>
              <w:rPr>
                <w:rFonts w:ascii="Arial" w:eastAsia="Times New Roman" w:hAnsi="Arial" w:cs="Arial"/>
                <w:sz w:val="20"/>
                <w:szCs w:val="20"/>
                <w:lang w:val="es-ES_tradnl" w:eastAsia="es-CL"/>
              </w:rPr>
            </w:pPr>
            <w:r w:rsidRPr="002D736E">
              <w:rPr>
                <w:rFonts w:ascii="Arial" w:eastAsia="Times New Roman" w:hAnsi="Arial" w:cs="Arial"/>
                <w:sz w:val="20"/>
                <w:szCs w:val="20"/>
                <w:lang w:val="es-ES_tradnl" w:eastAsia="es-CL"/>
              </w:rPr>
              <w:t xml:space="preserve">Informe </w:t>
            </w:r>
            <w:r w:rsidR="00F833F2">
              <w:rPr>
                <w:rFonts w:ascii="Arial" w:eastAsia="Times New Roman" w:hAnsi="Arial" w:cs="Arial"/>
                <w:sz w:val="20"/>
                <w:szCs w:val="20"/>
                <w:lang w:val="es-ES_tradnl" w:eastAsia="es-CL"/>
              </w:rPr>
              <w:t xml:space="preserve">elaborado por la DEP </w:t>
            </w:r>
            <w:r w:rsidR="007C1F1F">
              <w:rPr>
                <w:rFonts w:ascii="Arial" w:eastAsia="Times New Roman" w:hAnsi="Arial" w:cs="Arial"/>
                <w:sz w:val="20"/>
                <w:szCs w:val="20"/>
                <w:lang w:val="es-ES_tradnl" w:eastAsia="es-CL"/>
              </w:rPr>
              <w:t>sobre estado de avance concursos</w:t>
            </w:r>
          </w:p>
        </w:tc>
      </w:tr>
      <w:tr w:rsidR="00CD0A76" w:rsidRPr="00376B9E" w14:paraId="3E041B0B" w14:textId="638871BC" w:rsidTr="632B5BC6">
        <w:trPr>
          <w:trHeight w:val="341"/>
          <w:jc w:val="center"/>
        </w:trPr>
        <w:tc>
          <w:tcPr>
            <w:tcW w:w="5000" w:type="pct"/>
            <w:gridSpan w:val="8"/>
            <w:tcBorders>
              <w:top w:val="nil"/>
              <w:left w:val="single" w:sz="4" w:space="0" w:color="auto"/>
              <w:bottom w:val="single" w:sz="4" w:space="0" w:color="auto"/>
              <w:right w:val="single" w:sz="8" w:space="0" w:color="auto"/>
            </w:tcBorders>
            <w:shd w:val="clear" w:color="auto" w:fill="D9D9D9" w:themeFill="background1" w:themeFillShade="D9"/>
            <w:vAlign w:val="center"/>
            <w:hideMark/>
          </w:tcPr>
          <w:p w14:paraId="6EE6BFC9" w14:textId="18A3549B" w:rsidR="00CD0A76" w:rsidRPr="00252A0B" w:rsidRDefault="00CD0A76" w:rsidP="00CD0A76">
            <w:pPr>
              <w:spacing w:after="0" w:line="240" w:lineRule="auto"/>
              <w:jc w:val="both"/>
              <w:rPr>
                <w:rFonts w:ascii="Arial" w:eastAsia="Times New Roman" w:hAnsi="Arial" w:cs="Arial"/>
                <w:b/>
                <w:sz w:val="20"/>
                <w:szCs w:val="20"/>
                <w:lang w:val="es-ES_tradnl" w:eastAsia="es-CL"/>
              </w:rPr>
            </w:pPr>
            <w:r w:rsidRPr="00252A0B">
              <w:rPr>
                <w:rFonts w:ascii="Arial" w:eastAsia="Times New Roman" w:hAnsi="Arial" w:cs="Arial"/>
                <w:b/>
                <w:color w:val="000000"/>
                <w:sz w:val="20"/>
                <w:szCs w:val="20"/>
                <w:lang w:val="es-ES_tradnl" w:eastAsia="es-CL"/>
              </w:rPr>
              <w:t xml:space="preserve">1.4. Gestión y liderazgo de los </w:t>
            </w:r>
            <w:proofErr w:type="spellStart"/>
            <w:r w:rsidRPr="00252A0B">
              <w:rPr>
                <w:rFonts w:ascii="Arial" w:eastAsia="Times New Roman" w:hAnsi="Arial" w:cs="Arial"/>
                <w:b/>
                <w:color w:val="000000"/>
                <w:sz w:val="20"/>
                <w:szCs w:val="20"/>
                <w:lang w:val="es-ES_tradnl" w:eastAsia="es-CL"/>
              </w:rPr>
              <w:t>SLEPs</w:t>
            </w:r>
            <w:proofErr w:type="spellEnd"/>
          </w:p>
          <w:p w14:paraId="0480269F" w14:textId="009BAA73" w:rsidR="00CD0A76" w:rsidRPr="00252A0B" w:rsidRDefault="00CD0A76"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b/>
                <w:sz w:val="20"/>
                <w:szCs w:val="20"/>
                <w:lang w:val="es-ES_tradnl" w:eastAsia="es-CL"/>
              </w:rPr>
              <w:t> </w:t>
            </w:r>
          </w:p>
        </w:tc>
      </w:tr>
      <w:tr w:rsidR="00D344F2" w:rsidRPr="00152CDF" w14:paraId="6AA99306" w14:textId="3EFB6801"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center"/>
            <w:hideMark/>
          </w:tcPr>
          <w:p w14:paraId="3E8E43AC" w14:textId="6E6E7985" w:rsidR="00384310" w:rsidRPr="00252A0B" w:rsidRDefault="00384310" w:rsidP="00384310">
            <w:pPr>
              <w:spacing w:after="0" w:line="240" w:lineRule="auto"/>
              <w:jc w:val="both"/>
              <w:rPr>
                <w:rFonts w:ascii="Arial" w:eastAsia="Times New Roman" w:hAnsi="Arial" w:cs="Arial"/>
                <w:color w:val="000000"/>
                <w:sz w:val="20"/>
                <w:szCs w:val="20"/>
                <w:lang w:val="es-ES_tradnl" w:eastAsia="es-CL"/>
              </w:rPr>
            </w:pPr>
            <w:proofErr w:type="spellStart"/>
            <w:r w:rsidRPr="00252A0B">
              <w:rPr>
                <w:rFonts w:ascii="Arial" w:eastAsia="Times New Roman" w:hAnsi="Arial" w:cs="Arial"/>
                <w:color w:val="000000"/>
                <w:sz w:val="20"/>
                <w:szCs w:val="20"/>
                <w:lang w:val="es-ES_tradnl" w:eastAsia="es-CL"/>
              </w:rPr>
              <w:t>SLEPs</w:t>
            </w:r>
            <w:proofErr w:type="spellEnd"/>
            <w:r w:rsidRPr="00252A0B">
              <w:rPr>
                <w:rFonts w:ascii="Arial" w:eastAsia="Times New Roman" w:hAnsi="Arial" w:cs="Arial"/>
                <w:color w:val="000000"/>
                <w:sz w:val="20"/>
                <w:szCs w:val="20"/>
                <w:lang w:val="es-ES_tradnl" w:eastAsia="es-CL"/>
              </w:rPr>
              <w:t xml:space="preserve"> que reciben transferencia de fondos para </w:t>
            </w:r>
            <w:r w:rsidR="009C1FC1" w:rsidRPr="00252A0B">
              <w:rPr>
                <w:rFonts w:ascii="Arial" w:eastAsia="Times New Roman" w:hAnsi="Arial" w:cs="Arial"/>
                <w:color w:val="000000"/>
                <w:sz w:val="20"/>
                <w:szCs w:val="20"/>
                <w:lang w:val="es-ES_tradnl" w:eastAsia="es-CL"/>
              </w:rPr>
              <w:t>gestión</w:t>
            </w:r>
            <w:r w:rsidRPr="00252A0B">
              <w:rPr>
                <w:rFonts w:ascii="Arial" w:eastAsia="Times New Roman" w:hAnsi="Arial" w:cs="Arial"/>
                <w:color w:val="000000"/>
                <w:sz w:val="20"/>
                <w:szCs w:val="20"/>
                <w:lang w:val="es-ES_tradnl" w:eastAsia="es-CL"/>
              </w:rPr>
              <w:t xml:space="preserve"> y liderazgo de los </w:t>
            </w:r>
            <w:proofErr w:type="spellStart"/>
            <w:r w:rsidRPr="00252A0B">
              <w:rPr>
                <w:rFonts w:ascii="Arial" w:eastAsia="Times New Roman" w:hAnsi="Arial" w:cs="Arial"/>
                <w:color w:val="000000"/>
                <w:sz w:val="20"/>
                <w:szCs w:val="20"/>
                <w:lang w:val="es-ES_tradnl" w:eastAsia="es-CL"/>
              </w:rPr>
              <w:t>SLEPS</w:t>
            </w:r>
            <w:proofErr w:type="spellEnd"/>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0BB79057" w14:textId="217D014F" w:rsidR="00384310" w:rsidRPr="00252A0B" w:rsidRDefault="00384310" w:rsidP="00384310">
            <w:pPr>
              <w:spacing w:after="0" w:line="240" w:lineRule="auto"/>
              <w:jc w:val="center"/>
              <w:rPr>
                <w:rFonts w:ascii="Arial" w:eastAsia="Times New Roman" w:hAnsi="Arial" w:cs="Arial"/>
                <w:sz w:val="20"/>
                <w:szCs w:val="20"/>
                <w:lang w:val="es-ES_tradnl" w:eastAsia="es-CL"/>
              </w:rPr>
            </w:pPr>
            <w:proofErr w:type="spellStart"/>
            <w:r w:rsidRPr="00252A0B">
              <w:rPr>
                <w:rFonts w:ascii="Arial" w:hAnsi="Arial" w:cs="Arial"/>
                <w:sz w:val="20"/>
                <w:szCs w:val="20"/>
                <w:lang w:val="es-ES_tradnl"/>
              </w:rPr>
              <w:t>SLEP</w:t>
            </w:r>
            <w:proofErr w:type="spellEnd"/>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72C6ECAE" w14:textId="20A8EDCD"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5472CF30" w14:textId="6B510055"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53834791" w14:textId="3C19FE2F" w:rsidR="00384310" w:rsidRPr="00252A0B" w:rsidRDefault="00D535CE">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4</w:t>
            </w:r>
          </w:p>
        </w:tc>
        <w:tc>
          <w:tcPr>
            <w:tcW w:w="301" w:type="pct"/>
            <w:tcBorders>
              <w:top w:val="nil"/>
              <w:left w:val="nil"/>
              <w:bottom w:val="single" w:sz="4" w:space="0" w:color="auto"/>
              <w:right w:val="single" w:sz="4" w:space="0" w:color="auto"/>
            </w:tcBorders>
            <w:shd w:val="clear" w:color="auto" w:fill="auto"/>
            <w:vAlign w:val="center"/>
            <w:hideMark/>
          </w:tcPr>
          <w:p w14:paraId="6E5D6B6D"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7</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41E0C434"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11</w:t>
            </w:r>
          </w:p>
        </w:tc>
        <w:tc>
          <w:tcPr>
            <w:tcW w:w="1385" w:type="pct"/>
            <w:tcBorders>
              <w:top w:val="nil"/>
              <w:left w:val="nil"/>
              <w:bottom w:val="single" w:sz="4" w:space="0" w:color="auto"/>
              <w:right w:val="single" w:sz="8" w:space="0" w:color="auto"/>
            </w:tcBorders>
            <w:shd w:val="clear" w:color="auto" w:fill="FFFFFF" w:themeFill="background1"/>
            <w:vAlign w:val="center"/>
          </w:tcPr>
          <w:p w14:paraId="4DD1BF36" w14:textId="0B44A697" w:rsidR="00384310" w:rsidRPr="00252A0B" w:rsidRDefault="000E7F29"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Resolución traspaso</w:t>
            </w:r>
            <w:r w:rsidR="00A61B28" w:rsidRPr="00252A0B">
              <w:rPr>
                <w:rFonts w:ascii="Arial" w:eastAsia="Times New Roman" w:hAnsi="Arial" w:cs="Arial"/>
                <w:sz w:val="20"/>
                <w:szCs w:val="20"/>
                <w:lang w:val="es-ES_tradnl" w:eastAsia="es-CL"/>
              </w:rPr>
              <w:t xml:space="preserve"> financiero</w:t>
            </w:r>
            <w:r w:rsidR="00D72D99">
              <w:rPr>
                <w:rFonts w:ascii="Arial" w:eastAsia="Times New Roman" w:hAnsi="Arial" w:cs="Arial"/>
                <w:sz w:val="20"/>
                <w:szCs w:val="20"/>
                <w:lang w:val="es-ES_tradnl" w:eastAsia="es-CL"/>
              </w:rPr>
              <w:t>, MINEDUC</w:t>
            </w:r>
          </w:p>
        </w:tc>
      </w:tr>
      <w:tr w:rsidR="00D344F2" w:rsidRPr="00376B9E" w14:paraId="5A35274C" w14:textId="26C52C4A"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center"/>
            <w:hideMark/>
          </w:tcPr>
          <w:p w14:paraId="067A308A" w14:textId="6739D72A" w:rsidR="00384310" w:rsidRPr="00252A0B" w:rsidRDefault="00384310" w:rsidP="00384310">
            <w:pPr>
              <w:spacing w:after="0" w:line="240" w:lineRule="auto"/>
              <w:jc w:val="both"/>
              <w:rPr>
                <w:rFonts w:ascii="Arial" w:eastAsia="Times New Roman" w:hAnsi="Arial" w:cs="Arial"/>
                <w:color w:val="000000"/>
                <w:sz w:val="20"/>
                <w:szCs w:val="20"/>
                <w:lang w:val="es-ES_tradnl" w:eastAsia="es-CL"/>
              </w:rPr>
            </w:pPr>
            <w:proofErr w:type="spellStart"/>
            <w:r w:rsidRPr="00252A0B">
              <w:rPr>
                <w:rFonts w:ascii="Arial" w:eastAsia="Times New Roman" w:hAnsi="Arial" w:cs="Arial"/>
                <w:color w:val="000000"/>
                <w:sz w:val="20"/>
                <w:szCs w:val="20"/>
                <w:lang w:val="es-ES_tradnl" w:eastAsia="es-CL"/>
              </w:rPr>
              <w:t>SLEPs</w:t>
            </w:r>
            <w:proofErr w:type="spellEnd"/>
            <w:r w:rsidRPr="00252A0B">
              <w:rPr>
                <w:rFonts w:ascii="Arial" w:eastAsia="Times New Roman" w:hAnsi="Arial" w:cs="Arial"/>
                <w:color w:val="000000"/>
                <w:sz w:val="20"/>
                <w:szCs w:val="20"/>
                <w:lang w:val="es-ES_tradnl" w:eastAsia="es-CL"/>
              </w:rPr>
              <w:t xml:space="preserve"> que reciben capacitación por parte de la DEP</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57057E2C" w14:textId="53A7F02A" w:rsidR="00384310" w:rsidRPr="00252A0B" w:rsidRDefault="00384310" w:rsidP="00384310">
            <w:pPr>
              <w:spacing w:after="0" w:line="240" w:lineRule="auto"/>
              <w:jc w:val="center"/>
              <w:rPr>
                <w:rFonts w:ascii="Arial" w:eastAsia="Times New Roman" w:hAnsi="Arial" w:cs="Arial"/>
                <w:sz w:val="20"/>
                <w:szCs w:val="20"/>
                <w:lang w:val="es-ES_tradnl" w:eastAsia="es-CL"/>
              </w:rPr>
            </w:pPr>
            <w:proofErr w:type="spellStart"/>
            <w:r w:rsidRPr="00252A0B">
              <w:rPr>
                <w:rFonts w:ascii="Arial" w:hAnsi="Arial" w:cs="Arial"/>
                <w:sz w:val="20"/>
                <w:szCs w:val="20"/>
                <w:lang w:val="es-ES_tradnl"/>
              </w:rPr>
              <w:t>SLEP</w:t>
            </w:r>
            <w:proofErr w:type="spellEnd"/>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18A4CC11" w14:textId="5E394B2A" w:rsidR="00384310" w:rsidRPr="00252A0B" w:rsidRDefault="00384310"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053568EB" w14:textId="50481778" w:rsidR="00384310" w:rsidRPr="00252A0B" w:rsidRDefault="00B1198E" w:rsidP="0038431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6D06B072" w14:textId="4C393541" w:rsidR="00384310" w:rsidRPr="00252A0B" w:rsidRDefault="00D535CE">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4</w:t>
            </w:r>
          </w:p>
        </w:tc>
        <w:tc>
          <w:tcPr>
            <w:tcW w:w="301" w:type="pct"/>
            <w:tcBorders>
              <w:top w:val="nil"/>
              <w:left w:val="nil"/>
              <w:bottom w:val="single" w:sz="4" w:space="0" w:color="auto"/>
              <w:right w:val="single" w:sz="4" w:space="0" w:color="auto"/>
            </w:tcBorders>
            <w:shd w:val="clear" w:color="auto" w:fill="auto"/>
            <w:vAlign w:val="center"/>
            <w:hideMark/>
          </w:tcPr>
          <w:p w14:paraId="34AC04A5"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7</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5E5EFB17" w14:textId="77777777" w:rsidR="00384310" w:rsidRPr="00252A0B" w:rsidRDefault="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11</w:t>
            </w:r>
          </w:p>
        </w:tc>
        <w:tc>
          <w:tcPr>
            <w:tcW w:w="1385" w:type="pct"/>
            <w:tcBorders>
              <w:top w:val="nil"/>
              <w:left w:val="nil"/>
              <w:bottom w:val="single" w:sz="4" w:space="0" w:color="auto"/>
              <w:right w:val="single" w:sz="8" w:space="0" w:color="auto"/>
            </w:tcBorders>
            <w:shd w:val="clear" w:color="auto" w:fill="FFFFFF" w:themeFill="background1"/>
            <w:vAlign w:val="center"/>
          </w:tcPr>
          <w:p w14:paraId="7540CFDE" w14:textId="13A88B25" w:rsidR="00384310" w:rsidRPr="00252A0B" w:rsidRDefault="00BE7CFA" w:rsidP="00384310">
            <w:pPr>
              <w:spacing w:after="0" w:line="240" w:lineRule="auto"/>
              <w:jc w:val="center"/>
              <w:rPr>
                <w:rFonts w:ascii="Arial" w:eastAsia="Times New Roman" w:hAnsi="Arial" w:cs="Arial"/>
                <w:sz w:val="20"/>
                <w:szCs w:val="20"/>
                <w:lang w:val="es-ES_tradnl" w:eastAsia="es-CL"/>
              </w:rPr>
            </w:pPr>
            <w:r w:rsidRPr="002D736E">
              <w:rPr>
                <w:rFonts w:ascii="Arial" w:eastAsia="Times New Roman" w:hAnsi="Arial" w:cs="Arial"/>
                <w:sz w:val="20"/>
                <w:szCs w:val="20"/>
                <w:lang w:val="es-ES_tradnl" w:eastAsia="es-CL"/>
              </w:rPr>
              <w:t>Informe</w:t>
            </w:r>
            <w:r w:rsidR="00D72D99">
              <w:rPr>
                <w:rFonts w:ascii="Arial" w:eastAsia="Times New Roman" w:hAnsi="Arial" w:cs="Arial"/>
                <w:sz w:val="20"/>
                <w:szCs w:val="20"/>
                <w:lang w:val="es-ES_tradnl" w:eastAsia="es-CL"/>
              </w:rPr>
              <w:t xml:space="preserve"> elaborado por la DEP sobre líneas de apoyo y capacitación</w:t>
            </w:r>
          </w:p>
        </w:tc>
      </w:tr>
      <w:tr w:rsidR="00CD0A76" w:rsidRPr="00152CDF" w14:paraId="0F828F77" w14:textId="2F39AC27" w:rsidTr="632B5BC6">
        <w:trPr>
          <w:trHeight w:val="20"/>
          <w:jc w:val="center"/>
        </w:trPr>
        <w:tc>
          <w:tcPr>
            <w:tcW w:w="5000" w:type="pct"/>
            <w:gridSpan w:val="8"/>
            <w:tcBorders>
              <w:top w:val="nil"/>
              <w:left w:val="single" w:sz="4" w:space="0" w:color="auto"/>
              <w:bottom w:val="single" w:sz="4" w:space="0" w:color="auto"/>
              <w:right w:val="single" w:sz="8" w:space="0" w:color="auto"/>
            </w:tcBorders>
            <w:shd w:val="clear" w:color="auto" w:fill="A6A6A6" w:themeFill="background1" w:themeFillShade="A6"/>
            <w:vAlign w:val="bottom"/>
            <w:hideMark/>
          </w:tcPr>
          <w:p w14:paraId="6BE2B82F" w14:textId="5F906807" w:rsidR="00CD0A76" w:rsidRPr="00252A0B" w:rsidRDefault="00CD0A76" w:rsidP="00CD0A76">
            <w:pPr>
              <w:spacing w:after="0" w:line="240" w:lineRule="auto"/>
              <w:rPr>
                <w:rFonts w:ascii="Arial" w:eastAsia="Times New Roman" w:hAnsi="Arial" w:cs="Arial"/>
                <w:b/>
                <w:sz w:val="20"/>
                <w:szCs w:val="20"/>
                <w:lang w:val="es-ES_tradnl" w:eastAsia="es-CL"/>
              </w:rPr>
            </w:pPr>
            <w:r w:rsidRPr="00252A0B">
              <w:rPr>
                <w:rFonts w:ascii="Arial" w:eastAsia="Times New Roman" w:hAnsi="Arial" w:cs="Arial"/>
                <w:b/>
                <w:color w:val="000000"/>
                <w:sz w:val="20"/>
                <w:szCs w:val="20"/>
                <w:lang w:val="es-ES_tradnl" w:eastAsia="es-CL"/>
              </w:rPr>
              <w:t>Componente 2: Soporte técnico pedagógico</w:t>
            </w:r>
            <w:r w:rsidRPr="00252A0B">
              <w:rPr>
                <w:rFonts w:ascii="Arial" w:eastAsia="Times New Roman" w:hAnsi="Arial" w:cs="Arial"/>
                <w:b/>
                <w:sz w:val="20"/>
                <w:szCs w:val="20"/>
                <w:lang w:val="es-ES_tradnl" w:eastAsia="es-CL"/>
              </w:rPr>
              <w:t> </w:t>
            </w:r>
          </w:p>
          <w:p w14:paraId="528E2910" w14:textId="60F681E9" w:rsidR="00CD0A76" w:rsidRPr="00252A0B" w:rsidRDefault="00CD0A76"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b/>
                <w:sz w:val="20"/>
                <w:szCs w:val="20"/>
                <w:lang w:val="es-ES_tradnl" w:eastAsia="es-CL"/>
              </w:rPr>
              <w:t> </w:t>
            </w:r>
          </w:p>
        </w:tc>
      </w:tr>
      <w:tr w:rsidR="00CD0A76" w:rsidRPr="00376B9E" w14:paraId="7509CC23" w14:textId="30DF0442" w:rsidTr="632B5BC6">
        <w:trPr>
          <w:trHeight w:val="20"/>
          <w:jc w:val="center"/>
        </w:trPr>
        <w:tc>
          <w:tcPr>
            <w:tcW w:w="5000" w:type="pct"/>
            <w:gridSpan w:val="8"/>
            <w:tcBorders>
              <w:top w:val="nil"/>
              <w:left w:val="single" w:sz="4" w:space="0" w:color="auto"/>
              <w:bottom w:val="nil"/>
              <w:right w:val="single" w:sz="8" w:space="0" w:color="auto"/>
            </w:tcBorders>
            <w:shd w:val="clear" w:color="auto" w:fill="D9D9D9" w:themeFill="background1" w:themeFillShade="D9"/>
            <w:vAlign w:val="bottom"/>
            <w:hideMark/>
          </w:tcPr>
          <w:p w14:paraId="1957A470" w14:textId="6619C5D8" w:rsidR="00CD0A76" w:rsidRPr="00252A0B" w:rsidRDefault="00CD0A76" w:rsidP="00CD0A76">
            <w:pPr>
              <w:spacing w:after="0" w:line="240" w:lineRule="auto"/>
              <w:rPr>
                <w:rFonts w:ascii="Arial" w:eastAsia="Times New Roman" w:hAnsi="Arial" w:cs="Arial"/>
                <w:b/>
                <w:sz w:val="20"/>
                <w:szCs w:val="20"/>
                <w:lang w:val="es-ES_tradnl" w:eastAsia="es-CL"/>
              </w:rPr>
            </w:pPr>
            <w:r w:rsidRPr="00252A0B">
              <w:rPr>
                <w:rFonts w:ascii="Arial" w:eastAsia="Times New Roman" w:hAnsi="Arial" w:cs="Arial"/>
                <w:b/>
                <w:color w:val="000000"/>
                <w:sz w:val="20"/>
                <w:szCs w:val="20"/>
                <w:lang w:val="es-ES_tradnl" w:eastAsia="es-CL"/>
              </w:rPr>
              <w:t xml:space="preserve">2.1. Acciones de apoyo técnico pedagógico desde los </w:t>
            </w:r>
            <w:proofErr w:type="spellStart"/>
            <w:r w:rsidRPr="00252A0B">
              <w:rPr>
                <w:rFonts w:ascii="Arial" w:eastAsia="Times New Roman" w:hAnsi="Arial" w:cs="Arial"/>
                <w:b/>
                <w:color w:val="000000"/>
                <w:sz w:val="20"/>
                <w:szCs w:val="20"/>
                <w:lang w:val="es-ES_tradnl" w:eastAsia="es-CL"/>
              </w:rPr>
              <w:t>SLEPs</w:t>
            </w:r>
            <w:proofErr w:type="spellEnd"/>
            <w:r w:rsidRPr="00252A0B">
              <w:rPr>
                <w:rFonts w:ascii="Arial" w:eastAsia="Times New Roman" w:hAnsi="Arial" w:cs="Arial"/>
                <w:b/>
                <w:sz w:val="20"/>
                <w:szCs w:val="20"/>
                <w:lang w:val="es-ES_tradnl" w:eastAsia="es-CL"/>
              </w:rPr>
              <w:t> </w:t>
            </w:r>
          </w:p>
          <w:p w14:paraId="76B325F9" w14:textId="390BEB88" w:rsidR="00CD0A76" w:rsidRPr="00252A0B" w:rsidRDefault="00CD0A76" w:rsidP="00384310">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b/>
                <w:sz w:val="20"/>
                <w:szCs w:val="20"/>
                <w:lang w:val="es-ES_tradnl" w:eastAsia="es-CL"/>
              </w:rPr>
              <w:t> </w:t>
            </w:r>
          </w:p>
        </w:tc>
      </w:tr>
      <w:tr w:rsidR="00857020" w:rsidRPr="00376B9E" w14:paraId="4B5D237D" w14:textId="78C1FCA4" w:rsidTr="632B5BC6">
        <w:trPr>
          <w:trHeight w:val="20"/>
          <w:jc w:val="center"/>
        </w:trPr>
        <w:tc>
          <w:tcPr>
            <w:tcW w:w="1383" w:type="pct"/>
            <w:tcBorders>
              <w:top w:val="single" w:sz="4" w:space="0" w:color="auto"/>
              <w:left w:val="single" w:sz="4" w:space="0" w:color="auto"/>
              <w:bottom w:val="single" w:sz="4" w:space="0" w:color="auto"/>
              <w:right w:val="nil"/>
            </w:tcBorders>
            <w:shd w:val="clear" w:color="auto" w:fill="FFFFFF" w:themeFill="background1"/>
            <w:vAlign w:val="center"/>
            <w:hideMark/>
          </w:tcPr>
          <w:p w14:paraId="13E96423" w14:textId="3C70EA15" w:rsidR="00384310" w:rsidRPr="00252A0B" w:rsidRDefault="00AC412A" w:rsidP="00597D72">
            <w:pPr>
              <w:spacing w:after="0" w:line="240" w:lineRule="auto"/>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Documento de b</w:t>
            </w:r>
            <w:r w:rsidR="00384310" w:rsidRPr="00252A0B">
              <w:rPr>
                <w:rFonts w:ascii="Arial" w:eastAsia="Times New Roman" w:hAnsi="Arial" w:cs="Arial"/>
                <w:sz w:val="20"/>
                <w:szCs w:val="20"/>
                <w:lang w:val="es-ES_tradnl" w:eastAsia="es-CL"/>
              </w:rPr>
              <w:t xml:space="preserve">ases para un modelo de apoyo técnico pedagógico para la educación pública </w:t>
            </w:r>
            <w:r w:rsidR="004C22D1">
              <w:rPr>
                <w:rFonts w:ascii="Arial" w:eastAsia="Times New Roman" w:hAnsi="Arial" w:cs="Arial"/>
                <w:sz w:val="20"/>
                <w:szCs w:val="20"/>
                <w:lang w:val="es-ES_tradnl" w:eastAsia="es-CL"/>
              </w:rPr>
              <w:t>publicado</w:t>
            </w:r>
          </w:p>
        </w:tc>
        <w:tc>
          <w:tcPr>
            <w:tcW w:w="507" w:type="pct"/>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1CA0CC88" w14:textId="6CB56B7F"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hAnsi="Arial" w:cs="Arial"/>
                <w:sz w:val="20"/>
                <w:szCs w:val="20"/>
                <w:lang w:val="es-ES_tradnl"/>
              </w:rPr>
              <w:t>Documento</w:t>
            </w:r>
          </w:p>
        </w:tc>
        <w:tc>
          <w:tcPr>
            <w:tcW w:w="301" w:type="pct"/>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14:paraId="7BB34B48" w14:textId="7002205F"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single" w:sz="4" w:space="0" w:color="auto"/>
              <w:left w:val="nil"/>
              <w:bottom w:val="single" w:sz="4" w:space="0" w:color="auto"/>
              <w:right w:val="single" w:sz="8" w:space="0" w:color="auto"/>
            </w:tcBorders>
            <w:shd w:val="clear" w:color="auto" w:fill="FFFFFF" w:themeFill="background1"/>
            <w:vAlign w:val="center"/>
            <w:hideMark/>
          </w:tcPr>
          <w:p w14:paraId="285C0EAE" w14:textId="4A037B9B" w:rsidR="00384310" w:rsidRPr="00252A0B" w:rsidRDefault="00B1198E" w:rsidP="00EC544C">
            <w:pPr>
              <w:spacing w:after="0" w:line="240" w:lineRule="auto"/>
              <w:jc w:val="center"/>
              <w:rPr>
                <w:rFonts w:ascii="Arial" w:eastAsia="Times New Roman" w:hAnsi="Arial" w:cs="Arial"/>
                <w:sz w:val="20"/>
                <w:szCs w:val="20"/>
                <w:lang w:val="es-ES_tradnl" w:eastAsia="es-CL"/>
              </w:rPr>
            </w:pPr>
            <w:r w:rsidRPr="002D0BB2">
              <w:rPr>
                <w:rFonts w:ascii="Arial" w:eastAsia="Times New Roman" w:hAnsi="Arial" w:cs="Arial"/>
                <w:sz w:val="20"/>
                <w:szCs w:val="20"/>
                <w:lang w:val="es-ES_tradnl" w:eastAsia="es-CL"/>
              </w:rPr>
              <w:t>2017</w:t>
            </w:r>
          </w:p>
        </w:tc>
        <w:tc>
          <w:tcPr>
            <w:tcW w:w="326" w:type="pct"/>
            <w:tcBorders>
              <w:top w:val="single" w:sz="4" w:space="0" w:color="auto"/>
              <w:left w:val="nil"/>
              <w:bottom w:val="single" w:sz="4" w:space="0" w:color="auto"/>
              <w:right w:val="single" w:sz="4" w:space="0" w:color="auto"/>
            </w:tcBorders>
            <w:shd w:val="clear" w:color="auto" w:fill="FFFFFF" w:themeFill="background1"/>
            <w:vAlign w:val="center"/>
            <w:hideMark/>
          </w:tcPr>
          <w:p w14:paraId="6EABF70F"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5631F016"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382" w:type="pct"/>
            <w:tcBorders>
              <w:top w:val="single" w:sz="4" w:space="0" w:color="auto"/>
              <w:left w:val="nil"/>
              <w:bottom w:val="single" w:sz="4" w:space="0" w:color="auto"/>
              <w:right w:val="single" w:sz="8" w:space="0" w:color="auto"/>
            </w:tcBorders>
            <w:shd w:val="clear" w:color="auto" w:fill="FFFFFF" w:themeFill="background1"/>
            <w:noWrap/>
            <w:vAlign w:val="center"/>
            <w:hideMark/>
          </w:tcPr>
          <w:p w14:paraId="71F61226"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w:t>
            </w:r>
          </w:p>
        </w:tc>
        <w:tc>
          <w:tcPr>
            <w:tcW w:w="1385" w:type="pct"/>
            <w:tcBorders>
              <w:top w:val="single" w:sz="4" w:space="0" w:color="auto"/>
              <w:left w:val="nil"/>
              <w:bottom w:val="single" w:sz="4" w:space="0" w:color="auto"/>
              <w:right w:val="single" w:sz="8" w:space="0" w:color="auto"/>
            </w:tcBorders>
            <w:shd w:val="clear" w:color="auto" w:fill="FFFFFF" w:themeFill="background1"/>
            <w:vAlign w:val="center"/>
          </w:tcPr>
          <w:p w14:paraId="45062507" w14:textId="360457D9" w:rsidR="00384310" w:rsidRPr="00252A0B" w:rsidRDefault="00E878A9" w:rsidP="00EC544C">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Publicación de las b</w:t>
            </w:r>
            <w:r w:rsidR="00883C7C" w:rsidRPr="00252A0B">
              <w:rPr>
                <w:rFonts w:ascii="Arial" w:eastAsia="Times New Roman" w:hAnsi="Arial" w:cs="Arial"/>
                <w:sz w:val="20"/>
                <w:szCs w:val="20"/>
                <w:lang w:val="es-ES_tradnl" w:eastAsia="es-CL"/>
              </w:rPr>
              <w:t>ases</w:t>
            </w:r>
            <w:r w:rsidR="00EB0D4D">
              <w:rPr>
                <w:rFonts w:ascii="Arial" w:eastAsia="Times New Roman" w:hAnsi="Arial" w:cs="Arial"/>
                <w:sz w:val="20"/>
                <w:szCs w:val="20"/>
                <w:lang w:val="es-ES_tradnl" w:eastAsia="es-CL"/>
              </w:rPr>
              <w:t>, DEP.</w:t>
            </w:r>
          </w:p>
        </w:tc>
      </w:tr>
      <w:tr w:rsidR="007F0BA9" w:rsidRPr="000A120D" w14:paraId="1CED6077" w14:textId="5F1C7297"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center"/>
            <w:hideMark/>
          </w:tcPr>
          <w:p w14:paraId="4F275A69" w14:textId="479573EC" w:rsidR="00384310" w:rsidRPr="00252A0B" w:rsidRDefault="004C22D1" w:rsidP="00597D72">
            <w:pPr>
              <w:spacing w:after="0" w:line="240" w:lineRule="auto"/>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Documento de g</w:t>
            </w:r>
            <w:r w:rsidR="00384310" w:rsidRPr="00252A0B">
              <w:rPr>
                <w:rFonts w:ascii="Arial" w:eastAsia="Times New Roman" w:hAnsi="Arial" w:cs="Arial"/>
                <w:sz w:val="20"/>
                <w:szCs w:val="20"/>
                <w:lang w:val="es-ES_tradnl" w:eastAsia="es-CL"/>
              </w:rPr>
              <w:t xml:space="preserve">uías metodológicas para implementación de apoyo técnico pedagógico </w:t>
            </w:r>
            <w:r>
              <w:rPr>
                <w:rFonts w:ascii="Arial" w:eastAsia="Times New Roman" w:hAnsi="Arial" w:cs="Arial"/>
                <w:sz w:val="20"/>
                <w:szCs w:val="20"/>
                <w:lang w:val="es-ES_tradnl" w:eastAsia="es-CL"/>
              </w:rPr>
              <w:t>publicad</w:t>
            </w:r>
            <w:r w:rsidR="00D437F6">
              <w:rPr>
                <w:rFonts w:ascii="Arial" w:eastAsia="Times New Roman" w:hAnsi="Arial" w:cs="Arial"/>
                <w:sz w:val="20"/>
                <w:szCs w:val="20"/>
                <w:lang w:val="es-ES_tradnl" w:eastAsia="es-CL"/>
              </w:rPr>
              <w:t>o</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3E6CB99A" w14:textId="06E9EB1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hAnsi="Arial" w:cs="Arial"/>
                <w:sz w:val="20"/>
                <w:szCs w:val="20"/>
                <w:lang w:val="es-ES_tradnl"/>
              </w:rPr>
              <w:t>Documento</w:t>
            </w:r>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33C44C7B" w14:textId="36784145"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0CB6D876" w14:textId="472EA947" w:rsidR="00384310" w:rsidRPr="00252A0B" w:rsidRDefault="00B1198E" w:rsidP="00EC544C">
            <w:pPr>
              <w:spacing w:after="0" w:line="240" w:lineRule="auto"/>
              <w:jc w:val="center"/>
              <w:rPr>
                <w:rFonts w:ascii="Arial" w:eastAsia="Times New Roman" w:hAnsi="Arial" w:cs="Arial"/>
                <w:sz w:val="20"/>
                <w:szCs w:val="20"/>
                <w:lang w:val="es-ES_tradnl" w:eastAsia="es-CL"/>
              </w:rPr>
            </w:pPr>
            <w:r w:rsidRPr="002D0BB2">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5D9AEF2C"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301" w:type="pct"/>
            <w:tcBorders>
              <w:top w:val="nil"/>
              <w:left w:val="nil"/>
              <w:bottom w:val="single" w:sz="4" w:space="0" w:color="auto"/>
              <w:right w:val="single" w:sz="4" w:space="0" w:color="auto"/>
            </w:tcBorders>
            <w:shd w:val="clear" w:color="auto" w:fill="auto"/>
            <w:vAlign w:val="center"/>
            <w:hideMark/>
          </w:tcPr>
          <w:p w14:paraId="1BD64FB1"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502F57B0"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w:t>
            </w:r>
          </w:p>
        </w:tc>
        <w:tc>
          <w:tcPr>
            <w:tcW w:w="1385" w:type="pct"/>
            <w:tcBorders>
              <w:top w:val="nil"/>
              <w:left w:val="nil"/>
              <w:bottom w:val="single" w:sz="4" w:space="0" w:color="auto"/>
              <w:right w:val="single" w:sz="8" w:space="0" w:color="auto"/>
            </w:tcBorders>
            <w:shd w:val="clear" w:color="auto" w:fill="FFFFFF" w:themeFill="background1"/>
            <w:vAlign w:val="center"/>
          </w:tcPr>
          <w:p w14:paraId="6164ED03" w14:textId="6957B032" w:rsidR="00384310" w:rsidRPr="002D736E" w:rsidRDefault="00EB0D4D" w:rsidP="00EC544C">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 xml:space="preserve">Publicación de </w:t>
            </w:r>
            <w:proofErr w:type="gramStart"/>
            <w:r w:rsidR="00E878A9">
              <w:rPr>
                <w:rFonts w:ascii="Arial" w:eastAsia="Times New Roman" w:hAnsi="Arial" w:cs="Arial"/>
                <w:sz w:val="20"/>
                <w:szCs w:val="20"/>
                <w:lang w:val="es-ES_tradnl" w:eastAsia="es-CL"/>
              </w:rPr>
              <w:t>g</w:t>
            </w:r>
            <w:r>
              <w:rPr>
                <w:rFonts w:ascii="Arial" w:eastAsia="Times New Roman" w:hAnsi="Arial" w:cs="Arial"/>
                <w:sz w:val="20"/>
                <w:szCs w:val="20"/>
                <w:lang w:val="es-ES_tradnl" w:eastAsia="es-CL"/>
              </w:rPr>
              <w:t>uías</w:t>
            </w:r>
            <w:r w:rsidR="00E878A9">
              <w:rPr>
                <w:rFonts w:ascii="Arial" w:eastAsia="Times New Roman" w:hAnsi="Arial" w:cs="Arial"/>
                <w:sz w:val="20"/>
                <w:szCs w:val="20"/>
                <w:lang w:val="es-ES_tradnl" w:eastAsia="es-CL"/>
              </w:rPr>
              <w:t xml:space="preserve">,  </w:t>
            </w:r>
            <w:r>
              <w:rPr>
                <w:rFonts w:ascii="Arial" w:eastAsia="Times New Roman" w:hAnsi="Arial" w:cs="Arial"/>
                <w:sz w:val="20"/>
                <w:szCs w:val="20"/>
                <w:lang w:val="es-ES_tradnl" w:eastAsia="es-CL"/>
              </w:rPr>
              <w:t>DEP</w:t>
            </w:r>
            <w:proofErr w:type="gramEnd"/>
          </w:p>
        </w:tc>
      </w:tr>
      <w:tr w:rsidR="007F0BA9" w:rsidRPr="00152CDF" w14:paraId="374DE916" w14:textId="549D8995"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center"/>
            <w:hideMark/>
          </w:tcPr>
          <w:p w14:paraId="599A85C7" w14:textId="640F4E38" w:rsidR="00384310" w:rsidRPr="00252A0B" w:rsidRDefault="009F1782" w:rsidP="00597D72">
            <w:pPr>
              <w:spacing w:after="0" w:line="240" w:lineRule="auto"/>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 xml:space="preserve">Personal </w:t>
            </w:r>
            <w:r w:rsidR="00C5489D">
              <w:rPr>
                <w:rFonts w:ascii="Arial" w:eastAsia="Times New Roman" w:hAnsi="Arial" w:cs="Arial"/>
                <w:sz w:val="20"/>
                <w:szCs w:val="20"/>
                <w:lang w:val="es-ES_tradnl" w:eastAsia="es-CL"/>
              </w:rPr>
              <w:t>de e</w:t>
            </w:r>
            <w:r w:rsidR="00384310" w:rsidRPr="00252A0B">
              <w:rPr>
                <w:rFonts w:ascii="Arial" w:eastAsia="Times New Roman" w:hAnsi="Arial" w:cs="Arial"/>
                <w:sz w:val="20"/>
                <w:szCs w:val="20"/>
                <w:lang w:val="es-ES_tradnl" w:eastAsia="es-CL"/>
              </w:rPr>
              <w:t xml:space="preserve">quipo </w:t>
            </w:r>
            <w:r w:rsidR="005C0215">
              <w:rPr>
                <w:rFonts w:ascii="Arial" w:eastAsia="Times New Roman" w:hAnsi="Arial" w:cs="Arial"/>
                <w:sz w:val="20"/>
                <w:szCs w:val="20"/>
                <w:lang w:val="es-ES_tradnl" w:eastAsia="es-CL"/>
              </w:rPr>
              <w:t>DEP</w:t>
            </w:r>
            <w:r w:rsidR="00384310" w:rsidRPr="00252A0B">
              <w:rPr>
                <w:rFonts w:ascii="Arial" w:eastAsia="Times New Roman" w:hAnsi="Arial" w:cs="Arial"/>
                <w:sz w:val="20"/>
                <w:szCs w:val="20"/>
                <w:lang w:val="es-ES_tradnl" w:eastAsia="es-CL"/>
              </w:rPr>
              <w:t xml:space="preserve"> de apoyo técnico pedagógico contratado</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4AC283D9" w14:textId="56EC7FE3"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hAnsi="Arial" w:cs="Arial"/>
                <w:sz w:val="20"/>
                <w:szCs w:val="20"/>
                <w:lang w:val="es-ES_tradnl"/>
              </w:rPr>
              <w:t>Personal</w:t>
            </w:r>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180B0740" w14:textId="27999A55"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7A21E190" w14:textId="5AEB7D50" w:rsidR="00384310" w:rsidRPr="00252A0B" w:rsidRDefault="00B1198E" w:rsidP="00EC544C">
            <w:pPr>
              <w:spacing w:after="0" w:line="240" w:lineRule="auto"/>
              <w:jc w:val="center"/>
              <w:rPr>
                <w:rFonts w:ascii="Arial" w:eastAsia="Times New Roman" w:hAnsi="Arial" w:cs="Arial"/>
                <w:sz w:val="20"/>
                <w:szCs w:val="20"/>
                <w:lang w:val="es-ES_tradnl" w:eastAsia="es-CL"/>
              </w:rPr>
            </w:pPr>
            <w:r w:rsidRPr="002D0BB2">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00D73DD0"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5</w:t>
            </w:r>
          </w:p>
        </w:tc>
        <w:tc>
          <w:tcPr>
            <w:tcW w:w="301" w:type="pct"/>
            <w:tcBorders>
              <w:top w:val="nil"/>
              <w:left w:val="nil"/>
              <w:bottom w:val="single" w:sz="4" w:space="0" w:color="auto"/>
              <w:right w:val="single" w:sz="4" w:space="0" w:color="auto"/>
            </w:tcBorders>
            <w:shd w:val="clear" w:color="auto" w:fill="auto"/>
            <w:vAlign w:val="center"/>
            <w:hideMark/>
          </w:tcPr>
          <w:p w14:paraId="5C6B08A3"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9</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0E769951"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9</w:t>
            </w:r>
          </w:p>
        </w:tc>
        <w:tc>
          <w:tcPr>
            <w:tcW w:w="1385" w:type="pct"/>
            <w:tcBorders>
              <w:top w:val="nil"/>
              <w:left w:val="nil"/>
              <w:bottom w:val="single" w:sz="4" w:space="0" w:color="auto"/>
              <w:right w:val="single" w:sz="8" w:space="0" w:color="auto"/>
            </w:tcBorders>
            <w:shd w:val="clear" w:color="auto" w:fill="FFFFFF" w:themeFill="background1"/>
            <w:vAlign w:val="center"/>
          </w:tcPr>
          <w:p w14:paraId="3AB403FA" w14:textId="3A38B54D" w:rsidR="00384310" w:rsidRPr="002D736E" w:rsidRDefault="004B2934" w:rsidP="00EC544C">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Plan</w:t>
            </w:r>
            <w:r w:rsidR="00B4025A">
              <w:rPr>
                <w:rFonts w:ascii="Arial" w:eastAsia="Times New Roman" w:hAnsi="Arial" w:cs="Arial"/>
                <w:sz w:val="20"/>
                <w:szCs w:val="20"/>
                <w:lang w:val="es-ES_tradnl" w:eastAsia="es-CL"/>
              </w:rPr>
              <w:t>i</w:t>
            </w:r>
            <w:r>
              <w:rPr>
                <w:rFonts w:ascii="Arial" w:eastAsia="Times New Roman" w:hAnsi="Arial" w:cs="Arial"/>
                <w:sz w:val="20"/>
                <w:szCs w:val="20"/>
                <w:lang w:val="es-ES_tradnl" w:eastAsia="es-CL"/>
              </w:rPr>
              <w:t>lla de dotación DEP</w:t>
            </w:r>
          </w:p>
        </w:tc>
      </w:tr>
      <w:tr w:rsidR="007F0BA9" w:rsidRPr="00376B9E" w14:paraId="699F7925" w14:textId="6095D878"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center"/>
            <w:hideMark/>
          </w:tcPr>
          <w:p w14:paraId="42F3C48A" w14:textId="314B6C73" w:rsidR="00384310" w:rsidRPr="00252A0B" w:rsidRDefault="00384310" w:rsidP="00597D72">
            <w:pPr>
              <w:spacing w:after="0" w:line="240" w:lineRule="auto"/>
              <w:rPr>
                <w:rFonts w:ascii="Arial" w:eastAsia="Times New Roman" w:hAnsi="Arial" w:cs="Arial"/>
                <w:sz w:val="20"/>
                <w:szCs w:val="20"/>
                <w:lang w:val="es-ES_tradnl" w:eastAsia="es-CL"/>
              </w:rPr>
            </w:pPr>
            <w:proofErr w:type="spellStart"/>
            <w:r w:rsidRPr="00252A0B">
              <w:rPr>
                <w:rFonts w:ascii="Arial" w:eastAsia="Times New Roman" w:hAnsi="Arial" w:cs="Arial"/>
                <w:sz w:val="20"/>
                <w:szCs w:val="20"/>
                <w:lang w:val="es-ES_tradnl" w:eastAsia="es-CL"/>
              </w:rPr>
              <w:t>SLEPs</w:t>
            </w:r>
            <w:proofErr w:type="spellEnd"/>
            <w:r w:rsidRPr="00252A0B">
              <w:rPr>
                <w:rFonts w:ascii="Arial" w:eastAsia="Times New Roman" w:hAnsi="Arial" w:cs="Arial"/>
                <w:sz w:val="20"/>
                <w:szCs w:val="20"/>
                <w:lang w:val="es-ES_tradnl" w:eastAsia="es-CL"/>
              </w:rPr>
              <w:t xml:space="preserve"> que reciben </w:t>
            </w:r>
            <w:r w:rsidR="00AF149F">
              <w:rPr>
                <w:rFonts w:ascii="Arial" w:eastAsia="Times New Roman" w:hAnsi="Arial" w:cs="Arial"/>
                <w:sz w:val="20"/>
                <w:szCs w:val="20"/>
                <w:lang w:val="es-ES_tradnl" w:eastAsia="es-CL"/>
              </w:rPr>
              <w:t>servicios de</w:t>
            </w:r>
            <w:r w:rsidRPr="00252A0B">
              <w:rPr>
                <w:rFonts w:ascii="Arial" w:eastAsia="Times New Roman" w:hAnsi="Arial" w:cs="Arial"/>
                <w:sz w:val="20"/>
                <w:szCs w:val="20"/>
                <w:lang w:val="es-ES_tradnl" w:eastAsia="es-CL"/>
              </w:rPr>
              <w:t xml:space="preserve"> </w:t>
            </w:r>
            <w:r w:rsidR="00AF149F">
              <w:rPr>
                <w:rFonts w:ascii="Arial" w:eastAsia="Times New Roman" w:hAnsi="Arial" w:cs="Arial"/>
                <w:sz w:val="20"/>
                <w:szCs w:val="20"/>
                <w:lang w:val="es-ES_tradnl" w:eastAsia="es-CL"/>
              </w:rPr>
              <w:t>asistencia</w:t>
            </w:r>
            <w:r w:rsidRPr="00252A0B">
              <w:rPr>
                <w:rFonts w:ascii="Arial" w:eastAsia="Times New Roman" w:hAnsi="Arial" w:cs="Arial"/>
                <w:sz w:val="20"/>
                <w:szCs w:val="20"/>
                <w:lang w:val="es-ES_tradnl" w:eastAsia="es-CL"/>
              </w:rPr>
              <w:t xml:space="preserve"> técnica de equipo técnico pedagógico</w:t>
            </w:r>
            <w:r w:rsidR="00AF149F">
              <w:rPr>
                <w:rFonts w:ascii="Arial" w:eastAsia="Times New Roman" w:hAnsi="Arial" w:cs="Arial"/>
                <w:sz w:val="20"/>
                <w:szCs w:val="20"/>
                <w:lang w:val="es-ES_tradnl" w:eastAsia="es-CL"/>
              </w:rPr>
              <w:t xml:space="preserve"> DEP</w:t>
            </w:r>
          </w:p>
        </w:tc>
        <w:tc>
          <w:tcPr>
            <w:tcW w:w="507" w:type="pct"/>
            <w:tcBorders>
              <w:top w:val="nil"/>
              <w:left w:val="single" w:sz="8" w:space="0" w:color="auto"/>
              <w:bottom w:val="single" w:sz="4" w:space="0" w:color="auto"/>
              <w:right w:val="single" w:sz="8" w:space="0" w:color="auto"/>
            </w:tcBorders>
            <w:shd w:val="clear" w:color="auto" w:fill="FFFFFF" w:themeFill="background1"/>
            <w:vAlign w:val="center"/>
          </w:tcPr>
          <w:p w14:paraId="725145EE" w14:textId="49F2F996" w:rsidR="00384310" w:rsidRPr="00252A0B" w:rsidRDefault="00384310" w:rsidP="00EC544C">
            <w:pPr>
              <w:spacing w:after="0" w:line="240" w:lineRule="auto"/>
              <w:jc w:val="center"/>
              <w:rPr>
                <w:rFonts w:ascii="Arial" w:eastAsia="Times New Roman" w:hAnsi="Arial" w:cs="Arial"/>
                <w:sz w:val="20"/>
                <w:szCs w:val="20"/>
                <w:lang w:val="es-ES_tradnl" w:eastAsia="es-CL"/>
              </w:rPr>
            </w:pPr>
            <w:proofErr w:type="spellStart"/>
            <w:r w:rsidRPr="00252A0B">
              <w:rPr>
                <w:rFonts w:ascii="Arial" w:hAnsi="Arial" w:cs="Arial"/>
                <w:sz w:val="20"/>
                <w:szCs w:val="20"/>
                <w:lang w:val="es-ES_tradnl"/>
              </w:rPr>
              <w:t>SLEP</w:t>
            </w:r>
            <w:proofErr w:type="spellEnd"/>
          </w:p>
        </w:tc>
        <w:tc>
          <w:tcPr>
            <w:tcW w:w="301" w:type="pct"/>
            <w:tcBorders>
              <w:top w:val="nil"/>
              <w:left w:val="single" w:sz="8" w:space="0" w:color="auto"/>
              <w:bottom w:val="single" w:sz="4" w:space="0" w:color="auto"/>
              <w:right w:val="single" w:sz="4" w:space="0" w:color="auto"/>
            </w:tcBorders>
            <w:shd w:val="clear" w:color="auto" w:fill="FFFFFF" w:themeFill="background1"/>
            <w:vAlign w:val="center"/>
            <w:hideMark/>
          </w:tcPr>
          <w:p w14:paraId="1CC7A9EB" w14:textId="40114A04"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4" w:space="0" w:color="auto"/>
              <w:right w:val="single" w:sz="8" w:space="0" w:color="auto"/>
            </w:tcBorders>
            <w:shd w:val="clear" w:color="auto" w:fill="FFFFFF" w:themeFill="background1"/>
            <w:vAlign w:val="center"/>
            <w:hideMark/>
          </w:tcPr>
          <w:p w14:paraId="32CE504C" w14:textId="253B462D" w:rsidR="00384310" w:rsidRPr="00252A0B" w:rsidRDefault="00B1198E" w:rsidP="00EC544C">
            <w:pPr>
              <w:spacing w:after="0" w:line="240" w:lineRule="auto"/>
              <w:jc w:val="center"/>
              <w:rPr>
                <w:rFonts w:ascii="Arial" w:eastAsia="Times New Roman" w:hAnsi="Arial" w:cs="Arial"/>
                <w:sz w:val="20"/>
                <w:szCs w:val="20"/>
                <w:lang w:val="es-ES_tradnl" w:eastAsia="es-CL"/>
              </w:rPr>
            </w:pPr>
            <w:r w:rsidRPr="002D0BB2">
              <w:rPr>
                <w:rFonts w:ascii="Arial" w:eastAsia="Times New Roman" w:hAnsi="Arial" w:cs="Arial"/>
                <w:sz w:val="20"/>
                <w:szCs w:val="20"/>
                <w:lang w:val="es-ES_tradnl" w:eastAsia="es-CL"/>
              </w:rPr>
              <w:t>2017</w:t>
            </w:r>
          </w:p>
        </w:tc>
        <w:tc>
          <w:tcPr>
            <w:tcW w:w="326" w:type="pct"/>
            <w:tcBorders>
              <w:top w:val="nil"/>
              <w:left w:val="nil"/>
              <w:bottom w:val="single" w:sz="4" w:space="0" w:color="auto"/>
              <w:right w:val="single" w:sz="4" w:space="0" w:color="auto"/>
            </w:tcBorders>
            <w:shd w:val="clear" w:color="auto" w:fill="FFFFFF" w:themeFill="background1"/>
            <w:vAlign w:val="center"/>
            <w:hideMark/>
          </w:tcPr>
          <w:p w14:paraId="2FEB48BB" w14:textId="12CFFDD0" w:rsidR="00384310" w:rsidRPr="00252A0B" w:rsidRDefault="00D535CE"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4</w:t>
            </w:r>
          </w:p>
        </w:tc>
        <w:tc>
          <w:tcPr>
            <w:tcW w:w="301" w:type="pct"/>
            <w:tcBorders>
              <w:top w:val="nil"/>
              <w:left w:val="nil"/>
              <w:bottom w:val="single" w:sz="4" w:space="0" w:color="auto"/>
              <w:right w:val="single" w:sz="4" w:space="0" w:color="auto"/>
            </w:tcBorders>
            <w:shd w:val="clear" w:color="auto" w:fill="auto"/>
            <w:vAlign w:val="center"/>
            <w:hideMark/>
          </w:tcPr>
          <w:p w14:paraId="7051EE98"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7</w:t>
            </w:r>
          </w:p>
        </w:tc>
        <w:tc>
          <w:tcPr>
            <w:tcW w:w="382" w:type="pct"/>
            <w:tcBorders>
              <w:top w:val="nil"/>
              <w:left w:val="nil"/>
              <w:bottom w:val="single" w:sz="4" w:space="0" w:color="auto"/>
              <w:right w:val="single" w:sz="8" w:space="0" w:color="auto"/>
            </w:tcBorders>
            <w:shd w:val="clear" w:color="auto" w:fill="FFFFFF" w:themeFill="background1"/>
            <w:noWrap/>
            <w:vAlign w:val="center"/>
            <w:hideMark/>
          </w:tcPr>
          <w:p w14:paraId="0448DA3A"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11</w:t>
            </w:r>
          </w:p>
        </w:tc>
        <w:tc>
          <w:tcPr>
            <w:tcW w:w="1385" w:type="pct"/>
            <w:tcBorders>
              <w:top w:val="nil"/>
              <w:left w:val="nil"/>
              <w:bottom w:val="single" w:sz="4" w:space="0" w:color="auto"/>
              <w:right w:val="single" w:sz="8" w:space="0" w:color="auto"/>
            </w:tcBorders>
            <w:shd w:val="clear" w:color="auto" w:fill="FFFFFF" w:themeFill="background1"/>
            <w:vAlign w:val="center"/>
          </w:tcPr>
          <w:p w14:paraId="6F9E6BED" w14:textId="358C5224" w:rsidR="00384310" w:rsidRPr="002D736E" w:rsidRDefault="00883C7C" w:rsidP="00EC544C">
            <w:pPr>
              <w:spacing w:after="0" w:line="240" w:lineRule="auto"/>
              <w:jc w:val="center"/>
              <w:rPr>
                <w:rFonts w:ascii="Arial" w:eastAsia="Times New Roman" w:hAnsi="Arial" w:cs="Arial"/>
                <w:sz w:val="20"/>
                <w:szCs w:val="20"/>
                <w:lang w:val="es-ES_tradnl" w:eastAsia="es-CL"/>
              </w:rPr>
            </w:pPr>
            <w:r w:rsidRPr="002D736E">
              <w:rPr>
                <w:rFonts w:ascii="Arial" w:eastAsia="Times New Roman" w:hAnsi="Arial" w:cs="Arial"/>
                <w:sz w:val="20"/>
                <w:szCs w:val="20"/>
                <w:lang w:val="es-ES_tradnl" w:eastAsia="es-CL"/>
              </w:rPr>
              <w:t>Informe</w:t>
            </w:r>
            <w:r w:rsidRPr="00252A0B">
              <w:rPr>
                <w:rFonts w:ascii="Arial" w:eastAsia="Times New Roman" w:hAnsi="Arial" w:cs="Arial"/>
                <w:sz w:val="20"/>
                <w:szCs w:val="20"/>
                <w:lang w:val="es-ES_tradnl" w:eastAsia="es-CL"/>
              </w:rPr>
              <w:t xml:space="preserve"> </w:t>
            </w:r>
            <w:r w:rsidR="00AF149F">
              <w:rPr>
                <w:rFonts w:ascii="Arial" w:eastAsia="Times New Roman" w:hAnsi="Arial" w:cs="Arial"/>
                <w:sz w:val="20"/>
                <w:szCs w:val="20"/>
                <w:lang w:val="es-ES_tradnl" w:eastAsia="es-CL"/>
              </w:rPr>
              <w:t>elaborado por la DEP sobre líneas de apoyo y capacitación</w:t>
            </w:r>
          </w:p>
        </w:tc>
      </w:tr>
      <w:tr w:rsidR="00C707F9" w:rsidRPr="00376B9E" w14:paraId="7656490B" w14:textId="7596D929" w:rsidTr="632B5BC6">
        <w:trPr>
          <w:trHeight w:val="20"/>
          <w:jc w:val="center"/>
        </w:trPr>
        <w:tc>
          <w:tcPr>
            <w:tcW w:w="1383" w:type="pct"/>
            <w:tcBorders>
              <w:top w:val="nil"/>
              <w:left w:val="single" w:sz="4" w:space="0" w:color="auto"/>
              <w:bottom w:val="single" w:sz="4" w:space="0" w:color="auto"/>
              <w:right w:val="nil"/>
            </w:tcBorders>
            <w:shd w:val="clear" w:color="auto" w:fill="FFFFFF" w:themeFill="background1"/>
            <w:vAlign w:val="center"/>
            <w:hideMark/>
          </w:tcPr>
          <w:p w14:paraId="25F75F3A" w14:textId="44DCDE6C" w:rsidR="00384310" w:rsidRPr="00252A0B" w:rsidRDefault="00384310" w:rsidP="00597D72">
            <w:pPr>
              <w:spacing w:after="0" w:line="240" w:lineRule="auto"/>
              <w:rPr>
                <w:rFonts w:ascii="Arial" w:eastAsia="Times New Roman" w:hAnsi="Arial" w:cs="Arial"/>
                <w:sz w:val="20"/>
                <w:szCs w:val="20"/>
                <w:lang w:val="es-ES_tradnl" w:eastAsia="es-CL"/>
              </w:rPr>
            </w:pPr>
            <w:proofErr w:type="spellStart"/>
            <w:r w:rsidRPr="00252A0B">
              <w:rPr>
                <w:rFonts w:ascii="Arial" w:eastAsia="Times New Roman" w:hAnsi="Arial" w:cs="Arial"/>
                <w:sz w:val="20"/>
                <w:szCs w:val="20"/>
                <w:lang w:val="es-ES_tradnl" w:eastAsia="es-CL"/>
              </w:rPr>
              <w:t>SLEPs</w:t>
            </w:r>
            <w:proofErr w:type="spellEnd"/>
            <w:r w:rsidRPr="00252A0B">
              <w:rPr>
                <w:rFonts w:ascii="Arial" w:eastAsia="Times New Roman" w:hAnsi="Arial" w:cs="Arial"/>
                <w:sz w:val="20"/>
                <w:szCs w:val="20"/>
                <w:lang w:val="es-ES_tradnl" w:eastAsia="es-CL"/>
              </w:rPr>
              <w:t xml:space="preserve"> que reciben </w:t>
            </w:r>
            <w:r w:rsidR="00BF41DB">
              <w:rPr>
                <w:rFonts w:ascii="Arial" w:eastAsia="Times New Roman" w:hAnsi="Arial" w:cs="Arial"/>
                <w:sz w:val="20"/>
                <w:szCs w:val="20"/>
                <w:lang w:val="es-ES_tradnl" w:eastAsia="es-CL"/>
              </w:rPr>
              <w:t>servicios de</w:t>
            </w:r>
            <w:r w:rsidRPr="00252A0B">
              <w:rPr>
                <w:rFonts w:ascii="Arial" w:eastAsia="Times New Roman" w:hAnsi="Arial" w:cs="Arial"/>
                <w:sz w:val="20"/>
                <w:szCs w:val="20"/>
                <w:lang w:val="es-ES_tradnl" w:eastAsia="es-CL"/>
              </w:rPr>
              <w:t xml:space="preserve"> capacitación </w:t>
            </w:r>
            <w:r w:rsidR="00C56D70" w:rsidRPr="00252A0B">
              <w:rPr>
                <w:rFonts w:ascii="Arial" w:eastAsia="Times New Roman" w:hAnsi="Arial" w:cs="Arial"/>
                <w:sz w:val="20"/>
                <w:szCs w:val="20"/>
                <w:lang w:val="es-ES_tradnl" w:eastAsia="es-CL"/>
              </w:rPr>
              <w:t>técnic</w:t>
            </w:r>
            <w:r w:rsidR="00C56D70">
              <w:rPr>
                <w:rFonts w:ascii="Arial" w:eastAsia="Times New Roman" w:hAnsi="Arial" w:cs="Arial"/>
                <w:sz w:val="20"/>
                <w:szCs w:val="20"/>
                <w:lang w:val="es-ES_tradnl" w:eastAsia="es-CL"/>
              </w:rPr>
              <w:t>o</w:t>
            </w:r>
            <w:r w:rsidR="00C56D70" w:rsidRPr="00252A0B">
              <w:rPr>
                <w:rFonts w:ascii="Arial" w:eastAsia="Times New Roman" w:hAnsi="Arial" w:cs="Arial"/>
                <w:sz w:val="20"/>
                <w:szCs w:val="20"/>
                <w:lang w:val="es-ES_tradnl" w:eastAsia="es-CL"/>
              </w:rPr>
              <w:t>-pedagógica</w:t>
            </w:r>
            <w:r w:rsidR="00BF41DB">
              <w:rPr>
                <w:rFonts w:ascii="Arial" w:eastAsia="Times New Roman" w:hAnsi="Arial" w:cs="Arial"/>
                <w:sz w:val="20"/>
                <w:szCs w:val="20"/>
                <w:lang w:val="es-ES_tradnl" w:eastAsia="es-CL"/>
              </w:rPr>
              <w:t xml:space="preserve"> por parte de equipo DEP</w:t>
            </w:r>
          </w:p>
        </w:tc>
        <w:tc>
          <w:tcPr>
            <w:tcW w:w="507" w:type="pct"/>
            <w:tcBorders>
              <w:top w:val="nil"/>
              <w:left w:val="single" w:sz="8" w:space="0" w:color="auto"/>
              <w:bottom w:val="single" w:sz="8" w:space="0" w:color="auto"/>
              <w:right w:val="single" w:sz="8" w:space="0" w:color="auto"/>
            </w:tcBorders>
            <w:shd w:val="clear" w:color="auto" w:fill="FFFFFF" w:themeFill="background1"/>
            <w:vAlign w:val="center"/>
          </w:tcPr>
          <w:p w14:paraId="2466112D" w14:textId="095DCC55" w:rsidR="00384310" w:rsidRPr="00252A0B" w:rsidRDefault="00384310" w:rsidP="00EC544C">
            <w:pPr>
              <w:spacing w:after="0" w:line="240" w:lineRule="auto"/>
              <w:jc w:val="center"/>
              <w:rPr>
                <w:rFonts w:ascii="Arial" w:eastAsia="Times New Roman" w:hAnsi="Arial" w:cs="Arial"/>
                <w:sz w:val="20"/>
                <w:szCs w:val="20"/>
                <w:lang w:val="es-ES_tradnl" w:eastAsia="es-CL"/>
              </w:rPr>
            </w:pPr>
            <w:proofErr w:type="spellStart"/>
            <w:r w:rsidRPr="00252A0B">
              <w:rPr>
                <w:rFonts w:ascii="Arial" w:hAnsi="Arial" w:cs="Arial"/>
                <w:sz w:val="20"/>
                <w:szCs w:val="20"/>
                <w:lang w:val="es-ES_tradnl"/>
              </w:rPr>
              <w:t>SLEP</w:t>
            </w:r>
            <w:proofErr w:type="spellEnd"/>
          </w:p>
        </w:tc>
        <w:tc>
          <w:tcPr>
            <w:tcW w:w="301" w:type="pct"/>
            <w:tcBorders>
              <w:top w:val="nil"/>
              <w:left w:val="single" w:sz="8" w:space="0" w:color="auto"/>
              <w:bottom w:val="single" w:sz="8" w:space="0" w:color="auto"/>
              <w:right w:val="single" w:sz="4" w:space="0" w:color="auto"/>
            </w:tcBorders>
            <w:shd w:val="clear" w:color="auto" w:fill="FFFFFF" w:themeFill="background1"/>
            <w:vAlign w:val="center"/>
            <w:hideMark/>
          </w:tcPr>
          <w:p w14:paraId="1E0D054C" w14:textId="491E245E"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0</w:t>
            </w:r>
          </w:p>
        </w:tc>
        <w:tc>
          <w:tcPr>
            <w:tcW w:w="415" w:type="pct"/>
            <w:tcBorders>
              <w:top w:val="nil"/>
              <w:left w:val="nil"/>
              <w:bottom w:val="single" w:sz="8" w:space="0" w:color="auto"/>
              <w:right w:val="single" w:sz="8" w:space="0" w:color="auto"/>
            </w:tcBorders>
            <w:shd w:val="clear" w:color="auto" w:fill="FFFFFF" w:themeFill="background1"/>
            <w:vAlign w:val="center"/>
            <w:hideMark/>
          </w:tcPr>
          <w:p w14:paraId="7490E430" w14:textId="101D0695" w:rsidR="00384310" w:rsidRPr="00252A0B" w:rsidRDefault="00B1198E" w:rsidP="00EC544C">
            <w:pPr>
              <w:spacing w:after="0" w:line="240" w:lineRule="auto"/>
              <w:jc w:val="center"/>
              <w:rPr>
                <w:rFonts w:ascii="Arial" w:eastAsia="Times New Roman" w:hAnsi="Arial" w:cs="Arial"/>
                <w:sz w:val="20"/>
                <w:szCs w:val="20"/>
                <w:lang w:val="es-ES_tradnl" w:eastAsia="es-CL"/>
              </w:rPr>
            </w:pPr>
            <w:r w:rsidRPr="002D0BB2">
              <w:rPr>
                <w:rFonts w:ascii="Arial" w:eastAsia="Times New Roman" w:hAnsi="Arial" w:cs="Arial"/>
                <w:sz w:val="20"/>
                <w:szCs w:val="20"/>
                <w:lang w:val="es-ES_tradnl" w:eastAsia="es-CL"/>
              </w:rPr>
              <w:t>2017</w:t>
            </w:r>
          </w:p>
        </w:tc>
        <w:tc>
          <w:tcPr>
            <w:tcW w:w="326" w:type="pct"/>
            <w:tcBorders>
              <w:top w:val="nil"/>
              <w:left w:val="nil"/>
              <w:bottom w:val="single" w:sz="8" w:space="0" w:color="auto"/>
              <w:right w:val="single" w:sz="4" w:space="0" w:color="auto"/>
            </w:tcBorders>
            <w:shd w:val="clear" w:color="auto" w:fill="FFFFFF" w:themeFill="background1"/>
            <w:vAlign w:val="center"/>
            <w:hideMark/>
          </w:tcPr>
          <w:p w14:paraId="758EEC63" w14:textId="5048E1AA" w:rsidR="00384310" w:rsidRPr="00252A0B" w:rsidRDefault="00D535CE"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4</w:t>
            </w:r>
          </w:p>
        </w:tc>
        <w:tc>
          <w:tcPr>
            <w:tcW w:w="301" w:type="pct"/>
            <w:tcBorders>
              <w:top w:val="nil"/>
              <w:left w:val="nil"/>
              <w:bottom w:val="single" w:sz="8" w:space="0" w:color="auto"/>
              <w:right w:val="single" w:sz="4" w:space="0" w:color="auto"/>
            </w:tcBorders>
            <w:shd w:val="clear" w:color="auto" w:fill="auto"/>
            <w:vAlign w:val="center"/>
            <w:hideMark/>
          </w:tcPr>
          <w:p w14:paraId="070F81FD"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7</w:t>
            </w:r>
          </w:p>
        </w:tc>
        <w:tc>
          <w:tcPr>
            <w:tcW w:w="382" w:type="pct"/>
            <w:tcBorders>
              <w:top w:val="nil"/>
              <w:left w:val="nil"/>
              <w:bottom w:val="single" w:sz="8" w:space="0" w:color="auto"/>
              <w:right w:val="single" w:sz="8" w:space="0" w:color="auto"/>
            </w:tcBorders>
            <w:shd w:val="clear" w:color="auto" w:fill="FFFFFF" w:themeFill="background1"/>
            <w:noWrap/>
            <w:vAlign w:val="center"/>
            <w:hideMark/>
          </w:tcPr>
          <w:p w14:paraId="39A69720" w14:textId="77777777" w:rsidR="00384310" w:rsidRPr="00252A0B" w:rsidRDefault="00384310" w:rsidP="00EC544C">
            <w:pPr>
              <w:spacing w:after="0" w:line="240" w:lineRule="auto"/>
              <w:jc w:val="center"/>
              <w:rPr>
                <w:rFonts w:ascii="Arial" w:eastAsia="Times New Roman" w:hAnsi="Arial" w:cs="Arial"/>
                <w:sz w:val="20"/>
                <w:szCs w:val="20"/>
                <w:lang w:val="es-ES_tradnl" w:eastAsia="es-CL"/>
              </w:rPr>
            </w:pPr>
            <w:r w:rsidRPr="00252A0B">
              <w:rPr>
                <w:rFonts w:ascii="Arial" w:eastAsia="Times New Roman" w:hAnsi="Arial" w:cs="Arial"/>
                <w:sz w:val="20"/>
                <w:szCs w:val="20"/>
                <w:lang w:val="es-ES_tradnl" w:eastAsia="es-CL"/>
              </w:rPr>
              <w:t>11</w:t>
            </w:r>
          </w:p>
        </w:tc>
        <w:tc>
          <w:tcPr>
            <w:tcW w:w="1385" w:type="pct"/>
            <w:tcBorders>
              <w:top w:val="nil"/>
              <w:left w:val="nil"/>
              <w:bottom w:val="single" w:sz="8" w:space="0" w:color="auto"/>
              <w:right w:val="single" w:sz="8" w:space="0" w:color="auto"/>
            </w:tcBorders>
            <w:shd w:val="clear" w:color="auto" w:fill="FFFFFF" w:themeFill="background1"/>
            <w:vAlign w:val="center"/>
          </w:tcPr>
          <w:p w14:paraId="37160064" w14:textId="63380B2A" w:rsidR="00384310" w:rsidRPr="002D736E" w:rsidRDefault="00B1198E" w:rsidP="00EC544C">
            <w:pPr>
              <w:spacing w:after="0" w:line="240" w:lineRule="auto"/>
              <w:jc w:val="center"/>
              <w:rPr>
                <w:rFonts w:ascii="Arial" w:eastAsia="Times New Roman" w:hAnsi="Arial" w:cs="Arial"/>
                <w:sz w:val="20"/>
                <w:szCs w:val="20"/>
                <w:lang w:val="es-ES_tradnl" w:eastAsia="es-CL"/>
              </w:rPr>
            </w:pPr>
            <w:r w:rsidRPr="002D736E">
              <w:rPr>
                <w:rFonts w:ascii="Arial" w:eastAsia="Times New Roman" w:hAnsi="Arial" w:cs="Arial"/>
                <w:sz w:val="20"/>
                <w:szCs w:val="20"/>
                <w:lang w:val="es-ES_tradnl" w:eastAsia="es-CL"/>
              </w:rPr>
              <w:t>Informe</w:t>
            </w:r>
            <w:r w:rsidR="00BF41DB">
              <w:rPr>
                <w:rFonts w:ascii="Arial" w:eastAsia="Times New Roman" w:hAnsi="Arial" w:cs="Arial"/>
                <w:sz w:val="20"/>
                <w:szCs w:val="20"/>
                <w:lang w:val="es-ES_tradnl" w:eastAsia="es-CL"/>
              </w:rPr>
              <w:t xml:space="preserve"> elaborado por la DEP sobre líneas de apoyo y capacitación</w:t>
            </w:r>
          </w:p>
        </w:tc>
      </w:tr>
    </w:tbl>
    <w:p w14:paraId="395DA837" w14:textId="77777777" w:rsidR="00180AE7" w:rsidRPr="00152CDF" w:rsidRDefault="00180AE7" w:rsidP="00B37C53">
      <w:pPr>
        <w:spacing w:line="240" w:lineRule="auto"/>
        <w:jc w:val="center"/>
        <w:rPr>
          <w:rFonts w:ascii="Arial" w:hAnsi="Arial" w:cs="Arial"/>
          <w:b/>
          <w:lang w:val="es-ES_tradnl"/>
        </w:rPr>
      </w:pPr>
    </w:p>
    <w:p w14:paraId="51C46120" w14:textId="7DE9584A" w:rsidR="00136A96" w:rsidRPr="00152CDF" w:rsidRDefault="00136A96" w:rsidP="00B37C53">
      <w:pPr>
        <w:spacing w:line="240" w:lineRule="auto"/>
        <w:jc w:val="center"/>
        <w:rPr>
          <w:rFonts w:ascii="Arial" w:hAnsi="Arial" w:cs="Arial"/>
          <w:b/>
          <w:lang w:val="es-ES_tradnl"/>
        </w:rPr>
        <w:sectPr w:rsidR="00136A96" w:rsidRPr="00152CDF" w:rsidSect="00D81C03">
          <w:pgSz w:w="15840" w:h="12240" w:orient="landscape"/>
          <w:pgMar w:top="1440" w:right="1440" w:bottom="1440" w:left="1440" w:header="720" w:footer="720" w:gutter="0"/>
          <w:cols w:space="720"/>
          <w:docGrid w:linePitch="360"/>
        </w:sectPr>
      </w:pPr>
    </w:p>
    <w:p w14:paraId="75CEFAE3" w14:textId="77777777" w:rsidR="00CF533C" w:rsidRPr="00152CDF" w:rsidRDefault="00CF533C" w:rsidP="00C85E02">
      <w:pPr>
        <w:spacing w:after="0" w:line="240" w:lineRule="auto"/>
        <w:jc w:val="center"/>
        <w:rPr>
          <w:rFonts w:ascii="Arial" w:hAnsi="Arial" w:cs="Arial"/>
          <w:b/>
          <w:sz w:val="18"/>
          <w:szCs w:val="18"/>
          <w:lang w:val="es-ES_tradnl"/>
        </w:rPr>
      </w:pPr>
    </w:p>
    <w:p w14:paraId="207BD6BF" w14:textId="422ED364" w:rsidR="000A19BC" w:rsidRPr="00152CDF" w:rsidRDefault="00626B12" w:rsidP="008F3F58">
      <w:pPr>
        <w:pStyle w:val="FirstHeading"/>
        <w:numPr>
          <w:ilvl w:val="0"/>
          <w:numId w:val="9"/>
        </w:numPr>
        <w:rPr>
          <w:rFonts w:ascii="Arial" w:hAnsi="Arial" w:cs="Arial"/>
          <w:sz w:val="22"/>
          <w:lang w:val="es-ES_tradnl"/>
        </w:rPr>
      </w:pPr>
      <w:bookmarkStart w:id="6" w:name="_Toc34300353"/>
      <w:r w:rsidRPr="00152CDF">
        <w:rPr>
          <w:rFonts w:ascii="Arial" w:hAnsi="Arial" w:cs="Arial"/>
          <w:sz w:val="22"/>
          <w:lang w:val="es-ES_tradnl"/>
        </w:rPr>
        <w:t>Monitoreo de indicadores para desembolso de tramos</w:t>
      </w:r>
      <w:bookmarkEnd w:id="6"/>
    </w:p>
    <w:p w14:paraId="44B48960" w14:textId="4DDF6659" w:rsidR="007F0007" w:rsidRPr="00152CDF" w:rsidRDefault="004420D8" w:rsidP="00F947D6">
      <w:pPr>
        <w:pStyle w:val="Heading2"/>
        <w:numPr>
          <w:ilvl w:val="1"/>
          <w:numId w:val="28"/>
        </w:numPr>
        <w:spacing w:before="120"/>
        <w:rPr>
          <w:lang w:val="es-ES_tradnl"/>
        </w:rPr>
      </w:pPr>
      <w:r w:rsidRPr="00152CDF">
        <w:rPr>
          <w:lang w:val="es-ES_tradnl"/>
        </w:rPr>
        <w:t xml:space="preserve">La recopilación de datos que incorpora el esquema de monitoreo para determinar el logro de las metas previstas y habilitación del desembolso provienen, en gran medida, de </w:t>
      </w:r>
      <w:r w:rsidR="004B5AAA" w:rsidRPr="00152CDF">
        <w:rPr>
          <w:lang w:val="es-ES_tradnl"/>
        </w:rPr>
        <w:t xml:space="preserve">información </w:t>
      </w:r>
      <w:r w:rsidRPr="00152CDF">
        <w:rPr>
          <w:lang w:val="es-ES_tradnl"/>
        </w:rPr>
        <w:t>emitid</w:t>
      </w:r>
      <w:r w:rsidR="00D064C4" w:rsidRPr="00152CDF">
        <w:rPr>
          <w:lang w:val="es-ES_tradnl"/>
        </w:rPr>
        <w:t>a</w:t>
      </w:r>
      <w:r w:rsidRPr="00152CDF">
        <w:rPr>
          <w:lang w:val="es-ES_tradnl"/>
        </w:rPr>
        <w:t xml:space="preserve"> por </w:t>
      </w:r>
      <w:r w:rsidR="00FD015D" w:rsidRPr="00152CDF">
        <w:rPr>
          <w:lang w:val="es-ES_tradnl"/>
        </w:rPr>
        <w:t>entes independientes del OE</w:t>
      </w:r>
      <w:r w:rsidRPr="00152CDF">
        <w:rPr>
          <w:lang w:val="es-ES_tradnl"/>
        </w:rPr>
        <w:t>.</w:t>
      </w:r>
      <w:r w:rsidR="00E753CF" w:rsidRPr="00152CDF">
        <w:rPr>
          <w:lang w:val="es-ES_tradnl"/>
        </w:rPr>
        <w:t xml:space="preserve"> </w:t>
      </w:r>
      <w:r w:rsidR="00925E54" w:rsidRPr="00152CDF">
        <w:rPr>
          <w:lang w:val="es-ES_tradnl"/>
        </w:rPr>
        <w:t>La contratación de una consultoría (firma o consultor individual) que realice la verificación independiente</w:t>
      </w:r>
      <w:r w:rsidR="005E27A7" w:rsidRPr="00152CDF">
        <w:rPr>
          <w:lang w:val="es-ES_tradnl"/>
        </w:rPr>
        <w:t xml:space="preserve"> </w:t>
      </w:r>
      <w:r w:rsidR="007F0007" w:rsidRPr="00152CDF">
        <w:rPr>
          <w:lang w:val="es-ES_tradnl"/>
        </w:rPr>
        <w:t xml:space="preserve">se ha dispuesto de tal forma que </w:t>
      </w:r>
      <w:r w:rsidR="00BD6F70" w:rsidRPr="00152CDF">
        <w:rPr>
          <w:lang w:val="es-ES_tradnl"/>
        </w:rPr>
        <w:t xml:space="preserve">el </w:t>
      </w:r>
      <w:r w:rsidR="007F0007" w:rsidRPr="00152CDF">
        <w:rPr>
          <w:lang w:val="es-ES_tradnl"/>
        </w:rPr>
        <w:t xml:space="preserve">seguimiento </w:t>
      </w:r>
      <w:r w:rsidR="00E21F68" w:rsidRPr="00152CDF">
        <w:rPr>
          <w:lang w:val="es-ES_tradnl"/>
        </w:rPr>
        <w:t>provenga de reportes automáticos</w:t>
      </w:r>
      <w:r w:rsidR="003046BF" w:rsidRPr="00152CDF">
        <w:rPr>
          <w:lang w:val="es-ES_tradnl"/>
        </w:rPr>
        <w:t xml:space="preserve"> de </w:t>
      </w:r>
      <w:r w:rsidR="007F0007" w:rsidRPr="00152CDF">
        <w:rPr>
          <w:lang w:val="es-ES_tradnl"/>
        </w:rPr>
        <w:t>(</w:t>
      </w:r>
      <w:r w:rsidR="00D84F35">
        <w:rPr>
          <w:lang w:val="es-ES_tradnl"/>
        </w:rPr>
        <w:t>i</w:t>
      </w:r>
      <w:r w:rsidR="007F0007" w:rsidRPr="00152CDF">
        <w:rPr>
          <w:lang w:val="es-ES_tradnl"/>
        </w:rPr>
        <w:t xml:space="preserve">) </w:t>
      </w:r>
      <w:r w:rsidR="00BD6664" w:rsidRPr="00152CDF">
        <w:rPr>
          <w:lang w:val="es-ES_tradnl"/>
        </w:rPr>
        <w:t>información emanada de acciones que forman parte de la operatoria regular de la DEP y que encuentran dentro de las líneas presupuestarias habituales de cada año</w:t>
      </w:r>
      <w:r w:rsidR="001F09E1">
        <w:rPr>
          <w:lang w:val="es-ES_tradnl"/>
        </w:rPr>
        <w:t>;</w:t>
      </w:r>
      <w:r w:rsidR="00BD6664" w:rsidRPr="00152CDF">
        <w:rPr>
          <w:lang w:val="es-ES_tradnl"/>
        </w:rPr>
        <w:t xml:space="preserve"> </w:t>
      </w:r>
      <w:r w:rsidR="001F09E1">
        <w:rPr>
          <w:lang w:val="es-ES_tradnl"/>
        </w:rPr>
        <w:t>y</w:t>
      </w:r>
      <w:r w:rsidR="00E86BE1" w:rsidRPr="00152CDF">
        <w:rPr>
          <w:lang w:val="es-ES_tradnl"/>
        </w:rPr>
        <w:t xml:space="preserve"> </w:t>
      </w:r>
      <w:r w:rsidR="00BD6664" w:rsidRPr="00152CDF">
        <w:rPr>
          <w:lang w:val="es-ES_tradnl"/>
        </w:rPr>
        <w:t>(</w:t>
      </w:r>
      <w:proofErr w:type="spellStart"/>
      <w:r w:rsidR="00D84F35">
        <w:rPr>
          <w:lang w:val="es-ES_tradnl"/>
        </w:rPr>
        <w:t>ii</w:t>
      </w:r>
      <w:proofErr w:type="spellEnd"/>
      <w:r w:rsidR="00BD6664" w:rsidRPr="00152CDF">
        <w:rPr>
          <w:lang w:val="es-ES_tradnl"/>
        </w:rPr>
        <w:t xml:space="preserve">) se contará con </w:t>
      </w:r>
      <w:r w:rsidR="007F0007" w:rsidRPr="00152CDF">
        <w:rPr>
          <w:lang w:val="es-ES_tradnl"/>
        </w:rPr>
        <w:t>sistemas de información ya disponibles en el sistema educativo, en especial aquellos provistos por la Agencia de Calidad de la Educación y el MINED</w:t>
      </w:r>
      <w:r w:rsidR="00981D76" w:rsidRPr="00152CDF">
        <w:rPr>
          <w:lang w:val="es-ES_tradnl"/>
        </w:rPr>
        <w:t>U</w:t>
      </w:r>
      <w:r w:rsidR="007F0007" w:rsidRPr="00152CDF">
        <w:rPr>
          <w:lang w:val="es-ES_tradnl"/>
        </w:rPr>
        <w:t xml:space="preserve">C a través de </w:t>
      </w:r>
      <w:proofErr w:type="spellStart"/>
      <w:r w:rsidR="007F0007" w:rsidRPr="00152CDF">
        <w:rPr>
          <w:lang w:val="es-ES_tradnl"/>
        </w:rPr>
        <w:t>CPEIP</w:t>
      </w:r>
      <w:proofErr w:type="spellEnd"/>
      <w:r w:rsidR="007F0007" w:rsidRPr="00152CDF">
        <w:rPr>
          <w:lang w:val="es-ES_tradnl"/>
        </w:rPr>
        <w:t xml:space="preserve"> que </w:t>
      </w:r>
      <w:r w:rsidR="00122F60">
        <w:rPr>
          <w:lang w:val="es-ES_tradnl"/>
        </w:rPr>
        <w:t>conduce la evaluación y encasillamiento docente</w:t>
      </w:r>
      <w:r w:rsidR="007F0007" w:rsidRPr="00152CDF">
        <w:rPr>
          <w:lang w:val="es-ES_tradnl"/>
        </w:rPr>
        <w:t xml:space="preserve">. Esta información es de alta utilidad en cuanto provee datos para ajustar los procesos del programa y alimenta los estudios y evaluaciones de los efectos en el sistema educativo. </w:t>
      </w:r>
    </w:p>
    <w:p w14:paraId="47D37EF9" w14:textId="2F39D638" w:rsidR="005E7680" w:rsidRPr="00152CDF" w:rsidRDefault="00220C5D" w:rsidP="00F947D6">
      <w:pPr>
        <w:pStyle w:val="Heading2"/>
        <w:numPr>
          <w:ilvl w:val="1"/>
          <w:numId w:val="28"/>
        </w:numPr>
        <w:spacing w:before="120"/>
        <w:rPr>
          <w:lang w:val="es-ES_tradnl"/>
        </w:rPr>
      </w:pPr>
      <w:r w:rsidRPr="00152CDF">
        <w:rPr>
          <w:lang w:val="es-ES_tradnl"/>
        </w:rPr>
        <w:t>Esta información servirá de base para los informes semestrales sobre los avances de la operación y será de gran utilidad en cuanto provee datos para ajustar los procesos del programa</w:t>
      </w:r>
      <w:r w:rsidR="00E86BE1" w:rsidRPr="00152CDF">
        <w:rPr>
          <w:lang w:val="es-ES_tradnl"/>
        </w:rPr>
        <w:t>,</w:t>
      </w:r>
      <w:r w:rsidR="00287C68" w:rsidRPr="00152CDF">
        <w:rPr>
          <w:lang w:val="es-ES_tradnl"/>
        </w:rPr>
        <w:t xml:space="preserve"> así como</w:t>
      </w:r>
      <w:r w:rsidRPr="00152CDF">
        <w:rPr>
          <w:lang w:val="es-ES_tradnl"/>
        </w:rPr>
        <w:t xml:space="preserve"> alimenta</w:t>
      </w:r>
      <w:r w:rsidR="00287C68" w:rsidRPr="00152CDF">
        <w:rPr>
          <w:lang w:val="es-ES_tradnl"/>
        </w:rPr>
        <w:t>r</w:t>
      </w:r>
      <w:r w:rsidRPr="00152CDF">
        <w:rPr>
          <w:lang w:val="es-ES_tradnl"/>
        </w:rPr>
        <w:t xml:space="preserve"> estudios y evaluaciones de los efectos en el sistema educativo. </w:t>
      </w:r>
      <w:r w:rsidR="00B90D50" w:rsidRPr="00152CDF">
        <w:rPr>
          <w:lang w:val="es-ES_tradnl"/>
        </w:rPr>
        <w:t>El sistema educativo chileno</w:t>
      </w:r>
      <w:r w:rsidR="005E7680" w:rsidRPr="00152CDF">
        <w:rPr>
          <w:lang w:val="es-ES_tradnl"/>
        </w:rPr>
        <w:t xml:space="preserve"> ha desarrollado un sistema de estadísticas continuas, gracias al cual se publican de forma regular datos estadísticos educativos. Se cuenta con datos administrativos de estudiantes, docentes, directores, e infraestructura, directivos y personal de las municipalidades y de los sostenedores de los establecimientos educativos a nivel local. </w:t>
      </w:r>
      <w:r w:rsidR="00C8301B" w:rsidRPr="00152CDF">
        <w:rPr>
          <w:lang w:val="es-ES_tradnl"/>
        </w:rPr>
        <w:t xml:space="preserve">En el caso de </w:t>
      </w:r>
      <w:r w:rsidR="002705E1" w:rsidRPr="00152CDF">
        <w:rPr>
          <w:lang w:val="es-ES_tradnl"/>
        </w:rPr>
        <w:t xml:space="preserve">indicadores </w:t>
      </w:r>
      <w:r w:rsidR="005D482A" w:rsidRPr="00152CDF">
        <w:rPr>
          <w:lang w:val="es-ES_tradnl"/>
        </w:rPr>
        <w:t>vinculados a desempeño de los estudiantes, l</w:t>
      </w:r>
      <w:r w:rsidR="005E7680" w:rsidRPr="00152CDF">
        <w:rPr>
          <w:lang w:val="es-ES_tradnl"/>
        </w:rPr>
        <w:t xml:space="preserve">a Agencia de </w:t>
      </w:r>
      <w:r w:rsidR="005D482A" w:rsidRPr="00152CDF">
        <w:rPr>
          <w:lang w:val="es-ES_tradnl"/>
        </w:rPr>
        <w:t xml:space="preserve">la </w:t>
      </w:r>
      <w:r w:rsidR="005E7680" w:rsidRPr="00152CDF">
        <w:rPr>
          <w:lang w:val="es-ES_tradnl"/>
        </w:rPr>
        <w:t xml:space="preserve">Calidad aplica la prueba SIMCE todos los años en distintos niveles. La base de datos de SIMCE contiene los resultados por comuna, escuela, curso y estudiante. También tiene la información recopilada por los cuestionarios historiales de SIMCE de padres y en algunos años por los profesores y los directores. </w:t>
      </w:r>
      <w:r w:rsidR="005D482A" w:rsidRPr="00152CDF">
        <w:rPr>
          <w:lang w:val="es-ES_tradnl"/>
        </w:rPr>
        <w:t xml:space="preserve">En cuanto </w:t>
      </w:r>
      <w:r w:rsidR="0071013C" w:rsidRPr="00152CDF">
        <w:rPr>
          <w:lang w:val="es-ES_tradnl"/>
        </w:rPr>
        <w:t>a indicadores vinculados a</w:t>
      </w:r>
      <w:r w:rsidR="00287C68" w:rsidRPr="00152CDF">
        <w:rPr>
          <w:lang w:val="es-ES_tradnl"/>
        </w:rPr>
        <w:t xml:space="preserve"> desempeño docente,</w:t>
      </w:r>
      <w:r w:rsidR="00C8237F" w:rsidRPr="00152CDF">
        <w:rPr>
          <w:lang w:val="es-ES_tradnl"/>
        </w:rPr>
        <w:t xml:space="preserve"> </w:t>
      </w:r>
      <w:r w:rsidR="0071013C" w:rsidRPr="00152CDF">
        <w:rPr>
          <w:lang w:val="es-ES_tradnl"/>
        </w:rPr>
        <w:t xml:space="preserve">éstos </w:t>
      </w:r>
      <w:r w:rsidR="005E7680" w:rsidRPr="00152CDF">
        <w:rPr>
          <w:lang w:val="es-ES_tradnl"/>
        </w:rPr>
        <w:t>será</w:t>
      </w:r>
      <w:r w:rsidR="0071013C" w:rsidRPr="00152CDF">
        <w:rPr>
          <w:lang w:val="es-ES_tradnl"/>
        </w:rPr>
        <w:t>n</w:t>
      </w:r>
      <w:r w:rsidR="005E7680" w:rsidRPr="00152CDF">
        <w:rPr>
          <w:lang w:val="es-ES_tradnl"/>
        </w:rPr>
        <w:t xml:space="preserve"> aportad</w:t>
      </w:r>
      <w:r w:rsidR="0071013C" w:rsidRPr="00152CDF">
        <w:rPr>
          <w:lang w:val="es-ES_tradnl"/>
        </w:rPr>
        <w:t>os</w:t>
      </w:r>
      <w:r w:rsidR="005E7680" w:rsidRPr="00152CDF">
        <w:rPr>
          <w:lang w:val="es-ES_tradnl"/>
        </w:rPr>
        <w:t xml:space="preserve"> por la base de datos de</w:t>
      </w:r>
      <w:r w:rsidR="0071013C" w:rsidRPr="00152CDF">
        <w:rPr>
          <w:lang w:val="es-ES_tradnl"/>
        </w:rPr>
        <w:t xml:space="preserve"> la Evaluación Docente</w:t>
      </w:r>
      <w:r w:rsidR="005E7680" w:rsidRPr="00152CDF">
        <w:rPr>
          <w:lang w:val="es-ES_tradnl"/>
        </w:rPr>
        <w:t xml:space="preserve"> del </w:t>
      </w:r>
      <w:proofErr w:type="spellStart"/>
      <w:r w:rsidR="005E7680" w:rsidRPr="00152CDF">
        <w:rPr>
          <w:lang w:val="es-ES_tradnl"/>
        </w:rPr>
        <w:t>CPEIP</w:t>
      </w:r>
      <w:proofErr w:type="spellEnd"/>
      <w:r w:rsidR="00FD4D90" w:rsidRPr="00152CDF">
        <w:rPr>
          <w:lang w:val="es-ES_tradnl"/>
        </w:rPr>
        <w:t xml:space="preserve">, </w:t>
      </w:r>
      <w:r w:rsidR="005E7680" w:rsidRPr="00152CDF">
        <w:rPr>
          <w:lang w:val="es-ES_tradnl"/>
        </w:rPr>
        <w:t>MINEDUC. El MINEDUC ha tenido durante muchos años una cultura interna de seguimiento de sus acciones que usa para entregar información al público</w:t>
      </w:r>
      <w:r w:rsidR="00C8468C" w:rsidRPr="00152CDF">
        <w:rPr>
          <w:lang w:val="es-ES_tradnl"/>
        </w:rPr>
        <w:t>, entidades públicas</w:t>
      </w:r>
      <w:r w:rsidR="005E7680" w:rsidRPr="00152CDF">
        <w:rPr>
          <w:lang w:val="es-ES_tradnl"/>
        </w:rPr>
        <w:t xml:space="preserve"> y al resto del gobierno sobre los compromisos de gestión anual. </w:t>
      </w:r>
    </w:p>
    <w:p w14:paraId="2457EA74" w14:textId="32203AC0" w:rsidR="005E7680" w:rsidRPr="00152CDF" w:rsidRDefault="00C52602" w:rsidP="00F947D6">
      <w:pPr>
        <w:pStyle w:val="Heading2"/>
        <w:numPr>
          <w:ilvl w:val="1"/>
          <w:numId w:val="28"/>
        </w:numPr>
        <w:spacing w:before="120"/>
        <w:rPr>
          <w:lang w:val="es-ES_tradnl"/>
        </w:rPr>
      </w:pPr>
      <w:r>
        <w:rPr>
          <w:lang w:val="es-ES_tradnl"/>
        </w:rPr>
        <w:t>Para l</w:t>
      </w:r>
      <w:r w:rsidR="00A1619C" w:rsidRPr="00152CDF">
        <w:rPr>
          <w:lang w:val="es-ES_tradnl"/>
        </w:rPr>
        <w:t xml:space="preserve">a evaluación del cumplimiento de las metas previstas para cada tramo en los indicadores </w:t>
      </w:r>
      <w:r w:rsidR="00981D76" w:rsidRPr="00152CDF">
        <w:rPr>
          <w:lang w:val="es-ES_tradnl"/>
        </w:rPr>
        <w:t>p</w:t>
      </w:r>
      <w:r w:rsidR="00A1619C" w:rsidRPr="00152CDF">
        <w:rPr>
          <w:lang w:val="es-ES_tradnl"/>
        </w:rPr>
        <w:t>ara desembolso</w:t>
      </w:r>
      <w:r>
        <w:rPr>
          <w:lang w:val="es-ES_tradnl"/>
        </w:rPr>
        <w:t xml:space="preserve"> será necesario</w:t>
      </w:r>
      <w:r w:rsidR="00A1619C" w:rsidRPr="00152CDF">
        <w:rPr>
          <w:lang w:val="es-ES_tradnl"/>
        </w:rPr>
        <w:t>:</w:t>
      </w:r>
    </w:p>
    <w:p w14:paraId="272495BD" w14:textId="0E65F90C" w:rsidR="00E24474" w:rsidRDefault="001C7644" w:rsidP="00F947D6">
      <w:pPr>
        <w:pStyle w:val="ListParagraph"/>
        <w:numPr>
          <w:ilvl w:val="0"/>
          <w:numId w:val="25"/>
        </w:numPr>
        <w:spacing w:before="120" w:after="0" w:line="240" w:lineRule="auto"/>
        <w:contextualSpacing w:val="0"/>
        <w:jc w:val="both"/>
        <w:rPr>
          <w:rFonts w:ascii="Arial" w:hAnsi="Arial" w:cs="Arial"/>
          <w:lang w:val="es-ES_tradnl"/>
        </w:rPr>
      </w:pPr>
      <w:r w:rsidRPr="00152CDF">
        <w:rPr>
          <w:rFonts w:ascii="Arial" w:hAnsi="Arial" w:cs="Arial"/>
          <w:lang w:val="es-ES_tradnl"/>
        </w:rPr>
        <w:t>R</w:t>
      </w:r>
      <w:r w:rsidR="00AE3878" w:rsidRPr="00152CDF">
        <w:rPr>
          <w:rFonts w:ascii="Arial" w:hAnsi="Arial" w:cs="Arial"/>
          <w:lang w:val="es-ES_tradnl"/>
        </w:rPr>
        <w:t>evisar</w:t>
      </w:r>
      <w:r w:rsidR="00F31C65">
        <w:rPr>
          <w:rFonts w:ascii="Arial" w:hAnsi="Arial" w:cs="Arial"/>
          <w:lang w:val="es-ES_tradnl"/>
        </w:rPr>
        <w:t xml:space="preserve"> que</w:t>
      </w:r>
      <w:r w:rsidR="00AE3878" w:rsidRPr="00152CDF">
        <w:rPr>
          <w:rFonts w:ascii="Arial" w:hAnsi="Arial" w:cs="Arial"/>
          <w:lang w:val="es-ES_tradnl"/>
        </w:rPr>
        <w:t xml:space="preserve"> los procesos relacionados con la recolección, registro, procesamiento y/o sistematización de la información que sustenta el cálculo de los indicadores</w:t>
      </w:r>
      <w:r w:rsidR="00291F03">
        <w:rPr>
          <w:rFonts w:ascii="Arial" w:hAnsi="Arial" w:cs="Arial"/>
          <w:lang w:val="es-ES_tradnl"/>
        </w:rPr>
        <w:t xml:space="preserve"> cuenten con un reporte </w:t>
      </w:r>
      <w:r w:rsidR="00AE3878" w:rsidRPr="00152CDF">
        <w:rPr>
          <w:rFonts w:ascii="Arial" w:hAnsi="Arial" w:cs="Arial"/>
          <w:lang w:val="es-ES_tradnl"/>
        </w:rPr>
        <w:t xml:space="preserve">independiente y automático de los sistemas operativos de </w:t>
      </w:r>
      <w:r w:rsidR="004347F9" w:rsidRPr="00152CDF">
        <w:rPr>
          <w:rFonts w:ascii="Arial" w:hAnsi="Arial" w:cs="Arial"/>
          <w:lang w:val="es-ES_tradnl"/>
        </w:rPr>
        <w:t>la DEP</w:t>
      </w:r>
      <w:r w:rsidR="00E24474">
        <w:rPr>
          <w:rFonts w:ascii="Arial" w:hAnsi="Arial" w:cs="Arial"/>
          <w:lang w:val="es-ES_tradnl"/>
        </w:rPr>
        <w:t>;</w:t>
      </w:r>
      <w:r w:rsidR="00AE3878" w:rsidRPr="00152CDF">
        <w:rPr>
          <w:rFonts w:ascii="Arial" w:hAnsi="Arial" w:cs="Arial"/>
          <w:lang w:val="es-ES_tradnl"/>
        </w:rPr>
        <w:t xml:space="preserve"> </w:t>
      </w:r>
    </w:p>
    <w:p w14:paraId="4A0BAB45" w14:textId="4A976F87" w:rsidR="00E33962" w:rsidRPr="00152CDF" w:rsidRDefault="00E33962" w:rsidP="00F947D6">
      <w:pPr>
        <w:pStyle w:val="ListParagraph"/>
        <w:numPr>
          <w:ilvl w:val="0"/>
          <w:numId w:val="25"/>
        </w:numPr>
        <w:spacing w:before="120" w:after="0" w:line="240" w:lineRule="auto"/>
        <w:contextualSpacing w:val="0"/>
        <w:jc w:val="both"/>
        <w:rPr>
          <w:rFonts w:ascii="Arial" w:hAnsi="Arial" w:cs="Arial"/>
          <w:lang w:val="es-ES_tradnl"/>
        </w:rPr>
      </w:pPr>
      <w:r w:rsidRPr="00152CDF">
        <w:rPr>
          <w:rFonts w:ascii="Arial" w:hAnsi="Arial" w:cs="Arial"/>
          <w:lang w:val="es-ES_tradnl"/>
        </w:rPr>
        <w:t xml:space="preserve">Verificar que los reportes generados para dar cuenta del grado de cumplimiento de las metas han sido desarrollados en concordancia con los protocolos de verificación acordados con el Banco y establecidos en el </w:t>
      </w:r>
      <w:proofErr w:type="spellStart"/>
      <w:r w:rsidRPr="00152CDF">
        <w:rPr>
          <w:rFonts w:ascii="Arial" w:hAnsi="Arial" w:cs="Arial"/>
          <w:lang w:val="es-ES_tradnl"/>
        </w:rPr>
        <w:t>ROP</w:t>
      </w:r>
      <w:proofErr w:type="spellEnd"/>
      <w:r w:rsidRPr="00152CDF">
        <w:rPr>
          <w:rFonts w:ascii="Arial" w:hAnsi="Arial" w:cs="Arial"/>
          <w:lang w:val="es-ES_tradnl"/>
        </w:rPr>
        <w:t>;</w:t>
      </w:r>
    </w:p>
    <w:p w14:paraId="53F49A8E" w14:textId="2216358F" w:rsidR="001C7644" w:rsidRPr="00152CDF" w:rsidRDefault="00AE3878" w:rsidP="00F947D6">
      <w:pPr>
        <w:pStyle w:val="ListParagraph"/>
        <w:numPr>
          <w:ilvl w:val="0"/>
          <w:numId w:val="25"/>
        </w:numPr>
        <w:spacing w:before="120" w:after="0" w:line="240" w:lineRule="auto"/>
        <w:contextualSpacing w:val="0"/>
        <w:jc w:val="both"/>
        <w:rPr>
          <w:rFonts w:ascii="Arial" w:hAnsi="Arial" w:cs="Arial"/>
          <w:lang w:val="es-ES_tradnl"/>
        </w:rPr>
      </w:pPr>
      <w:r w:rsidRPr="00152CDF">
        <w:rPr>
          <w:rFonts w:ascii="Arial" w:hAnsi="Arial" w:cs="Arial"/>
          <w:lang w:val="es-ES_tradnl"/>
        </w:rPr>
        <w:t xml:space="preserve">Realizar el cálculo de las metas alcanzadas en aquellos indicadores que no cuenten con reportes independientes automáticos; </w:t>
      </w:r>
    </w:p>
    <w:p w14:paraId="7A97DD68" w14:textId="583C96A2" w:rsidR="001C7644" w:rsidRPr="00152CDF" w:rsidRDefault="00AE3878" w:rsidP="00F947D6">
      <w:pPr>
        <w:pStyle w:val="ListParagraph"/>
        <w:numPr>
          <w:ilvl w:val="0"/>
          <w:numId w:val="25"/>
        </w:numPr>
        <w:spacing w:before="120" w:after="0" w:line="240" w:lineRule="auto"/>
        <w:contextualSpacing w:val="0"/>
        <w:jc w:val="both"/>
        <w:rPr>
          <w:rFonts w:ascii="Arial" w:hAnsi="Arial" w:cs="Arial"/>
          <w:lang w:val="es-ES_tradnl"/>
        </w:rPr>
      </w:pPr>
      <w:r w:rsidRPr="00152CDF">
        <w:rPr>
          <w:rFonts w:ascii="Arial" w:hAnsi="Arial" w:cs="Arial"/>
          <w:lang w:val="es-ES_tradnl"/>
        </w:rPr>
        <w:t xml:space="preserve">Preparar un informe técnico que dé cuenta del grado de cumplimiento de las metas previstas para cada tramo, como requisito excluyente para la tramitación del desembolso;  </w:t>
      </w:r>
    </w:p>
    <w:p w14:paraId="551EAF9E" w14:textId="7D3590F9" w:rsidR="00AE3878" w:rsidRPr="00152CDF" w:rsidRDefault="00AE3878" w:rsidP="00F947D6">
      <w:pPr>
        <w:pStyle w:val="ListParagraph"/>
        <w:numPr>
          <w:ilvl w:val="0"/>
          <w:numId w:val="25"/>
        </w:numPr>
        <w:spacing w:before="120" w:after="0" w:line="240" w:lineRule="auto"/>
        <w:contextualSpacing w:val="0"/>
        <w:jc w:val="both"/>
        <w:rPr>
          <w:rFonts w:ascii="Arial" w:hAnsi="Arial" w:cs="Arial"/>
          <w:lang w:val="es-ES_tradnl"/>
        </w:rPr>
      </w:pPr>
      <w:r w:rsidRPr="00152CDF">
        <w:rPr>
          <w:rFonts w:ascii="Arial" w:hAnsi="Arial" w:cs="Arial"/>
          <w:lang w:val="es-ES_tradnl"/>
        </w:rPr>
        <w:lastRenderedPageBreak/>
        <w:t xml:space="preserve">Cuando corresponda, analizar avances y progresos con anticipación a la verificación de los resultados alcanzados realizando recomendaciones para promover el logro de las metas y emitir recomendaciones para mejorar los mecanismos de verificación de avances, ya sea </w:t>
      </w:r>
      <w:r w:rsidR="006B4821" w:rsidRPr="00152CDF">
        <w:rPr>
          <w:rFonts w:ascii="Arial" w:hAnsi="Arial" w:cs="Arial"/>
          <w:lang w:val="es-ES_tradnl"/>
        </w:rPr>
        <w:t>en relación con</w:t>
      </w:r>
      <w:r w:rsidRPr="00152CDF">
        <w:rPr>
          <w:rFonts w:ascii="Arial" w:hAnsi="Arial" w:cs="Arial"/>
          <w:lang w:val="es-ES_tradnl"/>
        </w:rPr>
        <w:t xml:space="preserve"> procesos de recolección de información, como a sistemas de información utilizados para sustentar el cálculo de los indicadores.</w:t>
      </w:r>
    </w:p>
    <w:p w14:paraId="67995A42" w14:textId="03C50BA7" w:rsidR="00604BBA" w:rsidRPr="00152CDF" w:rsidRDefault="00604BBA" w:rsidP="00F947D6">
      <w:pPr>
        <w:pStyle w:val="Heading2"/>
        <w:numPr>
          <w:ilvl w:val="1"/>
          <w:numId w:val="28"/>
        </w:numPr>
        <w:spacing w:before="120"/>
        <w:rPr>
          <w:lang w:val="es-ES_tradnl"/>
        </w:rPr>
      </w:pPr>
      <w:r w:rsidRPr="00152CDF">
        <w:rPr>
          <w:lang w:val="es-ES_tradnl"/>
        </w:rPr>
        <w:t xml:space="preserve">El Cuadro </w:t>
      </w:r>
      <w:r w:rsidR="00D84F35">
        <w:rPr>
          <w:lang w:val="es-ES_tradnl"/>
        </w:rPr>
        <w:t>2</w:t>
      </w:r>
      <w:r w:rsidRPr="00152CDF">
        <w:rPr>
          <w:lang w:val="es-ES_tradnl"/>
        </w:rPr>
        <w:t xml:space="preserve">.2 muestra la Matriz de Indicadores para Desembolso y el Cuadro </w:t>
      </w:r>
      <w:proofErr w:type="spellStart"/>
      <w:r w:rsidRPr="00152CDF">
        <w:rPr>
          <w:lang w:val="es-ES_tradnl"/>
        </w:rPr>
        <w:t>II.3</w:t>
      </w:r>
      <w:proofErr w:type="spellEnd"/>
      <w:r w:rsidRPr="00152CDF">
        <w:rPr>
          <w:lang w:val="es-ES_tradnl"/>
        </w:rPr>
        <w:t xml:space="preserve"> resume los protocolos a ser utilizados para la verificación de cada uno de los indicadores asociados a desembolso:</w:t>
      </w:r>
    </w:p>
    <w:p w14:paraId="6E3F8502" w14:textId="6BABA984" w:rsidR="007F5021" w:rsidRPr="00152CDF" w:rsidRDefault="007F5021">
      <w:pPr>
        <w:rPr>
          <w:rFonts w:ascii="Arial" w:hAnsi="Arial" w:cs="Arial"/>
          <w:lang w:val="es-ES_tradnl"/>
        </w:rPr>
      </w:pPr>
      <w:r w:rsidRPr="00152CDF">
        <w:rPr>
          <w:rFonts w:ascii="Arial" w:hAnsi="Arial" w:cs="Arial"/>
          <w:lang w:val="es-ES_tradnl"/>
        </w:rPr>
        <w:br w:type="page"/>
      </w:r>
    </w:p>
    <w:p w14:paraId="0D7DA2DD" w14:textId="77777777" w:rsidR="007F5021" w:rsidRPr="00152CDF" w:rsidRDefault="007F5021" w:rsidP="00604BBA">
      <w:pPr>
        <w:rPr>
          <w:rFonts w:ascii="Arial" w:hAnsi="Arial" w:cs="Arial"/>
          <w:lang w:val="es-ES_tradnl"/>
        </w:rPr>
        <w:sectPr w:rsidR="007F5021" w:rsidRPr="00152CDF" w:rsidSect="00D81C03">
          <w:pgSz w:w="12240" w:h="15840"/>
          <w:pgMar w:top="1440" w:right="1440" w:bottom="1440" w:left="1440" w:header="720" w:footer="720" w:gutter="0"/>
          <w:cols w:space="720"/>
          <w:docGrid w:linePitch="360"/>
        </w:sectPr>
      </w:pPr>
    </w:p>
    <w:p w14:paraId="1785EED6" w14:textId="395CAC08" w:rsidR="00180B4C" w:rsidRDefault="00604BBA" w:rsidP="00180B4C">
      <w:pPr>
        <w:jc w:val="center"/>
        <w:rPr>
          <w:rFonts w:ascii="Arial" w:hAnsi="Arial" w:cs="Arial"/>
          <w:b/>
          <w:lang w:val="pt-BR"/>
        </w:rPr>
      </w:pPr>
      <w:proofErr w:type="spellStart"/>
      <w:r w:rsidRPr="00A74CCC">
        <w:rPr>
          <w:rFonts w:ascii="Arial" w:hAnsi="Arial" w:cs="Arial"/>
          <w:b/>
          <w:lang w:val="pt-BR"/>
        </w:rPr>
        <w:lastRenderedPageBreak/>
        <w:t>CUADRO</w:t>
      </w:r>
      <w:proofErr w:type="spellEnd"/>
      <w:r w:rsidRPr="00A74CCC">
        <w:rPr>
          <w:rFonts w:ascii="Arial" w:hAnsi="Arial" w:cs="Arial"/>
          <w:b/>
          <w:lang w:val="pt-BR"/>
        </w:rPr>
        <w:t xml:space="preserve"> </w:t>
      </w:r>
      <w:r w:rsidR="00D84F35">
        <w:rPr>
          <w:rFonts w:ascii="Arial" w:hAnsi="Arial" w:cs="Arial"/>
          <w:b/>
          <w:lang w:val="pt-BR"/>
        </w:rPr>
        <w:t>2</w:t>
      </w:r>
      <w:r w:rsidRPr="00A74CCC">
        <w:rPr>
          <w:rFonts w:ascii="Arial" w:hAnsi="Arial" w:cs="Arial"/>
          <w:b/>
          <w:lang w:val="pt-BR"/>
        </w:rPr>
        <w:t>.2: MATRIZ DE INDICADORES PARA DESEMBOLSO</w:t>
      </w:r>
    </w:p>
    <w:tbl>
      <w:tblPr>
        <w:tblW w:w="12540" w:type="dxa"/>
        <w:tblCellMar>
          <w:left w:w="70" w:type="dxa"/>
          <w:right w:w="70" w:type="dxa"/>
        </w:tblCellMar>
        <w:tblLook w:val="04A0" w:firstRow="1" w:lastRow="0" w:firstColumn="1" w:lastColumn="0" w:noHBand="0" w:noVBand="1"/>
      </w:tblPr>
      <w:tblGrid>
        <w:gridCol w:w="3900"/>
        <w:gridCol w:w="960"/>
        <w:gridCol w:w="960"/>
        <w:gridCol w:w="960"/>
        <w:gridCol w:w="960"/>
        <w:gridCol w:w="960"/>
        <w:gridCol w:w="960"/>
        <w:gridCol w:w="960"/>
        <w:gridCol w:w="960"/>
        <w:gridCol w:w="960"/>
      </w:tblGrid>
      <w:tr w:rsidR="00C65317" w:rsidRPr="00105274" w14:paraId="244B56E8" w14:textId="77777777" w:rsidTr="00F947D6">
        <w:trPr>
          <w:trHeight w:val="315"/>
        </w:trPr>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90B2C4"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Indicadores</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26EDAF"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proofErr w:type="gramStart"/>
            <w:r w:rsidRPr="00105274">
              <w:rPr>
                <w:rFonts w:ascii="Arial" w:eastAsia="Times New Roman" w:hAnsi="Arial" w:cs="Arial"/>
                <w:b/>
                <w:bCs/>
                <w:color w:val="000000"/>
                <w:sz w:val="20"/>
                <w:szCs w:val="20"/>
                <w:lang w:val="es-ES_tradnl" w:eastAsia="es-CL"/>
              </w:rPr>
              <w:t>Valor línea</w:t>
            </w:r>
            <w:proofErr w:type="gramEnd"/>
            <w:r w:rsidRPr="00105274">
              <w:rPr>
                <w:rFonts w:ascii="Arial" w:eastAsia="Times New Roman" w:hAnsi="Arial" w:cs="Arial"/>
                <w:b/>
                <w:bCs/>
                <w:color w:val="000000"/>
                <w:sz w:val="20"/>
                <w:szCs w:val="20"/>
                <w:lang w:val="es-ES_tradnl" w:eastAsia="es-CL"/>
              </w:rPr>
              <w:t xml:space="preserve"> de base</w:t>
            </w:r>
          </w:p>
        </w:tc>
        <w:tc>
          <w:tcPr>
            <w:tcW w:w="1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791C4F"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Anticipo</w:t>
            </w:r>
          </w:p>
        </w:tc>
        <w:tc>
          <w:tcPr>
            <w:tcW w:w="1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3FABFC"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Tramo 1</w:t>
            </w:r>
          </w:p>
        </w:tc>
        <w:tc>
          <w:tcPr>
            <w:tcW w:w="1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B5BF9D"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Tramo 2</w:t>
            </w:r>
          </w:p>
        </w:tc>
        <w:tc>
          <w:tcPr>
            <w:tcW w:w="1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848E14"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Fin del proyecto</w:t>
            </w:r>
          </w:p>
        </w:tc>
      </w:tr>
      <w:tr w:rsidR="00C65317" w:rsidRPr="00105274" w14:paraId="2BECF593" w14:textId="77777777" w:rsidTr="00F947D6">
        <w:trPr>
          <w:trHeight w:val="315"/>
        </w:trPr>
        <w:tc>
          <w:tcPr>
            <w:tcW w:w="3900" w:type="dxa"/>
            <w:vMerge/>
            <w:tcBorders>
              <w:top w:val="single" w:sz="4" w:space="0" w:color="auto"/>
              <w:left w:val="single" w:sz="4" w:space="0" w:color="auto"/>
              <w:bottom w:val="single" w:sz="4" w:space="0" w:color="auto"/>
              <w:right w:val="single" w:sz="4" w:space="0" w:color="auto"/>
            </w:tcBorders>
            <w:vAlign w:val="center"/>
            <w:hideMark/>
          </w:tcPr>
          <w:p w14:paraId="7951BA40" w14:textId="77777777" w:rsidR="00C65317" w:rsidRPr="00105274" w:rsidRDefault="00C65317" w:rsidP="00C76F20">
            <w:pPr>
              <w:spacing w:after="0" w:line="240" w:lineRule="auto"/>
              <w:rPr>
                <w:rFonts w:ascii="Arial" w:eastAsia="Times New Roman" w:hAnsi="Arial" w:cs="Arial"/>
                <w:b/>
                <w:bCs/>
                <w:color w:val="000000"/>
                <w:sz w:val="20"/>
                <w:szCs w:val="20"/>
                <w:lang w:val="es-CL" w:eastAsia="es-CL"/>
              </w:rPr>
            </w:pPr>
          </w:p>
        </w:tc>
        <w:tc>
          <w:tcPr>
            <w:tcW w:w="960" w:type="dxa"/>
            <w:vMerge/>
            <w:tcBorders>
              <w:top w:val="single" w:sz="4" w:space="0" w:color="auto"/>
              <w:left w:val="single" w:sz="4" w:space="0" w:color="auto"/>
              <w:right w:val="single" w:sz="4" w:space="0" w:color="auto"/>
            </w:tcBorders>
            <w:vAlign w:val="center"/>
            <w:hideMark/>
          </w:tcPr>
          <w:p w14:paraId="4F631D63" w14:textId="77777777" w:rsidR="00C65317" w:rsidRPr="00105274" w:rsidRDefault="00C65317" w:rsidP="00C76F20">
            <w:pPr>
              <w:spacing w:after="0" w:line="240" w:lineRule="auto"/>
              <w:rPr>
                <w:rFonts w:ascii="Arial" w:eastAsia="Times New Roman" w:hAnsi="Arial" w:cs="Arial"/>
                <w:b/>
                <w:bCs/>
                <w:color w:val="000000"/>
                <w:sz w:val="20"/>
                <w:szCs w:val="20"/>
                <w:lang w:val="es-CL" w:eastAsia="es-C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B4DC9"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Meta</w:t>
            </w:r>
          </w:p>
        </w:tc>
        <w:tc>
          <w:tcPr>
            <w:tcW w:w="960"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3793E44C"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MM USD</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3FAA0E01"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Meta</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79E80065"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MM USD</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54642032"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Meta</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20340199"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MM USD</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062DFF7C"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Meta</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2DAEF4AA"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MM USD</w:t>
            </w:r>
          </w:p>
        </w:tc>
      </w:tr>
      <w:tr w:rsidR="00C65317" w:rsidRPr="00376B9E" w14:paraId="5C68BDF4" w14:textId="77777777" w:rsidTr="00C76F20">
        <w:trPr>
          <w:trHeight w:val="315"/>
        </w:trPr>
        <w:tc>
          <w:tcPr>
            <w:tcW w:w="12540" w:type="dxa"/>
            <w:gridSpan w:val="10"/>
            <w:tcBorders>
              <w:top w:val="single" w:sz="8" w:space="0" w:color="auto"/>
              <w:left w:val="single" w:sz="8" w:space="0" w:color="auto"/>
              <w:bottom w:val="single" w:sz="8" w:space="0" w:color="auto"/>
              <w:right w:val="single" w:sz="8" w:space="0" w:color="000000" w:themeColor="text1"/>
            </w:tcBorders>
            <w:shd w:val="clear" w:color="auto" w:fill="auto"/>
            <w:vAlign w:val="center"/>
            <w:hideMark/>
          </w:tcPr>
          <w:p w14:paraId="3C95DDBF" w14:textId="50A4EDE9" w:rsidR="00C65317" w:rsidRPr="00105274" w:rsidRDefault="00C65317" w:rsidP="00C76F20">
            <w:pPr>
              <w:spacing w:after="0" w:line="240" w:lineRule="auto"/>
              <w:rPr>
                <w:rFonts w:ascii="Arial" w:eastAsia="Times New Roman" w:hAnsi="Arial" w:cs="Arial"/>
                <w:b/>
                <w:bCs/>
                <w:color w:val="000000"/>
                <w:sz w:val="20"/>
                <w:szCs w:val="20"/>
                <w:lang w:val="es-CL" w:eastAsia="es-CL"/>
              </w:rPr>
            </w:pPr>
            <w:r w:rsidRPr="00105274">
              <w:rPr>
                <w:rFonts w:ascii="Arial" w:eastAsia="Times New Roman" w:hAnsi="Arial" w:cs="Arial"/>
                <w:b/>
                <w:bCs/>
                <w:color w:val="000000" w:themeColor="text1"/>
                <w:sz w:val="20"/>
                <w:szCs w:val="20"/>
                <w:lang w:val="es-ES" w:eastAsia="es-CL"/>
              </w:rPr>
              <w:t xml:space="preserve">Objetivo Específico </w:t>
            </w:r>
            <w:r w:rsidR="003E772E">
              <w:rPr>
                <w:rFonts w:ascii="Arial" w:eastAsia="Times New Roman" w:hAnsi="Arial" w:cs="Arial"/>
                <w:b/>
                <w:bCs/>
                <w:color w:val="000000"/>
                <w:sz w:val="20"/>
                <w:szCs w:val="20"/>
                <w:lang w:val="es-CL" w:eastAsia="es-CL"/>
              </w:rPr>
              <w:t>de Desarrollo</w:t>
            </w:r>
            <w:r w:rsidR="003E772E" w:rsidRPr="00105274">
              <w:rPr>
                <w:rFonts w:ascii="Arial" w:eastAsia="Times New Roman" w:hAnsi="Arial" w:cs="Arial"/>
                <w:b/>
                <w:bCs/>
                <w:color w:val="000000" w:themeColor="text1"/>
                <w:sz w:val="20"/>
                <w:szCs w:val="20"/>
                <w:lang w:val="es-ES" w:eastAsia="es-CL"/>
              </w:rPr>
              <w:t xml:space="preserve"> </w:t>
            </w:r>
            <w:r w:rsidRPr="00105274">
              <w:rPr>
                <w:rFonts w:ascii="Arial" w:eastAsia="Times New Roman" w:hAnsi="Arial" w:cs="Arial"/>
                <w:b/>
                <w:bCs/>
                <w:color w:val="000000" w:themeColor="text1"/>
                <w:sz w:val="20"/>
                <w:szCs w:val="20"/>
                <w:lang w:val="es-ES" w:eastAsia="es-CL"/>
              </w:rPr>
              <w:t xml:space="preserve">1: </w:t>
            </w:r>
            <w:r w:rsidRPr="00105274">
              <w:rPr>
                <w:rFonts w:ascii="Arial" w:eastAsia="Times New Roman" w:hAnsi="Arial" w:cs="Arial"/>
                <w:color w:val="000000" w:themeColor="text1"/>
                <w:sz w:val="20"/>
                <w:szCs w:val="20"/>
                <w:lang w:val="es-CL" w:eastAsia="es-CL"/>
              </w:rPr>
              <w:t>F</w:t>
            </w:r>
            <w:proofErr w:type="spellStart"/>
            <w:r w:rsidRPr="00105274">
              <w:rPr>
                <w:rFonts w:ascii="Arial" w:hAnsi="Arial" w:cs="Arial"/>
                <w:lang w:val="es-ES"/>
              </w:rPr>
              <w:t>ortalecer</w:t>
            </w:r>
            <w:proofErr w:type="spellEnd"/>
            <w:r w:rsidRPr="00105274">
              <w:rPr>
                <w:rFonts w:ascii="Arial" w:hAnsi="Arial" w:cs="Arial"/>
                <w:lang w:val="es-ES"/>
              </w:rPr>
              <w:t xml:space="preserve"> y/o crear capacidades de liderazgo a nivel central y local</w:t>
            </w:r>
          </w:p>
        </w:tc>
      </w:tr>
      <w:tr w:rsidR="00C65317" w:rsidRPr="00376B9E" w14:paraId="39124AA5" w14:textId="77777777" w:rsidTr="00C76F20">
        <w:trPr>
          <w:trHeight w:val="315"/>
        </w:trPr>
        <w:tc>
          <w:tcPr>
            <w:tcW w:w="12540" w:type="dxa"/>
            <w:gridSpan w:val="10"/>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hideMark/>
          </w:tcPr>
          <w:p w14:paraId="394C241D" w14:textId="093BA428" w:rsidR="00C65317" w:rsidRPr="00105274" w:rsidRDefault="00C65317" w:rsidP="00C76F20">
            <w:pPr>
              <w:spacing w:after="0" w:line="240" w:lineRule="auto"/>
              <w:rPr>
                <w:rFonts w:ascii="Arial" w:eastAsia="Times New Roman" w:hAnsi="Arial" w:cs="Arial"/>
                <w:color w:val="000000"/>
                <w:sz w:val="20"/>
                <w:szCs w:val="20"/>
                <w:lang w:val="es-CL" w:eastAsia="es-CL"/>
              </w:rPr>
            </w:pPr>
            <w:proofErr w:type="gramStart"/>
            <w:r w:rsidRPr="00105274">
              <w:rPr>
                <w:rFonts w:ascii="Arial" w:eastAsia="Times New Roman" w:hAnsi="Arial" w:cs="Arial"/>
                <w:color w:val="000000"/>
                <w:sz w:val="20"/>
                <w:szCs w:val="20"/>
                <w:lang w:val="es-ES_tradnl" w:eastAsia="es-CL"/>
              </w:rPr>
              <w:t>Instalación</w:t>
            </w:r>
            <w:r w:rsidR="003E73DD">
              <w:rPr>
                <w:rFonts w:ascii="Arial" w:eastAsia="Times New Roman" w:hAnsi="Arial" w:cs="Arial"/>
                <w:color w:val="000000"/>
                <w:sz w:val="20"/>
                <w:szCs w:val="20"/>
                <w:lang w:val="es-ES_tradnl" w:eastAsia="es-CL"/>
              </w:rPr>
              <w:t xml:space="preserve">, </w:t>
            </w:r>
            <w:r w:rsidRPr="00105274">
              <w:rPr>
                <w:rFonts w:ascii="Arial" w:eastAsia="Times New Roman" w:hAnsi="Arial" w:cs="Arial"/>
                <w:color w:val="000000"/>
                <w:sz w:val="20"/>
                <w:szCs w:val="20"/>
                <w:lang w:val="es-ES_tradnl" w:eastAsia="es-CL"/>
              </w:rPr>
              <w:t xml:space="preserve"> fortalecimiento</w:t>
            </w:r>
            <w:proofErr w:type="gramEnd"/>
            <w:r w:rsidRPr="00105274">
              <w:rPr>
                <w:rFonts w:ascii="Arial" w:eastAsia="Times New Roman" w:hAnsi="Arial" w:cs="Arial"/>
                <w:color w:val="000000"/>
                <w:sz w:val="20"/>
                <w:szCs w:val="20"/>
                <w:lang w:val="es-ES_tradnl" w:eastAsia="es-CL"/>
              </w:rPr>
              <w:t xml:space="preserve"> institucional </w:t>
            </w:r>
            <w:r w:rsidR="003E73DD">
              <w:rPr>
                <w:rFonts w:ascii="Arial" w:eastAsia="Times New Roman" w:hAnsi="Arial" w:cs="Arial"/>
                <w:color w:val="000000"/>
                <w:sz w:val="20"/>
                <w:szCs w:val="20"/>
                <w:lang w:val="es-ES_tradnl" w:eastAsia="es-CL"/>
              </w:rPr>
              <w:t xml:space="preserve">y operación </w:t>
            </w:r>
            <w:r w:rsidRPr="00105274">
              <w:rPr>
                <w:rFonts w:ascii="Arial" w:eastAsia="Times New Roman" w:hAnsi="Arial" w:cs="Arial"/>
                <w:color w:val="000000"/>
                <w:sz w:val="20"/>
                <w:szCs w:val="20"/>
                <w:lang w:val="es-ES_tradnl" w:eastAsia="es-CL"/>
              </w:rPr>
              <w:t xml:space="preserve">de la Dirección de Educación Pública  </w:t>
            </w:r>
          </w:p>
        </w:tc>
      </w:tr>
      <w:tr w:rsidR="00C65317" w:rsidRPr="00105274" w14:paraId="3BD5FCFB" w14:textId="77777777" w:rsidTr="00C76F20">
        <w:trPr>
          <w:trHeight w:val="1035"/>
        </w:trPr>
        <w:tc>
          <w:tcPr>
            <w:tcW w:w="3900" w:type="dxa"/>
            <w:tcBorders>
              <w:top w:val="nil"/>
              <w:left w:val="single" w:sz="8" w:space="0" w:color="auto"/>
              <w:bottom w:val="single" w:sz="8" w:space="0" w:color="auto"/>
              <w:right w:val="single" w:sz="8" w:space="0" w:color="auto"/>
            </w:tcBorders>
            <w:shd w:val="clear" w:color="auto" w:fill="auto"/>
            <w:vAlign w:val="center"/>
            <w:hideMark/>
          </w:tcPr>
          <w:p w14:paraId="0DC67B2E" w14:textId="77777777"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1.1. Número de centros de responsabilidad de la DEP que cumplen con al menos el 75% de las metas del CDC</w:t>
            </w:r>
          </w:p>
        </w:tc>
        <w:tc>
          <w:tcPr>
            <w:tcW w:w="960" w:type="dxa"/>
            <w:tcBorders>
              <w:top w:val="nil"/>
              <w:left w:val="nil"/>
              <w:bottom w:val="single" w:sz="8" w:space="0" w:color="auto"/>
              <w:right w:val="single" w:sz="8" w:space="0" w:color="auto"/>
            </w:tcBorders>
            <w:shd w:val="clear" w:color="auto" w:fill="auto"/>
            <w:vAlign w:val="center"/>
            <w:hideMark/>
          </w:tcPr>
          <w:p w14:paraId="12704205"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0</w:t>
            </w:r>
          </w:p>
        </w:tc>
        <w:tc>
          <w:tcPr>
            <w:tcW w:w="960" w:type="dxa"/>
            <w:tcBorders>
              <w:top w:val="nil"/>
              <w:left w:val="nil"/>
              <w:bottom w:val="single" w:sz="8" w:space="0" w:color="auto"/>
              <w:right w:val="single" w:sz="8" w:space="0" w:color="auto"/>
            </w:tcBorders>
            <w:shd w:val="clear" w:color="auto" w:fill="auto"/>
            <w:vAlign w:val="center"/>
            <w:hideMark/>
          </w:tcPr>
          <w:p w14:paraId="77A17708"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0860571C"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72FA818B" w14:textId="77777777" w:rsidR="00C65317" w:rsidRPr="00105274" w:rsidRDefault="00C65317" w:rsidP="00C76F20">
            <w:pPr>
              <w:spacing w:after="0" w:line="240" w:lineRule="auto"/>
              <w:rPr>
                <w:rFonts w:eastAsia="Times New Roman" w:cs="Calibri"/>
                <w:color w:val="000000"/>
                <w:lang w:val="es-CL" w:eastAsia="es-CL"/>
              </w:rPr>
            </w:pPr>
            <w:r w:rsidRPr="00105274">
              <w:rPr>
                <w:rFonts w:eastAsia="Times New Roman" w:cs="Calibri"/>
                <w:color w:val="00000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0F48B06E" w14:textId="77777777" w:rsidR="00C65317" w:rsidRPr="00105274" w:rsidRDefault="00C65317" w:rsidP="00C76F20">
            <w:pPr>
              <w:spacing w:after="0" w:line="240" w:lineRule="auto"/>
              <w:rPr>
                <w:rFonts w:eastAsia="Times New Roman" w:cs="Calibri"/>
                <w:color w:val="000000"/>
                <w:lang w:val="es-CL" w:eastAsia="es-CL"/>
              </w:rPr>
            </w:pPr>
            <w:r w:rsidRPr="00105274">
              <w:rPr>
                <w:rFonts w:eastAsia="Times New Roman" w:cs="Calibri"/>
                <w:color w:val="00000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72A5140B"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5</w:t>
            </w:r>
          </w:p>
        </w:tc>
        <w:tc>
          <w:tcPr>
            <w:tcW w:w="960" w:type="dxa"/>
            <w:tcBorders>
              <w:top w:val="nil"/>
              <w:left w:val="nil"/>
              <w:bottom w:val="single" w:sz="8" w:space="0" w:color="auto"/>
              <w:right w:val="single" w:sz="8" w:space="0" w:color="auto"/>
            </w:tcBorders>
            <w:shd w:val="clear" w:color="auto" w:fill="auto"/>
            <w:vAlign w:val="center"/>
            <w:hideMark/>
          </w:tcPr>
          <w:p w14:paraId="41FEF104"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5</w:t>
            </w:r>
          </w:p>
        </w:tc>
        <w:tc>
          <w:tcPr>
            <w:tcW w:w="960" w:type="dxa"/>
            <w:tcBorders>
              <w:top w:val="nil"/>
              <w:left w:val="nil"/>
              <w:bottom w:val="single" w:sz="8" w:space="0" w:color="auto"/>
              <w:right w:val="single" w:sz="8" w:space="0" w:color="auto"/>
            </w:tcBorders>
            <w:shd w:val="clear" w:color="auto" w:fill="auto"/>
            <w:vAlign w:val="center"/>
            <w:hideMark/>
          </w:tcPr>
          <w:p w14:paraId="6C710C94"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5</w:t>
            </w:r>
          </w:p>
        </w:tc>
        <w:tc>
          <w:tcPr>
            <w:tcW w:w="960" w:type="dxa"/>
            <w:tcBorders>
              <w:top w:val="nil"/>
              <w:left w:val="nil"/>
              <w:bottom w:val="single" w:sz="8" w:space="0" w:color="auto"/>
              <w:right w:val="single" w:sz="8" w:space="0" w:color="auto"/>
            </w:tcBorders>
            <w:shd w:val="clear" w:color="auto" w:fill="auto"/>
            <w:vAlign w:val="center"/>
            <w:hideMark/>
          </w:tcPr>
          <w:p w14:paraId="47FC79B5"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5</w:t>
            </w:r>
          </w:p>
        </w:tc>
      </w:tr>
      <w:tr w:rsidR="00C65317" w:rsidRPr="00105274" w14:paraId="49AFEB9B" w14:textId="77777777" w:rsidTr="00C76F20">
        <w:trPr>
          <w:trHeight w:val="525"/>
        </w:trPr>
        <w:tc>
          <w:tcPr>
            <w:tcW w:w="3900" w:type="dxa"/>
            <w:tcBorders>
              <w:top w:val="nil"/>
              <w:left w:val="single" w:sz="8" w:space="0" w:color="auto"/>
              <w:bottom w:val="single" w:sz="8" w:space="0" w:color="auto"/>
              <w:right w:val="single" w:sz="8" w:space="0" w:color="auto"/>
            </w:tcBorders>
            <w:shd w:val="clear" w:color="auto" w:fill="auto"/>
            <w:vAlign w:val="center"/>
            <w:hideMark/>
          </w:tcPr>
          <w:p w14:paraId="1B56F610" w14:textId="77777777"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xml:space="preserve">1.2. Porcentaje de cumplimiento anual de la DEP en su </w:t>
            </w:r>
            <w:proofErr w:type="spellStart"/>
            <w:r w:rsidRPr="00105274">
              <w:rPr>
                <w:rFonts w:ascii="Arial" w:eastAsia="Times New Roman" w:hAnsi="Arial" w:cs="Arial"/>
                <w:color w:val="000000"/>
                <w:sz w:val="20"/>
                <w:szCs w:val="20"/>
                <w:lang w:val="es-ES_tradnl" w:eastAsia="es-CL"/>
              </w:rPr>
              <w:t>PMG</w:t>
            </w:r>
            <w:proofErr w:type="spellEnd"/>
          </w:p>
        </w:tc>
        <w:tc>
          <w:tcPr>
            <w:tcW w:w="960" w:type="dxa"/>
            <w:tcBorders>
              <w:top w:val="nil"/>
              <w:left w:val="nil"/>
              <w:bottom w:val="single" w:sz="8" w:space="0" w:color="auto"/>
              <w:right w:val="single" w:sz="8" w:space="0" w:color="auto"/>
            </w:tcBorders>
            <w:shd w:val="clear" w:color="auto" w:fill="auto"/>
            <w:vAlign w:val="center"/>
            <w:hideMark/>
          </w:tcPr>
          <w:p w14:paraId="722A8539"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0 </w:t>
            </w:r>
          </w:p>
        </w:tc>
        <w:tc>
          <w:tcPr>
            <w:tcW w:w="960" w:type="dxa"/>
            <w:tcBorders>
              <w:top w:val="nil"/>
              <w:left w:val="nil"/>
              <w:bottom w:val="single" w:sz="8" w:space="0" w:color="auto"/>
              <w:right w:val="single" w:sz="8" w:space="0" w:color="auto"/>
            </w:tcBorders>
            <w:shd w:val="clear" w:color="auto" w:fill="auto"/>
            <w:vAlign w:val="center"/>
            <w:hideMark/>
          </w:tcPr>
          <w:p w14:paraId="6445CB80"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649CC7A3"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6DA3A5C2" w14:textId="77777777" w:rsidR="00C65317" w:rsidRPr="00105274" w:rsidRDefault="00C65317" w:rsidP="00C76F20">
            <w:pPr>
              <w:spacing w:after="0" w:line="240" w:lineRule="auto"/>
              <w:rPr>
                <w:rFonts w:eastAsia="Times New Roman" w:cs="Calibri"/>
                <w:color w:val="000000"/>
                <w:lang w:val="es-CL" w:eastAsia="es-CL"/>
              </w:rPr>
            </w:pPr>
            <w:r w:rsidRPr="00105274">
              <w:rPr>
                <w:rFonts w:eastAsia="Times New Roman" w:cs="Calibri"/>
                <w:color w:val="00000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3A1AF2BF" w14:textId="77777777" w:rsidR="00C65317" w:rsidRPr="00105274" w:rsidRDefault="00C65317" w:rsidP="00C76F20">
            <w:pPr>
              <w:spacing w:after="0" w:line="240" w:lineRule="auto"/>
              <w:rPr>
                <w:rFonts w:eastAsia="Times New Roman" w:cs="Calibri"/>
                <w:color w:val="000000"/>
                <w:lang w:val="es-CL" w:eastAsia="es-CL"/>
              </w:rPr>
            </w:pPr>
            <w:r w:rsidRPr="00105274">
              <w:rPr>
                <w:rFonts w:eastAsia="Times New Roman" w:cs="Calibri"/>
                <w:color w:val="00000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36DF5930"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75%</w:t>
            </w:r>
          </w:p>
        </w:tc>
        <w:tc>
          <w:tcPr>
            <w:tcW w:w="960" w:type="dxa"/>
            <w:tcBorders>
              <w:top w:val="nil"/>
              <w:left w:val="nil"/>
              <w:bottom w:val="single" w:sz="8" w:space="0" w:color="auto"/>
              <w:right w:val="single" w:sz="8" w:space="0" w:color="auto"/>
            </w:tcBorders>
            <w:shd w:val="clear" w:color="auto" w:fill="auto"/>
            <w:vAlign w:val="center"/>
            <w:hideMark/>
          </w:tcPr>
          <w:p w14:paraId="316D4B13"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2,5</w:t>
            </w:r>
          </w:p>
        </w:tc>
        <w:tc>
          <w:tcPr>
            <w:tcW w:w="960" w:type="dxa"/>
            <w:tcBorders>
              <w:top w:val="nil"/>
              <w:left w:val="nil"/>
              <w:bottom w:val="single" w:sz="8" w:space="0" w:color="auto"/>
              <w:right w:val="single" w:sz="8" w:space="0" w:color="auto"/>
            </w:tcBorders>
            <w:shd w:val="clear" w:color="auto" w:fill="auto"/>
            <w:vAlign w:val="center"/>
            <w:hideMark/>
          </w:tcPr>
          <w:p w14:paraId="48E5DA10"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75% </w:t>
            </w:r>
          </w:p>
        </w:tc>
        <w:tc>
          <w:tcPr>
            <w:tcW w:w="960" w:type="dxa"/>
            <w:tcBorders>
              <w:top w:val="nil"/>
              <w:left w:val="nil"/>
              <w:bottom w:val="single" w:sz="8" w:space="0" w:color="auto"/>
              <w:right w:val="single" w:sz="8" w:space="0" w:color="auto"/>
            </w:tcBorders>
            <w:shd w:val="clear" w:color="auto" w:fill="auto"/>
            <w:vAlign w:val="center"/>
            <w:hideMark/>
          </w:tcPr>
          <w:p w14:paraId="34EB8090"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2,5</w:t>
            </w:r>
          </w:p>
        </w:tc>
      </w:tr>
      <w:tr w:rsidR="00C65317" w:rsidRPr="00376B9E" w14:paraId="60884436" w14:textId="77777777" w:rsidTr="00C76F20">
        <w:trPr>
          <w:trHeight w:val="315"/>
        </w:trPr>
        <w:tc>
          <w:tcPr>
            <w:tcW w:w="12540" w:type="dxa"/>
            <w:gridSpan w:val="10"/>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hideMark/>
          </w:tcPr>
          <w:p w14:paraId="7CEE643C" w14:textId="77777777"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xml:space="preserve">Preparación del traspaso del servicio educativo en municipios que van a convertirse en </w:t>
            </w:r>
            <w:proofErr w:type="spellStart"/>
            <w:r w:rsidRPr="00105274">
              <w:rPr>
                <w:rFonts w:ascii="Arial" w:eastAsia="Times New Roman" w:hAnsi="Arial" w:cs="Arial"/>
                <w:color w:val="000000"/>
                <w:sz w:val="20"/>
                <w:szCs w:val="20"/>
                <w:lang w:val="es-ES_tradnl" w:eastAsia="es-CL"/>
              </w:rPr>
              <w:t>SLEPs</w:t>
            </w:r>
            <w:proofErr w:type="spellEnd"/>
            <w:r w:rsidRPr="00105274">
              <w:rPr>
                <w:rFonts w:ascii="Arial" w:eastAsia="Times New Roman" w:hAnsi="Arial" w:cs="Arial"/>
                <w:color w:val="000000"/>
                <w:sz w:val="20"/>
                <w:szCs w:val="20"/>
                <w:lang w:val="es-ES_tradnl" w:eastAsia="es-CL"/>
              </w:rPr>
              <w:t xml:space="preserve"> </w:t>
            </w:r>
          </w:p>
        </w:tc>
      </w:tr>
      <w:tr w:rsidR="00C65317" w:rsidRPr="00105274" w14:paraId="781A73D9" w14:textId="77777777" w:rsidTr="00C76F20">
        <w:trPr>
          <w:trHeight w:val="525"/>
        </w:trPr>
        <w:tc>
          <w:tcPr>
            <w:tcW w:w="3900" w:type="dxa"/>
            <w:tcBorders>
              <w:top w:val="nil"/>
              <w:left w:val="single" w:sz="8" w:space="0" w:color="auto"/>
              <w:bottom w:val="single" w:sz="8" w:space="0" w:color="auto"/>
              <w:right w:val="single" w:sz="8" w:space="0" w:color="auto"/>
            </w:tcBorders>
            <w:shd w:val="clear" w:color="auto" w:fill="auto"/>
            <w:vAlign w:val="center"/>
            <w:hideMark/>
          </w:tcPr>
          <w:p w14:paraId="66ADB38A" w14:textId="334088BF"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1.</w:t>
            </w:r>
            <w:r w:rsidR="00E17C27">
              <w:rPr>
                <w:rFonts w:ascii="Arial" w:eastAsia="Times New Roman" w:hAnsi="Arial" w:cs="Arial"/>
                <w:color w:val="000000"/>
                <w:sz w:val="20"/>
                <w:szCs w:val="20"/>
                <w:lang w:val="es-ES_tradnl" w:eastAsia="es-CL"/>
              </w:rPr>
              <w:t>6</w:t>
            </w:r>
            <w:r w:rsidRPr="00105274">
              <w:rPr>
                <w:rFonts w:ascii="Arial" w:eastAsia="Times New Roman" w:hAnsi="Arial" w:cs="Arial"/>
                <w:color w:val="000000"/>
                <w:sz w:val="20"/>
                <w:szCs w:val="20"/>
                <w:lang w:val="es-ES_tradnl" w:eastAsia="es-CL"/>
              </w:rPr>
              <w:t xml:space="preserve">. Número de municipios con un plan de transición firmado y que ejecutan el </w:t>
            </w:r>
            <w:proofErr w:type="spellStart"/>
            <w:r w:rsidRPr="00105274">
              <w:rPr>
                <w:rFonts w:ascii="Arial" w:eastAsia="Times New Roman" w:hAnsi="Arial" w:cs="Arial"/>
                <w:color w:val="000000"/>
                <w:sz w:val="20"/>
                <w:szCs w:val="20"/>
                <w:lang w:val="es-ES_tradnl" w:eastAsia="es-CL"/>
              </w:rPr>
              <w:t>FAEP</w:t>
            </w:r>
            <w:proofErr w:type="spellEnd"/>
          </w:p>
        </w:tc>
        <w:tc>
          <w:tcPr>
            <w:tcW w:w="960" w:type="dxa"/>
            <w:tcBorders>
              <w:top w:val="nil"/>
              <w:left w:val="nil"/>
              <w:bottom w:val="single" w:sz="8" w:space="0" w:color="auto"/>
              <w:right w:val="single" w:sz="8" w:space="0" w:color="auto"/>
            </w:tcBorders>
            <w:shd w:val="clear" w:color="auto" w:fill="auto"/>
            <w:vAlign w:val="center"/>
            <w:hideMark/>
          </w:tcPr>
          <w:p w14:paraId="30CDB2DD"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0 </w:t>
            </w:r>
          </w:p>
        </w:tc>
        <w:tc>
          <w:tcPr>
            <w:tcW w:w="960" w:type="dxa"/>
            <w:tcBorders>
              <w:top w:val="nil"/>
              <w:left w:val="nil"/>
              <w:bottom w:val="single" w:sz="8" w:space="0" w:color="auto"/>
              <w:right w:val="single" w:sz="8" w:space="0" w:color="auto"/>
            </w:tcBorders>
            <w:shd w:val="clear" w:color="auto" w:fill="auto"/>
            <w:vAlign w:val="center"/>
            <w:hideMark/>
          </w:tcPr>
          <w:p w14:paraId="5E539A2E"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484EC501"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10E89F97" w14:textId="77777777" w:rsidR="00C65317" w:rsidRPr="00105274" w:rsidRDefault="00C65317" w:rsidP="00C76F20">
            <w:pPr>
              <w:spacing w:after="0" w:line="240" w:lineRule="auto"/>
              <w:rPr>
                <w:rFonts w:eastAsia="Times New Roman" w:cs="Calibri"/>
                <w:color w:val="000000"/>
                <w:lang w:val="es-CL" w:eastAsia="es-CL"/>
              </w:rPr>
            </w:pPr>
            <w:r w:rsidRPr="00105274">
              <w:rPr>
                <w:rFonts w:eastAsia="Times New Roman" w:cs="Calibri"/>
                <w:color w:val="00000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473F30BB" w14:textId="77777777" w:rsidR="00C65317" w:rsidRPr="00105274" w:rsidRDefault="00C65317" w:rsidP="00C76F20">
            <w:pPr>
              <w:spacing w:after="0" w:line="240" w:lineRule="auto"/>
              <w:rPr>
                <w:rFonts w:eastAsia="Times New Roman" w:cs="Calibri"/>
                <w:color w:val="000000"/>
                <w:lang w:val="es-CL" w:eastAsia="es-CL"/>
              </w:rPr>
            </w:pPr>
            <w:r w:rsidRPr="00105274">
              <w:rPr>
                <w:rFonts w:eastAsia="Times New Roman" w:cs="Calibri"/>
                <w:color w:val="00000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5E3D5DB5"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eastAsia="es-CL"/>
              </w:rPr>
              <w:t>33</w:t>
            </w:r>
          </w:p>
        </w:tc>
        <w:tc>
          <w:tcPr>
            <w:tcW w:w="960" w:type="dxa"/>
            <w:tcBorders>
              <w:top w:val="nil"/>
              <w:left w:val="nil"/>
              <w:bottom w:val="single" w:sz="8" w:space="0" w:color="auto"/>
              <w:right w:val="single" w:sz="8" w:space="0" w:color="auto"/>
            </w:tcBorders>
            <w:shd w:val="clear" w:color="auto" w:fill="auto"/>
            <w:vAlign w:val="center"/>
            <w:hideMark/>
          </w:tcPr>
          <w:p w14:paraId="7340D88B"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5,5</w:t>
            </w:r>
          </w:p>
        </w:tc>
        <w:tc>
          <w:tcPr>
            <w:tcW w:w="960" w:type="dxa"/>
            <w:tcBorders>
              <w:top w:val="nil"/>
              <w:left w:val="nil"/>
              <w:bottom w:val="single" w:sz="8" w:space="0" w:color="auto"/>
              <w:right w:val="single" w:sz="8" w:space="0" w:color="auto"/>
            </w:tcBorders>
            <w:shd w:val="clear" w:color="auto" w:fill="auto"/>
            <w:vAlign w:val="center"/>
            <w:hideMark/>
          </w:tcPr>
          <w:p w14:paraId="19C04D00"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33</w:t>
            </w:r>
          </w:p>
        </w:tc>
        <w:tc>
          <w:tcPr>
            <w:tcW w:w="960" w:type="dxa"/>
            <w:tcBorders>
              <w:top w:val="nil"/>
              <w:left w:val="nil"/>
              <w:bottom w:val="single" w:sz="8" w:space="0" w:color="auto"/>
              <w:right w:val="single" w:sz="8" w:space="0" w:color="auto"/>
            </w:tcBorders>
            <w:shd w:val="clear" w:color="auto" w:fill="auto"/>
            <w:vAlign w:val="center"/>
            <w:hideMark/>
          </w:tcPr>
          <w:p w14:paraId="0156C043"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5,5</w:t>
            </w:r>
          </w:p>
        </w:tc>
      </w:tr>
      <w:tr w:rsidR="00C65317" w:rsidRPr="00105274" w14:paraId="5ADEAB20" w14:textId="77777777" w:rsidTr="00C76F20">
        <w:trPr>
          <w:trHeight w:val="315"/>
        </w:trPr>
        <w:tc>
          <w:tcPr>
            <w:tcW w:w="12540" w:type="dxa"/>
            <w:gridSpan w:val="10"/>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hideMark/>
          </w:tcPr>
          <w:p w14:paraId="29DB3DCD" w14:textId="77777777"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xml:space="preserve">Instalación de los </w:t>
            </w:r>
            <w:proofErr w:type="spellStart"/>
            <w:r w:rsidRPr="00105274">
              <w:rPr>
                <w:rFonts w:ascii="Arial" w:eastAsia="Times New Roman" w:hAnsi="Arial" w:cs="Arial"/>
                <w:color w:val="000000"/>
                <w:sz w:val="20"/>
                <w:szCs w:val="20"/>
                <w:lang w:val="es-ES_tradnl" w:eastAsia="es-CL"/>
              </w:rPr>
              <w:t>SLEPs</w:t>
            </w:r>
            <w:proofErr w:type="spellEnd"/>
          </w:p>
        </w:tc>
      </w:tr>
      <w:tr w:rsidR="00C65317" w:rsidRPr="00105274" w14:paraId="7B9FF989" w14:textId="77777777" w:rsidTr="00C76F20">
        <w:trPr>
          <w:trHeight w:val="525"/>
        </w:trPr>
        <w:tc>
          <w:tcPr>
            <w:tcW w:w="3900" w:type="dxa"/>
            <w:tcBorders>
              <w:top w:val="nil"/>
              <w:left w:val="single" w:sz="8" w:space="0" w:color="auto"/>
              <w:bottom w:val="single" w:sz="8" w:space="0" w:color="auto"/>
              <w:right w:val="single" w:sz="8" w:space="0" w:color="auto"/>
            </w:tcBorders>
            <w:shd w:val="clear" w:color="auto" w:fill="auto"/>
            <w:vAlign w:val="center"/>
            <w:hideMark/>
          </w:tcPr>
          <w:p w14:paraId="2B57D9AC" w14:textId="37CE6E62"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xml:space="preserve">1.8. Número de </w:t>
            </w:r>
            <w:proofErr w:type="spellStart"/>
            <w:r w:rsidRPr="00105274">
              <w:rPr>
                <w:rFonts w:ascii="Arial" w:eastAsia="Times New Roman" w:hAnsi="Arial" w:cs="Arial"/>
                <w:color w:val="000000"/>
                <w:sz w:val="20"/>
                <w:szCs w:val="20"/>
                <w:lang w:val="es-ES_tradnl" w:eastAsia="es-CL"/>
              </w:rPr>
              <w:t>SLEPs</w:t>
            </w:r>
            <w:proofErr w:type="spellEnd"/>
            <w:r w:rsidRPr="00105274">
              <w:rPr>
                <w:rFonts w:ascii="Arial" w:eastAsia="Times New Roman" w:hAnsi="Arial" w:cs="Arial"/>
                <w:color w:val="000000"/>
                <w:sz w:val="20"/>
                <w:szCs w:val="20"/>
                <w:lang w:val="es-ES_tradnl" w:eastAsia="es-CL"/>
              </w:rPr>
              <w:t xml:space="preserve"> con servicio educativo traspasado</w:t>
            </w:r>
          </w:p>
        </w:tc>
        <w:tc>
          <w:tcPr>
            <w:tcW w:w="960" w:type="dxa"/>
            <w:tcBorders>
              <w:top w:val="nil"/>
              <w:left w:val="nil"/>
              <w:bottom w:val="single" w:sz="8" w:space="0" w:color="auto"/>
              <w:right w:val="single" w:sz="8" w:space="0" w:color="auto"/>
            </w:tcBorders>
            <w:shd w:val="clear" w:color="auto" w:fill="auto"/>
            <w:vAlign w:val="center"/>
            <w:hideMark/>
          </w:tcPr>
          <w:p w14:paraId="6446564D"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0</w:t>
            </w:r>
          </w:p>
        </w:tc>
        <w:tc>
          <w:tcPr>
            <w:tcW w:w="960" w:type="dxa"/>
            <w:tcBorders>
              <w:top w:val="nil"/>
              <w:left w:val="nil"/>
              <w:bottom w:val="single" w:sz="8" w:space="0" w:color="auto"/>
              <w:right w:val="single" w:sz="8" w:space="0" w:color="auto"/>
            </w:tcBorders>
            <w:shd w:val="clear" w:color="auto" w:fill="auto"/>
            <w:vAlign w:val="center"/>
            <w:hideMark/>
          </w:tcPr>
          <w:p w14:paraId="7969B85D" w14:textId="77777777" w:rsidR="00C65317" w:rsidRPr="00105274" w:rsidRDefault="00C65317" w:rsidP="00C76F20">
            <w:pPr>
              <w:spacing w:after="0" w:line="240" w:lineRule="auto"/>
              <w:jc w:val="center"/>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67D2B34E"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1935AA5B" w14:textId="77777777" w:rsidR="00C65317" w:rsidRPr="00105274" w:rsidRDefault="00C65317" w:rsidP="00C76F20">
            <w:pPr>
              <w:spacing w:after="0" w:line="240" w:lineRule="auto"/>
              <w:jc w:val="center"/>
              <w:rPr>
                <w:rFonts w:eastAsia="Times New Roman" w:cs="Calibri"/>
                <w:color w:val="000000"/>
                <w:lang w:val="es-CL" w:eastAsia="es-CL"/>
              </w:rPr>
            </w:pPr>
            <w:r w:rsidRPr="00105274">
              <w:rPr>
                <w:rFonts w:eastAsia="Times New Roman" w:cs="Calibri"/>
                <w:color w:val="00000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3AD51191" w14:textId="77777777" w:rsidR="00C65317" w:rsidRPr="00105274" w:rsidRDefault="00C65317" w:rsidP="00C76F20">
            <w:pPr>
              <w:spacing w:after="0" w:line="240" w:lineRule="auto"/>
              <w:jc w:val="center"/>
              <w:rPr>
                <w:rFonts w:eastAsia="Times New Roman" w:cs="Calibri"/>
                <w:color w:val="000000"/>
                <w:lang w:val="es-CL" w:eastAsia="es-CL"/>
              </w:rPr>
            </w:pPr>
            <w:r w:rsidRPr="00105274">
              <w:rPr>
                <w:rFonts w:eastAsia="Times New Roman" w:cs="Calibri"/>
                <w:color w:val="00000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1B0FBD79"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11</w:t>
            </w:r>
          </w:p>
        </w:tc>
        <w:tc>
          <w:tcPr>
            <w:tcW w:w="960" w:type="dxa"/>
            <w:tcBorders>
              <w:top w:val="nil"/>
              <w:left w:val="nil"/>
              <w:bottom w:val="single" w:sz="8" w:space="0" w:color="auto"/>
              <w:right w:val="single" w:sz="8" w:space="0" w:color="auto"/>
            </w:tcBorders>
            <w:shd w:val="clear" w:color="auto" w:fill="auto"/>
            <w:vAlign w:val="center"/>
            <w:hideMark/>
          </w:tcPr>
          <w:p w14:paraId="45E47D9C"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eastAsia="es-CL"/>
              </w:rPr>
              <w:t>0,5</w:t>
            </w:r>
          </w:p>
        </w:tc>
        <w:tc>
          <w:tcPr>
            <w:tcW w:w="960" w:type="dxa"/>
            <w:tcBorders>
              <w:top w:val="nil"/>
              <w:left w:val="nil"/>
              <w:bottom w:val="single" w:sz="8" w:space="0" w:color="auto"/>
              <w:right w:val="single" w:sz="8" w:space="0" w:color="auto"/>
            </w:tcBorders>
            <w:shd w:val="clear" w:color="auto" w:fill="auto"/>
            <w:vAlign w:val="center"/>
            <w:hideMark/>
          </w:tcPr>
          <w:p w14:paraId="69B39B6B"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11</w:t>
            </w:r>
          </w:p>
        </w:tc>
        <w:tc>
          <w:tcPr>
            <w:tcW w:w="960" w:type="dxa"/>
            <w:tcBorders>
              <w:top w:val="nil"/>
              <w:left w:val="nil"/>
              <w:bottom w:val="single" w:sz="8" w:space="0" w:color="auto"/>
              <w:right w:val="single" w:sz="8" w:space="0" w:color="auto"/>
            </w:tcBorders>
            <w:shd w:val="clear" w:color="auto" w:fill="auto"/>
            <w:vAlign w:val="center"/>
            <w:hideMark/>
          </w:tcPr>
          <w:p w14:paraId="2A5E383B"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0,5</w:t>
            </w:r>
          </w:p>
        </w:tc>
      </w:tr>
      <w:tr w:rsidR="00C65317" w:rsidRPr="00376B9E" w14:paraId="60CBA5CB" w14:textId="77777777" w:rsidTr="00C76F20">
        <w:trPr>
          <w:trHeight w:val="315"/>
        </w:trPr>
        <w:tc>
          <w:tcPr>
            <w:tcW w:w="12540" w:type="dxa"/>
            <w:gridSpan w:val="10"/>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hideMark/>
          </w:tcPr>
          <w:p w14:paraId="4334EF43" w14:textId="77777777"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xml:space="preserve">Gestión y liderazgo de los </w:t>
            </w:r>
            <w:proofErr w:type="spellStart"/>
            <w:r w:rsidRPr="00105274">
              <w:rPr>
                <w:rFonts w:ascii="Arial" w:eastAsia="Times New Roman" w:hAnsi="Arial" w:cs="Arial"/>
                <w:color w:val="000000"/>
                <w:sz w:val="20"/>
                <w:szCs w:val="20"/>
                <w:lang w:val="es-ES_tradnl" w:eastAsia="es-CL"/>
              </w:rPr>
              <w:t>SLEPs</w:t>
            </w:r>
            <w:proofErr w:type="spellEnd"/>
          </w:p>
        </w:tc>
      </w:tr>
      <w:tr w:rsidR="00C65317" w:rsidRPr="00105274" w14:paraId="04EB5B66" w14:textId="77777777" w:rsidTr="00C76F20">
        <w:trPr>
          <w:trHeight w:val="780"/>
        </w:trPr>
        <w:tc>
          <w:tcPr>
            <w:tcW w:w="3900" w:type="dxa"/>
            <w:tcBorders>
              <w:top w:val="nil"/>
              <w:left w:val="single" w:sz="8" w:space="0" w:color="auto"/>
              <w:bottom w:val="single" w:sz="8" w:space="0" w:color="auto"/>
              <w:right w:val="single" w:sz="8" w:space="0" w:color="auto"/>
            </w:tcBorders>
            <w:shd w:val="clear" w:color="auto" w:fill="auto"/>
            <w:vAlign w:val="center"/>
            <w:hideMark/>
          </w:tcPr>
          <w:p w14:paraId="7FA44F62" w14:textId="7BE6C6A5"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1.1</w:t>
            </w:r>
            <w:r w:rsidR="00E17C27">
              <w:rPr>
                <w:rFonts w:ascii="Arial" w:eastAsia="Times New Roman" w:hAnsi="Arial" w:cs="Arial"/>
                <w:color w:val="000000"/>
                <w:sz w:val="20"/>
                <w:szCs w:val="20"/>
                <w:lang w:val="es-ES_tradnl" w:eastAsia="es-CL"/>
              </w:rPr>
              <w:t>1</w:t>
            </w:r>
            <w:r w:rsidRPr="00105274">
              <w:rPr>
                <w:rFonts w:ascii="Arial" w:eastAsia="Times New Roman" w:hAnsi="Arial" w:cs="Arial"/>
                <w:color w:val="000000"/>
                <w:sz w:val="20"/>
                <w:szCs w:val="20"/>
                <w:lang w:val="es-ES_tradnl" w:eastAsia="es-CL"/>
              </w:rPr>
              <w:t xml:space="preserve">. Número de </w:t>
            </w:r>
            <w:proofErr w:type="spellStart"/>
            <w:r w:rsidRPr="00105274">
              <w:rPr>
                <w:rFonts w:ascii="Arial" w:eastAsia="Times New Roman" w:hAnsi="Arial" w:cs="Arial"/>
                <w:color w:val="000000"/>
                <w:sz w:val="20"/>
                <w:szCs w:val="20"/>
                <w:lang w:val="es-ES_tradnl" w:eastAsia="es-CL"/>
              </w:rPr>
              <w:t>SLEPs</w:t>
            </w:r>
            <w:proofErr w:type="spellEnd"/>
            <w:r w:rsidRPr="00105274">
              <w:rPr>
                <w:rFonts w:ascii="Arial" w:eastAsia="Times New Roman" w:hAnsi="Arial" w:cs="Arial"/>
                <w:color w:val="000000"/>
                <w:sz w:val="20"/>
                <w:szCs w:val="20"/>
                <w:lang w:val="es-ES_tradnl" w:eastAsia="es-CL"/>
              </w:rPr>
              <w:t xml:space="preserve"> cuyos Directores Ejecutivos cumplen satisfactoriamente su convenio de gestión </w:t>
            </w:r>
            <w:r w:rsidR="003E73DD">
              <w:rPr>
                <w:rFonts w:ascii="Arial" w:eastAsia="Times New Roman" w:hAnsi="Arial" w:cs="Arial"/>
                <w:color w:val="000000"/>
                <w:sz w:val="20"/>
                <w:szCs w:val="20"/>
                <w:lang w:val="es-ES_tradnl" w:eastAsia="es-CL"/>
              </w:rPr>
              <w:t xml:space="preserve">educacional </w:t>
            </w:r>
          </w:p>
        </w:tc>
        <w:tc>
          <w:tcPr>
            <w:tcW w:w="960" w:type="dxa"/>
            <w:tcBorders>
              <w:top w:val="nil"/>
              <w:left w:val="nil"/>
              <w:bottom w:val="single" w:sz="8" w:space="0" w:color="auto"/>
              <w:right w:val="single" w:sz="8" w:space="0" w:color="auto"/>
            </w:tcBorders>
            <w:shd w:val="clear" w:color="auto" w:fill="auto"/>
            <w:vAlign w:val="center"/>
            <w:hideMark/>
          </w:tcPr>
          <w:p w14:paraId="5D865F5B"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eastAsia="es-CL"/>
              </w:rPr>
              <w:t>0</w:t>
            </w:r>
          </w:p>
        </w:tc>
        <w:tc>
          <w:tcPr>
            <w:tcW w:w="960" w:type="dxa"/>
            <w:tcBorders>
              <w:top w:val="nil"/>
              <w:left w:val="nil"/>
              <w:bottom w:val="single" w:sz="8" w:space="0" w:color="auto"/>
              <w:right w:val="single" w:sz="8" w:space="0" w:color="auto"/>
            </w:tcBorders>
            <w:shd w:val="clear" w:color="auto" w:fill="auto"/>
            <w:vAlign w:val="center"/>
            <w:hideMark/>
          </w:tcPr>
          <w:p w14:paraId="07051089" w14:textId="77777777" w:rsidR="00C65317" w:rsidRPr="00105274" w:rsidRDefault="00C65317" w:rsidP="00C76F20">
            <w:pPr>
              <w:spacing w:after="0" w:line="240" w:lineRule="auto"/>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68580F84"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eastAsia="es-CL"/>
              </w:rPr>
              <w:t> 2,5</w:t>
            </w:r>
          </w:p>
        </w:tc>
        <w:tc>
          <w:tcPr>
            <w:tcW w:w="960" w:type="dxa"/>
            <w:tcBorders>
              <w:top w:val="nil"/>
              <w:left w:val="nil"/>
              <w:bottom w:val="single" w:sz="8" w:space="0" w:color="auto"/>
              <w:right w:val="single" w:sz="8" w:space="0" w:color="auto"/>
            </w:tcBorders>
            <w:shd w:val="clear" w:color="auto" w:fill="auto"/>
            <w:vAlign w:val="center"/>
            <w:hideMark/>
          </w:tcPr>
          <w:p w14:paraId="15581A31" w14:textId="77777777" w:rsidR="00C65317" w:rsidRPr="00105274" w:rsidRDefault="00C65317" w:rsidP="00C76F20">
            <w:pPr>
              <w:spacing w:after="0" w:line="240" w:lineRule="auto"/>
              <w:jc w:val="center"/>
              <w:rPr>
                <w:rFonts w:eastAsia="Times New Roman" w:cs="Calibri"/>
                <w:color w:val="000000"/>
                <w:lang w:val="es-CL" w:eastAsia="es-CL"/>
              </w:rPr>
            </w:pPr>
            <w:r w:rsidRPr="00105274">
              <w:rPr>
                <w:rFonts w:eastAsia="Times New Roman" w:cs="Calibri"/>
                <w:color w:val="000000"/>
                <w:lang w:eastAsia="es-CL"/>
              </w:rPr>
              <w:t>7</w:t>
            </w:r>
          </w:p>
        </w:tc>
        <w:tc>
          <w:tcPr>
            <w:tcW w:w="960" w:type="dxa"/>
            <w:tcBorders>
              <w:top w:val="nil"/>
              <w:left w:val="nil"/>
              <w:bottom w:val="single" w:sz="8" w:space="0" w:color="auto"/>
              <w:right w:val="single" w:sz="8" w:space="0" w:color="auto"/>
            </w:tcBorders>
            <w:shd w:val="clear" w:color="auto" w:fill="auto"/>
            <w:vAlign w:val="center"/>
            <w:hideMark/>
          </w:tcPr>
          <w:p w14:paraId="6FF1781B" w14:textId="77777777" w:rsidR="00C65317" w:rsidRPr="00105274" w:rsidRDefault="00C65317" w:rsidP="00C76F20">
            <w:pPr>
              <w:spacing w:after="0" w:line="240" w:lineRule="auto"/>
              <w:jc w:val="center"/>
              <w:rPr>
                <w:rFonts w:eastAsia="Times New Roman" w:cs="Calibri"/>
                <w:color w:val="000000"/>
                <w:lang w:val="es-CL" w:eastAsia="es-CL"/>
              </w:rPr>
            </w:pPr>
            <w:r w:rsidRPr="00105274">
              <w:rPr>
                <w:rFonts w:eastAsia="Times New Roman" w:cs="Calibri"/>
                <w:color w:val="000000"/>
                <w:lang w:eastAsia="es-CL"/>
              </w:rPr>
              <w:t>3,75</w:t>
            </w:r>
          </w:p>
        </w:tc>
        <w:tc>
          <w:tcPr>
            <w:tcW w:w="960" w:type="dxa"/>
            <w:tcBorders>
              <w:top w:val="nil"/>
              <w:left w:val="nil"/>
              <w:bottom w:val="single" w:sz="8" w:space="0" w:color="auto"/>
              <w:right w:val="single" w:sz="8" w:space="0" w:color="auto"/>
            </w:tcBorders>
            <w:shd w:val="clear" w:color="auto" w:fill="auto"/>
            <w:vAlign w:val="center"/>
            <w:hideMark/>
          </w:tcPr>
          <w:p w14:paraId="1D998764"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11</w:t>
            </w:r>
          </w:p>
        </w:tc>
        <w:tc>
          <w:tcPr>
            <w:tcW w:w="960" w:type="dxa"/>
            <w:tcBorders>
              <w:top w:val="nil"/>
              <w:left w:val="nil"/>
              <w:bottom w:val="single" w:sz="8" w:space="0" w:color="auto"/>
              <w:right w:val="single" w:sz="8" w:space="0" w:color="auto"/>
            </w:tcBorders>
            <w:shd w:val="clear" w:color="auto" w:fill="auto"/>
            <w:vAlign w:val="center"/>
            <w:hideMark/>
          </w:tcPr>
          <w:p w14:paraId="25EBCA3E"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12</w:t>
            </w:r>
          </w:p>
        </w:tc>
        <w:tc>
          <w:tcPr>
            <w:tcW w:w="960" w:type="dxa"/>
            <w:tcBorders>
              <w:top w:val="nil"/>
              <w:left w:val="nil"/>
              <w:bottom w:val="single" w:sz="8" w:space="0" w:color="auto"/>
              <w:right w:val="single" w:sz="8" w:space="0" w:color="auto"/>
            </w:tcBorders>
            <w:shd w:val="clear" w:color="auto" w:fill="auto"/>
            <w:vAlign w:val="center"/>
            <w:hideMark/>
          </w:tcPr>
          <w:p w14:paraId="61BA67DD"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eastAsia="es-CL"/>
              </w:rPr>
              <w:t>11</w:t>
            </w:r>
          </w:p>
        </w:tc>
        <w:tc>
          <w:tcPr>
            <w:tcW w:w="960" w:type="dxa"/>
            <w:tcBorders>
              <w:top w:val="nil"/>
              <w:left w:val="nil"/>
              <w:bottom w:val="single" w:sz="8" w:space="0" w:color="auto"/>
              <w:right w:val="single" w:sz="8" w:space="0" w:color="auto"/>
            </w:tcBorders>
            <w:shd w:val="clear" w:color="auto" w:fill="auto"/>
            <w:vAlign w:val="center"/>
            <w:hideMark/>
          </w:tcPr>
          <w:p w14:paraId="472F8418"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eastAsia="es-CL"/>
              </w:rPr>
              <w:t>18,25</w:t>
            </w:r>
          </w:p>
        </w:tc>
      </w:tr>
      <w:tr w:rsidR="00C65317" w:rsidRPr="00376B9E" w14:paraId="1E150472" w14:textId="77777777" w:rsidTr="00C76F20">
        <w:trPr>
          <w:trHeight w:val="660"/>
        </w:trPr>
        <w:tc>
          <w:tcPr>
            <w:tcW w:w="12540" w:type="dxa"/>
            <w:gridSpan w:val="10"/>
            <w:tcBorders>
              <w:top w:val="single" w:sz="8" w:space="0" w:color="auto"/>
              <w:left w:val="single" w:sz="8" w:space="0" w:color="auto"/>
              <w:bottom w:val="single" w:sz="8" w:space="0" w:color="auto"/>
              <w:right w:val="single" w:sz="8" w:space="0" w:color="000000" w:themeColor="text1"/>
            </w:tcBorders>
            <w:shd w:val="clear" w:color="auto" w:fill="auto"/>
            <w:vAlign w:val="center"/>
            <w:hideMark/>
          </w:tcPr>
          <w:p w14:paraId="541E00E4" w14:textId="1B9D74D5" w:rsidR="00C65317" w:rsidRPr="00105274" w:rsidRDefault="00C65317" w:rsidP="00C76F20">
            <w:pPr>
              <w:spacing w:after="0" w:line="240" w:lineRule="auto"/>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 xml:space="preserve">Objetivo Específico </w:t>
            </w:r>
            <w:r w:rsidR="003E772E">
              <w:rPr>
                <w:rFonts w:ascii="Arial" w:eastAsia="Times New Roman" w:hAnsi="Arial" w:cs="Arial"/>
                <w:b/>
                <w:bCs/>
                <w:color w:val="000000"/>
                <w:sz w:val="20"/>
                <w:szCs w:val="20"/>
                <w:lang w:val="es-CL" w:eastAsia="es-CL"/>
              </w:rPr>
              <w:t>de Desarrollo</w:t>
            </w:r>
            <w:r w:rsidR="003E772E" w:rsidRPr="00105274">
              <w:rPr>
                <w:rFonts w:ascii="Arial" w:eastAsia="Times New Roman" w:hAnsi="Arial" w:cs="Arial"/>
                <w:b/>
                <w:bCs/>
                <w:color w:val="000000"/>
                <w:sz w:val="20"/>
                <w:szCs w:val="20"/>
                <w:lang w:val="es-ES_tradnl" w:eastAsia="es-CL"/>
              </w:rPr>
              <w:t xml:space="preserve"> </w:t>
            </w:r>
            <w:r w:rsidRPr="00105274">
              <w:rPr>
                <w:rFonts w:ascii="Arial" w:eastAsia="Times New Roman" w:hAnsi="Arial" w:cs="Arial"/>
                <w:b/>
                <w:bCs/>
                <w:color w:val="000000"/>
                <w:sz w:val="20"/>
                <w:szCs w:val="20"/>
                <w:lang w:val="es-ES_tradnl" w:eastAsia="es-CL"/>
              </w:rPr>
              <w:t xml:space="preserve">2: </w:t>
            </w:r>
            <w:r w:rsidRPr="00105274">
              <w:rPr>
                <w:rFonts w:ascii="Arial" w:hAnsi="Arial" w:cs="Arial"/>
                <w:lang w:val="es-ES_tradnl"/>
              </w:rPr>
              <w:t>Fortalecer y/o crear capacidades de soporte técnico-pedagógico a nivel central y local</w:t>
            </w:r>
          </w:p>
        </w:tc>
      </w:tr>
      <w:tr w:rsidR="00C65317" w:rsidRPr="00376B9E" w14:paraId="00893878" w14:textId="77777777" w:rsidTr="00C76F20">
        <w:trPr>
          <w:trHeight w:val="315"/>
        </w:trPr>
        <w:tc>
          <w:tcPr>
            <w:tcW w:w="12540" w:type="dxa"/>
            <w:gridSpan w:val="10"/>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hideMark/>
          </w:tcPr>
          <w:p w14:paraId="2758462F" w14:textId="77777777"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xml:space="preserve">Acciones de apoyo técnico pedagógico desde los </w:t>
            </w:r>
            <w:proofErr w:type="spellStart"/>
            <w:r w:rsidRPr="00105274">
              <w:rPr>
                <w:rFonts w:ascii="Arial" w:eastAsia="Times New Roman" w:hAnsi="Arial" w:cs="Arial"/>
                <w:color w:val="000000"/>
                <w:sz w:val="20"/>
                <w:szCs w:val="20"/>
                <w:lang w:val="es-ES_tradnl" w:eastAsia="es-CL"/>
              </w:rPr>
              <w:t>SLEPs</w:t>
            </w:r>
            <w:proofErr w:type="spellEnd"/>
          </w:p>
        </w:tc>
      </w:tr>
      <w:tr w:rsidR="00C65317" w:rsidRPr="00105274" w14:paraId="61B785C4" w14:textId="77777777" w:rsidTr="00C76F20">
        <w:trPr>
          <w:trHeight w:val="780"/>
        </w:trPr>
        <w:tc>
          <w:tcPr>
            <w:tcW w:w="3900" w:type="dxa"/>
            <w:tcBorders>
              <w:top w:val="nil"/>
              <w:left w:val="single" w:sz="8" w:space="0" w:color="auto"/>
              <w:bottom w:val="single" w:sz="8" w:space="0" w:color="auto"/>
              <w:right w:val="single" w:sz="8" w:space="0" w:color="auto"/>
            </w:tcBorders>
            <w:shd w:val="clear" w:color="auto" w:fill="auto"/>
            <w:vAlign w:val="center"/>
            <w:hideMark/>
          </w:tcPr>
          <w:p w14:paraId="2B47FA55" w14:textId="75F66C23"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2.</w:t>
            </w:r>
            <w:r w:rsidR="00526A39">
              <w:rPr>
                <w:rFonts w:ascii="Arial" w:eastAsia="Times New Roman" w:hAnsi="Arial" w:cs="Arial"/>
                <w:color w:val="000000"/>
                <w:sz w:val="20"/>
                <w:szCs w:val="20"/>
                <w:lang w:val="es-ES_tradnl" w:eastAsia="es-CL"/>
              </w:rPr>
              <w:t>1</w:t>
            </w:r>
            <w:r w:rsidRPr="00105274">
              <w:rPr>
                <w:rFonts w:ascii="Arial" w:eastAsia="Times New Roman" w:hAnsi="Arial" w:cs="Arial"/>
                <w:color w:val="000000"/>
                <w:sz w:val="20"/>
                <w:szCs w:val="20"/>
                <w:lang w:val="es-ES_tradnl" w:eastAsia="es-CL"/>
              </w:rPr>
              <w:t xml:space="preserve">. Número de </w:t>
            </w:r>
            <w:proofErr w:type="spellStart"/>
            <w:r w:rsidRPr="00105274">
              <w:rPr>
                <w:rFonts w:ascii="Arial" w:eastAsia="Times New Roman" w:hAnsi="Arial" w:cs="Arial"/>
                <w:color w:val="000000"/>
                <w:sz w:val="20"/>
                <w:szCs w:val="20"/>
                <w:lang w:val="es-ES_tradnl" w:eastAsia="es-CL"/>
              </w:rPr>
              <w:t>SLEPs</w:t>
            </w:r>
            <w:proofErr w:type="spellEnd"/>
            <w:r w:rsidRPr="00105274">
              <w:rPr>
                <w:rFonts w:ascii="Arial" w:eastAsia="Times New Roman" w:hAnsi="Arial" w:cs="Arial"/>
                <w:color w:val="000000"/>
                <w:sz w:val="20"/>
                <w:szCs w:val="20"/>
                <w:lang w:val="es-ES_tradnl" w:eastAsia="es-CL"/>
              </w:rPr>
              <w:t xml:space="preserve"> </w:t>
            </w:r>
            <w:r w:rsidR="00533175">
              <w:rPr>
                <w:rFonts w:ascii="Arial" w:eastAsia="Times New Roman" w:hAnsi="Arial" w:cs="Arial"/>
                <w:color w:val="000000"/>
                <w:sz w:val="20"/>
                <w:szCs w:val="20"/>
                <w:lang w:val="es-ES_tradnl" w:eastAsia="es-CL"/>
              </w:rPr>
              <w:t xml:space="preserve">que cuentan con </w:t>
            </w:r>
            <w:proofErr w:type="gramStart"/>
            <w:r w:rsidR="00533175">
              <w:rPr>
                <w:rFonts w:ascii="Arial" w:eastAsia="Times New Roman" w:hAnsi="Arial" w:cs="Arial"/>
                <w:color w:val="000000"/>
                <w:sz w:val="20"/>
                <w:szCs w:val="20"/>
                <w:lang w:val="es-ES_tradnl" w:eastAsia="es-CL"/>
              </w:rPr>
              <w:t xml:space="preserve">un </w:t>
            </w:r>
            <w:r w:rsidRPr="00105274">
              <w:rPr>
                <w:rFonts w:ascii="Arial" w:eastAsia="Times New Roman" w:hAnsi="Arial" w:cs="Arial"/>
                <w:color w:val="000000"/>
                <w:sz w:val="20"/>
                <w:szCs w:val="20"/>
                <w:lang w:val="es-ES_tradnl" w:eastAsia="es-CL"/>
              </w:rPr>
              <w:t xml:space="preserve"> plan</w:t>
            </w:r>
            <w:proofErr w:type="gramEnd"/>
            <w:r w:rsidRPr="00105274">
              <w:rPr>
                <w:rFonts w:ascii="Arial" w:eastAsia="Times New Roman" w:hAnsi="Arial" w:cs="Arial"/>
                <w:color w:val="000000"/>
                <w:sz w:val="20"/>
                <w:szCs w:val="20"/>
                <w:lang w:val="es-ES_tradnl" w:eastAsia="es-CL"/>
              </w:rPr>
              <w:t xml:space="preserve"> </w:t>
            </w:r>
            <w:r w:rsidR="003E73DD">
              <w:rPr>
                <w:rFonts w:ascii="Arial" w:eastAsia="Times New Roman" w:hAnsi="Arial" w:cs="Arial"/>
                <w:color w:val="000000"/>
                <w:sz w:val="20"/>
                <w:szCs w:val="20"/>
                <w:lang w:val="es-ES_tradnl" w:eastAsia="es-CL"/>
              </w:rPr>
              <w:t xml:space="preserve">global </w:t>
            </w:r>
            <w:r w:rsidRPr="00105274">
              <w:rPr>
                <w:rFonts w:ascii="Arial" w:eastAsia="Times New Roman" w:hAnsi="Arial" w:cs="Arial"/>
                <w:color w:val="000000"/>
                <w:sz w:val="20"/>
                <w:szCs w:val="20"/>
                <w:lang w:val="es-ES_tradnl" w:eastAsia="es-CL"/>
              </w:rPr>
              <w:t>de apoyo técnico pedagógico</w:t>
            </w:r>
          </w:p>
        </w:tc>
        <w:tc>
          <w:tcPr>
            <w:tcW w:w="960" w:type="dxa"/>
            <w:tcBorders>
              <w:top w:val="nil"/>
              <w:left w:val="nil"/>
              <w:bottom w:val="single" w:sz="8" w:space="0" w:color="auto"/>
              <w:right w:val="single" w:sz="8" w:space="0" w:color="auto"/>
            </w:tcBorders>
            <w:shd w:val="clear" w:color="auto" w:fill="auto"/>
            <w:vAlign w:val="center"/>
            <w:hideMark/>
          </w:tcPr>
          <w:p w14:paraId="035B6534"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0</w:t>
            </w:r>
          </w:p>
        </w:tc>
        <w:tc>
          <w:tcPr>
            <w:tcW w:w="960" w:type="dxa"/>
            <w:tcBorders>
              <w:top w:val="nil"/>
              <w:left w:val="nil"/>
              <w:bottom w:val="single" w:sz="8" w:space="0" w:color="auto"/>
              <w:right w:val="single" w:sz="8" w:space="0" w:color="auto"/>
            </w:tcBorders>
            <w:shd w:val="clear" w:color="auto" w:fill="auto"/>
            <w:vAlign w:val="center"/>
            <w:hideMark/>
          </w:tcPr>
          <w:p w14:paraId="64461E18"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w:t>
            </w:r>
          </w:p>
        </w:tc>
        <w:tc>
          <w:tcPr>
            <w:tcW w:w="960" w:type="dxa"/>
            <w:tcBorders>
              <w:top w:val="nil"/>
              <w:left w:val="nil"/>
              <w:bottom w:val="single" w:sz="8" w:space="0" w:color="auto"/>
              <w:right w:val="single" w:sz="8" w:space="0" w:color="auto"/>
            </w:tcBorders>
            <w:shd w:val="clear" w:color="auto" w:fill="auto"/>
            <w:vAlign w:val="center"/>
            <w:hideMark/>
          </w:tcPr>
          <w:p w14:paraId="70FD68A1"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2,5 </w:t>
            </w:r>
          </w:p>
        </w:tc>
        <w:tc>
          <w:tcPr>
            <w:tcW w:w="960" w:type="dxa"/>
            <w:tcBorders>
              <w:top w:val="nil"/>
              <w:left w:val="nil"/>
              <w:bottom w:val="single" w:sz="8" w:space="0" w:color="auto"/>
              <w:right w:val="single" w:sz="8" w:space="0" w:color="auto"/>
            </w:tcBorders>
            <w:shd w:val="clear" w:color="auto" w:fill="auto"/>
            <w:vAlign w:val="center"/>
            <w:hideMark/>
          </w:tcPr>
          <w:p w14:paraId="44A3CBD8" w14:textId="2558D1D5" w:rsidR="00C65317" w:rsidRPr="00105274" w:rsidRDefault="00932FA7"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ES_tradnl" w:eastAsia="es-CL"/>
              </w:rPr>
              <w:t>7</w:t>
            </w:r>
          </w:p>
        </w:tc>
        <w:tc>
          <w:tcPr>
            <w:tcW w:w="960" w:type="dxa"/>
            <w:tcBorders>
              <w:top w:val="nil"/>
              <w:left w:val="nil"/>
              <w:bottom w:val="single" w:sz="8" w:space="0" w:color="auto"/>
              <w:right w:val="single" w:sz="8" w:space="0" w:color="auto"/>
            </w:tcBorders>
            <w:shd w:val="clear" w:color="auto" w:fill="auto"/>
            <w:vAlign w:val="center"/>
            <w:hideMark/>
          </w:tcPr>
          <w:p w14:paraId="5ACFF1E9"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3,75</w:t>
            </w:r>
          </w:p>
        </w:tc>
        <w:tc>
          <w:tcPr>
            <w:tcW w:w="960" w:type="dxa"/>
            <w:tcBorders>
              <w:top w:val="nil"/>
              <w:left w:val="nil"/>
              <w:bottom w:val="single" w:sz="8" w:space="0" w:color="auto"/>
              <w:right w:val="single" w:sz="8" w:space="0" w:color="auto"/>
            </w:tcBorders>
            <w:shd w:val="clear" w:color="auto" w:fill="auto"/>
            <w:vAlign w:val="center"/>
            <w:hideMark/>
          </w:tcPr>
          <w:p w14:paraId="76806CAE" w14:textId="5B7692E6" w:rsidR="00C65317" w:rsidRPr="00105274" w:rsidRDefault="00932FA7"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ES_tradnl" w:eastAsia="es-CL"/>
              </w:rPr>
              <w:t>11</w:t>
            </w:r>
          </w:p>
        </w:tc>
        <w:tc>
          <w:tcPr>
            <w:tcW w:w="960" w:type="dxa"/>
            <w:tcBorders>
              <w:top w:val="nil"/>
              <w:left w:val="nil"/>
              <w:bottom w:val="single" w:sz="8" w:space="0" w:color="auto"/>
              <w:right w:val="single" w:sz="8" w:space="0" w:color="auto"/>
            </w:tcBorders>
            <w:shd w:val="clear" w:color="auto" w:fill="auto"/>
            <w:vAlign w:val="center"/>
            <w:hideMark/>
          </w:tcPr>
          <w:p w14:paraId="37D644C6"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12</w:t>
            </w:r>
          </w:p>
        </w:tc>
        <w:tc>
          <w:tcPr>
            <w:tcW w:w="960" w:type="dxa"/>
            <w:tcBorders>
              <w:top w:val="nil"/>
              <w:left w:val="nil"/>
              <w:bottom w:val="single" w:sz="8" w:space="0" w:color="auto"/>
              <w:right w:val="single" w:sz="8" w:space="0" w:color="auto"/>
            </w:tcBorders>
            <w:shd w:val="clear" w:color="auto" w:fill="auto"/>
            <w:vAlign w:val="center"/>
            <w:hideMark/>
          </w:tcPr>
          <w:p w14:paraId="3219399F" w14:textId="6EEE5612" w:rsidR="00C65317" w:rsidRPr="00105274" w:rsidRDefault="00932FA7" w:rsidP="00C76F20">
            <w:pPr>
              <w:spacing w:after="0" w:line="240" w:lineRule="auto"/>
              <w:jc w:val="center"/>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ES_tradnl" w:eastAsia="es-CL"/>
              </w:rPr>
              <w:t>11</w:t>
            </w:r>
          </w:p>
        </w:tc>
        <w:tc>
          <w:tcPr>
            <w:tcW w:w="960" w:type="dxa"/>
            <w:tcBorders>
              <w:top w:val="nil"/>
              <w:left w:val="nil"/>
              <w:bottom w:val="single" w:sz="8" w:space="0" w:color="auto"/>
              <w:right w:val="single" w:sz="8" w:space="0" w:color="auto"/>
            </w:tcBorders>
            <w:shd w:val="clear" w:color="auto" w:fill="auto"/>
            <w:vAlign w:val="center"/>
            <w:hideMark/>
          </w:tcPr>
          <w:p w14:paraId="0CC44C80"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18,25</w:t>
            </w:r>
          </w:p>
        </w:tc>
      </w:tr>
      <w:tr w:rsidR="00C65317" w:rsidRPr="00105274" w14:paraId="718252CE" w14:textId="77777777" w:rsidTr="00C76F20">
        <w:trPr>
          <w:trHeight w:val="525"/>
        </w:trPr>
        <w:tc>
          <w:tcPr>
            <w:tcW w:w="3900" w:type="dxa"/>
            <w:tcBorders>
              <w:top w:val="nil"/>
              <w:left w:val="single" w:sz="8" w:space="0" w:color="auto"/>
              <w:bottom w:val="single" w:sz="8" w:space="0" w:color="auto"/>
              <w:right w:val="single" w:sz="8" w:space="0" w:color="auto"/>
            </w:tcBorders>
            <w:shd w:val="clear" w:color="auto" w:fill="FFFFFF" w:themeFill="background1"/>
            <w:vAlign w:val="center"/>
            <w:hideMark/>
          </w:tcPr>
          <w:p w14:paraId="5893A40B" w14:textId="77777777" w:rsidR="00C65317" w:rsidRPr="00105274" w:rsidRDefault="00C65317" w:rsidP="00C76F20">
            <w:pPr>
              <w:spacing w:after="0" w:line="240" w:lineRule="auto"/>
              <w:rPr>
                <w:rFonts w:ascii="Arial" w:eastAsia="Times New Roman" w:hAnsi="Arial" w:cs="Arial"/>
                <w:b/>
                <w:bCs/>
                <w:color w:val="000000"/>
                <w:sz w:val="20"/>
                <w:szCs w:val="20"/>
                <w:lang w:val="es-CL" w:eastAsia="es-CL"/>
              </w:rPr>
            </w:pPr>
            <w:r w:rsidRPr="00105274">
              <w:rPr>
                <w:rFonts w:ascii="Arial" w:eastAsia="Times New Roman" w:hAnsi="Arial" w:cs="Arial"/>
                <w:b/>
                <w:bCs/>
                <w:color w:val="000000"/>
                <w:sz w:val="20"/>
                <w:szCs w:val="20"/>
                <w:lang w:val="es-ES_tradnl" w:eastAsia="es-CL"/>
              </w:rPr>
              <w:t xml:space="preserve">Flujo de Desembolsos </w:t>
            </w:r>
          </w:p>
        </w:tc>
        <w:tc>
          <w:tcPr>
            <w:tcW w:w="960" w:type="dxa"/>
            <w:tcBorders>
              <w:top w:val="nil"/>
              <w:left w:val="nil"/>
              <w:bottom w:val="single" w:sz="8" w:space="0" w:color="auto"/>
              <w:right w:val="single" w:sz="8" w:space="0" w:color="auto"/>
            </w:tcBorders>
            <w:shd w:val="clear" w:color="auto" w:fill="auto"/>
            <w:vAlign w:val="center"/>
            <w:hideMark/>
          </w:tcPr>
          <w:p w14:paraId="33090CCB"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w:t>
            </w:r>
          </w:p>
        </w:tc>
        <w:tc>
          <w:tcPr>
            <w:tcW w:w="1920" w:type="dxa"/>
            <w:gridSpan w:val="2"/>
            <w:tcBorders>
              <w:top w:val="single" w:sz="8" w:space="0" w:color="auto"/>
              <w:left w:val="nil"/>
              <w:bottom w:val="single" w:sz="8" w:space="0" w:color="auto"/>
              <w:right w:val="single" w:sz="8" w:space="0" w:color="000000" w:themeColor="text1"/>
            </w:tcBorders>
            <w:shd w:val="clear" w:color="auto" w:fill="auto"/>
            <w:noWrap/>
            <w:vAlign w:val="center"/>
            <w:hideMark/>
          </w:tcPr>
          <w:p w14:paraId="7D3C9691"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5</w:t>
            </w:r>
          </w:p>
        </w:tc>
        <w:tc>
          <w:tcPr>
            <w:tcW w:w="1920" w:type="dxa"/>
            <w:gridSpan w:val="2"/>
            <w:tcBorders>
              <w:top w:val="single" w:sz="8" w:space="0" w:color="auto"/>
              <w:left w:val="nil"/>
              <w:bottom w:val="single" w:sz="8" w:space="0" w:color="auto"/>
              <w:right w:val="single" w:sz="8" w:space="0" w:color="000000" w:themeColor="text1"/>
            </w:tcBorders>
            <w:shd w:val="clear" w:color="auto" w:fill="auto"/>
            <w:noWrap/>
            <w:vAlign w:val="center"/>
            <w:hideMark/>
          </w:tcPr>
          <w:p w14:paraId="18693C2D"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7,5</w:t>
            </w:r>
          </w:p>
        </w:tc>
        <w:tc>
          <w:tcPr>
            <w:tcW w:w="1920" w:type="dxa"/>
            <w:gridSpan w:val="2"/>
            <w:tcBorders>
              <w:top w:val="single" w:sz="8" w:space="0" w:color="auto"/>
              <w:left w:val="nil"/>
              <w:bottom w:val="single" w:sz="8" w:space="0" w:color="auto"/>
              <w:right w:val="single" w:sz="8" w:space="0" w:color="000000" w:themeColor="text1"/>
            </w:tcBorders>
            <w:shd w:val="clear" w:color="auto" w:fill="auto"/>
            <w:noWrap/>
            <w:vAlign w:val="center"/>
            <w:hideMark/>
          </w:tcPr>
          <w:p w14:paraId="18365BCC"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37,5</w:t>
            </w:r>
          </w:p>
        </w:tc>
        <w:tc>
          <w:tcPr>
            <w:tcW w:w="1920" w:type="dxa"/>
            <w:gridSpan w:val="2"/>
            <w:tcBorders>
              <w:top w:val="single" w:sz="8" w:space="0" w:color="auto"/>
              <w:left w:val="nil"/>
              <w:bottom w:val="single" w:sz="8" w:space="0" w:color="auto"/>
              <w:right w:val="single" w:sz="8" w:space="0" w:color="000000" w:themeColor="text1"/>
            </w:tcBorders>
            <w:shd w:val="clear" w:color="auto" w:fill="auto"/>
            <w:vAlign w:val="center"/>
            <w:hideMark/>
          </w:tcPr>
          <w:p w14:paraId="786C6597"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50,0</w:t>
            </w:r>
          </w:p>
        </w:tc>
      </w:tr>
      <w:tr w:rsidR="00C65317" w:rsidRPr="00105274" w14:paraId="018B4DEF" w14:textId="77777777" w:rsidTr="00C76F20">
        <w:trPr>
          <w:trHeight w:val="525"/>
        </w:trPr>
        <w:tc>
          <w:tcPr>
            <w:tcW w:w="3900" w:type="dxa"/>
            <w:tcBorders>
              <w:top w:val="nil"/>
              <w:left w:val="single" w:sz="8" w:space="0" w:color="auto"/>
              <w:bottom w:val="single" w:sz="8" w:space="0" w:color="auto"/>
              <w:right w:val="single" w:sz="8" w:space="0" w:color="auto"/>
            </w:tcBorders>
            <w:shd w:val="clear" w:color="auto" w:fill="FFFFFF" w:themeFill="background1"/>
            <w:vAlign w:val="center"/>
            <w:hideMark/>
          </w:tcPr>
          <w:p w14:paraId="2FAF99E7" w14:textId="77777777" w:rsidR="00C65317" w:rsidRPr="00105274" w:rsidRDefault="00C65317" w:rsidP="00C76F20">
            <w:pPr>
              <w:spacing w:after="0" w:line="240" w:lineRule="auto"/>
              <w:rPr>
                <w:rFonts w:ascii="Arial" w:eastAsia="Times New Roman" w:hAnsi="Arial" w:cs="Arial"/>
                <w:b/>
                <w:bCs/>
                <w:color w:val="000000"/>
                <w:sz w:val="20"/>
                <w:szCs w:val="20"/>
                <w:lang w:val="es-CL" w:eastAsia="es-CL"/>
              </w:rPr>
            </w:pPr>
            <w:proofErr w:type="gramStart"/>
            <w:r w:rsidRPr="00105274">
              <w:rPr>
                <w:rFonts w:ascii="Arial" w:eastAsia="Times New Roman" w:hAnsi="Arial" w:cs="Arial"/>
                <w:b/>
                <w:bCs/>
                <w:color w:val="000000"/>
                <w:sz w:val="20"/>
                <w:szCs w:val="20"/>
                <w:lang w:val="es-ES_tradnl" w:eastAsia="es-CL"/>
              </w:rPr>
              <w:t>Total</w:t>
            </w:r>
            <w:proofErr w:type="gramEnd"/>
            <w:r w:rsidRPr="00105274">
              <w:rPr>
                <w:rFonts w:ascii="Arial" w:eastAsia="Times New Roman" w:hAnsi="Arial" w:cs="Arial"/>
                <w:b/>
                <w:bCs/>
                <w:color w:val="000000"/>
                <w:sz w:val="20"/>
                <w:szCs w:val="20"/>
                <w:lang w:val="es-ES_tradnl" w:eastAsia="es-CL"/>
              </w:rPr>
              <w:t xml:space="preserve"> presupuestado</w:t>
            </w:r>
          </w:p>
        </w:tc>
        <w:tc>
          <w:tcPr>
            <w:tcW w:w="960" w:type="dxa"/>
            <w:tcBorders>
              <w:top w:val="nil"/>
              <w:left w:val="nil"/>
              <w:bottom w:val="single" w:sz="8" w:space="0" w:color="auto"/>
              <w:right w:val="single" w:sz="8" w:space="0" w:color="auto"/>
            </w:tcBorders>
            <w:shd w:val="clear" w:color="auto" w:fill="auto"/>
            <w:noWrap/>
            <w:vAlign w:val="center"/>
            <w:hideMark/>
          </w:tcPr>
          <w:p w14:paraId="7EB01080" w14:textId="77777777" w:rsidR="00C65317" w:rsidRPr="00105274" w:rsidRDefault="00C65317"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w:t>
            </w:r>
          </w:p>
        </w:tc>
        <w:tc>
          <w:tcPr>
            <w:tcW w:w="1920" w:type="dxa"/>
            <w:gridSpan w:val="2"/>
            <w:tcBorders>
              <w:top w:val="single" w:sz="8" w:space="0" w:color="auto"/>
              <w:left w:val="nil"/>
              <w:bottom w:val="single" w:sz="8" w:space="0" w:color="auto"/>
              <w:right w:val="single" w:sz="8" w:space="0" w:color="000000" w:themeColor="text1"/>
            </w:tcBorders>
            <w:shd w:val="clear" w:color="auto" w:fill="auto"/>
            <w:noWrap/>
            <w:vAlign w:val="center"/>
            <w:hideMark/>
          </w:tcPr>
          <w:p w14:paraId="4375F9AF"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 </w:t>
            </w:r>
          </w:p>
        </w:tc>
        <w:tc>
          <w:tcPr>
            <w:tcW w:w="1920" w:type="dxa"/>
            <w:gridSpan w:val="2"/>
            <w:tcBorders>
              <w:top w:val="single" w:sz="8" w:space="0" w:color="auto"/>
              <w:left w:val="nil"/>
              <w:bottom w:val="single" w:sz="8" w:space="0" w:color="auto"/>
              <w:right w:val="single" w:sz="8" w:space="0" w:color="000000" w:themeColor="text1"/>
            </w:tcBorders>
            <w:shd w:val="clear" w:color="auto" w:fill="auto"/>
            <w:vAlign w:val="center"/>
            <w:hideMark/>
          </w:tcPr>
          <w:p w14:paraId="1FF879BB"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7,5</w:t>
            </w:r>
          </w:p>
        </w:tc>
        <w:tc>
          <w:tcPr>
            <w:tcW w:w="1920" w:type="dxa"/>
            <w:gridSpan w:val="2"/>
            <w:tcBorders>
              <w:top w:val="single" w:sz="8" w:space="0" w:color="auto"/>
              <w:left w:val="nil"/>
              <w:bottom w:val="single" w:sz="8" w:space="0" w:color="auto"/>
              <w:right w:val="single" w:sz="8" w:space="0" w:color="000000" w:themeColor="text1"/>
            </w:tcBorders>
            <w:shd w:val="clear" w:color="auto" w:fill="auto"/>
            <w:vAlign w:val="center"/>
            <w:hideMark/>
          </w:tcPr>
          <w:p w14:paraId="1A62B588"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42,5</w:t>
            </w:r>
          </w:p>
        </w:tc>
        <w:tc>
          <w:tcPr>
            <w:tcW w:w="1920" w:type="dxa"/>
            <w:gridSpan w:val="2"/>
            <w:tcBorders>
              <w:top w:val="single" w:sz="8" w:space="0" w:color="auto"/>
              <w:left w:val="nil"/>
              <w:bottom w:val="single" w:sz="8" w:space="0" w:color="auto"/>
              <w:right w:val="single" w:sz="8" w:space="0" w:color="000000" w:themeColor="text1"/>
            </w:tcBorders>
            <w:shd w:val="clear" w:color="auto" w:fill="auto"/>
            <w:vAlign w:val="center"/>
            <w:hideMark/>
          </w:tcPr>
          <w:p w14:paraId="57DAD787" w14:textId="77777777" w:rsidR="00C65317" w:rsidRPr="00105274" w:rsidRDefault="00C65317" w:rsidP="00C76F20">
            <w:pPr>
              <w:spacing w:after="0" w:line="240" w:lineRule="auto"/>
              <w:jc w:val="center"/>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50,0</w:t>
            </w:r>
          </w:p>
        </w:tc>
      </w:tr>
    </w:tbl>
    <w:p w14:paraId="4AC1A76F" w14:textId="77777777" w:rsidR="00180B4C" w:rsidRPr="00152CDF" w:rsidRDefault="00180B4C" w:rsidP="00180B4C">
      <w:pPr>
        <w:jc w:val="center"/>
        <w:rPr>
          <w:rFonts w:ascii="Arial" w:hAnsi="Arial" w:cs="Arial"/>
          <w:b/>
          <w:bCs/>
          <w:lang w:val="es-ES_tradnl"/>
        </w:rPr>
      </w:pPr>
    </w:p>
    <w:p w14:paraId="0E491057" w14:textId="4868EC8C" w:rsidR="00845D5A" w:rsidRDefault="007F5021" w:rsidP="00F947D6">
      <w:pPr>
        <w:jc w:val="center"/>
        <w:rPr>
          <w:rFonts w:ascii="Arial" w:hAnsi="Arial" w:cs="Arial"/>
          <w:b/>
          <w:bCs/>
          <w:lang w:val="es-ES_tradnl"/>
        </w:rPr>
      </w:pPr>
      <w:r w:rsidRPr="00152CDF">
        <w:rPr>
          <w:rFonts w:ascii="Arial" w:hAnsi="Arial" w:cs="Arial"/>
          <w:b/>
          <w:bCs/>
          <w:lang w:val="es-ES_tradnl"/>
        </w:rPr>
        <w:t xml:space="preserve">CUADRO </w:t>
      </w:r>
      <w:r w:rsidR="007407A3">
        <w:rPr>
          <w:rFonts w:ascii="Arial" w:hAnsi="Arial" w:cs="Arial"/>
          <w:b/>
          <w:bCs/>
          <w:lang w:val="es-ES_tradnl"/>
        </w:rPr>
        <w:t>2</w:t>
      </w:r>
      <w:r w:rsidRPr="00152CDF">
        <w:rPr>
          <w:rFonts w:ascii="Arial" w:hAnsi="Arial" w:cs="Arial"/>
          <w:b/>
          <w:bCs/>
          <w:lang w:val="es-ES_tradnl"/>
        </w:rPr>
        <w:t>.3: TABLA DE PROTOCOLO DE VERIFICACIÓN DE INDICADORES PARA DESEMBOLSO</w:t>
      </w:r>
      <w:bookmarkStart w:id="7" w:name="_Toc34300354"/>
    </w:p>
    <w:tbl>
      <w:tblPr>
        <w:tblW w:w="14685"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00"/>
        <w:gridCol w:w="4245"/>
        <w:gridCol w:w="1080"/>
        <w:gridCol w:w="1800"/>
        <w:gridCol w:w="4860"/>
      </w:tblGrid>
      <w:tr w:rsidR="002B4DCA" w:rsidRPr="00105274" w14:paraId="2DA69568" w14:textId="77777777" w:rsidTr="004D6A58">
        <w:trPr>
          <w:trHeight w:val="20"/>
        </w:trPr>
        <w:tc>
          <w:tcPr>
            <w:tcW w:w="2700" w:type="dxa"/>
            <w:shd w:val="clear" w:color="auto" w:fill="auto"/>
            <w:vAlign w:val="center"/>
            <w:hideMark/>
          </w:tcPr>
          <w:p w14:paraId="2B64C848" w14:textId="77777777" w:rsidR="002B4DCA" w:rsidRPr="00105274" w:rsidRDefault="002B4DCA" w:rsidP="00C76F20">
            <w:pPr>
              <w:spacing w:after="0" w:line="240" w:lineRule="auto"/>
              <w:jc w:val="center"/>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Indicadores</w:t>
            </w:r>
          </w:p>
        </w:tc>
        <w:tc>
          <w:tcPr>
            <w:tcW w:w="4245" w:type="dxa"/>
            <w:shd w:val="clear" w:color="auto" w:fill="auto"/>
            <w:vAlign w:val="center"/>
            <w:hideMark/>
          </w:tcPr>
          <w:p w14:paraId="54644BB2" w14:textId="77777777" w:rsidR="002B4DCA" w:rsidRPr="00105274" w:rsidRDefault="002B4DCA" w:rsidP="00C76F20">
            <w:pPr>
              <w:spacing w:after="0" w:line="240" w:lineRule="auto"/>
              <w:jc w:val="center"/>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Definición de la variable del indicador</w:t>
            </w:r>
          </w:p>
        </w:tc>
        <w:tc>
          <w:tcPr>
            <w:tcW w:w="1080" w:type="dxa"/>
            <w:shd w:val="clear" w:color="auto" w:fill="auto"/>
            <w:vAlign w:val="center"/>
            <w:hideMark/>
          </w:tcPr>
          <w:p w14:paraId="26B8C7D4" w14:textId="77777777"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Unidad de medida</w:t>
            </w:r>
          </w:p>
        </w:tc>
        <w:tc>
          <w:tcPr>
            <w:tcW w:w="1800" w:type="dxa"/>
            <w:shd w:val="clear" w:color="auto" w:fill="auto"/>
            <w:vAlign w:val="center"/>
            <w:hideMark/>
          </w:tcPr>
          <w:p w14:paraId="19D6D387" w14:textId="77777777"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Entidad verificadora</w:t>
            </w:r>
          </w:p>
        </w:tc>
        <w:tc>
          <w:tcPr>
            <w:tcW w:w="4860" w:type="dxa"/>
            <w:shd w:val="clear" w:color="auto" w:fill="auto"/>
            <w:vAlign w:val="center"/>
            <w:hideMark/>
          </w:tcPr>
          <w:p w14:paraId="617DAEC5" w14:textId="77777777"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Protocolo de verificación</w:t>
            </w:r>
          </w:p>
        </w:tc>
      </w:tr>
      <w:tr w:rsidR="002B4DCA" w:rsidRPr="00376B9E" w14:paraId="2A85A388" w14:textId="77777777" w:rsidTr="004D6A58">
        <w:trPr>
          <w:trHeight w:val="20"/>
        </w:trPr>
        <w:tc>
          <w:tcPr>
            <w:tcW w:w="14685" w:type="dxa"/>
            <w:gridSpan w:val="5"/>
            <w:shd w:val="clear" w:color="auto" w:fill="auto"/>
            <w:vAlign w:val="center"/>
            <w:hideMark/>
          </w:tcPr>
          <w:p w14:paraId="6ABE8873" w14:textId="0297DCDC"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 xml:space="preserve">Objetivo Especifico </w:t>
            </w:r>
            <w:r w:rsidR="003E772E">
              <w:rPr>
                <w:rFonts w:ascii="Arial" w:eastAsia="Times New Roman" w:hAnsi="Arial" w:cs="Arial"/>
                <w:b/>
                <w:bCs/>
                <w:color w:val="000000"/>
                <w:sz w:val="20"/>
                <w:szCs w:val="20"/>
                <w:lang w:val="es-CL" w:eastAsia="es-CL"/>
              </w:rPr>
              <w:t>de Desarrollo</w:t>
            </w:r>
            <w:r w:rsidR="003E772E" w:rsidRPr="00105274">
              <w:rPr>
                <w:rFonts w:ascii="Arial" w:eastAsia="Times New Roman" w:hAnsi="Arial" w:cs="Arial"/>
                <w:b/>
                <w:sz w:val="20"/>
                <w:szCs w:val="20"/>
                <w:lang w:val="es-ES_tradnl" w:eastAsia="es-CL"/>
              </w:rPr>
              <w:t xml:space="preserve"> </w:t>
            </w:r>
            <w:r w:rsidRPr="00105274">
              <w:rPr>
                <w:rFonts w:ascii="Arial" w:eastAsia="Times New Roman" w:hAnsi="Arial" w:cs="Arial"/>
                <w:b/>
                <w:sz w:val="20"/>
                <w:szCs w:val="20"/>
                <w:lang w:val="es-ES_tradnl" w:eastAsia="es-CL"/>
              </w:rPr>
              <w:t>1:</w:t>
            </w:r>
            <w:r w:rsidRPr="00105274">
              <w:rPr>
                <w:rFonts w:ascii="Arial" w:eastAsia="Times New Roman" w:hAnsi="Arial" w:cs="Arial"/>
                <w:sz w:val="20"/>
                <w:szCs w:val="20"/>
                <w:lang w:val="es-ES_tradnl" w:eastAsia="es-CL"/>
              </w:rPr>
              <w:t xml:space="preserve"> </w:t>
            </w:r>
            <w:r w:rsidRPr="00105274">
              <w:rPr>
                <w:rFonts w:ascii="Arial" w:eastAsia="Times New Roman" w:hAnsi="Arial" w:cs="Arial"/>
                <w:color w:val="000000"/>
                <w:sz w:val="20"/>
                <w:szCs w:val="20"/>
                <w:lang w:val="es-CL" w:eastAsia="es-CL"/>
              </w:rPr>
              <w:t>F</w:t>
            </w:r>
            <w:proofErr w:type="spellStart"/>
            <w:r w:rsidRPr="00105274">
              <w:rPr>
                <w:rFonts w:ascii="Arial" w:hAnsi="Arial" w:cs="Arial"/>
                <w:lang w:val="es-ES_tradnl"/>
              </w:rPr>
              <w:t>ortalecer</w:t>
            </w:r>
            <w:proofErr w:type="spellEnd"/>
            <w:r w:rsidRPr="00105274">
              <w:rPr>
                <w:rFonts w:ascii="Arial" w:hAnsi="Arial" w:cs="Arial"/>
                <w:lang w:val="es-ES_tradnl"/>
              </w:rPr>
              <w:t xml:space="preserve"> y/o crear capacidades de liderazgo a nivel central y local</w:t>
            </w:r>
          </w:p>
        </w:tc>
      </w:tr>
      <w:tr w:rsidR="002B4DCA" w:rsidRPr="00376B9E" w14:paraId="0C71209C" w14:textId="77777777" w:rsidTr="004D6A58">
        <w:trPr>
          <w:trHeight w:val="20"/>
        </w:trPr>
        <w:tc>
          <w:tcPr>
            <w:tcW w:w="14685" w:type="dxa"/>
            <w:gridSpan w:val="5"/>
            <w:shd w:val="clear" w:color="000000" w:fill="D9D9D9"/>
            <w:vAlign w:val="center"/>
            <w:hideMark/>
          </w:tcPr>
          <w:p w14:paraId="63DF66A1" w14:textId="77777777"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 xml:space="preserve">Instalación y fortalecimiento institucional de la Dirección de Educación Pública  </w:t>
            </w:r>
          </w:p>
        </w:tc>
      </w:tr>
      <w:tr w:rsidR="002B4DCA" w:rsidRPr="00376B9E" w14:paraId="55F8B1E5" w14:textId="77777777" w:rsidTr="004D6A58">
        <w:trPr>
          <w:trHeight w:val="20"/>
        </w:trPr>
        <w:tc>
          <w:tcPr>
            <w:tcW w:w="2700" w:type="dxa"/>
            <w:shd w:val="clear" w:color="auto" w:fill="auto"/>
            <w:vAlign w:val="center"/>
            <w:hideMark/>
          </w:tcPr>
          <w:p w14:paraId="6AFCA649" w14:textId="7777777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1.1. Número de centros de responsabilidad de la DEP que cumplen con al menos el 75% de las metas del CDC</w:t>
            </w:r>
          </w:p>
        </w:tc>
        <w:tc>
          <w:tcPr>
            <w:tcW w:w="4245" w:type="dxa"/>
            <w:shd w:val="clear" w:color="auto" w:fill="auto"/>
            <w:vAlign w:val="center"/>
            <w:hideMark/>
          </w:tcPr>
          <w:p w14:paraId="79841F66" w14:textId="77777777" w:rsidR="002B4DCA" w:rsidRPr="00105274" w:rsidRDefault="002B4DCA" w:rsidP="00C76F20">
            <w:pPr>
              <w:spacing w:after="0" w:line="240" w:lineRule="auto"/>
              <w:rPr>
                <w:rFonts w:ascii="Arial" w:eastAsia="Times New Roman" w:hAnsi="Arial" w:cs="Arial"/>
                <w:color w:val="000000"/>
                <w:sz w:val="20"/>
                <w:szCs w:val="20"/>
                <w:lang w:val="es-ES_tradnl" w:eastAsia="es-CL"/>
              </w:rPr>
            </w:pPr>
            <w:r w:rsidRPr="00105274">
              <w:rPr>
                <w:rFonts w:ascii="Arial" w:eastAsia="Times New Roman" w:hAnsi="Arial" w:cs="Arial"/>
                <w:color w:val="000000"/>
                <w:sz w:val="20"/>
                <w:szCs w:val="20"/>
                <w:lang w:val="es-ES_tradnl" w:eastAsia="es-CL"/>
              </w:rPr>
              <w:t>Los CDC son instrumentos de gestión de la administración pública chilena, en los cuales se definen compromisos anuales. La DEP cuenta con cinco equipos o centros de responsabilidad que definen metas verificables por cada área relevante de gestión del Servicio.</w:t>
            </w:r>
          </w:p>
          <w:p w14:paraId="5CB58703" w14:textId="7777777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color w:val="000000"/>
                <w:sz w:val="20"/>
                <w:szCs w:val="20"/>
                <w:lang w:val="es-CL" w:eastAsia="es-CL"/>
              </w:rPr>
              <w:t>Los CDC forman parte de un esquema variable de incentivos salariales basados en el cumplimiento de objetivos institucionales, y compensan acorde al nivel de cumplimiento alcanzado.</w:t>
            </w:r>
          </w:p>
        </w:tc>
        <w:tc>
          <w:tcPr>
            <w:tcW w:w="1080" w:type="dxa"/>
            <w:shd w:val="clear" w:color="auto" w:fill="auto"/>
            <w:vAlign w:val="center"/>
            <w:hideMark/>
          </w:tcPr>
          <w:p w14:paraId="3B095AC7" w14:textId="7C478202" w:rsidR="002B4DCA" w:rsidRPr="00105274" w:rsidRDefault="00CF7846" w:rsidP="00C76F2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t>Centros</w:t>
            </w:r>
          </w:p>
        </w:tc>
        <w:tc>
          <w:tcPr>
            <w:tcW w:w="1800" w:type="dxa"/>
            <w:shd w:val="clear" w:color="auto" w:fill="auto"/>
            <w:vAlign w:val="center"/>
            <w:hideMark/>
          </w:tcPr>
          <w:p w14:paraId="70EC5237" w14:textId="77777777" w:rsidR="002B4DCA" w:rsidRPr="00105274" w:rsidRDefault="002B4DCA" w:rsidP="00C76F20">
            <w:pPr>
              <w:spacing w:after="0" w:line="240" w:lineRule="auto"/>
              <w:jc w:val="center"/>
              <w:rPr>
                <w:rFonts w:ascii="Arial" w:eastAsia="Times New Roman" w:hAnsi="Arial" w:cs="Arial"/>
                <w:sz w:val="20"/>
                <w:szCs w:val="20"/>
                <w:lang w:val="es-ES_tradnl" w:eastAsia="es-CL"/>
              </w:rPr>
            </w:pPr>
            <w:r w:rsidRPr="00105274">
              <w:rPr>
                <w:rFonts w:ascii="Arial" w:eastAsia="Times New Roman" w:hAnsi="Arial" w:cs="Arial"/>
                <w:color w:val="000000"/>
                <w:sz w:val="20"/>
                <w:szCs w:val="20"/>
                <w:lang w:val="es-ES_tradnl" w:eastAsia="es-CL"/>
              </w:rPr>
              <w:t xml:space="preserve">Ministerio de Educación </w:t>
            </w:r>
          </w:p>
        </w:tc>
        <w:tc>
          <w:tcPr>
            <w:tcW w:w="4860" w:type="dxa"/>
            <w:shd w:val="clear" w:color="auto" w:fill="auto"/>
            <w:vAlign w:val="center"/>
            <w:hideMark/>
          </w:tcPr>
          <w:p w14:paraId="351B0496" w14:textId="77777777" w:rsidR="002B4DCA" w:rsidRPr="00105274" w:rsidRDefault="002B4DCA" w:rsidP="00C76F20">
            <w:pPr>
              <w:spacing w:after="0" w:line="240" w:lineRule="auto"/>
              <w:rPr>
                <w:rFonts w:ascii="Arial" w:eastAsia="Times New Roman" w:hAnsi="Arial" w:cs="Arial"/>
                <w:color w:val="000000"/>
                <w:sz w:val="20"/>
                <w:szCs w:val="20"/>
                <w:lang w:val="es-ES_tradnl" w:eastAsia="es-CL"/>
              </w:rPr>
            </w:pPr>
            <w:r w:rsidRPr="00105274">
              <w:rPr>
                <w:rFonts w:ascii="Arial" w:eastAsia="Times New Roman" w:hAnsi="Arial" w:cs="Arial"/>
                <w:color w:val="000000"/>
                <w:sz w:val="20"/>
                <w:szCs w:val="20"/>
                <w:lang w:val="es-ES_tradnl" w:eastAsia="es-CL"/>
              </w:rPr>
              <w:t>Para el cálculo de los resultados, el Ministerio de Educación verificará el cumplimiento de cada meta estimando un porcentaje de cumplimiento general de cada centro de responsabilidad. Posteriormente, este porcentaje será utilizado para calcular qué porcentaje de los centros de responsabilidad de la DEP cumple con el 75% de sus metas de gestión.</w:t>
            </w:r>
          </w:p>
          <w:p w14:paraId="688BCB07"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r>
      <w:tr w:rsidR="002B4DCA" w:rsidRPr="00376B9E" w14:paraId="0CA15F4C" w14:textId="77777777" w:rsidTr="004D6A58">
        <w:trPr>
          <w:trHeight w:val="1565"/>
        </w:trPr>
        <w:tc>
          <w:tcPr>
            <w:tcW w:w="2700" w:type="dxa"/>
            <w:shd w:val="clear" w:color="auto" w:fill="auto"/>
            <w:vAlign w:val="center"/>
            <w:hideMark/>
          </w:tcPr>
          <w:p w14:paraId="40CD7CAD" w14:textId="7777777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xml:space="preserve">1.2. </w:t>
            </w:r>
            <w:r w:rsidRPr="00105274">
              <w:rPr>
                <w:rFonts w:ascii="Arial" w:eastAsia="Times New Roman" w:hAnsi="Arial" w:cs="Arial"/>
                <w:color w:val="000000"/>
                <w:sz w:val="20"/>
                <w:szCs w:val="20"/>
                <w:lang w:val="es-ES_tradnl" w:eastAsia="es-CL"/>
              </w:rPr>
              <w:t xml:space="preserve">Porcentaje de cumplimiento anual de la DEP en su </w:t>
            </w:r>
            <w:proofErr w:type="spellStart"/>
            <w:r w:rsidRPr="00105274">
              <w:rPr>
                <w:rFonts w:ascii="Arial" w:eastAsia="Times New Roman" w:hAnsi="Arial" w:cs="Arial"/>
                <w:color w:val="000000"/>
                <w:sz w:val="20"/>
                <w:szCs w:val="20"/>
                <w:lang w:val="es-ES_tradnl" w:eastAsia="es-CL"/>
              </w:rPr>
              <w:t>PMG</w:t>
            </w:r>
            <w:proofErr w:type="spellEnd"/>
          </w:p>
        </w:tc>
        <w:tc>
          <w:tcPr>
            <w:tcW w:w="4245" w:type="dxa"/>
            <w:shd w:val="clear" w:color="auto" w:fill="auto"/>
            <w:vAlign w:val="center"/>
            <w:hideMark/>
          </w:tcPr>
          <w:p w14:paraId="2634D490" w14:textId="77777777" w:rsidR="002B4DCA" w:rsidRPr="00105274" w:rsidRDefault="002B4DCA" w:rsidP="00C76F20">
            <w:pPr>
              <w:spacing w:after="0" w:line="240" w:lineRule="auto"/>
              <w:rPr>
                <w:rFonts w:ascii="Arial" w:eastAsia="Times New Roman" w:hAnsi="Arial" w:cs="Arial"/>
                <w:color w:val="000000"/>
                <w:sz w:val="20"/>
                <w:szCs w:val="20"/>
                <w:lang w:val="es-ES_tradnl" w:eastAsia="es-CL"/>
              </w:rPr>
            </w:pPr>
            <w:r w:rsidRPr="00105274">
              <w:rPr>
                <w:rFonts w:ascii="Arial" w:eastAsia="Times New Roman" w:hAnsi="Arial" w:cs="Arial"/>
                <w:color w:val="000000"/>
                <w:sz w:val="20"/>
                <w:szCs w:val="20"/>
                <w:lang w:val="es-ES_tradnl" w:eastAsia="es-CL"/>
              </w:rPr>
              <w:t xml:space="preserve">El </w:t>
            </w:r>
            <w:proofErr w:type="spellStart"/>
            <w:r w:rsidRPr="00105274">
              <w:rPr>
                <w:rFonts w:ascii="Arial" w:eastAsia="Times New Roman" w:hAnsi="Arial" w:cs="Arial"/>
                <w:color w:val="000000"/>
                <w:sz w:val="20"/>
                <w:szCs w:val="20"/>
                <w:lang w:val="es-ES_tradnl" w:eastAsia="es-CL"/>
              </w:rPr>
              <w:t>PMG</w:t>
            </w:r>
            <w:proofErr w:type="spellEnd"/>
            <w:r w:rsidRPr="00105274">
              <w:rPr>
                <w:rFonts w:ascii="Arial" w:eastAsia="Times New Roman" w:hAnsi="Arial" w:cs="Arial"/>
                <w:color w:val="000000"/>
                <w:sz w:val="20"/>
                <w:szCs w:val="20"/>
                <w:lang w:val="es-ES_tradnl" w:eastAsia="es-CL"/>
              </w:rPr>
              <w:t xml:space="preserve"> es un instrumento de gestión usados por instituciones de la administración pública chilena. La DEP, como institución pública, define compromisos estratégicos anuales.</w:t>
            </w:r>
          </w:p>
          <w:p w14:paraId="53CB5860" w14:textId="7777777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color w:val="000000"/>
                <w:sz w:val="20"/>
                <w:szCs w:val="20"/>
                <w:lang w:val="es-CL" w:eastAsia="es-CL"/>
              </w:rPr>
              <w:t xml:space="preserve">Los </w:t>
            </w:r>
            <w:proofErr w:type="spellStart"/>
            <w:r w:rsidRPr="00105274">
              <w:rPr>
                <w:rFonts w:ascii="Arial" w:eastAsia="Times New Roman" w:hAnsi="Arial" w:cs="Arial"/>
                <w:color w:val="000000"/>
                <w:sz w:val="20"/>
                <w:szCs w:val="20"/>
                <w:lang w:val="es-CL" w:eastAsia="es-CL"/>
              </w:rPr>
              <w:t>PMG</w:t>
            </w:r>
            <w:proofErr w:type="spellEnd"/>
            <w:r w:rsidRPr="00105274">
              <w:rPr>
                <w:rFonts w:ascii="Arial" w:eastAsia="Times New Roman" w:hAnsi="Arial" w:cs="Arial"/>
                <w:color w:val="000000"/>
                <w:sz w:val="20"/>
                <w:szCs w:val="20"/>
                <w:lang w:val="es-CL" w:eastAsia="es-CL"/>
              </w:rPr>
              <w:t xml:space="preserve"> forman parte de un esquema variable de incentivos salariales basados en el cumplimiento de objetivos institucionales, y compensan acorde al nivel de cumplimiento alcanzado.</w:t>
            </w:r>
          </w:p>
        </w:tc>
        <w:tc>
          <w:tcPr>
            <w:tcW w:w="1080" w:type="dxa"/>
            <w:shd w:val="clear" w:color="auto" w:fill="auto"/>
            <w:vAlign w:val="center"/>
            <w:hideMark/>
          </w:tcPr>
          <w:p w14:paraId="3B0A4054" w14:textId="77777777" w:rsidR="002B4DCA" w:rsidRPr="00105274" w:rsidRDefault="002B4DCA" w:rsidP="00C76F20">
            <w:pPr>
              <w:spacing w:after="0" w:line="240" w:lineRule="auto"/>
              <w:jc w:val="center"/>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w:t>
            </w:r>
          </w:p>
        </w:tc>
        <w:tc>
          <w:tcPr>
            <w:tcW w:w="1800" w:type="dxa"/>
            <w:shd w:val="clear" w:color="auto" w:fill="auto"/>
            <w:vAlign w:val="center"/>
            <w:hideMark/>
          </w:tcPr>
          <w:p w14:paraId="1352AE1C" w14:textId="77777777" w:rsidR="002B4DCA" w:rsidRPr="00105274" w:rsidRDefault="002B4DCA" w:rsidP="00C76F20">
            <w:pPr>
              <w:spacing w:after="0" w:line="240" w:lineRule="auto"/>
              <w:jc w:val="center"/>
              <w:rPr>
                <w:rFonts w:ascii="Arial" w:eastAsia="Times New Roman" w:hAnsi="Arial" w:cs="Arial"/>
                <w:sz w:val="20"/>
                <w:szCs w:val="20"/>
                <w:lang w:val="es-ES_tradnl" w:eastAsia="es-CL"/>
              </w:rPr>
            </w:pPr>
            <w:proofErr w:type="spellStart"/>
            <w:r w:rsidRPr="00105274">
              <w:rPr>
                <w:rFonts w:ascii="Arial" w:eastAsia="Times New Roman" w:hAnsi="Arial" w:cs="Arial"/>
                <w:color w:val="000000"/>
                <w:sz w:val="20"/>
                <w:szCs w:val="20"/>
                <w:lang w:val="es-ES_tradnl" w:eastAsia="es-CL"/>
              </w:rPr>
              <w:t>DIPRES</w:t>
            </w:r>
            <w:proofErr w:type="spellEnd"/>
            <w:r w:rsidRPr="00105274">
              <w:rPr>
                <w:rFonts w:ascii="Arial" w:eastAsia="Times New Roman" w:hAnsi="Arial" w:cs="Arial"/>
                <w:color w:val="000000"/>
                <w:sz w:val="20"/>
                <w:szCs w:val="20"/>
                <w:lang w:val="es-ES_tradnl" w:eastAsia="es-CL"/>
              </w:rPr>
              <w:t>, Ministerio de Hacienda</w:t>
            </w:r>
          </w:p>
        </w:tc>
        <w:tc>
          <w:tcPr>
            <w:tcW w:w="4860" w:type="dxa"/>
            <w:shd w:val="clear" w:color="auto" w:fill="auto"/>
            <w:vAlign w:val="center"/>
            <w:hideMark/>
          </w:tcPr>
          <w:p w14:paraId="65EE289C" w14:textId="77777777" w:rsidR="002B4DCA" w:rsidRPr="00105274" w:rsidRDefault="002B4DCA" w:rsidP="00C76F20">
            <w:pPr>
              <w:spacing w:after="0" w:line="240" w:lineRule="auto"/>
              <w:rPr>
                <w:rFonts w:ascii="Arial" w:eastAsia="Times New Roman" w:hAnsi="Arial" w:cs="Arial"/>
                <w:color w:val="000000"/>
                <w:sz w:val="20"/>
                <w:szCs w:val="20"/>
                <w:lang w:val="es-CL" w:eastAsia="es-CL"/>
              </w:rPr>
            </w:pPr>
            <w:r w:rsidRPr="00105274">
              <w:rPr>
                <w:rFonts w:ascii="Arial" w:eastAsia="Times New Roman" w:hAnsi="Arial" w:cs="Arial"/>
                <w:color w:val="000000"/>
                <w:sz w:val="20"/>
                <w:szCs w:val="20"/>
                <w:lang w:val="es-ES_tradnl" w:eastAsia="es-CL"/>
              </w:rPr>
              <w:t>El Ministerio de Hacienda verifica anualmente el cumplimiento de cada meta estimando un porcentaje de cumplimiento general de cada institución.</w:t>
            </w:r>
            <w:r w:rsidRPr="00105274">
              <w:rPr>
                <w:rFonts w:ascii="Arial" w:eastAsia="Times New Roman" w:hAnsi="Arial" w:cs="Arial"/>
                <w:color w:val="000000"/>
                <w:sz w:val="20"/>
                <w:szCs w:val="20"/>
                <w:lang w:val="es-CL" w:eastAsia="es-CL"/>
              </w:rPr>
              <w:t xml:space="preserve"> </w:t>
            </w:r>
          </w:p>
          <w:p w14:paraId="7C98CA9A"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r>
      <w:tr w:rsidR="002B4DCA" w:rsidRPr="00376B9E" w14:paraId="774FF5CC" w14:textId="77777777" w:rsidTr="004D6A58">
        <w:trPr>
          <w:trHeight w:val="20"/>
        </w:trPr>
        <w:tc>
          <w:tcPr>
            <w:tcW w:w="14685" w:type="dxa"/>
            <w:gridSpan w:val="5"/>
            <w:shd w:val="clear" w:color="000000" w:fill="D9D9D9"/>
            <w:vAlign w:val="center"/>
            <w:hideMark/>
          </w:tcPr>
          <w:p w14:paraId="25D1A913" w14:textId="77777777"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 xml:space="preserve">Preparación del traspaso del servicio educativo en municipios que van a convertirse en </w:t>
            </w:r>
            <w:proofErr w:type="spellStart"/>
            <w:r w:rsidRPr="00105274">
              <w:rPr>
                <w:rFonts w:ascii="Arial" w:eastAsia="Times New Roman" w:hAnsi="Arial" w:cs="Arial"/>
                <w:b/>
                <w:sz w:val="20"/>
                <w:szCs w:val="20"/>
                <w:lang w:val="es-ES_tradnl" w:eastAsia="es-CL"/>
              </w:rPr>
              <w:t>SLEPs</w:t>
            </w:r>
            <w:proofErr w:type="spellEnd"/>
            <w:r w:rsidRPr="00105274">
              <w:rPr>
                <w:rFonts w:ascii="Arial" w:eastAsia="Times New Roman" w:hAnsi="Arial" w:cs="Arial"/>
                <w:b/>
                <w:sz w:val="20"/>
                <w:szCs w:val="20"/>
                <w:lang w:val="es-ES_tradnl" w:eastAsia="es-CL"/>
              </w:rPr>
              <w:t xml:space="preserve"> </w:t>
            </w:r>
          </w:p>
        </w:tc>
      </w:tr>
      <w:tr w:rsidR="002B4DCA" w:rsidRPr="00105274" w14:paraId="6561FFE6" w14:textId="77777777" w:rsidTr="004D6A58">
        <w:trPr>
          <w:trHeight w:val="509"/>
        </w:trPr>
        <w:tc>
          <w:tcPr>
            <w:tcW w:w="2700" w:type="dxa"/>
            <w:vMerge w:val="restart"/>
            <w:shd w:val="clear" w:color="auto" w:fill="auto"/>
            <w:vAlign w:val="center"/>
            <w:hideMark/>
          </w:tcPr>
          <w:p w14:paraId="51958047" w14:textId="5E538E0C"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1.</w:t>
            </w:r>
            <w:r w:rsidR="00F8204A">
              <w:rPr>
                <w:rFonts w:ascii="Arial" w:eastAsia="Times New Roman" w:hAnsi="Arial" w:cs="Arial"/>
                <w:sz w:val="20"/>
                <w:szCs w:val="20"/>
                <w:lang w:val="es-ES_tradnl" w:eastAsia="es-CL"/>
              </w:rPr>
              <w:t>6</w:t>
            </w:r>
            <w:r w:rsidRPr="00105274">
              <w:rPr>
                <w:rFonts w:ascii="Arial" w:eastAsia="Times New Roman" w:hAnsi="Arial" w:cs="Arial"/>
                <w:sz w:val="20"/>
                <w:szCs w:val="20"/>
                <w:lang w:val="es-ES_tradnl" w:eastAsia="es-CL"/>
              </w:rPr>
              <w:t xml:space="preserve">. Número de municipios con un plan de transición firmado que ejecutan el </w:t>
            </w:r>
            <w:proofErr w:type="spellStart"/>
            <w:r w:rsidRPr="00105274">
              <w:rPr>
                <w:rFonts w:ascii="Arial" w:eastAsia="Times New Roman" w:hAnsi="Arial" w:cs="Arial"/>
                <w:sz w:val="20"/>
                <w:szCs w:val="20"/>
                <w:lang w:val="es-ES_tradnl" w:eastAsia="es-CL"/>
              </w:rPr>
              <w:t>FAEP</w:t>
            </w:r>
            <w:proofErr w:type="spellEnd"/>
          </w:p>
        </w:tc>
        <w:tc>
          <w:tcPr>
            <w:tcW w:w="4245" w:type="dxa"/>
            <w:vMerge w:val="restart"/>
            <w:shd w:val="clear" w:color="auto" w:fill="auto"/>
            <w:vAlign w:val="center"/>
            <w:hideMark/>
          </w:tcPr>
          <w:p w14:paraId="6F6716A8" w14:textId="7777777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Este indicador demuestra que los municipios están realizando acciones de mejora en aspectos financieros y educativos para prepararse para el traspaso del servicio educativo. El valor del indicador estará dado por dos procesos clave:</w:t>
            </w:r>
          </w:p>
          <w:p w14:paraId="60DD1654" w14:textId="77777777" w:rsidR="002B4DCA" w:rsidRPr="00105274" w:rsidRDefault="002B4DCA" w:rsidP="002B4DCA">
            <w:pPr>
              <w:pStyle w:val="ListParagraph"/>
              <w:numPr>
                <w:ilvl w:val="0"/>
                <w:numId w:val="26"/>
              </w:num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xml:space="preserve">Firma del plan de transición por el municipio: La Ley 21.040 en su </w:t>
            </w:r>
            <w:r w:rsidRPr="00105274">
              <w:rPr>
                <w:rFonts w:ascii="Arial" w:eastAsia="Times New Roman" w:hAnsi="Arial" w:cs="Arial"/>
                <w:sz w:val="20"/>
                <w:szCs w:val="20"/>
                <w:lang w:val="es-ES_tradnl" w:eastAsia="es-CL"/>
              </w:rPr>
              <w:lastRenderedPageBreak/>
              <w:t>artículo 24 define un Plan de Transición de carácter plurianual que suscribe el MINEDUC con los sostenedores municipales que tiene por objeto asegurar el adecuado traspaso del servicio educativo. El plan compromete recursos a ser destinados en áreas establecidas mientras que el municipio asume un conjunto de obligaciones.</w:t>
            </w:r>
          </w:p>
          <w:p w14:paraId="1CAE728E" w14:textId="77777777" w:rsidR="002B4DCA" w:rsidRPr="00105274" w:rsidRDefault="002B4DCA" w:rsidP="002B4DCA">
            <w:pPr>
              <w:pStyle w:val="ListParagraph"/>
              <w:numPr>
                <w:ilvl w:val="0"/>
                <w:numId w:val="26"/>
              </w:num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xml:space="preserve">Ejecución del </w:t>
            </w:r>
            <w:proofErr w:type="spellStart"/>
            <w:r w:rsidRPr="00105274">
              <w:rPr>
                <w:rFonts w:ascii="Arial" w:eastAsia="Times New Roman" w:hAnsi="Arial" w:cs="Arial"/>
                <w:sz w:val="20"/>
                <w:szCs w:val="20"/>
                <w:lang w:val="es-ES_tradnl" w:eastAsia="es-CL"/>
              </w:rPr>
              <w:t>FAEP</w:t>
            </w:r>
            <w:proofErr w:type="spellEnd"/>
            <w:r w:rsidRPr="00105274">
              <w:rPr>
                <w:rFonts w:ascii="Arial" w:eastAsia="Times New Roman" w:hAnsi="Arial" w:cs="Arial"/>
                <w:sz w:val="20"/>
                <w:szCs w:val="20"/>
                <w:lang w:val="es-ES_tradnl" w:eastAsia="es-CL"/>
              </w:rPr>
              <w:t xml:space="preserve">: El </w:t>
            </w:r>
            <w:proofErr w:type="spellStart"/>
            <w:r w:rsidRPr="00105274">
              <w:rPr>
                <w:rFonts w:ascii="Arial" w:eastAsia="Times New Roman" w:hAnsi="Arial" w:cs="Arial"/>
                <w:sz w:val="20"/>
                <w:szCs w:val="20"/>
                <w:lang w:val="es-ES_tradnl" w:eastAsia="es-CL"/>
              </w:rPr>
              <w:t>FAEP</w:t>
            </w:r>
            <w:proofErr w:type="spellEnd"/>
            <w:r w:rsidRPr="00105274">
              <w:rPr>
                <w:rFonts w:ascii="Arial" w:eastAsia="Times New Roman" w:hAnsi="Arial" w:cs="Arial"/>
                <w:sz w:val="20"/>
                <w:szCs w:val="20"/>
                <w:lang w:val="es-ES_tradnl" w:eastAsia="es-CL"/>
              </w:rPr>
              <w:t xml:space="preserve"> es un fondo de apoyo que se transfiere de a los municipios para fortalecimiento de la educación pública. Se considerará que los municipios están ejecutando el </w:t>
            </w:r>
            <w:proofErr w:type="spellStart"/>
            <w:r w:rsidRPr="00105274">
              <w:rPr>
                <w:rFonts w:ascii="Arial" w:eastAsia="Times New Roman" w:hAnsi="Arial" w:cs="Arial"/>
                <w:sz w:val="20"/>
                <w:szCs w:val="20"/>
                <w:lang w:val="es-ES_tradnl" w:eastAsia="es-CL"/>
              </w:rPr>
              <w:t>FAEP</w:t>
            </w:r>
            <w:proofErr w:type="spellEnd"/>
            <w:r w:rsidRPr="00105274">
              <w:rPr>
                <w:rFonts w:ascii="Arial" w:eastAsia="Times New Roman" w:hAnsi="Arial" w:cs="Arial"/>
                <w:sz w:val="20"/>
                <w:szCs w:val="20"/>
                <w:lang w:val="es-ES_tradnl" w:eastAsia="es-CL"/>
              </w:rPr>
              <w:t xml:space="preserve"> cuando éstos hayan realizado algún desembolso con dichos fondos. </w:t>
            </w:r>
          </w:p>
        </w:tc>
        <w:tc>
          <w:tcPr>
            <w:tcW w:w="1080" w:type="dxa"/>
            <w:vMerge w:val="restart"/>
            <w:shd w:val="clear" w:color="auto" w:fill="auto"/>
            <w:vAlign w:val="center"/>
            <w:hideMark/>
          </w:tcPr>
          <w:p w14:paraId="6B6D637C" w14:textId="467D3DFF" w:rsidR="002B4DCA" w:rsidRPr="00105274" w:rsidRDefault="00CF7846" w:rsidP="00C76F20">
            <w:pPr>
              <w:spacing w:after="0" w:line="240" w:lineRule="auto"/>
              <w:jc w:val="center"/>
              <w:rPr>
                <w:rFonts w:ascii="Arial" w:eastAsia="Times New Roman" w:hAnsi="Arial" w:cs="Arial"/>
                <w:sz w:val="20"/>
                <w:szCs w:val="20"/>
                <w:lang w:val="es-ES_tradnl" w:eastAsia="es-CL"/>
              </w:rPr>
            </w:pPr>
            <w:r>
              <w:rPr>
                <w:rFonts w:ascii="Arial" w:eastAsia="Times New Roman" w:hAnsi="Arial" w:cs="Arial"/>
                <w:sz w:val="20"/>
                <w:szCs w:val="20"/>
                <w:lang w:val="es-ES_tradnl" w:eastAsia="es-CL"/>
              </w:rPr>
              <w:lastRenderedPageBreak/>
              <w:t>Municipios</w:t>
            </w:r>
            <w:r w:rsidRPr="00105274">
              <w:rPr>
                <w:rFonts w:ascii="Arial" w:eastAsia="Times New Roman" w:hAnsi="Arial" w:cs="Arial"/>
                <w:sz w:val="20"/>
                <w:szCs w:val="20"/>
                <w:lang w:val="es-ES_tradnl" w:eastAsia="es-CL"/>
              </w:rPr>
              <w:t> </w:t>
            </w:r>
          </w:p>
        </w:tc>
        <w:tc>
          <w:tcPr>
            <w:tcW w:w="1800" w:type="dxa"/>
            <w:vMerge w:val="restart"/>
            <w:shd w:val="clear" w:color="auto" w:fill="auto"/>
            <w:vAlign w:val="center"/>
            <w:hideMark/>
          </w:tcPr>
          <w:p w14:paraId="5E8E8B33" w14:textId="77777777" w:rsidR="002B4DCA" w:rsidRPr="00105274" w:rsidRDefault="002B4DCA" w:rsidP="00C76F20">
            <w:pPr>
              <w:spacing w:after="0" w:line="240" w:lineRule="auto"/>
              <w:jc w:val="center"/>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DEP </w:t>
            </w:r>
          </w:p>
        </w:tc>
        <w:tc>
          <w:tcPr>
            <w:tcW w:w="4860" w:type="dxa"/>
            <w:vMerge w:val="restart"/>
            <w:shd w:val="clear" w:color="auto" w:fill="auto"/>
            <w:vAlign w:val="center"/>
            <w:hideMark/>
          </w:tcPr>
          <w:p w14:paraId="1D7F06CF" w14:textId="77777777" w:rsidR="002B4DCA" w:rsidRPr="00105274" w:rsidRDefault="002B4DCA" w:rsidP="00C76F20">
            <w:pPr>
              <w:spacing w:after="0" w:line="240" w:lineRule="auto"/>
              <w:rPr>
                <w:rFonts w:ascii="Arial" w:eastAsia="Times New Roman" w:hAnsi="Arial" w:cs="Arial"/>
                <w:sz w:val="20"/>
                <w:szCs w:val="20"/>
                <w:lang w:val="es-ES_tradnl" w:eastAsia="es-CL"/>
              </w:rPr>
            </w:pPr>
          </w:p>
          <w:p w14:paraId="2D350087" w14:textId="7777777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xml:space="preserve">Tanto la información relacionada con la firma del plan de transición como la ejecución del </w:t>
            </w:r>
            <w:proofErr w:type="spellStart"/>
            <w:r w:rsidRPr="00105274">
              <w:rPr>
                <w:rFonts w:ascii="Arial" w:eastAsia="Times New Roman" w:hAnsi="Arial" w:cs="Arial"/>
                <w:sz w:val="20"/>
                <w:szCs w:val="20"/>
                <w:lang w:val="es-ES_tradnl" w:eastAsia="es-CL"/>
              </w:rPr>
              <w:t>FAEP</w:t>
            </w:r>
            <w:proofErr w:type="spellEnd"/>
            <w:r w:rsidRPr="00105274">
              <w:rPr>
                <w:rFonts w:ascii="Arial" w:eastAsia="Times New Roman" w:hAnsi="Arial" w:cs="Arial"/>
                <w:sz w:val="20"/>
                <w:szCs w:val="20"/>
                <w:lang w:val="es-ES_tradnl" w:eastAsia="es-CL"/>
              </w:rPr>
              <w:t xml:space="preserve"> son levantados, verificados y sistematizados por la Dirección de Educación Pública semestralmente. Por ende, el indicador será verificado a través de la elaboración del informe de monitoreo de ejecución </w:t>
            </w:r>
            <w:proofErr w:type="spellStart"/>
            <w:r w:rsidRPr="00105274">
              <w:rPr>
                <w:rFonts w:ascii="Arial" w:eastAsia="Times New Roman" w:hAnsi="Arial" w:cs="Arial"/>
                <w:sz w:val="20"/>
                <w:szCs w:val="20"/>
                <w:lang w:val="es-ES_tradnl" w:eastAsia="es-CL"/>
              </w:rPr>
              <w:t>FAEP</w:t>
            </w:r>
            <w:proofErr w:type="spellEnd"/>
            <w:r w:rsidRPr="00105274">
              <w:rPr>
                <w:rFonts w:ascii="Arial" w:eastAsia="Times New Roman" w:hAnsi="Arial" w:cs="Arial"/>
                <w:sz w:val="20"/>
                <w:szCs w:val="20"/>
                <w:lang w:val="es-ES_tradnl" w:eastAsia="es-CL"/>
              </w:rPr>
              <w:t xml:space="preserve"> para municipios con convenios de transición </w:t>
            </w:r>
            <w:r w:rsidRPr="00105274">
              <w:rPr>
                <w:rFonts w:ascii="Arial" w:eastAsia="Times New Roman" w:hAnsi="Arial" w:cs="Arial"/>
                <w:sz w:val="20"/>
                <w:szCs w:val="20"/>
                <w:lang w:val="es-ES_tradnl" w:eastAsia="es-CL"/>
              </w:rPr>
              <w:lastRenderedPageBreak/>
              <w:t>firmados. El informe deberá anexar los convenios de transición firmados.</w:t>
            </w:r>
          </w:p>
        </w:tc>
      </w:tr>
      <w:tr w:rsidR="002B4DCA" w:rsidRPr="00105274" w14:paraId="1962D746" w14:textId="77777777" w:rsidTr="004D6A58">
        <w:trPr>
          <w:trHeight w:val="509"/>
        </w:trPr>
        <w:tc>
          <w:tcPr>
            <w:tcW w:w="2700" w:type="dxa"/>
            <w:vMerge/>
            <w:vAlign w:val="center"/>
            <w:hideMark/>
          </w:tcPr>
          <w:p w14:paraId="7BA317FB"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4245" w:type="dxa"/>
            <w:vMerge/>
            <w:vAlign w:val="center"/>
            <w:hideMark/>
          </w:tcPr>
          <w:p w14:paraId="3ADBFAEF"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1080" w:type="dxa"/>
            <w:vMerge/>
            <w:vAlign w:val="center"/>
            <w:hideMark/>
          </w:tcPr>
          <w:p w14:paraId="24367B51"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1800" w:type="dxa"/>
            <w:vMerge/>
            <w:vAlign w:val="center"/>
            <w:hideMark/>
          </w:tcPr>
          <w:p w14:paraId="592599C2"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4860" w:type="dxa"/>
            <w:vMerge/>
            <w:vAlign w:val="center"/>
            <w:hideMark/>
          </w:tcPr>
          <w:p w14:paraId="12887E52"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r>
      <w:tr w:rsidR="002B4DCA" w:rsidRPr="00105274" w14:paraId="35B58213" w14:textId="77777777" w:rsidTr="004D6A58">
        <w:trPr>
          <w:trHeight w:val="20"/>
        </w:trPr>
        <w:tc>
          <w:tcPr>
            <w:tcW w:w="14685" w:type="dxa"/>
            <w:gridSpan w:val="5"/>
            <w:shd w:val="clear" w:color="000000" w:fill="D9D9D9"/>
            <w:vAlign w:val="center"/>
            <w:hideMark/>
          </w:tcPr>
          <w:p w14:paraId="7FE956D7" w14:textId="77777777"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 xml:space="preserve">Instalación de los </w:t>
            </w:r>
            <w:proofErr w:type="spellStart"/>
            <w:r w:rsidRPr="00105274">
              <w:rPr>
                <w:rFonts w:ascii="Arial" w:eastAsia="Times New Roman" w:hAnsi="Arial" w:cs="Arial"/>
                <w:b/>
                <w:sz w:val="20"/>
                <w:szCs w:val="20"/>
                <w:lang w:val="es-ES_tradnl" w:eastAsia="es-CL"/>
              </w:rPr>
              <w:t>SLEPs</w:t>
            </w:r>
            <w:proofErr w:type="spellEnd"/>
          </w:p>
        </w:tc>
      </w:tr>
      <w:tr w:rsidR="002B4DCA" w:rsidRPr="00376B9E" w14:paraId="1BBEA005" w14:textId="77777777" w:rsidTr="004D6A58">
        <w:trPr>
          <w:trHeight w:val="20"/>
        </w:trPr>
        <w:tc>
          <w:tcPr>
            <w:tcW w:w="2700" w:type="dxa"/>
            <w:shd w:val="clear" w:color="auto" w:fill="auto"/>
            <w:vAlign w:val="center"/>
            <w:hideMark/>
          </w:tcPr>
          <w:p w14:paraId="0F4BD212" w14:textId="7DF4EA53"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xml:space="preserve">1.8. Número de </w:t>
            </w:r>
            <w:proofErr w:type="spellStart"/>
            <w:r w:rsidRPr="00105274">
              <w:rPr>
                <w:rFonts w:ascii="Arial" w:eastAsia="Times New Roman" w:hAnsi="Arial" w:cs="Arial"/>
                <w:sz w:val="20"/>
                <w:szCs w:val="20"/>
                <w:lang w:val="es-ES_tradnl" w:eastAsia="es-CL"/>
              </w:rPr>
              <w:t>SLEPs</w:t>
            </w:r>
            <w:proofErr w:type="spellEnd"/>
            <w:r w:rsidRPr="00105274">
              <w:rPr>
                <w:rFonts w:ascii="Arial" w:eastAsia="Times New Roman" w:hAnsi="Arial" w:cs="Arial"/>
                <w:sz w:val="20"/>
                <w:szCs w:val="20"/>
                <w:lang w:val="es-ES_tradnl" w:eastAsia="es-CL"/>
              </w:rPr>
              <w:t xml:space="preserve"> con servicio educativo traspasado</w:t>
            </w:r>
          </w:p>
        </w:tc>
        <w:tc>
          <w:tcPr>
            <w:tcW w:w="4245" w:type="dxa"/>
            <w:shd w:val="clear" w:color="auto" w:fill="auto"/>
            <w:vAlign w:val="center"/>
            <w:hideMark/>
          </w:tcPr>
          <w:p w14:paraId="6AC6B4BC" w14:textId="7777777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xml:space="preserve">El traspaso del servicio educativo de los municipios a los </w:t>
            </w:r>
            <w:proofErr w:type="spellStart"/>
            <w:r w:rsidRPr="00105274">
              <w:rPr>
                <w:rFonts w:ascii="Arial" w:eastAsia="Times New Roman" w:hAnsi="Arial" w:cs="Arial"/>
                <w:sz w:val="20"/>
                <w:szCs w:val="20"/>
                <w:lang w:val="es-ES_tradnl" w:eastAsia="es-CL"/>
              </w:rPr>
              <w:t>SLEPs</w:t>
            </w:r>
            <w:proofErr w:type="spellEnd"/>
            <w:r w:rsidRPr="00105274">
              <w:rPr>
                <w:rFonts w:ascii="Arial" w:eastAsia="Times New Roman" w:hAnsi="Arial" w:cs="Arial"/>
                <w:sz w:val="20"/>
                <w:szCs w:val="20"/>
                <w:lang w:val="es-ES_tradnl" w:eastAsia="es-CL"/>
              </w:rPr>
              <w:t xml:space="preserve"> es el primer hito en la transición a la nueva institucionalidad. Esto ocurre a través de una resolución de traspaso del personal educativo de cada municipio que compone el </w:t>
            </w:r>
            <w:proofErr w:type="spellStart"/>
            <w:r w:rsidRPr="00105274">
              <w:rPr>
                <w:rFonts w:ascii="Arial" w:eastAsia="Times New Roman" w:hAnsi="Arial" w:cs="Arial"/>
                <w:sz w:val="20"/>
                <w:szCs w:val="20"/>
                <w:lang w:val="es-ES_tradnl" w:eastAsia="es-CL"/>
              </w:rPr>
              <w:t>SLEP</w:t>
            </w:r>
            <w:proofErr w:type="spellEnd"/>
            <w:r w:rsidRPr="00105274">
              <w:rPr>
                <w:rFonts w:ascii="Arial" w:eastAsia="Times New Roman" w:hAnsi="Arial" w:cs="Arial"/>
                <w:sz w:val="20"/>
                <w:szCs w:val="20"/>
                <w:lang w:val="es-ES_tradnl" w:eastAsia="es-CL"/>
              </w:rPr>
              <w:t xml:space="preserve">. </w:t>
            </w:r>
          </w:p>
          <w:p w14:paraId="641072FA" w14:textId="77777777" w:rsidR="002B4DCA" w:rsidRPr="00105274" w:rsidRDefault="002B4DCA" w:rsidP="00C76F20">
            <w:pPr>
              <w:spacing w:after="0" w:line="240" w:lineRule="auto"/>
              <w:jc w:val="center"/>
              <w:rPr>
                <w:rFonts w:ascii="Arial" w:eastAsia="Times New Roman" w:hAnsi="Arial" w:cs="Arial"/>
                <w:sz w:val="20"/>
                <w:szCs w:val="20"/>
                <w:lang w:val="es-ES_tradnl" w:eastAsia="es-CL"/>
              </w:rPr>
            </w:pPr>
          </w:p>
        </w:tc>
        <w:tc>
          <w:tcPr>
            <w:tcW w:w="1080" w:type="dxa"/>
            <w:shd w:val="clear" w:color="auto" w:fill="auto"/>
            <w:vAlign w:val="center"/>
            <w:hideMark/>
          </w:tcPr>
          <w:p w14:paraId="6617C333" w14:textId="4DC03F18" w:rsidR="002B4DCA" w:rsidRPr="00105274" w:rsidRDefault="00CF7846" w:rsidP="00C76F20">
            <w:pPr>
              <w:spacing w:after="0" w:line="240" w:lineRule="auto"/>
              <w:jc w:val="center"/>
              <w:rPr>
                <w:rFonts w:ascii="Arial" w:eastAsia="Times New Roman" w:hAnsi="Arial" w:cs="Arial"/>
                <w:sz w:val="20"/>
                <w:szCs w:val="20"/>
                <w:lang w:val="es-ES_tradnl" w:eastAsia="es-CL"/>
              </w:rPr>
            </w:pPr>
            <w:proofErr w:type="spellStart"/>
            <w:r>
              <w:rPr>
                <w:rFonts w:ascii="Arial" w:eastAsia="Times New Roman" w:hAnsi="Arial" w:cs="Arial"/>
                <w:sz w:val="20"/>
                <w:szCs w:val="20"/>
                <w:lang w:val="es-ES_tradnl" w:eastAsia="es-CL"/>
              </w:rPr>
              <w:t>SLEPs</w:t>
            </w:r>
            <w:proofErr w:type="spellEnd"/>
            <w:r w:rsidRPr="00105274">
              <w:rPr>
                <w:rFonts w:ascii="Arial" w:eastAsia="Times New Roman" w:hAnsi="Arial" w:cs="Arial"/>
                <w:sz w:val="20"/>
                <w:szCs w:val="20"/>
                <w:lang w:val="es-ES_tradnl" w:eastAsia="es-CL"/>
              </w:rPr>
              <w:t> </w:t>
            </w:r>
          </w:p>
        </w:tc>
        <w:tc>
          <w:tcPr>
            <w:tcW w:w="1800" w:type="dxa"/>
            <w:shd w:val="clear" w:color="auto" w:fill="auto"/>
            <w:vAlign w:val="center"/>
            <w:hideMark/>
          </w:tcPr>
          <w:p w14:paraId="38A86853" w14:textId="77777777" w:rsidR="002B4DCA" w:rsidRPr="00105274" w:rsidRDefault="002B4DCA" w:rsidP="00C76F20">
            <w:pPr>
              <w:spacing w:after="0" w:line="240" w:lineRule="auto"/>
              <w:jc w:val="center"/>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MINEDUC</w:t>
            </w:r>
          </w:p>
        </w:tc>
        <w:tc>
          <w:tcPr>
            <w:tcW w:w="4860" w:type="dxa"/>
            <w:shd w:val="clear" w:color="auto" w:fill="auto"/>
            <w:vAlign w:val="center"/>
            <w:hideMark/>
          </w:tcPr>
          <w:p w14:paraId="2FB7081A" w14:textId="7777777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xml:space="preserve">El traspaso se verificará a través de una resolución de traspaso del personal educativo de cada municipio constituyente del </w:t>
            </w:r>
            <w:proofErr w:type="spellStart"/>
            <w:r w:rsidRPr="00105274">
              <w:rPr>
                <w:rFonts w:ascii="Arial" w:eastAsia="Times New Roman" w:hAnsi="Arial" w:cs="Arial"/>
                <w:sz w:val="20"/>
                <w:szCs w:val="20"/>
                <w:lang w:val="es-ES_tradnl" w:eastAsia="es-CL"/>
              </w:rPr>
              <w:t>SLEP</w:t>
            </w:r>
            <w:proofErr w:type="spellEnd"/>
            <w:r w:rsidRPr="00105274">
              <w:rPr>
                <w:rFonts w:ascii="Arial" w:eastAsia="Times New Roman" w:hAnsi="Arial" w:cs="Arial"/>
                <w:sz w:val="20"/>
                <w:szCs w:val="20"/>
                <w:lang w:val="es-ES_tradnl" w:eastAsia="es-CL"/>
              </w:rPr>
              <w:t xml:space="preserve">, emitida por las </w:t>
            </w:r>
            <w:proofErr w:type="spellStart"/>
            <w:r w:rsidRPr="00105274">
              <w:rPr>
                <w:rFonts w:ascii="Arial" w:eastAsia="Times New Roman" w:hAnsi="Arial" w:cs="Arial"/>
                <w:sz w:val="20"/>
                <w:szCs w:val="20"/>
                <w:lang w:val="es-ES_tradnl" w:eastAsia="es-CL"/>
              </w:rPr>
              <w:t>SEREMIs</w:t>
            </w:r>
            <w:proofErr w:type="spellEnd"/>
            <w:r w:rsidRPr="00105274">
              <w:rPr>
                <w:rFonts w:ascii="Arial" w:eastAsia="Times New Roman" w:hAnsi="Arial" w:cs="Arial"/>
                <w:sz w:val="20"/>
                <w:szCs w:val="20"/>
                <w:lang w:val="es-ES_tradnl" w:eastAsia="es-CL"/>
              </w:rPr>
              <w:t xml:space="preserve"> pertenecientes a la estructura regional del MINEDUC.  </w:t>
            </w:r>
          </w:p>
        </w:tc>
      </w:tr>
      <w:tr w:rsidR="002B4DCA" w:rsidRPr="00376B9E" w14:paraId="53CFAACC" w14:textId="77777777" w:rsidTr="004D6A58">
        <w:trPr>
          <w:trHeight w:val="20"/>
        </w:trPr>
        <w:tc>
          <w:tcPr>
            <w:tcW w:w="14685" w:type="dxa"/>
            <w:gridSpan w:val="5"/>
            <w:shd w:val="clear" w:color="000000" w:fill="D9D9D9"/>
            <w:vAlign w:val="center"/>
            <w:hideMark/>
          </w:tcPr>
          <w:p w14:paraId="7B0D99BC" w14:textId="77777777"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 xml:space="preserve">Gestión y liderazgo de los </w:t>
            </w:r>
            <w:proofErr w:type="spellStart"/>
            <w:r w:rsidRPr="00105274">
              <w:rPr>
                <w:rFonts w:ascii="Arial" w:eastAsia="Times New Roman" w:hAnsi="Arial" w:cs="Arial"/>
                <w:b/>
                <w:sz w:val="20"/>
                <w:szCs w:val="20"/>
                <w:lang w:val="es-ES_tradnl" w:eastAsia="es-CL"/>
              </w:rPr>
              <w:t>SLEPs</w:t>
            </w:r>
            <w:proofErr w:type="spellEnd"/>
          </w:p>
        </w:tc>
      </w:tr>
      <w:tr w:rsidR="002B4DCA" w:rsidRPr="00376B9E" w14:paraId="3F23E135" w14:textId="77777777" w:rsidTr="004D6A58">
        <w:trPr>
          <w:trHeight w:val="509"/>
        </w:trPr>
        <w:tc>
          <w:tcPr>
            <w:tcW w:w="2700" w:type="dxa"/>
            <w:vMerge w:val="restart"/>
            <w:shd w:val="clear" w:color="auto" w:fill="auto"/>
            <w:vAlign w:val="center"/>
            <w:hideMark/>
          </w:tcPr>
          <w:p w14:paraId="60D8245B" w14:textId="558598CB"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1.1</w:t>
            </w:r>
            <w:r w:rsidR="00F8204A">
              <w:rPr>
                <w:rFonts w:ascii="Arial" w:eastAsia="Times New Roman" w:hAnsi="Arial" w:cs="Arial"/>
                <w:sz w:val="20"/>
                <w:szCs w:val="20"/>
                <w:lang w:val="es-ES_tradnl" w:eastAsia="es-CL"/>
              </w:rPr>
              <w:t>1</w:t>
            </w:r>
            <w:r w:rsidRPr="00105274">
              <w:rPr>
                <w:rFonts w:ascii="Arial" w:eastAsia="Times New Roman" w:hAnsi="Arial" w:cs="Arial"/>
                <w:sz w:val="20"/>
                <w:szCs w:val="20"/>
                <w:lang w:val="es-ES_tradnl" w:eastAsia="es-CL"/>
              </w:rPr>
              <w:t xml:space="preserve">. </w:t>
            </w:r>
            <w:r w:rsidRPr="00105274">
              <w:rPr>
                <w:rFonts w:ascii="Arial" w:eastAsia="Times New Roman" w:hAnsi="Arial" w:cs="Arial"/>
                <w:color w:val="000000"/>
                <w:sz w:val="20"/>
                <w:szCs w:val="20"/>
                <w:lang w:val="es-ES_tradnl" w:eastAsia="es-CL"/>
              </w:rPr>
              <w:t xml:space="preserve">Número de </w:t>
            </w:r>
            <w:proofErr w:type="spellStart"/>
            <w:r w:rsidRPr="00105274">
              <w:rPr>
                <w:rFonts w:ascii="Arial" w:eastAsia="Times New Roman" w:hAnsi="Arial" w:cs="Arial"/>
                <w:color w:val="000000"/>
                <w:sz w:val="20"/>
                <w:szCs w:val="20"/>
                <w:lang w:val="es-ES_tradnl" w:eastAsia="es-CL"/>
              </w:rPr>
              <w:t>SLEPs</w:t>
            </w:r>
            <w:proofErr w:type="spellEnd"/>
            <w:r w:rsidRPr="00105274">
              <w:rPr>
                <w:rFonts w:ascii="Arial" w:eastAsia="Times New Roman" w:hAnsi="Arial" w:cs="Arial"/>
                <w:color w:val="000000"/>
                <w:sz w:val="20"/>
                <w:szCs w:val="20"/>
                <w:lang w:val="es-ES_tradnl" w:eastAsia="es-CL"/>
              </w:rPr>
              <w:t xml:space="preserve"> cuyos Directores Ejecutivos cumplen satisfactoriamente su convenio de gestión</w:t>
            </w:r>
            <w:r w:rsidR="003E73DD">
              <w:rPr>
                <w:rFonts w:ascii="Arial" w:eastAsia="Times New Roman" w:hAnsi="Arial" w:cs="Arial"/>
                <w:color w:val="000000"/>
                <w:sz w:val="20"/>
                <w:szCs w:val="20"/>
                <w:lang w:val="es-ES_tradnl" w:eastAsia="es-CL"/>
              </w:rPr>
              <w:t xml:space="preserve"> educacional </w:t>
            </w:r>
          </w:p>
        </w:tc>
        <w:tc>
          <w:tcPr>
            <w:tcW w:w="4245" w:type="dxa"/>
            <w:vMerge w:val="restart"/>
            <w:shd w:val="clear" w:color="auto" w:fill="auto"/>
            <w:vAlign w:val="center"/>
            <w:hideMark/>
          </w:tcPr>
          <w:p w14:paraId="5EF7A580" w14:textId="59E76CB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El convenio de gestión</w:t>
            </w:r>
            <w:r w:rsidR="00E57931">
              <w:rPr>
                <w:rFonts w:ascii="Arial" w:eastAsia="Times New Roman" w:hAnsi="Arial" w:cs="Arial"/>
                <w:sz w:val="20"/>
                <w:szCs w:val="20"/>
                <w:lang w:val="es-ES_tradnl" w:eastAsia="es-CL"/>
              </w:rPr>
              <w:t xml:space="preserve"> educacional</w:t>
            </w:r>
            <w:r w:rsidRPr="00105274">
              <w:rPr>
                <w:rFonts w:ascii="Arial" w:eastAsia="Times New Roman" w:hAnsi="Arial" w:cs="Arial"/>
                <w:sz w:val="20"/>
                <w:szCs w:val="20"/>
                <w:lang w:val="es-ES_tradnl" w:eastAsia="es-CL"/>
              </w:rPr>
              <w:t xml:space="preserve">es el instrumento que guía la gestión del director ejecutivo del </w:t>
            </w:r>
            <w:proofErr w:type="spellStart"/>
            <w:r w:rsidRPr="00105274">
              <w:rPr>
                <w:rFonts w:ascii="Arial" w:eastAsia="Times New Roman" w:hAnsi="Arial" w:cs="Arial"/>
                <w:sz w:val="20"/>
                <w:szCs w:val="20"/>
                <w:lang w:val="es-ES_tradnl" w:eastAsia="es-CL"/>
              </w:rPr>
              <w:t>SLEP</w:t>
            </w:r>
            <w:proofErr w:type="spellEnd"/>
            <w:r w:rsidRPr="00105274">
              <w:rPr>
                <w:rFonts w:ascii="Arial" w:eastAsia="Times New Roman" w:hAnsi="Arial" w:cs="Arial"/>
                <w:sz w:val="20"/>
                <w:szCs w:val="20"/>
                <w:lang w:val="es-ES_tradnl" w:eastAsia="es-CL"/>
              </w:rPr>
              <w:t xml:space="preserve">, y contiene metas cuantificables en áreas relevantes para la gestión. </w:t>
            </w:r>
          </w:p>
          <w:p w14:paraId="5D9515A9" w14:textId="1E4282EC"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Se entenderá como satisfactorio cuando un director ejecutivo logre al menos un 75% de las metas de su convenio</w:t>
            </w:r>
            <w:r w:rsidR="004A7876">
              <w:rPr>
                <w:rFonts w:ascii="Arial" w:eastAsia="Times New Roman" w:hAnsi="Arial" w:cs="Arial"/>
                <w:sz w:val="20"/>
                <w:szCs w:val="20"/>
                <w:lang w:val="es-ES_tradnl" w:eastAsia="es-CL"/>
              </w:rPr>
              <w:t xml:space="preserve"> en la respectiva </w:t>
            </w:r>
            <w:r w:rsidR="00F4315B">
              <w:rPr>
                <w:rFonts w:ascii="Arial" w:eastAsia="Times New Roman" w:hAnsi="Arial" w:cs="Arial"/>
                <w:sz w:val="20"/>
                <w:szCs w:val="20"/>
                <w:lang w:val="es-ES_tradnl" w:eastAsia="es-CL"/>
              </w:rPr>
              <w:t>medición anual</w:t>
            </w:r>
            <w:r w:rsidRPr="00105274">
              <w:rPr>
                <w:rFonts w:ascii="Arial" w:eastAsia="Times New Roman" w:hAnsi="Arial" w:cs="Arial"/>
                <w:sz w:val="20"/>
                <w:szCs w:val="20"/>
                <w:lang w:val="es-ES_tradnl" w:eastAsia="es-CL"/>
              </w:rPr>
              <w:t>.</w:t>
            </w:r>
          </w:p>
        </w:tc>
        <w:tc>
          <w:tcPr>
            <w:tcW w:w="1080" w:type="dxa"/>
            <w:vMerge w:val="restart"/>
            <w:shd w:val="clear" w:color="auto" w:fill="auto"/>
            <w:vAlign w:val="center"/>
            <w:hideMark/>
          </w:tcPr>
          <w:p w14:paraId="3B6CDF65" w14:textId="5ED7C576" w:rsidR="002B4DCA" w:rsidRPr="00105274" w:rsidRDefault="002B4DCA" w:rsidP="00C76F20">
            <w:pPr>
              <w:spacing w:after="0" w:line="240" w:lineRule="auto"/>
              <w:jc w:val="center"/>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w:t>
            </w:r>
            <w:proofErr w:type="spellStart"/>
            <w:r w:rsidR="00CF7846">
              <w:rPr>
                <w:rFonts w:ascii="Arial" w:eastAsia="Times New Roman" w:hAnsi="Arial" w:cs="Arial"/>
                <w:sz w:val="20"/>
                <w:szCs w:val="20"/>
                <w:lang w:val="es-ES_tradnl" w:eastAsia="es-CL"/>
              </w:rPr>
              <w:t>SLEPs</w:t>
            </w:r>
            <w:proofErr w:type="spellEnd"/>
          </w:p>
        </w:tc>
        <w:tc>
          <w:tcPr>
            <w:tcW w:w="1800" w:type="dxa"/>
            <w:vMerge w:val="restart"/>
            <w:shd w:val="clear" w:color="auto" w:fill="auto"/>
            <w:vAlign w:val="center"/>
            <w:hideMark/>
          </w:tcPr>
          <w:p w14:paraId="5AC2E7DA" w14:textId="78A5546C" w:rsidR="002B4DCA" w:rsidRPr="00105274" w:rsidRDefault="002B4DCA" w:rsidP="00C76F20">
            <w:pPr>
              <w:spacing w:after="0" w:line="240" w:lineRule="auto"/>
              <w:jc w:val="center"/>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w:t>
            </w:r>
            <w:r w:rsidR="00393C9B">
              <w:rPr>
                <w:rFonts w:ascii="Arial" w:eastAsia="Times New Roman" w:hAnsi="Arial" w:cs="Arial"/>
                <w:sz w:val="20"/>
                <w:szCs w:val="20"/>
                <w:lang w:val="es-ES_tradnl" w:eastAsia="es-CL"/>
              </w:rPr>
              <w:t>DEP</w:t>
            </w:r>
          </w:p>
        </w:tc>
        <w:tc>
          <w:tcPr>
            <w:tcW w:w="4860" w:type="dxa"/>
            <w:vMerge w:val="restart"/>
            <w:shd w:val="clear" w:color="auto" w:fill="auto"/>
            <w:vAlign w:val="center"/>
            <w:hideMark/>
          </w:tcPr>
          <w:p w14:paraId="02457EF3" w14:textId="3F4258E6" w:rsidR="002B4DCA" w:rsidRPr="00105274" w:rsidRDefault="002B4DCA" w:rsidP="00C76F20">
            <w:pPr>
              <w:spacing w:after="0" w:line="240" w:lineRule="auto"/>
              <w:rPr>
                <w:rFonts w:ascii="Arial" w:eastAsia="Times New Roman" w:hAnsi="Arial" w:cs="Arial"/>
                <w:color w:val="000000"/>
                <w:sz w:val="20"/>
                <w:szCs w:val="20"/>
                <w:lang w:val="es-ES_tradnl" w:eastAsia="es-CL"/>
              </w:rPr>
            </w:pPr>
            <w:r w:rsidRPr="00105274">
              <w:rPr>
                <w:rFonts w:ascii="Arial" w:eastAsia="Times New Roman" w:hAnsi="Arial" w:cs="Arial"/>
                <w:sz w:val="20"/>
                <w:szCs w:val="20"/>
                <w:lang w:val="es-ES_tradnl" w:eastAsia="es-CL"/>
              </w:rPr>
              <w:t xml:space="preserve">El porcentaje de cumplimiento de las metas se extrae a través de un informe que realiza la DEP. </w:t>
            </w:r>
          </w:p>
        </w:tc>
      </w:tr>
      <w:tr w:rsidR="002B4DCA" w:rsidRPr="00376B9E" w14:paraId="271020F6" w14:textId="77777777" w:rsidTr="004D6A58">
        <w:trPr>
          <w:trHeight w:val="509"/>
        </w:trPr>
        <w:tc>
          <w:tcPr>
            <w:tcW w:w="2700" w:type="dxa"/>
            <w:vMerge/>
            <w:vAlign w:val="center"/>
            <w:hideMark/>
          </w:tcPr>
          <w:p w14:paraId="5E83792F"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4245" w:type="dxa"/>
            <w:vMerge/>
            <w:vAlign w:val="center"/>
            <w:hideMark/>
          </w:tcPr>
          <w:p w14:paraId="74CCE320"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1080" w:type="dxa"/>
            <w:vMerge/>
            <w:vAlign w:val="center"/>
            <w:hideMark/>
          </w:tcPr>
          <w:p w14:paraId="733247C5"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1800" w:type="dxa"/>
            <w:vMerge/>
            <w:vAlign w:val="center"/>
            <w:hideMark/>
          </w:tcPr>
          <w:p w14:paraId="6AF84839"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4860" w:type="dxa"/>
            <w:vMerge/>
            <w:vAlign w:val="center"/>
            <w:hideMark/>
          </w:tcPr>
          <w:p w14:paraId="51F7B60E"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r>
      <w:tr w:rsidR="002B4DCA" w:rsidRPr="00376B9E" w14:paraId="14A1C051" w14:textId="77777777" w:rsidTr="004D6A58">
        <w:trPr>
          <w:trHeight w:val="509"/>
        </w:trPr>
        <w:tc>
          <w:tcPr>
            <w:tcW w:w="2700" w:type="dxa"/>
            <w:vMerge/>
            <w:vAlign w:val="center"/>
            <w:hideMark/>
          </w:tcPr>
          <w:p w14:paraId="30CD4A18"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4245" w:type="dxa"/>
            <w:vMerge/>
            <w:vAlign w:val="center"/>
            <w:hideMark/>
          </w:tcPr>
          <w:p w14:paraId="4EA0548F"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1080" w:type="dxa"/>
            <w:vMerge/>
            <w:vAlign w:val="center"/>
            <w:hideMark/>
          </w:tcPr>
          <w:p w14:paraId="77D8C39E"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1800" w:type="dxa"/>
            <w:vMerge/>
            <w:vAlign w:val="center"/>
            <w:hideMark/>
          </w:tcPr>
          <w:p w14:paraId="51D58427"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4860" w:type="dxa"/>
            <w:vMerge/>
            <w:vAlign w:val="center"/>
            <w:hideMark/>
          </w:tcPr>
          <w:p w14:paraId="073B9A79"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r>
      <w:tr w:rsidR="002B4DCA" w:rsidRPr="00376B9E" w14:paraId="05A1636A" w14:textId="77777777" w:rsidTr="004D6A58">
        <w:trPr>
          <w:trHeight w:val="509"/>
        </w:trPr>
        <w:tc>
          <w:tcPr>
            <w:tcW w:w="2700" w:type="dxa"/>
            <w:vMerge/>
            <w:vAlign w:val="center"/>
            <w:hideMark/>
          </w:tcPr>
          <w:p w14:paraId="1C5BAB49"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4245" w:type="dxa"/>
            <w:vMerge/>
            <w:vAlign w:val="center"/>
            <w:hideMark/>
          </w:tcPr>
          <w:p w14:paraId="03C6CA6B"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1080" w:type="dxa"/>
            <w:vMerge/>
            <w:vAlign w:val="center"/>
            <w:hideMark/>
          </w:tcPr>
          <w:p w14:paraId="7C501580"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1800" w:type="dxa"/>
            <w:vMerge/>
            <w:vAlign w:val="center"/>
            <w:hideMark/>
          </w:tcPr>
          <w:p w14:paraId="2755DD44"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c>
          <w:tcPr>
            <w:tcW w:w="4860" w:type="dxa"/>
            <w:vMerge/>
            <w:vAlign w:val="center"/>
            <w:hideMark/>
          </w:tcPr>
          <w:p w14:paraId="241646A8" w14:textId="77777777" w:rsidR="002B4DCA" w:rsidRPr="00105274" w:rsidRDefault="002B4DCA" w:rsidP="00C76F20">
            <w:pPr>
              <w:spacing w:after="0" w:line="240" w:lineRule="auto"/>
              <w:rPr>
                <w:rFonts w:ascii="Arial" w:eastAsia="Times New Roman" w:hAnsi="Arial" w:cs="Arial"/>
                <w:sz w:val="20"/>
                <w:szCs w:val="20"/>
                <w:lang w:val="es-ES_tradnl" w:eastAsia="es-CL"/>
              </w:rPr>
            </w:pPr>
          </w:p>
        </w:tc>
      </w:tr>
      <w:tr w:rsidR="002B4DCA" w:rsidRPr="00376B9E" w14:paraId="242C9271" w14:textId="77777777" w:rsidTr="004D6A58">
        <w:trPr>
          <w:trHeight w:val="20"/>
        </w:trPr>
        <w:tc>
          <w:tcPr>
            <w:tcW w:w="14685" w:type="dxa"/>
            <w:gridSpan w:val="5"/>
            <w:shd w:val="clear" w:color="auto" w:fill="auto"/>
            <w:vAlign w:val="center"/>
            <w:hideMark/>
          </w:tcPr>
          <w:p w14:paraId="1B6F9ED2" w14:textId="1DF6E5D5"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 xml:space="preserve">Objetivo Específico </w:t>
            </w:r>
            <w:r w:rsidR="00164B55">
              <w:rPr>
                <w:rFonts w:ascii="Arial" w:eastAsia="Times New Roman" w:hAnsi="Arial" w:cs="Arial"/>
                <w:b/>
                <w:bCs/>
                <w:color w:val="000000"/>
                <w:sz w:val="20"/>
                <w:szCs w:val="20"/>
                <w:lang w:val="es-CL" w:eastAsia="es-CL"/>
              </w:rPr>
              <w:t>de Desarrollo</w:t>
            </w:r>
            <w:r w:rsidR="00164B55" w:rsidRPr="00105274">
              <w:rPr>
                <w:rFonts w:ascii="Arial" w:eastAsia="Times New Roman" w:hAnsi="Arial" w:cs="Arial"/>
                <w:b/>
                <w:sz w:val="20"/>
                <w:szCs w:val="20"/>
                <w:lang w:val="es-ES_tradnl" w:eastAsia="es-CL"/>
              </w:rPr>
              <w:t xml:space="preserve"> </w:t>
            </w:r>
            <w:r w:rsidRPr="00105274">
              <w:rPr>
                <w:rFonts w:ascii="Arial" w:eastAsia="Times New Roman" w:hAnsi="Arial" w:cs="Arial"/>
                <w:b/>
                <w:sz w:val="20"/>
                <w:szCs w:val="20"/>
                <w:lang w:val="es-ES_tradnl" w:eastAsia="es-CL"/>
              </w:rPr>
              <w:t>2:</w:t>
            </w:r>
            <w:r w:rsidRPr="00105274">
              <w:rPr>
                <w:rFonts w:ascii="Arial" w:eastAsia="Times New Roman" w:hAnsi="Arial" w:cs="Arial"/>
                <w:sz w:val="20"/>
                <w:szCs w:val="20"/>
                <w:lang w:val="es-ES_tradnl" w:eastAsia="es-CL"/>
              </w:rPr>
              <w:t xml:space="preserve"> </w:t>
            </w:r>
            <w:r w:rsidRPr="00105274">
              <w:rPr>
                <w:rFonts w:ascii="Arial" w:hAnsi="Arial" w:cs="Arial"/>
                <w:lang w:val="es-ES_tradnl"/>
              </w:rPr>
              <w:t>Fortalecer y/o crear capacidades de soporte técnico-pedagógico a nivel central y local</w:t>
            </w:r>
          </w:p>
        </w:tc>
      </w:tr>
      <w:tr w:rsidR="002B4DCA" w:rsidRPr="00376B9E" w14:paraId="1A266CC8" w14:textId="77777777" w:rsidTr="004D6A58">
        <w:trPr>
          <w:trHeight w:val="20"/>
        </w:trPr>
        <w:tc>
          <w:tcPr>
            <w:tcW w:w="14685" w:type="dxa"/>
            <w:gridSpan w:val="5"/>
            <w:shd w:val="clear" w:color="000000" w:fill="D9D9D9"/>
            <w:vAlign w:val="center"/>
            <w:hideMark/>
          </w:tcPr>
          <w:p w14:paraId="5CFABCB6" w14:textId="77777777" w:rsidR="002B4DCA" w:rsidRPr="00105274" w:rsidRDefault="002B4DCA" w:rsidP="00C76F20">
            <w:pPr>
              <w:spacing w:after="0" w:line="240" w:lineRule="auto"/>
              <w:rPr>
                <w:rFonts w:ascii="Arial" w:eastAsia="Times New Roman" w:hAnsi="Arial" w:cs="Arial"/>
                <w:b/>
                <w:sz w:val="20"/>
                <w:szCs w:val="20"/>
                <w:lang w:val="es-ES_tradnl" w:eastAsia="es-CL"/>
              </w:rPr>
            </w:pPr>
            <w:r w:rsidRPr="00105274">
              <w:rPr>
                <w:rFonts w:ascii="Arial" w:eastAsia="Times New Roman" w:hAnsi="Arial" w:cs="Arial"/>
                <w:b/>
                <w:sz w:val="20"/>
                <w:szCs w:val="20"/>
                <w:lang w:val="es-ES_tradnl" w:eastAsia="es-CL"/>
              </w:rPr>
              <w:t xml:space="preserve">Acciones de apoyo técnico pedagógico desde los </w:t>
            </w:r>
            <w:proofErr w:type="spellStart"/>
            <w:r w:rsidRPr="00105274">
              <w:rPr>
                <w:rFonts w:ascii="Arial" w:eastAsia="Times New Roman" w:hAnsi="Arial" w:cs="Arial"/>
                <w:b/>
                <w:sz w:val="20"/>
                <w:szCs w:val="20"/>
                <w:lang w:val="es-ES_tradnl" w:eastAsia="es-CL"/>
              </w:rPr>
              <w:t>SLEPs</w:t>
            </w:r>
            <w:proofErr w:type="spellEnd"/>
          </w:p>
        </w:tc>
      </w:tr>
      <w:tr w:rsidR="002B4DCA" w:rsidRPr="00376B9E" w14:paraId="5F81CF0D" w14:textId="77777777" w:rsidTr="004D6A58">
        <w:trPr>
          <w:trHeight w:val="20"/>
        </w:trPr>
        <w:tc>
          <w:tcPr>
            <w:tcW w:w="2700" w:type="dxa"/>
            <w:shd w:val="clear" w:color="auto" w:fill="auto"/>
            <w:vAlign w:val="center"/>
            <w:hideMark/>
          </w:tcPr>
          <w:p w14:paraId="4F280641" w14:textId="0731B5CC"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color w:val="000000"/>
                <w:sz w:val="20"/>
                <w:szCs w:val="20"/>
                <w:lang w:val="es-ES_tradnl" w:eastAsia="es-CL"/>
              </w:rPr>
              <w:lastRenderedPageBreak/>
              <w:t>2.</w:t>
            </w:r>
            <w:r w:rsidR="00FA745D">
              <w:rPr>
                <w:rFonts w:ascii="Arial" w:eastAsia="Times New Roman" w:hAnsi="Arial" w:cs="Arial"/>
                <w:color w:val="000000"/>
                <w:sz w:val="20"/>
                <w:szCs w:val="20"/>
                <w:lang w:val="es-ES_tradnl" w:eastAsia="es-CL"/>
              </w:rPr>
              <w:t>1</w:t>
            </w:r>
            <w:r w:rsidRPr="00105274">
              <w:rPr>
                <w:rFonts w:ascii="Arial" w:eastAsia="Times New Roman" w:hAnsi="Arial" w:cs="Arial"/>
                <w:color w:val="000000"/>
                <w:sz w:val="20"/>
                <w:szCs w:val="20"/>
                <w:lang w:val="es-ES_tradnl" w:eastAsia="es-CL"/>
              </w:rPr>
              <w:t xml:space="preserve">. Número de </w:t>
            </w:r>
            <w:proofErr w:type="spellStart"/>
            <w:r w:rsidRPr="00105274">
              <w:rPr>
                <w:rFonts w:ascii="Arial" w:eastAsia="Times New Roman" w:hAnsi="Arial" w:cs="Arial"/>
                <w:color w:val="000000"/>
                <w:sz w:val="20"/>
                <w:szCs w:val="20"/>
                <w:lang w:val="es-ES_tradnl" w:eastAsia="es-CL"/>
              </w:rPr>
              <w:t>SLEPs</w:t>
            </w:r>
            <w:proofErr w:type="spellEnd"/>
            <w:r w:rsidRPr="00105274">
              <w:rPr>
                <w:rFonts w:ascii="Arial" w:eastAsia="Times New Roman" w:hAnsi="Arial" w:cs="Arial"/>
                <w:color w:val="000000"/>
                <w:sz w:val="20"/>
                <w:szCs w:val="20"/>
                <w:lang w:val="es-ES_tradnl" w:eastAsia="es-CL"/>
              </w:rPr>
              <w:t xml:space="preserve"> </w:t>
            </w:r>
            <w:r w:rsidR="00FA745D">
              <w:rPr>
                <w:rFonts w:ascii="Arial" w:eastAsia="Times New Roman" w:hAnsi="Arial" w:cs="Arial"/>
                <w:color w:val="000000"/>
                <w:sz w:val="20"/>
                <w:szCs w:val="20"/>
                <w:lang w:val="es-ES_tradnl" w:eastAsia="es-CL"/>
              </w:rPr>
              <w:t xml:space="preserve">que cuentan con </w:t>
            </w:r>
            <w:r w:rsidRPr="00105274">
              <w:rPr>
                <w:rFonts w:ascii="Arial" w:eastAsia="Times New Roman" w:hAnsi="Arial" w:cs="Arial"/>
                <w:color w:val="000000"/>
                <w:sz w:val="20"/>
                <w:szCs w:val="20"/>
                <w:lang w:val="es-ES_tradnl" w:eastAsia="es-CL"/>
              </w:rPr>
              <w:t>plan</w:t>
            </w:r>
            <w:r w:rsidR="004B6524">
              <w:rPr>
                <w:rFonts w:ascii="Arial" w:eastAsia="Times New Roman" w:hAnsi="Arial" w:cs="Arial"/>
                <w:color w:val="000000"/>
                <w:sz w:val="20"/>
                <w:szCs w:val="20"/>
                <w:lang w:val="es-ES_tradnl" w:eastAsia="es-CL"/>
              </w:rPr>
              <w:t xml:space="preserve"> global</w:t>
            </w:r>
            <w:r w:rsidRPr="00105274">
              <w:rPr>
                <w:rFonts w:ascii="Arial" w:eastAsia="Times New Roman" w:hAnsi="Arial" w:cs="Arial"/>
                <w:color w:val="000000"/>
                <w:sz w:val="20"/>
                <w:szCs w:val="20"/>
                <w:lang w:val="es-ES_tradnl" w:eastAsia="es-CL"/>
              </w:rPr>
              <w:t xml:space="preserve"> de apoyo técnico</w:t>
            </w:r>
            <w:r w:rsidRPr="00105274">
              <w:rPr>
                <w:rFonts w:ascii="Arial" w:eastAsia="Times New Roman" w:hAnsi="Arial" w:cs="Arial"/>
                <w:color w:val="000000"/>
                <w:sz w:val="20"/>
                <w:szCs w:val="20"/>
                <w:lang w:val="es-CL" w:eastAsia="es-CL"/>
              </w:rPr>
              <w:t xml:space="preserve"> pedagógico.</w:t>
            </w:r>
          </w:p>
        </w:tc>
        <w:tc>
          <w:tcPr>
            <w:tcW w:w="4245" w:type="dxa"/>
            <w:shd w:val="clear" w:color="auto" w:fill="auto"/>
            <w:vAlign w:val="center"/>
            <w:hideMark/>
          </w:tcPr>
          <w:p w14:paraId="4D84BE09" w14:textId="15C210BF" w:rsidR="002B4DCA" w:rsidRPr="00105274" w:rsidRDefault="002B4DCA" w:rsidP="00C76F20">
            <w:pPr>
              <w:spacing w:after="0" w:line="240" w:lineRule="auto"/>
              <w:rPr>
                <w:rFonts w:ascii="Arial" w:eastAsia="Times New Roman" w:hAnsi="Arial" w:cs="Arial"/>
                <w:color w:val="000000"/>
                <w:sz w:val="20"/>
                <w:szCs w:val="20"/>
                <w:lang w:val="es-ES_tradnl" w:eastAsia="es-CL"/>
              </w:rPr>
            </w:pPr>
            <w:r w:rsidRPr="00105274">
              <w:rPr>
                <w:rFonts w:ascii="Arial" w:eastAsia="Times New Roman" w:hAnsi="Arial" w:cs="Arial"/>
                <w:color w:val="000000"/>
                <w:sz w:val="20"/>
                <w:szCs w:val="20"/>
                <w:lang w:val="es-ES_tradnl" w:eastAsia="es-CL"/>
              </w:rPr>
              <w:t xml:space="preserve">La DEP impulsa una estrategia de apoyo técnico pedagógico para que los Servicios Locales entreguen apoyo a los centros educativos de su dependencia. El modelo consta de 5 etapas: </w:t>
            </w:r>
            <w:r w:rsidR="007407A3">
              <w:rPr>
                <w:rFonts w:ascii="Arial" w:eastAsia="Times New Roman" w:hAnsi="Arial" w:cs="Arial"/>
                <w:color w:val="000000"/>
                <w:sz w:val="20"/>
                <w:szCs w:val="20"/>
                <w:lang w:val="es-ES_tradnl" w:eastAsia="es-CL"/>
              </w:rPr>
              <w:t>(</w:t>
            </w:r>
            <w:r w:rsidRPr="00105274">
              <w:rPr>
                <w:rFonts w:ascii="Arial" w:eastAsia="Times New Roman" w:hAnsi="Arial" w:cs="Arial"/>
                <w:color w:val="000000"/>
                <w:sz w:val="20"/>
                <w:szCs w:val="20"/>
                <w:lang w:val="es-ES_tradnl" w:eastAsia="es-CL"/>
              </w:rPr>
              <w:t xml:space="preserve">i) involucramiento; </w:t>
            </w:r>
            <w:r w:rsidR="007407A3">
              <w:rPr>
                <w:rFonts w:ascii="Arial" w:eastAsia="Times New Roman" w:hAnsi="Arial" w:cs="Arial"/>
                <w:color w:val="000000"/>
                <w:sz w:val="20"/>
                <w:szCs w:val="20"/>
                <w:lang w:val="es-ES_tradnl" w:eastAsia="es-CL"/>
              </w:rPr>
              <w:t>(</w:t>
            </w:r>
            <w:proofErr w:type="spellStart"/>
            <w:r w:rsidRPr="00105274">
              <w:rPr>
                <w:rFonts w:ascii="Arial" w:eastAsia="Times New Roman" w:hAnsi="Arial" w:cs="Arial"/>
                <w:color w:val="000000"/>
                <w:sz w:val="20"/>
                <w:szCs w:val="20"/>
                <w:lang w:val="es-ES_tradnl" w:eastAsia="es-CL"/>
              </w:rPr>
              <w:t>ii</w:t>
            </w:r>
            <w:proofErr w:type="spellEnd"/>
            <w:r w:rsidRPr="00105274">
              <w:rPr>
                <w:rFonts w:ascii="Arial" w:eastAsia="Times New Roman" w:hAnsi="Arial" w:cs="Arial"/>
                <w:color w:val="000000"/>
                <w:sz w:val="20"/>
                <w:szCs w:val="20"/>
                <w:lang w:val="es-ES_tradnl" w:eastAsia="es-CL"/>
              </w:rPr>
              <w:t xml:space="preserve">) diagnóstico; </w:t>
            </w:r>
            <w:r w:rsidR="007407A3">
              <w:rPr>
                <w:rFonts w:ascii="Arial" w:eastAsia="Times New Roman" w:hAnsi="Arial" w:cs="Arial"/>
                <w:color w:val="000000"/>
                <w:sz w:val="20"/>
                <w:szCs w:val="20"/>
                <w:lang w:val="es-ES_tradnl" w:eastAsia="es-CL"/>
              </w:rPr>
              <w:t>(</w:t>
            </w:r>
            <w:proofErr w:type="spellStart"/>
            <w:r w:rsidRPr="00105274">
              <w:rPr>
                <w:rFonts w:ascii="Arial" w:eastAsia="Times New Roman" w:hAnsi="Arial" w:cs="Arial"/>
                <w:color w:val="000000"/>
                <w:sz w:val="20"/>
                <w:szCs w:val="20"/>
                <w:lang w:val="es-ES_tradnl" w:eastAsia="es-CL"/>
              </w:rPr>
              <w:t>iii</w:t>
            </w:r>
            <w:proofErr w:type="spellEnd"/>
            <w:r w:rsidRPr="00105274">
              <w:rPr>
                <w:rFonts w:ascii="Arial" w:eastAsia="Times New Roman" w:hAnsi="Arial" w:cs="Arial"/>
                <w:color w:val="000000"/>
                <w:sz w:val="20"/>
                <w:szCs w:val="20"/>
                <w:lang w:val="es-ES_tradnl" w:eastAsia="es-CL"/>
              </w:rPr>
              <w:t xml:space="preserve">) planificación; </w:t>
            </w:r>
            <w:r w:rsidR="007407A3">
              <w:rPr>
                <w:rFonts w:ascii="Arial" w:eastAsia="Times New Roman" w:hAnsi="Arial" w:cs="Arial"/>
                <w:color w:val="000000"/>
                <w:sz w:val="20"/>
                <w:szCs w:val="20"/>
                <w:lang w:val="es-ES_tradnl" w:eastAsia="es-CL"/>
              </w:rPr>
              <w:t>(</w:t>
            </w:r>
            <w:proofErr w:type="spellStart"/>
            <w:r w:rsidRPr="00105274">
              <w:rPr>
                <w:rFonts w:ascii="Arial" w:eastAsia="Times New Roman" w:hAnsi="Arial" w:cs="Arial"/>
                <w:color w:val="000000"/>
                <w:sz w:val="20"/>
                <w:szCs w:val="20"/>
                <w:lang w:val="es-ES_tradnl" w:eastAsia="es-CL"/>
              </w:rPr>
              <w:t>iv</w:t>
            </w:r>
            <w:proofErr w:type="spellEnd"/>
            <w:r w:rsidRPr="00105274">
              <w:rPr>
                <w:rFonts w:ascii="Arial" w:eastAsia="Times New Roman" w:hAnsi="Arial" w:cs="Arial"/>
                <w:color w:val="000000"/>
                <w:sz w:val="20"/>
                <w:szCs w:val="20"/>
                <w:lang w:val="es-ES_tradnl" w:eastAsia="es-CL"/>
              </w:rPr>
              <w:t xml:space="preserve">) ejecución, y </w:t>
            </w:r>
            <w:r w:rsidR="007407A3">
              <w:rPr>
                <w:rFonts w:ascii="Arial" w:eastAsia="Times New Roman" w:hAnsi="Arial" w:cs="Arial"/>
                <w:color w:val="000000"/>
                <w:sz w:val="20"/>
                <w:szCs w:val="20"/>
                <w:lang w:val="es-ES_tradnl" w:eastAsia="es-CL"/>
              </w:rPr>
              <w:t>(</w:t>
            </w:r>
            <w:r w:rsidRPr="00105274">
              <w:rPr>
                <w:rFonts w:ascii="Arial" w:eastAsia="Times New Roman" w:hAnsi="Arial" w:cs="Arial"/>
                <w:color w:val="000000"/>
                <w:sz w:val="20"/>
                <w:szCs w:val="20"/>
                <w:lang w:val="es-ES_tradnl" w:eastAsia="es-CL"/>
              </w:rPr>
              <w:t xml:space="preserve">v) evaluación. </w:t>
            </w:r>
          </w:p>
          <w:p w14:paraId="787B319D" w14:textId="77777777" w:rsidR="002B4DCA" w:rsidRPr="00105274" w:rsidRDefault="002B4DCA"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xml:space="preserve">El plan, sus acciones y metas son trabajadas por cada </w:t>
            </w:r>
            <w:proofErr w:type="spellStart"/>
            <w:r w:rsidRPr="00105274">
              <w:rPr>
                <w:rFonts w:ascii="Arial" w:eastAsia="Times New Roman" w:hAnsi="Arial" w:cs="Arial"/>
                <w:sz w:val="20"/>
                <w:szCs w:val="20"/>
                <w:lang w:val="es-ES_tradnl" w:eastAsia="es-CL"/>
              </w:rPr>
              <w:t>SLEP</w:t>
            </w:r>
            <w:proofErr w:type="spellEnd"/>
            <w:r w:rsidRPr="00105274">
              <w:rPr>
                <w:rFonts w:ascii="Arial" w:eastAsia="Times New Roman" w:hAnsi="Arial" w:cs="Arial"/>
                <w:sz w:val="20"/>
                <w:szCs w:val="20"/>
                <w:lang w:val="es-ES_tradnl" w:eastAsia="es-CL"/>
              </w:rPr>
              <w:t xml:space="preserve"> con los establecimientos educacionales en coordinación con la DEP.   </w:t>
            </w:r>
          </w:p>
        </w:tc>
        <w:tc>
          <w:tcPr>
            <w:tcW w:w="1080" w:type="dxa"/>
            <w:shd w:val="clear" w:color="auto" w:fill="auto"/>
            <w:vAlign w:val="center"/>
            <w:hideMark/>
          </w:tcPr>
          <w:p w14:paraId="292B45C7" w14:textId="510933A5" w:rsidR="002B4DCA" w:rsidRPr="00105274" w:rsidRDefault="002B4DCA" w:rsidP="00C76F20">
            <w:pPr>
              <w:spacing w:after="0" w:line="240" w:lineRule="auto"/>
              <w:jc w:val="center"/>
              <w:rPr>
                <w:rFonts w:ascii="Arial" w:eastAsia="Times New Roman" w:hAnsi="Arial" w:cs="Arial"/>
                <w:sz w:val="20"/>
                <w:szCs w:val="20"/>
                <w:lang w:val="es-ES_tradnl" w:eastAsia="es-CL"/>
              </w:rPr>
            </w:pPr>
            <w:r w:rsidRPr="00105274">
              <w:rPr>
                <w:rFonts w:ascii="Arial" w:eastAsia="Times New Roman" w:hAnsi="Arial" w:cs="Arial"/>
                <w:b/>
                <w:sz w:val="20"/>
                <w:szCs w:val="20"/>
                <w:lang w:val="es-ES_tradnl" w:eastAsia="es-CL"/>
              </w:rPr>
              <w:t> </w:t>
            </w:r>
            <w:proofErr w:type="spellStart"/>
            <w:r w:rsidR="00CF7846">
              <w:rPr>
                <w:rFonts w:ascii="Arial" w:eastAsia="Times New Roman" w:hAnsi="Arial" w:cs="Arial"/>
                <w:sz w:val="20"/>
                <w:szCs w:val="20"/>
                <w:lang w:val="es-ES_tradnl" w:eastAsia="es-CL"/>
              </w:rPr>
              <w:t>SLEPs</w:t>
            </w:r>
            <w:proofErr w:type="spellEnd"/>
          </w:p>
        </w:tc>
        <w:tc>
          <w:tcPr>
            <w:tcW w:w="1800" w:type="dxa"/>
            <w:shd w:val="clear" w:color="auto" w:fill="auto"/>
            <w:vAlign w:val="center"/>
            <w:hideMark/>
          </w:tcPr>
          <w:p w14:paraId="7C20B2F0" w14:textId="77777777" w:rsidR="002B4DCA" w:rsidRPr="00105274" w:rsidRDefault="002B4DCA" w:rsidP="00C76F20">
            <w:pPr>
              <w:spacing w:after="0" w:line="240" w:lineRule="auto"/>
              <w:jc w:val="center"/>
              <w:rPr>
                <w:rFonts w:ascii="Arial" w:eastAsia="Times New Roman" w:hAnsi="Arial" w:cs="Arial"/>
                <w:sz w:val="20"/>
                <w:szCs w:val="20"/>
                <w:lang w:val="es-ES_tradnl" w:eastAsia="es-CL"/>
              </w:rPr>
            </w:pPr>
            <w:r w:rsidRPr="00105274">
              <w:rPr>
                <w:rFonts w:ascii="Arial" w:eastAsia="Times New Roman" w:hAnsi="Arial" w:cs="Arial"/>
                <w:sz w:val="20"/>
                <w:szCs w:val="20"/>
                <w:lang w:val="es-ES_tradnl" w:eastAsia="es-CL"/>
              </w:rPr>
              <w:t> DEP</w:t>
            </w:r>
          </w:p>
        </w:tc>
        <w:tc>
          <w:tcPr>
            <w:tcW w:w="4860" w:type="dxa"/>
            <w:shd w:val="clear" w:color="auto" w:fill="auto"/>
            <w:vAlign w:val="center"/>
            <w:hideMark/>
          </w:tcPr>
          <w:p w14:paraId="1114A16F" w14:textId="4FDA33EE" w:rsidR="002B4DCA" w:rsidRPr="006B7198" w:rsidRDefault="00EB72C3" w:rsidP="00C76F20">
            <w:pPr>
              <w:spacing w:after="0" w:line="240" w:lineRule="auto"/>
              <w:rPr>
                <w:rFonts w:ascii="Arial" w:eastAsia="Times New Roman" w:hAnsi="Arial" w:cs="Arial"/>
                <w:sz w:val="20"/>
                <w:szCs w:val="20"/>
                <w:lang w:val="es-ES_tradnl" w:eastAsia="es-CL"/>
              </w:rPr>
            </w:pPr>
            <w:r w:rsidRPr="00105274">
              <w:rPr>
                <w:rFonts w:ascii="Arial" w:eastAsia="Times New Roman" w:hAnsi="Arial" w:cs="Arial"/>
                <w:color w:val="000000"/>
                <w:sz w:val="20"/>
                <w:szCs w:val="20"/>
                <w:lang w:val="es-CL" w:eastAsia="es-CL"/>
              </w:rPr>
              <w:t xml:space="preserve">Conteo de </w:t>
            </w:r>
            <w:proofErr w:type="spellStart"/>
            <w:r w:rsidR="0090060E">
              <w:rPr>
                <w:rFonts w:ascii="Arial" w:eastAsia="Times New Roman" w:hAnsi="Arial" w:cs="Arial"/>
                <w:color w:val="000000"/>
                <w:sz w:val="20"/>
                <w:szCs w:val="20"/>
                <w:lang w:val="es-CL" w:eastAsia="es-CL"/>
              </w:rPr>
              <w:t>SLEPs</w:t>
            </w:r>
            <w:proofErr w:type="spellEnd"/>
            <w:r w:rsidR="0090060E">
              <w:rPr>
                <w:rFonts w:ascii="Arial" w:eastAsia="Times New Roman" w:hAnsi="Arial" w:cs="Arial"/>
                <w:color w:val="000000"/>
                <w:sz w:val="20"/>
                <w:szCs w:val="20"/>
                <w:lang w:val="es-CL" w:eastAsia="es-CL"/>
              </w:rPr>
              <w:t xml:space="preserve"> con </w:t>
            </w:r>
            <w:r w:rsidRPr="00105274">
              <w:rPr>
                <w:rFonts w:ascii="Arial" w:eastAsia="Times New Roman" w:hAnsi="Arial" w:cs="Arial"/>
                <w:color w:val="000000"/>
                <w:sz w:val="20"/>
                <w:szCs w:val="20"/>
                <w:lang w:val="es-CL" w:eastAsia="es-CL"/>
              </w:rPr>
              <w:t>plan</w:t>
            </w:r>
            <w:r w:rsidR="00EE4BF1">
              <w:rPr>
                <w:rFonts w:ascii="Arial" w:eastAsia="Times New Roman" w:hAnsi="Arial" w:cs="Arial"/>
                <w:color w:val="000000"/>
                <w:sz w:val="20"/>
                <w:szCs w:val="20"/>
                <w:lang w:val="es-CL" w:eastAsia="es-CL"/>
              </w:rPr>
              <w:t xml:space="preserve"> </w:t>
            </w:r>
            <w:proofErr w:type="gramStart"/>
            <w:r w:rsidR="00EE4BF1">
              <w:rPr>
                <w:rFonts w:ascii="Arial" w:eastAsia="Times New Roman" w:hAnsi="Arial" w:cs="Arial"/>
                <w:color w:val="000000"/>
                <w:sz w:val="20"/>
                <w:szCs w:val="20"/>
                <w:lang w:val="es-CL" w:eastAsia="es-CL"/>
              </w:rPr>
              <w:t xml:space="preserve">global </w:t>
            </w:r>
            <w:r w:rsidRPr="00105274">
              <w:rPr>
                <w:rFonts w:ascii="Arial" w:eastAsia="Times New Roman" w:hAnsi="Arial" w:cs="Arial"/>
                <w:color w:val="000000"/>
                <w:sz w:val="20"/>
                <w:szCs w:val="20"/>
                <w:lang w:val="es-CL" w:eastAsia="es-CL"/>
              </w:rPr>
              <w:t xml:space="preserve"> de</w:t>
            </w:r>
            <w:proofErr w:type="gramEnd"/>
            <w:r w:rsidRPr="00105274">
              <w:rPr>
                <w:rFonts w:ascii="Arial" w:eastAsia="Times New Roman" w:hAnsi="Arial" w:cs="Arial"/>
                <w:color w:val="000000"/>
                <w:sz w:val="20"/>
                <w:szCs w:val="20"/>
                <w:lang w:val="es-CL" w:eastAsia="es-CL"/>
              </w:rPr>
              <w:t xml:space="preserve"> apoyo técnico pedagógico.</w:t>
            </w:r>
            <w:r w:rsidRPr="00105274" w:rsidDel="00EB72C3">
              <w:rPr>
                <w:rFonts w:ascii="Arial" w:eastAsia="Times New Roman" w:hAnsi="Arial" w:cs="Arial"/>
                <w:color w:val="000000"/>
                <w:sz w:val="20"/>
                <w:szCs w:val="20"/>
                <w:lang w:val="es-ES_tradnl" w:eastAsia="es-CL"/>
              </w:rPr>
              <w:t xml:space="preserve"> </w:t>
            </w:r>
          </w:p>
        </w:tc>
      </w:tr>
    </w:tbl>
    <w:p w14:paraId="5C661EA8" w14:textId="77777777" w:rsidR="00845D5A" w:rsidRDefault="00845D5A" w:rsidP="00C65317">
      <w:pPr>
        <w:rPr>
          <w:rFonts w:ascii="Arial" w:hAnsi="Arial" w:cs="Arial"/>
          <w:b/>
          <w:bCs/>
          <w:lang w:val="es-ES_tradnl"/>
        </w:rPr>
      </w:pPr>
    </w:p>
    <w:p w14:paraId="391C004E" w14:textId="77777777" w:rsidR="00394313" w:rsidRDefault="00394313" w:rsidP="00C65317">
      <w:pPr>
        <w:rPr>
          <w:rFonts w:ascii="Arial" w:hAnsi="Arial" w:cs="Arial"/>
          <w:lang w:val="es-ES_tradnl"/>
        </w:rPr>
        <w:sectPr w:rsidR="00394313" w:rsidSect="009867CA">
          <w:pgSz w:w="15840" w:h="12240" w:orient="landscape"/>
          <w:pgMar w:top="1440" w:right="1440" w:bottom="1440" w:left="1440" w:header="720" w:footer="720" w:gutter="0"/>
          <w:cols w:space="720"/>
          <w:docGrid w:linePitch="360"/>
        </w:sectPr>
      </w:pPr>
    </w:p>
    <w:p w14:paraId="2BE761F9" w14:textId="6F01F4DF" w:rsidR="000D5A02" w:rsidRPr="00152CDF" w:rsidRDefault="000D5A02" w:rsidP="00044EEE">
      <w:pPr>
        <w:pStyle w:val="FirstHeading"/>
        <w:numPr>
          <w:ilvl w:val="0"/>
          <w:numId w:val="9"/>
        </w:numPr>
        <w:rPr>
          <w:rFonts w:ascii="Arial" w:hAnsi="Arial" w:cs="Arial"/>
          <w:sz w:val="22"/>
          <w:lang w:val="es-ES_tradnl"/>
        </w:rPr>
      </w:pPr>
      <w:r w:rsidRPr="00152CDF">
        <w:rPr>
          <w:rFonts w:ascii="Arial" w:hAnsi="Arial" w:cs="Arial"/>
          <w:sz w:val="22"/>
          <w:lang w:val="es-ES_tradnl"/>
        </w:rPr>
        <w:lastRenderedPageBreak/>
        <w:t>Presentación de informes</w:t>
      </w:r>
      <w:bookmarkEnd w:id="7"/>
    </w:p>
    <w:p w14:paraId="377445D9" w14:textId="7281F093" w:rsidR="000D5A02" w:rsidRPr="00152CDF" w:rsidRDefault="00930F48" w:rsidP="00F947D6">
      <w:pPr>
        <w:pStyle w:val="Heading2"/>
        <w:numPr>
          <w:ilvl w:val="1"/>
          <w:numId w:val="28"/>
        </w:numPr>
        <w:rPr>
          <w:lang w:val="es-ES_tradnl"/>
        </w:rPr>
      </w:pPr>
      <w:r w:rsidRPr="00152CDF">
        <w:rPr>
          <w:lang w:val="es-ES_tradnl"/>
        </w:rPr>
        <w:t xml:space="preserve">La </w:t>
      </w:r>
      <w:r w:rsidR="00C27B1F" w:rsidRPr="00152CDF">
        <w:rPr>
          <w:lang w:val="es-ES_tradnl"/>
        </w:rPr>
        <w:t>DEP presentará informes de progreso con datos sobre los avances en la ejecución, incluyendo los indicadores de productos y resultados. Estos informes serán de periodicidad semestral</w:t>
      </w:r>
      <w:r w:rsidR="00D26CCC" w:rsidRPr="00152CDF">
        <w:rPr>
          <w:lang w:val="es-ES_tradnl"/>
        </w:rPr>
        <w:t xml:space="preserve"> a cargo </w:t>
      </w:r>
      <w:r w:rsidR="00D0203F" w:rsidRPr="00152CDF">
        <w:rPr>
          <w:lang w:val="es-ES_tradnl"/>
        </w:rPr>
        <w:t xml:space="preserve">de la </w:t>
      </w:r>
      <w:proofErr w:type="spellStart"/>
      <w:r w:rsidR="00D0203F" w:rsidRPr="00152CDF">
        <w:rPr>
          <w:lang w:val="es-ES_tradnl"/>
        </w:rPr>
        <w:t>UCP</w:t>
      </w:r>
      <w:proofErr w:type="spellEnd"/>
      <w:r w:rsidR="00345700">
        <w:rPr>
          <w:lang w:val="es-ES_tradnl"/>
        </w:rPr>
        <w:t>.</w:t>
      </w:r>
    </w:p>
    <w:p w14:paraId="53B1515F" w14:textId="414060A3" w:rsidR="00C27B1F" w:rsidRPr="00152CDF" w:rsidRDefault="00C27B1F" w:rsidP="00C27B1F">
      <w:pPr>
        <w:pStyle w:val="FirstHeading"/>
        <w:numPr>
          <w:ilvl w:val="0"/>
          <w:numId w:val="9"/>
        </w:numPr>
        <w:rPr>
          <w:rFonts w:ascii="Arial" w:hAnsi="Arial" w:cs="Arial"/>
          <w:sz w:val="22"/>
          <w:lang w:val="es-ES_tradnl"/>
        </w:rPr>
      </w:pPr>
      <w:bookmarkStart w:id="8" w:name="_Toc34300355"/>
      <w:r w:rsidRPr="00152CDF">
        <w:rPr>
          <w:rFonts w:ascii="Arial" w:hAnsi="Arial" w:cs="Arial"/>
          <w:sz w:val="22"/>
          <w:lang w:val="es-ES_tradnl"/>
        </w:rPr>
        <w:t>Coordinación, Plan de Trabajo y presupuesto del monitoreo</w:t>
      </w:r>
      <w:bookmarkEnd w:id="8"/>
    </w:p>
    <w:p w14:paraId="5F647A3A" w14:textId="3E81A990" w:rsidR="00C27B1F" w:rsidRPr="00152CDF" w:rsidRDefault="00C27B1F" w:rsidP="00F947D6">
      <w:pPr>
        <w:pStyle w:val="Heading2"/>
        <w:numPr>
          <w:ilvl w:val="1"/>
          <w:numId w:val="28"/>
        </w:numPr>
        <w:spacing w:before="120"/>
        <w:rPr>
          <w:lang w:val="es-ES_tradnl"/>
        </w:rPr>
      </w:pPr>
      <w:r w:rsidRPr="00152CDF">
        <w:rPr>
          <w:lang w:val="es-ES_tradnl"/>
        </w:rPr>
        <w:t xml:space="preserve">La </w:t>
      </w:r>
      <w:proofErr w:type="spellStart"/>
      <w:r w:rsidR="00D0203F" w:rsidRPr="00152CDF">
        <w:rPr>
          <w:lang w:val="es-ES_tradnl"/>
        </w:rPr>
        <w:t>UC</w:t>
      </w:r>
      <w:r w:rsidR="00F87EEC">
        <w:rPr>
          <w:lang w:val="es-ES_tradnl"/>
        </w:rPr>
        <w:t>P</w:t>
      </w:r>
      <w:proofErr w:type="spellEnd"/>
      <w:r w:rsidRPr="00152CDF">
        <w:rPr>
          <w:lang w:val="es-ES_tradnl"/>
        </w:rPr>
        <w:t xml:space="preserve"> será la responsable del </w:t>
      </w:r>
      <w:r w:rsidR="00695E11">
        <w:rPr>
          <w:lang w:val="es-ES_tradnl"/>
        </w:rPr>
        <w:t>m</w:t>
      </w:r>
      <w:r w:rsidRPr="00152CDF">
        <w:rPr>
          <w:lang w:val="es-ES_tradnl"/>
        </w:rPr>
        <w:t xml:space="preserve">onitoreo. Será su responsabilidad realizar y presentar los informes semestrales descritos líneas arriba, el continuo monitoreo de los indicadores de productos y resultados dentro de la Matriz de Resultados y suministrar toda la información necesaria para la verificación externa de las metas previstas para cada tramo en los indicadores para desembolso. </w:t>
      </w:r>
    </w:p>
    <w:p w14:paraId="51848D0E" w14:textId="40C79755" w:rsidR="00C27B1F" w:rsidRPr="00152CDF" w:rsidRDefault="00C27B1F" w:rsidP="00F947D6">
      <w:pPr>
        <w:pStyle w:val="Heading2"/>
        <w:numPr>
          <w:ilvl w:val="1"/>
          <w:numId w:val="28"/>
        </w:numPr>
        <w:spacing w:before="120"/>
        <w:rPr>
          <w:lang w:val="es-ES_tradnl"/>
        </w:rPr>
      </w:pPr>
      <w:r w:rsidRPr="00152CDF">
        <w:rPr>
          <w:lang w:val="es-ES_tradnl"/>
        </w:rPr>
        <w:t xml:space="preserve">El BID realizará, además del apoyo regular al proyecto, misiones de administración, con periodicidad </w:t>
      </w:r>
      <w:r w:rsidR="00F43847">
        <w:rPr>
          <w:lang w:val="es-ES_tradnl"/>
        </w:rPr>
        <w:t>bi</w:t>
      </w:r>
      <w:r w:rsidRPr="00152CDF">
        <w:rPr>
          <w:lang w:val="es-ES_tradnl"/>
        </w:rPr>
        <w:t>anual, para hacer seguimiento al avance del proyecto en términos de productos y resultados. El seguimiento estará compuesto de actividades de periodicidad semestral (actualización periódica de la base de datos) y otras de periodicidad anual (informes de productos y resultados, misiones de administración del BID). Las actividades de monitoreo se harán con recursos tanto del proyecto como de administración del BID según detalle del Cuadro II-4</w:t>
      </w:r>
      <w:r w:rsidR="00345700">
        <w:rPr>
          <w:lang w:val="es-ES_tradnl"/>
        </w:rPr>
        <w:t>.</w:t>
      </w:r>
    </w:p>
    <w:p w14:paraId="66D23097" w14:textId="3025AAEE" w:rsidR="00C27B1F" w:rsidRPr="00152CDF" w:rsidRDefault="00C27B1F" w:rsidP="00F947D6">
      <w:pPr>
        <w:keepNext/>
        <w:spacing w:before="120" w:after="0" w:line="240" w:lineRule="auto"/>
        <w:jc w:val="both"/>
        <w:rPr>
          <w:rStyle w:val="hps"/>
          <w:rFonts w:ascii="Arial" w:hAnsi="Arial" w:cs="Arial"/>
          <w:color w:val="222222"/>
          <w:lang w:val="es-ES_tradnl"/>
        </w:rPr>
      </w:pPr>
      <w:r w:rsidRPr="00152CDF">
        <w:rPr>
          <w:rStyle w:val="hps"/>
          <w:rFonts w:ascii="Arial" w:hAnsi="Arial" w:cs="Arial"/>
          <w:color w:val="222222"/>
          <w:lang w:val="es-ES_tradnl"/>
        </w:rPr>
        <w:t xml:space="preserve">El Cuadro </w:t>
      </w:r>
      <w:r w:rsidR="007407A3">
        <w:rPr>
          <w:rFonts w:ascii="Arial" w:hAnsi="Arial" w:cs="Arial"/>
          <w:lang w:val="es-ES_tradnl"/>
        </w:rPr>
        <w:t>2.</w:t>
      </w:r>
      <w:r w:rsidRPr="00152CDF">
        <w:rPr>
          <w:rFonts w:ascii="Arial" w:hAnsi="Arial" w:cs="Arial"/>
          <w:lang w:val="es-ES_tradnl"/>
        </w:rPr>
        <w:t>4</w:t>
      </w:r>
      <w:r w:rsidRPr="00152CDF">
        <w:rPr>
          <w:rStyle w:val="hps"/>
          <w:rFonts w:ascii="Arial" w:hAnsi="Arial" w:cs="Arial"/>
          <w:color w:val="222222"/>
          <w:lang w:val="es-ES_tradnl"/>
        </w:rPr>
        <w:t xml:space="preserve"> presenta un calendario indicativo de las actividades de </w:t>
      </w:r>
      <w:r w:rsidR="008B34CE">
        <w:rPr>
          <w:rStyle w:val="hps"/>
          <w:rFonts w:ascii="Arial" w:hAnsi="Arial" w:cs="Arial"/>
          <w:color w:val="222222"/>
          <w:lang w:val="es-ES_tradnl"/>
        </w:rPr>
        <w:t xml:space="preserve">monitoreo </w:t>
      </w:r>
      <w:r w:rsidRPr="00152CDF">
        <w:rPr>
          <w:rStyle w:val="hps"/>
          <w:rFonts w:ascii="Arial" w:hAnsi="Arial" w:cs="Arial"/>
          <w:color w:val="222222"/>
          <w:lang w:val="es-ES_tradnl"/>
        </w:rPr>
        <w:t>evaluación</w:t>
      </w:r>
      <w:r w:rsidR="00EE32AE">
        <w:rPr>
          <w:rStyle w:val="hps"/>
          <w:rFonts w:ascii="Arial" w:hAnsi="Arial" w:cs="Arial"/>
          <w:color w:val="222222"/>
          <w:lang w:val="es-ES_tradnl"/>
        </w:rPr>
        <w:t xml:space="preserve"> (ver punto 1.4 del </w:t>
      </w:r>
      <w:proofErr w:type="spellStart"/>
      <w:r w:rsidR="00EE32AE">
        <w:rPr>
          <w:rStyle w:val="hps"/>
          <w:rFonts w:ascii="Arial" w:hAnsi="Arial" w:cs="Arial"/>
          <w:color w:val="222222"/>
          <w:lang w:val="es-ES_tradnl"/>
        </w:rPr>
        <w:t>POD</w:t>
      </w:r>
      <w:proofErr w:type="spellEnd"/>
      <w:r w:rsidR="00EE32AE">
        <w:rPr>
          <w:rStyle w:val="hps"/>
          <w:rFonts w:ascii="Arial" w:hAnsi="Arial" w:cs="Arial"/>
          <w:color w:val="222222"/>
          <w:lang w:val="es-ES_tradnl"/>
        </w:rPr>
        <w:t>)</w:t>
      </w:r>
    </w:p>
    <w:p w14:paraId="141A767C" w14:textId="77777777" w:rsidR="007407A3" w:rsidRDefault="007407A3" w:rsidP="00C27B1F">
      <w:pPr>
        <w:keepNext/>
        <w:spacing w:after="0" w:line="240" w:lineRule="auto"/>
        <w:jc w:val="center"/>
        <w:rPr>
          <w:rFonts w:ascii="Arial" w:hAnsi="Arial" w:cs="Arial"/>
          <w:b/>
          <w:sz w:val="18"/>
          <w:szCs w:val="18"/>
          <w:lang w:val="es-CL"/>
        </w:rPr>
      </w:pPr>
    </w:p>
    <w:p w14:paraId="71E5D8D6" w14:textId="77777777" w:rsidR="0065512D" w:rsidRDefault="0065512D" w:rsidP="00C27B1F">
      <w:pPr>
        <w:keepNext/>
        <w:spacing w:after="0" w:line="240" w:lineRule="auto"/>
        <w:jc w:val="center"/>
        <w:rPr>
          <w:rFonts w:ascii="Arial" w:hAnsi="Arial" w:cs="Arial"/>
          <w:b/>
          <w:sz w:val="18"/>
          <w:szCs w:val="18"/>
          <w:lang w:val="es-CL"/>
        </w:rPr>
      </w:pPr>
    </w:p>
    <w:p w14:paraId="289EF509" w14:textId="1E45AD99" w:rsidR="00C27B1F" w:rsidRPr="00F947D6" w:rsidRDefault="00C27B1F" w:rsidP="00F947D6">
      <w:pPr>
        <w:jc w:val="center"/>
        <w:rPr>
          <w:bCs/>
          <w:smallCaps/>
          <w:lang w:val="es-ES_tradnl"/>
        </w:rPr>
      </w:pPr>
      <w:r w:rsidRPr="00F947D6">
        <w:rPr>
          <w:rFonts w:ascii="Arial" w:hAnsi="Arial" w:cs="Arial"/>
          <w:b/>
          <w:bCs/>
          <w:smallCaps/>
          <w:lang w:val="es-ES_tradnl"/>
        </w:rPr>
        <w:t xml:space="preserve">Cuadro </w:t>
      </w:r>
      <w:r w:rsidR="007407A3" w:rsidRPr="00F947D6">
        <w:rPr>
          <w:rFonts w:ascii="Arial" w:hAnsi="Arial" w:cs="Arial"/>
          <w:b/>
          <w:bCs/>
          <w:smallCaps/>
          <w:lang w:val="es-ES_tradnl"/>
        </w:rPr>
        <w:t>2.</w:t>
      </w:r>
      <w:r w:rsidRPr="00F947D6">
        <w:rPr>
          <w:rFonts w:ascii="Arial" w:hAnsi="Arial" w:cs="Arial"/>
          <w:b/>
          <w:bCs/>
          <w:smallCaps/>
          <w:lang w:val="es-ES_tradnl"/>
        </w:rPr>
        <w:t>4: Cronograma de Actividades</w:t>
      </w:r>
    </w:p>
    <w:tbl>
      <w:tblPr>
        <w:tblW w:w="5150" w:type="pct"/>
        <w:tblCellMar>
          <w:left w:w="70" w:type="dxa"/>
          <w:right w:w="70" w:type="dxa"/>
        </w:tblCellMar>
        <w:tblLook w:val="04A0" w:firstRow="1" w:lastRow="0" w:firstColumn="1" w:lastColumn="0" w:noHBand="0" w:noVBand="1"/>
      </w:tblPr>
      <w:tblGrid>
        <w:gridCol w:w="1430"/>
        <w:gridCol w:w="451"/>
        <w:gridCol w:w="457"/>
        <w:gridCol w:w="459"/>
        <w:gridCol w:w="459"/>
        <w:gridCol w:w="455"/>
        <w:gridCol w:w="457"/>
        <w:gridCol w:w="459"/>
        <w:gridCol w:w="459"/>
        <w:gridCol w:w="459"/>
        <w:gridCol w:w="461"/>
        <w:gridCol w:w="1385"/>
        <w:gridCol w:w="959"/>
        <w:gridCol w:w="1275"/>
      </w:tblGrid>
      <w:tr w:rsidR="001A4D27" w:rsidRPr="00152CDF" w14:paraId="68D3DFAB" w14:textId="77777777" w:rsidTr="00F57761">
        <w:trPr>
          <w:trHeight w:val="315"/>
        </w:trPr>
        <w:tc>
          <w:tcPr>
            <w:tcW w:w="74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5CB438" w14:textId="77777777" w:rsidR="001A4D27" w:rsidRPr="00152CDF" w:rsidRDefault="001A4D27" w:rsidP="001A4D27">
            <w:pPr>
              <w:spacing w:after="0" w:line="240" w:lineRule="auto"/>
              <w:jc w:val="center"/>
              <w:rPr>
                <w:rFonts w:ascii="Arial" w:eastAsia="Times New Roman" w:hAnsi="Arial" w:cs="Arial"/>
                <w:b/>
                <w:bCs/>
                <w:color w:val="000000"/>
                <w:sz w:val="20"/>
                <w:szCs w:val="20"/>
                <w:lang w:val="es-ES_tradnl" w:eastAsia="es-CL"/>
              </w:rPr>
            </w:pPr>
            <w:r w:rsidRPr="00152CDF">
              <w:rPr>
                <w:rFonts w:ascii="Arial" w:eastAsia="Times New Roman" w:hAnsi="Arial" w:cs="Arial"/>
                <w:b/>
                <w:bCs/>
                <w:color w:val="000000"/>
                <w:sz w:val="20"/>
                <w:szCs w:val="20"/>
                <w:lang w:val="es-ES_tradnl" w:eastAsia="es-CL"/>
              </w:rPr>
              <w:t>Producto</w:t>
            </w:r>
          </w:p>
        </w:tc>
        <w:tc>
          <w:tcPr>
            <w:tcW w:w="1019" w:type="pct"/>
            <w:gridSpan w:val="4"/>
            <w:tcBorders>
              <w:top w:val="single" w:sz="8" w:space="0" w:color="auto"/>
              <w:left w:val="nil"/>
              <w:bottom w:val="single" w:sz="8" w:space="0" w:color="auto"/>
              <w:right w:val="single" w:sz="8" w:space="0" w:color="000000"/>
            </w:tcBorders>
            <w:shd w:val="clear" w:color="auto" w:fill="auto"/>
            <w:vAlign w:val="center"/>
            <w:hideMark/>
          </w:tcPr>
          <w:p w14:paraId="477AAA5A" w14:textId="77777777" w:rsidR="001A4D27" w:rsidRPr="00152CDF" w:rsidRDefault="001A4D27" w:rsidP="001A4D27">
            <w:pPr>
              <w:spacing w:after="0" w:line="240" w:lineRule="auto"/>
              <w:jc w:val="center"/>
              <w:rPr>
                <w:rFonts w:ascii="Arial" w:eastAsia="Times New Roman" w:hAnsi="Arial" w:cs="Arial"/>
                <w:b/>
                <w:bCs/>
                <w:color w:val="000000"/>
                <w:sz w:val="20"/>
                <w:szCs w:val="20"/>
                <w:lang w:val="es-ES_tradnl" w:eastAsia="es-CL"/>
              </w:rPr>
            </w:pPr>
            <w:r w:rsidRPr="00152CDF">
              <w:rPr>
                <w:rFonts w:ascii="Arial" w:eastAsia="Times New Roman" w:hAnsi="Arial" w:cs="Arial"/>
                <w:b/>
                <w:bCs/>
                <w:color w:val="000000"/>
                <w:sz w:val="20"/>
                <w:szCs w:val="20"/>
                <w:lang w:val="es-ES_tradnl" w:eastAsia="es-CL"/>
              </w:rPr>
              <w:t>2020</w:t>
            </w:r>
          </w:p>
        </w:tc>
        <w:tc>
          <w:tcPr>
            <w:tcW w:w="1021" w:type="pct"/>
            <w:gridSpan w:val="4"/>
            <w:tcBorders>
              <w:top w:val="single" w:sz="8" w:space="0" w:color="auto"/>
              <w:left w:val="nil"/>
              <w:bottom w:val="single" w:sz="8" w:space="0" w:color="auto"/>
              <w:right w:val="single" w:sz="8" w:space="0" w:color="000000"/>
            </w:tcBorders>
            <w:shd w:val="clear" w:color="auto" w:fill="auto"/>
            <w:vAlign w:val="center"/>
            <w:hideMark/>
          </w:tcPr>
          <w:p w14:paraId="47E608A6" w14:textId="77777777" w:rsidR="001A4D27" w:rsidRPr="00152CDF" w:rsidRDefault="001A4D27" w:rsidP="001A4D27">
            <w:pPr>
              <w:spacing w:after="0" w:line="240" w:lineRule="auto"/>
              <w:jc w:val="center"/>
              <w:rPr>
                <w:rFonts w:ascii="Arial" w:eastAsia="Times New Roman" w:hAnsi="Arial" w:cs="Arial"/>
                <w:b/>
                <w:bCs/>
                <w:color w:val="000000"/>
                <w:sz w:val="20"/>
                <w:szCs w:val="20"/>
                <w:lang w:val="es-ES_tradnl" w:eastAsia="es-CL"/>
              </w:rPr>
            </w:pPr>
            <w:r w:rsidRPr="00152CDF">
              <w:rPr>
                <w:rFonts w:ascii="Arial" w:eastAsia="Times New Roman" w:hAnsi="Arial" w:cs="Arial"/>
                <w:b/>
                <w:bCs/>
                <w:color w:val="000000"/>
                <w:sz w:val="20"/>
                <w:szCs w:val="20"/>
                <w:lang w:val="es-ES_tradnl" w:eastAsia="es-CL"/>
              </w:rPr>
              <w:t>2021</w:t>
            </w:r>
          </w:p>
        </w:tc>
        <w:tc>
          <w:tcPr>
            <w:tcW w:w="513" w:type="pct"/>
            <w:gridSpan w:val="2"/>
            <w:tcBorders>
              <w:top w:val="single" w:sz="8" w:space="0" w:color="auto"/>
              <w:left w:val="nil"/>
              <w:bottom w:val="single" w:sz="8" w:space="0" w:color="auto"/>
              <w:right w:val="nil"/>
            </w:tcBorders>
            <w:shd w:val="clear" w:color="auto" w:fill="auto"/>
            <w:vAlign w:val="center"/>
            <w:hideMark/>
          </w:tcPr>
          <w:p w14:paraId="5EE6ACDB" w14:textId="77777777" w:rsidR="001A4D27" w:rsidRPr="00152CDF" w:rsidRDefault="001A4D27" w:rsidP="001A4D27">
            <w:pPr>
              <w:spacing w:after="0" w:line="240" w:lineRule="auto"/>
              <w:jc w:val="center"/>
              <w:rPr>
                <w:rFonts w:ascii="Arial" w:eastAsia="Times New Roman" w:hAnsi="Arial" w:cs="Arial"/>
                <w:b/>
                <w:bCs/>
                <w:color w:val="000000"/>
                <w:sz w:val="20"/>
                <w:szCs w:val="20"/>
                <w:lang w:val="es-ES_tradnl" w:eastAsia="es-CL"/>
              </w:rPr>
            </w:pPr>
            <w:r w:rsidRPr="00152CDF">
              <w:rPr>
                <w:rFonts w:ascii="Arial" w:eastAsia="Times New Roman" w:hAnsi="Arial" w:cs="Arial"/>
                <w:b/>
                <w:bCs/>
                <w:color w:val="000000"/>
                <w:sz w:val="20"/>
                <w:szCs w:val="20"/>
                <w:lang w:val="es-ES_tradnl" w:eastAsia="es-CL"/>
              </w:rPr>
              <w:t>2022</w:t>
            </w:r>
          </w:p>
        </w:tc>
        <w:tc>
          <w:tcPr>
            <w:tcW w:w="71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82449E" w14:textId="77777777" w:rsidR="001A4D27" w:rsidRPr="00152CDF" w:rsidRDefault="001A4D27" w:rsidP="001A4D27">
            <w:pPr>
              <w:spacing w:after="0" w:line="240" w:lineRule="auto"/>
              <w:jc w:val="center"/>
              <w:rPr>
                <w:rFonts w:ascii="Arial" w:eastAsia="Times New Roman" w:hAnsi="Arial" w:cs="Arial"/>
                <w:b/>
                <w:bCs/>
                <w:color w:val="000000"/>
                <w:sz w:val="20"/>
                <w:szCs w:val="20"/>
                <w:lang w:val="es-ES_tradnl" w:eastAsia="es-CL"/>
              </w:rPr>
            </w:pPr>
            <w:r w:rsidRPr="00152CDF">
              <w:rPr>
                <w:rFonts w:ascii="Arial" w:eastAsia="Times New Roman" w:hAnsi="Arial" w:cs="Arial"/>
                <w:b/>
                <w:bCs/>
                <w:color w:val="000000"/>
                <w:sz w:val="20"/>
                <w:szCs w:val="20"/>
                <w:lang w:val="es-ES_tradnl" w:eastAsia="es-CL"/>
              </w:rPr>
              <w:t>Responsable</w:t>
            </w:r>
          </w:p>
        </w:tc>
        <w:tc>
          <w:tcPr>
            <w:tcW w:w="51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A8F534A" w14:textId="06649076" w:rsidR="001A4D27" w:rsidRPr="00152CDF" w:rsidRDefault="000D67D3" w:rsidP="001A4D27">
            <w:pPr>
              <w:spacing w:after="0" w:line="240" w:lineRule="auto"/>
              <w:jc w:val="center"/>
              <w:rPr>
                <w:rFonts w:ascii="Arial" w:eastAsia="Times New Roman" w:hAnsi="Arial" w:cs="Arial"/>
                <w:b/>
                <w:bCs/>
                <w:color w:val="000000"/>
                <w:sz w:val="20"/>
                <w:szCs w:val="20"/>
                <w:lang w:val="es-ES_tradnl" w:eastAsia="es-CL"/>
              </w:rPr>
            </w:pPr>
            <w:r w:rsidRPr="00152CDF">
              <w:rPr>
                <w:rFonts w:ascii="Arial" w:eastAsia="Times New Roman" w:hAnsi="Arial" w:cs="Arial"/>
                <w:b/>
                <w:bCs/>
                <w:color w:val="000000"/>
                <w:sz w:val="20"/>
                <w:szCs w:val="20"/>
                <w:lang w:val="es-ES_tradnl" w:eastAsia="es-CL"/>
              </w:rPr>
              <w:t>Costos (</w:t>
            </w:r>
            <w:r w:rsidR="001A4D27" w:rsidRPr="00152CDF">
              <w:rPr>
                <w:rFonts w:ascii="Arial" w:eastAsia="Times New Roman" w:hAnsi="Arial" w:cs="Arial"/>
                <w:b/>
                <w:bCs/>
                <w:color w:val="000000"/>
                <w:sz w:val="20"/>
                <w:szCs w:val="20"/>
                <w:lang w:val="es-ES_tradnl" w:eastAsia="es-CL"/>
              </w:rPr>
              <w:t>M USD)</w:t>
            </w:r>
          </w:p>
        </w:tc>
        <w:tc>
          <w:tcPr>
            <w:tcW w:w="46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7B1B52" w14:textId="77777777" w:rsidR="001A4D27" w:rsidRPr="00152CDF" w:rsidRDefault="001A4D27" w:rsidP="001A4D27">
            <w:pPr>
              <w:spacing w:after="0" w:line="240" w:lineRule="auto"/>
              <w:jc w:val="center"/>
              <w:rPr>
                <w:rFonts w:ascii="Arial" w:eastAsia="Times New Roman" w:hAnsi="Arial" w:cs="Arial"/>
                <w:b/>
                <w:bCs/>
                <w:color w:val="000000"/>
                <w:sz w:val="20"/>
                <w:szCs w:val="20"/>
                <w:lang w:val="es-ES_tradnl" w:eastAsia="es-CL"/>
              </w:rPr>
            </w:pPr>
            <w:r w:rsidRPr="00152CDF">
              <w:rPr>
                <w:rFonts w:ascii="Arial" w:eastAsia="Times New Roman" w:hAnsi="Arial" w:cs="Arial"/>
                <w:b/>
                <w:bCs/>
                <w:color w:val="000000"/>
                <w:sz w:val="20"/>
                <w:szCs w:val="20"/>
                <w:lang w:val="es-ES_tradnl" w:eastAsia="es-CL"/>
              </w:rPr>
              <w:t>Fuente</w:t>
            </w:r>
          </w:p>
        </w:tc>
      </w:tr>
      <w:tr w:rsidR="001A4D27" w:rsidRPr="00152CDF" w14:paraId="551D2A7D" w14:textId="77777777" w:rsidTr="00F57761">
        <w:trPr>
          <w:trHeight w:val="315"/>
        </w:trPr>
        <w:tc>
          <w:tcPr>
            <w:tcW w:w="743" w:type="pct"/>
            <w:vMerge/>
            <w:tcBorders>
              <w:top w:val="single" w:sz="4" w:space="0" w:color="auto"/>
              <w:left w:val="single" w:sz="4" w:space="0" w:color="auto"/>
              <w:bottom w:val="single" w:sz="4" w:space="0" w:color="000000"/>
              <w:right w:val="single" w:sz="4" w:space="0" w:color="auto"/>
            </w:tcBorders>
            <w:vAlign w:val="center"/>
            <w:hideMark/>
          </w:tcPr>
          <w:p w14:paraId="23389CE2" w14:textId="77777777" w:rsidR="001A4D27" w:rsidRPr="00152CDF" w:rsidRDefault="001A4D27" w:rsidP="001A4D27">
            <w:pPr>
              <w:spacing w:after="0" w:line="240" w:lineRule="auto"/>
              <w:rPr>
                <w:rFonts w:ascii="Arial" w:eastAsia="Times New Roman" w:hAnsi="Arial" w:cs="Arial"/>
                <w:b/>
                <w:bCs/>
                <w:color w:val="000000"/>
                <w:sz w:val="20"/>
                <w:szCs w:val="20"/>
                <w:lang w:val="es-ES_tradnl" w:eastAsia="es-CL"/>
              </w:rPr>
            </w:pPr>
          </w:p>
        </w:tc>
        <w:tc>
          <w:tcPr>
            <w:tcW w:w="252" w:type="pct"/>
            <w:tcBorders>
              <w:top w:val="nil"/>
              <w:left w:val="nil"/>
              <w:bottom w:val="single" w:sz="8" w:space="0" w:color="auto"/>
              <w:right w:val="single" w:sz="8" w:space="0" w:color="auto"/>
            </w:tcBorders>
            <w:shd w:val="clear" w:color="auto" w:fill="auto"/>
            <w:vAlign w:val="center"/>
            <w:hideMark/>
          </w:tcPr>
          <w:p w14:paraId="4DE743F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w:t>
            </w:r>
          </w:p>
        </w:tc>
        <w:tc>
          <w:tcPr>
            <w:tcW w:w="255" w:type="pct"/>
            <w:tcBorders>
              <w:top w:val="nil"/>
              <w:left w:val="nil"/>
              <w:bottom w:val="single" w:sz="8" w:space="0" w:color="auto"/>
              <w:right w:val="single" w:sz="8" w:space="0" w:color="auto"/>
            </w:tcBorders>
            <w:shd w:val="clear" w:color="auto" w:fill="auto"/>
            <w:vAlign w:val="center"/>
            <w:hideMark/>
          </w:tcPr>
          <w:p w14:paraId="3C267D7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II</w:t>
            </w:r>
          </w:p>
        </w:tc>
        <w:tc>
          <w:tcPr>
            <w:tcW w:w="256" w:type="pct"/>
            <w:tcBorders>
              <w:top w:val="nil"/>
              <w:left w:val="nil"/>
              <w:bottom w:val="single" w:sz="8" w:space="0" w:color="auto"/>
              <w:right w:val="single" w:sz="8" w:space="0" w:color="auto"/>
            </w:tcBorders>
            <w:shd w:val="clear" w:color="auto" w:fill="auto"/>
            <w:vAlign w:val="center"/>
            <w:hideMark/>
          </w:tcPr>
          <w:p w14:paraId="2BA752C9"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III</w:t>
            </w:r>
          </w:p>
        </w:tc>
        <w:tc>
          <w:tcPr>
            <w:tcW w:w="256" w:type="pct"/>
            <w:tcBorders>
              <w:top w:val="nil"/>
              <w:left w:val="nil"/>
              <w:bottom w:val="single" w:sz="8" w:space="0" w:color="auto"/>
              <w:right w:val="single" w:sz="8" w:space="0" w:color="auto"/>
            </w:tcBorders>
            <w:shd w:val="clear" w:color="auto" w:fill="auto"/>
            <w:vAlign w:val="center"/>
            <w:hideMark/>
          </w:tcPr>
          <w:p w14:paraId="4D1FB0BA"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IV</w:t>
            </w:r>
          </w:p>
        </w:tc>
        <w:tc>
          <w:tcPr>
            <w:tcW w:w="254" w:type="pct"/>
            <w:tcBorders>
              <w:top w:val="nil"/>
              <w:left w:val="nil"/>
              <w:bottom w:val="single" w:sz="8" w:space="0" w:color="auto"/>
              <w:right w:val="single" w:sz="8" w:space="0" w:color="auto"/>
            </w:tcBorders>
            <w:shd w:val="clear" w:color="auto" w:fill="auto"/>
            <w:vAlign w:val="center"/>
            <w:hideMark/>
          </w:tcPr>
          <w:p w14:paraId="53CBA2E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w:t>
            </w:r>
          </w:p>
        </w:tc>
        <w:tc>
          <w:tcPr>
            <w:tcW w:w="255" w:type="pct"/>
            <w:tcBorders>
              <w:top w:val="nil"/>
              <w:left w:val="nil"/>
              <w:bottom w:val="single" w:sz="8" w:space="0" w:color="auto"/>
              <w:right w:val="single" w:sz="8" w:space="0" w:color="auto"/>
            </w:tcBorders>
            <w:shd w:val="clear" w:color="auto" w:fill="auto"/>
            <w:vAlign w:val="center"/>
            <w:hideMark/>
          </w:tcPr>
          <w:p w14:paraId="4634DE11"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II</w:t>
            </w:r>
          </w:p>
        </w:tc>
        <w:tc>
          <w:tcPr>
            <w:tcW w:w="256" w:type="pct"/>
            <w:tcBorders>
              <w:top w:val="nil"/>
              <w:left w:val="nil"/>
              <w:bottom w:val="single" w:sz="8" w:space="0" w:color="auto"/>
              <w:right w:val="single" w:sz="8" w:space="0" w:color="auto"/>
            </w:tcBorders>
            <w:shd w:val="clear" w:color="auto" w:fill="auto"/>
            <w:vAlign w:val="center"/>
            <w:hideMark/>
          </w:tcPr>
          <w:p w14:paraId="753818D3"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III</w:t>
            </w:r>
          </w:p>
        </w:tc>
        <w:tc>
          <w:tcPr>
            <w:tcW w:w="256" w:type="pct"/>
            <w:tcBorders>
              <w:top w:val="nil"/>
              <w:left w:val="nil"/>
              <w:bottom w:val="single" w:sz="8" w:space="0" w:color="auto"/>
              <w:right w:val="single" w:sz="8" w:space="0" w:color="auto"/>
            </w:tcBorders>
            <w:shd w:val="clear" w:color="auto" w:fill="auto"/>
            <w:vAlign w:val="center"/>
            <w:hideMark/>
          </w:tcPr>
          <w:p w14:paraId="041D510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IV</w:t>
            </w:r>
          </w:p>
        </w:tc>
        <w:tc>
          <w:tcPr>
            <w:tcW w:w="256" w:type="pct"/>
            <w:tcBorders>
              <w:top w:val="nil"/>
              <w:left w:val="nil"/>
              <w:bottom w:val="single" w:sz="8" w:space="0" w:color="auto"/>
              <w:right w:val="single" w:sz="8" w:space="0" w:color="auto"/>
            </w:tcBorders>
            <w:shd w:val="clear" w:color="auto" w:fill="auto"/>
            <w:vAlign w:val="center"/>
            <w:hideMark/>
          </w:tcPr>
          <w:p w14:paraId="73B9AB6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w:t>
            </w:r>
          </w:p>
        </w:tc>
        <w:tc>
          <w:tcPr>
            <w:tcW w:w="257" w:type="pct"/>
            <w:tcBorders>
              <w:top w:val="nil"/>
              <w:left w:val="nil"/>
              <w:bottom w:val="single" w:sz="8" w:space="0" w:color="auto"/>
              <w:right w:val="single" w:sz="8" w:space="0" w:color="auto"/>
            </w:tcBorders>
            <w:shd w:val="clear" w:color="auto" w:fill="auto"/>
            <w:vAlign w:val="center"/>
            <w:hideMark/>
          </w:tcPr>
          <w:p w14:paraId="34F10A39"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II</w:t>
            </w:r>
          </w:p>
        </w:tc>
        <w:tc>
          <w:tcPr>
            <w:tcW w:w="719" w:type="pct"/>
            <w:vMerge/>
            <w:tcBorders>
              <w:top w:val="single" w:sz="8" w:space="0" w:color="auto"/>
              <w:left w:val="single" w:sz="8" w:space="0" w:color="auto"/>
              <w:bottom w:val="single" w:sz="8" w:space="0" w:color="000000"/>
              <w:right w:val="single" w:sz="8" w:space="0" w:color="auto"/>
            </w:tcBorders>
            <w:vAlign w:val="center"/>
            <w:hideMark/>
          </w:tcPr>
          <w:p w14:paraId="1E21FFF4" w14:textId="77777777" w:rsidR="001A4D27" w:rsidRPr="00152CDF" w:rsidRDefault="001A4D27" w:rsidP="001A4D27">
            <w:pPr>
              <w:spacing w:after="0" w:line="240" w:lineRule="auto"/>
              <w:rPr>
                <w:rFonts w:ascii="Arial" w:eastAsia="Times New Roman" w:hAnsi="Arial" w:cs="Arial"/>
                <w:b/>
                <w:bCs/>
                <w:color w:val="000000"/>
                <w:sz w:val="20"/>
                <w:szCs w:val="20"/>
                <w:lang w:val="es-ES_tradnl" w:eastAsia="es-CL"/>
              </w:rPr>
            </w:pPr>
          </w:p>
        </w:tc>
        <w:tc>
          <w:tcPr>
            <w:tcW w:w="516" w:type="pct"/>
            <w:vMerge/>
            <w:tcBorders>
              <w:top w:val="single" w:sz="8" w:space="0" w:color="auto"/>
              <w:left w:val="single" w:sz="8" w:space="0" w:color="auto"/>
              <w:bottom w:val="single" w:sz="8" w:space="0" w:color="000000"/>
              <w:right w:val="single" w:sz="8" w:space="0" w:color="auto"/>
            </w:tcBorders>
            <w:vAlign w:val="center"/>
            <w:hideMark/>
          </w:tcPr>
          <w:p w14:paraId="196505EA" w14:textId="77777777" w:rsidR="001A4D27" w:rsidRPr="00152CDF" w:rsidRDefault="001A4D27" w:rsidP="001A4D27">
            <w:pPr>
              <w:spacing w:after="0" w:line="240" w:lineRule="auto"/>
              <w:rPr>
                <w:rFonts w:ascii="Arial" w:eastAsia="Times New Roman" w:hAnsi="Arial" w:cs="Arial"/>
                <w:b/>
                <w:bCs/>
                <w:color w:val="000000"/>
                <w:sz w:val="20"/>
                <w:szCs w:val="20"/>
                <w:lang w:val="es-ES_tradnl" w:eastAsia="es-CL"/>
              </w:rPr>
            </w:pPr>
          </w:p>
        </w:tc>
        <w:tc>
          <w:tcPr>
            <w:tcW w:w="468" w:type="pct"/>
            <w:vMerge/>
            <w:tcBorders>
              <w:top w:val="single" w:sz="8" w:space="0" w:color="auto"/>
              <w:left w:val="single" w:sz="8" w:space="0" w:color="auto"/>
              <w:bottom w:val="single" w:sz="8" w:space="0" w:color="000000"/>
              <w:right w:val="single" w:sz="8" w:space="0" w:color="auto"/>
            </w:tcBorders>
            <w:vAlign w:val="center"/>
            <w:hideMark/>
          </w:tcPr>
          <w:p w14:paraId="53A0A66B" w14:textId="77777777" w:rsidR="001A4D27" w:rsidRPr="00152CDF" w:rsidRDefault="001A4D27" w:rsidP="001A4D27">
            <w:pPr>
              <w:spacing w:after="0" w:line="240" w:lineRule="auto"/>
              <w:rPr>
                <w:rFonts w:ascii="Arial" w:eastAsia="Times New Roman" w:hAnsi="Arial" w:cs="Arial"/>
                <w:b/>
                <w:bCs/>
                <w:color w:val="000000"/>
                <w:sz w:val="20"/>
                <w:szCs w:val="20"/>
                <w:lang w:val="es-ES_tradnl" w:eastAsia="es-CL"/>
              </w:rPr>
            </w:pPr>
          </w:p>
        </w:tc>
      </w:tr>
      <w:tr w:rsidR="001A4D27" w:rsidRPr="00152CDF" w14:paraId="59F2EA03" w14:textId="77777777" w:rsidTr="00F57761">
        <w:trPr>
          <w:trHeight w:val="315"/>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5AF3F286"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Taller de inicio</w:t>
            </w:r>
          </w:p>
        </w:tc>
        <w:tc>
          <w:tcPr>
            <w:tcW w:w="252" w:type="pct"/>
            <w:tcBorders>
              <w:top w:val="nil"/>
              <w:left w:val="nil"/>
              <w:bottom w:val="single" w:sz="8" w:space="0" w:color="auto"/>
              <w:right w:val="single" w:sz="8" w:space="0" w:color="auto"/>
            </w:tcBorders>
            <w:shd w:val="clear" w:color="auto" w:fill="auto"/>
            <w:vAlign w:val="center"/>
            <w:hideMark/>
          </w:tcPr>
          <w:p w14:paraId="5BABD4D9"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6A115E53"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375C79A8"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71B4044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4" w:type="pct"/>
            <w:tcBorders>
              <w:top w:val="nil"/>
              <w:left w:val="nil"/>
              <w:bottom w:val="single" w:sz="8" w:space="0" w:color="auto"/>
              <w:right w:val="single" w:sz="8" w:space="0" w:color="auto"/>
            </w:tcBorders>
            <w:shd w:val="clear" w:color="auto" w:fill="auto"/>
            <w:vAlign w:val="center"/>
            <w:hideMark/>
          </w:tcPr>
          <w:p w14:paraId="22145D3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024845DF"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29AD3569"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74E6B5D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51DBE36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7" w:type="pct"/>
            <w:tcBorders>
              <w:top w:val="nil"/>
              <w:left w:val="nil"/>
              <w:bottom w:val="single" w:sz="8" w:space="0" w:color="auto"/>
              <w:right w:val="single" w:sz="8" w:space="0" w:color="auto"/>
            </w:tcBorders>
            <w:shd w:val="clear" w:color="auto" w:fill="auto"/>
            <w:vAlign w:val="center"/>
            <w:hideMark/>
          </w:tcPr>
          <w:p w14:paraId="7BAF096E"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719" w:type="pct"/>
            <w:tcBorders>
              <w:top w:val="nil"/>
              <w:left w:val="nil"/>
              <w:bottom w:val="single" w:sz="8" w:space="0" w:color="auto"/>
              <w:right w:val="single" w:sz="8" w:space="0" w:color="auto"/>
            </w:tcBorders>
            <w:shd w:val="clear" w:color="auto" w:fill="auto"/>
            <w:vAlign w:val="center"/>
            <w:hideMark/>
          </w:tcPr>
          <w:p w14:paraId="0509B135"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DEP-BID</w:t>
            </w:r>
          </w:p>
        </w:tc>
        <w:tc>
          <w:tcPr>
            <w:tcW w:w="516" w:type="pct"/>
            <w:tcBorders>
              <w:top w:val="nil"/>
              <w:left w:val="nil"/>
              <w:bottom w:val="single" w:sz="8" w:space="0" w:color="auto"/>
              <w:right w:val="single" w:sz="8" w:space="0" w:color="auto"/>
            </w:tcBorders>
            <w:shd w:val="clear" w:color="auto" w:fill="auto"/>
            <w:vAlign w:val="center"/>
            <w:hideMark/>
          </w:tcPr>
          <w:p w14:paraId="5FDFF5A0"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2</w:t>
            </w:r>
          </w:p>
        </w:tc>
        <w:tc>
          <w:tcPr>
            <w:tcW w:w="468" w:type="pct"/>
            <w:tcBorders>
              <w:top w:val="nil"/>
              <w:left w:val="nil"/>
              <w:bottom w:val="single" w:sz="8" w:space="0" w:color="auto"/>
              <w:right w:val="single" w:sz="8" w:space="0" w:color="auto"/>
            </w:tcBorders>
            <w:shd w:val="clear" w:color="auto" w:fill="auto"/>
            <w:vAlign w:val="center"/>
            <w:hideMark/>
          </w:tcPr>
          <w:p w14:paraId="2DDEDDE2" w14:textId="72219AB9" w:rsidR="001A4D27" w:rsidRPr="0091518C"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r w:rsidR="00EB5A5F">
              <w:rPr>
                <w:rFonts w:ascii="Arial" w:eastAsia="Times New Roman" w:hAnsi="Arial" w:cs="Arial"/>
                <w:color w:val="000000"/>
                <w:sz w:val="20"/>
                <w:szCs w:val="20"/>
                <w:lang w:val="es-ES_tradnl" w:eastAsia="es-CL"/>
              </w:rPr>
              <w:t>,</w:t>
            </w:r>
            <w:r w:rsidR="00EB5A5F" w:rsidRPr="00F947D6">
              <w:rPr>
                <w:rFonts w:ascii="Arial" w:eastAsia="Times New Roman" w:hAnsi="Arial" w:cs="Arial"/>
                <w:color w:val="000000"/>
                <w:sz w:val="20"/>
                <w:szCs w:val="20"/>
                <w:lang w:eastAsia="es-CL"/>
              </w:rPr>
              <w:t xml:space="preserve"> </w:t>
            </w:r>
            <w:proofErr w:type="spellStart"/>
            <w:r w:rsidR="00A41B99" w:rsidRPr="00F947D6">
              <w:rPr>
                <w:rFonts w:ascii="Arial" w:eastAsia="Times New Roman" w:hAnsi="Arial" w:cs="Arial"/>
                <w:color w:val="000000"/>
                <w:sz w:val="20"/>
                <w:szCs w:val="20"/>
                <w:lang w:eastAsia="es-CL"/>
              </w:rPr>
              <w:t>Fondos</w:t>
            </w:r>
            <w:proofErr w:type="spellEnd"/>
            <w:r w:rsidR="00A41B99" w:rsidRPr="00F947D6">
              <w:rPr>
                <w:rFonts w:ascii="Arial" w:eastAsia="Times New Roman" w:hAnsi="Arial" w:cs="Arial"/>
                <w:color w:val="000000"/>
                <w:sz w:val="20"/>
                <w:szCs w:val="20"/>
                <w:lang w:eastAsia="es-CL"/>
              </w:rPr>
              <w:t xml:space="preserve"> de </w:t>
            </w:r>
            <w:proofErr w:type="spellStart"/>
            <w:r w:rsidR="00A41B99" w:rsidRPr="00F947D6">
              <w:rPr>
                <w:rFonts w:ascii="Arial" w:eastAsia="Times New Roman" w:hAnsi="Arial" w:cs="Arial"/>
                <w:color w:val="000000"/>
                <w:sz w:val="20"/>
                <w:szCs w:val="20"/>
                <w:lang w:eastAsia="es-CL"/>
              </w:rPr>
              <w:t>sup</w:t>
            </w:r>
            <w:r w:rsidR="002C51D3" w:rsidRPr="00F947D6">
              <w:rPr>
                <w:rFonts w:ascii="Arial" w:eastAsia="Times New Roman" w:hAnsi="Arial" w:cs="Arial"/>
                <w:color w:val="000000"/>
                <w:sz w:val="20"/>
                <w:szCs w:val="20"/>
                <w:lang w:eastAsia="es-CL"/>
              </w:rPr>
              <w:t>er</w:t>
            </w:r>
            <w:r w:rsidR="00A41B99" w:rsidRPr="00F947D6">
              <w:rPr>
                <w:rFonts w:ascii="Arial" w:eastAsia="Times New Roman" w:hAnsi="Arial" w:cs="Arial"/>
                <w:color w:val="000000"/>
                <w:sz w:val="20"/>
                <w:szCs w:val="20"/>
                <w:lang w:eastAsia="es-CL"/>
              </w:rPr>
              <w:t>visi</w:t>
            </w:r>
            <w:r w:rsidR="003D4E50" w:rsidRPr="00F947D6">
              <w:rPr>
                <w:rFonts w:ascii="Arial" w:eastAsia="Times New Roman" w:hAnsi="Arial" w:cs="Arial"/>
                <w:color w:val="000000"/>
                <w:sz w:val="20"/>
                <w:szCs w:val="20"/>
                <w:lang w:eastAsia="es-CL"/>
              </w:rPr>
              <w:t>ón</w:t>
            </w:r>
            <w:proofErr w:type="spellEnd"/>
            <w:r w:rsidR="003D4E50" w:rsidRPr="00F947D6">
              <w:rPr>
                <w:rFonts w:ascii="Arial" w:eastAsia="Times New Roman" w:hAnsi="Arial" w:cs="Arial"/>
                <w:color w:val="000000"/>
                <w:sz w:val="20"/>
                <w:szCs w:val="20"/>
                <w:lang w:eastAsia="es-CL"/>
              </w:rPr>
              <w:t xml:space="preserve"> </w:t>
            </w:r>
          </w:p>
        </w:tc>
      </w:tr>
      <w:tr w:rsidR="001A4D27" w:rsidRPr="00152CDF" w14:paraId="78F646C3" w14:textId="77777777" w:rsidTr="00F57761">
        <w:trPr>
          <w:trHeight w:val="525"/>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570856CC"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Consultorías de apoyo técnico</w:t>
            </w:r>
          </w:p>
        </w:tc>
        <w:tc>
          <w:tcPr>
            <w:tcW w:w="252" w:type="pct"/>
            <w:tcBorders>
              <w:top w:val="nil"/>
              <w:left w:val="nil"/>
              <w:bottom w:val="single" w:sz="8" w:space="0" w:color="auto"/>
              <w:right w:val="single" w:sz="8" w:space="0" w:color="auto"/>
            </w:tcBorders>
            <w:shd w:val="clear" w:color="auto" w:fill="auto"/>
            <w:vAlign w:val="center"/>
            <w:hideMark/>
          </w:tcPr>
          <w:p w14:paraId="75F6A48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1213AA4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17779BB1"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629C967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4" w:type="pct"/>
            <w:tcBorders>
              <w:top w:val="nil"/>
              <w:left w:val="nil"/>
              <w:bottom w:val="single" w:sz="8" w:space="0" w:color="auto"/>
              <w:right w:val="single" w:sz="8" w:space="0" w:color="auto"/>
            </w:tcBorders>
            <w:shd w:val="clear" w:color="000000" w:fill="7F7F7F"/>
            <w:vAlign w:val="center"/>
            <w:hideMark/>
          </w:tcPr>
          <w:p w14:paraId="2C46144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17858E1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79A9B497"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7E81FEAF"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5C148D43"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7" w:type="pct"/>
            <w:tcBorders>
              <w:top w:val="nil"/>
              <w:left w:val="nil"/>
              <w:bottom w:val="single" w:sz="8" w:space="0" w:color="auto"/>
              <w:right w:val="single" w:sz="8" w:space="0" w:color="auto"/>
            </w:tcBorders>
            <w:shd w:val="clear" w:color="auto" w:fill="auto"/>
            <w:vAlign w:val="center"/>
            <w:hideMark/>
          </w:tcPr>
          <w:p w14:paraId="1B7C2FC3"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719" w:type="pct"/>
            <w:tcBorders>
              <w:top w:val="nil"/>
              <w:left w:val="nil"/>
              <w:bottom w:val="single" w:sz="8" w:space="0" w:color="auto"/>
              <w:right w:val="single" w:sz="8" w:space="0" w:color="auto"/>
            </w:tcBorders>
            <w:shd w:val="clear" w:color="auto" w:fill="auto"/>
            <w:vAlign w:val="center"/>
            <w:hideMark/>
          </w:tcPr>
          <w:p w14:paraId="06411F50"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p>
        </w:tc>
        <w:tc>
          <w:tcPr>
            <w:tcW w:w="516" w:type="pct"/>
            <w:tcBorders>
              <w:top w:val="nil"/>
              <w:left w:val="nil"/>
              <w:bottom w:val="single" w:sz="8" w:space="0" w:color="auto"/>
              <w:right w:val="single" w:sz="8" w:space="0" w:color="auto"/>
            </w:tcBorders>
            <w:shd w:val="clear" w:color="auto" w:fill="auto"/>
            <w:vAlign w:val="center"/>
            <w:hideMark/>
          </w:tcPr>
          <w:p w14:paraId="0B5B00E1"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150</w:t>
            </w:r>
          </w:p>
        </w:tc>
        <w:tc>
          <w:tcPr>
            <w:tcW w:w="468" w:type="pct"/>
            <w:tcBorders>
              <w:top w:val="nil"/>
              <w:left w:val="nil"/>
              <w:bottom w:val="single" w:sz="8" w:space="0" w:color="auto"/>
              <w:right w:val="single" w:sz="8" w:space="0" w:color="auto"/>
            </w:tcBorders>
            <w:shd w:val="clear" w:color="auto" w:fill="auto"/>
            <w:vAlign w:val="center"/>
            <w:hideMark/>
          </w:tcPr>
          <w:p w14:paraId="3D3D6FC9" w14:textId="0E39AABD" w:rsidR="001A4D27" w:rsidRPr="0091518C"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r w:rsidR="002C51D3">
              <w:rPr>
                <w:rFonts w:ascii="Arial" w:eastAsia="Times New Roman" w:hAnsi="Arial" w:cs="Arial"/>
                <w:color w:val="000000"/>
                <w:sz w:val="20"/>
                <w:szCs w:val="20"/>
                <w:lang w:val="es-ES_tradnl" w:eastAsia="es-CL"/>
              </w:rPr>
              <w:t xml:space="preserve">, </w:t>
            </w:r>
            <w:r w:rsidR="00F36AE2" w:rsidRPr="0091518C">
              <w:rPr>
                <w:rFonts w:ascii="Arial" w:eastAsia="Times New Roman" w:hAnsi="Arial" w:cs="Arial"/>
                <w:color w:val="000000"/>
                <w:sz w:val="20"/>
                <w:szCs w:val="20"/>
                <w:lang w:val="es-ES_tradnl" w:eastAsia="es-CL"/>
              </w:rPr>
              <w:t>ATN/</w:t>
            </w:r>
            <w:proofErr w:type="spellStart"/>
            <w:r w:rsidR="00F36AE2" w:rsidRPr="0091518C">
              <w:rPr>
                <w:rFonts w:ascii="Arial" w:eastAsia="Times New Roman" w:hAnsi="Arial" w:cs="Arial"/>
                <w:color w:val="000000"/>
                <w:sz w:val="20"/>
                <w:szCs w:val="20"/>
                <w:lang w:val="es-ES_tradnl" w:eastAsia="es-CL"/>
              </w:rPr>
              <w:t>OC</w:t>
            </w:r>
            <w:proofErr w:type="spellEnd"/>
            <w:r w:rsidR="00F36AE2" w:rsidRPr="0091518C">
              <w:rPr>
                <w:rFonts w:ascii="Arial" w:eastAsia="Times New Roman" w:hAnsi="Arial" w:cs="Arial"/>
                <w:color w:val="000000"/>
                <w:sz w:val="20"/>
                <w:szCs w:val="20"/>
                <w:lang w:val="es-ES_tradnl" w:eastAsia="es-CL"/>
              </w:rPr>
              <w:t>-17702</w:t>
            </w:r>
          </w:p>
        </w:tc>
      </w:tr>
      <w:tr w:rsidR="001A4D27" w:rsidRPr="00152CDF" w14:paraId="5E3CD13E" w14:textId="77777777" w:rsidTr="00F57761">
        <w:trPr>
          <w:trHeight w:val="315"/>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1B05916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Auditoría financiera</w:t>
            </w:r>
          </w:p>
        </w:tc>
        <w:tc>
          <w:tcPr>
            <w:tcW w:w="252" w:type="pct"/>
            <w:tcBorders>
              <w:top w:val="nil"/>
              <w:left w:val="nil"/>
              <w:bottom w:val="single" w:sz="8" w:space="0" w:color="auto"/>
              <w:right w:val="single" w:sz="8" w:space="0" w:color="auto"/>
            </w:tcBorders>
            <w:shd w:val="clear" w:color="auto" w:fill="auto"/>
            <w:vAlign w:val="center"/>
            <w:hideMark/>
          </w:tcPr>
          <w:p w14:paraId="3FA76831"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145508DA"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1D416000"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700C9A71"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4" w:type="pct"/>
            <w:tcBorders>
              <w:top w:val="nil"/>
              <w:left w:val="nil"/>
              <w:bottom w:val="single" w:sz="8" w:space="0" w:color="auto"/>
              <w:right w:val="single" w:sz="8" w:space="0" w:color="auto"/>
            </w:tcBorders>
            <w:shd w:val="clear" w:color="000000" w:fill="7F7F7F"/>
            <w:vAlign w:val="center"/>
            <w:hideMark/>
          </w:tcPr>
          <w:p w14:paraId="2E8DD4F7"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122FE193"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51ED6FB6"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1CE3728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5CACB373"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7" w:type="pct"/>
            <w:tcBorders>
              <w:top w:val="nil"/>
              <w:left w:val="nil"/>
              <w:bottom w:val="single" w:sz="8" w:space="0" w:color="auto"/>
              <w:right w:val="single" w:sz="8" w:space="0" w:color="auto"/>
            </w:tcBorders>
            <w:shd w:val="clear" w:color="auto" w:fill="auto"/>
            <w:vAlign w:val="center"/>
            <w:hideMark/>
          </w:tcPr>
          <w:p w14:paraId="686D34E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719" w:type="pct"/>
            <w:tcBorders>
              <w:top w:val="nil"/>
              <w:left w:val="nil"/>
              <w:bottom w:val="single" w:sz="8" w:space="0" w:color="auto"/>
              <w:right w:val="single" w:sz="8" w:space="0" w:color="auto"/>
            </w:tcBorders>
            <w:shd w:val="clear" w:color="auto" w:fill="auto"/>
            <w:vAlign w:val="center"/>
            <w:hideMark/>
          </w:tcPr>
          <w:p w14:paraId="4093012B"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CGR</w:t>
            </w:r>
          </w:p>
        </w:tc>
        <w:tc>
          <w:tcPr>
            <w:tcW w:w="516" w:type="pct"/>
            <w:tcBorders>
              <w:top w:val="nil"/>
              <w:left w:val="nil"/>
              <w:bottom w:val="single" w:sz="8" w:space="0" w:color="auto"/>
              <w:right w:val="single" w:sz="8" w:space="0" w:color="auto"/>
            </w:tcBorders>
            <w:shd w:val="clear" w:color="auto" w:fill="auto"/>
            <w:vAlign w:val="center"/>
            <w:hideMark/>
          </w:tcPr>
          <w:p w14:paraId="62A0AF80"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0</w:t>
            </w:r>
          </w:p>
        </w:tc>
        <w:tc>
          <w:tcPr>
            <w:tcW w:w="468" w:type="pct"/>
            <w:tcBorders>
              <w:top w:val="nil"/>
              <w:left w:val="nil"/>
              <w:bottom w:val="single" w:sz="8" w:space="0" w:color="auto"/>
              <w:right w:val="single" w:sz="8" w:space="0" w:color="auto"/>
            </w:tcBorders>
            <w:shd w:val="clear" w:color="auto" w:fill="auto"/>
            <w:vAlign w:val="center"/>
            <w:hideMark/>
          </w:tcPr>
          <w:p w14:paraId="4979BC62" w14:textId="30A908A2" w:rsidR="001A4D27" w:rsidRPr="00152CDF" w:rsidRDefault="00A67981"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Estado de Chile</w:t>
            </w:r>
          </w:p>
        </w:tc>
      </w:tr>
      <w:tr w:rsidR="001A4D27" w:rsidRPr="00152CDF" w14:paraId="524873B7" w14:textId="77777777" w:rsidTr="00F57761">
        <w:trPr>
          <w:trHeight w:val="525"/>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5E3428F7"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Informes semestrales</w:t>
            </w:r>
          </w:p>
        </w:tc>
        <w:tc>
          <w:tcPr>
            <w:tcW w:w="252" w:type="pct"/>
            <w:tcBorders>
              <w:top w:val="nil"/>
              <w:left w:val="nil"/>
              <w:bottom w:val="single" w:sz="8" w:space="0" w:color="auto"/>
              <w:right w:val="single" w:sz="8" w:space="0" w:color="auto"/>
            </w:tcBorders>
            <w:shd w:val="clear" w:color="auto" w:fill="auto"/>
            <w:vAlign w:val="center"/>
            <w:hideMark/>
          </w:tcPr>
          <w:p w14:paraId="121465B9"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338F237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154FEA4A"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35DBE7DC"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4" w:type="pct"/>
            <w:tcBorders>
              <w:top w:val="nil"/>
              <w:left w:val="nil"/>
              <w:bottom w:val="single" w:sz="8" w:space="0" w:color="auto"/>
              <w:right w:val="single" w:sz="8" w:space="0" w:color="auto"/>
            </w:tcBorders>
            <w:shd w:val="clear" w:color="000000" w:fill="7F7F7F"/>
            <w:vAlign w:val="center"/>
            <w:hideMark/>
          </w:tcPr>
          <w:p w14:paraId="505AA7A1"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40DDBAFB"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155B13D1"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6213EA3A"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310DA0D7"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7" w:type="pct"/>
            <w:tcBorders>
              <w:top w:val="nil"/>
              <w:left w:val="nil"/>
              <w:bottom w:val="single" w:sz="8" w:space="0" w:color="auto"/>
              <w:right w:val="single" w:sz="8" w:space="0" w:color="auto"/>
            </w:tcBorders>
            <w:shd w:val="clear" w:color="auto" w:fill="auto"/>
            <w:vAlign w:val="center"/>
            <w:hideMark/>
          </w:tcPr>
          <w:p w14:paraId="72E035EA"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719" w:type="pct"/>
            <w:tcBorders>
              <w:top w:val="nil"/>
              <w:left w:val="nil"/>
              <w:bottom w:val="single" w:sz="8" w:space="0" w:color="auto"/>
              <w:right w:val="single" w:sz="8" w:space="0" w:color="auto"/>
            </w:tcBorders>
            <w:shd w:val="clear" w:color="auto" w:fill="auto"/>
            <w:vAlign w:val="center"/>
            <w:hideMark/>
          </w:tcPr>
          <w:p w14:paraId="1E813BBC"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DEP-BID</w:t>
            </w:r>
          </w:p>
        </w:tc>
        <w:tc>
          <w:tcPr>
            <w:tcW w:w="516" w:type="pct"/>
            <w:tcBorders>
              <w:top w:val="nil"/>
              <w:left w:val="nil"/>
              <w:bottom w:val="single" w:sz="8" w:space="0" w:color="auto"/>
              <w:right w:val="single" w:sz="8" w:space="0" w:color="auto"/>
            </w:tcBorders>
            <w:shd w:val="clear" w:color="auto" w:fill="auto"/>
            <w:vAlign w:val="center"/>
            <w:hideMark/>
          </w:tcPr>
          <w:p w14:paraId="5EDD5A29" w14:textId="48DA57F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r w:rsidR="00F61FCA">
              <w:rPr>
                <w:rFonts w:ascii="Arial" w:eastAsia="Times New Roman" w:hAnsi="Arial" w:cs="Arial"/>
                <w:color w:val="000000"/>
                <w:sz w:val="20"/>
                <w:szCs w:val="20"/>
                <w:lang w:val="es-ES_tradnl" w:eastAsia="es-CL"/>
              </w:rPr>
              <w:t>0</w:t>
            </w:r>
          </w:p>
        </w:tc>
        <w:tc>
          <w:tcPr>
            <w:tcW w:w="468" w:type="pct"/>
            <w:tcBorders>
              <w:top w:val="nil"/>
              <w:left w:val="nil"/>
              <w:bottom w:val="single" w:sz="8" w:space="0" w:color="auto"/>
              <w:right w:val="single" w:sz="8" w:space="0" w:color="auto"/>
            </w:tcBorders>
            <w:shd w:val="clear" w:color="auto" w:fill="auto"/>
            <w:vAlign w:val="center"/>
            <w:hideMark/>
          </w:tcPr>
          <w:p w14:paraId="6CD8BFF1" w14:textId="5557CE21" w:rsidR="001A4D27" w:rsidRPr="00152CDF" w:rsidRDefault="00F36AE2" w:rsidP="001A4D27">
            <w:pPr>
              <w:spacing w:after="0" w:line="240" w:lineRule="auto"/>
              <w:jc w:val="center"/>
              <w:rPr>
                <w:rFonts w:ascii="Arial" w:eastAsia="Times New Roman" w:hAnsi="Arial" w:cs="Arial"/>
                <w:color w:val="000000"/>
                <w:sz w:val="20"/>
                <w:szCs w:val="20"/>
                <w:lang w:val="es-ES_tradnl" w:eastAsia="es-CL"/>
              </w:rPr>
            </w:pPr>
            <w:r w:rsidRPr="0091518C">
              <w:rPr>
                <w:rFonts w:ascii="Arial" w:eastAsia="Times New Roman" w:hAnsi="Arial" w:cs="Arial"/>
                <w:color w:val="000000"/>
                <w:sz w:val="20"/>
                <w:szCs w:val="20"/>
                <w:lang w:val="es-ES_tradnl" w:eastAsia="es-CL"/>
              </w:rPr>
              <w:t>DEP</w:t>
            </w:r>
          </w:p>
        </w:tc>
      </w:tr>
      <w:tr w:rsidR="001A4D27" w:rsidRPr="00152CDF" w14:paraId="2B0FC1A7" w14:textId="77777777" w:rsidTr="00F57761">
        <w:trPr>
          <w:trHeight w:val="525"/>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408C145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Misiones de administración</w:t>
            </w:r>
          </w:p>
        </w:tc>
        <w:tc>
          <w:tcPr>
            <w:tcW w:w="252" w:type="pct"/>
            <w:tcBorders>
              <w:top w:val="nil"/>
              <w:left w:val="nil"/>
              <w:bottom w:val="single" w:sz="8" w:space="0" w:color="auto"/>
              <w:right w:val="single" w:sz="8" w:space="0" w:color="auto"/>
            </w:tcBorders>
            <w:shd w:val="clear" w:color="auto" w:fill="auto"/>
            <w:vAlign w:val="center"/>
            <w:hideMark/>
          </w:tcPr>
          <w:p w14:paraId="58F6084E"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71A96DFA"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0BED014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1E56417B"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4" w:type="pct"/>
            <w:tcBorders>
              <w:top w:val="nil"/>
              <w:left w:val="nil"/>
              <w:bottom w:val="single" w:sz="8" w:space="0" w:color="auto"/>
              <w:right w:val="single" w:sz="8" w:space="0" w:color="auto"/>
            </w:tcBorders>
            <w:shd w:val="clear" w:color="auto" w:fill="auto"/>
            <w:vAlign w:val="center"/>
            <w:hideMark/>
          </w:tcPr>
          <w:p w14:paraId="6E1AD2D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000000" w:fill="7F7F7F"/>
            <w:vAlign w:val="center"/>
            <w:hideMark/>
          </w:tcPr>
          <w:p w14:paraId="1618578E"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3EE3B263"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403F4499"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56378A1B"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7" w:type="pct"/>
            <w:tcBorders>
              <w:top w:val="nil"/>
              <w:left w:val="nil"/>
              <w:bottom w:val="single" w:sz="8" w:space="0" w:color="auto"/>
              <w:right w:val="single" w:sz="8" w:space="0" w:color="auto"/>
            </w:tcBorders>
            <w:shd w:val="clear" w:color="auto" w:fill="auto"/>
            <w:vAlign w:val="center"/>
            <w:hideMark/>
          </w:tcPr>
          <w:p w14:paraId="2BBA168F"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719" w:type="pct"/>
            <w:tcBorders>
              <w:top w:val="nil"/>
              <w:left w:val="nil"/>
              <w:bottom w:val="single" w:sz="8" w:space="0" w:color="auto"/>
              <w:right w:val="single" w:sz="8" w:space="0" w:color="auto"/>
            </w:tcBorders>
            <w:shd w:val="clear" w:color="auto" w:fill="auto"/>
            <w:vAlign w:val="center"/>
            <w:hideMark/>
          </w:tcPr>
          <w:p w14:paraId="1D00433E"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p>
        </w:tc>
        <w:tc>
          <w:tcPr>
            <w:tcW w:w="516" w:type="pct"/>
            <w:tcBorders>
              <w:top w:val="nil"/>
              <w:left w:val="nil"/>
              <w:bottom w:val="single" w:sz="8" w:space="0" w:color="auto"/>
              <w:right w:val="single" w:sz="8" w:space="0" w:color="auto"/>
            </w:tcBorders>
            <w:shd w:val="clear" w:color="auto" w:fill="auto"/>
            <w:vAlign w:val="center"/>
            <w:hideMark/>
          </w:tcPr>
          <w:p w14:paraId="2E206C7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10</w:t>
            </w:r>
          </w:p>
        </w:tc>
        <w:tc>
          <w:tcPr>
            <w:tcW w:w="468" w:type="pct"/>
            <w:tcBorders>
              <w:top w:val="nil"/>
              <w:left w:val="nil"/>
              <w:bottom w:val="single" w:sz="8" w:space="0" w:color="auto"/>
              <w:right w:val="single" w:sz="8" w:space="0" w:color="auto"/>
            </w:tcBorders>
            <w:shd w:val="clear" w:color="auto" w:fill="auto"/>
            <w:vAlign w:val="center"/>
            <w:hideMark/>
          </w:tcPr>
          <w:p w14:paraId="2CED6A32" w14:textId="1DA09E9C" w:rsidR="001A4D27" w:rsidRPr="0091518C"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r w:rsidR="002037AC">
              <w:rPr>
                <w:rFonts w:ascii="Arial" w:eastAsia="Times New Roman" w:hAnsi="Arial" w:cs="Arial"/>
                <w:color w:val="000000"/>
                <w:sz w:val="20"/>
                <w:szCs w:val="20"/>
                <w:lang w:val="es-ES_tradnl" w:eastAsia="es-CL"/>
              </w:rPr>
              <w:t xml:space="preserve">, </w:t>
            </w:r>
            <w:proofErr w:type="spellStart"/>
            <w:r w:rsidR="002037AC" w:rsidRPr="00F947D6">
              <w:rPr>
                <w:rFonts w:ascii="Arial" w:eastAsia="Times New Roman" w:hAnsi="Arial" w:cs="Arial"/>
                <w:color w:val="000000"/>
                <w:sz w:val="20"/>
                <w:szCs w:val="20"/>
                <w:lang w:eastAsia="es-CL"/>
              </w:rPr>
              <w:t>Fondos</w:t>
            </w:r>
            <w:proofErr w:type="spellEnd"/>
            <w:r w:rsidR="002037AC" w:rsidRPr="00F947D6">
              <w:rPr>
                <w:rFonts w:ascii="Arial" w:eastAsia="Times New Roman" w:hAnsi="Arial" w:cs="Arial"/>
                <w:color w:val="000000"/>
                <w:sz w:val="20"/>
                <w:szCs w:val="20"/>
                <w:lang w:eastAsia="es-CL"/>
              </w:rPr>
              <w:t xml:space="preserve"> de </w:t>
            </w:r>
            <w:proofErr w:type="spellStart"/>
            <w:r w:rsidR="002037AC" w:rsidRPr="00F947D6">
              <w:rPr>
                <w:rFonts w:ascii="Arial" w:eastAsia="Times New Roman" w:hAnsi="Arial" w:cs="Arial"/>
                <w:color w:val="000000"/>
                <w:sz w:val="20"/>
                <w:szCs w:val="20"/>
                <w:lang w:eastAsia="es-CL"/>
              </w:rPr>
              <w:t>su</w:t>
            </w:r>
            <w:r w:rsidR="0047581A" w:rsidRPr="00F947D6">
              <w:rPr>
                <w:rFonts w:ascii="Arial" w:eastAsia="Times New Roman" w:hAnsi="Arial" w:cs="Arial"/>
                <w:color w:val="000000"/>
                <w:sz w:val="20"/>
                <w:szCs w:val="20"/>
                <w:lang w:eastAsia="es-CL"/>
              </w:rPr>
              <w:t>per</w:t>
            </w:r>
            <w:r w:rsidR="002037AC" w:rsidRPr="00F947D6">
              <w:rPr>
                <w:rFonts w:ascii="Arial" w:eastAsia="Times New Roman" w:hAnsi="Arial" w:cs="Arial"/>
                <w:color w:val="000000"/>
                <w:sz w:val="20"/>
                <w:szCs w:val="20"/>
                <w:lang w:eastAsia="es-CL"/>
              </w:rPr>
              <w:t>visión</w:t>
            </w:r>
            <w:proofErr w:type="spellEnd"/>
          </w:p>
        </w:tc>
      </w:tr>
      <w:tr w:rsidR="001A4D27" w:rsidRPr="00152CDF" w14:paraId="6E8ABD90" w14:textId="77777777" w:rsidTr="00F57761">
        <w:trPr>
          <w:trHeight w:val="315"/>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1684F41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Taller de cierre</w:t>
            </w:r>
          </w:p>
        </w:tc>
        <w:tc>
          <w:tcPr>
            <w:tcW w:w="252" w:type="pct"/>
            <w:tcBorders>
              <w:top w:val="nil"/>
              <w:left w:val="nil"/>
              <w:bottom w:val="single" w:sz="8" w:space="0" w:color="auto"/>
              <w:right w:val="single" w:sz="8" w:space="0" w:color="auto"/>
            </w:tcBorders>
            <w:shd w:val="clear" w:color="auto" w:fill="auto"/>
            <w:vAlign w:val="center"/>
            <w:hideMark/>
          </w:tcPr>
          <w:p w14:paraId="05940633"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1ABE73B9"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176A4598"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62FC9356"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4" w:type="pct"/>
            <w:tcBorders>
              <w:top w:val="nil"/>
              <w:left w:val="nil"/>
              <w:bottom w:val="single" w:sz="8" w:space="0" w:color="auto"/>
              <w:right w:val="single" w:sz="8" w:space="0" w:color="auto"/>
            </w:tcBorders>
            <w:shd w:val="clear" w:color="auto" w:fill="auto"/>
            <w:vAlign w:val="center"/>
            <w:hideMark/>
          </w:tcPr>
          <w:p w14:paraId="0EAD3026"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251CD67B"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5E5CFAC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300CC8A8"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757AA93F"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7" w:type="pct"/>
            <w:tcBorders>
              <w:top w:val="nil"/>
              <w:left w:val="nil"/>
              <w:bottom w:val="single" w:sz="8" w:space="0" w:color="auto"/>
              <w:right w:val="single" w:sz="8" w:space="0" w:color="auto"/>
            </w:tcBorders>
            <w:shd w:val="clear" w:color="auto" w:fill="auto"/>
            <w:vAlign w:val="center"/>
            <w:hideMark/>
          </w:tcPr>
          <w:p w14:paraId="7DBBDC61"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719" w:type="pct"/>
            <w:tcBorders>
              <w:top w:val="nil"/>
              <w:left w:val="nil"/>
              <w:bottom w:val="single" w:sz="8" w:space="0" w:color="auto"/>
              <w:right w:val="single" w:sz="8" w:space="0" w:color="auto"/>
            </w:tcBorders>
            <w:shd w:val="clear" w:color="auto" w:fill="auto"/>
            <w:vAlign w:val="center"/>
            <w:hideMark/>
          </w:tcPr>
          <w:p w14:paraId="2B02773E"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DEP-BID</w:t>
            </w:r>
          </w:p>
        </w:tc>
        <w:tc>
          <w:tcPr>
            <w:tcW w:w="516" w:type="pct"/>
            <w:tcBorders>
              <w:top w:val="nil"/>
              <w:left w:val="nil"/>
              <w:bottom w:val="single" w:sz="8" w:space="0" w:color="auto"/>
              <w:right w:val="single" w:sz="8" w:space="0" w:color="auto"/>
            </w:tcBorders>
            <w:shd w:val="clear" w:color="auto" w:fill="auto"/>
            <w:vAlign w:val="center"/>
            <w:hideMark/>
          </w:tcPr>
          <w:p w14:paraId="18A53EB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2</w:t>
            </w:r>
          </w:p>
        </w:tc>
        <w:tc>
          <w:tcPr>
            <w:tcW w:w="468" w:type="pct"/>
            <w:tcBorders>
              <w:top w:val="nil"/>
              <w:left w:val="nil"/>
              <w:bottom w:val="single" w:sz="8" w:space="0" w:color="auto"/>
              <w:right w:val="single" w:sz="8" w:space="0" w:color="auto"/>
            </w:tcBorders>
            <w:shd w:val="clear" w:color="auto" w:fill="auto"/>
            <w:vAlign w:val="center"/>
            <w:hideMark/>
          </w:tcPr>
          <w:p w14:paraId="1662FCD9" w14:textId="0EA815CC" w:rsidR="001A4D27" w:rsidRPr="0091518C"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r w:rsidR="002037AC">
              <w:rPr>
                <w:rFonts w:ascii="Arial" w:eastAsia="Times New Roman" w:hAnsi="Arial" w:cs="Arial"/>
                <w:color w:val="000000"/>
                <w:sz w:val="20"/>
                <w:szCs w:val="20"/>
                <w:lang w:val="es-ES_tradnl" w:eastAsia="es-CL"/>
              </w:rPr>
              <w:t xml:space="preserve">, </w:t>
            </w:r>
            <w:proofErr w:type="spellStart"/>
            <w:r w:rsidR="002037AC" w:rsidRPr="00F947D6">
              <w:rPr>
                <w:rFonts w:ascii="Arial" w:eastAsia="Times New Roman" w:hAnsi="Arial" w:cs="Arial"/>
                <w:color w:val="000000"/>
                <w:sz w:val="20"/>
                <w:szCs w:val="20"/>
                <w:lang w:eastAsia="es-CL"/>
              </w:rPr>
              <w:t>Fondos</w:t>
            </w:r>
            <w:proofErr w:type="spellEnd"/>
            <w:r w:rsidR="002037AC" w:rsidRPr="00F947D6">
              <w:rPr>
                <w:rFonts w:ascii="Arial" w:eastAsia="Times New Roman" w:hAnsi="Arial" w:cs="Arial"/>
                <w:color w:val="000000"/>
                <w:sz w:val="20"/>
                <w:szCs w:val="20"/>
                <w:lang w:eastAsia="es-CL"/>
              </w:rPr>
              <w:t xml:space="preserve"> de </w:t>
            </w:r>
            <w:proofErr w:type="spellStart"/>
            <w:r w:rsidR="002037AC" w:rsidRPr="00F947D6">
              <w:rPr>
                <w:rFonts w:ascii="Arial" w:eastAsia="Times New Roman" w:hAnsi="Arial" w:cs="Arial"/>
                <w:color w:val="000000"/>
                <w:sz w:val="20"/>
                <w:szCs w:val="20"/>
                <w:lang w:eastAsia="es-CL"/>
              </w:rPr>
              <w:t>su</w:t>
            </w:r>
            <w:r w:rsidR="0047581A" w:rsidRPr="00F947D6">
              <w:rPr>
                <w:rFonts w:ascii="Arial" w:eastAsia="Times New Roman" w:hAnsi="Arial" w:cs="Arial"/>
                <w:color w:val="000000"/>
                <w:sz w:val="20"/>
                <w:szCs w:val="20"/>
                <w:lang w:eastAsia="es-CL"/>
              </w:rPr>
              <w:t>per</w:t>
            </w:r>
            <w:r w:rsidR="002037AC" w:rsidRPr="00F947D6">
              <w:rPr>
                <w:rFonts w:ascii="Arial" w:eastAsia="Times New Roman" w:hAnsi="Arial" w:cs="Arial"/>
                <w:color w:val="000000"/>
                <w:sz w:val="20"/>
                <w:szCs w:val="20"/>
                <w:lang w:eastAsia="es-CL"/>
              </w:rPr>
              <w:t>visión</w:t>
            </w:r>
            <w:proofErr w:type="spellEnd"/>
          </w:p>
        </w:tc>
      </w:tr>
      <w:tr w:rsidR="001A4D27" w:rsidRPr="00152CDF" w14:paraId="678E1C43" w14:textId="77777777" w:rsidTr="00F57761">
        <w:trPr>
          <w:trHeight w:val="780"/>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5B97280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Consultoría de verificación independiente</w:t>
            </w:r>
          </w:p>
        </w:tc>
        <w:tc>
          <w:tcPr>
            <w:tcW w:w="252" w:type="pct"/>
            <w:tcBorders>
              <w:top w:val="nil"/>
              <w:left w:val="nil"/>
              <w:bottom w:val="single" w:sz="8" w:space="0" w:color="auto"/>
              <w:right w:val="single" w:sz="8" w:space="0" w:color="auto"/>
            </w:tcBorders>
            <w:shd w:val="clear" w:color="auto" w:fill="auto"/>
            <w:vAlign w:val="center"/>
            <w:hideMark/>
          </w:tcPr>
          <w:p w14:paraId="50E6C7BE"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408996E5"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796EA4FB"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24BC3090"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4" w:type="pct"/>
            <w:tcBorders>
              <w:top w:val="nil"/>
              <w:left w:val="nil"/>
              <w:bottom w:val="single" w:sz="8" w:space="0" w:color="auto"/>
              <w:right w:val="single" w:sz="8" w:space="0" w:color="auto"/>
            </w:tcBorders>
            <w:shd w:val="clear" w:color="000000" w:fill="7F7F7F"/>
            <w:vAlign w:val="center"/>
            <w:hideMark/>
          </w:tcPr>
          <w:p w14:paraId="629FD60F"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28E3DDCF"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48C1184E"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32CE3477"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2BBF81B0"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7" w:type="pct"/>
            <w:tcBorders>
              <w:top w:val="nil"/>
              <w:left w:val="nil"/>
              <w:bottom w:val="single" w:sz="8" w:space="0" w:color="auto"/>
              <w:right w:val="single" w:sz="8" w:space="0" w:color="auto"/>
            </w:tcBorders>
            <w:shd w:val="clear" w:color="auto" w:fill="auto"/>
            <w:vAlign w:val="center"/>
            <w:hideMark/>
          </w:tcPr>
          <w:p w14:paraId="6CDF0936"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719" w:type="pct"/>
            <w:tcBorders>
              <w:top w:val="nil"/>
              <w:left w:val="nil"/>
              <w:bottom w:val="single" w:sz="8" w:space="0" w:color="auto"/>
              <w:right w:val="single" w:sz="8" w:space="0" w:color="auto"/>
            </w:tcBorders>
            <w:shd w:val="clear" w:color="auto" w:fill="auto"/>
            <w:vAlign w:val="center"/>
            <w:hideMark/>
          </w:tcPr>
          <w:p w14:paraId="4371595F"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p>
        </w:tc>
        <w:tc>
          <w:tcPr>
            <w:tcW w:w="516" w:type="pct"/>
            <w:tcBorders>
              <w:top w:val="nil"/>
              <w:left w:val="nil"/>
              <w:bottom w:val="single" w:sz="8" w:space="0" w:color="auto"/>
              <w:right w:val="single" w:sz="8" w:space="0" w:color="auto"/>
            </w:tcBorders>
            <w:shd w:val="clear" w:color="auto" w:fill="auto"/>
            <w:vAlign w:val="center"/>
            <w:hideMark/>
          </w:tcPr>
          <w:p w14:paraId="6E7E7BFB"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30</w:t>
            </w:r>
          </w:p>
        </w:tc>
        <w:tc>
          <w:tcPr>
            <w:tcW w:w="468" w:type="pct"/>
            <w:tcBorders>
              <w:top w:val="nil"/>
              <w:left w:val="nil"/>
              <w:bottom w:val="single" w:sz="8" w:space="0" w:color="auto"/>
              <w:right w:val="single" w:sz="8" w:space="0" w:color="auto"/>
            </w:tcBorders>
            <w:shd w:val="clear" w:color="auto" w:fill="auto"/>
            <w:vAlign w:val="center"/>
            <w:hideMark/>
          </w:tcPr>
          <w:p w14:paraId="056750A9" w14:textId="7CB41B06" w:rsidR="001A4D27" w:rsidRPr="00872498"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r w:rsidR="002037AC">
              <w:rPr>
                <w:rFonts w:ascii="Arial" w:eastAsia="Times New Roman" w:hAnsi="Arial" w:cs="Arial"/>
                <w:color w:val="000000"/>
                <w:sz w:val="20"/>
                <w:szCs w:val="20"/>
                <w:lang w:val="es-ES_tradnl" w:eastAsia="es-CL"/>
              </w:rPr>
              <w:t xml:space="preserve">, </w:t>
            </w:r>
            <w:r w:rsidR="00C76B9B" w:rsidRPr="00C76B9B">
              <w:rPr>
                <w:rFonts w:ascii="Arial" w:eastAsia="Times New Roman" w:hAnsi="Arial" w:cs="Arial"/>
                <w:color w:val="000000"/>
                <w:sz w:val="20"/>
                <w:szCs w:val="20"/>
                <w:lang w:val="es-ES_tradnl" w:eastAsia="es-CL"/>
              </w:rPr>
              <w:t>ATN/</w:t>
            </w:r>
            <w:proofErr w:type="spellStart"/>
            <w:r w:rsidR="00C76B9B" w:rsidRPr="00C76B9B">
              <w:rPr>
                <w:rFonts w:ascii="Arial" w:eastAsia="Times New Roman" w:hAnsi="Arial" w:cs="Arial"/>
                <w:color w:val="000000"/>
                <w:sz w:val="20"/>
                <w:szCs w:val="20"/>
                <w:lang w:val="es-ES_tradnl" w:eastAsia="es-CL"/>
              </w:rPr>
              <w:t>OC</w:t>
            </w:r>
            <w:proofErr w:type="spellEnd"/>
            <w:r w:rsidR="00C76B9B" w:rsidRPr="00C76B9B">
              <w:rPr>
                <w:rFonts w:ascii="Arial" w:eastAsia="Times New Roman" w:hAnsi="Arial" w:cs="Arial"/>
                <w:color w:val="000000"/>
                <w:sz w:val="20"/>
                <w:szCs w:val="20"/>
                <w:lang w:val="es-ES_tradnl" w:eastAsia="es-CL"/>
              </w:rPr>
              <w:t>-17702</w:t>
            </w:r>
          </w:p>
        </w:tc>
      </w:tr>
      <w:tr w:rsidR="001A4D27" w:rsidRPr="00152CDF" w14:paraId="4ABE3596" w14:textId="77777777" w:rsidTr="00F57761">
        <w:trPr>
          <w:trHeight w:val="525"/>
        </w:trPr>
        <w:tc>
          <w:tcPr>
            <w:tcW w:w="743" w:type="pct"/>
            <w:tcBorders>
              <w:top w:val="nil"/>
              <w:left w:val="single" w:sz="8" w:space="0" w:color="auto"/>
              <w:bottom w:val="single" w:sz="8" w:space="0" w:color="auto"/>
              <w:right w:val="single" w:sz="8" w:space="0" w:color="auto"/>
            </w:tcBorders>
            <w:shd w:val="clear" w:color="auto" w:fill="auto"/>
            <w:vAlign w:val="center"/>
            <w:hideMark/>
          </w:tcPr>
          <w:p w14:paraId="51DF315F"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Evaluación de impacto</w:t>
            </w:r>
          </w:p>
        </w:tc>
        <w:tc>
          <w:tcPr>
            <w:tcW w:w="252" w:type="pct"/>
            <w:tcBorders>
              <w:top w:val="nil"/>
              <w:left w:val="nil"/>
              <w:bottom w:val="single" w:sz="8" w:space="0" w:color="auto"/>
              <w:right w:val="single" w:sz="8" w:space="0" w:color="auto"/>
            </w:tcBorders>
            <w:shd w:val="clear" w:color="auto" w:fill="auto"/>
            <w:vAlign w:val="center"/>
            <w:hideMark/>
          </w:tcPr>
          <w:p w14:paraId="7A75ED17"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1915748F"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67254652"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1C07B6B8"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4" w:type="pct"/>
            <w:tcBorders>
              <w:top w:val="nil"/>
              <w:left w:val="nil"/>
              <w:bottom w:val="single" w:sz="8" w:space="0" w:color="auto"/>
              <w:right w:val="single" w:sz="8" w:space="0" w:color="auto"/>
            </w:tcBorders>
            <w:shd w:val="clear" w:color="auto" w:fill="auto"/>
            <w:vAlign w:val="center"/>
            <w:hideMark/>
          </w:tcPr>
          <w:p w14:paraId="6EF97F24"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5" w:type="pct"/>
            <w:tcBorders>
              <w:top w:val="nil"/>
              <w:left w:val="nil"/>
              <w:bottom w:val="single" w:sz="8" w:space="0" w:color="auto"/>
              <w:right w:val="single" w:sz="8" w:space="0" w:color="auto"/>
            </w:tcBorders>
            <w:shd w:val="clear" w:color="auto" w:fill="auto"/>
            <w:vAlign w:val="center"/>
            <w:hideMark/>
          </w:tcPr>
          <w:p w14:paraId="748F8129"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405AF01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auto" w:fill="auto"/>
            <w:vAlign w:val="center"/>
            <w:hideMark/>
          </w:tcPr>
          <w:p w14:paraId="7BBA69D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6" w:type="pct"/>
            <w:tcBorders>
              <w:top w:val="nil"/>
              <w:left w:val="nil"/>
              <w:bottom w:val="single" w:sz="8" w:space="0" w:color="auto"/>
              <w:right w:val="single" w:sz="8" w:space="0" w:color="auto"/>
            </w:tcBorders>
            <w:shd w:val="clear" w:color="000000" w:fill="7F7F7F"/>
            <w:vAlign w:val="center"/>
            <w:hideMark/>
          </w:tcPr>
          <w:p w14:paraId="397C419D"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257" w:type="pct"/>
            <w:tcBorders>
              <w:top w:val="nil"/>
              <w:left w:val="nil"/>
              <w:bottom w:val="single" w:sz="8" w:space="0" w:color="auto"/>
              <w:right w:val="single" w:sz="8" w:space="0" w:color="auto"/>
            </w:tcBorders>
            <w:shd w:val="clear" w:color="000000" w:fill="7F7F7F"/>
            <w:vAlign w:val="center"/>
            <w:hideMark/>
          </w:tcPr>
          <w:p w14:paraId="6EEE0776"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 </w:t>
            </w:r>
          </w:p>
        </w:tc>
        <w:tc>
          <w:tcPr>
            <w:tcW w:w="719" w:type="pct"/>
            <w:tcBorders>
              <w:top w:val="nil"/>
              <w:left w:val="nil"/>
              <w:bottom w:val="single" w:sz="8" w:space="0" w:color="auto"/>
              <w:right w:val="single" w:sz="8" w:space="0" w:color="auto"/>
            </w:tcBorders>
            <w:shd w:val="clear" w:color="auto" w:fill="auto"/>
            <w:vAlign w:val="center"/>
            <w:hideMark/>
          </w:tcPr>
          <w:p w14:paraId="3CA13B7E"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p>
        </w:tc>
        <w:tc>
          <w:tcPr>
            <w:tcW w:w="516" w:type="pct"/>
            <w:tcBorders>
              <w:top w:val="nil"/>
              <w:left w:val="nil"/>
              <w:bottom w:val="single" w:sz="8" w:space="0" w:color="auto"/>
              <w:right w:val="single" w:sz="8" w:space="0" w:color="auto"/>
            </w:tcBorders>
            <w:shd w:val="clear" w:color="auto" w:fill="auto"/>
            <w:vAlign w:val="center"/>
            <w:hideMark/>
          </w:tcPr>
          <w:p w14:paraId="107433E8" w14:textId="77777777" w:rsidR="001A4D27" w:rsidRPr="00152CDF"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15</w:t>
            </w:r>
          </w:p>
        </w:tc>
        <w:tc>
          <w:tcPr>
            <w:tcW w:w="468" w:type="pct"/>
            <w:tcBorders>
              <w:top w:val="nil"/>
              <w:left w:val="nil"/>
              <w:bottom w:val="single" w:sz="8" w:space="0" w:color="auto"/>
              <w:right w:val="single" w:sz="8" w:space="0" w:color="auto"/>
            </w:tcBorders>
            <w:shd w:val="clear" w:color="auto" w:fill="auto"/>
            <w:vAlign w:val="center"/>
            <w:hideMark/>
          </w:tcPr>
          <w:p w14:paraId="54F80AAB" w14:textId="247DC139" w:rsidR="001A4D27" w:rsidRPr="005F3BE8" w:rsidRDefault="001A4D27" w:rsidP="001A4D27">
            <w:pPr>
              <w:spacing w:after="0" w:line="240" w:lineRule="auto"/>
              <w:jc w:val="center"/>
              <w:rPr>
                <w:rFonts w:ascii="Arial" w:eastAsia="Times New Roman" w:hAnsi="Arial" w:cs="Arial"/>
                <w:color w:val="000000"/>
                <w:sz w:val="20"/>
                <w:szCs w:val="20"/>
                <w:lang w:val="es-ES_tradnl" w:eastAsia="es-CL"/>
              </w:rPr>
            </w:pPr>
            <w:r w:rsidRPr="00152CDF">
              <w:rPr>
                <w:rFonts w:ascii="Arial" w:eastAsia="Times New Roman" w:hAnsi="Arial" w:cs="Arial"/>
                <w:color w:val="000000"/>
                <w:sz w:val="20"/>
                <w:szCs w:val="20"/>
                <w:lang w:val="es-ES_tradnl" w:eastAsia="es-CL"/>
              </w:rPr>
              <w:t>BID</w:t>
            </w:r>
            <w:r w:rsidR="00B22D68">
              <w:rPr>
                <w:rFonts w:ascii="Arial" w:eastAsia="Times New Roman" w:hAnsi="Arial" w:cs="Arial"/>
                <w:color w:val="000000"/>
                <w:sz w:val="20"/>
                <w:szCs w:val="20"/>
                <w:lang w:val="es-ES_tradnl" w:eastAsia="es-CL"/>
              </w:rPr>
              <w:t xml:space="preserve">, </w:t>
            </w:r>
            <w:r w:rsidR="006C3D45">
              <w:rPr>
                <w:rFonts w:ascii="Arial" w:eastAsia="Times New Roman" w:hAnsi="Arial" w:cs="Arial"/>
                <w:color w:val="000000"/>
                <w:sz w:val="20"/>
                <w:szCs w:val="20"/>
                <w:lang w:val="es-ES_tradnl" w:eastAsia="es-CL"/>
              </w:rPr>
              <w:t>Cooperació</w:t>
            </w:r>
            <w:r w:rsidR="00AB27BA" w:rsidRPr="00872498">
              <w:rPr>
                <w:rFonts w:ascii="Arial" w:eastAsia="Times New Roman" w:hAnsi="Arial" w:cs="Arial"/>
                <w:color w:val="000000"/>
                <w:sz w:val="20"/>
                <w:szCs w:val="20"/>
                <w:lang w:val="es-ES_tradnl" w:eastAsia="es-CL"/>
              </w:rPr>
              <w:t>n Técnica</w:t>
            </w:r>
          </w:p>
        </w:tc>
      </w:tr>
    </w:tbl>
    <w:p w14:paraId="6B3060E4" w14:textId="3FA12F33" w:rsidR="00C34D99" w:rsidRPr="00152CDF" w:rsidRDefault="00C34D99">
      <w:pPr>
        <w:rPr>
          <w:rFonts w:ascii="Arial" w:hAnsi="Arial" w:cs="Arial"/>
          <w:b/>
          <w:lang w:val="es-ES_tradnl"/>
        </w:rPr>
      </w:pPr>
    </w:p>
    <w:p w14:paraId="23B6BEFC" w14:textId="77777777" w:rsidR="009574B8" w:rsidRPr="00152CDF" w:rsidRDefault="009574B8" w:rsidP="00C85E02">
      <w:pPr>
        <w:spacing w:line="240" w:lineRule="auto"/>
        <w:jc w:val="both"/>
        <w:rPr>
          <w:rFonts w:ascii="Arial" w:hAnsi="Arial" w:cs="Arial"/>
          <w:b/>
          <w:lang w:val="es-ES_tradnl"/>
        </w:rPr>
        <w:sectPr w:rsidR="009574B8" w:rsidRPr="00152CDF" w:rsidSect="00394313">
          <w:pgSz w:w="12240" w:h="15840"/>
          <w:pgMar w:top="1440" w:right="1440" w:bottom="1440" w:left="1440" w:header="720" w:footer="720" w:gutter="0"/>
          <w:cols w:space="720"/>
          <w:docGrid w:linePitch="360"/>
        </w:sectPr>
      </w:pPr>
    </w:p>
    <w:p w14:paraId="3A02003E" w14:textId="77777777" w:rsidR="001F2EF6" w:rsidRPr="00152CDF" w:rsidRDefault="001F2EF6" w:rsidP="00F947D6">
      <w:pPr>
        <w:pStyle w:val="Chapter"/>
        <w:numPr>
          <w:ilvl w:val="0"/>
          <w:numId w:val="28"/>
        </w:numPr>
        <w:jc w:val="left"/>
        <w:rPr>
          <w:rFonts w:ascii="Arial" w:hAnsi="Arial" w:cs="Arial"/>
          <w:sz w:val="22"/>
          <w:lang w:val="es-ES_tradnl"/>
        </w:rPr>
      </w:pPr>
      <w:bookmarkStart w:id="9" w:name="_Toc301033062"/>
      <w:bookmarkStart w:id="10" w:name="_Toc34300356"/>
      <w:r w:rsidRPr="00152CDF">
        <w:rPr>
          <w:rFonts w:ascii="Arial" w:hAnsi="Arial" w:cs="Arial"/>
          <w:sz w:val="22"/>
          <w:lang w:val="es-ES_tradnl"/>
        </w:rPr>
        <w:lastRenderedPageBreak/>
        <w:t>Evaluación</w:t>
      </w:r>
      <w:bookmarkEnd w:id="9"/>
      <w:bookmarkEnd w:id="10"/>
    </w:p>
    <w:p w14:paraId="6344C959" w14:textId="0387290E" w:rsidR="00464A65" w:rsidRPr="00152CDF" w:rsidRDefault="005F2364" w:rsidP="00F947D6">
      <w:pPr>
        <w:pStyle w:val="Heading2"/>
        <w:numPr>
          <w:ilvl w:val="1"/>
          <w:numId w:val="28"/>
        </w:numPr>
        <w:spacing w:before="120"/>
        <w:rPr>
          <w:lang w:val="es-ES_tradnl"/>
        </w:rPr>
      </w:pPr>
      <w:r w:rsidRPr="00152CDF">
        <w:rPr>
          <w:lang w:val="es-ES_tradnl"/>
        </w:rPr>
        <w:t>La evaluación</w:t>
      </w:r>
      <w:r w:rsidR="00C34D99" w:rsidRPr="00152CDF">
        <w:rPr>
          <w:lang w:val="es-ES_tradnl"/>
        </w:rPr>
        <w:t xml:space="preserve"> </w:t>
      </w:r>
      <w:r w:rsidR="00AB5CA1" w:rsidRPr="00152CDF">
        <w:rPr>
          <w:lang w:val="es-ES_tradnl"/>
        </w:rPr>
        <w:t>tiene como obje</w:t>
      </w:r>
      <w:r w:rsidR="00F96E6D" w:rsidRPr="00152CDF">
        <w:rPr>
          <w:lang w:val="es-ES_tradnl"/>
        </w:rPr>
        <w:t>tivo</w:t>
      </w:r>
      <w:r w:rsidRPr="00152CDF">
        <w:rPr>
          <w:lang w:val="es-ES_tradnl"/>
        </w:rPr>
        <w:t xml:space="preserve"> determinar </w:t>
      </w:r>
      <w:r w:rsidR="002F14B9" w:rsidRPr="00152CDF">
        <w:rPr>
          <w:lang w:val="es-ES_tradnl"/>
        </w:rPr>
        <w:t xml:space="preserve">el impacto </w:t>
      </w:r>
      <w:r w:rsidR="00E43D34" w:rsidRPr="00152CDF">
        <w:rPr>
          <w:lang w:val="es-ES_tradnl"/>
        </w:rPr>
        <w:t xml:space="preserve">de </w:t>
      </w:r>
      <w:r w:rsidR="00753C74" w:rsidRPr="00152CDF">
        <w:rPr>
          <w:lang w:val="es-ES_tradnl"/>
        </w:rPr>
        <w:t xml:space="preserve">la </w:t>
      </w:r>
      <w:r w:rsidR="00E43D34" w:rsidRPr="00152CDF">
        <w:rPr>
          <w:lang w:val="es-ES_tradnl"/>
        </w:rPr>
        <w:t xml:space="preserve">nueva institucionalidad </w:t>
      </w:r>
      <w:r w:rsidR="00F271EF" w:rsidRPr="00152CDF">
        <w:rPr>
          <w:lang w:val="es-ES_tradnl"/>
        </w:rPr>
        <w:t>de la educación pública</w:t>
      </w:r>
      <w:r w:rsidR="003F14A9" w:rsidRPr="00152CDF">
        <w:rPr>
          <w:lang w:val="es-ES_tradnl"/>
        </w:rPr>
        <w:t xml:space="preserve"> en la calidad</w:t>
      </w:r>
      <w:r w:rsidR="00316FAC" w:rsidRPr="00152CDF">
        <w:rPr>
          <w:lang w:val="es-ES_tradnl"/>
        </w:rPr>
        <w:t xml:space="preserve"> educativa</w:t>
      </w:r>
      <w:r w:rsidR="009D3B15" w:rsidRPr="00152CDF">
        <w:rPr>
          <w:lang w:val="es-ES_tradnl"/>
        </w:rPr>
        <w:t>, y proveer información acerca de las posibles estrategias para maximizar dichos impactos</w:t>
      </w:r>
      <w:r w:rsidR="00E43D34" w:rsidRPr="00152CDF">
        <w:rPr>
          <w:lang w:val="es-ES_tradnl"/>
        </w:rPr>
        <w:t>.</w:t>
      </w:r>
    </w:p>
    <w:p w14:paraId="63B0F60B" w14:textId="733EB9BA" w:rsidR="007723B0" w:rsidRPr="00152CDF" w:rsidRDefault="00464A65" w:rsidP="00F947D6">
      <w:pPr>
        <w:pStyle w:val="Heading2"/>
        <w:numPr>
          <w:ilvl w:val="1"/>
          <w:numId w:val="28"/>
        </w:numPr>
        <w:spacing w:before="120"/>
        <w:rPr>
          <w:lang w:val="es-ES_tradnl"/>
        </w:rPr>
      </w:pPr>
      <w:r w:rsidRPr="00152CDF">
        <w:rPr>
          <w:lang w:val="es-ES_tradnl"/>
        </w:rPr>
        <w:t>Pregunta de Investigación: (i) ¿Cuál es el efecto de la nueva institucionalidad en los resultados de aprendizaje de los estudiantes?</w:t>
      </w:r>
    </w:p>
    <w:p w14:paraId="7C999B8B" w14:textId="7A796452" w:rsidR="0037385C" w:rsidRPr="00152CDF" w:rsidRDefault="001E136A" w:rsidP="00F947D6">
      <w:pPr>
        <w:pStyle w:val="Heading2"/>
        <w:numPr>
          <w:ilvl w:val="1"/>
          <w:numId w:val="28"/>
        </w:numPr>
        <w:spacing w:before="120"/>
        <w:rPr>
          <w:lang w:val="es-ES_tradnl"/>
        </w:rPr>
      </w:pPr>
      <w:r w:rsidRPr="00152CDF">
        <w:rPr>
          <w:lang w:val="es-ES_tradnl"/>
        </w:rPr>
        <w:t xml:space="preserve">Para ello, </w:t>
      </w:r>
      <w:r w:rsidR="00464A65" w:rsidRPr="00152CDF">
        <w:rPr>
          <w:lang w:val="es-ES_tradnl"/>
        </w:rPr>
        <w:t>se analizará el efecto de la nueva institucionalidad en el aprendizaje de los estudiantes, (medido a través de los estudiantes de 4º básico y 2º medio que se encuentran en nivel de estándares de aprendizaje insuficiente en SIMCE)</w:t>
      </w:r>
    </w:p>
    <w:p w14:paraId="6F7067BB" w14:textId="2D89E30C" w:rsidR="00464A65" w:rsidRPr="00152CDF" w:rsidRDefault="00464A65" w:rsidP="00F947D6">
      <w:pPr>
        <w:pStyle w:val="Heading2"/>
        <w:numPr>
          <w:ilvl w:val="1"/>
          <w:numId w:val="28"/>
        </w:numPr>
        <w:spacing w:before="120"/>
        <w:rPr>
          <w:lang w:val="es-ES_tradnl"/>
        </w:rPr>
      </w:pPr>
      <w:r w:rsidRPr="00152CDF">
        <w:rPr>
          <w:lang w:val="es-ES_tradnl"/>
        </w:rPr>
        <w:t>La selección de est</w:t>
      </w:r>
      <w:r w:rsidR="00E47C17" w:rsidRPr="00152CDF">
        <w:rPr>
          <w:lang w:val="es-ES_tradnl"/>
        </w:rPr>
        <w:t xml:space="preserve">e </w:t>
      </w:r>
      <w:r w:rsidRPr="00152CDF">
        <w:rPr>
          <w:lang w:val="es-ES_tradnl"/>
        </w:rPr>
        <w:t>foco de interés responde al hecho de que</w:t>
      </w:r>
      <w:r w:rsidR="00E47C17" w:rsidRPr="00152CDF">
        <w:rPr>
          <w:lang w:val="es-ES_tradnl"/>
        </w:rPr>
        <w:t xml:space="preserve"> el programa </w:t>
      </w:r>
      <w:r w:rsidR="003B5E46" w:rsidRPr="00152CDF">
        <w:rPr>
          <w:lang w:val="es-ES_tradnl"/>
        </w:rPr>
        <w:t xml:space="preserve">tiene como resultado esperado generar un cambio </w:t>
      </w:r>
      <w:r w:rsidRPr="00152CDF">
        <w:rPr>
          <w:lang w:val="es-ES_tradnl"/>
        </w:rPr>
        <w:t>en las prácticas de gestión</w:t>
      </w:r>
      <w:r w:rsidR="003B5E46" w:rsidRPr="00152CDF">
        <w:rPr>
          <w:lang w:val="es-ES_tradnl"/>
        </w:rPr>
        <w:t xml:space="preserve"> educativa que afecte positivamente </w:t>
      </w:r>
      <w:r w:rsidRPr="00152CDF">
        <w:rPr>
          <w:lang w:val="es-ES_tradnl"/>
        </w:rPr>
        <w:t xml:space="preserve">en los resultados de aprendizaje. Los cambios en la gestión a nivel del gobierno local de la educación están mediados por cambios en la gestión en las escuelas </w:t>
      </w:r>
      <w:r w:rsidR="003E78D2">
        <w:rPr>
          <w:lang w:val="es-ES_tradnl"/>
        </w:rPr>
        <w:t xml:space="preserve">que repercutan en </w:t>
      </w:r>
      <w:r w:rsidRPr="00152CDF">
        <w:rPr>
          <w:lang w:val="es-ES_tradnl"/>
        </w:rPr>
        <w:t xml:space="preserve">cambios en las prácticas de aula de los profesores que </w:t>
      </w:r>
      <w:r w:rsidR="00583DA0">
        <w:rPr>
          <w:lang w:val="es-ES_tradnl"/>
        </w:rPr>
        <w:t xml:space="preserve">afectan el </w:t>
      </w:r>
      <w:r w:rsidRPr="00152CDF">
        <w:rPr>
          <w:lang w:val="es-ES_tradnl"/>
        </w:rPr>
        <w:t>aprendizaje</w:t>
      </w:r>
      <w:r w:rsidR="00C31FAD">
        <w:rPr>
          <w:lang w:val="es-ES_tradnl"/>
        </w:rPr>
        <w:t xml:space="preserve"> de los estudiantes</w:t>
      </w:r>
      <w:r w:rsidRPr="00152CDF">
        <w:rPr>
          <w:lang w:val="es-ES_tradnl"/>
        </w:rPr>
        <w:t xml:space="preserve">. Esta cadena de mediación </w:t>
      </w:r>
      <w:r w:rsidR="00D12B0D">
        <w:rPr>
          <w:lang w:val="es-ES_tradnl"/>
        </w:rPr>
        <w:t>toma tiempo</w:t>
      </w:r>
      <w:r w:rsidR="004D6C18">
        <w:rPr>
          <w:lang w:val="es-ES_tradnl"/>
        </w:rPr>
        <w:t xml:space="preserve"> en implementarse</w:t>
      </w:r>
      <w:r w:rsidR="00D12B0D">
        <w:rPr>
          <w:lang w:val="es-ES_tradnl"/>
        </w:rPr>
        <w:t xml:space="preserve"> </w:t>
      </w:r>
      <w:r w:rsidR="004D6C18">
        <w:rPr>
          <w:lang w:val="es-ES_tradnl"/>
        </w:rPr>
        <w:t xml:space="preserve">para evidenciar </w:t>
      </w:r>
      <w:r w:rsidRPr="00152CDF">
        <w:rPr>
          <w:lang w:val="es-ES_tradnl"/>
        </w:rPr>
        <w:t>cambios en los aprendizajes</w:t>
      </w:r>
      <w:r w:rsidR="004D6C18">
        <w:rPr>
          <w:lang w:val="es-ES_tradnl"/>
        </w:rPr>
        <w:t>. La literatura</w:t>
      </w:r>
      <w:r w:rsidRPr="00152CDF">
        <w:rPr>
          <w:lang w:val="es-ES_tradnl"/>
        </w:rPr>
        <w:t xml:space="preserve"> identifica </w:t>
      </w:r>
      <w:r w:rsidR="00894CCB">
        <w:rPr>
          <w:lang w:val="es-ES_tradnl"/>
        </w:rPr>
        <w:t xml:space="preserve">efectos </w:t>
      </w:r>
      <w:r w:rsidRPr="00152CDF">
        <w:rPr>
          <w:lang w:val="es-ES_tradnl"/>
        </w:rPr>
        <w:t>recién a partir del cuarto año después de la implementación de una intervención que modifica prácticas de gestión local y escolar. Dado que en el caso de este programa se cuenta con una intervención de corto plazo (el período total del programa es 4 años) se estima que</w:t>
      </w:r>
      <w:r w:rsidR="00C15000" w:rsidRPr="00152CDF">
        <w:rPr>
          <w:lang w:val="es-ES_tradnl"/>
        </w:rPr>
        <w:t xml:space="preserve">, de encontrar efectos en mejoras en los aprendizajes, estos pueden ser una estimación conservadora </w:t>
      </w:r>
      <w:r w:rsidR="005B035A" w:rsidRPr="00152CDF">
        <w:rPr>
          <w:lang w:val="es-ES_tradnl"/>
        </w:rPr>
        <w:t xml:space="preserve">del efecto total en el largo plazo (10 </w:t>
      </w:r>
      <w:r w:rsidR="00981D76" w:rsidRPr="00152CDF">
        <w:rPr>
          <w:lang w:val="es-ES_tradnl"/>
        </w:rPr>
        <w:t>años,</w:t>
      </w:r>
      <w:r w:rsidR="005B035A" w:rsidRPr="00152CDF">
        <w:rPr>
          <w:lang w:val="es-ES_tradnl"/>
        </w:rPr>
        <w:t xml:space="preserve"> por ejemplo).</w:t>
      </w:r>
    </w:p>
    <w:p w14:paraId="571F5D4F" w14:textId="159A4629" w:rsidR="00464A65" w:rsidRPr="00152CDF" w:rsidRDefault="00C82DD7" w:rsidP="00F947D6">
      <w:pPr>
        <w:pStyle w:val="Heading2"/>
        <w:numPr>
          <w:ilvl w:val="1"/>
          <w:numId w:val="28"/>
        </w:numPr>
        <w:spacing w:before="120"/>
        <w:rPr>
          <w:lang w:val="es-ES_tradnl"/>
        </w:rPr>
      </w:pPr>
      <w:r w:rsidRPr="00152CDF">
        <w:rPr>
          <w:lang w:val="es-ES_tradnl"/>
        </w:rPr>
        <w:t xml:space="preserve">La evaluación de impacto utilizará una metodología </w:t>
      </w:r>
      <w:r w:rsidR="00D14E3B" w:rsidRPr="00152CDF">
        <w:rPr>
          <w:lang w:val="es-ES_tradnl"/>
        </w:rPr>
        <w:t>cuasiexperimental</w:t>
      </w:r>
      <w:r w:rsidRPr="00152CDF">
        <w:rPr>
          <w:lang w:val="es-ES_tradnl"/>
        </w:rPr>
        <w:t xml:space="preserve"> (diferencias en diferencias)</w:t>
      </w:r>
      <w:r w:rsidR="00C760B6" w:rsidRPr="00152CDF">
        <w:rPr>
          <w:lang w:val="es-ES_tradnl"/>
        </w:rPr>
        <w:t xml:space="preserve">. El grupo de tratamiento estará conformado por los primeros </w:t>
      </w:r>
      <w:r w:rsidR="00283711">
        <w:rPr>
          <w:lang w:val="es-ES_tradnl"/>
        </w:rPr>
        <w:t>4</w:t>
      </w:r>
      <w:r w:rsidR="00C760B6" w:rsidRPr="00152CDF">
        <w:rPr>
          <w:lang w:val="es-ES_tradnl"/>
        </w:rPr>
        <w:t xml:space="preserve"> territorios que ingresan al programa, y se construirá un grupo de control pareado a partir de un conjunto de variables de interés, aprovechando el ingreso escalonado de territorios a la nueva institucionalidad. Se analizará el efecto de la implementación de las herramientas de gestión local de la educación pública en el aprendizaje de los estudiantes</w:t>
      </w:r>
      <w:r w:rsidR="007B2F54" w:rsidRPr="00152CDF">
        <w:rPr>
          <w:lang w:val="es-ES_tradnl"/>
        </w:rPr>
        <w:t xml:space="preserve">, entendido esto como </w:t>
      </w:r>
      <w:r w:rsidR="00505C8E" w:rsidRPr="00152CDF">
        <w:rPr>
          <w:lang w:val="es-ES_tradnl"/>
        </w:rPr>
        <w:t xml:space="preserve">el cambio en </w:t>
      </w:r>
      <w:r w:rsidR="007B2F54" w:rsidRPr="00152CDF">
        <w:rPr>
          <w:lang w:val="es-ES_tradnl"/>
        </w:rPr>
        <w:t>niveles de desempeño</w:t>
      </w:r>
      <w:r w:rsidR="00505C8E" w:rsidRPr="00152CDF">
        <w:rPr>
          <w:lang w:val="es-ES_tradnl"/>
        </w:rPr>
        <w:t xml:space="preserve"> de estudiantes</w:t>
      </w:r>
      <w:r w:rsidR="00C760B6" w:rsidRPr="00152CDF">
        <w:rPr>
          <w:lang w:val="es-ES_tradnl"/>
        </w:rPr>
        <w:t xml:space="preserve">. </w:t>
      </w:r>
      <w:r w:rsidR="008276F6" w:rsidRPr="00152CDF">
        <w:rPr>
          <w:lang w:val="es-ES_tradnl"/>
        </w:rPr>
        <w:t>L</w:t>
      </w:r>
      <w:r w:rsidR="00505C8E" w:rsidRPr="00152CDF">
        <w:rPr>
          <w:lang w:val="es-ES_tradnl"/>
        </w:rPr>
        <w:t xml:space="preserve">a </w:t>
      </w:r>
      <w:r w:rsidR="00121981" w:rsidRPr="00152CDF">
        <w:rPr>
          <w:lang w:val="es-ES_tradnl"/>
        </w:rPr>
        <w:t xml:space="preserve">hipótesis </w:t>
      </w:r>
      <w:r w:rsidR="00505C8E" w:rsidRPr="00152CDF">
        <w:rPr>
          <w:lang w:val="es-ES_tradnl"/>
        </w:rPr>
        <w:t xml:space="preserve">es que la reforma institucional mejorará especialmente </w:t>
      </w:r>
      <w:r w:rsidR="00502975" w:rsidRPr="00152CDF">
        <w:rPr>
          <w:lang w:val="es-ES_tradnl"/>
        </w:rPr>
        <w:t xml:space="preserve">los procesos de aprendizaje de estudiantes en niveles de desempeño bajos. Así, se analizará </w:t>
      </w:r>
      <w:r w:rsidR="00C760B6" w:rsidRPr="00152CDF">
        <w:rPr>
          <w:lang w:val="es-ES_tradnl"/>
        </w:rPr>
        <w:t xml:space="preserve">el porcentaje de estudiantes de 4º básico que se encuentran en </w:t>
      </w:r>
      <w:r w:rsidR="00502975" w:rsidRPr="00152CDF">
        <w:rPr>
          <w:lang w:val="es-ES_tradnl"/>
        </w:rPr>
        <w:t xml:space="preserve">categoría insuficiente </w:t>
      </w:r>
      <w:r w:rsidR="00C760B6" w:rsidRPr="00152CDF">
        <w:rPr>
          <w:lang w:val="es-ES_tradnl"/>
        </w:rPr>
        <w:t>de aprendizaje</w:t>
      </w:r>
      <w:r w:rsidR="00502975" w:rsidRPr="00152CDF">
        <w:rPr>
          <w:lang w:val="es-ES_tradnl"/>
        </w:rPr>
        <w:t xml:space="preserve"> tomando las pruebas SIMCE de matemáticas y lenguaje</w:t>
      </w:r>
      <w:r w:rsidR="00C760B6" w:rsidRPr="00152CDF">
        <w:rPr>
          <w:lang w:val="es-ES_tradnl"/>
        </w:rPr>
        <w:t xml:space="preserve"> (con datos proporcionados por la Agencia de la Calidad).</w:t>
      </w:r>
    </w:p>
    <w:p w14:paraId="278DD06F" w14:textId="076A6DEB" w:rsidR="00464A65" w:rsidRPr="00152CDF" w:rsidRDefault="00502975" w:rsidP="00F947D6">
      <w:pPr>
        <w:pStyle w:val="Heading2"/>
        <w:numPr>
          <w:ilvl w:val="1"/>
          <w:numId w:val="28"/>
        </w:numPr>
        <w:spacing w:before="120"/>
        <w:rPr>
          <w:lang w:val="es-ES_tradnl"/>
        </w:rPr>
      </w:pPr>
      <w:r w:rsidRPr="00152CDF">
        <w:rPr>
          <w:lang w:val="es-ES_tradnl"/>
        </w:rPr>
        <w:t>La evaluación de impacto se alimenta de indicadores levantados por instituciones externas a la institución ejecutora (MINEDUC y Agencia de la Calidad) y corresponden a insumos centrales para el sistema educacional en su conjunto. Las fuentes de información son: (i) datos de aprendizajes provenientes de pruebas estandarizadas censales SIMCE para 4º año básico</w:t>
      </w:r>
      <w:r w:rsidR="001D2CB2">
        <w:rPr>
          <w:lang w:val="es-ES_tradnl"/>
        </w:rPr>
        <w:t xml:space="preserve"> y 2º medio</w:t>
      </w:r>
      <w:r w:rsidRPr="00152CDF">
        <w:rPr>
          <w:lang w:val="es-ES_tradnl"/>
        </w:rPr>
        <w:t xml:space="preserve"> en Matemáticas y Lenguaje; (</w:t>
      </w:r>
      <w:proofErr w:type="spellStart"/>
      <w:r w:rsidRPr="00152CDF">
        <w:rPr>
          <w:lang w:val="es-ES_tradnl"/>
        </w:rPr>
        <w:t>ii</w:t>
      </w:r>
      <w:proofErr w:type="spellEnd"/>
      <w:r w:rsidRPr="00152CDF">
        <w:rPr>
          <w:lang w:val="es-ES_tradnl"/>
        </w:rPr>
        <w:t>) datos administrativos de la matrícula levantados por el MINEDUC.</w:t>
      </w:r>
      <w:r w:rsidR="001B7B1D">
        <w:rPr>
          <w:lang w:val="es-ES_tradnl"/>
        </w:rPr>
        <w:t xml:space="preserve"> La </w:t>
      </w:r>
      <w:r w:rsidR="00C72AEF">
        <w:rPr>
          <w:lang w:val="es-ES_tradnl"/>
        </w:rPr>
        <w:t>evaluación</w:t>
      </w:r>
      <w:r w:rsidR="001B7B1D">
        <w:rPr>
          <w:lang w:val="es-ES_tradnl"/>
        </w:rPr>
        <w:t xml:space="preserve"> de impacto se </w:t>
      </w:r>
      <w:r w:rsidR="00806A45">
        <w:rPr>
          <w:lang w:val="es-ES_tradnl"/>
        </w:rPr>
        <w:t>realizará</w:t>
      </w:r>
      <w:r w:rsidR="001B7B1D">
        <w:rPr>
          <w:lang w:val="es-ES_tradnl"/>
        </w:rPr>
        <w:t xml:space="preserve"> luego de efectivizado el ultimo desembolso y en el periodo de </w:t>
      </w:r>
      <w:r w:rsidR="00783369">
        <w:rPr>
          <w:lang w:val="es-ES_tradnl"/>
        </w:rPr>
        <w:t xml:space="preserve">preparación del </w:t>
      </w:r>
      <w:proofErr w:type="spellStart"/>
      <w:r w:rsidR="002504DA">
        <w:rPr>
          <w:lang w:val="es-ES_tradnl"/>
        </w:rPr>
        <w:t>PCR</w:t>
      </w:r>
      <w:proofErr w:type="spellEnd"/>
      <w:r w:rsidR="002504DA">
        <w:rPr>
          <w:lang w:val="es-ES_tradnl"/>
        </w:rPr>
        <w:t xml:space="preserve"> del proyecto. </w:t>
      </w:r>
    </w:p>
    <w:p w14:paraId="1C2121BE" w14:textId="28AD1006" w:rsidR="002067A1" w:rsidRPr="00152CDF" w:rsidRDefault="00502975" w:rsidP="00F947D6">
      <w:pPr>
        <w:pStyle w:val="Heading2"/>
        <w:numPr>
          <w:ilvl w:val="1"/>
          <w:numId w:val="28"/>
        </w:numPr>
        <w:spacing w:before="120"/>
        <w:rPr>
          <w:lang w:val="es-ES_tradnl"/>
        </w:rPr>
      </w:pPr>
      <w:r w:rsidRPr="00152CDF">
        <w:rPr>
          <w:lang w:val="es-ES_tradnl"/>
        </w:rPr>
        <w:t xml:space="preserve">Los principales indicadores de efectos directos para las evaluaciones cuantitativas se muestran a continuación en el Cuadro </w:t>
      </w:r>
      <w:r w:rsidR="00271B8F">
        <w:rPr>
          <w:lang w:val="es-ES_tradnl"/>
        </w:rPr>
        <w:t>3.1</w:t>
      </w:r>
      <w:r w:rsidRPr="00152CDF">
        <w:rPr>
          <w:lang w:val="es-ES_tradnl"/>
        </w:rPr>
        <w:t>.</w:t>
      </w:r>
    </w:p>
    <w:p w14:paraId="64BD71E7" w14:textId="06139221" w:rsidR="002067A1" w:rsidRDefault="002067A1" w:rsidP="005C4F7E">
      <w:pPr>
        <w:rPr>
          <w:rFonts w:ascii="Arial" w:hAnsi="Arial" w:cs="Arial"/>
          <w:b/>
          <w:bCs/>
          <w:lang w:val="es-ES_tradnl"/>
        </w:rPr>
      </w:pPr>
    </w:p>
    <w:p w14:paraId="37D9A294" w14:textId="333ED026" w:rsidR="00C05EBD" w:rsidRDefault="00C05EBD" w:rsidP="005C4F7E">
      <w:pPr>
        <w:rPr>
          <w:rFonts w:ascii="Arial" w:hAnsi="Arial" w:cs="Arial"/>
          <w:b/>
          <w:bCs/>
          <w:lang w:val="es-ES_tradnl"/>
        </w:rPr>
      </w:pPr>
    </w:p>
    <w:p w14:paraId="0BC4071E" w14:textId="77777777" w:rsidR="00C05EBD" w:rsidRDefault="00C05EBD" w:rsidP="005C4F7E">
      <w:pPr>
        <w:rPr>
          <w:rFonts w:ascii="Arial" w:hAnsi="Arial" w:cs="Arial"/>
          <w:b/>
          <w:bCs/>
          <w:lang w:val="es-ES_tradnl"/>
        </w:rPr>
      </w:pPr>
    </w:p>
    <w:p w14:paraId="48FF73D6" w14:textId="77777777" w:rsidR="00B954C5" w:rsidRPr="00152CDF" w:rsidRDefault="00B954C5" w:rsidP="005C4F7E">
      <w:pPr>
        <w:rPr>
          <w:rFonts w:ascii="Arial" w:hAnsi="Arial" w:cs="Arial"/>
          <w:b/>
          <w:bCs/>
          <w:lang w:val="es-ES_tradnl"/>
        </w:rPr>
      </w:pPr>
    </w:p>
    <w:p w14:paraId="19078B6B" w14:textId="77777777" w:rsidR="00BF41DB" w:rsidRPr="00152CDF" w:rsidRDefault="00BF41DB" w:rsidP="005C4F7E">
      <w:pPr>
        <w:rPr>
          <w:rFonts w:ascii="Arial" w:hAnsi="Arial" w:cs="Arial"/>
          <w:b/>
          <w:bCs/>
          <w:lang w:val="es-ES_tradnl"/>
        </w:rPr>
      </w:pPr>
    </w:p>
    <w:p w14:paraId="1592473C" w14:textId="124C6F21" w:rsidR="0056028D" w:rsidRPr="00F947D6" w:rsidRDefault="0056028D" w:rsidP="0056028D">
      <w:pPr>
        <w:spacing w:after="0" w:line="240" w:lineRule="auto"/>
        <w:jc w:val="center"/>
        <w:rPr>
          <w:rFonts w:ascii="Arial" w:hAnsi="Arial" w:cs="Arial"/>
          <w:b/>
          <w:smallCaps/>
          <w:color w:val="000000"/>
          <w:lang w:val="es-ES_tradnl"/>
        </w:rPr>
      </w:pPr>
      <w:r w:rsidRPr="00F947D6">
        <w:rPr>
          <w:rFonts w:ascii="Arial" w:hAnsi="Arial" w:cs="Arial"/>
          <w:b/>
          <w:smallCaps/>
          <w:color w:val="000000"/>
          <w:lang w:val="es-ES_tradnl"/>
        </w:rPr>
        <w:t xml:space="preserve">Cuadro </w:t>
      </w:r>
      <w:r w:rsidR="00271B8F" w:rsidRPr="00F947D6">
        <w:rPr>
          <w:rFonts w:ascii="Arial" w:hAnsi="Arial" w:cs="Arial"/>
          <w:b/>
          <w:smallCaps/>
          <w:color w:val="000000"/>
          <w:lang w:val="es-ES_tradnl"/>
        </w:rPr>
        <w:t>3.</w:t>
      </w:r>
      <w:r w:rsidRPr="00F947D6">
        <w:rPr>
          <w:rFonts w:ascii="Arial" w:hAnsi="Arial" w:cs="Arial"/>
          <w:b/>
          <w:smallCaps/>
          <w:color w:val="000000"/>
          <w:lang w:val="es-ES_tradnl"/>
        </w:rPr>
        <w:t>1: Indicadores de Efectos Directos para las Evaluaciones</w:t>
      </w:r>
    </w:p>
    <w:p w14:paraId="4AD63EF0" w14:textId="18394CC4" w:rsidR="0027508B" w:rsidRDefault="0027508B" w:rsidP="0027508B">
      <w:pPr>
        <w:spacing w:after="0" w:line="240" w:lineRule="auto"/>
        <w:jc w:val="center"/>
        <w:rPr>
          <w:rFonts w:ascii="Arial" w:hAnsi="Arial" w:cs="Arial"/>
          <w:b/>
          <w:color w:val="000000"/>
          <w:lang w:val="es-ES_tradnl"/>
        </w:rPr>
      </w:pPr>
    </w:p>
    <w:tbl>
      <w:tblPr>
        <w:tblW w:w="10251" w:type="dxa"/>
        <w:jc w:val="center"/>
        <w:tblCellMar>
          <w:left w:w="70" w:type="dxa"/>
          <w:right w:w="70" w:type="dxa"/>
        </w:tblCellMar>
        <w:tblLook w:val="04A0" w:firstRow="1" w:lastRow="0" w:firstColumn="1" w:lastColumn="0" w:noHBand="0" w:noVBand="1"/>
      </w:tblPr>
      <w:tblGrid>
        <w:gridCol w:w="2265"/>
        <w:gridCol w:w="895"/>
        <w:gridCol w:w="1239"/>
        <w:gridCol w:w="1239"/>
        <w:gridCol w:w="1239"/>
        <w:gridCol w:w="3374"/>
      </w:tblGrid>
      <w:tr w:rsidR="0027508B" w:rsidRPr="00376B9E" w14:paraId="22468AD0" w14:textId="77777777" w:rsidTr="0027508B">
        <w:trPr>
          <w:trHeight w:val="2325"/>
          <w:jc w:val="center"/>
        </w:trPr>
        <w:tc>
          <w:tcPr>
            <w:tcW w:w="2265" w:type="dxa"/>
            <w:tcBorders>
              <w:top w:val="single" w:sz="8" w:space="0" w:color="000000"/>
              <w:left w:val="single" w:sz="8" w:space="0" w:color="000000"/>
              <w:bottom w:val="single" w:sz="8" w:space="0" w:color="000000"/>
              <w:right w:val="single" w:sz="8" w:space="0" w:color="000000"/>
            </w:tcBorders>
            <w:shd w:val="clear" w:color="000000" w:fill="BFBFBF"/>
            <w:vAlign w:val="center"/>
            <w:hideMark/>
          </w:tcPr>
          <w:p w14:paraId="0CAA62D9" w14:textId="77777777" w:rsidR="0027508B" w:rsidRPr="003D2EAA" w:rsidRDefault="0027508B" w:rsidP="00597AA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Indicadores</w:t>
            </w:r>
          </w:p>
        </w:tc>
        <w:tc>
          <w:tcPr>
            <w:tcW w:w="895" w:type="dxa"/>
            <w:tcBorders>
              <w:top w:val="single" w:sz="8" w:space="0" w:color="000000"/>
              <w:left w:val="nil"/>
              <w:bottom w:val="single" w:sz="8" w:space="0" w:color="000000"/>
              <w:right w:val="single" w:sz="8" w:space="0" w:color="000000"/>
            </w:tcBorders>
            <w:shd w:val="clear" w:color="000000" w:fill="BFBFBF"/>
            <w:vAlign w:val="center"/>
            <w:hideMark/>
          </w:tcPr>
          <w:p w14:paraId="7F9ECF62" w14:textId="77777777" w:rsidR="0027508B" w:rsidRPr="003D2EAA" w:rsidRDefault="0027508B" w:rsidP="00597AA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Unidad de medida</w:t>
            </w:r>
          </w:p>
        </w:tc>
        <w:tc>
          <w:tcPr>
            <w:tcW w:w="1239" w:type="dxa"/>
            <w:tcBorders>
              <w:top w:val="single" w:sz="8" w:space="0" w:color="000000"/>
              <w:left w:val="nil"/>
              <w:bottom w:val="single" w:sz="8" w:space="0" w:color="000000"/>
              <w:right w:val="single" w:sz="8" w:space="0" w:color="000000"/>
            </w:tcBorders>
            <w:shd w:val="clear" w:color="000000" w:fill="BFBFBF"/>
            <w:vAlign w:val="center"/>
            <w:hideMark/>
          </w:tcPr>
          <w:p w14:paraId="0A86D76B" w14:textId="77777777" w:rsidR="0027508B" w:rsidRPr="003D2EAA" w:rsidRDefault="0027508B" w:rsidP="00597AA3">
            <w:pPr>
              <w:spacing w:after="0" w:line="240" w:lineRule="auto"/>
              <w:jc w:val="center"/>
              <w:rPr>
                <w:rFonts w:ascii="Arial" w:eastAsia="Times New Roman" w:hAnsi="Arial" w:cs="Arial"/>
                <w:b/>
                <w:bCs/>
                <w:color w:val="000000"/>
                <w:sz w:val="20"/>
                <w:szCs w:val="20"/>
                <w:lang w:val="es-CL" w:eastAsia="es-CL"/>
              </w:rPr>
            </w:pPr>
            <w:proofErr w:type="gramStart"/>
            <w:r w:rsidRPr="003D2EAA">
              <w:rPr>
                <w:rFonts w:ascii="Arial" w:eastAsia="Times New Roman" w:hAnsi="Arial" w:cs="Arial"/>
                <w:b/>
                <w:bCs/>
                <w:color w:val="000000"/>
                <w:sz w:val="20"/>
                <w:szCs w:val="20"/>
                <w:lang w:val="es-CL" w:eastAsia="es-CL"/>
              </w:rPr>
              <w:t>Valor línea</w:t>
            </w:r>
            <w:proofErr w:type="gramEnd"/>
            <w:r w:rsidRPr="003D2EAA">
              <w:rPr>
                <w:rFonts w:ascii="Arial" w:eastAsia="Times New Roman" w:hAnsi="Arial" w:cs="Arial"/>
                <w:b/>
                <w:bCs/>
                <w:color w:val="000000"/>
                <w:sz w:val="20"/>
                <w:szCs w:val="20"/>
                <w:lang w:val="es-CL" w:eastAsia="es-CL"/>
              </w:rPr>
              <w:t xml:space="preserve"> de base</w:t>
            </w:r>
          </w:p>
        </w:tc>
        <w:tc>
          <w:tcPr>
            <w:tcW w:w="1239" w:type="dxa"/>
            <w:tcBorders>
              <w:top w:val="single" w:sz="8" w:space="0" w:color="000000"/>
              <w:left w:val="nil"/>
              <w:bottom w:val="single" w:sz="8" w:space="0" w:color="000000"/>
              <w:right w:val="single" w:sz="8" w:space="0" w:color="000000"/>
            </w:tcBorders>
            <w:shd w:val="clear" w:color="000000" w:fill="BFBFBF"/>
            <w:vAlign w:val="center"/>
            <w:hideMark/>
          </w:tcPr>
          <w:p w14:paraId="7202DE3D" w14:textId="77777777" w:rsidR="0027508B" w:rsidRPr="003D2EAA" w:rsidRDefault="0027508B" w:rsidP="00597AA3">
            <w:pPr>
              <w:spacing w:after="0" w:line="240" w:lineRule="auto"/>
              <w:jc w:val="center"/>
              <w:rPr>
                <w:rFonts w:ascii="Arial" w:eastAsia="Times New Roman" w:hAnsi="Arial" w:cs="Arial"/>
                <w:b/>
                <w:bCs/>
                <w:color w:val="000000"/>
                <w:sz w:val="20"/>
                <w:szCs w:val="20"/>
                <w:lang w:val="es-CL" w:eastAsia="es-CL"/>
              </w:rPr>
            </w:pPr>
            <w:proofErr w:type="gramStart"/>
            <w:r w:rsidRPr="003D2EAA">
              <w:rPr>
                <w:rFonts w:ascii="Arial" w:eastAsia="Times New Roman" w:hAnsi="Arial" w:cs="Arial"/>
                <w:b/>
                <w:bCs/>
                <w:color w:val="000000"/>
                <w:sz w:val="20"/>
                <w:szCs w:val="20"/>
                <w:lang w:val="es-CL" w:eastAsia="es-CL"/>
              </w:rPr>
              <w:t>Año línea</w:t>
            </w:r>
            <w:proofErr w:type="gramEnd"/>
            <w:r w:rsidRPr="003D2EAA">
              <w:rPr>
                <w:rFonts w:ascii="Arial" w:eastAsia="Times New Roman" w:hAnsi="Arial" w:cs="Arial"/>
                <w:b/>
                <w:bCs/>
                <w:color w:val="000000"/>
                <w:sz w:val="20"/>
                <w:szCs w:val="20"/>
                <w:lang w:val="es-CL" w:eastAsia="es-CL"/>
              </w:rPr>
              <w:t xml:space="preserve"> de base</w:t>
            </w:r>
          </w:p>
        </w:tc>
        <w:tc>
          <w:tcPr>
            <w:tcW w:w="1239" w:type="dxa"/>
            <w:tcBorders>
              <w:top w:val="single" w:sz="8" w:space="0" w:color="000000"/>
              <w:left w:val="nil"/>
              <w:bottom w:val="single" w:sz="8" w:space="0" w:color="000000"/>
              <w:right w:val="single" w:sz="8" w:space="0" w:color="000000"/>
            </w:tcBorders>
            <w:shd w:val="clear" w:color="000000" w:fill="BFBFBF"/>
            <w:vAlign w:val="center"/>
            <w:hideMark/>
          </w:tcPr>
          <w:p w14:paraId="7314B71A" w14:textId="77777777" w:rsidR="0027508B" w:rsidRPr="003D2EAA" w:rsidRDefault="0027508B" w:rsidP="00597AA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Fin del proyecto</w:t>
            </w:r>
          </w:p>
        </w:tc>
        <w:tc>
          <w:tcPr>
            <w:tcW w:w="3374" w:type="dxa"/>
            <w:tcBorders>
              <w:top w:val="single" w:sz="8" w:space="0" w:color="000000"/>
              <w:left w:val="nil"/>
              <w:bottom w:val="single" w:sz="8" w:space="0" w:color="000000"/>
              <w:right w:val="single" w:sz="8" w:space="0" w:color="000000"/>
            </w:tcBorders>
            <w:shd w:val="clear" w:color="000000" w:fill="BFBFBF"/>
            <w:vAlign w:val="center"/>
            <w:hideMark/>
          </w:tcPr>
          <w:p w14:paraId="7CC164D7" w14:textId="39797EAB" w:rsidR="0027508B" w:rsidRPr="003D2EAA" w:rsidRDefault="0027508B" w:rsidP="00597AA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Observaciones</w:t>
            </w:r>
            <w:r w:rsidR="00F664DF">
              <w:rPr>
                <w:rFonts w:ascii="Arial" w:eastAsia="Times New Roman" w:hAnsi="Arial" w:cs="Arial"/>
                <w:b/>
                <w:bCs/>
                <w:color w:val="000000"/>
                <w:sz w:val="20"/>
                <w:szCs w:val="20"/>
                <w:lang w:val="es-CL" w:eastAsia="es-CL"/>
              </w:rPr>
              <w:t xml:space="preserve"> y protocolo de medición</w:t>
            </w:r>
          </w:p>
        </w:tc>
      </w:tr>
      <w:tr w:rsidR="00C22B33" w:rsidRPr="00376B9E" w14:paraId="39976CBF" w14:textId="77777777" w:rsidTr="0027508B">
        <w:trPr>
          <w:trHeight w:val="1448"/>
          <w:jc w:val="center"/>
        </w:trPr>
        <w:tc>
          <w:tcPr>
            <w:tcW w:w="2265" w:type="dxa"/>
            <w:tcBorders>
              <w:top w:val="nil"/>
              <w:left w:val="single" w:sz="8" w:space="0" w:color="000000"/>
              <w:bottom w:val="nil"/>
              <w:right w:val="single" w:sz="8" w:space="0" w:color="000000"/>
            </w:tcBorders>
            <w:shd w:val="clear" w:color="auto" w:fill="auto"/>
            <w:vAlign w:val="center"/>
            <w:hideMark/>
          </w:tcPr>
          <w:p w14:paraId="07480709" w14:textId="77777777" w:rsidR="00C22B33" w:rsidRPr="003D2EAA" w:rsidRDefault="00C22B33" w:rsidP="00C22B33">
            <w:pPr>
              <w:spacing w:after="0" w:line="240" w:lineRule="auto"/>
              <w:rPr>
                <w:rFonts w:ascii="Arial" w:eastAsia="Times New Roman" w:hAnsi="Arial" w:cs="Arial"/>
                <w:color w:val="000000"/>
                <w:sz w:val="20"/>
                <w:szCs w:val="20"/>
                <w:lang w:val="es-CL" w:eastAsia="es-CL"/>
              </w:rPr>
            </w:pPr>
            <w:r w:rsidRPr="003D2EAA">
              <w:rPr>
                <w:rFonts w:ascii="Arial" w:eastAsia="Times New Roman" w:hAnsi="Arial" w:cs="Arial"/>
                <w:bCs/>
                <w:color w:val="000000"/>
                <w:sz w:val="20"/>
                <w:szCs w:val="20"/>
                <w:lang w:val="es-CL" w:eastAsia="es-CL"/>
              </w:rPr>
              <w:t>Estudiantes en nivel insuficiente de 4º básico de escuelas públicas en prueba SIMCE matemáticas</w:t>
            </w:r>
          </w:p>
        </w:tc>
        <w:tc>
          <w:tcPr>
            <w:tcW w:w="895" w:type="dxa"/>
            <w:tcBorders>
              <w:top w:val="nil"/>
              <w:left w:val="nil"/>
              <w:bottom w:val="nil"/>
              <w:right w:val="single" w:sz="8" w:space="0" w:color="000000"/>
            </w:tcBorders>
            <w:shd w:val="clear" w:color="auto" w:fill="auto"/>
            <w:vAlign w:val="center"/>
            <w:hideMark/>
          </w:tcPr>
          <w:p w14:paraId="7142A3F5" w14:textId="77777777"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w:t>
            </w:r>
          </w:p>
        </w:tc>
        <w:tc>
          <w:tcPr>
            <w:tcW w:w="1239" w:type="dxa"/>
            <w:tcBorders>
              <w:top w:val="nil"/>
              <w:left w:val="nil"/>
              <w:bottom w:val="nil"/>
              <w:right w:val="single" w:sz="8" w:space="0" w:color="000000"/>
            </w:tcBorders>
            <w:shd w:val="clear" w:color="auto" w:fill="auto"/>
            <w:vAlign w:val="center"/>
            <w:hideMark/>
          </w:tcPr>
          <w:p w14:paraId="2498D6FB" w14:textId="5517CD34"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Pr>
                <w:rFonts w:ascii="Arial" w:eastAsia="Times New Roman" w:hAnsi="Arial" w:cs="Arial"/>
                <w:b/>
                <w:bCs/>
                <w:color w:val="000000"/>
                <w:sz w:val="20"/>
                <w:szCs w:val="20"/>
                <w:lang w:val="es-CL" w:eastAsia="es-CL"/>
              </w:rPr>
              <w:t>46</w:t>
            </w:r>
          </w:p>
        </w:tc>
        <w:tc>
          <w:tcPr>
            <w:tcW w:w="1239" w:type="dxa"/>
            <w:tcBorders>
              <w:top w:val="nil"/>
              <w:left w:val="nil"/>
              <w:bottom w:val="nil"/>
              <w:right w:val="single" w:sz="8" w:space="0" w:color="000000"/>
            </w:tcBorders>
            <w:shd w:val="clear" w:color="auto" w:fill="auto"/>
            <w:vAlign w:val="center"/>
            <w:hideMark/>
          </w:tcPr>
          <w:p w14:paraId="167C2118" w14:textId="77777777"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2017</w:t>
            </w:r>
          </w:p>
        </w:tc>
        <w:tc>
          <w:tcPr>
            <w:tcW w:w="1239" w:type="dxa"/>
            <w:tcBorders>
              <w:top w:val="nil"/>
              <w:left w:val="nil"/>
              <w:bottom w:val="nil"/>
              <w:right w:val="single" w:sz="8" w:space="0" w:color="000000"/>
            </w:tcBorders>
            <w:shd w:val="clear" w:color="auto" w:fill="auto"/>
            <w:vAlign w:val="center"/>
            <w:hideMark/>
          </w:tcPr>
          <w:p w14:paraId="330E5B41" w14:textId="194FFA44" w:rsidR="00C22B33" w:rsidRPr="003D2EAA" w:rsidRDefault="3E0EB449" w:rsidP="00C22B33">
            <w:pPr>
              <w:spacing w:after="0" w:line="240" w:lineRule="auto"/>
              <w:jc w:val="center"/>
              <w:rPr>
                <w:rFonts w:ascii="Arial" w:eastAsia="Times New Roman" w:hAnsi="Arial" w:cs="Arial"/>
                <w:b/>
                <w:bCs/>
                <w:color w:val="000000"/>
                <w:sz w:val="20"/>
                <w:szCs w:val="20"/>
                <w:lang w:val="es-CL" w:eastAsia="es-CL"/>
              </w:rPr>
            </w:pPr>
            <w:r w:rsidRPr="05B31971">
              <w:rPr>
                <w:rFonts w:ascii="Arial" w:eastAsia="Times New Roman" w:hAnsi="Arial" w:cs="Arial"/>
                <w:b/>
                <w:bCs/>
                <w:color w:val="000000" w:themeColor="text1"/>
                <w:sz w:val="20"/>
                <w:szCs w:val="20"/>
                <w:lang w:val="es-CL" w:eastAsia="es-CL"/>
              </w:rPr>
              <w:t>41</w:t>
            </w:r>
            <w:r w:rsidR="00C22B33" w:rsidRPr="003D2EAA">
              <w:rPr>
                <w:rFonts w:ascii="Arial" w:eastAsia="Times New Roman" w:hAnsi="Arial" w:cs="Arial"/>
                <w:b/>
                <w:bCs/>
                <w:color w:val="000000"/>
                <w:sz w:val="20"/>
                <w:szCs w:val="20"/>
                <w:lang w:val="es-CL" w:eastAsia="es-CL"/>
              </w:rPr>
              <w:t>%</w:t>
            </w:r>
          </w:p>
        </w:tc>
        <w:tc>
          <w:tcPr>
            <w:tcW w:w="3374" w:type="dxa"/>
            <w:vMerge w:val="restart"/>
            <w:tcBorders>
              <w:top w:val="nil"/>
              <w:left w:val="nil"/>
              <w:right w:val="single" w:sz="8" w:space="0" w:color="000000"/>
            </w:tcBorders>
            <w:shd w:val="clear" w:color="auto" w:fill="auto"/>
            <w:vAlign w:val="center"/>
            <w:hideMark/>
          </w:tcPr>
          <w:p w14:paraId="48CF95AB" w14:textId="1A6080FF" w:rsidR="00C22B33" w:rsidRPr="00A45731" w:rsidRDefault="00C22B33" w:rsidP="00C22B33">
            <w:pPr>
              <w:spacing w:after="0" w:line="240" w:lineRule="auto"/>
              <w:jc w:val="both"/>
              <w:rPr>
                <w:rFonts w:ascii="Arial" w:eastAsia="Times New Roman" w:hAnsi="Arial" w:cs="Arial"/>
                <w:bCs/>
                <w:color w:val="000000"/>
                <w:sz w:val="20"/>
                <w:szCs w:val="20"/>
                <w:lang w:val="es-CL" w:eastAsia="es-CL"/>
              </w:rPr>
            </w:pPr>
            <w:r>
              <w:rPr>
                <w:rFonts w:ascii="Arial" w:eastAsia="Times New Roman" w:hAnsi="Arial" w:cs="Arial"/>
                <w:bCs/>
                <w:color w:val="000000"/>
                <w:sz w:val="20"/>
                <w:szCs w:val="20"/>
                <w:lang w:val="es-CL" w:eastAsia="es-CL"/>
              </w:rPr>
              <w:t>El análisis s</w:t>
            </w:r>
            <w:r w:rsidRPr="003D2EAA">
              <w:rPr>
                <w:rFonts w:ascii="Arial" w:eastAsia="Times New Roman" w:hAnsi="Arial" w:cs="Arial"/>
                <w:bCs/>
                <w:color w:val="000000"/>
                <w:sz w:val="20"/>
                <w:szCs w:val="20"/>
                <w:lang w:val="es-CL" w:eastAsia="es-CL"/>
              </w:rPr>
              <w:t>e basará en el SIMCE, Sistema de Evaluación de Logros Educativos SIMCE</w:t>
            </w:r>
            <w:r>
              <w:rPr>
                <w:rFonts w:ascii="Arial" w:eastAsia="Times New Roman" w:hAnsi="Arial" w:cs="Arial"/>
                <w:bCs/>
                <w:color w:val="000000"/>
                <w:sz w:val="20"/>
                <w:szCs w:val="20"/>
                <w:lang w:val="es-CL" w:eastAsia="es-CL"/>
              </w:rPr>
              <w:t xml:space="preserve"> levantado por</w:t>
            </w:r>
            <w:r w:rsidRPr="003D2EAA">
              <w:rPr>
                <w:rFonts w:ascii="Arial" w:eastAsia="Times New Roman" w:hAnsi="Arial" w:cs="Arial"/>
                <w:bCs/>
                <w:color w:val="000000"/>
                <w:sz w:val="20"/>
                <w:szCs w:val="20"/>
                <w:lang w:val="es-CL" w:eastAsia="es-CL"/>
              </w:rPr>
              <w:t xml:space="preserve"> la Agencia de Calidad de la Educación.  El SIMCE incluye exámenes estandarizados anuales en lengua y matemática, entre otras. Los estudiantes clasificados en el nivel insuficiente no logran demostrar consistentemente que han adquirido los conocimientos y habilidades más elementales estipulados en el currículum para el nivel evaluado.</w:t>
            </w:r>
            <w:r>
              <w:rPr>
                <w:rFonts w:ascii="Arial" w:eastAsia="Times New Roman" w:hAnsi="Arial" w:cs="Arial"/>
                <w:bCs/>
                <w:color w:val="000000"/>
                <w:sz w:val="20"/>
                <w:szCs w:val="20"/>
                <w:lang w:val="es-CL" w:eastAsia="es-CL"/>
              </w:rPr>
              <w:t xml:space="preserve"> </w:t>
            </w:r>
          </w:p>
          <w:p w14:paraId="5EAD9EC8" w14:textId="77777777" w:rsidR="00C22B33" w:rsidRDefault="00C22B33" w:rsidP="00C22B33">
            <w:pPr>
              <w:spacing w:after="0" w:line="240" w:lineRule="auto"/>
              <w:jc w:val="center"/>
              <w:rPr>
                <w:rFonts w:ascii="Arial" w:eastAsia="Times New Roman" w:hAnsi="Arial" w:cs="Arial"/>
                <w:bCs/>
                <w:color w:val="000000"/>
                <w:sz w:val="20"/>
                <w:szCs w:val="20"/>
                <w:lang w:val="es-CL" w:eastAsia="es-CL"/>
              </w:rPr>
            </w:pPr>
          </w:p>
          <w:p w14:paraId="45B13A72" w14:textId="50A600E0" w:rsidR="00C22B33" w:rsidRPr="00F664DF" w:rsidRDefault="00C22B33" w:rsidP="00C22B33">
            <w:pPr>
              <w:spacing w:after="0" w:line="240" w:lineRule="auto"/>
              <w:jc w:val="both"/>
              <w:rPr>
                <w:rFonts w:ascii="Arial" w:eastAsia="Times New Roman" w:hAnsi="Arial" w:cs="Arial"/>
                <w:color w:val="000000"/>
                <w:sz w:val="20"/>
                <w:szCs w:val="20"/>
                <w:lang w:val="es-CL" w:eastAsia="es-CL"/>
              </w:rPr>
            </w:pPr>
            <w:r w:rsidRPr="003D2EAA">
              <w:rPr>
                <w:rFonts w:ascii="Arial" w:eastAsia="Times New Roman" w:hAnsi="Arial" w:cs="Arial"/>
                <w:color w:val="000000"/>
                <w:sz w:val="20"/>
                <w:szCs w:val="20"/>
                <w:lang w:val="es-CL" w:eastAsia="es-CL"/>
              </w:rPr>
              <w:t xml:space="preserve">Para </w:t>
            </w:r>
            <w:r>
              <w:rPr>
                <w:rFonts w:ascii="Arial" w:eastAsia="Times New Roman" w:hAnsi="Arial" w:cs="Arial"/>
                <w:color w:val="000000"/>
                <w:sz w:val="20"/>
                <w:szCs w:val="20"/>
                <w:lang w:val="es-CL" w:eastAsia="es-CL"/>
              </w:rPr>
              <w:t>el compromiso de esta meta,</w:t>
            </w:r>
            <w:r w:rsidRPr="003D2EAA">
              <w:rPr>
                <w:rFonts w:ascii="Arial" w:eastAsia="Times New Roman" w:hAnsi="Arial" w:cs="Arial"/>
                <w:color w:val="000000"/>
                <w:sz w:val="20"/>
                <w:szCs w:val="20"/>
                <w:lang w:val="es-CL" w:eastAsia="es-CL"/>
              </w:rPr>
              <w:t xml:space="preserve"> se tomarán en cuenta </w:t>
            </w:r>
            <w:r>
              <w:rPr>
                <w:rFonts w:ascii="Arial" w:eastAsia="Times New Roman" w:hAnsi="Arial" w:cs="Arial"/>
                <w:color w:val="000000"/>
                <w:sz w:val="20"/>
                <w:szCs w:val="20"/>
                <w:lang w:val="es-CL" w:eastAsia="es-CL"/>
              </w:rPr>
              <w:t xml:space="preserve">sólo </w:t>
            </w:r>
            <w:r w:rsidRPr="003D2EAA">
              <w:rPr>
                <w:rFonts w:ascii="Arial" w:eastAsia="Times New Roman" w:hAnsi="Arial" w:cs="Arial"/>
                <w:color w:val="000000"/>
                <w:sz w:val="20"/>
                <w:szCs w:val="20"/>
                <w:lang w:val="es-CL" w:eastAsia="es-CL"/>
              </w:rPr>
              <w:t xml:space="preserve">los primeros 4 </w:t>
            </w:r>
            <w:proofErr w:type="spellStart"/>
            <w:r w:rsidRPr="003D2EAA">
              <w:rPr>
                <w:rFonts w:ascii="Arial" w:eastAsia="Times New Roman" w:hAnsi="Arial" w:cs="Arial"/>
                <w:color w:val="000000"/>
                <w:sz w:val="20"/>
                <w:szCs w:val="20"/>
                <w:lang w:val="es-CL" w:eastAsia="es-CL"/>
              </w:rPr>
              <w:t>SLEPs</w:t>
            </w:r>
            <w:proofErr w:type="spellEnd"/>
            <w:r w:rsidRPr="003D2EAA">
              <w:rPr>
                <w:rFonts w:ascii="Arial" w:eastAsia="Times New Roman" w:hAnsi="Arial" w:cs="Arial"/>
                <w:color w:val="000000"/>
                <w:sz w:val="20"/>
                <w:szCs w:val="20"/>
                <w:lang w:val="es-CL" w:eastAsia="es-CL"/>
              </w:rPr>
              <w:t xml:space="preserve"> que comenzaron a ofrecer el servicio educativo en 2018. </w:t>
            </w:r>
          </w:p>
          <w:p w14:paraId="1B2EB323" w14:textId="77777777" w:rsidR="00C22B33" w:rsidRDefault="00C22B33" w:rsidP="00C22B33">
            <w:pPr>
              <w:spacing w:after="0" w:line="240" w:lineRule="auto"/>
              <w:jc w:val="both"/>
              <w:rPr>
                <w:rFonts w:ascii="Arial" w:eastAsia="Times New Roman" w:hAnsi="Arial" w:cs="Arial"/>
                <w:color w:val="000000"/>
                <w:sz w:val="20"/>
                <w:szCs w:val="20"/>
                <w:lang w:val="es-CL" w:eastAsia="es-CL"/>
              </w:rPr>
            </w:pPr>
          </w:p>
          <w:p w14:paraId="24D45B1E" w14:textId="2D8A0FD3" w:rsidR="00C22B33" w:rsidRDefault="00C22B33" w:rsidP="00C22B33">
            <w:pPr>
              <w:spacing w:after="0" w:line="240" w:lineRule="auto"/>
              <w:jc w:val="both"/>
              <w:rPr>
                <w:rFonts w:ascii="Arial" w:eastAsia="Times New Roman" w:hAnsi="Arial" w:cs="Arial"/>
                <w:color w:val="000000"/>
                <w:sz w:val="20"/>
                <w:szCs w:val="20"/>
                <w:lang w:val="es-CL" w:eastAsia="es-CL"/>
              </w:rPr>
            </w:pPr>
            <w:r w:rsidRPr="00395F55">
              <w:rPr>
                <w:rFonts w:ascii="Arial" w:eastAsia="Times New Roman" w:hAnsi="Arial" w:cs="Arial"/>
                <w:color w:val="000000"/>
                <w:sz w:val="20"/>
                <w:szCs w:val="20"/>
                <w:lang w:val="es-CL" w:eastAsia="es-CL"/>
              </w:rPr>
              <w:t>C</w:t>
            </w:r>
            <w:r>
              <w:rPr>
                <w:rFonts w:ascii="Arial" w:eastAsia="Times New Roman" w:hAnsi="Arial" w:cs="Arial"/>
                <w:color w:val="000000"/>
                <w:sz w:val="20"/>
                <w:szCs w:val="20"/>
                <w:lang w:val="es-CL" w:eastAsia="es-CL"/>
              </w:rPr>
              <w:t>á</w:t>
            </w:r>
            <w:r w:rsidRPr="00395F55">
              <w:rPr>
                <w:rFonts w:ascii="Arial" w:eastAsia="Times New Roman" w:hAnsi="Arial" w:cs="Arial"/>
                <w:color w:val="000000"/>
                <w:sz w:val="20"/>
                <w:szCs w:val="20"/>
                <w:lang w:val="es-CL" w:eastAsia="es-CL"/>
              </w:rPr>
              <w:t>lculo del indicador:</w:t>
            </w:r>
            <w:r>
              <w:rPr>
                <w:rFonts w:ascii="Arial" w:eastAsia="Times New Roman" w:hAnsi="Arial" w:cs="Arial"/>
                <w:color w:val="000000"/>
                <w:sz w:val="20"/>
                <w:szCs w:val="20"/>
                <w:lang w:val="es-CL" w:eastAsia="es-CL"/>
              </w:rPr>
              <w:t xml:space="preserve"> Se extrae el porcentaje de estudiantes insuficientes para la línea de base dividiendo el </w:t>
            </w:r>
            <w:proofErr w:type="spellStart"/>
            <w:r w:rsidRPr="000612DF">
              <w:rPr>
                <w:rFonts w:ascii="Arial" w:eastAsia="Times New Roman" w:hAnsi="Arial" w:cs="Arial"/>
                <w:color w:val="000000"/>
                <w:sz w:val="20"/>
                <w:szCs w:val="20"/>
                <w:lang w:val="es-CL" w:eastAsia="es-CL"/>
              </w:rPr>
              <w:t>N°</w:t>
            </w:r>
            <w:proofErr w:type="spellEnd"/>
            <w:r w:rsidRPr="000612DF">
              <w:rPr>
                <w:rFonts w:ascii="Arial" w:eastAsia="Times New Roman" w:hAnsi="Arial" w:cs="Arial"/>
                <w:color w:val="000000"/>
                <w:sz w:val="20"/>
                <w:szCs w:val="20"/>
                <w:lang w:val="es-CL" w:eastAsia="es-CL"/>
              </w:rPr>
              <w:t xml:space="preserve"> de </w:t>
            </w:r>
            <w:r>
              <w:rPr>
                <w:rFonts w:ascii="Arial" w:eastAsia="Times New Roman" w:hAnsi="Arial" w:cs="Arial"/>
                <w:color w:val="000000"/>
                <w:sz w:val="20"/>
                <w:szCs w:val="20"/>
                <w:lang w:val="es-CL" w:eastAsia="es-CL"/>
              </w:rPr>
              <w:t xml:space="preserve">estudiantes catalogados como insuficiente con el </w:t>
            </w:r>
            <w:proofErr w:type="spellStart"/>
            <w:r w:rsidRPr="000612DF">
              <w:rPr>
                <w:rFonts w:ascii="Arial" w:eastAsia="Times New Roman" w:hAnsi="Arial" w:cs="Arial"/>
                <w:color w:val="000000"/>
                <w:sz w:val="20"/>
                <w:szCs w:val="20"/>
                <w:lang w:val="es-CL" w:eastAsia="es-CL"/>
              </w:rPr>
              <w:t>N°</w:t>
            </w:r>
            <w:proofErr w:type="spellEnd"/>
            <w:r w:rsidRPr="000612DF">
              <w:rPr>
                <w:rFonts w:ascii="Arial" w:eastAsia="Times New Roman" w:hAnsi="Arial" w:cs="Arial"/>
                <w:color w:val="000000"/>
                <w:sz w:val="20"/>
                <w:szCs w:val="20"/>
                <w:lang w:val="es-CL" w:eastAsia="es-CL"/>
              </w:rPr>
              <w:t xml:space="preserve"> total de </w:t>
            </w:r>
            <w:r>
              <w:rPr>
                <w:rFonts w:ascii="Arial" w:eastAsia="Times New Roman" w:hAnsi="Arial" w:cs="Arial"/>
                <w:color w:val="000000"/>
                <w:sz w:val="20"/>
                <w:szCs w:val="20"/>
                <w:lang w:val="es-CL" w:eastAsia="es-CL"/>
              </w:rPr>
              <w:t xml:space="preserve">estudiantes de las escuelas dependientes de los </w:t>
            </w:r>
            <w:proofErr w:type="spellStart"/>
            <w:r>
              <w:rPr>
                <w:rFonts w:ascii="Arial" w:eastAsia="Times New Roman" w:hAnsi="Arial" w:cs="Arial"/>
                <w:color w:val="000000"/>
                <w:sz w:val="20"/>
                <w:szCs w:val="20"/>
                <w:lang w:val="es-CL" w:eastAsia="es-CL"/>
              </w:rPr>
              <w:t>SLEPs</w:t>
            </w:r>
            <w:proofErr w:type="spellEnd"/>
            <w:r>
              <w:rPr>
                <w:rFonts w:ascii="Arial" w:eastAsia="Times New Roman" w:hAnsi="Arial" w:cs="Arial"/>
                <w:color w:val="000000"/>
                <w:sz w:val="20"/>
                <w:szCs w:val="20"/>
                <w:lang w:val="es-CL" w:eastAsia="es-CL"/>
              </w:rPr>
              <w:t xml:space="preserve"> </w:t>
            </w:r>
            <w:r w:rsidRPr="000612DF">
              <w:rPr>
                <w:rFonts w:ascii="Arial" w:eastAsia="Times New Roman" w:hAnsi="Arial" w:cs="Arial"/>
                <w:color w:val="000000"/>
                <w:sz w:val="20"/>
                <w:szCs w:val="20"/>
                <w:lang w:val="es-CL" w:eastAsia="es-CL"/>
              </w:rPr>
              <w:t>en el sistema</w:t>
            </w:r>
            <w:r>
              <w:rPr>
                <w:rFonts w:ascii="Arial" w:eastAsia="Times New Roman" w:hAnsi="Arial" w:cs="Arial"/>
                <w:color w:val="000000"/>
                <w:sz w:val="20"/>
                <w:szCs w:val="20"/>
                <w:lang w:val="es-CL" w:eastAsia="es-CL"/>
              </w:rPr>
              <w:t xml:space="preserve">. Luego, para obtener el indicador se resta el porcentaje de la LB con el porcentaje en período posterior. </w:t>
            </w:r>
          </w:p>
          <w:p w14:paraId="16FB372B" w14:textId="77777777" w:rsidR="00C22B33" w:rsidRDefault="00C22B33" w:rsidP="00C22B33">
            <w:pPr>
              <w:spacing w:after="0" w:line="240" w:lineRule="auto"/>
              <w:jc w:val="both"/>
              <w:rPr>
                <w:rFonts w:ascii="Arial" w:eastAsia="Times New Roman" w:hAnsi="Arial" w:cs="Arial"/>
                <w:color w:val="000000"/>
                <w:sz w:val="20"/>
                <w:szCs w:val="20"/>
                <w:lang w:val="es-CL" w:eastAsia="es-CL"/>
              </w:rPr>
            </w:pPr>
          </w:p>
          <w:p w14:paraId="3B1BEE72" w14:textId="1DB5904D" w:rsidR="00C22B33" w:rsidRPr="003D2EAA" w:rsidRDefault="00C22B33" w:rsidP="00C22B33">
            <w:pPr>
              <w:spacing w:after="0" w:line="240" w:lineRule="auto"/>
              <w:jc w:val="both"/>
              <w:rPr>
                <w:rFonts w:ascii="Arial" w:eastAsia="Times New Roman" w:hAnsi="Arial" w:cs="Arial"/>
                <w:color w:val="000000"/>
                <w:sz w:val="20"/>
                <w:szCs w:val="20"/>
                <w:lang w:val="es-CL" w:eastAsia="es-CL"/>
              </w:rPr>
            </w:pPr>
            <w:r>
              <w:rPr>
                <w:rFonts w:ascii="Arial" w:eastAsia="Times New Roman" w:hAnsi="Arial" w:cs="Arial"/>
                <w:color w:val="000000"/>
                <w:sz w:val="20"/>
                <w:szCs w:val="20"/>
                <w:lang w:val="es-CL" w:eastAsia="es-CL"/>
              </w:rPr>
              <w:t xml:space="preserve">Para construir la línea de base el 2017 (previo a la política), se tomará el porcentaje de estudiantes insuficientes de los municipios que conformarán el </w:t>
            </w:r>
            <w:proofErr w:type="spellStart"/>
            <w:r>
              <w:rPr>
                <w:rFonts w:ascii="Arial" w:eastAsia="Times New Roman" w:hAnsi="Arial" w:cs="Arial"/>
                <w:color w:val="000000"/>
                <w:sz w:val="20"/>
                <w:szCs w:val="20"/>
                <w:lang w:val="es-CL" w:eastAsia="es-CL"/>
              </w:rPr>
              <w:t>SLEP</w:t>
            </w:r>
            <w:proofErr w:type="spellEnd"/>
            <w:r>
              <w:rPr>
                <w:rFonts w:ascii="Arial" w:eastAsia="Times New Roman" w:hAnsi="Arial" w:cs="Arial"/>
                <w:color w:val="000000"/>
                <w:sz w:val="20"/>
                <w:szCs w:val="20"/>
                <w:lang w:val="es-CL" w:eastAsia="es-CL"/>
              </w:rPr>
              <w:t xml:space="preserve"> en los años siguientes.</w:t>
            </w:r>
          </w:p>
        </w:tc>
      </w:tr>
      <w:tr w:rsidR="00C22B33" w:rsidRPr="003D2EAA" w14:paraId="1FD60639" w14:textId="77777777" w:rsidTr="0027508B">
        <w:trPr>
          <w:trHeight w:val="2328"/>
          <w:jc w:val="center"/>
        </w:trPr>
        <w:tc>
          <w:tcPr>
            <w:tcW w:w="2265" w:type="dxa"/>
            <w:tcBorders>
              <w:top w:val="single" w:sz="8" w:space="0" w:color="000000"/>
              <w:left w:val="single" w:sz="8" w:space="0" w:color="000000"/>
              <w:bottom w:val="nil"/>
              <w:right w:val="single" w:sz="8" w:space="0" w:color="000000"/>
            </w:tcBorders>
            <w:shd w:val="clear" w:color="auto" w:fill="auto"/>
            <w:vAlign w:val="center"/>
            <w:hideMark/>
          </w:tcPr>
          <w:p w14:paraId="0133B35B" w14:textId="77777777" w:rsidR="00C22B33" w:rsidRPr="003D2EAA" w:rsidRDefault="00C22B33" w:rsidP="00C22B33">
            <w:pPr>
              <w:spacing w:after="0" w:line="240" w:lineRule="auto"/>
              <w:rPr>
                <w:rFonts w:ascii="Arial" w:eastAsia="Times New Roman" w:hAnsi="Arial" w:cs="Arial"/>
                <w:color w:val="000000"/>
                <w:sz w:val="20"/>
                <w:szCs w:val="20"/>
                <w:lang w:val="es-CL" w:eastAsia="es-CL"/>
              </w:rPr>
            </w:pPr>
            <w:r w:rsidRPr="003D2EAA">
              <w:rPr>
                <w:rFonts w:ascii="Arial" w:eastAsia="Times New Roman" w:hAnsi="Arial" w:cs="Arial"/>
                <w:bCs/>
                <w:color w:val="000000"/>
                <w:sz w:val="20"/>
                <w:szCs w:val="20"/>
                <w:lang w:val="es-CL" w:eastAsia="es-CL"/>
              </w:rPr>
              <w:t>Estudiantes en nivel insuficiente de 4º básico de escuelas públicas en prueba SIMCE lenguaje</w:t>
            </w:r>
          </w:p>
        </w:tc>
        <w:tc>
          <w:tcPr>
            <w:tcW w:w="895" w:type="dxa"/>
            <w:tcBorders>
              <w:top w:val="single" w:sz="8" w:space="0" w:color="000000"/>
              <w:left w:val="nil"/>
              <w:bottom w:val="nil"/>
              <w:right w:val="single" w:sz="8" w:space="0" w:color="000000"/>
            </w:tcBorders>
            <w:shd w:val="clear" w:color="auto" w:fill="auto"/>
            <w:vAlign w:val="center"/>
            <w:hideMark/>
          </w:tcPr>
          <w:p w14:paraId="377466FA" w14:textId="77777777"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w:t>
            </w:r>
          </w:p>
        </w:tc>
        <w:tc>
          <w:tcPr>
            <w:tcW w:w="1239" w:type="dxa"/>
            <w:tcBorders>
              <w:top w:val="single" w:sz="8" w:space="0" w:color="000000"/>
              <w:left w:val="nil"/>
              <w:bottom w:val="nil"/>
              <w:right w:val="single" w:sz="8" w:space="0" w:color="000000"/>
            </w:tcBorders>
            <w:shd w:val="clear" w:color="auto" w:fill="auto"/>
            <w:vAlign w:val="center"/>
            <w:hideMark/>
          </w:tcPr>
          <w:p w14:paraId="079F5227" w14:textId="576DFC14"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Pr>
                <w:rFonts w:ascii="Arial" w:eastAsia="Times New Roman" w:hAnsi="Arial" w:cs="Arial"/>
                <w:b/>
                <w:bCs/>
                <w:color w:val="000000"/>
                <w:sz w:val="20"/>
                <w:szCs w:val="20"/>
                <w:lang w:val="es-CL" w:eastAsia="es-CL"/>
              </w:rPr>
              <w:t>40</w:t>
            </w:r>
          </w:p>
        </w:tc>
        <w:tc>
          <w:tcPr>
            <w:tcW w:w="1239" w:type="dxa"/>
            <w:tcBorders>
              <w:top w:val="single" w:sz="8" w:space="0" w:color="000000"/>
              <w:left w:val="nil"/>
              <w:bottom w:val="nil"/>
              <w:right w:val="single" w:sz="8" w:space="0" w:color="000000"/>
            </w:tcBorders>
            <w:shd w:val="clear" w:color="auto" w:fill="auto"/>
            <w:vAlign w:val="center"/>
            <w:hideMark/>
          </w:tcPr>
          <w:p w14:paraId="061F4C22" w14:textId="77777777"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2017</w:t>
            </w:r>
          </w:p>
        </w:tc>
        <w:tc>
          <w:tcPr>
            <w:tcW w:w="1239" w:type="dxa"/>
            <w:tcBorders>
              <w:top w:val="single" w:sz="8" w:space="0" w:color="000000"/>
              <w:left w:val="nil"/>
              <w:bottom w:val="nil"/>
              <w:right w:val="single" w:sz="8" w:space="0" w:color="000000"/>
            </w:tcBorders>
            <w:shd w:val="clear" w:color="auto" w:fill="auto"/>
            <w:vAlign w:val="center"/>
            <w:hideMark/>
          </w:tcPr>
          <w:p w14:paraId="79B85D09" w14:textId="4A716AAF" w:rsidR="00C22B33" w:rsidRPr="003D2EAA" w:rsidRDefault="0DCAAF89" w:rsidP="00C22B33">
            <w:pPr>
              <w:spacing w:after="0" w:line="240" w:lineRule="auto"/>
              <w:jc w:val="center"/>
              <w:rPr>
                <w:rFonts w:ascii="Arial" w:eastAsia="Times New Roman" w:hAnsi="Arial" w:cs="Arial"/>
                <w:b/>
                <w:bCs/>
                <w:color w:val="000000"/>
                <w:sz w:val="20"/>
                <w:szCs w:val="20"/>
                <w:lang w:val="es-CL" w:eastAsia="es-CL"/>
              </w:rPr>
            </w:pPr>
            <w:r w:rsidRPr="05B31971">
              <w:rPr>
                <w:rFonts w:ascii="Arial" w:eastAsia="Times New Roman" w:hAnsi="Arial" w:cs="Arial"/>
                <w:b/>
                <w:bCs/>
                <w:color w:val="000000" w:themeColor="text1"/>
                <w:sz w:val="20"/>
                <w:szCs w:val="20"/>
                <w:lang w:val="es-CL" w:eastAsia="es-CL"/>
              </w:rPr>
              <w:t>35</w:t>
            </w:r>
            <w:r w:rsidR="00C22B33" w:rsidRPr="003D2EAA">
              <w:rPr>
                <w:rFonts w:ascii="Arial" w:eastAsia="Times New Roman" w:hAnsi="Arial" w:cs="Arial"/>
                <w:b/>
                <w:bCs/>
                <w:color w:val="000000"/>
                <w:sz w:val="20"/>
                <w:szCs w:val="20"/>
                <w:lang w:val="es-CL" w:eastAsia="es-CL"/>
              </w:rPr>
              <w:t>%</w:t>
            </w:r>
          </w:p>
        </w:tc>
        <w:tc>
          <w:tcPr>
            <w:tcW w:w="3374" w:type="dxa"/>
            <w:vMerge/>
            <w:tcBorders>
              <w:left w:val="nil"/>
              <w:right w:val="single" w:sz="8" w:space="0" w:color="000000"/>
            </w:tcBorders>
            <w:shd w:val="clear" w:color="auto" w:fill="auto"/>
            <w:vAlign w:val="center"/>
            <w:hideMark/>
          </w:tcPr>
          <w:p w14:paraId="30D61450" w14:textId="77777777" w:rsidR="00C22B33" w:rsidRPr="003D2EAA" w:rsidRDefault="00C22B33" w:rsidP="00C22B33">
            <w:pPr>
              <w:spacing w:after="0" w:line="240" w:lineRule="auto"/>
              <w:jc w:val="center"/>
              <w:rPr>
                <w:rFonts w:ascii="Arial" w:eastAsia="Times New Roman" w:hAnsi="Arial" w:cs="Arial"/>
                <w:color w:val="000000"/>
                <w:sz w:val="20"/>
                <w:szCs w:val="20"/>
                <w:lang w:val="es-CL" w:eastAsia="es-CL"/>
              </w:rPr>
            </w:pPr>
          </w:p>
        </w:tc>
      </w:tr>
      <w:tr w:rsidR="00C22B33" w:rsidRPr="003D2EAA" w14:paraId="150813F3" w14:textId="77777777" w:rsidTr="0027508B">
        <w:trPr>
          <w:trHeight w:val="2533"/>
          <w:jc w:val="center"/>
        </w:trPr>
        <w:tc>
          <w:tcPr>
            <w:tcW w:w="2265" w:type="dxa"/>
            <w:tcBorders>
              <w:top w:val="single" w:sz="8" w:space="0" w:color="000000"/>
              <w:left w:val="single" w:sz="8" w:space="0" w:color="000000"/>
              <w:bottom w:val="nil"/>
              <w:right w:val="single" w:sz="8" w:space="0" w:color="000000"/>
            </w:tcBorders>
            <w:shd w:val="clear" w:color="auto" w:fill="auto"/>
            <w:vAlign w:val="center"/>
            <w:hideMark/>
          </w:tcPr>
          <w:p w14:paraId="70B98548" w14:textId="77777777" w:rsidR="00C22B33" w:rsidRPr="003D2EAA" w:rsidRDefault="00C22B33" w:rsidP="00C22B33">
            <w:pPr>
              <w:spacing w:after="0" w:line="240" w:lineRule="auto"/>
              <w:rPr>
                <w:rFonts w:ascii="Arial" w:eastAsia="Times New Roman" w:hAnsi="Arial" w:cs="Arial"/>
                <w:color w:val="000000"/>
                <w:sz w:val="20"/>
                <w:szCs w:val="20"/>
                <w:lang w:val="es-CL" w:eastAsia="es-CL"/>
              </w:rPr>
            </w:pPr>
            <w:r w:rsidRPr="003D2EAA">
              <w:rPr>
                <w:rFonts w:ascii="Arial" w:eastAsia="Times New Roman" w:hAnsi="Arial" w:cs="Arial"/>
                <w:bCs/>
                <w:color w:val="000000"/>
                <w:sz w:val="20"/>
                <w:szCs w:val="20"/>
                <w:lang w:val="es-CL" w:eastAsia="es-CL"/>
              </w:rPr>
              <w:t>Estudiantes en nivel insuficiente de II medio de escuelas públicas en prueba SIMCE matemática</w:t>
            </w:r>
          </w:p>
        </w:tc>
        <w:tc>
          <w:tcPr>
            <w:tcW w:w="895" w:type="dxa"/>
            <w:tcBorders>
              <w:top w:val="single" w:sz="8" w:space="0" w:color="000000"/>
              <w:left w:val="nil"/>
              <w:bottom w:val="nil"/>
              <w:right w:val="single" w:sz="8" w:space="0" w:color="000000"/>
            </w:tcBorders>
            <w:shd w:val="clear" w:color="auto" w:fill="auto"/>
            <w:vAlign w:val="center"/>
            <w:hideMark/>
          </w:tcPr>
          <w:p w14:paraId="183B0D6D" w14:textId="77777777"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w:t>
            </w:r>
          </w:p>
        </w:tc>
        <w:tc>
          <w:tcPr>
            <w:tcW w:w="1239" w:type="dxa"/>
            <w:tcBorders>
              <w:top w:val="single" w:sz="8" w:space="0" w:color="000000"/>
              <w:left w:val="nil"/>
              <w:bottom w:val="nil"/>
              <w:right w:val="single" w:sz="8" w:space="0" w:color="000000"/>
            </w:tcBorders>
            <w:shd w:val="clear" w:color="auto" w:fill="auto"/>
            <w:vAlign w:val="center"/>
            <w:hideMark/>
          </w:tcPr>
          <w:p w14:paraId="2C7EC23A" w14:textId="27BFDF5A"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Pr>
                <w:rFonts w:ascii="Arial" w:eastAsia="Times New Roman" w:hAnsi="Arial" w:cs="Arial"/>
                <w:b/>
                <w:bCs/>
                <w:color w:val="000000"/>
                <w:sz w:val="20"/>
                <w:szCs w:val="20"/>
                <w:lang w:val="es-CL" w:eastAsia="es-CL"/>
              </w:rPr>
              <w:t>67</w:t>
            </w:r>
          </w:p>
        </w:tc>
        <w:tc>
          <w:tcPr>
            <w:tcW w:w="1239" w:type="dxa"/>
            <w:tcBorders>
              <w:top w:val="single" w:sz="8" w:space="0" w:color="000000"/>
              <w:left w:val="nil"/>
              <w:bottom w:val="nil"/>
              <w:right w:val="single" w:sz="8" w:space="0" w:color="000000"/>
            </w:tcBorders>
            <w:shd w:val="clear" w:color="auto" w:fill="auto"/>
            <w:vAlign w:val="center"/>
            <w:hideMark/>
          </w:tcPr>
          <w:p w14:paraId="15EDE452" w14:textId="77777777"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2017</w:t>
            </w:r>
          </w:p>
        </w:tc>
        <w:tc>
          <w:tcPr>
            <w:tcW w:w="1239" w:type="dxa"/>
            <w:tcBorders>
              <w:top w:val="single" w:sz="8" w:space="0" w:color="000000"/>
              <w:left w:val="nil"/>
              <w:bottom w:val="nil"/>
              <w:right w:val="single" w:sz="8" w:space="0" w:color="000000"/>
            </w:tcBorders>
            <w:shd w:val="clear" w:color="auto" w:fill="auto"/>
            <w:vAlign w:val="center"/>
            <w:hideMark/>
          </w:tcPr>
          <w:p w14:paraId="625CC892" w14:textId="7C1692CA" w:rsidR="00C22B33" w:rsidRPr="003D2EAA" w:rsidRDefault="1EAAE033" w:rsidP="00C22B33">
            <w:pPr>
              <w:spacing w:after="0" w:line="240" w:lineRule="auto"/>
              <w:jc w:val="center"/>
              <w:rPr>
                <w:rFonts w:ascii="Arial" w:eastAsia="Times New Roman" w:hAnsi="Arial" w:cs="Arial"/>
                <w:b/>
                <w:bCs/>
                <w:color w:val="000000"/>
                <w:sz w:val="20"/>
                <w:szCs w:val="20"/>
                <w:lang w:val="es-CL" w:eastAsia="es-CL"/>
              </w:rPr>
            </w:pPr>
            <w:r w:rsidRPr="05B31971">
              <w:rPr>
                <w:rFonts w:ascii="Arial" w:eastAsia="Times New Roman" w:hAnsi="Arial" w:cs="Arial"/>
                <w:b/>
                <w:bCs/>
                <w:color w:val="000000" w:themeColor="text1"/>
                <w:sz w:val="20"/>
                <w:szCs w:val="20"/>
                <w:lang w:val="es-CL" w:eastAsia="es-CL"/>
              </w:rPr>
              <w:t>62</w:t>
            </w:r>
            <w:r w:rsidR="00C22B33" w:rsidRPr="003D2EAA">
              <w:rPr>
                <w:rFonts w:ascii="Arial" w:eastAsia="Times New Roman" w:hAnsi="Arial" w:cs="Arial"/>
                <w:b/>
                <w:bCs/>
                <w:color w:val="000000"/>
                <w:sz w:val="20"/>
                <w:szCs w:val="20"/>
                <w:lang w:val="es-CL" w:eastAsia="es-CL"/>
              </w:rPr>
              <w:t>%</w:t>
            </w:r>
          </w:p>
        </w:tc>
        <w:tc>
          <w:tcPr>
            <w:tcW w:w="3374" w:type="dxa"/>
            <w:vMerge/>
            <w:tcBorders>
              <w:left w:val="nil"/>
              <w:right w:val="single" w:sz="8" w:space="0" w:color="000000"/>
            </w:tcBorders>
            <w:shd w:val="clear" w:color="auto" w:fill="auto"/>
            <w:vAlign w:val="center"/>
            <w:hideMark/>
          </w:tcPr>
          <w:p w14:paraId="1C877E61" w14:textId="77777777" w:rsidR="00C22B33" w:rsidRPr="003D2EAA" w:rsidRDefault="00C22B33" w:rsidP="00C22B33">
            <w:pPr>
              <w:spacing w:after="0" w:line="240" w:lineRule="auto"/>
              <w:jc w:val="center"/>
              <w:rPr>
                <w:rFonts w:ascii="Arial" w:eastAsia="Times New Roman" w:hAnsi="Arial" w:cs="Arial"/>
                <w:color w:val="000000"/>
                <w:sz w:val="20"/>
                <w:szCs w:val="20"/>
                <w:lang w:val="es-CL" w:eastAsia="es-CL"/>
              </w:rPr>
            </w:pPr>
          </w:p>
        </w:tc>
      </w:tr>
      <w:tr w:rsidR="00C22B33" w:rsidRPr="003D2EAA" w14:paraId="30F1634E" w14:textId="77777777" w:rsidTr="0027508B">
        <w:trPr>
          <w:trHeight w:val="1710"/>
          <w:jc w:val="center"/>
        </w:trPr>
        <w:tc>
          <w:tcPr>
            <w:tcW w:w="226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1F21A68" w14:textId="77777777" w:rsidR="00C22B33" w:rsidRPr="003D2EAA" w:rsidRDefault="00C22B33" w:rsidP="00C22B33">
            <w:pPr>
              <w:spacing w:after="0" w:line="240" w:lineRule="auto"/>
              <w:rPr>
                <w:rFonts w:ascii="Arial" w:eastAsia="Times New Roman" w:hAnsi="Arial" w:cs="Arial"/>
                <w:color w:val="000000"/>
                <w:sz w:val="20"/>
                <w:szCs w:val="20"/>
                <w:lang w:val="es-CL" w:eastAsia="es-CL"/>
              </w:rPr>
            </w:pPr>
            <w:r w:rsidRPr="003D2EAA">
              <w:rPr>
                <w:rFonts w:ascii="Arial" w:eastAsia="Times New Roman" w:hAnsi="Arial" w:cs="Arial"/>
                <w:bCs/>
                <w:color w:val="000000"/>
                <w:sz w:val="20"/>
                <w:szCs w:val="20"/>
                <w:lang w:val="es-CL" w:eastAsia="es-CL"/>
              </w:rPr>
              <w:t>Estudiantes en nivel insuficiente de II medio de escuelas públicas en prueba SIMCE lenguaje</w:t>
            </w:r>
          </w:p>
        </w:tc>
        <w:tc>
          <w:tcPr>
            <w:tcW w:w="895" w:type="dxa"/>
            <w:tcBorders>
              <w:top w:val="single" w:sz="8" w:space="0" w:color="000000"/>
              <w:left w:val="nil"/>
              <w:bottom w:val="single" w:sz="8" w:space="0" w:color="000000"/>
              <w:right w:val="single" w:sz="8" w:space="0" w:color="000000"/>
            </w:tcBorders>
            <w:shd w:val="clear" w:color="000000" w:fill="FFFFFF"/>
            <w:vAlign w:val="center"/>
            <w:hideMark/>
          </w:tcPr>
          <w:p w14:paraId="6FEBEC68" w14:textId="77777777" w:rsidR="00C22B33" w:rsidRPr="003D2EAA" w:rsidRDefault="00C22B33" w:rsidP="00C22B33">
            <w:pPr>
              <w:spacing w:after="0" w:line="240" w:lineRule="auto"/>
              <w:jc w:val="center"/>
              <w:rPr>
                <w:rFonts w:ascii="Arial" w:eastAsia="Times New Roman" w:hAnsi="Arial" w:cs="Arial"/>
                <w:color w:val="000000"/>
                <w:sz w:val="20"/>
                <w:szCs w:val="20"/>
                <w:lang w:val="es-CL" w:eastAsia="es-CL"/>
              </w:rPr>
            </w:pPr>
            <w:r w:rsidRPr="003D2EAA">
              <w:rPr>
                <w:rFonts w:ascii="Arial" w:eastAsia="Times New Roman" w:hAnsi="Arial" w:cs="Arial"/>
                <w:color w:val="000000"/>
                <w:sz w:val="20"/>
                <w:szCs w:val="20"/>
                <w:lang w:val="es-CL" w:eastAsia="es-CL"/>
              </w:rPr>
              <w:t>%</w:t>
            </w:r>
          </w:p>
        </w:tc>
        <w:tc>
          <w:tcPr>
            <w:tcW w:w="1239" w:type="dxa"/>
            <w:tcBorders>
              <w:top w:val="single" w:sz="8" w:space="0" w:color="000000"/>
              <w:left w:val="nil"/>
              <w:bottom w:val="single" w:sz="8" w:space="0" w:color="000000"/>
              <w:right w:val="single" w:sz="8" w:space="0" w:color="000000"/>
            </w:tcBorders>
            <w:shd w:val="clear" w:color="000000" w:fill="FFFFFF"/>
            <w:vAlign w:val="center"/>
            <w:hideMark/>
          </w:tcPr>
          <w:p w14:paraId="48D94FE3" w14:textId="1769F4DB"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Pr>
                <w:rFonts w:ascii="Arial" w:eastAsia="Times New Roman" w:hAnsi="Arial" w:cs="Arial"/>
                <w:b/>
                <w:bCs/>
                <w:color w:val="000000"/>
                <w:sz w:val="20"/>
                <w:szCs w:val="20"/>
                <w:lang w:val="es-CL" w:eastAsia="es-CL"/>
              </w:rPr>
              <w:t>62</w:t>
            </w:r>
          </w:p>
        </w:tc>
        <w:tc>
          <w:tcPr>
            <w:tcW w:w="1239" w:type="dxa"/>
            <w:tcBorders>
              <w:top w:val="single" w:sz="8" w:space="0" w:color="000000"/>
              <w:left w:val="nil"/>
              <w:bottom w:val="single" w:sz="8" w:space="0" w:color="000000"/>
              <w:right w:val="single" w:sz="8" w:space="0" w:color="000000"/>
            </w:tcBorders>
            <w:shd w:val="clear" w:color="000000" w:fill="FFFFFF"/>
            <w:vAlign w:val="center"/>
            <w:hideMark/>
          </w:tcPr>
          <w:p w14:paraId="53DA85EA" w14:textId="77777777" w:rsidR="00C22B33" w:rsidRPr="003D2EAA" w:rsidRDefault="00C22B33" w:rsidP="00C22B33">
            <w:pPr>
              <w:spacing w:after="0" w:line="240" w:lineRule="auto"/>
              <w:jc w:val="center"/>
              <w:rPr>
                <w:rFonts w:ascii="Arial" w:eastAsia="Times New Roman" w:hAnsi="Arial" w:cs="Arial"/>
                <w:b/>
                <w:bCs/>
                <w:color w:val="000000"/>
                <w:sz w:val="20"/>
                <w:szCs w:val="20"/>
                <w:lang w:val="es-CL" w:eastAsia="es-CL"/>
              </w:rPr>
            </w:pPr>
            <w:r w:rsidRPr="003D2EAA">
              <w:rPr>
                <w:rFonts w:ascii="Arial" w:eastAsia="Times New Roman" w:hAnsi="Arial" w:cs="Arial"/>
                <w:b/>
                <w:bCs/>
                <w:color w:val="000000"/>
                <w:sz w:val="20"/>
                <w:szCs w:val="20"/>
                <w:lang w:val="es-CL" w:eastAsia="es-CL"/>
              </w:rPr>
              <w:t>2017</w:t>
            </w:r>
          </w:p>
        </w:tc>
        <w:tc>
          <w:tcPr>
            <w:tcW w:w="1239" w:type="dxa"/>
            <w:tcBorders>
              <w:top w:val="single" w:sz="8" w:space="0" w:color="000000"/>
              <w:left w:val="nil"/>
              <w:bottom w:val="single" w:sz="8" w:space="0" w:color="000000"/>
              <w:right w:val="single" w:sz="8" w:space="0" w:color="000000"/>
            </w:tcBorders>
            <w:shd w:val="clear" w:color="000000" w:fill="FFFFFF"/>
            <w:vAlign w:val="center"/>
            <w:hideMark/>
          </w:tcPr>
          <w:p w14:paraId="015042AB" w14:textId="090A39B6" w:rsidR="00C22B33" w:rsidRPr="003D2EAA" w:rsidRDefault="37A078E7" w:rsidP="00C22B33">
            <w:pPr>
              <w:spacing w:after="0" w:line="240" w:lineRule="auto"/>
              <w:jc w:val="center"/>
              <w:rPr>
                <w:rFonts w:ascii="Arial" w:eastAsia="Times New Roman" w:hAnsi="Arial" w:cs="Arial"/>
                <w:b/>
                <w:bCs/>
                <w:color w:val="000000"/>
                <w:sz w:val="20"/>
                <w:szCs w:val="20"/>
                <w:lang w:val="es-CL" w:eastAsia="es-CL"/>
              </w:rPr>
            </w:pPr>
            <w:r w:rsidRPr="05B31971">
              <w:rPr>
                <w:rFonts w:ascii="Arial" w:eastAsia="Times New Roman" w:hAnsi="Arial" w:cs="Arial"/>
                <w:b/>
                <w:bCs/>
                <w:color w:val="000000" w:themeColor="text1"/>
                <w:sz w:val="20"/>
                <w:szCs w:val="20"/>
                <w:lang w:val="es-CL" w:eastAsia="es-CL"/>
              </w:rPr>
              <w:t>57</w:t>
            </w:r>
            <w:r w:rsidR="00C22B33" w:rsidRPr="003D2EAA">
              <w:rPr>
                <w:rFonts w:ascii="Arial" w:eastAsia="Times New Roman" w:hAnsi="Arial" w:cs="Arial"/>
                <w:b/>
                <w:bCs/>
                <w:color w:val="000000"/>
                <w:sz w:val="20"/>
                <w:szCs w:val="20"/>
                <w:lang w:val="es-CL" w:eastAsia="es-CL"/>
              </w:rPr>
              <w:t>%</w:t>
            </w:r>
          </w:p>
        </w:tc>
        <w:tc>
          <w:tcPr>
            <w:tcW w:w="3374" w:type="dxa"/>
            <w:vMerge/>
            <w:tcBorders>
              <w:left w:val="nil"/>
              <w:bottom w:val="single" w:sz="8" w:space="0" w:color="000000"/>
              <w:right w:val="single" w:sz="8" w:space="0" w:color="000000"/>
            </w:tcBorders>
            <w:shd w:val="clear" w:color="000000" w:fill="FFFFFF"/>
            <w:vAlign w:val="center"/>
            <w:hideMark/>
          </w:tcPr>
          <w:p w14:paraId="7F1A59BB" w14:textId="77777777" w:rsidR="00C22B33" w:rsidRPr="003D2EAA" w:rsidRDefault="00C22B33" w:rsidP="00C22B33">
            <w:pPr>
              <w:spacing w:after="0" w:line="240" w:lineRule="auto"/>
              <w:jc w:val="center"/>
              <w:rPr>
                <w:rFonts w:ascii="Arial" w:eastAsia="Times New Roman" w:hAnsi="Arial" w:cs="Arial"/>
                <w:color w:val="000000"/>
                <w:sz w:val="20"/>
                <w:szCs w:val="20"/>
                <w:lang w:val="es-CL" w:eastAsia="es-CL"/>
              </w:rPr>
            </w:pPr>
          </w:p>
        </w:tc>
      </w:tr>
    </w:tbl>
    <w:p w14:paraId="1562DC4E" w14:textId="77777777" w:rsidR="0027508B" w:rsidRPr="00152CDF" w:rsidRDefault="0027508B" w:rsidP="00F947D6">
      <w:pPr>
        <w:spacing w:after="0" w:line="240" w:lineRule="auto"/>
        <w:rPr>
          <w:rFonts w:ascii="Arial" w:hAnsi="Arial" w:cs="Arial"/>
          <w:b/>
          <w:color w:val="000000"/>
          <w:lang w:val="es-ES_tradnl"/>
        </w:rPr>
      </w:pPr>
    </w:p>
    <w:p w14:paraId="21E5D93B" w14:textId="5D8D9AAE" w:rsidR="00511845" w:rsidRPr="00152CDF" w:rsidRDefault="00F35EEC" w:rsidP="00F947D6">
      <w:pPr>
        <w:pStyle w:val="Heading2"/>
        <w:numPr>
          <w:ilvl w:val="1"/>
          <w:numId w:val="28"/>
        </w:numPr>
        <w:spacing w:before="120"/>
        <w:rPr>
          <w:lang w:val="es-ES_tradnl"/>
        </w:rPr>
      </w:pPr>
      <w:r w:rsidRPr="00152CDF">
        <w:rPr>
          <w:b/>
          <w:bCs/>
          <w:lang w:val="es-ES_tradnl"/>
        </w:rPr>
        <w:lastRenderedPageBreak/>
        <w:t>La intervención</w:t>
      </w:r>
      <w:r w:rsidR="00464A65" w:rsidRPr="00152CDF">
        <w:rPr>
          <w:b/>
          <w:bCs/>
          <w:lang w:val="es-ES_tradnl"/>
        </w:rPr>
        <w:t xml:space="preserve">: </w:t>
      </w:r>
      <w:r w:rsidR="00721730" w:rsidRPr="00152CDF">
        <w:rPr>
          <w:lang w:val="es-ES_tradnl"/>
        </w:rPr>
        <w:t xml:space="preserve">El Programa de Fortalecimiento de la Gestión del Sector Educativo </w:t>
      </w:r>
      <w:r w:rsidR="005A7AEC" w:rsidRPr="00152CDF">
        <w:rPr>
          <w:lang w:val="es-ES_tradnl"/>
        </w:rPr>
        <w:t>tiene como objetivo</w:t>
      </w:r>
      <w:r w:rsidR="00194FA8" w:rsidRPr="00152CDF">
        <w:rPr>
          <w:lang w:val="es-ES_tradnl"/>
        </w:rPr>
        <w:t xml:space="preserve"> </w:t>
      </w:r>
      <w:r w:rsidR="00781AA6" w:rsidRPr="00152CDF">
        <w:rPr>
          <w:lang w:val="es-ES_tradnl"/>
        </w:rPr>
        <w:t>mejorar la calidad del sistema de la educación pública en Chile a través del fortalecimiento y/o creación de capacidades de liderazgo y soporte técnico</w:t>
      </w:r>
      <w:r w:rsidR="0028548A">
        <w:rPr>
          <w:lang w:val="es-ES_tradnl"/>
        </w:rPr>
        <w:noBreakHyphen/>
      </w:r>
      <w:r w:rsidR="00781AA6" w:rsidRPr="00152CDF">
        <w:rPr>
          <w:lang w:val="es-ES_tradnl"/>
        </w:rPr>
        <w:t>pedagógico a nivel central y local de dicho sistema</w:t>
      </w:r>
      <w:r w:rsidR="00194FA8" w:rsidRPr="00152CDF">
        <w:rPr>
          <w:lang w:val="es-ES_tradnl"/>
        </w:rPr>
        <w:t xml:space="preserve">. </w:t>
      </w:r>
      <w:r w:rsidR="00CE594C" w:rsidRPr="00152CDF">
        <w:rPr>
          <w:lang w:val="es-ES_tradnl"/>
        </w:rPr>
        <w:t xml:space="preserve">Un rasgo central de la reforma es </w:t>
      </w:r>
      <w:r w:rsidR="00F231AB">
        <w:rPr>
          <w:lang w:val="es-ES_tradnl"/>
        </w:rPr>
        <w:t>la creación</w:t>
      </w:r>
      <w:r w:rsidR="00CE594C" w:rsidRPr="00152CDF">
        <w:rPr>
          <w:lang w:val="es-ES_tradnl"/>
        </w:rPr>
        <w:t xml:space="preserve"> de una nueva institucionalidad para la oferta pública de educación, que reemplazará a la actual administración municipal. Los establecimientos educativos públicos pasarán a ser gestionados por </w:t>
      </w:r>
      <w:proofErr w:type="spellStart"/>
      <w:r w:rsidR="00316FAC" w:rsidRPr="00152CDF">
        <w:rPr>
          <w:lang w:val="es-ES_tradnl"/>
        </w:rPr>
        <w:t>SLEPs</w:t>
      </w:r>
      <w:proofErr w:type="spellEnd"/>
      <w:r w:rsidR="00316FAC" w:rsidRPr="00152CDF">
        <w:rPr>
          <w:lang w:val="es-ES_tradnl"/>
        </w:rPr>
        <w:t xml:space="preserve">, unidades que agregan </w:t>
      </w:r>
      <w:r w:rsidR="00CE594C" w:rsidRPr="00152CDF">
        <w:rPr>
          <w:lang w:val="es-ES_tradnl"/>
        </w:rPr>
        <w:t>varios municipios, coordinad</w:t>
      </w:r>
      <w:r w:rsidR="00316FAC" w:rsidRPr="00152CDF">
        <w:rPr>
          <w:lang w:val="es-ES_tradnl"/>
        </w:rPr>
        <w:t xml:space="preserve">a </w:t>
      </w:r>
      <w:r w:rsidR="00CE594C" w:rsidRPr="00152CDF">
        <w:rPr>
          <w:lang w:val="es-ES_tradnl"/>
        </w:rPr>
        <w:t xml:space="preserve">por una Dirección de Educación Pública (DEP) que funcionará a nivel del MINEDUC. Los </w:t>
      </w:r>
      <w:proofErr w:type="spellStart"/>
      <w:r w:rsidR="00316FAC" w:rsidRPr="00152CDF">
        <w:rPr>
          <w:lang w:val="es-ES_tradnl"/>
        </w:rPr>
        <w:t>SLEPs</w:t>
      </w:r>
      <w:proofErr w:type="spellEnd"/>
      <w:r w:rsidR="00316FAC" w:rsidRPr="00152CDF">
        <w:rPr>
          <w:lang w:val="es-ES_tradnl"/>
        </w:rPr>
        <w:t xml:space="preserve"> </w:t>
      </w:r>
      <w:r w:rsidR="00CE594C" w:rsidRPr="00152CDF">
        <w:rPr>
          <w:lang w:val="es-ES_tradnl"/>
        </w:rPr>
        <w:t xml:space="preserve">tendrán entre sus responsabilidades la planificación estratégica y el apoyo técnico pedagógico a establecimientos en su territorio, además de responsabilidades generales de gestión administrativa y financiera. </w:t>
      </w:r>
      <w:r w:rsidR="00B30AD8" w:rsidRPr="00152CDF">
        <w:rPr>
          <w:lang w:val="es-ES_tradnl"/>
        </w:rPr>
        <w:t xml:space="preserve">El foco de la reforma es mejorar la capacidad de gestión </w:t>
      </w:r>
      <w:r w:rsidR="00702AA9" w:rsidRPr="00152CDF">
        <w:rPr>
          <w:lang w:val="es-ES_tradnl"/>
        </w:rPr>
        <w:t xml:space="preserve">estratégica y </w:t>
      </w:r>
      <w:r w:rsidR="00B30AD8" w:rsidRPr="00152CDF">
        <w:rPr>
          <w:lang w:val="es-ES_tradnl"/>
        </w:rPr>
        <w:t>pedagógica del nivel local de gobierno de la educación</w:t>
      </w:r>
      <w:r w:rsidR="00D91A94" w:rsidRPr="00152CDF">
        <w:rPr>
          <w:lang w:val="es-ES_tradnl"/>
        </w:rPr>
        <w:t xml:space="preserve"> (los nuevos </w:t>
      </w:r>
      <w:proofErr w:type="spellStart"/>
      <w:r w:rsidR="00164E13">
        <w:rPr>
          <w:lang w:val="es-ES_tradnl"/>
        </w:rPr>
        <w:t>SLEPs</w:t>
      </w:r>
      <w:proofErr w:type="spellEnd"/>
      <w:r w:rsidR="00D91A94" w:rsidRPr="00152CDF">
        <w:rPr>
          <w:lang w:val="es-ES_tradnl"/>
        </w:rPr>
        <w:t xml:space="preserve">). </w:t>
      </w:r>
      <w:r w:rsidR="00316FAC" w:rsidRPr="00152CDF">
        <w:rPr>
          <w:lang w:val="es-ES_tradnl"/>
        </w:rPr>
        <w:t>Tal como lo establece la ley, l</w:t>
      </w:r>
      <w:r w:rsidR="007B623A" w:rsidRPr="00152CDF">
        <w:rPr>
          <w:lang w:val="es-ES_tradnl"/>
        </w:rPr>
        <w:t>a implementación de</w:t>
      </w:r>
      <w:r w:rsidR="00316FAC" w:rsidRPr="00152CDF">
        <w:rPr>
          <w:lang w:val="es-ES_tradnl"/>
        </w:rPr>
        <w:t xml:space="preserve"> la nueva institucionalidad </w:t>
      </w:r>
      <w:r w:rsidR="007B623A" w:rsidRPr="00152CDF">
        <w:rPr>
          <w:lang w:val="es-ES_tradnl"/>
        </w:rPr>
        <w:t xml:space="preserve">se realiza en forma </w:t>
      </w:r>
      <w:r w:rsidR="00E52333" w:rsidRPr="00152CDF">
        <w:rPr>
          <w:lang w:val="es-ES_tradnl"/>
        </w:rPr>
        <w:t xml:space="preserve">gradual. </w:t>
      </w:r>
      <w:r w:rsidR="00316FAC" w:rsidRPr="00152CDF">
        <w:rPr>
          <w:lang w:val="es-ES_tradnl"/>
        </w:rPr>
        <w:t xml:space="preserve">El 2018 ya se inició </w:t>
      </w:r>
      <w:r w:rsidR="00FE2E59" w:rsidRPr="00152CDF">
        <w:rPr>
          <w:lang w:val="es-ES_tradnl"/>
        </w:rPr>
        <w:t xml:space="preserve">la política </w:t>
      </w:r>
      <w:r w:rsidR="00316FAC" w:rsidRPr="00152CDF">
        <w:rPr>
          <w:lang w:val="es-ES_tradnl"/>
        </w:rPr>
        <w:t xml:space="preserve">con 4 </w:t>
      </w:r>
      <w:r w:rsidR="007B623A" w:rsidRPr="00152CDF">
        <w:rPr>
          <w:lang w:val="es-ES_tradnl"/>
        </w:rPr>
        <w:t xml:space="preserve">territorios (abarcando </w:t>
      </w:r>
      <w:r w:rsidR="00FE2E59" w:rsidRPr="00152CDF">
        <w:rPr>
          <w:lang w:val="es-ES_tradnl"/>
        </w:rPr>
        <w:t xml:space="preserve">14 </w:t>
      </w:r>
      <w:r w:rsidR="00887CA2" w:rsidRPr="00152CDF">
        <w:rPr>
          <w:lang w:val="es-ES_tradnl"/>
        </w:rPr>
        <w:t>municipios).</w:t>
      </w:r>
      <w:r w:rsidR="00FE2E59" w:rsidRPr="00152CDF">
        <w:rPr>
          <w:lang w:val="es-ES_tradnl"/>
        </w:rPr>
        <w:t xml:space="preserve"> </w:t>
      </w:r>
      <w:r w:rsidR="00807BD2">
        <w:rPr>
          <w:lang w:val="es-ES_tradnl"/>
        </w:rPr>
        <w:t>Al</w:t>
      </w:r>
      <w:r w:rsidR="00FE2E59" w:rsidRPr="00152CDF">
        <w:rPr>
          <w:lang w:val="es-ES_tradnl"/>
        </w:rPr>
        <w:t xml:space="preserve"> año 2020 </w:t>
      </w:r>
      <w:r w:rsidR="00807BD2">
        <w:rPr>
          <w:lang w:val="es-ES_tradnl"/>
        </w:rPr>
        <w:t xml:space="preserve">ya </w:t>
      </w:r>
      <w:r w:rsidR="00170257">
        <w:rPr>
          <w:lang w:val="es-ES_tradnl"/>
        </w:rPr>
        <w:t xml:space="preserve">se encuentran operativos </w:t>
      </w:r>
      <w:r w:rsidR="00FE2E59" w:rsidRPr="00152CDF">
        <w:rPr>
          <w:lang w:val="es-ES_tradnl"/>
        </w:rPr>
        <w:t>3 nuevos territorios comprendiendo 11 municipios</w:t>
      </w:r>
      <w:r w:rsidR="00911B7D" w:rsidRPr="00152CDF">
        <w:rPr>
          <w:lang w:val="es-ES_tradnl"/>
        </w:rPr>
        <w:t>.</w:t>
      </w:r>
      <w:r w:rsidR="00FE2E59" w:rsidRPr="00152CDF">
        <w:rPr>
          <w:lang w:val="es-ES_tradnl"/>
        </w:rPr>
        <w:t xml:space="preserve"> Mientras que para el año 2021, </w:t>
      </w:r>
      <w:r w:rsidR="004D3C07" w:rsidRPr="00152CDF">
        <w:rPr>
          <w:lang w:val="es-ES_tradnl"/>
        </w:rPr>
        <w:t xml:space="preserve">se </w:t>
      </w:r>
      <w:r w:rsidR="00887CA2" w:rsidRPr="00152CDF">
        <w:rPr>
          <w:lang w:val="es-ES_tradnl"/>
        </w:rPr>
        <w:t>incorporar</w:t>
      </w:r>
      <w:r w:rsidR="004D3C07" w:rsidRPr="00152CDF">
        <w:rPr>
          <w:lang w:val="es-ES_tradnl"/>
        </w:rPr>
        <w:t xml:space="preserve">án </w:t>
      </w:r>
      <w:r w:rsidR="00FE2E59" w:rsidRPr="00152CDF">
        <w:rPr>
          <w:lang w:val="es-ES_tradnl"/>
        </w:rPr>
        <w:t>4</w:t>
      </w:r>
      <w:r w:rsidR="004D3C07" w:rsidRPr="00152CDF">
        <w:rPr>
          <w:lang w:val="es-ES_tradnl"/>
        </w:rPr>
        <w:t xml:space="preserve"> nuevos </w:t>
      </w:r>
      <w:proofErr w:type="spellStart"/>
      <w:r w:rsidR="00FE2E59" w:rsidRPr="00152CDF">
        <w:rPr>
          <w:lang w:val="es-ES_tradnl"/>
        </w:rPr>
        <w:t>SLEP</w:t>
      </w:r>
      <w:proofErr w:type="spellEnd"/>
      <w:r w:rsidR="004D3C07" w:rsidRPr="00152CDF">
        <w:rPr>
          <w:lang w:val="es-ES_tradnl"/>
        </w:rPr>
        <w:t>. La implementación de la política general continúa luego</w:t>
      </w:r>
      <w:r w:rsidR="00FE2E59" w:rsidRPr="00152CDF">
        <w:rPr>
          <w:lang w:val="es-ES_tradnl"/>
        </w:rPr>
        <w:t xml:space="preserve"> que el Consejo de Evaluación del Sistema de Educación Pública, defina la gradualidad de los </w:t>
      </w:r>
      <w:proofErr w:type="spellStart"/>
      <w:r w:rsidR="00FE2E59" w:rsidRPr="00152CDF">
        <w:rPr>
          <w:lang w:val="es-ES_tradnl"/>
        </w:rPr>
        <w:t>SLEP</w:t>
      </w:r>
      <w:proofErr w:type="spellEnd"/>
      <w:r w:rsidR="00FE2E59" w:rsidRPr="00152CDF">
        <w:rPr>
          <w:lang w:val="es-ES_tradnl"/>
        </w:rPr>
        <w:t xml:space="preserve"> restantes posterior al año 2022. Así, se </w:t>
      </w:r>
      <w:r w:rsidR="004D3C07" w:rsidRPr="00152CDF">
        <w:rPr>
          <w:lang w:val="es-ES_tradnl"/>
        </w:rPr>
        <w:t>incorpor</w:t>
      </w:r>
      <w:r w:rsidR="00FE2E59" w:rsidRPr="00152CDF">
        <w:rPr>
          <w:lang w:val="es-ES_tradnl"/>
        </w:rPr>
        <w:t>arán</w:t>
      </w:r>
      <w:r w:rsidR="004D3C07" w:rsidRPr="00152CDF">
        <w:rPr>
          <w:lang w:val="es-ES_tradnl"/>
        </w:rPr>
        <w:t xml:space="preserve"> el resto de los servicios locales en forma escalonada hasta </w:t>
      </w:r>
      <w:r w:rsidR="000E1F44" w:rsidRPr="00152CDF">
        <w:rPr>
          <w:lang w:val="es-ES_tradnl"/>
        </w:rPr>
        <w:t>la alcanzar la total</w:t>
      </w:r>
      <w:r w:rsidR="00AD23D0" w:rsidRPr="00152CDF">
        <w:rPr>
          <w:lang w:val="es-ES_tradnl"/>
        </w:rPr>
        <w:t>idad de servicios locales (</w:t>
      </w:r>
      <w:r w:rsidR="00FE2E59" w:rsidRPr="00152CDF">
        <w:rPr>
          <w:lang w:val="es-ES_tradnl"/>
        </w:rPr>
        <w:t>70</w:t>
      </w:r>
      <w:r w:rsidR="00AD23D0" w:rsidRPr="00152CDF">
        <w:rPr>
          <w:lang w:val="es-ES_tradnl"/>
        </w:rPr>
        <w:t xml:space="preserve">) en </w:t>
      </w:r>
      <w:r w:rsidR="00450A1A" w:rsidRPr="00152CDF">
        <w:rPr>
          <w:lang w:val="es-ES_tradnl"/>
        </w:rPr>
        <w:t>202</w:t>
      </w:r>
      <w:r w:rsidR="00FE2E59" w:rsidRPr="00152CDF">
        <w:rPr>
          <w:lang w:val="es-ES_tradnl"/>
        </w:rPr>
        <w:t>6</w:t>
      </w:r>
      <w:r w:rsidR="007C45BD">
        <w:rPr>
          <w:rStyle w:val="FootnoteReference"/>
          <w:lang w:val="es-ES_tradnl"/>
        </w:rPr>
        <w:footnoteReference w:id="2"/>
      </w:r>
      <w:r w:rsidR="00450A1A" w:rsidRPr="00152CDF">
        <w:rPr>
          <w:lang w:val="es-ES_tradnl"/>
        </w:rPr>
        <w:t>.</w:t>
      </w:r>
    </w:p>
    <w:p w14:paraId="2D00C39D" w14:textId="6427537C" w:rsidR="009802DE" w:rsidRPr="00152CDF" w:rsidRDefault="004B1F4A" w:rsidP="00F947D6">
      <w:pPr>
        <w:pStyle w:val="Heading2"/>
        <w:numPr>
          <w:ilvl w:val="1"/>
          <w:numId w:val="28"/>
        </w:numPr>
        <w:spacing w:before="120"/>
        <w:rPr>
          <w:lang w:val="es-ES_tradnl"/>
        </w:rPr>
      </w:pPr>
      <w:r w:rsidRPr="00152CDF">
        <w:rPr>
          <w:b/>
          <w:bCs/>
          <w:lang w:val="es-ES_tradnl"/>
        </w:rPr>
        <w:t>Conocimiento existente</w:t>
      </w:r>
      <w:r w:rsidR="00835585" w:rsidRPr="00152CDF">
        <w:rPr>
          <w:b/>
          <w:bCs/>
          <w:lang w:val="es-ES_tradnl"/>
        </w:rPr>
        <w:t>:</w:t>
      </w:r>
      <w:r w:rsidR="009802DE" w:rsidRPr="00152CDF">
        <w:rPr>
          <w:b/>
          <w:bCs/>
          <w:lang w:val="es-ES_tradnl"/>
        </w:rPr>
        <w:t xml:space="preserve"> </w:t>
      </w:r>
      <w:r w:rsidR="00511845" w:rsidRPr="00152CDF">
        <w:rPr>
          <w:lang w:val="es-ES_tradnl"/>
        </w:rPr>
        <w:t>Existen pocas evaluaciones que midan</w:t>
      </w:r>
      <w:r w:rsidR="00766124" w:rsidRPr="00152CDF">
        <w:rPr>
          <w:lang w:val="es-ES_tradnl"/>
        </w:rPr>
        <w:t xml:space="preserve"> rigurosamente</w:t>
      </w:r>
      <w:r w:rsidR="00511845" w:rsidRPr="00152CDF">
        <w:rPr>
          <w:lang w:val="es-ES_tradnl"/>
        </w:rPr>
        <w:t xml:space="preserve"> el impacto de reformas</w:t>
      </w:r>
      <w:r w:rsidR="0034767F" w:rsidRPr="00152CDF">
        <w:rPr>
          <w:lang w:val="es-ES_tradnl"/>
        </w:rPr>
        <w:t xml:space="preserve"> institucionales o</w:t>
      </w:r>
      <w:r w:rsidR="00511845" w:rsidRPr="00152CDF">
        <w:rPr>
          <w:lang w:val="es-ES_tradnl"/>
        </w:rPr>
        <w:t xml:space="preserve"> de gestión como la que </w:t>
      </w:r>
      <w:r w:rsidR="00766124" w:rsidRPr="00152CDF">
        <w:rPr>
          <w:lang w:val="es-ES_tradnl"/>
        </w:rPr>
        <w:t xml:space="preserve">se </w:t>
      </w:r>
      <w:r w:rsidR="0034767F" w:rsidRPr="00152CDF">
        <w:rPr>
          <w:lang w:val="es-ES_tradnl"/>
        </w:rPr>
        <w:t xml:space="preserve">busca impulsa en la gobernanza </w:t>
      </w:r>
      <w:r w:rsidR="005E6D6D" w:rsidRPr="00152CDF">
        <w:rPr>
          <w:lang w:val="es-ES_tradnl"/>
        </w:rPr>
        <w:t xml:space="preserve">educativa </w:t>
      </w:r>
      <w:r w:rsidR="00766124" w:rsidRPr="00152CDF">
        <w:rPr>
          <w:lang w:val="es-ES_tradnl"/>
        </w:rPr>
        <w:t>en Chile.</w:t>
      </w:r>
      <w:r w:rsidR="00A66365" w:rsidRPr="00152CDF">
        <w:rPr>
          <w:lang w:val="es-ES_tradnl"/>
        </w:rPr>
        <w:t xml:space="preserve"> </w:t>
      </w:r>
      <w:r w:rsidR="001D5EDD" w:rsidRPr="00152CDF">
        <w:rPr>
          <w:lang w:val="es-ES_tradnl"/>
        </w:rPr>
        <w:t>Esto se debe a que en general éstas son reformas sistémicas, lo hace difícil su evaluación rigurosa con métodos causales. E</w:t>
      </w:r>
      <w:r w:rsidR="000B3FA8" w:rsidRPr="00152CDF">
        <w:rPr>
          <w:lang w:val="es-ES_tradnl"/>
        </w:rPr>
        <w:t xml:space="preserve">xisten algunos estudios que han </w:t>
      </w:r>
      <w:r w:rsidR="00583EA8" w:rsidRPr="00152CDF">
        <w:rPr>
          <w:lang w:val="es-ES_tradnl"/>
        </w:rPr>
        <w:t>estudiado</w:t>
      </w:r>
      <w:r w:rsidR="000B3FA8" w:rsidRPr="00152CDF">
        <w:rPr>
          <w:lang w:val="es-ES_tradnl"/>
        </w:rPr>
        <w:t xml:space="preserve"> </w:t>
      </w:r>
      <w:r w:rsidR="00583EA8" w:rsidRPr="00152CDF">
        <w:rPr>
          <w:lang w:val="es-ES_tradnl"/>
        </w:rPr>
        <w:t xml:space="preserve">el efecto de la gestión local de la educación a partir de analizar </w:t>
      </w:r>
      <w:r w:rsidR="000B3FA8" w:rsidRPr="00152CDF">
        <w:rPr>
          <w:lang w:val="es-ES_tradnl"/>
        </w:rPr>
        <w:t>la asociación entre</w:t>
      </w:r>
      <w:r w:rsidR="00FA3D66" w:rsidRPr="00152CDF">
        <w:rPr>
          <w:lang w:val="es-ES_tradnl"/>
        </w:rPr>
        <w:t xml:space="preserve"> características de</w:t>
      </w:r>
      <w:r w:rsidR="000B3FA8" w:rsidRPr="00152CDF">
        <w:rPr>
          <w:lang w:val="es-ES_tradnl"/>
        </w:rPr>
        <w:t xml:space="preserve"> las unidades de gestión local de la educación (como los distritos escolares) y los resultados estudiantiles</w:t>
      </w:r>
      <w:r w:rsidR="00793FBB" w:rsidRPr="00152CDF">
        <w:rPr>
          <w:lang w:val="es-ES_tradnl"/>
        </w:rPr>
        <w:t>, sin hacer atribuciones causales</w:t>
      </w:r>
      <w:r w:rsidR="000B3FA8" w:rsidRPr="00152CDF">
        <w:rPr>
          <w:lang w:val="es-ES_tradnl"/>
        </w:rPr>
        <w:t xml:space="preserve">. En general, estos estudios han encontrado que </w:t>
      </w:r>
      <w:r w:rsidR="00562E26" w:rsidRPr="00152CDF">
        <w:rPr>
          <w:lang w:val="es-ES_tradnl"/>
        </w:rPr>
        <w:t xml:space="preserve">las características del liderazgo a nivel de la gestión local de la educación están asociadas con </w:t>
      </w:r>
      <w:r w:rsidR="007C7A93" w:rsidRPr="00152CDF">
        <w:rPr>
          <w:lang w:val="es-ES_tradnl"/>
        </w:rPr>
        <w:t>un efecto mediano</w:t>
      </w:r>
      <w:r w:rsidR="00A66365" w:rsidRPr="00152CDF">
        <w:rPr>
          <w:lang w:val="es-ES_tradnl"/>
        </w:rPr>
        <w:t xml:space="preserve"> en aprendizaje estudiantil. </w:t>
      </w:r>
      <w:r w:rsidR="0008515D" w:rsidRPr="00152CDF">
        <w:rPr>
          <w:lang w:val="es-ES_tradnl"/>
        </w:rPr>
        <w:t xml:space="preserve">Usando datos de los Estados Unidos, </w:t>
      </w:r>
      <w:proofErr w:type="spellStart"/>
      <w:r w:rsidR="0008515D" w:rsidRPr="00152CDF">
        <w:rPr>
          <w:lang w:val="es-ES_tradnl"/>
        </w:rPr>
        <w:t>Whitehurst</w:t>
      </w:r>
      <w:proofErr w:type="spellEnd"/>
      <w:r w:rsidR="0008515D" w:rsidRPr="00152CDF">
        <w:rPr>
          <w:lang w:val="es-ES_tradnl"/>
        </w:rPr>
        <w:t xml:space="preserve">, Chingos y </w:t>
      </w:r>
      <w:proofErr w:type="spellStart"/>
      <w:r w:rsidR="0008515D" w:rsidRPr="00152CDF">
        <w:rPr>
          <w:lang w:val="es-ES_tradnl"/>
        </w:rPr>
        <w:t>Galleher</w:t>
      </w:r>
      <w:proofErr w:type="spellEnd"/>
      <w:r w:rsidR="0008515D" w:rsidRPr="00152CDF">
        <w:rPr>
          <w:lang w:val="es-ES_tradnl"/>
        </w:rPr>
        <w:t xml:space="preserve"> </w:t>
      </w:r>
      <w:r w:rsidR="003C070E" w:rsidRPr="00152CDF">
        <w:rPr>
          <w:lang w:val="es-ES_tradnl"/>
        </w:rPr>
        <w:t xml:space="preserve">(2013) </w:t>
      </w:r>
      <w:r w:rsidR="0008515D" w:rsidRPr="00152CDF">
        <w:rPr>
          <w:lang w:val="es-ES_tradnl"/>
        </w:rPr>
        <w:t xml:space="preserve">estiman que una diferencia de una desviación estándar en el liderazgo a nivel distrital (es decir, a nivel de la gestión local de la educación) está asociada </w:t>
      </w:r>
      <w:r w:rsidR="008E64E7" w:rsidRPr="00152CDF">
        <w:rPr>
          <w:lang w:val="es-ES_tradnl"/>
        </w:rPr>
        <w:t xml:space="preserve">a un efecto equivalente a un </w:t>
      </w:r>
      <w:r w:rsidR="0008515D" w:rsidRPr="00152CDF">
        <w:rPr>
          <w:lang w:val="es-ES_tradnl"/>
        </w:rPr>
        <w:t xml:space="preserve">25% del aprendizaje de un año escolar. En la misma línea, Louis et al </w:t>
      </w:r>
      <w:r w:rsidR="007702C7" w:rsidRPr="00152CDF">
        <w:rPr>
          <w:lang w:val="es-ES_tradnl"/>
        </w:rPr>
        <w:t xml:space="preserve">(2010) </w:t>
      </w:r>
      <w:r w:rsidR="0008515D" w:rsidRPr="00152CDF">
        <w:rPr>
          <w:lang w:val="es-ES_tradnl"/>
        </w:rPr>
        <w:t xml:space="preserve">estiman un efecto </w:t>
      </w:r>
      <w:r w:rsidR="00D215E4" w:rsidRPr="00152CDF">
        <w:rPr>
          <w:lang w:val="es-ES_tradnl"/>
        </w:rPr>
        <w:t xml:space="preserve">mediano </w:t>
      </w:r>
      <w:r w:rsidR="0008515D" w:rsidRPr="00152CDF">
        <w:rPr>
          <w:lang w:val="es-ES_tradnl"/>
        </w:rPr>
        <w:t>del liderazgo distrital</w:t>
      </w:r>
      <w:r w:rsidR="00D215E4" w:rsidRPr="00152CDF">
        <w:rPr>
          <w:lang w:val="es-ES_tradnl"/>
        </w:rPr>
        <w:t xml:space="preserve"> en el aprendizaje estudiantil</w:t>
      </w:r>
      <w:r w:rsidR="0008515D" w:rsidRPr="00152CDF">
        <w:rPr>
          <w:lang w:val="es-ES_tradnl"/>
        </w:rPr>
        <w:t xml:space="preserve">. En el caso específico de Chile, se ha estudiado el efecto de la gestión municipal en el aprendizaje de los estudiantes. Larrañaga et al </w:t>
      </w:r>
      <w:r w:rsidR="00AD2D22" w:rsidRPr="00152CDF">
        <w:rPr>
          <w:lang w:val="es-ES_tradnl"/>
        </w:rPr>
        <w:t xml:space="preserve">(2009) </w:t>
      </w:r>
      <w:r w:rsidR="0008515D" w:rsidRPr="00152CDF">
        <w:rPr>
          <w:lang w:val="es-ES_tradnl"/>
        </w:rPr>
        <w:t>encuentran que mientras más fuerte es la gestión municipal de la educación (medida en su estudio a través de un índice de gestión pedagógica, de gestión financiera, y de trabajo en red), los estudiantes que estudian en el sector municipal tienen mejores resultados SIMCE que cuando la gestión municipal es débil</w:t>
      </w:r>
      <w:r w:rsidR="0009660D" w:rsidRPr="00152CDF">
        <w:rPr>
          <w:lang w:val="es-ES_tradnl"/>
        </w:rPr>
        <w:t>.</w:t>
      </w:r>
    </w:p>
    <w:p w14:paraId="484FAF78" w14:textId="75516F26" w:rsidR="0009660D" w:rsidRPr="00152CDF" w:rsidRDefault="0009660D" w:rsidP="00F947D6">
      <w:pPr>
        <w:pStyle w:val="Heading2"/>
        <w:numPr>
          <w:ilvl w:val="1"/>
          <w:numId w:val="28"/>
        </w:numPr>
        <w:spacing w:before="120"/>
        <w:rPr>
          <w:lang w:val="es-ES_tradnl"/>
        </w:rPr>
      </w:pPr>
      <w:r w:rsidRPr="00152CDF">
        <w:rPr>
          <w:lang w:val="es-ES_tradnl"/>
        </w:rPr>
        <w:lastRenderedPageBreak/>
        <w:t>L</w:t>
      </w:r>
      <w:r w:rsidR="006A24EF" w:rsidRPr="00152CDF">
        <w:rPr>
          <w:lang w:val="es-ES_tradnl"/>
        </w:rPr>
        <w:t xml:space="preserve">os estudios más rigurosos en este tema han optado por estudiar los efectos de </w:t>
      </w:r>
      <w:r w:rsidR="008A326A" w:rsidRPr="00152CDF">
        <w:rPr>
          <w:lang w:val="es-ES_tradnl"/>
        </w:rPr>
        <w:t>reformas que tienden a descentralizar o consolidar el sistema de gobernanza educativo</w:t>
      </w:r>
      <w:r w:rsidR="009C2166" w:rsidRPr="00152CDF">
        <w:rPr>
          <w:rStyle w:val="FootnoteReference"/>
          <w:lang w:val="es-ES_tradnl"/>
        </w:rPr>
        <w:footnoteReference w:id="3"/>
      </w:r>
      <w:r w:rsidR="008A326A" w:rsidRPr="00152CDF">
        <w:rPr>
          <w:lang w:val="es-ES_tradnl"/>
        </w:rPr>
        <w:t>. Los estudios más contundentes en términos metodológicos han observado ventajas de consolidar unidades educativas. Por ejemplo,</w:t>
      </w:r>
      <w:r w:rsidR="00110E55" w:rsidRPr="00152CDF">
        <w:rPr>
          <w:lang w:val="es-ES_tradnl"/>
        </w:rPr>
        <w:t xml:space="preserve"> una experiencia interesante es la canadiense que, </w:t>
      </w:r>
      <w:r w:rsidR="008A326A" w:rsidRPr="00152CDF">
        <w:rPr>
          <w:lang w:val="es-ES_tradnl"/>
        </w:rPr>
        <w:t xml:space="preserve">en los años ’90, </w:t>
      </w:r>
      <w:r w:rsidR="00110E55" w:rsidRPr="00152CDF">
        <w:rPr>
          <w:lang w:val="es-ES_tradnl"/>
        </w:rPr>
        <w:t xml:space="preserve">impulsa </w:t>
      </w:r>
      <w:r w:rsidR="008A326A" w:rsidRPr="00152CDF">
        <w:rPr>
          <w:lang w:val="es-ES_tradnl"/>
        </w:rPr>
        <w:t xml:space="preserve">reformas de consolidación </w:t>
      </w:r>
      <w:r w:rsidR="009802DE" w:rsidRPr="00152CDF">
        <w:rPr>
          <w:lang w:val="es-ES_tradnl"/>
        </w:rPr>
        <w:t>mandatorios</w:t>
      </w:r>
      <w:r w:rsidRPr="00152CDF">
        <w:rPr>
          <w:lang w:val="es-ES_tradnl"/>
        </w:rPr>
        <w:t xml:space="preserve"> en todas las provincias</w:t>
      </w:r>
      <w:r w:rsidR="008A326A" w:rsidRPr="00152CDF">
        <w:rPr>
          <w:lang w:val="es-ES_tradnl"/>
        </w:rPr>
        <w:t xml:space="preserve">, disminuyendo la cantidad de distritos escolares de manera significativa (total de 777 a 417 entre 1992 y 2004). </w:t>
      </w:r>
      <w:r w:rsidR="007C0D68" w:rsidRPr="00152CDF">
        <w:rPr>
          <w:lang w:val="es-ES_tradnl"/>
        </w:rPr>
        <w:t xml:space="preserve">Como observan </w:t>
      </w:r>
      <w:r w:rsidR="008A326A" w:rsidRPr="00152CDF">
        <w:rPr>
          <w:lang w:val="es-ES_tradnl"/>
        </w:rPr>
        <w:t>Leach</w:t>
      </w:r>
      <w:r w:rsidR="007C0D68" w:rsidRPr="00152CDF">
        <w:rPr>
          <w:lang w:val="es-ES_tradnl"/>
        </w:rPr>
        <w:t>,</w:t>
      </w:r>
      <w:r w:rsidR="008A326A" w:rsidRPr="00152CDF">
        <w:rPr>
          <w:lang w:val="es-ES_tradnl"/>
        </w:rPr>
        <w:t xml:space="preserve"> Payne y Chan </w:t>
      </w:r>
      <w:r w:rsidR="000F1AFF" w:rsidRPr="00152CDF">
        <w:rPr>
          <w:lang w:val="es-ES_tradnl"/>
        </w:rPr>
        <w:t>(</w:t>
      </w:r>
      <w:r w:rsidR="008A326A" w:rsidRPr="00152CDF">
        <w:rPr>
          <w:lang w:val="es-ES_tradnl"/>
        </w:rPr>
        <w:t>2011</w:t>
      </w:r>
      <w:r w:rsidR="000F1AFF" w:rsidRPr="00152CDF">
        <w:rPr>
          <w:lang w:val="es-ES_tradnl"/>
        </w:rPr>
        <w:t>)</w:t>
      </w:r>
      <w:r w:rsidR="007C0D68" w:rsidRPr="00152CDF">
        <w:rPr>
          <w:lang w:val="es-ES_tradnl"/>
        </w:rPr>
        <w:t>,</w:t>
      </w:r>
      <w:r w:rsidR="008A326A" w:rsidRPr="00152CDF">
        <w:rPr>
          <w:lang w:val="es-ES_tradnl"/>
        </w:rPr>
        <w:t xml:space="preserve"> el proceso de unificación de distritos de la provincia de Ontario trajo consigo importantes mejoras en el aprendizaje de los estudiantes </w:t>
      </w:r>
      <w:r w:rsidR="000F1AFF" w:rsidRPr="00152CDF">
        <w:rPr>
          <w:lang w:val="es-ES_tradnl"/>
        </w:rPr>
        <w:t xml:space="preserve">y con beneficios concentrados especialmente entre los más estudiantes </w:t>
      </w:r>
      <w:r w:rsidR="007C0D68" w:rsidRPr="00152CDF">
        <w:rPr>
          <w:lang w:val="es-ES_tradnl"/>
        </w:rPr>
        <w:t xml:space="preserve">más </w:t>
      </w:r>
      <w:r w:rsidR="000F1AFF" w:rsidRPr="00152CDF">
        <w:rPr>
          <w:lang w:val="es-ES_tradnl"/>
        </w:rPr>
        <w:t>desaventajados</w:t>
      </w:r>
      <w:r w:rsidR="008A326A" w:rsidRPr="00152CDF">
        <w:rPr>
          <w:lang w:val="es-ES_tradnl"/>
        </w:rPr>
        <w:t>.</w:t>
      </w:r>
      <w:r w:rsidR="00062929" w:rsidRPr="00152CDF">
        <w:rPr>
          <w:lang w:val="es-ES_tradnl"/>
        </w:rPr>
        <w:t xml:space="preserve"> Estudios similares se han realizado en </w:t>
      </w:r>
      <w:r w:rsidR="009165F0" w:rsidRPr="00152CDF">
        <w:rPr>
          <w:lang w:val="es-ES_tradnl"/>
        </w:rPr>
        <w:t>contextos socioeconómicos y culturales más próximos al de Chile</w:t>
      </w:r>
      <w:r w:rsidR="003F2FDA" w:rsidRPr="00152CDF">
        <w:rPr>
          <w:lang w:val="es-ES_tradnl"/>
        </w:rPr>
        <w:t>.</w:t>
      </w:r>
      <w:r w:rsidR="00EE2817" w:rsidRPr="00152CDF">
        <w:rPr>
          <w:lang w:val="es-ES_tradnl"/>
        </w:rPr>
        <w:t xml:space="preserve"> Por ejemplo, </w:t>
      </w:r>
      <w:proofErr w:type="spellStart"/>
      <w:r w:rsidR="00EE2817" w:rsidRPr="00152CDF">
        <w:rPr>
          <w:lang w:val="es-ES_tradnl"/>
        </w:rPr>
        <w:t>Brutti</w:t>
      </w:r>
      <w:proofErr w:type="spellEnd"/>
      <w:r w:rsidR="00B07C99" w:rsidRPr="00152CDF">
        <w:rPr>
          <w:lang w:val="es-ES_tradnl"/>
        </w:rPr>
        <w:t xml:space="preserve"> (2016)</w:t>
      </w:r>
      <w:r w:rsidR="00EE2817" w:rsidRPr="00152CDF">
        <w:rPr>
          <w:lang w:val="es-ES_tradnl"/>
        </w:rPr>
        <w:t xml:space="preserve"> y Elac</w:t>
      </w:r>
      <w:r w:rsidR="00785A36" w:rsidRPr="00152CDF">
        <w:rPr>
          <w:lang w:val="es-ES_tradnl"/>
        </w:rPr>
        <w:t>q</w:t>
      </w:r>
      <w:r w:rsidR="00EE2817" w:rsidRPr="00152CDF">
        <w:rPr>
          <w:lang w:val="es-ES_tradnl"/>
        </w:rPr>
        <w:t>ua</w:t>
      </w:r>
      <w:r w:rsidR="00785A36" w:rsidRPr="00152CDF">
        <w:rPr>
          <w:lang w:val="es-ES_tradnl"/>
        </w:rPr>
        <w:t xml:space="preserve"> et al (2019) estudian el proceso inverso</w:t>
      </w:r>
      <w:r w:rsidR="00C9060B">
        <w:rPr>
          <w:lang w:val="es-ES_tradnl"/>
        </w:rPr>
        <w:t>, es decir, la</w:t>
      </w:r>
      <w:r w:rsidR="0097188E" w:rsidRPr="00152CDF">
        <w:rPr>
          <w:lang w:val="es-ES_tradnl"/>
        </w:rPr>
        <w:t xml:space="preserve"> municipalización de la educación en </w:t>
      </w:r>
      <w:r w:rsidR="00281E7C">
        <w:rPr>
          <w:lang w:val="es-ES_tradnl"/>
        </w:rPr>
        <w:t xml:space="preserve">caso específico de </w:t>
      </w:r>
      <w:r w:rsidR="0097188E" w:rsidRPr="00152CDF">
        <w:rPr>
          <w:lang w:val="es-ES_tradnl"/>
        </w:rPr>
        <w:t>Colombia</w:t>
      </w:r>
      <w:r w:rsidR="00C76783" w:rsidRPr="00152CDF">
        <w:rPr>
          <w:lang w:val="es-ES_tradnl"/>
        </w:rPr>
        <w:t>. Estos dos estudios</w:t>
      </w:r>
      <w:r w:rsidR="0097188E" w:rsidRPr="00152CDF">
        <w:rPr>
          <w:lang w:val="es-ES_tradnl"/>
        </w:rPr>
        <w:t xml:space="preserve"> </w:t>
      </w:r>
      <w:r w:rsidR="00C76783" w:rsidRPr="00152CDF">
        <w:rPr>
          <w:lang w:val="es-ES_tradnl"/>
        </w:rPr>
        <w:t xml:space="preserve">observan </w:t>
      </w:r>
      <w:r w:rsidR="0097188E" w:rsidRPr="00152CDF">
        <w:rPr>
          <w:lang w:val="es-ES_tradnl"/>
        </w:rPr>
        <w:t xml:space="preserve">consistentemente que el proceso </w:t>
      </w:r>
      <w:r w:rsidR="00C76783" w:rsidRPr="00152CDF">
        <w:rPr>
          <w:lang w:val="es-ES_tradnl"/>
        </w:rPr>
        <w:t xml:space="preserve">de descentralización de la educación </w:t>
      </w:r>
      <w:r w:rsidR="0097188E" w:rsidRPr="00152CDF">
        <w:rPr>
          <w:lang w:val="es-ES_tradnl"/>
        </w:rPr>
        <w:t xml:space="preserve">a cargo de </w:t>
      </w:r>
      <w:r w:rsidR="00C76783" w:rsidRPr="00152CDF">
        <w:rPr>
          <w:lang w:val="es-ES_tradnl"/>
        </w:rPr>
        <w:t xml:space="preserve">los </w:t>
      </w:r>
      <w:r w:rsidR="0097188E" w:rsidRPr="00152CDF">
        <w:rPr>
          <w:lang w:val="es-ES_tradnl"/>
        </w:rPr>
        <w:t>ediles</w:t>
      </w:r>
      <w:r w:rsidR="00537FC9" w:rsidRPr="00152CDF">
        <w:rPr>
          <w:lang w:val="es-ES_tradnl"/>
        </w:rPr>
        <w:t xml:space="preserve"> en Colombia</w:t>
      </w:r>
      <w:r w:rsidR="0097188E" w:rsidRPr="00152CDF">
        <w:rPr>
          <w:lang w:val="es-ES_tradnl"/>
        </w:rPr>
        <w:t xml:space="preserve"> </w:t>
      </w:r>
      <w:r w:rsidR="00C76783" w:rsidRPr="00152CDF">
        <w:rPr>
          <w:lang w:val="es-ES_tradnl"/>
        </w:rPr>
        <w:t>no tuvo un efecto en los resultados académicos de los estudiantes</w:t>
      </w:r>
      <w:r w:rsidR="005B34FB" w:rsidRPr="00152CDF">
        <w:rPr>
          <w:lang w:val="es-ES_tradnl"/>
        </w:rPr>
        <w:t xml:space="preserve"> en dicho país</w:t>
      </w:r>
      <w:r w:rsidR="00C76783" w:rsidRPr="00152CDF">
        <w:rPr>
          <w:lang w:val="es-ES_tradnl"/>
        </w:rPr>
        <w:t>.</w:t>
      </w:r>
      <w:r w:rsidR="005B34FB" w:rsidRPr="00152CDF">
        <w:rPr>
          <w:lang w:val="es-ES_tradnl"/>
        </w:rPr>
        <w:t xml:space="preserve"> </w:t>
      </w:r>
      <w:r w:rsidR="005224D8" w:rsidRPr="00152CDF">
        <w:rPr>
          <w:lang w:val="es-ES_tradnl"/>
        </w:rPr>
        <w:t>Asimismo,</w:t>
      </w:r>
      <w:r w:rsidR="000C6438" w:rsidRPr="00152CDF">
        <w:rPr>
          <w:lang w:val="es-ES_tradnl"/>
        </w:rPr>
        <w:t xml:space="preserve"> </w:t>
      </w:r>
      <w:r w:rsidR="005224D8" w:rsidRPr="00152CDF">
        <w:rPr>
          <w:lang w:val="es-ES_tradnl"/>
        </w:rPr>
        <w:t>Madeira (2007)</w:t>
      </w:r>
      <w:r w:rsidR="002A697A" w:rsidRPr="00152CDF">
        <w:rPr>
          <w:lang w:val="es-ES_tradnl"/>
        </w:rPr>
        <w:t xml:space="preserve"> adopta un enfoque similar para analizar </w:t>
      </w:r>
      <w:r w:rsidR="005A4FCE" w:rsidRPr="00152CDF">
        <w:rPr>
          <w:lang w:val="es-ES_tradnl"/>
        </w:rPr>
        <w:t xml:space="preserve">la transferencia de escuelas desde el nivel estadual al municipal en </w:t>
      </w:r>
      <w:r w:rsidR="00494D89" w:rsidRPr="00152CDF">
        <w:rPr>
          <w:lang w:val="es-ES_tradnl"/>
        </w:rPr>
        <w:t>el estado de Sao Paulo, Brasil</w:t>
      </w:r>
      <w:r w:rsidR="002A697A" w:rsidRPr="00152CDF">
        <w:rPr>
          <w:lang w:val="es-ES_tradnl"/>
        </w:rPr>
        <w:t xml:space="preserve">. </w:t>
      </w:r>
      <w:r w:rsidR="009C2166" w:rsidRPr="00152CDF">
        <w:rPr>
          <w:lang w:val="es-ES_tradnl"/>
        </w:rPr>
        <w:t>Madeira</w:t>
      </w:r>
      <w:r w:rsidR="002A697A" w:rsidRPr="00152CDF">
        <w:rPr>
          <w:lang w:val="es-ES_tradnl"/>
        </w:rPr>
        <w:t xml:space="preserve"> </w:t>
      </w:r>
      <w:r w:rsidR="004369B6" w:rsidRPr="00152CDF">
        <w:rPr>
          <w:lang w:val="es-ES_tradnl"/>
        </w:rPr>
        <w:t xml:space="preserve">encuentra que </w:t>
      </w:r>
      <w:r w:rsidR="00B4589C" w:rsidRPr="00152CDF">
        <w:rPr>
          <w:lang w:val="es-ES_tradnl"/>
        </w:rPr>
        <w:t xml:space="preserve">la </w:t>
      </w:r>
      <w:r w:rsidR="009E097B" w:rsidRPr="00152CDF">
        <w:rPr>
          <w:lang w:val="es-ES_tradnl"/>
        </w:rPr>
        <w:t>muni</w:t>
      </w:r>
      <w:r w:rsidR="00666820" w:rsidRPr="00152CDF">
        <w:rPr>
          <w:lang w:val="es-ES_tradnl"/>
        </w:rPr>
        <w:t>ci</w:t>
      </w:r>
      <w:r w:rsidR="009E097B" w:rsidRPr="00152CDF">
        <w:rPr>
          <w:lang w:val="es-ES_tradnl"/>
        </w:rPr>
        <w:t>palización de la educación básica en Sao Paulo aumentó la deserción escolar</w:t>
      </w:r>
      <w:r w:rsidR="00F606B6" w:rsidRPr="00152CDF">
        <w:rPr>
          <w:lang w:val="es-ES_tradnl"/>
        </w:rPr>
        <w:t xml:space="preserve"> y repitencia, </w:t>
      </w:r>
      <w:r w:rsidR="009C2166" w:rsidRPr="00152CDF">
        <w:rPr>
          <w:lang w:val="es-ES_tradnl"/>
        </w:rPr>
        <w:t xml:space="preserve">incrementando consigo </w:t>
      </w:r>
      <w:r w:rsidR="00F606B6" w:rsidRPr="00152CDF">
        <w:rPr>
          <w:lang w:val="es-ES_tradnl"/>
        </w:rPr>
        <w:t xml:space="preserve">la brecha entre los resultados de estudiantes </w:t>
      </w:r>
      <w:r w:rsidR="00CC5135" w:rsidRPr="00152CDF">
        <w:rPr>
          <w:lang w:val="es-ES_tradnl"/>
        </w:rPr>
        <w:t xml:space="preserve">por </w:t>
      </w:r>
      <w:r w:rsidR="00F606B6" w:rsidRPr="00152CDF">
        <w:rPr>
          <w:lang w:val="es-ES_tradnl"/>
        </w:rPr>
        <w:t>nivel socioeconómi</w:t>
      </w:r>
      <w:r w:rsidR="00CC5135" w:rsidRPr="00152CDF">
        <w:rPr>
          <w:lang w:val="es-ES_tradnl"/>
        </w:rPr>
        <w:t>co</w:t>
      </w:r>
      <w:r w:rsidR="00191201" w:rsidRPr="00152CDF">
        <w:rPr>
          <w:lang w:val="es-ES_tradnl"/>
        </w:rPr>
        <w:t xml:space="preserve"> y ruralidad</w:t>
      </w:r>
      <w:r w:rsidR="00CC5135" w:rsidRPr="00152CDF">
        <w:rPr>
          <w:lang w:val="es-ES_tradnl"/>
        </w:rPr>
        <w:t xml:space="preserve"> (ver también </w:t>
      </w:r>
      <w:proofErr w:type="spellStart"/>
      <w:r w:rsidR="00CC5135" w:rsidRPr="00152CDF">
        <w:rPr>
          <w:lang w:val="es-ES_tradnl"/>
        </w:rPr>
        <w:t>Galiani</w:t>
      </w:r>
      <w:proofErr w:type="spellEnd"/>
      <w:r w:rsidR="00CC5135" w:rsidRPr="00152CDF">
        <w:rPr>
          <w:lang w:val="es-ES_tradnl"/>
        </w:rPr>
        <w:t xml:space="preserve"> et al 200</w:t>
      </w:r>
      <w:r w:rsidR="005B4343" w:rsidRPr="00152CDF">
        <w:rPr>
          <w:lang w:val="es-ES_tradnl"/>
        </w:rPr>
        <w:t>8</w:t>
      </w:r>
      <w:r w:rsidR="00191201" w:rsidRPr="00152CDF">
        <w:rPr>
          <w:lang w:val="es-ES_tradnl"/>
        </w:rPr>
        <w:t xml:space="preserve"> que</w:t>
      </w:r>
      <w:r w:rsidR="009C2166" w:rsidRPr="00152CDF">
        <w:rPr>
          <w:lang w:val="es-ES_tradnl"/>
        </w:rPr>
        <w:t xml:space="preserve"> obtiene</w:t>
      </w:r>
      <w:r w:rsidR="00191201" w:rsidRPr="00152CDF">
        <w:rPr>
          <w:lang w:val="es-ES_tradnl"/>
        </w:rPr>
        <w:t xml:space="preserve"> resultados similares para el caso de</w:t>
      </w:r>
      <w:r w:rsidR="009C2166" w:rsidRPr="00152CDF">
        <w:rPr>
          <w:lang w:val="es-ES_tradnl"/>
        </w:rPr>
        <w:t xml:space="preserve"> la descentralización educativa</w:t>
      </w:r>
      <w:r w:rsidR="00191201" w:rsidRPr="00152CDF">
        <w:rPr>
          <w:lang w:val="es-ES_tradnl"/>
        </w:rPr>
        <w:t xml:space="preserve"> Argentina</w:t>
      </w:r>
      <w:r w:rsidR="005B4343" w:rsidRPr="00152CDF">
        <w:rPr>
          <w:lang w:val="es-ES_tradnl"/>
        </w:rPr>
        <w:t>)</w:t>
      </w:r>
      <w:r w:rsidRPr="00152CDF">
        <w:rPr>
          <w:lang w:val="es-ES_tradnl"/>
        </w:rPr>
        <w:t>.</w:t>
      </w:r>
    </w:p>
    <w:p w14:paraId="538C70EA" w14:textId="3D25581D" w:rsidR="00891844" w:rsidRPr="00152CDF" w:rsidRDefault="009574B8" w:rsidP="00F947D6">
      <w:pPr>
        <w:pStyle w:val="Heading2"/>
        <w:numPr>
          <w:ilvl w:val="1"/>
          <w:numId w:val="28"/>
        </w:numPr>
        <w:spacing w:before="120"/>
        <w:rPr>
          <w:lang w:val="es-ES_tradnl"/>
        </w:rPr>
      </w:pPr>
      <w:r w:rsidRPr="00152CDF">
        <w:rPr>
          <w:lang w:val="es-ES_tradnl"/>
        </w:rPr>
        <w:t xml:space="preserve">Finalmente, un cuerpo de investigación que se ha desarrollado mucho en los últimos años estudia el efecto de las prácticas de gestión en la calidad de la educación desde una perspectiva cualitativa. En general, este cuerpo de literatura </w:t>
      </w:r>
      <w:r w:rsidR="006F020A" w:rsidRPr="00152CDF">
        <w:rPr>
          <w:lang w:val="es-ES_tradnl"/>
        </w:rPr>
        <w:t xml:space="preserve">ha analizado </w:t>
      </w:r>
      <w:r w:rsidR="00813F2D" w:rsidRPr="00152CDF">
        <w:rPr>
          <w:lang w:val="es-ES_tradnl"/>
        </w:rPr>
        <w:t xml:space="preserve">cualitativamente </w:t>
      </w:r>
      <w:r w:rsidR="006F020A" w:rsidRPr="00152CDF">
        <w:rPr>
          <w:lang w:val="es-ES_tradnl"/>
        </w:rPr>
        <w:t xml:space="preserve">las características institucionales de </w:t>
      </w:r>
      <w:r w:rsidR="00813F2D" w:rsidRPr="00152CDF">
        <w:rPr>
          <w:lang w:val="es-ES_tradnl"/>
        </w:rPr>
        <w:t>distritos escolares con buenos resultados educativos, y en particular de distritos escolares que tienen resultados educativos por encima de lo que se esperaría dado el nivel socioeconómico de sus estudiantes</w:t>
      </w:r>
      <w:r w:rsidR="00A62958" w:rsidRPr="00152CDF">
        <w:rPr>
          <w:lang w:val="es-ES_tradnl"/>
        </w:rPr>
        <w:t xml:space="preserve"> (</w:t>
      </w:r>
      <w:r w:rsidR="00DA4CA9" w:rsidRPr="00152CDF">
        <w:rPr>
          <w:lang w:val="es-ES_tradnl"/>
        </w:rPr>
        <w:t xml:space="preserve">Childress et al 2007; </w:t>
      </w:r>
      <w:proofErr w:type="spellStart"/>
      <w:r w:rsidR="00A62958" w:rsidRPr="00152CDF">
        <w:rPr>
          <w:lang w:val="es-ES_tradnl"/>
        </w:rPr>
        <w:t>Zavadsky</w:t>
      </w:r>
      <w:proofErr w:type="spellEnd"/>
      <w:r w:rsidR="00A62958" w:rsidRPr="00152CDF">
        <w:rPr>
          <w:lang w:val="es-ES_tradnl"/>
        </w:rPr>
        <w:t xml:space="preserve">, 2009; RAND, 2005; </w:t>
      </w:r>
      <w:proofErr w:type="spellStart"/>
      <w:r w:rsidR="00A62958" w:rsidRPr="00152CDF">
        <w:rPr>
          <w:lang w:val="es-ES_tradnl"/>
        </w:rPr>
        <w:t>McLaughlin</w:t>
      </w:r>
      <w:proofErr w:type="spellEnd"/>
      <w:r w:rsidR="00A62958" w:rsidRPr="00152CDF">
        <w:rPr>
          <w:lang w:val="es-ES_tradnl"/>
        </w:rPr>
        <w:t xml:space="preserve"> &amp; </w:t>
      </w:r>
      <w:proofErr w:type="spellStart"/>
      <w:r w:rsidR="00A62958" w:rsidRPr="00152CDF">
        <w:rPr>
          <w:lang w:val="es-ES_tradnl"/>
        </w:rPr>
        <w:t>Talbert</w:t>
      </w:r>
      <w:proofErr w:type="spellEnd"/>
      <w:r w:rsidR="00A62958" w:rsidRPr="00152CDF">
        <w:rPr>
          <w:lang w:val="es-ES_tradnl"/>
        </w:rPr>
        <w:t>, 2003)</w:t>
      </w:r>
      <w:r w:rsidR="00813F2D" w:rsidRPr="00152CDF">
        <w:rPr>
          <w:lang w:val="es-ES_tradnl"/>
        </w:rPr>
        <w:t>.</w:t>
      </w:r>
      <w:r w:rsidR="00066406" w:rsidRPr="00152CDF">
        <w:rPr>
          <w:lang w:val="es-ES_tradnl"/>
        </w:rPr>
        <w:t xml:space="preserve"> Entre las características del liderazgo a nivel local que se destacan en los distritos escolares exitosos, se encuentran: </w:t>
      </w:r>
      <w:r w:rsidR="0011084A" w:rsidRPr="00152CDF">
        <w:rPr>
          <w:lang w:val="es-ES_tradnl"/>
        </w:rPr>
        <w:t>planificar estratégicamente e implementar procesos de mejora en base a una clara teoría de la acción acerca de cómo afectar el núcleo pedagógico en el aula</w:t>
      </w:r>
      <w:r w:rsidR="00DA4CA9" w:rsidRPr="00152CDF">
        <w:rPr>
          <w:lang w:val="es-ES_tradnl"/>
        </w:rPr>
        <w:t xml:space="preserve"> (</w:t>
      </w:r>
      <w:proofErr w:type="spellStart"/>
      <w:r w:rsidR="00DA4CA9" w:rsidRPr="00152CDF">
        <w:rPr>
          <w:lang w:val="es-ES_tradnl"/>
        </w:rPr>
        <w:t>Leithwood</w:t>
      </w:r>
      <w:proofErr w:type="spellEnd"/>
      <w:r w:rsidR="00DA4CA9" w:rsidRPr="00152CDF">
        <w:rPr>
          <w:lang w:val="es-ES_tradnl"/>
        </w:rPr>
        <w:t xml:space="preserve">, 2013; </w:t>
      </w:r>
      <w:proofErr w:type="spellStart"/>
      <w:r w:rsidR="00DA4CA9" w:rsidRPr="00152CDF">
        <w:rPr>
          <w:lang w:val="es-ES_tradnl"/>
        </w:rPr>
        <w:t>Supovitz</w:t>
      </w:r>
      <w:proofErr w:type="spellEnd"/>
      <w:r w:rsidR="00DA4CA9" w:rsidRPr="00152CDF">
        <w:rPr>
          <w:lang w:val="es-ES_tradnl"/>
        </w:rPr>
        <w:t xml:space="preserve"> 2006, 2008)</w:t>
      </w:r>
      <w:r w:rsidR="0011084A" w:rsidRPr="00152CDF">
        <w:rPr>
          <w:lang w:val="es-ES_tradnl"/>
        </w:rPr>
        <w:t xml:space="preserve">; tener una estrategia coherente e integrada para producir mejoras en el aprendizaje que incorpora diversas áreas como currículum, estrategias de enseñanza, desarrollo profesional, </w:t>
      </w:r>
      <w:r w:rsidR="00F87AA6" w:rsidRPr="00152CDF">
        <w:rPr>
          <w:lang w:val="es-ES_tradnl"/>
        </w:rPr>
        <w:t xml:space="preserve">entre otros </w:t>
      </w:r>
      <w:r w:rsidR="00E26C5C" w:rsidRPr="00152CDF">
        <w:rPr>
          <w:lang w:val="es-ES_tradnl"/>
        </w:rPr>
        <w:t>(</w:t>
      </w:r>
      <w:proofErr w:type="spellStart"/>
      <w:r w:rsidR="00E26C5C" w:rsidRPr="00152CDF">
        <w:rPr>
          <w:lang w:val="es-ES_tradnl"/>
        </w:rPr>
        <w:t>Honig</w:t>
      </w:r>
      <w:proofErr w:type="spellEnd"/>
      <w:r w:rsidR="00E26C5C" w:rsidRPr="00152CDF">
        <w:rPr>
          <w:lang w:val="es-ES_tradnl"/>
        </w:rPr>
        <w:t xml:space="preserve"> et al 2010; Childress et al, 2007)</w:t>
      </w:r>
      <w:r w:rsidR="0011084A" w:rsidRPr="00152CDF">
        <w:rPr>
          <w:lang w:val="es-ES_tradnl"/>
        </w:rPr>
        <w:t>; tener una estrategia para desarrollar y proveer soporte a los líderes escolares</w:t>
      </w:r>
      <w:r w:rsidR="007A4244" w:rsidRPr="00152CDF">
        <w:rPr>
          <w:lang w:val="es-ES_tradnl"/>
        </w:rPr>
        <w:t xml:space="preserve"> (</w:t>
      </w:r>
      <w:proofErr w:type="spellStart"/>
      <w:r w:rsidR="007A4244" w:rsidRPr="00152CDF">
        <w:rPr>
          <w:lang w:val="es-ES_tradnl"/>
        </w:rPr>
        <w:t>Agustine</w:t>
      </w:r>
      <w:proofErr w:type="spellEnd"/>
      <w:r w:rsidR="007A4244" w:rsidRPr="00152CDF">
        <w:rPr>
          <w:lang w:val="es-ES_tradnl"/>
        </w:rPr>
        <w:t xml:space="preserve"> et al 2009; </w:t>
      </w:r>
      <w:proofErr w:type="spellStart"/>
      <w:r w:rsidR="007A4244" w:rsidRPr="00152CDF">
        <w:rPr>
          <w:lang w:val="es-ES_tradnl"/>
        </w:rPr>
        <w:t>Ikemoto</w:t>
      </w:r>
      <w:proofErr w:type="spellEnd"/>
      <w:r w:rsidR="007A4244" w:rsidRPr="00152CDF">
        <w:rPr>
          <w:lang w:val="es-ES_tradnl"/>
        </w:rPr>
        <w:t xml:space="preserve"> et al 2014)</w:t>
      </w:r>
      <w:r w:rsidR="0011084A" w:rsidRPr="00152CDF">
        <w:rPr>
          <w:lang w:val="es-ES_tradnl"/>
        </w:rPr>
        <w:t>; sostener una cultura de mejora continua a partir de utilizar datos para identificar necesidades de mejora, tanto a nivel sistémico</w:t>
      </w:r>
      <w:r w:rsidR="0011084A" w:rsidRPr="00152CDF">
        <w:rPr>
          <w:lang w:val="es-ES_tradnl"/>
        </w:rPr>
        <w:noBreakHyphen/>
        <w:t>distrital como a nivel escolar</w:t>
      </w:r>
      <w:r w:rsidR="00441A3D" w:rsidRPr="00152CDF">
        <w:rPr>
          <w:lang w:val="es-ES_tradnl"/>
        </w:rPr>
        <w:t>, generar prácticas efectivas de manejo de recursos humanos</w:t>
      </w:r>
      <w:r w:rsidR="005F42FE" w:rsidRPr="00152CDF">
        <w:rPr>
          <w:lang w:val="es-ES_tradnl"/>
        </w:rPr>
        <w:t xml:space="preserve"> (Louis et al 2010)</w:t>
      </w:r>
      <w:r w:rsidR="0011084A" w:rsidRPr="00152CDF">
        <w:rPr>
          <w:lang w:val="es-ES_tradnl"/>
        </w:rPr>
        <w:t>. Dichas prácticas a nivel de la gestión local de la educación ejercen un efecto positivo en la mejora escolar principalmente a través de la provisión de un soporte externo que permite el desarrollo de prácticas de mejora a nivel de cada escuela.</w:t>
      </w:r>
      <w:r w:rsidR="000C6438" w:rsidRPr="00152CDF">
        <w:rPr>
          <w:lang w:val="es-ES_tradnl"/>
        </w:rPr>
        <w:t xml:space="preserve"> Por último, </w:t>
      </w:r>
      <w:proofErr w:type="spellStart"/>
      <w:r w:rsidR="000C6438" w:rsidRPr="00152CDF">
        <w:rPr>
          <w:lang w:val="es-ES_tradnl"/>
        </w:rPr>
        <w:t>Slavin</w:t>
      </w:r>
      <w:proofErr w:type="spellEnd"/>
      <w:r w:rsidR="000C6438" w:rsidRPr="00152CDF">
        <w:rPr>
          <w:lang w:val="es-ES_tradnl"/>
        </w:rPr>
        <w:t xml:space="preserve"> et al (2013) analizan los efectos de una intervención experimental a nivel distrital destinada a proveer soporte en el uso estratégico de datos a los líderes distritales. 59 distritos en los Estados Unidos fueron aleatoriamente asignados al grupo de tratamiento o control, y sus escuelas fueron analizadas por un período de 4 años. Los autores encontraron efectos positivos de la intervención en resultados de aprendizaje en lectura sólo en el año 4 de implementación del programa. </w:t>
      </w:r>
    </w:p>
    <w:p w14:paraId="75820A34" w14:textId="6137933C" w:rsidR="0009660D" w:rsidRPr="00152CDF" w:rsidRDefault="009A2019" w:rsidP="00F947D6">
      <w:pPr>
        <w:pStyle w:val="Heading2"/>
        <w:numPr>
          <w:ilvl w:val="1"/>
          <w:numId w:val="28"/>
        </w:numPr>
        <w:spacing w:before="120"/>
        <w:rPr>
          <w:lang w:val="es-ES_tradnl"/>
        </w:rPr>
      </w:pPr>
      <w:r w:rsidRPr="00152CDF">
        <w:rPr>
          <w:b/>
          <w:bCs/>
          <w:lang w:val="es-ES_tradnl"/>
        </w:rPr>
        <w:lastRenderedPageBreak/>
        <w:t>Metodología</w:t>
      </w:r>
      <w:r w:rsidR="004B1F4A" w:rsidRPr="00152CDF">
        <w:rPr>
          <w:b/>
          <w:bCs/>
          <w:lang w:val="es-ES_tradnl"/>
        </w:rPr>
        <w:t xml:space="preserve"> de evaluación</w:t>
      </w:r>
      <w:r w:rsidR="0009660D" w:rsidRPr="00152CDF">
        <w:rPr>
          <w:b/>
          <w:bCs/>
          <w:lang w:val="es-ES_tradnl"/>
        </w:rPr>
        <w:t xml:space="preserve">: </w:t>
      </w:r>
      <w:r w:rsidR="00DF0BEA" w:rsidRPr="00152CDF">
        <w:rPr>
          <w:lang w:val="es-ES_tradnl"/>
        </w:rPr>
        <w:t>Para la evaluación de impacto del programa s</w:t>
      </w:r>
      <w:r w:rsidR="00480CB4" w:rsidRPr="00152CDF">
        <w:rPr>
          <w:lang w:val="es-ES_tradnl"/>
        </w:rPr>
        <w:t xml:space="preserve">e utilizará un diseño </w:t>
      </w:r>
      <w:proofErr w:type="spellStart"/>
      <w:proofErr w:type="gramStart"/>
      <w:r w:rsidR="00480CB4" w:rsidRPr="00152CDF">
        <w:rPr>
          <w:lang w:val="es-ES_tradnl"/>
        </w:rPr>
        <w:t>cuasi-experimental</w:t>
      </w:r>
      <w:proofErr w:type="spellEnd"/>
      <w:proofErr w:type="gramEnd"/>
      <w:r w:rsidR="00480CB4" w:rsidRPr="00152CDF">
        <w:rPr>
          <w:lang w:val="es-ES_tradnl"/>
        </w:rPr>
        <w:t xml:space="preserve"> </w:t>
      </w:r>
      <w:r w:rsidR="00807048" w:rsidRPr="00152CDF">
        <w:rPr>
          <w:lang w:val="es-ES_tradnl"/>
        </w:rPr>
        <w:t xml:space="preserve">(diferencias-en-diferencias, </w:t>
      </w:r>
      <w:proofErr w:type="spellStart"/>
      <w:r w:rsidR="00807048" w:rsidRPr="00152CDF">
        <w:rPr>
          <w:lang w:val="es-ES_tradnl"/>
        </w:rPr>
        <w:t>DID</w:t>
      </w:r>
      <w:proofErr w:type="spellEnd"/>
      <w:r w:rsidR="00807048" w:rsidRPr="00152CDF">
        <w:rPr>
          <w:lang w:val="es-ES_tradnl"/>
        </w:rPr>
        <w:t>)</w:t>
      </w:r>
      <w:r w:rsidR="00DF0BEA" w:rsidRPr="00152CDF">
        <w:rPr>
          <w:lang w:val="es-ES_tradnl"/>
        </w:rPr>
        <w:t xml:space="preserve">. </w:t>
      </w:r>
      <w:r w:rsidR="004D278C" w:rsidRPr="00152CDF">
        <w:rPr>
          <w:lang w:val="es-ES_tradnl"/>
        </w:rPr>
        <w:t xml:space="preserve">Este </w:t>
      </w:r>
      <w:r w:rsidR="00DC29F2" w:rsidRPr="00152CDF">
        <w:rPr>
          <w:lang w:val="es-ES_tradnl"/>
        </w:rPr>
        <w:t>es un método de estimación de la inferencia causal estadística apropiado en el contexto de estudios observacionales</w:t>
      </w:r>
      <w:r w:rsidR="000F7659" w:rsidRPr="00152CDF">
        <w:rPr>
          <w:lang w:val="es-ES_tradnl"/>
        </w:rPr>
        <w:t xml:space="preserve">, que </w:t>
      </w:r>
      <w:r w:rsidR="004D278C" w:rsidRPr="00152CDF">
        <w:rPr>
          <w:lang w:val="es-ES_tradnl"/>
        </w:rPr>
        <w:t>se puede utilizar cuando no es posible</w:t>
      </w:r>
      <w:r w:rsidR="00C53C1D" w:rsidRPr="00152CDF">
        <w:rPr>
          <w:lang w:val="es-ES_tradnl"/>
        </w:rPr>
        <w:t xml:space="preserve"> realizar un experimento</w:t>
      </w:r>
      <w:r w:rsidR="00DC29F2" w:rsidRPr="00152CDF">
        <w:rPr>
          <w:lang w:val="es-ES_tradnl"/>
        </w:rPr>
        <w:t xml:space="preserve">. En </w:t>
      </w:r>
      <w:r w:rsidR="0007412D" w:rsidRPr="00152CDF">
        <w:rPr>
          <w:lang w:val="es-ES_tradnl"/>
        </w:rPr>
        <w:t>este caso, el diseño de la estrategia de evaluación aprovechará el hecho de que</w:t>
      </w:r>
      <w:r w:rsidR="006D5283" w:rsidRPr="00152CDF">
        <w:rPr>
          <w:lang w:val="es-ES_tradnl"/>
        </w:rPr>
        <w:t xml:space="preserve"> é</w:t>
      </w:r>
      <w:r w:rsidR="0007412D" w:rsidRPr="00152CDF">
        <w:rPr>
          <w:lang w:val="es-ES_tradnl"/>
        </w:rPr>
        <w:t>sta tendrá una implementación en forma escalonada. El grupo de tratamiento estará compuesto por</w:t>
      </w:r>
      <w:r w:rsidR="008D4D3E" w:rsidRPr="00152CDF">
        <w:rPr>
          <w:lang w:val="es-ES_tradnl"/>
        </w:rPr>
        <w:t xml:space="preserve"> </w:t>
      </w:r>
      <w:r w:rsidR="0007412D" w:rsidRPr="00152CDF">
        <w:rPr>
          <w:lang w:val="es-ES_tradnl"/>
        </w:rPr>
        <w:t xml:space="preserve">los primeros </w:t>
      </w:r>
      <w:r w:rsidR="00FE2E59" w:rsidRPr="00152CDF">
        <w:rPr>
          <w:lang w:val="es-ES_tradnl"/>
        </w:rPr>
        <w:t>4</w:t>
      </w:r>
      <w:r w:rsidR="0007412D" w:rsidRPr="00152CDF">
        <w:rPr>
          <w:lang w:val="es-ES_tradnl"/>
        </w:rPr>
        <w:t xml:space="preserve"> territorios que comenzar</w:t>
      </w:r>
      <w:r w:rsidR="00FE2E59" w:rsidRPr="00152CDF">
        <w:rPr>
          <w:lang w:val="es-ES_tradnl"/>
        </w:rPr>
        <w:t>o</w:t>
      </w:r>
      <w:r w:rsidR="0007412D" w:rsidRPr="00152CDF">
        <w:rPr>
          <w:lang w:val="es-ES_tradnl"/>
        </w:rPr>
        <w:t xml:space="preserve">n en el año </w:t>
      </w:r>
      <w:r w:rsidR="00E17324" w:rsidRPr="00152CDF">
        <w:rPr>
          <w:lang w:val="es-ES_tradnl"/>
        </w:rPr>
        <w:t>2018</w:t>
      </w:r>
      <w:r w:rsidR="0007412D" w:rsidRPr="00152CDF">
        <w:rPr>
          <w:lang w:val="es-ES_tradnl"/>
        </w:rPr>
        <w:t xml:space="preserve">. </w:t>
      </w:r>
      <w:r w:rsidR="00DD32A0" w:rsidRPr="00152CDF">
        <w:rPr>
          <w:lang w:val="es-ES_tradnl"/>
        </w:rPr>
        <w:t xml:space="preserve">El grupo de control estará conformado por territorios </w:t>
      </w:r>
      <w:r w:rsidR="00FE2E59" w:rsidRPr="00152CDF">
        <w:rPr>
          <w:lang w:val="es-ES_tradnl"/>
        </w:rPr>
        <w:t xml:space="preserve">similares en características observables </w:t>
      </w:r>
      <w:r w:rsidR="00DD32A0" w:rsidRPr="00152CDF">
        <w:rPr>
          <w:lang w:val="es-ES_tradnl"/>
        </w:rPr>
        <w:t xml:space="preserve">que comiencen a ingresar a la política a partir de </w:t>
      </w:r>
      <w:r w:rsidR="00FE2E59" w:rsidRPr="00152CDF">
        <w:rPr>
          <w:lang w:val="es-ES_tradnl"/>
        </w:rPr>
        <w:t>2022</w:t>
      </w:r>
      <w:r w:rsidR="00126440" w:rsidRPr="00152CDF">
        <w:rPr>
          <w:lang w:val="es-ES_tradnl"/>
        </w:rPr>
        <w:t>, de modo que no estén expuestos a la política en ningún período</w:t>
      </w:r>
      <w:r w:rsidR="0009660D" w:rsidRPr="00152CDF">
        <w:rPr>
          <w:lang w:val="es-ES_tradnl"/>
        </w:rPr>
        <w:t>.</w:t>
      </w:r>
    </w:p>
    <w:p w14:paraId="46D8521E" w14:textId="406DFCC2" w:rsidR="0009660D" w:rsidRPr="00152CDF" w:rsidRDefault="00FE2E59" w:rsidP="00F947D6">
      <w:pPr>
        <w:pStyle w:val="Heading2"/>
        <w:numPr>
          <w:ilvl w:val="1"/>
          <w:numId w:val="28"/>
        </w:numPr>
        <w:spacing w:before="120"/>
        <w:rPr>
          <w:lang w:val="es-ES_tradnl"/>
        </w:rPr>
      </w:pPr>
      <w:r w:rsidRPr="00152CDF">
        <w:rPr>
          <w:lang w:val="es-ES_tradnl"/>
        </w:rPr>
        <w:t xml:space="preserve">Dado que </w:t>
      </w:r>
      <w:r w:rsidR="005B2DA5" w:rsidRPr="00152CDF">
        <w:rPr>
          <w:lang w:val="es-ES_tradnl"/>
        </w:rPr>
        <w:t xml:space="preserve">no es posible asignar aleatoriamente los </w:t>
      </w:r>
      <w:r w:rsidR="000E61B0" w:rsidRPr="00152CDF">
        <w:rPr>
          <w:lang w:val="es-ES_tradnl"/>
        </w:rPr>
        <w:t>territorios a los grupos de tratamiento y control</w:t>
      </w:r>
      <w:r w:rsidRPr="00152CDF">
        <w:rPr>
          <w:lang w:val="es-ES_tradnl"/>
        </w:rPr>
        <w:t xml:space="preserve">, </w:t>
      </w:r>
      <w:r w:rsidR="000E61B0" w:rsidRPr="00152CDF">
        <w:rPr>
          <w:lang w:val="es-ES_tradnl"/>
        </w:rPr>
        <w:t xml:space="preserve">se </w:t>
      </w:r>
      <w:r w:rsidR="007E01B1" w:rsidRPr="00152CDF">
        <w:rPr>
          <w:lang w:val="es-ES_tradnl"/>
        </w:rPr>
        <w:t>construirá un grupo de control</w:t>
      </w:r>
      <w:r w:rsidRPr="00152CDF">
        <w:rPr>
          <w:lang w:val="es-ES_tradnl"/>
        </w:rPr>
        <w:t xml:space="preserve"> sintético, esto es, </w:t>
      </w:r>
      <w:r w:rsidR="007E01B1" w:rsidRPr="00152CDF">
        <w:rPr>
          <w:lang w:val="es-ES_tradnl"/>
        </w:rPr>
        <w:t xml:space="preserve">pareado </w:t>
      </w:r>
      <w:r w:rsidR="00293E3F" w:rsidRPr="00152CDF">
        <w:rPr>
          <w:lang w:val="es-ES_tradnl"/>
        </w:rPr>
        <w:t>(</w:t>
      </w:r>
      <w:proofErr w:type="spellStart"/>
      <w:r w:rsidR="00293E3F" w:rsidRPr="00152CDF">
        <w:rPr>
          <w:lang w:val="es-ES_tradnl"/>
        </w:rPr>
        <w:t>PSM</w:t>
      </w:r>
      <w:proofErr w:type="spellEnd"/>
      <w:r w:rsidR="00293E3F" w:rsidRPr="00152CDF">
        <w:rPr>
          <w:lang w:val="es-ES_tradnl"/>
        </w:rPr>
        <w:t xml:space="preserve">) </w:t>
      </w:r>
      <w:r w:rsidR="007E01B1" w:rsidRPr="00152CDF">
        <w:rPr>
          <w:lang w:val="es-ES_tradnl"/>
        </w:rPr>
        <w:t>a partir de un conjunto de variables de interés</w:t>
      </w:r>
      <w:r w:rsidR="002B24A0" w:rsidRPr="00152CDF">
        <w:rPr>
          <w:lang w:val="es-ES_tradnl"/>
        </w:rPr>
        <w:t>.</w:t>
      </w:r>
      <w:r w:rsidRPr="00152CDF">
        <w:rPr>
          <w:lang w:val="es-ES_tradnl"/>
        </w:rPr>
        <w:t xml:space="preserve"> Para ello, se considerará un completo set de variables a nivel de estudiantes, escuelas y sostenedores para determinar con alto grado de fidelidad territorios que sean equivalentes al grupo tratado.</w:t>
      </w:r>
      <w:r w:rsidR="00880058" w:rsidRPr="00152CDF">
        <w:rPr>
          <w:lang w:val="es-ES_tradnl"/>
        </w:rPr>
        <w:t xml:space="preserve"> Asimismo, el análisis considerará las dimensiones utilizada por el MINEDUC para seleccionar los territorios a formar parte de la nueva institucionalidad como una forma de modelar la probabilidad de ser tratado</w:t>
      </w:r>
      <w:r w:rsidR="00880058" w:rsidRPr="00152CDF">
        <w:rPr>
          <w:rStyle w:val="FootnoteReference"/>
          <w:lang w:val="es-ES_tradnl"/>
        </w:rPr>
        <w:footnoteReference w:id="4"/>
      </w:r>
      <w:r w:rsidR="00880058" w:rsidRPr="00152CDF">
        <w:rPr>
          <w:lang w:val="es-ES_tradnl"/>
        </w:rPr>
        <w:t xml:space="preserve">. </w:t>
      </w:r>
      <w:r w:rsidR="007E735F" w:rsidRPr="00152CDF">
        <w:rPr>
          <w:lang w:val="es-ES_tradnl"/>
        </w:rPr>
        <w:t>En este tipo de diseño, l</w:t>
      </w:r>
      <w:r w:rsidR="002D4D89" w:rsidRPr="00152CDF">
        <w:rPr>
          <w:lang w:val="es-ES_tradnl"/>
        </w:rPr>
        <w:t xml:space="preserve">a dificultad en la atribución de efectos causales del programa reside en </w:t>
      </w:r>
      <w:r w:rsidRPr="00152CDF">
        <w:rPr>
          <w:lang w:val="es-ES_tradnl"/>
        </w:rPr>
        <w:t>el supuesto</w:t>
      </w:r>
      <w:r w:rsidR="002D4D89" w:rsidRPr="00152CDF">
        <w:rPr>
          <w:lang w:val="es-ES_tradnl"/>
        </w:rPr>
        <w:t xml:space="preserve"> de que el grupo de tratamiento y control s</w:t>
      </w:r>
      <w:r w:rsidR="00EA4B70" w:rsidRPr="00152CDF">
        <w:rPr>
          <w:lang w:val="es-ES_tradnl"/>
        </w:rPr>
        <w:t>ean</w:t>
      </w:r>
      <w:r w:rsidR="002D4D89" w:rsidRPr="00152CDF">
        <w:rPr>
          <w:lang w:val="es-ES_tradnl"/>
        </w:rPr>
        <w:t xml:space="preserve"> equivalentes</w:t>
      </w:r>
      <w:r w:rsidR="0009660D" w:rsidRPr="00152CDF">
        <w:rPr>
          <w:lang w:val="es-ES_tradnl"/>
        </w:rPr>
        <w:t>.</w:t>
      </w:r>
    </w:p>
    <w:p w14:paraId="608BB0A6" w14:textId="1C73EF63" w:rsidR="00B95F9B" w:rsidRDefault="00880058" w:rsidP="00F947D6">
      <w:pPr>
        <w:pStyle w:val="Heading2"/>
        <w:numPr>
          <w:ilvl w:val="1"/>
          <w:numId w:val="28"/>
        </w:numPr>
        <w:spacing w:before="120"/>
        <w:rPr>
          <w:lang w:val="es-ES_tradnl"/>
        </w:rPr>
      </w:pPr>
      <w:r w:rsidRPr="00152CDF">
        <w:rPr>
          <w:lang w:val="es-ES_tradnl"/>
        </w:rPr>
        <w:t>E</w:t>
      </w:r>
      <w:r w:rsidR="00B95F9B" w:rsidRPr="00152CDF">
        <w:rPr>
          <w:lang w:val="es-ES_tradnl"/>
        </w:rPr>
        <w:t xml:space="preserve">l grupo de tratamiento (esto es, el grupo de </w:t>
      </w:r>
      <w:r w:rsidR="00D94E56">
        <w:rPr>
          <w:lang w:val="es-ES_tradnl"/>
        </w:rPr>
        <w:t>4</w:t>
      </w:r>
      <w:r w:rsidR="00B95F9B" w:rsidRPr="00152CDF">
        <w:rPr>
          <w:lang w:val="es-ES_tradnl"/>
        </w:rPr>
        <w:t xml:space="preserve"> territorios seleccionado por el MINEDUC para ingresar al principio de la gradualidad de implementación de la política) está conformado de la siguiente manera</w:t>
      </w:r>
      <w:r w:rsidR="001E11ED" w:rsidRPr="00152CDF">
        <w:rPr>
          <w:lang w:val="es-ES_tradnl"/>
        </w:rPr>
        <w:t xml:space="preserve"> (Cuadro </w:t>
      </w:r>
      <w:r w:rsidR="00DA6FEA">
        <w:rPr>
          <w:lang w:val="es-ES_tradnl"/>
        </w:rPr>
        <w:t>3.</w:t>
      </w:r>
      <w:r w:rsidR="001E11ED" w:rsidRPr="00152CDF">
        <w:rPr>
          <w:lang w:val="es-ES_tradnl"/>
        </w:rPr>
        <w:t>2)</w:t>
      </w:r>
      <w:r w:rsidR="00B95F9B" w:rsidRPr="00152CDF">
        <w:rPr>
          <w:lang w:val="es-ES_tradnl"/>
        </w:rPr>
        <w:t>:</w:t>
      </w:r>
    </w:p>
    <w:p w14:paraId="0D74ABB8" w14:textId="77777777" w:rsidR="00C63A43" w:rsidRPr="00C63A43" w:rsidRDefault="00C63A43" w:rsidP="00F947D6">
      <w:pPr>
        <w:spacing w:before="120" w:after="0"/>
        <w:rPr>
          <w:lang w:val="es-ES_tradnl"/>
        </w:rPr>
      </w:pPr>
    </w:p>
    <w:p w14:paraId="6A04BD19" w14:textId="26B36B34" w:rsidR="001E11ED" w:rsidRDefault="001E11ED" w:rsidP="00C85E02">
      <w:pPr>
        <w:keepNext/>
        <w:spacing w:after="0" w:line="240" w:lineRule="auto"/>
        <w:jc w:val="center"/>
        <w:rPr>
          <w:rFonts w:ascii="Arial" w:hAnsi="Arial" w:cs="Arial"/>
          <w:b/>
          <w:smallCaps/>
          <w:color w:val="222222"/>
          <w:lang w:val="es-ES_tradnl"/>
        </w:rPr>
      </w:pPr>
      <w:r w:rsidRPr="00F947D6">
        <w:rPr>
          <w:rFonts w:ascii="Arial" w:hAnsi="Arial" w:cs="Arial"/>
          <w:b/>
          <w:smallCaps/>
          <w:color w:val="222222"/>
          <w:lang w:val="es-ES_tradnl"/>
        </w:rPr>
        <w:t xml:space="preserve">Cuadro </w:t>
      </w:r>
      <w:r w:rsidR="00DA6FEA" w:rsidRPr="00F947D6">
        <w:rPr>
          <w:rFonts w:ascii="Arial" w:hAnsi="Arial" w:cs="Arial"/>
          <w:b/>
          <w:smallCaps/>
          <w:lang w:val="es-ES_tradnl"/>
        </w:rPr>
        <w:t>3.</w:t>
      </w:r>
      <w:r w:rsidRPr="00F947D6">
        <w:rPr>
          <w:rFonts w:ascii="Arial" w:hAnsi="Arial" w:cs="Arial"/>
          <w:b/>
          <w:smallCaps/>
          <w:lang w:val="es-ES_tradnl"/>
        </w:rPr>
        <w:t>2</w:t>
      </w:r>
      <w:r w:rsidRPr="00F947D6">
        <w:rPr>
          <w:rFonts w:ascii="Arial" w:hAnsi="Arial" w:cs="Arial"/>
          <w:b/>
          <w:smallCaps/>
          <w:color w:val="222222"/>
          <w:lang w:val="es-ES_tradnl"/>
        </w:rPr>
        <w:t>: Composición del grupo de tratamiento</w:t>
      </w:r>
    </w:p>
    <w:p w14:paraId="48C1A631" w14:textId="77777777" w:rsidR="00DA6FEA" w:rsidRPr="00F947D6" w:rsidRDefault="00DA6FEA" w:rsidP="00C85E02">
      <w:pPr>
        <w:keepNext/>
        <w:spacing w:after="0" w:line="240" w:lineRule="auto"/>
        <w:jc w:val="center"/>
        <w:rPr>
          <w:rFonts w:ascii="Arial" w:hAnsi="Arial" w:cs="Arial"/>
          <w:b/>
          <w:smallCaps/>
          <w:color w:val="222222"/>
          <w:lang w:val="es-ES_tradnl"/>
        </w:rPr>
      </w:pPr>
    </w:p>
    <w:tbl>
      <w:tblPr>
        <w:tblW w:w="8880" w:type="dxa"/>
        <w:tblCellMar>
          <w:left w:w="70" w:type="dxa"/>
          <w:right w:w="70" w:type="dxa"/>
        </w:tblCellMar>
        <w:tblLook w:val="04A0" w:firstRow="1" w:lastRow="0" w:firstColumn="1" w:lastColumn="0" w:noHBand="0" w:noVBand="1"/>
      </w:tblPr>
      <w:tblGrid>
        <w:gridCol w:w="1030"/>
        <w:gridCol w:w="960"/>
        <w:gridCol w:w="960"/>
        <w:gridCol w:w="1274"/>
        <w:gridCol w:w="1980"/>
        <w:gridCol w:w="1185"/>
        <w:gridCol w:w="1786"/>
      </w:tblGrid>
      <w:tr w:rsidR="0097777C" w:rsidRPr="0097777C" w14:paraId="5F2C3DEE" w14:textId="77777777" w:rsidTr="0097777C">
        <w:trPr>
          <w:trHeight w:val="315"/>
        </w:trPr>
        <w:tc>
          <w:tcPr>
            <w:tcW w:w="960" w:type="dxa"/>
            <w:tcBorders>
              <w:top w:val="single" w:sz="8" w:space="0" w:color="auto"/>
              <w:left w:val="single" w:sz="8" w:space="0" w:color="auto"/>
              <w:bottom w:val="single" w:sz="8" w:space="0" w:color="auto"/>
              <w:right w:val="single" w:sz="8" w:space="0" w:color="auto"/>
            </w:tcBorders>
            <w:shd w:val="clear" w:color="000000" w:fill="A6A6A6"/>
            <w:noWrap/>
            <w:vAlign w:val="center"/>
            <w:hideMark/>
          </w:tcPr>
          <w:p w14:paraId="5C0BB7B0" w14:textId="77777777" w:rsidR="0097777C" w:rsidRPr="0097777C" w:rsidRDefault="0097777C" w:rsidP="0097777C">
            <w:pPr>
              <w:spacing w:after="0" w:line="240" w:lineRule="auto"/>
              <w:rPr>
                <w:rFonts w:ascii="Arial" w:eastAsia="Times New Roman" w:hAnsi="Arial" w:cs="Arial"/>
                <w:b/>
                <w:bCs/>
                <w:color w:val="000000"/>
                <w:sz w:val="20"/>
                <w:szCs w:val="20"/>
                <w:lang w:val="es-CL" w:eastAsia="es-CL"/>
              </w:rPr>
            </w:pPr>
            <w:r w:rsidRPr="0097777C">
              <w:rPr>
                <w:rFonts w:ascii="Arial" w:eastAsia="Times New Roman" w:hAnsi="Arial" w:cs="Arial"/>
                <w:b/>
                <w:bCs/>
                <w:color w:val="000000"/>
                <w:sz w:val="20"/>
                <w:szCs w:val="20"/>
                <w:lang w:val="es-ES_tradnl" w:eastAsia="es-CL"/>
              </w:rPr>
              <w:t>Servicios Locales</w:t>
            </w:r>
          </w:p>
        </w:tc>
        <w:tc>
          <w:tcPr>
            <w:tcW w:w="960" w:type="dxa"/>
            <w:tcBorders>
              <w:top w:val="single" w:sz="8" w:space="0" w:color="auto"/>
              <w:left w:val="nil"/>
              <w:bottom w:val="single" w:sz="8" w:space="0" w:color="auto"/>
              <w:right w:val="single" w:sz="8" w:space="0" w:color="auto"/>
            </w:tcBorders>
            <w:shd w:val="clear" w:color="000000" w:fill="A6A6A6"/>
            <w:noWrap/>
            <w:vAlign w:val="center"/>
            <w:hideMark/>
          </w:tcPr>
          <w:p w14:paraId="4892CE2D" w14:textId="77777777" w:rsidR="0097777C" w:rsidRPr="0097777C" w:rsidRDefault="0097777C" w:rsidP="0097777C">
            <w:pPr>
              <w:spacing w:after="0" w:line="240" w:lineRule="auto"/>
              <w:jc w:val="center"/>
              <w:rPr>
                <w:rFonts w:ascii="Arial" w:eastAsia="Times New Roman" w:hAnsi="Arial" w:cs="Arial"/>
                <w:b/>
                <w:bCs/>
                <w:color w:val="000000"/>
                <w:sz w:val="20"/>
                <w:szCs w:val="20"/>
                <w:lang w:val="es-CL" w:eastAsia="es-CL"/>
              </w:rPr>
            </w:pPr>
            <w:r w:rsidRPr="0097777C">
              <w:rPr>
                <w:rFonts w:ascii="Arial" w:eastAsia="Times New Roman" w:hAnsi="Arial" w:cs="Arial"/>
                <w:b/>
                <w:bCs/>
                <w:color w:val="000000"/>
                <w:sz w:val="20"/>
                <w:szCs w:val="20"/>
                <w:lang w:val="es-ES_tradnl" w:eastAsia="es-CL"/>
              </w:rPr>
              <w:t>Total</w:t>
            </w:r>
          </w:p>
        </w:tc>
        <w:tc>
          <w:tcPr>
            <w:tcW w:w="960" w:type="dxa"/>
            <w:tcBorders>
              <w:top w:val="single" w:sz="8" w:space="0" w:color="auto"/>
              <w:left w:val="nil"/>
              <w:bottom w:val="single" w:sz="8" w:space="0" w:color="auto"/>
              <w:right w:val="single" w:sz="8" w:space="0" w:color="auto"/>
            </w:tcBorders>
            <w:shd w:val="clear" w:color="000000" w:fill="A6A6A6"/>
            <w:noWrap/>
            <w:vAlign w:val="center"/>
            <w:hideMark/>
          </w:tcPr>
          <w:p w14:paraId="42FC7C20" w14:textId="77777777" w:rsidR="0097777C" w:rsidRPr="0097777C" w:rsidRDefault="0097777C" w:rsidP="0097777C">
            <w:pPr>
              <w:spacing w:after="0" w:line="240" w:lineRule="auto"/>
              <w:jc w:val="center"/>
              <w:rPr>
                <w:rFonts w:ascii="Arial" w:eastAsia="Times New Roman" w:hAnsi="Arial" w:cs="Arial"/>
                <w:b/>
                <w:bCs/>
                <w:color w:val="000000"/>
                <w:sz w:val="20"/>
                <w:szCs w:val="20"/>
                <w:lang w:val="es-CL" w:eastAsia="es-CL"/>
              </w:rPr>
            </w:pPr>
            <w:r w:rsidRPr="0097777C">
              <w:rPr>
                <w:rFonts w:ascii="Arial" w:eastAsia="Times New Roman" w:hAnsi="Arial" w:cs="Arial"/>
                <w:b/>
                <w:bCs/>
                <w:color w:val="000000"/>
                <w:sz w:val="20"/>
                <w:szCs w:val="20"/>
                <w:lang w:val="es-ES_tradnl" w:eastAsia="es-CL"/>
              </w:rPr>
              <w:t>Entrada</w:t>
            </w:r>
          </w:p>
        </w:tc>
        <w:tc>
          <w:tcPr>
            <w:tcW w:w="1180" w:type="dxa"/>
            <w:tcBorders>
              <w:top w:val="single" w:sz="8" w:space="0" w:color="auto"/>
              <w:left w:val="nil"/>
              <w:bottom w:val="single" w:sz="8" w:space="0" w:color="auto"/>
              <w:right w:val="single" w:sz="8" w:space="0" w:color="auto"/>
            </w:tcBorders>
            <w:shd w:val="clear" w:color="000000" w:fill="A6A6A6"/>
            <w:noWrap/>
            <w:vAlign w:val="center"/>
            <w:hideMark/>
          </w:tcPr>
          <w:p w14:paraId="6B32A10D" w14:textId="77777777" w:rsidR="0097777C" w:rsidRPr="0097777C" w:rsidRDefault="0097777C" w:rsidP="0097777C">
            <w:pPr>
              <w:spacing w:after="0" w:line="240" w:lineRule="auto"/>
              <w:jc w:val="center"/>
              <w:rPr>
                <w:rFonts w:ascii="Arial" w:eastAsia="Times New Roman" w:hAnsi="Arial" w:cs="Arial"/>
                <w:b/>
                <w:bCs/>
                <w:color w:val="000000"/>
                <w:sz w:val="20"/>
                <w:szCs w:val="20"/>
                <w:lang w:val="es-CL" w:eastAsia="es-CL"/>
              </w:rPr>
            </w:pPr>
            <w:r w:rsidRPr="0097777C">
              <w:rPr>
                <w:rFonts w:ascii="Arial" w:eastAsia="Times New Roman" w:hAnsi="Arial" w:cs="Arial"/>
                <w:b/>
                <w:bCs/>
                <w:color w:val="000000"/>
                <w:sz w:val="20"/>
                <w:szCs w:val="20"/>
                <w:lang w:val="es-ES_tradnl" w:eastAsia="es-CL"/>
              </w:rPr>
              <w:t>Estudiantes</w:t>
            </w:r>
          </w:p>
        </w:tc>
        <w:tc>
          <w:tcPr>
            <w:tcW w:w="1980" w:type="dxa"/>
            <w:tcBorders>
              <w:top w:val="single" w:sz="8" w:space="0" w:color="auto"/>
              <w:left w:val="nil"/>
              <w:bottom w:val="single" w:sz="8" w:space="0" w:color="auto"/>
              <w:right w:val="single" w:sz="8" w:space="0" w:color="auto"/>
            </w:tcBorders>
            <w:shd w:val="clear" w:color="000000" w:fill="A6A6A6"/>
            <w:noWrap/>
            <w:vAlign w:val="center"/>
            <w:hideMark/>
          </w:tcPr>
          <w:p w14:paraId="1059703A" w14:textId="77777777" w:rsidR="0097777C" w:rsidRPr="0097777C" w:rsidRDefault="0097777C" w:rsidP="0097777C">
            <w:pPr>
              <w:spacing w:after="0" w:line="240" w:lineRule="auto"/>
              <w:jc w:val="center"/>
              <w:rPr>
                <w:rFonts w:ascii="Arial" w:eastAsia="Times New Roman" w:hAnsi="Arial" w:cs="Arial"/>
                <w:b/>
                <w:bCs/>
                <w:color w:val="000000"/>
                <w:sz w:val="20"/>
                <w:szCs w:val="20"/>
                <w:lang w:val="es-CL" w:eastAsia="es-CL"/>
              </w:rPr>
            </w:pPr>
            <w:r w:rsidRPr="0097777C">
              <w:rPr>
                <w:rFonts w:ascii="Arial" w:eastAsia="Times New Roman" w:hAnsi="Arial" w:cs="Arial"/>
                <w:b/>
                <w:bCs/>
                <w:color w:val="000000"/>
                <w:sz w:val="20"/>
                <w:szCs w:val="20"/>
                <w:lang w:val="es-ES_tradnl" w:eastAsia="es-CL"/>
              </w:rPr>
              <w:t>Número municipios</w:t>
            </w:r>
          </w:p>
        </w:tc>
        <w:tc>
          <w:tcPr>
            <w:tcW w:w="1120" w:type="dxa"/>
            <w:tcBorders>
              <w:top w:val="single" w:sz="8" w:space="0" w:color="auto"/>
              <w:left w:val="nil"/>
              <w:bottom w:val="single" w:sz="8" w:space="0" w:color="auto"/>
              <w:right w:val="single" w:sz="8" w:space="0" w:color="auto"/>
            </w:tcBorders>
            <w:shd w:val="clear" w:color="000000" w:fill="A6A6A6"/>
            <w:noWrap/>
            <w:vAlign w:val="center"/>
            <w:hideMark/>
          </w:tcPr>
          <w:p w14:paraId="52332854" w14:textId="77777777" w:rsidR="0097777C" w:rsidRPr="0097777C" w:rsidRDefault="0097777C" w:rsidP="0097777C">
            <w:pPr>
              <w:spacing w:after="0" w:line="240" w:lineRule="auto"/>
              <w:jc w:val="center"/>
              <w:rPr>
                <w:rFonts w:ascii="Arial" w:eastAsia="Times New Roman" w:hAnsi="Arial" w:cs="Arial"/>
                <w:b/>
                <w:bCs/>
                <w:color w:val="000000"/>
                <w:sz w:val="20"/>
                <w:szCs w:val="20"/>
                <w:lang w:val="es-CL" w:eastAsia="es-CL"/>
              </w:rPr>
            </w:pPr>
            <w:r w:rsidRPr="0097777C">
              <w:rPr>
                <w:rFonts w:ascii="Arial" w:eastAsia="Times New Roman" w:hAnsi="Arial" w:cs="Arial"/>
                <w:b/>
                <w:bCs/>
                <w:color w:val="000000"/>
                <w:sz w:val="20"/>
                <w:szCs w:val="20"/>
                <w:lang w:val="es-ES_tradnl" w:eastAsia="es-CL"/>
              </w:rPr>
              <w:t>Profesores</w:t>
            </w:r>
          </w:p>
        </w:tc>
        <w:tc>
          <w:tcPr>
            <w:tcW w:w="1720" w:type="dxa"/>
            <w:tcBorders>
              <w:top w:val="single" w:sz="8" w:space="0" w:color="auto"/>
              <w:left w:val="nil"/>
              <w:bottom w:val="single" w:sz="8" w:space="0" w:color="auto"/>
              <w:right w:val="single" w:sz="8" w:space="0" w:color="auto"/>
            </w:tcBorders>
            <w:shd w:val="clear" w:color="000000" w:fill="A6A6A6"/>
            <w:noWrap/>
            <w:vAlign w:val="center"/>
            <w:hideMark/>
          </w:tcPr>
          <w:p w14:paraId="0F9EEE64" w14:textId="77777777" w:rsidR="0097777C" w:rsidRPr="0097777C" w:rsidRDefault="0097777C" w:rsidP="0097777C">
            <w:pPr>
              <w:spacing w:after="0" w:line="240" w:lineRule="auto"/>
              <w:jc w:val="center"/>
              <w:rPr>
                <w:rFonts w:ascii="Arial" w:eastAsia="Times New Roman" w:hAnsi="Arial" w:cs="Arial"/>
                <w:b/>
                <w:bCs/>
                <w:color w:val="000000"/>
                <w:sz w:val="20"/>
                <w:szCs w:val="20"/>
                <w:lang w:val="es-CL" w:eastAsia="es-CL"/>
              </w:rPr>
            </w:pPr>
            <w:r w:rsidRPr="0097777C">
              <w:rPr>
                <w:rFonts w:ascii="Arial" w:eastAsia="Times New Roman" w:hAnsi="Arial" w:cs="Arial"/>
                <w:b/>
                <w:bCs/>
                <w:color w:val="000000"/>
                <w:sz w:val="20"/>
                <w:szCs w:val="20"/>
                <w:lang w:val="es-ES_tradnl" w:eastAsia="es-CL"/>
              </w:rPr>
              <w:t>Establecimientos</w:t>
            </w:r>
          </w:p>
        </w:tc>
      </w:tr>
      <w:tr w:rsidR="0097777C" w:rsidRPr="0097777C" w14:paraId="442E45D3" w14:textId="77777777" w:rsidTr="0097777C">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F50B7DD" w14:textId="77777777" w:rsidR="0097777C" w:rsidRPr="0097777C" w:rsidRDefault="0097777C" w:rsidP="0097777C">
            <w:pPr>
              <w:spacing w:after="0" w:line="240" w:lineRule="auto"/>
              <w:rPr>
                <w:rFonts w:ascii="Arial" w:eastAsia="Times New Roman" w:hAnsi="Arial" w:cs="Arial"/>
                <w:color w:val="000000"/>
                <w:sz w:val="20"/>
                <w:szCs w:val="20"/>
                <w:lang w:val="es-CL" w:eastAsia="es-CL"/>
              </w:rPr>
            </w:pPr>
            <w:proofErr w:type="spellStart"/>
            <w:r w:rsidRPr="0097777C">
              <w:rPr>
                <w:rFonts w:ascii="Arial" w:eastAsia="Times New Roman" w:hAnsi="Arial" w:cs="Arial"/>
                <w:color w:val="000000"/>
                <w:sz w:val="20"/>
                <w:szCs w:val="20"/>
                <w:lang w:val="es-ES_tradnl" w:eastAsia="es-CL"/>
              </w:rPr>
              <w:t>SLEP</w:t>
            </w:r>
            <w:proofErr w:type="spellEnd"/>
            <w:r w:rsidRPr="0097777C">
              <w:rPr>
                <w:rFonts w:ascii="Arial" w:eastAsia="Times New Roman" w:hAnsi="Arial" w:cs="Arial"/>
                <w:color w:val="000000"/>
                <w:sz w:val="20"/>
                <w:szCs w:val="20"/>
                <w:lang w:val="es-ES_tradnl" w:eastAsia="es-CL"/>
              </w:rPr>
              <w:t xml:space="preserve"> A</w:t>
            </w:r>
          </w:p>
        </w:tc>
        <w:tc>
          <w:tcPr>
            <w:tcW w:w="960" w:type="dxa"/>
            <w:tcBorders>
              <w:top w:val="nil"/>
              <w:left w:val="nil"/>
              <w:bottom w:val="single" w:sz="8" w:space="0" w:color="auto"/>
              <w:right w:val="single" w:sz="8" w:space="0" w:color="auto"/>
            </w:tcBorders>
            <w:shd w:val="clear" w:color="auto" w:fill="auto"/>
            <w:noWrap/>
            <w:vAlign w:val="center"/>
            <w:hideMark/>
          </w:tcPr>
          <w:p w14:paraId="16AA826A"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1</w:t>
            </w:r>
          </w:p>
        </w:tc>
        <w:tc>
          <w:tcPr>
            <w:tcW w:w="960" w:type="dxa"/>
            <w:tcBorders>
              <w:top w:val="nil"/>
              <w:left w:val="nil"/>
              <w:bottom w:val="single" w:sz="8" w:space="0" w:color="auto"/>
              <w:right w:val="single" w:sz="8" w:space="0" w:color="auto"/>
            </w:tcBorders>
            <w:shd w:val="clear" w:color="auto" w:fill="auto"/>
            <w:noWrap/>
            <w:vAlign w:val="center"/>
            <w:hideMark/>
          </w:tcPr>
          <w:p w14:paraId="2659C9EB"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2018</w:t>
            </w:r>
          </w:p>
        </w:tc>
        <w:tc>
          <w:tcPr>
            <w:tcW w:w="1180" w:type="dxa"/>
            <w:tcBorders>
              <w:top w:val="nil"/>
              <w:left w:val="nil"/>
              <w:bottom w:val="single" w:sz="8" w:space="0" w:color="auto"/>
              <w:right w:val="single" w:sz="8" w:space="0" w:color="auto"/>
            </w:tcBorders>
            <w:shd w:val="clear" w:color="auto" w:fill="auto"/>
            <w:noWrap/>
            <w:vAlign w:val="center"/>
            <w:hideMark/>
          </w:tcPr>
          <w:p w14:paraId="5DA3F2B1"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12,547</w:t>
            </w:r>
          </w:p>
        </w:tc>
        <w:tc>
          <w:tcPr>
            <w:tcW w:w="1980" w:type="dxa"/>
            <w:tcBorders>
              <w:top w:val="nil"/>
              <w:left w:val="nil"/>
              <w:bottom w:val="single" w:sz="8" w:space="0" w:color="auto"/>
              <w:right w:val="single" w:sz="8" w:space="0" w:color="auto"/>
            </w:tcBorders>
            <w:shd w:val="clear" w:color="auto" w:fill="auto"/>
            <w:noWrap/>
            <w:vAlign w:val="center"/>
            <w:hideMark/>
          </w:tcPr>
          <w:p w14:paraId="75A26496"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4</w:t>
            </w:r>
          </w:p>
        </w:tc>
        <w:tc>
          <w:tcPr>
            <w:tcW w:w="1120" w:type="dxa"/>
            <w:tcBorders>
              <w:top w:val="nil"/>
              <w:left w:val="nil"/>
              <w:bottom w:val="single" w:sz="8" w:space="0" w:color="auto"/>
              <w:right w:val="single" w:sz="8" w:space="0" w:color="auto"/>
            </w:tcBorders>
            <w:shd w:val="clear" w:color="auto" w:fill="auto"/>
            <w:noWrap/>
            <w:vAlign w:val="center"/>
            <w:hideMark/>
          </w:tcPr>
          <w:p w14:paraId="71F9CB18"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706</w:t>
            </w:r>
          </w:p>
        </w:tc>
        <w:tc>
          <w:tcPr>
            <w:tcW w:w="1720" w:type="dxa"/>
            <w:tcBorders>
              <w:top w:val="nil"/>
              <w:left w:val="nil"/>
              <w:bottom w:val="single" w:sz="8" w:space="0" w:color="auto"/>
              <w:right w:val="single" w:sz="8" w:space="0" w:color="auto"/>
            </w:tcBorders>
            <w:shd w:val="clear" w:color="auto" w:fill="auto"/>
            <w:noWrap/>
            <w:vAlign w:val="center"/>
            <w:hideMark/>
          </w:tcPr>
          <w:p w14:paraId="16F15A9F"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55</w:t>
            </w:r>
          </w:p>
        </w:tc>
      </w:tr>
      <w:tr w:rsidR="0097777C" w:rsidRPr="0097777C" w14:paraId="18E05A08" w14:textId="77777777" w:rsidTr="0097777C">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E39951B" w14:textId="77777777" w:rsidR="0097777C" w:rsidRPr="0097777C" w:rsidRDefault="0097777C" w:rsidP="0097777C">
            <w:pPr>
              <w:spacing w:after="0" w:line="240" w:lineRule="auto"/>
              <w:rPr>
                <w:rFonts w:ascii="Arial" w:eastAsia="Times New Roman" w:hAnsi="Arial" w:cs="Arial"/>
                <w:color w:val="000000"/>
                <w:sz w:val="20"/>
                <w:szCs w:val="20"/>
                <w:lang w:val="es-CL" w:eastAsia="es-CL"/>
              </w:rPr>
            </w:pPr>
            <w:proofErr w:type="spellStart"/>
            <w:r w:rsidRPr="0097777C">
              <w:rPr>
                <w:rFonts w:ascii="Arial" w:eastAsia="Times New Roman" w:hAnsi="Arial" w:cs="Arial"/>
                <w:color w:val="000000"/>
                <w:sz w:val="20"/>
                <w:szCs w:val="20"/>
                <w:lang w:val="es-ES_tradnl" w:eastAsia="es-CL"/>
              </w:rPr>
              <w:t>SLEP</w:t>
            </w:r>
            <w:proofErr w:type="spellEnd"/>
            <w:r w:rsidRPr="0097777C">
              <w:rPr>
                <w:rFonts w:ascii="Arial" w:eastAsia="Times New Roman" w:hAnsi="Arial" w:cs="Arial"/>
                <w:color w:val="000000"/>
                <w:sz w:val="20"/>
                <w:szCs w:val="20"/>
                <w:lang w:val="es-ES_tradnl" w:eastAsia="es-CL"/>
              </w:rPr>
              <w:t xml:space="preserve"> B</w:t>
            </w:r>
          </w:p>
        </w:tc>
        <w:tc>
          <w:tcPr>
            <w:tcW w:w="960" w:type="dxa"/>
            <w:tcBorders>
              <w:top w:val="nil"/>
              <w:left w:val="nil"/>
              <w:bottom w:val="single" w:sz="8" w:space="0" w:color="auto"/>
              <w:right w:val="single" w:sz="8" w:space="0" w:color="auto"/>
            </w:tcBorders>
            <w:shd w:val="clear" w:color="auto" w:fill="auto"/>
            <w:noWrap/>
            <w:vAlign w:val="center"/>
            <w:hideMark/>
          </w:tcPr>
          <w:p w14:paraId="421A0466"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1</w:t>
            </w:r>
          </w:p>
        </w:tc>
        <w:tc>
          <w:tcPr>
            <w:tcW w:w="960" w:type="dxa"/>
            <w:tcBorders>
              <w:top w:val="nil"/>
              <w:left w:val="nil"/>
              <w:bottom w:val="single" w:sz="8" w:space="0" w:color="auto"/>
              <w:right w:val="single" w:sz="8" w:space="0" w:color="auto"/>
            </w:tcBorders>
            <w:shd w:val="clear" w:color="auto" w:fill="auto"/>
            <w:noWrap/>
            <w:vAlign w:val="center"/>
            <w:hideMark/>
          </w:tcPr>
          <w:p w14:paraId="7B27A3DA"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2018</w:t>
            </w:r>
          </w:p>
        </w:tc>
        <w:tc>
          <w:tcPr>
            <w:tcW w:w="1180" w:type="dxa"/>
            <w:tcBorders>
              <w:top w:val="nil"/>
              <w:left w:val="nil"/>
              <w:bottom w:val="single" w:sz="8" w:space="0" w:color="auto"/>
              <w:right w:val="single" w:sz="8" w:space="0" w:color="auto"/>
            </w:tcBorders>
            <w:shd w:val="clear" w:color="auto" w:fill="auto"/>
            <w:noWrap/>
            <w:vAlign w:val="center"/>
            <w:hideMark/>
          </w:tcPr>
          <w:p w14:paraId="3AC5EA7E"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13,269</w:t>
            </w:r>
          </w:p>
        </w:tc>
        <w:tc>
          <w:tcPr>
            <w:tcW w:w="1980" w:type="dxa"/>
            <w:tcBorders>
              <w:top w:val="nil"/>
              <w:left w:val="nil"/>
              <w:bottom w:val="single" w:sz="8" w:space="0" w:color="auto"/>
              <w:right w:val="single" w:sz="8" w:space="0" w:color="auto"/>
            </w:tcBorders>
            <w:shd w:val="clear" w:color="auto" w:fill="auto"/>
            <w:noWrap/>
            <w:vAlign w:val="center"/>
            <w:hideMark/>
          </w:tcPr>
          <w:p w14:paraId="55C1A6D5"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2</w:t>
            </w:r>
          </w:p>
        </w:tc>
        <w:tc>
          <w:tcPr>
            <w:tcW w:w="1120" w:type="dxa"/>
            <w:tcBorders>
              <w:top w:val="nil"/>
              <w:left w:val="nil"/>
              <w:bottom w:val="single" w:sz="8" w:space="0" w:color="auto"/>
              <w:right w:val="single" w:sz="8" w:space="0" w:color="auto"/>
            </w:tcBorders>
            <w:shd w:val="clear" w:color="auto" w:fill="auto"/>
            <w:noWrap/>
            <w:vAlign w:val="center"/>
            <w:hideMark/>
          </w:tcPr>
          <w:p w14:paraId="012A2907"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913</w:t>
            </w:r>
          </w:p>
        </w:tc>
        <w:tc>
          <w:tcPr>
            <w:tcW w:w="1720" w:type="dxa"/>
            <w:tcBorders>
              <w:top w:val="nil"/>
              <w:left w:val="nil"/>
              <w:bottom w:val="single" w:sz="8" w:space="0" w:color="auto"/>
              <w:right w:val="single" w:sz="8" w:space="0" w:color="auto"/>
            </w:tcBorders>
            <w:shd w:val="clear" w:color="auto" w:fill="auto"/>
            <w:noWrap/>
            <w:vAlign w:val="center"/>
            <w:hideMark/>
          </w:tcPr>
          <w:p w14:paraId="49749762"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50</w:t>
            </w:r>
          </w:p>
        </w:tc>
      </w:tr>
      <w:tr w:rsidR="0097777C" w:rsidRPr="0097777C" w14:paraId="5ACC87A0" w14:textId="77777777" w:rsidTr="0097777C">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1EA9229" w14:textId="77777777" w:rsidR="0097777C" w:rsidRPr="0097777C" w:rsidRDefault="0097777C" w:rsidP="0097777C">
            <w:pPr>
              <w:spacing w:after="0" w:line="240" w:lineRule="auto"/>
              <w:rPr>
                <w:rFonts w:ascii="Arial" w:eastAsia="Times New Roman" w:hAnsi="Arial" w:cs="Arial"/>
                <w:color w:val="000000"/>
                <w:sz w:val="20"/>
                <w:szCs w:val="20"/>
                <w:lang w:val="es-CL" w:eastAsia="es-CL"/>
              </w:rPr>
            </w:pPr>
            <w:proofErr w:type="spellStart"/>
            <w:r w:rsidRPr="0097777C">
              <w:rPr>
                <w:rFonts w:ascii="Arial" w:eastAsia="Times New Roman" w:hAnsi="Arial" w:cs="Arial"/>
                <w:color w:val="000000"/>
                <w:sz w:val="20"/>
                <w:szCs w:val="20"/>
                <w:lang w:val="es-ES_tradnl" w:eastAsia="es-CL"/>
              </w:rPr>
              <w:t>SLEP</w:t>
            </w:r>
            <w:proofErr w:type="spellEnd"/>
            <w:r w:rsidRPr="0097777C">
              <w:rPr>
                <w:rFonts w:ascii="Arial" w:eastAsia="Times New Roman" w:hAnsi="Arial" w:cs="Arial"/>
                <w:color w:val="000000"/>
                <w:sz w:val="20"/>
                <w:szCs w:val="20"/>
                <w:lang w:val="es-ES_tradnl" w:eastAsia="es-CL"/>
              </w:rPr>
              <w:t xml:space="preserve"> C</w:t>
            </w:r>
          </w:p>
        </w:tc>
        <w:tc>
          <w:tcPr>
            <w:tcW w:w="960" w:type="dxa"/>
            <w:tcBorders>
              <w:top w:val="nil"/>
              <w:left w:val="nil"/>
              <w:bottom w:val="single" w:sz="8" w:space="0" w:color="auto"/>
              <w:right w:val="single" w:sz="8" w:space="0" w:color="auto"/>
            </w:tcBorders>
            <w:shd w:val="clear" w:color="auto" w:fill="auto"/>
            <w:noWrap/>
            <w:vAlign w:val="center"/>
            <w:hideMark/>
          </w:tcPr>
          <w:p w14:paraId="4EF62402"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1</w:t>
            </w:r>
          </w:p>
        </w:tc>
        <w:tc>
          <w:tcPr>
            <w:tcW w:w="960" w:type="dxa"/>
            <w:tcBorders>
              <w:top w:val="nil"/>
              <w:left w:val="nil"/>
              <w:bottom w:val="single" w:sz="8" w:space="0" w:color="auto"/>
              <w:right w:val="single" w:sz="8" w:space="0" w:color="auto"/>
            </w:tcBorders>
            <w:shd w:val="clear" w:color="auto" w:fill="auto"/>
            <w:noWrap/>
            <w:vAlign w:val="center"/>
            <w:hideMark/>
          </w:tcPr>
          <w:p w14:paraId="53D036F8"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2018</w:t>
            </w:r>
          </w:p>
        </w:tc>
        <w:tc>
          <w:tcPr>
            <w:tcW w:w="1180" w:type="dxa"/>
            <w:tcBorders>
              <w:top w:val="nil"/>
              <w:left w:val="nil"/>
              <w:bottom w:val="single" w:sz="8" w:space="0" w:color="auto"/>
              <w:right w:val="single" w:sz="8" w:space="0" w:color="auto"/>
            </w:tcBorders>
            <w:shd w:val="clear" w:color="auto" w:fill="auto"/>
            <w:noWrap/>
            <w:vAlign w:val="center"/>
            <w:hideMark/>
          </w:tcPr>
          <w:p w14:paraId="75D9A48D"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22,688</w:t>
            </w:r>
          </w:p>
        </w:tc>
        <w:tc>
          <w:tcPr>
            <w:tcW w:w="1980" w:type="dxa"/>
            <w:tcBorders>
              <w:top w:val="nil"/>
              <w:left w:val="nil"/>
              <w:bottom w:val="single" w:sz="8" w:space="0" w:color="auto"/>
              <w:right w:val="single" w:sz="8" w:space="0" w:color="auto"/>
            </w:tcBorders>
            <w:shd w:val="clear" w:color="auto" w:fill="auto"/>
            <w:noWrap/>
            <w:vAlign w:val="center"/>
            <w:hideMark/>
          </w:tcPr>
          <w:p w14:paraId="398ABAF8"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3</w:t>
            </w:r>
          </w:p>
        </w:tc>
        <w:tc>
          <w:tcPr>
            <w:tcW w:w="1120" w:type="dxa"/>
            <w:tcBorders>
              <w:top w:val="nil"/>
              <w:left w:val="nil"/>
              <w:bottom w:val="single" w:sz="8" w:space="0" w:color="auto"/>
              <w:right w:val="single" w:sz="8" w:space="0" w:color="auto"/>
            </w:tcBorders>
            <w:shd w:val="clear" w:color="auto" w:fill="auto"/>
            <w:noWrap/>
            <w:vAlign w:val="center"/>
            <w:hideMark/>
          </w:tcPr>
          <w:p w14:paraId="1A339EC7"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1189</w:t>
            </w:r>
          </w:p>
        </w:tc>
        <w:tc>
          <w:tcPr>
            <w:tcW w:w="1720" w:type="dxa"/>
            <w:tcBorders>
              <w:top w:val="nil"/>
              <w:left w:val="nil"/>
              <w:bottom w:val="single" w:sz="8" w:space="0" w:color="auto"/>
              <w:right w:val="single" w:sz="8" w:space="0" w:color="auto"/>
            </w:tcBorders>
            <w:shd w:val="clear" w:color="auto" w:fill="auto"/>
            <w:noWrap/>
            <w:vAlign w:val="center"/>
            <w:hideMark/>
          </w:tcPr>
          <w:p w14:paraId="495EF43C"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54</w:t>
            </w:r>
          </w:p>
        </w:tc>
      </w:tr>
      <w:tr w:rsidR="0097777C" w:rsidRPr="0097777C" w14:paraId="56041811" w14:textId="77777777" w:rsidTr="0097777C">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37BD931" w14:textId="77777777" w:rsidR="0097777C" w:rsidRPr="0097777C" w:rsidRDefault="0097777C" w:rsidP="0097777C">
            <w:pPr>
              <w:spacing w:after="0" w:line="240" w:lineRule="auto"/>
              <w:rPr>
                <w:rFonts w:ascii="Arial" w:eastAsia="Times New Roman" w:hAnsi="Arial" w:cs="Arial"/>
                <w:color w:val="000000"/>
                <w:sz w:val="20"/>
                <w:szCs w:val="20"/>
                <w:lang w:val="es-CL" w:eastAsia="es-CL"/>
              </w:rPr>
            </w:pPr>
            <w:proofErr w:type="spellStart"/>
            <w:r w:rsidRPr="0097777C">
              <w:rPr>
                <w:rFonts w:ascii="Arial" w:eastAsia="Times New Roman" w:hAnsi="Arial" w:cs="Arial"/>
                <w:color w:val="000000"/>
                <w:sz w:val="20"/>
                <w:szCs w:val="20"/>
                <w:lang w:val="es-ES_tradnl" w:eastAsia="es-CL"/>
              </w:rPr>
              <w:t>SLEP</w:t>
            </w:r>
            <w:proofErr w:type="spellEnd"/>
            <w:r w:rsidRPr="0097777C">
              <w:rPr>
                <w:rFonts w:ascii="Arial" w:eastAsia="Times New Roman" w:hAnsi="Arial" w:cs="Arial"/>
                <w:color w:val="000000"/>
                <w:sz w:val="20"/>
                <w:szCs w:val="20"/>
                <w:lang w:val="es-ES_tradnl" w:eastAsia="es-CL"/>
              </w:rPr>
              <w:t xml:space="preserve"> D</w:t>
            </w:r>
          </w:p>
        </w:tc>
        <w:tc>
          <w:tcPr>
            <w:tcW w:w="960" w:type="dxa"/>
            <w:tcBorders>
              <w:top w:val="nil"/>
              <w:left w:val="nil"/>
              <w:bottom w:val="single" w:sz="8" w:space="0" w:color="auto"/>
              <w:right w:val="single" w:sz="8" w:space="0" w:color="auto"/>
            </w:tcBorders>
            <w:shd w:val="clear" w:color="auto" w:fill="auto"/>
            <w:noWrap/>
            <w:vAlign w:val="center"/>
            <w:hideMark/>
          </w:tcPr>
          <w:p w14:paraId="7148255C"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1</w:t>
            </w:r>
          </w:p>
        </w:tc>
        <w:tc>
          <w:tcPr>
            <w:tcW w:w="960" w:type="dxa"/>
            <w:tcBorders>
              <w:top w:val="nil"/>
              <w:left w:val="nil"/>
              <w:bottom w:val="single" w:sz="8" w:space="0" w:color="auto"/>
              <w:right w:val="single" w:sz="8" w:space="0" w:color="auto"/>
            </w:tcBorders>
            <w:shd w:val="clear" w:color="auto" w:fill="auto"/>
            <w:noWrap/>
            <w:vAlign w:val="center"/>
            <w:hideMark/>
          </w:tcPr>
          <w:p w14:paraId="77CE1E4C"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2018</w:t>
            </w:r>
          </w:p>
        </w:tc>
        <w:tc>
          <w:tcPr>
            <w:tcW w:w="1180" w:type="dxa"/>
            <w:tcBorders>
              <w:top w:val="nil"/>
              <w:left w:val="nil"/>
              <w:bottom w:val="single" w:sz="8" w:space="0" w:color="auto"/>
              <w:right w:val="single" w:sz="8" w:space="0" w:color="auto"/>
            </w:tcBorders>
            <w:shd w:val="clear" w:color="auto" w:fill="auto"/>
            <w:noWrap/>
            <w:vAlign w:val="center"/>
            <w:hideMark/>
          </w:tcPr>
          <w:p w14:paraId="396D4EC2"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8,500</w:t>
            </w:r>
          </w:p>
        </w:tc>
        <w:tc>
          <w:tcPr>
            <w:tcW w:w="1980" w:type="dxa"/>
            <w:tcBorders>
              <w:top w:val="nil"/>
              <w:left w:val="nil"/>
              <w:bottom w:val="single" w:sz="8" w:space="0" w:color="auto"/>
              <w:right w:val="single" w:sz="8" w:space="0" w:color="auto"/>
            </w:tcBorders>
            <w:shd w:val="clear" w:color="auto" w:fill="auto"/>
            <w:noWrap/>
            <w:vAlign w:val="center"/>
            <w:hideMark/>
          </w:tcPr>
          <w:p w14:paraId="317339C6"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5</w:t>
            </w:r>
          </w:p>
        </w:tc>
        <w:tc>
          <w:tcPr>
            <w:tcW w:w="1120" w:type="dxa"/>
            <w:tcBorders>
              <w:top w:val="nil"/>
              <w:left w:val="nil"/>
              <w:bottom w:val="single" w:sz="8" w:space="0" w:color="auto"/>
              <w:right w:val="single" w:sz="8" w:space="0" w:color="auto"/>
            </w:tcBorders>
            <w:shd w:val="clear" w:color="auto" w:fill="auto"/>
            <w:noWrap/>
            <w:vAlign w:val="center"/>
            <w:hideMark/>
          </w:tcPr>
          <w:p w14:paraId="2C7C3DD8"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617</w:t>
            </w:r>
          </w:p>
        </w:tc>
        <w:tc>
          <w:tcPr>
            <w:tcW w:w="1720" w:type="dxa"/>
            <w:tcBorders>
              <w:top w:val="nil"/>
              <w:left w:val="nil"/>
              <w:bottom w:val="single" w:sz="8" w:space="0" w:color="auto"/>
              <w:right w:val="single" w:sz="8" w:space="0" w:color="auto"/>
            </w:tcBorders>
            <w:shd w:val="clear" w:color="auto" w:fill="auto"/>
            <w:noWrap/>
            <w:vAlign w:val="center"/>
            <w:hideMark/>
          </w:tcPr>
          <w:p w14:paraId="355D43F0"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77</w:t>
            </w:r>
          </w:p>
        </w:tc>
      </w:tr>
      <w:tr w:rsidR="0097777C" w:rsidRPr="0097777C" w14:paraId="0691A5E5" w14:textId="77777777" w:rsidTr="0097777C">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61C21C2" w14:textId="77777777" w:rsidR="0097777C" w:rsidRPr="0097777C" w:rsidRDefault="0097777C" w:rsidP="0097777C">
            <w:pPr>
              <w:spacing w:after="0" w:line="240" w:lineRule="auto"/>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Total</w:t>
            </w:r>
          </w:p>
        </w:tc>
        <w:tc>
          <w:tcPr>
            <w:tcW w:w="960" w:type="dxa"/>
            <w:tcBorders>
              <w:top w:val="nil"/>
              <w:left w:val="nil"/>
              <w:bottom w:val="single" w:sz="8" w:space="0" w:color="auto"/>
              <w:right w:val="single" w:sz="8" w:space="0" w:color="auto"/>
            </w:tcBorders>
            <w:shd w:val="clear" w:color="auto" w:fill="auto"/>
            <w:noWrap/>
            <w:vAlign w:val="center"/>
            <w:hideMark/>
          </w:tcPr>
          <w:p w14:paraId="30480AA9"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ES_tradnl" w:eastAsia="es-CL"/>
              </w:rPr>
              <w:t>4</w:t>
            </w:r>
          </w:p>
        </w:tc>
        <w:tc>
          <w:tcPr>
            <w:tcW w:w="960" w:type="dxa"/>
            <w:tcBorders>
              <w:top w:val="nil"/>
              <w:left w:val="nil"/>
              <w:bottom w:val="single" w:sz="8" w:space="0" w:color="auto"/>
              <w:right w:val="single" w:sz="8" w:space="0" w:color="auto"/>
            </w:tcBorders>
            <w:shd w:val="clear" w:color="auto" w:fill="auto"/>
            <w:noWrap/>
            <w:vAlign w:val="center"/>
            <w:hideMark/>
          </w:tcPr>
          <w:p w14:paraId="56CDC08C" w14:textId="77777777" w:rsidR="0097777C" w:rsidRPr="0097777C" w:rsidRDefault="0097777C" w:rsidP="0097777C">
            <w:pPr>
              <w:spacing w:after="0" w:line="240" w:lineRule="auto"/>
              <w:rPr>
                <w:rFonts w:ascii="Calibri" w:eastAsia="Times New Roman" w:hAnsi="Calibri" w:cs="Calibri"/>
                <w:color w:val="000000"/>
                <w:lang w:val="es-CL" w:eastAsia="es-CL"/>
              </w:rPr>
            </w:pPr>
            <w:r w:rsidRPr="0097777C">
              <w:rPr>
                <w:rFonts w:ascii="Calibri" w:eastAsia="Times New Roman" w:hAnsi="Calibri" w:cs="Calibri"/>
                <w:color w:val="000000"/>
                <w:lang w:val="es-CL" w:eastAsia="es-CL"/>
              </w:rPr>
              <w:t> </w:t>
            </w:r>
          </w:p>
        </w:tc>
        <w:tc>
          <w:tcPr>
            <w:tcW w:w="1180" w:type="dxa"/>
            <w:tcBorders>
              <w:top w:val="nil"/>
              <w:left w:val="nil"/>
              <w:bottom w:val="single" w:sz="8" w:space="0" w:color="auto"/>
              <w:right w:val="single" w:sz="8" w:space="0" w:color="auto"/>
            </w:tcBorders>
            <w:shd w:val="clear" w:color="auto" w:fill="auto"/>
            <w:noWrap/>
            <w:vAlign w:val="center"/>
            <w:hideMark/>
          </w:tcPr>
          <w:p w14:paraId="2E609BD1"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CL" w:eastAsia="es-CL"/>
              </w:rPr>
              <w:t>57,004</w:t>
            </w:r>
          </w:p>
        </w:tc>
        <w:tc>
          <w:tcPr>
            <w:tcW w:w="1980" w:type="dxa"/>
            <w:tcBorders>
              <w:top w:val="nil"/>
              <w:left w:val="nil"/>
              <w:bottom w:val="single" w:sz="8" w:space="0" w:color="auto"/>
              <w:right w:val="single" w:sz="8" w:space="0" w:color="auto"/>
            </w:tcBorders>
            <w:shd w:val="clear" w:color="auto" w:fill="auto"/>
            <w:noWrap/>
            <w:vAlign w:val="center"/>
            <w:hideMark/>
          </w:tcPr>
          <w:p w14:paraId="4B467C6A"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CL" w:eastAsia="es-CL"/>
              </w:rPr>
              <w:t>14</w:t>
            </w:r>
          </w:p>
        </w:tc>
        <w:tc>
          <w:tcPr>
            <w:tcW w:w="1120" w:type="dxa"/>
            <w:tcBorders>
              <w:top w:val="nil"/>
              <w:left w:val="nil"/>
              <w:bottom w:val="single" w:sz="8" w:space="0" w:color="auto"/>
              <w:right w:val="single" w:sz="8" w:space="0" w:color="auto"/>
            </w:tcBorders>
            <w:shd w:val="clear" w:color="auto" w:fill="auto"/>
            <w:noWrap/>
            <w:vAlign w:val="center"/>
            <w:hideMark/>
          </w:tcPr>
          <w:p w14:paraId="6A1FC007"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CL" w:eastAsia="es-CL"/>
              </w:rPr>
              <w:t>3,425</w:t>
            </w:r>
          </w:p>
        </w:tc>
        <w:tc>
          <w:tcPr>
            <w:tcW w:w="1720" w:type="dxa"/>
            <w:tcBorders>
              <w:top w:val="nil"/>
              <w:left w:val="nil"/>
              <w:bottom w:val="single" w:sz="8" w:space="0" w:color="auto"/>
              <w:right w:val="single" w:sz="8" w:space="0" w:color="auto"/>
            </w:tcBorders>
            <w:shd w:val="clear" w:color="auto" w:fill="auto"/>
            <w:noWrap/>
            <w:vAlign w:val="center"/>
            <w:hideMark/>
          </w:tcPr>
          <w:p w14:paraId="5F16BE5C" w14:textId="77777777" w:rsidR="0097777C" w:rsidRPr="0097777C" w:rsidRDefault="0097777C" w:rsidP="0097777C">
            <w:pPr>
              <w:spacing w:after="0" w:line="240" w:lineRule="auto"/>
              <w:jc w:val="center"/>
              <w:rPr>
                <w:rFonts w:ascii="Arial" w:eastAsia="Times New Roman" w:hAnsi="Arial" w:cs="Arial"/>
                <w:color w:val="000000"/>
                <w:sz w:val="20"/>
                <w:szCs w:val="20"/>
                <w:lang w:val="es-CL" w:eastAsia="es-CL"/>
              </w:rPr>
            </w:pPr>
            <w:r w:rsidRPr="0097777C">
              <w:rPr>
                <w:rFonts w:ascii="Arial" w:eastAsia="Times New Roman" w:hAnsi="Arial" w:cs="Arial"/>
                <w:color w:val="000000"/>
                <w:sz w:val="20"/>
                <w:szCs w:val="20"/>
                <w:lang w:val="es-CL" w:eastAsia="es-CL"/>
              </w:rPr>
              <w:t>236</w:t>
            </w:r>
          </w:p>
        </w:tc>
      </w:tr>
    </w:tbl>
    <w:p w14:paraId="2C6BB28B" w14:textId="77777777" w:rsidR="001E11ED" w:rsidRPr="00152CDF" w:rsidRDefault="001E11ED" w:rsidP="001E11ED">
      <w:pPr>
        <w:spacing w:line="240" w:lineRule="auto"/>
        <w:jc w:val="both"/>
        <w:rPr>
          <w:rFonts w:ascii="Arial" w:hAnsi="Arial" w:cs="Arial"/>
          <w:lang w:val="es-ES_tradnl"/>
        </w:rPr>
      </w:pPr>
    </w:p>
    <w:p w14:paraId="78AF8358" w14:textId="67E2C440" w:rsidR="00293E3F" w:rsidRPr="00152CDF" w:rsidRDefault="005D11C6" w:rsidP="00FA3F72">
      <w:pPr>
        <w:spacing w:line="240" w:lineRule="auto"/>
        <w:jc w:val="both"/>
        <w:rPr>
          <w:rFonts w:ascii="Arial" w:hAnsi="Arial" w:cs="Arial"/>
          <w:lang w:val="es-ES_tradnl"/>
        </w:rPr>
      </w:pPr>
      <w:r w:rsidRPr="00152CDF">
        <w:rPr>
          <w:rFonts w:ascii="Arial" w:hAnsi="Arial" w:cs="Arial"/>
          <w:lang w:val="es-ES_tradnl"/>
        </w:rPr>
        <w:t xml:space="preserve">Adicionalmente, se tendrá en cuenta </w:t>
      </w:r>
      <w:r w:rsidR="0012303E" w:rsidRPr="00152CDF">
        <w:rPr>
          <w:rFonts w:ascii="Arial" w:hAnsi="Arial" w:cs="Arial"/>
          <w:lang w:val="es-ES_tradnl"/>
        </w:rPr>
        <w:t xml:space="preserve">para el pareo </w:t>
      </w:r>
      <w:r w:rsidRPr="00152CDF">
        <w:rPr>
          <w:rFonts w:ascii="Arial" w:hAnsi="Arial" w:cs="Arial"/>
          <w:lang w:val="es-ES_tradnl"/>
        </w:rPr>
        <w:t xml:space="preserve">otros observables que pueden </w:t>
      </w:r>
      <w:r w:rsidR="002717A8" w:rsidRPr="00152CDF">
        <w:rPr>
          <w:rFonts w:ascii="Arial" w:hAnsi="Arial" w:cs="Arial"/>
          <w:lang w:val="es-ES_tradnl"/>
        </w:rPr>
        <w:t xml:space="preserve">influir en los resultados: (i) </w:t>
      </w:r>
      <w:r w:rsidR="00CE27A9" w:rsidRPr="00152CDF">
        <w:rPr>
          <w:rFonts w:ascii="Arial" w:hAnsi="Arial" w:cs="Arial"/>
          <w:lang w:val="es-ES_tradnl"/>
        </w:rPr>
        <w:t xml:space="preserve">nivel socioeconómico de los estudiantes, </w:t>
      </w:r>
      <w:r w:rsidR="002717A8" w:rsidRPr="00152CDF">
        <w:rPr>
          <w:rFonts w:ascii="Arial" w:hAnsi="Arial" w:cs="Arial"/>
          <w:lang w:val="es-ES_tradnl"/>
        </w:rPr>
        <w:t>(</w:t>
      </w:r>
      <w:proofErr w:type="spellStart"/>
      <w:r w:rsidR="002717A8" w:rsidRPr="00152CDF">
        <w:rPr>
          <w:rFonts w:ascii="Arial" w:hAnsi="Arial" w:cs="Arial"/>
          <w:lang w:val="es-ES_tradnl"/>
        </w:rPr>
        <w:t>ii</w:t>
      </w:r>
      <w:proofErr w:type="spellEnd"/>
      <w:r w:rsidR="002717A8" w:rsidRPr="00152CDF">
        <w:rPr>
          <w:rFonts w:ascii="Arial" w:hAnsi="Arial" w:cs="Arial"/>
          <w:lang w:val="es-ES_tradnl"/>
        </w:rPr>
        <w:t xml:space="preserve">) </w:t>
      </w:r>
      <w:r w:rsidR="009310E4" w:rsidRPr="00152CDF">
        <w:rPr>
          <w:rFonts w:ascii="Arial" w:hAnsi="Arial" w:cs="Arial"/>
          <w:lang w:val="es-ES_tradnl"/>
        </w:rPr>
        <w:t xml:space="preserve">resultados de las pruebas </w:t>
      </w:r>
      <w:r w:rsidR="0064675C" w:rsidRPr="00152CDF">
        <w:rPr>
          <w:rFonts w:ascii="Arial" w:hAnsi="Arial" w:cs="Arial"/>
          <w:lang w:val="es-ES_tradnl"/>
        </w:rPr>
        <w:t>SIMCE</w:t>
      </w:r>
      <w:r w:rsidR="00CE27A9" w:rsidRPr="00152CDF">
        <w:rPr>
          <w:rFonts w:ascii="Arial" w:hAnsi="Arial" w:cs="Arial"/>
          <w:lang w:val="es-ES_tradnl"/>
        </w:rPr>
        <w:t>,</w:t>
      </w:r>
      <w:r w:rsidR="002717A8" w:rsidRPr="00152CDF">
        <w:rPr>
          <w:rFonts w:ascii="Arial" w:hAnsi="Arial" w:cs="Arial"/>
          <w:lang w:val="es-ES_tradnl"/>
        </w:rPr>
        <w:t xml:space="preserve"> (</w:t>
      </w:r>
      <w:proofErr w:type="spellStart"/>
      <w:r w:rsidR="002717A8" w:rsidRPr="00152CDF">
        <w:rPr>
          <w:rFonts w:ascii="Arial" w:hAnsi="Arial" w:cs="Arial"/>
          <w:lang w:val="es-ES_tradnl"/>
        </w:rPr>
        <w:t>iii</w:t>
      </w:r>
      <w:proofErr w:type="spellEnd"/>
      <w:r w:rsidR="002717A8" w:rsidRPr="00152CDF">
        <w:rPr>
          <w:rFonts w:ascii="Arial" w:hAnsi="Arial" w:cs="Arial"/>
          <w:lang w:val="es-ES_tradnl"/>
        </w:rPr>
        <w:t>)</w:t>
      </w:r>
      <w:r w:rsidR="00CE27A9" w:rsidRPr="00152CDF">
        <w:rPr>
          <w:rFonts w:ascii="Arial" w:hAnsi="Arial" w:cs="Arial"/>
          <w:lang w:val="es-ES_tradnl"/>
        </w:rPr>
        <w:t xml:space="preserve"> </w:t>
      </w:r>
      <w:r w:rsidR="003D483B" w:rsidRPr="00152CDF">
        <w:rPr>
          <w:rFonts w:ascii="Arial" w:hAnsi="Arial" w:cs="Arial"/>
          <w:lang w:val="es-ES_tradnl"/>
        </w:rPr>
        <w:lastRenderedPageBreak/>
        <w:t xml:space="preserve">características de </w:t>
      </w:r>
      <w:r w:rsidR="002717A8" w:rsidRPr="00152CDF">
        <w:rPr>
          <w:rFonts w:ascii="Arial" w:hAnsi="Arial" w:cs="Arial"/>
          <w:lang w:val="es-ES_tradnl"/>
        </w:rPr>
        <w:t xml:space="preserve">directores y </w:t>
      </w:r>
      <w:r w:rsidR="003D483B" w:rsidRPr="00152CDF">
        <w:rPr>
          <w:rFonts w:ascii="Arial" w:hAnsi="Arial" w:cs="Arial"/>
          <w:lang w:val="es-ES_tradnl"/>
        </w:rPr>
        <w:t>docentes</w:t>
      </w:r>
      <w:r w:rsidR="00CA7F29" w:rsidRPr="00152CDF">
        <w:rPr>
          <w:rFonts w:ascii="Arial" w:hAnsi="Arial" w:cs="Arial"/>
          <w:lang w:val="es-ES_tradnl"/>
        </w:rPr>
        <w:t xml:space="preserve">, </w:t>
      </w:r>
      <w:r w:rsidR="002717A8" w:rsidRPr="00152CDF">
        <w:rPr>
          <w:rFonts w:ascii="Arial" w:hAnsi="Arial" w:cs="Arial"/>
          <w:lang w:val="es-ES_tradnl"/>
        </w:rPr>
        <w:t>(</w:t>
      </w:r>
      <w:proofErr w:type="spellStart"/>
      <w:r w:rsidR="002717A8" w:rsidRPr="00152CDF">
        <w:rPr>
          <w:rFonts w:ascii="Arial" w:hAnsi="Arial" w:cs="Arial"/>
          <w:lang w:val="es-ES_tradnl"/>
        </w:rPr>
        <w:t>iv</w:t>
      </w:r>
      <w:proofErr w:type="spellEnd"/>
      <w:r w:rsidR="002717A8" w:rsidRPr="00152CDF">
        <w:rPr>
          <w:rFonts w:ascii="Arial" w:hAnsi="Arial" w:cs="Arial"/>
          <w:lang w:val="es-ES_tradnl"/>
        </w:rPr>
        <w:t xml:space="preserve">) </w:t>
      </w:r>
      <w:r w:rsidR="00CE27A9" w:rsidRPr="00152CDF">
        <w:rPr>
          <w:rFonts w:ascii="Arial" w:hAnsi="Arial" w:cs="Arial"/>
          <w:lang w:val="es-ES_tradnl"/>
        </w:rPr>
        <w:t xml:space="preserve">proporción de estudiantes en escuelas privadas vs. </w:t>
      </w:r>
      <w:r w:rsidR="002717A8" w:rsidRPr="00152CDF">
        <w:rPr>
          <w:rFonts w:ascii="Arial" w:hAnsi="Arial" w:cs="Arial"/>
          <w:lang w:val="es-ES_tradnl"/>
        </w:rPr>
        <w:t>públicas</w:t>
      </w:r>
      <w:r w:rsidR="00CE27A9" w:rsidRPr="00152CDF">
        <w:rPr>
          <w:rFonts w:ascii="Arial" w:hAnsi="Arial" w:cs="Arial"/>
          <w:lang w:val="es-ES_tradnl"/>
        </w:rPr>
        <w:t xml:space="preserve">, </w:t>
      </w:r>
      <w:r w:rsidR="008B556F" w:rsidRPr="00152CDF">
        <w:rPr>
          <w:rFonts w:ascii="Arial" w:hAnsi="Arial" w:cs="Arial"/>
          <w:lang w:val="es-ES_tradnl"/>
        </w:rPr>
        <w:t>(</w:t>
      </w:r>
      <w:r w:rsidR="004D76C1" w:rsidRPr="00152CDF">
        <w:rPr>
          <w:rFonts w:ascii="Arial" w:hAnsi="Arial" w:cs="Arial"/>
          <w:lang w:val="es-ES_tradnl"/>
        </w:rPr>
        <w:t>v) </w:t>
      </w:r>
      <w:r w:rsidR="003D483B" w:rsidRPr="00152CDF">
        <w:rPr>
          <w:rFonts w:ascii="Arial" w:hAnsi="Arial" w:cs="Arial"/>
          <w:lang w:val="es-ES_tradnl"/>
        </w:rPr>
        <w:t>proporción de</w:t>
      </w:r>
      <w:r w:rsidR="004D76C1" w:rsidRPr="00152CDF">
        <w:rPr>
          <w:rFonts w:ascii="Arial" w:hAnsi="Arial" w:cs="Arial"/>
          <w:lang w:val="es-ES_tradnl"/>
        </w:rPr>
        <w:t xml:space="preserve"> tipos de sostenedores privados</w:t>
      </w:r>
      <w:r w:rsidR="00D63E6B" w:rsidRPr="00152CDF">
        <w:rPr>
          <w:rFonts w:ascii="Arial" w:hAnsi="Arial" w:cs="Arial"/>
          <w:lang w:val="es-ES_tradnl"/>
        </w:rPr>
        <w:t xml:space="preserve">, </w:t>
      </w:r>
      <w:r w:rsidR="00095D43" w:rsidRPr="00152CDF">
        <w:rPr>
          <w:rFonts w:ascii="Arial" w:hAnsi="Arial" w:cs="Arial"/>
          <w:lang w:val="es-ES_tradnl"/>
        </w:rPr>
        <w:t>entre otros que puedan definirse</w:t>
      </w:r>
      <w:r w:rsidR="00CE27A9" w:rsidRPr="00152CDF">
        <w:rPr>
          <w:rFonts w:ascii="Arial" w:hAnsi="Arial" w:cs="Arial"/>
          <w:lang w:val="es-ES_tradnl"/>
        </w:rPr>
        <w:t>.</w:t>
      </w:r>
    </w:p>
    <w:p w14:paraId="239375EA" w14:textId="47D7208B" w:rsidR="00317E26" w:rsidRPr="00152CDF" w:rsidRDefault="00317E26" w:rsidP="00F947D6">
      <w:pPr>
        <w:pStyle w:val="Heading2"/>
        <w:numPr>
          <w:ilvl w:val="1"/>
          <w:numId w:val="28"/>
        </w:numPr>
        <w:rPr>
          <w:lang w:val="es-ES_tradnl"/>
        </w:rPr>
      </w:pPr>
      <w:r w:rsidRPr="00152CDF">
        <w:rPr>
          <w:lang w:val="es-ES_tradnl"/>
        </w:rPr>
        <w:t>Estrategia de identificación</w:t>
      </w:r>
    </w:p>
    <w:p w14:paraId="6B1F470E" w14:textId="77777777" w:rsidR="001A2273" w:rsidRPr="00152CDF" w:rsidRDefault="000E7AEF" w:rsidP="00317E26">
      <w:pPr>
        <w:pStyle w:val="Paragraph"/>
        <w:tabs>
          <w:tab w:val="clear" w:pos="720"/>
          <w:tab w:val="left" w:pos="0"/>
        </w:tabs>
        <w:ind w:left="0" w:firstLine="0"/>
        <w:rPr>
          <w:rFonts w:ascii="Arial" w:hAnsi="Arial" w:cs="Arial"/>
          <w:color w:val="000000"/>
          <w:sz w:val="22"/>
          <w:lang w:val="es-ES_tradnl"/>
        </w:rPr>
      </w:pPr>
      <w:r w:rsidRPr="00152CDF">
        <w:rPr>
          <w:rFonts w:ascii="Arial" w:hAnsi="Arial" w:cs="Arial"/>
          <w:color w:val="000000"/>
          <w:sz w:val="22"/>
          <w:lang w:val="es-ES_tradnl"/>
        </w:rPr>
        <w:t>Las variables de resultados que se utilizar</w:t>
      </w:r>
      <w:r w:rsidR="002B2348" w:rsidRPr="00152CDF">
        <w:rPr>
          <w:rFonts w:ascii="Arial" w:hAnsi="Arial" w:cs="Arial"/>
          <w:color w:val="000000"/>
          <w:sz w:val="22"/>
          <w:lang w:val="es-ES_tradnl"/>
        </w:rPr>
        <w:t>án son</w:t>
      </w:r>
      <w:r w:rsidRPr="00152CDF">
        <w:rPr>
          <w:rFonts w:ascii="Arial" w:hAnsi="Arial" w:cs="Arial"/>
          <w:color w:val="000000"/>
          <w:sz w:val="22"/>
          <w:lang w:val="es-ES_tradnl"/>
        </w:rPr>
        <w:t xml:space="preserve">: </w:t>
      </w:r>
    </w:p>
    <w:p w14:paraId="29F5D501" w14:textId="4C24733F" w:rsidR="006F2628" w:rsidRPr="00152CDF" w:rsidRDefault="000E7AEF" w:rsidP="00771AC1">
      <w:pPr>
        <w:pStyle w:val="Paragraph"/>
        <w:tabs>
          <w:tab w:val="clear" w:pos="720"/>
          <w:tab w:val="left" w:pos="0"/>
        </w:tabs>
        <w:ind w:left="0" w:firstLine="0"/>
        <w:rPr>
          <w:rFonts w:ascii="Arial" w:hAnsi="Arial" w:cs="Arial"/>
          <w:color w:val="000000"/>
          <w:sz w:val="22"/>
          <w:lang w:val="es-ES_tradnl"/>
        </w:rPr>
      </w:pPr>
      <w:r w:rsidRPr="00152CDF">
        <w:rPr>
          <w:rFonts w:ascii="Arial" w:hAnsi="Arial" w:cs="Arial"/>
          <w:color w:val="000000"/>
          <w:sz w:val="22"/>
          <w:lang w:val="es-ES_tradnl"/>
        </w:rPr>
        <w:t xml:space="preserve">(i) porcentaje de estudiantes de 4º básico </w:t>
      </w:r>
      <w:r w:rsidR="00DD0A2B" w:rsidRPr="00152CDF">
        <w:rPr>
          <w:rFonts w:ascii="Arial" w:hAnsi="Arial" w:cs="Arial"/>
          <w:color w:val="000000"/>
          <w:sz w:val="22"/>
          <w:lang w:val="es-ES_tradnl"/>
        </w:rPr>
        <w:t xml:space="preserve">según categorías de </w:t>
      </w:r>
      <w:r w:rsidR="004D76C1" w:rsidRPr="00152CDF">
        <w:rPr>
          <w:rFonts w:ascii="Arial" w:hAnsi="Arial" w:cs="Arial"/>
          <w:color w:val="000000"/>
          <w:sz w:val="22"/>
          <w:lang w:val="es-ES_tradnl"/>
        </w:rPr>
        <w:t xml:space="preserve">logro en SIMCE en </w:t>
      </w:r>
      <w:r w:rsidR="00DD0A2B" w:rsidRPr="00152CDF">
        <w:rPr>
          <w:rFonts w:ascii="Arial" w:hAnsi="Arial" w:cs="Arial"/>
          <w:color w:val="000000"/>
          <w:sz w:val="22"/>
          <w:lang w:val="es-ES_tradnl"/>
        </w:rPr>
        <w:t>lenguaje</w:t>
      </w:r>
      <w:r w:rsidR="004D76C1" w:rsidRPr="00152CDF">
        <w:rPr>
          <w:rFonts w:ascii="Arial" w:hAnsi="Arial" w:cs="Arial"/>
          <w:color w:val="000000"/>
          <w:sz w:val="22"/>
          <w:lang w:val="es-ES_tradnl"/>
        </w:rPr>
        <w:t>, (</w:t>
      </w:r>
      <w:proofErr w:type="spellStart"/>
      <w:r w:rsidR="004D76C1" w:rsidRPr="00152CDF">
        <w:rPr>
          <w:rFonts w:ascii="Arial" w:hAnsi="Arial" w:cs="Arial"/>
          <w:color w:val="000000"/>
          <w:sz w:val="22"/>
          <w:lang w:val="es-ES_tradnl"/>
        </w:rPr>
        <w:t>ii</w:t>
      </w:r>
      <w:proofErr w:type="spellEnd"/>
      <w:r w:rsidR="004D76C1" w:rsidRPr="00152CDF">
        <w:rPr>
          <w:rFonts w:ascii="Arial" w:hAnsi="Arial" w:cs="Arial"/>
          <w:color w:val="000000"/>
          <w:sz w:val="22"/>
          <w:lang w:val="es-ES_tradnl"/>
        </w:rPr>
        <w:t>)</w:t>
      </w:r>
      <w:r w:rsidR="000030E9">
        <w:rPr>
          <w:rFonts w:ascii="Arial" w:hAnsi="Arial" w:cs="Arial"/>
          <w:color w:val="000000"/>
          <w:sz w:val="22"/>
          <w:lang w:val="es-ES_tradnl"/>
        </w:rPr>
        <w:t> </w:t>
      </w:r>
      <w:r w:rsidR="00D3691E" w:rsidRPr="00152CDF">
        <w:rPr>
          <w:rFonts w:ascii="Arial" w:hAnsi="Arial" w:cs="Arial"/>
          <w:color w:val="000000"/>
          <w:sz w:val="22"/>
          <w:lang w:val="es-ES_tradnl"/>
        </w:rPr>
        <w:t>porcentaje de estudiantes de 4º básico que se encuentran en el nivel insuficiente de logro en SIMCE en Matemática</w:t>
      </w:r>
      <w:r w:rsidR="00DD0A2B" w:rsidRPr="00152CDF">
        <w:rPr>
          <w:rFonts w:ascii="Arial" w:hAnsi="Arial" w:cs="Arial"/>
          <w:color w:val="000000"/>
          <w:sz w:val="22"/>
          <w:lang w:val="es-ES_tradnl"/>
        </w:rPr>
        <w:t>.</w:t>
      </w:r>
      <w:r w:rsidR="00771AC1">
        <w:rPr>
          <w:rFonts w:ascii="Arial" w:hAnsi="Arial" w:cs="Arial"/>
          <w:color w:val="000000"/>
          <w:sz w:val="22"/>
          <w:lang w:val="es-ES_tradnl"/>
        </w:rPr>
        <w:t xml:space="preserve"> </w:t>
      </w:r>
      <w:r w:rsidR="00771AC1" w:rsidRPr="00152CDF">
        <w:rPr>
          <w:rFonts w:ascii="Arial" w:hAnsi="Arial" w:cs="Arial"/>
          <w:color w:val="000000"/>
          <w:sz w:val="22"/>
          <w:lang w:val="es-ES_tradnl"/>
        </w:rPr>
        <w:t>(</w:t>
      </w:r>
      <w:proofErr w:type="spellStart"/>
      <w:r w:rsidR="00771AC1">
        <w:rPr>
          <w:rFonts w:ascii="Arial" w:hAnsi="Arial" w:cs="Arial"/>
          <w:color w:val="000000"/>
          <w:sz w:val="22"/>
          <w:lang w:val="es-ES_tradnl"/>
        </w:rPr>
        <w:t>iii</w:t>
      </w:r>
      <w:proofErr w:type="spellEnd"/>
      <w:r w:rsidR="00771AC1" w:rsidRPr="00152CDF">
        <w:rPr>
          <w:rFonts w:ascii="Arial" w:hAnsi="Arial" w:cs="Arial"/>
          <w:color w:val="000000"/>
          <w:sz w:val="22"/>
          <w:lang w:val="es-ES_tradnl"/>
        </w:rPr>
        <w:t xml:space="preserve">) porcentaje de estudiantes de </w:t>
      </w:r>
      <w:proofErr w:type="spellStart"/>
      <w:r w:rsidR="00771AC1">
        <w:rPr>
          <w:rFonts w:ascii="Arial" w:hAnsi="Arial" w:cs="Arial"/>
          <w:color w:val="000000"/>
          <w:sz w:val="22"/>
          <w:lang w:val="es-ES_tradnl"/>
        </w:rPr>
        <w:t>II</w:t>
      </w:r>
      <w:r w:rsidR="00771AC1" w:rsidRPr="00152CDF">
        <w:rPr>
          <w:rFonts w:ascii="Arial" w:hAnsi="Arial" w:cs="Arial"/>
          <w:color w:val="000000"/>
          <w:sz w:val="22"/>
          <w:lang w:val="es-ES_tradnl"/>
        </w:rPr>
        <w:t>º</w:t>
      </w:r>
      <w:proofErr w:type="spellEnd"/>
      <w:r w:rsidR="00771AC1" w:rsidRPr="00152CDF">
        <w:rPr>
          <w:rFonts w:ascii="Arial" w:hAnsi="Arial" w:cs="Arial"/>
          <w:color w:val="000000"/>
          <w:sz w:val="22"/>
          <w:lang w:val="es-ES_tradnl"/>
        </w:rPr>
        <w:t xml:space="preserve"> </w:t>
      </w:r>
      <w:r w:rsidR="00771AC1">
        <w:rPr>
          <w:rFonts w:ascii="Arial" w:hAnsi="Arial" w:cs="Arial"/>
          <w:color w:val="000000"/>
          <w:sz w:val="22"/>
          <w:lang w:val="es-ES_tradnl"/>
        </w:rPr>
        <w:t>medio</w:t>
      </w:r>
      <w:r w:rsidR="00771AC1" w:rsidRPr="00152CDF">
        <w:rPr>
          <w:rFonts w:ascii="Arial" w:hAnsi="Arial" w:cs="Arial"/>
          <w:color w:val="000000"/>
          <w:sz w:val="22"/>
          <w:lang w:val="es-ES_tradnl"/>
        </w:rPr>
        <w:t xml:space="preserve"> según categorías de logro en SIMCE en lenguaje, (</w:t>
      </w:r>
      <w:proofErr w:type="spellStart"/>
      <w:r w:rsidR="00771AC1" w:rsidRPr="00152CDF">
        <w:rPr>
          <w:rFonts w:ascii="Arial" w:hAnsi="Arial" w:cs="Arial"/>
          <w:color w:val="000000"/>
          <w:sz w:val="22"/>
          <w:lang w:val="es-ES_tradnl"/>
        </w:rPr>
        <w:t>i</w:t>
      </w:r>
      <w:r w:rsidR="00771AC1">
        <w:rPr>
          <w:rFonts w:ascii="Arial" w:hAnsi="Arial" w:cs="Arial"/>
          <w:color w:val="000000"/>
          <w:sz w:val="22"/>
          <w:lang w:val="es-ES_tradnl"/>
        </w:rPr>
        <w:t>v</w:t>
      </w:r>
      <w:proofErr w:type="spellEnd"/>
      <w:r w:rsidR="00771AC1" w:rsidRPr="00152CDF">
        <w:rPr>
          <w:rFonts w:ascii="Arial" w:hAnsi="Arial" w:cs="Arial"/>
          <w:color w:val="000000"/>
          <w:sz w:val="22"/>
          <w:lang w:val="es-ES_tradnl"/>
        </w:rPr>
        <w:t xml:space="preserve">) porcentaje de estudiantes de </w:t>
      </w:r>
      <w:proofErr w:type="spellStart"/>
      <w:r w:rsidR="00771AC1">
        <w:rPr>
          <w:rFonts w:ascii="Arial" w:hAnsi="Arial" w:cs="Arial"/>
          <w:color w:val="000000"/>
          <w:sz w:val="22"/>
          <w:lang w:val="es-ES_tradnl"/>
        </w:rPr>
        <w:t>II</w:t>
      </w:r>
      <w:r w:rsidR="00771AC1" w:rsidRPr="00152CDF">
        <w:rPr>
          <w:rFonts w:ascii="Arial" w:hAnsi="Arial" w:cs="Arial"/>
          <w:color w:val="000000"/>
          <w:sz w:val="22"/>
          <w:lang w:val="es-ES_tradnl"/>
        </w:rPr>
        <w:t>º</w:t>
      </w:r>
      <w:proofErr w:type="spellEnd"/>
      <w:r w:rsidR="00771AC1" w:rsidRPr="00152CDF">
        <w:rPr>
          <w:rFonts w:ascii="Arial" w:hAnsi="Arial" w:cs="Arial"/>
          <w:color w:val="000000"/>
          <w:sz w:val="22"/>
          <w:lang w:val="es-ES_tradnl"/>
        </w:rPr>
        <w:t xml:space="preserve"> </w:t>
      </w:r>
      <w:r w:rsidR="00771AC1">
        <w:rPr>
          <w:rFonts w:ascii="Arial" w:hAnsi="Arial" w:cs="Arial"/>
          <w:color w:val="000000"/>
          <w:sz w:val="22"/>
          <w:lang w:val="es-ES_tradnl"/>
        </w:rPr>
        <w:t>medio</w:t>
      </w:r>
      <w:r w:rsidR="00771AC1" w:rsidRPr="00152CDF">
        <w:rPr>
          <w:rFonts w:ascii="Arial" w:hAnsi="Arial" w:cs="Arial"/>
          <w:color w:val="000000"/>
          <w:sz w:val="22"/>
          <w:lang w:val="es-ES_tradnl"/>
        </w:rPr>
        <w:t xml:space="preserve"> que se encuentran en el nivel insuficiente de logro en SIMCE en Matemática.</w:t>
      </w:r>
      <w:r w:rsidR="00D3691E" w:rsidRPr="00152CDF">
        <w:rPr>
          <w:rFonts w:ascii="Arial" w:hAnsi="Arial" w:cs="Arial"/>
          <w:color w:val="000000"/>
          <w:sz w:val="22"/>
          <w:lang w:val="es-ES_tradnl"/>
        </w:rPr>
        <w:t xml:space="preserve"> </w:t>
      </w:r>
    </w:p>
    <w:p w14:paraId="368BEB27" w14:textId="3B6E75C4" w:rsidR="00317E26" w:rsidRPr="00152CDF" w:rsidRDefault="009A7A29" w:rsidP="007C0623">
      <w:pPr>
        <w:pStyle w:val="Paragraph"/>
        <w:tabs>
          <w:tab w:val="clear" w:pos="720"/>
          <w:tab w:val="left" w:pos="0"/>
        </w:tabs>
        <w:ind w:left="0" w:firstLine="0"/>
        <w:rPr>
          <w:rFonts w:ascii="Arial" w:hAnsi="Arial" w:cs="Arial"/>
          <w:color w:val="000000"/>
          <w:sz w:val="22"/>
          <w:lang w:val="es-ES_tradnl"/>
        </w:rPr>
      </w:pPr>
      <w:r w:rsidRPr="00152CDF">
        <w:rPr>
          <w:rFonts w:ascii="Arial" w:hAnsi="Arial" w:cs="Arial"/>
          <w:color w:val="000000"/>
          <w:sz w:val="22"/>
          <w:lang w:val="es-ES_tradnl"/>
        </w:rPr>
        <w:t xml:space="preserve">Se analizará el efecto de la nueva institucionalidad en estas variables </w:t>
      </w:r>
      <w:r w:rsidR="006878C9" w:rsidRPr="00152CDF">
        <w:rPr>
          <w:rFonts w:ascii="Arial" w:hAnsi="Arial" w:cs="Arial"/>
          <w:color w:val="000000"/>
          <w:sz w:val="22"/>
          <w:lang w:val="es-ES_tradnl"/>
        </w:rPr>
        <w:t xml:space="preserve">aplicando un modelo </w:t>
      </w:r>
      <w:r w:rsidR="00DD0A2B" w:rsidRPr="00152CDF">
        <w:rPr>
          <w:rFonts w:ascii="Arial" w:hAnsi="Arial" w:cs="Arial"/>
          <w:color w:val="000000"/>
          <w:sz w:val="22"/>
          <w:lang w:val="es-ES_tradnl"/>
        </w:rPr>
        <w:t xml:space="preserve">de efectos fijos </w:t>
      </w:r>
      <w:r w:rsidR="006522DD" w:rsidRPr="00152CDF">
        <w:rPr>
          <w:rFonts w:ascii="Arial" w:hAnsi="Arial" w:cs="Arial"/>
          <w:color w:val="000000"/>
          <w:sz w:val="22"/>
          <w:lang w:val="es-ES_tradnl"/>
        </w:rPr>
        <w:t xml:space="preserve">a nivel de </w:t>
      </w:r>
      <w:r w:rsidR="00FC562E" w:rsidRPr="00152CDF">
        <w:rPr>
          <w:rFonts w:ascii="Arial" w:hAnsi="Arial" w:cs="Arial"/>
          <w:color w:val="000000"/>
          <w:sz w:val="22"/>
          <w:lang w:val="es-ES_tradnl"/>
        </w:rPr>
        <w:t>territorio</w:t>
      </w:r>
      <w:r w:rsidR="00942250" w:rsidRPr="00152CDF">
        <w:rPr>
          <w:rFonts w:ascii="Arial" w:hAnsi="Arial" w:cs="Arial"/>
          <w:color w:val="000000"/>
          <w:sz w:val="22"/>
          <w:lang w:val="es-ES_tradnl"/>
        </w:rPr>
        <w:t>, para</w:t>
      </w:r>
      <w:r w:rsidR="00290A10" w:rsidRPr="00152CDF">
        <w:rPr>
          <w:rFonts w:ascii="Arial" w:hAnsi="Arial" w:cs="Arial"/>
          <w:color w:val="000000"/>
          <w:sz w:val="22"/>
          <w:lang w:val="es-ES_tradnl"/>
        </w:rPr>
        <w:t xml:space="preserve"> considerar en el análisis (y en el cálculo de los correspondientes errores estándar) el hecho de que las escuelas están anidadas en territorios</w:t>
      </w:r>
      <w:r w:rsidR="00D52B69" w:rsidRPr="00152CDF">
        <w:rPr>
          <w:rFonts w:ascii="Arial" w:hAnsi="Arial" w:cs="Arial"/>
          <w:color w:val="000000"/>
          <w:sz w:val="22"/>
          <w:lang w:val="es-ES_tradnl"/>
        </w:rPr>
        <w:t xml:space="preserve">. </w:t>
      </w:r>
      <w:r w:rsidR="00317E26" w:rsidRPr="00152CDF">
        <w:rPr>
          <w:rFonts w:ascii="Arial" w:hAnsi="Arial" w:cs="Arial"/>
          <w:color w:val="000000"/>
          <w:sz w:val="22"/>
          <w:lang w:val="es-ES_tradnl"/>
        </w:rPr>
        <w:t>La estrategia de estimación será la de diferencias-en-diferencias, en la que se comparan los resultados antes (20</w:t>
      </w:r>
      <w:r w:rsidR="007F51A6">
        <w:rPr>
          <w:rFonts w:ascii="Arial" w:hAnsi="Arial" w:cs="Arial"/>
          <w:color w:val="000000"/>
          <w:sz w:val="22"/>
          <w:lang w:val="es-ES_tradnl"/>
        </w:rPr>
        <w:t>14</w:t>
      </w:r>
      <w:r w:rsidR="00317E26" w:rsidRPr="00152CDF">
        <w:rPr>
          <w:rFonts w:ascii="Arial" w:hAnsi="Arial" w:cs="Arial"/>
          <w:color w:val="000000"/>
          <w:sz w:val="22"/>
          <w:lang w:val="es-ES_tradnl"/>
        </w:rPr>
        <w:t>-201</w:t>
      </w:r>
      <w:r w:rsidR="007F51A6">
        <w:rPr>
          <w:rFonts w:ascii="Arial" w:hAnsi="Arial" w:cs="Arial"/>
          <w:color w:val="000000"/>
          <w:sz w:val="22"/>
          <w:lang w:val="es-ES_tradnl"/>
        </w:rPr>
        <w:t>7</w:t>
      </w:r>
      <w:r w:rsidR="00317E26" w:rsidRPr="00152CDF">
        <w:rPr>
          <w:rFonts w:ascii="Arial" w:hAnsi="Arial" w:cs="Arial"/>
          <w:color w:val="000000"/>
          <w:sz w:val="22"/>
          <w:lang w:val="es-ES_tradnl"/>
        </w:rPr>
        <w:t>) versus después (</w:t>
      </w:r>
      <w:r w:rsidR="001E5D5C" w:rsidRPr="00152CDF">
        <w:rPr>
          <w:rFonts w:ascii="Arial" w:hAnsi="Arial" w:cs="Arial"/>
          <w:color w:val="000000"/>
          <w:sz w:val="22"/>
          <w:lang w:val="es-ES_tradnl"/>
        </w:rPr>
        <w:t>2018</w:t>
      </w:r>
      <w:r w:rsidR="00317E26" w:rsidRPr="00152CDF">
        <w:rPr>
          <w:rFonts w:ascii="Arial" w:hAnsi="Arial" w:cs="Arial"/>
          <w:color w:val="000000"/>
          <w:sz w:val="22"/>
          <w:lang w:val="es-ES_tradnl"/>
        </w:rPr>
        <w:t>-</w:t>
      </w:r>
      <w:r w:rsidR="003C75BB" w:rsidRPr="00152CDF">
        <w:rPr>
          <w:rFonts w:ascii="Arial" w:hAnsi="Arial" w:cs="Arial"/>
          <w:color w:val="000000"/>
          <w:sz w:val="22"/>
          <w:lang w:val="es-ES_tradnl"/>
        </w:rPr>
        <w:t>202</w:t>
      </w:r>
      <w:r w:rsidR="00433F9D">
        <w:rPr>
          <w:rFonts w:ascii="Arial" w:hAnsi="Arial" w:cs="Arial"/>
          <w:color w:val="000000"/>
          <w:sz w:val="22"/>
          <w:lang w:val="es-ES_tradnl"/>
        </w:rPr>
        <w:t>1</w:t>
      </w:r>
      <w:r w:rsidR="00317E26" w:rsidRPr="00152CDF">
        <w:rPr>
          <w:rFonts w:ascii="Arial" w:hAnsi="Arial" w:cs="Arial"/>
          <w:color w:val="000000"/>
          <w:sz w:val="22"/>
          <w:lang w:val="es-ES_tradnl"/>
        </w:rPr>
        <w:t>)</w:t>
      </w:r>
      <w:r w:rsidR="003C75BB" w:rsidRPr="00152CDF">
        <w:rPr>
          <w:rFonts w:ascii="Arial" w:hAnsi="Arial" w:cs="Arial"/>
          <w:color w:val="000000"/>
          <w:sz w:val="22"/>
          <w:lang w:val="es-ES_tradnl"/>
        </w:rPr>
        <w:t xml:space="preserve"> para el primer grupo</w:t>
      </w:r>
      <w:r w:rsidR="00E9092F">
        <w:rPr>
          <w:rFonts w:ascii="Arial" w:hAnsi="Arial" w:cs="Arial"/>
          <w:color w:val="000000"/>
          <w:sz w:val="22"/>
          <w:lang w:val="es-ES_tradnl"/>
        </w:rPr>
        <w:t xml:space="preserve"> de </w:t>
      </w:r>
      <w:proofErr w:type="spellStart"/>
      <w:r w:rsidR="00E9092F">
        <w:rPr>
          <w:rFonts w:ascii="Arial" w:hAnsi="Arial" w:cs="Arial"/>
          <w:color w:val="000000"/>
          <w:sz w:val="22"/>
          <w:lang w:val="es-ES_tradnl"/>
        </w:rPr>
        <w:t>SLEPs</w:t>
      </w:r>
      <w:proofErr w:type="spellEnd"/>
      <w:r w:rsidR="00317E26" w:rsidRPr="00152CDF">
        <w:rPr>
          <w:rFonts w:ascii="Arial" w:hAnsi="Arial" w:cs="Arial"/>
          <w:color w:val="000000"/>
          <w:sz w:val="22"/>
          <w:lang w:val="es-ES_tradnl"/>
        </w:rPr>
        <w:t xml:space="preserve">. </w:t>
      </w:r>
      <w:r w:rsidR="00DD0A2B" w:rsidRPr="00152CDF">
        <w:rPr>
          <w:rFonts w:ascii="Arial" w:hAnsi="Arial" w:cs="Arial"/>
          <w:color w:val="000000"/>
          <w:sz w:val="22"/>
          <w:lang w:val="es-ES_tradnl"/>
        </w:rPr>
        <w:t xml:space="preserve">Una ventaja para utilizar este diseño es que </w:t>
      </w:r>
      <w:r w:rsidR="002410C9" w:rsidRPr="00152CDF">
        <w:rPr>
          <w:rFonts w:ascii="Arial" w:hAnsi="Arial" w:cs="Arial"/>
          <w:color w:val="000000"/>
          <w:sz w:val="22"/>
          <w:lang w:val="es-ES_tradnl"/>
        </w:rPr>
        <w:t>se cuenta con la información</w:t>
      </w:r>
      <w:r w:rsidR="00362ACC">
        <w:rPr>
          <w:rFonts w:ascii="Arial" w:hAnsi="Arial" w:cs="Arial"/>
          <w:color w:val="000000"/>
          <w:sz w:val="22"/>
          <w:lang w:val="es-ES_tradnl"/>
        </w:rPr>
        <w:t xml:space="preserve"> comparable</w:t>
      </w:r>
      <w:r w:rsidR="002410C9" w:rsidRPr="00152CDF">
        <w:rPr>
          <w:rFonts w:ascii="Arial" w:hAnsi="Arial" w:cs="Arial"/>
          <w:color w:val="000000"/>
          <w:sz w:val="22"/>
          <w:lang w:val="es-ES_tradnl"/>
        </w:rPr>
        <w:t xml:space="preserve"> de tendencias </w:t>
      </w:r>
      <w:r w:rsidR="00DD0A2B" w:rsidRPr="00152CDF">
        <w:rPr>
          <w:rFonts w:ascii="Arial" w:hAnsi="Arial" w:cs="Arial"/>
          <w:color w:val="000000"/>
          <w:sz w:val="22"/>
          <w:lang w:val="es-ES_tradnl"/>
        </w:rPr>
        <w:t>previos al</w:t>
      </w:r>
      <w:r w:rsidR="002410C9" w:rsidRPr="00152CDF">
        <w:rPr>
          <w:rFonts w:ascii="Arial" w:hAnsi="Arial" w:cs="Arial"/>
          <w:color w:val="000000"/>
          <w:sz w:val="22"/>
          <w:lang w:val="es-ES_tradnl"/>
        </w:rPr>
        <w:t xml:space="preserve"> 201</w:t>
      </w:r>
      <w:r w:rsidR="00E9092F">
        <w:rPr>
          <w:rFonts w:ascii="Arial" w:hAnsi="Arial" w:cs="Arial"/>
          <w:color w:val="000000"/>
          <w:sz w:val="22"/>
          <w:lang w:val="es-ES_tradnl"/>
        </w:rPr>
        <w:t xml:space="preserve">8 </w:t>
      </w:r>
      <w:r w:rsidR="002410C9" w:rsidRPr="00152CDF">
        <w:rPr>
          <w:rFonts w:ascii="Arial" w:hAnsi="Arial" w:cs="Arial"/>
          <w:color w:val="000000"/>
          <w:sz w:val="22"/>
          <w:lang w:val="es-ES_tradnl"/>
        </w:rPr>
        <w:t>ya que es información que recolecta anualmente la Agencia de Calidad de la Educación y el MINEDUC.</w:t>
      </w:r>
    </w:p>
    <w:p w14:paraId="30C90193" w14:textId="1D214F49" w:rsidR="00AC3AB3" w:rsidRPr="00152CDF" w:rsidRDefault="009340A5" w:rsidP="00AC3AB3">
      <w:pPr>
        <w:pStyle w:val="Paragraph"/>
        <w:tabs>
          <w:tab w:val="clear" w:pos="720"/>
          <w:tab w:val="left" w:pos="0"/>
        </w:tabs>
        <w:ind w:left="0" w:firstLine="0"/>
        <w:rPr>
          <w:rFonts w:ascii="Arial" w:hAnsi="Arial" w:cs="Arial"/>
          <w:color w:val="000000"/>
          <w:sz w:val="22"/>
          <w:lang w:val="es-ES_tradnl"/>
        </w:rPr>
      </w:pPr>
      <w:r>
        <w:rPr>
          <w:rFonts w:ascii="Arial" w:hAnsi="Arial" w:cs="Arial"/>
          <w:color w:val="000000"/>
          <w:sz w:val="22"/>
          <w:lang w:val="es-ES_tradnl"/>
        </w:rPr>
        <w:t xml:space="preserve">A </w:t>
      </w:r>
      <w:r w:rsidR="00FB6862">
        <w:rPr>
          <w:rFonts w:ascii="Arial" w:hAnsi="Arial" w:cs="Arial"/>
          <w:color w:val="000000"/>
          <w:sz w:val="22"/>
          <w:lang w:val="es-ES_tradnl"/>
        </w:rPr>
        <w:t>continuación,</w:t>
      </w:r>
      <w:r>
        <w:rPr>
          <w:rFonts w:ascii="Arial" w:hAnsi="Arial" w:cs="Arial"/>
          <w:color w:val="000000"/>
          <w:sz w:val="22"/>
          <w:lang w:val="es-ES_tradnl"/>
        </w:rPr>
        <w:t xml:space="preserve"> se </w:t>
      </w:r>
      <w:r w:rsidR="006A396C">
        <w:rPr>
          <w:rFonts w:ascii="Arial" w:hAnsi="Arial" w:cs="Arial"/>
          <w:color w:val="000000"/>
          <w:sz w:val="22"/>
          <w:lang w:val="es-ES_tradnl"/>
        </w:rPr>
        <w:t>describe l</w:t>
      </w:r>
      <w:r w:rsidR="00AC3AB3" w:rsidRPr="00152CDF">
        <w:rPr>
          <w:rFonts w:ascii="Arial" w:hAnsi="Arial" w:cs="Arial"/>
          <w:color w:val="000000"/>
          <w:sz w:val="22"/>
          <w:lang w:val="es-ES_tradnl"/>
        </w:rPr>
        <w:t>a especificación general del modelo:</w:t>
      </w:r>
      <w:r w:rsidR="00AC3AB3" w:rsidRPr="00152CDF">
        <w:rPr>
          <w:rFonts w:ascii="Arial" w:hAnsi="Arial" w:cs="Arial"/>
          <w:sz w:val="22"/>
          <w:lang w:val="es-ES_tradnl"/>
        </w:rPr>
        <w:tab/>
      </w:r>
    </w:p>
    <w:p w14:paraId="2A4E260B" w14:textId="716B076C" w:rsidR="00AC3AB3" w:rsidRPr="00152CDF" w:rsidRDefault="00571313" w:rsidP="00AC3AB3">
      <w:pPr>
        <w:pStyle w:val="Paragraph"/>
        <w:tabs>
          <w:tab w:val="clear" w:pos="720"/>
        </w:tabs>
        <w:jc w:val="center"/>
        <w:rPr>
          <w:rFonts w:ascii="Arial" w:hAnsi="Arial" w:cs="Arial"/>
          <w:sz w:val="22"/>
          <w:lang w:val="es-ES_tradnl"/>
        </w:rPr>
      </w:pPr>
      <m:oMath>
        <m:d>
          <m:dPr>
            <m:ctrlPr>
              <w:rPr>
                <w:rFonts w:ascii="Cambria Math" w:hAnsi="Cambria Math" w:cs="Arial"/>
                <w:i/>
                <w:sz w:val="22"/>
                <w:lang w:val="es-ES_tradnl"/>
              </w:rPr>
            </m:ctrlPr>
          </m:dPr>
          <m:e>
            <m:r>
              <w:rPr>
                <w:rFonts w:ascii="Cambria Math" w:hAnsi="Cambria Math" w:cs="Arial"/>
                <w:sz w:val="22"/>
                <w:lang w:val="es-ES_tradnl"/>
              </w:rPr>
              <m:t>1</m:t>
            </m:r>
          </m:e>
        </m:d>
        <m:r>
          <w:rPr>
            <w:rFonts w:ascii="Cambria Math" w:hAnsi="Cambria Math" w:cs="Arial"/>
            <w:sz w:val="22"/>
            <w:lang w:val="es-ES_tradnl"/>
          </w:rPr>
          <m:t xml:space="preserve"> </m:t>
        </m:r>
        <m:sSub>
          <m:sSubPr>
            <m:ctrlPr>
              <w:rPr>
                <w:rFonts w:ascii="Cambria Math" w:hAnsi="Cambria Math" w:cs="Arial"/>
                <w:i/>
                <w:sz w:val="22"/>
                <w:lang w:val="es-ES_tradnl"/>
              </w:rPr>
            </m:ctrlPr>
          </m:sSubPr>
          <m:e>
            <m:r>
              <w:rPr>
                <w:rFonts w:ascii="Cambria Math" w:hAnsi="Cambria Math" w:cs="Arial"/>
                <w:sz w:val="22"/>
                <w:lang w:val="es-ES_tradnl"/>
              </w:rPr>
              <m:t>Y</m:t>
            </m:r>
          </m:e>
          <m:sub>
            <m:r>
              <w:rPr>
                <w:rFonts w:ascii="Cambria Math" w:hAnsi="Cambria Math" w:cs="Arial"/>
                <w:sz w:val="22"/>
                <w:lang w:val="es-ES_tradnl"/>
              </w:rPr>
              <m:t>jkt</m:t>
            </m:r>
          </m:sub>
        </m:sSub>
        <m:r>
          <w:rPr>
            <w:rFonts w:ascii="Cambria Math" w:hAnsi="Cambria Math" w:cs="Arial"/>
            <w:sz w:val="22"/>
            <w:lang w:val="es-ES_tradnl"/>
          </w:rPr>
          <m:t>=α+</m:t>
        </m:r>
        <m:sSub>
          <m:sSubPr>
            <m:ctrlPr>
              <w:rPr>
                <w:rFonts w:ascii="Cambria Math" w:hAnsi="Cambria Math" w:cs="Arial"/>
                <w:i/>
                <w:sz w:val="22"/>
                <w:lang w:val="es-ES_tradnl"/>
              </w:rPr>
            </m:ctrlPr>
          </m:sSubPr>
          <m:e>
            <m:r>
              <w:rPr>
                <w:rFonts w:ascii="Cambria Math" w:hAnsi="Cambria Math" w:cs="Arial"/>
                <w:sz w:val="22"/>
                <w:lang w:val="es-ES_tradnl"/>
              </w:rPr>
              <m:t>β</m:t>
            </m:r>
          </m:e>
          <m:sub>
            <m:r>
              <w:rPr>
                <w:rFonts w:ascii="Cambria Math" w:hAnsi="Cambria Math" w:cs="Arial"/>
                <w:sz w:val="22"/>
                <w:lang w:val="es-ES_tradnl"/>
              </w:rPr>
              <m:t>1</m:t>
            </m:r>
          </m:sub>
        </m:sSub>
        <m:sSub>
          <m:sSubPr>
            <m:ctrlPr>
              <w:rPr>
                <w:rFonts w:ascii="Cambria Math" w:hAnsi="Cambria Math" w:cs="Arial"/>
                <w:i/>
                <w:sz w:val="22"/>
                <w:lang w:val="es-ES_tradnl"/>
              </w:rPr>
            </m:ctrlPr>
          </m:sSubPr>
          <m:e>
            <m:r>
              <w:rPr>
                <w:rFonts w:ascii="Cambria Math" w:hAnsi="Cambria Math" w:cs="Arial"/>
                <w:sz w:val="22"/>
                <w:lang w:val="es-ES_tradnl"/>
              </w:rPr>
              <m:t>T</m:t>
            </m:r>
          </m:e>
          <m:sub>
            <m:r>
              <w:rPr>
                <w:rFonts w:ascii="Cambria Math" w:hAnsi="Cambria Math" w:cs="Arial"/>
                <w:sz w:val="22"/>
                <w:lang w:val="es-ES_tradnl"/>
              </w:rPr>
              <m:t>jk</m:t>
            </m:r>
          </m:sub>
        </m:sSub>
        <m:r>
          <w:rPr>
            <w:rFonts w:ascii="Cambria Math" w:hAnsi="Cambria Math" w:cs="Arial"/>
            <w:sz w:val="22"/>
            <w:lang w:val="es-ES_tradnl"/>
          </w:rPr>
          <m:t>+</m:t>
        </m:r>
        <m:sSub>
          <m:sSubPr>
            <m:ctrlPr>
              <w:rPr>
                <w:rFonts w:ascii="Cambria Math" w:hAnsi="Cambria Math" w:cs="Arial"/>
                <w:i/>
                <w:sz w:val="22"/>
                <w:lang w:val="es-ES_tradnl"/>
              </w:rPr>
            </m:ctrlPr>
          </m:sSubPr>
          <m:e>
            <m:r>
              <w:rPr>
                <w:rFonts w:ascii="Cambria Math" w:hAnsi="Cambria Math" w:cs="Arial"/>
                <w:sz w:val="22"/>
                <w:lang w:val="es-ES_tradnl"/>
              </w:rPr>
              <m:t>β</m:t>
            </m:r>
          </m:e>
          <m:sub>
            <m:r>
              <w:rPr>
                <w:rFonts w:ascii="Cambria Math" w:hAnsi="Cambria Math" w:cs="Arial"/>
                <w:sz w:val="22"/>
                <w:lang w:val="es-ES_tradnl"/>
              </w:rPr>
              <m:t>2</m:t>
            </m:r>
          </m:sub>
        </m:sSub>
        <m:sSub>
          <m:sSubPr>
            <m:ctrlPr>
              <w:rPr>
                <w:rFonts w:ascii="Cambria Math" w:hAnsi="Cambria Math" w:cs="Arial"/>
                <w:i/>
                <w:sz w:val="22"/>
                <w:lang w:val="es-ES_tradnl"/>
              </w:rPr>
            </m:ctrlPr>
          </m:sSubPr>
          <m:e>
            <m:r>
              <w:rPr>
                <w:rFonts w:ascii="Cambria Math" w:hAnsi="Cambria Math" w:cs="Arial"/>
                <w:sz w:val="22"/>
                <w:lang w:val="es-ES_tradnl"/>
              </w:rPr>
              <m:t>A</m:t>
            </m:r>
          </m:e>
          <m:sub>
            <m:r>
              <w:rPr>
                <w:rFonts w:ascii="Cambria Math" w:hAnsi="Cambria Math" w:cs="Arial"/>
                <w:sz w:val="22"/>
                <w:lang w:val="es-ES_tradnl"/>
              </w:rPr>
              <m:t>t</m:t>
            </m:r>
          </m:sub>
        </m:sSub>
        <m:r>
          <w:rPr>
            <w:rFonts w:ascii="Cambria Math" w:hAnsi="Cambria Math" w:cs="Arial"/>
            <w:sz w:val="22"/>
            <w:lang w:val="es-ES_tradnl"/>
          </w:rPr>
          <m:t>+</m:t>
        </m:r>
        <m:sSub>
          <m:sSubPr>
            <m:ctrlPr>
              <w:rPr>
                <w:rFonts w:ascii="Cambria Math" w:hAnsi="Cambria Math" w:cs="Arial"/>
                <w:i/>
                <w:sz w:val="22"/>
                <w:lang w:val="es-ES_tradnl"/>
              </w:rPr>
            </m:ctrlPr>
          </m:sSubPr>
          <m:e>
            <m:r>
              <w:rPr>
                <w:rFonts w:ascii="Cambria Math" w:hAnsi="Cambria Math" w:cs="Arial"/>
                <w:sz w:val="22"/>
                <w:lang w:val="es-ES_tradnl"/>
              </w:rPr>
              <m:t>β</m:t>
            </m:r>
          </m:e>
          <m:sub>
            <m:r>
              <w:rPr>
                <w:rFonts w:ascii="Cambria Math" w:hAnsi="Cambria Math" w:cs="Arial"/>
                <w:sz w:val="22"/>
                <w:lang w:val="es-ES_tradnl"/>
              </w:rPr>
              <m:t>3</m:t>
            </m:r>
          </m:sub>
        </m:sSub>
        <m:sSub>
          <m:sSubPr>
            <m:ctrlPr>
              <w:rPr>
                <w:rFonts w:ascii="Cambria Math" w:hAnsi="Cambria Math" w:cs="Arial"/>
                <w:i/>
                <w:sz w:val="22"/>
                <w:lang w:val="es-ES_tradnl"/>
              </w:rPr>
            </m:ctrlPr>
          </m:sSubPr>
          <m:e>
            <m:r>
              <w:rPr>
                <w:rFonts w:ascii="Cambria Math" w:hAnsi="Cambria Math" w:cs="Arial"/>
                <w:sz w:val="22"/>
                <w:lang w:val="es-ES_tradnl"/>
              </w:rPr>
              <m:t>A</m:t>
            </m:r>
          </m:e>
          <m:sub>
            <m:r>
              <w:rPr>
                <w:rFonts w:ascii="Cambria Math" w:hAnsi="Cambria Math" w:cs="Arial"/>
                <w:sz w:val="22"/>
                <w:lang w:val="es-ES_tradnl"/>
              </w:rPr>
              <m:t>t</m:t>
            </m:r>
          </m:sub>
        </m:sSub>
        <m:sSub>
          <m:sSubPr>
            <m:ctrlPr>
              <w:rPr>
                <w:rFonts w:ascii="Cambria Math" w:hAnsi="Cambria Math" w:cs="Arial"/>
                <w:i/>
                <w:sz w:val="22"/>
                <w:lang w:val="es-ES_tradnl"/>
              </w:rPr>
            </m:ctrlPr>
          </m:sSubPr>
          <m:e>
            <m:r>
              <w:rPr>
                <w:rFonts w:ascii="Cambria Math" w:hAnsi="Cambria Math" w:cs="Arial"/>
                <w:sz w:val="22"/>
                <w:lang w:val="es-ES_tradnl"/>
              </w:rPr>
              <m:t>T</m:t>
            </m:r>
          </m:e>
          <m:sub>
            <m:r>
              <w:rPr>
                <w:rFonts w:ascii="Cambria Math" w:hAnsi="Cambria Math" w:cs="Arial"/>
                <w:sz w:val="22"/>
                <w:lang w:val="es-ES_tradnl"/>
              </w:rPr>
              <m:t>jk</m:t>
            </m:r>
          </m:sub>
        </m:sSub>
        <m:r>
          <w:rPr>
            <w:rFonts w:ascii="Cambria Math" w:hAnsi="Cambria Math" w:cs="Arial"/>
            <w:sz w:val="22"/>
            <w:lang w:val="es-ES_tradnl"/>
          </w:rPr>
          <m:t>+</m:t>
        </m:r>
        <m:sSub>
          <m:sSubPr>
            <m:ctrlPr>
              <w:rPr>
                <w:rFonts w:ascii="Cambria Math" w:hAnsi="Cambria Math" w:cs="Arial"/>
                <w:i/>
                <w:sz w:val="22"/>
                <w:lang w:val="es-ES_tradnl"/>
              </w:rPr>
            </m:ctrlPr>
          </m:sSubPr>
          <m:e>
            <m:r>
              <w:rPr>
                <w:rFonts w:ascii="Cambria Math" w:hAnsi="Cambria Math" w:cs="Arial"/>
                <w:sz w:val="22"/>
                <w:lang w:val="es-ES_tradnl"/>
              </w:rPr>
              <m:t>β</m:t>
            </m:r>
          </m:e>
          <m:sub>
            <m:r>
              <w:rPr>
                <w:rFonts w:ascii="Cambria Math" w:hAnsi="Cambria Math" w:cs="Arial"/>
                <w:sz w:val="22"/>
                <w:lang w:val="es-ES_tradnl"/>
              </w:rPr>
              <m:t>4</m:t>
            </m:r>
          </m:sub>
        </m:sSub>
        <m:sSub>
          <m:sSubPr>
            <m:ctrlPr>
              <w:rPr>
                <w:rFonts w:ascii="Cambria Math" w:hAnsi="Cambria Math" w:cs="Arial"/>
                <w:i/>
                <w:sz w:val="22"/>
                <w:lang w:val="es-ES_tradnl"/>
              </w:rPr>
            </m:ctrlPr>
          </m:sSubPr>
          <m:e>
            <m:r>
              <w:rPr>
                <w:rFonts w:ascii="Cambria Math" w:hAnsi="Cambria Math" w:cs="Arial"/>
                <w:sz w:val="22"/>
                <w:lang w:val="es-ES_tradnl"/>
              </w:rPr>
              <m:t>N</m:t>
            </m:r>
          </m:e>
          <m:sub>
            <m:r>
              <w:rPr>
                <w:rFonts w:ascii="Cambria Math" w:hAnsi="Cambria Math" w:cs="Arial"/>
                <w:sz w:val="22"/>
                <w:lang w:val="es-ES_tradnl"/>
              </w:rPr>
              <m:t>t</m:t>
            </m:r>
          </m:sub>
        </m:sSub>
        <m:r>
          <w:rPr>
            <w:rFonts w:ascii="Cambria Math" w:hAnsi="Cambria Math" w:cs="Arial"/>
            <w:sz w:val="22"/>
            <w:lang w:val="es-ES_tradnl"/>
          </w:rPr>
          <m:t>+</m:t>
        </m:r>
        <m:sSub>
          <m:sSubPr>
            <m:ctrlPr>
              <w:rPr>
                <w:rFonts w:ascii="Cambria Math" w:hAnsi="Cambria Math" w:cs="Arial"/>
                <w:i/>
                <w:sz w:val="22"/>
                <w:lang w:val="es-ES_tradnl"/>
              </w:rPr>
            </m:ctrlPr>
          </m:sSubPr>
          <m:e>
            <m:r>
              <w:rPr>
                <w:rFonts w:ascii="Cambria Math" w:hAnsi="Cambria Math" w:cs="Arial"/>
                <w:sz w:val="22"/>
                <w:lang w:val="es-ES_tradnl"/>
              </w:rPr>
              <m:t>β</m:t>
            </m:r>
          </m:e>
          <m:sub>
            <m:r>
              <w:rPr>
                <w:rFonts w:ascii="Cambria Math" w:hAnsi="Cambria Math" w:cs="Arial"/>
                <w:sz w:val="22"/>
                <w:lang w:val="es-ES_tradnl"/>
              </w:rPr>
              <m:t>5</m:t>
            </m:r>
          </m:sub>
        </m:sSub>
        <m:sSub>
          <m:sSubPr>
            <m:ctrlPr>
              <w:rPr>
                <w:rFonts w:ascii="Cambria Math" w:hAnsi="Cambria Math" w:cs="Arial"/>
                <w:i/>
                <w:sz w:val="22"/>
                <w:lang w:val="es-ES_tradnl"/>
              </w:rPr>
            </m:ctrlPr>
          </m:sSubPr>
          <m:e>
            <m:r>
              <w:rPr>
                <w:rFonts w:ascii="Cambria Math" w:hAnsi="Cambria Math" w:cs="Arial"/>
                <w:sz w:val="22"/>
                <w:lang w:val="es-ES_tradnl"/>
              </w:rPr>
              <m:t>X</m:t>
            </m:r>
          </m:e>
          <m:sub>
            <m:r>
              <w:rPr>
                <w:rFonts w:ascii="Cambria Math" w:hAnsi="Cambria Math" w:cs="Arial"/>
                <w:sz w:val="22"/>
                <w:lang w:val="es-ES_tradnl"/>
              </w:rPr>
              <m:t>jkt</m:t>
            </m:r>
          </m:sub>
        </m:sSub>
        <m:r>
          <w:rPr>
            <w:rFonts w:ascii="Cambria Math" w:hAnsi="Cambria Math" w:cs="Arial"/>
            <w:sz w:val="22"/>
            <w:lang w:val="es-ES_tradnl"/>
          </w:rPr>
          <m:t>+</m:t>
        </m:r>
        <m:sSub>
          <m:sSubPr>
            <m:ctrlPr>
              <w:rPr>
                <w:rFonts w:ascii="Cambria Math" w:hAnsi="Cambria Math" w:cs="Arial"/>
                <w:i/>
                <w:sz w:val="22"/>
                <w:lang w:val="es-ES_tradnl"/>
              </w:rPr>
            </m:ctrlPr>
          </m:sSubPr>
          <m:e>
            <m:r>
              <w:rPr>
                <w:rFonts w:ascii="Cambria Math" w:hAnsi="Cambria Math" w:cs="Arial"/>
                <w:sz w:val="22"/>
                <w:lang w:val="es-ES_tradnl"/>
              </w:rPr>
              <m:t>β</m:t>
            </m:r>
          </m:e>
          <m:sub>
            <m:r>
              <w:rPr>
                <w:rFonts w:ascii="Cambria Math" w:hAnsi="Cambria Math" w:cs="Arial"/>
                <w:sz w:val="22"/>
                <w:lang w:val="es-ES_tradnl"/>
              </w:rPr>
              <m:t>6</m:t>
            </m:r>
          </m:sub>
        </m:sSub>
        <m:sSub>
          <m:sSubPr>
            <m:ctrlPr>
              <w:rPr>
                <w:rFonts w:ascii="Cambria Math" w:hAnsi="Cambria Math" w:cs="Arial"/>
                <w:i/>
                <w:sz w:val="22"/>
                <w:lang w:val="es-ES_tradnl"/>
              </w:rPr>
            </m:ctrlPr>
          </m:sSubPr>
          <m:e>
            <m:r>
              <w:rPr>
                <w:rFonts w:ascii="Cambria Math" w:hAnsi="Cambria Math" w:cs="Arial"/>
                <w:sz w:val="22"/>
                <w:lang w:val="es-ES_tradnl"/>
              </w:rPr>
              <m:t>Z</m:t>
            </m:r>
          </m:e>
          <m:sub>
            <m:r>
              <w:rPr>
                <w:rFonts w:ascii="Cambria Math" w:hAnsi="Cambria Math" w:cs="Arial"/>
                <w:sz w:val="22"/>
                <w:lang w:val="es-ES_tradnl"/>
              </w:rPr>
              <m:t>jkt</m:t>
            </m:r>
          </m:sub>
        </m:sSub>
        <m:r>
          <w:rPr>
            <w:rFonts w:ascii="Cambria Math" w:hAnsi="Cambria Math" w:cs="Arial"/>
            <w:sz w:val="22"/>
            <w:lang w:val="es-ES_tradnl"/>
          </w:rPr>
          <m:t>+</m:t>
        </m:r>
        <m:sSub>
          <m:sSubPr>
            <m:ctrlPr>
              <w:rPr>
                <w:rFonts w:ascii="Cambria Math" w:hAnsi="Cambria Math" w:cs="Arial"/>
                <w:i/>
                <w:sz w:val="22"/>
                <w:lang w:val="es-ES_tradnl"/>
              </w:rPr>
            </m:ctrlPr>
          </m:sSubPr>
          <m:e>
            <m:r>
              <w:rPr>
                <w:rFonts w:ascii="Cambria Math" w:hAnsi="Cambria Math" w:cs="Arial"/>
                <w:color w:val="000000"/>
                <w:sz w:val="23"/>
                <w:szCs w:val="23"/>
                <w:lang w:val="es-ES_tradnl"/>
              </w:rPr>
              <m:t>u</m:t>
            </m:r>
          </m:e>
          <m:sub>
            <m:r>
              <w:rPr>
                <w:rFonts w:ascii="Cambria Math" w:hAnsi="Cambria Math" w:cs="Arial"/>
                <w:sz w:val="22"/>
                <w:lang w:val="es-ES_tradnl"/>
              </w:rPr>
              <m:t>k</m:t>
            </m:r>
          </m:sub>
        </m:sSub>
        <m:r>
          <w:rPr>
            <w:rFonts w:ascii="Cambria Math" w:hAnsi="Cambria Math" w:cs="Arial"/>
            <w:sz w:val="22"/>
            <w:lang w:val="es-ES_tradnl"/>
          </w:rPr>
          <m:t>+</m:t>
        </m:r>
        <m:sSub>
          <m:sSubPr>
            <m:ctrlPr>
              <w:rPr>
                <w:rFonts w:ascii="Cambria Math" w:hAnsi="Cambria Math" w:cs="Arial"/>
                <w:i/>
                <w:sz w:val="22"/>
                <w:lang w:val="es-ES_tradnl"/>
              </w:rPr>
            </m:ctrlPr>
          </m:sSubPr>
          <m:e>
            <m:r>
              <w:rPr>
                <w:rFonts w:ascii="Cambria Math" w:hAnsi="Cambria Math" w:cs="Arial"/>
                <w:sz w:val="22"/>
                <w:lang w:val="es-ES_tradnl"/>
              </w:rPr>
              <m:t>ε</m:t>
            </m:r>
          </m:e>
          <m:sub>
            <m:r>
              <w:rPr>
                <w:rFonts w:ascii="Cambria Math" w:hAnsi="Cambria Math" w:cs="Arial"/>
                <w:sz w:val="22"/>
                <w:lang w:val="es-ES_tradnl"/>
              </w:rPr>
              <m:t>jk</m:t>
            </m:r>
          </m:sub>
        </m:sSub>
      </m:oMath>
      <w:r w:rsidR="00AC3AB3" w:rsidRPr="00152CDF">
        <w:rPr>
          <w:rFonts w:ascii="Arial" w:hAnsi="Arial" w:cs="Arial"/>
          <w:sz w:val="22"/>
          <w:lang w:val="es-ES_tradnl"/>
        </w:rPr>
        <w:t xml:space="preserve"> </w:t>
      </w:r>
    </w:p>
    <w:p w14:paraId="54A196DE" w14:textId="145E31C7" w:rsidR="00932FEA" w:rsidRPr="00152CDF" w:rsidRDefault="00AC3AB3" w:rsidP="0092018A">
      <w:pPr>
        <w:pStyle w:val="Paragraph"/>
        <w:tabs>
          <w:tab w:val="clear" w:pos="720"/>
        </w:tabs>
        <w:ind w:left="0" w:firstLine="0"/>
        <w:rPr>
          <w:rFonts w:ascii="Arial" w:hAnsi="Arial" w:cs="Arial"/>
          <w:sz w:val="22"/>
          <w:lang w:val="es-ES_tradnl"/>
        </w:rPr>
      </w:pPr>
      <w:r w:rsidRPr="00152CDF">
        <w:rPr>
          <w:rFonts w:ascii="Arial" w:hAnsi="Arial" w:cs="Arial"/>
          <w:sz w:val="22"/>
          <w:lang w:val="es-ES_tradnl"/>
        </w:rPr>
        <w:t xml:space="preserve">donde </w:t>
      </w:r>
      <m:oMath>
        <m:sSub>
          <m:sSubPr>
            <m:ctrlPr>
              <w:rPr>
                <w:rFonts w:ascii="Cambria Math" w:hAnsi="Cambria Math" w:cs="Arial"/>
                <w:i/>
                <w:sz w:val="22"/>
                <w:lang w:val="es-ES_tradnl"/>
              </w:rPr>
            </m:ctrlPr>
          </m:sSubPr>
          <m:e>
            <m:r>
              <w:rPr>
                <w:rFonts w:ascii="Cambria Math" w:hAnsi="Cambria Math" w:cs="Arial"/>
                <w:sz w:val="22"/>
                <w:lang w:val="es-ES_tradnl"/>
              </w:rPr>
              <m:t>Y</m:t>
            </m:r>
          </m:e>
          <m:sub>
            <m:r>
              <w:rPr>
                <w:rFonts w:ascii="Cambria Math" w:hAnsi="Cambria Math" w:cs="Arial"/>
                <w:sz w:val="22"/>
                <w:lang w:val="es-ES_tradnl"/>
              </w:rPr>
              <m:t>jkt</m:t>
            </m:r>
          </m:sub>
        </m:sSub>
      </m:oMath>
      <w:r w:rsidRPr="00152CDF">
        <w:rPr>
          <w:rFonts w:ascii="Arial" w:hAnsi="Arial" w:cs="Arial"/>
          <w:sz w:val="22"/>
          <w:lang w:val="es-ES_tradnl"/>
        </w:rPr>
        <w:t xml:space="preserve"> es el valor de la variable de resultado</w:t>
      </w:r>
      <w:r w:rsidR="00D70EC8">
        <w:rPr>
          <w:rFonts w:ascii="Arial" w:hAnsi="Arial" w:cs="Arial"/>
          <w:sz w:val="22"/>
          <w:lang w:val="es-ES_tradnl"/>
        </w:rPr>
        <w:t xml:space="preserve"> SIMCE</w:t>
      </w:r>
      <w:r w:rsidRPr="00152CDF">
        <w:rPr>
          <w:rFonts w:ascii="Arial" w:hAnsi="Arial" w:cs="Arial"/>
          <w:sz w:val="22"/>
          <w:lang w:val="es-ES_tradnl"/>
        </w:rPr>
        <w:t xml:space="preserve"> en la escuela </w:t>
      </w:r>
      <w:r w:rsidRPr="00152CDF">
        <w:rPr>
          <w:rFonts w:ascii="Arial" w:hAnsi="Arial" w:cs="Arial"/>
          <w:i/>
          <w:sz w:val="22"/>
          <w:lang w:val="es-ES_tradnl"/>
        </w:rPr>
        <w:t>j</w:t>
      </w:r>
      <w:r w:rsidRPr="00152CDF">
        <w:rPr>
          <w:rFonts w:ascii="Arial" w:hAnsi="Arial" w:cs="Arial"/>
          <w:sz w:val="22"/>
          <w:lang w:val="es-ES_tradnl"/>
        </w:rPr>
        <w:t xml:space="preserve"> en el territorio </w:t>
      </w:r>
      <w:r w:rsidRPr="00152CDF">
        <w:rPr>
          <w:rFonts w:ascii="Arial" w:hAnsi="Arial" w:cs="Arial"/>
          <w:i/>
          <w:sz w:val="22"/>
          <w:lang w:val="es-ES_tradnl"/>
        </w:rPr>
        <w:t>k</w:t>
      </w:r>
      <w:r w:rsidRPr="00152CDF">
        <w:rPr>
          <w:rFonts w:ascii="Arial" w:hAnsi="Arial" w:cs="Arial"/>
          <w:sz w:val="22"/>
          <w:lang w:val="es-ES_tradnl"/>
        </w:rPr>
        <w:t xml:space="preserve"> en el año </w:t>
      </w:r>
      <w:r w:rsidRPr="00152CDF">
        <w:rPr>
          <w:rFonts w:ascii="Arial" w:hAnsi="Arial" w:cs="Arial"/>
          <w:i/>
          <w:sz w:val="22"/>
          <w:lang w:val="es-ES_tradnl"/>
        </w:rPr>
        <w:t>t</w:t>
      </w:r>
      <w:r w:rsidRPr="00152CDF">
        <w:rPr>
          <w:rFonts w:ascii="Arial" w:hAnsi="Arial" w:cs="Arial"/>
          <w:sz w:val="22"/>
          <w:lang w:val="es-ES_tradnl"/>
        </w:rPr>
        <w:t xml:space="preserve">, </w:t>
      </w:r>
      <m:oMath>
        <m:sSub>
          <m:sSubPr>
            <m:ctrlPr>
              <w:rPr>
                <w:rFonts w:ascii="Cambria Math" w:hAnsi="Cambria Math" w:cs="Arial"/>
                <w:i/>
                <w:sz w:val="22"/>
                <w:lang w:val="es-ES_tradnl"/>
              </w:rPr>
            </m:ctrlPr>
          </m:sSubPr>
          <m:e>
            <m:r>
              <w:rPr>
                <w:rFonts w:ascii="Cambria Math" w:hAnsi="Cambria Math" w:cs="Arial"/>
                <w:sz w:val="22"/>
                <w:lang w:val="es-ES_tradnl"/>
              </w:rPr>
              <m:t>T</m:t>
            </m:r>
          </m:e>
          <m:sub>
            <m:r>
              <w:rPr>
                <w:rFonts w:ascii="Cambria Math" w:hAnsi="Cambria Math" w:cs="Arial"/>
                <w:sz w:val="22"/>
                <w:lang w:val="es-ES_tradnl"/>
              </w:rPr>
              <m:t>jk</m:t>
            </m:r>
          </m:sub>
        </m:sSub>
      </m:oMath>
      <w:r w:rsidRPr="00152CDF">
        <w:rPr>
          <w:rFonts w:ascii="Arial" w:hAnsi="Arial" w:cs="Arial"/>
          <w:sz w:val="22"/>
          <w:lang w:val="es-ES_tradnl"/>
        </w:rPr>
        <w:t xml:space="preserve"> es una dummy que indica si la escuela fue beneficiaria del programa (pertenece al grupo de tratamiento), A es una dummy que indica si el año es después del comienzo del programa, </w:t>
      </w:r>
      <m:oMath>
        <m:sSub>
          <m:sSubPr>
            <m:ctrlPr>
              <w:rPr>
                <w:rFonts w:ascii="Cambria Math" w:hAnsi="Cambria Math" w:cs="Arial"/>
                <w:i/>
                <w:sz w:val="22"/>
                <w:lang w:val="es-ES_tradnl"/>
              </w:rPr>
            </m:ctrlPr>
          </m:sSubPr>
          <m:e>
            <m:r>
              <w:rPr>
                <w:rFonts w:ascii="Cambria Math" w:hAnsi="Cambria Math" w:cs="Arial"/>
                <w:sz w:val="22"/>
                <w:lang w:val="es-ES_tradnl"/>
              </w:rPr>
              <m:t>N</m:t>
            </m:r>
          </m:e>
          <m:sub>
            <m:r>
              <w:rPr>
                <w:rFonts w:ascii="Cambria Math" w:hAnsi="Cambria Math" w:cs="Arial"/>
                <w:sz w:val="22"/>
                <w:lang w:val="es-ES_tradnl"/>
              </w:rPr>
              <m:t>t</m:t>
            </m:r>
          </m:sub>
        </m:sSub>
      </m:oMath>
      <w:r w:rsidRPr="00152CDF">
        <w:rPr>
          <w:rFonts w:ascii="Arial" w:hAnsi="Arial" w:cs="Arial"/>
          <w:sz w:val="22"/>
          <w:lang w:val="es-ES_tradnl"/>
        </w:rPr>
        <w:t xml:space="preserve"> </w:t>
      </w:r>
      <w:r w:rsidR="008429F5">
        <w:rPr>
          <w:rFonts w:ascii="Arial" w:hAnsi="Arial" w:cs="Arial"/>
          <w:sz w:val="22"/>
          <w:lang w:val="es-ES_tradnl"/>
        </w:rPr>
        <w:t xml:space="preserve">es un efecto fijo por </w:t>
      </w:r>
      <w:r w:rsidRPr="00152CDF">
        <w:rPr>
          <w:rFonts w:ascii="Arial" w:hAnsi="Arial" w:cs="Arial"/>
          <w:sz w:val="22"/>
          <w:lang w:val="es-ES_tradnl"/>
        </w:rPr>
        <w:t xml:space="preserve">año, </w:t>
      </w:r>
      <m:oMath>
        <m:sSub>
          <m:sSubPr>
            <m:ctrlPr>
              <w:rPr>
                <w:rFonts w:ascii="Cambria Math" w:hAnsi="Cambria Math" w:cs="Arial"/>
                <w:i/>
                <w:sz w:val="22"/>
                <w:lang w:val="es-ES_tradnl"/>
              </w:rPr>
            </m:ctrlPr>
          </m:sSubPr>
          <m:e>
            <m:r>
              <w:rPr>
                <w:rFonts w:ascii="Cambria Math" w:hAnsi="Cambria Math" w:cs="Arial"/>
                <w:sz w:val="22"/>
                <w:lang w:val="es-ES_tradnl"/>
              </w:rPr>
              <m:t>X</m:t>
            </m:r>
          </m:e>
          <m:sub>
            <m:r>
              <w:rPr>
                <w:rFonts w:ascii="Cambria Math" w:hAnsi="Cambria Math" w:cs="Arial"/>
                <w:sz w:val="22"/>
                <w:lang w:val="es-ES_tradnl"/>
              </w:rPr>
              <m:t>jkt</m:t>
            </m:r>
          </m:sub>
        </m:sSub>
      </m:oMath>
      <w:r w:rsidRPr="00152CDF">
        <w:rPr>
          <w:rFonts w:ascii="Arial" w:hAnsi="Arial" w:cs="Arial"/>
          <w:sz w:val="22"/>
          <w:lang w:val="es-ES_tradnl"/>
        </w:rPr>
        <w:t xml:space="preserve"> es un vector de características de </w:t>
      </w:r>
      <w:r w:rsidR="00A73669">
        <w:rPr>
          <w:rFonts w:ascii="Arial" w:hAnsi="Arial" w:cs="Arial"/>
          <w:sz w:val="22"/>
          <w:lang w:val="es-ES_tradnl"/>
        </w:rPr>
        <w:t>cada escuela</w:t>
      </w:r>
      <w:r w:rsidRPr="00152CDF">
        <w:rPr>
          <w:rFonts w:ascii="Arial" w:hAnsi="Arial" w:cs="Arial"/>
          <w:sz w:val="22"/>
          <w:lang w:val="es-ES_tradnl"/>
        </w:rPr>
        <w:t xml:space="preserve">;  </w:t>
      </w:r>
      <m:oMath>
        <m:sSub>
          <m:sSubPr>
            <m:ctrlPr>
              <w:rPr>
                <w:rFonts w:ascii="Cambria Math" w:hAnsi="Cambria Math" w:cs="Arial"/>
                <w:i/>
                <w:sz w:val="22"/>
                <w:lang w:val="es-ES_tradnl"/>
              </w:rPr>
            </m:ctrlPr>
          </m:sSubPr>
          <m:e>
            <m:r>
              <w:rPr>
                <w:rFonts w:ascii="Cambria Math" w:hAnsi="Cambria Math" w:cs="Arial"/>
                <w:sz w:val="22"/>
                <w:lang w:val="es-ES_tradnl"/>
              </w:rPr>
              <m:t>Z</m:t>
            </m:r>
          </m:e>
          <m:sub>
            <m:r>
              <w:rPr>
                <w:rFonts w:ascii="Cambria Math" w:hAnsi="Cambria Math" w:cs="Arial"/>
                <w:sz w:val="22"/>
                <w:lang w:val="es-ES_tradnl"/>
              </w:rPr>
              <m:t>kt</m:t>
            </m:r>
          </m:sub>
        </m:sSub>
      </m:oMath>
      <w:r w:rsidRPr="00152CDF">
        <w:rPr>
          <w:rFonts w:ascii="Arial" w:hAnsi="Arial" w:cs="Arial"/>
          <w:sz w:val="22"/>
          <w:lang w:val="es-ES_tradnl"/>
        </w:rPr>
        <w:t xml:space="preserve"> es un vector de características</w:t>
      </w:r>
      <w:r w:rsidR="003C75BB" w:rsidRPr="00152CDF">
        <w:rPr>
          <w:rFonts w:ascii="Arial" w:hAnsi="Arial" w:cs="Arial"/>
          <w:sz w:val="22"/>
          <w:lang w:val="es-ES_tradnl"/>
        </w:rPr>
        <w:t xml:space="preserve"> de</w:t>
      </w:r>
      <w:r w:rsidR="00C75BF9">
        <w:rPr>
          <w:rFonts w:ascii="Arial" w:hAnsi="Arial" w:cs="Arial"/>
          <w:sz w:val="22"/>
          <w:lang w:val="es-ES_tradnl"/>
        </w:rPr>
        <w:t>l</w:t>
      </w:r>
      <w:r w:rsidR="003C75BB" w:rsidRPr="00152CDF">
        <w:rPr>
          <w:rFonts w:ascii="Arial" w:hAnsi="Arial" w:cs="Arial"/>
          <w:sz w:val="22"/>
          <w:lang w:val="es-ES_tradnl"/>
        </w:rPr>
        <w:t xml:space="preserve"> territorio</w:t>
      </w:r>
      <w:r w:rsidRPr="00152CDF">
        <w:rPr>
          <w:rFonts w:ascii="Arial" w:hAnsi="Arial" w:cs="Arial"/>
          <w:i/>
          <w:sz w:val="22"/>
          <w:lang w:val="es-ES_tradnl"/>
        </w:rPr>
        <w:t xml:space="preserve">;  </w:t>
      </w:r>
      <m:oMath>
        <m:sSub>
          <m:sSubPr>
            <m:ctrlPr>
              <w:rPr>
                <w:rFonts w:ascii="Cambria Math" w:hAnsi="Cambria Math" w:cs="Arial"/>
                <w:i/>
                <w:sz w:val="22"/>
                <w:lang w:val="es-ES_tradnl"/>
              </w:rPr>
            </m:ctrlPr>
          </m:sSubPr>
          <m:e>
            <m:r>
              <w:rPr>
                <w:rFonts w:ascii="Cambria Math" w:hAnsi="Cambria Math" w:cs="Arial"/>
                <w:color w:val="000000"/>
                <w:sz w:val="23"/>
                <w:szCs w:val="23"/>
                <w:lang w:val="es-ES_tradnl"/>
              </w:rPr>
              <m:t>u</m:t>
            </m:r>
          </m:e>
          <m:sub>
            <m:r>
              <w:rPr>
                <w:rFonts w:ascii="Cambria Math" w:hAnsi="Cambria Math" w:cs="Arial"/>
                <w:sz w:val="22"/>
                <w:lang w:val="es-ES_tradnl"/>
              </w:rPr>
              <m:t>k</m:t>
            </m:r>
          </m:sub>
        </m:sSub>
      </m:oMath>
      <w:r w:rsidRPr="00152CDF">
        <w:rPr>
          <w:rFonts w:ascii="Arial" w:hAnsi="Arial" w:cs="Arial"/>
          <w:sz w:val="22"/>
          <w:lang w:val="es-ES_tradnl"/>
        </w:rPr>
        <w:t xml:space="preserve"> es el efecto </w:t>
      </w:r>
      <w:r w:rsidR="0092018A" w:rsidRPr="00152CDF">
        <w:rPr>
          <w:rFonts w:ascii="Arial" w:hAnsi="Arial" w:cs="Arial"/>
          <w:sz w:val="22"/>
          <w:lang w:val="es-ES_tradnl"/>
        </w:rPr>
        <w:t>fijo que permite capturar elementos que son propios de cada territorio y que no varían en el tiempo</w:t>
      </w:r>
      <w:r w:rsidRPr="00152CDF">
        <w:rPr>
          <w:rFonts w:ascii="Arial" w:hAnsi="Arial" w:cs="Arial"/>
          <w:sz w:val="22"/>
          <w:lang w:val="es-ES_tradnl"/>
        </w:rPr>
        <w:t>.</w:t>
      </w:r>
      <w:r w:rsidRPr="00152CDF">
        <w:rPr>
          <w:rFonts w:ascii="Arial" w:hAnsi="Arial" w:cs="Arial"/>
          <w:color w:val="000000"/>
          <w:sz w:val="22"/>
          <w:lang w:val="es-ES_tradnl"/>
        </w:rPr>
        <w:t xml:space="preserve"> </w:t>
      </w:r>
      <w:r w:rsidRPr="00152CDF">
        <w:rPr>
          <w:rFonts w:ascii="Arial" w:hAnsi="Arial" w:cs="Arial"/>
          <w:sz w:val="22"/>
          <w:lang w:val="es-ES_tradnl"/>
        </w:rPr>
        <w:t xml:space="preserve">El parámetro </w:t>
      </w:r>
      <m:oMath>
        <m:sSub>
          <m:sSubPr>
            <m:ctrlPr>
              <w:rPr>
                <w:rFonts w:ascii="Cambria Math" w:hAnsi="Cambria Math" w:cs="Arial"/>
                <w:i/>
                <w:sz w:val="22"/>
                <w:lang w:val="es-ES_tradnl"/>
              </w:rPr>
            </m:ctrlPr>
          </m:sSubPr>
          <m:e>
            <m:r>
              <w:rPr>
                <w:rFonts w:ascii="Cambria Math" w:hAnsi="Cambria Math" w:cs="Arial"/>
                <w:sz w:val="22"/>
                <w:lang w:val="es-ES_tradnl"/>
              </w:rPr>
              <m:t>β</m:t>
            </m:r>
          </m:e>
          <m:sub>
            <m:r>
              <w:rPr>
                <w:rFonts w:ascii="Cambria Math" w:hAnsi="Cambria Math" w:cs="Arial"/>
                <w:sz w:val="22"/>
                <w:lang w:val="es-ES_tradnl"/>
              </w:rPr>
              <m:t>3</m:t>
            </m:r>
          </m:sub>
        </m:sSub>
      </m:oMath>
      <w:r w:rsidRPr="00152CDF">
        <w:rPr>
          <w:rFonts w:ascii="Arial" w:hAnsi="Arial" w:cs="Arial"/>
          <w:sz w:val="22"/>
          <w:lang w:val="es-ES_tradnl"/>
        </w:rPr>
        <w:t xml:space="preserve"> captura el efecto de la nueva institucionalidad en la variable de interés. Asumiendo que se cumplen los supuestos de identificación del estimador de diferencias-en-diferencias (i.e. que las características no observables de los territorios, escuelas, directores, y profesores que afectan los resultados permanecen constantes en el tiempo), </w:t>
      </w:r>
      <m:oMath>
        <m:sSub>
          <m:sSubPr>
            <m:ctrlPr>
              <w:rPr>
                <w:rFonts w:ascii="Cambria Math" w:hAnsi="Cambria Math" w:cs="Arial"/>
                <w:i/>
                <w:sz w:val="22"/>
                <w:lang w:val="es-ES_tradnl"/>
              </w:rPr>
            </m:ctrlPr>
          </m:sSubPr>
          <m:e>
            <m:r>
              <w:rPr>
                <w:rFonts w:ascii="Cambria Math" w:hAnsi="Cambria Math" w:cs="Arial"/>
                <w:sz w:val="22"/>
                <w:lang w:val="es-ES_tradnl"/>
              </w:rPr>
              <m:t>β</m:t>
            </m:r>
          </m:e>
          <m:sub>
            <m:r>
              <w:rPr>
                <w:rFonts w:ascii="Cambria Math" w:hAnsi="Cambria Math" w:cs="Arial"/>
                <w:sz w:val="22"/>
                <w:lang w:val="es-ES_tradnl"/>
              </w:rPr>
              <m:t>3</m:t>
            </m:r>
          </m:sub>
        </m:sSub>
      </m:oMath>
      <w:r w:rsidRPr="00152CDF">
        <w:rPr>
          <w:rFonts w:ascii="Arial" w:hAnsi="Arial" w:cs="Arial"/>
          <w:sz w:val="22"/>
          <w:lang w:val="es-ES_tradnl"/>
        </w:rPr>
        <w:t xml:space="preserve"> mediría el efecto causal de los SLE</w:t>
      </w:r>
      <w:r w:rsidR="009D1A5B">
        <w:rPr>
          <w:rFonts w:ascii="Arial" w:hAnsi="Arial" w:cs="Arial"/>
          <w:sz w:val="22"/>
          <w:lang w:val="es-ES_tradnl"/>
        </w:rPr>
        <w:t>P</w:t>
      </w:r>
      <w:r w:rsidRPr="00152CDF">
        <w:rPr>
          <w:rFonts w:ascii="Arial" w:hAnsi="Arial" w:cs="Arial"/>
          <w:sz w:val="22"/>
          <w:lang w:val="es-ES_tradnl"/>
        </w:rPr>
        <w:t xml:space="preserve"> sobre los resultados de interés. </w:t>
      </w:r>
    </w:p>
    <w:p w14:paraId="233620C3" w14:textId="5BFA5323" w:rsidR="003C75BB" w:rsidRPr="00152CDF" w:rsidRDefault="00A946B4" w:rsidP="0092018A">
      <w:pPr>
        <w:pStyle w:val="Paragraph"/>
        <w:tabs>
          <w:tab w:val="clear" w:pos="720"/>
        </w:tabs>
        <w:ind w:left="0" w:firstLine="0"/>
        <w:rPr>
          <w:rFonts w:ascii="Arial" w:hAnsi="Arial" w:cs="Arial"/>
          <w:sz w:val="22"/>
          <w:lang w:val="es-ES_tradnl"/>
        </w:rPr>
      </w:pPr>
      <w:r w:rsidRPr="00152CDF">
        <w:rPr>
          <w:rFonts w:ascii="Arial" w:hAnsi="Arial" w:cs="Arial"/>
          <w:sz w:val="22"/>
          <w:lang w:val="es-ES_tradnl"/>
        </w:rPr>
        <w:t xml:space="preserve">Previo a la estimación de modelo en la </w:t>
      </w:r>
      <w:r w:rsidR="003C75BB" w:rsidRPr="00152CDF">
        <w:rPr>
          <w:rFonts w:ascii="Arial" w:hAnsi="Arial" w:cs="Arial"/>
          <w:sz w:val="22"/>
          <w:lang w:val="es-ES_tradnl"/>
        </w:rPr>
        <w:t>ecuación</w:t>
      </w:r>
      <w:r w:rsidRPr="00152CDF">
        <w:rPr>
          <w:rFonts w:ascii="Arial" w:hAnsi="Arial" w:cs="Arial"/>
          <w:sz w:val="22"/>
          <w:lang w:val="es-ES_tradnl"/>
        </w:rPr>
        <w:t>, un paso importante es chequear</w:t>
      </w:r>
      <w:r w:rsidR="003C75BB" w:rsidRPr="00152CDF">
        <w:rPr>
          <w:rFonts w:ascii="Arial" w:hAnsi="Arial" w:cs="Arial"/>
          <w:sz w:val="22"/>
          <w:lang w:val="es-ES_tradnl"/>
        </w:rPr>
        <w:t xml:space="preserve"> el balance en observables entre los grupos de tratamiento y control previo a la implementación de la política (201</w:t>
      </w:r>
      <w:r w:rsidR="00260605">
        <w:rPr>
          <w:rFonts w:ascii="Arial" w:hAnsi="Arial" w:cs="Arial"/>
          <w:sz w:val="22"/>
          <w:lang w:val="es-ES_tradnl"/>
        </w:rPr>
        <w:t>7</w:t>
      </w:r>
      <w:r w:rsidR="003C75BB" w:rsidRPr="00152CDF">
        <w:rPr>
          <w:rFonts w:ascii="Arial" w:hAnsi="Arial" w:cs="Arial"/>
          <w:sz w:val="22"/>
          <w:lang w:val="es-ES_tradnl"/>
        </w:rPr>
        <w:t xml:space="preserve">). </w:t>
      </w:r>
      <w:r w:rsidRPr="00152CDF">
        <w:rPr>
          <w:rFonts w:ascii="Arial" w:hAnsi="Arial" w:cs="Arial"/>
          <w:sz w:val="22"/>
          <w:lang w:val="es-ES_tradnl"/>
        </w:rPr>
        <w:t>Esto permitirá validar en qué medida el puntaje asignado por el emparejamiento (</w:t>
      </w:r>
      <w:proofErr w:type="spellStart"/>
      <w:r w:rsidRPr="00152CDF">
        <w:rPr>
          <w:rFonts w:ascii="Arial" w:hAnsi="Arial" w:cs="Arial"/>
          <w:i/>
          <w:iCs/>
          <w:sz w:val="22"/>
          <w:lang w:val="es-ES_tradnl"/>
        </w:rPr>
        <w:t>Propensity</w:t>
      </w:r>
      <w:proofErr w:type="spellEnd"/>
      <w:r w:rsidRPr="00152CDF">
        <w:rPr>
          <w:rFonts w:ascii="Arial" w:hAnsi="Arial" w:cs="Arial"/>
          <w:i/>
          <w:iCs/>
          <w:sz w:val="22"/>
          <w:lang w:val="es-ES_tradnl"/>
        </w:rPr>
        <w:t xml:space="preserve"> Score </w:t>
      </w:r>
      <w:proofErr w:type="spellStart"/>
      <w:r w:rsidRPr="00152CDF">
        <w:rPr>
          <w:rFonts w:ascii="Arial" w:hAnsi="Arial" w:cs="Arial"/>
          <w:i/>
          <w:iCs/>
          <w:sz w:val="22"/>
          <w:lang w:val="es-ES_tradnl"/>
        </w:rPr>
        <w:t>Matching</w:t>
      </w:r>
      <w:proofErr w:type="spellEnd"/>
      <w:r w:rsidRPr="00152CDF">
        <w:rPr>
          <w:rFonts w:ascii="Arial" w:hAnsi="Arial" w:cs="Arial"/>
          <w:i/>
          <w:iCs/>
          <w:sz w:val="22"/>
          <w:lang w:val="es-ES_tradnl"/>
        </w:rPr>
        <w:t xml:space="preserve">), </w:t>
      </w:r>
      <w:r w:rsidRPr="00152CDF">
        <w:rPr>
          <w:rFonts w:ascii="Arial" w:hAnsi="Arial" w:cs="Arial"/>
          <w:sz w:val="22"/>
          <w:lang w:val="es-ES_tradnl"/>
        </w:rPr>
        <w:t>es un buen instrumento para asignar un punto de comparación confiable</w:t>
      </w:r>
      <w:r w:rsidRPr="00152CDF">
        <w:rPr>
          <w:rStyle w:val="FootnoteReference"/>
          <w:rFonts w:ascii="Arial" w:hAnsi="Arial" w:cs="Arial"/>
          <w:sz w:val="22"/>
          <w:lang w:val="es-ES_tradnl"/>
        </w:rPr>
        <w:footnoteReference w:id="5"/>
      </w:r>
      <w:r w:rsidRPr="00152CDF">
        <w:rPr>
          <w:rFonts w:ascii="Arial" w:hAnsi="Arial" w:cs="Arial"/>
          <w:sz w:val="22"/>
          <w:lang w:val="es-ES_tradnl"/>
        </w:rPr>
        <w:t>.</w:t>
      </w:r>
    </w:p>
    <w:p w14:paraId="7F105520" w14:textId="2A0E85C9" w:rsidR="00C443D1" w:rsidRPr="00152CDF" w:rsidRDefault="00E11F44" w:rsidP="00F947D6">
      <w:pPr>
        <w:pStyle w:val="Heading2"/>
        <w:numPr>
          <w:ilvl w:val="1"/>
          <w:numId w:val="28"/>
        </w:numPr>
        <w:spacing w:before="120"/>
        <w:rPr>
          <w:lang w:val="es-ES_tradnl"/>
        </w:rPr>
      </w:pPr>
      <w:bookmarkStart w:id="11" w:name="_Toc301033072"/>
      <w:r w:rsidRPr="00152CDF">
        <w:rPr>
          <w:lang w:val="es-ES_tradnl"/>
        </w:rPr>
        <w:t>Instrumentos y fuentes de datos</w:t>
      </w:r>
      <w:bookmarkEnd w:id="11"/>
    </w:p>
    <w:p w14:paraId="4FCC1C33" w14:textId="5AD28F3F" w:rsidR="00F917C5" w:rsidRPr="00152CDF" w:rsidRDefault="00303876" w:rsidP="00F947D6">
      <w:pPr>
        <w:spacing w:before="120" w:after="0" w:line="240" w:lineRule="auto"/>
        <w:jc w:val="both"/>
        <w:rPr>
          <w:rFonts w:ascii="Arial" w:hAnsi="Arial" w:cs="Arial"/>
          <w:color w:val="000000"/>
          <w:lang w:val="es-ES_tradnl"/>
        </w:rPr>
      </w:pPr>
      <w:r w:rsidRPr="00152CDF">
        <w:rPr>
          <w:rFonts w:ascii="Arial" w:hAnsi="Arial" w:cs="Arial"/>
          <w:color w:val="222222"/>
          <w:lang w:val="es-ES_tradnl"/>
        </w:rPr>
        <w:t xml:space="preserve">Como fuentes se información se utilizarán bases de datos del MINEDUC y </w:t>
      </w:r>
      <w:r w:rsidR="00AC3048" w:rsidRPr="00152CDF">
        <w:rPr>
          <w:rFonts w:ascii="Arial" w:hAnsi="Arial" w:cs="Arial"/>
          <w:color w:val="222222"/>
          <w:lang w:val="es-ES_tradnl"/>
        </w:rPr>
        <w:t xml:space="preserve">de </w:t>
      </w:r>
      <w:r w:rsidRPr="00152CDF">
        <w:rPr>
          <w:rFonts w:ascii="Arial" w:hAnsi="Arial" w:cs="Arial"/>
          <w:color w:val="222222"/>
          <w:lang w:val="es-ES_tradnl"/>
        </w:rPr>
        <w:t>la Agencia de Calidad de la Educación</w:t>
      </w:r>
      <w:r w:rsidR="00A946B4" w:rsidRPr="00152CDF">
        <w:rPr>
          <w:rFonts w:ascii="Arial" w:hAnsi="Arial" w:cs="Arial"/>
          <w:color w:val="222222"/>
          <w:lang w:val="es-ES_tradnl"/>
        </w:rPr>
        <w:t xml:space="preserve">. </w:t>
      </w:r>
      <w:r w:rsidRPr="00152CDF">
        <w:rPr>
          <w:rFonts w:ascii="Arial" w:hAnsi="Arial" w:cs="Arial"/>
          <w:color w:val="222222"/>
          <w:lang w:val="es-ES_tradnl"/>
        </w:rPr>
        <w:t xml:space="preserve">Para las variables de resultados de </w:t>
      </w:r>
      <w:r w:rsidR="00380B41" w:rsidRPr="00152CDF">
        <w:rPr>
          <w:rFonts w:ascii="Arial" w:hAnsi="Arial" w:cs="Arial"/>
          <w:color w:val="222222"/>
          <w:lang w:val="es-ES_tradnl"/>
        </w:rPr>
        <w:t xml:space="preserve">aprendizaje </w:t>
      </w:r>
      <w:r w:rsidR="00380B41" w:rsidRPr="00152CDF">
        <w:rPr>
          <w:rFonts w:ascii="Arial" w:hAnsi="Arial" w:cs="Arial"/>
          <w:color w:val="000000"/>
          <w:lang w:val="es-ES_tradnl"/>
        </w:rPr>
        <w:t>se utilizarán las bases de datos de SIMCE</w:t>
      </w:r>
      <w:r w:rsidR="00A946B4" w:rsidRPr="00152CDF">
        <w:rPr>
          <w:rFonts w:ascii="Arial" w:hAnsi="Arial" w:cs="Arial"/>
          <w:color w:val="000000"/>
          <w:lang w:val="es-ES_tradnl"/>
        </w:rPr>
        <w:t xml:space="preserve"> de carácter censal para estudiantes de 4º básico</w:t>
      </w:r>
      <w:r w:rsidR="00773BA8">
        <w:rPr>
          <w:rFonts w:ascii="Arial" w:hAnsi="Arial" w:cs="Arial"/>
          <w:color w:val="000000"/>
          <w:lang w:val="es-ES_tradnl"/>
        </w:rPr>
        <w:t xml:space="preserve"> y 2</w:t>
      </w:r>
      <w:r w:rsidR="00773BA8" w:rsidRPr="00152CDF">
        <w:rPr>
          <w:rFonts w:ascii="Arial" w:hAnsi="Arial" w:cs="Arial"/>
          <w:color w:val="000000"/>
          <w:lang w:val="es-ES_tradnl"/>
        </w:rPr>
        <w:t>º</w:t>
      </w:r>
      <w:r w:rsidR="00773BA8">
        <w:rPr>
          <w:rFonts w:ascii="Arial" w:hAnsi="Arial" w:cs="Arial"/>
          <w:color w:val="000000"/>
          <w:lang w:val="es-ES_tradnl"/>
        </w:rPr>
        <w:t xml:space="preserve"> medio</w:t>
      </w:r>
      <w:r w:rsidR="00A946B4" w:rsidRPr="00152CDF">
        <w:rPr>
          <w:rFonts w:ascii="Arial" w:hAnsi="Arial" w:cs="Arial"/>
          <w:color w:val="000000"/>
          <w:lang w:val="es-ES_tradnl"/>
        </w:rPr>
        <w:t xml:space="preserve"> en matemáticas </w:t>
      </w:r>
      <w:r w:rsidR="00A946B4" w:rsidRPr="00152CDF">
        <w:rPr>
          <w:rFonts w:ascii="Arial" w:hAnsi="Arial" w:cs="Arial"/>
          <w:color w:val="000000"/>
          <w:lang w:val="es-ES_tradnl"/>
        </w:rPr>
        <w:lastRenderedPageBreak/>
        <w:t>y lenguaje que proporciona</w:t>
      </w:r>
      <w:r w:rsidR="00380B41" w:rsidRPr="00152CDF">
        <w:rPr>
          <w:rFonts w:ascii="Arial" w:hAnsi="Arial" w:cs="Arial"/>
          <w:color w:val="000000"/>
          <w:lang w:val="es-ES_tradnl"/>
        </w:rPr>
        <w:t xml:space="preserve"> la Agencia de la Calidad de la Educación, para los años</w:t>
      </w:r>
      <w:r w:rsidR="00D47A6D" w:rsidRPr="00152CDF">
        <w:rPr>
          <w:rFonts w:ascii="Arial" w:hAnsi="Arial" w:cs="Arial"/>
          <w:color w:val="000000"/>
          <w:lang w:val="es-ES_tradnl"/>
        </w:rPr>
        <w:t xml:space="preserve"> 20</w:t>
      </w:r>
      <w:r w:rsidR="00773BA8">
        <w:rPr>
          <w:rFonts w:ascii="Arial" w:hAnsi="Arial" w:cs="Arial"/>
          <w:color w:val="000000"/>
          <w:lang w:val="es-ES_tradnl"/>
        </w:rPr>
        <w:t>14</w:t>
      </w:r>
      <w:r w:rsidR="00D47A6D" w:rsidRPr="00152CDF">
        <w:rPr>
          <w:rFonts w:ascii="Arial" w:hAnsi="Arial" w:cs="Arial"/>
          <w:color w:val="000000"/>
          <w:lang w:val="es-ES_tradnl"/>
        </w:rPr>
        <w:t xml:space="preserve"> a 20</w:t>
      </w:r>
      <w:r w:rsidR="00A946B4" w:rsidRPr="00152CDF">
        <w:rPr>
          <w:rFonts w:ascii="Arial" w:hAnsi="Arial" w:cs="Arial"/>
          <w:color w:val="000000"/>
          <w:lang w:val="es-ES_tradnl"/>
        </w:rPr>
        <w:t>2</w:t>
      </w:r>
      <w:r w:rsidR="00433F9D">
        <w:rPr>
          <w:rFonts w:ascii="Arial" w:hAnsi="Arial" w:cs="Arial"/>
          <w:color w:val="000000"/>
          <w:lang w:val="es-ES_tradnl"/>
        </w:rPr>
        <w:t>1</w:t>
      </w:r>
      <w:r w:rsidR="00AB76BB" w:rsidRPr="00152CDF">
        <w:rPr>
          <w:rFonts w:ascii="Arial" w:hAnsi="Arial" w:cs="Arial"/>
          <w:color w:val="000000"/>
          <w:lang w:val="es-ES_tradnl"/>
        </w:rPr>
        <w:t>.</w:t>
      </w:r>
      <w:r w:rsidR="00A946B4" w:rsidRPr="00152CDF">
        <w:rPr>
          <w:rFonts w:ascii="Arial" w:hAnsi="Arial" w:cs="Arial"/>
          <w:color w:val="000000"/>
          <w:lang w:val="es-ES_tradnl"/>
        </w:rPr>
        <w:t xml:space="preserve"> También se evaluará la capacidad de aumentar matrícula, información que es recolectada por el centro de estudios del MINEDUC y que es de acceso público de forma anual. Se utilizarán para el estudio el mismo rango de tiempo 20</w:t>
      </w:r>
      <w:r w:rsidR="004213F4">
        <w:rPr>
          <w:rFonts w:ascii="Arial" w:hAnsi="Arial" w:cs="Arial"/>
          <w:color w:val="000000"/>
          <w:lang w:val="es-ES_tradnl"/>
        </w:rPr>
        <w:t>14</w:t>
      </w:r>
      <w:r w:rsidR="00A946B4" w:rsidRPr="00152CDF">
        <w:rPr>
          <w:rFonts w:ascii="Arial" w:hAnsi="Arial" w:cs="Arial"/>
          <w:color w:val="000000"/>
          <w:lang w:val="es-ES_tradnl"/>
        </w:rPr>
        <w:t>-202</w:t>
      </w:r>
      <w:r w:rsidR="00433F9D">
        <w:rPr>
          <w:rFonts w:ascii="Arial" w:hAnsi="Arial" w:cs="Arial"/>
          <w:color w:val="000000"/>
          <w:lang w:val="es-ES_tradnl"/>
        </w:rPr>
        <w:t>1</w:t>
      </w:r>
      <w:r w:rsidR="00A946B4" w:rsidRPr="00152CDF">
        <w:rPr>
          <w:rFonts w:ascii="Arial" w:hAnsi="Arial" w:cs="Arial"/>
          <w:color w:val="000000"/>
          <w:lang w:val="es-ES_tradnl"/>
        </w:rPr>
        <w:t>.</w:t>
      </w:r>
      <w:r w:rsidR="00E76792" w:rsidRPr="00152CDF">
        <w:rPr>
          <w:rFonts w:ascii="Arial" w:hAnsi="Arial" w:cs="Arial"/>
          <w:color w:val="000000"/>
          <w:lang w:val="es-ES_tradnl"/>
        </w:rPr>
        <w:t xml:space="preserve"> </w:t>
      </w:r>
    </w:p>
    <w:p w14:paraId="6462B29B" w14:textId="25D43E39" w:rsidR="00664403" w:rsidRPr="00152CDF" w:rsidRDefault="00862F65" w:rsidP="00F947D6">
      <w:pPr>
        <w:spacing w:before="120" w:after="0" w:line="240" w:lineRule="auto"/>
        <w:jc w:val="both"/>
        <w:rPr>
          <w:rFonts w:ascii="Arial" w:hAnsi="Arial" w:cs="Arial"/>
          <w:color w:val="000000"/>
          <w:lang w:val="es-ES_tradnl"/>
        </w:rPr>
      </w:pPr>
      <w:r w:rsidRPr="00152CDF">
        <w:rPr>
          <w:rFonts w:ascii="Arial" w:hAnsi="Arial" w:cs="Arial"/>
          <w:color w:val="000000"/>
          <w:lang w:val="es-ES_tradnl"/>
        </w:rPr>
        <w:t>Para las variables de control</w:t>
      </w:r>
      <w:r w:rsidR="00AA4496" w:rsidRPr="00152CDF">
        <w:rPr>
          <w:rFonts w:ascii="Arial" w:hAnsi="Arial" w:cs="Arial"/>
          <w:color w:val="000000"/>
          <w:lang w:val="es-ES_tradnl"/>
        </w:rPr>
        <w:t xml:space="preserve"> (</w:t>
      </w:r>
      <w:r w:rsidRPr="00152CDF">
        <w:rPr>
          <w:rFonts w:ascii="Arial" w:hAnsi="Arial" w:cs="Arial"/>
          <w:color w:val="000000"/>
          <w:lang w:val="es-ES_tradnl"/>
        </w:rPr>
        <w:t xml:space="preserve">características de las escuelas y de los </w:t>
      </w:r>
      <w:r w:rsidR="00501EBD" w:rsidRPr="00152CDF">
        <w:rPr>
          <w:rFonts w:ascii="Arial" w:hAnsi="Arial" w:cs="Arial"/>
          <w:color w:val="000000"/>
          <w:lang w:val="es-ES_tradnl"/>
        </w:rPr>
        <w:t>territorios</w:t>
      </w:r>
      <w:r w:rsidR="00AA4496" w:rsidRPr="00152CDF">
        <w:rPr>
          <w:rFonts w:ascii="Arial" w:hAnsi="Arial" w:cs="Arial"/>
          <w:color w:val="000000"/>
          <w:lang w:val="es-ES_tradnl"/>
        </w:rPr>
        <w:t>) y para el pareo</w:t>
      </w:r>
      <w:r w:rsidR="00501EBD" w:rsidRPr="00152CDF">
        <w:rPr>
          <w:rFonts w:ascii="Arial" w:hAnsi="Arial" w:cs="Arial"/>
          <w:color w:val="000000"/>
          <w:lang w:val="es-ES_tradnl"/>
        </w:rPr>
        <w:t xml:space="preserve">, se utilizarán bases de datos </w:t>
      </w:r>
      <w:r w:rsidR="00732985" w:rsidRPr="00152CDF">
        <w:rPr>
          <w:rFonts w:ascii="Arial" w:hAnsi="Arial" w:cs="Arial"/>
          <w:color w:val="000000"/>
          <w:lang w:val="es-ES_tradnl"/>
        </w:rPr>
        <w:t>administrativas</w:t>
      </w:r>
      <w:r w:rsidR="00501EBD" w:rsidRPr="00152CDF">
        <w:rPr>
          <w:rFonts w:ascii="Arial" w:hAnsi="Arial" w:cs="Arial"/>
          <w:color w:val="000000"/>
          <w:lang w:val="es-ES_tradnl"/>
        </w:rPr>
        <w:t xml:space="preserve"> del MINEDUC y bases de datos de la Agencia de Calidad de la Educación. </w:t>
      </w:r>
      <w:r w:rsidR="00732985" w:rsidRPr="00152CDF">
        <w:rPr>
          <w:rFonts w:ascii="Arial" w:hAnsi="Arial" w:cs="Arial"/>
          <w:color w:val="000000"/>
          <w:lang w:val="es-ES_tradnl"/>
        </w:rPr>
        <w:t xml:space="preserve">Entre </w:t>
      </w:r>
      <w:r w:rsidR="0015179F" w:rsidRPr="00152CDF">
        <w:rPr>
          <w:rFonts w:ascii="Arial" w:hAnsi="Arial" w:cs="Arial"/>
          <w:color w:val="000000"/>
          <w:lang w:val="es-ES_tradnl"/>
        </w:rPr>
        <w:t>dichas</w:t>
      </w:r>
      <w:r w:rsidR="00732985" w:rsidRPr="00152CDF">
        <w:rPr>
          <w:rFonts w:ascii="Arial" w:hAnsi="Arial" w:cs="Arial"/>
          <w:color w:val="000000"/>
          <w:lang w:val="es-ES_tradnl"/>
        </w:rPr>
        <w:t xml:space="preserve"> bases se cuenta</w:t>
      </w:r>
      <w:r w:rsidR="005233C0" w:rsidRPr="00152CDF">
        <w:rPr>
          <w:rFonts w:ascii="Arial" w:hAnsi="Arial" w:cs="Arial"/>
          <w:color w:val="000000"/>
          <w:lang w:val="es-ES_tradnl"/>
        </w:rPr>
        <w:t>n</w:t>
      </w:r>
      <w:r w:rsidR="00732985" w:rsidRPr="00152CDF">
        <w:rPr>
          <w:rFonts w:ascii="Arial" w:hAnsi="Arial" w:cs="Arial"/>
          <w:color w:val="000000"/>
          <w:lang w:val="es-ES_tradnl"/>
        </w:rPr>
        <w:t xml:space="preserve">: </w:t>
      </w:r>
      <w:r w:rsidR="0015179F" w:rsidRPr="00152CDF">
        <w:rPr>
          <w:rFonts w:ascii="Arial" w:hAnsi="Arial" w:cs="Arial"/>
          <w:color w:val="000000"/>
          <w:lang w:val="es-ES_tradnl"/>
        </w:rPr>
        <w:t>los cuestionarios complementarios del SIMCE</w:t>
      </w:r>
      <w:r w:rsidR="00A946B4" w:rsidRPr="00152CDF">
        <w:rPr>
          <w:rFonts w:ascii="Arial" w:hAnsi="Arial" w:cs="Arial"/>
          <w:color w:val="000000"/>
          <w:lang w:val="es-ES_tradnl"/>
        </w:rPr>
        <w:t xml:space="preserve"> dirigido a apoderados</w:t>
      </w:r>
      <w:r w:rsidR="0015179F" w:rsidRPr="00152CDF">
        <w:rPr>
          <w:rFonts w:ascii="Arial" w:hAnsi="Arial" w:cs="Arial"/>
          <w:color w:val="000000"/>
          <w:lang w:val="es-ES_tradnl"/>
        </w:rPr>
        <w:t xml:space="preserve">, </w:t>
      </w:r>
      <w:r w:rsidR="00AA4496" w:rsidRPr="00152CDF">
        <w:rPr>
          <w:rFonts w:ascii="Arial" w:hAnsi="Arial" w:cs="Arial"/>
          <w:color w:val="000000"/>
          <w:lang w:val="es-ES_tradnl"/>
        </w:rPr>
        <w:t>que contienen</w:t>
      </w:r>
      <w:r w:rsidR="005233C0" w:rsidRPr="00152CDF">
        <w:rPr>
          <w:rFonts w:ascii="Arial" w:hAnsi="Arial" w:cs="Arial"/>
          <w:color w:val="000000"/>
          <w:lang w:val="es-ES_tradnl"/>
        </w:rPr>
        <w:t xml:space="preserve"> información acerca de nivel socioeconómico, características de las escuelas y sus directores,</w:t>
      </w:r>
      <w:r w:rsidR="00282636" w:rsidRPr="00152CDF">
        <w:rPr>
          <w:rFonts w:ascii="Arial" w:hAnsi="Arial" w:cs="Arial"/>
          <w:color w:val="000000"/>
          <w:lang w:val="es-ES_tradnl"/>
        </w:rPr>
        <w:t xml:space="preserve"> etc</w:t>
      </w:r>
      <w:r w:rsidR="00A946B4" w:rsidRPr="00152CDF">
        <w:rPr>
          <w:rFonts w:ascii="Arial" w:hAnsi="Arial" w:cs="Arial"/>
          <w:color w:val="000000"/>
          <w:lang w:val="es-ES_tradnl"/>
        </w:rPr>
        <w:t>.</w:t>
      </w:r>
      <w:r w:rsidR="00282636" w:rsidRPr="00152CDF">
        <w:rPr>
          <w:rFonts w:ascii="Arial" w:hAnsi="Arial" w:cs="Arial"/>
          <w:color w:val="000000"/>
          <w:lang w:val="es-ES_tradnl"/>
        </w:rPr>
        <w:t xml:space="preserve">; </w:t>
      </w:r>
      <w:r w:rsidR="00BC5904" w:rsidRPr="00152CDF">
        <w:rPr>
          <w:rFonts w:ascii="Arial" w:hAnsi="Arial" w:cs="Arial"/>
          <w:color w:val="000000"/>
          <w:lang w:val="es-ES_tradnl"/>
        </w:rPr>
        <w:t xml:space="preserve">el Directorio de Establecimientos, con información a nivel de cada </w:t>
      </w:r>
      <w:r w:rsidR="00282636" w:rsidRPr="00152CDF">
        <w:rPr>
          <w:rFonts w:ascii="Arial" w:hAnsi="Arial" w:cs="Arial"/>
          <w:color w:val="000000"/>
          <w:lang w:val="es-ES_tradnl"/>
        </w:rPr>
        <w:t xml:space="preserve">establecimiento educativo; </w:t>
      </w:r>
      <w:r w:rsidR="006F0199" w:rsidRPr="00152CDF">
        <w:rPr>
          <w:rFonts w:ascii="Arial" w:hAnsi="Arial" w:cs="Arial"/>
          <w:color w:val="000000"/>
          <w:lang w:val="es-ES_tradnl"/>
        </w:rPr>
        <w:t xml:space="preserve">la base Docentes, que contiene información a nivel de cada docente incluyendo años de experiencia y tipo de contratación, entre otras variables; </w:t>
      </w:r>
      <w:r w:rsidR="0048278D" w:rsidRPr="00152CDF">
        <w:rPr>
          <w:rFonts w:ascii="Arial" w:hAnsi="Arial" w:cs="Arial"/>
          <w:color w:val="000000"/>
          <w:lang w:val="es-ES_tradnl"/>
        </w:rPr>
        <w:t xml:space="preserve">la base Directores </w:t>
      </w:r>
      <w:proofErr w:type="spellStart"/>
      <w:r w:rsidR="0048278D" w:rsidRPr="00152CDF">
        <w:rPr>
          <w:rFonts w:ascii="Arial" w:hAnsi="Arial" w:cs="Arial"/>
          <w:color w:val="000000"/>
          <w:lang w:val="es-ES_tradnl"/>
        </w:rPr>
        <w:t>ADP</w:t>
      </w:r>
      <w:proofErr w:type="spellEnd"/>
      <w:r w:rsidR="0048278D" w:rsidRPr="00152CDF">
        <w:rPr>
          <w:rFonts w:ascii="Arial" w:hAnsi="Arial" w:cs="Arial"/>
          <w:color w:val="000000"/>
          <w:lang w:val="es-ES_tradnl"/>
        </w:rPr>
        <w:t xml:space="preserve">, que contiene información acerca de si los directores han sido </w:t>
      </w:r>
      <w:r w:rsidR="00D51550" w:rsidRPr="00152CDF">
        <w:rPr>
          <w:rFonts w:ascii="Arial" w:hAnsi="Arial" w:cs="Arial"/>
          <w:color w:val="000000"/>
          <w:lang w:val="es-ES_tradnl"/>
        </w:rPr>
        <w:t>seleccionados</w:t>
      </w:r>
      <w:r w:rsidR="0048278D" w:rsidRPr="00152CDF">
        <w:rPr>
          <w:rFonts w:ascii="Arial" w:hAnsi="Arial" w:cs="Arial"/>
          <w:color w:val="000000"/>
          <w:lang w:val="es-ES_tradnl"/>
        </w:rPr>
        <w:t xml:space="preserve"> siguiendo el proceso de Alta Dirección Pública</w:t>
      </w:r>
      <w:r w:rsidR="00F56C52" w:rsidRPr="00152CDF">
        <w:rPr>
          <w:rFonts w:ascii="Arial" w:hAnsi="Arial" w:cs="Arial"/>
          <w:color w:val="000000"/>
          <w:lang w:val="es-ES_tradnl"/>
        </w:rPr>
        <w:t>, como proxy por la calidad de los directores de escuela</w:t>
      </w:r>
      <w:r w:rsidR="0048278D" w:rsidRPr="00152CDF">
        <w:rPr>
          <w:rFonts w:ascii="Arial" w:hAnsi="Arial" w:cs="Arial"/>
          <w:color w:val="000000"/>
          <w:lang w:val="es-ES_tradnl"/>
        </w:rPr>
        <w:t xml:space="preserve">. </w:t>
      </w:r>
    </w:p>
    <w:p w14:paraId="396ADB98" w14:textId="7B45036E" w:rsidR="003930DE" w:rsidRPr="00152CDF" w:rsidRDefault="003930DE" w:rsidP="00F947D6">
      <w:pPr>
        <w:pStyle w:val="Heading2"/>
        <w:numPr>
          <w:ilvl w:val="1"/>
          <w:numId w:val="28"/>
        </w:numPr>
        <w:spacing w:before="120"/>
        <w:rPr>
          <w:lang w:val="es-ES_tradnl"/>
        </w:rPr>
      </w:pPr>
      <w:r w:rsidRPr="00152CDF">
        <w:rPr>
          <w:lang w:val="es-ES_tradnl"/>
        </w:rPr>
        <w:t>Tamaño muestral y potencia estadística</w:t>
      </w:r>
    </w:p>
    <w:p w14:paraId="537736A7" w14:textId="4FA94C13" w:rsidR="003930DE" w:rsidRPr="00152CDF" w:rsidRDefault="00325E3A" w:rsidP="00F947D6">
      <w:pPr>
        <w:spacing w:before="120" w:after="0" w:line="240" w:lineRule="auto"/>
        <w:jc w:val="both"/>
        <w:rPr>
          <w:rStyle w:val="hps"/>
          <w:rFonts w:ascii="Arial" w:eastAsiaTheme="majorEastAsia" w:hAnsi="Arial" w:cs="Arial"/>
          <w:color w:val="222222"/>
          <w:lang w:val="es-ES_tradnl"/>
        </w:rPr>
      </w:pPr>
      <w:r w:rsidRPr="00152CDF">
        <w:rPr>
          <w:rStyle w:val="hps"/>
          <w:rFonts w:ascii="Arial" w:hAnsi="Arial" w:cs="Arial"/>
          <w:color w:val="222222"/>
          <w:lang w:val="es-ES_tradnl"/>
        </w:rPr>
        <w:t xml:space="preserve">La muestra estará compuesta por </w:t>
      </w:r>
      <w:r w:rsidR="001A3B04">
        <w:rPr>
          <w:rStyle w:val="hps"/>
          <w:rFonts w:ascii="Arial" w:hAnsi="Arial" w:cs="Arial"/>
          <w:color w:val="222222"/>
          <w:lang w:val="es-ES_tradnl"/>
        </w:rPr>
        <w:t>4</w:t>
      </w:r>
      <w:r w:rsidR="00520274" w:rsidRPr="00152CDF">
        <w:rPr>
          <w:rStyle w:val="hps"/>
          <w:rFonts w:ascii="Arial" w:hAnsi="Arial" w:cs="Arial"/>
          <w:color w:val="222222"/>
          <w:lang w:val="es-ES_tradnl"/>
        </w:rPr>
        <w:t xml:space="preserve"> territorios (</w:t>
      </w:r>
      <w:proofErr w:type="spellStart"/>
      <w:r w:rsidR="00520274" w:rsidRPr="00152CDF">
        <w:rPr>
          <w:rStyle w:val="hps"/>
          <w:rFonts w:ascii="Arial" w:hAnsi="Arial" w:cs="Arial"/>
          <w:color w:val="222222"/>
          <w:lang w:val="es-ES_tradnl"/>
        </w:rPr>
        <w:t>SLE</w:t>
      </w:r>
      <w:r w:rsidR="005A353F">
        <w:rPr>
          <w:rStyle w:val="hps"/>
          <w:rFonts w:ascii="Arial" w:hAnsi="Arial" w:cs="Arial"/>
          <w:color w:val="222222"/>
          <w:lang w:val="es-ES_tradnl"/>
        </w:rPr>
        <w:t>P</w:t>
      </w:r>
      <w:r w:rsidR="00520274" w:rsidRPr="00152CDF">
        <w:rPr>
          <w:rStyle w:val="hps"/>
          <w:rFonts w:ascii="Arial" w:hAnsi="Arial" w:cs="Arial"/>
          <w:color w:val="222222"/>
          <w:lang w:val="es-ES_tradnl"/>
        </w:rPr>
        <w:t>s</w:t>
      </w:r>
      <w:proofErr w:type="spellEnd"/>
      <w:r w:rsidR="00520274" w:rsidRPr="00152CDF">
        <w:rPr>
          <w:rStyle w:val="hps"/>
          <w:rFonts w:ascii="Arial" w:hAnsi="Arial" w:cs="Arial"/>
          <w:color w:val="222222"/>
          <w:lang w:val="es-ES_tradnl"/>
        </w:rPr>
        <w:t xml:space="preserve">) en el grupo de tratamiento y </w:t>
      </w:r>
      <w:r w:rsidR="001A3B04">
        <w:rPr>
          <w:rStyle w:val="hps"/>
          <w:rFonts w:ascii="Arial" w:hAnsi="Arial" w:cs="Arial"/>
          <w:color w:val="222222"/>
          <w:lang w:val="es-ES_tradnl"/>
        </w:rPr>
        <w:t>4</w:t>
      </w:r>
      <w:r w:rsidR="00520274" w:rsidRPr="00152CDF">
        <w:rPr>
          <w:rStyle w:val="hps"/>
          <w:rFonts w:ascii="Arial" w:hAnsi="Arial" w:cs="Arial"/>
          <w:color w:val="222222"/>
          <w:lang w:val="es-ES_tradnl"/>
        </w:rPr>
        <w:t xml:space="preserve"> territorios en el grupo de control.  Los territorios en el grupo de tratamiento </w:t>
      </w:r>
      <w:r w:rsidR="003930DE" w:rsidRPr="00152CDF">
        <w:rPr>
          <w:rStyle w:val="hps"/>
          <w:rFonts w:ascii="Arial" w:hAnsi="Arial" w:cs="Arial"/>
          <w:color w:val="222222"/>
          <w:lang w:val="es-ES_tradnl"/>
        </w:rPr>
        <w:t xml:space="preserve">tienen en promedio </w:t>
      </w:r>
      <w:r w:rsidR="00A946B4" w:rsidRPr="00152CDF">
        <w:rPr>
          <w:rStyle w:val="hps"/>
          <w:rFonts w:ascii="Arial" w:hAnsi="Arial" w:cs="Arial"/>
          <w:color w:val="222222"/>
          <w:lang w:val="es-ES_tradnl"/>
        </w:rPr>
        <w:t>4</w:t>
      </w:r>
      <w:r w:rsidR="003930DE" w:rsidRPr="00152CDF">
        <w:rPr>
          <w:rStyle w:val="hps"/>
          <w:rFonts w:ascii="Arial" w:hAnsi="Arial" w:cs="Arial"/>
          <w:color w:val="222222"/>
          <w:lang w:val="es-ES_tradnl"/>
        </w:rPr>
        <w:t xml:space="preserve"> municipios</w:t>
      </w:r>
      <w:r w:rsidR="00672879" w:rsidRPr="00152CDF">
        <w:rPr>
          <w:rStyle w:val="hps"/>
          <w:rFonts w:ascii="Arial" w:hAnsi="Arial" w:cs="Arial"/>
          <w:color w:val="222222"/>
          <w:lang w:val="es-ES_tradnl"/>
        </w:rPr>
        <w:t xml:space="preserve"> y </w:t>
      </w:r>
      <w:r w:rsidR="00A946B4" w:rsidRPr="00152CDF">
        <w:rPr>
          <w:rFonts w:ascii="Arial" w:hAnsi="Arial" w:cs="Arial"/>
          <w:color w:val="222222"/>
          <w:lang w:val="es-ES_tradnl"/>
        </w:rPr>
        <w:t>58</w:t>
      </w:r>
      <w:r w:rsidR="009C1C02" w:rsidRPr="00152CDF">
        <w:rPr>
          <w:rFonts w:ascii="Arial" w:hAnsi="Arial" w:cs="Arial"/>
          <w:color w:val="222222"/>
          <w:lang w:val="es-ES_tradnl"/>
        </w:rPr>
        <w:t xml:space="preserve"> escuelas</w:t>
      </w:r>
      <w:r w:rsidR="003930DE" w:rsidRPr="00152CDF">
        <w:rPr>
          <w:rFonts w:ascii="Arial" w:hAnsi="Arial" w:cs="Arial"/>
          <w:color w:val="222222"/>
          <w:lang w:val="es-ES_tradnl"/>
        </w:rPr>
        <w:t xml:space="preserve"> </w:t>
      </w:r>
      <w:r w:rsidR="009C1C02" w:rsidRPr="00152CDF">
        <w:rPr>
          <w:rFonts w:ascii="Arial" w:hAnsi="Arial" w:cs="Arial"/>
          <w:color w:val="222222"/>
          <w:lang w:val="es-ES_tradnl"/>
        </w:rPr>
        <w:t xml:space="preserve">cada uno. </w:t>
      </w:r>
      <w:r w:rsidR="003930DE" w:rsidRPr="00152CDF">
        <w:rPr>
          <w:rStyle w:val="hps"/>
          <w:rFonts w:ascii="Arial" w:hAnsi="Arial" w:cs="Arial"/>
          <w:color w:val="222222"/>
          <w:lang w:val="es-ES_tradnl"/>
        </w:rPr>
        <w:t xml:space="preserve">Utilizando el método de selección del grupo de control descrito anteriormente, se tendrá </w:t>
      </w:r>
      <w:r w:rsidR="001201F0">
        <w:rPr>
          <w:rStyle w:val="hps"/>
          <w:rFonts w:ascii="Arial" w:hAnsi="Arial" w:cs="Arial"/>
          <w:color w:val="222222"/>
          <w:lang w:val="es-ES_tradnl"/>
        </w:rPr>
        <w:t>4</w:t>
      </w:r>
      <w:r w:rsidR="00A946B4" w:rsidRPr="00152CDF">
        <w:rPr>
          <w:rStyle w:val="hps"/>
          <w:rFonts w:ascii="Arial" w:hAnsi="Arial" w:cs="Arial"/>
          <w:color w:val="222222"/>
          <w:lang w:val="es-ES_tradnl"/>
        </w:rPr>
        <w:t xml:space="preserve"> </w:t>
      </w:r>
      <w:r w:rsidR="003930DE" w:rsidRPr="00152CDF">
        <w:rPr>
          <w:rStyle w:val="hps"/>
          <w:rFonts w:ascii="Arial" w:hAnsi="Arial" w:cs="Arial"/>
          <w:color w:val="222222"/>
          <w:lang w:val="es-ES_tradnl"/>
        </w:rPr>
        <w:t>grupos de municipios en el grup</w:t>
      </w:r>
      <w:r w:rsidR="009E0877" w:rsidRPr="00152CDF">
        <w:rPr>
          <w:rStyle w:val="hps"/>
          <w:rFonts w:ascii="Arial" w:hAnsi="Arial" w:cs="Arial"/>
          <w:color w:val="222222"/>
          <w:lang w:val="es-ES_tradnl"/>
        </w:rPr>
        <w:t>o de control los cuales constará</w:t>
      </w:r>
      <w:r w:rsidR="003930DE" w:rsidRPr="00152CDF">
        <w:rPr>
          <w:rStyle w:val="hps"/>
          <w:rFonts w:ascii="Arial" w:hAnsi="Arial" w:cs="Arial"/>
          <w:color w:val="222222"/>
          <w:lang w:val="es-ES_tradnl"/>
        </w:rPr>
        <w:t>n con un número similar de municipios</w:t>
      </w:r>
      <w:r w:rsidR="00672879" w:rsidRPr="00152CDF">
        <w:rPr>
          <w:rStyle w:val="hps"/>
          <w:rFonts w:ascii="Arial" w:hAnsi="Arial" w:cs="Arial"/>
          <w:color w:val="222222"/>
          <w:lang w:val="es-ES_tradnl"/>
        </w:rPr>
        <w:t xml:space="preserve"> y </w:t>
      </w:r>
      <w:r w:rsidR="003930DE" w:rsidRPr="00152CDF">
        <w:rPr>
          <w:rStyle w:val="hps"/>
          <w:rFonts w:ascii="Arial" w:hAnsi="Arial" w:cs="Arial"/>
          <w:color w:val="222222"/>
          <w:lang w:val="es-ES_tradnl"/>
        </w:rPr>
        <w:t>escuelas</w:t>
      </w:r>
      <w:r w:rsidR="00A946B4" w:rsidRPr="00152CDF">
        <w:rPr>
          <w:rStyle w:val="hps"/>
          <w:rFonts w:ascii="Arial" w:hAnsi="Arial" w:cs="Arial"/>
          <w:color w:val="222222"/>
          <w:lang w:val="es-ES_tradnl"/>
        </w:rPr>
        <w:t xml:space="preserve"> (y características educacionales y socioeconómicas)</w:t>
      </w:r>
      <w:r w:rsidR="003930DE" w:rsidRPr="00152CDF">
        <w:rPr>
          <w:rStyle w:val="hps"/>
          <w:rFonts w:ascii="Arial" w:hAnsi="Arial" w:cs="Arial"/>
          <w:color w:val="222222"/>
          <w:lang w:val="es-ES_tradnl"/>
        </w:rPr>
        <w:t xml:space="preserve">. </w:t>
      </w:r>
      <w:r w:rsidR="00672879" w:rsidRPr="00152CDF">
        <w:rPr>
          <w:rStyle w:val="hps"/>
          <w:rFonts w:ascii="Arial" w:hAnsi="Arial" w:cs="Arial"/>
          <w:color w:val="222222"/>
          <w:lang w:val="es-ES_tradnl"/>
        </w:rPr>
        <w:t xml:space="preserve">Se </w:t>
      </w:r>
      <w:r w:rsidR="003930DE" w:rsidRPr="00152CDF">
        <w:rPr>
          <w:rStyle w:val="hps"/>
          <w:rFonts w:ascii="Arial" w:hAnsi="Arial" w:cs="Arial"/>
          <w:color w:val="222222"/>
          <w:lang w:val="es-ES_tradnl"/>
        </w:rPr>
        <w:t xml:space="preserve">estima que </w:t>
      </w:r>
      <w:r w:rsidR="003930DE" w:rsidRPr="00152CDF">
        <w:rPr>
          <w:rFonts w:ascii="Arial" w:hAnsi="Arial" w:cs="Arial"/>
          <w:color w:val="222222"/>
          <w:lang w:val="es-ES_tradnl"/>
        </w:rPr>
        <w:t xml:space="preserve">el universo total constará de </w:t>
      </w:r>
      <w:r w:rsidR="001201F0">
        <w:rPr>
          <w:rFonts w:ascii="Arial" w:hAnsi="Arial" w:cs="Arial"/>
          <w:color w:val="222222"/>
          <w:lang w:val="es-ES_tradnl"/>
        </w:rPr>
        <w:t>8</w:t>
      </w:r>
      <w:r w:rsidR="003930DE" w:rsidRPr="00152CDF">
        <w:rPr>
          <w:rFonts w:ascii="Arial" w:hAnsi="Arial" w:cs="Arial"/>
          <w:color w:val="222222"/>
          <w:lang w:val="es-ES_tradnl"/>
        </w:rPr>
        <w:t xml:space="preserve"> </w:t>
      </w:r>
      <w:proofErr w:type="spellStart"/>
      <w:r w:rsidR="003930DE" w:rsidRPr="00152CDF">
        <w:rPr>
          <w:rFonts w:ascii="Arial" w:hAnsi="Arial" w:cs="Arial"/>
          <w:color w:val="222222"/>
          <w:lang w:val="es-ES_tradnl"/>
        </w:rPr>
        <w:t>SLE</w:t>
      </w:r>
      <w:r w:rsidR="009D1A5B">
        <w:rPr>
          <w:rFonts w:ascii="Arial" w:hAnsi="Arial" w:cs="Arial"/>
          <w:color w:val="222222"/>
          <w:lang w:val="es-ES_tradnl"/>
        </w:rPr>
        <w:t>P</w:t>
      </w:r>
      <w:proofErr w:type="spellEnd"/>
      <w:r w:rsidR="003930DE" w:rsidRPr="00152CDF">
        <w:rPr>
          <w:rFonts w:ascii="Arial" w:hAnsi="Arial" w:cs="Arial"/>
          <w:color w:val="222222"/>
          <w:lang w:val="es-ES_tradnl"/>
        </w:rPr>
        <w:t xml:space="preserve">/grupos </w:t>
      </w:r>
      <w:r w:rsidR="009C1C02" w:rsidRPr="00152CDF">
        <w:rPr>
          <w:rFonts w:ascii="Arial" w:hAnsi="Arial" w:cs="Arial"/>
          <w:color w:val="222222"/>
          <w:lang w:val="es-ES_tradnl"/>
        </w:rPr>
        <w:t>de municipios</w:t>
      </w:r>
      <w:r w:rsidR="00A946B4" w:rsidRPr="00152CDF">
        <w:rPr>
          <w:rFonts w:ascii="Arial" w:hAnsi="Arial" w:cs="Arial"/>
          <w:color w:val="222222"/>
          <w:lang w:val="es-ES_tradnl"/>
        </w:rPr>
        <w:t xml:space="preserve"> </w:t>
      </w:r>
      <w:r w:rsidR="00672879" w:rsidRPr="00152CDF">
        <w:rPr>
          <w:rFonts w:ascii="Arial" w:hAnsi="Arial" w:cs="Arial"/>
          <w:color w:val="222222"/>
          <w:lang w:val="es-ES_tradnl"/>
        </w:rPr>
        <w:t>y</w:t>
      </w:r>
      <w:r w:rsidR="00A946B4" w:rsidRPr="00152CDF">
        <w:rPr>
          <w:rFonts w:ascii="Arial" w:hAnsi="Arial" w:cs="Arial"/>
          <w:color w:val="222222"/>
          <w:lang w:val="es-ES_tradnl"/>
        </w:rPr>
        <w:t xml:space="preserve"> más de</w:t>
      </w:r>
      <w:r w:rsidR="00672879" w:rsidRPr="00152CDF">
        <w:rPr>
          <w:rFonts w:ascii="Arial" w:hAnsi="Arial" w:cs="Arial"/>
          <w:color w:val="222222"/>
          <w:lang w:val="es-ES_tradnl"/>
        </w:rPr>
        <w:t xml:space="preserve"> </w:t>
      </w:r>
      <w:r w:rsidR="00C335D7">
        <w:rPr>
          <w:rFonts w:ascii="Arial" w:hAnsi="Arial" w:cs="Arial"/>
          <w:color w:val="222222"/>
          <w:lang w:val="es-ES_tradnl"/>
        </w:rPr>
        <w:t>500</w:t>
      </w:r>
      <w:r w:rsidR="009C1C02" w:rsidRPr="00152CDF">
        <w:rPr>
          <w:rFonts w:ascii="Arial" w:hAnsi="Arial" w:cs="Arial"/>
          <w:color w:val="222222"/>
          <w:lang w:val="es-ES_tradnl"/>
        </w:rPr>
        <w:t xml:space="preserve"> escuelas</w:t>
      </w:r>
      <w:r w:rsidR="00A946B4" w:rsidRPr="00152CDF">
        <w:rPr>
          <w:rFonts w:ascii="Arial" w:hAnsi="Arial" w:cs="Arial"/>
          <w:color w:val="222222"/>
          <w:lang w:val="es-ES_tradnl"/>
        </w:rPr>
        <w:t xml:space="preserve"> por cada año escolar</w:t>
      </w:r>
      <w:r w:rsidR="003930DE" w:rsidRPr="00152CDF">
        <w:rPr>
          <w:rFonts w:ascii="Arial" w:hAnsi="Arial" w:cs="Arial"/>
          <w:color w:val="222222"/>
          <w:lang w:val="es-ES_tradnl"/>
        </w:rPr>
        <w:t>.</w:t>
      </w:r>
    </w:p>
    <w:p w14:paraId="1F7875BE" w14:textId="746684BC" w:rsidR="00B53C69" w:rsidRPr="00152CDF" w:rsidRDefault="00B53C69" w:rsidP="00F947D6">
      <w:pPr>
        <w:spacing w:before="120" w:after="0" w:line="240" w:lineRule="auto"/>
        <w:jc w:val="both"/>
        <w:rPr>
          <w:rStyle w:val="hps"/>
          <w:rFonts w:ascii="Arial" w:hAnsi="Arial" w:cs="Arial"/>
          <w:color w:val="222222"/>
          <w:lang w:val="es-ES_tradnl"/>
        </w:rPr>
      </w:pPr>
      <w:r w:rsidRPr="00152CDF">
        <w:rPr>
          <w:rStyle w:val="hps"/>
          <w:rFonts w:ascii="Arial" w:hAnsi="Arial" w:cs="Arial"/>
          <w:color w:val="222222"/>
          <w:lang w:val="es-ES_tradnl"/>
        </w:rPr>
        <w:t xml:space="preserve">La asignación al tratamiento es a nivel de </w:t>
      </w:r>
      <w:proofErr w:type="spellStart"/>
      <w:r w:rsidRPr="00152CDF">
        <w:rPr>
          <w:rStyle w:val="hps"/>
          <w:rFonts w:ascii="Arial" w:hAnsi="Arial" w:cs="Arial"/>
          <w:color w:val="222222"/>
          <w:lang w:val="es-ES_tradnl"/>
        </w:rPr>
        <w:t>S</w:t>
      </w:r>
      <w:r w:rsidR="00867811" w:rsidRPr="00152CDF">
        <w:rPr>
          <w:rStyle w:val="hps"/>
          <w:rFonts w:ascii="Arial" w:hAnsi="Arial" w:cs="Arial"/>
          <w:color w:val="222222"/>
          <w:lang w:val="es-ES_tradnl"/>
        </w:rPr>
        <w:t>LE</w:t>
      </w:r>
      <w:r w:rsidR="005A353F">
        <w:rPr>
          <w:rStyle w:val="hps"/>
          <w:rFonts w:ascii="Arial" w:hAnsi="Arial" w:cs="Arial"/>
          <w:color w:val="222222"/>
          <w:lang w:val="es-ES_tradnl"/>
        </w:rPr>
        <w:t>P</w:t>
      </w:r>
      <w:r w:rsidR="00867811" w:rsidRPr="00152CDF">
        <w:rPr>
          <w:rStyle w:val="hps"/>
          <w:rFonts w:ascii="Arial" w:hAnsi="Arial" w:cs="Arial"/>
          <w:color w:val="222222"/>
          <w:lang w:val="es-ES_tradnl"/>
        </w:rPr>
        <w:t>s</w:t>
      </w:r>
      <w:proofErr w:type="spellEnd"/>
      <w:r w:rsidRPr="00152CDF">
        <w:rPr>
          <w:rStyle w:val="hps"/>
          <w:rFonts w:ascii="Arial" w:hAnsi="Arial" w:cs="Arial"/>
          <w:color w:val="222222"/>
          <w:lang w:val="es-ES_tradnl"/>
        </w:rPr>
        <w:t xml:space="preserve">, pues todas las escuelas dentro de cada </w:t>
      </w:r>
      <w:proofErr w:type="spellStart"/>
      <w:r w:rsidRPr="00152CDF">
        <w:rPr>
          <w:rStyle w:val="hps"/>
          <w:rFonts w:ascii="Arial" w:hAnsi="Arial" w:cs="Arial"/>
          <w:color w:val="222222"/>
          <w:lang w:val="es-ES_tradnl"/>
        </w:rPr>
        <w:t>SLE</w:t>
      </w:r>
      <w:proofErr w:type="spellEnd"/>
      <w:r w:rsidRPr="00152CDF">
        <w:rPr>
          <w:rStyle w:val="hps"/>
          <w:rFonts w:ascii="Arial" w:hAnsi="Arial" w:cs="Arial"/>
          <w:color w:val="222222"/>
          <w:lang w:val="es-ES_tradnl"/>
        </w:rPr>
        <w:t xml:space="preserve"> en el grupo de tratamiento están expuestas a la intervención. Este diseño implica una estructura de los datos multinivel. El trabajo de </w:t>
      </w:r>
      <w:proofErr w:type="spellStart"/>
      <w:r w:rsidRPr="00152CDF">
        <w:rPr>
          <w:rStyle w:val="hps"/>
          <w:rFonts w:ascii="Arial" w:hAnsi="Arial" w:cs="Arial"/>
          <w:color w:val="222222"/>
          <w:lang w:val="es-ES_tradnl"/>
        </w:rPr>
        <w:t>Spybrook</w:t>
      </w:r>
      <w:proofErr w:type="spellEnd"/>
      <w:r w:rsidRPr="00152CDF">
        <w:rPr>
          <w:rStyle w:val="hps"/>
          <w:rFonts w:ascii="Arial" w:hAnsi="Arial" w:cs="Arial"/>
          <w:color w:val="222222"/>
          <w:lang w:val="es-ES_tradnl"/>
        </w:rPr>
        <w:t xml:space="preserve"> y otros (2006) permite el cálculo de poder y tamaño mínimo detectable </w:t>
      </w:r>
      <w:r w:rsidR="00D27FB4" w:rsidRPr="00152CDF">
        <w:rPr>
          <w:rStyle w:val="hps"/>
          <w:rFonts w:ascii="Arial" w:hAnsi="Arial" w:cs="Arial"/>
          <w:color w:val="222222"/>
          <w:lang w:val="es-ES_tradnl"/>
        </w:rPr>
        <w:t xml:space="preserve">cuando </w:t>
      </w:r>
      <w:r w:rsidRPr="00152CDF">
        <w:rPr>
          <w:rStyle w:val="hps"/>
          <w:rFonts w:ascii="Arial" w:hAnsi="Arial" w:cs="Arial"/>
          <w:color w:val="222222"/>
          <w:lang w:val="es-ES_tradnl"/>
        </w:rPr>
        <w:t xml:space="preserve">la unidad de asignación al tratamiento contiene </w:t>
      </w:r>
      <w:r w:rsidR="001D305C" w:rsidRPr="00152CDF">
        <w:rPr>
          <w:rStyle w:val="hps"/>
          <w:rFonts w:ascii="Arial" w:hAnsi="Arial" w:cs="Arial"/>
          <w:color w:val="222222"/>
          <w:lang w:val="es-ES_tradnl"/>
        </w:rPr>
        <w:t>subunidades</w:t>
      </w:r>
      <w:r w:rsidRPr="00152CDF">
        <w:rPr>
          <w:rStyle w:val="hps"/>
          <w:rFonts w:ascii="Arial" w:hAnsi="Arial" w:cs="Arial"/>
          <w:color w:val="222222"/>
          <w:lang w:val="es-ES_tradnl"/>
        </w:rPr>
        <w:t xml:space="preserve">, tal y como en este caso (asignación al tratamiento a nivel de </w:t>
      </w:r>
      <w:proofErr w:type="spellStart"/>
      <w:r w:rsidRPr="00152CDF">
        <w:rPr>
          <w:rStyle w:val="hps"/>
          <w:rFonts w:ascii="Arial" w:hAnsi="Arial" w:cs="Arial"/>
          <w:color w:val="222222"/>
          <w:lang w:val="es-ES_tradnl"/>
        </w:rPr>
        <w:t>SLE</w:t>
      </w:r>
      <w:proofErr w:type="spellEnd"/>
      <w:r w:rsidRPr="00152CDF">
        <w:rPr>
          <w:rStyle w:val="hps"/>
          <w:rFonts w:ascii="Arial" w:hAnsi="Arial" w:cs="Arial"/>
          <w:color w:val="222222"/>
          <w:lang w:val="es-ES_tradnl"/>
        </w:rPr>
        <w:t>, los que contienen escuelas).</w:t>
      </w:r>
      <w:r w:rsidR="00176A3A" w:rsidRPr="00152CDF">
        <w:rPr>
          <w:rStyle w:val="FootnoteReference"/>
          <w:rFonts w:ascii="Arial" w:hAnsi="Arial" w:cs="Arial"/>
          <w:color w:val="222222"/>
          <w:lang w:val="es-ES_tradnl"/>
        </w:rPr>
        <w:footnoteReference w:id="6"/>
      </w:r>
    </w:p>
    <w:p w14:paraId="6B49C207" w14:textId="21723775" w:rsidR="003930DE" w:rsidRPr="00152CDF" w:rsidRDefault="00B7212F" w:rsidP="00F947D6">
      <w:pPr>
        <w:spacing w:before="120" w:after="0" w:line="240" w:lineRule="auto"/>
        <w:jc w:val="both"/>
        <w:rPr>
          <w:rStyle w:val="hps"/>
          <w:rFonts w:ascii="Arial" w:hAnsi="Arial" w:cs="Arial"/>
          <w:color w:val="222222"/>
          <w:lang w:val="es-ES_tradnl"/>
        </w:rPr>
      </w:pPr>
      <w:r w:rsidRPr="00152CDF">
        <w:rPr>
          <w:rStyle w:val="hps"/>
          <w:rFonts w:ascii="Arial" w:hAnsi="Arial" w:cs="Arial"/>
          <w:color w:val="222222"/>
          <w:lang w:val="es-ES_tradnl"/>
        </w:rPr>
        <w:t xml:space="preserve">Utilizando el </w:t>
      </w:r>
      <w:proofErr w:type="spellStart"/>
      <w:r w:rsidRPr="00152CDF">
        <w:rPr>
          <w:rStyle w:val="hps"/>
          <w:rFonts w:ascii="Arial" w:hAnsi="Arial" w:cs="Arial"/>
          <w:i/>
          <w:color w:val="222222"/>
          <w:lang w:val="es-ES_tradnl"/>
        </w:rPr>
        <w:t>Optima</w:t>
      </w:r>
      <w:r w:rsidR="00694B39" w:rsidRPr="00152CDF">
        <w:rPr>
          <w:rStyle w:val="hps"/>
          <w:rFonts w:ascii="Arial" w:hAnsi="Arial" w:cs="Arial"/>
          <w:i/>
          <w:color w:val="222222"/>
          <w:lang w:val="es-ES_tradnl"/>
        </w:rPr>
        <w:t>l</w:t>
      </w:r>
      <w:proofErr w:type="spellEnd"/>
      <w:r w:rsidRPr="00152CDF">
        <w:rPr>
          <w:rStyle w:val="hps"/>
          <w:rFonts w:ascii="Arial" w:hAnsi="Arial" w:cs="Arial"/>
          <w:i/>
          <w:color w:val="222222"/>
          <w:lang w:val="es-ES_tradnl"/>
        </w:rPr>
        <w:t xml:space="preserve"> </w:t>
      </w:r>
      <w:proofErr w:type="spellStart"/>
      <w:r w:rsidRPr="00152CDF">
        <w:rPr>
          <w:rStyle w:val="hps"/>
          <w:rFonts w:ascii="Arial" w:hAnsi="Arial" w:cs="Arial"/>
          <w:i/>
          <w:color w:val="222222"/>
          <w:lang w:val="es-ES_tradnl"/>
        </w:rPr>
        <w:t>Design</w:t>
      </w:r>
      <w:proofErr w:type="spellEnd"/>
      <w:r w:rsidRPr="00152CDF">
        <w:rPr>
          <w:rStyle w:val="hps"/>
          <w:rFonts w:ascii="Arial" w:hAnsi="Arial" w:cs="Arial"/>
          <w:i/>
          <w:color w:val="222222"/>
          <w:lang w:val="es-ES_tradnl"/>
        </w:rPr>
        <w:t xml:space="preserve"> Software</w:t>
      </w:r>
      <w:r w:rsidR="007D14DD" w:rsidRPr="00152CDF">
        <w:rPr>
          <w:rStyle w:val="hps"/>
          <w:rFonts w:ascii="Arial" w:hAnsi="Arial" w:cs="Arial"/>
          <w:color w:val="222222"/>
          <w:lang w:val="es-ES_tradnl"/>
        </w:rPr>
        <w:t xml:space="preserve">, se calculó el efecto mínimo detectable que se puede obtener con un diseño como el propuesto. </w:t>
      </w:r>
      <w:r w:rsidR="00FE6532" w:rsidRPr="00152CDF">
        <w:rPr>
          <w:rStyle w:val="hps"/>
          <w:rFonts w:ascii="Arial" w:hAnsi="Arial" w:cs="Arial"/>
          <w:color w:val="222222"/>
          <w:lang w:val="es-ES_tradnl"/>
        </w:rPr>
        <w:t xml:space="preserve">Para el cálculo se asumieron los siguientes valores: </w:t>
      </w:r>
    </w:p>
    <w:p w14:paraId="07A575BE" w14:textId="1BFF0D52" w:rsidR="000258E1" w:rsidRPr="00152CDF" w:rsidRDefault="000258E1" w:rsidP="00F947D6">
      <w:pPr>
        <w:pStyle w:val="ListParagraph"/>
        <w:numPr>
          <w:ilvl w:val="0"/>
          <w:numId w:val="6"/>
        </w:numPr>
        <w:spacing w:before="120" w:after="0" w:line="259" w:lineRule="auto"/>
        <w:contextualSpacing w:val="0"/>
        <w:rPr>
          <w:rFonts w:ascii="Arial" w:hAnsi="Arial" w:cs="Arial"/>
          <w:lang w:val="es-ES_tradnl"/>
        </w:rPr>
      </w:pPr>
      <w:r w:rsidRPr="00152CDF">
        <w:rPr>
          <w:rFonts w:ascii="Arial" w:hAnsi="Arial" w:cs="Arial"/>
          <w:lang w:val="es-ES_tradnl"/>
        </w:rPr>
        <w:t>N</w:t>
      </w:r>
      <w:r w:rsidR="00C07076" w:rsidRPr="00152CDF">
        <w:rPr>
          <w:rFonts w:ascii="Arial" w:hAnsi="Arial" w:cs="Arial"/>
          <w:lang w:val="es-ES_tradnl"/>
        </w:rPr>
        <w:t>úmero de ni</w:t>
      </w:r>
      <w:r w:rsidRPr="00152CDF">
        <w:rPr>
          <w:rFonts w:ascii="Arial" w:hAnsi="Arial" w:cs="Arial"/>
          <w:lang w:val="es-ES_tradnl"/>
        </w:rPr>
        <w:t>vel</w:t>
      </w:r>
      <w:r w:rsidR="00C07076" w:rsidRPr="00152CDF">
        <w:rPr>
          <w:rFonts w:ascii="Arial" w:hAnsi="Arial" w:cs="Arial"/>
          <w:lang w:val="es-ES_tradnl"/>
        </w:rPr>
        <w:t>e</w:t>
      </w:r>
      <w:r w:rsidRPr="00152CDF">
        <w:rPr>
          <w:rFonts w:ascii="Arial" w:hAnsi="Arial" w:cs="Arial"/>
          <w:lang w:val="es-ES_tradnl"/>
        </w:rPr>
        <w:t xml:space="preserve">s: 2 (escuelas y </w:t>
      </w:r>
      <w:proofErr w:type="spellStart"/>
      <w:r w:rsidRPr="00152CDF">
        <w:rPr>
          <w:rFonts w:ascii="Arial" w:hAnsi="Arial" w:cs="Arial"/>
          <w:lang w:val="es-ES_tradnl"/>
        </w:rPr>
        <w:t>SLE</w:t>
      </w:r>
      <w:r w:rsidR="001D305C">
        <w:rPr>
          <w:rFonts w:ascii="Arial" w:hAnsi="Arial" w:cs="Arial"/>
          <w:lang w:val="es-ES_tradnl"/>
        </w:rPr>
        <w:t>P</w:t>
      </w:r>
      <w:r w:rsidRPr="00152CDF">
        <w:rPr>
          <w:rFonts w:ascii="Arial" w:hAnsi="Arial" w:cs="Arial"/>
          <w:lang w:val="es-ES_tradnl"/>
        </w:rPr>
        <w:t>s</w:t>
      </w:r>
      <w:proofErr w:type="spellEnd"/>
      <w:r w:rsidRPr="00152CDF">
        <w:rPr>
          <w:rFonts w:ascii="Arial" w:hAnsi="Arial" w:cs="Arial"/>
          <w:lang w:val="es-ES_tradnl"/>
        </w:rPr>
        <w:t xml:space="preserve">). </w:t>
      </w:r>
    </w:p>
    <w:p w14:paraId="71A29C6A" w14:textId="77777777" w:rsidR="007D14DD" w:rsidRPr="00152CDF" w:rsidRDefault="007D14DD" w:rsidP="00F947D6">
      <w:pPr>
        <w:pStyle w:val="ListParagraph"/>
        <w:numPr>
          <w:ilvl w:val="0"/>
          <w:numId w:val="6"/>
        </w:numPr>
        <w:spacing w:before="120" w:after="0" w:line="259" w:lineRule="auto"/>
        <w:contextualSpacing w:val="0"/>
        <w:rPr>
          <w:rFonts w:ascii="Arial" w:hAnsi="Arial" w:cs="Arial"/>
          <w:lang w:val="es-ES_tradnl"/>
        </w:rPr>
      </w:pPr>
      <w:r w:rsidRPr="00152CDF">
        <w:rPr>
          <w:rFonts w:ascii="Arial" w:hAnsi="Arial" w:cs="Arial"/>
          <w:lang w:val="es-ES_tradnl"/>
        </w:rPr>
        <w:t>Nivel de significancia (α): 5%</w:t>
      </w:r>
    </w:p>
    <w:p w14:paraId="065776A9" w14:textId="531E0FF0" w:rsidR="007D14DD" w:rsidRPr="00152CDF" w:rsidRDefault="007D14DD" w:rsidP="00F947D6">
      <w:pPr>
        <w:pStyle w:val="ListParagraph"/>
        <w:numPr>
          <w:ilvl w:val="0"/>
          <w:numId w:val="6"/>
        </w:numPr>
        <w:spacing w:before="120" w:after="0" w:line="259" w:lineRule="auto"/>
        <w:contextualSpacing w:val="0"/>
        <w:rPr>
          <w:rFonts w:ascii="Arial" w:hAnsi="Arial" w:cs="Arial"/>
          <w:lang w:val="es-ES_tradnl"/>
        </w:rPr>
      </w:pPr>
      <w:r w:rsidRPr="00152CDF">
        <w:rPr>
          <w:rFonts w:ascii="Arial" w:hAnsi="Arial" w:cs="Arial"/>
          <w:lang w:val="es-ES_tradnl"/>
        </w:rPr>
        <w:t xml:space="preserve">Número de escuelas por </w:t>
      </w:r>
      <w:proofErr w:type="spellStart"/>
      <w:r w:rsidRPr="00152CDF">
        <w:rPr>
          <w:rFonts w:ascii="Arial" w:hAnsi="Arial" w:cs="Arial"/>
          <w:lang w:val="es-ES_tradnl"/>
        </w:rPr>
        <w:t>SLE</w:t>
      </w:r>
      <w:r w:rsidR="009D1A5B">
        <w:rPr>
          <w:rFonts w:ascii="Arial" w:hAnsi="Arial" w:cs="Arial"/>
          <w:lang w:val="es-ES_tradnl"/>
        </w:rPr>
        <w:t>P</w:t>
      </w:r>
      <w:proofErr w:type="spellEnd"/>
      <w:r w:rsidRPr="00152CDF">
        <w:rPr>
          <w:rFonts w:ascii="Arial" w:hAnsi="Arial" w:cs="Arial"/>
          <w:lang w:val="es-ES_tradnl"/>
        </w:rPr>
        <w:t>: 180</w:t>
      </w:r>
    </w:p>
    <w:p w14:paraId="646FF773" w14:textId="43564E84" w:rsidR="007D14DD" w:rsidRPr="00152CDF" w:rsidRDefault="007D14DD" w:rsidP="00F947D6">
      <w:pPr>
        <w:pStyle w:val="ListParagraph"/>
        <w:numPr>
          <w:ilvl w:val="0"/>
          <w:numId w:val="6"/>
        </w:numPr>
        <w:spacing w:before="120" w:after="0" w:line="259" w:lineRule="auto"/>
        <w:contextualSpacing w:val="0"/>
        <w:rPr>
          <w:rFonts w:ascii="Arial" w:hAnsi="Arial" w:cs="Arial"/>
          <w:lang w:val="es-ES_tradnl"/>
        </w:rPr>
      </w:pPr>
      <w:r w:rsidRPr="00152CDF">
        <w:rPr>
          <w:rFonts w:ascii="Arial" w:hAnsi="Arial" w:cs="Arial"/>
          <w:lang w:val="es-ES_tradnl"/>
        </w:rPr>
        <w:t xml:space="preserve">Correlación </w:t>
      </w:r>
      <w:proofErr w:type="spellStart"/>
      <w:proofErr w:type="gramStart"/>
      <w:r w:rsidRPr="00152CDF">
        <w:rPr>
          <w:rFonts w:ascii="Arial" w:hAnsi="Arial" w:cs="Arial"/>
          <w:lang w:val="es-ES_tradnl"/>
        </w:rPr>
        <w:t>intra-clase</w:t>
      </w:r>
      <w:proofErr w:type="spellEnd"/>
      <w:proofErr w:type="gramEnd"/>
      <w:r w:rsidRPr="00152CDF">
        <w:rPr>
          <w:rFonts w:ascii="Arial" w:hAnsi="Arial" w:cs="Arial"/>
          <w:lang w:val="es-ES_tradnl"/>
        </w:rPr>
        <w:t xml:space="preserve"> para </w:t>
      </w:r>
      <w:proofErr w:type="spellStart"/>
      <w:r w:rsidRPr="00152CDF">
        <w:rPr>
          <w:rFonts w:ascii="Arial" w:hAnsi="Arial" w:cs="Arial"/>
          <w:lang w:val="es-ES_tradnl"/>
        </w:rPr>
        <w:t>SLE</w:t>
      </w:r>
      <w:r w:rsidR="009D1A5B">
        <w:rPr>
          <w:rFonts w:ascii="Arial" w:hAnsi="Arial" w:cs="Arial"/>
          <w:lang w:val="es-ES_tradnl"/>
        </w:rPr>
        <w:t>P</w:t>
      </w:r>
      <w:proofErr w:type="spellEnd"/>
      <w:r w:rsidRPr="00152CDF">
        <w:rPr>
          <w:rStyle w:val="FootnoteReference"/>
          <w:rFonts w:ascii="Arial" w:hAnsi="Arial" w:cs="Arial"/>
          <w:lang w:val="es-ES_tradnl"/>
        </w:rPr>
        <w:footnoteReference w:id="7"/>
      </w:r>
      <w:r w:rsidRPr="00152CDF">
        <w:rPr>
          <w:rFonts w:ascii="Arial" w:hAnsi="Arial" w:cs="Arial"/>
          <w:lang w:val="es-ES_tradnl"/>
        </w:rPr>
        <w:t>: 0.01</w:t>
      </w:r>
      <w:r w:rsidRPr="00152CDF">
        <w:rPr>
          <w:rStyle w:val="FootnoteReference"/>
          <w:rFonts w:ascii="Arial" w:hAnsi="Arial" w:cs="Arial"/>
          <w:lang w:val="es-ES_tradnl"/>
        </w:rPr>
        <w:footnoteReference w:id="8"/>
      </w:r>
    </w:p>
    <w:p w14:paraId="3674F09D" w14:textId="22AECFBE" w:rsidR="007D14DD" w:rsidRPr="00152CDF" w:rsidRDefault="007D14DD" w:rsidP="00F947D6">
      <w:pPr>
        <w:pStyle w:val="ListParagraph"/>
        <w:numPr>
          <w:ilvl w:val="0"/>
          <w:numId w:val="6"/>
        </w:numPr>
        <w:spacing w:before="120" w:after="0" w:line="259" w:lineRule="auto"/>
        <w:contextualSpacing w:val="0"/>
        <w:rPr>
          <w:rFonts w:ascii="Arial" w:hAnsi="Arial" w:cs="Arial"/>
          <w:lang w:val="es-ES_tradnl"/>
        </w:rPr>
      </w:pPr>
      <w:proofErr w:type="spellStart"/>
      <w:r w:rsidRPr="00152CDF">
        <w:rPr>
          <w:rFonts w:ascii="Arial" w:hAnsi="Arial" w:cs="Arial"/>
          <w:lang w:val="es-ES_tradnl"/>
        </w:rPr>
        <w:t>R</w:t>
      </w:r>
      <w:r w:rsidRPr="00152CDF">
        <w:rPr>
          <w:rFonts w:ascii="Arial" w:hAnsi="Arial" w:cs="Arial"/>
          <w:vertAlign w:val="superscript"/>
          <w:lang w:val="es-ES_tradnl"/>
        </w:rPr>
        <w:t>2</w:t>
      </w:r>
      <w:proofErr w:type="spellEnd"/>
      <w:r w:rsidRPr="00152CDF">
        <w:rPr>
          <w:rFonts w:ascii="Arial" w:hAnsi="Arial" w:cs="Arial"/>
          <w:lang w:val="es-ES_tradnl"/>
        </w:rPr>
        <w:t xml:space="preserve"> de un modelo de dos niveles (escuelas anidadas en </w:t>
      </w:r>
      <w:proofErr w:type="spellStart"/>
      <w:r w:rsidRPr="00152CDF">
        <w:rPr>
          <w:rFonts w:ascii="Arial" w:hAnsi="Arial" w:cs="Arial"/>
          <w:lang w:val="es-ES_tradnl"/>
        </w:rPr>
        <w:t>SLE</w:t>
      </w:r>
      <w:r w:rsidR="001D305C">
        <w:rPr>
          <w:rFonts w:ascii="Arial" w:hAnsi="Arial" w:cs="Arial"/>
          <w:lang w:val="es-ES_tradnl"/>
        </w:rPr>
        <w:t>P</w:t>
      </w:r>
      <w:r w:rsidRPr="00152CDF">
        <w:rPr>
          <w:rFonts w:ascii="Arial" w:hAnsi="Arial" w:cs="Arial"/>
          <w:lang w:val="es-ES_tradnl"/>
        </w:rPr>
        <w:t>s</w:t>
      </w:r>
      <w:proofErr w:type="spellEnd"/>
      <w:r w:rsidRPr="00152CDF">
        <w:rPr>
          <w:rFonts w:ascii="Arial" w:hAnsi="Arial" w:cs="Arial"/>
          <w:lang w:val="es-ES_tradnl"/>
        </w:rPr>
        <w:t>): 0.4</w:t>
      </w:r>
    </w:p>
    <w:p w14:paraId="3F3F77D9" w14:textId="77777777" w:rsidR="00B6096E" w:rsidRPr="00152CDF" w:rsidRDefault="00B6096E" w:rsidP="00F947D6">
      <w:pPr>
        <w:spacing w:before="120" w:after="0" w:line="240" w:lineRule="auto"/>
        <w:jc w:val="both"/>
        <w:rPr>
          <w:rFonts w:ascii="Arial" w:hAnsi="Arial" w:cs="Arial"/>
          <w:color w:val="222222"/>
          <w:lang w:val="es-ES_tradnl"/>
        </w:rPr>
      </w:pPr>
    </w:p>
    <w:p w14:paraId="00E59E3F" w14:textId="0195174D" w:rsidR="00314F60" w:rsidRPr="00152CDF" w:rsidRDefault="009E0FE7" w:rsidP="00FA3F72">
      <w:pPr>
        <w:spacing w:line="240" w:lineRule="auto"/>
        <w:jc w:val="both"/>
        <w:rPr>
          <w:rFonts w:ascii="Arial" w:hAnsi="Arial" w:cs="Arial"/>
          <w:color w:val="222222"/>
          <w:lang w:val="es-ES_tradnl"/>
        </w:rPr>
      </w:pPr>
      <w:r w:rsidRPr="00152CDF">
        <w:rPr>
          <w:rFonts w:ascii="Arial" w:hAnsi="Arial" w:cs="Arial"/>
          <w:color w:val="222222"/>
          <w:lang w:val="es-ES_tradnl"/>
        </w:rPr>
        <w:lastRenderedPageBreak/>
        <w:t>Los resultados indican que con el diseño propuesto sería posible encontrar un efecto de 0.</w:t>
      </w:r>
      <w:r w:rsidR="0090173E" w:rsidRPr="00152CDF">
        <w:rPr>
          <w:rFonts w:ascii="Arial" w:hAnsi="Arial" w:cs="Arial"/>
          <w:color w:val="222222"/>
          <w:lang w:val="es-ES_tradnl"/>
        </w:rPr>
        <w:t>16 desviaciones est</w:t>
      </w:r>
      <w:r w:rsidR="008F1416" w:rsidRPr="00152CDF">
        <w:rPr>
          <w:rFonts w:ascii="Arial" w:hAnsi="Arial" w:cs="Arial"/>
          <w:color w:val="222222"/>
          <w:lang w:val="es-ES_tradnl"/>
        </w:rPr>
        <w:t xml:space="preserve">ándar con un poder del 65%, y de 0.2 desviaciones estándar con un poder del 80% (Gráfico </w:t>
      </w:r>
      <w:r w:rsidR="008942E9">
        <w:rPr>
          <w:rFonts w:ascii="Arial" w:hAnsi="Arial" w:cs="Arial"/>
          <w:color w:val="222222"/>
          <w:lang w:val="es-ES_tradnl"/>
        </w:rPr>
        <w:t>3</w:t>
      </w:r>
      <w:r w:rsidR="007F2A94" w:rsidRPr="00152CDF">
        <w:rPr>
          <w:rFonts w:ascii="Arial" w:hAnsi="Arial" w:cs="Arial"/>
          <w:color w:val="222222"/>
          <w:lang w:val="es-ES_tradnl"/>
        </w:rPr>
        <w:t xml:space="preserve">.1). </w:t>
      </w:r>
    </w:p>
    <w:p w14:paraId="03F48545" w14:textId="4FAB9932" w:rsidR="00314F60" w:rsidRPr="00152CDF" w:rsidRDefault="00314F60" w:rsidP="00C85E02">
      <w:pPr>
        <w:keepNext/>
        <w:spacing w:after="0" w:line="240" w:lineRule="auto"/>
        <w:jc w:val="center"/>
        <w:rPr>
          <w:rFonts w:ascii="Arial" w:hAnsi="Arial" w:cs="Arial"/>
          <w:b/>
          <w:color w:val="222222"/>
          <w:sz w:val="18"/>
          <w:szCs w:val="18"/>
          <w:lang w:val="es-ES_tradnl"/>
        </w:rPr>
      </w:pPr>
      <w:r w:rsidRPr="00152CDF">
        <w:rPr>
          <w:rFonts w:ascii="Arial" w:hAnsi="Arial" w:cs="Arial"/>
          <w:b/>
          <w:color w:val="222222"/>
          <w:sz w:val="18"/>
          <w:szCs w:val="18"/>
          <w:lang w:val="es-ES_tradnl"/>
        </w:rPr>
        <w:t xml:space="preserve">Gráfico </w:t>
      </w:r>
      <w:r w:rsidR="008942E9">
        <w:rPr>
          <w:rFonts w:ascii="Arial" w:hAnsi="Arial" w:cs="Arial"/>
          <w:b/>
          <w:color w:val="222222"/>
          <w:sz w:val="18"/>
          <w:szCs w:val="18"/>
          <w:lang w:val="es-ES_tradnl"/>
        </w:rPr>
        <w:t>3</w:t>
      </w:r>
      <w:r w:rsidRPr="00152CDF">
        <w:rPr>
          <w:rFonts w:ascii="Arial" w:hAnsi="Arial" w:cs="Arial"/>
          <w:b/>
          <w:color w:val="222222"/>
          <w:sz w:val="18"/>
          <w:szCs w:val="18"/>
          <w:lang w:val="es-ES_tradnl"/>
        </w:rPr>
        <w:t>.1. Poder y número de grupos para diversos efectos mínimos detectables</w:t>
      </w:r>
    </w:p>
    <w:p w14:paraId="56A96C40" w14:textId="77777777" w:rsidR="00B77B71" w:rsidRPr="00152CDF" w:rsidRDefault="00472C1D" w:rsidP="004C5ADF">
      <w:pPr>
        <w:spacing w:line="240" w:lineRule="auto"/>
        <w:jc w:val="center"/>
        <w:rPr>
          <w:rFonts w:ascii="Arial" w:hAnsi="Arial" w:cs="Arial"/>
          <w:color w:val="222222"/>
          <w:lang w:val="es-ES_tradnl"/>
        </w:rPr>
      </w:pPr>
      <w:r w:rsidRPr="00152CDF">
        <w:rPr>
          <w:rFonts w:ascii="Arial" w:hAnsi="Arial" w:cs="Arial"/>
          <w:noProof/>
          <w:color w:val="222222"/>
          <w:lang w:val="es-ES_tradnl"/>
        </w:rPr>
        <w:drawing>
          <wp:inline distT="0" distB="0" distL="0" distR="0" wp14:anchorId="46B5F5AD" wp14:editId="4D9ED5EC">
            <wp:extent cx="4391247" cy="2534261"/>
            <wp:effectExtent l="0" t="0" r="0" b="0"/>
            <wp:docPr id="1" name="Picture 1" descr="C:\Users\analiaj\Desktop\optdes.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liaj\Desktop\optdes.em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91127" cy="2534192"/>
                    </a:xfrm>
                    <a:prstGeom prst="rect">
                      <a:avLst/>
                    </a:prstGeom>
                    <a:noFill/>
                    <a:ln>
                      <a:noFill/>
                    </a:ln>
                  </pic:spPr>
                </pic:pic>
              </a:graphicData>
            </a:graphic>
          </wp:inline>
        </w:drawing>
      </w:r>
    </w:p>
    <w:p w14:paraId="3CAAC3D3" w14:textId="58AA6B78" w:rsidR="003930DE" w:rsidRPr="00152CDF" w:rsidRDefault="003930DE" w:rsidP="00F947D6">
      <w:pPr>
        <w:pStyle w:val="Heading2"/>
        <w:numPr>
          <w:ilvl w:val="1"/>
          <w:numId w:val="28"/>
        </w:numPr>
        <w:spacing w:before="120"/>
        <w:rPr>
          <w:b/>
          <w:bCs/>
          <w:lang w:val="es-ES_tradnl"/>
        </w:rPr>
      </w:pPr>
      <w:r w:rsidRPr="00152CDF">
        <w:rPr>
          <w:b/>
          <w:bCs/>
          <w:lang w:val="es-ES_tradnl"/>
        </w:rPr>
        <w:t>Validez interna</w:t>
      </w:r>
      <w:r w:rsidR="00057CE7" w:rsidRPr="00152CDF">
        <w:rPr>
          <w:b/>
          <w:bCs/>
          <w:lang w:val="es-ES_tradnl"/>
        </w:rPr>
        <w:t xml:space="preserve"> y externa</w:t>
      </w:r>
    </w:p>
    <w:p w14:paraId="7E2757CE" w14:textId="02FBC1BF" w:rsidR="004514D5" w:rsidRPr="00152CDF" w:rsidRDefault="00B763D9" w:rsidP="00F947D6">
      <w:pPr>
        <w:spacing w:before="120" w:after="0" w:line="240" w:lineRule="auto"/>
        <w:jc w:val="both"/>
        <w:rPr>
          <w:rStyle w:val="hps"/>
          <w:rFonts w:ascii="Arial" w:eastAsiaTheme="majorEastAsia" w:hAnsi="Arial" w:cs="Arial"/>
          <w:color w:val="222222"/>
          <w:lang w:val="es-ES_tradnl"/>
        </w:rPr>
      </w:pPr>
      <w:r w:rsidRPr="00152CDF">
        <w:rPr>
          <w:rStyle w:val="hps"/>
          <w:rFonts w:ascii="Arial" w:hAnsi="Arial" w:cs="Arial"/>
          <w:color w:val="222222"/>
          <w:lang w:val="es-ES_tradnl"/>
        </w:rPr>
        <w:t xml:space="preserve">La validez interna de un diseño </w:t>
      </w:r>
      <w:r w:rsidR="005C7A31" w:rsidRPr="00152CDF">
        <w:rPr>
          <w:rStyle w:val="hps"/>
          <w:rFonts w:ascii="Arial" w:hAnsi="Arial" w:cs="Arial"/>
          <w:color w:val="222222"/>
          <w:lang w:val="es-ES_tradnl"/>
        </w:rPr>
        <w:t>cuasiexperimental</w:t>
      </w:r>
      <w:r w:rsidRPr="00152CDF">
        <w:rPr>
          <w:rStyle w:val="hps"/>
          <w:rFonts w:ascii="Arial" w:hAnsi="Arial" w:cs="Arial"/>
          <w:color w:val="222222"/>
          <w:lang w:val="es-ES_tradnl"/>
        </w:rPr>
        <w:t xml:space="preserve"> depende sustancialmente del supuesto de que las escuelas en el grupo de control son equivalentes a las escuelas en el grupo de tratamiento en variables no observables </w:t>
      </w:r>
      <w:r w:rsidR="006B1BDA" w:rsidRPr="00152CDF">
        <w:rPr>
          <w:rStyle w:val="hps"/>
          <w:rFonts w:ascii="Arial" w:hAnsi="Arial" w:cs="Arial"/>
          <w:color w:val="222222"/>
          <w:lang w:val="es-ES_tradnl"/>
        </w:rPr>
        <w:t xml:space="preserve">que pueden incidir en los resultados medidos. </w:t>
      </w:r>
      <w:r w:rsidR="00A24F59" w:rsidRPr="00152CDF">
        <w:rPr>
          <w:rStyle w:val="hps"/>
          <w:rFonts w:ascii="Arial" w:hAnsi="Arial" w:cs="Arial"/>
          <w:color w:val="222222"/>
          <w:lang w:val="es-ES_tradnl"/>
        </w:rPr>
        <w:t xml:space="preserve">En estudios de estas características, uno de los no observables que en general se </w:t>
      </w:r>
      <w:r w:rsidR="00653C5B" w:rsidRPr="00152CDF">
        <w:rPr>
          <w:rStyle w:val="hps"/>
          <w:rFonts w:ascii="Arial" w:hAnsi="Arial" w:cs="Arial"/>
          <w:color w:val="222222"/>
          <w:lang w:val="es-ES_tradnl"/>
        </w:rPr>
        <w:t xml:space="preserve">identifica como una amenaza a la validez interna del diseño es la voluntad de las unidades participantes de participar en la intervención, que puede estar asociada a otras características no observables (motivación, </w:t>
      </w:r>
      <w:r w:rsidR="00AA52AD" w:rsidRPr="00152CDF">
        <w:rPr>
          <w:rStyle w:val="hps"/>
          <w:rFonts w:ascii="Arial" w:hAnsi="Arial" w:cs="Arial"/>
          <w:color w:val="222222"/>
          <w:lang w:val="es-ES_tradnl"/>
        </w:rPr>
        <w:t>nivel de esfuerzo, etc</w:t>
      </w:r>
      <w:r w:rsidR="005C7A31" w:rsidRPr="00152CDF">
        <w:rPr>
          <w:rStyle w:val="hps"/>
          <w:rFonts w:ascii="Arial" w:hAnsi="Arial" w:cs="Arial"/>
          <w:color w:val="222222"/>
          <w:lang w:val="es-ES_tradnl"/>
        </w:rPr>
        <w:t>.</w:t>
      </w:r>
      <w:r w:rsidR="00AA52AD" w:rsidRPr="00152CDF">
        <w:rPr>
          <w:rStyle w:val="hps"/>
          <w:rFonts w:ascii="Arial" w:hAnsi="Arial" w:cs="Arial"/>
          <w:color w:val="222222"/>
          <w:lang w:val="es-ES_tradnl"/>
        </w:rPr>
        <w:t xml:space="preserve">) que inciden </w:t>
      </w:r>
      <w:r w:rsidR="00632F94">
        <w:rPr>
          <w:rStyle w:val="hps"/>
          <w:rFonts w:ascii="Arial" w:hAnsi="Arial" w:cs="Arial"/>
          <w:color w:val="222222"/>
          <w:lang w:val="es-ES_tradnl"/>
        </w:rPr>
        <w:t xml:space="preserve">posteriormente </w:t>
      </w:r>
      <w:r w:rsidR="00AA52AD" w:rsidRPr="00152CDF">
        <w:rPr>
          <w:rStyle w:val="hps"/>
          <w:rFonts w:ascii="Arial" w:hAnsi="Arial" w:cs="Arial"/>
          <w:color w:val="222222"/>
          <w:lang w:val="es-ES_tradnl"/>
        </w:rPr>
        <w:t xml:space="preserve">en los resultados. </w:t>
      </w:r>
    </w:p>
    <w:p w14:paraId="46607817" w14:textId="080E1202" w:rsidR="003930DE" w:rsidRPr="00152CDF" w:rsidRDefault="00AA52AD" w:rsidP="00F947D6">
      <w:pPr>
        <w:spacing w:before="120" w:after="0" w:line="240" w:lineRule="auto"/>
        <w:jc w:val="both"/>
        <w:rPr>
          <w:rStyle w:val="hps"/>
          <w:rFonts w:ascii="Arial" w:hAnsi="Arial" w:cs="Arial"/>
          <w:color w:val="222222"/>
          <w:lang w:val="es-ES_tradnl"/>
        </w:rPr>
      </w:pPr>
      <w:r w:rsidRPr="00152CDF">
        <w:rPr>
          <w:rStyle w:val="hps"/>
          <w:rFonts w:ascii="Arial" w:hAnsi="Arial" w:cs="Arial"/>
          <w:color w:val="222222"/>
          <w:lang w:val="es-ES_tradnl"/>
        </w:rPr>
        <w:t xml:space="preserve">En este caso, una de las variables que se usará para el pareo es justamente la voluntad </w:t>
      </w:r>
      <w:r w:rsidR="00645CD1" w:rsidRPr="00152CDF">
        <w:rPr>
          <w:rStyle w:val="hps"/>
          <w:rFonts w:ascii="Arial" w:hAnsi="Arial" w:cs="Arial"/>
          <w:color w:val="222222"/>
          <w:lang w:val="es-ES_tradnl"/>
        </w:rPr>
        <w:t>expresa</w:t>
      </w:r>
      <w:r w:rsidRPr="00152CDF">
        <w:rPr>
          <w:rStyle w:val="hps"/>
          <w:rFonts w:ascii="Arial" w:hAnsi="Arial" w:cs="Arial"/>
          <w:color w:val="222222"/>
          <w:lang w:val="es-ES_tradnl"/>
        </w:rPr>
        <w:t xml:space="preserve"> de las unidades en participar en las primeras rondas </w:t>
      </w:r>
      <w:r w:rsidR="004875E1" w:rsidRPr="00152CDF">
        <w:rPr>
          <w:rStyle w:val="hps"/>
          <w:rFonts w:ascii="Arial" w:hAnsi="Arial" w:cs="Arial"/>
          <w:color w:val="222222"/>
          <w:lang w:val="es-ES_tradnl"/>
        </w:rPr>
        <w:t xml:space="preserve">de implementación de la política, y su apoyo explícito al proceso de cambio de institucionalidad. </w:t>
      </w:r>
      <w:r w:rsidR="000B2A6C" w:rsidRPr="00152CDF">
        <w:rPr>
          <w:rStyle w:val="hps"/>
          <w:rFonts w:ascii="Arial" w:hAnsi="Arial" w:cs="Arial"/>
          <w:color w:val="222222"/>
          <w:lang w:val="es-ES_tradnl"/>
        </w:rPr>
        <w:t xml:space="preserve">Utilizar dichas variables como una de las variables a considerar en el pareo fortalece la validez interna del estudio, </w:t>
      </w:r>
      <w:r w:rsidR="0083421F" w:rsidRPr="00152CDF">
        <w:rPr>
          <w:rStyle w:val="hps"/>
          <w:rFonts w:ascii="Arial" w:hAnsi="Arial" w:cs="Arial"/>
          <w:color w:val="222222"/>
          <w:lang w:val="es-ES_tradnl"/>
        </w:rPr>
        <w:t xml:space="preserve">debido a que tanto </w:t>
      </w:r>
      <w:r w:rsidR="000B2A6C" w:rsidRPr="00152CDF">
        <w:rPr>
          <w:rStyle w:val="hps"/>
          <w:rFonts w:ascii="Arial" w:hAnsi="Arial" w:cs="Arial"/>
          <w:color w:val="222222"/>
          <w:lang w:val="es-ES_tradnl"/>
        </w:rPr>
        <w:t xml:space="preserve">los territorios que ingresen al grupo de tratamiento como </w:t>
      </w:r>
      <w:r w:rsidR="0083421F" w:rsidRPr="00152CDF">
        <w:rPr>
          <w:rStyle w:val="hps"/>
          <w:rFonts w:ascii="Arial" w:hAnsi="Arial" w:cs="Arial"/>
          <w:color w:val="222222"/>
          <w:lang w:val="es-ES_tradnl"/>
        </w:rPr>
        <w:t xml:space="preserve">los del </w:t>
      </w:r>
      <w:r w:rsidR="000B2A6C" w:rsidRPr="00152CDF">
        <w:rPr>
          <w:rStyle w:val="hps"/>
          <w:rFonts w:ascii="Arial" w:hAnsi="Arial" w:cs="Arial"/>
          <w:color w:val="222222"/>
          <w:lang w:val="es-ES_tradnl"/>
        </w:rPr>
        <w:t xml:space="preserve">grupo </w:t>
      </w:r>
      <w:r w:rsidR="0083421F" w:rsidRPr="00152CDF">
        <w:rPr>
          <w:rStyle w:val="hps"/>
          <w:rFonts w:ascii="Arial" w:hAnsi="Arial" w:cs="Arial"/>
          <w:color w:val="222222"/>
          <w:lang w:val="es-ES_tradnl"/>
        </w:rPr>
        <w:t xml:space="preserve">de </w:t>
      </w:r>
      <w:r w:rsidR="000B2A6C" w:rsidRPr="00152CDF">
        <w:rPr>
          <w:rStyle w:val="hps"/>
          <w:rFonts w:ascii="Arial" w:hAnsi="Arial" w:cs="Arial"/>
          <w:color w:val="222222"/>
          <w:lang w:val="es-ES_tradnl"/>
        </w:rPr>
        <w:t xml:space="preserve">control van a ser idénticos en este respecto. Sin embargo, el costo de fortalecer la validez interna de esta manera es debilitar la validez externa de la evaluación: las inferencias que se hagan sólo serán válidas para el caso de territorios que estén a favor de un cambio de institucionalidad, y no para el caso de territorios </w:t>
      </w:r>
      <w:r w:rsidR="00821822" w:rsidRPr="00152CDF">
        <w:rPr>
          <w:rStyle w:val="hps"/>
          <w:rFonts w:ascii="Arial" w:hAnsi="Arial" w:cs="Arial"/>
          <w:color w:val="222222"/>
          <w:lang w:val="es-ES_tradnl"/>
        </w:rPr>
        <w:t>a lo</w:t>
      </w:r>
      <w:r w:rsidR="00BB1261" w:rsidRPr="00152CDF">
        <w:rPr>
          <w:rStyle w:val="hps"/>
          <w:rFonts w:ascii="Arial" w:hAnsi="Arial" w:cs="Arial"/>
          <w:color w:val="222222"/>
          <w:lang w:val="es-ES_tradnl"/>
        </w:rPr>
        <w:t>s que se les imponga el cambio, debilitando las posibilidades de generalización de los hallazgos.</w:t>
      </w:r>
    </w:p>
    <w:p w14:paraId="1ED58BB4" w14:textId="015D3BFB" w:rsidR="005112B3" w:rsidRPr="00152CDF" w:rsidRDefault="005112B3">
      <w:pPr>
        <w:rPr>
          <w:rFonts w:ascii="Arial" w:hAnsi="Arial" w:cs="Arial"/>
          <w:color w:val="222222"/>
          <w:lang w:val="es-ES_tradnl"/>
        </w:rPr>
      </w:pPr>
      <w:r w:rsidRPr="00152CDF">
        <w:rPr>
          <w:rFonts w:ascii="Arial" w:hAnsi="Arial" w:cs="Arial"/>
          <w:color w:val="222222"/>
          <w:lang w:val="es-ES_tradnl"/>
        </w:rPr>
        <w:br w:type="page"/>
      </w:r>
    </w:p>
    <w:p w14:paraId="3E0B073F" w14:textId="7642B56D" w:rsidR="00DF0720" w:rsidRPr="00152CDF" w:rsidRDefault="00A069DF" w:rsidP="00F947D6">
      <w:pPr>
        <w:pStyle w:val="Chapter"/>
        <w:numPr>
          <w:ilvl w:val="0"/>
          <w:numId w:val="28"/>
        </w:numPr>
        <w:jc w:val="left"/>
        <w:rPr>
          <w:rFonts w:ascii="Arial" w:hAnsi="Arial" w:cs="Arial"/>
          <w:lang w:val="es-ES_tradnl"/>
        </w:rPr>
      </w:pPr>
      <w:bookmarkStart w:id="12" w:name="_Toc31125675"/>
      <w:bookmarkStart w:id="13" w:name="_Toc31125676"/>
      <w:bookmarkStart w:id="14" w:name="_Toc31125677"/>
      <w:bookmarkStart w:id="15" w:name="_Toc31125678"/>
      <w:bookmarkStart w:id="16" w:name="_Toc31125679"/>
      <w:bookmarkStart w:id="17" w:name="_Toc31125680"/>
      <w:bookmarkStart w:id="18" w:name="_Toc31125681"/>
      <w:bookmarkStart w:id="19" w:name="_Toc31125682"/>
      <w:bookmarkStart w:id="20" w:name="_Toc34300357"/>
      <w:bookmarkEnd w:id="12"/>
      <w:bookmarkEnd w:id="13"/>
      <w:bookmarkEnd w:id="14"/>
      <w:bookmarkEnd w:id="15"/>
      <w:bookmarkEnd w:id="16"/>
      <w:bookmarkEnd w:id="17"/>
      <w:bookmarkEnd w:id="18"/>
      <w:bookmarkEnd w:id="19"/>
      <w:r w:rsidRPr="00152CDF">
        <w:rPr>
          <w:rFonts w:ascii="Arial" w:hAnsi="Arial" w:cs="Arial"/>
          <w:lang w:val="es-ES_tradnl"/>
        </w:rPr>
        <w:lastRenderedPageBreak/>
        <w:t>Referencias</w:t>
      </w:r>
      <w:bookmarkEnd w:id="20"/>
    </w:p>
    <w:p w14:paraId="4821C40B" w14:textId="77777777" w:rsidR="00087AB9" w:rsidRPr="00152CDF" w:rsidRDefault="00087AB9" w:rsidP="00087AB9">
      <w:pPr>
        <w:rPr>
          <w:rFonts w:ascii="Arial" w:hAnsi="Arial" w:cs="Arial"/>
          <w:lang w:val="es-ES_tradnl"/>
        </w:rPr>
      </w:pPr>
    </w:p>
    <w:p w14:paraId="526AB0C3" w14:textId="77777777" w:rsidR="00244EAE" w:rsidRPr="002B537A" w:rsidRDefault="00244EAE" w:rsidP="00F947D6">
      <w:pPr>
        <w:spacing w:before="120" w:after="0" w:line="240" w:lineRule="auto"/>
        <w:jc w:val="both"/>
        <w:rPr>
          <w:rFonts w:ascii="Arial" w:hAnsi="Arial" w:cs="Arial"/>
          <w:color w:val="222222"/>
          <w:lang w:val="es-ES_tradnl"/>
        </w:rPr>
      </w:pPr>
      <w:r w:rsidRPr="00167A55">
        <w:rPr>
          <w:rFonts w:ascii="Arial" w:hAnsi="Arial" w:cs="Arial"/>
          <w:color w:val="222222"/>
        </w:rPr>
        <w:t xml:space="preserve">Augustine, C. H., Gonzalez, G., </w:t>
      </w:r>
      <w:proofErr w:type="spellStart"/>
      <w:r w:rsidRPr="00167A55">
        <w:rPr>
          <w:rFonts w:ascii="Arial" w:hAnsi="Arial" w:cs="Arial"/>
          <w:color w:val="222222"/>
        </w:rPr>
        <w:t>Ikemoto</w:t>
      </w:r>
      <w:proofErr w:type="spellEnd"/>
      <w:r w:rsidRPr="00167A55">
        <w:rPr>
          <w:rFonts w:ascii="Arial" w:hAnsi="Arial" w:cs="Arial"/>
          <w:color w:val="222222"/>
        </w:rPr>
        <w:t xml:space="preserve">, G. S., Russell, J., </w:t>
      </w:r>
      <w:proofErr w:type="spellStart"/>
      <w:r w:rsidRPr="00167A55">
        <w:rPr>
          <w:rFonts w:ascii="Arial" w:hAnsi="Arial" w:cs="Arial"/>
          <w:color w:val="222222"/>
        </w:rPr>
        <w:t>Zellman</w:t>
      </w:r>
      <w:proofErr w:type="spellEnd"/>
      <w:r w:rsidRPr="00167A55">
        <w:rPr>
          <w:rFonts w:ascii="Arial" w:hAnsi="Arial" w:cs="Arial"/>
          <w:color w:val="222222"/>
        </w:rPr>
        <w:t xml:space="preserve">, G. L., Constant, L., &amp; </w:t>
      </w:r>
      <w:proofErr w:type="spellStart"/>
      <w:r w:rsidRPr="00167A55">
        <w:rPr>
          <w:rFonts w:ascii="Arial" w:hAnsi="Arial" w:cs="Arial"/>
          <w:color w:val="222222"/>
        </w:rPr>
        <w:t>Dembosky</w:t>
      </w:r>
      <w:proofErr w:type="spellEnd"/>
      <w:r w:rsidRPr="00167A55">
        <w:rPr>
          <w:rFonts w:ascii="Arial" w:hAnsi="Arial" w:cs="Arial"/>
          <w:color w:val="222222"/>
        </w:rPr>
        <w:t xml:space="preserve">, J. W. (2009). </w:t>
      </w:r>
      <w:r w:rsidRPr="00167A55">
        <w:rPr>
          <w:rFonts w:ascii="Arial" w:hAnsi="Arial" w:cs="Arial"/>
          <w:iCs/>
          <w:color w:val="222222"/>
        </w:rPr>
        <w:t>Improving school leadership: The promise of cohesive leadership systems</w:t>
      </w:r>
      <w:r w:rsidRPr="00167A55">
        <w:rPr>
          <w:rFonts w:ascii="Arial" w:hAnsi="Arial" w:cs="Arial"/>
          <w:color w:val="222222"/>
        </w:rPr>
        <w:t xml:space="preserve">. </w:t>
      </w:r>
      <w:r w:rsidRPr="002B537A">
        <w:rPr>
          <w:rFonts w:ascii="Arial" w:hAnsi="Arial" w:cs="Arial"/>
          <w:color w:val="222222"/>
          <w:lang w:val="es-ES_tradnl"/>
        </w:rPr>
        <w:t xml:space="preserve">Santa Monica, CA: RAND </w:t>
      </w:r>
      <w:proofErr w:type="spellStart"/>
      <w:r w:rsidRPr="002B537A">
        <w:rPr>
          <w:rFonts w:ascii="Arial" w:hAnsi="Arial" w:cs="Arial"/>
          <w:color w:val="222222"/>
          <w:lang w:val="es-ES_tradnl"/>
        </w:rPr>
        <w:t>Corporation</w:t>
      </w:r>
      <w:proofErr w:type="spellEnd"/>
      <w:r w:rsidRPr="002B537A">
        <w:rPr>
          <w:rFonts w:ascii="Arial" w:hAnsi="Arial" w:cs="Arial"/>
          <w:color w:val="222222"/>
          <w:lang w:val="es-ES_tradnl"/>
        </w:rPr>
        <w:t>.</w:t>
      </w:r>
    </w:p>
    <w:p w14:paraId="620C0FB7" w14:textId="3D863EBB" w:rsidR="00244EAE" w:rsidRPr="00167A55" w:rsidRDefault="00244EAE" w:rsidP="00F947D6">
      <w:pPr>
        <w:spacing w:before="120" w:after="0" w:line="240" w:lineRule="auto"/>
        <w:jc w:val="both"/>
        <w:rPr>
          <w:rFonts w:ascii="Arial" w:hAnsi="Arial" w:cs="Arial"/>
          <w:color w:val="222222"/>
        </w:rPr>
      </w:pPr>
      <w:r w:rsidRPr="00152CDF">
        <w:rPr>
          <w:rFonts w:ascii="Arial" w:hAnsi="Arial" w:cs="Arial"/>
          <w:color w:val="222222"/>
          <w:lang w:val="es-ES_tradnl"/>
        </w:rPr>
        <w:t xml:space="preserve">BID (2014). Nota Técnica Del Sector Educación 2014-2017: Chile. </w:t>
      </w:r>
      <w:r w:rsidRPr="00167A55">
        <w:rPr>
          <w:rFonts w:ascii="Arial" w:hAnsi="Arial" w:cs="Arial"/>
          <w:color w:val="222222"/>
        </w:rPr>
        <w:t xml:space="preserve">División de Educación. </w:t>
      </w:r>
    </w:p>
    <w:p w14:paraId="622161E0" w14:textId="2CAEE6D1" w:rsidR="009E61EC" w:rsidRPr="00167A55" w:rsidRDefault="009E61EC" w:rsidP="00F947D6">
      <w:pPr>
        <w:spacing w:before="120" w:after="0" w:line="240" w:lineRule="auto"/>
        <w:jc w:val="both"/>
        <w:rPr>
          <w:rFonts w:ascii="Arial" w:hAnsi="Arial" w:cs="Arial"/>
          <w:color w:val="222222"/>
        </w:rPr>
      </w:pPr>
      <w:proofErr w:type="spellStart"/>
      <w:r w:rsidRPr="00167A55">
        <w:rPr>
          <w:rFonts w:ascii="Arial" w:hAnsi="Arial" w:cs="Arial"/>
          <w:color w:val="222222"/>
        </w:rPr>
        <w:t>Brutti</w:t>
      </w:r>
      <w:proofErr w:type="spellEnd"/>
      <w:r w:rsidR="00576384" w:rsidRPr="00167A55">
        <w:rPr>
          <w:rFonts w:ascii="Arial" w:hAnsi="Arial" w:cs="Arial"/>
          <w:color w:val="222222"/>
        </w:rPr>
        <w:t>, Z. (</w:t>
      </w:r>
      <w:r w:rsidR="00D544CB" w:rsidRPr="00167A55">
        <w:rPr>
          <w:rFonts w:ascii="Arial" w:hAnsi="Arial" w:cs="Arial"/>
          <w:color w:val="222222"/>
        </w:rPr>
        <w:t xml:space="preserve">2016) Cities Drifting Apart: Heterogeneous Outcomes of Decentralizing Public Education. </w:t>
      </w:r>
      <w:proofErr w:type="spellStart"/>
      <w:r w:rsidR="00B36360" w:rsidRPr="00167A55">
        <w:rPr>
          <w:rFonts w:ascii="Arial" w:hAnsi="Arial" w:cs="Arial"/>
          <w:color w:val="222222"/>
        </w:rPr>
        <w:t>IEB</w:t>
      </w:r>
      <w:proofErr w:type="spellEnd"/>
      <w:r w:rsidR="00B36360" w:rsidRPr="00167A55">
        <w:rPr>
          <w:rFonts w:ascii="Arial" w:hAnsi="Arial" w:cs="Arial"/>
          <w:color w:val="222222"/>
        </w:rPr>
        <w:t xml:space="preserve"> Working Paper 2016/26</w:t>
      </w:r>
    </w:p>
    <w:p w14:paraId="03C3C862" w14:textId="77777777" w:rsidR="00244EAE" w:rsidRPr="00167A55" w:rsidRDefault="00244EAE" w:rsidP="00F947D6">
      <w:pPr>
        <w:spacing w:before="120" w:after="0" w:line="240" w:lineRule="auto"/>
        <w:jc w:val="both"/>
        <w:rPr>
          <w:rFonts w:ascii="Arial" w:hAnsi="Arial" w:cs="Arial"/>
          <w:color w:val="222222"/>
        </w:rPr>
      </w:pPr>
      <w:r w:rsidRPr="00167A55">
        <w:rPr>
          <w:rFonts w:ascii="Arial" w:hAnsi="Arial" w:cs="Arial"/>
          <w:color w:val="222222"/>
        </w:rPr>
        <w:t xml:space="preserve">Bryk, A.S., Sebring, </w:t>
      </w:r>
      <w:proofErr w:type="spellStart"/>
      <w:r w:rsidRPr="00167A55">
        <w:rPr>
          <w:rFonts w:ascii="Arial" w:hAnsi="Arial" w:cs="Arial"/>
          <w:color w:val="222222"/>
        </w:rPr>
        <w:t>P.B</w:t>
      </w:r>
      <w:proofErr w:type="spellEnd"/>
      <w:r w:rsidRPr="00167A55">
        <w:rPr>
          <w:rFonts w:ascii="Arial" w:hAnsi="Arial" w:cs="Arial"/>
          <w:color w:val="222222"/>
        </w:rPr>
        <w:t xml:space="preserve">., </w:t>
      </w:r>
      <w:proofErr w:type="spellStart"/>
      <w:r w:rsidRPr="00167A55">
        <w:rPr>
          <w:rFonts w:ascii="Arial" w:hAnsi="Arial" w:cs="Arial"/>
          <w:color w:val="222222"/>
        </w:rPr>
        <w:t>Allensworth</w:t>
      </w:r>
      <w:proofErr w:type="spellEnd"/>
      <w:r w:rsidRPr="00167A55">
        <w:rPr>
          <w:rFonts w:ascii="Arial" w:hAnsi="Arial" w:cs="Arial"/>
          <w:color w:val="222222"/>
        </w:rPr>
        <w:t xml:space="preserve">, E., </w:t>
      </w:r>
      <w:proofErr w:type="spellStart"/>
      <w:r w:rsidRPr="00167A55">
        <w:rPr>
          <w:rFonts w:ascii="Arial" w:hAnsi="Arial" w:cs="Arial"/>
          <w:color w:val="222222"/>
        </w:rPr>
        <w:t>Luppescu</w:t>
      </w:r>
      <w:proofErr w:type="spellEnd"/>
      <w:r w:rsidRPr="00167A55">
        <w:rPr>
          <w:rFonts w:ascii="Arial" w:hAnsi="Arial" w:cs="Arial"/>
          <w:color w:val="222222"/>
        </w:rPr>
        <w:t xml:space="preserve">, S., Easton, </w:t>
      </w:r>
      <w:proofErr w:type="spellStart"/>
      <w:r w:rsidRPr="00167A55">
        <w:rPr>
          <w:rFonts w:ascii="Arial" w:hAnsi="Arial" w:cs="Arial"/>
          <w:color w:val="222222"/>
        </w:rPr>
        <w:t>J.Q</w:t>
      </w:r>
      <w:proofErr w:type="spellEnd"/>
      <w:r w:rsidRPr="00167A55">
        <w:rPr>
          <w:rFonts w:ascii="Arial" w:hAnsi="Arial" w:cs="Arial"/>
          <w:color w:val="222222"/>
        </w:rPr>
        <w:t>. (2010). Organizing schools for improvement: Lessons from Chicago. Chicago: University of Chicago Press.</w:t>
      </w:r>
    </w:p>
    <w:p w14:paraId="08EB1678" w14:textId="77777777" w:rsidR="00244EAE" w:rsidRPr="00167A55" w:rsidRDefault="00244EAE" w:rsidP="00F947D6">
      <w:pPr>
        <w:spacing w:before="120" w:after="0" w:line="240" w:lineRule="auto"/>
        <w:jc w:val="both"/>
        <w:rPr>
          <w:rFonts w:ascii="Arial" w:hAnsi="Arial" w:cs="Arial"/>
          <w:color w:val="222222"/>
        </w:rPr>
      </w:pPr>
      <w:r w:rsidRPr="00167A55">
        <w:rPr>
          <w:rFonts w:ascii="Arial" w:hAnsi="Arial" w:cs="Arial"/>
          <w:color w:val="222222"/>
        </w:rPr>
        <w:t>Campbell, C., Fullan, M., Glaze, A. (2006). Unlocking potential for learning: Effective district-wide strategies to raise student achievement in literacy and numeracy. Toronto: Ontario Ministry of Education.</w:t>
      </w:r>
    </w:p>
    <w:p w14:paraId="3DC9BC48" w14:textId="4CD99CEB" w:rsidR="00244EAE" w:rsidRPr="00167A55" w:rsidRDefault="00244EAE" w:rsidP="00F947D6">
      <w:pPr>
        <w:spacing w:before="120" w:after="0" w:line="240" w:lineRule="auto"/>
        <w:jc w:val="both"/>
        <w:rPr>
          <w:rFonts w:ascii="Arial" w:hAnsi="Arial" w:cs="Arial"/>
          <w:color w:val="222222"/>
        </w:rPr>
      </w:pPr>
      <w:r w:rsidRPr="00167A55">
        <w:rPr>
          <w:rFonts w:ascii="Arial" w:hAnsi="Arial" w:cs="Arial"/>
          <w:color w:val="222222"/>
        </w:rPr>
        <w:t xml:space="preserve">Childress, S., Elmore, R.F., Grossman, A. &amp; Johnson, </w:t>
      </w:r>
      <w:proofErr w:type="spellStart"/>
      <w:r w:rsidRPr="00167A55">
        <w:rPr>
          <w:rFonts w:ascii="Arial" w:hAnsi="Arial" w:cs="Arial"/>
          <w:color w:val="222222"/>
        </w:rPr>
        <w:t>S.M</w:t>
      </w:r>
      <w:proofErr w:type="spellEnd"/>
      <w:r w:rsidRPr="00167A55">
        <w:rPr>
          <w:rFonts w:ascii="Arial" w:hAnsi="Arial" w:cs="Arial"/>
          <w:color w:val="222222"/>
        </w:rPr>
        <w:t>. (Eds.) (2007). Managing School Districts for High Performance: Cases in Public Education Leadership. Cambridge, MA: Harvard Education Press</w:t>
      </w:r>
    </w:p>
    <w:p w14:paraId="5365B7AA" w14:textId="5E618BC2" w:rsidR="00B36360" w:rsidRPr="00167A55" w:rsidRDefault="00B536CC" w:rsidP="00F947D6">
      <w:pPr>
        <w:spacing w:before="120" w:after="0" w:line="240" w:lineRule="auto"/>
        <w:jc w:val="both"/>
        <w:rPr>
          <w:rFonts w:ascii="Arial" w:hAnsi="Arial" w:cs="Arial"/>
          <w:color w:val="222222"/>
        </w:rPr>
      </w:pPr>
      <w:r w:rsidRPr="00167A55">
        <w:rPr>
          <w:rFonts w:ascii="Arial" w:hAnsi="Arial" w:cs="Arial"/>
          <w:color w:val="222222"/>
        </w:rPr>
        <w:t>Ela</w:t>
      </w:r>
      <w:r w:rsidR="00D17047" w:rsidRPr="00167A55">
        <w:rPr>
          <w:rFonts w:ascii="Arial" w:hAnsi="Arial" w:cs="Arial"/>
          <w:color w:val="222222"/>
        </w:rPr>
        <w:t>cqua, G.</w:t>
      </w:r>
      <w:r w:rsidR="00533E1A" w:rsidRPr="00167A55">
        <w:rPr>
          <w:rFonts w:ascii="Arial" w:hAnsi="Arial" w:cs="Arial"/>
          <w:color w:val="222222"/>
        </w:rPr>
        <w:t xml:space="preserve">, Munevar, I., Sánchez, F., </w:t>
      </w:r>
      <w:r w:rsidR="00934F95" w:rsidRPr="00167A55">
        <w:rPr>
          <w:rFonts w:ascii="Arial" w:hAnsi="Arial" w:cs="Arial"/>
          <w:color w:val="222222"/>
        </w:rPr>
        <w:t xml:space="preserve">Santos, H. (2019) </w:t>
      </w:r>
      <w:r w:rsidRPr="00167A55">
        <w:rPr>
          <w:rFonts w:ascii="Arial" w:hAnsi="Arial" w:cs="Arial"/>
          <w:color w:val="222222"/>
        </w:rPr>
        <w:t>The impact of decentralized decision making on student outcomes and teacher quality:  Evidence from Colombia</w:t>
      </w:r>
      <w:r w:rsidR="00934F95" w:rsidRPr="00167A55">
        <w:rPr>
          <w:rFonts w:ascii="Arial" w:hAnsi="Arial" w:cs="Arial"/>
          <w:color w:val="222222"/>
        </w:rPr>
        <w:t xml:space="preserve">. </w:t>
      </w:r>
      <w:r w:rsidR="00B010DD" w:rsidRPr="00167A55">
        <w:rPr>
          <w:rFonts w:ascii="Arial" w:hAnsi="Arial" w:cs="Arial"/>
          <w:color w:val="222222"/>
        </w:rPr>
        <w:t>DB WORKING PAPER SERIES Nº IDB-WP-01058</w:t>
      </w:r>
    </w:p>
    <w:p w14:paraId="5F3B8BD5" w14:textId="308C135E" w:rsidR="009C3426" w:rsidRPr="00167A55" w:rsidRDefault="007F13BB" w:rsidP="00F947D6">
      <w:pPr>
        <w:spacing w:before="120" w:after="0" w:line="240" w:lineRule="auto"/>
        <w:jc w:val="both"/>
        <w:rPr>
          <w:rFonts w:ascii="Arial" w:hAnsi="Arial" w:cs="Arial"/>
          <w:color w:val="222222"/>
        </w:rPr>
      </w:pPr>
      <w:proofErr w:type="spellStart"/>
      <w:r w:rsidRPr="00167A55">
        <w:rPr>
          <w:rFonts w:ascii="Arial" w:hAnsi="Arial" w:cs="Arial"/>
          <w:color w:val="222222"/>
        </w:rPr>
        <w:t>Galiani</w:t>
      </w:r>
      <w:proofErr w:type="spellEnd"/>
      <w:r w:rsidRPr="00167A55">
        <w:rPr>
          <w:rFonts w:ascii="Arial" w:hAnsi="Arial" w:cs="Arial"/>
          <w:color w:val="222222"/>
        </w:rPr>
        <w:t xml:space="preserve">, S.; Gertler, P.; and </w:t>
      </w:r>
      <w:proofErr w:type="spellStart"/>
      <w:r w:rsidR="00386DBB" w:rsidRPr="00167A55">
        <w:rPr>
          <w:rFonts w:ascii="Arial" w:hAnsi="Arial" w:cs="Arial"/>
          <w:color w:val="222222"/>
        </w:rPr>
        <w:t>Schargrodsky</w:t>
      </w:r>
      <w:proofErr w:type="spellEnd"/>
      <w:r w:rsidR="00386DBB" w:rsidRPr="00167A55">
        <w:rPr>
          <w:rFonts w:ascii="Arial" w:hAnsi="Arial" w:cs="Arial"/>
          <w:color w:val="222222"/>
        </w:rPr>
        <w:t>,</w:t>
      </w:r>
      <w:r w:rsidRPr="00167A55">
        <w:rPr>
          <w:rFonts w:ascii="Arial" w:hAnsi="Arial" w:cs="Arial"/>
          <w:color w:val="222222"/>
        </w:rPr>
        <w:t xml:space="preserve"> E. (2008). School decentralization: Helping the good get better but leaving the poor behind. Journal of Public </w:t>
      </w:r>
      <w:r w:rsidR="00386DBB" w:rsidRPr="00167A55">
        <w:rPr>
          <w:rFonts w:ascii="Arial" w:hAnsi="Arial" w:cs="Arial"/>
          <w:color w:val="222222"/>
        </w:rPr>
        <w:t>Economics,</w:t>
      </w:r>
      <w:r w:rsidRPr="00167A55">
        <w:rPr>
          <w:rFonts w:ascii="Arial" w:hAnsi="Arial" w:cs="Arial"/>
          <w:color w:val="222222"/>
        </w:rPr>
        <w:t xml:space="preserve"> 92:2106 – 20, 2008 </w:t>
      </w:r>
      <w:r w:rsidR="009C3426" w:rsidRPr="00167A55">
        <w:rPr>
          <w:rFonts w:ascii="Arial" w:hAnsi="Arial" w:cs="Arial"/>
          <w:color w:val="222222"/>
        </w:rPr>
        <w:t xml:space="preserve"> </w:t>
      </w:r>
    </w:p>
    <w:p w14:paraId="2A37B1D0" w14:textId="77777777" w:rsidR="00244EAE" w:rsidRPr="00167A55" w:rsidRDefault="00244EAE" w:rsidP="00F947D6">
      <w:pPr>
        <w:spacing w:before="120" w:after="0" w:line="240" w:lineRule="auto"/>
        <w:jc w:val="both"/>
        <w:rPr>
          <w:rFonts w:ascii="Arial" w:hAnsi="Arial" w:cs="Arial"/>
          <w:color w:val="222222"/>
        </w:rPr>
      </w:pPr>
      <w:r w:rsidRPr="00167A55">
        <w:rPr>
          <w:rFonts w:ascii="Arial" w:hAnsi="Arial" w:cs="Arial"/>
          <w:color w:val="222222"/>
        </w:rPr>
        <w:t>Honig, M. I., Copland, M. A., Rainey, L., Lorton, J. A., &amp; Newton, M. (2010). School district central office transformation for teaching and learning improvement: A report to the Wallace Foundation. Seattle, WA: The Center for the Study of Teaching and Policy.</w:t>
      </w:r>
    </w:p>
    <w:p w14:paraId="35AD461D" w14:textId="77777777" w:rsidR="00244EAE" w:rsidRPr="00167A55" w:rsidRDefault="00244EAE" w:rsidP="00F947D6">
      <w:pPr>
        <w:spacing w:before="120" w:after="0" w:line="240" w:lineRule="auto"/>
        <w:jc w:val="both"/>
        <w:rPr>
          <w:rFonts w:ascii="Arial" w:hAnsi="Arial" w:cs="Arial"/>
          <w:bCs/>
          <w:color w:val="222222"/>
        </w:rPr>
      </w:pPr>
      <w:proofErr w:type="spellStart"/>
      <w:r w:rsidRPr="00167A55">
        <w:rPr>
          <w:rFonts w:ascii="Arial" w:hAnsi="Arial" w:cs="Arial"/>
          <w:bCs/>
          <w:color w:val="222222"/>
        </w:rPr>
        <w:t>Ikemoto</w:t>
      </w:r>
      <w:proofErr w:type="spellEnd"/>
      <w:r w:rsidRPr="00167A55">
        <w:rPr>
          <w:rFonts w:ascii="Arial" w:hAnsi="Arial" w:cs="Arial"/>
          <w:bCs/>
          <w:color w:val="222222"/>
        </w:rPr>
        <w:t xml:space="preserve">, G., Taliaferro, L., Fenton, B. &amp; Davis, J. (2014). Great principals at scale: Creating district conditions that enable all principals to be effective. Dallas, TX: </w:t>
      </w:r>
      <w:r w:rsidRPr="00167A55">
        <w:rPr>
          <w:rFonts w:ascii="Arial" w:hAnsi="Arial" w:cs="Arial"/>
          <w:color w:val="222222"/>
        </w:rPr>
        <w:t>George W. Bush Institute at the George W. Bush Presidential Center.</w:t>
      </w:r>
    </w:p>
    <w:p w14:paraId="5367A04C" w14:textId="2F0642A5" w:rsidR="00244EAE" w:rsidRPr="00167A55" w:rsidRDefault="00244EAE" w:rsidP="00F947D6">
      <w:pPr>
        <w:pStyle w:val="FootnoteText"/>
        <w:spacing w:before="120" w:after="0"/>
        <w:ind w:left="0" w:firstLine="0"/>
        <w:rPr>
          <w:rFonts w:ascii="Arial" w:hAnsi="Arial" w:cs="Arial"/>
          <w:spacing w:val="0"/>
          <w:sz w:val="22"/>
          <w:szCs w:val="22"/>
        </w:rPr>
      </w:pPr>
      <w:proofErr w:type="spellStart"/>
      <w:r w:rsidRPr="00167A55">
        <w:rPr>
          <w:rFonts w:ascii="Arial" w:hAnsi="Arial" w:cs="Arial"/>
          <w:spacing w:val="0"/>
          <w:sz w:val="22"/>
          <w:szCs w:val="22"/>
          <w:lang w:val="pt-BR"/>
        </w:rPr>
        <w:t>Larrañaga</w:t>
      </w:r>
      <w:proofErr w:type="spellEnd"/>
      <w:r w:rsidRPr="00167A55">
        <w:rPr>
          <w:rFonts w:ascii="Arial" w:hAnsi="Arial" w:cs="Arial"/>
          <w:spacing w:val="0"/>
          <w:sz w:val="22"/>
          <w:szCs w:val="22"/>
          <w:lang w:val="pt-BR"/>
        </w:rPr>
        <w:t xml:space="preserve">, O., Peirano, C. &amp; </w:t>
      </w:r>
      <w:proofErr w:type="spellStart"/>
      <w:r w:rsidRPr="00167A55">
        <w:rPr>
          <w:rFonts w:ascii="Arial" w:hAnsi="Arial" w:cs="Arial"/>
          <w:spacing w:val="0"/>
          <w:sz w:val="22"/>
          <w:szCs w:val="22"/>
          <w:lang w:val="pt-BR"/>
        </w:rPr>
        <w:t>Falck</w:t>
      </w:r>
      <w:proofErr w:type="spellEnd"/>
      <w:r w:rsidRPr="00167A55">
        <w:rPr>
          <w:rFonts w:ascii="Arial" w:hAnsi="Arial" w:cs="Arial"/>
          <w:spacing w:val="0"/>
          <w:sz w:val="22"/>
          <w:szCs w:val="22"/>
          <w:lang w:val="pt-BR"/>
        </w:rPr>
        <w:t xml:space="preserve">, D. (2009). </w:t>
      </w:r>
      <w:r w:rsidRPr="00152CDF">
        <w:rPr>
          <w:rFonts w:ascii="Arial" w:hAnsi="Arial" w:cs="Arial"/>
          <w:spacing w:val="0"/>
          <w:sz w:val="22"/>
          <w:szCs w:val="22"/>
          <w:lang w:val="es-ES_tradnl"/>
        </w:rPr>
        <w:t xml:space="preserve">Una mirada al interior del sector municipal”. En M. Marcel &amp; </w:t>
      </w:r>
      <w:proofErr w:type="spellStart"/>
      <w:r w:rsidRPr="00152CDF">
        <w:rPr>
          <w:rFonts w:ascii="Arial" w:hAnsi="Arial" w:cs="Arial"/>
          <w:spacing w:val="0"/>
          <w:sz w:val="22"/>
          <w:szCs w:val="22"/>
          <w:lang w:val="es-ES_tradnl"/>
        </w:rPr>
        <w:t>Raczynski</w:t>
      </w:r>
      <w:proofErr w:type="spellEnd"/>
      <w:r w:rsidRPr="00152CDF">
        <w:rPr>
          <w:rFonts w:ascii="Arial" w:hAnsi="Arial" w:cs="Arial"/>
          <w:spacing w:val="0"/>
          <w:sz w:val="22"/>
          <w:szCs w:val="22"/>
          <w:lang w:val="es-ES_tradnl"/>
        </w:rPr>
        <w:t xml:space="preserve"> (Eds.). La asignatura pendiente. Claves para la Revalidación de la Educación Pública de Gestión Local en Chile. </w:t>
      </w:r>
      <w:proofErr w:type="spellStart"/>
      <w:r w:rsidRPr="00167A55">
        <w:rPr>
          <w:rFonts w:ascii="Arial" w:hAnsi="Arial" w:cs="Arial"/>
          <w:spacing w:val="0"/>
          <w:sz w:val="22"/>
          <w:szCs w:val="22"/>
        </w:rPr>
        <w:t>Parte</w:t>
      </w:r>
      <w:proofErr w:type="spellEnd"/>
      <w:r w:rsidRPr="00167A55">
        <w:rPr>
          <w:rFonts w:ascii="Arial" w:hAnsi="Arial" w:cs="Arial"/>
          <w:spacing w:val="0"/>
          <w:sz w:val="22"/>
          <w:szCs w:val="22"/>
        </w:rPr>
        <w:t xml:space="preserve"> II. pp. 77-97). Santiago, Chile: </w:t>
      </w:r>
      <w:proofErr w:type="spellStart"/>
      <w:r w:rsidRPr="00167A55">
        <w:rPr>
          <w:rFonts w:ascii="Arial" w:hAnsi="Arial" w:cs="Arial"/>
          <w:spacing w:val="0"/>
          <w:sz w:val="22"/>
          <w:szCs w:val="22"/>
        </w:rPr>
        <w:t>Uqbar</w:t>
      </w:r>
      <w:proofErr w:type="spellEnd"/>
      <w:r w:rsidRPr="00167A55">
        <w:rPr>
          <w:rFonts w:ascii="Arial" w:hAnsi="Arial" w:cs="Arial"/>
          <w:spacing w:val="0"/>
          <w:sz w:val="22"/>
          <w:szCs w:val="22"/>
        </w:rPr>
        <w:t xml:space="preserve"> </w:t>
      </w:r>
      <w:proofErr w:type="spellStart"/>
      <w:r w:rsidRPr="00167A55">
        <w:rPr>
          <w:rFonts w:ascii="Arial" w:hAnsi="Arial" w:cs="Arial"/>
          <w:spacing w:val="0"/>
          <w:sz w:val="22"/>
          <w:szCs w:val="22"/>
        </w:rPr>
        <w:t>Editores</w:t>
      </w:r>
      <w:proofErr w:type="spellEnd"/>
      <w:r w:rsidRPr="00167A55">
        <w:rPr>
          <w:rFonts w:ascii="Arial" w:hAnsi="Arial" w:cs="Arial"/>
          <w:spacing w:val="0"/>
          <w:sz w:val="22"/>
          <w:szCs w:val="22"/>
        </w:rPr>
        <w:t xml:space="preserve"> y </w:t>
      </w:r>
      <w:proofErr w:type="spellStart"/>
      <w:r w:rsidRPr="00167A55">
        <w:rPr>
          <w:rFonts w:ascii="Arial" w:hAnsi="Arial" w:cs="Arial"/>
          <w:spacing w:val="0"/>
          <w:sz w:val="22"/>
          <w:szCs w:val="22"/>
        </w:rPr>
        <w:t>CIEPLAN</w:t>
      </w:r>
      <w:proofErr w:type="spellEnd"/>
      <w:r w:rsidRPr="00167A55">
        <w:rPr>
          <w:rFonts w:ascii="Arial" w:hAnsi="Arial" w:cs="Arial"/>
          <w:spacing w:val="0"/>
          <w:sz w:val="22"/>
          <w:szCs w:val="22"/>
        </w:rPr>
        <w:t>.</w:t>
      </w:r>
    </w:p>
    <w:p w14:paraId="346A7001" w14:textId="04D3EE23" w:rsidR="00896F4C" w:rsidRPr="00167A55" w:rsidRDefault="00896F4C" w:rsidP="00F947D6">
      <w:pPr>
        <w:pStyle w:val="FootnoteText"/>
        <w:spacing w:before="120" w:after="0"/>
        <w:ind w:left="0" w:firstLine="0"/>
        <w:rPr>
          <w:rFonts w:ascii="Arial" w:hAnsi="Arial" w:cs="Arial"/>
          <w:spacing w:val="0"/>
          <w:sz w:val="22"/>
          <w:szCs w:val="22"/>
        </w:rPr>
      </w:pPr>
      <w:r w:rsidRPr="00167A55">
        <w:rPr>
          <w:rFonts w:ascii="Arial" w:hAnsi="Arial" w:cs="Arial"/>
          <w:spacing w:val="0"/>
          <w:sz w:val="22"/>
          <w:szCs w:val="22"/>
        </w:rPr>
        <w:t>Leach,</w:t>
      </w:r>
      <w:r w:rsidR="0053360F" w:rsidRPr="00167A55">
        <w:rPr>
          <w:rFonts w:ascii="Arial" w:hAnsi="Arial" w:cs="Arial"/>
          <w:spacing w:val="0"/>
          <w:sz w:val="22"/>
          <w:szCs w:val="22"/>
        </w:rPr>
        <w:t xml:space="preserve"> J.</w:t>
      </w:r>
      <w:r w:rsidRPr="00167A55">
        <w:rPr>
          <w:rFonts w:ascii="Arial" w:hAnsi="Arial" w:cs="Arial"/>
          <w:spacing w:val="0"/>
          <w:sz w:val="22"/>
          <w:szCs w:val="22"/>
        </w:rPr>
        <w:t xml:space="preserve"> Payne</w:t>
      </w:r>
      <w:r w:rsidR="00D5422E" w:rsidRPr="00167A55">
        <w:rPr>
          <w:rFonts w:ascii="Arial" w:hAnsi="Arial" w:cs="Arial"/>
          <w:spacing w:val="0"/>
          <w:sz w:val="22"/>
          <w:szCs w:val="22"/>
        </w:rPr>
        <w:t>, A.A.</w:t>
      </w:r>
      <w:r w:rsidRPr="00167A55">
        <w:rPr>
          <w:rFonts w:ascii="Arial" w:hAnsi="Arial" w:cs="Arial"/>
          <w:spacing w:val="0"/>
          <w:sz w:val="22"/>
          <w:szCs w:val="22"/>
        </w:rPr>
        <w:t xml:space="preserve"> &amp; Chan</w:t>
      </w:r>
      <w:r w:rsidR="00D5422E" w:rsidRPr="00167A55">
        <w:rPr>
          <w:rFonts w:ascii="Arial" w:hAnsi="Arial" w:cs="Arial"/>
          <w:spacing w:val="0"/>
          <w:sz w:val="22"/>
          <w:szCs w:val="22"/>
        </w:rPr>
        <w:t>, S.</w:t>
      </w:r>
      <w:r w:rsidRPr="00167A55">
        <w:rPr>
          <w:rFonts w:ascii="Arial" w:hAnsi="Arial" w:cs="Arial"/>
          <w:spacing w:val="0"/>
          <w:sz w:val="22"/>
          <w:szCs w:val="22"/>
        </w:rPr>
        <w:t xml:space="preserve"> (2010) The effect of School Board Consolidation and financing on student performance. Economics of Education Review 29: 1034–1046</w:t>
      </w:r>
      <w:r w:rsidR="00CA4C35" w:rsidRPr="00167A55">
        <w:rPr>
          <w:rFonts w:ascii="Arial" w:hAnsi="Arial" w:cs="Arial"/>
          <w:spacing w:val="0"/>
          <w:sz w:val="22"/>
          <w:szCs w:val="22"/>
        </w:rPr>
        <w:t>.</w:t>
      </w:r>
    </w:p>
    <w:p w14:paraId="6CF1EE5B" w14:textId="77777777" w:rsidR="00244EAE" w:rsidRPr="00167A55" w:rsidRDefault="00244EAE" w:rsidP="00F947D6">
      <w:pPr>
        <w:widowControl w:val="0"/>
        <w:autoSpaceDE w:val="0"/>
        <w:autoSpaceDN w:val="0"/>
        <w:adjustRightInd w:val="0"/>
        <w:spacing w:before="120" w:after="0"/>
        <w:jc w:val="both"/>
        <w:rPr>
          <w:rFonts w:ascii="Arial" w:hAnsi="Arial" w:cs="Arial"/>
        </w:rPr>
      </w:pPr>
      <w:proofErr w:type="spellStart"/>
      <w:r w:rsidRPr="00167A55">
        <w:rPr>
          <w:rFonts w:ascii="Arial" w:hAnsi="Arial" w:cs="Arial"/>
        </w:rPr>
        <w:t>Leithwood</w:t>
      </w:r>
      <w:proofErr w:type="spellEnd"/>
      <w:r w:rsidRPr="00167A55">
        <w:rPr>
          <w:rFonts w:ascii="Arial" w:hAnsi="Arial" w:cs="Arial"/>
        </w:rPr>
        <w:t>, K. (2013). Strong districts and their leadership: A paper commissioned by the Council of Ontario Directors of Education and The Institute for Education Leadership</w:t>
      </w:r>
    </w:p>
    <w:p w14:paraId="1ED405C8" w14:textId="77777777" w:rsidR="00244EAE" w:rsidRPr="00167A55" w:rsidRDefault="00244EAE" w:rsidP="00F947D6">
      <w:pPr>
        <w:spacing w:before="120" w:after="0" w:line="240" w:lineRule="auto"/>
        <w:jc w:val="both"/>
        <w:rPr>
          <w:rFonts w:ascii="Arial" w:hAnsi="Arial" w:cs="Arial"/>
          <w:color w:val="222222"/>
        </w:rPr>
      </w:pPr>
      <w:proofErr w:type="spellStart"/>
      <w:r w:rsidRPr="00167A55">
        <w:rPr>
          <w:rFonts w:ascii="Arial" w:hAnsi="Arial" w:cs="Arial"/>
          <w:color w:val="222222"/>
        </w:rPr>
        <w:t>Leithwood</w:t>
      </w:r>
      <w:proofErr w:type="spellEnd"/>
      <w:r w:rsidRPr="00167A55">
        <w:rPr>
          <w:rFonts w:ascii="Arial" w:hAnsi="Arial" w:cs="Arial"/>
          <w:color w:val="222222"/>
        </w:rPr>
        <w:t xml:space="preserve">, K., &amp; </w:t>
      </w:r>
      <w:proofErr w:type="spellStart"/>
      <w:r w:rsidRPr="00167A55">
        <w:rPr>
          <w:rFonts w:ascii="Arial" w:hAnsi="Arial" w:cs="Arial"/>
          <w:color w:val="222222"/>
        </w:rPr>
        <w:t>Jantzi</w:t>
      </w:r>
      <w:proofErr w:type="spellEnd"/>
      <w:r w:rsidRPr="00167A55">
        <w:rPr>
          <w:rFonts w:ascii="Arial" w:hAnsi="Arial" w:cs="Arial"/>
          <w:color w:val="222222"/>
        </w:rPr>
        <w:t>, D. (2008). Linking leadership to student learning: The contributions of leader efficacy, Educational Administration Quarterly, 44(4), 496-528.</w:t>
      </w:r>
    </w:p>
    <w:p w14:paraId="48515B5B" w14:textId="77777777" w:rsidR="00244EAE" w:rsidRPr="00167A55" w:rsidRDefault="00244EAE" w:rsidP="00F947D6">
      <w:pPr>
        <w:spacing w:before="120" w:after="0" w:line="240" w:lineRule="auto"/>
        <w:jc w:val="both"/>
        <w:rPr>
          <w:rFonts w:ascii="Arial" w:hAnsi="Arial" w:cs="Arial"/>
          <w:color w:val="222222"/>
        </w:rPr>
      </w:pPr>
      <w:r w:rsidRPr="00167A55">
        <w:rPr>
          <w:rFonts w:ascii="Arial" w:hAnsi="Arial" w:cs="Arial"/>
          <w:color w:val="222222"/>
        </w:rPr>
        <w:t xml:space="preserve">Louis, K. S., </w:t>
      </w:r>
      <w:proofErr w:type="spellStart"/>
      <w:r w:rsidRPr="00167A55">
        <w:rPr>
          <w:rFonts w:ascii="Arial" w:hAnsi="Arial" w:cs="Arial"/>
          <w:color w:val="222222"/>
        </w:rPr>
        <w:t>Leithwood</w:t>
      </w:r>
      <w:proofErr w:type="spellEnd"/>
      <w:r w:rsidRPr="00167A55">
        <w:rPr>
          <w:rFonts w:ascii="Arial" w:hAnsi="Arial" w:cs="Arial"/>
          <w:color w:val="222222"/>
        </w:rPr>
        <w:t>, K., Wahlstrom, K., Anderson, S. (2010). Learning from leadership: Investigating the links to improved student learning. New York: The Wallace Foundation.</w:t>
      </w:r>
    </w:p>
    <w:p w14:paraId="742A988F" w14:textId="77777777" w:rsidR="00244EAE" w:rsidRPr="00167A55" w:rsidRDefault="00244EAE" w:rsidP="00F947D6">
      <w:pPr>
        <w:widowControl w:val="0"/>
        <w:autoSpaceDE w:val="0"/>
        <w:autoSpaceDN w:val="0"/>
        <w:adjustRightInd w:val="0"/>
        <w:spacing w:before="120" w:after="0"/>
        <w:jc w:val="both"/>
        <w:rPr>
          <w:rFonts w:ascii="Arial" w:hAnsi="Arial" w:cs="Arial"/>
        </w:rPr>
      </w:pPr>
      <w:r w:rsidRPr="00167A55">
        <w:rPr>
          <w:rFonts w:ascii="Arial" w:hAnsi="Arial" w:cs="Arial"/>
        </w:rPr>
        <w:t xml:space="preserve">McLaughlin, M., &amp; Talbert, J. (2003). Reforming districts: How districts support school reform. Seattle, WA: Center for the Study of Teaching and Policy, University of Washington. </w:t>
      </w:r>
    </w:p>
    <w:p w14:paraId="1F9B1A0F" w14:textId="77777777" w:rsidR="00244EAE" w:rsidRPr="00167A55" w:rsidRDefault="00244EAE" w:rsidP="00F947D6">
      <w:pPr>
        <w:spacing w:before="120" w:after="0" w:line="240" w:lineRule="auto"/>
        <w:jc w:val="both"/>
        <w:rPr>
          <w:rFonts w:ascii="Arial" w:hAnsi="Arial" w:cs="Arial"/>
          <w:color w:val="222222"/>
        </w:rPr>
      </w:pPr>
      <w:proofErr w:type="spellStart"/>
      <w:r w:rsidRPr="00167A55">
        <w:rPr>
          <w:rFonts w:ascii="Arial" w:hAnsi="Arial" w:cs="Arial"/>
          <w:color w:val="222222"/>
        </w:rPr>
        <w:lastRenderedPageBreak/>
        <w:t>Moscovitch</w:t>
      </w:r>
      <w:proofErr w:type="spellEnd"/>
      <w:r w:rsidRPr="00167A55">
        <w:rPr>
          <w:rFonts w:ascii="Arial" w:hAnsi="Arial" w:cs="Arial"/>
          <w:color w:val="222222"/>
        </w:rPr>
        <w:t xml:space="preserve">, Ruth et al. (2007). Governance and Urban School Improvement: Lessons for New Jersey From Nine Cities. The Institute on Education Law and Policy, Rutgers – Newark. </w:t>
      </w:r>
    </w:p>
    <w:p w14:paraId="638EA6B8" w14:textId="77777777" w:rsidR="00244EAE" w:rsidRPr="00167A55" w:rsidRDefault="00244EAE" w:rsidP="00F947D6">
      <w:pPr>
        <w:widowControl w:val="0"/>
        <w:autoSpaceDE w:val="0"/>
        <w:autoSpaceDN w:val="0"/>
        <w:adjustRightInd w:val="0"/>
        <w:spacing w:before="120" w:after="0"/>
        <w:jc w:val="both"/>
        <w:rPr>
          <w:rFonts w:ascii="Arial" w:hAnsi="Arial" w:cs="Arial"/>
        </w:rPr>
      </w:pPr>
      <w:r w:rsidRPr="00167A55">
        <w:rPr>
          <w:rFonts w:ascii="Arial" w:hAnsi="Arial" w:cs="Arial"/>
        </w:rPr>
        <w:t xml:space="preserve">RAND (2005) The role of districts in fostering instructional improvement. Washington, DC: RAND. </w:t>
      </w:r>
    </w:p>
    <w:p w14:paraId="5377432E" w14:textId="77777777" w:rsidR="00244EAE" w:rsidRPr="00167A55" w:rsidRDefault="00244EAE" w:rsidP="00F947D6">
      <w:pPr>
        <w:widowControl w:val="0"/>
        <w:autoSpaceDE w:val="0"/>
        <w:autoSpaceDN w:val="0"/>
        <w:adjustRightInd w:val="0"/>
        <w:spacing w:before="120" w:after="0"/>
        <w:jc w:val="both"/>
        <w:rPr>
          <w:rFonts w:ascii="Arial" w:hAnsi="Arial" w:cs="Arial"/>
        </w:rPr>
      </w:pPr>
      <w:proofErr w:type="spellStart"/>
      <w:r w:rsidRPr="00E97B4A">
        <w:rPr>
          <w:rFonts w:ascii="Arial" w:hAnsi="Arial" w:cs="Arial"/>
        </w:rPr>
        <w:t>Slavin</w:t>
      </w:r>
      <w:proofErr w:type="spellEnd"/>
      <w:r w:rsidRPr="00E97B4A">
        <w:rPr>
          <w:rFonts w:ascii="Arial" w:hAnsi="Arial" w:cs="Arial"/>
        </w:rPr>
        <w:t xml:space="preserve">, </w:t>
      </w:r>
      <w:proofErr w:type="spellStart"/>
      <w:r w:rsidRPr="00E97B4A">
        <w:rPr>
          <w:rFonts w:ascii="Arial" w:hAnsi="Arial" w:cs="Arial"/>
        </w:rPr>
        <w:t>R.E</w:t>
      </w:r>
      <w:proofErr w:type="spellEnd"/>
      <w:r w:rsidRPr="00E97B4A">
        <w:rPr>
          <w:rFonts w:ascii="Arial" w:hAnsi="Arial" w:cs="Arial"/>
        </w:rPr>
        <w:t xml:space="preserve">. et al. </w:t>
      </w:r>
      <w:r w:rsidRPr="00167A55">
        <w:rPr>
          <w:rFonts w:ascii="Arial" w:hAnsi="Arial" w:cs="Arial"/>
        </w:rPr>
        <w:t>(2013) Effects of a Data-Driven District Reform Model on State Assessment Outcomes. American Education Research Journal, 50(2), 371-396.</w:t>
      </w:r>
    </w:p>
    <w:p w14:paraId="703823EE" w14:textId="77777777" w:rsidR="00244EAE" w:rsidRPr="00167A55" w:rsidRDefault="00244EAE" w:rsidP="00F947D6">
      <w:pPr>
        <w:spacing w:before="120" w:after="0"/>
        <w:jc w:val="both"/>
        <w:rPr>
          <w:rFonts w:ascii="Arial" w:hAnsi="Arial" w:cs="Arial"/>
        </w:rPr>
      </w:pPr>
      <w:r w:rsidRPr="00167A55">
        <w:rPr>
          <w:rFonts w:ascii="Arial" w:hAnsi="Arial" w:cs="Arial"/>
        </w:rPr>
        <w:t xml:space="preserve">Somers, M. A., Zhu, P., Jacob, R., &amp; Bloom, H. (2013). The Validity and Precision of the Comparative Interrupted Time Series Design and the Difference-in-Difference Design in Educational Evaluation. </w:t>
      </w:r>
      <w:proofErr w:type="spellStart"/>
      <w:r w:rsidRPr="00167A55">
        <w:rPr>
          <w:rFonts w:ascii="Arial" w:hAnsi="Arial" w:cs="Arial"/>
          <w:i/>
        </w:rPr>
        <w:t>MDRC</w:t>
      </w:r>
      <w:proofErr w:type="spellEnd"/>
      <w:r w:rsidRPr="00167A55">
        <w:rPr>
          <w:rFonts w:ascii="Arial" w:hAnsi="Arial" w:cs="Arial"/>
        </w:rPr>
        <w:t>.</w:t>
      </w:r>
    </w:p>
    <w:p w14:paraId="34C74724" w14:textId="77777777" w:rsidR="00244EAE" w:rsidRPr="00167A55" w:rsidRDefault="00244EAE" w:rsidP="00F947D6">
      <w:pPr>
        <w:spacing w:before="120" w:after="0"/>
        <w:jc w:val="both"/>
        <w:rPr>
          <w:rFonts w:ascii="Arial" w:hAnsi="Arial" w:cs="Arial"/>
        </w:rPr>
      </w:pPr>
      <w:proofErr w:type="spellStart"/>
      <w:r w:rsidRPr="00167A55">
        <w:rPr>
          <w:rFonts w:ascii="Arial" w:hAnsi="Arial" w:cs="Arial"/>
        </w:rPr>
        <w:t>Spybrook</w:t>
      </w:r>
      <w:proofErr w:type="spellEnd"/>
      <w:r w:rsidRPr="00167A55">
        <w:rPr>
          <w:rFonts w:ascii="Arial" w:hAnsi="Arial" w:cs="Arial"/>
        </w:rPr>
        <w:t xml:space="preserve">, J., </w:t>
      </w:r>
      <w:proofErr w:type="spellStart"/>
      <w:r w:rsidRPr="00167A55">
        <w:rPr>
          <w:rFonts w:ascii="Arial" w:hAnsi="Arial" w:cs="Arial"/>
        </w:rPr>
        <w:t>Raudenbush</w:t>
      </w:r>
      <w:proofErr w:type="spellEnd"/>
      <w:r w:rsidRPr="00167A55">
        <w:rPr>
          <w:rFonts w:ascii="Arial" w:hAnsi="Arial" w:cs="Arial"/>
        </w:rPr>
        <w:t xml:space="preserve">, S. W., Liu, X. F., Congdon, R., &amp; Martínez, A. (2006). Optimal design for longitudinal and multilevel research: Documentation for the “Optimal Design” software. </w:t>
      </w:r>
      <w:r w:rsidRPr="00167A55">
        <w:rPr>
          <w:rFonts w:ascii="Arial" w:hAnsi="Arial" w:cs="Arial"/>
          <w:i/>
        </w:rPr>
        <w:t>Survey Research Center of the Institute of Social Research at University of Michigan</w:t>
      </w:r>
      <w:r w:rsidRPr="00167A55">
        <w:rPr>
          <w:rFonts w:ascii="Arial" w:hAnsi="Arial" w:cs="Arial"/>
        </w:rPr>
        <w:t>.</w:t>
      </w:r>
    </w:p>
    <w:p w14:paraId="5C00F649" w14:textId="77777777" w:rsidR="00244EAE" w:rsidRPr="00167A55" w:rsidRDefault="00244EAE" w:rsidP="00F947D6">
      <w:pPr>
        <w:widowControl w:val="0"/>
        <w:autoSpaceDE w:val="0"/>
        <w:autoSpaceDN w:val="0"/>
        <w:adjustRightInd w:val="0"/>
        <w:spacing w:before="120" w:after="0"/>
        <w:jc w:val="both"/>
        <w:rPr>
          <w:rFonts w:ascii="Arial" w:hAnsi="Arial" w:cs="Arial"/>
        </w:rPr>
      </w:pPr>
      <w:proofErr w:type="spellStart"/>
      <w:r w:rsidRPr="00167A55">
        <w:rPr>
          <w:rFonts w:ascii="Arial" w:hAnsi="Arial" w:cs="Arial"/>
        </w:rPr>
        <w:t>Supovitz</w:t>
      </w:r>
      <w:proofErr w:type="spellEnd"/>
      <w:r w:rsidRPr="00167A55">
        <w:rPr>
          <w:rFonts w:ascii="Arial" w:hAnsi="Arial" w:cs="Arial"/>
        </w:rPr>
        <w:t>, J.  (2008). Melding internal and external support for school improvement: How the district role changes when working closely with external instructional support providers. Peabody Journal of Education, 83(3), 459-478</w:t>
      </w:r>
    </w:p>
    <w:p w14:paraId="783C7607" w14:textId="77777777" w:rsidR="00244EAE" w:rsidRPr="00167A55" w:rsidRDefault="00244EAE" w:rsidP="00F947D6">
      <w:pPr>
        <w:widowControl w:val="0"/>
        <w:autoSpaceDE w:val="0"/>
        <w:autoSpaceDN w:val="0"/>
        <w:adjustRightInd w:val="0"/>
        <w:spacing w:before="120" w:after="0"/>
        <w:jc w:val="both"/>
        <w:rPr>
          <w:rFonts w:ascii="Arial" w:hAnsi="Arial" w:cs="Arial"/>
        </w:rPr>
      </w:pPr>
      <w:proofErr w:type="spellStart"/>
      <w:r w:rsidRPr="00167A55">
        <w:rPr>
          <w:rFonts w:ascii="Arial" w:hAnsi="Arial" w:cs="Arial"/>
        </w:rPr>
        <w:t>Supovitz</w:t>
      </w:r>
      <w:proofErr w:type="spellEnd"/>
      <w:r w:rsidRPr="00167A55">
        <w:rPr>
          <w:rFonts w:ascii="Arial" w:hAnsi="Arial" w:cs="Arial"/>
        </w:rPr>
        <w:t>, J. (2006). The case for district-based reform: Leading, building, and sustaining school improvement.  Cambridge, MA: Harvard Education Press</w:t>
      </w:r>
    </w:p>
    <w:p w14:paraId="1A6E8A07" w14:textId="77777777" w:rsidR="00244EAE" w:rsidRPr="00167A55" w:rsidRDefault="00244EAE" w:rsidP="00F947D6">
      <w:pPr>
        <w:pStyle w:val="FootnoteText"/>
        <w:spacing w:before="120" w:after="0"/>
        <w:ind w:left="360" w:hanging="360"/>
        <w:rPr>
          <w:rFonts w:ascii="Arial" w:hAnsi="Arial" w:cs="Arial"/>
          <w:spacing w:val="0"/>
          <w:sz w:val="22"/>
          <w:szCs w:val="22"/>
        </w:rPr>
      </w:pPr>
      <w:r w:rsidRPr="00167A55">
        <w:rPr>
          <w:rFonts w:ascii="Arial" w:hAnsi="Arial" w:cs="Arial"/>
          <w:spacing w:val="0"/>
          <w:sz w:val="22"/>
          <w:szCs w:val="22"/>
        </w:rPr>
        <w:t xml:space="preserve">Whitehurst, </w:t>
      </w:r>
      <w:proofErr w:type="spellStart"/>
      <w:r w:rsidRPr="00167A55">
        <w:rPr>
          <w:rFonts w:ascii="Arial" w:hAnsi="Arial" w:cs="Arial"/>
          <w:spacing w:val="0"/>
          <w:sz w:val="22"/>
          <w:szCs w:val="22"/>
        </w:rPr>
        <w:t>Chingos</w:t>
      </w:r>
      <w:proofErr w:type="spellEnd"/>
      <w:r w:rsidRPr="00167A55">
        <w:rPr>
          <w:rFonts w:ascii="Arial" w:hAnsi="Arial" w:cs="Arial"/>
          <w:spacing w:val="0"/>
          <w:sz w:val="22"/>
          <w:szCs w:val="22"/>
        </w:rPr>
        <w:t xml:space="preserve"> y </w:t>
      </w:r>
      <w:proofErr w:type="spellStart"/>
      <w:r w:rsidRPr="00167A55">
        <w:rPr>
          <w:rFonts w:ascii="Arial" w:hAnsi="Arial" w:cs="Arial"/>
          <w:spacing w:val="0"/>
          <w:sz w:val="22"/>
          <w:szCs w:val="22"/>
        </w:rPr>
        <w:t>Galleher</w:t>
      </w:r>
      <w:proofErr w:type="spellEnd"/>
      <w:r w:rsidRPr="00167A55">
        <w:rPr>
          <w:rFonts w:ascii="Arial" w:hAnsi="Arial" w:cs="Arial"/>
          <w:spacing w:val="0"/>
          <w:sz w:val="22"/>
          <w:szCs w:val="22"/>
        </w:rPr>
        <w:t>, (2013). Do districts matter? Washington, DC: Brookings.</w:t>
      </w:r>
    </w:p>
    <w:p w14:paraId="1DB1FDD2" w14:textId="77777777" w:rsidR="00244EAE" w:rsidRPr="00167A55" w:rsidRDefault="00244EAE" w:rsidP="00F947D6">
      <w:pPr>
        <w:spacing w:before="120" w:after="0" w:line="240" w:lineRule="auto"/>
        <w:jc w:val="both"/>
        <w:rPr>
          <w:rFonts w:ascii="Arial" w:hAnsi="Arial" w:cs="Arial"/>
          <w:color w:val="222222"/>
        </w:rPr>
      </w:pPr>
      <w:r w:rsidRPr="00167A55">
        <w:rPr>
          <w:rFonts w:ascii="Arial" w:hAnsi="Arial" w:cs="Arial"/>
          <w:color w:val="222222"/>
        </w:rPr>
        <w:t xml:space="preserve">Wong, Kenneth K. &amp; Shen, Francis X. (2013). Mayoral Governance and Student Achievement: How Mayor-Led Districts Are Improving School and Student Performance. Center for American Progress. </w:t>
      </w:r>
    </w:p>
    <w:p w14:paraId="50631B82" w14:textId="77777777" w:rsidR="00244EAE" w:rsidRPr="00152CDF" w:rsidRDefault="00244EAE" w:rsidP="00F947D6">
      <w:pPr>
        <w:widowControl w:val="0"/>
        <w:autoSpaceDE w:val="0"/>
        <w:autoSpaceDN w:val="0"/>
        <w:adjustRightInd w:val="0"/>
        <w:spacing w:before="120" w:after="0"/>
        <w:jc w:val="both"/>
        <w:rPr>
          <w:rFonts w:ascii="Arial" w:hAnsi="Arial" w:cs="Arial"/>
          <w:lang w:val="es-ES_tradnl"/>
        </w:rPr>
      </w:pPr>
      <w:proofErr w:type="spellStart"/>
      <w:r w:rsidRPr="00167A55">
        <w:rPr>
          <w:rFonts w:ascii="Arial" w:hAnsi="Arial" w:cs="Arial"/>
        </w:rPr>
        <w:t>Zavadsky</w:t>
      </w:r>
      <w:proofErr w:type="spellEnd"/>
      <w:r w:rsidRPr="00167A55">
        <w:rPr>
          <w:rFonts w:ascii="Arial" w:hAnsi="Arial" w:cs="Arial"/>
        </w:rPr>
        <w:t xml:space="preserve">, H. (2009). Bringing school reform to scale: Five award-winning urban districts. </w:t>
      </w:r>
      <w:r w:rsidRPr="00152CDF">
        <w:rPr>
          <w:rFonts w:ascii="Arial" w:hAnsi="Arial" w:cs="Arial"/>
          <w:lang w:val="es-ES_tradnl"/>
        </w:rPr>
        <w:t xml:space="preserve">Cambridge, </w:t>
      </w:r>
      <w:proofErr w:type="spellStart"/>
      <w:r w:rsidRPr="00152CDF">
        <w:rPr>
          <w:rFonts w:ascii="Arial" w:hAnsi="Arial" w:cs="Arial"/>
          <w:lang w:val="es-ES_tradnl"/>
        </w:rPr>
        <w:t>Mass</w:t>
      </w:r>
      <w:proofErr w:type="spellEnd"/>
      <w:r w:rsidRPr="00152CDF">
        <w:rPr>
          <w:rFonts w:ascii="Arial" w:hAnsi="Arial" w:cs="Arial"/>
          <w:lang w:val="es-ES_tradnl"/>
        </w:rPr>
        <w:t xml:space="preserve">.: Harvard Education </w:t>
      </w:r>
      <w:proofErr w:type="spellStart"/>
      <w:r w:rsidRPr="00152CDF">
        <w:rPr>
          <w:rFonts w:ascii="Arial" w:hAnsi="Arial" w:cs="Arial"/>
          <w:lang w:val="es-ES_tradnl"/>
        </w:rPr>
        <w:t>Press</w:t>
      </w:r>
      <w:proofErr w:type="spellEnd"/>
      <w:r w:rsidRPr="00152CDF">
        <w:rPr>
          <w:rFonts w:ascii="Arial" w:hAnsi="Arial" w:cs="Arial"/>
          <w:lang w:val="es-ES_tradnl"/>
        </w:rPr>
        <w:t xml:space="preserve">; </w:t>
      </w:r>
    </w:p>
    <w:p w14:paraId="0523293D" w14:textId="77777777" w:rsidR="004040F1" w:rsidRPr="00152CDF" w:rsidRDefault="004040F1" w:rsidP="00F947D6">
      <w:pPr>
        <w:spacing w:before="120" w:after="0" w:line="240" w:lineRule="auto"/>
        <w:jc w:val="both"/>
        <w:rPr>
          <w:rFonts w:ascii="Arial" w:hAnsi="Arial" w:cs="Arial"/>
          <w:sz w:val="18"/>
          <w:szCs w:val="18"/>
          <w:lang w:val="es-ES_tradnl"/>
        </w:rPr>
      </w:pPr>
    </w:p>
    <w:p w14:paraId="30F1C8ED" w14:textId="77777777" w:rsidR="00B56299" w:rsidRPr="00152CDF" w:rsidRDefault="00B56299" w:rsidP="00FA3F72">
      <w:pPr>
        <w:spacing w:line="240" w:lineRule="auto"/>
        <w:jc w:val="both"/>
        <w:rPr>
          <w:rStyle w:val="hps"/>
          <w:rFonts w:ascii="Arial" w:hAnsi="Arial" w:cs="Arial"/>
          <w:color w:val="222222"/>
          <w:lang w:val="es-ES_tradnl"/>
        </w:rPr>
      </w:pPr>
    </w:p>
    <w:sectPr w:rsidR="00B56299" w:rsidRPr="00152CDF" w:rsidSect="009867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EF98B5" w14:textId="77777777" w:rsidR="00AD48E5" w:rsidRDefault="00AD48E5" w:rsidP="003D1EBD">
      <w:pPr>
        <w:spacing w:after="0" w:line="240" w:lineRule="auto"/>
      </w:pPr>
      <w:r>
        <w:separator/>
      </w:r>
    </w:p>
  </w:endnote>
  <w:endnote w:type="continuationSeparator" w:id="0">
    <w:p w14:paraId="30DC8C1E" w14:textId="77777777" w:rsidR="00AD48E5" w:rsidRDefault="00AD48E5" w:rsidP="003D1EBD">
      <w:pPr>
        <w:spacing w:after="0" w:line="240" w:lineRule="auto"/>
      </w:pPr>
      <w:r>
        <w:continuationSeparator/>
      </w:r>
    </w:p>
  </w:endnote>
  <w:endnote w:type="continuationNotice" w:id="1">
    <w:p w14:paraId="2420D578" w14:textId="77777777" w:rsidR="00AD48E5" w:rsidRDefault="00AD48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3932424"/>
      <w:docPartObj>
        <w:docPartGallery w:val="Page Numbers (Bottom of Page)"/>
        <w:docPartUnique/>
      </w:docPartObj>
    </w:sdtPr>
    <w:sdtEndPr>
      <w:rPr>
        <w:noProof/>
      </w:rPr>
    </w:sdtEndPr>
    <w:sdtContent>
      <w:p w14:paraId="6F2E81FB" w14:textId="77777777" w:rsidR="00AE7E7F" w:rsidRDefault="00AE7E7F">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63D6122" w14:textId="77777777" w:rsidR="00AE7E7F" w:rsidRDefault="00AE7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A3B32" w14:textId="77777777" w:rsidR="005D3D3C" w:rsidRDefault="005D3D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AF9B0" w14:textId="77777777" w:rsidR="00AD48E5" w:rsidRDefault="00AD48E5" w:rsidP="003D1EBD">
      <w:pPr>
        <w:spacing w:after="0" w:line="240" w:lineRule="auto"/>
      </w:pPr>
      <w:r>
        <w:separator/>
      </w:r>
    </w:p>
  </w:footnote>
  <w:footnote w:type="continuationSeparator" w:id="0">
    <w:p w14:paraId="4C747A9C" w14:textId="77777777" w:rsidR="00AD48E5" w:rsidRDefault="00AD48E5" w:rsidP="003D1EBD">
      <w:pPr>
        <w:spacing w:after="0" w:line="240" w:lineRule="auto"/>
      </w:pPr>
      <w:r>
        <w:continuationSeparator/>
      </w:r>
    </w:p>
  </w:footnote>
  <w:footnote w:type="continuationNotice" w:id="1">
    <w:p w14:paraId="66708C79" w14:textId="77777777" w:rsidR="00AD48E5" w:rsidRDefault="00AD48E5">
      <w:pPr>
        <w:spacing w:after="0" w:line="240" w:lineRule="auto"/>
      </w:pPr>
    </w:p>
  </w:footnote>
  <w:footnote w:id="2">
    <w:p w14:paraId="7069ABBE" w14:textId="067F08D0" w:rsidR="00AE7E7F" w:rsidRPr="00F947D6" w:rsidRDefault="00AE7E7F" w:rsidP="00F947D6">
      <w:pPr>
        <w:pStyle w:val="FootnoteText"/>
        <w:spacing w:after="0"/>
        <w:ind w:left="360" w:hanging="360"/>
        <w:rPr>
          <w:rFonts w:ascii="Arial" w:hAnsi="Arial" w:cs="Arial"/>
          <w:sz w:val="18"/>
          <w:szCs w:val="18"/>
          <w:lang w:val="es-CL"/>
        </w:rPr>
      </w:pPr>
      <w:r w:rsidRPr="00F947D6">
        <w:rPr>
          <w:rStyle w:val="FootnoteReference"/>
          <w:rFonts w:ascii="Arial" w:hAnsi="Arial" w:cs="Arial"/>
          <w:sz w:val="18"/>
          <w:szCs w:val="18"/>
        </w:rPr>
        <w:footnoteRef/>
      </w:r>
      <w:r w:rsidRPr="00F947D6">
        <w:rPr>
          <w:rFonts w:ascii="Arial" w:hAnsi="Arial" w:cs="Arial"/>
          <w:sz w:val="18"/>
          <w:szCs w:val="18"/>
          <w:lang w:val="es-CL"/>
        </w:rPr>
        <w:t xml:space="preserve"> </w:t>
      </w:r>
      <w:r w:rsidR="0028548A">
        <w:rPr>
          <w:rFonts w:ascii="Arial" w:hAnsi="Arial" w:cs="Arial"/>
          <w:sz w:val="18"/>
          <w:szCs w:val="18"/>
          <w:lang w:val="es-CL"/>
        </w:rPr>
        <w:tab/>
      </w:r>
      <w:r w:rsidRPr="00F947D6">
        <w:rPr>
          <w:rFonts w:ascii="Arial" w:hAnsi="Arial" w:cs="Arial"/>
          <w:sz w:val="18"/>
          <w:szCs w:val="18"/>
          <w:lang w:val="es-CL"/>
        </w:rPr>
        <w:t xml:space="preserve">La Ley 20.040 contempla en su capítulo de transitorios que para el año 2021 se definirá una comisión que evaluarán los municipios a ingresar en la gradualidad, pudiendo extender la entrada en marcha de los nuevos SLEPs hasta el año 2030. </w:t>
      </w:r>
    </w:p>
  </w:footnote>
  <w:footnote w:id="3">
    <w:p w14:paraId="62C030D1" w14:textId="24AFD675" w:rsidR="00AE7E7F" w:rsidRPr="0028548A" w:rsidRDefault="00AE7E7F" w:rsidP="00F947D6">
      <w:pPr>
        <w:pStyle w:val="FootnoteText"/>
        <w:ind w:left="360" w:hanging="360"/>
        <w:rPr>
          <w:rFonts w:ascii="Arial" w:hAnsi="Arial" w:cs="Arial"/>
          <w:sz w:val="18"/>
          <w:szCs w:val="18"/>
          <w:lang w:val="es-CL"/>
        </w:rPr>
      </w:pPr>
      <w:r w:rsidRPr="0028548A">
        <w:rPr>
          <w:rStyle w:val="FootnoteReference"/>
          <w:rFonts w:ascii="Arial" w:hAnsi="Arial" w:cs="Arial"/>
          <w:sz w:val="18"/>
          <w:szCs w:val="18"/>
        </w:rPr>
        <w:footnoteRef/>
      </w:r>
      <w:r w:rsidRPr="0028548A">
        <w:rPr>
          <w:rFonts w:ascii="Arial" w:hAnsi="Arial" w:cs="Arial"/>
          <w:sz w:val="18"/>
          <w:szCs w:val="18"/>
          <w:lang w:val="es-CL"/>
        </w:rPr>
        <w:t xml:space="preserve"> </w:t>
      </w:r>
      <w:r w:rsidR="000030E9">
        <w:rPr>
          <w:rFonts w:ascii="Arial" w:hAnsi="Arial" w:cs="Arial"/>
          <w:sz w:val="18"/>
          <w:szCs w:val="18"/>
          <w:lang w:val="es-CL"/>
        </w:rPr>
        <w:tab/>
      </w:r>
      <w:r w:rsidRPr="0028548A">
        <w:rPr>
          <w:rFonts w:ascii="Arial" w:hAnsi="Arial" w:cs="Arial"/>
          <w:sz w:val="18"/>
          <w:szCs w:val="18"/>
          <w:lang w:val="es-CL"/>
        </w:rPr>
        <w:t>Importante tener en cuenta que el programa de reforma institucional de educación pública chileno propone la consolidación de la administración de municipios desde 345 a 70 unidades de gestión educativas.</w:t>
      </w:r>
    </w:p>
  </w:footnote>
  <w:footnote w:id="4">
    <w:p w14:paraId="72B11C02" w14:textId="61A7F096" w:rsidR="00AE7E7F" w:rsidRPr="0028548A" w:rsidRDefault="00AE7E7F" w:rsidP="00F947D6">
      <w:pPr>
        <w:pStyle w:val="FootnoteText"/>
        <w:ind w:left="360" w:hanging="360"/>
        <w:rPr>
          <w:rFonts w:ascii="Arial" w:hAnsi="Arial" w:cs="Arial"/>
          <w:sz w:val="18"/>
          <w:szCs w:val="18"/>
          <w:lang w:val="es-CL"/>
        </w:rPr>
      </w:pPr>
      <w:r w:rsidRPr="0028548A">
        <w:rPr>
          <w:rStyle w:val="FootnoteReference"/>
          <w:rFonts w:ascii="Arial" w:hAnsi="Arial" w:cs="Arial"/>
          <w:sz w:val="18"/>
          <w:szCs w:val="18"/>
        </w:rPr>
        <w:footnoteRef/>
      </w:r>
      <w:r w:rsidRPr="0028548A">
        <w:rPr>
          <w:rFonts w:ascii="Arial" w:hAnsi="Arial" w:cs="Arial"/>
          <w:sz w:val="18"/>
          <w:szCs w:val="18"/>
          <w:lang w:val="es-CL"/>
        </w:rPr>
        <w:t xml:space="preserve"> </w:t>
      </w:r>
      <w:r w:rsidRPr="0028548A">
        <w:rPr>
          <w:rFonts w:ascii="Arial" w:hAnsi="Arial" w:cs="Arial"/>
          <w:sz w:val="18"/>
          <w:szCs w:val="18"/>
          <w:lang w:val="es-CL"/>
        </w:rPr>
        <w:tab/>
        <w:t>Para la selección de los territorios (conjuntos de municipios) que ingresaron a la nueva institucionalidad, el MINEDUC creó un índice compuesto por tres sub-índices ad-hoc, considerando los criterios de visibilidad (población total, porcentaje de la matrícula municipal urbana), factibilidad política (proporción de alcaldes a favor del cambio institucional, coalición de gobierno) y complejidad en la gestión (tamaños críticos en términos del servicio educacional, cantidad de municipios, escuelas y estudiantes). Al mismo tiempo, el criterio territorial se consideró por la vía de seleccionar territorios de las distintas macrozonas regionales del país (norte, centro, sur y metropolitana).</w:t>
      </w:r>
    </w:p>
  </w:footnote>
  <w:footnote w:id="5">
    <w:p w14:paraId="77BCFB61" w14:textId="48B79615" w:rsidR="00AE7E7F" w:rsidRPr="0028548A" w:rsidRDefault="00AE7E7F" w:rsidP="00F947D6">
      <w:pPr>
        <w:pStyle w:val="FootnoteText"/>
        <w:ind w:left="360" w:hanging="360"/>
        <w:rPr>
          <w:rFonts w:ascii="Arial" w:hAnsi="Arial" w:cs="Arial"/>
          <w:sz w:val="18"/>
          <w:szCs w:val="18"/>
          <w:lang w:val="es-CL"/>
        </w:rPr>
      </w:pPr>
      <w:r w:rsidRPr="0028548A">
        <w:rPr>
          <w:rStyle w:val="FootnoteReference"/>
          <w:rFonts w:ascii="Arial" w:hAnsi="Arial" w:cs="Arial"/>
          <w:sz w:val="18"/>
          <w:szCs w:val="18"/>
        </w:rPr>
        <w:footnoteRef/>
      </w:r>
      <w:r w:rsidRPr="0028548A">
        <w:rPr>
          <w:rFonts w:ascii="Arial" w:hAnsi="Arial" w:cs="Arial"/>
          <w:sz w:val="18"/>
          <w:szCs w:val="18"/>
          <w:lang w:val="es-CL"/>
        </w:rPr>
        <w:t xml:space="preserve"> Se procederá a utilizar el algoritmo del “vecino” más cercano, metodología estándar para procesos de matching para el análisis de políticas públicas.</w:t>
      </w:r>
    </w:p>
  </w:footnote>
  <w:footnote w:id="6">
    <w:p w14:paraId="67802B93" w14:textId="77777777" w:rsidR="00AE7E7F" w:rsidRPr="0028548A" w:rsidRDefault="00AE7E7F">
      <w:pPr>
        <w:spacing w:after="0" w:line="240" w:lineRule="auto"/>
        <w:ind w:left="360" w:hanging="360"/>
        <w:jc w:val="both"/>
        <w:rPr>
          <w:rFonts w:ascii="Arial" w:hAnsi="Arial" w:cs="Arial"/>
          <w:color w:val="222222"/>
          <w:sz w:val="18"/>
          <w:szCs w:val="18"/>
          <w:lang w:val="es-AR"/>
        </w:rPr>
      </w:pPr>
      <w:r w:rsidRPr="0028548A">
        <w:rPr>
          <w:rStyle w:val="FootnoteReference"/>
          <w:rFonts w:ascii="Arial" w:hAnsi="Arial" w:cs="Arial"/>
          <w:sz w:val="18"/>
          <w:szCs w:val="18"/>
          <w:lang w:val="es-AR"/>
        </w:rPr>
        <w:footnoteRef/>
      </w:r>
      <w:r w:rsidRPr="0028548A">
        <w:rPr>
          <w:rFonts w:ascii="Arial" w:hAnsi="Arial" w:cs="Arial"/>
          <w:sz w:val="18"/>
          <w:szCs w:val="18"/>
          <w:lang w:val="es-AR"/>
        </w:rPr>
        <w:t xml:space="preserve"> </w:t>
      </w:r>
      <w:r w:rsidRPr="0028548A">
        <w:rPr>
          <w:rFonts w:ascii="Arial" w:hAnsi="Arial" w:cs="Arial"/>
          <w:sz w:val="18"/>
          <w:szCs w:val="18"/>
          <w:lang w:val="es-AR"/>
        </w:rPr>
        <w:tab/>
        <w:t>El</w:t>
      </w:r>
      <w:r w:rsidRPr="0028548A">
        <w:rPr>
          <w:rStyle w:val="hps"/>
          <w:rFonts w:ascii="Arial" w:hAnsi="Arial" w:cs="Arial"/>
          <w:color w:val="222222"/>
          <w:sz w:val="18"/>
          <w:szCs w:val="18"/>
          <w:lang w:val="es-AR"/>
        </w:rPr>
        <w:t xml:space="preserve"> trabajo de Spybrook y otros (2006) permite calcular el efecto mínimo detectable para el caso que las unidades se asignan al tratamiento de forma aleatoria y cuando los datos tienen una estructura multinivel. Sin embargo, existe en la literatura debate acerca de si en casos en los que se utilizan metodologías no experimentales es necesario utilizar un factor de ajuste para calcular el tamaño adecuado de la muestra que permita obtener suficiente poder estadístico, y existe debate acerca del tamaño de dicho factor. Véase por ejemplo el trabajo de Somers et al (2013).</w:t>
      </w:r>
    </w:p>
  </w:footnote>
  <w:footnote w:id="7">
    <w:p w14:paraId="3B1491ED" w14:textId="4282709C" w:rsidR="00AE7E7F" w:rsidRPr="0028548A" w:rsidRDefault="00AE7E7F">
      <w:pPr>
        <w:pStyle w:val="FootnoteText"/>
        <w:spacing w:after="0"/>
        <w:ind w:left="360" w:hanging="360"/>
        <w:rPr>
          <w:rStyle w:val="hps"/>
          <w:rFonts w:ascii="Arial" w:hAnsi="Arial" w:cs="Arial"/>
          <w:color w:val="222222"/>
          <w:spacing w:val="0"/>
          <w:sz w:val="18"/>
          <w:szCs w:val="18"/>
          <w:lang w:val="es-AR"/>
        </w:rPr>
      </w:pPr>
      <w:r w:rsidRPr="0028548A">
        <w:rPr>
          <w:rStyle w:val="FootnoteReference"/>
          <w:rFonts w:ascii="Arial" w:hAnsi="Arial" w:cs="Arial"/>
          <w:sz w:val="18"/>
          <w:szCs w:val="18"/>
          <w:lang w:val="es-AR"/>
        </w:rPr>
        <w:footnoteRef/>
      </w:r>
      <w:r w:rsidRPr="0028548A">
        <w:rPr>
          <w:rFonts w:ascii="Arial" w:hAnsi="Arial" w:cs="Arial"/>
          <w:sz w:val="18"/>
          <w:szCs w:val="18"/>
          <w:lang w:val="es-AR"/>
        </w:rPr>
        <w:t xml:space="preserve"> </w:t>
      </w:r>
      <w:r w:rsidRPr="0028548A">
        <w:rPr>
          <w:rFonts w:ascii="Arial" w:hAnsi="Arial" w:cs="Arial"/>
          <w:sz w:val="18"/>
          <w:szCs w:val="18"/>
          <w:lang w:val="es-AR"/>
        </w:rPr>
        <w:tab/>
      </w:r>
      <w:r w:rsidRPr="0028548A">
        <w:rPr>
          <w:rStyle w:val="hps"/>
          <w:rFonts w:ascii="Arial" w:hAnsi="Arial" w:cs="Arial"/>
          <w:color w:val="222222"/>
          <w:spacing w:val="0"/>
          <w:sz w:val="18"/>
          <w:szCs w:val="18"/>
          <w:lang w:val="es-AR"/>
        </w:rPr>
        <w:t>Porcentaje de la varianza total de la variable de resultado explicado por la varianza entre SLEP.</w:t>
      </w:r>
    </w:p>
  </w:footnote>
  <w:footnote w:id="8">
    <w:p w14:paraId="1F2EFDAD" w14:textId="05210429" w:rsidR="00AE7E7F" w:rsidRPr="0028548A" w:rsidRDefault="00AE7E7F">
      <w:pPr>
        <w:pStyle w:val="FootnoteText"/>
        <w:spacing w:after="0"/>
        <w:ind w:left="360" w:hanging="360"/>
        <w:rPr>
          <w:rFonts w:ascii="Arial" w:hAnsi="Arial" w:cs="Arial"/>
          <w:sz w:val="18"/>
          <w:szCs w:val="18"/>
          <w:lang w:val="es-AR"/>
        </w:rPr>
      </w:pPr>
      <w:r w:rsidRPr="0028548A">
        <w:rPr>
          <w:rStyle w:val="FootnoteReference"/>
          <w:rFonts w:ascii="Arial" w:hAnsi="Arial" w:cs="Arial"/>
          <w:sz w:val="18"/>
          <w:szCs w:val="18"/>
          <w:lang w:val="es-AR"/>
        </w:rPr>
        <w:footnoteRef/>
      </w:r>
      <w:r w:rsidRPr="0028548A">
        <w:rPr>
          <w:rFonts w:ascii="Arial" w:hAnsi="Arial" w:cs="Arial"/>
          <w:sz w:val="18"/>
          <w:szCs w:val="18"/>
          <w:lang w:val="es-AR"/>
        </w:rPr>
        <w:t xml:space="preserve"> </w:t>
      </w:r>
      <w:r w:rsidRPr="0028548A">
        <w:rPr>
          <w:rFonts w:ascii="Arial" w:hAnsi="Arial" w:cs="Arial"/>
          <w:sz w:val="18"/>
          <w:szCs w:val="18"/>
          <w:lang w:val="es-AR"/>
        </w:rPr>
        <w:tab/>
        <w:t>Como referencia, se calculó la correlación intra-clase del puntaje SIMCE de matemáticas utilizando datos de SIMCE 2012, usando en vez de SLEPs los Departamentos Provinciales de Educación (en total 43), que tienen una escala similar a los SLEPs. El resultado de este ejercicio fue una correlación intra-clase 0.01 cuando se usan datos a nivel de escuela.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C081D" w14:textId="77777777" w:rsidR="00D65456" w:rsidRDefault="00D654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68133" w14:textId="77777777" w:rsidR="005D3D3C" w:rsidRPr="008F2432" w:rsidRDefault="005D3D3C" w:rsidP="00C76F20">
    <w:pPr>
      <w:pStyle w:val="Header"/>
      <w:rPr>
        <w:rFonts w:ascii="Arial" w:hAnsi="Arial" w:cs="Arial"/>
        <w:sz w:val="18"/>
        <w:szCs w:val="20"/>
        <w:lang w:val="pt-BR"/>
      </w:rPr>
    </w:pPr>
    <w:r w:rsidRPr="008F2432">
      <w:rPr>
        <w:rFonts w:ascii="Arial" w:hAnsi="Arial" w:cs="Arial"/>
        <w:sz w:val="18"/>
        <w:szCs w:val="20"/>
        <w:lang w:val="pt-BR"/>
      </w:rPr>
      <w:t>Anexo II – CH-</w:t>
    </w:r>
    <w:proofErr w:type="spellStart"/>
    <w:r w:rsidRPr="008F2432">
      <w:rPr>
        <w:rFonts w:ascii="Arial" w:hAnsi="Arial" w:cs="Arial"/>
        <w:sz w:val="18"/>
        <w:szCs w:val="20"/>
        <w:lang w:val="pt-BR"/>
      </w:rPr>
      <w:t>L1081</w:t>
    </w:r>
    <w:proofErr w:type="spellEnd"/>
  </w:p>
  <w:p w14:paraId="41A76DF3" w14:textId="77777777" w:rsidR="005D3D3C" w:rsidRPr="008F2432" w:rsidRDefault="005D3D3C" w:rsidP="00C76F20">
    <w:pPr>
      <w:pStyle w:val="Header"/>
      <w:spacing w:after="120"/>
      <w:rPr>
        <w:rFonts w:ascii="Arial" w:hAnsi="Arial" w:cs="Arial"/>
        <w:sz w:val="18"/>
        <w:lang w:val="pt-BR"/>
      </w:rPr>
    </w:pPr>
    <w:r w:rsidRPr="008F2432">
      <w:rPr>
        <w:rFonts w:ascii="Arial" w:hAnsi="Arial" w:cs="Arial"/>
        <w:sz w:val="18"/>
        <w:szCs w:val="20"/>
        <w:lang w:val="pt-BR"/>
      </w:rPr>
      <w:t xml:space="preserve">Página </w:t>
    </w:r>
    <w:r w:rsidRPr="00302181">
      <w:rPr>
        <w:rFonts w:ascii="Arial" w:hAnsi="Arial" w:cs="Arial"/>
        <w:sz w:val="18"/>
        <w:szCs w:val="20"/>
      </w:rPr>
      <w:fldChar w:fldCharType="begin"/>
    </w:r>
    <w:r w:rsidRPr="008F2432">
      <w:rPr>
        <w:rFonts w:ascii="Arial" w:hAnsi="Arial" w:cs="Arial"/>
        <w:sz w:val="18"/>
        <w:szCs w:val="20"/>
        <w:lang w:val="pt-BR"/>
      </w:rPr>
      <w:instrText xml:space="preserve"> PAGE </w:instrText>
    </w:r>
    <w:r w:rsidRPr="00302181">
      <w:rPr>
        <w:rFonts w:ascii="Arial" w:hAnsi="Arial" w:cs="Arial"/>
        <w:sz w:val="18"/>
        <w:szCs w:val="20"/>
      </w:rPr>
      <w:fldChar w:fldCharType="separate"/>
    </w:r>
    <w:r w:rsidRPr="008F2432">
      <w:rPr>
        <w:rFonts w:ascii="Arial" w:hAnsi="Arial" w:cs="Arial"/>
        <w:sz w:val="18"/>
        <w:szCs w:val="20"/>
        <w:lang w:val="pt-BR"/>
      </w:rPr>
      <w:t>2</w:t>
    </w:r>
    <w:r w:rsidRPr="00302181">
      <w:rPr>
        <w:rFonts w:ascii="Arial" w:hAnsi="Arial" w:cs="Arial"/>
        <w:sz w:val="18"/>
        <w:szCs w:val="20"/>
      </w:rPr>
      <w:fldChar w:fldCharType="end"/>
    </w:r>
    <w:r w:rsidRPr="008F2432">
      <w:rPr>
        <w:rFonts w:ascii="Arial" w:hAnsi="Arial" w:cs="Arial"/>
        <w:sz w:val="18"/>
        <w:szCs w:val="20"/>
        <w:lang w:val="pt-BR"/>
      </w:rPr>
      <w:t xml:space="preserve"> de </w:t>
    </w:r>
    <w:r w:rsidRPr="00302181">
      <w:rPr>
        <w:rFonts w:ascii="Arial" w:hAnsi="Arial" w:cs="Arial"/>
        <w:sz w:val="18"/>
        <w:szCs w:val="20"/>
      </w:rPr>
      <w:fldChar w:fldCharType="begin"/>
    </w:r>
    <w:r w:rsidRPr="008F2432">
      <w:rPr>
        <w:rFonts w:ascii="Arial" w:hAnsi="Arial" w:cs="Arial"/>
        <w:sz w:val="18"/>
        <w:szCs w:val="20"/>
        <w:lang w:val="pt-BR"/>
      </w:rPr>
      <w:instrText xml:space="preserve"> NUMPAGES  </w:instrText>
    </w:r>
    <w:r w:rsidRPr="00302181">
      <w:rPr>
        <w:rFonts w:ascii="Arial" w:hAnsi="Arial" w:cs="Arial"/>
        <w:sz w:val="18"/>
        <w:szCs w:val="20"/>
      </w:rPr>
      <w:fldChar w:fldCharType="separate"/>
    </w:r>
    <w:r w:rsidRPr="008F2432">
      <w:rPr>
        <w:rFonts w:ascii="Arial" w:hAnsi="Arial" w:cs="Arial"/>
        <w:sz w:val="18"/>
        <w:szCs w:val="20"/>
        <w:lang w:val="pt-BR"/>
      </w:rPr>
      <w:t>2</w:t>
    </w:r>
    <w:r w:rsidRPr="00302181">
      <w:rPr>
        <w:rFonts w:ascii="Arial" w:hAnsi="Arial" w:cs="Arial"/>
        <w:sz w:val="18"/>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B246F" w14:textId="77777777" w:rsidR="005D3D3C" w:rsidRPr="00421449" w:rsidRDefault="005D3D3C" w:rsidP="00C76F20">
    <w:pPr>
      <w:pStyle w:val="Header"/>
      <w:jc w:val="right"/>
      <w:rPr>
        <w:rFonts w:ascii="Arial" w:hAnsi="Arial" w:cs="Arial"/>
        <w:sz w:val="18"/>
        <w:szCs w:val="20"/>
        <w:lang w:val="pt-BR"/>
      </w:rPr>
    </w:pPr>
    <w:r w:rsidRPr="00421449">
      <w:rPr>
        <w:rFonts w:ascii="Arial" w:hAnsi="Arial" w:cs="Arial"/>
        <w:sz w:val="18"/>
        <w:szCs w:val="20"/>
        <w:lang w:val="pt-BR"/>
      </w:rPr>
      <w:t>Anexo II – CH-</w:t>
    </w:r>
    <w:proofErr w:type="spellStart"/>
    <w:r w:rsidRPr="00421449">
      <w:rPr>
        <w:rFonts w:ascii="Arial" w:hAnsi="Arial" w:cs="Arial"/>
        <w:sz w:val="18"/>
        <w:szCs w:val="20"/>
        <w:lang w:val="pt-BR"/>
      </w:rPr>
      <w:t>L1081</w:t>
    </w:r>
    <w:proofErr w:type="spellEnd"/>
  </w:p>
  <w:p w14:paraId="3481909D" w14:textId="77777777" w:rsidR="005D3D3C" w:rsidRPr="00421449" w:rsidRDefault="005D3D3C" w:rsidP="00C76F20">
    <w:pPr>
      <w:pStyle w:val="Header"/>
      <w:spacing w:after="120"/>
      <w:jc w:val="right"/>
      <w:rPr>
        <w:rFonts w:ascii="Arial" w:hAnsi="Arial" w:cs="Arial"/>
        <w:sz w:val="18"/>
        <w:lang w:val="pt-BR"/>
      </w:rPr>
    </w:pPr>
    <w:r w:rsidRPr="00421449">
      <w:rPr>
        <w:rFonts w:ascii="Arial" w:hAnsi="Arial" w:cs="Arial"/>
        <w:sz w:val="18"/>
        <w:szCs w:val="20"/>
        <w:lang w:val="pt-BR"/>
      </w:rPr>
      <w:t xml:space="preserve">Página </w:t>
    </w:r>
    <w:r w:rsidRPr="00302181">
      <w:rPr>
        <w:rFonts w:ascii="Arial" w:hAnsi="Arial" w:cs="Arial"/>
        <w:sz w:val="18"/>
        <w:szCs w:val="20"/>
      </w:rPr>
      <w:fldChar w:fldCharType="begin"/>
    </w:r>
    <w:r w:rsidRPr="00421449">
      <w:rPr>
        <w:rFonts w:ascii="Arial" w:hAnsi="Arial" w:cs="Arial"/>
        <w:sz w:val="18"/>
        <w:szCs w:val="20"/>
        <w:lang w:val="pt-BR"/>
      </w:rPr>
      <w:instrText xml:space="preserve"> PAGE </w:instrText>
    </w:r>
    <w:r w:rsidRPr="00302181">
      <w:rPr>
        <w:rFonts w:ascii="Arial" w:hAnsi="Arial" w:cs="Arial"/>
        <w:sz w:val="18"/>
        <w:szCs w:val="20"/>
      </w:rPr>
      <w:fldChar w:fldCharType="separate"/>
    </w:r>
    <w:r w:rsidRPr="00421449">
      <w:rPr>
        <w:rFonts w:ascii="Arial" w:hAnsi="Arial" w:cs="Arial"/>
        <w:noProof/>
        <w:sz w:val="18"/>
        <w:szCs w:val="20"/>
        <w:lang w:val="pt-BR"/>
      </w:rPr>
      <w:t>1</w:t>
    </w:r>
    <w:r w:rsidRPr="00302181">
      <w:rPr>
        <w:rFonts w:ascii="Arial" w:hAnsi="Arial" w:cs="Arial"/>
        <w:sz w:val="18"/>
        <w:szCs w:val="20"/>
      </w:rPr>
      <w:fldChar w:fldCharType="end"/>
    </w:r>
    <w:r w:rsidRPr="00421449">
      <w:rPr>
        <w:rFonts w:ascii="Arial" w:hAnsi="Arial" w:cs="Arial"/>
        <w:sz w:val="18"/>
        <w:szCs w:val="20"/>
        <w:lang w:val="pt-BR"/>
      </w:rPr>
      <w:t xml:space="preserve"> de </w:t>
    </w:r>
    <w:r w:rsidRPr="00302181">
      <w:rPr>
        <w:rFonts w:ascii="Arial" w:hAnsi="Arial" w:cs="Arial"/>
        <w:sz w:val="18"/>
        <w:szCs w:val="20"/>
      </w:rPr>
      <w:fldChar w:fldCharType="begin"/>
    </w:r>
    <w:r w:rsidRPr="00421449">
      <w:rPr>
        <w:rFonts w:ascii="Arial" w:hAnsi="Arial" w:cs="Arial"/>
        <w:sz w:val="18"/>
        <w:szCs w:val="20"/>
        <w:lang w:val="pt-BR"/>
      </w:rPr>
      <w:instrText xml:space="preserve"> NUMPAGES  </w:instrText>
    </w:r>
    <w:r w:rsidRPr="00302181">
      <w:rPr>
        <w:rFonts w:ascii="Arial" w:hAnsi="Arial" w:cs="Arial"/>
        <w:sz w:val="18"/>
        <w:szCs w:val="20"/>
      </w:rPr>
      <w:fldChar w:fldCharType="separate"/>
    </w:r>
    <w:r w:rsidRPr="00421449">
      <w:rPr>
        <w:rFonts w:ascii="Arial" w:hAnsi="Arial" w:cs="Arial"/>
        <w:noProof/>
        <w:sz w:val="18"/>
        <w:szCs w:val="20"/>
        <w:lang w:val="pt-BR"/>
      </w:rPr>
      <w:t>2</w:t>
    </w:r>
    <w:r w:rsidRPr="00302181">
      <w:rPr>
        <w:rFonts w:ascii="Arial" w:hAnsi="Arial" w:cs="Arial"/>
        <w:sz w:val="18"/>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E6440"/>
    <w:multiLevelType w:val="hybridMultilevel"/>
    <w:tmpl w:val="5D0E5EF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9966DA4"/>
    <w:multiLevelType w:val="hybridMultilevel"/>
    <w:tmpl w:val="10341D84"/>
    <w:lvl w:ilvl="0" w:tplc="2EC6D724">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0000942"/>
    <w:multiLevelType w:val="hybridMultilevel"/>
    <w:tmpl w:val="69347C78"/>
    <w:lvl w:ilvl="0" w:tplc="C48E0392">
      <w:start w:val="1"/>
      <w:numFmt w:val="low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695194"/>
    <w:multiLevelType w:val="hybridMultilevel"/>
    <w:tmpl w:val="D26050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17E38"/>
    <w:multiLevelType w:val="hybridMultilevel"/>
    <w:tmpl w:val="15B6669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1BA4BCC6">
      <w:start w:val="1"/>
      <w:numFmt w:val="decimal"/>
      <w:lvlText w:val="%3."/>
      <w:lvlJc w:val="left"/>
      <w:pPr>
        <w:ind w:left="1800" w:hanging="18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24964E0E"/>
    <w:multiLevelType w:val="hybridMultilevel"/>
    <w:tmpl w:val="F72CE5BE"/>
    <w:lvl w:ilvl="0" w:tplc="3FA4E8EA">
      <w:start w:val="1"/>
      <w:numFmt w:val="lowerLetter"/>
      <w:lvlText w:val="%1)"/>
      <w:lvlJc w:val="left"/>
      <w:pPr>
        <w:ind w:left="1440" w:hanging="360"/>
      </w:pPr>
      <w:rPr>
        <w:rFonts w:ascii="Arial" w:hAnsi="Arial" w:cs="Arial" w:hint="default"/>
        <w:b/>
        <w:bCs/>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6" w15:restartNumberingAfterBreak="0">
    <w:nsid w:val="3D8A0C8D"/>
    <w:multiLevelType w:val="hybridMultilevel"/>
    <w:tmpl w:val="317A6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5C1D1C52"/>
    <w:multiLevelType w:val="multilevel"/>
    <w:tmpl w:val="24680230"/>
    <w:lvl w:ilvl="0">
      <w:start w:val="1"/>
      <w:numFmt w:val="upperRoman"/>
      <w:pStyle w:val="Chapter"/>
      <w:lvlText w:val="%1."/>
      <w:lvlJc w:val="left"/>
      <w:pPr>
        <w:ind w:left="720" w:hanging="432"/>
      </w:pPr>
      <w:rPr>
        <w:rFonts w:ascii="Arial" w:eastAsiaTheme="minorEastAsia" w:hAnsi="Arial" w:cs="Arial"/>
        <w:b/>
        <w:i w:val="0"/>
      </w:rPr>
    </w:lvl>
    <w:lvl w:ilvl="1">
      <w:start w:val="1"/>
      <w:numFmt w:val="decimal"/>
      <w:pStyle w:val="Heading2"/>
      <w:lvlText w:val="%1.%2"/>
      <w:lvlJc w:val="left"/>
      <w:pPr>
        <w:ind w:left="576"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9" w15:restartNumberingAfterBreak="0">
    <w:nsid w:val="632A0CB3"/>
    <w:multiLevelType w:val="hybridMultilevel"/>
    <w:tmpl w:val="C1346138"/>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6825319"/>
    <w:multiLevelType w:val="hybridMultilevel"/>
    <w:tmpl w:val="5E8EE756"/>
    <w:lvl w:ilvl="0" w:tplc="1894652C">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693A2FA3"/>
    <w:multiLevelType w:val="hybridMultilevel"/>
    <w:tmpl w:val="08445C2E"/>
    <w:lvl w:ilvl="0" w:tplc="CF9C1724">
      <w:start w:val="1"/>
      <w:numFmt w:val="lowerLetter"/>
      <w:lvlText w:val="(%1)"/>
      <w:lvlJc w:val="left"/>
      <w:pPr>
        <w:ind w:left="1440" w:hanging="360"/>
      </w:pPr>
      <w:rPr>
        <w:rFonts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12" w15:restartNumberingAfterBreak="0">
    <w:nsid w:val="6B4F0786"/>
    <w:multiLevelType w:val="hybridMultilevel"/>
    <w:tmpl w:val="19B47820"/>
    <w:lvl w:ilvl="0" w:tplc="41F83278">
      <w:start w:val="1"/>
      <w:numFmt w:val="upperLetter"/>
      <w:lvlText w:val="%1."/>
      <w:lvlJc w:val="left"/>
      <w:pPr>
        <w:ind w:left="360" w:hanging="360"/>
      </w:pPr>
      <w:rPr>
        <w:rFonts w:hint="default"/>
      </w:rPr>
    </w:lvl>
    <w:lvl w:ilvl="1" w:tplc="340A0019">
      <w:start w:val="1"/>
      <w:numFmt w:val="lowerLetter"/>
      <w:lvlText w:val="%2."/>
      <w:lvlJc w:val="left"/>
      <w:pPr>
        <w:ind w:left="1710" w:hanging="360"/>
      </w:pPr>
    </w:lvl>
    <w:lvl w:ilvl="2" w:tplc="340A001B" w:tentative="1">
      <w:start w:val="1"/>
      <w:numFmt w:val="lowerRoman"/>
      <w:lvlText w:val="%3."/>
      <w:lvlJc w:val="right"/>
      <w:pPr>
        <w:ind w:left="2430" w:hanging="180"/>
      </w:pPr>
    </w:lvl>
    <w:lvl w:ilvl="3" w:tplc="340A000F" w:tentative="1">
      <w:start w:val="1"/>
      <w:numFmt w:val="decimal"/>
      <w:lvlText w:val="%4."/>
      <w:lvlJc w:val="left"/>
      <w:pPr>
        <w:ind w:left="3150" w:hanging="360"/>
      </w:pPr>
    </w:lvl>
    <w:lvl w:ilvl="4" w:tplc="340A0019" w:tentative="1">
      <w:start w:val="1"/>
      <w:numFmt w:val="lowerLetter"/>
      <w:lvlText w:val="%5."/>
      <w:lvlJc w:val="left"/>
      <w:pPr>
        <w:ind w:left="3870" w:hanging="360"/>
      </w:pPr>
    </w:lvl>
    <w:lvl w:ilvl="5" w:tplc="340A001B" w:tentative="1">
      <w:start w:val="1"/>
      <w:numFmt w:val="lowerRoman"/>
      <w:lvlText w:val="%6."/>
      <w:lvlJc w:val="right"/>
      <w:pPr>
        <w:ind w:left="4590" w:hanging="180"/>
      </w:pPr>
    </w:lvl>
    <w:lvl w:ilvl="6" w:tplc="340A000F" w:tentative="1">
      <w:start w:val="1"/>
      <w:numFmt w:val="decimal"/>
      <w:lvlText w:val="%7."/>
      <w:lvlJc w:val="left"/>
      <w:pPr>
        <w:ind w:left="5310" w:hanging="360"/>
      </w:pPr>
    </w:lvl>
    <w:lvl w:ilvl="7" w:tplc="340A0019" w:tentative="1">
      <w:start w:val="1"/>
      <w:numFmt w:val="lowerLetter"/>
      <w:lvlText w:val="%8."/>
      <w:lvlJc w:val="left"/>
      <w:pPr>
        <w:ind w:left="6030" w:hanging="360"/>
      </w:pPr>
    </w:lvl>
    <w:lvl w:ilvl="8" w:tplc="340A001B" w:tentative="1">
      <w:start w:val="1"/>
      <w:numFmt w:val="lowerRoman"/>
      <w:lvlText w:val="%9."/>
      <w:lvlJc w:val="right"/>
      <w:pPr>
        <w:ind w:left="6750" w:hanging="180"/>
      </w:pPr>
    </w:lvl>
  </w:abstractNum>
  <w:abstractNum w:abstractNumId="13" w15:restartNumberingAfterBreak="0">
    <w:nsid w:val="767C39D6"/>
    <w:multiLevelType w:val="multilevel"/>
    <w:tmpl w:val="F8ACAA2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9"/>
  </w:num>
  <w:num w:numId="3">
    <w:abstractNumId w:val="10"/>
  </w:num>
  <w:num w:numId="4">
    <w:abstractNumId w:val="4"/>
  </w:num>
  <w:num w:numId="5">
    <w:abstractNumId w:val="3"/>
  </w:num>
  <w:num w:numId="6">
    <w:abstractNumId w:val="0"/>
  </w:num>
  <w:num w:numId="7">
    <w:abstractNumId w:val="2"/>
  </w:num>
  <w:num w:numId="8">
    <w:abstractNumId w:val="5"/>
  </w:num>
  <w:num w:numId="9">
    <w:abstractNumId w:val="12"/>
  </w:num>
  <w:num w:numId="10">
    <w:abstractNumId w:val="1"/>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11"/>
  </w:num>
  <w:num w:numId="26">
    <w:abstractNumId w:val="6"/>
  </w:num>
  <w:num w:numId="27">
    <w:abstractNumId w:val="7"/>
  </w:num>
  <w:num w:numId="28">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726"/>
    <w:rsid w:val="00000CCE"/>
    <w:rsid w:val="0000176B"/>
    <w:rsid w:val="00002711"/>
    <w:rsid w:val="00002ACF"/>
    <w:rsid w:val="000030E9"/>
    <w:rsid w:val="00003D2B"/>
    <w:rsid w:val="000040EB"/>
    <w:rsid w:val="00005CDA"/>
    <w:rsid w:val="00007435"/>
    <w:rsid w:val="0001007B"/>
    <w:rsid w:val="00010C09"/>
    <w:rsid w:val="00011B85"/>
    <w:rsid w:val="000125A3"/>
    <w:rsid w:val="00012699"/>
    <w:rsid w:val="000128EC"/>
    <w:rsid w:val="00012A6F"/>
    <w:rsid w:val="0001337C"/>
    <w:rsid w:val="00013FCB"/>
    <w:rsid w:val="00014EA0"/>
    <w:rsid w:val="00015355"/>
    <w:rsid w:val="00016011"/>
    <w:rsid w:val="00016262"/>
    <w:rsid w:val="00016BA2"/>
    <w:rsid w:val="00017202"/>
    <w:rsid w:val="00017E09"/>
    <w:rsid w:val="00017E26"/>
    <w:rsid w:val="00017FA2"/>
    <w:rsid w:val="000204B8"/>
    <w:rsid w:val="00020D87"/>
    <w:rsid w:val="000213E6"/>
    <w:rsid w:val="00021628"/>
    <w:rsid w:val="00021925"/>
    <w:rsid w:val="00021C6F"/>
    <w:rsid w:val="00023506"/>
    <w:rsid w:val="00023857"/>
    <w:rsid w:val="00024835"/>
    <w:rsid w:val="00024BAF"/>
    <w:rsid w:val="00025078"/>
    <w:rsid w:val="000258E1"/>
    <w:rsid w:val="00025E37"/>
    <w:rsid w:val="00025ED9"/>
    <w:rsid w:val="000260A9"/>
    <w:rsid w:val="0002651A"/>
    <w:rsid w:val="00026706"/>
    <w:rsid w:val="00026BD7"/>
    <w:rsid w:val="00030231"/>
    <w:rsid w:val="00030D65"/>
    <w:rsid w:val="00031A3F"/>
    <w:rsid w:val="00032DD1"/>
    <w:rsid w:val="00032FC9"/>
    <w:rsid w:val="00033020"/>
    <w:rsid w:val="00033745"/>
    <w:rsid w:val="00033A62"/>
    <w:rsid w:val="00036B9F"/>
    <w:rsid w:val="0003710E"/>
    <w:rsid w:val="00040B64"/>
    <w:rsid w:val="00041933"/>
    <w:rsid w:val="000420E7"/>
    <w:rsid w:val="00042624"/>
    <w:rsid w:val="0004299F"/>
    <w:rsid w:val="00043787"/>
    <w:rsid w:val="00044618"/>
    <w:rsid w:val="00044B44"/>
    <w:rsid w:val="00044EEE"/>
    <w:rsid w:val="000461FE"/>
    <w:rsid w:val="000465D1"/>
    <w:rsid w:val="00046D99"/>
    <w:rsid w:val="000477D8"/>
    <w:rsid w:val="00047AD8"/>
    <w:rsid w:val="00047FD2"/>
    <w:rsid w:val="0005000B"/>
    <w:rsid w:val="00050B1B"/>
    <w:rsid w:val="0005136E"/>
    <w:rsid w:val="0005176D"/>
    <w:rsid w:val="0005180A"/>
    <w:rsid w:val="000527AA"/>
    <w:rsid w:val="00052D20"/>
    <w:rsid w:val="000558AD"/>
    <w:rsid w:val="00056A75"/>
    <w:rsid w:val="00056A9D"/>
    <w:rsid w:val="00057C52"/>
    <w:rsid w:val="00057CE7"/>
    <w:rsid w:val="00060BF0"/>
    <w:rsid w:val="000612DF"/>
    <w:rsid w:val="00062929"/>
    <w:rsid w:val="000629A0"/>
    <w:rsid w:val="00062E4E"/>
    <w:rsid w:val="0006359B"/>
    <w:rsid w:val="00063B48"/>
    <w:rsid w:val="00063E75"/>
    <w:rsid w:val="00064AF7"/>
    <w:rsid w:val="0006585C"/>
    <w:rsid w:val="00065BC7"/>
    <w:rsid w:val="000660EC"/>
    <w:rsid w:val="00066406"/>
    <w:rsid w:val="00066542"/>
    <w:rsid w:val="00066C16"/>
    <w:rsid w:val="00067277"/>
    <w:rsid w:val="000672BE"/>
    <w:rsid w:val="00067AC7"/>
    <w:rsid w:val="00067E5F"/>
    <w:rsid w:val="00070002"/>
    <w:rsid w:val="00070781"/>
    <w:rsid w:val="00070C5D"/>
    <w:rsid w:val="00070CC5"/>
    <w:rsid w:val="00070DA6"/>
    <w:rsid w:val="00070F2F"/>
    <w:rsid w:val="00071D7E"/>
    <w:rsid w:val="00072429"/>
    <w:rsid w:val="00073AB3"/>
    <w:rsid w:val="00074067"/>
    <w:rsid w:val="0007412D"/>
    <w:rsid w:val="000748E4"/>
    <w:rsid w:val="00075FCB"/>
    <w:rsid w:val="00076334"/>
    <w:rsid w:val="000767DB"/>
    <w:rsid w:val="00077368"/>
    <w:rsid w:val="00077E0C"/>
    <w:rsid w:val="00077FF4"/>
    <w:rsid w:val="00081AB1"/>
    <w:rsid w:val="00081DA2"/>
    <w:rsid w:val="00082F54"/>
    <w:rsid w:val="0008412C"/>
    <w:rsid w:val="00084C6F"/>
    <w:rsid w:val="0008515D"/>
    <w:rsid w:val="00085661"/>
    <w:rsid w:val="00085894"/>
    <w:rsid w:val="000868A5"/>
    <w:rsid w:val="000871BD"/>
    <w:rsid w:val="000873AC"/>
    <w:rsid w:val="0008773B"/>
    <w:rsid w:val="00087A84"/>
    <w:rsid w:val="00087AB9"/>
    <w:rsid w:val="00090193"/>
    <w:rsid w:val="00091283"/>
    <w:rsid w:val="00092032"/>
    <w:rsid w:val="00092332"/>
    <w:rsid w:val="000932CD"/>
    <w:rsid w:val="00095A05"/>
    <w:rsid w:val="00095A11"/>
    <w:rsid w:val="00095D43"/>
    <w:rsid w:val="00095D7A"/>
    <w:rsid w:val="0009660D"/>
    <w:rsid w:val="000966BA"/>
    <w:rsid w:val="000969FF"/>
    <w:rsid w:val="00096C5E"/>
    <w:rsid w:val="00096D5F"/>
    <w:rsid w:val="00096EEE"/>
    <w:rsid w:val="000A120D"/>
    <w:rsid w:val="000A141D"/>
    <w:rsid w:val="000A19BC"/>
    <w:rsid w:val="000A2A8D"/>
    <w:rsid w:val="000A2B81"/>
    <w:rsid w:val="000A37A5"/>
    <w:rsid w:val="000A3EF8"/>
    <w:rsid w:val="000A4522"/>
    <w:rsid w:val="000A482A"/>
    <w:rsid w:val="000A4A94"/>
    <w:rsid w:val="000A4EE5"/>
    <w:rsid w:val="000A5869"/>
    <w:rsid w:val="000A702D"/>
    <w:rsid w:val="000A7861"/>
    <w:rsid w:val="000B015C"/>
    <w:rsid w:val="000B046D"/>
    <w:rsid w:val="000B072B"/>
    <w:rsid w:val="000B0CD7"/>
    <w:rsid w:val="000B0F20"/>
    <w:rsid w:val="000B1145"/>
    <w:rsid w:val="000B1615"/>
    <w:rsid w:val="000B2A6C"/>
    <w:rsid w:val="000B2B08"/>
    <w:rsid w:val="000B2FF6"/>
    <w:rsid w:val="000B3FA8"/>
    <w:rsid w:val="000B451E"/>
    <w:rsid w:val="000B59D4"/>
    <w:rsid w:val="000B6B94"/>
    <w:rsid w:val="000B7FED"/>
    <w:rsid w:val="000C057E"/>
    <w:rsid w:val="000C0B50"/>
    <w:rsid w:val="000C0E02"/>
    <w:rsid w:val="000C18FD"/>
    <w:rsid w:val="000C23E8"/>
    <w:rsid w:val="000C2436"/>
    <w:rsid w:val="000C2D7B"/>
    <w:rsid w:val="000C311C"/>
    <w:rsid w:val="000C335E"/>
    <w:rsid w:val="000C36AB"/>
    <w:rsid w:val="000C3BBF"/>
    <w:rsid w:val="000C5A18"/>
    <w:rsid w:val="000C5A85"/>
    <w:rsid w:val="000C6301"/>
    <w:rsid w:val="000C6438"/>
    <w:rsid w:val="000C6827"/>
    <w:rsid w:val="000D0709"/>
    <w:rsid w:val="000D0CAF"/>
    <w:rsid w:val="000D20CC"/>
    <w:rsid w:val="000D4514"/>
    <w:rsid w:val="000D494A"/>
    <w:rsid w:val="000D53DC"/>
    <w:rsid w:val="000D5A02"/>
    <w:rsid w:val="000D5AB9"/>
    <w:rsid w:val="000D5D61"/>
    <w:rsid w:val="000D67D3"/>
    <w:rsid w:val="000D7301"/>
    <w:rsid w:val="000E082E"/>
    <w:rsid w:val="000E08D3"/>
    <w:rsid w:val="000E0EB8"/>
    <w:rsid w:val="000E0F86"/>
    <w:rsid w:val="000E171D"/>
    <w:rsid w:val="000E17F2"/>
    <w:rsid w:val="000E1F19"/>
    <w:rsid w:val="000E1F44"/>
    <w:rsid w:val="000E2726"/>
    <w:rsid w:val="000E2BA1"/>
    <w:rsid w:val="000E2C59"/>
    <w:rsid w:val="000E2E74"/>
    <w:rsid w:val="000E2EE7"/>
    <w:rsid w:val="000E3FC1"/>
    <w:rsid w:val="000E488F"/>
    <w:rsid w:val="000E4E77"/>
    <w:rsid w:val="000E5266"/>
    <w:rsid w:val="000E57FE"/>
    <w:rsid w:val="000E5A8C"/>
    <w:rsid w:val="000E5A95"/>
    <w:rsid w:val="000E61B0"/>
    <w:rsid w:val="000E62D5"/>
    <w:rsid w:val="000E690C"/>
    <w:rsid w:val="000E6D5B"/>
    <w:rsid w:val="000E731E"/>
    <w:rsid w:val="000E742C"/>
    <w:rsid w:val="000E7AEF"/>
    <w:rsid w:val="000E7F29"/>
    <w:rsid w:val="000F0692"/>
    <w:rsid w:val="000F0762"/>
    <w:rsid w:val="000F07E6"/>
    <w:rsid w:val="000F0E9F"/>
    <w:rsid w:val="000F1AFF"/>
    <w:rsid w:val="000F1D11"/>
    <w:rsid w:val="000F2281"/>
    <w:rsid w:val="000F22DF"/>
    <w:rsid w:val="000F2895"/>
    <w:rsid w:val="000F2AEA"/>
    <w:rsid w:val="000F3A89"/>
    <w:rsid w:val="000F3BB2"/>
    <w:rsid w:val="000F40E6"/>
    <w:rsid w:val="000F47AB"/>
    <w:rsid w:val="000F4A55"/>
    <w:rsid w:val="000F555C"/>
    <w:rsid w:val="000F5E3F"/>
    <w:rsid w:val="000F7659"/>
    <w:rsid w:val="0010177B"/>
    <w:rsid w:val="00101A73"/>
    <w:rsid w:val="00101ADC"/>
    <w:rsid w:val="00104BB0"/>
    <w:rsid w:val="0010558A"/>
    <w:rsid w:val="00105A63"/>
    <w:rsid w:val="00105AEA"/>
    <w:rsid w:val="00106C27"/>
    <w:rsid w:val="00107095"/>
    <w:rsid w:val="001074A0"/>
    <w:rsid w:val="001100CB"/>
    <w:rsid w:val="00110416"/>
    <w:rsid w:val="0011076E"/>
    <w:rsid w:val="0011084A"/>
    <w:rsid w:val="00110901"/>
    <w:rsid w:val="00110E55"/>
    <w:rsid w:val="001113B7"/>
    <w:rsid w:val="00111D17"/>
    <w:rsid w:val="00111DF4"/>
    <w:rsid w:val="0011212A"/>
    <w:rsid w:val="00112763"/>
    <w:rsid w:val="0011356A"/>
    <w:rsid w:val="001135C5"/>
    <w:rsid w:val="001135E6"/>
    <w:rsid w:val="00114BF4"/>
    <w:rsid w:val="00115593"/>
    <w:rsid w:val="00116823"/>
    <w:rsid w:val="001169FD"/>
    <w:rsid w:val="00116B42"/>
    <w:rsid w:val="001178D0"/>
    <w:rsid w:val="00117A33"/>
    <w:rsid w:val="00117F83"/>
    <w:rsid w:val="001201F0"/>
    <w:rsid w:val="001204EB"/>
    <w:rsid w:val="001205BC"/>
    <w:rsid w:val="00120DA1"/>
    <w:rsid w:val="00120F37"/>
    <w:rsid w:val="00120FE9"/>
    <w:rsid w:val="00121981"/>
    <w:rsid w:val="00121B10"/>
    <w:rsid w:val="0012222F"/>
    <w:rsid w:val="00122521"/>
    <w:rsid w:val="00122F60"/>
    <w:rsid w:val="00122FE7"/>
    <w:rsid w:val="0012303E"/>
    <w:rsid w:val="0012361B"/>
    <w:rsid w:val="00123784"/>
    <w:rsid w:val="00124009"/>
    <w:rsid w:val="00124539"/>
    <w:rsid w:val="00124E37"/>
    <w:rsid w:val="00125005"/>
    <w:rsid w:val="00125BDA"/>
    <w:rsid w:val="00126440"/>
    <w:rsid w:val="00126BD3"/>
    <w:rsid w:val="0012782C"/>
    <w:rsid w:val="00127BBA"/>
    <w:rsid w:val="001308E0"/>
    <w:rsid w:val="00130A92"/>
    <w:rsid w:val="00130AA4"/>
    <w:rsid w:val="00131050"/>
    <w:rsid w:val="001332D7"/>
    <w:rsid w:val="00133722"/>
    <w:rsid w:val="00133FEF"/>
    <w:rsid w:val="001346CD"/>
    <w:rsid w:val="001359CC"/>
    <w:rsid w:val="00135ABA"/>
    <w:rsid w:val="001367BE"/>
    <w:rsid w:val="00136A96"/>
    <w:rsid w:val="00137A65"/>
    <w:rsid w:val="00140703"/>
    <w:rsid w:val="0014080B"/>
    <w:rsid w:val="001408D1"/>
    <w:rsid w:val="001416F1"/>
    <w:rsid w:val="00141C31"/>
    <w:rsid w:val="001427DD"/>
    <w:rsid w:val="001428D8"/>
    <w:rsid w:val="001433BF"/>
    <w:rsid w:val="0014394A"/>
    <w:rsid w:val="00144394"/>
    <w:rsid w:val="0014545C"/>
    <w:rsid w:val="0014620F"/>
    <w:rsid w:val="0014677D"/>
    <w:rsid w:val="00147A98"/>
    <w:rsid w:val="00150CA6"/>
    <w:rsid w:val="00150D2E"/>
    <w:rsid w:val="00151121"/>
    <w:rsid w:val="001512D2"/>
    <w:rsid w:val="0015148F"/>
    <w:rsid w:val="0015179F"/>
    <w:rsid w:val="00151A8A"/>
    <w:rsid w:val="00151B60"/>
    <w:rsid w:val="0015279F"/>
    <w:rsid w:val="00152CDF"/>
    <w:rsid w:val="00152DC5"/>
    <w:rsid w:val="00152FD1"/>
    <w:rsid w:val="00153EC9"/>
    <w:rsid w:val="00154178"/>
    <w:rsid w:val="001542C3"/>
    <w:rsid w:val="00160171"/>
    <w:rsid w:val="00160F85"/>
    <w:rsid w:val="0016154A"/>
    <w:rsid w:val="00161C7A"/>
    <w:rsid w:val="00161E14"/>
    <w:rsid w:val="0016253F"/>
    <w:rsid w:val="00163CAA"/>
    <w:rsid w:val="00163D67"/>
    <w:rsid w:val="00163E04"/>
    <w:rsid w:val="00163FD4"/>
    <w:rsid w:val="001643C1"/>
    <w:rsid w:val="00164B55"/>
    <w:rsid w:val="00164E13"/>
    <w:rsid w:val="00165666"/>
    <w:rsid w:val="00165C9A"/>
    <w:rsid w:val="001660B7"/>
    <w:rsid w:val="0016668C"/>
    <w:rsid w:val="001670BE"/>
    <w:rsid w:val="001673C5"/>
    <w:rsid w:val="00167A55"/>
    <w:rsid w:val="00170257"/>
    <w:rsid w:val="0017208A"/>
    <w:rsid w:val="00172412"/>
    <w:rsid w:val="001724D3"/>
    <w:rsid w:val="00173294"/>
    <w:rsid w:val="0017397D"/>
    <w:rsid w:val="00174703"/>
    <w:rsid w:val="00174AF1"/>
    <w:rsid w:val="00174EC3"/>
    <w:rsid w:val="001759BA"/>
    <w:rsid w:val="00175F73"/>
    <w:rsid w:val="00175FEA"/>
    <w:rsid w:val="00176A3A"/>
    <w:rsid w:val="00176DDB"/>
    <w:rsid w:val="0017750A"/>
    <w:rsid w:val="00177BC8"/>
    <w:rsid w:val="00177CD1"/>
    <w:rsid w:val="00180427"/>
    <w:rsid w:val="00180AE7"/>
    <w:rsid w:val="00180B4C"/>
    <w:rsid w:val="00180F99"/>
    <w:rsid w:val="001816B7"/>
    <w:rsid w:val="00181F96"/>
    <w:rsid w:val="001830DE"/>
    <w:rsid w:val="001833D9"/>
    <w:rsid w:val="00183E03"/>
    <w:rsid w:val="00184A53"/>
    <w:rsid w:val="00185403"/>
    <w:rsid w:val="0018594F"/>
    <w:rsid w:val="00185A34"/>
    <w:rsid w:val="00185CDB"/>
    <w:rsid w:val="001863A4"/>
    <w:rsid w:val="0018663B"/>
    <w:rsid w:val="00186D89"/>
    <w:rsid w:val="001874A9"/>
    <w:rsid w:val="00187588"/>
    <w:rsid w:val="00190285"/>
    <w:rsid w:val="00191201"/>
    <w:rsid w:val="0019234A"/>
    <w:rsid w:val="001926D9"/>
    <w:rsid w:val="00193731"/>
    <w:rsid w:val="00193C9E"/>
    <w:rsid w:val="00193DBA"/>
    <w:rsid w:val="0019430E"/>
    <w:rsid w:val="00194FA8"/>
    <w:rsid w:val="001950C8"/>
    <w:rsid w:val="00195B1D"/>
    <w:rsid w:val="00196017"/>
    <w:rsid w:val="0019673F"/>
    <w:rsid w:val="001967FB"/>
    <w:rsid w:val="0019765B"/>
    <w:rsid w:val="001A05EF"/>
    <w:rsid w:val="001A06D4"/>
    <w:rsid w:val="001A0FC6"/>
    <w:rsid w:val="001A13E4"/>
    <w:rsid w:val="001A1CDA"/>
    <w:rsid w:val="001A2273"/>
    <w:rsid w:val="001A2523"/>
    <w:rsid w:val="001A2D57"/>
    <w:rsid w:val="001A3139"/>
    <w:rsid w:val="001A3B04"/>
    <w:rsid w:val="001A49C6"/>
    <w:rsid w:val="001A4D27"/>
    <w:rsid w:val="001A55FD"/>
    <w:rsid w:val="001A5B4E"/>
    <w:rsid w:val="001A5B75"/>
    <w:rsid w:val="001A5E4B"/>
    <w:rsid w:val="001A61C6"/>
    <w:rsid w:val="001A67B9"/>
    <w:rsid w:val="001B004E"/>
    <w:rsid w:val="001B17C5"/>
    <w:rsid w:val="001B2CF7"/>
    <w:rsid w:val="001B38FE"/>
    <w:rsid w:val="001B3D3E"/>
    <w:rsid w:val="001B5130"/>
    <w:rsid w:val="001B7022"/>
    <w:rsid w:val="001B70D9"/>
    <w:rsid w:val="001B70EC"/>
    <w:rsid w:val="001B71BC"/>
    <w:rsid w:val="001B7A48"/>
    <w:rsid w:val="001B7B1D"/>
    <w:rsid w:val="001C0D18"/>
    <w:rsid w:val="001C1475"/>
    <w:rsid w:val="001C1CA0"/>
    <w:rsid w:val="001C23D4"/>
    <w:rsid w:val="001C2545"/>
    <w:rsid w:val="001C291E"/>
    <w:rsid w:val="001C2DF3"/>
    <w:rsid w:val="001C43AD"/>
    <w:rsid w:val="001C43D6"/>
    <w:rsid w:val="001C6503"/>
    <w:rsid w:val="001C7644"/>
    <w:rsid w:val="001C7EA7"/>
    <w:rsid w:val="001D0A6E"/>
    <w:rsid w:val="001D2CB2"/>
    <w:rsid w:val="001D305C"/>
    <w:rsid w:val="001D3553"/>
    <w:rsid w:val="001D3F8B"/>
    <w:rsid w:val="001D4019"/>
    <w:rsid w:val="001D46F9"/>
    <w:rsid w:val="001D50CB"/>
    <w:rsid w:val="001D57F5"/>
    <w:rsid w:val="001D59ED"/>
    <w:rsid w:val="001D5D2F"/>
    <w:rsid w:val="001D5EDD"/>
    <w:rsid w:val="001D6014"/>
    <w:rsid w:val="001D66A7"/>
    <w:rsid w:val="001D7BC5"/>
    <w:rsid w:val="001E11ED"/>
    <w:rsid w:val="001E125E"/>
    <w:rsid w:val="001E136A"/>
    <w:rsid w:val="001E4543"/>
    <w:rsid w:val="001E4E2B"/>
    <w:rsid w:val="001E5424"/>
    <w:rsid w:val="001E54C7"/>
    <w:rsid w:val="001E5D5C"/>
    <w:rsid w:val="001E5D80"/>
    <w:rsid w:val="001E73AE"/>
    <w:rsid w:val="001E7C97"/>
    <w:rsid w:val="001F09E1"/>
    <w:rsid w:val="001F0DAA"/>
    <w:rsid w:val="001F1EB9"/>
    <w:rsid w:val="001F2EF6"/>
    <w:rsid w:val="001F411A"/>
    <w:rsid w:val="001F423F"/>
    <w:rsid w:val="001F4436"/>
    <w:rsid w:val="001F60E1"/>
    <w:rsid w:val="001F6226"/>
    <w:rsid w:val="001F6AB4"/>
    <w:rsid w:val="001F74E2"/>
    <w:rsid w:val="001F755E"/>
    <w:rsid w:val="001F775C"/>
    <w:rsid w:val="001F782E"/>
    <w:rsid w:val="0020045E"/>
    <w:rsid w:val="002009DD"/>
    <w:rsid w:val="00200A8D"/>
    <w:rsid w:val="00202183"/>
    <w:rsid w:val="00202CA5"/>
    <w:rsid w:val="0020368F"/>
    <w:rsid w:val="002037AC"/>
    <w:rsid w:val="0020424C"/>
    <w:rsid w:val="0020589F"/>
    <w:rsid w:val="00205993"/>
    <w:rsid w:val="002067A1"/>
    <w:rsid w:val="00207419"/>
    <w:rsid w:val="00207884"/>
    <w:rsid w:val="00210A5A"/>
    <w:rsid w:val="002118CE"/>
    <w:rsid w:val="0021235D"/>
    <w:rsid w:val="00212564"/>
    <w:rsid w:val="0021259E"/>
    <w:rsid w:val="00212B4C"/>
    <w:rsid w:val="00212C54"/>
    <w:rsid w:val="00214936"/>
    <w:rsid w:val="00214945"/>
    <w:rsid w:val="0021526E"/>
    <w:rsid w:val="00215382"/>
    <w:rsid w:val="002157E0"/>
    <w:rsid w:val="00216B18"/>
    <w:rsid w:val="00216CDE"/>
    <w:rsid w:val="00216DC6"/>
    <w:rsid w:val="00216F17"/>
    <w:rsid w:val="00217471"/>
    <w:rsid w:val="00220577"/>
    <w:rsid w:val="00220C5D"/>
    <w:rsid w:val="00220E7A"/>
    <w:rsid w:val="00221296"/>
    <w:rsid w:val="0022279C"/>
    <w:rsid w:val="00222A46"/>
    <w:rsid w:val="00222F00"/>
    <w:rsid w:val="0022367B"/>
    <w:rsid w:val="00223700"/>
    <w:rsid w:val="002240B7"/>
    <w:rsid w:val="0022431F"/>
    <w:rsid w:val="0022444B"/>
    <w:rsid w:val="002248DA"/>
    <w:rsid w:val="0022593B"/>
    <w:rsid w:val="00226ADE"/>
    <w:rsid w:val="002307E8"/>
    <w:rsid w:val="00231014"/>
    <w:rsid w:val="00231A6E"/>
    <w:rsid w:val="00232A2F"/>
    <w:rsid w:val="00233210"/>
    <w:rsid w:val="00233610"/>
    <w:rsid w:val="00233946"/>
    <w:rsid w:val="0023599A"/>
    <w:rsid w:val="002409C9"/>
    <w:rsid w:val="00240E5E"/>
    <w:rsid w:val="002410C9"/>
    <w:rsid w:val="0024349B"/>
    <w:rsid w:val="00244A1D"/>
    <w:rsid w:val="00244EAE"/>
    <w:rsid w:val="002453CB"/>
    <w:rsid w:val="002453FE"/>
    <w:rsid w:val="00245443"/>
    <w:rsid w:val="002469D4"/>
    <w:rsid w:val="0024721D"/>
    <w:rsid w:val="0024786B"/>
    <w:rsid w:val="00247C38"/>
    <w:rsid w:val="00250413"/>
    <w:rsid w:val="002504DA"/>
    <w:rsid w:val="00251F68"/>
    <w:rsid w:val="0025263E"/>
    <w:rsid w:val="00252A0B"/>
    <w:rsid w:val="0025315B"/>
    <w:rsid w:val="00253DEB"/>
    <w:rsid w:val="0025450C"/>
    <w:rsid w:val="0025452A"/>
    <w:rsid w:val="00254A71"/>
    <w:rsid w:val="00255E18"/>
    <w:rsid w:val="00256F63"/>
    <w:rsid w:val="00257C16"/>
    <w:rsid w:val="00257E45"/>
    <w:rsid w:val="00260373"/>
    <w:rsid w:val="00260605"/>
    <w:rsid w:val="00260A32"/>
    <w:rsid w:val="00261055"/>
    <w:rsid w:val="00261A20"/>
    <w:rsid w:val="00263A8B"/>
    <w:rsid w:val="00263F03"/>
    <w:rsid w:val="00264CA3"/>
    <w:rsid w:val="00265880"/>
    <w:rsid w:val="0026609C"/>
    <w:rsid w:val="00267728"/>
    <w:rsid w:val="00267BBA"/>
    <w:rsid w:val="0027023D"/>
    <w:rsid w:val="002705E1"/>
    <w:rsid w:val="002717A8"/>
    <w:rsid w:val="00271B8F"/>
    <w:rsid w:val="00272F01"/>
    <w:rsid w:val="00273332"/>
    <w:rsid w:val="00273E8B"/>
    <w:rsid w:val="00274794"/>
    <w:rsid w:val="00274AB3"/>
    <w:rsid w:val="00274AC3"/>
    <w:rsid w:val="00274B4D"/>
    <w:rsid w:val="0027508B"/>
    <w:rsid w:val="002755EF"/>
    <w:rsid w:val="002760A3"/>
    <w:rsid w:val="00276919"/>
    <w:rsid w:val="00276AE0"/>
    <w:rsid w:val="00277012"/>
    <w:rsid w:val="00277C0C"/>
    <w:rsid w:val="0028075C"/>
    <w:rsid w:val="00280A48"/>
    <w:rsid w:val="00281089"/>
    <w:rsid w:val="00281E7C"/>
    <w:rsid w:val="0028218E"/>
    <w:rsid w:val="0028245B"/>
    <w:rsid w:val="0028257E"/>
    <w:rsid w:val="00282636"/>
    <w:rsid w:val="00283711"/>
    <w:rsid w:val="0028398F"/>
    <w:rsid w:val="00284286"/>
    <w:rsid w:val="0028548A"/>
    <w:rsid w:val="00285F23"/>
    <w:rsid w:val="00285F82"/>
    <w:rsid w:val="002870AB"/>
    <w:rsid w:val="002870F1"/>
    <w:rsid w:val="00287C68"/>
    <w:rsid w:val="00290142"/>
    <w:rsid w:val="00290347"/>
    <w:rsid w:val="00290A10"/>
    <w:rsid w:val="00291F03"/>
    <w:rsid w:val="00291FBB"/>
    <w:rsid w:val="0029213B"/>
    <w:rsid w:val="002930D4"/>
    <w:rsid w:val="0029370A"/>
    <w:rsid w:val="00293E3F"/>
    <w:rsid w:val="002952B6"/>
    <w:rsid w:val="00296B55"/>
    <w:rsid w:val="002A0897"/>
    <w:rsid w:val="002A153C"/>
    <w:rsid w:val="002A2106"/>
    <w:rsid w:val="002A2B19"/>
    <w:rsid w:val="002A2D2A"/>
    <w:rsid w:val="002A3550"/>
    <w:rsid w:val="002A4049"/>
    <w:rsid w:val="002A40A8"/>
    <w:rsid w:val="002A49D0"/>
    <w:rsid w:val="002A4F56"/>
    <w:rsid w:val="002A53A3"/>
    <w:rsid w:val="002A58F6"/>
    <w:rsid w:val="002A658E"/>
    <w:rsid w:val="002A65DE"/>
    <w:rsid w:val="002A68F1"/>
    <w:rsid w:val="002A697A"/>
    <w:rsid w:val="002A6D30"/>
    <w:rsid w:val="002A7010"/>
    <w:rsid w:val="002B0C81"/>
    <w:rsid w:val="002B1092"/>
    <w:rsid w:val="002B1CA4"/>
    <w:rsid w:val="002B2348"/>
    <w:rsid w:val="002B24A0"/>
    <w:rsid w:val="002B26F4"/>
    <w:rsid w:val="002B329A"/>
    <w:rsid w:val="002B32DE"/>
    <w:rsid w:val="002B3401"/>
    <w:rsid w:val="002B3583"/>
    <w:rsid w:val="002B3D36"/>
    <w:rsid w:val="002B4AEB"/>
    <w:rsid w:val="002B4AF6"/>
    <w:rsid w:val="002B4DCA"/>
    <w:rsid w:val="002B537A"/>
    <w:rsid w:val="002B5EF8"/>
    <w:rsid w:val="002B6A1B"/>
    <w:rsid w:val="002B6F4F"/>
    <w:rsid w:val="002C10B6"/>
    <w:rsid w:val="002C1B73"/>
    <w:rsid w:val="002C31D9"/>
    <w:rsid w:val="002C3890"/>
    <w:rsid w:val="002C38D5"/>
    <w:rsid w:val="002C3EE2"/>
    <w:rsid w:val="002C47A5"/>
    <w:rsid w:val="002C48EC"/>
    <w:rsid w:val="002C51D3"/>
    <w:rsid w:val="002C5ADF"/>
    <w:rsid w:val="002C6AA9"/>
    <w:rsid w:val="002D0C36"/>
    <w:rsid w:val="002D0D40"/>
    <w:rsid w:val="002D1A81"/>
    <w:rsid w:val="002D1E28"/>
    <w:rsid w:val="002D1E71"/>
    <w:rsid w:val="002D1E78"/>
    <w:rsid w:val="002D246C"/>
    <w:rsid w:val="002D2CAF"/>
    <w:rsid w:val="002D32F9"/>
    <w:rsid w:val="002D3538"/>
    <w:rsid w:val="002D3D5F"/>
    <w:rsid w:val="002D4D89"/>
    <w:rsid w:val="002D508B"/>
    <w:rsid w:val="002D5324"/>
    <w:rsid w:val="002D5354"/>
    <w:rsid w:val="002D5C98"/>
    <w:rsid w:val="002D611F"/>
    <w:rsid w:val="002D62AA"/>
    <w:rsid w:val="002D6C04"/>
    <w:rsid w:val="002D736E"/>
    <w:rsid w:val="002E09A0"/>
    <w:rsid w:val="002E29A9"/>
    <w:rsid w:val="002E3673"/>
    <w:rsid w:val="002E389F"/>
    <w:rsid w:val="002E39D3"/>
    <w:rsid w:val="002E3DD1"/>
    <w:rsid w:val="002E3FF9"/>
    <w:rsid w:val="002E4144"/>
    <w:rsid w:val="002E4ADE"/>
    <w:rsid w:val="002E623B"/>
    <w:rsid w:val="002E6903"/>
    <w:rsid w:val="002E6B4A"/>
    <w:rsid w:val="002E7CA7"/>
    <w:rsid w:val="002F098C"/>
    <w:rsid w:val="002F103C"/>
    <w:rsid w:val="002F14B9"/>
    <w:rsid w:val="002F2364"/>
    <w:rsid w:val="002F2584"/>
    <w:rsid w:val="002F2691"/>
    <w:rsid w:val="002F2B9D"/>
    <w:rsid w:val="002F3291"/>
    <w:rsid w:val="002F3D35"/>
    <w:rsid w:val="002F41F3"/>
    <w:rsid w:val="002F5638"/>
    <w:rsid w:val="002F5C5F"/>
    <w:rsid w:val="002F60E1"/>
    <w:rsid w:val="002F7427"/>
    <w:rsid w:val="002F7F02"/>
    <w:rsid w:val="00300342"/>
    <w:rsid w:val="00301070"/>
    <w:rsid w:val="003022FD"/>
    <w:rsid w:val="00303876"/>
    <w:rsid w:val="00303A7B"/>
    <w:rsid w:val="003046BF"/>
    <w:rsid w:val="003049DC"/>
    <w:rsid w:val="003059FA"/>
    <w:rsid w:val="00306E65"/>
    <w:rsid w:val="003074BA"/>
    <w:rsid w:val="0030776F"/>
    <w:rsid w:val="00307D71"/>
    <w:rsid w:val="00310721"/>
    <w:rsid w:val="00310B48"/>
    <w:rsid w:val="00312078"/>
    <w:rsid w:val="00312915"/>
    <w:rsid w:val="00312BAB"/>
    <w:rsid w:val="003131BE"/>
    <w:rsid w:val="00313789"/>
    <w:rsid w:val="00313C78"/>
    <w:rsid w:val="00314A0C"/>
    <w:rsid w:val="00314F60"/>
    <w:rsid w:val="00315A2D"/>
    <w:rsid w:val="00315A6D"/>
    <w:rsid w:val="00315EA9"/>
    <w:rsid w:val="003163A2"/>
    <w:rsid w:val="00316866"/>
    <w:rsid w:val="003169A6"/>
    <w:rsid w:val="00316A2C"/>
    <w:rsid w:val="00316FAC"/>
    <w:rsid w:val="003177F8"/>
    <w:rsid w:val="00317E26"/>
    <w:rsid w:val="003204A2"/>
    <w:rsid w:val="00320B30"/>
    <w:rsid w:val="00320C69"/>
    <w:rsid w:val="00321286"/>
    <w:rsid w:val="00321499"/>
    <w:rsid w:val="00321AB5"/>
    <w:rsid w:val="00321C73"/>
    <w:rsid w:val="00321E9F"/>
    <w:rsid w:val="0032200A"/>
    <w:rsid w:val="00322BB7"/>
    <w:rsid w:val="00322F31"/>
    <w:rsid w:val="00323188"/>
    <w:rsid w:val="0032557A"/>
    <w:rsid w:val="00325AE8"/>
    <w:rsid w:val="00325E3A"/>
    <w:rsid w:val="00326A6A"/>
    <w:rsid w:val="00327F10"/>
    <w:rsid w:val="00327F35"/>
    <w:rsid w:val="00330981"/>
    <w:rsid w:val="00330E6D"/>
    <w:rsid w:val="0033112D"/>
    <w:rsid w:val="00331FAF"/>
    <w:rsid w:val="003322AC"/>
    <w:rsid w:val="003327A1"/>
    <w:rsid w:val="003329DE"/>
    <w:rsid w:val="0033405B"/>
    <w:rsid w:val="00334948"/>
    <w:rsid w:val="0033521C"/>
    <w:rsid w:val="003359BC"/>
    <w:rsid w:val="00337009"/>
    <w:rsid w:val="00337983"/>
    <w:rsid w:val="0034159F"/>
    <w:rsid w:val="003415E7"/>
    <w:rsid w:val="00342C71"/>
    <w:rsid w:val="0034374A"/>
    <w:rsid w:val="00343D0C"/>
    <w:rsid w:val="003444A0"/>
    <w:rsid w:val="00344C44"/>
    <w:rsid w:val="00345700"/>
    <w:rsid w:val="00346191"/>
    <w:rsid w:val="00346517"/>
    <w:rsid w:val="003466B8"/>
    <w:rsid w:val="00346C54"/>
    <w:rsid w:val="0034767F"/>
    <w:rsid w:val="003507B6"/>
    <w:rsid w:val="0035098A"/>
    <w:rsid w:val="00350BAC"/>
    <w:rsid w:val="00351BE8"/>
    <w:rsid w:val="00352758"/>
    <w:rsid w:val="00352936"/>
    <w:rsid w:val="00352B7D"/>
    <w:rsid w:val="003538E3"/>
    <w:rsid w:val="00353AE1"/>
    <w:rsid w:val="003553B3"/>
    <w:rsid w:val="003573B5"/>
    <w:rsid w:val="0035785E"/>
    <w:rsid w:val="00360A0A"/>
    <w:rsid w:val="00361ABB"/>
    <w:rsid w:val="00361AE7"/>
    <w:rsid w:val="00362931"/>
    <w:rsid w:val="00362ACC"/>
    <w:rsid w:val="00362B83"/>
    <w:rsid w:val="00364630"/>
    <w:rsid w:val="00364756"/>
    <w:rsid w:val="0036480A"/>
    <w:rsid w:val="00364A33"/>
    <w:rsid w:val="003657D5"/>
    <w:rsid w:val="003663DF"/>
    <w:rsid w:val="003665C3"/>
    <w:rsid w:val="00366972"/>
    <w:rsid w:val="00366C2D"/>
    <w:rsid w:val="003673F9"/>
    <w:rsid w:val="00367882"/>
    <w:rsid w:val="003678FF"/>
    <w:rsid w:val="00370646"/>
    <w:rsid w:val="0037180E"/>
    <w:rsid w:val="00372D20"/>
    <w:rsid w:val="0037356D"/>
    <w:rsid w:val="0037385C"/>
    <w:rsid w:val="00373C8C"/>
    <w:rsid w:val="003746CF"/>
    <w:rsid w:val="00374D0E"/>
    <w:rsid w:val="00374D32"/>
    <w:rsid w:val="003754BD"/>
    <w:rsid w:val="00375BA6"/>
    <w:rsid w:val="00376B9E"/>
    <w:rsid w:val="00376C20"/>
    <w:rsid w:val="0037705B"/>
    <w:rsid w:val="003770A7"/>
    <w:rsid w:val="00380B41"/>
    <w:rsid w:val="0038142C"/>
    <w:rsid w:val="003814E0"/>
    <w:rsid w:val="003824C9"/>
    <w:rsid w:val="00383726"/>
    <w:rsid w:val="00383D08"/>
    <w:rsid w:val="00383F45"/>
    <w:rsid w:val="00384310"/>
    <w:rsid w:val="003853FF"/>
    <w:rsid w:val="0038540F"/>
    <w:rsid w:val="00386DBB"/>
    <w:rsid w:val="00387A3E"/>
    <w:rsid w:val="00387EBD"/>
    <w:rsid w:val="00390325"/>
    <w:rsid w:val="003906F8"/>
    <w:rsid w:val="00390B28"/>
    <w:rsid w:val="00390D7B"/>
    <w:rsid w:val="00391992"/>
    <w:rsid w:val="00391EF5"/>
    <w:rsid w:val="003921E7"/>
    <w:rsid w:val="0039235F"/>
    <w:rsid w:val="003930DE"/>
    <w:rsid w:val="00393C9B"/>
    <w:rsid w:val="00393CA3"/>
    <w:rsid w:val="00393FBE"/>
    <w:rsid w:val="00394313"/>
    <w:rsid w:val="00394A0E"/>
    <w:rsid w:val="003952C8"/>
    <w:rsid w:val="003957C0"/>
    <w:rsid w:val="00395F55"/>
    <w:rsid w:val="00395FB5"/>
    <w:rsid w:val="003971FB"/>
    <w:rsid w:val="0039759D"/>
    <w:rsid w:val="00397B76"/>
    <w:rsid w:val="00397EEF"/>
    <w:rsid w:val="003A043B"/>
    <w:rsid w:val="003A0936"/>
    <w:rsid w:val="003A118C"/>
    <w:rsid w:val="003A2A7D"/>
    <w:rsid w:val="003A2B62"/>
    <w:rsid w:val="003A33A7"/>
    <w:rsid w:val="003A57CC"/>
    <w:rsid w:val="003A5A7E"/>
    <w:rsid w:val="003A69FE"/>
    <w:rsid w:val="003A6AB9"/>
    <w:rsid w:val="003A6F3B"/>
    <w:rsid w:val="003A73AD"/>
    <w:rsid w:val="003B00C4"/>
    <w:rsid w:val="003B092D"/>
    <w:rsid w:val="003B0A02"/>
    <w:rsid w:val="003B0AE2"/>
    <w:rsid w:val="003B0CC9"/>
    <w:rsid w:val="003B0EE6"/>
    <w:rsid w:val="003B11F9"/>
    <w:rsid w:val="003B1AAD"/>
    <w:rsid w:val="003B2D11"/>
    <w:rsid w:val="003B2DD0"/>
    <w:rsid w:val="003B2DFF"/>
    <w:rsid w:val="003B2F1A"/>
    <w:rsid w:val="003B3349"/>
    <w:rsid w:val="003B3490"/>
    <w:rsid w:val="003B3598"/>
    <w:rsid w:val="003B3D0E"/>
    <w:rsid w:val="003B3FFC"/>
    <w:rsid w:val="003B412E"/>
    <w:rsid w:val="003B5E46"/>
    <w:rsid w:val="003B5E92"/>
    <w:rsid w:val="003B6936"/>
    <w:rsid w:val="003B6A87"/>
    <w:rsid w:val="003B6D1A"/>
    <w:rsid w:val="003B6EF2"/>
    <w:rsid w:val="003B709E"/>
    <w:rsid w:val="003C070E"/>
    <w:rsid w:val="003C1746"/>
    <w:rsid w:val="003C1A81"/>
    <w:rsid w:val="003C1A8F"/>
    <w:rsid w:val="003C2802"/>
    <w:rsid w:val="003C2ED5"/>
    <w:rsid w:val="003C3E02"/>
    <w:rsid w:val="003C3EB5"/>
    <w:rsid w:val="003C42CE"/>
    <w:rsid w:val="003C4A65"/>
    <w:rsid w:val="003C54A2"/>
    <w:rsid w:val="003C632E"/>
    <w:rsid w:val="003C75BB"/>
    <w:rsid w:val="003C7691"/>
    <w:rsid w:val="003C7DC9"/>
    <w:rsid w:val="003D0007"/>
    <w:rsid w:val="003D0F95"/>
    <w:rsid w:val="003D10A4"/>
    <w:rsid w:val="003D1EBD"/>
    <w:rsid w:val="003D2929"/>
    <w:rsid w:val="003D2E9F"/>
    <w:rsid w:val="003D3245"/>
    <w:rsid w:val="003D3655"/>
    <w:rsid w:val="003D3860"/>
    <w:rsid w:val="003D3E4B"/>
    <w:rsid w:val="003D45DD"/>
    <w:rsid w:val="003D4635"/>
    <w:rsid w:val="003D483B"/>
    <w:rsid w:val="003D4E50"/>
    <w:rsid w:val="003D5452"/>
    <w:rsid w:val="003D55B1"/>
    <w:rsid w:val="003D57A8"/>
    <w:rsid w:val="003D5F70"/>
    <w:rsid w:val="003D67F6"/>
    <w:rsid w:val="003E09ED"/>
    <w:rsid w:val="003E0F30"/>
    <w:rsid w:val="003E2325"/>
    <w:rsid w:val="003E35A1"/>
    <w:rsid w:val="003E3B82"/>
    <w:rsid w:val="003E44AE"/>
    <w:rsid w:val="003E58B6"/>
    <w:rsid w:val="003E5C09"/>
    <w:rsid w:val="003E5F28"/>
    <w:rsid w:val="003E66DD"/>
    <w:rsid w:val="003E6A59"/>
    <w:rsid w:val="003E73DD"/>
    <w:rsid w:val="003E772E"/>
    <w:rsid w:val="003E78D2"/>
    <w:rsid w:val="003F04FF"/>
    <w:rsid w:val="003F07CE"/>
    <w:rsid w:val="003F0C16"/>
    <w:rsid w:val="003F0EF8"/>
    <w:rsid w:val="003F1166"/>
    <w:rsid w:val="003F129C"/>
    <w:rsid w:val="003F14A9"/>
    <w:rsid w:val="003F188C"/>
    <w:rsid w:val="003F2FDA"/>
    <w:rsid w:val="003F3063"/>
    <w:rsid w:val="003F382D"/>
    <w:rsid w:val="003F3F2E"/>
    <w:rsid w:val="003F4FC2"/>
    <w:rsid w:val="003F5E2A"/>
    <w:rsid w:val="003F6032"/>
    <w:rsid w:val="003F6328"/>
    <w:rsid w:val="003F6D37"/>
    <w:rsid w:val="003F7442"/>
    <w:rsid w:val="003F7481"/>
    <w:rsid w:val="003F79FA"/>
    <w:rsid w:val="003F7E34"/>
    <w:rsid w:val="003F7FB9"/>
    <w:rsid w:val="004020EF"/>
    <w:rsid w:val="00402374"/>
    <w:rsid w:val="004028FA"/>
    <w:rsid w:val="00403CB6"/>
    <w:rsid w:val="00403F51"/>
    <w:rsid w:val="004040F1"/>
    <w:rsid w:val="0040606B"/>
    <w:rsid w:val="0040609E"/>
    <w:rsid w:val="004065A6"/>
    <w:rsid w:val="00406BF6"/>
    <w:rsid w:val="00406FFE"/>
    <w:rsid w:val="00407C7D"/>
    <w:rsid w:val="00410115"/>
    <w:rsid w:val="00410629"/>
    <w:rsid w:val="00411A1E"/>
    <w:rsid w:val="004142DF"/>
    <w:rsid w:val="00414E0A"/>
    <w:rsid w:val="00415FE3"/>
    <w:rsid w:val="00416425"/>
    <w:rsid w:val="0042001E"/>
    <w:rsid w:val="00421344"/>
    <w:rsid w:val="004213F4"/>
    <w:rsid w:val="004217A1"/>
    <w:rsid w:val="00421EA4"/>
    <w:rsid w:val="00422578"/>
    <w:rsid w:val="00422879"/>
    <w:rsid w:val="00422D20"/>
    <w:rsid w:val="004236BF"/>
    <w:rsid w:val="00424024"/>
    <w:rsid w:val="0042457C"/>
    <w:rsid w:val="0042582F"/>
    <w:rsid w:val="00426188"/>
    <w:rsid w:val="00427516"/>
    <w:rsid w:val="00427F59"/>
    <w:rsid w:val="00430393"/>
    <w:rsid w:val="00430617"/>
    <w:rsid w:val="00430EBA"/>
    <w:rsid w:val="00431555"/>
    <w:rsid w:val="004325C2"/>
    <w:rsid w:val="00433F9D"/>
    <w:rsid w:val="00434016"/>
    <w:rsid w:val="0043455F"/>
    <w:rsid w:val="004347F9"/>
    <w:rsid w:val="00434AF4"/>
    <w:rsid w:val="00434B9E"/>
    <w:rsid w:val="0043510E"/>
    <w:rsid w:val="004359BA"/>
    <w:rsid w:val="004369B6"/>
    <w:rsid w:val="00436A3C"/>
    <w:rsid w:val="004372EF"/>
    <w:rsid w:val="00437519"/>
    <w:rsid w:val="004404FC"/>
    <w:rsid w:val="00440ED3"/>
    <w:rsid w:val="00441A3D"/>
    <w:rsid w:val="004420D8"/>
    <w:rsid w:val="0044234A"/>
    <w:rsid w:val="00442D0B"/>
    <w:rsid w:val="0044356F"/>
    <w:rsid w:val="00444051"/>
    <w:rsid w:val="00444E45"/>
    <w:rsid w:val="00446B6A"/>
    <w:rsid w:val="00447159"/>
    <w:rsid w:val="00447975"/>
    <w:rsid w:val="00447D9A"/>
    <w:rsid w:val="004505E6"/>
    <w:rsid w:val="00450627"/>
    <w:rsid w:val="00450A1A"/>
    <w:rsid w:val="004512FA"/>
    <w:rsid w:val="004514D5"/>
    <w:rsid w:val="004514FE"/>
    <w:rsid w:val="00452198"/>
    <w:rsid w:val="00452DA1"/>
    <w:rsid w:val="00453709"/>
    <w:rsid w:val="0045382E"/>
    <w:rsid w:val="00453CF6"/>
    <w:rsid w:val="00454644"/>
    <w:rsid w:val="00455375"/>
    <w:rsid w:val="00455608"/>
    <w:rsid w:val="0045595B"/>
    <w:rsid w:val="00455AC8"/>
    <w:rsid w:val="00457333"/>
    <w:rsid w:val="004578A8"/>
    <w:rsid w:val="00461174"/>
    <w:rsid w:val="0046166E"/>
    <w:rsid w:val="00462930"/>
    <w:rsid w:val="00463795"/>
    <w:rsid w:val="00463DCB"/>
    <w:rsid w:val="00463EDB"/>
    <w:rsid w:val="00463F3E"/>
    <w:rsid w:val="00464A65"/>
    <w:rsid w:val="00464AB3"/>
    <w:rsid w:val="00465004"/>
    <w:rsid w:val="004652F2"/>
    <w:rsid w:val="0046540F"/>
    <w:rsid w:val="00466684"/>
    <w:rsid w:val="00466FCB"/>
    <w:rsid w:val="00467628"/>
    <w:rsid w:val="004677B3"/>
    <w:rsid w:val="0047000F"/>
    <w:rsid w:val="00470153"/>
    <w:rsid w:val="00470295"/>
    <w:rsid w:val="004703DF"/>
    <w:rsid w:val="0047040E"/>
    <w:rsid w:val="00470EF8"/>
    <w:rsid w:val="00471180"/>
    <w:rsid w:val="00471430"/>
    <w:rsid w:val="00471852"/>
    <w:rsid w:val="00472C1D"/>
    <w:rsid w:val="004739D2"/>
    <w:rsid w:val="00473C06"/>
    <w:rsid w:val="00473E82"/>
    <w:rsid w:val="0047480F"/>
    <w:rsid w:val="00474C99"/>
    <w:rsid w:val="004754D2"/>
    <w:rsid w:val="00475756"/>
    <w:rsid w:val="0047581A"/>
    <w:rsid w:val="00475C59"/>
    <w:rsid w:val="00475F36"/>
    <w:rsid w:val="004772F2"/>
    <w:rsid w:val="004775CD"/>
    <w:rsid w:val="00477990"/>
    <w:rsid w:val="00480816"/>
    <w:rsid w:val="00480CB4"/>
    <w:rsid w:val="00480F06"/>
    <w:rsid w:val="00481D68"/>
    <w:rsid w:val="0048278D"/>
    <w:rsid w:val="00482E19"/>
    <w:rsid w:val="0048358D"/>
    <w:rsid w:val="00483B1D"/>
    <w:rsid w:val="0048406B"/>
    <w:rsid w:val="004848A4"/>
    <w:rsid w:val="0048498C"/>
    <w:rsid w:val="00485336"/>
    <w:rsid w:val="00485804"/>
    <w:rsid w:val="0048736D"/>
    <w:rsid w:val="004875C4"/>
    <w:rsid w:val="004875E1"/>
    <w:rsid w:val="00487A0B"/>
    <w:rsid w:val="00487B46"/>
    <w:rsid w:val="00487EAF"/>
    <w:rsid w:val="004906A7"/>
    <w:rsid w:val="004907A1"/>
    <w:rsid w:val="00490D31"/>
    <w:rsid w:val="00490D3E"/>
    <w:rsid w:val="004914EA"/>
    <w:rsid w:val="00491B04"/>
    <w:rsid w:val="00491BEE"/>
    <w:rsid w:val="00491C35"/>
    <w:rsid w:val="00491D75"/>
    <w:rsid w:val="00491DB7"/>
    <w:rsid w:val="00492452"/>
    <w:rsid w:val="00492CAD"/>
    <w:rsid w:val="00492EAD"/>
    <w:rsid w:val="004934AC"/>
    <w:rsid w:val="00494489"/>
    <w:rsid w:val="004947F8"/>
    <w:rsid w:val="00494D89"/>
    <w:rsid w:val="00494E6C"/>
    <w:rsid w:val="00494FE9"/>
    <w:rsid w:val="00495663"/>
    <w:rsid w:val="004961BE"/>
    <w:rsid w:val="0049663D"/>
    <w:rsid w:val="00496D9E"/>
    <w:rsid w:val="004A03AF"/>
    <w:rsid w:val="004A0B0B"/>
    <w:rsid w:val="004A0D8C"/>
    <w:rsid w:val="004A1174"/>
    <w:rsid w:val="004A15F4"/>
    <w:rsid w:val="004A1648"/>
    <w:rsid w:val="004A1777"/>
    <w:rsid w:val="004A2A1B"/>
    <w:rsid w:val="004A2B8F"/>
    <w:rsid w:val="004A3346"/>
    <w:rsid w:val="004A7876"/>
    <w:rsid w:val="004B1564"/>
    <w:rsid w:val="004B168E"/>
    <w:rsid w:val="004B1F4A"/>
    <w:rsid w:val="004B2934"/>
    <w:rsid w:val="004B2A81"/>
    <w:rsid w:val="004B42F7"/>
    <w:rsid w:val="004B46F0"/>
    <w:rsid w:val="004B508F"/>
    <w:rsid w:val="004B5AAA"/>
    <w:rsid w:val="004B5FE6"/>
    <w:rsid w:val="004B5FF8"/>
    <w:rsid w:val="004B6217"/>
    <w:rsid w:val="004B6524"/>
    <w:rsid w:val="004B6860"/>
    <w:rsid w:val="004B6B93"/>
    <w:rsid w:val="004B6FCF"/>
    <w:rsid w:val="004B743D"/>
    <w:rsid w:val="004B7FAE"/>
    <w:rsid w:val="004C1CD2"/>
    <w:rsid w:val="004C22D1"/>
    <w:rsid w:val="004C4C93"/>
    <w:rsid w:val="004C5492"/>
    <w:rsid w:val="004C59A2"/>
    <w:rsid w:val="004C5ADF"/>
    <w:rsid w:val="004C5E7C"/>
    <w:rsid w:val="004D000C"/>
    <w:rsid w:val="004D0CBE"/>
    <w:rsid w:val="004D1109"/>
    <w:rsid w:val="004D1276"/>
    <w:rsid w:val="004D179D"/>
    <w:rsid w:val="004D1F92"/>
    <w:rsid w:val="004D278C"/>
    <w:rsid w:val="004D2CAF"/>
    <w:rsid w:val="004D2F9E"/>
    <w:rsid w:val="004D3C07"/>
    <w:rsid w:val="004D4154"/>
    <w:rsid w:val="004D4CC3"/>
    <w:rsid w:val="004D53EF"/>
    <w:rsid w:val="004D5440"/>
    <w:rsid w:val="004D57A7"/>
    <w:rsid w:val="004D595E"/>
    <w:rsid w:val="004D5CC3"/>
    <w:rsid w:val="004D6A58"/>
    <w:rsid w:val="004D6B3B"/>
    <w:rsid w:val="004D6C18"/>
    <w:rsid w:val="004D76C1"/>
    <w:rsid w:val="004D78A2"/>
    <w:rsid w:val="004D7C36"/>
    <w:rsid w:val="004E0173"/>
    <w:rsid w:val="004E0B1E"/>
    <w:rsid w:val="004E0F71"/>
    <w:rsid w:val="004E2026"/>
    <w:rsid w:val="004E248F"/>
    <w:rsid w:val="004E2500"/>
    <w:rsid w:val="004E2EED"/>
    <w:rsid w:val="004E2F25"/>
    <w:rsid w:val="004E339F"/>
    <w:rsid w:val="004E3CDC"/>
    <w:rsid w:val="004E46D8"/>
    <w:rsid w:val="004E5C5B"/>
    <w:rsid w:val="004E6351"/>
    <w:rsid w:val="004E64E0"/>
    <w:rsid w:val="004E6985"/>
    <w:rsid w:val="004E7291"/>
    <w:rsid w:val="004F02C6"/>
    <w:rsid w:val="004F0678"/>
    <w:rsid w:val="004F25B8"/>
    <w:rsid w:val="004F31D7"/>
    <w:rsid w:val="004F4C96"/>
    <w:rsid w:val="004F4E94"/>
    <w:rsid w:val="004F4F1D"/>
    <w:rsid w:val="004F6580"/>
    <w:rsid w:val="004F6A04"/>
    <w:rsid w:val="004F7397"/>
    <w:rsid w:val="004F7426"/>
    <w:rsid w:val="004F7FA7"/>
    <w:rsid w:val="005004A1"/>
    <w:rsid w:val="0050065F"/>
    <w:rsid w:val="0050093A"/>
    <w:rsid w:val="0050115C"/>
    <w:rsid w:val="00501E7D"/>
    <w:rsid w:val="00501EBD"/>
    <w:rsid w:val="005028D3"/>
    <w:rsid w:val="00502975"/>
    <w:rsid w:val="00502E1E"/>
    <w:rsid w:val="0050328A"/>
    <w:rsid w:val="0050441A"/>
    <w:rsid w:val="0050540C"/>
    <w:rsid w:val="005054E5"/>
    <w:rsid w:val="00505C8E"/>
    <w:rsid w:val="00506194"/>
    <w:rsid w:val="005061E8"/>
    <w:rsid w:val="00506487"/>
    <w:rsid w:val="005079C7"/>
    <w:rsid w:val="00510615"/>
    <w:rsid w:val="0051101C"/>
    <w:rsid w:val="005112B3"/>
    <w:rsid w:val="0051149B"/>
    <w:rsid w:val="00511845"/>
    <w:rsid w:val="00511DF8"/>
    <w:rsid w:val="00512A0D"/>
    <w:rsid w:val="00512AC1"/>
    <w:rsid w:val="005138F0"/>
    <w:rsid w:val="00513DB4"/>
    <w:rsid w:val="00514235"/>
    <w:rsid w:val="0051476D"/>
    <w:rsid w:val="005149AB"/>
    <w:rsid w:val="00514AAF"/>
    <w:rsid w:val="00515344"/>
    <w:rsid w:val="00516244"/>
    <w:rsid w:val="00516451"/>
    <w:rsid w:val="00516A99"/>
    <w:rsid w:val="00516C85"/>
    <w:rsid w:val="005174E2"/>
    <w:rsid w:val="0051757B"/>
    <w:rsid w:val="00517B23"/>
    <w:rsid w:val="00517F1E"/>
    <w:rsid w:val="00520064"/>
    <w:rsid w:val="00520274"/>
    <w:rsid w:val="00520C54"/>
    <w:rsid w:val="0052126F"/>
    <w:rsid w:val="00521C27"/>
    <w:rsid w:val="00521E2C"/>
    <w:rsid w:val="005224A7"/>
    <w:rsid w:val="005224D8"/>
    <w:rsid w:val="00522841"/>
    <w:rsid w:val="00522CA1"/>
    <w:rsid w:val="005233C0"/>
    <w:rsid w:val="00523BAC"/>
    <w:rsid w:val="005248EE"/>
    <w:rsid w:val="00524A54"/>
    <w:rsid w:val="00524BBF"/>
    <w:rsid w:val="00525B34"/>
    <w:rsid w:val="00525B37"/>
    <w:rsid w:val="00526414"/>
    <w:rsid w:val="005267C6"/>
    <w:rsid w:val="00526A39"/>
    <w:rsid w:val="00527094"/>
    <w:rsid w:val="00527241"/>
    <w:rsid w:val="005277AC"/>
    <w:rsid w:val="005279DE"/>
    <w:rsid w:val="00527C99"/>
    <w:rsid w:val="00530B8E"/>
    <w:rsid w:val="00530F82"/>
    <w:rsid w:val="005311CD"/>
    <w:rsid w:val="00531E22"/>
    <w:rsid w:val="00532EFE"/>
    <w:rsid w:val="00533175"/>
    <w:rsid w:val="0053360F"/>
    <w:rsid w:val="00533E1A"/>
    <w:rsid w:val="00534211"/>
    <w:rsid w:val="0053484A"/>
    <w:rsid w:val="005358D3"/>
    <w:rsid w:val="00535A43"/>
    <w:rsid w:val="00535C94"/>
    <w:rsid w:val="00535D9B"/>
    <w:rsid w:val="00537D69"/>
    <w:rsid w:val="00537FC9"/>
    <w:rsid w:val="00537FCD"/>
    <w:rsid w:val="005401B8"/>
    <w:rsid w:val="00540408"/>
    <w:rsid w:val="00540663"/>
    <w:rsid w:val="0054106F"/>
    <w:rsid w:val="00541930"/>
    <w:rsid w:val="00541CFB"/>
    <w:rsid w:val="00543713"/>
    <w:rsid w:val="00543859"/>
    <w:rsid w:val="005440C5"/>
    <w:rsid w:val="00546946"/>
    <w:rsid w:val="00547CFE"/>
    <w:rsid w:val="00550375"/>
    <w:rsid w:val="00551AE2"/>
    <w:rsid w:val="005525CF"/>
    <w:rsid w:val="005528FD"/>
    <w:rsid w:val="00552A2E"/>
    <w:rsid w:val="00553D25"/>
    <w:rsid w:val="00554D7B"/>
    <w:rsid w:val="00555544"/>
    <w:rsid w:val="005556F2"/>
    <w:rsid w:val="005567F2"/>
    <w:rsid w:val="00557B71"/>
    <w:rsid w:val="00557C6E"/>
    <w:rsid w:val="0056028D"/>
    <w:rsid w:val="00562E26"/>
    <w:rsid w:val="0056333D"/>
    <w:rsid w:val="00563874"/>
    <w:rsid w:val="00563E01"/>
    <w:rsid w:val="00563ED7"/>
    <w:rsid w:val="005647A8"/>
    <w:rsid w:val="00564B01"/>
    <w:rsid w:val="00565DA3"/>
    <w:rsid w:val="00566008"/>
    <w:rsid w:val="00566015"/>
    <w:rsid w:val="00571061"/>
    <w:rsid w:val="00571313"/>
    <w:rsid w:val="00572354"/>
    <w:rsid w:val="00572848"/>
    <w:rsid w:val="005730A0"/>
    <w:rsid w:val="00573241"/>
    <w:rsid w:val="00573759"/>
    <w:rsid w:val="00573865"/>
    <w:rsid w:val="005740D3"/>
    <w:rsid w:val="00574506"/>
    <w:rsid w:val="00575222"/>
    <w:rsid w:val="00576384"/>
    <w:rsid w:val="00576739"/>
    <w:rsid w:val="00576D84"/>
    <w:rsid w:val="00577061"/>
    <w:rsid w:val="00577594"/>
    <w:rsid w:val="0057795C"/>
    <w:rsid w:val="005815A2"/>
    <w:rsid w:val="005833F1"/>
    <w:rsid w:val="0058399B"/>
    <w:rsid w:val="00583DA0"/>
    <w:rsid w:val="00583EA8"/>
    <w:rsid w:val="005842A0"/>
    <w:rsid w:val="00584833"/>
    <w:rsid w:val="0058571B"/>
    <w:rsid w:val="00585C12"/>
    <w:rsid w:val="00585F9A"/>
    <w:rsid w:val="0058706C"/>
    <w:rsid w:val="00587E4D"/>
    <w:rsid w:val="00587F44"/>
    <w:rsid w:val="005901B3"/>
    <w:rsid w:val="0059036C"/>
    <w:rsid w:val="00590A66"/>
    <w:rsid w:val="00591E59"/>
    <w:rsid w:val="00592B79"/>
    <w:rsid w:val="00593522"/>
    <w:rsid w:val="005937AF"/>
    <w:rsid w:val="00594182"/>
    <w:rsid w:val="00594281"/>
    <w:rsid w:val="005945FF"/>
    <w:rsid w:val="005963B7"/>
    <w:rsid w:val="00596664"/>
    <w:rsid w:val="005967B6"/>
    <w:rsid w:val="00596B2A"/>
    <w:rsid w:val="005979E1"/>
    <w:rsid w:val="00597AA3"/>
    <w:rsid w:val="00597D3E"/>
    <w:rsid w:val="00597D72"/>
    <w:rsid w:val="005A0832"/>
    <w:rsid w:val="005A2523"/>
    <w:rsid w:val="005A296C"/>
    <w:rsid w:val="005A353F"/>
    <w:rsid w:val="005A381D"/>
    <w:rsid w:val="005A3958"/>
    <w:rsid w:val="005A39C4"/>
    <w:rsid w:val="005A44D0"/>
    <w:rsid w:val="005A4D79"/>
    <w:rsid w:val="005A4FCE"/>
    <w:rsid w:val="005A699C"/>
    <w:rsid w:val="005A7A1D"/>
    <w:rsid w:val="005A7AEC"/>
    <w:rsid w:val="005A7BB0"/>
    <w:rsid w:val="005B035A"/>
    <w:rsid w:val="005B069C"/>
    <w:rsid w:val="005B172C"/>
    <w:rsid w:val="005B19E9"/>
    <w:rsid w:val="005B218A"/>
    <w:rsid w:val="005B2BF3"/>
    <w:rsid w:val="005B2DA5"/>
    <w:rsid w:val="005B324E"/>
    <w:rsid w:val="005B34FB"/>
    <w:rsid w:val="005B38FA"/>
    <w:rsid w:val="005B3945"/>
    <w:rsid w:val="005B3A12"/>
    <w:rsid w:val="005B3B8A"/>
    <w:rsid w:val="005B3DFC"/>
    <w:rsid w:val="005B4343"/>
    <w:rsid w:val="005B54CA"/>
    <w:rsid w:val="005B5C3E"/>
    <w:rsid w:val="005B5FC0"/>
    <w:rsid w:val="005B771E"/>
    <w:rsid w:val="005B7774"/>
    <w:rsid w:val="005B77A3"/>
    <w:rsid w:val="005B78AB"/>
    <w:rsid w:val="005B7BEF"/>
    <w:rsid w:val="005B7D5B"/>
    <w:rsid w:val="005C0215"/>
    <w:rsid w:val="005C0888"/>
    <w:rsid w:val="005C0DB1"/>
    <w:rsid w:val="005C13EF"/>
    <w:rsid w:val="005C1955"/>
    <w:rsid w:val="005C4F7E"/>
    <w:rsid w:val="005C66ED"/>
    <w:rsid w:val="005C6A79"/>
    <w:rsid w:val="005C711E"/>
    <w:rsid w:val="005C7A31"/>
    <w:rsid w:val="005C7A41"/>
    <w:rsid w:val="005D0366"/>
    <w:rsid w:val="005D0E3F"/>
    <w:rsid w:val="005D11C6"/>
    <w:rsid w:val="005D3B2B"/>
    <w:rsid w:val="005D3D3C"/>
    <w:rsid w:val="005D482A"/>
    <w:rsid w:val="005D5230"/>
    <w:rsid w:val="005D5474"/>
    <w:rsid w:val="005D5D87"/>
    <w:rsid w:val="005D63A2"/>
    <w:rsid w:val="005D63C7"/>
    <w:rsid w:val="005D6E14"/>
    <w:rsid w:val="005E040F"/>
    <w:rsid w:val="005E0CEA"/>
    <w:rsid w:val="005E1851"/>
    <w:rsid w:val="005E257E"/>
    <w:rsid w:val="005E25BF"/>
    <w:rsid w:val="005E27A7"/>
    <w:rsid w:val="005E2988"/>
    <w:rsid w:val="005E3621"/>
    <w:rsid w:val="005E3B0C"/>
    <w:rsid w:val="005E450A"/>
    <w:rsid w:val="005E555A"/>
    <w:rsid w:val="005E5B99"/>
    <w:rsid w:val="005E5C66"/>
    <w:rsid w:val="005E624E"/>
    <w:rsid w:val="005E6D6D"/>
    <w:rsid w:val="005E7680"/>
    <w:rsid w:val="005E7B57"/>
    <w:rsid w:val="005F074A"/>
    <w:rsid w:val="005F0C70"/>
    <w:rsid w:val="005F1424"/>
    <w:rsid w:val="005F221F"/>
    <w:rsid w:val="005F2364"/>
    <w:rsid w:val="005F2647"/>
    <w:rsid w:val="005F2C59"/>
    <w:rsid w:val="005F307D"/>
    <w:rsid w:val="005F3BE8"/>
    <w:rsid w:val="005F3D95"/>
    <w:rsid w:val="005F3E4D"/>
    <w:rsid w:val="005F3F67"/>
    <w:rsid w:val="005F42FE"/>
    <w:rsid w:val="005F527E"/>
    <w:rsid w:val="005F6260"/>
    <w:rsid w:val="005F656C"/>
    <w:rsid w:val="005F789C"/>
    <w:rsid w:val="005F7F3B"/>
    <w:rsid w:val="00600163"/>
    <w:rsid w:val="00600D3B"/>
    <w:rsid w:val="00600E5C"/>
    <w:rsid w:val="00601663"/>
    <w:rsid w:val="006017E0"/>
    <w:rsid w:val="00601FC5"/>
    <w:rsid w:val="0060286D"/>
    <w:rsid w:val="00603567"/>
    <w:rsid w:val="0060483D"/>
    <w:rsid w:val="00604BBA"/>
    <w:rsid w:val="006054FC"/>
    <w:rsid w:val="006075C0"/>
    <w:rsid w:val="00607A4B"/>
    <w:rsid w:val="0061091B"/>
    <w:rsid w:val="006109D5"/>
    <w:rsid w:val="0061101B"/>
    <w:rsid w:val="006110E7"/>
    <w:rsid w:val="00611CB9"/>
    <w:rsid w:val="00612539"/>
    <w:rsid w:val="00613151"/>
    <w:rsid w:val="00613658"/>
    <w:rsid w:val="00613CE5"/>
    <w:rsid w:val="0061477A"/>
    <w:rsid w:val="00614F5A"/>
    <w:rsid w:val="00614FD7"/>
    <w:rsid w:val="00615620"/>
    <w:rsid w:val="00615624"/>
    <w:rsid w:val="006163B4"/>
    <w:rsid w:val="00616D8B"/>
    <w:rsid w:val="00616F41"/>
    <w:rsid w:val="00617F85"/>
    <w:rsid w:val="00620327"/>
    <w:rsid w:val="00620FA7"/>
    <w:rsid w:val="0062202B"/>
    <w:rsid w:val="0062244C"/>
    <w:rsid w:val="00622ADC"/>
    <w:rsid w:val="00623FA4"/>
    <w:rsid w:val="00626381"/>
    <w:rsid w:val="00626B12"/>
    <w:rsid w:val="006277FF"/>
    <w:rsid w:val="0062797D"/>
    <w:rsid w:val="00627E13"/>
    <w:rsid w:val="00632DE7"/>
    <w:rsid w:val="00632F94"/>
    <w:rsid w:val="006332B7"/>
    <w:rsid w:val="006376C6"/>
    <w:rsid w:val="00637ECD"/>
    <w:rsid w:val="006405C4"/>
    <w:rsid w:val="0064087A"/>
    <w:rsid w:val="00640A3D"/>
    <w:rsid w:val="00640DBA"/>
    <w:rsid w:val="00640F87"/>
    <w:rsid w:val="0064165F"/>
    <w:rsid w:val="0064172E"/>
    <w:rsid w:val="006423C8"/>
    <w:rsid w:val="00642670"/>
    <w:rsid w:val="006426C9"/>
    <w:rsid w:val="00643306"/>
    <w:rsid w:val="00644051"/>
    <w:rsid w:val="006440C0"/>
    <w:rsid w:val="006452F4"/>
    <w:rsid w:val="00645CD1"/>
    <w:rsid w:val="006463C5"/>
    <w:rsid w:val="0064675C"/>
    <w:rsid w:val="006509A7"/>
    <w:rsid w:val="006522DD"/>
    <w:rsid w:val="0065326D"/>
    <w:rsid w:val="00653B7C"/>
    <w:rsid w:val="00653C5B"/>
    <w:rsid w:val="006541A3"/>
    <w:rsid w:val="006546A6"/>
    <w:rsid w:val="00654F90"/>
    <w:rsid w:val="0065512D"/>
    <w:rsid w:val="0065555D"/>
    <w:rsid w:val="006568E5"/>
    <w:rsid w:val="0065753B"/>
    <w:rsid w:val="00657A21"/>
    <w:rsid w:val="00657C81"/>
    <w:rsid w:val="0066051E"/>
    <w:rsid w:val="00660C57"/>
    <w:rsid w:val="006629EE"/>
    <w:rsid w:val="00662A0A"/>
    <w:rsid w:val="00664403"/>
    <w:rsid w:val="006650FA"/>
    <w:rsid w:val="00666820"/>
    <w:rsid w:val="006669FF"/>
    <w:rsid w:val="006674EC"/>
    <w:rsid w:val="00667AF3"/>
    <w:rsid w:val="00667DEC"/>
    <w:rsid w:val="00670F04"/>
    <w:rsid w:val="00671104"/>
    <w:rsid w:val="00671F84"/>
    <w:rsid w:val="00672458"/>
    <w:rsid w:val="00672467"/>
    <w:rsid w:val="00672879"/>
    <w:rsid w:val="00672BD4"/>
    <w:rsid w:val="006733BB"/>
    <w:rsid w:val="00673899"/>
    <w:rsid w:val="0067416D"/>
    <w:rsid w:val="006746FE"/>
    <w:rsid w:val="0067529B"/>
    <w:rsid w:val="00675669"/>
    <w:rsid w:val="00676D7F"/>
    <w:rsid w:val="00680592"/>
    <w:rsid w:val="006808E7"/>
    <w:rsid w:val="00681454"/>
    <w:rsid w:val="00682138"/>
    <w:rsid w:val="0068273D"/>
    <w:rsid w:val="006827B9"/>
    <w:rsid w:val="006830E8"/>
    <w:rsid w:val="00683FE2"/>
    <w:rsid w:val="00684EA6"/>
    <w:rsid w:val="00687409"/>
    <w:rsid w:val="00687664"/>
    <w:rsid w:val="0068789B"/>
    <w:rsid w:val="006878C9"/>
    <w:rsid w:val="00690133"/>
    <w:rsid w:val="00690BF8"/>
    <w:rsid w:val="00691A94"/>
    <w:rsid w:val="00691DD4"/>
    <w:rsid w:val="00692D1B"/>
    <w:rsid w:val="00694573"/>
    <w:rsid w:val="00694765"/>
    <w:rsid w:val="00694A7E"/>
    <w:rsid w:val="00694B39"/>
    <w:rsid w:val="00695E11"/>
    <w:rsid w:val="0069677B"/>
    <w:rsid w:val="00697104"/>
    <w:rsid w:val="00697406"/>
    <w:rsid w:val="006974B5"/>
    <w:rsid w:val="0069754F"/>
    <w:rsid w:val="00697905"/>
    <w:rsid w:val="00697A5A"/>
    <w:rsid w:val="006A017C"/>
    <w:rsid w:val="006A01E6"/>
    <w:rsid w:val="006A0429"/>
    <w:rsid w:val="006A1626"/>
    <w:rsid w:val="006A24EF"/>
    <w:rsid w:val="006A27B8"/>
    <w:rsid w:val="006A2A2F"/>
    <w:rsid w:val="006A3225"/>
    <w:rsid w:val="006A37F9"/>
    <w:rsid w:val="006A396C"/>
    <w:rsid w:val="006A4D68"/>
    <w:rsid w:val="006A4F3E"/>
    <w:rsid w:val="006A51F4"/>
    <w:rsid w:val="006A627C"/>
    <w:rsid w:val="006A752F"/>
    <w:rsid w:val="006A7A05"/>
    <w:rsid w:val="006B01C0"/>
    <w:rsid w:val="006B0807"/>
    <w:rsid w:val="006B0896"/>
    <w:rsid w:val="006B10D6"/>
    <w:rsid w:val="006B1788"/>
    <w:rsid w:val="006B185F"/>
    <w:rsid w:val="006B1BDA"/>
    <w:rsid w:val="006B23B5"/>
    <w:rsid w:val="006B2C54"/>
    <w:rsid w:val="006B2EB0"/>
    <w:rsid w:val="006B35BD"/>
    <w:rsid w:val="006B4821"/>
    <w:rsid w:val="006B5273"/>
    <w:rsid w:val="006B5923"/>
    <w:rsid w:val="006B5D2C"/>
    <w:rsid w:val="006B5F4D"/>
    <w:rsid w:val="006B6BFB"/>
    <w:rsid w:val="006B7198"/>
    <w:rsid w:val="006B71F2"/>
    <w:rsid w:val="006B75D4"/>
    <w:rsid w:val="006C006A"/>
    <w:rsid w:val="006C088D"/>
    <w:rsid w:val="006C10DB"/>
    <w:rsid w:val="006C24DE"/>
    <w:rsid w:val="006C3AE6"/>
    <w:rsid w:val="006C3D45"/>
    <w:rsid w:val="006C4E4D"/>
    <w:rsid w:val="006C66C6"/>
    <w:rsid w:val="006C68F6"/>
    <w:rsid w:val="006C6E20"/>
    <w:rsid w:val="006D018C"/>
    <w:rsid w:val="006D0561"/>
    <w:rsid w:val="006D1D4B"/>
    <w:rsid w:val="006D3AB6"/>
    <w:rsid w:val="006D48CD"/>
    <w:rsid w:val="006D4B8B"/>
    <w:rsid w:val="006D4C34"/>
    <w:rsid w:val="006D4C98"/>
    <w:rsid w:val="006D505E"/>
    <w:rsid w:val="006D5246"/>
    <w:rsid w:val="006D5283"/>
    <w:rsid w:val="006D593F"/>
    <w:rsid w:val="006D5DD4"/>
    <w:rsid w:val="006D6235"/>
    <w:rsid w:val="006D64E3"/>
    <w:rsid w:val="006D6722"/>
    <w:rsid w:val="006D757F"/>
    <w:rsid w:val="006D7CC0"/>
    <w:rsid w:val="006E0314"/>
    <w:rsid w:val="006E0451"/>
    <w:rsid w:val="006E06FB"/>
    <w:rsid w:val="006E09A7"/>
    <w:rsid w:val="006E0B4D"/>
    <w:rsid w:val="006E0BBE"/>
    <w:rsid w:val="006E0F7D"/>
    <w:rsid w:val="006E15BA"/>
    <w:rsid w:val="006E1654"/>
    <w:rsid w:val="006E1A1C"/>
    <w:rsid w:val="006E2FF5"/>
    <w:rsid w:val="006E4C8E"/>
    <w:rsid w:val="006E5B45"/>
    <w:rsid w:val="006E658D"/>
    <w:rsid w:val="006E65ED"/>
    <w:rsid w:val="006F0199"/>
    <w:rsid w:val="006F020A"/>
    <w:rsid w:val="006F133D"/>
    <w:rsid w:val="006F161A"/>
    <w:rsid w:val="006F24E9"/>
    <w:rsid w:val="006F2628"/>
    <w:rsid w:val="006F27C6"/>
    <w:rsid w:val="006F2DE6"/>
    <w:rsid w:val="006F359D"/>
    <w:rsid w:val="006F3C13"/>
    <w:rsid w:val="006F4561"/>
    <w:rsid w:val="006F499A"/>
    <w:rsid w:val="006F4E23"/>
    <w:rsid w:val="006F52C6"/>
    <w:rsid w:val="006F588B"/>
    <w:rsid w:val="006F68B8"/>
    <w:rsid w:val="006F69C9"/>
    <w:rsid w:val="006F69F2"/>
    <w:rsid w:val="006F701A"/>
    <w:rsid w:val="006F777C"/>
    <w:rsid w:val="006F7C56"/>
    <w:rsid w:val="00700AD6"/>
    <w:rsid w:val="007010A2"/>
    <w:rsid w:val="007017A1"/>
    <w:rsid w:val="00701B53"/>
    <w:rsid w:val="007022F7"/>
    <w:rsid w:val="00702A39"/>
    <w:rsid w:val="00702AA9"/>
    <w:rsid w:val="0070379A"/>
    <w:rsid w:val="007058A3"/>
    <w:rsid w:val="0070692D"/>
    <w:rsid w:val="0070695D"/>
    <w:rsid w:val="0070697A"/>
    <w:rsid w:val="0071013C"/>
    <w:rsid w:val="0071071D"/>
    <w:rsid w:val="0071122D"/>
    <w:rsid w:val="00712B2D"/>
    <w:rsid w:val="0071461A"/>
    <w:rsid w:val="0071552C"/>
    <w:rsid w:val="00716466"/>
    <w:rsid w:val="00716BA8"/>
    <w:rsid w:val="0071738D"/>
    <w:rsid w:val="00717D29"/>
    <w:rsid w:val="007207AE"/>
    <w:rsid w:val="0072142D"/>
    <w:rsid w:val="00721730"/>
    <w:rsid w:val="00721E82"/>
    <w:rsid w:val="007222EC"/>
    <w:rsid w:val="00722576"/>
    <w:rsid w:val="0072334B"/>
    <w:rsid w:val="0072414B"/>
    <w:rsid w:val="00724538"/>
    <w:rsid w:val="00724622"/>
    <w:rsid w:val="0072543E"/>
    <w:rsid w:val="00725531"/>
    <w:rsid w:val="0072583C"/>
    <w:rsid w:val="00725ED4"/>
    <w:rsid w:val="00726718"/>
    <w:rsid w:val="0072756E"/>
    <w:rsid w:val="0072757C"/>
    <w:rsid w:val="00727D60"/>
    <w:rsid w:val="00727FEA"/>
    <w:rsid w:val="00730308"/>
    <w:rsid w:val="007310AF"/>
    <w:rsid w:val="0073136C"/>
    <w:rsid w:val="00732985"/>
    <w:rsid w:val="00732BA5"/>
    <w:rsid w:val="0073315B"/>
    <w:rsid w:val="00733832"/>
    <w:rsid w:val="00734D1B"/>
    <w:rsid w:val="0073546D"/>
    <w:rsid w:val="007361B8"/>
    <w:rsid w:val="00737768"/>
    <w:rsid w:val="007378CB"/>
    <w:rsid w:val="007407A3"/>
    <w:rsid w:val="007425F2"/>
    <w:rsid w:val="00742780"/>
    <w:rsid w:val="007431C7"/>
    <w:rsid w:val="007431DE"/>
    <w:rsid w:val="00743C5E"/>
    <w:rsid w:val="007448EA"/>
    <w:rsid w:val="00744A55"/>
    <w:rsid w:val="00744CF4"/>
    <w:rsid w:val="00745704"/>
    <w:rsid w:val="007463B1"/>
    <w:rsid w:val="00747D8A"/>
    <w:rsid w:val="0075088E"/>
    <w:rsid w:val="007514C5"/>
    <w:rsid w:val="007529DC"/>
    <w:rsid w:val="00752BA8"/>
    <w:rsid w:val="007538E3"/>
    <w:rsid w:val="00753AB8"/>
    <w:rsid w:val="00753C74"/>
    <w:rsid w:val="00754358"/>
    <w:rsid w:val="007554AB"/>
    <w:rsid w:val="00756332"/>
    <w:rsid w:val="00756FB2"/>
    <w:rsid w:val="007573DF"/>
    <w:rsid w:val="007576EA"/>
    <w:rsid w:val="007578A2"/>
    <w:rsid w:val="00757FCB"/>
    <w:rsid w:val="007602D1"/>
    <w:rsid w:val="00760BD4"/>
    <w:rsid w:val="00760F72"/>
    <w:rsid w:val="007614B5"/>
    <w:rsid w:val="007616AD"/>
    <w:rsid w:val="00761A94"/>
    <w:rsid w:val="00761D87"/>
    <w:rsid w:val="00766124"/>
    <w:rsid w:val="00766201"/>
    <w:rsid w:val="007665C5"/>
    <w:rsid w:val="00767063"/>
    <w:rsid w:val="007678C5"/>
    <w:rsid w:val="00767A91"/>
    <w:rsid w:val="00767F24"/>
    <w:rsid w:val="007702C7"/>
    <w:rsid w:val="0077128E"/>
    <w:rsid w:val="00771AC1"/>
    <w:rsid w:val="007723B0"/>
    <w:rsid w:val="00772664"/>
    <w:rsid w:val="00773BA8"/>
    <w:rsid w:val="0077401C"/>
    <w:rsid w:val="00774124"/>
    <w:rsid w:val="007742E9"/>
    <w:rsid w:val="007752FD"/>
    <w:rsid w:val="007755FD"/>
    <w:rsid w:val="00775E27"/>
    <w:rsid w:val="00776226"/>
    <w:rsid w:val="00776A73"/>
    <w:rsid w:val="0077721A"/>
    <w:rsid w:val="007777FE"/>
    <w:rsid w:val="00781AA6"/>
    <w:rsid w:val="00781AB4"/>
    <w:rsid w:val="00782FC5"/>
    <w:rsid w:val="00783369"/>
    <w:rsid w:val="007842B4"/>
    <w:rsid w:val="0078449B"/>
    <w:rsid w:val="00784B24"/>
    <w:rsid w:val="007850E5"/>
    <w:rsid w:val="00785297"/>
    <w:rsid w:val="0078568D"/>
    <w:rsid w:val="00785A36"/>
    <w:rsid w:val="00785E4B"/>
    <w:rsid w:val="00785FBD"/>
    <w:rsid w:val="007869EB"/>
    <w:rsid w:val="00786C01"/>
    <w:rsid w:val="00787453"/>
    <w:rsid w:val="0078774C"/>
    <w:rsid w:val="00790348"/>
    <w:rsid w:val="00790633"/>
    <w:rsid w:val="007907A4"/>
    <w:rsid w:val="00791630"/>
    <w:rsid w:val="0079208F"/>
    <w:rsid w:val="00792CC1"/>
    <w:rsid w:val="00793144"/>
    <w:rsid w:val="00793FBB"/>
    <w:rsid w:val="007947EF"/>
    <w:rsid w:val="00794A11"/>
    <w:rsid w:val="00795A06"/>
    <w:rsid w:val="00795B12"/>
    <w:rsid w:val="0079600E"/>
    <w:rsid w:val="00796501"/>
    <w:rsid w:val="00797947"/>
    <w:rsid w:val="00797F32"/>
    <w:rsid w:val="007A1004"/>
    <w:rsid w:val="007A157C"/>
    <w:rsid w:val="007A1E59"/>
    <w:rsid w:val="007A2047"/>
    <w:rsid w:val="007A2878"/>
    <w:rsid w:val="007A328E"/>
    <w:rsid w:val="007A4244"/>
    <w:rsid w:val="007A44D0"/>
    <w:rsid w:val="007A500F"/>
    <w:rsid w:val="007A5ADA"/>
    <w:rsid w:val="007A6527"/>
    <w:rsid w:val="007A6788"/>
    <w:rsid w:val="007A678D"/>
    <w:rsid w:val="007A6D38"/>
    <w:rsid w:val="007A6F82"/>
    <w:rsid w:val="007A7F0D"/>
    <w:rsid w:val="007B0A14"/>
    <w:rsid w:val="007B0C34"/>
    <w:rsid w:val="007B14F4"/>
    <w:rsid w:val="007B1DE9"/>
    <w:rsid w:val="007B1FAA"/>
    <w:rsid w:val="007B286E"/>
    <w:rsid w:val="007B2F54"/>
    <w:rsid w:val="007B4CC4"/>
    <w:rsid w:val="007B5EC0"/>
    <w:rsid w:val="007B61D9"/>
    <w:rsid w:val="007B6211"/>
    <w:rsid w:val="007B623A"/>
    <w:rsid w:val="007B6F02"/>
    <w:rsid w:val="007B7895"/>
    <w:rsid w:val="007B7D67"/>
    <w:rsid w:val="007C0247"/>
    <w:rsid w:val="007C0623"/>
    <w:rsid w:val="007C07C8"/>
    <w:rsid w:val="007C0D48"/>
    <w:rsid w:val="007C0D68"/>
    <w:rsid w:val="007C11B7"/>
    <w:rsid w:val="007C15EC"/>
    <w:rsid w:val="007C1A50"/>
    <w:rsid w:val="007C1F1F"/>
    <w:rsid w:val="007C43FE"/>
    <w:rsid w:val="007C454A"/>
    <w:rsid w:val="007C45BD"/>
    <w:rsid w:val="007C58F7"/>
    <w:rsid w:val="007C630F"/>
    <w:rsid w:val="007C6B91"/>
    <w:rsid w:val="007C7202"/>
    <w:rsid w:val="007C75E7"/>
    <w:rsid w:val="007C7662"/>
    <w:rsid w:val="007C7A93"/>
    <w:rsid w:val="007C7D14"/>
    <w:rsid w:val="007D07DA"/>
    <w:rsid w:val="007D0DB1"/>
    <w:rsid w:val="007D1472"/>
    <w:rsid w:val="007D14DD"/>
    <w:rsid w:val="007D29D0"/>
    <w:rsid w:val="007D2E0F"/>
    <w:rsid w:val="007D2EF4"/>
    <w:rsid w:val="007D36D5"/>
    <w:rsid w:val="007D4900"/>
    <w:rsid w:val="007D58BF"/>
    <w:rsid w:val="007D62EF"/>
    <w:rsid w:val="007D6F2B"/>
    <w:rsid w:val="007D73CF"/>
    <w:rsid w:val="007D7BFD"/>
    <w:rsid w:val="007D7D98"/>
    <w:rsid w:val="007E01B1"/>
    <w:rsid w:val="007E06F2"/>
    <w:rsid w:val="007E0B26"/>
    <w:rsid w:val="007E0B53"/>
    <w:rsid w:val="007E0D24"/>
    <w:rsid w:val="007E11C5"/>
    <w:rsid w:val="007E1C64"/>
    <w:rsid w:val="007E2593"/>
    <w:rsid w:val="007E2B5C"/>
    <w:rsid w:val="007E3BAF"/>
    <w:rsid w:val="007E447A"/>
    <w:rsid w:val="007E4D72"/>
    <w:rsid w:val="007E4E6A"/>
    <w:rsid w:val="007E4F3E"/>
    <w:rsid w:val="007E4F5F"/>
    <w:rsid w:val="007E5B89"/>
    <w:rsid w:val="007E72B0"/>
    <w:rsid w:val="007E735F"/>
    <w:rsid w:val="007E74A7"/>
    <w:rsid w:val="007E7919"/>
    <w:rsid w:val="007E7BCE"/>
    <w:rsid w:val="007F0007"/>
    <w:rsid w:val="007F0BA9"/>
    <w:rsid w:val="007F11B3"/>
    <w:rsid w:val="007F13BB"/>
    <w:rsid w:val="007F1FED"/>
    <w:rsid w:val="007F255B"/>
    <w:rsid w:val="007F2A94"/>
    <w:rsid w:val="007F2FB0"/>
    <w:rsid w:val="007F3383"/>
    <w:rsid w:val="007F3EE1"/>
    <w:rsid w:val="007F5021"/>
    <w:rsid w:val="007F51A6"/>
    <w:rsid w:val="007F5BE6"/>
    <w:rsid w:val="007F62F6"/>
    <w:rsid w:val="007F6E77"/>
    <w:rsid w:val="007F7382"/>
    <w:rsid w:val="007F7DAA"/>
    <w:rsid w:val="008007CF"/>
    <w:rsid w:val="00801740"/>
    <w:rsid w:val="00801E16"/>
    <w:rsid w:val="00801FCD"/>
    <w:rsid w:val="00802E52"/>
    <w:rsid w:val="00803138"/>
    <w:rsid w:val="00803167"/>
    <w:rsid w:val="008036D4"/>
    <w:rsid w:val="00803E7C"/>
    <w:rsid w:val="00803EFD"/>
    <w:rsid w:val="008065E8"/>
    <w:rsid w:val="00806A45"/>
    <w:rsid w:val="00806B6C"/>
    <w:rsid w:val="00807048"/>
    <w:rsid w:val="00807BD2"/>
    <w:rsid w:val="00807F91"/>
    <w:rsid w:val="008100E5"/>
    <w:rsid w:val="00811201"/>
    <w:rsid w:val="008112A0"/>
    <w:rsid w:val="008112F7"/>
    <w:rsid w:val="0081219E"/>
    <w:rsid w:val="00813103"/>
    <w:rsid w:val="00813211"/>
    <w:rsid w:val="00813C9F"/>
    <w:rsid w:val="00813DC5"/>
    <w:rsid w:val="00813F2D"/>
    <w:rsid w:val="008148BC"/>
    <w:rsid w:val="00814B8B"/>
    <w:rsid w:val="00814EB1"/>
    <w:rsid w:val="008202C5"/>
    <w:rsid w:val="0082135A"/>
    <w:rsid w:val="00821561"/>
    <w:rsid w:val="00821666"/>
    <w:rsid w:val="00821822"/>
    <w:rsid w:val="008218BD"/>
    <w:rsid w:val="00821C44"/>
    <w:rsid w:val="00821F24"/>
    <w:rsid w:val="00822BD7"/>
    <w:rsid w:val="00822F7D"/>
    <w:rsid w:val="00823654"/>
    <w:rsid w:val="008241C2"/>
    <w:rsid w:val="00824B48"/>
    <w:rsid w:val="00827229"/>
    <w:rsid w:val="008276F6"/>
    <w:rsid w:val="00827CAD"/>
    <w:rsid w:val="00827DDC"/>
    <w:rsid w:val="00830D25"/>
    <w:rsid w:val="008316CE"/>
    <w:rsid w:val="00831C55"/>
    <w:rsid w:val="00831E9C"/>
    <w:rsid w:val="0083217B"/>
    <w:rsid w:val="00833130"/>
    <w:rsid w:val="0083421F"/>
    <w:rsid w:val="00835585"/>
    <w:rsid w:val="00835A13"/>
    <w:rsid w:val="00835B1B"/>
    <w:rsid w:val="00836610"/>
    <w:rsid w:val="0083685B"/>
    <w:rsid w:val="0084028C"/>
    <w:rsid w:val="00840F25"/>
    <w:rsid w:val="00841975"/>
    <w:rsid w:val="0084276C"/>
    <w:rsid w:val="008429F5"/>
    <w:rsid w:val="00842BC2"/>
    <w:rsid w:val="008431F4"/>
    <w:rsid w:val="008435B9"/>
    <w:rsid w:val="00843CFC"/>
    <w:rsid w:val="00844586"/>
    <w:rsid w:val="00845475"/>
    <w:rsid w:val="00845704"/>
    <w:rsid w:val="00845C95"/>
    <w:rsid w:val="00845D5A"/>
    <w:rsid w:val="00845E0E"/>
    <w:rsid w:val="008462BD"/>
    <w:rsid w:val="00846F6C"/>
    <w:rsid w:val="00850392"/>
    <w:rsid w:val="00851473"/>
    <w:rsid w:val="00851C43"/>
    <w:rsid w:val="00851F86"/>
    <w:rsid w:val="0085344E"/>
    <w:rsid w:val="00853916"/>
    <w:rsid w:val="00853D10"/>
    <w:rsid w:val="00855C5B"/>
    <w:rsid w:val="00856A9D"/>
    <w:rsid w:val="00856ADB"/>
    <w:rsid w:val="00856E22"/>
    <w:rsid w:val="00857020"/>
    <w:rsid w:val="0085714D"/>
    <w:rsid w:val="00857300"/>
    <w:rsid w:val="0085746B"/>
    <w:rsid w:val="008579D0"/>
    <w:rsid w:val="008605DC"/>
    <w:rsid w:val="008611BD"/>
    <w:rsid w:val="008611F1"/>
    <w:rsid w:val="008614EE"/>
    <w:rsid w:val="0086277F"/>
    <w:rsid w:val="00862B7C"/>
    <w:rsid w:val="00862F65"/>
    <w:rsid w:val="008658FC"/>
    <w:rsid w:val="008661AA"/>
    <w:rsid w:val="00866F26"/>
    <w:rsid w:val="008670C4"/>
    <w:rsid w:val="008673E8"/>
    <w:rsid w:val="00867811"/>
    <w:rsid w:val="00867C51"/>
    <w:rsid w:val="00867D0C"/>
    <w:rsid w:val="00870929"/>
    <w:rsid w:val="00870C32"/>
    <w:rsid w:val="0087182E"/>
    <w:rsid w:val="00872498"/>
    <w:rsid w:val="00872920"/>
    <w:rsid w:val="00873A37"/>
    <w:rsid w:val="00875B9E"/>
    <w:rsid w:val="00876CC1"/>
    <w:rsid w:val="00880058"/>
    <w:rsid w:val="0088059B"/>
    <w:rsid w:val="0088086F"/>
    <w:rsid w:val="00880DFF"/>
    <w:rsid w:val="008810D2"/>
    <w:rsid w:val="00881667"/>
    <w:rsid w:val="00881B29"/>
    <w:rsid w:val="008838E1"/>
    <w:rsid w:val="00883C7C"/>
    <w:rsid w:val="00883D4C"/>
    <w:rsid w:val="00884B59"/>
    <w:rsid w:val="00887CA2"/>
    <w:rsid w:val="00887D14"/>
    <w:rsid w:val="008900AC"/>
    <w:rsid w:val="00890AA4"/>
    <w:rsid w:val="00891844"/>
    <w:rsid w:val="00891BD4"/>
    <w:rsid w:val="00892054"/>
    <w:rsid w:val="008923D8"/>
    <w:rsid w:val="00892D96"/>
    <w:rsid w:val="008935D6"/>
    <w:rsid w:val="0089368C"/>
    <w:rsid w:val="00893E9C"/>
    <w:rsid w:val="0089412C"/>
    <w:rsid w:val="008942E9"/>
    <w:rsid w:val="0089453B"/>
    <w:rsid w:val="00894C25"/>
    <w:rsid w:val="00894CCB"/>
    <w:rsid w:val="00894E52"/>
    <w:rsid w:val="00894E7E"/>
    <w:rsid w:val="008968CE"/>
    <w:rsid w:val="00896F4C"/>
    <w:rsid w:val="008972EA"/>
    <w:rsid w:val="00897CAB"/>
    <w:rsid w:val="008A1AB9"/>
    <w:rsid w:val="008A2374"/>
    <w:rsid w:val="008A23E9"/>
    <w:rsid w:val="008A326A"/>
    <w:rsid w:val="008A3F91"/>
    <w:rsid w:val="008A40AD"/>
    <w:rsid w:val="008A58C1"/>
    <w:rsid w:val="008A5C88"/>
    <w:rsid w:val="008A62B4"/>
    <w:rsid w:val="008A6B5B"/>
    <w:rsid w:val="008A7351"/>
    <w:rsid w:val="008B20AC"/>
    <w:rsid w:val="008B2DE3"/>
    <w:rsid w:val="008B34C6"/>
    <w:rsid w:val="008B34CE"/>
    <w:rsid w:val="008B35A8"/>
    <w:rsid w:val="008B3B8D"/>
    <w:rsid w:val="008B4A32"/>
    <w:rsid w:val="008B4AE5"/>
    <w:rsid w:val="008B556F"/>
    <w:rsid w:val="008B698A"/>
    <w:rsid w:val="008B69CC"/>
    <w:rsid w:val="008B7B08"/>
    <w:rsid w:val="008C04A4"/>
    <w:rsid w:val="008C0C45"/>
    <w:rsid w:val="008C0D2E"/>
    <w:rsid w:val="008C1EF1"/>
    <w:rsid w:val="008C1F25"/>
    <w:rsid w:val="008C2F9E"/>
    <w:rsid w:val="008C45C8"/>
    <w:rsid w:val="008C513E"/>
    <w:rsid w:val="008C5659"/>
    <w:rsid w:val="008C5CAF"/>
    <w:rsid w:val="008C5CE7"/>
    <w:rsid w:val="008C63F1"/>
    <w:rsid w:val="008C66E5"/>
    <w:rsid w:val="008C736E"/>
    <w:rsid w:val="008C7A30"/>
    <w:rsid w:val="008D1463"/>
    <w:rsid w:val="008D1569"/>
    <w:rsid w:val="008D22FF"/>
    <w:rsid w:val="008D257D"/>
    <w:rsid w:val="008D2E34"/>
    <w:rsid w:val="008D3C7C"/>
    <w:rsid w:val="008D3CE3"/>
    <w:rsid w:val="008D43EB"/>
    <w:rsid w:val="008D4AB7"/>
    <w:rsid w:val="008D4B1A"/>
    <w:rsid w:val="008D4D3E"/>
    <w:rsid w:val="008D6E86"/>
    <w:rsid w:val="008D6FEA"/>
    <w:rsid w:val="008D7839"/>
    <w:rsid w:val="008E007C"/>
    <w:rsid w:val="008E0ED8"/>
    <w:rsid w:val="008E0F0A"/>
    <w:rsid w:val="008E121F"/>
    <w:rsid w:val="008E2F76"/>
    <w:rsid w:val="008E3A51"/>
    <w:rsid w:val="008E44CA"/>
    <w:rsid w:val="008E45F6"/>
    <w:rsid w:val="008E53A3"/>
    <w:rsid w:val="008E64E7"/>
    <w:rsid w:val="008E7732"/>
    <w:rsid w:val="008F005F"/>
    <w:rsid w:val="008F10B5"/>
    <w:rsid w:val="008F12BD"/>
    <w:rsid w:val="008F1416"/>
    <w:rsid w:val="008F1731"/>
    <w:rsid w:val="008F2812"/>
    <w:rsid w:val="008F2EB2"/>
    <w:rsid w:val="008F3220"/>
    <w:rsid w:val="008F3939"/>
    <w:rsid w:val="008F3F58"/>
    <w:rsid w:val="008F4194"/>
    <w:rsid w:val="008F47A0"/>
    <w:rsid w:val="008F51AA"/>
    <w:rsid w:val="008F5908"/>
    <w:rsid w:val="008F5AC9"/>
    <w:rsid w:val="008F77B1"/>
    <w:rsid w:val="008F77B5"/>
    <w:rsid w:val="008F79AF"/>
    <w:rsid w:val="008F7CCD"/>
    <w:rsid w:val="0090051E"/>
    <w:rsid w:val="0090060E"/>
    <w:rsid w:val="009007D6"/>
    <w:rsid w:val="00901061"/>
    <w:rsid w:val="00901166"/>
    <w:rsid w:val="0090123C"/>
    <w:rsid w:val="00901447"/>
    <w:rsid w:val="0090173E"/>
    <w:rsid w:val="00901D20"/>
    <w:rsid w:val="00901F4F"/>
    <w:rsid w:val="009025D5"/>
    <w:rsid w:val="00902A95"/>
    <w:rsid w:val="00902F06"/>
    <w:rsid w:val="009031D3"/>
    <w:rsid w:val="0090346A"/>
    <w:rsid w:val="0090353B"/>
    <w:rsid w:val="00903CF1"/>
    <w:rsid w:val="00903E9E"/>
    <w:rsid w:val="009040E2"/>
    <w:rsid w:val="009045C0"/>
    <w:rsid w:val="0090467A"/>
    <w:rsid w:val="009054E1"/>
    <w:rsid w:val="009064E8"/>
    <w:rsid w:val="00906A14"/>
    <w:rsid w:val="00906F2B"/>
    <w:rsid w:val="00907A6C"/>
    <w:rsid w:val="009109C0"/>
    <w:rsid w:val="00910AC1"/>
    <w:rsid w:val="00911B7D"/>
    <w:rsid w:val="009121CF"/>
    <w:rsid w:val="00912393"/>
    <w:rsid w:val="00912804"/>
    <w:rsid w:val="009139AD"/>
    <w:rsid w:val="00913C91"/>
    <w:rsid w:val="00913D3B"/>
    <w:rsid w:val="00914A30"/>
    <w:rsid w:val="0091518C"/>
    <w:rsid w:val="009161EE"/>
    <w:rsid w:val="00916256"/>
    <w:rsid w:val="0091635C"/>
    <w:rsid w:val="009165F0"/>
    <w:rsid w:val="00916694"/>
    <w:rsid w:val="009173F2"/>
    <w:rsid w:val="00920027"/>
    <w:rsid w:val="0092018A"/>
    <w:rsid w:val="0092326A"/>
    <w:rsid w:val="00923A8F"/>
    <w:rsid w:val="00924C34"/>
    <w:rsid w:val="00925447"/>
    <w:rsid w:val="00925DC6"/>
    <w:rsid w:val="00925E54"/>
    <w:rsid w:val="0092641D"/>
    <w:rsid w:val="00926999"/>
    <w:rsid w:val="00926E8E"/>
    <w:rsid w:val="00927FE0"/>
    <w:rsid w:val="009304C9"/>
    <w:rsid w:val="00930F48"/>
    <w:rsid w:val="00930FF4"/>
    <w:rsid w:val="0093106A"/>
    <w:rsid w:val="009310E4"/>
    <w:rsid w:val="0093125F"/>
    <w:rsid w:val="00931C75"/>
    <w:rsid w:val="00932022"/>
    <w:rsid w:val="0093233F"/>
    <w:rsid w:val="00932637"/>
    <w:rsid w:val="00932FA7"/>
    <w:rsid w:val="00932FEA"/>
    <w:rsid w:val="009338DC"/>
    <w:rsid w:val="009340A5"/>
    <w:rsid w:val="0093410D"/>
    <w:rsid w:val="0093484D"/>
    <w:rsid w:val="00934915"/>
    <w:rsid w:val="00934F95"/>
    <w:rsid w:val="00935C75"/>
    <w:rsid w:val="00935F63"/>
    <w:rsid w:val="0093619B"/>
    <w:rsid w:val="00936972"/>
    <w:rsid w:val="00936B1E"/>
    <w:rsid w:val="00937A76"/>
    <w:rsid w:val="00940EA1"/>
    <w:rsid w:val="009415D7"/>
    <w:rsid w:val="00941B2F"/>
    <w:rsid w:val="00941D39"/>
    <w:rsid w:val="0094204B"/>
    <w:rsid w:val="00942250"/>
    <w:rsid w:val="00942484"/>
    <w:rsid w:val="00942A33"/>
    <w:rsid w:val="00942CA0"/>
    <w:rsid w:val="00943F21"/>
    <w:rsid w:val="00945FE5"/>
    <w:rsid w:val="00946786"/>
    <w:rsid w:val="00947793"/>
    <w:rsid w:val="009500D8"/>
    <w:rsid w:val="009501AD"/>
    <w:rsid w:val="009510D5"/>
    <w:rsid w:val="0095155A"/>
    <w:rsid w:val="00951589"/>
    <w:rsid w:val="00952158"/>
    <w:rsid w:val="0095235D"/>
    <w:rsid w:val="009528ED"/>
    <w:rsid w:val="00952E24"/>
    <w:rsid w:val="00953A71"/>
    <w:rsid w:val="00953E97"/>
    <w:rsid w:val="009546E4"/>
    <w:rsid w:val="00954840"/>
    <w:rsid w:val="0095533C"/>
    <w:rsid w:val="00956681"/>
    <w:rsid w:val="00956DB6"/>
    <w:rsid w:val="00956E74"/>
    <w:rsid w:val="0095744B"/>
    <w:rsid w:val="009574B1"/>
    <w:rsid w:val="009574B8"/>
    <w:rsid w:val="009575F7"/>
    <w:rsid w:val="00957A75"/>
    <w:rsid w:val="00960881"/>
    <w:rsid w:val="009611EB"/>
    <w:rsid w:val="00961844"/>
    <w:rsid w:val="00962883"/>
    <w:rsid w:val="009628F4"/>
    <w:rsid w:val="00962A6E"/>
    <w:rsid w:val="00963648"/>
    <w:rsid w:val="009638A2"/>
    <w:rsid w:val="0096390F"/>
    <w:rsid w:val="00963926"/>
    <w:rsid w:val="009643F8"/>
    <w:rsid w:val="00964EF9"/>
    <w:rsid w:val="00965099"/>
    <w:rsid w:val="00965295"/>
    <w:rsid w:val="00965355"/>
    <w:rsid w:val="00965E7E"/>
    <w:rsid w:val="00966A5E"/>
    <w:rsid w:val="00966D14"/>
    <w:rsid w:val="009703FE"/>
    <w:rsid w:val="00970D69"/>
    <w:rsid w:val="0097168A"/>
    <w:rsid w:val="00971720"/>
    <w:rsid w:val="0097188E"/>
    <w:rsid w:val="00972125"/>
    <w:rsid w:val="00972686"/>
    <w:rsid w:val="0097278D"/>
    <w:rsid w:val="00973878"/>
    <w:rsid w:val="00973B7B"/>
    <w:rsid w:val="009746EF"/>
    <w:rsid w:val="00974FC3"/>
    <w:rsid w:val="00974FF0"/>
    <w:rsid w:val="009752E1"/>
    <w:rsid w:val="009758BD"/>
    <w:rsid w:val="0097662F"/>
    <w:rsid w:val="009766A1"/>
    <w:rsid w:val="00976FE8"/>
    <w:rsid w:val="009772D5"/>
    <w:rsid w:val="0097777C"/>
    <w:rsid w:val="00977A2A"/>
    <w:rsid w:val="009802DE"/>
    <w:rsid w:val="00980314"/>
    <w:rsid w:val="00980335"/>
    <w:rsid w:val="00980E5F"/>
    <w:rsid w:val="00981BB3"/>
    <w:rsid w:val="00981D76"/>
    <w:rsid w:val="009833FC"/>
    <w:rsid w:val="00983511"/>
    <w:rsid w:val="00984753"/>
    <w:rsid w:val="0098475C"/>
    <w:rsid w:val="00985299"/>
    <w:rsid w:val="00985B63"/>
    <w:rsid w:val="00986109"/>
    <w:rsid w:val="009867CA"/>
    <w:rsid w:val="0098696C"/>
    <w:rsid w:val="00986C82"/>
    <w:rsid w:val="009900E7"/>
    <w:rsid w:val="009900F8"/>
    <w:rsid w:val="009903C1"/>
    <w:rsid w:val="009912C3"/>
    <w:rsid w:val="009912F8"/>
    <w:rsid w:val="009919CD"/>
    <w:rsid w:val="00991EC9"/>
    <w:rsid w:val="00993185"/>
    <w:rsid w:val="009943AB"/>
    <w:rsid w:val="009947F3"/>
    <w:rsid w:val="009950D6"/>
    <w:rsid w:val="00995BAB"/>
    <w:rsid w:val="00995CDF"/>
    <w:rsid w:val="00996361"/>
    <w:rsid w:val="009967EA"/>
    <w:rsid w:val="00996AE0"/>
    <w:rsid w:val="00997C8D"/>
    <w:rsid w:val="00997F30"/>
    <w:rsid w:val="009A12F5"/>
    <w:rsid w:val="009A2019"/>
    <w:rsid w:val="009A20BF"/>
    <w:rsid w:val="009A2816"/>
    <w:rsid w:val="009A3482"/>
    <w:rsid w:val="009A3B8C"/>
    <w:rsid w:val="009A4432"/>
    <w:rsid w:val="009A4B34"/>
    <w:rsid w:val="009A53CC"/>
    <w:rsid w:val="009A6E0D"/>
    <w:rsid w:val="009A6E2C"/>
    <w:rsid w:val="009A6F8D"/>
    <w:rsid w:val="009A71D7"/>
    <w:rsid w:val="009A7A29"/>
    <w:rsid w:val="009B0771"/>
    <w:rsid w:val="009B2435"/>
    <w:rsid w:val="009B2BFB"/>
    <w:rsid w:val="009B369B"/>
    <w:rsid w:val="009B69EA"/>
    <w:rsid w:val="009B6F31"/>
    <w:rsid w:val="009B79AB"/>
    <w:rsid w:val="009B7C79"/>
    <w:rsid w:val="009B7DE3"/>
    <w:rsid w:val="009B7ED9"/>
    <w:rsid w:val="009C0DBF"/>
    <w:rsid w:val="009C1C02"/>
    <w:rsid w:val="009C1C5E"/>
    <w:rsid w:val="009C1FC1"/>
    <w:rsid w:val="009C2166"/>
    <w:rsid w:val="009C22C2"/>
    <w:rsid w:val="009C33B6"/>
    <w:rsid w:val="009C3426"/>
    <w:rsid w:val="009C4EA7"/>
    <w:rsid w:val="009C5C6D"/>
    <w:rsid w:val="009C5D6B"/>
    <w:rsid w:val="009C60B1"/>
    <w:rsid w:val="009C653B"/>
    <w:rsid w:val="009C6761"/>
    <w:rsid w:val="009C6E8C"/>
    <w:rsid w:val="009C737A"/>
    <w:rsid w:val="009C75D9"/>
    <w:rsid w:val="009D0375"/>
    <w:rsid w:val="009D1359"/>
    <w:rsid w:val="009D1A5B"/>
    <w:rsid w:val="009D216C"/>
    <w:rsid w:val="009D2400"/>
    <w:rsid w:val="009D2AA8"/>
    <w:rsid w:val="009D30EF"/>
    <w:rsid w:val="009D3B15"/>
    <w:rsid w:val="009D5186"/>
    <w:rsid w:val="009D60F5"/>
    <w:rsid w:val="009D6253"/>
    <w:rsid w:val="009D65C4"/>
    <w:rsid w:val="009D6690"/>
    <w:rsid w:val="009D699C"/>
    <w:rsid w:val="009D6C46"/>
    <w:rsid w:val="009D6C67"/>
    <w:rsid w:val="009D6D46"/>
    <w:rsid w:val="009D6F32"/>
    <w:rsid w:val="009D6F6C"/>
    <w:rsid w:val="009D72AA"/>
    <w:rsid w:val="009E0426"/>
    <w:rsid w:val="009E0877"/>
    <w:rsid w:val="009E097B"/>
    <w:rsid w:val="009E0E13"/>
    <w:rsid w:val="009E0E9B"/>
    <w:rsid w:val="009E0FE7"/>
    <w:rsid w:val="009E10CE"/>
    <w:rsid w:val="009E1445"/>
    <w:rsid w:val="009E2081"/>
    <w:rsid w:val="009E27D9"/>
    <w:rsid w:val="009E2A9A"/>
    <w:rsid w:val="009E341E"/>
    <w:rsid w:val="009E3E65"/>
    <w:rsid w:val="009E500C"/>
    <w:rsid w:val="009E5085"/>
    <w:rsid w:val="009E5549"/>
    <w:rsid w:val="009E574E"/>
    <w:rsid w:val="009E6013"/>
    <w:rsid w:val="009E6055"/>
    <w:rsid w:val="009E61EC"/>
    <w:rsid w:val="009E6A75"/>
    <w:rsid w:val="009E6AE1"/>
    <w:rsid w:val="009E6CFF"/>
    <w:rsid w:val="009F0858"/>
    <w:rsid w:val="009F12D8"/>
    <w:rsid w:val="009F148D"/>
    <w:rsid w:val="009F1782"/>
    <w:rsid w:val="009F1848"/>
    <w:rsid w:val="009F1D73"/>
    <w:rsid w:val="009F1EE0"/>
    <w:rsid w:val="009F29A2"/>
    <w:rsid w:val="009F3453"/>
    <w:rsid w:val="009F3777"/>
    <w:rsid w:val="009F385C"/>
    <w:rsid w:val="009F39B4"/>
    <w:rsid w:val="009F3EDC"/>
    <w:rsid w:val="009F4774"/>
    <w:rsid w:val="009F4F6F"/>
    <w:rsid w:val="009F747A"/>
    <w:rsid w:val="00A005A9"/>
    <w:rsid w:val="00A0112F"/>
    <w:rsid w:val="00A0220F"/>
    <w:rsid w:val="00A0286E"/>
    <w:rsid w:val="00A02A7F"/>
    <w:rsid w:val="00A02BBF"/>
    <w:rsid w:val="00A02C9E"/>
    <w:rsid w:val="00A02F5E"/>
    <w:rsid w:val="00A02FDE"/>
    <w:rsid w:val="00A04747"/>
    <w:rsid w:val="00A048F9"/>
    <w:rsid w:val="00A04C65"/>
    <w:rsid w:val="00A04F70"/>
    <w:rsid w:val="00A0527F"/>
    <w:rsid w:val="00A0542C"/>
    <w:rsid w:val="00A05C13"/>
    <w:rsid w:val="00A065B7"/>
    <w:rsid w:val="00A069DF"/>
    <w:rsid w:val="00A070A9"/>
    <w:rsid w:val="00A07699"/>
    <w:rsid w:val="00A102B9"/>
    <w:rsid w:val="00A10477"/>
    <w:rsid w:val="00A105AA"/>
    <w:rsid w:val="00A1142A"/>
    <w:rsid w:val="00A1164C"/>
    <w:rsid w:val="00A11871"/>
    <w:rsid w:val="00A12645"/>
    <w:rsid w:val="00A127FB"/>
    <w:rsid w:val="00A128BF"/>
    <w:rsid w:val="00A13646"/>
    <w:rsid w:val="00A13805"/>
    <w:rsid w:val="00A14726"/>
    <w:rsid w:val="00A14785"/>
    <w:rsid w:val="00A15023"/>
    <w:rsid w:val="00A1619C"/>
    <w:rsid w:val="00A20682"/>
    <w:rsid w:val="00A20801"/>
    <w:rsid w:val="00A21F7C"/>
    <w:rsid w:val="00A222A6"/>
    <w:rsid w:val="00A23749"/>
    <w:rsid w:val="00A23F80"/>
    <w:rsid w:val="00A24F59"/>
    <w:rsid w:val="00A25265"/>
    <w:rsid w:val="00A2570F"/>
    <w:rsid w:val="00A25E8E"/>
    <w:rsid w:val="00A276A3"/>
    <w:rsid w:val="00A2794D"/>
    <w:rsid w:val="00A312A9"/>
    <w:rsid w:val="00A3257D"/>
    <w:rsid w:val="00A32729"/>
    <w:rsid w:val="00A329F9"/>
    <w:rsid w:val="00A34145"/>
    <w:rsid w:val="00A34A53"/>
    <w:rsid w:val="00A34E5A"/>
    <w:rsid w:val="00A354E7"/>
    <w:rsid w:val="00A360CB"/>
    <w:rsid w:val="00A36136"/>
    <w:rsid w:val="00A362F3"/>
    <w:rsid w:val="00A36DB6"/>
    <w:rsid w:val="00A36F65"/>
    <w:rsid w:val="00A4116B"/>
    <w:rsid w:val="00A41170"/>
    <w:rsid w:val="00A415F6"/>
    <w:rsid w:val="00A419D4"/>
    <w:rsid w:val="00A41A1F"/>
    <w:rsid w:val="00A41B99"/>
    <w:rsid w:val="00A427CA"/>
    <w:rsid w:val="00A4425C"/>
    <w:rsid w:val="00A443CE"/>
    <w:rsid w:val="00A443FA"/>
    <w:rsid w:val="00A444C8"/>
    <w:rsid w:val="00A44503"/>
    <w:rsid w:val="00A455D3"/>
    <w:rsid w:val="00A46316"/>
    <w:rsid w:val="00A467C4"/>
    <w:rsid w:val="00A46A97"/>
    <w:rsid w:val="00A46A98"/>
    <w:rsid w:val="00A47070"/>
    <w:rsid w:val="00A47490"/>
    <w:rsid w:val="00A476AD"/>
    <w:rsid w:val="00A523FB"/>
    <w:rsid w:val="00A546DF"/>
    <w:rsid w:val="00A54C2B"/>
    <w:rsid w:val="00A55088"/>
    <w:rsid w:val="00A554D2"/>
    <w:rsid w:val="00A55608"/>
    <w:rsid w:val="00A55621"/>
    <w:rsid w:val="00A55CD8"/>
    <w:rsid w:val="00A561E6"/>
    <w:rsid w:val="00A567AD"/>
    <w:rsid w:val="00A56A00"/>
    <w:rsid w:val="00A576A5"/>
    <w:rsid w:val="00A57764"/>
    <w:rsid w:val="00A60FEA"/>
    <w:rsid w:val="00A61B28"/>
    <w:rsid w:val="00A61D87"/>
    <w:rsid w:val="00A62041"/>
    <w:rsid w:val="00A627B7"/>
    <w:rsid w:val="00A6280E"/>
    <w:rsid w:val="00A62958"/>
    <w:rsid w:val="00A62CAC"/>
    <w:rsid w:val="00A62EB2"/>
    <w:rsid w:val="00A63408"/>
    <w:rsid w:val="00A646B9"/>
    <w:rsid w:val="00A64A43"/>
    <w:rsid w:val="00A6534D"/>
    <w:rsid w:val="00A662E1"/>
    <w:rsid w:val="00A66365"/>
    <w:rsid w:val="00A66948"/>
    <w:rsid w:val="00A67981"/>
    <w:rsid w:val="00A70528"/>
    <w:rsid w:val="00A70546"/>
    <w:rsid w:val="00A70E3C"/>
    <w:rsid w:val="00A7158D"/>
    <w:rsid w:val="00A71DDF"/>
    <w:rsid w:val="00A72F63"/>
    <w:rsid w:val="00A731E4"/>
    <w:rsid w:val="00A73669"/>
    <w:rsid w:val="00A73A2B"/>
    <w:rsid w:val="00A74CCC"/>
    <w:rsid w:val="00A76C7D"/>
    <w:rsid w:val="00A77601"/>
    <w:rsid w:val="00A77BDD"/>
    <w:rsid w:val="00A80386"/>
    <w:rsid w:val="00A8093A"/>
    <w:rsid w:val="00A81B01"/>
    <w:rsid w:val="00A82FF4"/>
    <w:rsid w:val="00A83049"/>
    <w:rsid w:val="00A85B9B"/>
    <w:rsid w:val="00A8666E"/>
    <w:rsid w:val="00A873EB"/>
    <w:rsid w:val="00A878F5"/>
    <w:rsid w:val="00A90561"/>
    <w:rsid w:val="00A9170B"/>
    <w:rsid w:val="00A91923"/>
    <w:rsid w:val="00A91FDA"/>
    <w:rsid w:val="00A92017"/>
    <w:rsid w:val="00A921FD"/>
    <w:rsid w:val="00A930A9"/>
    <w:rsid w:val="00A931FB"/>
    <w:rsid w:val="00A934E0"/>
    <w:rsid w:val="00A93A16"/>
    <w:rsid w:val="00A94223"/>
    <w:rsid w:val="00A944EC"/>
    <w:rsid w:val="00A946B4"/>
    <w:rsid w:val="00A94AA2"/>
    <w:rsid w:val="00A94D68"/>
    <w:rsid w:val="00A95F58"/>
    <w:rsid w:val="00A95F8F"/>
    <w:rsid w:val="00A96612"/>
    <w:rsid w:val="00A96C3E"/>
    <w:rsid w:val="00A9721B"/>
    <w:rsid w:val="00AA0184"/>
    <w:rsid w:val="00AA126D"/>
    <w:rsid w:val="00AA12D7"/>
    <w:rsid w:val="00AA261E"/>
    <w:rsid w:val="00AA2938"/>
    <w:rsid w:val="00AA32B0"/>
    <w:rsid w:val="00AA4496"/>
    <w:rsid w:val="00AA4D8B"/>
    <w:rsid w:val="00AA52AD"/>
    <w:rsid w:val="00AA5379"/>
    <w:rsid w:val="00AA5B97"/>
    <w:rsid w:val="00AA5DDB"/>
    <w:rsid w:val="00AA5EB0"/>
    <w:rsid w:val="00AA614A"/>
    <w:rsid w:val="00AA6261"/>
    <w:rsid w:val="00AA6414"/>
    <w:rsid w:val="00AA65F1"/>
    <w:rsid w:val="00AA68CD"/>
    <w:rsid w:val="00AA7252"/>
    <w:rsid w:val="00AA7677"/>
    <w:rsid w:val="00AA798A"/>
    <w:rsid w:val="00AA7A29"/>
    <w:rsid w:val="00AA7E32"/>
    <w:rsid w:val="00AB00B8"/>
    <w:rsid w:val="00AB0EA3"/>
    <w:rsid w:val="00AB27BA"/>
    <w:rsid w:val="00AB28D3"/>
    <w:rsid w:val="00AB327F"/>
    <w:rsid w:val="00AB32EB"/>
    <w:rsid w:val="00AB386E"/>
    <w:rsid w:val="00AB3FDA"/>
    <w:rsid w:val="00AB4DF2"/>
    <w:rsid w:val="00AB5CA1"/>
    <w:rsid w:val="00AB62D2"/>
    <w:rsid w:val="00AB66EA"/>
    <w:rsid w:val="00AB6913"/>
    <w:rsid w:val="00AB6F55"/>
    <w:rsid w:val="00AB6F97"/>
    <w:rsid w:val="00AB76BB"/>
    <w:rsid w:val="00AB7848"/>
    <w:rsid w:val="00AB7DD5"/>
    <w:rsid w:val="00AC0421"/>
    <w:rsid w:val="00AC1314"/>
    <w:rsid w:val="00AC14AB"/>
    <w:rsid w:val="00AC16D9"/>
    <w:rsid w:val="00AC2470"/>
    <w:rsid w:val="00AC3048"/>
    <w:rsid w:val="00AC33B8"/>
    <w:rsid w:val="00AC3AB3"/>
    <w:rsid w:val="00AC412A"/>
    <w:rsid w:val="00AC44FC"/>
    <w:rsid w:val="00AC480E"/>
    <w:rsid w:val="00AC48A6"/>
    <w:rsid w:val="00AC4CEB"/>
    <w:rsid w:val="00AC5B41"/>
    <w:rsid w:val="00AC69DA"/>
    <w:rsid w:val="00AC746A"/>
    <w:rsid w:val="00AD0BB6"/>
    <w:rsid w:val="00AD0F57"/>
    <w:rsid w:val="00AD23D0"/>
    <w:rsid w:val="00AD298E"/>
    <w:rsid w:val="00AD2D22"/>
    <w:rsid w:val="00AD48E5"/>
    <w:rsid w:val="00AD4ED7"/>
    <w:rsid w:val="00AD4EDE"/>
    <w:rsid w:val="00AD5C87"/>
    <w:rsid w:val="00AD6384"/>
    <w:rsid w:val="00AD6BB9"/>
    <w:rsid w:val="00AD6DB9"/>
    <w:rsid w:val="00AD7A75"/>
    <w:rsid w:val="00AE01EC"/>
    <w:rsid w:val="00AE271F"/>
    <w:rsid w:val="00AE2C45"/>
    <w:rsid w:val="00AE2E75"/>
    <w:rsid w:val="00AE3878"/>
    <w:rsid w:val="00AE42AA"/>
    <w:rsid w:val="00AE4394"/>
    <w:rsid w:val="00AE4C79"/>
    <w:rsid w:val="00AE4E2E"/>
    <w:rsid w:val="00AE5668"/>
    <w:rsid w:val="00AE6AA8"/>
    <w:rsid w:val="00AE7DC2"/>
    <w:rsid w:val="00AE7E7F"/>
    <w:rsid w:val="00AF0B4E"/>
    <w:rsid w:val="00AF0D6C"/>
    <w:rsid w:val="00AF149F"/>
    <w:rsid w:val="00AF204F"/>
    <w:rsid w:val="00AF2326"/>
    <w:rsid w:val="00AF2767"/>
    <w:rsid w:val="00AF28B7"/>
    <w:rsid w:val="00AF29CC"/>
    <w:rsid w:val="00AF33C7"/>
    <w:rsid w:val="00AF33D7"/>
    <w:rsid w:val="00AF361F"/>
    <w:rsid w:val="00AF3A9B"/>
    <w:rsid w:val="00AF3BA5"/>
    <w:rsid w:val="00AF47E7"/>
    <w:rsid w:val="00AF7326"/>
    <w:rsid w:val="00AF7DC7"/>
    <w:rsid w:val="00B00280"/>
    <w:rsid w:val="00B007FD"/>
    <w:rsid w:val="00B010DD"/>
    <w:rsid w:val="00B01240"/>
    <w:rsid w:val="00B02581"/>
    <w:rsid w:val="00B027FC"/>
    <w:rsid w:val="00B0284D"/>
    <w:rsid w:val="00B029D3"/>
    <w:rsid w:val="00B03170"/>
    <w:rsid w:val="00B03414"/>
    <w:rsid w:val="00B04A59"/>
    <w:rsid w:val="00B04E42"/>
    <w:rsid w:val="00B06252"/>
    <w:rsid w:val="00B06992"/>
    <w:rsid w:val="00B07C99"/>
    <w:rsid w:val="00B101EC"/>
    <w:rsid w:val="00B105D8"/>
    <w:rsid w:val="00B1118B"/>
    <w:rsid w:val="00B1198E"/>
    <w:rsid w:val="00B12A69"/>
    <w:rsid w:val="00B12DB6"/>
    <w:rsid w:val="00B13A25"/>
    <w:rsid w:val="00B13B2B"/>
    <w:rsid w:val="00B14042"/>
    <w:rsid w:val="00B1453F"/>
    <w:rsid w:val="00B15268"/>
    <w:rsid w:val="00B15D6E"/>
    <w:rsid w:val="00B174DC"/>
    <w:rsid w:val="00B17AFA"/>
    <w:rsid w:val="00B17BAD"/>
    <w:rsid w:val="00B2044A"/>
    <w:rsid w:val="00B20E11"/>
    <w:rsid w:val="00B21439"/>
    <w:rsid w:val="00B219B4"/>
    <w:rsid w:val="00B21E1C"/>
    <w:rsid w:val="00B2230E"/>
    <w:rsid w:val="00B2268D"/>
    <w:rsid w:val="00B22D68"/>
    <w:rsid w:val="00B22D96"/>
    <w:rsid w:val="00B24215"/>
    <w:rsid w:val="00B24D08"/>
    <w:rsid w:val="00B2563C"/>
    <w:rsid w:val="00B25C3A"/>
    <w:rsid w:val="00B261F1"/>
    <w:rsid w:val="00B2621E"/>
    <w:rsid w:val="00B26A25"/>
    <w:rsid w:val="00B26E47"/>
    <w:rsid w:val="00B272FF"/>
    <w:rsid w:val="00B278FE"/>
    <w:rsid w:val="00B301B7"/>
    <w:rsid w:val="00B30264"/>
    <w:rsid w:val="00B30AD8"/>
    <w:rsid w:val="00B31AAA"/>
    <w:rsid w:val="00B31E12"/>
    <w:rsid w:val="00B34031"/>
    <w:rsid w:val="00B35657"/>
    <w:rsid w:val="00B3614C"/>
    <w:rsid w:val="00B36360"/>
    <w:rsid w:val="00B37785"/>
    <w:rsid w:val="00B37B5C"/>
    <w:rsid w:val="00B37C53"/>
    <w:rsid w:val="00B4025A"/>
    <w:rsid w:val="00B41563"/>
    <w:rsid w:val="00B41E69"/>
    <w:rsid w:val="00B42733"/>
    <w:rsid w:val="00B43256"/>
    <w:rsid w:val="00B43DE6"/>
    <w:rsid w:val="00B4403D"/>
    <w:rsid w:val="00B44EED"/>
    <w:rsid w:val="00B4589C"/>
    <w:rsid w:val="00B463A0"/>
    <w:rsid w:val="00B473CC"/>
    <w:rsid w:val="00B47B53"/>
    <w:rsid w:val="00B505ED"/>
    <w:rsid w:val="00B509D8"/>
    <w:rsid w:val="00B50BB6"/>
    <w:rsid w:val="00B52E91"/>
    <w:rsid w:val="00B52F54"/>
    <w:rsid w:val="00B536CC"/>
    <w:rsid w:val="00B53A21"/>
    <w:rsid w:val="00B53C69"/>
    <w:rsid w:val="00B53CB9"/>
    <w:rsid w:val="00B54595"/>
    <w:rsid w:val="00B54972"/>
    <w:rsid w:val="00B54EFD"/>
    <w:rsid w:val="00B550DC"/>
    <w:rsid w:val="00B56299"/>
    <w:rsid w:val="00B562D7"/>
    <w:rsid w:val="00B564CC"/>
    <w:rsid w:val="00B5684A"/>
    <w:rsid w:val="00B56A1D"/>
    <w:rsid w:val="00B577C5"/>
    <w:rsid w:val="00B57946"/>
    <w:rsid w:val="00B6096E"/>
    <w:rsid w:val="00B6204B"/>
    <w:rsid w:val="00B6220B"/>
    <w:rsid w:val="00B62432"/>
    <w:rsid w:val="00B627CC"/>
    <w:rsid w:val="00B633EB"/>
    <w:rsid w:val="00B64295"/>
    <w:rsid w:val="00B64B80"/>
    <w:rsid w:val="00B656EF"/>
    <w:rsid w:val="00B65DE0"/>
    <w:rsid w:val="00B66AB2"/>
    <w:rsid w:val="00B6771E"/>
    <w:rsid w:val="00B6773A"/>
    <w:rsid w:val="00B702C2"/>
    <w:rsid w:val="00B7212F"/>
    <w:rsid w:val="00B727E3"/>
    <w:rsid w:val="00B73131"/>
    <w:rsid w:val="00B763D9"/>
    <w:rsid w:val="00B77531"/>
    <w:rsid w:val="00B778F3"/>
    <w:rsid w:val="00B77B71"/>
    <w:rsid w:val="00B77F7D"/>
    <w:rsid w:val="00B809DE"/>
    <w:rsid w:val="00B80AA8"/>
    <w:rsid w:val="00B81551"/>
    <w:rsid w:val="00B81D8F"/>
    <w:rsid w:val="00B81F26"/>
    <w:rsid w:val="00B823E3"/>
    <w:rsid w:val="00B82880"/>
    <w:rsid w:val="00B829CA"/>
    <w:rsid w:val="00B82C6C"/>
    <w:rsid w:val="00B83114"/>
    <w:rsid w:val="00B83BE1"/>
    <w:rsid w:val="00B847B0"/>
    <w:rsid w:val="00B85328"/>
    <w:rsid w:val="00B86190"/>
    <w:rsid w:val="00B863F8"/>
    <w:rsid w:val="00B865D5"/>
    <w:rsid w:val="00B867E0"/>
    <w:rsid w:val="00B86EEE"/>
    <w:rsid w:val="00B906C0"/>
    <w:rsid w:val="00B908D9"/>
    <w:rsid w:val="00B90D50"/>
    <w:rsid w:val="00B90DA4"/>
    <w:rsid w:val="00B90E41"/>
    <w:rsid w:val="00B91F3F"/>
    <w:rsid w:val="00B91F98"/>
    <w:rsid w:val="00B92543"/>
    <w:rsid w:val="00B9298F"/>
    <w:rsid w:val="00B93A78"/>
    <w:rsid w:val="00B93BEC"/>
    <w:rsid w:val="00B9414C"/>
    <w:rsid w:val="00B94DEC"/>
    <w:rsid w:val="00B95385"/>
    <w:rsid w:val="00B954C5"/>
    <w:rsid w:val="00B95F9B"/>
    <w:rsid w:val="00B96B0E"/>
    <w:rsid w:val="00B96BAA"/>
    <w:rsid w:val="00B970E9"/>
    <w:rsid w:val="00B97261"/>
    <w:rsid w:val="00BA03F8"/>
    <w:rsid w:val="00BA24DA"/>
    <w:rsid w:val="00BA2899"/>
    <w:rsid w:val="00BA2BB3"/>
    <w:rsid w:val="00BA38FE"/>
    <w:rsid w:val="00BA4B9A"/>
    <w:rsid w:val="00BA548C"/>
    <w:rsid w:val="00BA5E7D"/>
    <w:rsid w:val="00BA6666"/>
    <w:rsid w:val="00BA67D1"/>
    <w:rsid w:val="00BA6BA5"/>
    <w:rsid w:val="00BA6CFD"/>
    <w:rsid w:val="00BA7C83"/>
    <w:rsid w:val="00BA7CE4"/>
    <w:rsid w:val="00BB0069"/>
    <w:rsid w:val="00BB0D59"/>
    <w:rsid w:val="00BB0FAE"/>
    <w:rsid w:val="00BB1261"/>
    <w:rsid w:val="00BB294E"/>
    <w:rsid w:val="00BB3091"/>
    <w:rsid w:val="00BB3119"/>
    <w:rsid w:val="00BB3933"/>
    <w:rsid w:val="00BB3AA8"/>
    <w:rsid w:val="00BB4522"/>
    <w:rsid w:val="00BB5173"/>
    <w:rsid w:val="00BB5350"/>
    <w:rsid w:val="00BB5934"/>
    <w:rsid w:val="00BB6595"/>
    <w:rsid w:val="00BB6660"/>
    <w:rsid w:val="00BB70AA"/>
    <w:rsid w:val="00BB72B5"/>
    <w:rsid w:val="00BB7DE5"/>
    <w:rsid w:val="00BC0C94"/>
    <w:rsid w:val="00BC1168"/>
    <w:rsid w:val="00BC17EA"/>
    <w:rsid w:val="00BC2AA2"/>
    <w:rsid w:val="00BC2EDB"/>
    <w:rsid w:val="00BC3011"/>
    <w:rsid w:val="00BC307A"/>
    <w:rsid w:val="00BC4BE6"/>
    <w:rsid w:val="00BC5608"/>
    <w:rsid w:val="00BC5904"/>
    <w:rsid w:val="00BC69D8"/>
    <w:rsid w:val="00BC6D4A"/>
    <w:rsid w:val="00BC6FD6"/>
    <w:rsid w:val="00BC794C"/>
    <w:rsid w:val="00BC7B99"/>
    <w:rsid w:val="00BD0118"/>
    <w:rsid w:val="00BD083C"/>
    <w:rsid w:val="00BD12CE"/>
    <w:rsid w:val="00BD1656"/>
    <w:rsid w:val="00BD2A5E"/>
    <w:rsid w:val="00BD2EDC"/>
    <w:rsid w:val="00BD2EFD"/>
    <w:rsid w:val="00BD3324"/>
    <w:rsid w:val="00BD3A45"/>
    <w:rsid w:val="00BD3BC0"/>
    <w:rsid w:val="00BD4AD0"/>
    <w:rsid w:val="00BD4D98"/>
    <w:rsid w:val="00BD4E33"/>
    <w:rsid w:val="00BD561E"/>
    <w:rsid w:val="00BD5735"/>
    <w:rsid w:val="00BD6664"/>
    <w:rsid w:val="00BD6D3D"/>
    <w:rsid w:val="00BD6E78"/>
    <w:rsid w:val="00BD6EC8"/>
    <w:rsid w:val="00BD6F70"/>
    <w:rsid w:val="00BE1618"/>
    <w:rsid w:val="00BE1C76"/>
    <w:rsid w:val="00BE2824"/>
    <w:rsid w:val="00BE3091"/>
    <w:rsid w:val="00BE3657"/>
    <w:rsid w:val="00BE4114"/>
    <w:rsid w:val="00BE4519"/>
    <w:rsid w:val="00BE507A"/>
    <w:rsid w:val="00BE5AFF"/>
    <w:rsid w:val="00BE6A9A"/>
    <w:rsid w:val="00BE76AE"/>
    <w:rsid w:val="00BE78ED"/>
    <w:rsid w:val="00BE7CFA"/>
    <w:rsid w:val="00BF143F"/>
    <w:rsid w:val="00BF1FAB"/>
    <w:rsid w:val="00BF2084"/>
    <w:rsid w:val="00BF21B6"/>
    <w:rsid w:val="00BF271C"/>
    <w:rsid w:val="00BF3319"/>
    <w:rsid w:val="00BF3376"/>
    <w:rsid w:val="00BF3A8A"/>
    <w:rsid w:val="00BF40CD"/>
    <w:rsid w:val="00BF41DB"/>
    <w:rsid w:val="00BF596A"/>
    <w:rsid w:val="00BF5D1C"/>
    <w:rsid w:val="00BF611D"/>
    <w:rsid w:val="00BF624B"/>
    <w:rsid w:val="00BF65C1"/>
    <w:rsid w:val="00BF69AD"/>
    <w:rsid w:val="00BF7F32"/>
    <w:rsid w:val="00C0054B"/>
    <w:rsid w:val="00C006D1"/>
    <w:rsid w:val="00C007A1"/>
    <w:rsid w:val="00C00F2F"/>
    <w:rsid w:val="00C02978"/>
    <w:rsid w:val="00C03508"/>
    <w:rsid w:val="00C03684"/>
    <w:rsid w:val="00C03A94"/>
    <w:rsid w:val="00C050D9"/>
    <w:rsid w:val="00C055B1"/>
    <w:rsid w:val="00C05A9B"/>
    <w:rsid w:val="00C05DBB"/>
    <w:rsid w:val="00C05EBD"/>
    <w:rsid w:val="00C0615B"/>
    <w:rsid w:val="00C06E75"/>
    <w:rsid w:val="00C07076"/>
    <w:rsid w:val="00C07963"/>
    <w:rsid w:val="00C07B0C"/>
    <w:rsid w:val="00C07B9B"/>
    <w:rsid w:val="00C103D4"/>
    <w:rsid w:val="00C110C9"/>
    <w:rsid w:val="00C117F2"/>
    <w:rsid w:val="00C129CE"/>
    <w:rsid w:val="00C133EF"/>
    <w:rsid w:val="00C1375F"/>
    <w:rsid w:val="00C13852"/>
    <w:rsid w:val="00C13973"/>
    <w:rsid w:val="00C13A13"/>
    <w:rsid w:val="00C15000"/>
    <w:rsid w:val="00C15793"/>
    <w:rsid w:val="00C15D33"/>
    <w:rsid w:val="00C1633D"/>
    <w:rsid w:val="00C16461"/>
    <w:rsid w:val="00C166B7"/>
    <w:rsid w:val="00C16992"/>
    <w:rsid w:val="00C17646"/>
    <w:rsid w:val="00C17C60"/>
    <w:rsid w:val="00C20DB2"/>
    <w:rsid w:val="00C22B33"/>
    <w:rsid w:val="00C23549"/>
    <w:rsid w:val="00C23FD0"/>
    <w:rsid w:val="00C244C4"/>
    <w:rsid w:val="00C2474A"/>
    <w:rsid w:val="00C249DF"/>
    <w:rsid w:val="00C25B05"/>
    <w:rsid w:val="00C266EB"/>
    <w:rsid w:val="00C26BED"/>
    <w:rsid w:val="00C2715A"/>
    <w:rsid w:val="00C27280"/>
    <w:rsid w:val="00C27B1F"/>
    <w:rsid w:val="00C30009"/>
    <w:rsid w:val="00C305FF"/>
    <w:rsid w:val="00C30C21"/>
    <w:rsid w:val="00C31361"/>
    <w:rsid w:val="00C31F5C"/>
    <w:rsid w:val="00C31FAD"/>
    <w:rsid w:val="00C32F75"/>
    <w:rsid w:val="00C335D7"/>
    <w:rsid w:val="00C33716"/>
    <w:rsid w:val="00C33FDF"/>
    <w:rsid w:val="00C34A70"/>
    <w:rsid w:val="00C34A7A"/>
    <w:rsid w:val="00C34D99"/>
    <w:rsid w:val="00C35BAE"/>
    <w:rsid w:val="00C36926"/>
    <w:rsid w:val="00C40F67"/>
    <w:rsid w:val="00C430FE"/>
    <w:rsid w:val="00C43754"/>
    <w:rsid w:val="00C443D1"/>
    <w:rsid w:val="00C4508E"/>
    <w:rsid w:val="00C4524D"/>
    <w:rsid w:val="00C503AE"/>
    <w:rsid w:val="00C5065F"/>
    <w:rsid w:val="00C50CF6"/>
    <w:rsid w:val="00C50F25"/>
    <w:rsid w:val="00C521C1"/>
    <w:rsid w:val="00C52602"/>
    <w:rsid w:val="00C52B1C"/>
    <w:rsid w:val="00C53C1D"/>
    <w:rsid w:val="00C5489D"/>
    <w:rsid w:val="00C54B55"/>
    <w:rsid w:val="00C55354"/>
    <w:rsid w:val="00C554F6"/>
    <w:rsid w:val="00C5616E"/>
    <w:rsid w:val="00C56892"/>
    <w:rsid w:val="00C56D70"/>
    <w:rsid w:val="00C604B8"/>
    <w:rsid w:val="00C60C2E"/>
    <w:rsid w:val="00C62730"/>
    <w:rsid w:val="00C631D2"/>
    <w:rsid w:val="00C63A43"/>
    <w:rsid w:val="00C649ED"/>
    <w:rsid w:val="00C64EA9"/>
    <w:rsid w:val="00C65317"/>
    <w:rsid w:val="00C6551B"/>
    <w:rsid w:val="00C6606A"/>
    <w:rsid w:val="00C66339"/>
    <w:rsid w:val="00C67333"/>
    <w:rsid w:val="00C67A28"/>
    <w:rsid w:val="00C707F9"/>
    <w:rsid w:val="00C70CFC"/>
    <w:rsid w:val="00C7124C"/>
    <w:rsid w:val="00C71251"/>
    <w:rsid w:val="00C71D3F"/>
    <w:rsid w:val="00C722FA"/>
    <w:rsid w:val="00C72AEF"/>
    <w:rsid w:val="00C73583"/>
    <w:rsid w:val="00C746A3"/>
    <w:rsid w:val="00C74F8F"/>
    <w:rsid w:val="00C75BF9"/>
    <w:rsid w:val="00C75C94"/>
    <w:rsid w:val="00C7609F"/>
    <w:rsid w:val="00C760B6"/>
    <w:rsid w:val="00C7670C"/>
    <w:rsid w:val="00C76783"/>
    <w:rsid w:val="00C76796"/>
    <w:rsid w:val="00C76A2A"/>
    <w:rsid w:val="00C76B9B"/>
    <w:rsid w:val="00C76C74"/>
    <w:rsid w:val="00C76F20"/>
    <w:rsid w:val="00C7713B"/>
    <w:rsid w:val="00C773E7"/>
    <w:rsid w:val="00C8019A"/>
    <w:rsid w:val="00C810F9"/>
    <w:rsid w:val="00C82091"/>
    <w:rsid w:val="00C8237F"/>
    <w:rsid w:val="00C82DD7"/>
    <w:rsid w:val="00C8301B"/>
    <w:rsid w:val="00C83A53"/>
    <w:rsid w:val="00C84120"/>
    <w:rsid w:val="00C8468C"/>
    <w:rsid w:val="00C851A6"/>
    <w:rsid w:val="00C85E02"/>
    <w:rsid w:val="00C86283"/>
    <w:rsid w:val="00C86989"/>
    <w:rsid w:val="00C8781A"/>
    <w:rsid w:val="00C87C49"/>
    <w:rsid w:val="00C87C78"/>
    <w:rsid w:val="00C90234"/>
    <w:rsid w:val="00C9060B"/>
    <w:rsid w:val="00C9065E"/>
    <w:rsid w:val="00C90C86"/>
    <w:rsid w:val="00C91760"/>
    <w:rsid w:val="00C91B50"/>
    <w:rsid w:val="00C922A9"/>
    <w:rsid w:val="00C9304D"/>
    <w:rsid w:val="00C95323"/>
    <w:rsid w:val="00C95970"/>
    <w:rsid w:val="00C95AC4"/>
    <w:rsid w:val="00C9602E"/>
    <w:rsid w:val="00C96360"/>
    <w:rsid w:val="00C978D2"/>
    <w:rsid w:val="00CA049A"/>
    <w:rsid w:val="00CA0510"/>
    <w:rsid w:val="00CA0B54"/>
    <w:rsid w:val="00CA1176"/>
    <w:rsid w:val="00CA192F"/>
    <w:rsid w:val="00CA1B98"/>
    <w:rsid w:val="00CA29B7"/>
    <w:rsid w:val="00CA3E1C"/>
    <w:rsid w:val="00CA3E70"/>
    <w:rsid w:val="00CA4941"/>
    <w:rsid w:val="00CA4C35"/>
    <w:rsid w:val="00CA518B"/>
    <w:rsid w:val="00CA6FF3"/>
    <w:rsid w:val="00CA78C9"/>
    <w:rsid w:val="00CA7F29"/>
    <w:rsid w:val="00CB0301"/>
    <w:rsid w:val="00CB06FE"/>
    <w:rsid w:val="00CB1025"/>
    <w:rsid w:val="00CB1ABE"/>
    <w:rsid w:val="00CB38FE"/>
    <w:rsid w:val="00CB4276"/>
    <w:rsid w:val="00CB462B"/>
    <w:rsid w:val="00CB556E"/>
    <w:rsid w:val="00CB58BF"/>
    <w:rsid w:val="00CB5EA5"/>
    <w:rsid w:val="00CB6BF9"/>
    <w:rsid w:val="00CB6EF7"/>
    <w:rsid w:val="00CB7A46"/>
    <w:rsid w:val="00CC120D"/>
    <w:rsid w:val="00CC1A87"/>
    <w:rsid w:val="00CC28D8"/>
    <w:rsid w:val="00CC335A"/>
    <w:rsid w:val="00CC5135"/>
    <w:rsid w:val="00CC548F"/>
    <w:rsid w:val="00CC596D"/>
    <w:rsid w:val="00CC616D"/>
    <w:rsid w:val="00CC6CAF"/>
    <w:rsid w:val="00CC78A9"/>
    <w:rsid w:val="00CC79E1"/>
    <w:rsid w:val="00CC7AB8"/>
    <w:rsid w:val="00CD0A76"/>
    <w:rsid w:val="00CD0B8E"/>
    <w:rsid w:val="00CD1428"/>
    <w:rsid w:val="00CD1A79"/>
    <w:rsid w:val="00CD1D68"/>
    <w:rsid w:val="00CD1DBC"/>
    <w:rsid w:val="00CD20BA"/>
    <w:rsid w:val="00CD20BB"/>
    <w:rsid w:val="00CD3B8B"/>
    <w:rsid w:val="00CD4117"/>
    <w:rsid w:val="00CD440D"/>
    <w:rsid w:val="00CD45CB"/>
    <w:rsid w:val="00CD4807"/>
    <w:rsid w:val="00CD4CA0"/>
    <w:rsid w:val="00CD4CE0"/>
    <w:rsid w:val="00CD4E59"/>
    <w:rsid w:val="00CD508B"/>
    <w:rsid w:val="00CD5B01"/>
    <w:rsid w:val="00CD5BD1"/>
    <w:rsid w:val="00CD709A"/>
    <w:rsid w:val="00CD7167"/>
    <w:rsid w:val="00CD7672"/>
    <w:rsid w:val="00CD7704"/>
    <w:rsid w:val="00CD7B7F"/>
    <w:rsid w:val="00CE0FE4"/>
    <w:rsid w:val="00CE1C9F"/>
    <w:rsid w:val="00CE241B"/>
    <w:rsid w:val="00CE27A9"/>
    <w:rsid w:val="00CE3BD8"/>
    <w:rsid w:val="00CE3EDA"/>
    <w:rsid w:val="00CE4232"/>
    <w:rsid w:val="00CE465A"/>
    <w:rsid w:val="00CE47DA"/>
    <w:rsid w:val="00CE4A84"/>
    <w:rsid w:val="00CE594C"/>
    <w:rsid w:val="00CE5B5B"/>
    <w:rsid w:val="00CE5CA4"/>
    <w:rsid w:val="00CE6079"/>
    <w:rsid w:val="00CE6BCC"/>
    <w:rsid w:val="00CF0818"/>
    <w:rsid w:val="00CF179E"/>
    <w:rsid w:val="00CF1A2A"/>
    <w:rsid w:val="00CF1A66"/>
    <w:rsid w:val="00CF1AC9"/>
    <w:rsid w:val="00CF1F8F"/>
    <w:rsid w:val="00CF4738"/>
    <w:rsid w:val="00CF533C"/>
    <w:rsid w:val="00CF539F"/>
    <w:rsid w:val="00CF57A4"/>
    <w:rsid w:val="00CF596D"/>
    <w:rsid w:val="00CF5D21"/>
    <w:rsid w:val="00CF6A97"/>
    <w:rsid w:val="00CF6AF4"/>
    <w:rsid w:val="00CF6B48"/>
    <w:rsid w:val="00CF76DD"/>
    <w:rsid w:val="00CF7846"/>
    <w:rsid w:val="00CF7C41"/>
    <w:rsid w:val="00CF7EB5"/>
    <w:rsid w:val="00D003D7"/>
    <w:rsid w:val="00D00641"/>
    <w:rsid w:val="00D01859"/>
    <w:rsid w:val="00D01C58"/>
    <w:rsid w:val="00D01CF0"/>
    <w:rsid w:val="00D01EED"/>
    <w:rsid w:val="00D0203F"/>
    <w:rsid w:val="00D035CD"/>
    <w:rsid w:val="00D03880"/>
    <w:rsid w:val="00D03884"/>
    <w:rsid w:val="00D04631"/>
    <w:rsid w:val="00D04C8D"/>
    <w:rsid w:val="00D0578A"/>
    <w:rsid w:val="00D05B83"/>
    <w:rsid w:val="00D05CF5"/>
    <w:rsid w:val="00D05D61"/>
    <w:rsid w:val="00D0600E"/>
    <w:rsid w:val="00D064C4"/>
    <w:rsid w:val="00D06A9B"/>
    <w:rsid w:val="00D10895"/>
    <w:rsid w:val="00D10A42"/>
    <w:rsid w:val="00D10B2C"/>
    <w:rsid w:val="00D125D0"/>
    <w:rsid w:val="00D12B0D"/>
    <w:rsid w:val="00D12FD5"/>
    <w:rsid w:val="00D13157"/>
    <w:rsid w:val="00D13171"/>
    <w:rsid w:val="00D14E3B"/>
    <w:rsid w:val="00D1551A"/>
    <w:rsid w:val="00D17047"/>
    <w:rsid w:val="00D200B1"/>
    <w:rsid w:val="00D211D2"/>
    <w:rsid w:val="00D21342"/>
    <w:rsid w:val="00D21535"/>
    <w:rsid w:val="00D215E4"/>
    <w:rsid w:val="00D224B0"/>
    <w:rsid w:val="00D23863"/>
    <w:rsid w:val="00D2397D"/>
    <w:rsid w:val="00D23A2D"/>
    <w:rsid w:val="00D23B51"/>
    <w:rsid w:val="00D23D89"/>
    <w:rsid w:val="00D24514"/>
    <w:rsid w:val="00D24B93"/>
    <w:rsid w:val="00D24E9B"/>
    <w:rsid w:val="00D26189"/>
    <w:rsid w:val="00D269DA"/>
    <w:rsid w:val="00D26CCC"/>
    <w:rsid w:val="00D27475"/>
    <w:rsid w:val="00D27559"/>
    <w:rsid w:val="00D279CC"/>
    <w:rsid w:val="00D27B9D"/>
    <w:rsid w:val="00D27D1D"/>
    <w:rsid w:val="00D27DAA"/>
    <w:rsid w:val="00D27FB4"/>
    <w:rsid w:val="00D30142"/>
    <w:rsid w:val="00D31B3A"/>
    <w:rsid w:val="00D32C26"/>
    <w:rsid w:val="00D33043"/>
    <w:rsid w:val="00D3363E"/>
    <w:rsid w:val="00D344F2"/>
    <w:rsid w:val="00D35386"/>
    <w:rsid w:val="00D35756"/>
    <w:rsid w:val="00D35918"/>
    <w:rsid w:val="00D3691E"/>
    <w:rsid w:val="00D372AC"/>
    <w:rsid w:val="00D3796E"/>
    <w:rsid w:val="00D4003A"/>
    <w:rsid w:val="00D407C0"/>
    <w:rsid w:val="00D40FD0"/>
    <w:rsid w:val="00D41AF7"/>
    <w:rsid w:val="00D42D4A"/>
    <w:rsid w:val="00D43253"/>
    <w:rsid w:val="00D437F6"/>
    <w:rsid w:val="00D43EC5"/>
    <w:rsid w:val="00D44166"/>
    <w:rsid w:val="00D45A16"/>
    <w:rsid w:val="00D472E5"/>
    <w:rsid w:val="00D47A6D"/>
    <w:rsid w:val="00D47AFE"/>
    <w:rsid w:val="00D47CF6"/>
    <w:rsid w:val="00D50E18"/>
    <w:rsid w:val="00D50FBE"/>
    <w:rsid w:val="00D510F5"/>
    <w:rsid w:val="00D51550"/>
    <w:rsid w:val="00D52110"/>
    <w:rsid w:val="00D529AA"/>
    <w:rsid w:val="00D52B69"/>
    <w:rsid w:val="00D52C0A"/>
    <w:rsid w:val="00D535CE"/>
    <w:rsid w:val="00D53B95"/>
    <w:rsid w:val="00D540DF"/>
    <w:rsid w:val="00D5422E"/>
    <w:rsid w:val="00D544CB"/>
    <w:rsid w:val="00D54939"/>
    <w:rsid w:val="00D54E0C"/>
    <w:rsid w:val="00D552F7"/>
    <w:rsid w:val="00D557E9"/>
    <w:rsid w:val="00D55D73"/>
    <w:rsid w:val="00D564FF"/>
    <w:rsid w:val="00D57000"/>
    <w:rsid w:val="00D5799E"/>
    <w:rsid w:val="00D57B39"/>
    <w:rsid w:val="00D57C8E"/>
    <w:rsid w:val="00D57F18"/>
    <w:rsid w:val="00D613A7"/>
    <w:rsid w:val="00D61A50"/>
    <w:rsid w:val="00D61D21"/>
    <w:rsid w:val="00D61FFF"/>
    <w:rsid w:val="00D62DC3"/>
    <w:rsid w:val="00D6391C"/>
    <w:rsid w:val="00D63E6B"/>
    <w:rsid w:val="00D64127"/>
    <w:rsid w:val="00D64263"/>
    <w:rsid w:val="00D647CD"/>
    <w:rsid w:val="00D65114"/>
    <w:rsid w:val="00D65456"/>
    <w:rsid w:val="00D65899"/>
    <w:rsid w:val="00D65A86"/>
    <w:rsid w:val="00D65D66"/>
    <w:rsid w:val="00D65E84"/>
    <w:rsid w:val="00D65ED2"/>
    <w:rsid w:val="00D670FE"/>
    <w:rsid w:val="00D7058F"/>
    <w:rsid w:val="00D70851"/>
    <w:rsid w:val="00D708AB"/>
    <w:rsid w:val="00D70CAF"/>
    <w:rsid w:val="00D70EC8"/>
    <w:rsid w:val="00D711FA"/>
    <w:rsid w:val="00D71415"/>
    <w:rsid w:val="00D716F1"/>
    <w:rsid w:val="00D71E34"/>
    <w:rsid w:val="00D72474"/>
    <w:rsid w:val="00D7257C"/>
    <w:rsid w:val="00D725BE"/>
    <w:rsid w:val="00D72D99"/>
    <w:rsid w:val="00D735C6"/>
    <w:rsid w:val="00D74208"/>
    <w:rsid w:val="00D74CA6"/>
    <w:rsid w:val="00D75EF4"/>
    <w:rsid w:val="00D7655C"/>
    <w:rsid w:val="00D76A97"/>
    <w:rsid w:val="00D776AA"/>
    <w:rsid w:val="00D77953"/>
    <w:rsid w:val="00D809F0"/>
    <w:rsid w:val="00D80C0F"/>
    <w:rsid w:val="00D813A0"/>
    <w:rsid w:val="00D81C03"/>
    <w:rsid w:val="00D828AB"/>
    <w:rsid w:val="00D82DEE"/>
    <w:rsid w:val="00D82E52"/>
    <w:rsid w:val="00D83325"/>
    <w:rsid w:val="00D83780"/>
    <w:rsid w:val="00D841CD"/>
    <w:rsid w:val="00D842DD"/>
    <w:rsid w:val="00D84559"/>
    <w:rsid w:val="00D84599"/>
    <w:rsid w:val="00D846F3"/>
    <w:rsid w:val="00D848C7"/>
    <w:rsid w:val="00D84F35"/>
    <w:rsid w:val="00D850D3"/>
    <w:rsid w:val="00D85D23"/>
    <w:rsid w:val="00D868CB"/>
    <w:rsid w:val="00D86A0A"/>
    <w:rsid w:val="00D9145F"/>
    <w:rsid w:val="00D91A94"/>
    <w:rsid w:val="00D9294D"/>
    <w:rsid w:val="00D93989"/>
    <w:rsid w:val="00D939D5"/>
    <w:rsid w:val="00D947CD"/>
    <w:rsid w:val="00D94E56"/>
    <w:rsid w:val="00D95A4D"/>
    <w:rsid w:val="00D962AB"/>
    <w:rsid w:val="00D96EA0"/>
    <w:rsid w:val="00D971CC"/>
    <w:rsid w:val="00D97A02"/>
    <w:rsid w:val="00DA2589"/>
    <w:rsid w:val="00DA269F"/>
    <w:rsid w:val="00DA29BA"/>
    <w:rsid w:val="00DA3469"/>
    <w:rsid w:val="00DA4548"/>
    <w:rsid w:val="00DA4CA9"/>
    <w:rsid w:val="00DA4ECF"/>
    <w:rsid w:val="00DA5880"/>
    <w:rsid w:val="00DA63F1"/>
    <w:rsid w:val="00DA6FEA"/>
    <w:rsid w:val="00DA78DA"/>
    <w:rsid w:val="00DA7DDD"/>
    <w:rsid w:val="00DB06F3"/>
    <w:rsid w:val="00DB0826"/>
    <w:rsid w:val="00DB0A29"/>
    <w:rsid w:val="00DB1353"/>
    <w:rsid w:val="00DB326D"/>
    <w:rsid w:val="00DB3475"/>
    <w:rsid w:val="00DB3715"/>
    <w:rsid w:val="00DB3AA9"/>
    <w:rsid w:val="00DB404A"/>
    <w:rsid w:val="00DB4125"/>
    <w:rsid w:val="00DB465D"/>
    <w:rsid w:val="00DB4839"/>
    <w:rsid w:val="00DB4FD0"/>
    <w:rsid w:val="00DB53A1"/>
    <w:rsid w:val="00DB5A27"/>
    <w:rsid w:val="00DB61D4"/>
    <w:rsid w:val="00DB76D5"/>
    <w:rsid w:val="00DB79B1"/>
    <w:rsid w:val="00DB7AF1"/>
    <w:rsid w:val="00DC0622"/>
    <w:rsid w:val="00DC0791"/>
    <w:rsid w:val="00DC0872"/>
    <w:rsid w:val="00DC0C87"/>
    <w:rsid w:val="00DC19DF"/>
    <w:rsid w:val="00DC22F5"/>
    <w:rsid w:val="00DC29F2"/>
    <w:rsid w:val="00DC309B"/>
    <w:rsid w:val="00DC3D3E"/>
    <w:rsid w:val="00DC3D40"/>
    <w:rsid w:val="00DC4FB0"/>
    <w:rsid w:val="00DC58FD"/>
    <w:rsid w:val="00DC593B"/>
    <w:rsid w:val="00DC5AE9"/>
    <w:rsid w:val="00DC5D6E"/>
    <w:rsid w:val="00DC6198"/>
    <w:rsid w:val="00DC7E15"/>
    <w:rsid w:val="00DD01E2"/>
    <w:rsid w:val="00DD0A2B"/>
    <w:rsid w:val="00DD142F"/>
    <w:rsid w:val="00DD18CF"/>
    <w:rsid w:val="00DD32A0"/>
    <w:rsid w:val="00DD3EFC"/>
    <w:rsid w:val="00DD485C"/>
    <w:rsid w:val="00DD5028"/>
    <w:rsid w:val="00DD6970"/>
    <w:rsid w:val="00DD739A"/>
    <w:rsid w:val="00DE00CC"/>
    <w:rsid w:val="00DE0D86"/>
    <w:rsid w:val="00DE1432"/>
    <w:rsid w:val="00DE1651"/>
    <w:rsid w:val="00DE1883"/>
    <w:rsid w:val="00DE2127"/>
    <w:rsid w:val="00DE2774"/>
    <w:rsid w:val="00DE2BE0"/>
    <w:rsid w:val="00DE2D6C"/>
    <w:rsid w:val="00DE3473"/>
    <w:rsid w:val="00DE3E13"/>
    <w:rsid w:val="00DE3EFC"/>
    <w:rsid w:val="00DE4DF2"/>
    <w:rsid w:val="00DE6126"/>
    <w:rsid w:val="00DE69D0"/>
    <w:rsid w:val="00DE6CDD"/>
    <w:rsid w:val="00DF071C"/>
    <w:rsid w:val="00DF0720"/>
    <w:rsid w:val="00DF079D"/>
    <w:rsid w:val="00DF083A"/>
    <w:rsid w:val="00DF0BEA"/>
    <w:rsid w:val="00DF3504"/>
    <w:rsid w:val="00DF385A"/>
    <w:rsid w:val="00DF3A31"/>
    <w:rsid w:val="00DF432F"/>
    <w:rsid w:val="00DF47B0"/>
    <w:rsid w:val="00DF4ED7"/>
    <w:rsid w:val="00DF549F"/>
    <w:rsid w:val="00DF5788"/>
    <w:rsid w:val="00DF764D"/>
    <w:rsid w:val="00E01D19"/>
    <w:rsid w:val="00E025A5"/>
    <w:rsid w:val="00E037CB"/>
    <w:rsid w:val="00E042D0"/>
    <w:rsid w:val="00E0553C"/>
    <w:rsid w:val="00E05557"/>
    <w:rsid w:val="00E068CF"/>
    <w:rsid w:val="00E074CB"/>
    <w:rsid w:val="00E076AA"/>
    <w:rsid w:val="00E07938"/>
    <w:rsid w:val="00E1088F"/>
    <w:rsid w:val="00E10D23"/>
    <w:rsid w:val="00E11A0D"/>
    <w:rsid w:val="00E11F44"/>
    <w:rsid w:val="00E12445"/>
    <w:rsid w:val="00E151F6"/>
    <w:rsid w:val="00E15E6E"/>
    <w:rsid w:val="00E15F07"/>
    <w:rsid w:val="00E16122"/>
    <w:rsid w:val="00E16133"/>
    <w:rsid w:val="00E16943"/>
    <w:rsid w:val="00E16D34"/>
    <w:rsid w:val="00E16F33"/>
    <w:rsid w:val="00E17324"/>
    <w:rsid w:val="00E17C27"/>
    <w:rsid w:val="00E200AF"/>
    <w:rsid w:val="00E213BF"/>
    <w:rsid w:val="00E2157D"/>
    <w:rsid w:val="00E21B5D"/>
    <w:rsid w:val="00E21F68"/>
    <w:rsid w:val="00E2299A"/>
    <w:rsid w:val="00E2343B"/>
    <w:rsid w:val="00E23C44"/>
    <w:rsid w:val="00E24474"/>
    <w:rsid w:val="00E24D24"/>
    <w:rsid w:val="00E25574"/>
    <w:rsid w:val="00E255D4"/>
    <w:rsid w:val="00E25CA9"/>
    <w:rsid w:val="00E25FC5"/>
    <w:rsid w:val="00E262AD"/>
    <w:rsid w:val="00E26C5C"/>
    <w:rsid w:val="00E26E71"/>
    <w:rsid w:val="00E3057F"/>
    <w:rsid w:val="00E321F8"/>
    <w:rsid w:val="00E32B4F"/>
    <w:rsid w:val="00E32FBB"/>
    <w:rsid w:val="00E332F7"/>
    <w:rsid w:val="00E33962"/>
    <w:rsid w:val="00E34C04"/>
    <w:rsid w:val="00E34D09"/>
    <w:rsid w:val="00E35670"/>
    <w:rsid w:val="00E3569C"/>
    <w:rsid w:val="00E35DDD"/>
    <w:rsid w:val="00E36E5F"/>
    <w:rsid w:val="00E3761D"/>
    <w:rsid w:val="00E403A8"/>
    <w:rsid w:val="00E43659"/>
    <w:rsid w:val="00E43D34"/>
    <w:rsid w:val="00E43F2D"/>
    <w:rsid w:val="00E44096"/>
    <w:rsid w:val="00E4740C"/>
    <w:rsid w:val="00E47C17"/>
    <w:rsid w:val="00E50099"/>
    <w:rsid w:val="00E50412"/>
    <w:rsid w:val="00E50741"/>
    <w:rsid w:val="00E516C9"/>
    <w:rsid w:val="00E51E6B"/>
    <w:rsid w:val="00E52333"/>
    <w:rsid w:val="00E525D4"/>
    <w:rsid w:val="00E52A7C"/>
    <w:rsid w:val="00E54F01"/>
    <w:rsid w:val="00E556F0"/>
    <w:rsid w:val="00E55B05"/>
    <w:rsid w:val="00E55C09"/>
    <w:rsid w:val="00E55E39"/>
    <w:rsid w:val="00E56032"/>
    <w:rsid w:val="00E56407"/>
    <w:rsid w:val="00E56E4C"/>
    <w:rsid w:val="00E57057"/>
    <w:rsid w:val="00E57931"/>
    <w:rsid w:val="00E60520"/>
    <w:rsid w:val="00E60A52"/>
    <w:rsid w:val="00E612F2"/>
    <w:rsid w:val="00E614D8"/>
    <w:rsid w:val="00E61959"/>
    <w:rsid w:val="00E62350"/>
    <w:rsid w:val="00E63009"/>
    <w:rsid w:val="00E6318C"/>
    <w:rsid w:val="00E6453C"/>
    <w:rsid w:val="00E65902"/>
    <w:rsid w:val="00E66201"/>
    <w:rsid w:val="00E678F4"/>
    <w:rsid w:val="00E702E4"/>
    <w:rsid w:val="00E7040F"/>
    <w:rsid w:val="00E7042D"/>
    <w:rsid w:val="00E70981"/>
    <w:rsid w:val="00E71126"/>
    <w:rsid w:val="00E713B8"/>
    <w:rsid w:val="00E72CE6"/>
    <w:rsid w:val="00E72D65"/>
    <w:rsid w:val="00E744C4"/>
    <w:rsid w:val="00E74578"/>
    <w:rsid w:val="00E753CF"/>
    <w:rsid w:val="00E7556C"/>
    <w:rsid w:val="00E762A9"/>
    <w:rsid w:val="00E762B6"/>
    <w:rsid w:val="00E7669B"/>
    <w:rsid w:val="00E76792"/>
    <w:rsid w:val="00E768A7"/>
    <w:rsid w:val="00E76A82"/>
    <w:rsid w:val="00E76D73"/>
    <w:rsid w:val="00E776AE"/>
    <w:rsid w:val="00E8016E"/>
    <w:rsid w:val="00E812A8"/>
    <w:rsid w:val="00E81694"/>
    <w:rsid w:val="00E824DD"/>
    <w:rsid w:val="00E8274B"/>
    <w:rsid w:val="00E82F72"/>
    <w:rsid w:val="00E831ED"/>
    <w:rsid w:val="00E832D7"/>
    <w:rsid w:val="00E838D0"/>
    <w:rsid w:val="00E83ED2"/>
    <w:rsid w:val="00E85649"/>
    <w:rsid w:val="00E86088"/>
    <w:rsid w:val="00E860BB"/>
    <w:rsid w:val="00E86131"/>
    <w:rsid w:val="00E86BE1"/>
    <w:rsid w:val="00E878A9"/>
    <w:rsid w:val="00E87D07"/>
    <w:rsid w:val="00E87EAD"/>
    <w:rsid w:val="00E9030C"/>
    <w:rsid w:val="00E9092F"/>
    <w:rsid w:val="00E91E22"/>
    <w:rsid w:val="00E921CB"/>
    <w:rsid w:val="00E9290F"/>
    <w:rsid w:val="00E92E9C"/>
    <w:rsid w:val="00E935F6"/>
    <w:rsid w:val="00E93A4A"/>
    <w:rsid w:val="00E93D6B"/>
    <w:rsid w:val="00E94011"/>
    <w:rsid w:val="00E941D1"/>
    <w:rsid w:val="00E957E8"/>
    <w:rsid w:val="00E96227"/>
    <w:rsid w:val="00E9642E"/>
    <w:rsid w:val="00E97467"/>
    <w:rsid w:val="00E97B4A"/>
    <w:rsid w:val="00EA08CC"/>
    <w:rsid w:val="00EA0DF8"/>
    <w:rsid w:val="00EA1053"/>
    <w:rsid w:val="00EA175F"/>
    <w:rsid w:val="00EA1F6E"/>
    <w:rsid w:val="00EA296A"/>
    <w:rsid w:val="00EA2C9C"/>
    <w:rsid w:val="00EA33B7"/>
    <w:rsid w:val="00EA3D69"/>
    <w:rsid w:val="00EA4224"/>
    <w:rsid w:val="00EA469A"/>
    <w:rsid w:val="00EA4B70"/>
    <w:rsid w:val="00EA505F"/>
    <w:rsid w:val="00EA5AB2"/>
    <w:rsid w:val="00EA5D17"/>
    <w:rsid w:val="00EA6559"/>
    <w:rsid w:val="00EA7370"/>
    <w:rsid w:val="00EA7412"/>
    <w:rsid w:val="00EA7C72"/>
    <w:rsid w:val="00EB019D"/>
    <w:rsid w:val="00EB0623"/>
    <w:rsid w:val="00EB07CF"/>
    <w:rsid w:val="00EB0BF0"/>
    <w:rsid w:val="00EB0D4D"/>
    <w:rsid w:val="00EB1F0C"/>
    <w:rsid w:val="00EB2A4C"/>
    <w:rsid w:val="00EB2CA5"/>
    <w:rsid w:val="00EB2E51"/>
    <w:rsid w:val="00EB30A9"/>
    <w:rsid w:val="00EB424F"/>
    <w:rsid w:val="00EB5A5F"/>
    <w:rsid w:val="00EB60A6"/>
    <w:rsid w:val="00EB70CE"/>
    <w:rsid w:val="00EB72C3"/>
    <w:rsid w:val="00EC1237"/>
    <w:rsid w:val="00EC202B"/>
    <w:rsid w:val="00EC3386"/>
    <w:rsid w:val="00EC3BD3"/>
    <w:rsid w:val="00EC3E91"/>
    <w:rsid w:val="00EC3EC3"/>
    <w:rsid w:val="00EC46C3"/>
    <w:rsid w:val="00EC544C"/>
    <w:rsid w:val="00EC5D1A"/>
    <w:rsid w:val="00EC61F6"/>
    <w:rsid w:val="00EC7CA9"/>
    <w:rsid w:val="00ED0261"/>
    <w:rsid w:val="00ED04D4"/>
    <w:rsid w:val="00ED06C2"/>
    <w:rsid w:val="00ED0C52"/>
    <w:rsid w:val="00ED1965"/>
    <w:rsid w:val="00ED2178"/>
    <w:rsid w:val="00ED2693"/>
    <w:rsid w:val="00ED3862"/>
    <w:rsid w:val="00ED4808"/>
    <w:rsid w:val="00ED4CE2"/>
    <w:rsid w:val="00ED5364"/>
    <w:rsid w:val="00ED576B"/>
    <w:rsid w:val="00ED5C59"/>
    <w:rsid w:val="00ED71A2"/>
    <w:rsid w:val="00EE016C"/>
    <w:rsid w:val="00EE0332"/>
    <w:rsid w:val="00EE16EA"/>
    <w:rsid w:val="00EE1FEC"/>
    <w:rsid w:val="00EE2817"/>
    <w:rsid w:val="00EE2902"/>
    <w:rsid w:val="00EE32AE"/>
    <w:rsid w:val="00EE332B"/>
    <w:rsid w:val="00EE343E"/>
    <w:rsid w:val="00EE3B6C"/>
    <w:rsid w:val="00EE3F5B"/>
    <w:rsid w:val="00EE40F7"/>
    <w:rsid w:val="00EE48EE"/>
    <w:rsid w:val="00EE4BF1"/>
    <w:rsid w:val="00EE559D"/>
    <w:rsid w:val="00EE5DC8"/>
    <w:rsid w:val="00EE641F"/>
    <w:rsid w:val="00EE7547"/>
    <w:rsid w:val="00EE767D"/>
    <w:rsid w:val="00EE76E6"/>
    <w:rsid w:val="00EF0494"/>
    <w:rsid w:val="00EF1153"/>
    <w:rsid w:val="00EF2547"/>
    <w:rsid w:val="00EF2A0E"/>
    <w:rsid w:val="00EF2E9A"/>
    <w:rsid w:val="00EF2FA8"/>
    <w:rsid w:val="00EF310B"/>
    <w:rsid w:val="00EF3249"/>
    <w:rsid w:val="00EF3251"/>
    <w:rsid w:val="00EF3377"/>
    <w:rsid w:val="00EF3DED"/>
    <w:rsid w:val="00EF4A3A"/>
    <w:rsid w:val="00EF5086"/>
    <w:rsid w:val="00EF5462"/>
    <w:rsid w:val="00EF64C5"/>
    <w:rsid w:val="00F007E9"/>
    <w:rsid w:val="00F00896"/>
    <w:rsid w:val="00F009F0"/>
    <w:rsid w:val="00F01283"/>
    <w:rsid w:val="00F01783"/>
    <w:rsid w:val="00F0243C"/>
    <w:rsid w:val="00F0422B"/>
    <w:rsid w:val="00F04AFF"/>
    <w:rsid w:val="00F0670D"/>
    <w:rsid w:val="00F06873"/>
    <w:rsid w:val="00F0706B"/>
    <w:rsid w:val="00F07F89"/>
    <w:rsid w:val="00F1060F"/>
    <w:rsid w:val="00F10DA7"/>
    <w:rsid w:val="00F1285E"/>
    <w:rsid w:val="00F134F1"/>
    <w:rsid w:val="00F136C0"/>
    <w:rsid w:val="00F13CDA"/>
    <w:rsid w:val="00F148B6"/>
    <w:rsid w:val="00F14A63"/>
    <w:rsid w:val="00F152D6"/>
    <w:rsid w:val="00F1638A"/>
    <w:rsid w:val="00F1646C"/>
    <w:rsid w:val="00F169E5"/>
    <w:rsid w:val="00F174D5"/>
    <w:rsid w:val="00F226FE"/>
    <w:rsid w:val="00F231AB"/>
    <w:rsid w:val="00F2367E"/>
    <w:rsid w:val="00F23DA0"/>
    <w:rsid w:val="00F25AC5"/>
    <w:rsid w:val="00F25D2F"/>
    <w:rsid w:val="00F26400"/>
    <w:rsid w:val="00F26493"/>
    <w:rsid w:val="00F271EF"/>
    <w:rsid w:val="00F277BA"/>
    <w:rsid w:val="00F27AC3"/>
    <w:rsid w:val="00F27C1C"/>
    <w:rsid w:val="00F27D81"/>
    <w:rsid w:val="00F27DA4"/>
    <w:rsid w:val="00F27F8E"/>
    <w:rsid w:val="00F309C2"/>
    <w:rsid w:val="00F3150F"/>
    <w:rsid w:val="00F31C65"/>
    <w:rsid w:val="00F32A4C"/>
    <w:rsid w:val="00F32BD3"/>
    <w:rsid w:val="00F32F4C"/>
    <w:rsid w:val="00F353B1"/>
    <w:rsid w:val="00F35EEC"/>
    <w:rsid w:val="00F36AE2"/>
    <w:rsid w:val="00F37CB9"/>
    <w:rsid w:val="00F40038"/>
    <w:rsid w:val="00F402B4"/>
    <w:rsid w:val="00F402D5"/>
    <w:rsid w:val="00F40331"/>
    <w:rsid w:val="00F4036C"/>
    <w:rsid w:val="00F40A76"/>
    <w:rsid w:val="00F40C2B"/>
    <w:rsid w:val="00F41881"/>
    <w:rsid w:val="00F41B17"/>
    <w:rsid w:val="00F41FED"/>
    <w:rsid w:val="00F4315B"/>
    <w:rsid w:val="00F43847"/>
    <w:rsid w:val="00F440D7"/>
    <w:rsid w:val="00F458BC"/>
    <w:rsid w:val="00F45D6C"/>
    <w:rsid w:val="00F46520"/>
    <w:rsid w:val="00F46B7C"/>
    <w:rsid w:val="00F47551"/>
    <w:rsid w:val="00F47663"/>
    <w:rsid w:val="00F50B9D"/>
    <w:rsid w:val="00F50C7B"/>
    <w:rsid w:val="00F5143A"/>
    <w:rsid w:val="00F51B19"/>
    <w:rsid w:val="00F542E7"/>
    <w:rsid w:val="00F545B4"/>
    <w:rsid w:val="00F556FB"/>
    <w:rsid w:val="00F55986"/>
    <w:rsid w:val="00F56723"/>
    <w:rsid w:val="00F56C52"/>
    <w:rsid w:val="00F56FD6"/>
    <w:rsid w:val="00F57008"/>
    <w:rsid w:val="00F57761"/>
    <w:rsid w:val="00F57CB6"/>
    <w:rsid w:val="00F57F05"/>
    <w:rsid w:val="00F606B6"/>
    <w:rsid w:val="00F61FCA"/>
    <w:rsid w:val="00F642A7"/>
    <w:rsid w:val="00F6538E"/>
    <w:rsid w:val="00F653E1"/>
    <w:rsid w:val="00F664DF"/>
    <w:rsid w:val="00F66669"/>
    <w:rsid w:val="00F666F3"/>
    <w:rsid w:val="00F676D5"/>
    <w:rsid w:val="00F67805"/>
    <w:rsid w:val="00F70005"/>
    <w:rsid w:val="00F707AA"/>
    <w:rsid w:val="00F71818"/>
    <w:rsid w:val="00F7184D"/>
    <w:rsid w:val="00F722A0"/>
    <w:rsid w:val="00F72991"/>
    <w:rsid w:val="00F736F0"/>
    <w:rsid w:val="00F73E68"/>
    <w:rsid w:val="00F7414B"/>
    <w:rsid w:val="00F74268"/>
    <w:rsid w:val="00F74F5B"/>
    <w:rsid w:val="00F80D3D"/>
    <w:rsid w:val="00F818ED"/>
    <w:rsid w:val="00F81EFE"/>
    <w:rsid w:val="00F8204A"/>
    <w:rsid w:val="00F82A38"/>
    <w:rsid w:val="00F82C7E"/>
    <w:rsid w:val="00F833F2"/>
    <w:rsid w:val="00F83596"/>
    <w:rsid w:val="00F83782"/>
    <w:rsid w:val="00F83A8B"/>
    <w:rsid w:val="00F840FC"/>
    <w:rsid w:val="00F8471A"/>
    <w:rsid w:val="00F84E16"/>
    <w:rsid w:val="00F8513B"/>
    <w:rsid w:val="00F8556C"/>
    <w:rsid w:val="00F85828"/>
    <w:rsid w:val="00F859F6"/>
    <w:rsid w:val="00F86387"/>
    <w:rsid w:val="00F876E0"/>
    <w:rsid w:val="00F87AA6"/>
    <w:rsid w:val="00F87EEC"/>
    <w:rsid w:val="00F90299"/>
    <w:rsid w:val="00F917C5"/>
    <w:rsid w:val="00F92100"/>
    <w:rsid w:val="00F93853"/>
    <w:rsid w:val="00F947D6"/>
    <w:rsid w:val="00F9594B"/>
    <w:rsid w:val="00F96E6D"/>
    <w:rsid w:val="00F97887"/>
    <w:rsid w:val="00F97B4A"/>
    <w:rsid w:val="00F97BAB"/>
    <w:rsid w:val="00FA0319"/>
    <w:rsid w:val="00FA09AB"/>
    <w:rsid w:val="00FA0ED1"/>
    <w:rsid w:val="00FA1E8B"/>
    <w:rsid w:val="00FA327C"/>
    <w:rsid w:val="00FA33BA"/>
    <w:rsid w:val="00FA3D66"/>
    <w:rsid w:val="00FA3EE7"/>
    <w:rsid w:val="00FA3F72"/>
    <w:rsid w:val="00FA40C2"/>
    <w:rsid w:val="00FA4272"/>
    <w:rsid w:val="00FA4460"/>
    <w:rsid w:val="00FA492C"/>
    <w:rsid w:val="00FA6C5E"/>
    <w:rsid w:val="00FA7338"/>
    <w:rsid w:val="00FA745D"/>
    <w:rsid w:val="00FA776B"/>
    <w:rsid w:val="00FA7811"/>
    <w:rsid w:val="00FA7979"/>
    <w:rsid w:val="00FA7E41"/>
    <w:rsid w:val="00FB0F48"/>
    <w:rsid w:val="00FB1276"/>
    <w:rsid w:val="00FB12FE"/>
    <w:rsid w:val="00FB18BC"/>
    <w:rsid w:val="00FB1C2E"/>
    <w:rsid w:val="00FB1E3C"/>
    <w:rsid w:val="00FB3DC1"/>
    <w:rsid w:val="00FB3EB7"/>
    <w:rsid w:val="00FB42B7"/>
    <w:rsid w:val="00FB4712"/>
    <w:rsid w:val="00FB52D7"/>
    <w:rsid w:val="00FB5505"/>
    <w:rsid w:val="00FB5FAE"/>
    <w:rsid w:val="00FB6374"/>
    <w:rsid w:val="00FB6862"/>
    <w:rsid w:val="00FB6A7B"/>
    <w:rsid w:val="00FB6CE3"/>
    <w:rsid w:val="00FB6DEC"/>
    <w:rsid w:val="00FB78D5"/>
    <w:rsid w:val="00FC2563"/>
    <w:rsid w:val="00FC2875"/>
    <w:rsid w:val="00FC2A57"/>
    <w:rsid w:val="00FC300D"/>
    <w:rsid w:val="00FC3F66"/>
    <w:rsid w:val="00FC5599"/>
    <w:rsid w:val="00FC562E"/>
    <w:rsid w:val="00FC665A"/>
    <w:rsid w:val="00FC692C"/>
    <w:rsid w:val="00FC6D42"/>
    <w:rsid w:val="00FC7016"/>
    <w:rsid w:val="00FD015D"/>
    <w:rsid w:val="00FD0A01"/>
    <w:rsid w:val="00FD0F1C"/>
    <w:rsid w:val="00FD243F"/>
    <w:rsid w:val="00FD2A6D"/>
    <w:rsid w:val="00FD4151"/>
    <w:rsid w:val="00FD4D90"/>
    <w:rsid w:val="00FD4DAE"/>
    <w:rsid w:val="00FD5F59"/>
    <w:rsid w:val="00FD6695"/>
    <w:rsid w:val="00FD66D2"/>
    <w:rsid w:val="00FD6B38"/>
    <w:rsid w:val="00FD7C37"/>
    <w:rsid w:val="00FE09F7"/>
    <w:rsid w:val="00FE17B5"/>
    <w:rsid w:val="00FE1852"/>
    <w:rsid w:val="00FE236E"/>
    <w:rsid w:val="00FE2452"/>
    <w:rsid w:val="00FE2CA7"/>
    <w:rsid w:val="00FE2E59"/>
    <w:rsid w:val="00FE30A0"/>
    <w:rsid w:val="00FE4230"/>
    <w:rsid w:val="00FE4A06"/>
    <w:rsid w:val="00FE4E26"/>
    <w:rsid w:val="00FE64A7"/>
    <w:rsid w:val="00FE6532"/>
    <w:rsid w:val="00FE7B8E"/>
    <w:rsid w:val="00FF1056"/>
    <w:rsid w:val="00FF1F39"/>
    <w:rsid w:val="00FF21BE"/>
    <w:rsid w:val="00FF21F2"/>
    <w:rsid w:val="00FF238F"/>
    <w:rsid w:val="00FF329A"/>
    <w:rsid w:val="00FF36F8"/>
    <w:rsid w:val="00FF3A7D"/>
    <w:rsid w:val="00FF5336"/>
    <w:rsid w:val="00FF6B59"/>
    <w:rsid w:val="00FF6CEC"/>
    <w:rsid w:val="00FF78F9"/>
    <w:rsid w:val="0256213E"/>
    <w:rsid w:val="05B31971"/>
    <w:rsid w:val="09698CFB"/>
    <w:rsid w:val="0DCAAF89"/>
    <w:rsid w:val="120B3EA6"/>
    <w:rsid w:val="13135758"/>
    <w:rsid w:val="13D283B9"/>
    <w:rsid w:val="142AA3F1"/>
    <w:rsid w:val="1446C5BC"/>
    <w:rsid w:val="185772BE"/>
    <w:rsid w:val="1988C4B3"/>
    <w:rsid w:val="1A878D1D"/>
    <w:rsid w:val="1AB52C26"/>
    <w:rsid w:val="1D44C8AF"/>
    <w:rsid w:val="1EAAE033"/>
    <w:rsid w:val="2460C4E8"/>
    <w:rsid w:val="26098D72"/>
    <w:rsid w:val="26934610"/>
    <w:rsid w:val="2BD72F71"/>
    <w:rsid w:val="2D51F555"/>
    <w:rsid w:val="2ED9A202"/>
    <w:rsid w:val="30A584BC"/>
    <w:rsid w:val="372661A0"/>
    <w:rsid w:val="37A078E7"/>
    <w:rsid w:val="3A12413D"/>
    <w:rsid w:val="3A2C3960"/>
    <w:rsid w:val="3D338492"/>
    <w:rsid w:val="3E0EB449"/>
    <w:rsid w:val="41F806B0"/>
    <w:rsid w:val="47E57CF5"/>
    <w:rsid w:val="484D2A4F"/>
    <w:rsid w:val="4DAE6199"/>
    <w:rsid w:val="4FE98D56"/>
    <w:rsid w:val="62B232EA"/>
    <w:rsid w:val="632B5BC6"/>
    <w:rsid w:val="64332E66"/>
    <w:rsid w:val="6478E8E6"/>
    <w:rsid w:val="68F3336B"/>
    <w:rsid w:val="69C70B21"/>
    <w:rsid w:val="6AF74C8B"/>
    <w:rsid w:val="6E1C447A"/>
    <w:rsid w:val="6FDD0332"/>
    <w:rsid w:val="7199867E"/>
    <w:rsid w:val="71D4769A"/>
    <w:rsid w:val="7E664A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B07E66"/>
  <w15:docId w15:val="{6ECF7EAE-0444-4BF3-8B0C-21D5B0740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ing 1.I"/>
    <w:basedOn w:val="Normal"/>
    <w:next w:val="Normal"/>
    <w:link w:val="Heading1Char"/>
    <w:qFormat/>
    <w:rsid w:val="00344C44"/>
    <w:pPr>
      <w:keepNext/>
      <w:tabs>
        <w:tab w:val="num" w:pos="360"/>
      </w:tabs>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nhideWhenUsed/>
    <w:qFormat/>
    <w:rsid w:val="0037385C"/>
    <w:pPr>
      <w:keepNext/>
      <w:keepLines/>
      <w:numPr>
        <w:ilvl w:val="1"/>
        <w:numId w:val="1"/>
      </w:numPr>
      <w:spacing w:after="0" w:line="240" w:lineRule="auto"/>
      <w:jc w:val="both"/>
      <w:outlineLvl w:val="1"/>
    </w:pPr>
    <w:rPr>
      <w:rFonts w:ascii="Arial" w:eastAsiaTheme="majorEastAsia" w:hAnsi="Arial" w:cs="Arial"/>
      <w:lang w:val="es-CL"/>
    </w:rPr>
  </w:style>
  <w:style w:type="paragraph" w:styleId="Heading3">
    <w:name w:val="heading 3"/>
    <w:basedOn w:val="Normal"/>
    <w:next w:val="Normal"/>
    <w:link w:val="Heading3Char"/>
    <w:unhideWhenUsed/>
    <w:qFormat/>
    <w:rsid w:val="00E762B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nhideWhenUsed/>
    <w:qFormat/>
    <w:rsid w:val="00E762B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E762B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762B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762B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762B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762B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2651A"/>
  </w:style>
  <w:style w:type="paragraph" w:styleId="FootnoteText">
    <w:name w:val="footnote text"/>
    <w:aliases w:val="fn,texto de nota al pie,NOTA AL PIE TESIS PUCP,FA Fu,Footnote Text Char Char Char Char Char,Footnote Text Char Char Char Char,Footnote reference,Footnote Text Char Char Char,Footnote Text Cha,FA Fußnotentext,FA Fuﬂnotentext,footnote,ADB,f"/>
    <w:basedOn w:val="Normal"/>
    <w:link w:val="FootnoteTextChar"/>
    <w:uiPriority w:val="99"/>
    <w:unhideWhenUsed/>
    <w:rsid w:val="003D1EBD"/>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L PIE TESIS PUCP Char,FA Fu Char,Footnote Text Char Char Char Char Char Char,Footnote Text Char Char Char Char Char1,Footnote reference Char,Footnote Text Char Char Char Char1,footnote Char"/>
    <w:basedOn w:val="DefaultParagraphFont"/>
    <w:link w:val="FootnoteText"/>
    <w:uiPriority w:val="99"/>
    <w:rsid w:val="003D1EBD"/>
    <w:rPr>
      <w:rFonts w:ascii="Times New Roman" w:hAnsi="Times New Roman" w:cs="Times New Roman"/>
      <w:spacing w:val="-3"/>
      <w:sz w:val="20"/>
      <w:szCs w:val="20"/>
    </w:rPr>
  </w:style>
  <w:style w:type="character" w:styleId="FootnoteReference">
    <w:name w:val="footnote reference"/>
    <w:aliases w:val="titulo 2"/>
    <w:basedOn w:val="DefaultParagraphFont"/>
    <w:uiPriority w:val="99"/>
    <w:unhideWhenUsed/>
    <w:rsid w:val="003D1EBD"/>
    <w:rPr>
      <w:vertAlign w:val="superscript"/>
    </w:rPr>
  </w:style>
  <w:style w:type="paragraph" w:customStyle="1" w:styleId="Chapter">
    <w:name w:val="Chapter"/>
    <w:basedOn w:val="Normal"/>
    <w:next w:val="Normal"/>
    <w:rsid w:val="00E762B6"/>
    <w:pPr>
      <w:keepNext/>
      <w:numPr>
        <w:numId w:val="1"/>
      </w:numPr>
      <w:tabs>
        <w:tab w:val="left" w:pos="1440"/>
      </w:tabs>
      <w:spacing w:before="240" w:after="240" w:line="240" w:lineRule="auto"/>
      <w:jc w:val="center"/>
    </w:pPr>
    <w:rPr>
      <w:rFonts w:ascii="Times New Roman" w:eastAsiaTheme="minorEastAsia" w:hAnsi="Times New Roman" w:cs="Times New Roman"/>
      <w:b/>
      <w:smallCaps/>
      <w:sz w:val="24"/>
    </w:rPr>
  </w:style>
  <w:style w:type="paragraph" w:customStyle="1" w:styleId="Paragraph">
    <w:name w:val="Paragraph"/>
    <w:aliases w:val="paragraph,p,PARAGRAPH,PG,pa,at"/>
    <w:basedOn w:val="BodyTextIndent"/>
    <w:link w:val="ParagraphChar"/>
    <w:qFormat/>
    <w:rsid w:val="00E762B6"/>
    <w:pPr>
      <w:tabs>
        <w:tab w:val="num" w:pos="720"/>
      </w:tabs>
      <w:spacing w:before="120"/>
      <w:ind w:left="720" w:hanging="720"/>
      <w:jc w:val="both"/>
      <w:outlineLvl w:val="1"/>
    </w:pPr>
    <w:rPr>
      <w:rFonts w:eastAsiaTheme="minorEastAsia"/>
    </w:rPr>
  </w:style>
  <w:style w:type="character" w:customStyle="1" w:styleId="ParagraphChar">
    <w:name w:val="Paragraph Char"/>
    <w:basedOn w:val="DefaultParagraphFont"/>
    <w:link w:val="Paragraph"/>
    <w:rsid w:val="000E171D"/>
    <w:rPr>
      <w:rFonts w:ascii="Times New Roman" w:eastAsiaTheme="minorEastAsia" w:hAnsi="Times New Roman" w:cs="Times New Roman"/>
      <w:sz w:val="24"/>
    </w:rPr>
  </w:style>
  <w:style w:type="paragraph" w:customStyle="1" w:styleId="subpar">
    <w:name w:val="subpar"/>
    <w:basedOn w:val="BodyTextIndent3"/>
    <w:rsid w:val="00E762B6"/>
    <w:pPr>
      <w:tabs>
        <w:tab w:val="num" w:pos="1152"/>
      </w:tabs>
      <w:spacing w:before="120"/>
      <w:ind w:left="1152" w:hanging="432"/>
      <w:jc w:val="both"/>
      <w:outlineLvl w:val="2"/>
    </w:pPr>
    <w:rPr>
      <w:rFonts w:eastAsiaTheme="minorEastAsia"/>
    </w:rPr>
  </w:style>
  <w:style w:type="paragraph" w:customStyle="1" w:styleId="SubSubPar">
    <w:name w:val="SubSubPar"/>
    <w:basedOn w:val="subpar"/>
    <w:rsid w:val="00E762B6"/>
    <w:pPr>
      <w:tabs>
        <w:tab w:val="clear" w:pos="1152"/>
        <w:tab w:val="left" w:pos="0"/>
        <w:tab w:val="num" w:pos="1296"/>
      </w:tabs>
      <w:ind w:left="1296" w:hanging="288"/>
    </w:pPr>
  </w:style>
  <w:style w:type="paragraph" w:styleId="BodyTextIndent">
    <w:name w:val="Body Text Indent"/>
    <w:basedOn w:val="Normal"/>
    <w:link w:val="BodyTextIndentChar"/>
    <w:uiPriority w:val="99"/>
    <w:semiHidden/>
    <w:unhideWhenUsed/>
    <w:rsid w:val="000E171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E171D"/>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E171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E171D"/>
    <w:rPr>
      <w:rFonts w:ascii="Times New Roman" w:hAnsi="Times New Roman" w:cs="Times New Roman"/>
      <w:sz w:val="24"/>
      <w:szCs w:val="16"/>
    </w:rPr>
  </w:style>
  <w:style w:type="paragraph" w:styleId="Header">
    <w:name w:val="header"/>
    <w:basedOn w:val="Normal"/>
    <w:link w:val="HeaderChar"/>
    <w:uiPriority w:val="99"/>
    <w:unhideWhenUsed/>
    <w:rsid w:val="00D131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157"/>
  </w:style>
  <w:style w:type="paragraph" w:styleId="Footer">
    <w:name w:val="footer"/>
    <w:basedOn w:val="Normal"/>
    <w:link w:val="FooterChar"/>
    <w:uiPriority w:val="99"/>
    <w:unhideWhenUsed/>
    <w:rsid w:val="00D131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157"/>
  </w:style>
  <w:style w:type="paragraph" w:styleId="Title">
    <w:name w:val="Title"/>
    <w:basedOn w:val="Normal"/>
    <w:next w:val="Normal"/>
    <w:link w:val="TitleChar"/>
    <w:uiPriority w:val="10"/>
    <w:qFormat/>
    <w:rsid w:val="007C72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7202"/>
    <w:rPr>
      <w:rFonts w:asciiTheme="majorHAnsi" w:eastAsiaTheme="majorEastAsia" w:hAnsiTheme="majorHAnsi" w:cstheme="majorBidi"/>
      <w:color w:val="17365D" w:themeColor="text2" w:themeShade="BF"/>
      <w:spacing w:val="5"/>
      <w:kern w:val="28"/>
      <w:sz w:val="52"/>
      <w:szCs w:val="52"/>
    </w:rPr>
  </w:style>
  <w:style w:type="paragraph" w:customStyle="1" w:styleId="FirstHeading">
    <w:name w:val="FirstHeading"/>
    <w:basedOn w:val="Normal"/>
    <w:next w:val="Normal"/>
    <w:link w:val="FirstHeadingChar"/>
    <w:rsid w:val="00E762B6"/>
    <w:pPr>
      <w:keepNext/>
      <w:tabs>
        <w:tab w:val="left" w:pos="0"/>
        <w:tab w:val="left" w:pos="86"/>
      </w:tabs>
      <w:spacing w:before="120" w:after="120" w:line="240" w:lineRule="auto"/>
      <w:ind w:left="720" w:hanging="720"/>
    </w:pPr>
    <w:rPr>
      <w:rFonts w:ascii="Times New Roman" w:hAnsi="Times New Roman" w:cs="Times New Roman"/>
      <w:b/>
      <w:sz w:val="24"/>
    </w:rPr>
  </w:style>
  <w:style w:type="character" w:customStyle="1" w:styleId="FirstHeadingChar">
    <w:name w:val="FirstHeading Char"/>
    <w:basedOn w:val="DefaultParagraphFont"/>
    <w:link w:val="FirstHeading"/>
    <w:rsid w:val="00E762B6"/>
    <w:rPr>
      <w:rFonts w:ascii="Times New Roman" w:hAnsi="Times New Roman" w:cs="Times New Roman"/>
      <w:b/>
      <w:sz w:val="24"/>
    </w:rPr>
  </w:style>
  <w:style w:type="paragraph" w:customStyle="1" w:styleId="SecHeading">
    <w:name w:val="SecHeading"/>
    <w:basedOn w:val="Normal"/>
    <w:next w:val="Paragraph"/>
    <w:link w:val="SecHeadingChar"/>
    <w:rsid w:val="00E762B6"/>
    <w:pPr>
      <w:keepNext/>
      <w:tabs>
        <w:tab w:val="num" w:pos="1296"/>
      </w:tabs>
      <w:spacing w:before="120" w:after="120" w:line="240" w:lineRule="auto"/>
      <w:ind w:left="1296" w:hanging="576"/>
    </w:pPr>
    <w:rPr>
      <w:rFonts w:ascii="Times New Roman" w:hAnsi="Times New Roman" w:cs="Times New Roman"/>
      <w:b/>
      <w:sz w:val="24"/>
    </w:rPr>
  </w:style>
  <w:style w:type="character" w:customStyle="1" w:styleId="SecHeadingChar">
    <w:name w:val="SecHeading Char"/>
    <w:basedOn w:val="DefaultParagraphFont"/>
    <w:link w:val="SecHeading"/>
    <w:rsid w:val="00E762B6"/>
    <w:rPr>
      <w:rFonts w:ascii="Times New Roman" w:hAnsi="Times New Roman" w:cs="Times New Roman"/>
      <w:b/>
      <w:sz w:val="24"/>
    </w:rPr>
  </w:style>
  <w:style w:type="paragraph" w:customStyle="1" w:styleId="SubHeading1">
    <w:name w:val="SubHeading1"/>
    <w:basedOn w:val="SecHeading"/>
    <w:link w:val="SubHeading1Char"/>
    <w:rsid w:val="00E762B6"/>
    <w:pPr>
      <w:tabs>
        <w:tab w:val="clear" w:pos="1296"/>
        <w:tab w:val="num" w:pos="1872"/>
      </w:tabs>
      <w:ind w:left="1872"/>
    </w:pPr>
  </w:style>
  <w:style w:type="character" w:customStyle="1" w:styleId="SubHeading1Char">
    <w:name w:val="SubHeading1 Char"/>
    <w:basedOn w:val="DefaultParagraphFont"/>
    <w:link w:val="SubHeading1"/>
    <w:rsid w:val="00E762B6"/>
    <w:rPr>
      <w:rFonts w:ascii="Times New Roman" w:hAnsi="Times New Roman" w:cs="Times New Roman"/>
      <w:b/>
      <w:sz w:val="24"/>
    </w:rPr>
  </w:style>
  <w:style w:type="paragraph" w:customStyle="1" w:styleId="Subheading2">
    <w:name w:val="Subheading2"/>
    <w:basedOn w:val="SecHeading"/>
    <w:link w:val="Subheading2Char"/>
    <w:rsid w:val="00E762B6"/>
    <w:pPr>
      <w:tabs>
        <w:tab w:val="clear" w:pos="1296"/>
        <w:tab w:val="num" w:pos="2376"/>
      </w:tabs>
      <w:ind w:left="2376" w:hanging="288"/>
    </w:pPr>
  </w:style>
  <w:style w:type="character" w:customStyle="1" w:styleId="Subheading2Char">
    <w:name w:val="Subheading2 Char"/>
    <w:basedOn w:val="DefaultParagraphFont"/>
    <w:link w:val="Subheading2"/>
    <w:rsid w:val="00E762B6"/>
    <w:rPr>
      <w:rFonts w:ascii="Times New Roman" w:hAnsi="Times New Roman" w:cs="Times New Roman"/>
      <w:b/>
      <w:sz w:val="24"/>
    </w:rPr>
  </w:style>
  <w:style w:type="paragraph" w:customStyle="1" w:styleId="Regtable">
    <w:name w:val="Regtable"/>
    <w:basedOn w:val="Normal"/>
    <w:link w:val="RegtableChar"/>
    <w:rsid w:val="00E762B6"/>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E762B6"/>
    <w:rPr>
      <w:rFonts w:ascii="Times New Roman" w:hAnsi="Times New Roman" w:cs="Times New Roman"/>
      <w:sz w:val="20"/>
    </w:rPr>
  </w:style>
  <w:style w:type="paragraph" w:customStyle="1" w:styleId="TableTitle">
    <w:name w:val="TableTitle"/>
    <w:basedOn w:val="Normal"/>
    <w:link w:val="TableTitleChar"/>
    <w:rsid w:val="00E762B6"/>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E762B6"/>
    <w:rPr>
      <w:rFonts w:ascii="Times New Roman Bold" w:hAnsi="Times New Roman Bold" w:cs="Times New Roman Bold"/>
      <w:b/>
      <w:spacing w:val="-3"/>
      <w:sz w:val="20"/>
    </w:rPr>
  </w:style>
  <w:style w:type="character" w:customStyle="1" w:styleId="Heading2Char">
    <w:name w:val="Heading 2 Char"/>
    <w:basedOn w:val="DefaultParagraphFont"/>
    <w:link w:val="Heading2"/>
    <w:rsid w:val="0037385C"/>
    <w:rPr>
      <w:rFonts w:ascii="Arial" w:eastAsiaTheme="majorEastAsia" w:hAnsi="Arial" w:cs="Arial"/>
      <w:lang w:val="es-CL"/>
    </w:rPr>
  </w:style>
  <w:style w:type="character" w:customStyle="1" w:styleId="Heading3Char">
    <w:name w:val="Heading 3 Char"/>
    <w:basedOn w:val="DefaultParagraphFont"/>
    <w:link w:val="Heading3"/>
    <w:rsid w:val="00E762B6"/>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rsid w:val="00E762B6"/>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rsid w:val="00E762B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E762B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E762B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E762B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E762B6"/>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601FC5"/>
    <w:rPr>
      <w:sz w:val="16"/>
      <w:szCs w:val="16"/>
    </w:rPr>
  </w:style>
  <w:style w:type="paragraph" w:styleId="CommentText">
    <w:name w:val="annotation text"/>
    <w:basedOn w:val="Normal"/>
    <w:link w:val="CommentTextChar"/>
    <w:uiPriority w:val="99"/>
    <w:unhideWhenUsed/>
    <w:rsid w:val="00601FC5"/>
    <w:pPr>
      <w:spacing w:line="240" w:lineRule="auto"/>
    </w:pPr>
    <w:rPr>
      <w:sz w:val="20"/>
      <w:szCs w:val="20"/>
    </w:rPr>
  </w:style>
  <w:style w:type="character" w:customStyle="1" w:styleId="CommentTextChar">
    <w:name w:val="Comment Text Char"/>
    <w:basedOn w:val="DefaultParagraphFont"/>
    <w:link w:val="CommentText"/>
    <w:uiPriority w:val="99"/>
    <w:rsid w:val="00601FC5"/>
    <w:rPr>
      <w:sz w:val="20"/>
      <w:szCs w:val="20"/>
    </w:rPr>
  </w:style>
  <w:style w:type="paragraph" w:styleId="CommentSubject">
    <w:name w:val="annotation subject"/>
    <w:basedOn w:val="CommentText"/>
    <w:next w:val="CommentText"/>
    <w:link w:val="CommentSubjectChar"/>
    <w:uiPriority w:val="99"/>
    <w:semiHidden/>
    <w:unhideWhenUsed/>
    <w:rsid w:val="00601FC5"/>
    <w:rPr>
      <w:b/>
      <w:bCs/>
    </w:rPr>
  </w:style>
  <w:style w:type="character" w:customStyle="1" w:styleId="CommentSubjectChar">
    <w:name w:val="Comment Subject Char"/>
    <w:basedOn w:val="CommentTextChar"/>
    <w:link w:val="CommentSubject"/>
    <w:uiPriority w:val="99"/>
    <w:semiHidden/>
    <w:rsid w:val="00601FC5"/>
    <w:rPr>
      <w:b/>
      <w:bCs/>
      <w:sz w:val="20"/>
      <w:szCs w:val="20"/>
    </w:rPr>
  </w:style>
  <w:style w:type="paragraph" w:styleId="BalloonText">
    <w:name w:val="Balloon Text"/>
    <w:basedOn w:val="Normal"/>
    <w:link w:val="BalloonTextChar"/>
    <w:uiPriority w:val="99"/>
    <w:semiHidden/>
    <w:unhideWhenUsed/>
    <w:rsid w:val="00601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FC5"/>
    <w:rPr>
      <w:rFonts w:ascii="Tahoma" w:hAnsi="Tahoma" w:cs="Tahoma"/>
      <w:sz w:val="16"/>
      <w:szCs w:val="16"/>
    </w:rPr>
  </w:style>
  <w:style w:type="paragraph" w:styleId="ListParagraph">
    <w:name w:val="List Paragraph"/>
    <w:basedOn w:val="Normal"/>
    <w:link w:val="ListParagraphChar"/>
    <w:uiPriority w:val="34"/>
    <w:qFormat/>
    <w:rsid w:val="0084276C"/>
    <w:pPr>
      <w:ind w:left="720"/>
      <w:contextualSpacing/>
    </w:pPr>
  </w:style>
  <w:style w:type="character" w:customStyle="1" w:styleId="Heading1Char">
    <w:name w:val="Heading 1 Char"/>
    <w:aliases w:val="Heading 1.I Char"/>
    <w:basedOn w:val="DefaultParagraphFont"/>
    <w:link w:val="Heading1"/>
    <w:rsid w:val="00344C44"/>
    <w:rPr>
      <w:rFonts w:ascii="Arial" w:eastAsia="Times New Roman" w:hAnsi="Arial" w:cs="Times New Roman"/>
      <w:b/>
      <w:kern w:val="28"/>
      <w:sz w:val="28"/>
      <w:szCs w:val="20"/>
    </w:rPr>
  </w:style>
  <w:style w:type="paragraph" w:styleId="TOC1">
    <w:name w:val="toc 1"/>
    <w:basedOn w:val="Normal"/>
    <w:next w:val="Normal"/>
    <w:autoRedefine/>
    <w:uiPriority w:val="39"/>
    <w:unhideWhenUsed/>
    <w:rsid w:val="00344C44"/>
    <w:pPr>
      <w:spacing w:after="100"/>
    </w:pPr>
  </w:style>
  <w:style w:type="paragraph" w:styleId="TOC2">
    <w:name w:val="toc 2"/>
    <w:basedOn w:val="Normal"/>
    <w:next w:val="Normal"/>
    <w:autoRedefine/>
    <w:uiPriority w:val="39"/>
    <w:unhideWhenUsed/>
    <w:rsid w:val="004D1109"/>
    <w:pPr>
      <w:tabs>
        <w:tab w:val="left" w:pos="880"/>
        <w:tab w:val="right" w:leader="dot" w:pos="9350"/>
      </w:tabs>
      <w:spacing w:after="100"/>
    </w:pPr>
  </w:style>
  <w:style w:type="table" w:styleId="MediumShading1-Accent1">
    <w:name w:val="Medium Shading 1 Accent 1"/>
    <w:basedOn w:val="TableNormal"/>
    <w:uiPriority w:val="63"/>
    <w:rsid w:val="007F7DAA"/>
    <w:pPr>
      <w:spacing w:after="0" w:line="240" w:lineRule="auto"/>
    </w:pPr>
    <w:rPr>
      <w:rFonts w:ascii="Times New Roman" w:eastAsiaTheme="minorEastAsia" w:hAnsi="Times New Roman"/>
      <w:sz w:val="24"/>
      <w:szCs w:val="24"/>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8F77B5"/>
    <w:pPr>
      <w:spacing w:after="0" w:line="240" w:lineRule="auto"/>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7C60"/>
    <w:rPr>
      <w:color w:val="0000FF" w:themeColor="hyperlink"/>
      <w:u w:val="single"/>
    </w:rPr>
  </w:style>
  <w:style w:type="character" w:styleId="FollowedHyperlink">
    <w:name w:val="FollowedHyperlink"/>
    <w:basedOn w:val="DefaultParagraphFont"/>
    <w:uiPriority w:val="99"/>
    <w:semiHidden/>
    <w:unhideWhenUsed/>
    <w:rsid w:val="00044B44"/>
    <w:rPr>
      <w:color w:val="800080" w:themeColor="followedHyperlink"/>
      <w:u w:val="single"/>
    </w:rPr>
  </w:style>
  <w:style w:type="character" w:customStyle="1" w:styleId="ListParagraphChar">
    <w:name w:val="List Paragraph Char"/>
    <w:link w:val="ListParagraph"/>
    <w:uiPriority w:val="34"/>
    <w:locked/>
    <w:rsid w:val="00452198"/>
  </w:style>
  <w:style w:type="paragraph" w:styleId="NoSpacing">
    <w:name w:val="No Spacing"/>
    <w:uiPriority w:val="1"/>
    <w:qFormat/>
    <w:rsid w:val="00452198"/>
    <w:pPr>
      <w:spacing w:after="0" w:line="240" w:lineRule="auto"/>
    </w:pPr>
    <w:rPr>
      <w:rFonts w:ascii="Calibri" w:eastAsia="Calibri" w:hAnsi="Calibri" w:cs="Times New Roman"/>
    </w:rPr>
  </w:style>
  <w:style w:type="paragraph" w:styleId="NormalWeb">
    <w:name w:val="Normal (Web)"/>
    <w:basedOn w:val="Normal"/>
    <w:uiPriority w:val="99"/>
    <w:unhideWhenUsed/>
    <w:rsid w:val="00FA4460"/>
    <w:rPr>
      <w:rFonts w:ascii="Times New Roman" w:hAnsi="Times New Roman" w:cs="Times New Roman"/>
      <w:sz w:val="24"/>
      <w:szCs w:val="24"/>
    </w:rPr>
  </w:style>
  <w:style w:type="table" w:styleId="LightList-Accent1">
    <w:name w:val="Light List Accent 1"/>
    <w:basedOn w:val="TableNormal"/>
    <w:uiPriority w:val="61"/>
    <w:rsid w:val="009A3B8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1">
    <w:name w:val="Medium Grid 3 Accent 1"/>
    <w:basedOn w:val="TableNormal"/>
    <w:uiPriority w:val="69"/>
    <w:rsid w:val="009A3B8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PlaceholderText">
    <w:name w:val="Placeholder Text"/>
    <w:basedOn w:val="DefaultParagraphFont"/>
    <w:uiPriority w:val="99"/>
    <w:semiHidden/>
    <w:rsid w:val="008A3F91"/>
    <w:rPr>
      <w:color w:val="808080"/>
    </w:rPr>
  </w:style>
  <w:style w:type="paragraph" w:styleId="Revision">
    <w:name w:val="Revision"/>
    <w:hidden/>
    <w:uiPriority w:val="99"/>
    <w:semiHidden/>
    <w:rsid w:val="007C0623"/>
    <w:pPr>
      <w:spacing w:after="0" w:line="240" w:lineRule="auto"/>
    </w:pPr>
  </w:style>
  <w:style w:type="paragraph" w:customStyle="1" w:styleId="ColorfulList-Accent11">
    <w:name w:val="Colorful List - Accent 11"/>
    <w:basedOn w:val="Normal"/>
    <w:link w:val="ColorfulList-Accent1Char"/>
    <w:uiPriority w:val="34"/>
    <w:qFormat/>
    <w:rsid w:val="00C266EB"/>
    <w:pPr>
      <w:ind w:left="720"/>
      <w:contextualSpacing/>
    </w:pPr>
    <w:rPr>
      <w:rFonts w:ascii="Calibri" w:eastAsia="Calibri" w:hAnsi="Calibri" w:cs="Times New Roman"/>
    </w:rPr>
  </w:style>
  <w:style w:type="character" w:customStyle="1" w:styleId="ColorfulList-Accent1Char">
    <w:name w:val="Colorful List - Accent 1 Char"/>
    <w:link w:val="ColorfulList-Accent11"/>
    <w:uiPriority w:val="34"/>
    <w:rsid w:val="00C266EB"/>
    <w:rPr>
      <w:rFonts w:ascii="Calibri" w:eastAsia="Calibri" w:hAnsi="Calibri" w:cs="Times New Roman"/>
    </w:rPr>
  </w:style>
  <w:style w:type="character" w:customStyle="1" w:styleId="normaltextrun1">
    <w:name w:val="normaltextrun1"/>
    <w:basedOn w:val="DefaultParagraphFont"/>
    <w:rsid w:val="00C70CFC"/>
  </w:style>
  <w:style w:type="character" w:customStyle="1" w:styleId="normaltextrun">
    <w:name w:val="normaltextrun"/>
    <w:basedOn w:val="DefaultParagraphFont"/>
  </w:style>
  <w:style w:type="character" w:customStyle="1" w:styleId="eop">
    <w:name w:val="eop"/>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738">
      <w:bodyDiv w:val="1"/>
      <w:marLeft w:val="0"/>
      <w:marRight w:val="0"/>
      <w:marTop w:val="0"/>
      <w:marBottom w:val="0"/>
      <w:divBdr>
        <w:top w:val="none" w:sz="0" w:space="0" w:color="auto"/>
        <w:left w:val="none" w:sz="0" w:space="0" w:color="auto"/>
        <w:bottom w:val="none" w:sz="0" w:space="0" w:color="auto"/>
        <w:right w:val="none" w:sz="0" w:space="0" w:color="auto"/>
      </w:divBdr>
    </w:div>
    <w:div w:id="17707579">
      <w:bodyDiv w:val="1"/>
      <w:marLeft w:val="0"/>
      <w:marRight w:val="0"/>
      <w:marTop w:val="0"/>
      <w:marBottom w:val="0"/>
      <w:divBdr>
        <w:top w:val="none" w:sz="0" w:space="0" w:color="auto"/>
        <w:left w:val="none" w:sz="0" w:space="0" w:color="auto"/>
        <w:bottom w:val="none" w:sz="0" w:space="0" w:color="auto"/>
        <w:right w:val="none" w:sz="0" w:space="0" w:color="auto"/>
      </w:divBdr>
    </w:div>
    <w:div w:id="39864357">
      <w:bodyDiv w:val="1"/>
      <w:marLeft w:val="0"/>
      <w:marRight w:val="0"/>
      <w:marTop w:val="0"/>
      <w:marBottom w:val="0"/>
      <w:divBdr>
        <w:top w:val="none" w:sz="0" w:space="0" w:color="auto"/>
        <w:left w:val="none" w:sz="0" w:space="0" w:color="auto"/>
        <w:bottom w:val="none" w:sz="0" w:space="0" w:color="auto"/>
        <w:right w:val="none" w:sz="0" w:space="0" w:color="auto"/>
      </w:divBdr>
    </w:div>
    <w:div w:id="71125723">
      <w:bodyDiv w:val="1"/>
      <w:marLeft w:val="0"/>
      <w:marRight w:val="0"/>
      <w:marTop w:val="0"/>
      <w:marBottom w:val="0"/>
      <w:divBdr>
        <w:top w:val="none" w:sz="0" w:space="0" w:color="auto"/>
        <w:left w:val="none" w:sz="0" w:space="0" w:color="auto"/>
        <w:bottom w:val="none" w:sz="0" w:space="0" w:color="auto"/>
        <w:right w:val="none" w:sz="0" w:space="0" w:color="auto"/>
      </w:divBdr>
      <w:divsChild>
        <w:div w:id="475150997">
          <w:marLeft w:val="547"/>
          <w:marRight w:val="0"/>
          <w:marTop w:val="0"/>
          <w:marBottom w:val="0"/>
          <w:divBdr>
            <w:top w:val="none" w:sz="0" w:space="0" w:color="auto"/>
            <w:left w:val="none" w:sz="0" w:space="0" w:color="auto"/>
            <w:bottom w:val="none" w:sz="0" w:space="0" w:color="auto"/>
            <w:right w:val="none" w:sz="0" w:space="0" w:color="auto"/>
          </w:divBdr>
        </w:div>
        <w:div w:id="549079751">
          <w:marLeft w:val="547"/>
          <w:marRight w:val="0"/>
          <w:marTop w:val="0"/>
          <w:marBottom w:val="0"/>
          <w:divBdr>
            <w:top w:val="none" w:sz="0" w:space="0" w:color="auto"/>
            <w:left w:val="none" w:sz="0" w:space="0" w:color="auto"/>
            <w:bottom w:val="none" w:sz="0" w:space="0" w:color="auto"/>
            <w:right w:val="none" w:sz="0" w:space="0" w:color="auto"/>
          </w:divBdr>
        </w:div>
        <w:div w:id="675034951">
          <w:marLeft w:val="547"/>
          <w:marRight w:val="0"/>
          <w:marTop w:val="0"/>
          <w:marBottom w:val="0"/>
          <w:divBdr>
            <w:top w:val="none" w:sz="0" w:space="0" w:color="auto"/>
            <w:left w:val="none" w:sz="0" w:space="0" w:color="auto"/>
            <w:bottom w:val="none" w:sz="0" w:space="0" w:color="auto"/>
            <w:right w:val="none" w:sz="0" w:space="0" w:color="auto"/>
          </w:divBdr>
        </w:div>
        <w:div w:id="736631740">
          <w:marLeft w:val="547"/>
          <w:marRight w:val="0"/>
          <w:marTop w:val="0"/>
          <w:marBottom w:val="0"/>
          <w:divBdr>
            <w:top w:val="none" w:sz="0" w:space="0" w:color="auto"/>
            <w:left w:val="none" w:sz="0" w:space="0" w:color="auto"/>
            <w:bottom w:val="none" w:sz="0" w:space="0" w:color="auto"/>
            <w:right w:val="none" w:sz="0" w:space="0" w:color="auto"/>
          </w:divBdr>
        </w:div>
        <w:div w:id="1122114115">
          <w:marLeft w:val="547"/>
          <w:marRight w:val="0"/>
          <w:marTop w:val="0"/>
          <w:marBottom w:val="0"/>
          <w:divBdr>
            <w:top w:val="none" w:sz="0" w:space="0" w:color="auto"/>
            <w:left w:val="none" w:sz="0" w:space="0" w:color="auto"/>
            <w:bottom w:val="none" w:sz="0" w:space="0" w:color="auto"/>
            <w:right w:val="none" w:sz="0" w:space="0" w:color="auto"/>
          </w:divBdr>
        </w:div>
        <w:div w:id="1566408682">
          <w:marLeft w:val="547"/>
          <w:marRight w:val="0"/>
          <w:marTop w:val="0"/>
          <w:marBottom w:val="0"/>
          <w:divBdr>
            <w:top w:val="none" w:sz="0" w:space="0" w:color="auto"/>
            <w:left w:val="none" w:sz="0" w:space="0" w:color="auto"/>
            <w:bottom w:val="none" w:sz="0" w:space="0" w:color="auto"/>
            <w:right w:val="none" w:sz="0" w:space="0" w:color="auto"/>
          </w:divBdr>
        </w:div>
        <w:div w:id="1670214842">
          <w:marLeft w:val="547"/>
          <w:marRight w:val="0"/>
          <w:marTop w:val="0"/>
          <w:marBottom w:val="0"/>
          <w:divBdr>
            <w:top w:val="none" w:sz="0" w:space="0" w:color="auto"/>
            <w:left w:val="none" w:sz="0" w:space="0" w:color="auto"/>
            <w:bottom w:val="none" w:sz="0" w:space="0" w:color="auto"/>
            <w:right w:val="none" w:sz="0" w:space="0" w:color="auto"/>
          </w:divBdr>
        </w:div>
        <w:div w:id="1859612812">
          <w:marLeft w:val="547"/>
          <w:marRight w:val="0"/>
          <w:marTop w:val="0"/>
          <w:marBottom w:val="0"/>
          <w:divBdr>
            <w:top w:val="none" w:sz="0" w:space="0" w:color="auto"/>
            <w:left w:val="none" w:sz="0" w:space="0" w:color="auto"/>
            <w:bottom w:val="none" w:sz="0" w:space="0" w:color="auto"/>
            <w:right w:val="none" w:sz="0" w:space="0" w:color="auto"/>
          </w:divBdr>
        </w:div>
        <w:div w:id="1911692761">
          <w:marLeft w:val="547"/>
          <w:marRight w:val="0"/>
          <w:marTop w:val="0"/>
          <w:marBottom w:val="0"/>
          <w:divBdr>
            <w:top w:val="none" w:sz="0" w:space="0" w:color="auto"/>
            <w:left w:val="none" w:sz="0" w:space="0" w:color="auto"/>
            <w:bottom w:val="none" w:sz="0" w:space="0" w:color="auto"/>
            <w:right w:val="none" w:sz="0" w:space="0" w:color="auto"/>
          </w:divBdr>
        </w:div>
        <w:div w:id="1926913952">
          <w:marLeft w:val="547"/>
          <w:marRight w:val="0"/>
          <w:marTop w:val="0"/>
          <w:marBottom w:val="0"/>
          <w:divBdr>
            <w:top w:val="none" w:sz="0" w:space="0" w:color="auto"/>
            <w:left w:val="none" w:sz="0" w:space="0" w:color="auto"/>
            <w:bottom w:val="none" w:sz="0" w:space="0" w:color="auto"/>
            <w:right w:val="none" w:sz="0" w:space="0" w:color="auto"/>
          </w:divBdr>
        </w:div>
      </w:divsChild>
    </w:div>
    <w:div w:id="84155975">
      <w:bodyDiv w:val="1"/>
      <w:marLeft w:val="0"/>
      <w:marRight w:val="0"/>
      <w:marTop w:val="0"/>
      <w:marBottom w:val="0"/>
      <w:divBdr>
        <w:top w:val="none" w:sz="0" w:space="0" w:color="auto"/>
        <w:left w:val="none" w:sz="0" w:space="0" w:color="auto"/>
        <w:bottom w:val="none" w:sz="0" w:space="0" w:color="auto"/>
        <w:right w:val="none" w:sz="0" w:space="0" w:color="auto"/>
      </w:divBdr>
      <w:divsChild>
        <w:div w:id="183401434">
          <w:marLeft w:val="0"/>
          <w:marRight w:val="0"/>
          <w:marTop w:val="0"/>
          <w:marBottom w:val="0"/>
          <w:divBdr>
            <w:top w:val="none" w:sz="0" w:space="0" w:color="auto"/>
            <w:left w:val="none" w:sz="0" w:space="0" w:color="auto"/>
            <w:bottom w:val="none" w:sz="0" w:space="0" w:color="auto"/>
            <w:right w:val="none" w:sz="0" w:space="0" w:color="auto"/>
          </w:divBdr>
          <w:divsChild>
            <w:div w:id="758021349">
              <w:marLeft w:val="0"/>
              <w:marRight w:val="0"/>
              <w:marTop w:val="0"/>
              <w:marBottom w:val="0"/>
              <w:divBdr>
                <w:top w:val="none" w:sz="0" w:space="0" w:color="auto"/>
                <w:left w:val="none" w:sz="0" w:space="0" w:color="auto"/>
                <w:bottom w:val="none" w:sz="0" w:space="0" w:color="auto"/>
                <w:right w:val="none" w:sz="0" w:space="0" w:color="auto"/>
              </w:divBdr>
              <w:divsChild>
                <w:div w:id="977994523">
                  <w:marLeft w:val="0"/>
                  <w:marRight w:val="0"/>
                  <w:marTop w:val="0"/>
                  <w:marBottom w:val="0"/>
                  <w:divBdr>
                    <w:top w:val="none" w:sz="0" w:space="0" w:color="auto"/>
                    <w:left w:val="none" w:sz="0" w:space="0" w:color="auto"/>
                    <w:bottom w:val="none" w:sz="0" w:space="0" w:color="auto"/>
                    <w:right w:val="none" w:sz="0" w:space="0" w:color="auto"/>
                  </w:divBdr>
                  <w:divsChild>
                    <w:div w:id="170860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00093">
      <w:bodyDiv w:val="1"/>
      <w:marLeft w:val="0"/>
      <w:marRight w:val="0"/>
      <w:marTop w:val="0"/>
      <w:marBottom w:val="0"/>
      <w:divBdr>
        <w:top w:val="none" w:sz="0" w:space="0" w:color="auto"/>
        <w:left w:val="none" w:sz="0" w:space="0" w:color="auto"/>
        <w:bottom w:val="none" w:sz="0" w:space="0" w:color="auto"/>
        <w:right w:val="none" w:sz="0" w:space="0" w:color="auto"/>
      </w:divBdr>
    </w:div>
    <w:div w:id="96876297">
      <w:bodyDiv w:val="1"/>
      <w:marLeft w:val="0"/>
      <w:marRight w:val="0"/>
      <w:marTop w:val="0"/>
      <w:marBottom w:val="0"/>
      <w:divBdr>
        <w:top w:val="none" w:sz="0" w:space="0" w:color="auto"/>
        <w:left w:val="none" w:sz="0" w:space="0" w:color="auto"/>
        <w:bottom w:val="none" w:sz="0" w:space="0" w:color="auto"/>
        <w:right w:val="none" w:sz="0" w:space="0" w:color="auto"/>
      </w:divBdr>
    </w:div>
    <w:div w:id="103618947">
      <w:bodyDiv w:val="1"/>
      <w:marLeft w:val="0"/>
      <w:marRight w:val="0"/>
      <w:marTop w:val="0"/>
      <w:marBottom w:val="0"/>
      <w:divBdr>
        <w:top w:val="none" w:sz="0" w:space="0" w:color="auto"/>
        <w:left w:val="none" w:sz="0" w:space="0" w:color="auto"/>
        <w:bottom w:val="none" w:sz="0" w:space="0" w:color="auto"/>
        <w:right w:val="none" w:sz="0" w:space="0" w:color="auto"/>
      </w:divBdr>
    </w:div>
    <w:div w:id="121313165">
      <w:bodyDiv w:val="1"/>
      <w:marLeft w:val="0"/>
      <w:marRight w:val="0"/>
      <w:marTop w:val="0"/>
      <w:marBottom w:val="0"/>
      <w:divBdr>
        <w:top w:val="none" w:sz="0" w:space="0" w:color="auto"/>
        <w:left w:val="none" w:sz="0" w:space="0" w:color="auto"/>
        <w:bottom w:val="none" w:sz="0" w:space="0" w:color="auto"/>
        <w:right w:val="none" w:sz="0" w:space="0" w:color="auto"/>
      </w:divBdr>
    </w:div>
    <w:div w:id="130562049">
      <w:bodyDiv w:val="1"/>
      <w:marLeft w:val="0"/>
      <w:marRight w:val="0"/>
      <w:marTop w:val="0"/>
      <w:marBottom w:val="0"/>
      <w:divBdr>
        <w:top w:val="none" w:sz="0" w:space="0" w:color="auto"/>
        <w:left w:val="none" w:sz="0" w:space="0" w:color="auto"/>
        <w:bottom w:val="none" w:sz="0" w:space="0" w:color="auto"/>
        <w:right w:val="none" w:sz="0" w:space="0" w:color="auto"/>
      </w:divBdr>
      <w:divsChild>
        <w:div w:id="13193233">
          <w:marLeft w:val="547"/>
          <w:marRight w:val="0"/>
          <w:marTop w:val="0"/>
          <w:marBottom w:val="0"/>
          <w:divBdr>
            <w:top w:val="none" w:sz="0" w:space="0" w:color="auto"/>
            <w:left w:val="none" w:sz="0" w:space="0" w:color="auto"/>
            <w:bottom w:val="none" w:sz="0" w:space="0" w:color="auto"/>
            <w:right w:val="none" w:sz="0" w:space="0" w:color="auto"/>
          </w:divBdr>
        </w:div>
        <w:div w:id="433673230">
          <w:marLeft w:val="547"/>
          <w:marRight w:val="0"/>
          <w:marTop w:val="0"/>
          <w:marBottom w:val="0"/>
          <w:divBdr>
            <w:top w:val="none" w:sz="0" w:space="0" w:color="auto"/>
            <w:left w:val="none" w:sz="0" w:space="0" w:color="auto"/>
            <w:bottom w:val="none" w:sz="0" w:space="0" w:color="auto"/>
            <w:right w:val="none" w:sz="0" w:space="0" w:color="auto"/>
          </w:divBdr>
        </w:div>
        <w:div w:id="531068094">
          <w:marLeft w:val="547"/>
          <w:marRight w:val="0"/>
          <w:marTop w:val="0"/>
          <w:marBottom w:val="0"/>
          <w:divBdr>
            <w:top w:val="none" w:sz="0" w:space="0" w:color="auto"/>
            <w:left w:val="none" w:sz="0" w:space="0" w:color="auto"/>
            <w:bottom w:val="none" w:sz="0" w:space="0" w:color="auto"/>
            <w:right w:val="none" w:sz="0" w:space="0" w:color="auto"/>
          </w:divBdr>
        </w:div>
        <w:div w:id="647369242">
          <w:marLeft w:val="547"/>
          <w:marRight w:val="0"/>
          <w:marTop w:val="0"/>
          <w:marBottom w:val="0"/>
          <w:divBdr>
            <w:top w:val="none" w:sz="0" w:space="0" w:color="auto"/>
            <w:left w:val="none" w:sz="0" w:space="0" w:color="auto"/>
            <w:bottom w:val="none" w:sz="0" w:space="0" w:color="auto"/>
            <w:right w:val="none" w:sz="0" w:space="0" w:color="auto"/>
          </w:divBdr>
        </w:div>
        <w:div w:id="1261985696">
          <w:marLeft w:val="547"/>
          <w:marRight w:val="0"/>
          <w:marTop w:val="0"/>
          <w:marBottom w:val="0"/>
          <w:divBdr>
            <w:top w:val="none" w:sz="0" w:space="0" w:color="auto"/>
            <w:left w:val="none" w:sz="0" w:space="0" w:color="auto"/>
            <w:bottom w:val="none" w:sz="0" w:space="0" w:color="auto"/>
            <w:right w:val="none" w:sz="0" w:space="0" w:color="auto"/>
          </w:divBdr>
        </w:div>
        <w:div w:id="1406948151">
          <w:marLeft w:val="547"/>
          <w:marRight w:val="0"/>
          <w:marTop w:val="0"/>
          <w:marBottom w:val="0"/>
          <w:divBdr>
            <w:top w:val="none" w:sz="0" w:space="0" w:color="auto"/>
            <w:left w:val="none" w:sz="0" w:space="0" w:color="auto"/>
            <w:bottom w:val="none" w:sz="0" w:space="0" w:color="auto"/>
            <w:right w:val="none" w:sz="0" w:space="0" w:color="auto"/>
          </w:divBdr>
        </w:div>
        <w:div w:id="1553542850">
          <w:marLeft w:val="547"/>
          <w:marRight w:val="0"/>
          <w:marTop w:val="0"/>
          <w:marBottom w:val="0"/>
          <w:divBdr>
            <w:top w:val="none" w:sz="0" w:space="0" w:color="auto"/>
            <w:left w:val="none" w:sz="0" w:space="0" w:color="auto"/>
            <w:bottom w:val="none" w:sz="0" w:space="0" w:color="auto"/>
            <w:right w:val="none" w:sz="0" w:space="0" w:color="auto"/>
          </w:divBdr>
        </w:div>
        <w:div w:id="1893729698">
          <w:marLeft w:val="547"/>
          <w:marRight w:val="0"/>
          <w:marTop w:val="0"/>
          <w:marBottom w:val="0"/>
          <w:divBdr>
            <w:top w:val="none" w:sz="0" w:space="0" w:color="auto"/>
            <w:left w:val="none" w:sz="0" w:space="0" w:color="auto"/>
            <w:bottom w:val="none" w:sz="0" w:space="0" w:color="auto"/>
            <w:right w:val="none" w:sz="0" w:space="0" w:color="auto"/>
          </w:divBdr>
        </w:div>
        <w:div w:id="1973441222">
          <w:marLeft w:val="547"/>
          <w:marRight w:val="0"/>
          <w:marTop w:val="0"/>
          <w:marBottom w:val="0"/>
          <w:divBdr>
            <w:top w:val="none" w:sz="0" w:space="0" w:color="auto"/>
            <w:left w:val="none" w:sz="0" w:space="0" w:color="auto"/>
            <w:bottom w:val="none" w:sz="0" w:space="0" w:color="auto"/>
            <w:right w:val="none" w:sz="0" w:space="0" w:color="auto"/>
          </w:divBdr>
        </w:div>
        <w:div w:id="2047019295">
          <w:marLeft w:val="547"/>
          <w:marRight w:val="0"/>
          <w:marTop w:val="0"/>
          <w:marBottom w:val="0"/>
          <w:divBdr>
            <w:top w:val="none" w:sz="0" w:space="0" w:color="auto"/>
            <w:left w:val="none" w:sz="0" w:space="0" w:color="auto"/>
            <w:bottom w:val="none" w:sz="0" w:space="0" w:color="auto"/>
            <w:right w:val="none" w:sz="0" w:space="0" w:color="auto"/>
          </w:divBdr>
        </w:div>
        <w:div w:id="2063364735">
          <w:marLeft w:val="547"/>
          <w:marRight w:val="0"/>
          <w:marTop w:val="0"/>
          <w:marBottom w:val="0"/>
          <w:divBdr>
            <w:top w:val="none" w:sz="0" w:space="0" w:color="auto"/>
            <w:left w:val="none" w:sz="0" w:space="0" w:color="auto"/>
            <w:bottom w:val="none" w:sz="0" w:space="0" w:color="auto"/>
            <w:right w:val="none" w:sz="0" w:space="0" w:color="auto"/>
          </w:divBdr>
        </w:div>
      </w:divsChild>
    </w:div>
    <w:div w:id="189874640">
      <w:bodyDiv w:val="1"/>
      <w:marLeft w:val="0"/>
      <w:marRight w:val="0"/>
      <w:marTop w:val="0"/>
      <w:marBottom w:val="0"/>
      <w:divBdr>
        <w:top w:val="none" w:sz="0" w:space="0" w:color="auto"/>
        <w:left w:val="none" w:sz="0" w:space="0" w:color="auto"/>
        <w:bottom w:val="none" w:sz="0" w:space="0" w:color="auto"/>
        <w:right w:val="none" w:sz="0" w:space="0" w:color="auto"/>
      </w:divBdr>
      <w:divsChild>
        <w:div w:id="67578036">
          <w:marLeft w:val="0"/>
          <w:marRight w:val="0"/>
          <w:marTop w:val="0"/>
          <w:marBottom w:val="0"/>
          <w:divBdr>
            <w:top w:val="none" w:sz="0" w:space="0" w:color="auto"/>
            <w:left w:val="none" w:sz="0" w:space="0" w:color="auto"/>
            <w:bottom w:val="none" w:sz="0" w:space="0" w:color="auto"/>
            <w:right w:val="none" w:sz="0" w:space="0" w:color="auto"/>
          </w:divBdr>
          <w:divsChild>
            <w:div w:id="1753743770">
              <w:marLeft w:val="0"/>
              <w:marRight w:val="0"/>
              <w:marTop w:val="0"/>
              <w:marBottom w:val="0"/>
              <w:divBdr>
                <w:top w:val="none" w:sz="0" w:space="0" w:color="auto"/>
                <w:left w:val="none" w:sz="0" w:space="0" w:color="auto"/>
                <w:bottom w:val="none" w:sz="0" w:space="0" w:color="auto"/>
                <w:right w:val="none" w:sz="0" w:space="0" w:color="auto"/>
              </w:divBdr>
              <w:divsChild>
                <w:div w:id="99807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756375">
      <w:bodyDiv w:val="1"/>
      <w:marLeft w:val="0"/>
      <w:marRight w:val="0"/>
      <w:marTop w:val="0"/>
      <w:marBottom w:val="0"/>
      <w:divBdr>
        <w:top w:val="none" w:sz="0" w:space="0" w:color="auto"/>
        <w:left w:val="none" w:sz="0" w:space="0" w:color="auto"/>
        <w:bottom w:val="none" w:sz="0" w:space="0" w:color="auto"/>
        <w:right w:val="none" w:sz="0" w:space="0" w:color="auto"/>
      </w:divBdr>
      <w:divsChild>
        <w:div w:id="169375035">
          <w:marLeft w:val="0"/>
          <w:marRight w:val="0"/>
          <w:marTop w:val="0"/>
          <w:marBottom w:val="0"/>
          <w:divBdr>
            <w:top w:val="none" w:sz="0" w:space="0" w:color="auto"/>
            <w:left w:val="none" w:sz="0" w:space="0" w:color="auto"/>
            <w:bottom w:val="none" w:sz="0" w:space="0" w:color="auto"/>
            <w:right w:val="none" w:sz="0" w:space="0" w:color="auto"/>
          </w:divBdr>
          <w:divsChild>
            <w:div w:id="850338015">
              <w:marLeft w:val="0"/>
              <w:marRight w:val="0"/>
              <w:marTop w:val="0"/>
              <w:marBottom w:val="0"/>
              <w:divBdr>
                <w:top w:val="none" w:sz="0" w:space="0" w:color="auto"/>
                <w:left w:val="none" w:sz="0" w:space="0" w:color="auto"/>
                <w:bottom w:val="none" w:sz="0" w:space="0" w:color="auto"/>
                <w:right w:val="none" w:sz="0" w:space="0" w:color="auto"/>
              </w:divBdr>
              <w:divsChild>
                <w:div w:id="87543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304423">
      <w:bodyDiv w:val="1"/>
      <w:marLeft w:val="0"/>
      <w:marRight w:val="0"/>
      <w:marTop w:val="0"/>
      <w:marBottom w:val="0"/>
      <w:divBdr>
        <w:top w:val="none" w:sz="0" w:space="0" w:color="auto"/>
        <w:left w:val="none" w:sz="0" w:space="0" w:color="auto"/>
        <w:bottom w:val="none" w:sz="0" w:space="0" w:color="auto"/>
        <w:right w:val="none" w:sz="0" w:space="0" w:color="auto"/>
      </w:divBdr>
      <w:divsChild>
        <w:div w:id="50924936">
          <w:marLeft w:val="0"/>
          <w:marRight w:val="0"/>
          <w:marTop w:val="0"/>
          <w:marBottom w:val="0"/>
          <w:divBdr>
            <w:top w:val="none" w:sz="0" w:space="0" w:color="auto"/>
            <w:left w:val="none" w:sz="0" w:space="0" w:color="auto"/>
            <w:bottom w:val="none" w:sz="0" w:space="0" w:color="auto"/>
            <w:right w:val="none" w:sz="0" w:space="0" w:color="auto"/>
          </w:divBdr>
          <w:divsChild>
            <w:div w:id="2072576300">
              <w:marLeft w:val="0"/>
              <w:marRight w:val="0"/>
              <w:marTop w:val="0"/>
              <w:marBottom w:val="0"/>
              <w:divBdr>
                <w:top w:val="none" w:sz="0" w:space="0" w:color="auto"/>
                <w:left w:val="none" w:sz="0" w:space="0" w:color="auto"/>
                <w:bottom w:val="none" w:sz="0" w:space="0" w:color="auto"/>
                <w:right w:val="none" w:sz="0" w:space="0" w:color="auto"/>
              </w:divBdr>
              <w:divsChild>
                <w:div w:id="38476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043193">
      <w:bodyDiv w:val="1"/>
      <w:marLeft w:val="0"/>
      <w:marRight w:val="0"/>
      <w:marTop w:val="0"/>
      <w:marBottom w:val="0"/>
      <w:divBdr>
        <w:top w:val="none" w:sz="0" w:space="0" w:color="auto"/>
        <w:left w:val="none" w:sz="0" w:space="0" w:color="auto"/>
        <w:bottom w:val="none" w:sz="0" w:space="0" w:color="auto"/>
        <w:right w:val="none" w:sz="0" w:space="0" w:color="auto"/>
      </w:divBdr>
    </w:div>
    <w:div w:id="354306329">
      <w:bodyDiv w:val="1"/>
      <w:marLeft w:val="0"/>
      <w:marRight w:val="0"/>
      <w:marTop w:val="0"/>
      <w:marBottom w:val="0"/>
      <w:divBdr>
        <w:top w:val="none" w:sz="0" w:space="0" w:color="auto"/>
        <w:left w:val="none" w:sz="0" w:space="0" w:color="auto"/>
        <w:bottom w:val="none" w:sz="0" w:space="0" w:color="auto"/>
        <w:right w:val="none" w:sz="0" w:space="0" w:color="auto"/>
      </w:divBdr>
    </w:div>
    <w:div w:id="450786933">
      <w:bodyDiv w:val="1"/>
      <w:marLeft w:val="0"/>
      <w:marRight w:val="0"/>
      <w:marTop w:val="0"/>
      <w:marBottom w:val="0"/>
      <w:divBdr>
        <w:top w:val="none" w:sz="0" w:space="0" w:color="auto"/>
        <w:left w:val="none" w:sz="0" w:space="0" w:color="auto"/>
        <w:bottom w:val="none" w:sz="0" w:space="0" w:color="auto"/>
        <w:right w:val="none" w:sz="0" w:space="0" w:color="auto"/>
      </w:divBdr>
      <w:divsChild>
        <w:div w:id="5980739">
          <w:marLeft w:val="0"/>
          <w:marRight w:val="0"/>
          <w:marTop w:val="0"/>
          <w:marBottom w:val="0"/>
          <w:divBdr>
            <w:top w:val="none" w:sz="0" w:space="0" w:color="auto"/>
            <w:left w:val="none" w:sz="0" w:space="0" w:color="auto"/>
            <w:bottom w:val="none" w:sz="0" w:space="0" w:color="auto"/>
            <w:right w:val="none" w:sz="0" w:space="0" w:color="auto"/>
          </w:divBdr>
          <w:divsChild>
            <w:div w:id="1980769266">
              <w:marLeft w:val="0"/>
              <w:marRight w:val="0"/>
              <w:marTop w:val="0"/>
              <w:marBottom w:val="0"/>
              <w:divBdr>
                <w:top w:val="none" w:sz="0" w:space="0" w:color="auto"/>
                <w:left w:val="none" w:sz="0" w:space="0" w:color="auto"/>
                <w:bottom w:val="none" w:sz="0" w:space="0" w:color="auto"/>
                <w:right w:val="none" w:sz="0" w:space="0" w:color="auto"/>
              </w:divBdr>
              <w:divsChild>
                <w:div w:id="8269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1753">
      <w:bodyDiv w:val="1"/>
      <w:marLeft w:val="0"/>
      <w:marRight w:val="0"/>
      <w:marTop w:val="0"/>
      <w:marBottom w:val="0"/>
      <w:divBdr>
        <w:top w:val="none" w:sz="0" w:space="0" w:color="auto"/>
        <w:left w:val="none" w:sz="0" w:space="0" w:color="auto"/>
        <w:bottom w:val="none" w:sz="0" w:space="0" w:color="auto"/>
        <w:right w:val="none" w:sz="0" w:space="0" w:color="auto"/>
      </w:divBdr>
    </w:div>
    <w:div w:id="516385419">
      <w:bodyDiv w:val="1"/>
      <w:marLeft w:val="0"/>
      <w:marRight w:val="0"/>
      <w:marTop w:val="0"/>
      <w:marBottom w:val="0"/>
      <w:divBdr>
        <w:top w:val="none" w:sz="0" w:space="0" w:color="auto"/>
        <w:left w:val="none" w:sz="0" w:space="0" w:color="auto"/>
        <w:bottom w:val="none" w:sz="0" w:space="0" w:color="auto"/>
        <w:right w:val="none" w:sz="0" w:space="0" w:color="auto"/>
      </w:divBdr>
    </w:div>
    <w:div w:id="543517436">
      <w:bodyDiv w:val="1"/>
      <w:marLeft w:val="0"/>
      <w:marRight w:val="0"/>
      <w:marTop w:val="0"/>
      <w:marBottom w:val="0"/>
      <w:divBdr>
        <w:top w:val="none" w:sz="0" w:space="0" w:color="auto"/>
        <w:left w:val="none" w:sz="0" w:space="0" w:color="auto"/>
        <w:bottom w:val="none" w:sz="0" w:space="0" w:color="auto"/>
        <w:right w:val="none" w:sz="0" w:space="0" w:color="auto"/>
      </w:divBdr>
    </w:div>
    <w:div w:id="550919992">
      <w:bodyDiv w:val="1"/>
      <w:marLeft w:val="0"/>
      <w:marRight w:val="0"/>
      <w:marTop w:val="0"/>
      <w:marBottom w:val="0"/>
      <w:divBdr>
        <w:top w:val="none" w:sz="0" w:space="0" w:color="auto"/>
        <w:left w:val="none" w:sz="0" w:space="0" w:color="auto"/>
        <w:bottom w:val="none" w:sz="0" w:space="0" w:color="auto"/>
        <w:right w:val="none" w:sz="0" w:space="0" w:color="auto"/>
      </w:divBdr>
    </w:div>
    <w:div w:id="606354481">
      <w:bodyDiv w:val="1"/>
      <w:marLeft w:val="0"/>
      <w:marRight w:val="0"/>
      <w:marTop w:val="0"/>
      <w:marBottom w:val="0"/>
      <w:divBdr>
        <w:top w:val="none" w:sz="0" w:space="0" w:color="auto"/>
        <w:left w:val="none" w:sz="0" w:space="0" w:color="auto"/>
        <w:bottom w:val="none" w:sz="0" w:space="0" w:color="auto"/>
        <w:right w:val="none" w:sz="0" w:space="0" w:color="auto"/>
      </w:divBdr>
      <w:divsChild>
        <w:div w:id="1511799926">
          <w:marLeft w:val="0"/>
          <w:marRight w:val="0"/>
          <w:marTop w:val="0"/>
          <w:marBottom w:val="0"/>
          <w:divBdr>
            <w:top w:val="none" w:sz="0" w:space="0" w:color="auto"/>
            <w:left w:val="none" w:sz="0" w:space="0" w:color="auto"/>
            <w:bottom w:val="none" w:sz="0" w:space="0" w:color="auto"/>
            <w:right w:val="none" w:sz="0" w:space="0" w:color="auto"/>
          </w:divBdr>
          <w:divsChild>
            <w:div w:id="308874093">
              <w:marLeft w:val="0"/>
              <w:marRight w:val="0"/>
              <w:marTop w:val="0"/>
              <w:marBottom w:val="0"/>
              <w:divBdr>
                <w:top w:val="none" w:sz="0" w:space="0" w:color="auto"/>
                <w:left w:val="none" w:sz="0" w:space="0" w:color="auto"/>
                <w:bottom w:val="none" w:sz="0" w:space="0" w:color="auto"/>
                <w:right w:val="none" w:sz="0" w:space="0" w:color="auto"/>
              </w:divBdr>
              <w:divsChild>
                <w:div w:id="165271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009739">
      <w:bodyDiv w:val="1"/>
      <w:marLeft w:val="0"/>
      <w:marRight w:val="0"/>
      <w:marTop w:val="0"/>
      <w:marBottom w:val="0"/>
      <w:divBdr>
        <w:top w:val="none" w:sz="0" w:space="0" w:color="auto"/>
        <w:left w:val="none" w:sz="0" w:space="0" w:color="auto"/>
        <w:bottom w:val="none" w:sz="0" w:space="0" w:color="auto"/>
        <w:right w:val="none" w:sz="0" w:space="0" w:color="auto"/>
      </w:divBdr>
    </w:div>
    <w:div w:id="638071010">
      <w:bodyDiv w:val="1"/>
      <w:marLeft w:val="0"/>
      <w:marRight w:val="0"/>
      <w:marTop w:val="0"/>
      <w:marBottom w:val="0"/>
      <w:divBdr>
        <w:top w:val="none" w:sz="0" w:space="0" w:color="auto"/>
        <w:left w:val="none" w:sz="0" w:space="0" w:color="auto"/>
        <w:bottom w:val="none" w:sz="0" w:space="0" w:color="auto"/>
        <w:right w:val="none" w:sz="0" w:space="0" w:color="auto"/>
      </w:divBdr>
    </w:div>
    <w:div w:id="662856813">
      <w:bodyDiv w:val="1"/>
      <w:marLeft w:val="0"/>
      <w:marRight w:val="0"/>
      <w:marTop w:val="0"/>
      <w:marBottom w:val="0"/>
      <w:divBdr>
        <w:top w:val="none" w:sz="0" w:space="0" w:color="auto"/>
        <w:left w:val="none" w:sz="0" w:space="0" w:color="auto"/>
        <w:bottom w:val="none" w:sz="0" w:space="0" w:color="auto"/>
        <w:right w:val="none" w:sz="0" w:space="0" w:color="auto"/>
      </w:divBdr>
      <w:divsChild>
        <w:div w:id="1481651024">
          <w:marLeft w:val="0"/>
          <w:marRight w:val="0"/>
          <w:marTop w:val="0"/>
          <w:marBottom w:val="0"/>
          <w:divBdr>
            <w:top w:val="none" w:sz="0" w:space="0" w:color="auto"/>
            <w:left w:val="none" w:sz="0" w:space="0" w:color="auto"/>
            <w:bottom w:val="none" w:sz="0" w:space="0" w:color="auto"/>
            <w:right w:val="none" w:sz="0" w:space="0" w:color="auto"/>
          </w:divBdr>
          <w:divsChild>
            <w:div w:id="140973597">
              <w:marLeft w:val="0"/>
              <w:marRight w:val="0"/>
              <w:marTop w:val="0"/>
              <w:marBottom w:val="0"/>
              <w:divBdr>
                <w:top w:val="none" w:sz="0" w:space="0" w:color="auto"/>
                <w:left w:val="none" w:sz="0" w:space="0" w:color="auto"/>
                <w:bottom w:val="none" w:sz="0" w:space="0" w:color="auto"/>
                <w:right w:val="none" w:sz="0" w:space="0" w:color="auto"/>
              </w:divBdr>
              <w:divsChild>
                <w:div w:id="164438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029124">
      <w:bodyDiv w:val="1"/>
      <w:marLeft w:val="0"/>
      <w:marRight w:val="0"/>
      <w:marTop w:val="0"/>
      <w:marBottom w:val="0"/>
      <w:divBdr>
        <w:top w:val="none" w:sz="0" w:space="0" w:color="auto"/>
        <w:left w:val="none" w:sz="0" w:space="0" w:color="auto"/>
        <w:bottom w:val="none" w:sz="0" w:space="0" w:color="auto"/>
        <w:right w:val="none" w:sz="0" w:space="0" w:color="auto"/>
      </w:divBdr>
    </w:div>
    <w:div w:id="711736132">
      <w:bodyDiv w:val="1"/>
      <w:marLeft w:val="0"/>
      <w:marRight w:val="0"/>
      <w:marTop w:val="0"/>
      <w:marBottom w:val="0"/>
      <w:divBdr>
        <w:top w:val="none" w:sz="0" w:space="0" w:color="auto"/>
        <w:left w:val="none" w:sz="0" w:space="0" w:color="auto"/>
        <w:bottom w:val="none" w:sz="0" w:space="0" w:color="auto"/>
        <w:right w:val="none" w:sz="0" w:space="0" w:color="auto"/>
      </w:divBdr>
      <w:divsChild>
        <w:div w:id="570165383">
          <w:marLeft w:val="0"/>
          <w:marRight w:val="0"/>
          <w:marTop w:val="0"/>
          <w:marBottom w:val="0"/>
          <w:divBdr>
            <w:top w:val="none" w:sz="0" w:space="0" w:color="auto"/>
            <w:left w:val="none" w:sz="0" w:space="0" w:color="auto"/>
            <w:bottom w:val="none" w:sz="0" w:space="0" w:color="auto"/>
            <w:right w:val="none" w:sz="0" w:space="0" w:color="auto"/>
          </w:divBdr>
          <w:divsChild>
            <w:div w:id="78065868">
              <w:marLeft w:val="0"/>
              <w:marRight w:val="0"/>
              <w:marTop w:val="0"/>
              <w:marBottom w:val="0"/>
              <w:divBdr>
                <w:top w:val="none" w:sz="0" w:space="0" w:color="auto"/>
                <w:left w:val="none" w:sz="0" w:space="0" w:color="auto"/>
                <w:bottom w:val="none" w:sz="0" w:space="0" w:color="auto"/>
                <w:right w:val="none" w:sz="0" w:space="0" w:color="auto"/>
              </w:divBdr>
              <w:divsChild>
                <w:div w:id="653267185">
                  <w:marLeft w:val="0"/>
                  <w:marRight w:val="0"/>
                  <w:marTop w:val="0"/>
                  <w:marBottom w:val="0"/>
                  <w:divBdr>
                    <w:top w:val="none" w:sz="0" w:space="0" w:color="auto"/>
                    <w:left w:val="none" w:sz="0" w:space="0" w:color="auto"/>
                    <w:bottom w:val="none" w:sz="0" w:space="0" w:color="auto"/>
                    <w:right w:val="none" w:sz="0" w:space="0" w:color="auto"/>
                  </w:divBdr>
                  <w:divsChild>
                    <w:div w:id="35238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54971">
      <w:bodyDiv w:val="1"/>
      <w:marLeft w:val="0"/>
      <w:marRight w:val="0"/>
      <w:marTop w:val="0"/>
      <w:marBottom w:val="0"/>
      <w:divBdr>
        <w:top w:val="none" w:sz="0" w:space="0" w:color="auto"/>
        <w:left w:val="none" w:sz="0" w:space="0" w:color="auto"/>
        <w:bottom w:val="none" w:sz="0" w:space="0" w:color="auto"/>
        <w:right w:val="none" w:sz="0" w:space="0" w:color="auto"/>
      </w:divBdr>
      <w:divsChild>
        <w:div w:id="732851319">
          <w:marLeft w:val="0"/>
          <w:marRight w:val="0"/>
          <w:marTop w:val="0"/>
          <w:marBottom w:val="0"/>
          <w:divBdr>
            <w:top w:val="none" w:sz="0" w:space="0" w:color="auto"/>
            <w:left w:val="none" w:sz="0" w:space="0" w:color="auto"/>
            <w:bottom w:val="none" w:sz="0" w:space="0" w:color="auto"/>
            <w:right w:val="none" w:sz="0" w:space="0" w:color="auto"/>
          </w:divBdr>
          <w:divsChild>
            <w:div w:id="1476486626">
              <w:marLeft w:val="0"/>
              <w:marRight w:val="0"/>
              <w:marTop w:val="0"/>
              <w:marBottom w:val="0"/>
              <w:divBdr>
                <w:top w:val="none" w:sz="0" w:space="0" w:color="auto"/>
                <w:left w:val="none" w:sz="0" w:space="0" w:color="auto"/>
                <w:bottom w:val="none" w:sz="0" w:space="0" w:color="auto"/>
                <w:right w:val="none" w:sz="0" w:space="0" w:color="auto"/>
              </w:divBdr>
              <w:divsChild>
                <w:div w:id="153423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773768">
      <w:bodyDiv w:val="1"/>
      <w:marLeft w:val="0"/>
      <w:marRight w:val="0"/>
      <w:marTop w:val="0"/>
      <w:marBottom w:val="0"/>
      <w:divBdr>
        <w:top w:val="none" w:sz="0" w:space="0" w:color="auto"/>
        <w:left w:val="none" w:sz="0" w:space="0" w:color="auto"/>
        <w:bottom w:val="none" w:sz="0" w:space="0" w:color="auto"/>
        <w:right w:val="none" w:sz="0" w:space="0" w:color="auto"/>
      </w:divBdr>
    </w:div>
    <w:div w:id="855114653">
      <w:bodyDiv w:val="1"/>
      <w:marLeft w:val="0"/>
      <w:marRight w:val="0"/>
      <w:marTop w:val="0"/>
      <w:marBottom w:val="0"/>
      <w:divBdr>
        <w:top w:val="none" w:sz="0" w:space="0" w:color="auto"/>
        <w:left w:val="none" w:sz="0" w:space="0" w:color="auto"/>
        <w:bottom w:val="none" w:sz="0" w:space="0" w:color="auto"/>
        <w:right w:val="none" w:sz="0" w:space="0" w:color="auto"/>
      </w:divBdr>
      <w:divsChild>
        <w:div w:id="24210971">
          <w:marLeft w:val="0"/>
          <w:marRight w:val="0"/>
          <w:marTop w:val="0"/>
          <w:marBottom w:val="0"/>
          <w:divBdr>
            <w:top w:val="none" w:sz="0" w:space="0" w:color="auto"/>
            <w:left w:val="none" w:sz="0" w:space="0" w:color="auto"/>
            <w:bottom w:val="none" w:sz="0" w:space="0" w:color="auto"/>
            <w:right w:val="none" w:sz="0" w:space="0" w:color="auto"/>
          </w:divBdr>
          <w:divsChild>
            <w:div w:id="551770228">
              <w:marLeft w:val="0"/>
              <w:marRight w:val="0"/>
              <w:marTop w:val="0"/>
              <w:marBottom w:val="0"/>
              <w:divBdr>
                <w:top w:val="none" w:sz="0" w:space="0" w:color="auto"/>
                <w:left w:val="none" w:sz="0" w:space="0" w:color="auto"/>
                <w:bottom w:val="none" w:sz="0" w:space="0" w:color="auto"/>
                <w:right w:val="none" w:sz="0" w:space="0" w:color="auto"/>
              </w:divBdr>
              <w:divsChild>
                <w:div w:id="138525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095515208">
          <w:marLeft w:val="0"/>
          <w:marRight w:val="0"/>
          <w:marTop w:val="0"/>
          <w:marBottom w:val="0"/>
          <w:divBdr>
            <w:top w:val="none" w:sz="0" w:space="0" w:color="auto"/>
            <w:left w:val="none" w:sz="0" w:space="0" w:color="auto"/>
            <w:bottom w:val="none" w:sz="0" w:space="0" w:color="auto"/>
            <w:right w:val="none" w:sz="0" w:space="0" w:color="auto"/>
          </w:divBdr>
          <w:divsChild>
            <w:div w:id="1887645984">
              <w:marLeft w:val="0"/>
              <w:marRight w:val="0"/>
              <w:marTop w:val="0"/>
              <w:marBottom w:val="0"/>
              <w:divBdr>
                <w:top w:val="none" w:sz="0" w:space="0" w:color="auto"/>
                <w:left w:val="none" w:sz="0" w:space="0" w:color="auto"/>
                <w:bottom w:val="none" w:sz="0" w:space="0" w:color="auto"/>
                <w:right w:val="none" w:sz="0" w:space="0" w:color="auto"/>
              </w:divBdr>
              <w:divsChild>
                <w:div w:id="4065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07658">
      <w:bodyDiv w:val="1"/>
      <w:marLeft w:val="0"/>
      <w:marRight w:val="0"/>
      <w:marTop w:val="0"/>
      <w:marBottom w:val="0"/>
      <w:divBdr>
        <w:top w:val="none" w:sz="0" w:space="0" w:color="auto"/>
        <w:left w:val="none" w:sz="0" w:space="0" w:color="auto"/>
        <w:bottom w:val="none" w:sz="0" w:space="0" w:color="auto"/>
        <w:right w:val="none" w:sz="0" w:space="0" w:color="auto"/>
      </w:divBdr>
      <w:divsChild>
        <w:div w:id="699553746">
          <w:marLeft w:val="0"/>
          <w:marRight w:val="0"/>
          <w:marTop w:val="0"/>
          <w:marBottom w:val="0"/>
          <w:divBdr>
            <w:top w:val="none" w:sz="0" w:space="0" w:color="auto"/>
            <w:left w:val="none" w:sz="0" w:space="0" w:color="auto"/>
            <w:bottom w:val="none" w:sz="0" w:space="0" w:color="auto"/>
            <w:right w:val="none" w:sz="0" w:space="0" w:color="auto"/>
          </w:divBdr>
          <w:divsChild>
            <w:div w:id="1662660075">
              <w:marLeft w:val="0"/>
              <w:marRight w:val="0"/>
              <w:marTop w:val="0"/>
              <w:marBottom w:val="0"/>
              <w:divBdr>
                <w:top w:val="none" w:sz="0" w:space="0" w:color="auto"/>
                <w:left w:val="none" w:sz="0" w:space="0" w:color="auto"/>
                <w:bottom w:val="none" w:sz="0" w:space="0" w:color="auto"/>
                <w:right w:val="none" w:sz="0" w:space="0" w:color="auto"/>
              </w:divBdr>
              <w:divsChild>
                <w:div w:id="2673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827583">
      <w:bodyDiv w:val="1"/>
      <w:marLeft w:val="0"/>
      <w:marRight w:val="0"/>
      <w:marTop w:val="0"/>
      <w:marBottom w:val="0"/>
      <w:divBdr>
        <w:top w:val="none" w:sz="0" w:space="0" w:color="auto"/>
        <w:left w:val="none" w:sz="0" w:space="0" w:color="auto"/>
        <w:bottom w:val="none" w:sz="0" w:space="0" w:color="auto"/>
        <w:right w:val="none" w:sz="0" w:space="0" w:color="auto"/>
      </w:divBdr>
      <w:divsChild>
        <w:div w:id="2064019398">
          <w:marLeft w:val="0"/>
          <w:marRight w:val="0"/>
          <w:marTop w:val="0"/>
          <w:marBottom w:val="0"/>
          <w:divBdr>
            <w:top w:val="none" w:sz="0" w:space="0" w:color="auto"/>
            <w:left w:val="none" w:sz="0" w:space="0" w:color="auto"/>
            <w:bottom w:val="none" w:sz="0" w:space="0" w:color="auto"/>
            <w:right w:val="none" w:sz="0" w:space="0" w:color="auto"/>
          </w:divBdr>
          <w:divsChild>
            <w:div w:id="1382946724">
              <w:marLeft w:val="0"/>
              <w:marRight w:val="0"/>
              <w:marTop w:val="0"/>
              <w:marBottom w:val="0"/>
              <w:divBdr>
                <w:top w:val="none" w:sz="0" w:space="0" w:color="auto"/>
                <w:left w:val="none" w:sz="0" w:space="0" w:color="auto"/>
                <w:bottom w:val="none" w:sz="0" w:space="0" w:color="auto"/>
                <w:right w:val="none" w:sz="0" w:space="0" w:color="auto"/>
              </w:divBdr>
              <w:divsChild>
                <w:div w:id="112204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98509">
      <w:bodyDiv w:val="1"/>
      <w:marLeft w:val="0"/>
      <w:marRight w:val="0"/>
      <w:marTop w:val="0"/>
      <w:marBottom w:val="0"/>
      <w:divBdr>
        <w:top w:val="none" w:sz="0" w:space="0" w:color="auto"/>
        <w:left w:val="none" w:sz="0" w:space="0" w:color="auto"/>
        <w:bottom w:val="none" w:sz="0" w:space="0" w:color="auto"/>
        <w:right w:val="none" w:sz="0" w:space="0" w:color="auto"/>
      </w:divBdr>
      <w:divsChild>
        <w:div w:id="710374880">
          <w:marLeft w:val="0"/>
          <w:marRight w:val="0"/>
          <w:marTop w:val="0"/>
          <w:marBottom w:val="0"/>
          <w:divBdr>
            <w:top w:val="none" w:sz="0" w:space="0" w:color="auto"/>
            <w:left w:val="none" w:sz="0" w:space="0" w:color="auto"/>
            <w:bottom w:val="none" w:sz="0" w:space="0" w:color="auto"/>
            <w:right w:val="none" w:sz="0" w:space="0" w:color="auto"/>
          </w:divBdr>
          <w:divsChild>
            <w:div w:id="228805255">
              <w:marLeft w:val="0"/>
              <w:marRight w:val="0"/>
              <w:marTop w:val="0"/>
              <w:marBottom w:val="0"/>
              <w:divBdr>
                <w:top w:val="none" w:sz="0" w:space="0" w:color="auto"/>
                <w:left w:val="none" w:sz="0" w:space="0" w:color="auto"/>
                <w:bottom w:val="none" w:sz="0" w:space="0" w:color="auto"/>
                <w:right w:val="none" w:sz="0" w:space="0" w:color="auto"/>
              </w:divBdr>
              <w:divsChild>
                <w:div w:id="190727637">
                  <w:marLeft w:val="0"/>
                  <w:marRight w:val="0"/>
                  <w:marTop w:val="0"/>
                  <w:marBottom w:val="0"/>
                  <w:divBdr>
                    <w:top w:val="none" w:sz="0" w:space="0" w:color="auto"/>
                    <w:left w:val="none" w:sz="0" w:space="0" w:color="auto"/>
                    <w:bottom w:val="none" w:sz="0" w:space="0" w:color="auto"/>
                    <w:right w:val="none" w:sz="0" w:space="0" w:color="auto"/>
                  </w:divBdr>
                  <w:divsChild>
                    <w:div w:id="31761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947">
      <w:bodyDiv w:val="1"/>
      <w:marLeft w:val="0"/>
      <w:marRight w:val="0"/>
      <w:marTop w:val="0"/>
      <w:marBottom w:val="0"/>
      <w:divBdr>
        <w:top w:val="none" w:sz="0" w:space="0" w:color="auto"/>
        <w:left w:val="none" w:sz="0" w:space="0" w:color="auto"/>
        <w:bottom w:val="none" w:sz="0" w:space="0" w:color="auto"/>
        <w:right w:val="none" w:sz="0" w:space="0" w:color="auto"/>
      </w:divBdr>
      <w:divsChild>
        <w:div w:id="1248463747">
          <w:marLeft w:val="0"/>
          <w:marRight w:val="0"/>
          <w:marTop w:val="0"/>
          <w:marBottom w:val="0"/>
          <w:divBdr>
            <w:top w:val="none" w:sz="0" w:space="0" w:color="auto"/>
            <w:left w:val="none" w:sz="0" w:space="0" w:color="auto"/>
            <w:bottom w:val="none" w:sz="0" w:space="0" w:color="auto"/>
            <w:right w:val="none" w:sz="0" w:space="0" w:color="auto"/>
          </w:divBdr>
          <w:divsChild>
            <w:div w:id="1527326664">
              <w:marLeft w:val="0"/>
              <w:marRight w:val="0"/>
              <w:marTop w:val="0"/>
              <w:marBottom w:val="0"/>
              <w:divBdr>
                <w:top w:val="none" w:sz="0" w:space="0" w:color="auto"/>
                <w:left w:val="none" w:sz="0" w:space="0" w:color="auto"/>
                <w:bottom w:val="none" w:sz="0" w:space="0" w:color="auto"/>
                <w:right w:val="none" w:sz="0" w:space="0" w:color="auto"/>
              </w:divBdr>
              <w:divsChild>
                <w:div w:id="118713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776297">
      <w:bodyDiv w:val="1"/>
      <w:marLeft w:val="0"/>
      <w:marRight w:val="0"/>
      <w:marTop w:val="0"/>
      <w:marBottom w:val="0"/>
      <w:divBdr>
        <w:top w:val="none" w:sz="0" w:space="0" w:color="auto"/>
        <w:left w:val="none" w:sz="0" w:space="0" w:color="auto"/>
        <w:bottom w:val="none" w:sz="0" w:space="0" w:color="auto"/>
        <w:right w:val="none" w:sz="0" w:space="0" w:color="auto"/>
      </w:divBdr>
    </w:div>
    <w:div w:id="1079255481">
      <w:bodyDiv w:val="1"/>
      <w:marLeft w:val="0"/>
      <w:marRight w:val="0"/>
      <w:marTop w:val="0"/>
      <w:marBottom w:val="0"/>
      <w:divBdr>
        <w:top w:val="none" w:sz="0" w:space="0" w:color="auto"/>
        <w:left w:val="none" w:sz="0" w:space="0" w:color="auto"/>
        <w:bottom w:val="none" w:sz="0" w:space="0" w:color="auto"/>
        <w:right w:val="none" w:sz="0" w:space="0" w:color="auto"/>
      </w:divBdr>
    </w:div>
    <w:div w:id="1148863361">
      <w:bodyDiv w:val="1"/>
      <w:marLeft w:val="0"/>
      <w:marRight w:val="0"/>
      <w:marTop w:val="0"/>
      <w:marBottom w:val="0"/>
      <w:divBdr>
        <w:top w:val="none" w:sz="0" w:space="0" w:color="auto"/>
        <w:left w:val="none" w:sz="0" w:space="0" w:color="auto"/>
        <w:bottom w:val="none" w:sz="0" w:space="0" w:color="auto"/>
        <w:right w:val="none" w:sz="0" w:space="0" w:color="auto"/>
      </w:divBdr>
    </w:div>
    <w:div w:id="1190921913">
      <w:bodyDiv w:val="1"/>
      <w:marLeft w:val="0"/>
      <w:marRight w:val="0"/>
      <w:marTop w:val="0"/>
      <w:marBottom w:val="0"/>
      <w:divBdr>
        <w:top w:val="none" w:sz="0" w:space="0" w:color="auto"/>
        <w:left w:val="none" w:sz="0" w:space="0" w:color="auto"/>
        <w:bottom w:val="none" w:sz="0" w:space="0" w:color="auto"/>
        <w:right w:val="none" w:sz="0" w:space="0" w:color="auto"/>
      </w:divBdr>
    </w:div>
    <w:div w:id="1233393660">
      <w:bodyDiv w:val="1"/>
      <w:marLeft w:val="0"/>
      <w:marRight w:val="0"/>
      <w:marTop w:val="0"/>
      <w:marBottom w:val="0"/>
      <w:divBdr>
        <w:top w:val="none" w:sz="0" w:space="0" w:color="auto"/>
        <w:left w:val="none" w:sz="0" w:space="0" w:color="auto"/>
        <w:bottom w:val="none" w:sz="0" w:space="0" w:color="auto"/>
        <w:right w:val="none" w:sz="0" w:space="0" w:color="auto"/>
      </w:divBdr>
    </w:div>
    <w:div w:id="1233586081">
      <w:bodyDiv w:val="1"/>
      <w:marLeft w:val="0"/>
      <w:marRight w:val="0"/>
      <w:marTop w:val="0"/>
      <w:marBottom w:val="0"/>
      <w:divBdr>
        <w:top w:val="none" w:sz="0" w:space="0" w:color="auto"/>
        <w:left w:val="none" w:sz="0" w:space="0" w:color="auto"/>
        <w:bottom w:val="none" w:sz="0" w:space="0" w:color="auto"/>
        <w:right w:val="none" w:sz="0" w:space="0" w:color="auto"/>
      </w:divBdr>
    </w:div>
    <w:div w:id="1267619976">
      <w:bodyDiv w:val="1"/>
      <w:marLeft w:val="0"/>
      <w:marRight w:val="0"/>
      <w:marTop w:val="0"/>
      <w:marBottom w:val="0"/>
      <w:divBdr>
        <w:top w:val="none" w:sz="0" w:space="0" w:color="auto"/>
        <w:left w:val="none" w:sz="0" w:space="0" w:color="auto"/>
        <w:bottom w:val="none" w:sz="0" w:space="0" w:color="auto"/>
        <w:right w:val="none" w:sz="0" w:space="0" w:color="auto"/>
      </w:divBdr>
      <w:divsChild>
        <w:div w:id="547231878">
          <w:marLeft w:val="0"/>
          <w:marRight w:val="0"/>
          <w:marTop w:val="0"/>
          <w:marBottom w:val="0"/>
          <w:divBdr>
            <w:top w:val="none" w:sz="0" w:space="0" w:color="auto"/>
            <w:left w:val="none" w:sz="0" w:space="0" w:color="auto"/>
            <w:bottom w:val="none" w:sz="0" w:space="0" w:color="auto"/>
            <w:right w:val="none" w:sz="0" w:space="0" w:color="auto"/>
          </w:divBdr>
          <w:divsChild>
            <w:div w:id="311105779">
              <w:marLeft w:val="0"/>
              <w:marRight w:val="0"/>
              <w:marTop w:val="0"/>
              <w:marBottom w:val="0"/>
              <w:divBdr>
                <w:top w:val="none" w:sz="0" w:space="0" w:color="auto"/>
                <w:left w:val="none" w:sz="0" w:space="0" w:color="auto"/>
                <w:bottom w:val="none" w:sz="0" w:space="0" w:color="auto"/>
                <w:right w:val="none" w:sz="0" w:space="0" w:color="auto"/>
              </w:divBdr>
              <w:divsChild>
                <w:div w:id="205569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640579">
      <w:bodyDiv w:val="1"/>
      <w:marLeft w:val="0"/>
      <w:marRight w:val="0"/>
      <w:marTop w:val="0"/>
      <w:marBottom w:val="0"/>
      <w:divBdr>
        <w:top w:val="none" w:sz="0" w:space="0" w:color="auto"/>
        <w:left w:val="none" w:sz="0" w:space="0" w:color="auto"/>
        <w:bottom w:val="none" w:sz="0" w:space="0" w:color="auto"/>
        <w:right w:val="none" w:sz="0" w:space="0" w:color="auto"/>
      </w:divBdr>
    </w:div>
    <w:div w:id="1419712282">
      <w:bodyDiv w:val="1"/>
      <w:marLeft w:val="0"/>
      <w:marRight w:val="0"/>
      <w:marTop w:val="0"/>
      <w:marBottom w:val="0"/>
      <w:divBdr>
        <w:top w:val="none" w:sz="0" w:space="0" w:color="auto"/>
        <w:left w:val="none" w:sz="0" w:space="0" w:color="auto"/>
        <w:bottom w:val="none" w:sz="0" w:space="0" w:color="auto"/>
        <w:right w:val="none" w:sz="0" w:space="0" w:color="auto"/>
      </w:divBdr>
    </w:div>
    <w:div w:id="1441955746">
      <w:bodyDiv w:val="1"/>
      <w:marLeft w:val="0"/>
      <w:marRight w:val="0"/>
      <w:marTop w:val="0"/>
      <w:marBottom w:val="0"/>
      <w:divBdr>
        <w:top w:val="none" w:sz="0" w:space="0" w:color="auto"/>
        <w:left w:val="none" w:sz="0" w:space="0" w:color="auto"/>
        <w:bottom w:val="none" w:sz="0" w:space="0" w:color="auto"/>
        <w:right w:val="none" w:sz="0" w:space="0" w:color="auto"/>
      </w:divBdr>
    </w:div>
    <w:div w:id="1498230132">
      <w:bodyDiv w:val="1"/>
      <w:marLeft w:val="0"/>
      <w:marRight w:val="0"/>
      <w:marTop w:val="0"/>
      <w:marBottom w:val="0"/>
      <w:divBdr>
        <w:top w:val="none" w:sz="0" w:space="0" w:color="auto"/>
        <w:left w:val="none" w:sz="0" w:space="0" w:color="auto"/>
        <w:bottom w:val="none" w:sz="0" w:space="0" w:color="auto"/>
        <w:right w:val="none" w:sz="0" w:space="0" w:color="auto"/>
      </w:divBdr>
    </w:div>
    <w:div w:id="1531606367">
      <w:bodyDiv w:val="1"/>
      <w:marLeft w:val="0"/>
      <w:marRight w:val="0"/>
      <w:marTop w:val="0"/>
      <w:marBottom w:val="0"/>
      <w:divBdr>
        <w:top w:val="none" w:sz="0" w:space="0" w:color="auto"/>
        <w:left w:val="none" w:sz="0" w:space="0" w:color="auto"/>
        <w:bottom w:val="none" w:sz="0" w:space="0" w:color="auto"/>
        <w:right w:val="none" w:sz="0" w:space="0" w:color="auto"/>
      </w:divBdr>
    </w:div>
    <w:div w:id="1552183943">
      <w:bodyDiv w:val="1"/>
      <w:marLeft w:val="0"/>
      <w:marRight w:val="0"/>
      <w:marTop w:val="0"/>
      <w:marBottom w:val="0"/>
      <w:divBdr>
        <w:top w:val="none" w:sz="0" w:space="0" w:color="auto"/>
        <w:left w:val="none" w:sz="0" w:space="0" w:color="auto"/>
        <w:bottom w:val="none" w:sz="0" w:space="0" w:color="auto"/>
        <w:right w:val="none" w:sz="0" w:space="0" w:color="auto"/>
      </w:divBdr>
    </w:div>
    <w:div w:id="1572233321">
      <w:bodyDiv w:val="1"/>
      <w:marLeft w:val="0"/>
      <w:marRight w:val="0"/>
      <w:marTop w:val="0"/>
      <w:marBottom w:val="0"/>
      <w:divBdr>
        <w:top w:val="none" w:sz="0" w:space="0" w:color="auto"/>
        <w:left w:val="none" w:sz="0" w:space="0" w:color="auto"/>
        <w:bottom w:val="none" w:sz="0" w:space="0" w:color="auto"/>
        <w:right w:val="none" w:sz="0" w:space="0" w:color="auto"/>
      </w:divBdr>
    </w:div>
    <w:div w:id="1756896049">
      <w:bodyDiv w:val="1"/>
      <w:marLeft w:val="0"/>
      <w:marRight w:val="0"/>
      <w:marTop w:val="0"/>
      <w:marBottom w:val="0"/>
      <w:divBdr>
        <w:top w:val="none" w:sz="0" w:space="0" w:color="auto"/>
        <w:left w:val="none" w:sz="0" w:space="0" w:color="auto"/>
        <w:bottom w:val="none" w:sz="0" w:space="0" w:color="auto"/>
        <w:right w:val="none" w:sz="0" w:space="0" w:color="auto"/>
      </w:divBdr>
    </w:div>
    <w:div w:id="1812823748">
      <w:bodyDiv w:val="1"/>
      <w:marLeft w:val="0"/>
      <w:marRight w:val="0"/>
      <w:marTop w:val="0"/>
      <w:marBottom w:val="0"/>
      <w:divBdr>
        <w:top w:val="none" w:sz="0" w:space="0" w:color="auto"/>
        <w:left w:val="none" w:sz="0" w:space="0" w:color="auto"/>
        <w:bottom w:val="none" w:sz="0" w:space="0" w:color="auto"/>
        <w:right w:val="none" w:sz="0" w:space="0" w:color="auto"/>
      </w:divBdr>
    </w:div>
    <w:div w:id="1822312308">
      <w:bodyDiv w:val="1"/>
      <w:marLeft w:val="0"/>
      <w:marRight w:val="0"/>
      <w:marTop w:val="0"/>
      <w:marBottom w:val="0"/>
      <w:divBdr>
        <w:top w:val="none" w:sz="0" w:space="0" w:color="auto"/>
        <w:left w:val="none" w:sz="0" w:space="0" w:color="auto"/>
        <w:bottom w:val="none" w:sz="0" w:space="0" w:color="auto"/>
        <w:right w:val="none" w:sz="0" w:space="0" w:color="auto"/>
      </w:divBdr>
    </w:div>
    <w:div w:id="1844928709">
      <w:bodyDiv w:val="1"/>
      <w:marLeft w:val="0"/>
      <w:marRight w:val="0"/>
      <w:marTop w:val="0"/>
      <w:marBottom w:val="0"/>
      <w:divBdr>
        <w:top w:val="none" w:sz="0" w:space="0" w:color="auto"/>
        <w:left w:val="none" w:sz="0" w:space="0" w:color="auto"/>
        <w:bottom w:val="none" w:sz="0" w:space="0" w:color="auto"/>
        <w:right w:val="none" w:sz="0" w:space="0" w:color="auto"/>
      </w:divBdr>
    </w:div>
    <w:div w:id="1874533978">
      <w:bodyDiv w:val="1"/>
      <w:marLeft w:val="0"/>
      <w:marRight w:val="0"/>
      <w:marTop w:val="0"/>
      <w:marBottom w:val="0"/>
      <w:divBdr>
        <w:top w:val="none" w:sz="0" w:space="0" w:color="auto"/>
        <w:left w:val="none" w:sz="0" w:space="0" w:color="auto"/>
        <w:bottom w:val="none" w:sz="0" w:space="0" w:color="auto"/>
        <w:right w:val="none" w:sz="0" w:space="0" w:color="auto"/>
      </w:divBdr>
    </w:div>
    <w:div w:id="1896820517">
      <w:bodyDiv w:val="1"/>
      <w:marLeft w:val="0"/>
      <w:marRight w:val="0"/>
      <w:marTop w:val="0"/>
      <w:marBottom w:val="0"/>
      <w:divBdr>
        <w:top w:val="none" w:sz="0" w:space="0" w:color="auto"/>
        <w:left w:val="none" w:sz="0" w:space="0" w:color="auto"/>
        <w:bottom w:val="none" w:sz="0" w:space="0" w:color="auto"/>
        <w:right w:val="none" w:sz="0" w:space="0" w:color="auto"/>
      </w:divBdr>
      <w:divsChild>
        <w:div w:id="310863489">
          <w:marLeft w:val="547"/>
          <w:marRight w:val="0"/>
          <w:marTop w:val="0"/>
          <w:marBottom w:val="0"/>
          <w:divBdr>
            <w:top w:val="none" w:sz="0" w:space="0" w:color="auto"/>
            <w:left w:val="none" w:sz="0" w:space="0" w:color="auto"/>
            <w:bottom w:val="none" w:sz="0" w:space="0" w:color="auto"/>
            <w:right w:val="none" w:sz="0" w:space="0" w:color="auto"/>
          </w:divBdr>
        </w:div>
        <w:div w:id="420838661">
          <w:marLeft w:val="547"/>
          <w:marRight w:val="0"/>
          <w:marTop w:val="0"/>
          <w:marBottom w:val="0"/>
          <w:divBdr>
            <w:top w:val="none" w:sz="0" w:space="0" w:color="auto"/>
            <w:left w:val="none" w:sz="0" w:space="0" w:color="auto"/>
            <w:bottom w:val="none" w:sz="0" w:space="0" w:color="auto"/>
            <w:right w:val="none" w:sz="0" w:space="0" w:color="auto"/>
          </w:divBdr>
        </w:div>
        <w:div w:id="549341766">
          <w:marLeft w:val="547"/>
          <w:marRight w:val="0"/>
          <w:marTop w:val="0"/>
          <w:marBottom w:val="0"/>
          <w:divBdr>
            <w:top w:val="none" w:sz="0" w:space="0" w:color="auto"/>
            <w:left w:val="none" w:sz="0" w:space="0" w:color="auto"/>
            <w:bottom w:val="none" w:sz="0" w:space="0" w:color="auto"/>
            <w:right w:val="none" w:sz="0" w:space="0" w:color="auto"/>
          </w:divBdr>
        </w:div>
        <w:div w:id="748038938">
          <w:marLeft w:val="547"/>
          <w:marRight w:val="0"/>
          <w:marTop w:val="0"/>
          <w:marBottom w:val="0"/>
          <w:divBdr>
            <w:top w:val="none" w:sz="0" w:space="0" w:color="auto"/>
            <w:left w:val="none" w:sz="0" w:space="0" w:color="auto"/>
            <w:bottom w:val="none" w:sz="0" w:space="0" w:color="auto"/>
            <w:right w:val="none" w:sz="0" w:space="0" w:color="auto"/>
          </w:divBdr>
        </w:div>
        <w:div w:id="793214878">
          <w:marLeft w:val="547"/>
          <w:marRight w:val="0"/>
          <w:marTop w:val="0"/>
          <w:marBottom w:val="0"/>
          <w:divBdr>
            <w:top w:val="none" w:sz="0" w:space="0" w:color="auto"/>
            <w:left w:val="none" w:sz="0" w:space="0" w:color="auto"/>
            <w:bottom w:val="none" w:sz="0" w:space="0" w:color="auto"/>
            <w:right w:val="none" w:sz="0" w:space="0" w:color="auto"/>
          </w:divBdr>
        </w:div>
        <w:div w:id="944120980">
          <w:marLeft w:val="547"/>
          <w:marRight w:val="0"/>
          <w:marTop w:val="0"/>
          <w:marBottom w:val="0"/>
          <w:divBdr>
            <w:top w:val="none" w:sz="0" w:space="0" w:color="auto"/>
            <w:left w:val="none" w:sz="0" w:space="0" w:color="auto"/>
            <w:bottom w:val="none" w:sz="0" w:space="0" w:color="auto"/>
            <w:right w:val="none" w:sz="0" w:space="0" w:color="auto"/>
          </w:divBdr>
        </w:div>
        <w:div w:id="1178737208">
          <w:marLeft w:val="547"/>
          <w:marRight w:val="0"/>
          <w:marTop w:val="0"/>
          <w:marBottom w:val="0"/>
          <w:divBdr>
            <w:top w:val="none" w:sz="0" w:space="0" w:color="auto"/>
            <w:left w:val="none" w:sz="0" w:space="0" w:color="auto"/>
            <w:bottom w:val="none" w:sz="0" w:space="0" w:color="auto"/>
            <w:right w:val="none" w:sz="0" w:space="0" w:color="auto"/>
          </w:divBdr>
        </w:div>
        <w:div w:id="1663584125">
          <w:marLeft w:val="547"/>
          <w:marRight w:val="0"/>
          <w:marTop w:val="0"/>
          <w:marBottom w:val="0"/>
          <w:divBdr>
            <w:top w:val="none" w:sz="0" w:space="0" w:color="auto"/>
            <w:left w:val="none" w:sz="0" w:space="0" w:color="auto"/>
            <w:bottom w:val="none" w:sz="0" w:space="0" w:color="auto"/>
            <w:right w:val="none" w:sz="0" w:space="0" w:color="auto"/>
          </w:divBdr>
        </w:div>
        <w:div w:id="2050570522">
          <w:marLeft w:val="547"/>
          <w:marRight w:val="0"/>
          <w:marTop w:val="0"/>
          <w:marBottom w:val="0"/>
          <w:divBdr>
            <w:top w:val="none" w:sz="0" w:space="0" w:color="auto"/>
            <w:left w:val="none" w:sz="0" w:space="0" w:color="auto"/>
            <w:bottom w:val="none" w:sz="0" w:space="0" w:color="auto"/>
            <w:right w:val="none" w:sz="0" w:space="0" w:color="auto"/>
          </w:divBdr>
        </w:div>
        <w:div w:id="2123375151">
          <w:marLeft w:val="547"/>
          <w:marRight w:val="0"/>
          <w:marTop w:val="0"/>
          <w:marBottom w:val="0"/>
          <w:divBdr>
            <w:top w:val="none" w:sz="0" w:space="0" w:color="auto"/>
            <w:left w:val="none" w:sz="0" w:space="0" w:color="auto"/>
            <w:bottom w:val="none" w:sz="0" w:space="0" w:color="auto"/>
            <w:right w:val="none" w:sz="0" w:space="0" w:color="auto"/>
          </w:divBdr>
        </w:div>
      </w:divsChild>
    </w:div>
    <w:div w:id="1971353020">
      <w:bodyDiv w:val="1"/>
      <w:marLeft w:val="0"/>
      <w:marRight w:val="0"/>
      <w:marTop w:val="0"/>
      <w:marBottom w:val="0"/>
      <w:divBdr>
        <w:top w:val="none" w:sz="0" w:space="0" w:color="auto"/>
        <w:left w:val="none" w:sz="0" w:space="0" w:color="auto"/>
        <w:bottom w:val="none" w:sz="0" w:space="0" w:color="auto"/>
        <w:right w:val="none" w:sz="0" w:space="0" w:color="auto"/>
      </w:divBdr>
    </w:div>
    <w:div w:id="1979142936">
      <w:bodyDiv w:val="1"/>
      <w:marLeft w:val="0"/>
      <w:marRight w:val="0"/>
      <w:marTop w:val="0"/>
      <w:marBottom w:val="0"/>
      <w:divBdr>
        <w:top w:val="none" w:sz="0" w:space="0" w:color="auto"/>
        <w:left w:val="none" w:sz="0" w:space="0" w:color="auto"/>
        <w:bottom w:val="none" w:sz="0" w:space="0" w:color="auto"/>
        <w:right w:val="none" w:sz="0" w:space="0" w:color="auto"/>
      </w:divBdr>
    </w:div>
    <w:div w:id="2042628699">
      <w:bodyDiv w:val="1"/>
      <w:marLeft w:val="0"/>
      <w:marRight w:val="0"/>
      <w:marTop w:val="0"/>
      <w:marBottom w:val="0"/>
      <w:divBdr>
        <w:top w:val="none" w:sz="0" w:space="0" w:color="auto"/>
        <w:left w:val="none" w:sz="0" w:space="0" w:color="auto"/>
        <w:bottom w:val="none" w:sz="0" w:space="0" w:color="auto"/>
        <w:right w:val="none" w:sz="0" w:space="0" w:color="auto"/>
      </w:divBdr>
    </w:div>
    <w:div w:id="2057848055">
      <w:bodyDiv w:val="1"/>
      <w:marLeft w:val="0"/>
      <w:marRight w:val="0"/>
      <w:marTop w:val="0"/>
      <w:marBottom w:val="0"/>
      <w:divBdr>
        <w:top w:val="none" w:sz="0" w:space="0" w:color="auto"/>
        <w:left w:val="none" w:sz="0" w:space="0" w:color="auto"/>
        <w:bottom w:val="none" w:sz="0" w:space="0" w:color="auto"/>
        <w:right w:val="none" w:sz="0" w:space="0" w:color="auto"/>
      </w:divBdr>
      <w:divsChild>
        <w:div w:id="254365541">
          <w:marLeft w:val="0"/>
          <w:marRight w:val="0"/>
          <w:marTop w:val="0"/>
          <w:marBottom w:val="0"/>
          <w:divBdr>
            <w:top w:val="none" w:sz="0" w:space="0" w:color="auto"/>
            <w:left w:val="none" w:sz="0" w:space="0" w:color="auto"/>
            <w:bottom w:val="none" w:sz="0" w:space="0" w:color="auto"/>
            <w:right w:val="none" w:sz="0" w:space="0" w:color="auto"/>
          </w:divBdr>
          <w:divsChild>
            <w:div w:id="1454398477">
              <w:marLeft w:val="0"/>
              <w:marRight w:val="0"/>
              <w:marTop w:val="0"/>
              <w:marBottom w:val="0"/>
              <w:divBdr>
                <w:top w:val="none" w:sz="0" w:space="0" w:color="auto"/>
                <w:left w:val="none" w:sz="0" w:space="0" w:color="auto"/>
                <w:bottom w:val="none" w:sz="0" w:space="0" w:color="auto"/>
                <w:right w:val="none" w:sz="0" w:space="0" w:color="auto"/>
              </w:divBdr>
              <w:divsChild>
                <w:div w:id="208387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Other_x0020_Author xmlns="cdc7663a-08f0-4737-9e8c-148ce897a09c" xsi:nil="true"/>
    <Migration_x0020_Info xmlns="cdc7663a-08f0-4737-9e8c-148ce897a09c" xsi:nil="true"/>
    <Approval_x0020_Number xmlns="cdc7663a-08f0-4737-9e8c-148ce897a09c">3629/OC-CH;</Approval_x0020_Number>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PRIMARY EDUCATION</TermName>
          <TermId xmlns="http://schemas.microsoft.com/office/infopath/2007/PartnerControls">3c9aef6b-e3d8-4e56-bc3a-dd53e692346f</TermId>
        </TermInfo>
      </Terms>
    </b2ec7cfb18674cb8803df6b262e8b107>
    <Business_x0020_Area xmlns="cdc7663a-08f0-4737-9e8c-148ce897a09c" xsi:nil="true"/>
    <Key_x0020_Document xmlns="cdc7663a-08f0-4737-9e8c-148ce897a09c" xsi:nil="true"/>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55</Value>
      <Value>25</Value>
      <Value>10</Value>
      <Value>115</Value>
      <Value>28</Value>
    </TaxCatchAll>
    <Operation_x0020_Type xmlns="cdc7663a-08f0-4737-9e8c-148ce897a09c" xsi:nil="true"/>
    <Package_x0020_Code xmlns="cdc7663a-08f0-4737-9e8c-148ce897a09c" xsi:nil="true"/>
    <Identifier xmlns="cdc7663a-08f0-4737-9e8c-148ce897a09c" xsi:nil="true"/>
    <Project_x0020_Number xmlns="cdc7663a-08f0-4737-9e8c-148ce897a09c">CH-L1081;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EZSHARE-1066095100-30</_dlc_DocId>
    <_dlc_DocIdUrl xmlns="cdc7663a-08f0-4737-9e8c-148ce897a09c">
      <Url>https://idbg.sharepoint.com/teams/EZ-CH-LON/CH-L1081/_layouts/15/DocIdRedir.aspx?ID=EZSHARE-1066095100-30</Url>
      <Description>EZSHARE-1066095100-30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0058355DB12A44F9AAC7EB17D10B298" ma:contentTypeVersion="2116" ma:contentTypeDescription="A content type to manage public (operations) IDB documents" ma:contentTypeScope="" ma:versionID="d69423447c8bdaefd8ae379bb571f015">
  <xsd:schema xmlns:xsd="http://www.w3.org/2001/XMLSchema" xmlns:xs="http://www.w3.org/2001/XMLSchema" xmlns:p="http://schemas.microsoft.com/office/2006/metadata/properties" xmlns:ns2="cdc7663a-08f0-4737-9e8c-148ce897a09c" targetNamespace="http://schemas.microsoft.com/office/2006/metadata/properties" ma:root="true" ma:fieldsID="9f116cb9bc392eb9d5366b9a04db00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L10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7C4AD5-2D54-4638-8BD9-4BFB0869F598}"/>
</file>

<file path=customXml/itemProps2.xml><?xml version="1.0" encoding="utf-8"?>
<ds:datastoreItem xmlns:ds="http://schemas.openxmlformats.org/officeDocument/2006/customXml" ds:itemID="{1B540E01-BE9F-468D-A717-AEBCE67567F0}">
  <ds:schemaRefs>
    <ds:schemaRef ds:uri="http://schemas.openxmlformats.org/officeDocument/2006/bibliography"/>
  </ds:schemaRefs>
</ds:datastoreItem>
</file>

<file path=customXml/itemProps3.xml><?xml version="1.0" encoding="utf-8"?>
<ds:datastoreItem xmlns:ds="http://schemas.openxmlformats.org/officeDocument/2006/customXml" ds:itemID="{969CFB4B-F415-4F5B-B3EC-89ED35E806D9}">
  <ds:schemaRefs>
    <ds:schemaRef ds:uri="http://purl.org/dc/dcmitype/"/>
    <ds:schemaRef ds:uri="http://schemas.microsoft.com/office/infopath/2007/PartnerControls"/>
    <ds:schemaRef ds:uri="http://purl.org/dc/elements/1.1/"/>
    <ds:schemaRef ds:uri="http://schemas.microsoft.com/office/2006/documentManagement/types"/>
    <ds:schemaRef ds:uri="94cadae3-02dc-4aef-bf3e-2a47345cca98"/>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B8FB015-59BE-47AA-A722-D1E8347AECD5}">
  <ds:schemaRefs>
    <ds:schemaRef ds:uri="http://schemas.microsoft.com/sharepoint/v3/contenttype/forms"/>
  </ds:schemaRefs>
</ds:datastoreItem>
</file>

<file path=customXml/itemProps5.xml><?xml version="1.0" encoding="utf-8"?>
<ds:datastoreItem xmlns:ds="http://schemas.openxmlformats.org/officeDocument/2006/customXml" ds:itemID="{51A30207-911C-4007-BBBE-30D30F95AC38}"/>
</file>

<file path=customXml/itemProps6.xml><?xml version="1.0" encoding="utf-8"?>
<ds:datastoreItem xmlns:ds="http://schemas.openxmlformats.org/officeDocument/2006/customXml" ds:itemID="{D0069DD7-43F9-457D-BBCA-96489BCC5C95}"/>
</file>

<file path=customXml/itemProps7.xml><?xml version="1.0" encoding="utf-8"?>
<ds:datastoreItem xmlns:ds="http://schemas.openxmlformats.org/officeDocument/2006/customXml" ds:itemID="{FBCA43B7-1565-4039-9CB5-C8E44F729546}"/>
</file>

<file path=docProps/app.xml><?xml version="1.0" encoding="utf-8"?>
<Properties xmlns="http://schemas.openxmlformats.org/officeDocument/2006/extended-properties" xmlns:vt="http://schemas.openxmlformats.org/officeDocument/2006/docPropsVTypes">
  <Template>Normal.dotm</Template>
  <TotalTime>2</TotalTime>
  <Pages>32</Pages>
  <Words>9681</Words>
  <Characters>53248</Characters>
  <Application>Microsoft Office Word</Application>
  <DocSecurity>0</DocSecurity>
  <Lines>443</Lines>
  <Paragraphs>125</Paragraphs>
  <ScaleCrop>false</ScaleCrop>
  <Company>Inter-American Development Bank</Company>
  <LinksUpToDate>false</LinksUpToDate>
  <CharactersWithSpaces>62804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EER2 Plan de Monitoreo</dc:title>
  <dc:subject/>
  <dc:creator>Test</dc:creator>
  <cp:keywords/>
  <cp:lastModifiedBy>Blasco, Ivana</cp:lastModifiedBy>
  <cp:revision>2</cp:revision>
  <cp:lastPrinted>2019-09-03T22:11:00Z</cp:lastPrinted>
  <dcterms:created xsi:type="dcterms:W3CDTF">2020-07-21T18:45:00Z</dcterms:created>
  <dcterms:modified xsi:type="dcterms:W3CDTF">2020-07-21T18:45:00Z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115;#PRIMARY EDUCATION|3c9aef6b-e3d8-4e56-bc3a-dd53e692346f</vt:lpwstr>
  </property>
  <property fmtid="{D5CDD505-2E9C-101B-9397-08002B2CF9AE}" pid="8" name="Country">
    <vt:lpwstr>25;#Chile|0646c65c-e431-42e3-a932-0671c6b608b9</vt:lpwstr>
  </property>
  <property fmtid="{D5CDD505-2E9C-101B-9397-08002B2CF9AE}" pid="9" name="Fund IDB">
    <vt:lpwstr>28;#ORC|c028a4b2-ad8b-4cf4-9cac-a2ae6a778e23</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55;#EDUCATION|e61db9d8-dcb9-423f-a737-53d6e603e7c4</vt:lpwstr>
  </property>
  <property fmtid="{D5CDD505-2E9C-101B-9397-08002B2CF9AE}" pid="14" name="Function Operations IDB">
    <vt:lpwstr>10;#IDBDocs|cca77002-e150-4b2d-ab1f-1d7a7cdcae16</vt:lpwstr>
  </property>
  <property fmtid="{D5CDD505-2E9C-101B-9397-08002B2CF9AE}" pid="15" name="_dlc_DocIdItemGuid">
    <vt:lpwstr>0aba200d-199a-4f98-97e4-925a1601d31b</vt:lpwstr>
  </property>
  <property fmtid="{D5CDD505-2E9C-101B-9397-08002B2CF9AE}" pid="16" name="ContentTypeId">
    <vt:lpwstr>0x0101001A458A224826124E8B45B1D613300CFC00A0058355DB12A44F9AAC7EB17D10B298</vt:lpwstr>
  </property>
</Properties>
</file>