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025BF" w14:textId="77777777" w:rsidR="00232DCD" w:rsidRPr="0065566F" w:rsidRDefault="00E7242F" w:rsidP="00232DCD">
      <w:pPr>
        <w:jc w:val="center"/>
        <w:rPr>
          <w:rFonts w:ascii="Arial" w:hAnsi="Arial" w:cs="Arial"/>
          <w:sz w:val="20"/>
          <w:szCs w:val="20"/>
        </w:rPr>
      </w:pPr>
      <w:r>
        <w:rPr>
          <w:rFonts w:ascii="Arial" w:hAnsi="Arial" w:cs="Arial"/>
          <w:sz w:val="20"/>
          <w:szCs w:val="20"/>
        </w:rPr>
        <w:tab/>
      </w:r>
    </w:p>
    <w:p w14:paraId="74F5081F" w14:textId="77777777" w:rsidR="00232DCD" w:rsidRPr="0065566F" w:rsidRDefault="00232DCD" w:rsidP="00232DCD">
      <w:pPr>
        <w:jc w:val="center"/>
        <w:rPr>
          <w:rFonts w:ascii="Arial" w:hAnsi="Arial" w:cs="Arial"/>
          <w:b/>
          <w:smallCaps/>
          <w:sz w:val="22"/>
          <w:szCs w:val="22"/>
        </w:rPr>
      </w:pPr>
      <w:r w:rsidRPr="0065566F">
        <w:rPr>
          <w:rFonts w:ascii="Arial" w:hAnsi="Arial" w:cs="Arial"/>
          <w:b/>
          <w:smallCaps/>
          <w:sz w:val="22"/>
          <w:szCs w:val="22"/>
        </w:rPr>
        <w:t>Document of the Inter-American Development Bank</w:t>
      </w:r>
    </w:p>
    <w:p w14:paraId="77457123" w14:textId="77777777" w:rsidR="00232DCD" w:rsidRPr="0065566F" w:rsidRDefault="00232DCD" w:rsidP="00232DCD">
      <w:pPr>
        <w:rPr>
          <w:rFonts w:ascii="Arial" w:hAnsi="Arial" w:cs="Arial"/>
          <w:smallCaps/>
          <w:sz w:val="20"/>
          <w:szCs w:val="20"/>
        </w:rPr>
      </w:pPr>
    </w:p>
    <w:p w14:paraId="3E1250DD" w14:textId="77777777" w:rsidR="00232DCD" w:rsidRPr="0065566F" w:rsidRDefault="00232DCD" w:rsidP="00232DCD">
      <w:pPr>
        <w:rPr>
          <w:rFonts w:ascii="Arial" w:hAnsi="Arial" w:cs="Arial"/>
          <w:smallCaps/>
          <w:sz w:val="20"/>
          <w:szCs w:val="20"/>
        </w:rPr>
      </w:pPr>
    </w:p>
    <w:p w14:paraId="5FB4FF95" w14:textId="77777777" w:rsidR="00232DCD" w:rsidRPr="0065566F" w:rsidRDefault="00232DCD" w:rsidP="00232DCD">
      <w:pPr>
        <w:rPr>
          <w:rFonts w:ascii="Arial" w:hAnsi="Arial" w:cs="Arial"/>
          <w:smallCaps/>
          <w:sz w:val="20"/>
          <w:szCs w:val="20"/>
        </w:rPr>
      </w:pPr>
    </w:p>
    <w:p w14:paraId="3DBDD40A" w14:textId="77777777" w:rsidR="00232DCD" w:rsidRPr="0065566F" w:rsidRDefault="00232DCD" w:rsidP="00232DCD">
      <w:pPr>
        <w:rPr>
          <w:rFonts w:ascii="Arial" w:hAnsi="Arial" w:cs="Arial"/>
          <w:smallCaps/>
          <w:sz w:val="20"/>
          <w:szCs w:val="20"/>
        </w:rPr>
      </w:pPr>
    </w:p>
    <w:p w14:paraId="367C6677" w14:textId="77777777" w:rsidR="00232DCD" w:rsidRPr="0065566F" w:rsidRDefault="00232DCD" w:rsidP="00232DCD">
      <w:pPr>
        <w:jc w:val="center"/>
        <w:rPr>
          <w:rFonts w:ascii="Arial" w:hAnsi="Arial" w:cs="Arial"/>
          <w:smallCaps/>
          <w:sz w:val="20"/>
          <w:szCs w:val="20"/>
        </w:rPr>
      </w:pPr>
      <w:r w:rsidRPr="0065566F">
        <w:rPr>
          <w:rFonts w:ascii="Arial" w:hAnsi="Arial" w:cs="Arial"/>
          <w:noProof/>
          <w:sz w:val="20"/>
          <w:szCs w:val="20"/>
        </w:rPr>
        <w:drawing>
          <wp:inline distT="0" distB="0" distL="0" distR="0" wp14:anchorId="42E33870" wp14:editId="42E33871">
            <wp:extent cx="3095538" cy="2190446"/>
            <wp:effectExtent l="0" t="0" r="0" b="635"/>
            <wp:docPr id="1" name="Picture 1"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p w14:paraId="5D73AD1C" w14:textId="77777777" w:rsidR="00232DCD" w:rsidRPr="0065566F" w:rsidRDefault="00232DCD" w:rsidP="00232DCD">
      <w:pPr>
        <w:rPr>
          <w:rFonts w:ascii="Arial" w:hAnsi="Arial" w:cs="Arial"/>
          <w:smallCaps/>
          <w:sz w:val="20"/>
          <w:szCs w:val="20"/>
        </w:rPr>
      </w:pPr>
    </w:p>
    <w:p w14:paraId="39C4E8C2" w14:textId="77777777" w:rsidR="00232DCD" w:rsidRPr="0065566F" w:rsidRDefault="00232DCD" w:rsidP="00232DCD">
      <w:pPr>
        <w:rPr>
          <w:rFonts w:ascii="Arial" w:hAnsi="Arial" w:cs="Arial"/>
          <w:smallCaps/>
          <w:sz w:val="20"/>
          <w:szCs w:val="20"/>
        </w:rPr>
      </w:pPr>
    </w:p>
    <w:p w14:paraId="52222F4B" w14:textId="77777777" w:rsidR="00232DCD" w:rsidRPr="0065566F" w:rsidRDefault="0065566F" w:rsidP="00232DCD">
      <w:pPr>
        <w:jc w:val="center"/>
        <w:rPr>
          <w:rFonts w:ascii="Arial" w:hAnsi="Arial" w:cs="Arial"/>
          <w:b/>
          <w:smallCaps/>
          <w:sz w:val="22"/>
          <w:szCs w:val="22"/>
        </w:rPr>
      </w:pPr>
      <w:r w:rsidRPr="0065566F">
        <w:rPr>
          <w:rFonts w:ascii="Arial" w:hAnsi="Arial" w:cs="Arial"/>
          <w:b/>
          <w:smallCaps/>
          <w:sz w:val="22"/>
          <w:szCs w:val="22"/>
        </w:rPr>
        <w:t>Paraguay</w:t>
      </w:r>
    </w:p>
    <w:p w14:paraId="047D41C4" w14:textId="77777777" w:rsidR="000C3D10" w:rsidRPr="0065566F" w:rsidRDefault="000C3D10" w:rsidP="00232DCD">
      <w:pPr>
        <w:jc w:val="center"/>
        <w:rPr>
          <w:rFonts w:ascii="Arial" w:hAnsi="Arial" w:cs="Arial"/>
          <w:b/>
          <w:smallCaps/>
          <w:sz w:val="22"/>
          <w:szCs w:val="22"/>
        </w:rPr>
      </w:pPr>
    </w:p>
    <w:p w14:paraId="5450B6CC" w14:textId="77777777" w:rsidR="00232DCD" w:rsidRPr="0065566F" w:rsidRDefault="000C3D10" w:rsidP="00232DCD">
      <w:pPr>
        <w:jc w:val="center"/>
        <w:rPr>
          <w:rFonts w:ascii="Arial" w:hAnsi="Arial" w:cs="Arial"/>
          <w:b/>
          <w:smallCaps/>
          <w:sz w:val="22"/>
          <w:szCs w:val="22"/>
        </w:rPr>
      </w:pPr>
      <w:r w:rsidRPr="0065566F">
        <w:rPr>
          <w:rFonts w:ascii="Arial" w:hAnsi="Arial" w:cs="Arial"/>
          <w:b/>
          <w:smallCaps/>
          <w:sz w:val="22"/>
          <w:szCs w:val="22"/>
        </w:rPr>
        <w:t xml:space="preserve">Promoting private sector investments in energy efficiency in the industrial sector </w:t>
      </w:r>
      <w:r w:rsidR="00B174A7">
        <w:rPr>
          <w:rFonts w:ascii="Arial" w:hAnsi="Arial" w:cs="Arial"/>
          <w:b/>
          <w:smallCaps/>
          <w:sz w:val="22"/>
          <w:szCs w:val="22"/>
        </w:rPr>
        <w:t>in Paraguay</w:t>
      </w:r>
    </w:p>
    <w:p w14:paraId="37818B99" w14:textId="77777777" w:rsidR="000C3D10" w:rsidRPr="0065566F" w:rsidRDefault="000C3D10" w:rsidP="00232DCD">
      <w:pPr>
        <w:jc w:val="center"/>
        <w:rPr>
          <w:rFonts w:ascii="Arial" w:hAnsi="Arial" w:cs="Arial"/>
          <w:b/>
          <w:smallCaps/>
          <w:sz w:val="22"/>
          <w:szCs w:val="22"/>
        </w:rPr>
      </w:pPr>
    </w:p>
    <w:p w14:paraId="7FD53E1A" w14:textId="77777777" w:rsidR="00232DCD" w:rsidRPr="0065566F" w:rsidRDefault="000C3D10" w:rsidP="00232DCD">
      <w:pPr>
        <w:jc w:val="center"/>
        <w:rPr>
          <w:rFonts w:ascii="Arial" w:hAnsi="Arial" w:cs="Arial"/>
          <w:b/>
          <w:smallCaps/>
          <w:sz w:val="22"/>
          <w:szCs w:val="22"/>
        </w:rPr>
      </w:pPr>
      <w:r w:rsidRPr="0065566F">
        <w:rPr>
          <w:rFonts w:ascii="Arial" w:hAnsi="Arial" w:cs="Arial"/>
          <w:b/>
          <w:smallCaps/>
          <w:sz w:val="22"/>
          <w:szCs w:val="22"/>
        </w:rPr>
        <w:t>PR-</w:t>
      </w:r>
      <w:r w:rsidR="0065566F">
        <w:rPr>
          <w:rFonts w:ascii="Arial" w:hAnsi="Arial" w:cs="Arial"/>
          <w:b/>
          <w:smallCaps/>
          <w:sz w:val="22"/>
          <w:szCs w:val="22"/>
        </w:rPr>
        <w:t>L1146</w:t>
      </w:r>
    </w:p>
    <w:p w14:paraId="32BC5D43" w14:textId="77777777" w:rsidR="00232DCD" w:rsidRPr="0065566F" w:rsidRDefault="00232DCD" w:rsidP="00232DCD">
      <w:pPr>
        <w:jc w:val="center"/>
        <w:rPr>
          <w:rFonts w:ascii="Arial" w:hAnsi="Arial" w:cs="Arial"/>
          <w:smallCaps/>
          <w:sz w:val="22"/>
          <w:szCs w:val="22"/>
        </w:rPr>
      </w:pPr>
    </w:p>
    <w:p w14:paraId="7F52A9E1" w14:textId="77777777" w:rsidR="00232DCD" w:rsidRPr="0065566F" w:rsidRDefault="00232DCD" w:rsidP="00232DCD">
      <w:pPr>
        <w:jc w:val="center"/>
        <w:rPr>
          <w:rFonts w:ascii="Arial" w:hAnsi="Arial" w:cs="Arial"/>
          <w:smallCaps/>
          <w:sz w:val="22"/>
          <w:szCs w:val="22"/>
        </w:rPr>
      </w:pPr>
    </w:p>
    <w:p w14:paraId="214C1513" w14:textId="77777777" w:rsidR="00232DCD" w:rsidRPr="0065566F" w:rsidRDefault="00232DCD" w:rsidP="00232DCD">
      <w:pPr>
        <w:jc w:val="center"/>
        <w:rPr>
          <w:rFonts w:ascii="Arial" w:hAnsi="Arial" w:cs="Arial"/>
          <w:smallCaps/>
          <w:sz w:val="22"/>
          <w:szCs w:val="22"/>
        </w:rPr>
      </w:pPr>
    </w:p>
    <w:p w14:paraId="7ED148F3" w14:textId="77777777" w:rsidR="00232DCD" w:rsidRPr="0065566F" w:rsidRDefault="00232DCD" w:rsidP="00232DCD">
      <w:pPr>
        <w:jc w:val="center"/>
        <w:rPr>
          <w:rFonts w:ascii="Arial" w:hAnsi="Arial" w:cs="Arial"/>
          <w:smallCaps/>
          <w:sz w:val="22"/>
          <w:szCs w:val="22"/>
        </w:rPr>
      </w:pPr>
    </w:p>
    <w:p w14:paraId="3DE88452" w14:textId="77777777" w:rsidR="00232DCD" w:rsidRPr="0065566F" w:rsidRDefault="00232DCD" w:rsidP="00232DCD">
      <w:pPr>
        <w:jc w:val="center"/>
        <w:rPr>
          <w:rFonts w:ascii="Arial" w:hAnsi="Arial" w:cs="Arial"/>
          <w:b/>
          <w:bCs/>
          <w:caps/>
          <w:sz w:val="22"/>
          <w:szCs w:val="22"/>
        </w:rPr>
      </w:pPr>
      <w:r w:rsidRPr="0065566F">
        <w:rPr>
          <w:rFonts w:ascii="Arial" w:hAnsi="Arial" w:cs="Arial"/>
          <w:b/>
          <w:bCs/>
          <w:caps/>
          <w:sz w:val="22"/>
          <w:szCs w:val="22"/>
        </w:rPr>
        <w:t>Environmental and Social MANAGEMENT REPORT</w:t>
      </w:r>
    </w:p>
    <w:p w14:paraId="1C2902F3" w14:textId="77777777" w:rsidR="00232DCD" w:rsidRPr="0065566F" w:rsidRDefault="00232DCD" w:rsidP="00232DCD">
      <w:pPr>
        <w:jc w:val="center"/>
        <w:rPr>
          <w:rFonts w:ascii="Arial" w:hAnsi="Arial" w:cs="Arial"/>
          <w:b/>
          <w:smallCaps/>
          <w:sz w:val="22"/>
          <w:szCs w:val="22"/>
        </w:rPr>
      </w:pPr>
      <w:r w:rsidRPr="0065566F">
        <w:rPr>
          <w:rFonts w:ascii="Arial" w:hAnsi="Arial" w:cs="Arial"/>
          <w:b/>
          <w:smallCaps/>
          <w:sz w:val="22"/>
          <w:szCs w:val="22"/>
        </w:rPr>
        <w:t>(ES</w:t>
      </w:r>
      <w:r w:rsidR="00C53ABB" w:rsidRPr="0065566F">
        <w:rPr>
          <w:rFonts w:ascii="Arial" w:hAnsi="Arial" w:cs="Arial"/>
          <w:b/>
          <w:smallCaps/>
          <w:sz w:val="22"/>
          <w:szCs w:val="22"/>
        </w:rPr>
        <w:t>MR</w:t>
      </w:r>
      <w:r w:rsidRPr="0065566F">
        <w:rPr>
          <w:rFonts w:ascii="Arial" w:hAnsi="Arial" w:cs="Arial"/>
          <w:b/>
          <w:smallCaps/>
          <w:sz w:val="22"/>
          <w:szCs w:val="22"/>
        </w:rPr>
        <w:t>)</w:t>
      </w:r>
    </w:p>
    <w:p w14:paraId="6C62F0DA" w14:textId="77777777" w:rsidR="000C3D10" w:rsidRPr="0065566F" w:rsidRDefault="000C3D10" w:rsidP="00232DCD">
      <w:pPr>
        <w:jc w:val="center"/>
        <w:rPr>
          <w:rFonts w:ascii="Arial" w:hAnsi="Arial" w:cs="Arial"/>
          <w:b/>
          <w:smallCaps/>
          <w:sz w:val="22"/>
          <w:szCs w:val="22"/>
        </w:rPr>
      </w:pPr>
    </w:p>
    <w:p w14:paraId="2ABECD76" w14:textId="77777777" w:rsidR="00232DCD" w:rsidRPr="0065566F" w:rsidRDefault="000C3D10" w:rsidP="00232DCD">
      <w:pPr>
        <w:jc w:val="center"/>
        <w:rPr>
          <w:rFonts w:ascii="Arial" w:hAnsi="Arial" w:cs="Arial"/>
          <w:smallCaps/>
          <w:sz w:val="20"/>
          <w:szCs w:val="20"/>
        </w:rPr>
      </w:pPr>
      <w:r w:rsidRPr="0065566F">
        <w:rPr>
          <w:rFonts w:ascii="Arial" w:hAnsi="Arial" w:cs="Arial"/>
          <w:smallCaps/>
          <w:sz w:val="20"/>
          <w:szCs w:val="20"/>
        </w:rPr>
        <w:t>January 2</w:t>
      </w:r>
      <w:r w:rsidR="0065566F">
        <w:rPr>
          <w:rFonts w:ascii="Arial" w:hAnsi="Arial" w:cs="Arial"/>
          <w:smallCaps/>
          <w:sz w:val="20"/>
          <w:szCs w:val="20"/>
        </w:rPr>
        <w:t>2</w:t>
      </w:r>
      <w:r w:rsidRPr="0065566F">
        <w:rPr>
          <w:rFonts w:ascii="Arial" w:hAnsi="Arial" w:cs="Arial"/>
          <w:smallCaps/>
          <w:sz w:val="20"/>
          <w:szCs w:val="20"/>
        </w:rPr>
        <w:t>, 2017</w:t>
      </w:r>
    </w:p>
    <w:p w14:paraId="74DD01DA" w14:textId="77777777" w:rsidR="00232DCD" w:rsidRPr="0065566F" w:rsidRDefault="00232DCD" w:rsidP="00232DCD">
      <w:pPr>
        <w:jc w:val="center"/>
        <w:rPr>
          <w:rFonts w:ascii="Arial" w:hAnsi="Arial" w:cs="Arial"/>
          <w:smallCaps/>
          <w:sz w:val="20"/>
          <w:szCs w:val="20"/>
        </w:rPr>
      </w:pPr>
    </w:p>
    <w:p w14:paraId="5D9D0E2A" w14:textId="77777777" w:rsidR="00232DCD" w:rsidRPr="0065566F" w:rsidRDefault="00232DCD" w:rsidP="00232DCD">
      <w:pPr>
        <w:jc w:val="center"/>
        <w:rPr>
          <w:rFonts w:ascii="Arial" w:hAnsi="Arial" w:cs="Arial"/>
          <w:smallCaps/>
          <w:sz w:val="20"/>
          <w:szCs w:val="20"/>
        </w:rPr>
      </w:pPr>
    </w:p>
    <w:p w14:paraId="6D3558C4" w14:textId="77777777" w:rsidR="00232DCD" w:rsidRPr="0065566F" w:rsidRDefault="00232DCD" w:rsidP="00232DCD">
      <w:pPr>
        <w:jc w:val="center"/>
        <w:rPr>
          <w:rFonts w:ascii="Arial" w:hAnsi="Arial" w:cs="Arial"/>
          <w:smallCaps/>
          <w:sz w:val="20"/>
          <w:szCs w:val="20"/>
        </w:rPr>
      </w:pPr>
    </w:p>
    <w:p w14:paraId="329B4C8B" w14:textId="77777777" w:rsidR="00232DCD" w:rsidRPr="0065566F" w:rsidRDefault="00232DCD" w:rsidP="00232DCD">
      <w:pPr>
        <w:jc w:val="center"/>
        <w:rPr>
          <w:rFonts w:ascii="Arial" w:hAnsi="Arial" w:cs="Arial"/>
          <w:smallCaps/>
          <w:sz w:val="20"/>
          <w:szCs w:val="20"/>
        </w:rPr>
      </w:pPr>
    </w:p>
    <w:p w14:paraId="0AD4355C" w14:textId="77777777" w:rsidR="00232DCD" w:rsidRPr="0065566F" w:rsidRDefault="00232DCD" w:rsidP="00232DCD">
      <w:pPr>
        <w:jc w:val="center"/>
        <w:rPr>
          <w:rFonts w:ascii="Arial" w:hAnsi="Arial" w:cs="Arial"/>
          <w:smallCaps/>
          <w:sz w:val="20"/>
          <w:szCs w:val="20"/>
        </w:rPr>
      </w:pPr>
    </w:p>
    <w:p w14:paraId="0A0FBB21" w14:textId="77777777" w:rsidR="00232DCD" w:rsidRPr="0065566F" w:rsidRDefault="00232DCD" w:rsidP="00232DCD">
      <w:pPr>
        <w:jc w:val="center"/>
        <w:rPr>
          <w:rFonts w:ascii="Arial" w:hAnsi="Arial" w:cs="Arial"/>
          <w:smallCaps/>
          <w:sz w:val="20"/>
          <w:szCs w:val="20"/>
        </w:rPr>
      </w:pPr>
    </w:p>
    <w:p w14:paraId="188A9704" w14:textId="77777777" w:rsidR="00232DCD" w:rsidRPr="0065566F" w:rsidRDefault="00232DCD" w:rsidP="00232DCD">
      <w:pPr>
        <w:jc w:val="center"/>
        <w:rPr>
          <w:rFonts w:ascii="Arial" w:hAnsi="Arial" w:cs="Arial"/>
          <w:smallCaps/>
          <w:sz w:val="20"/>
          <w:szCs w:val="20"/>
        </w:rPr>
      </w:pPr>
    </w:p>
    <w:p w14:paraId="17D02682" w14:textId="77777777" w:rsidR="00232DCD" w:rsidRPr="0065566F" w:rsidRDefault="00232DCD" w:rsidP="00232DCD">
      <w:pPr>
        <w:jc w:val="center"/>
        <w:rPr>
          <w:rFonts w:ascii="Arial" w:hAnsi="Arial" w:cs="Arial"/>
          <w:smallCaps/>
          <w:sz w:val="20"/>
          <w:szCs w:val="20"/>
        </w:rPr>
      </w:pPr>
    </w:p>
    <w:p w14:paraId="27620997" w14:textId="77777777" w:rsidR="00C53ABB" w:rsidRPr="0065566F" w:rsidRDefault="00C53ABB" w:rsidP="00C53ABB">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5566F">
        <w:rPr>
          <w:rFonts w:ascii="Arial" w:hAnsi="Arial" w:cs="Arial"/>
          <w:sz w:val="20"/>
          <w:szCs w:val="20"/>
        </w:rPr>
        <w:t xml:space="preserve">This document was prepared by: </w:t>
      </w:r>
      <w:r w:rsidR="000C3D10" w:rsidRPr="0065566F">
        <w:rPr>
          <w:rFonts w:ascii="Arial" w:hAnsi="Arial" w:cs="Arial"/>
          <w:sz w:val="20"/>
          <w:szCs w:val="20"/>
        </w:rPr>
        <w:t>Isabelle Braly-Cartillier (IFD/CMF)</w:t>
      </w:r>
    </w:p>
    <w:p w14:paraId="7716C0D1" w14:textId="77777777" w:rsidR="00232DCD" w:rsidRPr="0065566F" w:rsidRDefault="00232DCD">
      <w:pPr>
        <w:rPr>
          <w:rFonts w:ascii="Arial" w:hAnsi="Arial" w:cs="Arial"/>
          <w:sz w:val="20"/>
          <w:szCs w:val="20"/>
        </w:rPr>
      </w:pPr>
    </w:p>
    <w:p w14:paraId="3EEFFF65" w14:textId="77777777" w:rsidR="00232DCD" w:rsidRPr="0065566F" w:rsidRDefault="00232DCD">
      <w:pPr>
        <w:rPr>
          <w:rFonts w:ascii="Arial" w:hAnsi="Arial" w:cs="Arial"/>
          <w:sz w:val="20"/>
          <w:szCs w:val="20"/>
        </w:rPr>
      </w:pPr>
    </w:p>
    <w:p w14:paraId="1825AE12" w14:textId="77777777" w:rsidR="0065566F" w:rsidRDefault="0065566F">
      <w:pPr>
        <w:rPr>
          <w:rFonts w:ascii="Arial" w:hAnsi="Arial" w:cs="Arial"/>
          <w:sz w:val="20"/>
          <w:szCs w:val="20"/>
        </w:rPr>
      </w:pPr>
      <w:r>
        <w:rPr>
          <w:rFonts w:ascii="Arial" w:hAnsi="Arial" w:cs="Arial"/>
          <w:sz w:val="20"/>
          <w:szCs w:val="20"/>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65566F" w14:paraId="51FA7571"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8939CFC" w14:textId="77777777" w:rsidR="00B01F04" w:rsidRPr="0065566F" w:rsidRDefault="00C53ABB" w:rsidP="00232DCD">
            <w:pPr>
              <w:jc w:val="center"/>
              <w:rPr>
                <w:rFonts w:ascii="Arial" w:eastAsia="Times New Roman" w:hAnsi="Arial" w:cs="Arial"/>
                <w:b/>
                <w:bCs/>
                <w:sz w:val="20"/>
                <w:szCs w:val="20"/>
              </w:rPr>
            </w:pPr>
            <w:r w:rsidRPr="0065566F">
              <w:rPr>
                <w:rFonts w:ascii="Arial" w:hAnsi="Arial" w:cs="Arial"/>
                <w:sz w:val="20"/>
                <w:szCs w:val="20"/>
              </w:rPr>
              <w:lastRenderedPageBreak/>
              <w:br w:type="page"/>
            </w:r>
            <w:r w:rsidR="00232DCD" w:rsidRPr="0065566F">
              <w:rPr>
                <w:rFonts w:ascii="Arial" w:eastAsia="Times New Roman" w:hAnsi="Arial" w:cs="Arial"/>
                <w:b/>
                <w:bCs/>
                <w:sz w:val="20"/>
                <w:szCs w:val="20"/>
              </w:rPr>
              <w:t>ENVIRONMENTAL AND SOCIAL MANAGEMENT REPORT (ESMR)</w:t>
            </w:r>
          </w:p>
        </w:tc>
      </w:tr>
      <w:tr w:rsidR="00232DCD" w:rsidRPr="0065566F" w14:paraId="1B8DA3A7"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07860AC" w14:textId="77777777" w:rsidR="00232DCD" w:rsidRPr="0065566F" w:rsidRDefault="00232DCD" w:rsidP="00844A93">
            <w:pPr>
              <w:rPr>
                <w:rFonts w:ascii="Arial" w:eastAsia="Times New Roman" w:hAnsi="Arial" w:cs="Arial"/>
                <w:b/>
                <w:bCs/>
                <w:sz w:val="20"/>
                <w:szCs w:val="20"/>
              </w:rPr>
            </w:pPr>
            <w:r w:rsidRPr="0065566F">
              <w:rPr>
                <w:rFonts w:ascii="Arial" w:eastAsia="Times New Roman" w:hAnsi="Arial" w:cs="Arial"/>
                <w:b/>
                <w:bCs/>
                <w:sz w:val="20"/>
                <w:szCs w:val="20"/>
              </w:rPr>
              <w:t>Operation Name:</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5215A2F" w14:textId="77777777" w:rsidR="00232DCD" w:rsidRPr="0065566F" w:rsidRDefault="00360F5E" w:rsidP="00844A93">
            <w:pPr>
              <w:rPr>
                <w:rFonts w:ascii="Arial" w:eastAsia="Times New Roman" w:hAnsi="Arial" w:cs="Arial"/>
                <w:sz w:val="20"/>
                <w:szCs w:val="20"/>
              </w:rPr>
            </w:pPr>
            <w:r w:rsidRPr="0065566F">
              <w:rPr>
                <w:rFonts w:ascii="Arial" w:hAnsi="Arial" w:cs="Arial"/>
                <w:b/>
                <w:smallCaps/>
                <w:sz w:val="20"/>
                <w:szCs w:val="20"/>
              </w:rPr>
              <w:t>Promoting private sector investments in energy efficiency in the industrial sector and reduction of non-renewable biomass demand in Paraguay</w:t>
            </w:r>
          </w:p>
        </w:tc>
      </w:tr>
      <w:tr w:rsidR="005354FC" w:rsidRPr="0065566F" w14:paraId="77A9AA87"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3CC0AC5" w14:textId="77777777" w:rsidR="005354FC" w:rsidRPr="0065566F" w:rsidRDefault="005354FC" w:rsidP="00844A93">
            <w:pPr>
              <w:rPr>
                <w:rFonts w:ascii="Arial" w:eastAsia="Times New Roman" w:hAnsi="Arial" w:cs="Arial"/>
                <w:b/>
                <w:bCs/>
                <w:sz w:val="20"/>
                <w:szCs w:val="20"/>
              </w:rPr>
            </w:pPr>
            <w:r w:rsidRPr="0065566F">
              <w:rPr>
                <w:rFonts w:ascii="Arial" w:eastAsia="Times New Roman" w:hAnsi="Arial" w:cs="Arial"/>
                <w:b/>
                <w:bCs/>
                <w:sz w:val="20"/>
                <w:szCs w:val="20"/>
              </w:rPr>
              <w:t>Operation Number: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5C5FDE2" w14:textId="77777777" w:rsidR="005354FC" w:rsidRPr="0065566F" w:rsidRDefault="00360F5E" w:rsidP="00844A93">
            <w:pPr>
              <w:rPr>
                <w:rFonts w:ascii="Arial" w:eastAsia="Times New Roman" w:hAnsi="Arial" w:cs="Arial"/>
                <w:sz w:val="20"/>
                <w:szCs w:val="20"/>
              </w:rPr>
            </w:pPr>
            <w:r w:rsidRPr="0065566F">
              <w:rPr>
                <w:rFonts w:ascii="Arial" w:eastAsia="Times New Roman" w:hAnsi="Arial" w:cs="Arial"/>
                <w:sz w:val="20"/>
                <w:szCs w:val="20"/>
              </w:rPr>
              <w:t>PR-L1146</w:t>
            </w:r>
          </w:p>
        </w:tc>
      </w:tr>
      <w:tr w:rsidR="00232DCD" w:rsidRPr="0065566F" w14:paraId="71D9C940"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42FFFEAB" w14:textId="77777777" w:rsidR="00232DCD" w:rsidRPr="0065566F" w:rsidRDefault="005354FC" w:rsidP="0032085B">
            <w:pPr>
              <w:pStyle w:val="ListParagraph"/>
              <w:numPr>
                <w:ilvl w:val="0"/>
                <w:numId w:val="6"/>
              </w:numPr>
              <w:ind w:left="318" w:hanging="318"/>
              <w:rPr>
                <w:rFonts w:ascii="Arial" w:eastAsia="Times New Roman" w:hAnsi="Arial" w:cs="Arial"/>
                <w:sz w:val="20"/>
                <w:szCs w:val="20"/>
              </w:rPr>
            </w:pPr>
            <w:r w:rsidRPr="0065566F">
              <w:rPr>
                <w:rFonts w:ascii="Arial" w:eastAsia="Times New Roman" w:hAnsi="Arial" w:cs="Arial"/>
                <w:b/>
                <w:bCs/>
                <w:sz w:val="20"/>
                <w:szCs w:val="20"/>
              </w:rPr>
              <w:t xml:space="preserve">Operation </w:t>
            </w:r>
            <w:r w:rsidR="00232DCD" w:rsidRPr="0065566F">
              <w:rPr>
                <w:rFonts w:ascii="Arial" w:eastAsia="Times New Roman" w:hAnsi="Arial" w:cs="Arial"/>
                <w:b/>
                <w:bCs/>
                <w:sz w:val="20"/>
                <w:szCs w:val="20"/>
              </w:rPr>
              <w:t>Details</w:t>
            </w:r>
          </w:p>
        </w:tc>
      </w:tr>
      <w:tr w:rsidR="00B01F04" w:rsidRPr="0065566F" w14:paraId="0624C44B"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4B0A8201" w14:textId="77777777" w:rsidR="00B01F04" w:rsidRPr="0065566F" w:rsidRDefault="00B01F04" w:rsidP="00844A93">
            <w:pPr>
              <w:rPr>
                <w:rFonts w:ascii="Arial" w:eastAsia="Times New Roman" w:hAnsi="Arial" w:cs="Arial"/>
                <w:b/>
                <w:bCs/>
                <w:sz w:val="20"/>
                <w:szCs w:val="20"/>
              </w:rPr>
            </w:pPr>
            <w:r w:rsidRPr="0065566F">
              <w:rPr>
                <w:rFonts w:ascii="Arial" w:eastAsia="Times New Roman" w:hAnsi="Arial" w:cs="Arial"/>
                <w:b/>
                <w:bCs/>
                <w:sz w:val="20"/>
                <w:szCs w:val="20"/>
              </w:rPr>
              <w:t>IDB Sector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6D2A2D9D" w14:textId="77777777" w:rsidR="00B01F04" w:rsidRPr="0065566F" w:rsidRDefault="00360F5E" w:rsidP="00844A93">
            <w:pPr>
              <w:rPr>
                <w:rFonts w:ascii="Arial" w:eastAsia="Times New Roman" w:hAnsi="Arial" w:cs="Arial"/>
                <w:sz w:val="20"/>
                <w:szCs w:val="20"/>
              </w:rPr>
            </w:pPr>
            <w:r w:rsidRPr="0065566F">
              <w:rPr>
                <w:rFonts w:ascii="Arial" w:eastAsia="Times New Roman" w:hAnsi="Arial" w:cs="Arial"/>
                <w:sz w:val="20"/>
                <w:szCs w:val="20"/>
              </w:rPr>
              <w:t>IFD/CMF</w:t>
            </w:r>
          </w:p>
        </w:tc>
      </w:tr>
      <w:tr w:rsidR="00B01F04" w:rsidRPr="0065566F" w14:paraId="00B83CF2"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4B8B2638" w14:textId="77777777" w:rsidR="00B01F04" w:rsidRPr="0065566F" w:rsidRDefault="00B01F04" w:rsidP="00844A93">
            <w:pPr>
              <w:rPr>
                <w:rFonts w:ascii="Arial" w:eastAsia="Times New Roman" w:hAnsi="Arial" w:cs="Arial"/>
                <w:b/>
                <w:bCs/>
                <w:sz w:val="20"/>
                <w:szCs w:val="20"/>
              </w:rPr>
            </w:pPr>
            <w:r w:rsidRPr="0065566F">
              <w:rPr>
                <w:rFonts w:ascii="Arial" w:eastAsia="Times New Roman" w:hAnsi="Arial" w:cs="Arial"/>
                <w:b/>
                <w:bCs/>
                <w:sz w:val="20"/>
                <w:szCs w:val="20"/>
              </w:rPr>
              <w:t>Type of Operation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34461C4B" w14:textId="77777777" w:rsidR="00B01F04" w:rsidRPr="0065566F" w:rsidRDefault="00183CA6" w:rsidP="00844A93">
            <w:pPr>
              <w:rPr>
                <w:rFonts w:ascii="Arial" w:eastAsia="Times New Roman" w:hAnsi="Arial" w:cs="Arial"/>
                <w:sz w:val="20"/>
                <w:szCs w:val="20"/>
              </w:rPr>
            </w:pPr>
            <w:r w:rsidRPr="0065566F">
              <w:rPr>
                <w:rFonts w:ascii="Arial" w:eastAsia="Times New Roman" w:hAnsi="Arial" w:cs="Arial"/>
                <w:sz w:val="20"/>
                <w:szCs w:val="20"/>
              </w:rPr>
              <w:t>Loan Operation (Financial Intermediary)</w:t>
            </w:r>
          </w:p>
        </w:tc>
      </w:tr>
      <w:tr w:rsidR="00B01F04" w:rsidRPr="0065566F" w14:paraId="12E015DF"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706BF45" w14:textId="77777777" w:rsidR="00B01F04" w:rsidRPr="0065566F" w:rsidRDefault="00B01F04" w:rsidP="005354FC">
            <w:pPr>
              <w:rPr>
                <w:rFonts w:ascii="Arial" w:eastAsia="Times New Roman" w:hAnsi="Arial" w:cs="Arial"/>
                <w:b/>
                <w:bCs/>
                <w:sz w:val="20"/>
                <w:szCs w:val="20"/>
              </w:rPr>
            </w:pPr>
            <w:r w:rsidRPr="0065566F">
              <w:rPr>
                <w:rFonts w:ascii="Arial" w:eastAsia="Times New Roman" w:hAnsi="Arial" w:cs="Arial"/>
                <w:b/>
                <w:bCs/>
                <w:sz w:val="20"/>
                <w:szCs w:val="20"/>
              </w:rPr>
              <w:t>Impact Categorization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E48C1E" w14:textId="77777777" w:rsidR="00B01F04" w:rsidRPr="0065566F" w:rsidRDefault="00360F5E" w:rsidP="00844A93">
            <w:pPr>
              <w:rPr>
                <w:rFonts w:ascii="Arial" w:eastAsia="Times New Roman" w:hAnsi="Arial" w:cs="Arial"/>
                <w:sz w:val="20"/>
                <w:szCs w:val="20"/>
              </w:rPr>
            </w:pPr>
            <w:r w:rsidRPr="0065566F">
              <w:rPr>
                <w:rFonts w:ascii="Arial" w:eastAsia="Times New Roman" w:hAnsi="Arial" w:cs="Arial"/>
                <w:sz w:val="20"/>
                <w:szCs w:val="20"/>
              </w:rPr>
              <w:t>B.13 – FI3</w:t>
            </w:r>
          </w:p>
        </w:tc>
      </w:tr>
      <w:tr w:rsidR="00EE794C" w:rsidRPr="0065566F" w14:paraId="62B7D7C0"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9B3BD9D" w14:textId="77777777" w:rsidR="00EE794C" w:rsidRPr="0065566F" w:rsidRDefault="00EE794C" w:rsidP="00844A93">
            <w:pPr>
              <w:rPr>
                <w:rFonts w:ascii="Arial" w:eastAsia="Times New Roman" w:hAnsi="Arial" w:cs="Arial"/>
                <w:b/>
                <w:bCs/>
                <w:sz w:val="20"/>
                <w:szCs w:val="20"/>
              </w:rPr>
            </w:pPr>
            <w:r w:rsidRPr="0065566F">
              <w:rPr>
                <w:rFonts w:ascii="Arial" w:eastAsia="Times New Roman" w:hAnsi="Arial" w:cs="Arial"/>
                <w:b/>
                <w:bCs/>
                <w:sz w:val="20"/>
                <w:szCs w:val="20"/>
              </w:rPr>
              <w:t xml:space="preserve">Environmental and Social Risk </w:t>
            </w:r>
            <w:r w:rsidR="00231844" w:rsidRPr="0065566F">
              <w:rPr>
                <w:rFonts w:ascii="Arial" w:eastAsia="Times New Roman" w:hAnsi="Arial" w:cs="Arial"/>
                <w:b/>
                <w:bCs/>
                <w:sz w:val="20"/>
                <w:szCs w:val="20"/>
              </w:rPr>
              <w:t>R</w:t>
            </w:r>
            <w:r w:rsidRPr="0065566F">
              <w:rPr>
                <w:rFonts w:ascii="Arial" w:eastAsia="Times New Roman" w:hAnsi="Arial" w:cs="Arial"/>
                <w:b/>
                <w:bCs/>
                <w:sz w:val="20"/>
                <w:szCs w:val="20"/>
              </w:rPr>
              <w:t>ating</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F7E1351" w14:textId="77777777" w:rsidR="00EE794C" w:rsidRPr="0065566F" w:rsidRDefault="00183CA6" w:rsidP="00844A93">
            <w:pPr>
              <w:rPr>
                <w:rFonts w:ascii="Arial" w:eastAsia="Times New Roman" w:hAnsi="Arial" w:cs="Arial"/>
                <w:sz w:val="20"/>
                <w:szCs w:val="20"/>
              </w:rPr>
            </w:pPr>
            <w:r w:rsidRPr="0065566F">
              <w:rPr>
                <w:rFonts w:ascii="Arial" w:eastAsia="Times New Roman" w:hAnsi="Arial" w:cs="Arial"/>
                <w:sz w:val="20"/>
                <w:szCs w:val="20"/>
              </w:rPr>
              <w:t>NA</w:t>
            </w:r>
          </w:p>
        </w:tc>
      </w:tr>
      <w:tr w:rsidR="00B01F04" w:rsidRPr="0065566F" w14:paraId="1B5D7F12"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1DCCBF9" w14:textId="77777777" w:rsidR="00B01F04" w:rsidRPr="0065566F" w:rsidDel="007813EB" w:rsidRDefault="00B01F04" w:rsidP="00844A93">
            <w:pPr>
              <w:rPr>
                <w:rFonts w:ascii="Arial" w:eastAsia="Times New Roman" w:hAnsi="Arial" w:cs="Arial"/>
                <w:b/>
                <w:bCs/>
                <w:sz w:val="20"/>
                <w:szCs w:val="20"/>
              </w:rPr>
            </w:pPr>
            <w:r w:rsidRPr="0065566F">
              <w:rPr>
                <w:rFonts w:ascii="Arial" w:eastAsia="Times New Roman" w:hAnsi="Arial" w:cs="Arial"/>
                <w:b/>
                <w:bCs/>
                <w:sz w:val="20"/>
                <w:szCs w:val="20"/>
              </w:rPr>
              <w:t>Disaster Risk Rating</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E89E686" w14:textId="77777777" w:rsidR="00B01F04" w:rsidRPr="0065566F" w:rsidRDefault="00183CA6" w:rsidP="00844A93">
            <w:pPr>
              <w:rPr>
                <w:rFonts w:ascii="Arial" w:eastAsia="Times New Roman" w:hAnsi="Arial" w:cs="Arial"/>
                <w:sz w:val="20"/>
                <w:szCs w:val="20"/>
              </w:rPr>
            </w:pPr>
            <w:r w:rsidRPr="0065566F">
              <w:rPr>
                <w:rFonts w:ascii="Arial" w:eastAsia="Times New Roman" w:hAnsi="Arial" w:cs="Arial"/>
                <w:sz w:val="20"/>
                <w:szCs w:val="20"/>
              </w:rPr>
              <w:t>NA</w:t>
            </w:r>
          </w:p>
        </w:tc>
      </w:tr>
      <w:tr w:rsidR="00B01F04" w:rsidRPr="00B56B1E" w14:paraId="360A392B"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CE08797" w14:textId="77777777" w:rsidR="00B01F04" w:rsidRPr="0065566F" w:rsidRDefault="00B01F04" w:rsidP="00844A93">
            <w:pPr>
              <w:rPr>
                <w:rFonts w:ascii="Arial" w:eastAsia="Times New Roman" w:hAnsi="Arial" w:cs="Arial"/>
                <w:b/>
                <w:bCs/>
                <w:sz w:val="20"/>
                <w:szCs w:val="20"/>
              </w:rPr>
            </w:pPr>
            <w:r w:rsidRPr="0065566F">
              <w:rPr>
                <w:rFonts w:ascii="Arial" w:eastAsia="Times New Roman" w:hAnsi="Arial" w:cs="Arial"/>
                <w:b/>
                <w:bCs/>
                <w:sz w:val="20"/>
                <w:szCs w:val="20"/>
              </w:rPr>
              <w:t>Borrower</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CBE9294" w14:textId="77777777" w:rsidR="00B01F04" w:rsidRPr="0065566F" w:rsidRDefault="00360F5E" w:rsidP="00844A93">
            <w:pPr>
              <w:rPr>
                <w:rFonts w:ascii="Arial" w:eastAsia="Times New Roman" w:hAnsi="Arial" w:cs="Arial"/>
                <w:sz w:val="20"/>
                <w:szCs w:val="20"/>
                <w:lang w:val="es-ES_tradnl"/>
              </w:rPr>
            </w:pPr>
            <w:r w:rsidRPr="0065566F">
              <w:rPr>
                <w:rFonts w:ascii="Arial" w:eastAsia="Times New Roman" w:hAnsi="Arial" w:cs="Arial"/>
                <w:sz w:val="20"/>
                <w:szCs w:val="20"/>
                <w:lang w:val="es-ES_tradnl"/>
              </w:rPr>
              <w:t>Agencia Financiera de Desarrollo (AFD)</w:t>
            </w:r>
          </w:p>
        </w:tc>
      </w:tr>
      <w:tr w:rsidR="00360F5E" w:rsidRPr="00B56B1E" w14:paraId="448D8094"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13FF4C6" w14:textId="77777777" w:rsidR="00360F5E" w:rsidRPr="0065566F" w:rsidRDefault="00360F5E" w:rsidP="00360F5E">
            <w:pPr>
              <w:rPr>
                <w:rFonts w:ascii="Arial" w:eastAsia="Times New Roman" w:hAnsi="Arial" w:cs="Arial"/>
                <w:b/>
                <w:bCs/>
                <w:sz w:val="20"/>
                <w:szCs w:val="20"/>
              </w:rPr>
            </w:pPr>
            <w:r w:rsidRPr="0065566F">
              <w:rPr>
                <w:rFonts w:ascii="Arial" w:eastAsia="Times New Roman" w:hAnsi="Arial" w:cs="Arial"/>
                <w:b/>
                <w:bCs/>
                <w:sz w:val="20"/>
                <w:szCs w:val="20"/>
              </w:rPr>
              <w:t>Executing Agency</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D9E14B7" w14:textId="77777777" w:rsidR="00360F5E" w:rsidRPr="0065566F" w:rsidRDefault="00360F5E" w:rsidP="00360F5E">
            <w:pPr>
              <w:rPr>
                <w:rFonts w:ascii="Arial" w:eastAsia="Times New Roman" w:hAnsi="Arial" w:cs="Arial"/>
                <w:sz w:val="20"/>
                <w:szCs w:val="20"/>
                <w:lang w:val="es-ES_tradnl"/>
              </w:rPr>
            </w:pPr>
            <w:r w:rsidRPr="0065566F">
              <w:rPr>
                <w:rFonts w:ascii="Arial" w:eastAsia="Times New Roman" w:hAnsi="Arial" w:cs="Arial"/>
                <w:sz w:val="20"/>
                <w:szCs w:val="20"/>
                <w:lang w:val="es-ES_tradnl"/>
              </w:rPr>
              <w:t>Agencia Financiera de Desarrollo (AFD)</w:t>
            </w:r>
          </w:p>
        </w:tc>
      </w:tr>
      <w:tr w:rsidR="00360F5E" w:rsidRPr="0065566F" w14:paraId="6DD644D7"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38A8E47" w14:textId="77777777" w:rsidR="00360F5E" w:rsidRPr="0065566F" w:rsidRDefault="00360F5E" w:rsidP="00360F5E">
            <w:pPr>
              <w:rPr>
                <w:rFonts w:ascii="Arial" w:eastAsia="Times New Roman" w:hAnsi="Arial" w:cs="Arial"/>
                <w:b/>
                <w:bCs/>
                <w:sz w:val="20"/>
                <w:szCs w:val="20"/>
              </w:rPr>
            </w:pPr>
            <w:r w:rsidRPr="0065566F">
              <w:rPr>
                <w:rFonts w:ascii="Arial" w:eastAsia="Times New Roman" w:hAnsi="Arial" w:cs="Arial"/>
                <w:b/>
                <w:bCs/>
                <w:sz w:val="20"/>
                <w:szCs w:val="20"/>
              </w:rPr>
              <w:t>IDB Loan US$ (and total project cost)</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580EB78" w14:textId="77777777" w:rsidR="00360F5E" w:rsidRPr="0065566F" w:rsidRDefault="00183CA6" w:rsidP="00360F5E">
            <w:pPr>
              <w:rPr>
                <w:rFonts w:ascii="Arial" w:eastAsia="Times New Roman" w:hAnsi="Arial" w:cs="Arial"/>
                <w:sz w:val="20"/>
                <w:szCs w:val="20"/>
              </w:rPr>
            </w:pPr>
            <w:r w:rsidRPr="0065566F">
              <w:rPr>
                <w:rFonts w:ascii="Arial" w:eastAsia="Times New Roman" w:hAnsi="Arial" w:cs="Arial"/>
                <w:sz w:val="20"/>
                <w:szCs w:val="20"/>
              </w:rPr>
              <w:t>US$20,000,000 Investment Loan (INV) from the Green Climate Fund (GRN)</w:t>
            </w:r>
          </w:p>
        </w:tc>
      </w:tr>
      <w:tr w:rsidR="00360F5E" w:rsidRPr="0065566F" w14:paraId="6EA849D3"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1BDBD3" w14:textId="77777777" w:rsidR="00360F5E" w:rsidRPr="0065566F" w:rsidRDefault="00360F5E" w:rsidP="00360F5E">
            <w:pPr>
              <w:rPr>
                <w:rFonts w:ascii="Arial" w:eastAsia="Times New Roman" w:hAnsi="Arial" w:cs="Arial"/>
                <w:b/>
                <w:bCs/>
                <w:sz w:val="20"/>
                <w:szCs w:val="20"/>
              </w:rPr>
            </w:pPr>
            <w:r w:rsidRPr="0065566F">
              <w:rPr>
                <w:rFonts w:ascii="Arial" w:eastAsia="Times New Roman" w:hAnsi="Arial" w:cs="Arial"/>
                <w:b/>
                <w:bCs/>
                <w:sz w:val="20"/>
                <w:szCs w:val="20"/>
              </w:rPr>
              <w:t xml:space="preserve">Applicable Policies/Directives </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CD00E6" w14:textId="77777777" w:rsidR="00360F5E" w:rsidRPr="0065566F" w:rsidRDefault="00D53532" w:rsidP="00360F5E">
            <w:pPr>
              <w:rPr>
                <w:rFonts w:ascii="Arial" w:eastAsia="Times New Roman" w:hAnsi="Arial" w:cs="Arial"/>
                <w:i/>
                <w:sz w:val="20"/>
                <w:szCs w:val="20"/>
              </w:rPr>
            </w:pPr>
            <w:r w:rsidRPr="0065566F">
              <w:rPr>
                <w:rFonts w:ascii="Arial" w:eastAsia="Times New Roman" w:hAnsi="Arial" w:cs="Arial"/>
                <w:i/>
                <w:sz w:val="20"/>
                <w:szCs w:val="20"/>
              </w:rPr>
              <w:t>OP-703 B</w:t>
            </w:r>
            <w:r w:rsidR="00183CA6" w:rsidRPr="0065566F">
              <w:rPr>
                <w:rFonts w:ascii="Arial" w:eastAsia="Times New Roman" w:hAnsi="Arial" w:cs="Arial"/>
                <w:i/>
                <w:sz w:val="20"/>
                <w:szCs w:val="20"/>
              </w:rPr>
              <w:t>.</w:t>
            </w:r>
            <w:r w:rsidRPr="0065566F">
              <w:rPr>
                <w:rFonts w:ascii="Arial" w:eastAsia="Times New Roman" w:hAnsi="Arial" w:cs="Arial"/>
                <w:i/>
                <w:sz w:val="20"/>
                <w:szCs w:val="20"/>
              </w:rPr>
              <w:t>2, B.3, B.7, B.13 – OP-102</w:t>
            </w:r>
          </w:p>
        </w:tc>
      </w:tr>
      <w:tr w:rsidR="00360F5E" w:rsidRPr="0065566F" w14:paraId="2DA73F4B"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9250E6D" w14:textId="77777777" w:rsidR="00360F5E" w:rsidRPr="0065566F" w:rsidRDefault="00360F5E" w:rsidP="0032085B">
            <w:pPr>
              <w:pStyle w:val="ListParagraph"/>
              <w:numPr>
                <w:ilvl w:val="0"/>
                <w:numId w:val="6"/>
              </w:numPr>
              <w:ind w:left="318" w:hanging="318"/>
              <w:rPr>
                <w:rFonts w:ascii="Arial" w:eastAsia="Times New Roman" w:hAnsi="Arial" w:cs="Arial"/>
                <w:b/>
                <w:bCs/>
                <w:sz w:val="20"/>
                <w:szCs w:val="20"/>
              </w:rPr>
            </w:pPr>
            <w:r w:rsidRPr="0065566F">
              <w:rPr>
                <w:rFonts w:ascii="Arial" w:eastAsia="Times New Roman" w:hAnsi="Arial" w:cs="Arial"/>
                <w:b/>
                <w:bCs/>
                <w:sz w:val="20"/>
                <w:szCs w:val="20"/>
              </w:rPr>
              <w:t xml:space="preserve">Executive Summary </w:t>
            </w:r>
          </w:p>
        </w:tc>
      </w:tr>
      <w:tr w:rsidR="00360F5E" w:rsidRPr="0065566F" w14:paraId="0D3FF088" w14:textId="77777777" w:rsidTr="001D2104">
        <w:trPr>
          <w:trHeight w:val="78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433F5F8" w14:textId="1E825AD4" w:rsidR="00174928" w:rsidRPr="0065566F"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This operation is a financial intermediation operation, and as such cannot be classified as 'ex-ante', in accordance with the Bank's Directive B.13 of the Environment and Safeguards Compliance Policy (OP-703). In the light of the nature and magnitude of potential socio-environmental impacts identified for sub-projects expected to be financed under this program (small-scale investment projects for SMEs), this operation is considered as a low risk of Financial Intermediation (FI-3). </w:t>
            </w:r>
          </w:p>
          <w:p w14:paraId="586FD6C7" w14:textId="77777777" w:rsidR="00174928" w:rsidRPr="0065566F" w:rsidRDefault="00174928" w:rsidP="00174928">
            <w:pPr>
              <w:rPr>
                <w:rFonts w:ascii="Arial" w:eastAsia="Times New Roman" w:hAnsi="Arial" w:cs="Arial"/>
                <w:sz w:val="20"/>
                <w:szCs w:val="20"/>
                <w:shd w:val="clear" w:color="auto" w:fill="FFFFFF"/>
              </w:rPr>
            </w:pPr>
          </w:p>
          <w:p w14:paraId="558F6629" w14:textId="77777777" w:rsidR="00174928" w:rsidRPr="0065566F"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Only Category C sub-projects are eligible for financing. No category A or B project according to the IDB classification will be eligible for funding under the program.</w:t>
            </w:r>
          </w:p>
          <w:p w14:paraId="794F12E0" w14:textId="77777777" w:rsidR="00174928" w:rsidRPr="0065566F" w:rsidRDefault="00174928" w:rsidP="00174928">
            <w:pPr>
              <w:rPr>
                <w:rFonts w:ascii="Arial" w:eastAsia="Times New Roman" w:hAnsi="Arial" w:cs="Arial"/>
                <w:sz w:val="20"/>
                <w:szCs w:val="20"/>
                <w:shd w:val="clear" w:color="auto" w:fill="FFFFFF"/>
              </w:rPr>
            </w:pPr>
          </w:p>
          <w:p w14:paraId="69940F5D" w14:textId="77777777" w:rsidR="00174928" w:rsidRPr="0065566F" w:rsidRDefault="00174928" w:rsidP="00174928">
            <w:pPr>
              <w:rPr>
                <w:rFonts w:ascii="Arial" w:eastAsia="Times New Roman" w:hAnsi="Arial" w:cs="Arial"/>
                <w:sz w:val="20"/>
                <w:szCs w:val="20"/>
                <w:shd w:val="clear" w:color="auto" w:fill="FFFFFF"/>
              </w:rPr>
            </w:pPr>
            <w:proofErr w:type="spellStart"/>
            <w:r w:rsidRPr="0065566F">
              <w:rPr>
                <w:rFonts w:ascii="Arial" w:eastAsia="Times New Roman" w:hAnsi="Arial" w:cs="Arial"/>
                <w:sz w:val="20"/>
                <w:szCs w:val="20"/>
                <w:shd w:val="clear" w:color="auto" w:fill="FFFFFF"/>
              </w:rPr>
              <w:t>Agencia</w:t>
            </w:r>
            <w:proofErr w:type="spellEnd"/>
            <w:r w:rsidRPr="0065566F">
              <w:rPr>
                <w:rFonts w:ascii="Arial" w:eastAsia="Times New Roman" w:hAnsi="Arial" w:cs="Arial"/>
                <w:sz w:val="20"/>
                <w:szCs w:val="20"/>
                <w:shd w:val="clear" w:color="auto" w:fill="FFFFFF"/>
              </w:rPr>
              <w:t xml:space="preserve"> </w:t>
            </w:r>
            <w:proofErr w:type="spellStart"/>
            <w:r w:rsidRPr="0065566F">
              <w:rPr>
                <w:rFonts w:ascii="Arial" w:eastAsia="Times New Roman" w:hAnsi="Arial" w:cs="Arial"/>
                <w:sz w:val="20"/>
                <w:szCs w:val="20"/>
                <w:shd w:val="clear" w:color="auto" w:fill="FFFFFF"/>
              </w:rPr>
              <w:t>Financiera</w:t>
            </w:r>
            <w:proofErr w:type="spellEnd"/>
            <w:r w:rsidRPr="0065566F">
              <w:rPr>
                <w:rFonts w:ascii="Arial" w:eastAsia="Times New Roman" w:hAnsi="Arial" w:cs="Arial"/>
                <w:sz w:val="20"/>
                <w:szCs w:val="20"/>
                <w:shd w:val="clear" w:color="auto" w:fill="FFFFFF"/>
              </w:rPr>
              <w:t xml:space="preserve"> de </w:t>
            </w:r>
            <w:proofErr w:type="spellStart"/>
            <w:r w:rsidRPr="0065566F">
              <w:rPr>
                <w:rFonts w:ascii="Arial" w:eastAsia="Times New Roman" w:hAnsi="Arial" w:cs="Arial"/>
                <w:sz w:val="20"/>
                <w:szCs w:val="20"/>
                <w:shd w:val="clear" w:color="auto" w:fill="FFFFFF"/>
              </w:rPr>
              <w:t>Desarrollo</w:t>
            </w:r>
            <w:proofErr w:type="spellEnd"/>
            <w:r w:rsidRPr="0065566F">
              <w:rPr>
                <w:rFonts w:ascii="Arial" w:eastAsia="Times New Roman" w:hAnsi="Arial" w:cs="Arial"/>
                <w:sz w:val="20"/>
                <w:szCs w:val="20"/>
                <w:shd w:val="clear" w:color="auto" w:fill="FFFFFF"/>
              </w:rPr>
              <w:t xml:space="preserve"> (AFD) is a second-tier bank in Paraguay with whom the IDB has had many ongoing loan operations for many years. With IDB resources, AFD developed the Environmental and Social Risk Management Systems it applies to the different financial products developed with IDB resources. </w:t>
            </w:r>
          </w:p>
          <w:p w14:paraId="701E4384" w14:textId="77777777" w:rsidR="00174928" w:rsidRPr="0065566F" w:rsidRDefault="00174928" w:rsidP="00174928">
            <w:pPr>
              <w:rPr>
                <w:rFonts w:ascii="Arial" w:eastAsia="Times New Roman" w:hAnsi="Arial" w:cs="Arial"/>
                <w:sz w:val="20"/>
                <w:szCs w:val="20"/>
                <w:shd w:val="clear" w:color="auto" w:fill="FFFFFF"/>
              </w:rPr>
            </w:pPr>
          </w:p>
          <w:p w14:paraId="54110BE6" w14:textId="77777777" w:rsidR="00174928" w:rsidRPr="0065566F"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After the due diligence exercise, the project team concluded that this program could be handled similarly to the previous programs, with an ad-hoc Environmental and Social Management System (ESMS) based on:</w:t>
            </w:r>
          </w:p>
          <w:p w14:paraId="2D025497" w14:textId="77777777" w:rsidR="00174928" w:rsidRPr="0065566F" w:rsidRDefault="00174928" w:rsidP="00174928">
            <w:pPr>
              <w:rPr>
                <w:rFonts w:ascii="Arial" w:eastAsia="Times New Roman" w:hAnsi="Arial" w:cs="Arial"/>
                <w:sz w:val="20"/>
                <w:szCs w:val="20"/>
                <w:shd w:val="clear" w:color="auto" w:fill="FFFFFF"/>
              </w:rPr>
            </w:pPr>
          </w:p>
          <w:p w14:paraId="4D73FD1F" w14:textId="77777777" w:rsidR="00174928" w:rsidRPr="0065566F"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1)</w:t>
            </w:r>
            <w:r w:rsidRPr="0065566F">
              <w:rPr>
                <w:rFonts w:ascii="Arial" w:eastAsia="Times New Roman" w:hAnsi="Arial" w:cs="Arial"/>
                <w:sz w:val="20"/>
                <w:szCs w:val="20"/>
                <w:shd w:val="clear" w:color="auto" w:fill="FFFFFF"/>
              </w:rPr>
              <w:tab/>
              <w:t xml:space="preserve">The compliance with all applicable environmental, social, health and safety, and labor regulatory requirements of Paraguay for AFD, 1st Tier Banks participating in the </w:t>
            </w:r>
            <w:r w:rsidR="005D6A90">
              <w:rPr>
                <w:rFonts w:ascii="Arial" w:eastAsia="Times New Roman" w:hAnsi="Arial" w:cs="Arial"/>
                <w:sz w:val="20"/>
                <w:szCs w:val="20"/>
                <w:shd w:val="clear" w:color="auto" w:fill="FFFFFF"/>
              </w:rPr>
              <w:t>Program</w:t>
            </w:r>
            <w:r w:rsidRPr="0065566F">
              <w:rPr>
                <w:rFonts w:ascii="Arial" w:eastAsia="Times New Roman" w:hAnsi="Arial" w:cs="Arial"/>
                <w:sz w:val="20"/>
                <w:szCs w:val="20"/>
                <w:shd w:val="clear" w:color="auto" w:fill="FFFFFF"/>
              </w:rPr>
              <w:t xml:space="preserve"> and the sub-projects financed through this </w:t>
            </w:r>
            <w:r w:rsidR="005D6A90">
              <w:rPr>
                <w:rFonts w:ascii="Arial" w:eastAsia="Times New Roman" w:hAnsi="Arial" w:cs="Arial"/>
                <w:sz w:val="20"/>
                <w:szCs w:val="20"/>
                <w:shd w:val="clear" w:color="auto" w:fill="FFFFFF"/>
              </w:rPr>
              <w:t>Program</w:t>
            </w:r>
          </w:p>
          <w:p w14:paraId="75C2670C" w14:textId="77777777" w:rsidR="00174928" w:rsidRPr="0065566F"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3)</w:t>
            </w:r>
            <w:r w:rsidRPr="0065566F">
              <w:rPr>
                <w:rFonts w:ascii="Arial" w:eastAsia="Times New Roman" w:hAnsi="Arial" w:cs="Arial"/>
                <w:sz w:val="20"/>
                <w:szCs w:val="20"/>
                <w:shd w:val="clear" w:color="auto" w:fill="FFFFFF"/>
              </w:rPr>
              <w:tab/>
              <w:t xml:space="preserve">The appointment of an Environmental and Social Coordinator for the duration of the </w:t>
            </w:r>
            <w:r w:rsidR="005D6A90">
              <w:rPr>
                <w:rFonts w:ascii="Arial" w:eastAsia="Times New Roman" w:hAnsi="Arial" w:cs="Arial"/>
                <w:sz w:val="20"/>
                <w:szCs w:val="20"/>
                <w:shd w:val="clear" w:color="auto" w:fill="FFFFFF"/>
              </w:rPr>
              <w:t>Program</w:t>
            </w:r>
          </w:p>
          <w:p w14:paraId="3DF840EE" w14:textId="77777777" w:rsidR="00174928" w:rsidRPr="0065566F"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4)</w:t>
            </w:r>
            <w:r w:rsidRPr="0065566F">
              <w:rPr>
                <w:rFonts w:ascii="Arial" w:eastAsia="Times New Roman" w:hAnsi="Arial" w:cs="Arial"/>
                <w:sz w:val="20"/>
                <w:szCs w:val="20"/>
                <w:shd w:val="clear" w:color="auto" w:fill="FFFFFF"/>
              </w:rPr>
              <w:tab/>
              <w:t>The application of the IDB exclusion list and of an extended exclusion list</w:t>
            </w:r>
          </w:p>
          <w:p w14:paraId="77DFB0D1" w14:textId="77777777" w:rsidR="00174928" w:rsidRPr="0065566F"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5)</w:t>
            </w:r>
            <w:r w:rsidRPr="0065566F">
              <w:rPr>
                <w:rFonts w:ascii="Arial" w:eastAsia="Times New Roman" w:hAnsi="Arial" w:cs="Arial"/>
                <w:sz w:val="20"/>
                <w:szCs w:val="20"/>
                <w:shd w:val="clear" w:color="auto" w:fill="FFFFFF"/>
              </w:rPr>
              <w:tab/>
              <w:t xml:space="preserve">For Energy Efficiency sub-projects, the adoption of a Decommissioning and Disposal Protocol for replaced equipment and materials acceptable to the IDB, to be presented by AFD and approved by the IDB as a condition prior to first disbursement. </w:t>
            </w:r>
          </w:p>
          <w:p w14:paraId="5B8F3145" w14:textId="77777777" w:rsidR="00174928" w:rsidRPr="00711105"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6)</w:t>
            </w:r>
            <w:r w:rsidRPr="0065566F">
              <w:rPr>
                <w:rFonts w:ascii="Arial" w:eastAsia="Times New Roman" w:hAnsi="Arial" w:cs="Arial"/>
                <w:sz w:val="20"/>
                <w:szCs w:val="20"/>
                <w:shd w:val="clear" w:color="auto" w:fill="FFFFFF"/>
              </w:rPr>
              <w:tab/>
              <w:t>For co-generation projects, the development of a classification tool. The tool will be based on the IFC Converting Biomass to Energy: A Guide for Developers and Investors and will be in line with the IDB safeguards. It will be presented by AFD and approved by the IDB as a condition prior to first disbursement.  Once approved, said tool will be part of this ESM</w:t>
            </w:r>
            <w:r w:rsidR="005D6A90">
              <w:rPr>
                <w:rFonts w:ascii="Arial" w:eastAsia="Times New Roman" w:hAnsi="Arial" w:cs="Arial"/>
                <w:sz w:val="20"/>
                <w:szCs w:val="20"/>
                <w:shd w:val="clear" w:color="auto" w:fill="FFFFFF"/>
              </w:rPr>
              <w:t>R</w:t>
            </w:r>
            <w:r w:rsidRPr="0065566F">
              <w:rPr>
                <w:rFonts w:ascii="Arial" w:eastAsia="Times New Roman" w:hAnsi="Arial" w:cs="Arial"/>
                <w:sz w:val="20"/>
                <w:szCs w:val="20"/>
                <w:shd w:val="clear" w:color="auto" w:fill="FFFFFF"/>
              </w:rPr>
              <w:t xml:space="preserve">. AFD will be responsible to classify the co-generation projects. Only C category projects </w:t>
            </w:r>
            <w:r w:rsidRPr="00711105">
              <w:rPr>
                <w:rFonts w:ascii="Arial" w:eastAsia="Times New Roman" w:hAnsi="Arial" w:cs="Arial"/>
                <w:sz w:val="20"/>
                <w:szCs w:val="20"/>
                <w:shd w:val="clear" w:color="auto" w:fill="FFFFFF"/>
              </w:rPr>
              <w:t xml:space="preserve">and projects using agricultural waste will be eligible for financing. </w:t>
            </w:r>
          </w:p>
          <w:p w14:paraId="1F61FAE9" w14:textId="77777777" w:rsidR="00174928" w:rsidRPr="00711105" w:rsidRDefault="00174928" w:rsidP="00174928">
            <w:pPr>
              <w:rPr>
                <w:rFonts w:ascii="Arial" w:eastAsia="Times New Roman" w:hAnsi="Arial" w:cs="Arial"/>
                <w:sz w:val="20"/>
                <w:szCs w:val="20"/>
                <w:shd w:val="clear" w:color="auto" w:fill="FFFFFF"/>
              </w:rPr>
            </w:pPr>
            <w:r w:rsidRPr="00711105">
              <w:rPr>
                <w:rFonts w:ascii="Arial" w:eastAsia="Times New Roman" w:hAnsi="Arial" w:cs="Arial"/>
                <w:sz w:val="20"/>
                <w:szCs w:val="20"/>
                <w:shd w:val="clear" w:color="auto" w:fill="FFFFFF"/>
              </w:rPr>
              <w:t>7)</w:t>
            </w:r>
            <w:r w:rsidRPr="00711105">
              <w:rPr>
                <w:rFonts w:ascii="Arial" w:eastAsia="Times New Roman" w:hAnsi="Arial" w:cs="Arial"/>
                <w:sz w:val="20"/>
                <w:szCs w:val="20"/>
                <w:shd w:val="clear" w:color="auto" w:fill="FFFFFF"/>
              </w:rPr>
              <w:tab/>
              <w:t>The performance of compulsory site-visits for projects above US$1m (AFD E&amp;S specialist)</w:t>
            </w:r>
          </w:p>
          <w:p w14:paraId="0CE38421" w14:textId="77777777" w:rsidR="00174928" w:rsidRPr="0065566F" w:rsidRDefault="00174928" w:rsidP="00174928">
            <w:pPr>
              <w:rPr>
                <w:rFonts w:ascii="Arial" w:eastAsia="Times New Roman" w:hAnsi="Arial" w:cs="Arial"/>
                <w:sz w:val="20"/>
                <w:szCs w:val="20"/>
                <w:shd w:val="clear" w:color="auto" w:fill="FFFFFF"/>
              </w:rPr>
            </w:pPr>
            <w:r w:rsidRPr="00711105">
              <w:rPr>
                <w:rFonts w:ascii="Arial" w:eastAsia="Times New Roman" w:hAnsi="Arial" w:cs="Arial"/>
                <w:sz w:val="20"/>
                <w:szCs w:val="20"/>
                <w:shd w:val="clear" w:color="auto" w:fill="FFFFFF"/>
              </w:rPr>
              <w:t>8)</w:t>
            </w:r>
            <w:r w:rsidRPr="00711105">
              <w:rPr>
                <w:rFonts w:ascii="Arial" w:eastAsia="Times New Roman" w:hAnsi="Arial" w:cs="Arial"/>
                <w:sz w:val="20"/>
                <w:szCs w:val="20"/>
                <w:shd w:val="clear" w:color="auto" w:fill="FFFFFF"/>
              </w:rPr>
              <w:tab/>
              <w:t xml:space="preserve">The implementation of a grievance mechanism by AFD at the </w:t>
            </w:r>
            <w:r w:rsidR="005D6A90" w:rsidRPr="00711105">
              <w:rPr>
                <w:rFonts w:ascii="Arial" w:eastAsia="Times New Roman" w:hAnsi="Arial" w:cs="Arial"/>
                <w:sz w:val="20"/>
                <w:szCs w:val="20"/>
                <w:shd w:val="clear" w:color="auto" w:fill="FFFFFF"/>
              </w:rPr>
              <w:t>Program</w:t>
            </w:r>
            <w:r w:rsidRPr="00711105">
              <w:rPr>
                <w:rFonts w:ascii="Arial" w:eastAsia="Times New Roman" w:hAnsi="Arial" w:cs="Arial"/>
                <w:sz w:val="20"/>
                <w:szCs w:val="20"/>
                <w:shd w:val="clear" w:color="auto" w:fill="FFFFFF"/>
              </w:rPr>
              <w:t xml:space="preserve"> level</w:t>
            </w:r>
          </w:p>
          <w:p w14:paraId="0F50A468" w14:textId="77777777" w:rsidR="00174928" w:rsidRPr="0065566F" w:rsidRDefault="00174928" w:rsidP="00174928">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9)</w:t>
            </w:r>
            <w:r w:rsidRPr="0065566F">
              <w:rPr>
                <w:rFonts w:ascii="Arial" w:eastAsia="Times New Roman" w:hAnsi="Arial" w:cs="Arial"/>
                <w:sz w:val="20"/>
                <w:szCs w:val="20"/>
                <w:shd w:val="clear" w:color="auto" w:fill="FFFFFF"/>
              </w:rPr>
              <w:tab/>
              <w:t xml:space="preserve">The presentation by AFD of an Annual Environmental and Social Compliance Report (ESCR) </w:t>
            </w:r>
          </w:p>
          <w:p w14:paraId="23BFE906" w14:textId="77777777" w:rsidR="00174928" w:rsidRPr="0065566F" w:rsidRDefault="00174928" w:rsidP="00174928">
            <w:pPr>
              <w:rPr>
                <w:rFonts w:ascii="Arial" w:eastAsia="Times New Roman" w:hAnsi="Arial" w:cs="Arial"/>
                <w:sz w:val="20"/>
                <w:szCs w:val="20"/>
                <w:shd w:val="clear" w:color="auto" w:fill="FFFFFF"/>
              </w:rPr>
            </w:pPr>
          </w:p>
          <w:p w14:paraId="145B4A59" w14:textId="13B834B6" w:rsidR="00360F5E" w:rsidRPr="0065566F" w:rsidRDefault="00174928" w:rsidP="00174928">
            <w:pPr>
              <w:rPr>
                <w:rFonts w:ascii="Arial" w:eastAsia="Times New Roman" w:hAnsi="Arial" w:cs="Arial"/>
                <w:sz w:val="20"/>
                <w:szCs w:val="20"/>
              </w:rPr>
            </w:pPr>
            <w:r w:rsidRPr="0065566F">
              <w:rPr>
                <w:rFonts w:ascii="Arial" w:eastAsia="Times New Roman" w:hAnsi="Arial" w:cs="Arial"/>
                <w:sz w:val="20"/>
                <w:szCs w:val="20"/>
                <w:shd w:val="clear" w:color="auto" w:fill="FFFFFF"/>
              </w:rPr>
              <w:lastRenderedPageBreak/>
              <w:t xml:space="preserve">Those socio-environmental requirements, presented in more detail later in this document, will be included in the Operating </w:t>
            </w:r>
            <w:r w:rsidR="005323C3">
              <w:rPr>
                <w:rFonts w:ascii="Arial" w:eastAsia="Times New Roman" w:hAnsi="Arial" w:cs="Arial"/>
                <w:sz w:val="20"/>
                <w:szCs w:val="20"/>
                <w:shd w:val="clear" w:color="auto" w:fill="FFFFFF"/>
              </w:rPr>
              <w:t xml:space="preserve">regulations (OR) </w:t>
            </w:r>
            <w:r w:rsidRPr="0065566F">
              <w:rPr>
                <w:rFonts w:ascii="Arial" w:eastAsia="Times New Roman" w:hAnsi="Arial" w:cs="Arial"/>
                <w:sz w:val="20"/>
                <w:szCs w:val="20"/>
                <w:shd w:val="clear" w:color="auto" w:fill="FFFFFF"/>
              </w:rPr>
              <w:t>of the Program, whose approval by AFD, prior to the non-objection of the Bank, will be a condition precedent to the first disbursement of the program's resources.</w:t>
            </w:r>
          </w:p>
        </w:tc>
      </w:tr>
      <w:tr w:rsidR="00360F5E" w:rsidRPr="0065566F" w14:paraId="0BE19484"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68FB4DB9" w14:textId="77777777" w:rsidR="00360F5E" w:rsidRPr="0065566F" w:rsidRDefault="00360F5E" w:rsidP="0032085B">
            <w:pPr>
              <w:pStyle w:val="ListParagraph"/>
              <w:numPr>
                <w:ilvl w:val="0"/>
                <w:numId w:val="6"/>
              </w:numPr>
              <w:ind w:left="318" w:hanging="318"/>
              <w:rPr>
                <w:rFonts w:ascii="Arial" w:eastAsia="Times New Roman" w:hAnsi="Arial" w:cs="Arial"/>
                <w:b/>
                <w:bCs/>
                <w:sz w:val="20"/>
                <w:szCs w:val="20"/>
              </w:rPr>
            </w:pPr>
            <w:r w:rsidRPr="0065566F">
              <w:rPr>
                <w:rFonts w:ascii="Arial" w:eastAsia="Times New Roman" w:hAnsi="Arial" w:cs="Arial"/>
                <w:b/>
                <w:bCs/>
                <w:sz w:val="20"/>
                <w:szCs w:val="20"/>
              </w:rPr>
              <w:lastRenderedPageBreak/>
              <w:t xml:space="preserve">Operation Description </w:t>
            </w:r>
          </w:p>
        </w:tc>
      </w:tr>
      <w:tr w:rsidR="00360F5E" w:rsidRPr="0065566F" w14:paraId="14990C35"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80B4B6A" w14:textId="77777777" w:rsidR="00360F5E" w:rsidRPr="0065566F" w:rsidRDefault="00360F5E" w:rsidP="00360F5E">
            <w:pPr>
              <w:pStyle w:val="Paragraph"/>
              <w:rPr>
                <w:rFonts w:cs="Arial"/>
                <w:sz w:val="20"/>
                <w:szCs w:val="20"/>
                <w:lang w:val="en-US"/>
              </w:rPr>
            </w:pPr>
            <w:r w:rsidRPr="0065566F">
              <w:rPr>
                <w:rFonts w:cs="Arial"/>
                <w:sz w:val="20"/>
                <w:szCs w:val="20"/>
                <w:lang w:val="en-US"/>
              </w:rPr>
              <w:t xml:space="preserve">In Paraguay, SMEs have an inadequate access to medium and long-term finance to narrow technology gaps and boost productivity and growth. This inadequate financing access, coupled with the limited access to sources of affordable and readily available hydro-electricity, has restricted SMEs in key energy consuming sectors to develop energy efficiency investments projects. Access to these investments could reduce energy consumption from non-renewable energy source and reduce greenhouse emissions by about 4 million tCO2eq over the project’s lifetime.  </w:t>
            </w:r>
          </w:p>
          <w:p w14:paraId="14591BF2" w14:textId="7000BA78" w:rsidR="00360F5E" w:rsidRPr="0065566F" w:rsidRDefault="00360F5E" w:rsidP="00360F5E">
            <w:pPr>
              <w:pStyle w:val="Paragraph"/>
              <w:rPr>
                <w:rFonts w:cs="Arial"/>
                <w:sz w:val="20"/>
                <w:szCs w:val="20"/>
                <w:lang w:val="en-US"/>
              </w:rPr>
            </w:pPr>
            <w:r w:rsidRPr="0065566F">
              <w:rPr>
                <w:rFonts w:cs="Arial"/>
                <w:sz w:val="20"/>
                <w:szCs w:val="20"/>
                <w:lang w:val="en-US"/>
              </w:rPr>
              <w:t>GCF reimbursable funding will help increase medium and long-term financing for energy efficiency (EE) projects in SMEs by supporting the structuring of financing mechanisms and instruments and improve the local technical capacity and knowledge on EE investments by local financial institutions (</w:t>
            </w:r>
            <w:r w:rsidR="00B56B1E">
              <w:rPr>
                <w:rFonts w:cs="Arial"/>
                <w:sz w:val="20"/>
                <w:szCs w:val="20"/>
                <w:lang w:val="en-US"/>
              </w:rPr>
              <w:t>I</w:t>
            </w:r>
            <w:r w:rsidRPr="0065566F">
              <w:rPr>
                <w:rFonts w:cs="Arial"/>
                <w:sz w:val="20"/>
                <w:szCs w:val="20"/>
                <w:lang w:val="en-US"/>
              </w:rPr>
              <w:t xml:space="preserve">FIs) and SMEs. Thus, GCF funding will increase energy efficiency in the industrial sector, </w:t>
            </w:r>
            <w:proofErr w:type="gramStart"/>
            <w:r w:rsidRPr="0065566F">
              <w:rPr>
                <w:rFonts w:cs="Arial"/>
                <w:sz w:val="20"/>
                <w:szCs w:val="20"/>
                <w:lang w:val="en-US"/>
              </w:rPr>
              <w:t>in particular for</w:t>
            </w:r>
            <w:proofErr w:type="gramEnd"/>
            <w:r w:rsidRPr="0065566F">
              <w:rPr>
                <w:rFonts w:cs="Arial"/>
                <w:sz w:val="20"/>
                <w:szCs w:val="20"/>
                <w:lang w:val="en-US"/>
              </w:rPr>
              <w:t xml:space="preserve"> SMEs, with reduced GHG emissions. </w:t>
            </w:r>
          </w:p>
          <w:p w14:paraId="3991BEBF" w14:textId="4E985C99" w:rsidR="00360F5E" w:rsidRPr="0065566F" w:rsidRDefault="00360F5E" w:rsidP="00360F5E">
            <w:pPr>
              <w:pStyle w:val="Paragraph"/>
              <w:tabs>
                <w:tab w:val="num" w:pos="0"/>
              </w:tabs>
              <w:rPr>
                <w:rFonts w:cs="Arial"/>
                <w:sz w:val="20"/>
                <w:szCs w:val="20"/>
                <w:lang w:val="en-US"/>
              </w:rPr>
            </w:pPr>
            <w:r w:rsidRPr="0065566F">
              <w:rPr>
                <w:rFonts w:cs="Arial"/>
                <w:sz w:val="20"/>
                <w:szCs w:val="20"/>
                <w:lang w:val="en-US"/>
              </w:rPr>
              <w:t xml:space="preserve">GCF funding will be channeled through a sovereign-guaranteed loan from the Inter-American Development Bank (IDB) to the </w:t>
            </w:r>
            <w:proofErr w:type="spellStart"/>
            <w:r w:rsidRPr="0065566F">
              <w:rPr>
                <w:rFonts w:cs="Arial"/>
                <w:sz w:val="20"/>
                <w:szCs w:val="20"/>
                <w:lang w:val="en-US"/>
              </w:rPr>
              <w:t>Agencia</w:t>
            </w:r>
            <w:proofErr w:type="spellEnd"/>
            <w:r w:rsidRPr="0065566F">
              <w:rPr>
                <w:rFonts w:cs="Arial"/>
                <w:sz w:val="20"/>
                <w:szCs w:val="20"/>
                <w:lang w:val="en-US"/>
              </w:rPr>
              <w:t xml:space="preserve"> </w:t>
            </w:r>
            <w:proofErr w:type="spellStart"/>
            <w:r w:rsidRPr="0065566F">
              <w:rPr>
                <w:rFonts w:cs="Arial"/>
                <w:sz w:val="20"/>
                <w:szCs w:val="20"/>
                <w:lang w:val="en-US"/>
              </w:rPr>
              <w:t>Financiera</w:t>
            </w:r>
            <w:proofErr w:type="spellEnd"/>
            <w:r w:rsidRPr="0065566F">
              <w:rPr>
                <w:rFonts w:cs="Arial"/>
                <w:sz w:val="20"/>
                <w:szCs w:val="20"/>
                <w:lang w:val="en-US"/>
              </w:rPr>
              <w:t xml:space="preserve"> de </w:t>
            </w:r>
            <w:proofErr w:type="spellStart"/>
            <w:r w:rsidRPr="0065566F">
              <w:rPr>
                <w:rFonts w:cs="Arial"/>
                <w:sz w:val="20"/>
                <w:szCs w:val="20"/>
                <w:lang w:val="en-US"/>
              </w:rPr>
              <w:t>Desarrollo</w:t>
            </w:r>
            <w:proofErr w:type="spellEnd"/>
            <w:r w:rsidRPr="0065566F">
              <w:rPr>
                <w:rFonts w:cs="Arial"/>
                <w:sz w:val="20"/>
                <w:szCs w:val="20"/>
                <w:lang w:val="en-US"/>
              </w:rPr>
              <w:t xml:space="preserve"> (AFD), a second-tier national development bank (NDB). The GCF reimbursable resources will be blended with AFD’s own resources to provide a concessional line of financing for first-tier local financial institutions (</w:t>
            </w:r>
            <w:r w:rsidR="00B56B1E">
              <w:rPr>
                <w:rFonts w:cs="Arial"/>
                <w:sz w:val="20"/>
                <w:szCs w:val="20"/>
                <w:lang w:val="en-US"/>
              </w:rPr>
              <w:t>I</w:t>
            </w:r>
            <w:r w:rsidRPr="0065566F">
              <w:rPr>
                <w:rFonts w:cs="Arial"/>
                <w:sz w:val="20"/>
                <w:szCs w:val="20"/>
                <w:lang w:val="en-US"/>
              </w:rPr>
              <w:t xml:space="preserve">FIs) so that they can, in turn, offer financing at adequate terms and conditions to SME firms interested in adopting eligible EE measures. The economic and financial analysis of the project show the project has an economic rate of return of 135%. The project is aligned with Paraguay’s National Development Plan 2030, National Climate Change Plan, National Climate Change Policy and the National Determined Contribution, where improvement of energy efficiency is one of the strategic areas included under those policy guidelines. The project design has taken into consideration the input of stakeholders, as they have been fully consulted and the NDA has issued a Letter of Non-Objection.  </w:t>
            </w:r>
          </w:p>
          <w:p w14:paraId="274F8931" w14:textId="77777777" w:rsidR="00360F5E" w:rsidRPr="0065566F" w:rsidRDefault="00360F5E" w:rsidP="00360F5E">
            <w:pPr>
              <w:pStyle w:val="Paragraph"/>
              <w:tabs>
                <w:tab w:val="num" w:pos="0"/>
              </w:tabs>
              <w:rPr>
                <w:rFonts w:cs="Arial"/>
                <w:sz w:val="20"/>
                <w:szCs w:val="20"/>
                <w:lang w:val="en-US"/>
              </w:rPr>
            </w:pPr>
            <w:bookmarkStart w:id="0" w:name="_Hlk499805015"/>
            <w:bookmarkStart w:id="1" w:name="_Hlk499803398"/>
            <w:r w:rsidRPr="0065566F">
              <w:rPr>
                <w:rFonts w:cs="Arial"/>
                <w:sz w:val="20"/>
                <w:szCs w:val="20"/>
                <w:lang w:val="en-US"/>
              </w:rPr>
              <w:t>Eligible projects will include energy efficiency investments projects undertaken by SMEs, including: (i) the exchange of old equipment with new efficient equipment that reduces use of firewood, biomass and other fossil fuels; (ii) the exchange of old equipment with new efficient equipment that replaces use of firewood, biomass and other fossil fuels</w:t>
            </w:r>
            <w:r w:rsidRPr="0065566F" w:rsidDel="00586A77">
              <w:rPr>
                <w:rFonts w:cs="Arial"/>
                <w:sz w:val="20"/>
                <w:szCs w:val="20"/>
                <w:lang w:val="en-US"/>
              </w:rPr>
              <w:t xml:space="preserve"> </w:t>
            </w:r>
            <w:r w:rsidRPr="0065566F">
              <w:rPr>
                <w:rFonts w:cs="Arial"/>
                <w:sz w:val="20"/>
                <w:szCs w:val="20"/>
                <w:lang w:val="en-US"/>
              </w:rPr>
              <w:t xml:space="preserve">by electricity from hydropower; and (iii) the retrofit of equipment with new efficient equipment that reduces use of firewood, biomass and other fossil fuel. </w:t>
            </w:r>
            <w:bookmarkEnd w:id="0"/>
            <w:r w:rsidRPr="0065566F">
              <w:rPr>
                <w:rFonts w:cs="Arial"/>
                <w:sz w:val="20"/>
                <w:szCs w:val="20"/>
                <w:lang w:val="en-US"/>
              </w:rPr>
              <w:t>Within the spectrum of those eligible projects, the feasibility study identified 4 priority combination of energy efficiency technology /sector with higher potential demand for credit:</w:t>
            </w:r>
          </w:p>
          <w:bookmarkEnd w:id="1"/>
          <w:p w14:paraId="314EF48B" w14:textId="77777777" w:rsidR="00360F5E" w:rsidRPr="0065566F" w:rsidRDefault="00360F5E" w:rsidP="00360F5E">
            <w:pPr>
              <w:pStyle w:val="Paragraph"/>
              <w:rPr>
                <w:rFonts w:cs="Arial"/>
                <w:sz w:val="20"/>
                <w:szCs w:val="20"/>
                <w:lang w:val="en-US"/>
              </w:rPr>
            </w:pPr>
            <w:r w:rsidRPr="0065566F">
              <w:rPr>
                <w:rFonts w:cs="Arial"/>
                <w:sz w:val="20"/>
                <w:szCs w:val="20"/>
                <w:lang w:val="en-US"/>
              </w:rPr>
              <w:t>a.</w:t>
            </w:r>
            <w:r w:rsidRPr="0065566F">
              <w:rPr>
                <w:rFonts w:cs="Arial"/>
                <w:sz w:val="20"/>
                <w:szCs w:val="20"/>
                <w:lang w:val="en-US"/>
              </w:rPr>
              <w:tab/>
              <w:t>Ovens: In the production of bricks and roofing tiles, reduction in the consumption of non-renewable biomass through (i) investment on more efficient furnaces using firewood as energy input and (ii) the replacement of existing furnaces by electric furnaces.</w:t>
            </w:r>
          </w:p>
          <w:p w14:paraId="3D0846DF" w14:textId="77777777" w:rsidR="00360F5E" w:rsidRPr="0065566F" w:rsidRDefault="00360F5E" w:rsidP="00360F5E">
            <w:pPr>
              <w:pStyle w:val="Paragraph"/>
              <w:rPr>
                <w:rFonts w:cs="Arial"/>
                <w:sz w:val="20"/>
                <w:szCs w:val="20"/>
                <w:lang w:val="en-US"/>
              </w:rPr>
            </w:pPr>
            <w:r w:rsidRPr="0065566F">
              <w:rPr>
                <w:rFonts w:cs="Arial"/>
                <w:sz w:val="20"/>
                <w:szCs w:val="20"/>
                <w:lang w:val="en-US"/>
              </w:rPr>
              <w:t>b.</w:t>
            </w:r>
            <w:r w:rsidRPr="0065566F">
              <w:rPr>
                <w:rFonts w:cs="Arial"/>
                <w:sz w:val="20"/>
                <w:szCs w:val="20"/>
                <w:lang w:val="en-US"/>
              </w:rPr>
              <w:tab/>
              <w:t xml:space="preserve">Drying equipment: In grain dryers (drying and cleaning of seeds), reduction in the consumption of non-renewable biomass through the introduction of electrical installations for grain drying. </w:t>
            </w:r>
          </w:p>
          <w:p w14:paraId="0193B2B4" w14:textId="77777777" w:rsidR="00360F5E" w:rsidRPr="0065566F" w:rsidRDefault="00360F5E" w:rsidP="00360F5E">
            <w:pPr>
              <w:pStyle w:val="Paragraph"/>
              <w:rPr>
                <w:rFonts w:cs="Arial"/>
                <w:sz w:val="20"/>
                <w:szCs w:val="20"/>
                <w:lang w:val="en-US"/>
              </w:rPr>
            </w:pPr>
            <w:r w:rsidRPr="0065566F">
              <w:rPr>
                <w:rFonts w:cs="Arial"/>
                <w:sz w:val="20"/>
                <w:szCs w:val="20"/>
                <w:lang w:val="en-US"/>
              </w:rPr>
              <w:t>c.</w:t>
            </w:r>
            <w:r w:rsidRPr="0065566F">
              <w:rPr>
                <w:rFonts w:cs="Arial"/>
                <w:sz w:val="20"/>
                <w:szCs w:val="20"/>
                <w:lang w:val="en-US"/>
              </w:rPr>
              <w:tab/>
              <w:t>Boilers:  Replacement, retrofit of old boiler / water heater systems with new efficient boilers using firewood as energy input, and the replacement of existing boilers by electric boilers.</w:t>
            </w:r>
          </w:p>
          <w:p w14:paraId="1A3B6721" w14:textId="77777777" w:rsidR="00360F5E" w:rsidRPr="0065566F" w:rsidRDefault="00360F5E" w:rsidP="00360F5E">
            <w:pPr>
              <w:pStyle w:val="Paragraph"/>
              <w:rPr>
                <w:rFonts w:cs="Arial"/>
                <w:sz w:val="20"/>
                <w:szCs w:val="20"/>
                <w:lang w:val="en-US"/>
              </w:rPr>
            </w:pPr>
            <w:r w:rsidRPr="0065566F">
              <w:rPr>
                <w:rFonts w:cs="Arial"/>
                <w:sz w:val="20"/>
                <w:szCs w:val="20"/>
                <w:lang w:val="en-US"/>
              </w:rPr>
              <w:t>d.</w:t>
            </w:r>
            <w:r w:rsidRPr="0065566F">
              <w:rPr>
                <w:rFonts w:cs="Arial"/>
                <w:sz w:val="20"/>
                <w:szCs w:val="20"/>
                <w:lang w:val="en-US"/>
              </w:rPr>
              <w:tab/>
              <w:t>Small scale co-generation projects from sugar bagasse.</w:t>
            </w:r>
          </w:p>
          <w:p w14:paraId="73F01841" w14:textId="77777777" w:rsidR="00360F5E" w:rsidRDefault="00360F5E" w:rsidP="00360F5E">
            <w:pPr>
              <w:pStyle w:val="Paragraph"/>
              <w:rPr>
                <w:rFonts w:cs="Arial"/>
                <w:sz w:val="20"/>
                <w:szCs w:val="20"/>
                <w:lang w:val="en-US"/>
              </w:rPr>
            </w:pPr>
            <w:r w:rsidRPr="0065566F">
              <w:rPr>
                <w:rFonts w:cs="Arial"/>
                <w:sz w:val="20"/>
                <w:szCs w:val="20"/>
                <w:lang w:val="en-US"/>
              </w:rPr>
              <w:t xml:space="preserve">For those specific sub-categories of eligible projects with potentially higher demand of credit for the </w:t>
            </w:r>
            <w:r w:rsidR="005D6A90">
              <w:rPr>
                <w:rFonts w:cs="Arial"/>
                <w:sz w:val="20"/>
                <w:szCs w:val="20"/>
                <w:lang w:val="en-US"/>
              </w:rPr>
              <w:t>Program</w:t>
            </w:r>
            <w:r w:rsidRPr="0065566F">
              <w:rPr>
                <w:rFonts w:cs="Arial"/>
                <w:sz w:val="20"/>
                <w:szCs w:val="20"/>
                <w:lang w:val="en-US"/>
              </w:rPr>
              <w:t>, the study estimated the following expected demand and average sizes of sub-projects:</w:t>
            </w:r>
          </w:p>
          <w:p w14:paraId="5CDF74F4" w14:textId="77777777" w:rsidR="0065566F" w:rsidRDefault="0065566F" w:rsidP="00360F5E">
            <w:pPr>
              <w:pStyle w:val="Paragraph"/>
              <w:rPr>
                <w:rFonts w:cs="Arial"/>
                <w:sz w:val="20"/>
                <w:szCs w:val="20"/>
                <w:lang w:val="en-US"/>
              </w:rPr>
            </w:pPr>
          </w:p>
          <w:p w14:paraId="03969620" w14:textId="77777777" w:rsidR="0065566F" w:rsidRDefault="0065566F" w:rsidP="00360F5E">
            <w:pPr>
              <w:pStyle w:val="Paragraph"/>
              <w:rPr>
                <w:rFonts w:cs="Arial"/>
                <w:sz w:val="20"/>
                <w:szCs w:val="20"/>
                <w:lang w:val="en-US"/>
              </w:rPr>
            </w:pPr>
          </w:p>
          <w:p w14:paraId="430A092A" w14:textId="77777777" w:rsidR="0065566F" w:rsidRDefault="0065566F" w:rsidP="00360F5E">
            <w:pPr>
              <w:pStyle w:val="Paragraph"/>
              <w:rPr>
                <w:rFonts w:cs="Arial"/>
                <w:sz w:val="20"/>
                <w:szCs w:val="20"/>
                <w:lang w:val="en-US"/>
              </w:rPr>
            </w:pPr>
          </w:p>
          <w:p w14:paraId="730E6B4B" w14:textId="77777777" w:rsidR="0065566F" w:rsidRPr="0065566F" w:rsidRDefault="0065566F" w:rsidP="00360F5E">
            <w:pPr>
              <w:pStyle w:val="Paragraph"/>
              <w:rPr>
                <w:rFonts w:cs="Arial"/>
                <w:sz w:val="20"/>
                <w:szCs w:val="20"/>
                <w:lang w:val="en-US"/>
              </w:rPr>
            </w:pPr>
          </w:p>
          <w:tbl>
            <w:tblPr>
              <w:tblStyle w:val="TableGrid"/>
              <w:tblW w:w="9245" w:type="dxa"/>
              <w:tblLayout w:type="fixed"/>
              <w:tblLook w:val="04A0" w:firstRow="1" w:lastRow="0" w:firstColumn="1" w:lastColumn="0" w:noHBand="0" w:noVBand="1"/>
            </w:tblPr>
            <w:tblGrid>
              <w:gridCol w:w="1345"/>
              <w:gridCol w:w="3465"/>
              <w:gridCol w:w="1516"/>
              <w:gridCol w:w="1460"/>
              <w:gridCol w:w="1459"/>
            </w:tblGrid>
            <w:tr w:rsidR="00360F5E" w:rsidRPr="0065566F" w14:paraId="67FA65E5" w14:textId="77777777" w:rsidTr="0065566F">
              <w:tc>
                <w:tcPr>
                  <w:tcW w:w="1345" w:type="dxa"/>
                  <w:shd w:val="clear" w:color="auto" w:fill="006600"/>
                </w:tcPr>
                <w:p w14:paraId="0B3710B0" w14:textId="77777777" w:rsidR="00360F5E" w:rsidRPr="0065566F" w:rsidRDefault="00360F5E" w:rsidP="00360F5E">
                  <w:pPr>
                    <w:rPr>
                      <w:rFonts w:ascii="Arial" w:eastAsia="Times New Roman" w:hAnsi="Arial" w:cs="Arial"/>
                      <w:b/>
                      <w:color w:val="FFFFFF" w:themeColor="background1"/>
                      <w:sz w:val="20"/>
                      <w:szCs w:val="20"/>
                      <w:lang w:val="en-GB" w:eastAsia="ja-JP"/>
                    </w:rPr>
                  </w:pPr>
                  <w:r w:rsidRPr="0065566F">
                    <w:rPr>
                      <w:rFonts w:ascii="Arial" w:eastAsia="Times New Roman" w:hAnsi="Arial" w:cs="Arial"/>
                      <w:b/>
                      <w:color w:val="FFFFFF" w:themeColor="background1"/>
                      <w:sz w:val="20"/>
                      <w:szCs w:val="20"/>
                      <w:lang w:val="en-GB" w:eastAsia="ja-JP"/>
                    </w:rPr>
                    <w:lastRenderedPageBreak/>
                    <w:t>Target Sector</w:t>
                  </w:r>
                </w:p>
              </w:tc>
              <w:tc>
                <w:tcPr>
                  <w:tcW w:w="3465" w:type="dxa"/>
                  <w:shd w:val="clear" w:color="auto" w:fill="006600"/>
                </w:tcPr>
                <w:p w14:paraId="5A87EDE7" w14:textId="77777777" w:rsidR="00360F5E" w:rsidRPr="0065566F" w:rsidRDefault="00360F5E" w:rsidP="00360F5E">
                  <w:pPr>
                    <w:rPr>
                      <w:rFonts w:ascii="Arial" w:hAnsi="Arial" w:cs="Arial"/>
                      <w:b/>
                      <w:color w:val="FFFFFF" w:themeColor="background1"/>
                      <w:sz w:val="20"/>
                      <w:szCs w:val="20"/>
                    </w:rPr>
                  </w:pPr>
                  <w:r w:rsidRPr="0065566F">
                    <w:rPr>
                      <w:rFonts w:ascii="Arial" w:eastAsia="Times New Roman" w:hAnsi="Arial" w:cs="Arial"/>
                      <w:b/>
                      <w:color w:val="FFFFFF" w:themeColor="background1"/>
                      <w:sz w:val="20"/>
                      <w:szCs w:val="20"/>
                      <w:lang w:val="en-GB" w:eastAsia="ja-JP"/>
                    </w:rPr>
                    <w:t xml:space="preserve">Technology </w:t>
                  </w:r>
                </w:p>
              </w:tc>
              <w:tc>
                <w:tcPr>
                  <w:tcW w:w="1516" w:type="dxa"/>
                  <w:shd w:val="clear" w:color="auto" w:fill="006600"/>
                </w:tcPr>
                <w:p w14:paraId="2BBE9913" w14:textId="77777777" w:rsidR="00360F5E" w:rsidRPr="0065566F" w:rsidRDefault="00360F5E" w:rsidP="00360F5E">
                  <w:pPr>
                    <w:rPr>
                      <w:rFonts w:ascii="Arial" w:eastAsia="Times New Roman" w:hAnsi="Arial" w:cs="Arial"/>
                      <w:b/>
                      <w:color w:val="FFFFFF" w:themeColor="background1"/>
                      <w:sz w:val="20"/>
                      <w:szCs w:val="20"/>
                      <w:lang w:val="en-GB" w:eastAsia="ja-JP"/>
                    </w:rPr>
                  </w:pPr>
                  <w:r w:rsidRPr="0065566F">
                    <w:rPr>
                      <w:rFonts w:ascii="Arial" w:hAnsi="Arial" w:cs="Arial"/>
                      <w:b/>
                      <w:color w:val="FFFFFF" w:themeColor="background1"/>
                      <w:sz w:val="20"/>
                      <w:szCs w:val="20"/>
                    </w:rPr>
                    <w:t>Beneficiaries</w:t>
                  </w:r>
                </w:p>
              </w:tc>
              <w:tc>
                <w:tcPr>
                  <w:tcW w:w="1460" w:type="dxa"/>
                  <w:shd w:val="clear" w:color="auto" w:fill="006600"/>
                </w:tcPr>
                <w:p w14:paraId="4A0345CB" w14:textId="77777777" w:rsidR="00360F5E" w:rsidRPr="0065566F" w:rsidRDefault="00360F5E" w:rsidP="00360F5E">
                  <w:pPr>
                    <w:rPr>
                      <w:rFonts w:ascii="Arial" w:eastAsia="Times New Roman" w:hAnsi="Arial" w:cs="Arial"/>
                      <w:b/>
                      <w:color w:val="FFFFFF" w:themeColor="background1"/>
                      <w:sz w:val="20"/>
                      <w:szCs w:val="20"/>
                      <w:lang w:val="en-GB" w:eastAsia="ja-JP"/>
                    </w:rPr>
                  </w:pPr>
                  <w:r w:rsidRPr="0065566F">
                    <w:rPr>
                      <w:rFonts w:ascii="Arial" w:hAnsi="Arial" w:cs="Arial"/>
                      <w:b/>
                      <w:color w:val="FFFFFF" w:themeColor="background1"/>
                      <w:sz w:val="20"/>
                      <w:szCs w:val="20"/>
                    </w:rPr>
                    <w:t>EE objective</w:t>
                  </w:r>
                </w:p>
              </w:tc>
              <w:tc>
                <w:tcPr>
                  <w:tcW w:w="1459" w:type="dxa"/>
                  <w:shd w:val="clear" w:color="auto" w:fill="006600"/>
                </w:tcPr>
                <w:p w14:paraId="7A99590E" w14:textId="77777777" w:rsidR="00360F5E" w:rsidRPr="0065566F" w:rsidRDefault="00360F5E" w:rsidP="00360F5E">
                  <w:pPr>
                    <w:rPr>
                      <w:rFonts w:ascii="Arial" w:hAnsi="Arial" w:cs="Arial"/>
                      <w:b/>
                      <w:color w:val="FFFFFF" w:themeColor="background1"/>
                      <w:sz w:val="20"/>
                      <w:szCs w:val="20"/>
                    </w:rPr>
                  </w:pPr>
                  <w:r w:rsidRPr="0065566F">
                    <w:rPr>
                      <w:rFonts w:ascii="Arial" w:hAnsi="Arial" w:cs="Arial"/>
                      <w:b/>
                      <w:color w:val="FFFFFF" w:themeColor="background1"/>
                      <w:sz w:val="20"/>
                      <w:szCs w:val="20"/>
                    </w:rPr>
                    <w:t>Average total project size (in USD)</w:t>
                  </w:r>
                </w:p>
              </w:tc>
            </w:tr>
            <w:tr w:rsidR="00360F5E" w:rsidRPr="0065566F" w14:paraId="0FBDB489" w14:textId="77777777" w:rsidTr="0065566F">
              <w:tc>
                <w:tcPr>
                  <w:tcW w:w="1345" w:type="dxa"/>
                </w:tcPr>
                <w:p w14:paraId="0C23ED1E"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Oven in the production of bricks and roofing tiles</w:t>
                  </w:r>
                </w:p>
              </w:tc>
              <w:tc>
                <w:tcPr>
                  <w:tcW w:w="3465" w:type="dxa"/>
                </w:tcPr>
                <w:p w14:paraId="594C5317" w14:textId="77777777" w:rsidR="00360F5E" w:rsidRPr="0065566F" w:rsidRDefault="00360F5E" w:rsidP="00360F5E">
                  <w:pPr>
                    <w:rPr>
                      <w:rFonts w:ascii="Arial" w:hAnsi="Arial" w:cs="Arial"/>
                      <w:sz w:val="20"/>
                      <w:szCs w:val="20"/>
                    </w:rPr>
                  </w:pPr>
                  <w:r w:rsidRPr="0065566F">
                    <w:rPr>
                      <w:rFonts w:ascii="Arial" w:hAnsi="Arial" w:cs="Arial"/>
                      <w:sz w:val="20"/>
                      <w:szCs w:val="20"/>
                    </w:rPr>
                    <w:t>Reduction in the consumption of non-renewable biomass through (retrofit) investments on more efficient furnaces using firewood as energy input.</w:t>
                  </w:r>
                </w:p>
                <w:p w14:paraId="601C863A" w14:textId="77777777" w:rsidR="00360F5E" w:rsidRPr="0065566F" w:rsidRDefault="00360F5E" w:rsidP="00360F5E">
                  <w:pPr>
                    <w:rPr>
                      <w:rFonts w:ascii="Arial" w:hAnsi="Arial" w:cs="Arial"/>
                      <w:sz w:val="20"/>
                      <w:szCs w:val="20"/>
                    </w:rPr>
                  </w:pPr>
                  <w:r w:rsidRPr="0065566F">
                    <w:rPr>
                      <w:rFonts w:ascii="Arial" w:hAnsi="Arial" w:cs="Arial"/>
                      <w:sz w:val="20"/>
                      <w:szCs w:val="20"/>
                    </w:rPr>
                    <w:t>Reduction in the consumption of non-renewable biomass through investment in the replacement of existing furnaces by electric furnaces</w:t>
                  </w:r>
                </w:p>
                <w:p w14:paraId="415635FD" w14:textId="77777777" w:rsidR="00360F5E" w:rsidRPr="0065566F" w:rsidRDefault="00360F5E" w:rsidP="00360F5E">
                  <w:pPr>
                    <w:rPr>
                      <w:rFonts w:ascii="Arial" w:hAnsi="Arial" w:cs="Arial"/>
                      <w:sz w:val="20"/>
                      <w:szCs w:val="20"/>
                    </w:rPr>
                  </w:pPr>
                </w:p>
              </w:tc>
              <w:tc>
                <w:tcPr>
                  <w:tcW w:w="1516" w:type="dxa"/>
                </w:tcPr>
                <w:p w14:paraId="2361F95D"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120 micro and SMEs.</w:t>
                  </w:r>
                  <w:r w:rsidRPr="0065566F">
                    <w:rPr>
                      <w:rStyle w:val="FootnoteReference"/>
                      <w:rFonts w:ascii="Arial" w:hAnsi="Arial" w:cs="Arial"/>
                      <w:sz w:val="20"/>
                      <w:szCs w:val="20"/>
                    </w:rPr>
                    <w:footnoteReference w:id="2"/>
                  </w:r>
                </w:p>
              </w:tc>
              <w:tc>
                <w:tcPr>
                  <w:tcW w:w="1460" w:type="dxa"/>
                </w:tcPr>
                <w:p w14:paraId="00A81F15"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30/21/8% of energy savings</w:t>
                  </w:r>
                </w:p>
              </w:tc>
              <w:tc>
                <w:tcPr>
                  <w:tcW w:w="1459" w:type="dxa"/>
                </w:tcPr>
                <w:p w14:paraId="4CBD283E" w14:textId="77777777" w:rsidR="00360F5E" w:rsidRPr="0065566F" w:rsidRDefault="00360F5E" w:rsidP="00360F5E">
                  <w:pPr>
                    <w:rPr>
                      <w:rFonts w:ascii="Arial" w:hAnsi="Arial" w:cs="Arial"/>
                      <w:sz w:val="20"/>
                      <w:szCs w:val="20"/>
                    </w:rPr>
                  </w:pPr>
                  <w:r w:rsidRPr="0065566F">
                    <w:rPr>
                      <w:rFonts w:ascii="Arial" w:hAnsi="Arial" w:cs="Arial"/>
                      <w:sz w:val="20"/>
                      <w:szCs w:val="20"/>
                    </w:rPr>
                    <w:t>195,000</w:t>
                  </w:r>
                </w:p>
              </w:tc>
            </w:tr>
            <w:tr w:rsidR="00360F5E" w:rsidRPr="0065566F" w14:paraId="29F58B0E" w14:textId="77777777" w:rsidTr="0065566F">
              <w:tc>
                <w:tcPr>
                  <w:tcW w:w="1345" w:type="dxa"/>
                </w:tcPr>
                <w:p w14:paraId="7BC39AD2"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Grain Drying Equipment: Grain dryers (drying and cleaning of seeds).</w:t>
                  </w:r>
                  <w:r w:rsidRPr="0065566F">
                    <w:rPr>
                      <w:rStyle w:val="FootnoteReference"/>
                      <w:rFonts w:ascii="Arial" w:hAnsi="Arial" w:cs="Arial"/>
                      <w:sz w:val="20"/>
                      <w:szCs w:val="20"/>
                    </w:rPr>
                    <w:footnoteReference w:id="3"/>
                  </w:r>
                </w:p>
              </w:tc>
              <w:tc>
                <w:tcPr>
                  <w:tcW w:w="3465" w:type="dxa"/>
                </w:tcPr>
                <w:p w14:paraId="1A176D31" w14:textId="77777777" w:rsidR="00360F5E" w:rsidRPr="0065566F" w:rsidRDefault="00360F5E" w:rsidP="00360F5E">
                  <w:pPr>
                    <w:rPr>
                      <w:rFonts w:ascii="Arial" w:hAnsi="Arial" w:cs="Arial"/>
                      <w:sz w:val="20"/>
                      <w:szCs w:val="20"/>
                    </w:rPr>
                  </w:pPr>
                  <w:r w:rsidRPr="0065566F">
                    <w:rPr>
                      <w:rFonts w:ascii="Arial" w:hAnsi="Arial" w:cs="Arial"/>
                      <w:sz w:val="20"/>
                      <w:szCs w:val="20"/>
                    </w:rPr>
                    <w:t>Reduction in the consumption of non-renewable biomass through the introduction of electrical installations for grain drying</w:t>
                  </w:r>
                </w:p>
              </w:tc>
              <w:tc>
                <w:tcPr>
                  <w:tcW w:w="1516" w:type="dxa"/>
                </w:tcPr>
                <w:p w14:paraId="0FC4B0DE"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37 SMEs</w:t>
                  </w:r>
                </w:p>
              </w:tc>
              <w:tc>
                <w:tcPr>
                  <w:tcW w:w="1460" w:type="dxa"/>
                </w:tcPr>
                <w:p w14:paraId="07C1F3BE"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44% of energy savings</w:t>
                  </w:r>
                </w:p>
              </w:tc>
              <w:tc>
                <w:tcPr>
                  <w:tcW w:w="1459" w:type="dxa"/>
                </w:tcPr>
                <w:p w14:paraId="36B07141" w14:textId="77777777" w:rsidR="00360F5E" w:rsidRPr="0065566F" w:rsidRDefault="00360F5E" w:rsidP="00360F5E">
                  <w:pPr>
                    <w:rPr>
                      <w:rFonts w:ascii="Arial" w:hAnsi="Arial" w:cs="Arial"/>
                      <w:sz w:val="20"/>
                      <w:szCs w:val="20"/>
                    </w:rPr>
                  </w:pPr>
                  <w:r w:rsidRPr="0065566F">
                    <w:rPr>
                      <w:rFonts w:ascii="Arial" w:hAnsi="Arial" w:cs="Arial"/>
                      <w:sz w:val="20"/>
                      <w:szCs w:val="20"/>
                    </w:rPr>
                    <w:t>48,300</w:t>
                  </w:r>
                </w:p>
              </w:tc>
            </w:tr>
            <w:tr w:rsidR="00360F5E" w:rsidRPr="0065566F" w14:paraId="099E83A9" w14:textId="77777777" w:rsidTr="0065566F">
              <w:tc>
                <w:tcPr>
                  <w:tcW w:w="1345" w:type="dxa"/>
                </w:tcPr>
                <w:p w14:paraId="4BE453A7"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Boilers</w:t>
                  </w:r>
                </w:p>
              </w:tc>
              <w:tc>
                <w:tcPr>
                  <w:tcW w:w="3465" w:type="dxa"/>
                </w:tcPr>
                <w:p w14:paraId="116A1705" w14:textId="77777777" w:rsidR="00360F5E" w:rsidRPr="0065566F" w:rsidRDefault="00360F5E" w:rsidP="00360F5E">
                  <w:pPr>
                    <w:rPr>
                      <w:rFonts w:ascii="Arial" w:hAnsi="Arial" w:cs="Arial"/>
                      <w:sz w:val="20"/>
                      <w:szCs w:val="20"/>
                    </w:rPr>
                  </w:pPr>
                  <w:r w:rsidRPr="0065566F">
                    <w:rPr>
                      <w:rFonts w:ascii="Arial" w:hAnsi="Arial" w:cs="Arial"/>
                      <w:sz w:val="20"/>
                      <w:szCs w:val="20"/>
                    </w:rPr>
                    <w:t>Reduction in the consumption of non-renewable biomass through (retrofit) investments on more efficient furnaces using firewood as energy input.</w:t>
                  </w:r>
                </w:p>
                <w:p w14:paraId="2E01DD21" w14:textId="77777777" w:rsidR="00360F5E" w:rsidRPr="0065566F" w:rsidRDefault="00360F5E" w:rsidP="00360F5E">
                  <w:pPr>
                    <w:rPr>
                      <w:rFonts w:ascii="Arial" w:hAnsi="Arial" w:cs="Arial"/>
                      <w:sz w:val="20"/>
                      <w:szCs w:val="20"/>
                    </w:rPr>
                  </w:pPr>
                  <w:r w:rsidRPr="0065566F">
                    <w:rPr>
                      <w:rFonts w:ascii="Arial" w:hAnsi="Arial" w:cs="Arial"/>
                      <w:sz w:val="20"/>
                      <w:szCs w:val="20"/>
                    </w:rPr>
                    <w:t>Reduction in the consumption of non-renewable biomass through investment in the replacement of existing boilers by electric boilers</w:t>
                  </w:r>
                </w:p>
              </w:tc>
              <w:tc>
                <w:tcPr>
                  <w:tcW w:w="1516" w:type="dxa"/>
                </w:tcPr>
                <w:p w14:paraId="188D0B50"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 xml:space="preserve">200 micro and SMEs </w:t>
                  </w:r>
                </w:p>
              </w:tc>
              <w:tc>
                <w:tcPr>
                  <w:tcW w:w="1460" w:type="dxa"/>
                </w:tcPr>
                <w:p w14:paraId="75F7CB1C"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30/21/8% of energy savings</w:t>
                  </w:r>
                </w:p>
              </w:tc>
              <w:tc>
                <w:tcPr>
                  <w:tcW w:w="1459" w:type="dxa"/>
                </w:tcPr>
                <w:p w14:paraId="3E37E337" w14:textId="77777777" w:rsidR="00360F5E" w:rsidRPr="0065566F" w:rsidRDefault="00360F5E" w:rsidP="00360F5E">
                  <w:pPr>
                    <w:rPr>
                      <w:rFonts w:ascii="Arial" w:hAnsi="Arial" w:cs="Arial"/>
                      <w:sz w:val="20"/>
                      <w:szCs w:val="20"/>
                    </w:rPr>
                  </w:pPr>
                  <w:r w:rsidRPr="0065566F">
                    <w:rPr>
                      <w:rFonts w:ascii="Arial" w:hAnsi="Arial" w:cs="Arial"/>
                      <w:sz w:val="20"/>
                      <w:szCs w:val="20"/>
                    </w:rPr>
                    <w:t>250,000</w:t>
                  </w:r>
                </w:p>
                <w:p w14:paraId="01147A25" w14:textId="77777777" w:rsidR="00360F5E" w:rsidRPr="0065566F" w:rsidRDefault="00360F5E" w:rsidP="00360F5E">
                  <w:pPr>
                    <w:rPr>
                      <w:rFonts w:ascii="Arial" w:hAnsi="Arial" w:cs="Arial"/>
                      <w:sz w:val="20"/>
                      <w:szCs w:val="20"/>
                    </w:rPr>
                  </w:pPr>
                </w:p>
              </w:tc>
            </w:tr>
            <w:tr w:rsidR="00360F5E" w:rsidRPr="0065566F" w14:paraId="05A705D6" w14:textId="77777777" w:rsidTr="0065566F">
              <w:tc>
                <w:tcPr>
                  <w:tcW w:w="1345" w:type="dxa"/>
                </w:tcPr>
                <w:p w14:paraId="212D8FF0"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Small-scale Co-generation in the sugar Industry.</w:t>
                  </w:r>
                  <w:r w:rsidRPr="0065566F">
                    <w:rPr>
                      <w:rStyle w:val="FootnoteReference"/>
                      <w:rFonts w:ascii="Arial" w:hAnsi="Arial" w:cs="Arial"/>
                      <w:sz w:val="20"/>
                      <w:szCs w:val="20"/>
                    </w:rPr>
                    <w:footnoteReference w:id="4"/>
                  </w:r>
                </w:p>
              </w:tc>
              <w:tc>
                <w:tcPr>
                  <w:tcW w:w="3465" w:type="dxa"/>
                </w:tcPr>
                <w:p w14:paraId="6BF7A93D" w14:textId="77777777" w:rsidR="00360F5E" w:rsidRPr="0065566F" w:rsidRDefault="00360F5E" w:rsidP="00360F5E">
                  <w:pPr>
                    <w:rPr>
                      <w:rFonts w:ascii="Arial" w:hAnsi="Arial" w:cs="Arial"/>
                      <w:sz w:val="20"/>
                      <w:szCs w:val="20"/>
                    </w:rPr>
                  </w:pPr>
                  <w:r w:rsidRPr="0065566F">
                    <w:rPr>
                      <w:rFonts w:ascii="Arial" w:hAnsi="Arial" w:cs="Arial"/>
                      <w:sz w:val="20"/>
                      <w:szCs w:val="20"/>
                    </w:rPr>
                    <w:t xml:space="preserve">Joint production of electricity and steam </w:t>
                  </w:r>
                </w:p>
              </w:tc>
              <w:tc>
                <w:tcPr>
                  <w:tcW w:w="1516" w:type="dxa"/>
                </w:tcPr>
                <w:p w14:paraId="17247074"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8 Medium-sized firms resulting in the development of a total cumulative generation potential of approximately 4-6 MW (0.75MW on average per project)</w:t>
                  </w:r>
                </w:p>
              </w:tc>
              <w:tc>
                <w:tcPr>
                  <w:tcW w:w="1460" w:type="dxa"/>
                </w:tcPr>
                <w:p w14:paraId="6BFAC191" w14:textId="77777777" w:rsidR="00360F5E" w:rsidRPr="0065566F" w:rsidRDefault="00360F5E" w:rsidP="00360F5E">
                  <w:pPr>
                    <w:rPr>
                      <w:rFonts w:ascii="Arial" w:eastAsia="Times New Roman" w:hAnsi="Arial" w:cs="Arial"/>
                      <w:color w:val="000000"/>
                      <w:sz w:val="20"/>
                      <w:szCs w:val="20"/>
                      <w:lang w:val="en-GB" w:eastAsia="ja-JP"/>
                    </w:rPr>
                  </w:pPr>
                  <w:r w:rsidRPr="0065566F">
                    <w:rPr>
                      <w:rFonts w:ascii="Arial" w:hAnsi="Arial" w:cs="Arial"/>
                      <w:sz w:val="20"/>
                      <w:szCs w:val="20"/>
                    </w:rPr>
                    <w:t>Increased efficiency in the use of biomass</w:t>
                  </w:r>
                </w:p>
              </w:tc>
              <w:tc>
                <w:tcPr>
                  <w:tcW w:w="1459" w:type="dxa"/>
                </w:tcPr>
                <w:p w14:paraId="0DE0D70F" w14:textId="77777777" w:rsidR="00360F5E" w:rsidRPr="0065566F" w:rsidRDefault="00360F5E" w:rsidP="00360F5E">
                  <w:pPr>
                    <w:rPr>
                      <w:rFonts w:ascii="Arial" w:hAnsi="Arial" w:cs="Arial"/>
                      <w:sz w:val="20"/>
                      <w:szCs w:val="20"/>
                    </w:rPr>
                  </w:pPr>
                  <w:r w:rsidRPr="0065566F">
                    <w:rPr>
                      <w:rFonts w:ascii="Arial" w:hAnsi="Arial" w:cs="Arial"/>
                      <w:sz w:val="20"/>
                      <w:szCs w:val="20"/>
                    </w:rPr>
                    <w:t>1,500,000 estimated for a 0.75MW project (USD 2 million per MW)</w:t>
                  </w:r>
                </w:p>
              </w:tc>
            </w:tr>
          </w:tbl>
          <w:p w14:paraId="73979CBC" w14:textId="77777777" w:rsidR="00360F5E" w:rsidRPr="0065566F" w:rsidRDefault="001E30AF" w:rsidP="00360F5E">
            <w:pPr>
              <w:pStyle w:val="Paragraph"/>
              <w:rPr>
                <w:rFonts w:cs="Arial"/>
                <w:sz w:val="20"/>
                <w:szCs w:val="20"/>
                <w:lang w:val="en-US"/>
              </w:rPr>
            </w:pPr>
            <w:r>
              <w:rPr>
                <w:rFonts w:cs="Arial"/>
                <w:sz w:val="20"/>
                <w:szCs w:val="20"/>
                <w:lang w:val="en-US"/>
              </w:rPr>
              <w:t>The Program is, however, also open to finance investments in other energy efficiency technologies</w:t>
            </w:r>
            <w:r w:rsidR="005D6A90">
              <w:rPr>
                <w:rFonts w:cs="Arial"/>
                <w:sz w:val="20"/>
                <w:szCs w:val="20"/>
                <w:lang w:val="en-US"/>
              </w:rPr>
              <w:t xml:space="preserve"> in industrial SMEs</w:t>
            </w:r>
            <w:r>
              <w:rPr>
                <w:rFonts w:cs="Arial"/>
                <w:sz w:val="20"/>
                <w:szCs w:val="20"/>
                <w:lang w:val="en-US"/>
              </w:rPr>
              <w:t xml:space="preserve"> such as changes in a</w:t>
            </w:r>
            <w:r w:rsidRPr="0065566F">
              <w:rPr>
                <w:rFonts w:eastAsia="Cambria" w:cs="Arial"/>
                <w:sz w:val="20"/>
                <w:szCs w:val="20"/>
                <w:lang w:eastAsia="es-ES"/>
              </w:rPr>
              <w:t>ir conditioning</w:t>
            </w:r>
            <w:r>
              <w:rPr>
                <w:rFonts w:eastAsia="Cambria" w:cs="Arial"/>
                <w:sz w:val="20"/>
                <w:szCs w:val="20"/>
                <w:lang w:eastAsia="es-ES"/>
              </w:rPr>
              <w:t>, more efficient r</w:t>
            </w:r>
            <w:r w:rsidRPr="0065566F">
              <w:rPr>
                <w:rFonts w:eastAsia="Cambria" w:cs="Arial"/>
                <w:sz w:val="20"/>
                <w:szCs w:val="20"/>
                <w:lang w:eastAsia="es-ES"/>
              </w:rPr>
              <w:t xml:space="preserve">efrigeration </w:t>
            </w:r>
            <w:r>
              <w:rPr>
                <w:rFonts w:eastAsia="Cambria" w:cs="Arial"/>
                <w:sz w:val="20"/>
                <w:szCs w:val="20"/>
                <w:lang w:eastAsia="es-ES"/>
              </w:rPr>
              <w:t>c</w:t>
            </w:r>
            <w:r w:rsidRPr="0065566F">
              <w:rPr>
                <w:rFonts w:eastAsia="Cambria" w:cs="Arial"/>
                <w:sz w:val="20"/>
                <w:szCs w:val="20"/>
                <w:lang w:eastAsia="es-ES"/>
              </w:rPr>
              <w:t>hambers</w:t>
            </w:r>
            <w:r>
              <w:rPr>
                <w:rFonts w:eastAsia="Cambria" w:cs="Arial"/>
                <w:sz w:val="20"/>
                <w:szCs w:val="20"/>
                <w:lang w:eastAsia="es-ES"/>
              </w:rPr>
              <w:t xml:space="preserve">, </w:t>
            </w:r>
            <w:r w:rsidR="005D6A90">
              <w:rPr>
                <w:rFonts w:eastAsia="Cambria" w:cs="Arial"/>
                <w:sz w:val="20"/>
                <w:szCs w:val="20"/>
                <w:lang w:eastAsia="es-ES"/>
              </w:rPr>
              <w:t>imporvements in lighting system or higher efficiency m</w:t>
            </w:r>
            <w:r w:rsidR="005D6A90" w:rsidRPr="0065566F">
              <w:rPr>
                <w:rFonts w:cs="Arial"/>
                <w:sz w:val="20"/>
                <w:szCs w:val="20"/>
              </w:rPr>
              <w:t>otors</w:t>
            </w:r>
            <w:r w:rsidR="005D6A90">
              <w:rPr>
                <w:rFonts w:cs="Arial"/>
                <w:sz w:val="20"/>
                <w:szCs w:val="20"/>
              </w:rPr>
              <w:t xml:space="preserve">. </w:t>
            </w:r>
          </w:p>
          <w:p w14:paraId="1A64C8C4" w14:textId="77777777" w:rsidR="00360F5E" w:rsidRPr="0065566F" w:rsidRDefault="00360F5E" w:rsidP="00360F5E">
            <w:pPr>
              <w:jc w:val="both"/>
              <w:rPr>
                <w:rFonts w:ascii="Arial" w:eastAsia="Times New Roman" w:hAnsi="Arial" w:cs="Arial"/>
                <w:sz w:val="20"/>
                <w:szCs w:val="20"/>
                <w:shd w:val="clear" w:color="auto" w:fill="FFFFFF"/>
              </w:rPr>
            </w:pPr>
            <w:r w:rsidRPr="0065566F">
              <w:rPr>
                <w:rFonts w:ascii="Arial" w:hAnsi="Arial" w:cs="Arial"/>
                <w:sz w:val="20"/>
                <w:szCs w:val="20"/>
              </w:rPr>
              <w:lastRenderedPageBreak/>
              <w:t xml:space="preserve">The intended beneficiaries of the </w:t>
            </w:r>
            <w:r w:rsidR="005D6A90">
              <w:rPr>
                <w:rFonts w:ascii="Arial" w:hAnsi="Arial" w:cs="Arial"/>
                <w:sz w:val="20"/>
                <w:szCs w:val="20"/>
              </w:rPr>
              <w:t>Program</w:t>
            </w:r>
            <w:r w:rsidRPr="0065566F">
              <w:rPr>
                <w:rFonts w:ascii="Arial" w:hAnsi="Arial" w:cs="Arial"/>
                <w:sz w:val="20"/>
                <w:szCs w:val="20"/>
              </w:rPr>
              <w:t xml:space="preserve"> will be </w:t>
            </w:r>
            <w:r w:rsidR="005D6A90">
              <w:rPr>
                <w:rFonts w:ascii="Arial" w:hAnsi="Arial" w:cs="Arial"/>
                <w:sz w:val="20"/>
                <w:szCs w:val="20"/>
              </w:rPr>
              <w:t xml:space="preserve">industrial </w:t>
            </w:r>
            <w:r w:rsidRPr="0065566F">
              <w:rPr>
                <w:rFonts w:ascii="Arial" w:hAnsi="Arial" w:cs="Arial"/>
                <w:sz w:val="20"/>
                <w:szCs w:val="20"/>
              </w:rPr>
              <w:t xml:space="preserve">small-and medium sized companies. An improved efficiency in the use and production of energy will also enable final consumers to benefit from greater and better availability of cleaner energy at competitive </w:t>
            </w:r>
            <w:proofErr w:type="gramStart"/>
            <w:r w:rsidRPr="0065566F">
              <w:rPr>
                <w:rFonts w:ascii="Arial" w:hAnsi="Arial" w:cs="Arial"/>
                <w:sz w:val="20"/>
                <w:szCs w:val="20"/>
              </w:rPr>
              <w:t>prices, and</w:t>
            </w:r>
            <w:proofErr w:type="gramEnd"/>
            <w:r w:rsidRPr="0065566F">
              <w:rPr>
                <w:rFonts w:ascii="Arial" w:hAnsi="Arial" w:cs="Arial"/>
                <w:sz w:val="20"/>
                <w:szCs w:val="20"/>
              </w:rPr>
              <w:t xml:space="preserve"> will allow the government to downscale current subsidies for fossil-fuel based generation. Finally, communities should benefit from positive externalities associated to the environmental and economic impacts of the </w:t>
            </w:r>
            <w:r w:rsidR="005D6A90">
              <w:rPr>
                <w:rFonts w:ascii="Arial" w:hAnsi="Arial" w:cs="Arial"/>
                <w:sz w:val="20"/>
                <w:szCs w:val="20"/>
              </w:rPr>
              <w:t>Program</w:t>
            </w:r>
            <w:r w:rsidRPr="0065566F">
              <w:rPr>
                <w:rFonts w:ascii="Arial" w:hAnsi="Arial" w:cs="Arial"/>
                <w:sz w:val="20"/>
                <w:szCs w:val="20"/>
              </w:rPr>
              <w:t>.</w:t>
            </w:r>
            <w:r w:rsidRPr="0065566F">
              <w:rPr>
                <w:rFonts w:ascii="Arial" w:eastAsia="Times New Roman" w:hAnsi="Arial" w:cs="Arial"/>
                <w:sz w:val="20"/>
                <w:szCs w:val="20"/>
                <w:shd w:val="clear" w:color="auto" w:fill="FFFFFF"/>
              </w:rPr>
              <w:t xml:space="preserve"> </w:t>
            </w:r>
          </w:p>
          <w:p w14:paraId="2776D368" w14:textId="77777777" w:rsidR="00360F5E" w:rsidRPr="0065566F" w:rsidRDefault="00360F5E" w:rsidP="00360F5E">
            <w:pPr>
              <w:jc w:val="both"/>
              <w:rPr>
                <w:rFonts w:ascii="Arial" w:eastAsia="Times New Roman" w:hAnsi="Arial" w:cs="Arial"/>
                <w:sz w:val="20"/>
                <w:szCs w:val="20"/>
              </w:rPr>
            </w:pPr>
          </w:p>
        </w:tc>
      </w:tr>
      <w:tr w:rsidR="00360F5E" w:rsidRPr="0065566F" w14:paraId="232033EA"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E761569" w14:textId="77777777" w:rsidR="00360F5E" w:rsidRPr="0065566F" w:rsidRDefault="00360F5E" w:rsidP="0032085B">
            <w:pPr>
              <w:pStyle w:val="ListParagraph"/>
              <w:numPr>
                <w:ilvl w:val="0"/>
                <w:numId w:val="6"/>
              </w:numPr>
              <w:rPr>
                <w:rFonts w:ascii="Arial" w:eastAsia="Times New Roman" w:hAnsi="Arial" w:cs="Arial"/>
                <w:b/>
                <w:bCs/>
                <w:sz w:val="20"/>
                <w:szCs w:val="20"/>
              </w:rPr>
            </w:pPr>
            <w:r w:rsidRPr="0065566F">
              <w:rPr>
                <w:rFonts w:ascii="Arial" w:eastAsia="Times New Roman" w:hAnsi="Arial" w:cs="Arial"/>
                <w:b/>
                <w:bCs/>
                <w:sz w:val="20"/>
                <w:szCs w:val="20"/>
              </w:rPr>
              <w:lastRenderedPageBreak/>
              <w:t xml:space="preserve">Key Impacts, Risks, and Mitigation Measures </w:t>
            </w:r>
          </w:p>
        </w:tc>
      </w:tr>
      <w:tr w:rsidR="00360F5E" w:rsidRPr="0065566F" w14:paraId="7B74CF36"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25745886" w14:textId="77777777" w:rsidR="00360F5E" w:rsidRPr="0065566F" w:rsidRDefault="00174928" w:rsidP="00174928">
            <w:pPr>
              <w:ind w:right="165"/>
              <w:jc w:val="both"/>
              <w:rPr>
                <w:rFonts w:ascii="Arial" w:eastAsia="Times New Roman" w:hAnsi="Arial" w:cs="Arial"/>
                <w:sz w:val="20"/>
                <w:szCs w:val="20"/>
              </w:rPr>
            </w:pPr>
            <w:r w:rsidRPr="0065566F">
              <w:rPr>
                <w:rFonts w:ascii="Arial" w:eastAsia="Times New Roman" w:hAnsi="Arial" w:cs="Arial"/>
                <w:sz w:val="20"/>
                <w:szCs w:val="20"/>
                <w:shd w:val="clear" w:color="auto" w:fill="FFFFFF"/>
              </w:rPr>
              <w:t xml:space="preserve">In accordance with (i) the Directive B.13 of the Bank's Environmental and Social Safeguards policy (OP-703) and (ii) the nature and magnitude of potential socio-environmental impacts of the eligible sub-projects, the operation is considered as Financial Intermediation category FI-3. </w:t>
            </w:r>
          </w:p>
        </w:tc>
      </w:tr>
      <w:tr w:rsidR="00360F5E" w:rsidRPr="0065566F" w14:paraId="4D7A1502"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B3E5635" w14:textId="77777777" w:rsidR="00360F5E" w:rsidRPr="0065566F" w:rsidRDefault="00360F5E" w:rsidP="00360F5E">
            <w:pPr>
              <w:ind w:right="165"/>
              <w:rPr>
                <w:rFonts w:ascii="Arial" w:eastAsia="Times New Roman" w:hAnsi="Arial" w:cs="Arial"/>
                <w:b/>
                <w:sz w:val="20"/>
                <w:szCs w:val="20"/>
                <w:shd w:val="clear" w:color="auto" w:fill="FFFFFF"/>
              </w:rPr>
            </w:pPr>
            <w:r w:rsidRPr="0065566F">
              <w:rPr>
                <w:rFonts w:ascii="Arial" w:eastAsia="Times New Roman" w:hAnsi="Arial" w:cs="Arial"/>
                <w:b/>
                <w:sz w:val="20"/>
                <w:szCs w:val="20"/>
              </w:rPr>
              <w:t xml:space="preserve">Assessment Requirements </w:t>
            </w:r>
          </w:p>
          <w:p w14:paraId="317E1861" w14:textId="77777777" w:rsidR="00360F5E" w:rsidRPr="0065566F" w:rsidRDefault="00360F5E" w:rsidP="00360F5E">
            <w:pPr>
              <w:ind w:right="165"/>
              <w:rPr>
                <w:rFonts w:ascii="Arial" w:eastAsia="Times New Roman" w:hAnsi="Arial" w:cs="Arial"/>
                <w:sz w:val="20"/>
                <w:szCs w:val="20"/>
                <w:shd w:val="clear" w:color="auto" w:fill="FFFFFF"/>
              </w:rPr>
            </w:pPr>
            <w:r w:rsidRPr="0065566F">
              <w:rPr>
                <w:rFonts w:ascii="Arial" w:eastAsia="Times New Roman" w:hAnsi="Arial" w:cs="Arial"/>
                <w:sz w:val="20"/>
                <w:szCs w:val="20"/>
              </w:rPr>
              <w:t>OP-703 (Environment and Safeguards Compliance Policy): B.3 (Screening and Classification), B.4 (Other Risk Factors), B.5 (Environmental Assessment and Plans Requirements), and Assessment requirements of OP-710 (Involuntary Resettlement Policy), OP-765 (Indigenous Peoples Policy), OP-761 (Gender Equality in Development Policy), and OP-704 (Disaster Risk Management Policy) as applicable</w:t>
            </w:r>
          </w:p>
        </w:tc>
      </w:tr>
      <w:tr w:rsidR="00360F5E" w:rsidRPr="0065566F" w14:paraId="04561270"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F84CA69" w14:textId="77777777" w:rsidR="00360F5E" w:rsidRPr="0065566F" w:rsidRDefault="00174928" w:rsidP="00360F5E">
            <w:pPr>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Following the Bank's guidelines and </w:t>
            </w:r>
            <w:proofErr w:type="gramStart"/>
            <w:r w:rsidRPr="0065566F">
              <w:rPr>
                <w:rFonts w:ascii="Arial" w:eastAsia="Times New Roman" w:hAnsi="Arial" w:cs="Arial"/>
                <w:sz w:val="20"/>
                <w:szCs w:val="20"/>
                <w:shd w:val="clear" w:color="auto" w:fill="FFFFFF"/>
              </w:rPr>
              <w:t>taking into account</w:t>
            </w:r>
            <w:proofErr w:type="gramEnd"/>
            <w:r w:rsidRPr="0065566F">
              <w:rPr>
                <w:rFonts w:ascii="Arial" w:eastAsia="Times New Roman" w:hAnsi="Arial" w:cs="Arial"/>
                <w:sz w:val="20"/>
                <w:szCs w:val="20"/>
                <w:shd w:val="clear" w:color="auto" w:fill="FFFFFF"/>
              </w:rPr>
              <w:t xml:space="preserve"> the characteristics of the Program, the project team identified the potential negative impacts of the eligible sub-projects and their main mitigation measures and evaluated the capacity that AFD would have to manage these risks in compliance with the IDB safeguards.</w:t>
            </w:r>
          </w:p>
        </w:tc>
      </w:tr>
      <w:tr w:rsidR="00360F5E" w:rsidRPr="0065566F" w14:paraId="56868B3F"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750E0290" w14:textId="77777777" w:rsidR="00360F5E" w:rsidRPr="0065566F" w:rsidRDefault="00360F5E" w:rsidP="00360F5E">
            <w:pPr>
              <w:ind w:right="165"/>
              <w:jc w:val="both"/>
              <w:rPr>
                <w:rFonts w:ascii="Arial" w:eastAsia="Times New Roman" w:hAnsi="Arial" w:cs="Arial"/>
                <w:b/>
                <w:sz w:val="20"/>
                <w:szCs w:val="20"/>
                <w:shd w:val="clear" w:color="auto" w:fill="FFFFFF"/>
              </w:rPr>
            </w:pPr>
            <w:r w:rsidRPr="0065566F">
              <w:rPr>
                <w:rFonts w:ascii="Arial" w:eastAsia="Times New Roman" w:hAnsi="Arial" w:cs="Arial"/>
                <w:b/>
                <w:sz w:val="20"/>
                <w:szCs w:val="20"/>
              </w:rPr>
              <w:t>Consultation</w:t>
            </w:r>
            <w:r w:rsidRPr="0065566F">
              <w:rPr>
                <w:rFonts w:ascii="Arial" w:eastAsia="Times New Roman" w:hAnsi="Arial" w:cs="Arial"/>
                <w:b/>
                <w:sz w:val="20"/>
                <w:szCs w:val="20"/>
                <w:shd w:val="clear" w:color="auto" w:fill="FFFFFF"/>
              </w:rPr>
              <w:t xml:space="preserve"> </w:t>
            </w:r>
          </w:p>
          <w:p w14:paraId="35855123"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OP-703 (Environment and Safeguards Compliance Policy): B.6 (Consultation); and Consultation requirements of OP-710 (Involuntary Resettlement Policy), OP-765 (Indigenous Peoples Policy), OP-761 (Gender Equality in Development Policy), and OP-704 (Disaster Risk Management Policy) as applicable</w:t>
            </w:r>
          </w:p>
        </w:tc>
      </w:tr>
      <w:tr w:rsidR="00360F5E" w:rsidRPr="0065566F" w14:paraId="246380AD"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298E06F" w14:textId="77777777" w:rsidR="00360F5E" w:rsidRPr="0065566F" w:rsidRDefault="00836447" w:rsidP="0032085B">
            <w:pPr>
              <w:pStyle w:val="ListParagraph"/>
              <w:numPr>
                <w:ilvl w:val="0"/>
                <w:numId w:val="5"/>
              </w:num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Only Cat C sub-projects are eligible for financing. No sub-project level public consultation will be required. </w:t>
            </w:r>
          </w:p>
          <w:p w14:paraId="3DE6AF0F" w14:textId="77777777" w:rsidR="00836447" w:rsidRPr="0065566F" w:rsidRDefault="00836447" w:rsidP="0032085B">
            <w:pPr>
              <w:pStyle w:val="ListParagraph"/>
              <w:numPr>
                <w:ilvl w:val="0"/>
                <w:numId w:val="5"/>
              </w:num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At the </w:t>
            </w:r>
            <w:r w:rsidR="005D6A90">
              <w:rPr>
                <w:rFonts w:ascii="Arial" w:eastAsia="Times New Roman" w:hAnsi="Arial" w:cs="Arial"/>
                <w:sz w:val="20"/>
                <w:szCs w:val="20"/>
                <w:shd w:val="clear" w:color="auto" w:fill="FFFFFF"/>
              </w:rPr>
              <w:t>Program</w:t>
            </w:r>
            <w:r w:rsidRPr="0065566F">
              <w:rPr>
                <w:rFonts w:ascii="Arial" w:eastAsia="Times New Roman" w:hAnsi="Arial" w:cs="Arial"/>
                <w:sz w:val="20"/>
                <w:szCs w:val="20"/>
                <w:shd w:val="clear" w:color="auto" w:fill="FFFFFF"/>
              </w:rPr>
              <w:t xml:space="preserve"> level, consultations have been held with government officers, executing agency (AFD), commercial banks and technology providers to understand investment and financing challenges, </w:t>
            </w:r>
            <w:proofErr w:type="gramStart"/>
            <w:r w:rsidRPr="0065566F">
              <w:rPr>
                <w:rFonts w:ascii="Arial" w:eastAsia="Times New Roman" w:hAnsi="Arial" w:cs="Arial"/>
                <w:sz w:val="20"/>
                <w:szCs w:val="20"/>
                <w:shd w:val="clear" w:color="auto" w:fill="FFFFFF"/>
              </w:rPr>
              <w:t>in order to</w:t>
            </w:r>
            <w:proofErr w:type="gramEnd"/>
            <w:r w:rsidRPr="0065566F">
              <w:rPr>
                <w:rFonts w:ascii="Arial" w:eastAsia="Times New Roman" w:hAnsi="Arial" w:cs="Arial"/>
                <w:sz w:val="20"/>
                <w:szCs w:val="20"/>
                <w:shd w:val="clear" w:color="auto" w:fill="FFFFFF"/>
              </w:rPr>
              <w:t xml:space="preserve"> define the relevance of seeking GCF support and the relevant financial instruments and technical cooperation activities and to fine-tune the </w:t>
            </w:r>
            <w:r w:rsidR="005D6A90">
              <w:rPr>
                <w:rFonts w:ascii="Arial" w:eastAsia="Times New Roman" w:hAnsi="Arial" w:cs="Arial"/>
                <w:sz w:val="20"/>
                <w:szCs w:val="20"/>
                <w:shd w:val="clear" w:color="auto" w:fill="FFFFFF"/>
              </w:rPr>
              <w:t>Program</w:t>
            </w:r>
            <w:r w:rsidRPr="0065566F">
              <w:rPr>
                <w:rFonts w:ascii="Arial" w:eastAsia="Times New Roman" w:hAnsi="Arial" w:cs="Arial"/>
                <w:sz w:val="20"/>
                <w:szCs w:val="20"/>
                <w:shd w:val="clear" w:color="auto" w:fill="FFFFFF"/>
              </w:rPr>
              <w:t xml:space="preserve"> design. </w:t>
            </w:r>
          </w:p>
          <w:p w14:paraId="55D696C9" w14:textId="77777777" w:rsidR="00836447" w:rsidRPr="0065566F" w:rsidRDefault="00836447" w:rsidP="0032085B">
            <w:pPr>
              <w:pStyle w:val="ListParagraph"/>
              <w:numPr>
                <w:ilvl w:val="0"/>
                <w:numId w:val="5"/>
              </w:num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AFD has a </w:t>
            </w:r>
            <w:r w:rsidRPr="00711105">
              <w:rPr>
                <w:rFonts w:ascii="Arial" w:eastAsia="Times New Roman" w:hAnsi="Arial" w:cs="Arial"/>
                <w:sz w:val="20"/>
                <w:szCs w:val="20"/>
                <w:shd w:val="clear" w:color="auto" w:fill="FFFFFF"/>
              </w:rPr>
              <w:t>general information request system</w:t>
            </w:r>
            <w:r w:rsidR="00174928" w:rsidRPr="00711105">
              <w:rPr>
                <w:rFonts w:ascii="Arial" w:eastAsia="Times New Roman" w:hAnsi="Arial" w:cs="Arial"/>
                <w:sz w:val="20"/>
                <w:szCs w:val="20"/>
                <w:shd w:val="clear" w:color="auto" w:fill="FFFFFF"/>
              </w:rPr>
              <w:t xml:space="preserve"> </w:t>
            </w:r>
            <w:r w:rsidRPr="00711105">
              <w:rPr>
                <w:rFonts w:ascii="Arial" w:eastAsia="Times New Roman" w:hAnsi="Arial" w:cs="Arial"/>
                <w:sz w:val="20"/>
                <w:szCs w:val="20"/>
                <w:shd w:val="clear" w:color="auto" w:fill="FFFFFF"/>
              </w:rPr>
              <w:t xml:space="preserve">in place: </w:t>
            </w:r>
            <w:hyperlink r:id="rId12" w:history="1">
              <w:r w:rsidRPr="00711105">
                <w:rPr>
                  <w:rStyle w:val="Hyperlink"/>
                  <w:rFonts w:ascii="Arial" w:eastAsia="Times New Roman" w:hAnsi="Arial" w:cs="Arial"/>
                  <w:sz w:val="20"/>
                  <w:szCs w:val="20"/>
                  <w:shd w:val="clear" w:color="auto" w:fill="FFFFFF"/>
                </w:rPr>
                <w:t>https://www.afd.gov.py/contacto</w:t>
              </w:r>
            </w:hyperlink>
            <w:r w:rsidRPr="00711105">
              <w:rPr>
                <w:rFonts w:ascii="Arial" w:eastAsia="Times New Roman" w:hAnsi="Arial" w:cs="Arial"/>
                <w:sz w:val="20"/>
                <w:szCs w:val="20"/>
                <w:shd w:val="clear" w:color="auto" w:fill="FFFFFF"/>
              </w:rPr>
              <w:t xml:space="preserve"> and will also implement a grievance mechanism at the </w:t>
            </w:r>
            <w:r w:rsidR="005D6A90" w:rsidRPr="00711105">
              <w:rPr>
                <w:rFonts w:ascii="Arial" w:eastAsia="Times New Roman" w:hAnsi="Arial" w:cs="Arial"/>
                <w:sz w:val="20"/>
                <w:szCs w:val="20"/>
                <w:shd w:val="clear" w:color="auto" w:fill="FFFFFF"/>
              </w:rPr>
              <w:t>Program</w:t>
            </w:r>
            <w:r w:rsidRPr="00711105">
              <w:rPr>
                <w:rFonts w:ascii="Arial" w:eastAsia="Times New Roman" w:hAnsi="Arial" w:cs="Arial"/>
                <w:sz w:val="20"/>
                <w:szCs w:val="20"/>
                <w:shd w:val="clear" w:color="auto" w:fill="FFFFFF"/>
              </w:rPr>
              <w:t xml:space="preserve"> level.</w:t>
            </w:r>
          </w:p>
        </w:tc>
      </w:tr>
      <w:tr w:rsidR="00360F5E" w:rsidRPr="0065566F" w14:paraId="282911A6"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184C36A8" w14:textId="77777777" w:rsidR="00360F5E" w:rsidRPr="0065566F" w:rsidRDefault="00360F5E" w:rsidP="00360F5E">
            <w:pPr>
              <w:ind w:right="165"/>
              <w:jc w:val="both"/>
              <w:rPr>
                <w:rFonts w:ascii="Arial" w:eastAsia="Times New Roman" w:hAnsi="Arial" w:cs="Arial"/>
                <w:b/>
                <w:sz w:val="20"/>
                <w:szCs w:val="20"/>
                <w:shd w:val="clear" w:color="auto" w:fill="FFFFFF"/>
              </w:rPr>
            </w:pPr>
            <w:r w:rsidRPr="0065566F">
              <w:rPr>
                <w:rFonts w:ascii="Arial" w:eastAsia="Times New Roman" w:hAnsi="Arial" w:cs="Arial"/>
                <w:b/>
                <w:sz w:val="20"/>
                <w:szCs w:val="20"/>
              </w:rPr>
              <w:t>Information Disclosure</w:t>
            </w:r>
            <w:r w:rsidRPr="0065566F">
              <w:rPr>
                <w:rFonts w:ascii="Arial" w:eastAsia="Times New Roman" w:hAnsi="Arial" w:cs="Arial"/>
                <w:b/>
                <w:sz w:val="20"/>
                <w:szCs w:val="20"/>
                <w:shd w:val="clear" w:color="auto" w:fill="FFFFFF"/>
              </w:rPr>
              <w:t xml:space="preserve"> </w:t>
            </w:r>
          </w:p>
          <w:p w14:paraId="3ED97B49"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OP-703 (Environment and Safeguards Compliance Policy): B.5 (Environmental Assessment and Plan Requirements) and Information Disclosure requirements of OP-710 (Involuntary Resettlement Policy), OP-765 (Indigenous Peoples Policy), OP-761 (Gender Equality in Development Policy), and OP-704 (Disaster Risk Management Policy) as applicable;</w:t>
            </w:r>
          </w:p>
          <w:p w14:paraId="385B7876"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OP-102 (Access to Information Policy)</w:t>
            </w:r>
          </w:p>
        </w:tc>
      </w:tr>
      <w:tr w:rsidR="00360F5E" w:rsidRPr="0065566F" w14:paraId="1606B7F7"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A96CB6C" w14:textId="77777777" w:rsidR="00360F5E" w:rsidRPr="0065566F" w:rsidRDefault="00836447"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The IDB will </w:t>
            </w:r>
            <w:r w:rsidR="00823799" w:rsidRPr="0065566F">
              <w:rPr>
                <w:rFonts w:ascii="Arial" w:eastAsia="Times New Roman" w:hAnsi="Arial" w:cs="Arial"/>
                <w:sz w:val="20"/>
                <w:szCs w:val="20"/>
                <w:shd w:val="clear" w:color="auto" w:fill="FFFFFF"/>
              </w:rPr>
              <w:t xml:space="preserve">publish the </w:t>
            </w:r>
            <w:r w:rsidR="005D6A90">
              <w:rPr>
                <w:rFonts w:ascii="Arial" w:eastAsia="Times New Roman" w:hAnsi="Arial" w:cs="Arial"/>
                <w:sz w:val="20"/>
                <w:szCs w:val="20"/>
                <w:shd w:val="clear" w:color="auto" w:fill="FFFFFF"/>
              </w:rPr>
              <w:t>Program</w:t>
            </w:r>
            <w:r w:rsidRPr="0065566F">
              <w:rPr>
                <w:rFonts w:ascii="Arial" w:eastAsia="Times New Roman" w:hAnsi="Arial" w:cs="Arial"/>
                <w:sz w:val="20"/>
                <w:szCs w:val="20"/>
                <w:shd w:val="clear" w:color="auto" w:fill="FFFFFF"/>
              </w:rPr>
              <w:t xml:space="preserve"> documents in compliance with OP-102.</w:t>
            </w:r>
            <w:r w:rsidR="00823799" w:rsidRPr="0065566F">
              <w:rPr>
                <w:rFonts w:ascii="Arial" w:eastAsia="Times New Roman" w:hAnsi="Arial" w:cs="Arial"/>
                <w:sz w:val="20"/>
                <w:szCs w:val="20"/>
                <w:shd w:val="clear" w:color="auto" w:fill="FFFFFF"/>
              </w:rPr>
              <w:t xml:space="preserve"> Only C category subprojects are eligible for financing. </w:t>
            </w:r>
          </w:p>
        </w:tc>
      </w:tr>
      <w:tr w:rsidR="00360F5E" w:rsidRPr="0065566F" w14:paraId="4A92397F"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ACC4E62" w14:textId="77777777" w:rsidR="00360F5E" w:rsidRPr="0065566F" w:rsidRDefault="00360F5E" w:rsidP="00360F5E">
            <w:pPr>
              <w:ind w:right="165"/>
              <w:jc w:val="both"/>
              <w:rPr>
                <w:rFonts w:ascii="Arial" w:eastAsia="Times New Roman" w:hAnsi="Arial" w:cs="Arial"/>
                <w:b/>
                <w:sz w:val="20"/>
                <w:szCs w:val="20"/>
                <w:shd w:val="clear" w:color="auto" w:fill="FFFFFF"/>
              </w:rPr>
            </w:pPr>
            <w:r w:rsidRPr="0065566F">
              <w:rPr>
                <w:rFonts w:ascii="Arial" w:eastAsia="Times New Roman" w:hAnsi="Arial" w:cs="Arial"/>
                <w:b/>
                <w:sz w:val="20"/>
                <w:szCs w:val="20"/>
              </w:rPr>
              <w:t>Environmental and Social Impacts and Risks and Mitigation Measures</w:t>
            </w:r>
          </w:p>
          <w:p w14:paraId="2AE7BC4D"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OP-703 (Environment and Safeguards Compliance Policy): B5 (Environmental Assessment Requirements), B8 (Transboundary Impacts), B9 (Natural Habitats and Cultural Sites), B10 (Hazardous Materials), B11 (Pollution Prevention and Abatement), and B12 (Projects Under Construction)</w:t>
            </w:r>
          </w:p>
          <w:p w14:paraId="172FA061"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OP-710 (Involuntary Resettlement Policy)</w:t>
            </w:r>
          </w:p>
          <w:p w14:paraId="19286AE1"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OP-765 (Indigenous Peoples Policy)</w:t>
            </w:r>
          </w:p>
          <w:p w14:paraId="3E98F1B6"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OP-704 (Disaster Risk Management Policy)</w:t>
            </w:r>
          </w:p>
          <w:p w14:paraId="0C7DA0E5"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OP-761 (Gender Equality in Development Policy)</w:t>
            </w:r>
          </w:p>
        </w:tc>
      </w:tr>
      <w:tr w:rsidR="00360F5E" w:rsidRPr="0065566F" w14:paraId="18D1F16D"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6B4A1D7" w14:textId="77777777" w:rsidR="00360F5E" w:rsidRPr="0065566F" w:rsidRDefault="00360F5E" w:rsidP="00360F5E">
            <w:pPr>
              <w:ind w:right="165"/>
              <w:jc w:val="both"/>
              <w:rPr>
                <w:rFonts w:ascii="Arial" w:eastAsia="Times New Roman" w:hAnsi="Arial" w:cs="Arial"/>
                <w:sz w:val="20"/>
                <w:szCs w:val="20"/>
                <w:shd w:val="clear" w:color="auto" w:fill="FFFFFF"/>
                <w:lang w:val="it-IT"/>
              </w:rPr>
            </w:pPr>
          </w:p>
          <w:p w14:paraId="3AB193BE" w14:textId="77777777" w:rsidR="00360F5E" w:rsidRPr="0065566F" w:rsidRDefault="00360F5E" w:rsidP="00360F5E">
            <w:pPr>
              <w:ind w:right="165"/>
              <w:jc w:val="both"/>
              <w:rPr>
                <w:rFonts w:ascii="Arial" w:eastAsia="Times New Roman" w:hAnsi="Arial" w:cs="Arial"/>
                <w:sz w:val="20"/>
                <w:szCs w:val="20"/>
                <w:shd w:val="clear" w:color="auto" w:fill="FFFFFF"/>
                <w:lang w:val="it-IT"/>
              </w:rPr>
            </w:pPr>
            <w:r w:rsidRPr="0065566F">
              <w:rPr>
                <w:rFonts w:ascii="Arial" w:eastAsia="Times New Roman" w:hAnsi="Arial" w:cs="Arial"/>
                <w:b/>
                <w:sz w:val="20"/>
                <w:szCs w:val="20"/>
                <w:shd w:val="clear" w:color="auto" w:fill="FFFFFF"/>
                <w:lang w:val="it-IT"/>
              </w:rPr>
              <w:t>Energy Efficiency projects</w:t>
            </w:r>
            <w:r w:rsidRPr="0065566F">
              <w:rPr>
                <w:rFonts w:ascii="Arial" w:eastAsia="Times New Roman" w:hAnsi="Arial" w:cs="Arial"/>
                <w:sz w:val="20"/>
                <w:szCs w:val="20"/>
                <w:shd w:val="clear" w:color="auto" w:fill="FFFFFF"/>
                <w:lang w:val="it-IT"/>
              </w:rPr>
              <w:t xml:space="preserve">: those projects consist in the financing of replacement of old equipment for new – more energy efficient – equipment. They happen in existing small-scale operations (SMEs) and do not involve green field project. It is expected that the substitution of old technologies and equipment for new ones through the adoption of EE measures will result in energy savings and hence will have a positive impact on the environment and climate change by reducing GHG and other emissions. However, this type of project could have reduced benefits and/or limited adverse impacts on the environment if the substituted units are not </w:t>
            </w:r>
            <w:r w:rsidRPr="0065566F">
              <w:rPr>
                <w:rFonts w:ascii="Arial" w:eastAsia="Times New Roman" w:hAnsi="Arial" w:cs="Arial"/>
                <w:sz w:val="20"/>
                <w:szCs w:val="20"/>
                <w:shd w:val="clear" w:color="auto" w:fill="FFFFFF"/>
                <w:lang w:val="it-IT"/>
              </w:rPr>
              <w:lastRenderedPageBreak/>
              <w:t xml:space="preserve">withdrawn from circulation and are not properly disposed. The </w:t>
            </w:r>
            <w:r w:rsidR="005D6A90">
              <w:rPr>
                <w:rFonts w:ascii="Arial" w:eastAsia="Times New Roman" w:hAnsi="Arial" w:cs="Arial"/>
                <w:sz w:val="20"/>
                <w:szCs w:val="20"/>
                <w:shd w:val="clear" w:color="auto" w:fill="FFFFFF"/>
                <w:lang w:val="it-IT"/>
              </w:rPr>
              <w:t>Program</w:t>
            </w:r>
            <w:r w:rsidRPr="0065566F">
              <w:rPr>
                <w:rFonts w:ascii="Arial" w:eastAsia="Times New Roman" w:hAnsi="Arial" w:cs="Arial"/>
                <w:sz w:val="20"/>
                <w:szCs w:val="20"/>
                <w:shd w:val="clear" w:color="auto" w:fill="FFFFFF"/>
                <w:lang w:val="it-IT"/>
              </w:rPr>
              <w:t xml:space="preserve"> stipulates that replaced old equipment should be properly decommissioned and disposed to avoid GHG emissions leakages.</w:t>
            </w:r>
          </w:p>
          <w:p w14:paraId="497DA34F" w14:textId="77777777" w:rsidR="00360F5E" w:rsidRPr="0065566F" w:rsidRDefault="00360F5E" w:rsidP="00360F5E">
            <w:pPr>
              <w:ind w:right="165"/>
              <w:jc w:val="both"/>
              <w:rPr>
                <w:rFonts w:ascii="Arial" w:eastAsia="Times New Roman" w:hAnsi="Arial" w:cs="Arial"/>
                <w:sz w:val="20"/>
                <w:szCs w:val="20"/>
                <w:shd w:val="clear" w:color="auto" w:fill="FFFFFF"/>
                <w:lang w:val="it-IT"/>
              </w:rPr>
            </w:pPr>
            <w:r w:rsidRPr="0065566F">
              <w:rPr>
                <w:rFonts w:ascii="Arial" w:eastAsia="Times New Roman" w:hAnsi="Arial" w:cs="Arial"/>
                <w:sz w:val="20"/>
                <w:szCs w:val="20"/>
                <w:shd w:val="clear" w:color="auto" w:fill="FFFFFF"/>
                <w:lang w:val="it-IT"/>
              </w:rPr>
              <w:t>The potential negative E&amp;S impacts of the different types of EE projects are described below:</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54"/>
              <w:gridCol w:w="1260"/>
              <w:gridCol w:w="1440"/>
              <w:gridCol w:w="1890"/>
              <w:gridCol w:w="1540"/>
            </w:tblGrid>
            <w:tr w:rsidR="0065566F" w:rsidRPr="0065566F" w14:paraId="3FAD4DAE" w14:textId="77777777" w:rsidTr="0065566F">
              <w:trPr>
                <w:tblHeader/>
              </w:trPr>
              <w:tc>
                <w:tcPr>
                  <w:tcW w:w="863" w:type="pct"/>
                  <w:shd w:val="clear" w:color="auto" w:fill="D9D9D9"/>
                  <w:vAlign w:val="center"/>
                </w:tcPr>
                <w:p w14:paraId="73EEEBE2"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Project Type</w:t>
                  </w:r>
                </w:p>
              </w:tc>
              <w:tc>
                <w:tcPr>
                  <w:tcW w:w="1000" w:type="pct"/>
                  <w:shd w:val="clear" w:color="auto" w:fill="D9D9D9"/>
                  <w:vAlign w:val="center"/>
                </w:tcPr>
                <w:p w14:paraId="2FDC234E"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Description</w:t>
                  </w:r>
                </w:p>
              </w:tc>
              <w:tc>
                <w:tcPr>
                  <w:tcW w:w="645" w:type="pct"/>
                  <w:shd w:val="clear" w:color="auto" w:fill="D9D9D9"/>
                  <w:vAlign w:val="center"/>
                </w:tcPr>
                <w:p w14:paraId="2B4337E3"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Associated Waste</w:t>
                  </w:r>
                </w:p>
              </w:tc>
              <w:tc>
                <w:tcPr>
                  <w:tcW w:w="737" w:type="pct"/>
                  <w:shd w:val="clear" w:color="auto" w:fill="D9D9D9"/>
                  <w:vAlign w:val="center"/>
                </w:tcPr>
                <w:p w14:paraId="4CC3BD0E"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Impact before management</w:t>
                  </w:r>
                </w:p>
              </w:tc>
              <w:tc>
                <w:tcPr>
                  <w:tcW w:w="967" w:type="pct"/>
                  <w:shd w:val="clear" w:color="auto" w:fill="D9D9D9"/>
                  <w:vAlign w:val="center"/>
                </w:tcPr>
                <w:p w14:paraId="0C38A7C4"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Management</w:t>
                  </w:r>
                </w:p>
              </w:tc>
              <w:tc>
                <w:tcPr>
                  <w:tcW w:w="788" w:type="pct"/>
                  <w:shd w:val="clear" w:color="auto" w:fill="D9D9D9"/>
                  <w:vAlign w:val="center"/>
                </w:tcPr>
                <w:p w14:paraId="7488D055"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Associated costs and revenues</w:t>
                  </w:r>
                </w:p>
              </w:tc>
            </w:tr>
            <w:tr w:rsidR="00360F5E" w:rsidRPr="0065566F" w14:paraId="5644D168" w14:textId="77777777" w:rsidTr="0065566F">
              <w:trPr>
                <w:trHeight w:val="77"/>
              </w:trPr>
              <w:tc>
                <w:tcPr>
                  <w:tcW w:w="863" w:type="pct"/>
                  <w:tcBorders>
                    <w:top w:val="single" w:sz="4" w:space="0" w:color="auto"/>
                    <w:bottom w:val="single" w:sz="4" w:space="0" w:color="auto"/>
                  </w:tcBorders>
                  <w:shd w:val="clear" w:color="auto" w:fill="auto"/>
                  <w:vAlign w:val="center"/>
                </w:tcPr>
                <w:p w14:paraId="7689EF57"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hAnsi="Arial" w:cs="Arial"/>
                      <w:sz w:val="20"/>
                      <w:szCs w:val="20"/>
                    </w:rPr>
                    <w:t>Boilers, Ovens, Dryers, Motors</w:t>
                  </w:r>
                </w:p>
              </w:tc>
              <w:tc>
                <w:tcPr>
                  <w:tcW w:w="1000" w:type="pct"/>
                  <w:tcBorders>
                    <w:top w:val="single" w:sz="4" w:space="0" w:color="auto"/>
                    <w:bottom w:val="single" w:sz="4" w:space="0" w:color="auto"/>
                  </w:tcBorders>
                  <w:vAlign w:val="center"/>
                </w:tcPr>
                <w:p w14:paraId="24AFC25C"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Replacement of old systems with new equipment consuming less fuel and/or energy.</w:t>
                  </w:r>
                </w:p>
              </w:tc>
              <w:tc>
                <w:tcPr>
                  <w:tcW w:w="645" w:type="pct"/>
                  <w:tcBorders>
                    <w:top w:val="single" w:sz="4" w:space="0" w:color="auto"/>
                    <w:bottom w:val="single" w:sz="4" w:space="0" w:color="auto"/>
                  </w:tcBorders>
                  <w:shd w:val="clear" w:color="auto" w:fill="auto"/>
                  <w:vAlign w:val="center"/>
                </w:tcPr>
                <w:p w14:paraId="05C010AD"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Scrap</w:t>
                  </w:r>
                </w:p>
              </w:tc>
              <w:tc>
                <w:tcPr>
                  <w:tcW w:w="737" w:type="pct"/>
                  <w:tcBorders>
                    <w:top w:val="single" w:sz="4" w:space="0" w:color="auto"/>
                    <w:bottom w:val="single" w:sz="4" w:space="0" w:color="auto"/>
                  </w:tcBorders>
                  <w:vAlign w:val="center"/>
                </w:tcPr>
                <w:p w14:paraId="344C7ABD"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Soil contamination and reduced solid waste storage capacity in sanitary landfills</w:t>
                  </w:r>
                </w:p>
              </w:tc>
              <w:tc>
                <w:tcPr>
                  <w:tcW w:w="967" w:type="pct"/>
                  <w:tcBorders>
                    <w:top w:val="single" w:sz="4" w:space="0" w:color="auto"/>
                    <w:bottom w:val="single" w:sz="4" w:space="0" w:color="auto"/>
                  </w:tcBorders>
                  <w:shd w:val="clear" w:color="auto" w:fill="auto"/>
                  <w:vAlign w:val="center"/>
                </w:tcPr>
                <w:p w14:paraId="750D7FD8"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 xml:space="preserve">Decommission (based on a </w:t>
                  </w:r>
                  <w:r w:rsidRPr="0065566F">
                    <w:rPr>
                      <w:rFonts w:ascii="Arial" w:hAnsi="Arial" w:cs="Arial"/>
                      <w:sz w:val="20"/>
                      <w:szCs w:val="20"/>
                    </w:rPr>
                    <w:t>Decommissioning and Disposal Protocol) including potentially commercialization of scrap</w:t>
                  </w:r>
                </w:p>
              </w:tc>
              <w:tc>
                <w:tcPr>
                  <w:tcW w:w="788" w:type="pct"/>
                  <w:tcBorders>
                    <w:top w:val="single" w:sz="4" w:space="0" w:color="auto"/>
                    <w:bottom w:val="single" w:sz="4" w:space="0" w:color="auto"/>
                  </w:tcBorders>
                  <w:shd w:val="clear" w:color="auto" w:fill="auto"/>
                  <w:vAlign w:val="center"/>
                </w:tcPr>
                <w:p w14:paraId="21EE83D9"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Costs of disassembling and transport</w:t>
                  </w:r>
                </w:p>
              </w:tc>
            </w:tr>
            <w:tr w:rsidR="00360F5E" w:rsidRPr="0065566F" w14:paraId="6868C33A" w14:textId="77777777" w:rsidTr="0065566F">
              <w:trPr>
                <w:trHeight w:val="77"/>
              </w:trPr>
              <w:tc>
                <w:tcPr>
                  <w:tcW w:w="863" w:type="pct"/>
                  <w:tcBorders>
                    <w:top w:val="single" w:sz="4" w:space="0" w:color="auto"/>
                    <w:bottom w:val="single" w:sz="4" w:space="0" w:color="auto"/>
                  </w:tcBorders>
                  <w:shd w:val="clear" w:color="auto" w:fill="auto"/>
                  <w:vAlign w:val="center"/>
                </w:tcPr>
                <w:p w14:paraId="292257C0" w14:textId="77777777" w:rsidR="00360F5E" w:rsidRPr="0065566F" w:rsidRDefault="00360F5E" w:rsidP="00360F5E">
                  <w:pPr>
                    <w:spacing w:after="120"/>
                    <w:jc w:val="center"/>
                    <w:rPr>
                      <w:rFonts w:ascii="Arial" w:hAnsi="Arial" w:cs="Arial"/>
                      <w:sz w:val="20"/>
                      <w:szCs w:val="20"/>
                    </w:rPr>
                  </w:pPr>
                  <w:r w:rsidRPr="0065566F">
                    <w:rPr>
                      <w:rFonts w:ascii="Arial" w:eastAsia="Cambria" w:hAnsi="Arial" w:cs="Arial"/>
                      <w:sz w:val="20"/>
                      <w:szCs w:val="20"/>
                      <w:lang w:eastAsia="es-ES"/>
                    </w:rPr>
                    <w:t>Air conditioning/Refrigeration Chambers</w:t>
                  </w:r>
                </w:p>
              </w:tc>
              <w:tc>
                <w:tcPr>
                  <w:tcW w:w="1000" w:type="pct"/>
                  <w:tcBorders>
                    <w:top w:val="single" w:sz="4" w:space="0" w:color="auto"/>
                    <w:bottom w:val="single" w:sz="4" w:space="0" w:color="auto"/>
                  </w:tcBorders>
                  <w:vAlign w:val="center"/>
                </w:tcPr>
                <w:p w14:paraId="258D39D7"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Substitution of old equipment with new energy efficient equipment that contain efficient, less polluting refrigerants (and no substances with high Ozone Depletion Potential)</w:t>
                  </w:r>
                </w:p>
              </w:tc>
              <w:tc>
                <w:tcPr>
                  <w:tcW w:w="645" w:type="pct"/>
                  <w:tcBorders>
                    <w:top w:val="single" w:sz="4" w:space="0" w:color="auto"/>
                    <w:bottom w:val="single" w:sz="4" w:space="0" w:color="auto"/>
                  </w:tcBorders>
                  <w:shd w:val="clear" w:color="auto" w:fill="auto"/>
                  <w:vAlign w:val="center"/>
                </w:tcPr>
                <w:p w14:paraId="35F0C5D2"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Hazardous waste: ozone depleting substances (HCFC, CFC), and scrap</w:t>
                  </w:r>
                </w:p>
              </w:tc>
              <w:tc>
                <w:tcPr>
                  <w:tcW w:w="737" w:type="pct"/>
                  <w:tcBorders>
                    <w:top w:val="single" w:sz="4" w:space="0" w:color="auto"/>
                    <w:bottom w:val="single" w:sz="4" w:space="0" w:color="auto"/>
                  </w:tcBorders>
                  <w:vAlign w:val="center"/>
                </w:tcPr>
                <w:p w14:paraId="70E1E586"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Release of ozone depleting substances to the atmosphere</w:t>
                  </w:r>
                </w:p>
              </w:tc>
              <w:tc>
                <w:tcPr>
                  <w:tcW w:w="967" w:type="pct"/>
                  <w:tcBorders>
                    <w:top w:val="single" w:sz="4" w:space="0" w:color="auto"/>
                    <w:bottom w:val="single" w:sz="4" w:space="0" w:color="auto"/>
                  </w:tcBorders>
                  <w:shd w:val="clear" w:color="auto" w:fill="auto"/>
                  <w:vAlign w:val="center"/>
                </w:tcPr>
                <w:p w14:paraId="252F3686"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 xml:space="preserve">Decommission (based on a </w:t>
                  </w:r>
                  <w:r w:rsidRPr="0065566F">
                    <w:rPr>
                      <w:rFonts w:ascii="Arial" w:hAnsi="Arial" w:cs="Arial"/>
                      <w:sz w:val="20"/>
                      <w:szCs w:val="20"/>
                    </w:rPr>
                    <w:t xml:space="preserve">Decommissioning and Disposal Protocol) including </w:t>
                  </w:r>
                  <w:r w:rsidRPr="0065566F">
                    <w:rPr>
                      <w:rFonts w:ascii="Arial" w:eastAsia="Cambria" w:hAnsi="Arial" w:cs="Arial"/>
                      <w:sz w:val="20"/>
                      <w:szCs w:val="20"/>
                      <w:lang w:eastAsia="es-ES"/>
                    </w:rPr>
                    <w:t xml:space="preserve">Final disposal of CFC or HCFC and </w:t>
                  </w:r>
                  <w:r w:rsidRPr="0065566F">
                    <w:rPr>
                      <w:rFonts w:ascii="Arial" w:hAnsi="Arial" w:cs="Arial"/>
                      <w:sz w:val="20"/>
                      <w:szCs w:val="20"/>
                    </w:rPr>
                    <w:t>potentially commercialization of scrap</w:t>
                  </w:r>
                </w:p>
              </w:tc>
              <w:tc>
                <w:tcPr>
                  <w:tcW w:w="788" w:type="pct"/>
                  <w:tcBorders>
                    <w:top w:val="single" w:sz="4" w:space="0" w:color="auto"/>
                    <w:bottom w:val="single" w:sz="4" w:space="0" w:color="auto"/>
                  </w:tcBorders>
                  <w:shd w:val="clear" w:color="auto" w:fill="auto"/>
                  <w:vAlign w:val="center"/>
                </w:tcPr>
                <w:p w14:paraId="1F4B7B70"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 xml:space="preserve">Costs of disassembling and transport </w:t>
                  </w:r>
                </w:p>
                <w:p w14:paraId="2DCB397A" w14:textId="77777777" w:rsidR="00360F5E" w:rsidRPr="0065566F" w:rsidRDefault="00360F5E" w:rsidP="00360F5E">
                  <w:pPr>
                    <w:spacing w:after="120"/>
                    <w:jc w:val="center"/>
                    <w:rPr>
                      <w:rFonts w:ascii="Arial" w:eastAsia="Cambria" w:hAnsi="Arial" w:cs="Arial"/>
                      <w:sz w:val="20"/>
                      <w:szCs w:val="20"/>
                      <w:lang w:eastAsia="es-ES"/>
                    </w:rPr>
                  </w:pPr>
                  <w:r w:rsidRPr="0065566F">
                    <w:rPr>
                      <w:rFonts w:ascii="Arial" w:eastAsia="Cambria" w:hAnsi="Arial" w:cs="Arial"/>
                      <w:sz w:val="20"/>
                      <w:szCs w:val="20"/>
                      <w:lang w:eastAsia="es-ES"/>
                    </w:rPr>
                    <w:t>Costs of treatment by competent and approved third party</w:t>
                  </w:r>
                </w:p>
              </w:tc>
            </w:tr>
          </w:tbl>
          <w:p w14:paraId="161673F8" w14:textId="77777777" w:rsidR="00360F5E" w:rsidRPr="0065566F" w:rsidRDefault="00360F5E" w:rsidP="00360F5E">
            <w:pPr>
              <w:ind w:right="165"/>
              <w:jc w:val="both"/>
              <w:rPr>
                <w:rFonts w:ascii="Arial" w:eastAsia="Times New Roman" w:hAnsi="Arial" w:cs="Arial"/>
                <w:sz w:val="20"/>
                <w:szCs w:val="20"/>
                <w:shd w:val="clear" w:color="auto" w:fill="FFFFFF"/>
              </w:rPr>
            </w:pPr>
          </w:p>
          <w:p w14:paraId="766BBA25" w14:textId="77777777" w:rsidR="00360F5E" w:rsidRPr="0065566F" w:rsidRDefault="00360F5E" w:rsidP="00360F5E">
            <w:pPr>
              <w:ind w:right="165"/>
              <w:jc w:val="both"/>
              <w:rPr>
                <w:rFonts w:ascii="Arial" w:eastAsia="Times New Roman" w:hAnsi="Arial" w:cs="Arial"/>
                <w:sz w:val="20"/>
                <w:szCs w:val="20"/>
                <w:shd w:val="clear" w:color="auto" w:fill="FFFFFF"/>
              </w:rPr>
            </w:pPr>
          </w:p>
          <w:p w14:paraId="1DD12178"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 xml:space="preserve">A Decommissioning and Disposal protocol will be designed and implemented during the project implementation phase.  The protocol will be based on the following principles: </w:t>
            </w:r>
          </w:p>
          <w:p w14:paraId="7AFDAE2A" w14:textId="77777777" w:rsidR="00360F5E" w:rsidRPr="0065566F" w:rsidRDefault="00360F5E" w:rsidP="0032085B">
            <w:pPr>
              <w:pStyle w:val="ListParagraph"/>
              <w:numPr>
                <w:ilvl w:val="0"/>
                <w:numId w:val="9"/>
              </w:numPr>
              <w:spacing w:after="200" w:line="276" w:lineRule="auto"/>
              <w:jc w:val="both"/>
              <w:rPr>
                <w:rFonts w:ascii="Arial" w:hAnsi="Arial" w:cs="Arial"/>
                <w:sz w:val="20"/>
                <w:szCs w:val="20"/>
              </w:rPr>
            </w:pPr>
            <w:r w:rsidRPr="0065566F">
              <w:rPr>
                <w:rFonts w:ascii="Arial" w:hAnsi="Arial" w:cs="Arial"/>
                <w:sz w:val="20"/>
                <w:szCs w:val="20"/>
              </w:rPr>
              <w:t xml:space="preserve">Replaced equipment will have to be handled in a technically appropriate manner to ensure that its disposal is (i) final, (ii) undertaken in accordance with all relevant national regulations and (iii) undertaken with the assistance of national licensed or certified waste management service provider. </w:t>
            </w:r>
          </w:p>
          <w:p w14:paraId="710F7C96" w14:textId="77777777" w:rsidR="00360F5E" w:rsidRPr="0065566F" w:rsidRDefault="00360F5E" w:rsidP="0032085B">
            <w:pPr>
              <w:pStyle w:val="ListParagraph"/>
              <w:numPr>
                <w:ilvl w:val="0"/>
                <w:numId w:val="9"/>
              </w:numPr>
              <w:spacing w:after="200" w:line="276" w:lineRule="auto"/>
              <w:jc w:val="both"/>
              <w:rPr>
                <w:rFonts w:ascii="Arial" w:hAnsi="Arial" w:cs="Arial"/>
                <w:sz w:val="20"/>
                <w:szCs w:val="20"/>
              </w:rPr>
            </w:pPr>
            <w:r w:rsidRPr="0065566F">
              <w:rPr>
                <w:rFonts w:ascii="Arial" w:hAnsi="Arial" w:cs="Arial"/>
                <w:sz w:val="20"/>
                <w:szCs w:val="20"/>
              </w:rPr>
              <w:t xml:space="preserve">The Project verification scheme will include verification of compliance with the Project Decommissioning and Disposal Protocol. </w:t>
            </w:r>
          </w:p>
          <w:p w14:paraId="7A2B8618" w14:textId="77777777" w:rsidR="00360F5E" w:rsidRPr="0065566F" w:rsidRDefault="00360F5E" w:rsidP="0032085B">
            <w:pPr>
              <w:pStyle w:val="ListParagraph"/>
              <w:numPr>
                <w:ilvl w:val="0"/>
                <w:numId w:val="9"/>
              </w:numPr>
              <w:spacing w:after="200" w:line="276" w:lineRule="auto"/>
              <w:jc w:val="both"/>
              <w:rPr>
                <w:rFonts w:ascii="Arial" w:hAnsi="Arial" w:cs="Arial"/>
                <w:sz w:val="20"/>
                <w:szCs w:val="20"/>
              </w:rPr>
            </w:pPr>
            <w:r w:rsidRPr="0065566F">
              <w:rPr>
                <w:rFonts w:ascii="Arial" w:hAnsi="Arial" w:cs="Arial"/>
                <w:sz w:val="20"/>
                <w:szCs w:val="20"/>
              </w:rPr>
              <w:t xml:space="preserve">If for any reason a Project beneficiary fails to decommission and dispose any substituted equipment according to the Project Decommissioning and Disposal Protocol, it will be forced to repay the loan immediately and may be subject to regulatory sanctions as established in relevant laws and regulations of the country. </w:t>
            </w:r>
          </w:p>
          <w:p w14:paraId="72C42D71" w14:textId="77777777" w:rsidR="00360F5E" w:rsidRPr="0065566F" w:rsidRDefault="00360F5E" w:rsidP="00360F5E">
            <w:pPr>
              <w:jc w:val="both"/>
              <w:rPr>
                <w:rFonts w:ascii="Arial" w:hAnsi="Arial" w:cs="Arial"/>
                <w:sz w:val="20"/>
                <w:szCs w:val="20"/>
              </w:rPr>
            </w:pPr>
            <w:r w:rsidRPr="0065566F">
              <w:rPr>
                <w:rFonts w:ascii="Arial" w:hAnsi="Arial" w:cs="Arial"/>
                <w:b/>
                <w:sz w:val="20"/>
                <w:szCs w:val="20"/>
                <w:u w:val="single"/>
              </w:rPr>
              <w:t>Co-generation projects</w:t>
            </w:r>
            <w:r w:rsidRPr="0065566F">
              <w:rPr>
                <w:rFonts w:ascii="Arial" w:hAnsi="Arial" w:cs="Arial"/>
                <w:sz w:val="20"/>
                <w:szCs w:val="20"/>
              </w:rPr>
              <w:t>: the identified projects are small scale (2.0</w:t>
            </w:r>
            <w:r w:rsidRPr="0065566F" w:rsidDel="00034003">
              <w:rPr>
                <w:rFonts w:ascii="Arial" w:hAnsi="Arial" w:cs="Arial"/>
                <w:sz w:val="20"/>
                <w:szCs w:val="20"/>
              </w:rPr>
              <w:t xml:space="preserve"> </w:t>
            </w:r>
            <w:r w:rsidRPr="0065566F">
              <w:rPr>
                <w:rFonts w:ascii="Arial" w:hAnsi="Arial" w:cs="Arial"/>
                <w:sz w:val="20"/>
                <w:szCs w:val="20"/>
              </w:rPr>
              <w:t>MW maximum) and from secondary resources</w:t>
            </w:r>
            <w:r w:rsidRPr="0065566F">
              <w:rPr>
                <w:rStyle w:val="FootnoteReference"/>
                <w:rFonts w:ascii="Arial" w:hAnsi="Arial" w:cs="Arial"/>
                <w:sz w:val="20"/>
                <w:szCs w:val="20"/>
              </w:rPr>
              <w:footnoteReference w:id="5"/>
            </w:r>
            <w:r w:rsidRPr="0065566F">
              <w:rPr>
                <w:rFonts w:ascii="Arial" w:hAnsi="Arial" w:cs="Arial"/>
                <w:sz w:val="20"/>
                <w:szCs w:val="20"/>
              </w:rPr>
              <w:t xml:space="preserve"> only, more specifically agricultural waste from an existing operation (</w:t>
            </w:r>
            <w:proofErr w:type="gramStart"/>
            <w:r w:rsidRPr="0065566F">
              <w:rPr>
                <w:rFonts w:ascii="Arial" w:hAnsi="Arial" w:cs="Arial"/>
                <w:sz w:val="20"/>
                <w:szCs w:val="20"/>
              </w:rPr>
              <w:t>in particular bagasse</w:t>
            </w:r>
            <w:proofErr w:type="gramEnd"/>
            <w:r w:rsidRPr="0065566F">
              <w:rPr>
                <w:rFonts w:ascii="Arial" w:hAnsi="Arial" w:cs="Arial"/>
                <w:sz w:val="20"/>
                <w:szCs w:val="20"/>
              </w:rPr>
              <w:t xml:space="preserve"> from sugar production). Eligibility criteria would require projects to only use agricultural waste and to be calibrated to run mainly on the existing operation waste production. None of them would include land acquisition for extension of the biomass production. The feasibility study did confirm that small scale projects could not involve external waste supplying as the transport would make the project economically unviable. </w:t>
            </w:r>
          </w:p>
          <w:p w14:paraId="6B104973"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lastRenderedPageBreak/>
              <w:t xml:space="preserve">Biomass projects in general could have </w:t>
            </w:r>
            <w:proofErr w:type="gramStart"/>
            <w:r w:rsidRPr="0065566F">
              <w:rPr>
                <w:rFonts w:ascii="Arial" w:hAnsi="Arial" w:cs="Arial"/>
                <w:sz w:val="20"/>
                <w:szCs w:val="20"/>
              </w:rPr>
              <w:t>a number of</w:t>
            </w:r>
            <w:proofErr w:type="gramEnd"/>
            <w:r w:rsidRPr="0065566F">
              <w:rPr>
                <w:rFonts w:ascii="Arial" w:hAnsi="Arial" w:cs="Arial"/>
                <w:sz w:val="20"/>
                <w:szCs w:val="20"/>
              </w:rPr>
              <w:t xml:space="preserve"> environmental impacts on air and soil quality, biodiversity, water, land and a number of social impacts on employment, economy and food security. The small-scale projects targeted in this Project have limited potential negative impacts. </w:t>
            </w:r>
          </w:p>
          <w:p w14:paraId="6ADEB54A"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Land and Biodiversity: the projects targeted would have no negative impact on land and biodiversity as only the use of secondary resources is eligible.</w:t>
            </w:r>
          </w:p>
          <w:p w14:paraId="7CDDC31A"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 xml:space="preserve">Water: the projects targeted do not involve additional production of biomass and therefore there would not be any increased use of groundwater. The financed operations would follow the Argentinian regulation, hence avoiding any impact on water quality through discharge of wastewater. Liquid effluents in this type of operation is in any case very limited. </w:t>
            </w:r>
          </w:p>
          <w:p w14:paraId="6292B9F3"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 xml:space="preserve">Air quality: the financed operations will comply with the Argentinian regulation. And the transport of resources should be minimal. </w:t>
            </w:r>
          </w:p>
          <w:p w14:paraId="31F482B5"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 xml:space="preserve">Social impacts: the projects use secondary resources e.g. agricultural waste that had no previous use. There should be no impact on communities for land use, source of income, or food security. The projects could generate employment even if not in major number and the generation of clean energy </w:t>
            </w:r>
            <w:proofErr w:type="gramStart"/>
            <w:r w:rsidRPr="0065566F">
              <w:rPr>
                <w:rFonts w:ascii="Arial" w:hAnsi="Arial" w:cs="Arial"/>
                <w:sz w:val="20"/>
                <w:szCs w:val="20"/>
              </w:rPr>
              <w:t>definitely benefits</w:t>
            </w:r>
            <w:proofErr w:type="gramEnd"/>
            <w:r w:rsidRPr="0065566F">
              <w:rPr>
                <w:rFonts w:ascii="Arial" w:hAnsi="Arial" w:cs="Arial"/>
                <w:sz w:val="20"/>
                <w:szCs w:val="20"/>
              </w:rPr>
              <w:t xml:space="preserve"> the larger populations.        </w:t>
            </w:r>
          </w:p>
          <w:p w14:paraId="0C473505"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 xml:space="preserve">Therefore, the only potential environmental risk could come from the project procedures for acquisition of additional waste, beyond the facility own waste, in those exceptional cases additional supply is necessary. The objective is to make sure that (i) those cases are </w:t>
            </w:r>
            <w:r w:rsidR="009954BC" w:rsidRPr="0065566F">
              <w:rPr>
                <w:rFonts w:ascii="Arial" w:hAnsi="Arial" w:cs="Arial"/>
                <w:sz w:val="20"/>
                <w:szCs w:val="20"/>
              </w:rPr>
              <w:t>exceptional,</w:t>
            </w:r>
            <w:r w:rsidRPr="0065566F">
              <w:rPr>
                <w:rFonts w:ascii="Arial" w:hAnsi="Arial" w:cs="Arial"/>
                <w:sz w:val="20"/>
                <w:szCs w:val="20"/>
              </w:rPr>
              <w:t xml:space="preserve"> and that the co-generation facility is calibrated to run on its own waste, (ii) nothing else than agricultural waste is used. Specific E&amp;S requirements will be imposed for those few projects (see below) </w:t>
            </w:r>
            <w:proofErr w:type="gramStart"/>
            <w:r w:rsidRPr="0065566F">
              <w:rPr>
                <w:rFonts w:ascii="Arial" w:hAnsi="Arial" w:cs="Arial"/>
                <w:sz w:val="20"/>
                <w:szCs w:val="20"/>
              </w:rPr>
              <w:t>in order to</w:t>
            </w:r>
            <w:proofErr w:type="gramEnd"/>
            <w:r w:rsidRPr="0065566F">
              <w:rPr>
                <w:rFonts w:ascii="Arial" w:hAnsi="Arial" w:cs="Arial"/>
                <w:sz w:val="20"/>
                <w:szCs w:val="20"/>
              </w:rPr>
              <w:t xml:space="preserve"> mitigate these risks</w:t>
            </w:r>
            <w:r w:rsidRPr="0065566F">
              <w:rPr>
                <w:rStyle w:val="FootnoteReference"/>
                <w:rFonts w:ascii="Arial" w:hAnsi="Arial" w:cs="Arial"/>
                <w:sz w:val="20"/>
                <w:szCs w:val="20"/>
              </w:rPr>
              <w:footnoteReference w:id="6"/>
            </w:r>
            <w:r w:rsidRPr="0065566F">
              <w:rPr>
                <w:rFonts w:ascii="Arial" w:hAnsi="Arial" w:cs="Arial"/>
                <w:sz w:val="20"/>
                <w:szCs w:val="20"/>
              </w:rPr>
              <w:t>.</w:t>
            </w:r>
          </w:p>
          <w:p w14:paraId="22C9BD6F" w14:textId="77777777" w:rsidR="00360F5E" w:rsidRPr="0065566F" w:rsidRDefault="00360F5E" w:rsidP="00360F5E">
            <w:pPr>
              <w:ind w:right="165"/>
              <w:jc w:val="both"/>
              <w:rPr>
                <w:rFonts w:ascii="Arial" w:hAnsi="Arial" w:cs="Arial"/>
                <w:sz w:val="20"/>
                <w:szCs w:val="20"/>
              </w:rPr>
            </w:pPr>
            <w:r w:rsidRPr="0065566F">
              <w:rPr>
                <w:rFonts w:ascii="Arial" w:hAnsi="Arial" w:cs="Arial"/>
                <w:sz w:val="20"/>
                <w:szCs w:val="20"/>
              </w:rPr>
              <w:t xml:space="preserve">Due to the nature of the investments to be financed under the </w:t>
            </w:r>
            <w:r w:rsidR="005D6A90">
              <w:rPr>
                <w:rFonts w:ascii="Arial" w:hAnsi="Arial" w:cs="Arial"/>
                <w:sz w:val="20"/>
                <w:szCs w:val="20"/>
              </w:rPr>
              <w:t>Program</w:t>
            </w:r>
            <w:r w:rsidRPr="0065566F">
              <w:rPr>
                <w:rFonts w:ascii="Arial" w:hAnsi="Arial" w:cs="Arial"/>
                <w:sz w:val="20"/>
                <w:szCs w:val="20"/>
              </w:rPr>
              <w:t xml:space="preserve"> (see above) and its main beneficiaries, particularly existing small- and medium-sized enterprises, negative environmental and social impacts from the facilities other than those described above are not foreseen. All sub-projects eligible to the </w:t>
            </w:r>
            <w:r w:rsidR="005D6A90">
              <w:rPr>
                <w:rFonts w:ascii="Arial" w:hAnsi="Arial" w:cs="Arial"/>
                <w:sz w:val="20"/>
                <w:szCs w:val="20"/>
              </w:rPr>
              <w:t>Program</w:t>
            </w:r>
            <w:r w:rsidRPr="0065566F">
              <w:rPr>
                <w:rFonts w:ascii="Arial" w:hAnsi="Arial" w:cs="Arial"/>
                <w:sz w:val="20"/>
                <w:szCs w:val="20"/>
              </w:rPr>
              <w:t xml:space="preserve"> are classified as C, the </w:t>
            </w:r>
            <w:r w:rsidR="005D6A90">
              <w:rPr>
                <w:rFonts w:ascii="Arial" w:hAnsi="Arial" w:cs="Arial"/>
                <w:sz w:val="20"/>
                <w:szCs w:val="20"/>
              </w:rPr>
              <w:t>Program</w:t>
            </w:r>
            <w:r w:rsidRPr="0065566F">
              <w:rPr>
                <w:rFonts w:ascii="Arial" w:hAnsi="Arial" w:cs="Arial"/>
                <w:sz w:val="20"/>
                <w:szCs w:val="20"/>
              </w:rPr>
              <w:t xml:space="preserve"> will involve the development of a specific classification tool for cogeneration projects </w:t>
            </w:r>
            <w:proofErr w:type="gramStart"/>
            <w:r w:rsidRPr="0065566F">
              <w:rPr>
                <w:rFonts w:ascii="Arial" w:hAnsi="Arial" w:cs="Arial"/>
                <w:sz w:val="20"/>
                <w:szCs w:val="20"/>
              </w:rPr>
              <w:t>in order to</w:t>
            </w:r>
            <w:proofErr w:type="gramEnd"/>
            <w:r w:rsidRPr="0065566F">
              <w:rPr>
                <w:rFonts w:ascii="Arial" w:hAnsi="Arial" w:cs="Arial"/>
                <w:sz w:val="20"/>
                <w:szCs w:val="20"/>
              </w:rPr>
              <w:t xml:space="preserve"> make sure only C projects are financed (see below Mitigation Measures).</w:t>
            </w:r>
          </w:p>
          <w:p w14:paraId="30752324" w14:textId="77777777" w:rsidR="00360F5E" w:rsidRPr="0065566F" w:rsidRDefault="00360F5E" w:rsidP="00360F5E">
            <w:pPr>
              <w:ind w:right="165"/>
              <w:jc w:val="both"/>
              <w:rPr>
                <w:rFonts w:ascii="Arial" w:eastAsia="Times New Roman" w:hAnsi="Arial" w:cs="Arial"/>
                <w:sz w:val="20"/>
                <w:szCs w:val="20"/>
                <w:shd w:val="clear" w:color="auto" w:fill="FFFFFF"/>
              </w:rPr>
            </w:pPr>
          </w:p>
        </w:tc>
      </w:tr>
      <w:tr w:rsidR="00360F5E" w:rsidRPr="0065566F" w14:paraId="4934D506"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92791CD" w14:textId="77777777" w:rsidR="00360F5E" w:rsidRPr="0065566F" w:rsidRDefault="00360F5E" w:rsidP="00360F5E">
            <w:pPr>
              <w:ind w:right="165"/>
              <w:jc w:val="both"/>
              <w:rPr>
                <w:rFonts w:ascii="Arial" w:eastAsia="Times New Roman" w:hAnsi="Arial" w:cs="Arial"/>
                <w:b/>
                <w:sz w:val="20"/>
                <w:szCs w:val="20"/>
                <w:shd w:val="clear" w:color="auto" w:fill="FFFFFF"/>
              </w:rPr>
            </w:pPr>
            <w:r w:rsidRPr="0065566F">
              <w:rPr>
                <w:rFonts w:ascii="Arial" w:eastAsia="Times New Roman" w:hAnsi="Arial" w:cs="Arial"/>
                <w:b/>
                <w:sz w:val="20"/>
                <w:szCs w:val="20"/>
              </w:rPr>
              <w:lastRenderedPageBreak/>
              <w:t>Noninvestment Lending and Flexible Lending Instruments</w:t>
            </w:r>
            <w:r w:rsidRPr="0065566F">
              <w:rPr>
                <w:rFonts w:ascii="Arial" w:eastAsia="Times New Roman" w:hAnsi="Arial" w:cs="Arial"/>
                <w:b/>
                <w:sz w:val="20"/>
                <w:szCs w:val="20"/>
                <w:shd w:val="clear" w:color="auto" w:fill="FFFFFF"/>
              </w:rPr>
              <w:t xml:space="preserve"> </w:t>
            </w:r>
          </w:p>
          <w:p w14:paraId="0E114FF3"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OP-703 (Environment and Safeguards Compliance Policy): B.13 (Noninvestment Lending and Flexible Lending Instruments)</w:t>
            </w:r>
          </w:p>
        </w:tc>
      </w:tr>
      <w:tr w:rsidR="00360F5E" w:rsidRPr="0065566F" w14:paraId="3BACFC1F"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ADD266B" w14:textId="77777777" w:rsidR="00823799" w:rsidRPr="0065566F" w:rsidRDefault="00823799" w:rsidP="00360F5E">
            <w:pPr>
              <w:ind w:right="165"/>
              <w:jc w:val="both"/>
              <w:rPr>
                <w:rFonts w:ascii="Arial" w:eastAsia="Times New Roman" w:hAnsi="Arial" w:cs="Arial"/>
                <w:sz w:val="20"/>
                <w:szCs w:val="20"/>
                <w:shd w:val="clear" w:color="auto" w:fill="FFFFFF"/>
              </w:rPr>
            </w:pPr>
          </w:p>
          <w:p w14:paraId="6117852D" w14:textId="77777777" w:rsidR="00823799" w:rsidRPr="0065566F" w:rsidRDefault="00823799"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Following the Bank's guidelines and </w:t>
            </w:r>
            <w:proofErr w:type="gramStart"/>
            <w:r w:rsidRPr="0065566F">
              <w:rPr>
                <w:rFonts w:ascii="Arial" w:eastAsia="Times New Roman" w:hAnsi="Arial" w:cs="Arial"/>
                <w:sz w:val="20"/>
                <w:szCs w:val="20"/>
                <w:shd w:val="clear" w:color="auto" w:fill="FFFFFF"/>
              </w:rPr>
              <w:t>taking into account</w:t>
            </w:r>
            <w:proofErr w:type="gramEnd"/>
            <w:r w:rsidRPr="0065566F">
              <w:rPr>
                <w:rFonts w:ascii="Arial" w:eastAsia="Times New Roman" w:hAnsi="Arial" w:cs="Arial"/>
                <w:sz w:val="20"/>
                <w:szCs w:val="20"/>
                <w:shd w:val="clear" w:color="auto" w:fill="FFFFFF"/>
              </w:rPr>
              <w:t xml:space="preserve"> the characteristics of the Program, the project team identified the potential negative impacts of the eligible sub-projects and their main mitigation measures and evaluated the capacity that AFD would have to manage these risks in compliance with the IDB safeguards. </w:t>
            </w:r>
          </w:p>
          <w:p w14:paraId="5E5CF2ED" w14:textId="77777777" w:rsidR="00823799" w:rsidRPr="0065566F" w:rsidRDefault="00823799" w:rsidP="00360F5E">
            <w:pPr>
              <w:ind w:right="165"/>
              <w:jc w:val="both"/>
              <w:rPr>
                <w:rFonts w:ascii="Arial" w:eastAsia="Times New Roman" w:hAnsi="Arial" w:cs="Arial"/>
                <w:sz w:val="20"/>
                <w:szCs w:val="20"/>
                <w:shd w:val="clear" w:color="auto" w:fill="FFFFFF"/>
              </w:rPr>
            </w:pPr>
          </w:p>
          <w:p w14:paraId="2EE0574C"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Only sub-projects of category C will be eligible to financing with resources from this Program.</w:t>
            </w:r>
          </w:p>
          <w:p w14:paraId="6F81D958" w14:textId="77777777" w:rsidR="00360F5E" w:rsidRPr="0065566F" w:rsidRDefault="00360F5E" w:rsidP="00360F5E">
            <w:pPr>
              <w:jc w:val="both"/>
              <w:rPr>
                <w:rFonts w:ascii="Arial" w:hAnsi="Arial" w:cs="Arial"/>
                <w:sz w:val="20"/>
                <w:szCs w:val="20"/>
              </w:rPr>
            </w:pPr>
          </w:p>
          <w:p w14:paraId="637C03E5" w14:textId="77777777" w:rsidR="00360F5E" w:rsidRPr="0065566F" w:rsidRDefault="00360F5E" w:rsidP="00360F5E">
            <w:pPr>
              <w:jc w:val="both"/>
              <w:rPr>
                <w:rFonts w:ascii="Arial" w:hAnsi="Arial" w:cs="Arial"/>
                <w:sz w:val="20"/>
                <w:szCs w:val="20"/>
              </w:rPr>
            </w:pPr>
            <w:bookmarkStart w:id="2" w:name="_Hlk504374800"/>
            <w:r w:rsidRPr="0065566F">
              <w:rPr>
                <w:rFonts w:ascii="Arial" w:hAnsi="Arial" w:cs="Arial"/>
                <w:sz w:val="20"/>
                <w:szCs w:val="20"/>
              </w:rPr>
              <w:t xml:space="preserve">The IDB has been successfully working in the past with the AFD and has been accompanying them in the building of their capacity in the management of environmental and social risks. </w:t>
            </w:r>
          </w:p>
          <w:p w14:paraId="27AE5D02"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AFD has formally appointed an E&amp;S specialist.</w:t>
            </w:r>
          </w:p>
          <w:p w14:paraId="6732D005"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AFD manages environmental and social risks on all its portfolio via the development of a specific Environmental and Social Management Systems (ESMS) for each of their banking products (</w:t>
            </w:r>
            <w:hyperlink r:id="rId13" w:history="1">
              <w:r w:rsidRPr="0065566F">
                <w:rPr>
                  <w:rStyle w:val="Hyperlink"/>
                  <w:rFonts w:ascii="Arial" w:hAnsi="Arial" w:cs="Arial"/>
                  <w:sz w:val="20"/>
                  <w:szCs w:val="20"/>
                </w:rPr>
                <w:t>https://www.afd.gov.py/productos</w:t>
              </w:r>
            </w:hyperlink>
            <w:r w:rsidRPr="0065566F">
              <w:rPr>
                <w:rFonts w:ascii="Arial" w:hAnsi="Arial" w:cs="Arial"/>
                <w:sz w:val="20"/>
                <w:szCs w:val="20"/>
              </w:rPr>
              <w:t>). The ESMS is integrated in the</w:t>
            </w:r>
            <w:r w:rsidR="00AC2D5D">
              <w:rPr>
                <w:rFonts w:ascii="Arial" w:hAnsi="Arial" w:cs="Arial"/>
                <w:sz w:val="20"/>
                <w:szCs w:val="20"/>
              </w:rPr>
              <w:t xml:space="preserve"> Program Operating regulations and further in the AFD</w:t>
            </w:r>
            <w:r w:rsidRPr="0065566F">
              <w:rPr>
                <w:rFonts w:ascii="Arial" w:hAnsi="Arial" w:cs="Arial"/>
                <w:sz w:val="20"/>
                <w:szCs w:val="20"/>
              </w:rPr>
              <w:t xml:space="preserve"> product own Operating Manual. For this </w:t>
            </w:r>
            <w:r w:rsidR="005D6A90">
              <w:rPr>
                <w:rFonts w:ascii="Arial" w:hAnsi="Arial" w:cs="Arial"/>
                <w:sz w:val="20"/>
                <w:szCs w:val="20"/>
              </w:rPr>
              <w:t>Program</w:t>
            </w:r>
            <w:r w:rsidRPr="0065566F">
              <w:rPr>
                <w:rFonts w:ascii="Arial" w:hAnsi="Arial" w:cs="Arial"/>
                <w:sz w:val="20"/>
                <w:szCs w:val="20"/>
              </w:rPr>
              <w:t xml:space="preserve">, the requirements listed in this document will be integrated into the </w:t>
            </w:r>
            <w:r w:rsidR="005D6A90">
              <w:rPr>
                <w:rFonts w:ascii="Arial" w:hAnsi="Arial" w:cs="Arial"/>
                <w:sz w:val="20"/>
                <w:szCs w:val="20"/>
              </w:rPr>
              <w:t>Program</w:t>
            </w:r>
            <w:r w:rsidRPr="0065566F">
              <w:rPr>
                <w:rFonts w:ascii="Arial" w:hAnsi="Arial" w:cs="Arial"/>
                <w:sz w:val="20"/>
                <w:szCs w:val="20"/>
              </w:rPr>
              <w:t xml:space="preserve"> Operating Manual. </w:t>
            </w:r>
          </w:p>
          <w:p w14:paraId="236335CC" w14:textId="77777777" w:rsidR="00823799" w:rsidRPr="0065566F" w:rsidRDefault="00823799" w:rsidP="00360F5E">
            <w:pPr>
              <w:jc w:val="both"/>
              <w:rPr>
                <w:rFonts w:ascii="Arial" w:hAnsi="Arial" w:cs="Arial"/>
                <w:sz w:val="20"/>
                <w:szCs w:val="20"/>
              </w:rPr>
            </w:pPr>
          </w:p>
          <w:p w14:paraId="30138EC1"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The E&amp;S due diligence concluded that AFD has the capacity to apply th</w:t>
            </w:r>
            <w:r w:rsidR="00823799" w:rsidRPr="0065566F">
              <w:rPr>
                <w:rFonts w:ascii="Arial" w:hAnsi="Arial" w:cs="Arial"/>
                <w:sz w:val="20"/>
                <w:szCs w:val="20"/>
              </w:rPr>
              <w:t>e requirements included in this document as an Environmental and Social Management System (</w:t>
            </w:r>
            <w:r w:rsidRPr="0065566F">
              <w:rPr>
                <w:rFonts w:ascii="Arial" w:hAnsi="Arial" w:cs="Arial"/>
                <w:sz w:val="20"/>
                <w:szCs w:val="20"/>
              </w:rPr>
              <w:t>ESM</w:t>
            </w:r>
            <w:r w:rsidR="005D6A90">
              <w:rPr>
                <w:rFonts w:ascii="Arial" w:hAnsi="Arial" w:cs="Arial"/>
                <w:sz w:val="20"/>
                <w:szCs w:val="20"/>
              </w:rPr>
              <w:t>R</w:t>
            </w:r>
            <w:r w:rsidR="00823799" w:rsidRPr="0065566F">
              <w:rPr>
                <w:rFonts w:ascii="Arial" w:hAnsi="Arial" w:cs="Arial"/>
                <w:sz w:val="20"/>
                <w:szCs w:val="20"/>
              </w:rPr>
              <w:t>)</w:t>
            </w:r>
            <w:r w:rsidRPr="0065566F">
              <w:rPr>
                <w:rFonts w:ascii="Arial" w:hAnsi="Arial" w:cs="Arial"/>
                <w:sz w:val="20"/>
                <w:szCs w:val="20"/>
              </w:rPr>
              <w:t xml:space="preserve"> and manage a portfolio with the E&amp;S risks magnitude assessed for this Pro</w:t>
            </w:r>
            <w:r w:rsidR="005D6A90">
              <w:rPr>
                <w:rFonts w:ascii="Arial" w:hAnsi="Arial" w:cs="Arial"/>
                <w:sz w:val="20"/>
                <w:szCs w:val="20"/>
              </w:rPr>
              <w:t>gram</w:t>
            </w:r>
            <w:r w:rsidRPr="0065566F">
              <w:rPr>
                <w:rFonts w:ascii="Arial" w:hAnsi="Arial" w:cs="Arial"/>
                <w:sz w:val="20"/>
                <w:szCs w:val="20"/>
              </w:rPr>
              <w:t>.</w:t>
            </w:r>
          </w:p>
          <w:p w14:paraId="79584C10" w14:textId="77777777" w:rsidR="005D6A90" w:rsidRDefault="005D6A90" w:rsidP="00360F5E">
            <w:pPr>
              <w:ind w:right="165"/>
              <w:jc w:val="both"/>
              <w:rPr>
                <w:rFonts w:ascii="Arial" w:eastAsia="Times New Roman" w:hAnsi="Arial" w:cs="Arial"/>
                <w:sz w:val="20"/>
                <w:szCs w:val="20"/>
                <w:shd w:val="clear" w:color="auto" w:fill="FFFFFF"/>
              </w:rPr>
            </w:pPr>
          </w:p>
          <w:p w14:paraId="4B6B0CBB" w14:textId="7EF8C9A7" w:rsidR="00360F5E" w:rsidRPr="0065566F" w:rsidRDefault="005D6A90" w:rsidP="00360F5E">
            <w:pPr>
              <w:ind w:right="165"/>
              <w:jc w:val="both"/>
              <w:rPr>
                <w:rFonts w:ascii="Arial" w:eastAsia="Times New Roman" w:hAnsi="Arial" w:cs="Arial"/>
                <w:sz w:val="20"/>
                <w:szCs w:val="20"/>
                <w:shd w:val="clear" w:color="auto" w:fill="FFFFFF"/>
              </w:rPr>
            </w:pPr>
            <w:r>
              <w:rPr>
                <w:rFonts w:ascii="Arial" w:eastAsia="Times New Roman" w:hAnsi="Arial" w:cs="Arial"/>
                <w:sz w:val="20"/>
                <w:szCs w:val="20"/>
                <w:shd w:val="clear" w:color="auto" w:fill="FFFFFF"/>
              </w:rPr>
              <w:t>Furthermore, the loan operation will be supported by technical cooperation (</w:t>
            </w:r>
            <w:r w:rsidRPr="005D6A90">
              <w:rPr>
                <w:rFonts w:ascii="Arial" w:eastAsia="Times New Roman" w:hAnsi="Arial" w:cs="Arial"/>
                <w:sz w:val="20"/>
                <w:szCs w:val="20"/>
                <w:shd w:val="clear" w:color="auto" w:fill="FFFFFF"/>
              </w:rPr>
              <w:t>PR-T1249)</w:t>
            </w:r>
            <w:r>
              <w:rPr>
                <w:rFonts w:ascii="Arial" w:eastAsia="Times New Roman" w:hAnsi="Arial" w:cs="Arial"/>
                <w:sz w:val="20"/>
                <w:szCs w:val="20"/>
                <w:shd w:val="clear" w:color="auto" w:fill="FFFFFF"/>
              </w:rPr>
              <w:t xml:space="preserve"> providing for institutional capacity support to AFD, including to monitor and supervise ESMS.  Under the context of the TC </w:t>
            </w:r>
            <w:r w:rsidR="00360F5E" w:rsidRPr="0065566F">
              <w:rPr>
                <w:rFonts w:ascii="Arial" w:hAnsi="Arial" w:cs="Arial"/>
                <w:sz w:val="20"/>
                <w:szCs w:val="20"/>
              </w:rPr>
              <w:t>training</w:t>
            </w:r>
            <w:r>
              <w:rPr>
                <w:rFonts w:ascii="Arial" w:hAnsi="Arial" w:cs="Arial"/>
                <w:sz w:val="20"/>
                <w:szCs w:val="20"/>
              </w:rPr>
              <w:t>s</w:t>
            </w:r>
            <w:r w:rsidR="00360F5E" w:rsidRPr="0065566F">
              <w:rPr>
                <w:rFonts w:ascii="Arial" w:hAnsi="Arial" w:cs="Arial"/>
                <w:sz w:val="20"/>
                <w:szCs w:val="20"/>
              </w:rPr>
              <w:t xml:space="preserve"> on the </w:t>
            </w:r>
            <w:r>
              <w:rPr>
                <w:rFonts w:ascii="Arial" w:hAnsi="Arial" w:cs="Arial"/>
                <w:sz w:val="20"/>
                <w:szCs w:val="20"/>
              </w:rPr>
              <w:t>Program</w:t>
            </w:r>
            <w:r w:rsidR="00360F5E" w:rsidRPr="0065566F">
              <w:rPr>
                <w:rFonts w:ascii="Arial" w:hAnsi="Arial" w:cs="Arial"/>
                <w:sz w:val="20"/>
                <w:szCs w:val="20"/>
              </w:rPr>
              <w:t xml:space="preserve"> will be providing to the participating FIs and will include a presentation of this ESM</w:t>
            </w:r>
            <w:r>
              <w:rPr>
                <w:rFonts w:ascii="Arial" w:hAnsi="Arial" w:cs="Arial"/>
                <w:sz w:val="20"/>
                <w:szCs w:val="20"/>
              </w:rPr>
              <w:t>R</w:t>
            </w:r>
            <w:r w:rsidR="00360F5E" w:rsidRPr="0065566F">
              <w:rPr>
                <w:rFonts w:ascii="Arial" w:hAnsi="Arial" w:cs="Arial"/>
                <w:sz w:val="20"/>
                <w:szCs w:val="20"/>
              </w:rPr>
              <w:t>.</w:t>
            </w:r>
          </w:p>
          <w:bookmarkEnd w:id="2"/>
          <w:p w14:paraId="64D432C8" w14:textId="77777777" w:rsidR="00360F5E" w:rsidRPr="0065566F" w:rsidRDefault="00360F5E" w:rsidP="00360F5E">
            <w:pPr>
              <w:ind w:right="165"/>
              <w:jc w:val="both"/>
              <w:rPr>
                <w:rFonts w:ascii="Arial" w:eastAsia="Times New Roman" w:hAnsi="Arial" w:cs="Arial"/>
                <w:sz w:val="20"/>
                <w:szCs w:val="20"/>
                <w:shd w:val="clear" w:color="auto" w:fill="FFFFFF"/>
              </w:rPr>
            </w:pPr>
          </w:p>
        </w:tc>
      </w:tr>
      <w:tr w:rsidR="00360F5E" w:rsidRPr="0065566F" w14:paraId="2600D112"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76510674" w14:textId="77777777" w:rsidR="00360F5E" w:rsidRPr="0065566F" w:rsidRDefault="00360F5E" w:rsidP="00360F5E">
            <w:pPr>
              <w:ind w:right="165"/>
              <w:jc w:val="both"/>
              <w:rPr>
                <w:rFonts w:ascii="Arial" w:eastAsia="Times New Roman" w:hAnsi="Arial" w:cs="Arial"/>
                <w:b/>
                <w:sz w:val="20"/>
                <w:szCs w:val="20"/>
                <w:shd w:val="clear" w:color="auto" w:fill="FFFFFF"/>
              </w:rPr>
            </w:pPr>
            <w:r w:rsidRPr="0065566F">
              <w:rPr>
                <w:rFonts w:ascii="Arial" w:eastAsia="Times New Roman" w:hAnsi="Arial" w:cs="Arial"/>
                <w:b/>
                <w:sz w:val="20"/>
                <w:szCs w:val="20"/>
              </w:rPr>
              <w:lastRenderedPageBreak/>
              <w:t>Livelihoods and Resettlement</w:t>
            </w:r>
          </w:p>
          <w:p w14:paraId="1D717E23"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OP-710 (Involuntary Resettlement Policy)</w:t>
            </w:r>
          </w:p>
        </w:tc>
      </w:tr>
      <w:tr w:rsidR="00360F5E" w:rsidRPr="0065566F" w14:paraId="1941AC0D"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861568A" w14:textId="77777777" w:rsidR="00360F5E" w:rsidRPr="0065566F" w:rsidRDefault="00360F5E" w:rsidP="0032085B">
            <w:pPr>
              <w:pStyle w:val="ListParagraph"/>
              <w:numPr>
                <w:ilvl w:val="0"/>
                <w:numId w:val="2"/>
              </w:num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not triggered </w:t>
            </w:r>
          </w:p>
        </w:tc>
      </w:tr>
      <w:tr w:rsidR="00360F5E" w:rsidRPr="0065566F" w14:paraId="1A373B4F"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7721FE1" w14:textId="77777777" w:rsidR="00360F5E" w:rsidRPr="0065566F" w:rsidRDefault="00360F5E" w:rsidP="00360F5E">
            <w:pPr>
              <w:ind w:right="165"/>
              <w:jc w:val="both"/>
              <w:rPr>
                <w:rFonts w:ascii="Arial" w:eastAsia="Times New Roman" w:hAnsi="Arial" w:cs="Arial"/>
                <w:b/>
                <w:sz w:val="20"/>
                <w:szCs w:val="20"/>
                <w:shd w:val="clear" w:color="auto" w:fill="FFFFFF"/>
              </w:rPr>
            </w:pPr>
            <w:r w:rsidRPr="0065566F">
              <w:rPr>
                <w:rFonts w:ascii="Arial" w:eastAsia="Times New Roman" w:hAnsi="Arial" w:cs="Arial"/>
                <w:b/>
                <w:sz w:val="20"/>
                <w:szCs w:val="20"/>
              </w:rPr>
              <w:t>Indigenous Peoples</w:t>
            </w:r>
            <w:r w:rsidRPr="0065566F">
              <w:rPr>
                <w:rFonts w:ascii="Arial" w:eastAsia="Times New Roman" w:hAnsi="Arial" w:cs="Arial"/>
                <w:b/>
                <w:sz w:val="20"/>
                <w:szCs w:val="20"/>
                <w:shd w:val="clear" w:color="auto" w:fill="FFFFFF"/>
              </w:rPr>
              <w:t xml:space="preserve"> </w:t>
            </w:r>
          </w:p>
          <w:p w14:paraId="403DB435"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OP-765 (Indigenous Peoples Policy)</w:t>
            </w:r>
          </w:p>
        </w:tc>
      </w:tr>
      <w:tr w:rsidR="00360F5E" w:rsidRPr="0065566F" w14:paraId="7AAAAAE4"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3EB084F" w14:textId="77777777" w:rsidR="00360F5E" w:rsidRPr="0065566F" w:rsidRDefault="00360F5E" w:rsidP="0032085B">
            <w:pPr>
              <w:pStyle w:val="ListParagraph"/>
              <w:numPr>
                <w:ilvl w:val="0"/>
                <w:numId w:val="3"/>
              </w:num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not triggered</w:t>
            </w:r>
          </w:p>
        </w:tc>
      </w:tr>
      <w:tr w:rsidR="00360F5E" w:rsidRPr="0065566F" w14:paraId="5C77A7D8"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06AF820" w14:textId="77777777" w:rsidR="00360F5E" w:rsidRPr="0065566F" w:rsidRDefault="00360F5E" w:rsidP="00360F5E">
            <w:pPr>
              <w:ind w:right="165"/>
              <w:jc w:val="both"/>
              <w:rPr>
                <w:rFonts w:ascii="Arial" w:eastAsia="Times New Roman" w:hAnsi="Arial" w:cs="Arial"/>
                <w:b/>
                <w:sz w:val="20"/>
                <w:szCs w:val="20"/>
                <w:shd w:val="clear" w:color="auto" w:fill="FFFFFF"/>
              </w:rPr>
            </w:pPr>
            <w:r w:rsidRPr="0065566F">
              <w:rPr>
                <w:rFonts w:ascii="Arial" w:eastAsia="Times New Roman" w:hAnsi="Arial" w:cs="Arial"/>
                <w:b/>
                <w:sz w:val="20"/>
                <w:szCs w:val="20"/>
              </w:rPr>
              <w:t>Gender Equality</w:t>
            </w:r>
            <w:r w:rsidRPr="0065566F">
              <w:rPr>
                <w:rFonts w:ascii="Arial" w:eastAsia="Times New Roman" w:hAnsi="Arial" w:cs="Arial"/>
                <w:b/>
                <w:sz w:val="20"/>
                <w:szCs w:val="20"/>
                <w:shd w:val="clear" w:color="auto" w:fill="FFFFFF"/>
              </w:rPr>
              <w:t xml:space="preserve"> </w:t>
            </w:r>
          </w:p>
          <w:p w14:paraId="22BD8A84"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OP-761 (Gender Equality in Development Policy)</w:t>
            </w:r>
          </w:p>
        </w:tc>
      </w:tr>
      <w:tr w:rsidR="00360F5E" w:rsidRPr="0065566F" w14:paraId="3C00193B"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56EF028" w14:textId="77777777" w:rsidR="00360F5E" w:rsidRPr="0065566F" w:rsidRDefault="00823799" w:rsidP="0032085B">
            <w:pPr>
              <w:pStyle w:val="ListParagraph"/>
              <w:numPr>
                <w:ilvl w:val="0"/>
                <w:numId w:val="4"/>
              </w:num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 xml:space="preserve">In compliance with the preventive action part of Policy OP-761, the project team concluded that policy OP-761 is not activated since no </w:t>
            </w:r>
            <w:r w:rsidR="00836447" w:rsidRPr="0065566F">
              <w:rPr>
                <w:rFonts w:ascii="Arial" w:eastAsia="Times New Roman" w:hAnsi="Arial" w:cs="Arial"/>
                <w:sz w:val="20"/>
                <w:szCs w:val="20"/>
                <w:shd w:val="clear" w:color="auto" w:fill="FFFFFF"/>
              </w:rPr>
              <w:t>gender based adverse impacts were identified</w:t>
            </w:r>
          </w:p>
        </w:tc>
      </w:tr>
      <w:tr w:rsidR="00360F5E" w:rsidRPr="0065566F" w14:paraId="49171B3A"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6AD4B915" w14:textId="77777777" w:rsidR="00360F5E" w:rsidRPr="0065566F" w:rsidRDefault="00360F5E" w:rsidP="00360F5E">
            <w:pPr>
              <w:ind w:right="165"/>
              <w:jc w:val="both"/>
              <w:rPr>
                <w:rFonts w:ascii="Arial" w:eastAsia="Times New Roman" w:hAnsi="Arial" w:cs="Arial"/>
                <w:b/>
                <w:sz w:val="20"/>
                <w:szCs w:val="20"/>
              </w:rPr>
            </w:pPr>
            <w:r w:rsidRPr="0065566F">
              <w:rPr>
                <w:rFonts w:ascii="Arial" w:eastAsia="Times New Roman" w:hAnsi="Arial" w:cs="Arial"/>
                <w:b/>
                <w:sz w:val="20"/>
                <w:szCs w:val="20"/>
              </w:rPr>
              <w:t xml:space="preserve">Disaster Risk Management </w:t>
            </w:r>
          </w:p>
          <w:p w14:paraId="7DCD53DC"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OP-704 (Disaster Risk Management Policy)</w:t>
            </w:r>
          </w:p>
        </w:tc>
      </w:tr>
      <w:tr w:rsidR="00360F5E" w:rsidRPr="0065566F" w14:paraId="3D8BFA8E"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67C6719" w14:textId="77777777" w:rsidR="00360F5E" w:rsidRPr="0065566F" w:rsidRDefault="00646525" w:rsidP="0032085B">
            <w:pPr>
              <w:pStyle w:val="ListParagraph"/>
              <w:numPr>
                <w:ilvl w:val="0"/>
                <w:numId w:val="4"/>
              </w:num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shd w:val="clear" w:color="auto" w:fill="FFFFFF"/>
              </w:rPr>
              <w:t>not triggered</w:t>
            </w:r>
          </w:p>
        </w:tc>
      </w:tr>
      <w:tr w:rsidR="00360F5E" w:rsidRPr="0065566F" w:rsidDel="00A11ACD" w14:paraId="36FAE461" w14:textId="77777777" w:rsidTr="00B505FD">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3E17F693" w14:textId="77777777" w:rsidR="00360F5E" w:rsidRPr="0065566F" w:rsidRDefault="00360F5E" w:rsidP="00360F5E">
            <w:pPr>
              <w:ind w:right="165"/>
              <w:jc w:val="both"/>
              <w:rPr>
                <w:rFonts w:ascii="Arial" w:eastAsia="Times New Roman" w:hAnsi="Arial" w:cs="Arial"/>
                <w:b/>
                <w:sz w:val="20"/>
                <w:szCs w:val="20"/>
                <w:shd w:val="clear" w:color="auto" w:fill="FFFFFF"/>
              </w:rPr>
            </w:pPr>
            <w:r w:rsidRPr="0065566F">
              <w:rPr>
                <w:rFonts w:ascii="Arial" w:eastAsia="Times New Roman" w:hAnsi="Arial" w:cs="Arial"/>
                <w:b/>
                <w:sz w:val="20"/>
                <w:szCs w:val="20"/>
              </w:rPr>
              <w:t>Supervision</w:t>
            </w:r>
          </w:p>
          <w:p w14:paraId="385B28D7"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OP-703 (Environment and Safeguards Compliance Policy): B.5 (Environmental Assessment and Plans Requirements) and B.7 (Supervision and Compliance)</w:t>
            </w:r>
          </w:p>
          <w:p w14:paraId="1C3A85DE"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OP-710 (Involuntary Resettlement Policy)</w:t>
            </w:r>
          </w:p>
          <w:p w14:paraId="0C2E4D40"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OP-765 (Indigenous Peoples Policy)</w:t>
            </w:r>
          </w:p>
          <w:p w14:paraId="67563B2F" w14:textId="77777777" w:rsidR="00360F5E" w:rsidRPr="0065566F" w:rsidRDefault="00360F5E" w:rsidP="00360F5E">
            <w:pPr>
              <w:ind w:right="165"/>
              <w:jc w:val="both"/>
              <w:rPr>
                <w:rFonts w:ascii="Arial" w:eastAsia="Times New Roman" w:hAnsi="Arial" w:cs="Arial"/>
                <w:sz w:val="20"/>
                <w:szCs w:val="20"/>
              </w:rPr>
            </w:pPr>
            <w:r w:rsidRPr="0065566F">
              <w:rPr>
                <w:rFonts w:ascii="Arial" w:eastAsia="Times New Roman" w:hAnsi="Arial" w:cs="Arial"/>
                <w:sz w:val="20"/>
                <w:szCs w:val="20"/>
              </w:rPr>
              <w:t>OP-704 (Disaster Risk Management Policy)</w:t>
            </w:r>
          </w:p>
          <w:p w14:paraId="722956FC" w14:textId="77777777" w:rsidR="00360F5E" w:rsidRPr="0065566F" w:rsidRDefault="00360F5E" w:rsidP="00360F5E">
            <w:pPr>
              <w:ind w:right="165"/>
              <w:jc w:val="both"/>
              <w:rPr>
                <w:rFonts w:ascii="Arial" w:eastAsia="Times New Roman" w:hAnsi="Arial" w:cs="Arial"/>
                <w:sz w:val="20"/>
                <w:szCs w:val="20"/>
                <w:shd w:val="clear" w:color="auto" w:fill="FFFFFF"/>
              </w:rPr>
            </w:pPr>
            <w:r w:rsidRPr="0065566F">
              <w:rPr>
                <w:rFonts w:ascii="Arial" w:eastAsia="Times New Roman" w:hAnsi="Arial" w:cs="Arial"/>
                <w:sz w:val="20"/>
                <w:szCs w:val="20"/>
              </w:rPr>
              <w:t>OP-761 (Gender Equality in Development Policy)</w:t>
            </w:r>
          </w:p>
        </w:tc>
      </w:tr>
      <w:tr w:rsidR="00360F5E" w:rsidRPr="0065566F" w:rsidDel="00A11ACD" w14:paraId="35223A6E"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2182731" w14:textId="77777777" w:rsidR="00C004B3" w:rsidRPr="0065566F" w:rsidRDefault="00C004B3" w:rsidP="00C004B3">
            <w:pPr>
              <w:spacing w:after="200" w:line="276" w:lineRule="auto"/>
              <w:jc w:val="both"/>
              <w:rPr>
                <w:rFonts w:ascii="Arial" w:hAnsi="Arial" w:cs="Arial"/>
                <w:sz w:val="20"/>
                <w:szCs w:val="20"/>
              </w:rPr>
            </w:pPr>
            <w:r w:rsidRPr="0065566F">
              <w:rPr>
                <w:rFonts w:ascii="Arial" w:hAnsi="Arial" w:cs="Arial"/>
                <w:sz w:val="20"/>
                <w:szCs w:val="20"/>
              </w:rPr>
              <w:t xml:space="preserve">The AFD will present an Annual Environmental and Social Compliance Report (ESCR) with information on the guaranteed portfolio and any </w:t>
            </w:r>
            <w:proofErr w:type="gramStart"/>
            <w:r w:rsidRPr="0065566F">
              <w:rPr>
                <w:rFonts w:ascii="Arial" w:hAnsi="Arial" w:cs="Arial"/>
                <w:sz w:val="20"/>
                <w:szCs w:val="20"/>
              </w:rPr>
              <w:t>particular risk</w:t>
            </w:r>
            <w:proofErr w:type="gramEnd"/>
            <w:r w:rsidRPr="0065566F">
              <w:rPr>
                <w:rFonts w:ascii="Arial" w:hAnsi="Arial" w:cs="Arial"/>
                <w:sz w:val="20"/>
                <w:szCs w:val="20"/>
              </w:rPr>
              <w:t xml:space="preserve"> issues identified, mitigation measures agreed with clients as well as compliance status.</w:t>
            </w:r>
          </w:p>
          <w:p w14:paraId="03A4675C" w14:textId="77777777" w:rsidR="00C004B3" w:rsidRPr="0065566F" w:rsidRDefault="00C004B3" w:rsidP="00C004B3">
            <w:pPr>
              <w:tabs>
                <w:tab w:val="num" w:pos="720"/>
              </w:tabs>
              <w:ind w:right="165"/>
              <w:rPr>
                <w:rFonts w:ascii="Arial" w:hAnsi="Arial" w:cs="Arial"/>
                <w:sz w:val="20"/>
                <w:szCs w:val="20"/>
              </w:rPr>
            </w:pPr>
            <w:r w:rsidRPr="0065566F">
              <w:rPr>
                <w:rFonts w:ascii="Arial" w:hAnsi="Arial" w:cs="Arial"/>
                <w:sz w:val="20"/>
                <w:szCs w:val="20"/>
              </w:rPr>
              <w:t xml:space="preserve">The IDB will supervise the ESHS and labor aspects related to the use of the proceeds of the </w:t>
            </w:r>
            <w:r w:rsidR="005D6A90">
              <w:rPr>
                <w:rFonts w:ascii="Arial" w:hAnsi="Arial" w:cs="Arial"/>
                <w:sz w:val="20"/>
                <w:szCs w:val="20"/>
              </w:rPr>
              <w:t>Program</w:t>
            </w:r>
            <w:r w:rsidRPr="0065566F">
              <w:rPr>
                <w:rFonts w:ascii="Arial" w:hAnsi="Arial" w:cs="Arial"/>
                <w:sz w:val="20"/>
                <w:szCs w:val="20"/>
              </w:rPr>
              <w:t xml:space="preserve">, as necessary either by an IDB in-house specialist or with external consultants, hired by the IDB.  To this end, AFD will provide and facilitate access by IDB to all relevant documentation, personnel and sub-projects facilities. </w:t>
            </w:r>
          </w:p>
          <w:p w14:paraId="551DDEC1" w14:textId="77777777" w:rsidR="00C004B3" w:rsidRPr="0065566F" w:rsidRDefault="00C004B3" w:rsidP="00C004B3">
            <w:pPr>
              <w:tabs>
                <w:tab w:val="num" w:pos="720"/>
              </w:tabs>
              <w:ind w:right="165"/>
              <w:rPr>
                <w:rFonts w:ascii="Arial" w:hAnsi="Arial" w:cs="Arial"/>
                <w:sz w:val="20"/>
                <w:szCs w:val="20"/>
              </w:rPr>
            </w:pPr>
          </w:p>
          <w:p w14:paraId="75F78400" w14:textId="77777777" w:rsidR="00360F5E" w:rsidRDefault="00C004B3" w:rsidP="00C004B3">
            <w:pPr>
              <w:tabs>
                <w:tab w:val="num" w:pos="720"/>
              </w:tabs>
              <w:ind w:right="165"/>
              <w:rPr>
                <w:rFonts w:ascii="Arial" w:hAnsi="Arial" w:cs="Arial"/>
                <w:sz w:val="20"/>
                <w:szCs w:val="20"/>
              </w:rPr>
            </w:pPr>
            <w:r w:rsidRPr="0065566F">
              <w:rPr>
                <w:rFonts w:ascii="Arial" w:hAnsi="Arial" w:cs="Arial"/>
                <w:sz w:val="20"/>
                <w:szCs w:val="20"/>
              </w:rPr>
              <w:t xml:space="preserve">If necessary, IDB and AFD will agree on corrective actions or measures necessary to address impacts and risks and/or to enhance their management. </w:t>
            </w:r>
          </w:p>
          <w:p w14:paraId="338FF7CD" w14:textId="77777777" w:rsidR="005D6A90" w:rsidRPr="0065566F" w:rsidDel="00A11ACD" w:rsidRDefault="005D6A90" w:rsidP="00C004B3">
            <w:pPr>
              <w:tabs>
                <w:tab w:val="num" w:pos="720"/>
              </w:tabs>
              <w:ind w:right="165"/>
              <w:rPr>
                <w:rFonts w:ascii="Arial" w:eastAsia="Times New Roman" w:hAnsi="Arial" w:cs="Arial"/>
                <w:sz w:val="20"/>
                <w:szCs w:val="20"/>
                <w:shd w:val="clear" w:color="auto" w:fill="FFFFFF"/>
              </w:rPr>
            </w:pPr>
          </w:p>
        </w:tc>
      </w:tr>
      <w:tr w:rsidR="00360F5E" w:rsidRPr="0065566F" w14:paraId="1237143E"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D286852" w14:textId="77777777" w:rsidR="00360F5E" w:rsidRPr="0065566F" w:rsidRDefault="00360F5E" w:rsidP="0032085B">
            <w:pPr>
              <w:pStyle w:val="ListParagraph"/>
              <w:numPr>
                <w:ilvl w:val="0"/>
                <w:numId w:val="6"/>
              </w:numPr>
              <w:rPr>
                <w:rFonts w:ascii="Arial" w:eastAsia="Times New Roman" w:hAnsi="Arial" w:cs="Arial"/>
                <w:b/>
                <w:bCs/>
                <w:sz w:val="20"/>
                <w:szCs w:val="20"/>
              </w:rPr>
            </w:pPr>
            <w:r w:rsidRPr="0065566F">
              <w:rPr>
                <w:rFonts w:ascii="Arial" w:eastAsia="Times New Roman" w:hAnsi="Arial" w:cs="Arial"/>
                <w:b/>
                <w:bCs/>
                <w:sz w:val="20"/>
                <w:szCs w:val="20"/>
              </w:rPr>
              <w:t xml:space="preserve">Environmental and Social Requirements </w:t>
            </w:r>
          </w:p>
        </w:tc>
      </w:tr>
      <w:tr w:rsidR="00360F5E" w:rsidRPr="0065566F" w14:paraId="36016B43"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6104B23" w14:textId="77777777" w:rsidR="00360F5E" w:rsidRPr="0065566F" w:rsidRDefault="00360F5E" w:rsidP="00360F5E">
            <w:pPr>
              <w:tabs>
                <w:tab w:val="num" w:pos="720"/>
              </w:tabs>
              <w:ind w:right="165"/>
              <w:rPr>
                <w:rFonts w:ascii="Arial" w:eastAsia="Times New Roman" w:hAnsi="Arial" w:cs="Arial"/>
                <w:color w:val="000000" w:themeColor="text1"/>
                <w:sz w:val="20"/>
                <w:szCs w:val="20"/>
                <w:shd w:val="clear" w:color="auto" w:fill="FFFFFF"/>
              </w:rPr>
            </w:pPr>
          </w:p>
          <w:p w14:paraId="1A1F7BE6" w14:textId="2277566D" w:rsidR="00360F5E" w:rsidRPr="006750E7" w:rsidRDefault="00360F5E" w:rsidP="00360F5E">
            <w:pPr>
              <w:tabs>
                <w:tab w:val="num" w:pos="720"/>
              </w:tabs>
              <w:ind w:right="165"/>
              <w:rPr>
                <w:rFonts w:ascii="Arial" w:hAnsi="Arial" w:cs="Arial"/>
                <w:bCs/>
                <w:color w:val="000000" w:themeColor="text1"/>
                <w:sz w:val="20"/>
                <w:szCs w:val="20"/>
              </w:rPr>
            </w:pPr>
            <w:proofErr w:type="gramStart"/>
            <w:r w:rsidRPr="006750E7">
              <w:rPr>
                <w:rFonts w:ascii="Arial" w:eastAsia="Times New Roman" w:hAnsi="Arial" w:cs="Arial"/>
                <w:color w:val="000000" w:themeColor="text1"/>
                <w:sz w:val="20"/>
                <w:szCs w:val="20"/>
                <w:shd w:val="clear" w:color="auto" w:fill="FFFFFF"/>
              </w:rPr>
              <w:t>In order to</w:t>
            </w:r>
            <w:proofErr w:type="gramEnd"/>
            <w:r w:rsidRPr="006750E7">
              <w:rPr>
                <w:rFonts w:ascii="Arial" w:eastAsia="Times New Roman" w:hAnsi="Arial" w:cs="Arial"/>
                <w:color w:val="000000" w:themeColor="text1"/>
                <w:sz w:val="20"/>
                <w:szCs w:val="20"/>
                <w:shd w:val="clear" w:color="auto" w:fill="FFFFFF"/>
              </w:rPr>
              <w:t xml:space="preserve"> meet the requirements of the Bank’s Environmental and Social Safeguard Policies, the AFD will comply to the satisfaction of the Bank with the ESHS contractual terms and conditions set forth in Annex B. These terms and conditions can only be modified with the prior written consent of the Bank, including clearance by ESG. </w:t>
            </w:r>
            <w:r w:rsidRPr="006750E7">
              <w:rPr>
                <w:rFonts w:ascii="Arial" w:hAnsi="Arial" w:cs="Arial"/>
                <w:bCs/>
                <w:color w:val="000000" w:themeColor="text1"/>
                <w:sz w:val="20"/>
                <w:szCs w:val="20"/>
              </w:rPr>
              <w:t>The</w:t>
            </w:r>
            <w:r w:rsidR="008B2083">
              <w:rPr>
                <w:rFonts w:ascii="Arial" w:hAnsi="Arial" w:cs="Arial"/>
                <w:bCs/>
                <w:color w:val="000000" w:themeColor="text1"/>
                <w:sz w:val="20"/>
                <w:szCs w:val="20"/>
              </w:rPr>
              <w:t xml:space="preserve"> ESG</w:t>
            </w:r>
            <w:r w:rsidRPr="006750E7">
              <w:rPr>
                <w:rFonts w:ascii="Arial" w:hAnsi="Arial" w:cs="Arial"/>
                <w:bCs/>
                <w:color w:val="000000" w:themeColor="text1"/>
                <w:sz w:val="20"/>
                <w:szCs w:val="20"/>
              </w:rPr>
              <w:t xml:space="preserve"> conditions and definitions will be incorporated into the Loan Agreement and as such t</w:t>
            </w:r>
            <w:r w:rsidRPr="006750E7">
              <w:rPr>
                <w:rFonts w:ascii="Arial" w:eastAsia="Times New Roman" w:hAnsi="Arial" w:cs="Arial"/>
                <w:color w:val="000000" w:themeColor="text1"/>
                <w:sz w:val="20"/>
                <w:szCs w:val="20"/>
                <w:shd w:val="clear" w:color="auto" w:fill="FFFFFF"/>
              </w:rPr>
              <w:t>he B</w:t>
            </w:r>
            <w:r w:rsidRPr="006750E7">
              <w:rPr>
                <w:rFonts w:ascii="Arial" w:hAnsi="Arial" w:cs="Arial"/>
                <w:bCs/>
                <w:color w:val="000000" w:themeColor="text1"/>
                <w:sz w:val="20"/>
                <w:szCs w:val="20"/>
              </w:rPr>
              <w:t xml:space="preserve">orrower is legally bound to comply with these conditions. </w:t>
            </w:r>
          </w:p>
          <w:p w14:paraId="44E0D589" w14:textId="77777777" w:rsidR="00360F5E" w:rsidRPr="0065566F" w:rsidRDefault="00360F5E" w:rsidP="00360F5E">
            <w:pPr>
              <w:tabs>
                <w:tab w:val="num" w:pos="720"/>
              </w:tabs>
              <w:ind w:right="165"/>
              <w:rPr>
                <w:rFonts w:ascii="Arial" w:eastAsia="Times New Roman" w:hAnsi="Arial" w:cs="Arial"/>
                <w:i/>
                <w:color w:val="000000" w:themeColor="text1"/>
                <w:sz w:val="20"/>
                <w:szCs w:val="20"/>
                <w:shd w:val="clear" w:color="auto" w:fill="FFFFFF"/>
              </w:rPr>
            </w:pPr>
          </w:p>
          <w:p w14:paraId="006CBE58" w14:textId="77777777" w:rsidR="00360F5E" w:rsidRPr="0065566F" w:rsidRDefault="00360F5E" w:rsidP="00360F5E">
            <w:pPr>
              <w:jc w:val="both"/>
              <w:rPr>
                <w:rFonts w:ascii="Arial" w:hAnsi="Arial" w:cs="Arial"/>
                <w:sz w:val="20"/>
                <w:szCs w:val="20"/>
              </w:rPr>
            </w:pPr>
            <w:r w:rsidRPr="0065566F">
              <w:rPr>
                <w:rFonts w:ascii="Arial" w:hAnsi="Arial" w:cs="Arial"/>
                <w:sz w:val="20"/>
                <w:szCs w:val="20"/>
              </w:rPr>
              <w:t xml:space="preserve">For this </w:t>
            </w:r>
            <w:r w:rsidR="005D6A90">
              <w:rPr>
                <w:rFonts w:ascii="Arial" w:hAnsi="Arial" w:cs="Arial"/>
                <w:sz w:val="20"/>
                <w:szCs w:val="20"/>
              </w:rPr>
              <w:t>Program</w:t>
            </w:r>
            <w:r w:rsidRPr="0065566F">
              <w:rPr>
                <w:rFonts w:ascii="Arial" w:hAnsi="Arial" w:cs="Arial"/>
                <w:sz w:val="20"/>
                <w:szCs w:val="20"/>
              </w:rPr>
              <w:t xml:space="preserve">, within the framework of eligibility requirements established for the sub-projects in agreement with IDB, the Bank will require AFD to manage the </w:t>
            </w:r>
            <w:r w:rsidR="005D6A90">
              <w:rPr>
                <w:rFonts w:ascii="Arial" w:hAnsi="Arial" w:cs="Arial"/>
                <w:sz w:val="20"/>
                <w:szCs w:val="20"/>
              </w:rPr>
              <w:t>Program</w:t>
            </w:r>
            <w:r w:rsidRPr="0065566F">
              <w:rPr>
                <w:rFonts w:ascii="Arial" w:hAnsi="Arial" w:cs="Arial"/>
                <w:sz w:val="20"/>
                <w:szCs w:val="20"/>
              </w:rPr>
              <w:t xml:space="preserve"> according to the following requirements:</w:t>
            </w:r>
          </w:p>
          <w:p w14:paraId="66CED3B7" w14:textId="77777777" w:rsidR="00360F5E" w:rsidRPr="0065566F" w:rsidRDefault="00360F5E" w:rsidP="0032085B">
            <w:pPr>
              <w:pStyle w:val="ListParagraph"/>
              <w:numPr>
                <w:ilvl w:val="0"/>
                <w:numId w:val="10"/>
              </w:numPr>
              <w:spacing w:after="200" w:line="276" w:lineRule="auto"/>
              <w:jc w:val="both"/>
              <w:rPr>
                <w:rFonts w:ascii="Arial" w:hAnsi="Arial" w:cs="Arial"/>
                <w:sz w:val="20"/>
                <w:szCs w:val="20"/>
              </w:rPr>
            </w:pPr>
            <w:bookmarkStart w:id="3" w:name="_Hlk504375253"/>
            <w:r w:rsidRPr="0065566F">
              <w:rPr>
                <w:rFonts w:ascii="Arial" w:hAnsi="Arial" w:cs="Arial"/>
                <w:sz w:val="20"/>
                <w:szCs w:val="20"/>
              </w:rPr>
              <w:t>Comply with all applicable environmental, social, health and safety, and labor regulatory requirements of Paraguay.</w:t>
            </w:r>
          </w:p>
          <w:p w14:paraId="279CF198" w14:textId="77777777" w:rsidR="00360F5E" w:rsidRPr="0065566F" w:rsidRDefault="00360F5E" w:rsidP="0032085B">
            <w:pPr>
              <w:pStyle w:val="ListParagraph"/>
              <w:numPr>
                <w:ilvl w:val="0"/>
                <w:numId w:val="10"/>
              </w:numPr>
              <w:spacing w:after="200" w:line="276" w:lineRule="auto"/>
              <w:jc w:val="both"/>
              <w:rPr>
                <w:rFonts w:ascii="Arial" w:hAnsi="Arial" w:cs="Arial"/>
                <w:sz w:val="20"/>
                <w:szCs w:val="20"/>
              </w:rPr>
            </w:pPr>
            <w:r w:rsidRPr="0065566F">
              <w:rPr>
                <w:rFonts w:ascii="Arial" w:hAnsi="Arial" w:cs="Arial"/>
                <w:sz w:val="20"/>
                <w:szCs w:val="20"/>
              </w:rPr>
              <w:t xml:space="preserve">Confirm that the 1st Tier Banks participating in the </w:t>
            </w:r>
            <w:r w:rsidR="005D6A90">
              <w:rPr>
                <w:rFonts w:ascii="Arial" w:hAnsi="Arial" w:cs="Arial"/>
                <w:sz w:val="20"/>
                <w:szCs w:val="20"/>
              </w:rPr>
              <w:t>Program</w:t>
            </w:r>
            <w:r w:rsidRPr="0065566F">
              <w:rPr>
                <w:rFonts w:ascii="Arial" w:hAnsi="Arial" w:cs="Arial"/>
                <w:sz w:val="20"/>
                <w:szCs w:val="20"/>
              </w:rPr>
              <w:t xml:space="preserve"> and the sub-projects financed through this </w:t>
            </w:r>
            <w:r w:rsidR="005D6A90">
              <w:rPr>
                <w:rFonts w:ascii="Arial" w:hAnsi="Arial" w:cs="Arial"/>
                <w:sz w:val="20"/>
                <w:szCs w:val="20"/>
              </w:rPr>
              <w:t>Program</w:t>
            </w:r>
            <w:r w:rsidRPr="0065566F">
              <w:rPr>
                <w:rFonts w:ascii="Arial" w:hAnsi="Arial" w:cs="Arial"/>
                <w:sz w:val="20"/>
                <w:szCs w:val="20"/>
              </w:rPr>
              <w:t xml:space="preserve"> comply with all applicable environmental, social, health and safety, and labor regulatory requirements of Paraguay. </w:t>
            </w:r>
          </w:p>
          <w:p w14:paraId="4AED188E" w14:textId="77777777" w:rsidR="00360F5E" w:rsidRPr="0065566F" w:rsidRDefault="00360F5E" w:rsidP="0032085B">
            <w:pPr>
              <w:pStyle w:val="ListParagraph"/>
              <w:numPr>
                <w:ilvl w:val="0"/>
                <w:numId w:val="10"/>
              </w:numPr>
              <w:spacing w:after="200" w:line="276" w:lineRule="auto"/>
              <w:jc w:val="both"/>
              <w:rPr>
                <w:rFonts w:ascii="Arial" w:hAnsi="Arial" w:cs="Arial"/>
                <w:sz w:val="20"/>
                <w:szCs w:val="20"/>
              </w:rPr>
            </w:pPr>
            <w:r w:rsidRPr="0065566F">
              <w:rPr>
                <w:rFonts w:ascii="Arial" w:hAnsi="Arial" w:cs="Arial"/>
                <w:sz w:val="20"/>
                <w:szCs w:val="20"/>
              </w:rPr>
              <w:t xml:space="preserve">Appoint an Environmental and Social Coordinator for the duration of the </w:t>
            </w:r>
            <w:r w:rsidR="005D6A90">
              <w:rPr>
                <w:rFonts w:ascii="Arial" w:hAnsi="Arial" w:cs="Arial"/>
                <w:sz w:val="20"/>
                <w:szCs w:val="20"/>
              </w:rPr>
              <w:t>Program</w:t>
            </w:r>
            <w:r w:rsidRPr="0065566F">
              <w:rPr>
                <w:rFonts w:ascii="Arial" w:hAnsi="Arial" w:cs="Arial"/>
                <w:sz w:val="20"/>
                <w:szCs w:val="20"/>
              </w:rPr>
              <w:t>.</w:t>
            </w:r>
          </w:p>
          <w:p w14:paraId="04D3CC3E" w14:textId="573B50E3" w:rsidR="00360F5E" w:rsidRPr="0065566F" w:rsidRDefault="00360F5E" w:rsidP="0032085B">
            <w:pPr>
              <w:pStyle w:val="ListParagraph"/>
              <w:numPr>
                <w:ilvl w:val="0"/>
                <w:numId w:val="10"/>
              </w:numPr>
              <w:spacing w:after="200" w:line="276" w:lineRule="auto"/>
              <w:jc w:val="both"/>
              <w:rPr>
                <w:rFonts w:ascii="Arial" w:hAnsi="Arial" w:cs="Arial"/>
                <w:sz w:val="20"/>
                <w:szCs w:val="20"/>
              </w:rPr>
            </w:pPr>
            <w:r w:rsidRPr="0065566F">
              <w:rPr>
                <w:rFonts w:ascii="Arial" w:hAnsi="Arial" w:cs="Arial"/>
                <w:sz w:val="20"/>
                <w:szCs w:val="20"/>
              </w:rPr>
              <w:t xml:space="preserve">Design and Implement the </w:t>
            </w:r>
            <w:r w:rsidR="005D6A90">
              <w:rPr>
                <w:rFonts w:ascii="Arial" w:hAnsi="Arial" w:cs="Arial"/>
                <w:sz w:val="20"/>
                <w:szCs w:val="20"/>
              </w:rPr>
              <w:t>Program</w:t>
            </w:r>
            <w:r w:rsidRPr="0065566F">
              <w:rPr>
                <w:rFonts w:ascii="Arial" w:hAnsi="Arial" w:cs="Arial"/>
                <w:sz w:val="20"/>
                <w:szCs w:val="20"/>
              </w:rPr>
              <w:t xml:space="preserve"> specific </w:t>
            </w:r>
            <w:r w:rsidR="005323C3">
              <w:rPr>
                <w:rFonts w:ascii="Arial" w:hAnsi="Arial" w:cs="Arial"/>
                <w:sz w:val="20"/>
                <w:szCs w:val="20"/>
              </w:rPr>
              <w:t xml:space="preserve">requirements in the Operating Regulation and further in an </w:t>
            </w:r>
            <w:r w:rsidR="0075679D">
              <w:rPr>
                <w:rFonts w:ascii="Arial" w:hAnsi="Arial" w:cs="Arial"/>
                <w:sz w:val="20"/>
                <w:szCs w:val="20"/>
              </w:rPr>
              <w:t xml:space="preserve">internal </w:t>
            </w:r>
            <w:r w:rsidRPr="0065566F">
              <w:rPr>
                <w:rFonts w:ascii="Arial" w:hAnsi="Arial" w:cs="Arial"/>
                <w:sz w:val="20"/>
                <w:szCs w:val="20"/>
              </w:rPr>
              <w:t xml:space="preserve">Operating Manual that will include the E&amp;S requirements (Environmental and Social Management </w:t>
            </w:r>
            <w:r w:rsidRPr="0065566F">
              <w:rPr>
                <w:rFonts w:ascii="Arial" w:hAnsi="Arial" w:cs="Arial"/>
                <w:sz w:val="20"/>
                <w:szCs w:val="20"/>
              </w:rPr>
              <w:lastRenderedPageBreak/>
              <w:t xml:space="preserve">Framework) described in this document and integrate the </w:t>
            </w:r>
            <w:r w:rsidR="005D6A90">
              <w:rPr>
                <w:rFonts w:ascii="Arial" w:hAnsi="Arial" w:cs="Arial"/>
                <w:sz w:val="20"/>
                <w:szCs w:val="20"/>
              </w:rPr>
              <w:t>Program</w:t>
            </w:r>
            <w:r w:rsidRPr="0065566F">
              <w:rPr>
                <w:rFonts w:ascii="Arial" w:hAnsi="Arial" w:cs="Arial"/>
                <w:sz w:val="20"/>
                <w:szCs w:val="20"/>
              </w:rPr>
              <w:t xml:space="preserve"> Operating Regulations</w:t>
            </w:r>
            <w:r w:rsidR="0075679D">
              <w:rPr>
                <w:rFonts w:ascii="Arial" w:hAnsi="Arial" w:cs="Arial"/>
                <w:sz w:val="20"/>
                <w:szCs w:val="20"/>
              </w:rPr>
              <w:t xml:space="preserve"> and further in an internal Operating Manual</w:t>
            </w:r>
            <w:r w:rsidRPr="0065566F">
              <w:rPr>
                <w:rFonts w:ascii="Arial" w:hAnsi="Arial" w:cs="Arial"/>
                <w:sz w:val="20"/>
                <w:szCs w:val="20"/>
              </w:rPr>
              <w:t>.</w:t>
            </w:r>
          </w:p>
          <w:p w14:paraId="4C4F1308" w14:textId="77777777" w:rsidR="00360F5E" w:rsidRPr="0065566F" w:rsidRDefault="00360F5E" w:rsidP="0032085B">
            <w:pPr>
              <w:pStyle w:val="ListParagraph"/>
              <w:numPr>
                <w:ilvl w:val="0"/>
                <w:numId w:val="10"/>
              </w:numPr>
              <w:spacing w:after="200" w:line="276" w:lineRule="auto"/>
              <w:jc w:val="both"/>
              <w:rPr>
                <w:rFonts w:ascii="Arial" w:hAnsi="Arial" w:cs="Arial"/>
                <w:sz w:val="20"/>
                <w:szCs w:val="20"/>
              </w:rPr>
            </w:pPr>
            <w:r w:rsidRPr="0065566F">
              <w:rPr>
                <w:rFonts w:ascii="Arial" w:hAnsi="Arial" w:cs="Arial"/>
                <w:sz w:val="20"/>
                <w:szCs w:val="20"/>
              </w:rPr>
              <w:t>Integrate the IDB exclusions list (see Annex I) in the sub-loan approval process. It is worth noting that this list excludes – among others – projects that (i) involve involuntary resettlement of people, (ii) have a potentially adverse social impact on communities and/or indigenous peoples, (iii) involve conversion or degradation of critical natural habitats or cultural sites.</w:t>
            </w:r>
          </w:p>
          <w:p w14:paraId="1099EFB4" w14:textId="77777777" w:rsidR="00360F5E" w:rsidRPr="0065566F" w:rsidRDefault="00360F5E" w:rsidP="0032085B">
            <w:pPr>
              <w:pStyle w:val="ListParagraph"/>
              <w:numPr>
                <w:ilvl w:val="0"/>
                <w:numId w:val="10"/>
              </w:numPr>
              <w:spacing w:after="200" w:line="276" w:lineRule="auto"/>
              <w:jc w:val="both"/>
              <w:rPr>
                <w:rFonts w:ascii="Arial" w:hAnsi="Arial" w:cs="Arial"/>
                <w:sz w:val="20"/>
                <w:szCs w:val="20"/>
              </w:rPr>
            </w:pPr>
            <w:r w:rsidRPr="0065566F">
              <w:rPr>
                <w:rFonts w:ascii="Arial" w:hAnsi="Arial" w:cs="Arial"/>
                <w:sz w:val="20"/>
                <w:szCs w:val="20"/>
              </w:rPr>
              <w:t>For Energy Efficiency sub-projects, adopt a Decommissioning and Disposal Protocol for replaced equipment and materials acceptable to the IDB, to be presented by AFD and approved by the IDB as a condition prior to first disbursement. The protocol must ensure that any equipment replaced is not reused and is appropriately disposed. It will include the necessary description of each party responsibility. Once approved, said Protocol will be part of this ESM</w:t>
            </w:r>
            <w:r w:rsidR="005D6A90">
              <w:rPr>
                <w:rFonts w:ascii="Arial" w:hAnsi="Arial" w:cs="Arial"/>
                <w:sz w:val="20"/>
                <w:szCs w:val="20"/>
              </w:rPr>
              <w:t>R</w:t>
            </w:r>
            <w:r w:rsidRPr="0065566F">
              <w:rPr>
                <w:rFonts w:ascii="Arial" w:hAnsi="Arial" w:cs="Arial"/>
                <w:sz w:val="20"/>
                <w:szCs w:val="20"/>
              </w:rPr>
              <w:t xml:space="preserve"> and as such will apply to AFD, the participating FI and each respective sub-borrower as pertinent to their respective responsibilities.</w:t>
            </w:r>
          </w:p>
          <w:p w14:paraId="7C8D7F0A" w14:textId="77777777" w:rsidR="00360F5E" w:rsidRPr="0065566F" w:rsidRDefault="00360F5E" w:rsidP="0032085B">
            <w:pPr>
              <w:pStyle w:val="ListParagraph"/>
              <w:numPr>
                <w:ilvl w:val="0"/>
                <w:numId w:val="10"/>
              </w:numPr>
              <w:spacing w:after="200" w:line="276" w:lineRule="auto"/>
              <w:jc w:val="both"/>
              <w:rPr>
                <w:rFonts w:ascii="Arial" w:hAnsi="Arial" w:cs="Arial"/>
                <w:sz w:val="20"/>
                <w:szCs w:val="20"/>
              </w:rPr>
            </w:pPr>
            <w:r w:rsidRPr="0065566F">
              <w:rPr>
                <w:rFonts w:ascii="Arial" w:hAnsi="Arial" w:cs="Arial"/>
                <w:sz w:val="20"/>
                <w:szCs w:val="20"/>
              </w:rPr>
              <w:t>For co-generation projects, develop a classification tool. The tool will be based on the IFC Converting Biomass to Energy: A Guide for Developers and Investors and will be in line with the IDB safeguards. It will be presented by AFD and approved by the IDB as a condition prior to first disbursement.  Once approved, said tool will be part of this ESM</w:t>
            </w:r>
            <w:r w:rsidR="005D6A90">
              <w:rPr>
                <w:rFonts w:ascii="Arial" w:hAnsi="Arial" w:cs="Arial"/>
                <w:sz w:val="20"/>
                <w:szCs w:val="20"/>
              </w:rPr>
              <w:t>R</w:t>
            </w:r>
            <w:r w:rsidRPr="0065566F">
              <w:rPr>
                <w:rFonts w:ascii="Arial" w:hAnsi="Arial" w:cs="Arial"/>
                <w:sz w:val="20"/>
                <w:szCs w:val="20"/>
              </w:rPr>
              <w:t xml:space="preserve">. AFD will be responsible to classify the co-generation projects. Only C category projects will be eligible for financing. </w:t>
            </w:r>
          </w:p>
          <w:p w14:paraId="5B4F9ABE" w14:textId="77777777" w:rsidR="00360F5E" w:rsidRDefault="00360F5E" w:rsidP="0032085B">
            <w:pPr>
              <w:pStyle w:val="ListParagraph"/>
              <w:numPr>
                <w:ilvl w:val="0"/>
                <w:numId w:val="10"/>
              </w:numPr>
              <w:spacing w:after="200" w:line="276" w:lineRule="auto"/>
              <w:jc w:val="both"/>
              <w:rPr>
                <w:rFonts w:ascii="Arial" w:hAnsi="Arial" w:cs="Arial"/>
                <w:sz w:val="20"/>
                <w:szCs w:val="20"/>
              </w:rPr>
            </w:pPr>
            <w:r w:rsidRPr="0065566F">
              <w:rPr>
                <w:rFonts w:ascii="Arial" w:hAnsi="Arial" w:cs="Arial"/>
                <w:sz w:val="20"/>
                <w:szCs w:val="20"/>
              </w:rPr>
              <w:t xml:space="preserve">For co-generation projects, ensure that all projects will only use agricultural waste. AFD will be responsible for the verification that could be obtained via the contractual documents between the FI and the sub-borrower (affidavit).  </w:t>
            </w:r>
          </w:p>
          <w:p w14:paraId="17F04B75" w14:textId="77777777" w:rsidR="001D1006" w:rsidRPr="001D1006" w:rsidRDefault="001D1006" w:rsidP="001D1006">
            <w:pPr>
              <w:pStyle w:val="ListParagraph"/>
              <w:numPr>
                <w:ilvl w:val="0"/>
                <w:numId w:val="10"/>
              </w:numPr>
              <w:spacing w:after="200" w:line="276" w:lineRule="auto"/>
              <w:jc w:val="both"/>
              <w:rPr>
                <w:rFonts w:ascii="Arial" w:hAnsi="Arial" w:cs="Arial"/>
                <w:sz w:val="20"/>
                <w:szCs w:val="20"/>
              </w:rPr>
            </w:pPr>
            <w:r w:rsidRPr="001D1006">
              <w:rPr>
                <w:rFonts w:ascii="Arial" w:hAnsi="Arial" w:cs="Arial"/>
                <w:sz w:val="20"/>
                <w:szCs w:val="20"/>
              </w:rPr>
              <w:t>For firewood-utilizing projects, require from participating SMEs to source any firewood used during the lifetime</w:t>
            </w:r>
            <w:r>
              <w:rPr>
                <w:rFonts w:ascii="Arial" w:hAnsi="Arial" w:cs="Arial"/>
                <w:sz w:val="20"/>
                <w:szCs w:val="20"/>
              </w:rPr>
              <w:t xml:space="preserve"> </w:t>
            </w:r>
            <w:r w:rsidRPr="001D1006">
              <w:rPr>
                <w:rFonts w:ascii="Arial" w:hAnsi="Arial" w:cs="Arial"/>
                <w:sz w:val="20"/>
                <w:szCs w:val="20"/>
              </w:rPr>
              <w:t>of the sub-loans from certified sustainable sources only</w:t>
            </w:r>
          </w:p>
          <w:p w14:paraId="788B9893" w14:textId="77777777" w:rsidR="001D1006" w:rsidRPr="001D1006" w:rsidRDefault="001D1006" w:rsidP="001D1006">
            <w:pPr>
              <w:pStyle w:val="ListParagraph"/>
              <w:numPr>
                <w:ilvl w:val="0"/>
                <w:numId w:val="10"/>
              </w:numPr>
              <w:spacing w:after="200" w:line="276" w:lineRule="auto"/>
              <w:jc w:val="both"/>
              <w:rPr>
                <w:rFonts w:ascii="Arial" w:hAnsi="Arial" w:cs="Arial"/>
                <w:sz w:val="20"/>
                <w:szCs w:val="20"/>
              </w:rPr>
            </w:pPr>
            <w:r w:rsidRPr="001D1006">
              <w:rPr>
                <w:rFonts w:ascii="Arial" w:hAnsi="Arial" w:cs="Arial"/>
                <w:sz w:val="20"/>
                <w:szCs w:val="20"/>
              </w:rPr>
              <w:t>Perform compulsory site-visits for projects above US$1m (AFD E&amp;S specialist)</w:t>
            </w:r>
          </w:p>
          <w:p w14:paraId="1E692DC6" w14:textId="77777777" w:rsidR="001D1006" w:rsidRPr="001D1006" w:rsidRDefault="001D1006" w:rsidP="001D1006">
            <w:pPr>
              <w:pStyle w:val="ListParagraph"/>
              <w:numPr>
                <w:ilvl w:val="0"/>
                <w:numId w:val="10"/>
              </w:numPr>
              <w:spacing w:after="200" w:line="276" w:lineRule="auto"/>
              <w:jc w:val="both"/>
              <w:rPr>
                <w:rFonts w:ascii="Arial" w:hAnsi="Arial" w:cs="Arial"/>
                <w:sz w:val="20"/>
                <w:szCs w:val="20"/>
              </w:rPr>
            </w:pPr>
            <w:r w:rsidRPr="001D1006">
              <w:rPr>
                <w:rFonts w:ascii="Arial" w:hAnsi="Arial" w:cs="Arial"/>
                <w:sz w:val="20"/>
                <w:szCs w:val="20"/>
              </w:rPr>
              <w:t>Implement a grievance mechanism at the Project level</w:t>
            </w:r>
          </w:p>
          <w:p w14:paraId="440DCDD6" w14:textId="77777777" w:rsidR="001D1006" w:rsidRPr="001D1006" w:rsidRDefault="001D1006" w:rsidP="001D1006">
            <w:pPr>
              <w:pStyle w:val="ListParagraph"/>
              <w:numPr>
                <w:ilvl w:val="0"/>
                <w:numId w:val="10"/>
              </w:numPr>
              <w:spacing w:after="200" w:line="276" w:lineRule="auto"/>
              <w:jc w:val="both"/>
              <w:rPr>
                <w:rFonts w:ascii="Arial" w:hAnsi="Arial" w:cs="Arial"/>
                <w:sz w:val="20"/>
                <w:szCs w:val="20"/>
                <w:shd w:val="clear" w:color="auto" w:fill="FFFFFF"/>
              </w:rPr>
            </w:pPr>
            <w:r w:rsidRPr="001D1006">
              <w:rPr>
                <w:rFonts w:ascii="Arial" w:hAnsi="Arial" w:cs="Arial"/>
                <w:sz w:val="20"/>
                <w:szCs w:val="20"/>
              </w:rPr>
              <w:t>Present an Annual Environmental and Social Compliance Report (ESCR) with information on the guaranteed</w:t>
            </w:r>
            <w:r>
              <w:rPr>
                <w:rFonts w:ascii="Arial" w:hAnsi="Arial" w:cs="Arial"/>
                <w:sz w:val="20"/>
                <w:szCs w:val="20"/>
              </w:rPr>
              <w:t xml:space="preserve"> </w:t>
            </w:r>
            <w:r w:rsidRPr="001D1006">
              <w:rPr>
                <w:rFonts w:ascii="Arial" w:hAnsi="Arial" w:cs="Arial"/>
                <w:sz w:val="20"/>
                <w:szCs w:val="20"/>
              </w:rPr>
              <w:t xml:space="preserve">portfolio and any </w:t>
            </w:r>
            <w:proofErr w:type="gramStart"/>
            <w:r w:rsidRPr="001D1006">
              <w:rPr>
                <w:rFonts w:ascii="Arial" w:hAnsi="Arial" w:cs="Arial"/>
                <w:sz w:val="20"/>
                <w:szCs w:val="20"/>
              </w:rPr>
              <w:t>particular risk</w:t>
            </w:r>
            <w:proofErr w:type="gramEnd"/>
            <w:r w:rsidRPr="001D1006">
              <w:rPr>
                <w:rFonts w:ascii="Arial" w:hAnsi="Arial" w:cs="Arial"/>
                <w:sz w:val="20"/>
                <w:szCs w:val="20"/>
              </w:rPr>
              <w:t xml:space="preserve"> issues identified, mitigation measures agreed with clients as well as compliance</w:t>
            </w:r>
            <w:r>
              <w:rPr>
                <w:rFonts w:ascii="Arial" w:hAnsi="Arial" w:cs="Arial"/>
                <w:sz w:val="20"/>
                <w:szCs w:val="20"/>
              </w:rPr>
              <w:t xml:space="preserve"> </w:t>
            </w:r>
            <w:r w:rsidRPr="001D1006">
              <w:rPr>
                <w:rFonts w:ascii="Arial" w:hAnsi="Arial" w:cs="Arial"/>
                <w:sz w:val="20"/>
                <w:szCs w:val="20"/>
              </w:rPr>
              <w:t>status.</w:t>
            </w:r>
            <w:bookmarkEnd w:id="3"/>
          </w:p>
          <w:p w14:paraId="609E5A77" w14:textId="77777777" w:rsidR="00360F5E" w:rsidRPr="001D1006" w:rsidRDefault="00360F5E" w:rsidP="001D1006">
            <w:pPr>
              <w:spacing w:after="200" w:line="276" w:lineRule="auto"/>
              <w:jc w:val="both"/>
              <w:rPr>
                <w:rFonts w:ascii="Arial" w:hAnsi="Arial" w:cs="Arial"/>
                <w:sz w:val="20"/>
                <w:szCs w:val="20"/>
                <w:shd w:val="clear" w:color="auto" w:fill="FFFFFF"/>
              </w:rPr>
            </w:pPr>
            <w:r w:rsidRPr="001D1006">
              <w:rPr>
                <w:rFonts w:ascii="Arial" w:hAnsi="Arial" w:cs="Arial"/>
                <w:sz w:val="20"/>
                <w:szCs w:val="20"/>
              </w:rPr>
              <w:t xml:space="preserve">The IDB will supervise the ESHS and labor aspects related to the use of the proceeds of the </w:t>
            </w:r>
            <w:r w:rsidR="005D6A90" w:rsidRPr="001D1006">
              <w:rPr>
                <w:rFonts w:ascii="Arial" w:hAnsi="Arial" w:cs="Arial"/>
                <w:sz w:val="20"/>
                <w:szCs w:val="20"/>
              </w:rPr>
              <w:t>Program</w:t>
            </w:r>
            <w:r w:rsidRPr="001D1006">
              <w:rPr>
                <w:rFonts w:ascii="Arial" w:hAnsi="Arial" w:cs="Arial"/>
                <w:sz w:val="20"/>
                <w:szCs w:val="20"/>
              </w:rPr>
              <w:t xml:space="preserve">, as necessary either by an IDB in-house specialist or with external consultants, hired by the IDB.  To this end, AFD will provide and facilitate access by IDB to all relevant documentation, personnel and sub-projects facilities. If necessary, IDB and AFD will agree on corrective actions or measures necessary to address impacts and risks and/or to enhance their management. </w:t>
            </w:r>
          </w:p>
        </w:tc>
      </w:tr>
      <w:tr w:rsidR="00360F5E" w:rsidRPr="0065566F" w14:paraId="1D6A4F24"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6F7CAF9F" w14:textId="77777777" w:rsidR="00360F5E" w:rsidRPr="0065566F" w:rsidRDefault="00360F5E" w:rsidP="0032085B">
            <w:pPr>
              <w:pStyle w:val="ListParagraph"/>
              <w:numPr>
                <w:ilvl w:val="0"/>
                <w:numId w:val="6"/>
              </w:numPr>
              <w:rPr>
                <w:rFonts w:ascii="Arial" w:eastAsia="Times New Roman" w:hAnsi="Arial" w:cs="Arial"/>
                <w:b/>
                <w:bCs/>
                <w:sz w:val="20"/>
                <w:szCs w:val="20"/>
              </w:rPr>
            </w:pPr>
            <w:r w:rsidRPr="0065566F">
              <w:rPr>
                <w:rFonts w:ascii="Arial" w:eastAsia="Times New Roman" w:hAnsi="Arial" w:cs="Arial"/>
                <w:b/>
                <w:bCs/>
                <w:sz w:val="20"/>
                <w:szCs w:val="20"/>
              </w:rPr>
              <w:lastRenderedPageBreak/>
              <w:t xml:space="preserve">Summary of Compliance with IDB Safeguard Policies </w:t>
            </w:r>
          </w:p>
        </w:tc>
      </w:tr>
      <w:tr w:rsidR="00360F5E" w:rsidRPr="0065566F" w14:paraId="26381673"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26ACC9B" w14:textId="77777777" w:rsidR="00360F5E" w:rsidRPr="0065566F" w:rsidRDefault="00360F5E" w:rsidP="00360F5E">
            <w:pPr>
              <w:jc w:val="both"/>
              <w:rPr>
                <w:rFonts w:ascii="Arial" w:eastAsia="Times New Roman" w:hAnsi="Arial" w:cs="Arial"/>
                <w:sz w:val="20"/>
                <w:szCs w:val="20"/>
              </w:rPr>
            </w:pPr>
            <w:r w:rsidRPr="0065566F">
              <w:rPr>
                <w:rFonts w:ascii="Arial" w:eastAsia="Times New Roman" w:hAnsi="Arial" w:cs="Arial"/>
                <w:sz w:val="20"/>
                <w:szCs w:val="20"/>
                <w:shd w:val="clear" w:color="auto" w:fill="FFFFFF"/>
              </w:rPr>
              <w:t>See Annex A.</w:t>
            </w:r>
          </w:p>
        </w:tc>
      </w:tr>
    </w:tbl>
    <w:p w14:paraId="50C1FFD6" w14:textId="77777777" w:rsidR="004D3CD1" w:rsidRPr="0065566F" w:rsidRDefault="004D3CD1" w:rsidP="004127F6">
      <w:pPr>
        <w:rPr>
          <w:rFonts w:ascii="Arial" w:hAnsi="Arial" w:cs="Arial"/>
          <w:bCs/>
          <w:sz w:val="20"/>
          <w:szCs w:val="20"/>
        </w:rPr>
        <w:sectPr w:rsidR="004D3CD1" w:rsidRPr="0065566F" w:rsidSect="005354FC">
          <w:headerReference w:type="default" r:id="rId14"/>
          <w:footerReference w:type="default" r:id="rId15"/>
          <w:pgSz w:w="12240" w:h="15840"/>
          <w:pgMar w:top="1440" w:right="1800" w:bottom="1440" w:left="1170" w:header="720" w:footer="720" w:gutter="0"/>
          <w:cols w:space="720"/>
          <w:titlePg/>
          <w:docGrid w:linePitch="360"/>
        </w:sectPr>
      </w:pPr>
    </w:p>
    <w:p w14:paraId="3D808836" w14:textId="77777777" w:rsidR="004D3CD1" w:rsidRPr="0065566F" w:rsidRDefault="00874CC0" w:rsidP="004D3CD1">
      <w:pPr>
        <w:rPr>
          <w:rFonts w:ascii="Arial" w:hAnsi="Arial" w:cs="Arial"/>
          <w:b/>
          <w:sz w:val="20"/>
          <w:szCs w:val="20"/>
        </w:rPr>
      </w:pPr>
      <w:r w:rsidRPr="0065566F">
        <w:rPr>
          <w:rFonts w:ascii="Arial" w:hAnsi="Arial" w:cs="Arial"/>
          <w:b/>
          <w:sz w:val="20"/>
          <w:szCs w:val="20"/>
        </w:rPr>
        <w:lastRenderedPageBreak/>
        <w:t xml:space="preserve">Annex A. </w:t>
      </w:r>
      <w:r w:rsidR="00D055D3" w:rsidRPr="0065566F">
        <w:rPr>
          <w:rFonts w:ascii="Arial" w:hAnsi="Arial" w:cs="Arial"/>
          <w:b/>
          <w:sz w:val="20"/>
          <w:szCs w:val="20"/>
        </w:rPr>
        <w:t>Summary of Compliance with IDB Safeguard Policies</w:t>
      </w:r>
      <w:r w:rsidR="00AF5C47" w:rsidRPr="0065566F">
        <w:rPr>
          <w:rStyle w:val="FootnoteReference"/>
          <w:rFonts w:ascii="Arial" w:hAnsi="Arial" w:cs="Arial"/>
          <w:b/>
          <w:sz w:val="20"/>
          <w:szCs w:val="20"/>
        </w:rPr>
        <w:footnoteReference w:id="7"/>
      </w:r>
    </w:p>
    <w:tbl>
      <w:tblPr>
        <w:tblStyle w:val="TableGrid"/>
        <w:tblW w:w="13793" w:type="dxa"/>
        <w:tblInd w:w="-5" w:type="dxa"/>
        <w:tblLayout w:type="fixed"/>
        <w:tblLook w:val="04A0" w:firstRow="1" w:lastRow="0" w:firstColumn="1" w:lastColumn="0" w:noHBand="0" w:noVBand="1"/>
      </w:tblPr>
      <w:tblGrid>
        <w:gridCol w:w="2903"/>
        <w:gridCol w:w="2137"/>
        <w:gridCol w:w="23"/>
        <w:gridCol w:w="4320"/>
        <w:gridCol w:w="67"/>
        <w:gridCol w:w="4343"/>
      </w:tblGrid>
      <w:tr w:rsidR="002C120B" w:rsidRPr="0065566F" w14:paraId="6A6729E5" w14:textId="77777777" w:rsidTr="000361A6">
        <w:trPr>
          <w:trHeight w:val="323"/>
        </w:trPr>
        <w:tc>
          <w:tcPr>
            <w:tcW w:w="2903" w:type="dxa"/>
            <w:shd w:val="clear" w:color="auto" w:fill="95B3D7" w:themeFill="accent1" w:themeFillTint="99"/>
            <w:vAlign w:val="center"/>
          </w:tcPr>
          <w:p w14:paraId="06F666CC" w14:textId="77777777" w:rsidR="002C120B" w:rsidRPr="0065566F" w:rsidRDefault="002C120B">
            <w:pPr>
              <w:tabs>
                <w:tab w:val="left" w:pos="3200"/>
              </w:tabs>
              <w:jc w:val="center"/>
              <w:rPr>
                <w:rFonts w:ascii="Arial" w:hAnsi="Arial" w:cs="Arial"/>
                <w:b/>
                <w:sz w:val="20"/>
                <w:szCs w:val="20"/>
              </w:rPr>
            </w:pPr>
            <w:r w:rsidRPr="0065566F">
              <w:rPr>
                <w:rFonts w:ascii="Arial" w:hAnsi="Arial" w:cs="Arial"/>
                <w:b/>
                <w:sz w:val="20"/>
                <w:szCs w:val="20"/>
              </w:rPr>
              <w:t>Policies</w:t>
            </w:r>
            <w:r w:rsidR="00A00C5A" w:rsidRPr="0065566F">
              <w:rPr>
                <w:rFonts w:ascii="Arial" w:hAnsi="Arial" w:cs="Arial"/>
                <w:b/>
                <w:sz w:val="20"/>
                <w:szCs w:val="20"/>
              </w:rPr>
              <w:t xml:space="preserve"> </w:t>
            </w:r>
            <w:r w:rsidRPr="0065566F">
              <w:rPr>
                <w:rFonts w:ascii="Arial" w:hAnsi="Arial" w:cs="Arial"/>
                <w:b/>
                <w:sz w:val="20"/>
                <w:szCs w:val="20"/>
              </w:rPr>
              <w:t>/ Directives</w:t>
            </w:r>
          </w:p>
        </w:tc>
        <w:tc>
          <w:tcPr>
            <w:tcW w:w="2160" w:type="dxa"/>
            <w:gridSpan w:val="2"/>
            <w:tcBorders>
              <w:bottom w:val="single" w:sz="4" w:space="0" w:color="auto"/>
            </w:tcBorders>
            <w:shd w:val="clear" w:color="auto" w:fill="95B3D7" w:themeFill="accent1" w:themeFillTint="99"/>
            <w:vAlign w:val="center"/>
          </w:tcPr>
          <w:p w14:paraId="35D25828" w14:textId="77777777" w:rsidR="002C120B" w:rsidRPr="0065566F" w:rsidRDefault="002C120B">
            <w:pPr>
              <w:tabs>
                <w:tab w:val="left" w:pos="3200"/>
              </w:tabs>
              <w:jc w:val="center"/>
              <w:rPr>
                <w:rFonts w:ascii="Arial" w:hAnsi="Arial" w:cs="Arial"/>
                <w:b/>
                <w:sz w:val="20"/>
                <w:szCs w:val="20"/>
              </w:rPr>
            </w:pPr>
            <w:r w:rsidRPr="0065566F">
              <w:rPr>
                <w:rFonts w:ascii="Arial" w:hAnsi="Arial" w:cs="Arial"/>
                <w:b/>
                <w:sz w:val="20"/>
                <w:szCs w:val="20"/>
              </w:rPr>
              <w:t>Applicable Policy</w:t>
            </w:r>
            <w:r w:rsidR="00A00C5A" w:rsidRPr="0065566F">
              <w:rPr>
                <w:rFonts w:ascii="Arial" w:hAnsi="Arial" w:cs="Arial"/>
                <w:b/>
                <w:sz w:val="20"/>
                <w:szCs w:val="20"/>
              </w:rPr>
              <w:t xml:space="preserve"> </w:t>
            </w:r>
            <w:r w:rsidRPr="0065566F">
              <w:rPr>
                <w:rFonts w:ascii="Arial" w:hAnsi="Arial" w:cs="Arial"/>
                <w:b/>
                <w:sz w:val="20"/>
                <w:szCs w:val="20"/>
              </w:rPr>
              <w:t>/</w:t>
            </w:r>
            <w:r w:rsidR="00A00C5A" w:rsidRPr="0065566F">
              <w:rPr>
                <w:rFonts w:ascii="Arial" w:hAnsi="Arial" w:cs="Arial"/>
                <w:b/>
                <w:sz w:val="20"/>
                <w:szCs w:val="20"/>
              </w:rPr>
              <w:t xml:space="preserve"> </w:t>
            </w:r>
            <w:r w:rsidRPr="0065566F">
              <w:rPr>
                <w:rFonts w:ascii="Arial" w:hAnsi="Arial" w:cs="Arial"/>
                <w:b/>
                <w:sz w:val="20"/>
                <w:szCs w:val="20"/>
              </w:rPr>
              <w:t>Directive Aspect</w:t>
            </w:r>
          </w:p>
        </w:tc>
        <w:tc>
          <w:tcPr>
            <w:tcW w:w="4320" w:type="dxa"/>
            <w:tcBorders>
              <w:bottom w:val="single" w:sz="4" w:space="0" w:color="auto"/>
            </w:tcBorders>
            <w:shd w:val="clear" w:color="auto" w:fill="95B3D7" w:themeFill="accent1" w:themeFillTint="99"/>
            <w:vAlign w:val="center"/>
          </w:tcPr>
          <w:p w14:paraId="618CCB46" w14:textId="77777777" w:rsidR="002C120B" w:rsidRPr="0065566F" w:rsidRDefault="002C120B" w:rsidP="00B505FD">
            <w:pPr>
              <w:tabs>
                <w:tab w:val="left" w:pos="3200"/>
              </w:tabs>
              <w:jc w:val="center"/>
              <w:rPr>
                <w:rFonts w:ascii="Arial" w:hAnsi="Arial" w:cs="Arial"/>
                <w:b/>
                <w:sz w:val="20"/>
                <w:szCs w:val="20"/>
              </w:rPr>
            </w:pPr>
            <w:r w:rsidRPr="0065566F">
              <w:rPr>
                <w:rFonts w:ascii="Arial" w:hAnsi="Arial" w:cs="Arial"/>
                <w:b/>
                <w:sz w:val="20"/>
                <w:szCs w:val="20"/>
              </w:rPr>
              <w:t xml:space="preserve">Compliance Status </w:t>
            </w:r>
            <w:r w:rsidR="0057636F" w:rsidRPr="0065566F">
              <w:rPr>
                <w:rFonts w:ascii="Arial" w:hAnsi="Arial" w:cs="Arial"/>
                <w:b/>
                <w:sz w:val="20"/>
                <w:szCs w:val="20"/>
              </w:rPr>
              <w:t xml:space="preserve">and Rationale </w:t>
            </w:r>
            <w:r w:rsidRPr="0065566F">
              <w:rPr>
                <w:rFonts w:ascii="Arial" w:hAnsi="Arial" w:cs="Arial"/>
                <w:b/>
                <w:sz w:val="20"/>
                <w:szCs w:val="20"/>
              </w:rPr>
              <w:t>with Policy / Directive Requirements</w:t>
            </w:r>
          </w:p>
        </w:tc>
        <w:tc>
          <w:tcPr>
            <w:tcW w:w="4410" w:type="dxa"/>
            <w:gridSpan w:val="2"/>
            <w:tcBorders>
              <w:bottom w:val="single" w:sz="4" w:space="0" w:color="auto"/>
            </w:tcBorders>
            <w:shd w:val="clear" w:color="auto" w:fill="95B3D7" w:themeFill="accent1" w:themeFillTint="99"/>
            <w:vAlign w:val="center"/>
          </w:tcPr>
          <w:p w14:paraId="715F26FA" w14:textId="77777777" w:rsidR="002C120B" w:rsidRPr="0065566F" w:rsidRDefault="002C120B">
            <w:pPr>
              <w:tabs>
                <w:tab w:val="left" w:pos="3200"/>
              </w:tabs>
              <w:jc w:val="center"/>
              <w:rPr>
                <w:rFonts w:ascii="Arial" w:hAnsi="Arial" w:cs="Arial"/>
                <w:b/>
                <w:sz w:val="20"/>
                <w:szCs w:val="20"/>
              </w:rPr>
            </w:pPr>
            <w:r w:rsidRPr="0065566F">
              <w:rPr>
                <w:rFonts w:ascii="Arial" w:hAnsi="Arial" w:cs="Arial"/>
                <w:b/>
                <w:sz w:val="20"/>
                <w:szCs w:val="20"/>
              </w:rPr>
              <w:t>Requirements</w:t>
            </w:r>
            <w:r w:rsidR="00A00C5A" w:rsidRPr="0065566F">
              <w:rPr>
                <w:rFonts w:ascii="Arial" w:hAnsi="Arial" w:cs="Arial"/>
                <w:b/>
                <w:sz w:val="20"/>
                <w:szCs w:val="20"/>
              </w:rPr>
              <w:t xml:space="preserve"> </w:t>
            </w:r>
            <w:r w:rsidRPr="0065566F">
              <w:rPr>
                <w:rFonts w:ascii="Arial" w:hAnsi="Arial" w:cs="Arial"/>
                <w:b/>
                <w:sz w:val="20"/>
                <w:szCs w:val="20"/>
              </w:rPr>
              <w:t>/</w:t>
            </w:r>
            <w:r w:rsidR="00A00C5A" w:rsidRPr="0065566F">
              <w:rPr>
                <w:rFonts w:ascii="Arial" w:hAnsi="Arial" w:cs="Arial"/>
                <w:b/>
                <w:sz w:val="20"/>
                <w:szCs w:val="20"/>
              </w:rPr>
              <w:t xml:space="preserve"> </w:t>
            </w:r>
            <w:r w:rsidRPr="0065566F">
              <w:rPr>
                <w:rFonts w:ascii="Arial" w:hAnsi="Arial" w:cs="Arial"/>
                <w:b/>
                <w:sz w:val="20"/>
                <w:szCs w:val="20"/>
              </w:rPr>
              <w:t>Actions</w:t>
            </w:r>
            <w:r w:rsidR="00A00C5A" w:rsidRPr="0065566F">
              <w:rPr>
                <w:rFonts w:ascii="Arial" w:hAnsi="Arial" w:cs="Arial"/>
                <w:b/>
                <w:sz w:val="20"/>
                <w:szCs w:val="20"/>
              </w:rPr>
              <w:t xml:space="preserve"> </w:t>
            </w:r>
            <w:r w:rsidRPr="0065566F">
              <w:rPr>
                <w:rFonts w:ascii="Arial" w:hAnsi="Arial" w:cs="Arial"/>
                <w:b/>
                <w:sz w:val="20"/>
                <w:szCs w:val="20"/>
              </w:rPr>
              <w:t>/</w:t>
            </w:r>
            <w:r w:rsidR="00A00C5A" w:rsidRPr="0065566F">
              <w:rPr>
                <w:rFonts w:ascii="Arial" w:hAnsi="Arial" w:cs="Arial"/>
                <w:b/>
                <w:sz w:val="20"/>
                <w:szCs w:val="20"/>
              </w:rPr>
              <w:t xml:space="preserve"> </w:t>
            </w:r>
            <w:r w:rsidRPr="0065566F">
              <w:rPr>
                <w:rFonts w:ascii="Arial" w:hAnsi="Arial" w:cs="Arial"/>
                <w:b/>
                <w:sz w:val="20"/>
                <w:szCs w:val="20"/>
              </w:rPr>
              <w:t>Plans</w:t>
            </w:r>
          </w:p>
        </w:tc>
      </w:tr>
      <w:tr w:rsidR="00EE20EB" w:rsidRPr="0065566F" w14:paraId="4CCA5009" w14:textId="77777777" w:rsidTr="000361A6">
        <w:trPr>
          <w:trHeight w:val="323"/>
        </w:trPr>
        <w:tc>
          <w:tcPr>
            <w:tcW w:w="13793" w:type="dxa"/>
            <w:gridSpan w:val="6"/>
            <w:shd w:val="clear" w:color="auto" w:fill="D9D9D9" w:themeFill="background1" w:themeFillShade="D9"/>
            <w:vAlign w:val="center"/>
          </w:tcPr>
          <w:p w14:paraId="12BF37BF" w14:textId="77777777" w:rsidR="00EE20EB" w:rsidRPr="0065566F" w:rsidRDefault="00EE20EB" w:rsidP="006F7063">
            <w:pPr>
              <w:tabs>
                <w:tab w:val="left" w:pos="3200"/>
              </w:tabs>
              <w:jc w:val="both"/>
              <w:rPr>
                <w:rFonts w:ascii="Arial" w:hAnsi="Arial" w:cs="Arial"/>
                <w:sz w:val="20"/>
                <w:szCs w:val="20"/>
              </w:rPr>
            </w:pPr>
            <w:r w:rsidRPr="0065566F">
              <w:rPr>
                <w:rFonts w:ascii="Arial" w:hAnsi="Arial" w:cs="Arial"/>
                <w:b/>
                <w:sz w:val="20"/>
                <w:szCs w:val="20"/>
              </w:rPr>
              <w:t>OP-703 Environment and Safeguards Compliance Policy</w:t>
            </w:r>
          </w:p>
        </w:tc>
      </w:tr>
      <w:tr w:rsidR="00641735" w:rsidRPr="0065566F" w14:paraId="0A8F16AA" w14:textId="77777777" w:rsidTr="000361A6">
        <w:trPr>
          <w:trHeight w:val="323"/>
        </w:trPr>
        <w:tc>
          <w:tcPr>
            <w:tcW w:w="2903" w:type="dxa"/>
            <w:shd w:val="clear" w:color="auto" w:fill="D9D9D9" w:themeFill="background1" w:themeFillShade="D9"/>
            <w:vAlign w:val="center"/>
          </w:tcPr>
          <w:p w14:paraId="086D4536" w14:textId="77777777" w:rsidR="00641735" w:rsidRPr="0065566F" w:rsidRDefault="00641735" w:rsidP="000361A6">
            <w:pPr>
              <w:tabs>
                <w:tab w:val="left" w:pos="3200"/>
              </w:tabs>
              <w:rPr>
                <w:rFonts w:ascii="Arial" w:hAnsi="Arial" w:cs="Arial"/>
                <w:sz w:val="20"/>
                <w:szCs w:val="20"/>
              </w:rPr>
            </w:pPr>
            <w:r w:rsidRPr="0065566F">
              <w:rPr>
                <w:rFonts w:ascii="Arial" w:hAnsi="Arial" w:cs="Arial"/>
                <w:sz w:val="20"/>
                <w:szCs w:val="20"/>
              </w:rPr>
              <w:t xml:space="preserve">B.2 Country </w:t>
            </w:r>
            <w:r w:rsidR="00611432" w:rsidRPr="0065566F">
              <w:rPr>
                <w:rFonts w:ascii="Arial" w:hAnsi="Arial" w:cs="Arial"/>
                <w:sz w:val="20"/>
                <w:szCs w:val="20"/>
              </w:rPr>
              <w:t>L</w:t>
            </w:r>
            <w:r w:rsidRPr="0065566F">
              <w:rPr>
                <w:rFonts w:ascii="Arial" w:hAnsi="Arial" w:cs="Arial"/>
                <w:sz w:val="20"/>
                <w:szCs w:val="20"/>
              </w:rPr>
              <w:t xml:space="preserve">aws </w:t>
            </w:r>
            <w:r w:rsidR="00611432" w:rsidRPr="0065566F">
              <w:rPr>
                <w:rFonts w:ascii="Arial" w:hAnsi="Arial" w:cs="Arial"/>
                <w:sz w:val="20"/>
                <w:szCs w:val="20"/>
              </w:rPr>
              <w:t>and</w:t>
            </w:r>
            <w:r w:rsidRPr="0065566F">
              <w:rPr>
                <w:rFonts w:ascii="Arial" w:hAnsi="Arial" w:cs="Arial"/>
                <w:sz w:val="20"/>
                <w:szCs w:val="20"/>
              </w:rPr>
              <w:t xml:space="preserve"> </w:t>
            </w:r>
            <w:r w:rsidR="00611432" w:rsidRPr="0065566F">
              <w:rPr>
                <w:rFonts w:ascii="Arial" w:hAnsi="Arial" w:cs="Arial"/>
                <w:sz w:val="20"/>
                <w:szCs w:val="20"/>
              </w:rPr>
              <w:t>R</w:t>
            </w:r>
            <w:r w:rsidRPr="0065566F">
              <w:rPr>
                <w:rFonts w:ascii="Arial" w:hAnsi="Arial" w:cs="Arial"/>
                <w:sz w:val="20"/>
                <w:szCs w:val="20"/>
              </w:rPr>
              <w:t>egulations</w:t>
            </w:r>
          </w:p>
        </w:tc>
        <w:tc>
          <w:tcPr>
            <w:tcW w:w="2160" w:type="dxa"/>
            <w:gridSpan w:val="2"/>
            <w:vAlign w:val="center"/>
          </w:tcPr>
          <w:p w14:paraId="6304D739" w14:textId="77777777" w:rsidR="006750E7" w:rsidRPr="006750E7" w:rsidRDefault="006750E7" w:rsidP="006750E7">
            <w:pPr>
              <w:tabs>
                <w:tab w:val="left" w:pos="3200"/>
              </w:tabs>
              <w:rPr>
                <w:rFonts w:ascii="Arial" w:hAnsi="Arial" w:cs="Arial"/>
                <w:sz w:val="20"/>
                <w:szCs w:val="20"/>
              </w:rPr>
            </w:pPr>
            <w:r w:rsidRPr="006750E7">
              <w:rPr>
                <w:rFonts w:ascii="Arial" w:hAnsi="Arial" w:cs="Arial"/>
                <w:sz w:val="20"/>
                <w:szCs w:val="20"/>
              </w:rPr>
              <w:t>Obtain local</w:t>
            </w:r>
          </w:p>
          <w:p w14:paraId="4BC17ECC" w14:textId="77777777" w:rsidR="006750E7" w:rsidRPr="006750E7" w:rsidRDefault="006750E7" w:rsidP="006750E7">
            <w:pPr>
              <w:tabs>
                <w:tab w:val="left" w:pos="3200"/>
              </w:tabs>
              <w:rPr>
                <w:rFonts w:ascii="Arial" w:hAnsi="Arial" w:cs="Arial"/>
                <w:sz w:val="20"/>
                <w:szCs w:val="20"/>
              </w:rPr>
            </w:pPr>
            <w:r w:rsidRPr="006750E7">
              <w:rPr>
                <w:rFonts w:ascii="Arial" w:hAnsi="Arial" w:cs="Arial"/>
                <w:sz w:val="20"/>
                <w:szCs w:val="20"/>
              </w:rPr>
              <w:t>environmental</w:t>
            </w:r>
          </w:p>
          <w:p w14:paraId="592A30D3" w14:textId="77777777" w:rsidR="006750E7" w:rsidRPr="006750E7" w:rsidRDefault="006750E7" w:rsidP="006750E7">
            <w:pPr>
              <w:tabs>
                <w:tab w:val="left" w:pos="3200"/>
              </w:tabs>
              <w:rPr>
                <w:rFonts w:ascii="Arial" w:hAnsi="Arial" w:cs="Arial"/>
                <w:sz w:val="20"/>
                <w:szCs w:val="20"/>
              </w:rPr>
            </w:pPr>
            <w:r w:rsidRPr="006750E7">
              <w:rPr>
                <w:rFonts w:ascii="Arial" w:hAnsi="Arial" w:cs="Arial"/>
                <w:sz w:val="20"/>
                <w:szCs w:val="20"/>
              </w:rPr>
              <w:t>licenses and</w:t>
            </w:r>
          </w:p>
          <w:p w14:paraId="429FEAE4" w14:textId="77777777" w:rsidR="00641735" w:rsidRPr="0065566F" w:rsidRDefault="006750E7" w:rsidP="006750E7">
            <w:pPr>
              <w:tabs>
                <w:tab w:val="left" w:pos="3200"/>
              </w:tabs>
              <w:rPr>
                <w:rFonts w:ascii="Arial" w:hAnsi="Arial" w:cs="Arial"/>
                <w:sz w:val="20"/>
                <w:szCs w:val="20"/>
              </w:rPr>
            </w:pPr>
            <w:r w:rsidRPr="006750E7">
              <w:rPr>
                <w:rFonts w:ascii="Arial" w:hAnsi="Arial" w:cs="Arial"/>
                <w:sz w:val="20"/>
                <w:szCs w:val="20"/>
              </w:rPr>
              <w:t>permits</w:t>
            </w:r>
          </w:p>
        </w:tc>
        <w:tc>
          <w:tcPr>
            <w:tcW w:w="4320" w:type="dxa"/>
          </w:tcPr>
          <w:p w14:paraId="0C02F74F" w14:textId="77777777" w:rsidR="00641735" w:rsidRPr="0065566F" w:rsidRDefault="00292828" w:rsidP="006F7063">
            <w:pPr>
              <w:tabs>
                <w:tab w:val="left" w:pos="3200"/>
              </w:tabs>
              <w:jc w:val="both"/>
              <w:rPr>
                <w:rFonts w:ascii="Arial" w:hAnsi="Arial" w:cs="Arial"/>
                <w:sz w:val="20"/>
                <w:szCs w:val="20"/>
              </w:rPr>
            </w:pPr>
            <w:r>
              <w:rPr>
                <w:rFonts w:ascii="Arial" w:hAnsi="Arial" w:cs="Arial"/>
                <w:sz w:val="20"/>
                <w:szCs w:val="20"/>
              </w:rPr>
              <w:t xml:space="preserve">Compliance expected during </w:t>
            </w:r>
            <w:r w:rsidR="005D6A90">
              <w:rPr>
                <w:rFonts w:ascii="Arial" w:hAnsi="Arial" w:cs="Arial"/>
                <w:sz w:val="20"/>
                <w:szCs w:val="20"/>
              </w:rPr>
              <w:t>Program</w:t>
            </w:r>
            <w:r>
              <w:rPr>
                <w:rFonts w:ascii="Arial" w:hAnsi="Arial" w:cs="Arial"/>
                <w:sz w:val="20"/>
                <w:szCs w:val="20"/>
              </w:rPr>
              <w:t xml:space="preserve"> execution</w:t>
            </w:r>
          </w:p>
        </w:tc>
        <w:tc>
          <w:tcPr>
            <w:tcW w:w="4410" w:type="dxa"/>
            <w:gridSpan w:val="2"/>
          </w:tcPr>
          <w:p w14:paraId="68D65A4D" w14:textId="77777777" w:rsidR="00B479D3" w:rsidRPr="00B479D3" w:rsidRDefault="00292828" w:rsidP="00B479D3">
            <w:pPr>
              <w:tabs>
                <w:tab w:val="left" w:pos="3200"/>
              </w:tabs>
              <w:jc w:val="both"/>
              <w:rPr>
                <w:rFonts w:ascii="Arial" w:hAnsi="Arial" w:cs="Arial"/>
                <w:sz w:val="20"/>
                <w:szCs w:val="20"/>
              </w:rPr>
            </w:pPr>
            <w:r>
              <w:rPr>
                <w:rFonts w:ascii="Arial" w:hAnsi="Arial" w:cs="Arial"/>
                <w:sz w:val="20"/>
                <w:szCs w:val="20"/>
              </w:rPr>
              <w:t>T</w:t>
            </w:r>
            <w:r w:rsidR="00B479D3" w:rsidRPr="00B479D3">
              <w:rPr>
                <w:rFonts w:ascii="Arial" w:hAnsi="Arial" w:cs="Arial"/>
                <w:sz w:val="20"/>
                <w:szCs w:val="20"/>
              </w:rPr>
              <w:t xml:space="preserve">he Bank will require AFD to manage the </w:t>
            </w:r>
            <w:r w:rsidR="005D6A90">
              <w:rPr>
                <w:rFonts w:ascii="Arial" w:hAnsi="Arial" w:cs="Arial"/>
                <w:sz w:val="20"/>
                <w:szCs w:val="20"/>
              </w:rPr>
              <w:t>Program</w:t>
            </w:r>
            <w:r w:rsidR="00B479D3" w:rsidRPr="00B479D3">
              <w:rPr>
                <w:rFonts w:ascii="Arial" w:hAnsi="Arial" w:cs="Arial"/>
                <w:sz w:val="20"/>
                <w:szCs w:val="20"/>
              </w:rPr>
              <w:t xml:space="preserve"> according to the following requirements:</w:t>
            </w:r>
          </w:p>
          <w:p w14:paraId="02533C8E" w14:textId="77777777" w:rsidR="00B479D3" w:rsidRPr="00B479D3" w:rsidRDefault="00B479D3" w:rsidP="00B479D3">
            <w:pPr>
              <w:tabs>
                <w:tab w:val="left" w:pos="3200"/>
              </w:tabs>
              <w:jc w:val="both"/>
              <w:rPr>
                <w:rFonts w:ascii="Arial" w:hAnsi="Arial" w:cs="Arial"/>
                <w:sz w:val="20"/>
                <w:szCs w:val="20"/>
              </w:rPr>
            </w:pPr>
            <w:r>
              <w:rPr>
                <w:rFonts w:ascii="Arial" w:hAnsi="Arial" w:cs="Arial"/>
                <w:sz w:val="20"/>
                <w:szCs w:val="20"/>
              </w:rPr>
              <w:t xml:space="preserve">1. </w:t>
            </w:r>
            <w:r w:rsidRPr="00B479D3">
              <w:rPr>
                <w:rFonts w:ascii="Arial" w:hAnsi="Arial" w:cs="Arial"/>
                <w:sz w:val="20"/>
                <w:szCs w:val="20"/>
              </w:rPr>
              <w:t>Comply with all applicable environmental, social, health and safety, and labor regulatory requirements of Paraguay.</w:t>
            </w:r>
          </w:p>
          <w:p w14:paraId="4E46BB5F" w14:textId="77777777" w:rsidR="00641735" w:rsidRPr="0065566F" w:rsidRDefault="00B479D3" w:rsidP="00B479D3">
            <w:pPr>
              <w:tabs>
                <w:tab w:val="left" w:pos="3200"/>
              </w:tabs>
              <w:jc w:val="both"/>
              <w:rPr>
                <w:rFonts w:ascii="Arial" w:hAnsi="Arial" w:cs="Arial"/>
                <w:sz w:val="20"/>
                <w:szCs w:val="20"/>
              </w:rPr>
            </w:pPr>
            <w:r>
              <w:rPr>
                <w:rFonts w:ascii="Arial" w:hAnsi="Arial" w:cs="Arial"/>
                <w:sz w:val="20"/>
                <w:szCs w:val="20"/>
              </w:rPr>
              <w:t xml:space="preserve">2. </w:t>
            </w:r>
            <w:r w:rsidRPr="00B479D3">
              <w:rPr>
                <w:rFonts w:ascii="Arial" w:hAnsi="Arial" w:cs="Arial"/>
                <w:sz w:val="20"/>
                <w:szCs w:val="20"/>
              </w:rPr>
              <w:t xml:space="preserve">Confirm that the 1st Tier Banks participating in the </w:t>
            </w:r>
            <w:r w:rsidR="005D6A90">
              <w:rPr>
                <w:rFonts w:ascii="Arial" w:hAnsi="Arial" w:cs="Arial"/>
                <w:sz w:val="20"/>
                <w:szCs w:val="20"/>
              </w:rPr>
              <w:t>Program</w:t>
            </w:r>
            <w:r w:rsidRPr="00B479D3">
              <w:rPr>
                <w:rFonts w:ascii="Arial" w:hAnsi="Arial" w:cs="Arial"/>
                <w:sz w:val="20"/>
                <w:szCs w:val="20"/>
              </w:rPr>
              <w:t xml:space="preserve"> and the sub-projects financed through this </w:t>
            </w:r>
            <w:r w:rsidR="005D6A90">
              <w:rPr>
                <w:rFonts w:ascii="Arial" w:hAnsi="Arial" w:cs="Arial"/>
                <w:sz w:val="20"/>
                <w:szCs w:val="20"/>
              </w:rPr>
              <w:t>Program</w:t>
            </w:r>
            <w:r w:rsidRPr="00B479D3">
              <w:rPr>
                <w:rFonts w:ascii="Arial" w:hAnsi="Arial" w:cs="Arial"/>
                <w:sz w:val="20"/>
                <w:szCs w:val="20"/>
              </w:rPr>
              <w:t xml:space="preserve"> comply with all applicable environmental, social, health and safety, and labor regulatory requirements of Paraguay.</w:t>
            </w:r>
          </w:p>
        </w:tc>
      </w:tr>
      <w:tr w:rsidR="00641735" w:rsidRPr="0065566F" w14:paraId="4CF293DA" w14:textId="77777777" w:rsidTr="000361A6">
        <w:trPr>
          <w:trHeight w:val="323"/>
        </w:trPr>
        <w:tc>
          <w:tcPr>
            <w:tcW w:w="2903" w:type="dxa"/>
            <w:shd w:val="clear" w:color="auto" w:fill="D9D9D9" w:themeFill="background1" w:themeFillShade="D9"/>
            <w:vAlign w:val="center"/>
          </w:tcPr>
          <w:p w14:paraId="2E65387F" w14:textId="77777777" w:rsidR="00641735" w:rsidRPr="0065566F" w:rsidRDefault="00641735" w:rsidP="000361A6">
            <w:pPr>
              <w:tabs>
                <w:tab w:val="left" w:pos="3200"/>
              </w:tabs>
              <w:rPr>
                <w:rFonts w:ascii="Arial" w:hAnsi="Arial" w:cs="Arial"/>
                <w:sz w:val="20"/>
                <w:szCs w:val="20"/>
              </w:rPr>
            </w:pPr>
            <w:r w:rsidRPr="0065566F">
              <w:rPr>
                <w:rFonts w:ascii="Arial" w:hAnsi="Arial" w:cs="Arial"/>
                <w:sz w:val="20"/>
                <w:szCs w:val="20"/>
              </w:rPr>
              <w:t xml:space="preserve">B.3 Screening </w:t>
            </w:r>
            <w:r w:rsidR="00611432" w:rsidRPr="0065566F">
              <w:rPr>
                <w:rFonts w:ascii="Arial" w:hAnsi="Arial" w:cs="Arial"/>
                <w:sz w:val="20"/>
                <w:szCs w:val="20"/>
              </w:rPr>
              <w:t>and</w:t>
            </w:r>
            <w:r w:rsidRPr="0065566F">
              <w:rPr>
                <w:rFonts w:ascii="Arial" w:hAnsi="Arial" w:cs="Arial"/>
                <w:sz w:val="20"/>
                <w:szCs w:val="20"/>
              </w:rPr>
              <w:t xml:space="preserve"> Classification</w:t>
            </w:r>
          </w:p>
        </w:tc>
        <w:tc>
          <w:tcPr>
            <w:tcW w:w="2160" w:type="dxa"/>
            <w:gridSpan w:val="2"/>
            <w:vAlign w:val="center"/>
          </w:tcPr>
          <w:p w14:paraId="7C353793" w14:textId="77777777" w:rsidR="006750E7" w:rsidRPr="006750E7" w:rsidRDefault="006750E7" w:rsidP="006750E7">
            <w:pPr>
              <w:tabs>
                <w:tab w:val="left" w:pos="3200"/>
              </w:tabs>
              <w:jc w:val="both"/>
              <w:rPr>
                <w:rFonts w:ascii="Arial" w:hAnsi="Arial" w:cs="Arial"/>
                <w:sz w:val="20"/>
                <w:szCs w:val="20"/>
              </w:rPr>
            </w:pPr>
            <w:r w:rsidRPr="006750E7">
              <w:rPr>
                <w:rFonts w:ascii="Arial" w:hAnsi="Arial" w:cs="Arial"/>
                <w:sz w:val="20"/>
                <w:szCs w:val="20"/>
              </w:rPr>
              <w:t>Environmental and</w:t>
            </w:r>
          </w:p>
          <w:p w14:paraId="20A201A2" w14:textId="77777777" w:rsidR="006750E7" w:rsidRPr="006750E7" w:rsidRDefault="006750E7" w:rsidP="006750E7">
            <w:pPr>
              <w:tabs>
                <w:tab w:val="left" w:pos="3200"/>
              </w:tabs>
              <w:jc w:val="both"/>
              <w:rPr>
                <w:rFonts w:ascii="Arial" w:hAnsi="Arial" w:cs="Arial"/>
                <w:sz w:val="20"/>
                <w:szCs w:val="20"/>
              </w:rPr>
            </w:pPr>
            <w:r w:rsidRPr="006750E7">
              <w:rPr>
                <w:rFonts w:ascii="Arial" w:hAnsi="Arial" w:cs="Arial"/>
                <w:sz w:val="20"/>
                <w:szCs w:val="20"/>
              </w:rPr>
              <w:t>social risk</w:t>
            </w:r>
          </w:p>
          <w:p w14:paraId="022567D1" w14:textId="77777777" w:rsidR="00641735" w:rsidRPr="0065566F" w:rsidRDefault="006750E7" w:rsidP="006750E7">
            <w:pPr>
              <w:tabs>
                <w:tab w:val="left" w:pos="3200"/>
              </w:tabs>
              <w:jc w:val="both"/>
              <w:rPr>
                <w:rFonts w:ascii="Arial" w:hAnsi="Arial" w:cs="Arial"/>
                <w:sz w:val="20"/>
                <w:szCs w:val="20"/>
              </w:rPr>
            </w:pPr>
            <w:r w:rsidRPr="006750E7">
              <w:rPr>
                <w:rFonts w:ascii="Arial" w:hAnsi="Arial" w:cs="Arial"/>
                <w:sz w:val="20"/>
                <w:szCs w:val="20"/>
              </w:rPr>
              <w:t>categorization</w:t>
            </w:r>
          </w:p>
        </w:tc>
        <w:tc>
          <w:tcPr>
            <w:tcW w:w="4320" w:type="dxa"/>
          </w:tcPr>
          <w:p w14:paraId="700C66BC" w14:textId="77777777" w:rsidR="00641735" w:rsidRPr="0065566F" w:rsidRDefault="00292828" w:rsidP="006F7063">
            <w:pPr>
              <w:tabs>
                <w:tab w:val="left" w:pos="3200"/>
              </w:tabs>
              <w:jc w:val="both"/>
              <w:rPr>
                <w:rFonts w:ascii="Arial" w:hAnsi="Arial" w:cs="Arial"/>
                <w:sz w:val="20"/>
                <w:szCs w:val="20"/>
              </w:rPr>
            </w:pPr>
            <w:r>
              <w:rPr>
                <w:rFonts w:ascii="Arial" w:hAnsi="Arial" w:cs="Arial"/>
                <w:sz w:val="20"/>
                <w:szCs w:val="20"/>
              </w:rPr>
              <w:t xml:space="preserve">Compliance expected during </w:t>
            </w:r>
            <w:r w:rsidR="005D6A90">
              <w:rPr>
                <w:rFonts w:ascii="Arial" w:hAnsi="Arial" w:cs="Arial"/>
                <w:sz w:val="20"/>
                <w:szCs w:val="20"/>
              </w:rPr>
              <w:t>Program</w:t>
            </w:r>
            <w:r>
              <w:rPr>
                <w:rFonts w:ascii="Arial" w:hAnsi="Arial" w:cs="Arial"/>
                <w:sz w:val="20"/>
                <w:szCs w:val="20"/>
              </w:rPr>
              <w:t xml:space="preserve"> execution</w:t>
            </w:r>
          </w:p>
        </w:tc>
        <w:tc>
          <w:tcPr>
            <w:tcW w:w="4410" w:type="dxa"/>
            <w:gridSpan w:val="2"/>
          </w:tcPr>
          <w:p w14:paraId="26CE21C7" w14:textId="77777777" w:rsidR="00292828" w:rsidRPr="0065566F" w:rsidRDefault="00292828" w:rsidP="00E228C6">
            <w:pPr>
              <w:tabs>
                <w:tab w:val="left" w:pos="3200"/>
              </w:tabs>
              <w:jc w:val="both"/>
              <w:rPr>
                <w:rFonts w:ascii="Arial" w:hAnsi="Arial" w:cs="Arial"/>
                <w:sz w:val="20"/>
                <w:szCs w:val="20"/>
              </w:rPr>
            </w:pPr>
            <w:r>
              <w:rPr>
                <w:rFonts w:ascii="Arial" w:hAnsi="Arial" w:cs="Arial"/>
                <w:sz w:val="20"/>
                <w:szCs w:val="20"/>
              </w:rPr>
              <w:t xml:space="preserve">Only Category C project will be eligible for financing. </w:t>
            </w:r>
            <w:r w:rsidRPr="00292828">
              <w:rPr>
                <w:rFonts w:ascii="Arial" w:hAnsi="Arial" w:cs="Arial"/>
                <w:sz w:val="20"/>
                <w:szCs w:val="20"/>
              </w:rPr>
              <w:t>For co-generation projects a classification tool</w:t>
            </w:r>
            <w:r>
              <w:rPr>
                <w:rFonts w:ascii="Arial" w:hAnsi="Arial" w:cs="Arial"/>
                <w:sz w:val="20"/>
                <w:szCs w:val="20"/>
              </w:rPr>
              <w:t xml:space="preserve"> will be developed</w:t>
            </w:r>
            <w:r w:rsidRPr="00292828">
              <w:rPr>
                <w:rFonts w:ascii="Arial" w:hAnsi="Arial" w:cs="Arial"/>
                <w:sz w:val="20"/>
                <w:szCs w:val="20"/>
              </w:rPr>
              <w:t>. The tool will be based on the IFC Converting Biomass to Energy: A Guide for Developers and Investors and will be in line with the IDB safeguards. It will be presented by AFD and approved by the IDB as a condition prior to first disbursement.  Once approved, said tool will be part of this ESM</w:t>
            </w:r>
            <w:r w:rsidR="005D6A90">
              <w:rPr>
                <w:rFonts w:ascii="Arial" w:hAnsi="Arial" w:cs="Arial"/>
                <w:sz w:val="20"/>
                <w:szCs w:val="20"/>
              </w:rPr>
              <w:t>R</w:t>
            </w:r>
            <w:r w:rsidRPr="00292828">
              <w:rPr>
                <w:rFonts w:ascii="Arial" w:hAnsi="Arial" w:cs="Arial"/>
                <w:sz w:val="20"/>
                <w:szCs w:val="20"/>
              </w:rPr>
              <w:t>. AFD will be responsible to classify the co-generation projects. Only C category projects will be eligible for financing.</w:t>
            </w:r>
          </w:p>
        </w:tc>
      </w:tr>
      <w:tr w:rsidR="000E02C8" w:rsidRPr="0065566F" w14:paraId="416A1FAE" w14:textId="77777777" w:rsidTr="005D6A90">
        <w:trPr>
          <w:trHeight w:val="323"/>
        </w:trPr>
        <w:tc>
          <w:tcPr>
            <w:tcW w:w="2903" w:type="dxa"/>
            <w:shd w:val="clear" w:color="auto" w:fill="D9D9D9" w:themeFill="background1" w:themeFillShade="D9"/>
            <w:vAlign w:val="center"/>
          </w:tcPr>
          <w:p w14:paraId="111EF3C1" w14:textId="77777777" w:rsidR="000E02C8" w:rsidRPr="0065566F" w:rsidRDefault="000E02C8" w:rsidP="000361A6">
            <w:pPr>
              <w:tabs>
                <w:tab w:val="left" w:pos="3200"/>
              </w:tabs>
              <w:rPr>
                <w:rFonts w:ascii="Arial" w:hAnsi="Arial" w:cs="Arial"/>
                <w:sz w:val="20"/>
                <w:szCs w:val="20"/>
              </w:rPr>
            </w:pPr>
            <w:r w:rsidRPr="0065566F">
              <w:rPr>
                <w:rFonts w:ascii="Arial" w:hAnsi="Arial" w:cs="Arial"/>
                <w:sz w:val="20"/>
                <w:szCs w:val="20"/>
              </w:rPr>
              <w:t>B.4 Other Risk Factors</w:t>
            </w:r>
          </w:p>
        </w:tc>
        <w:tc>
          <w:tcPr>
            <w:tcW w:w="10890" w:type="dxa"/>
            <w:gridSpan w:val="5"/>
            <w:vAlign w:val="center"/>
          </w:tcPr>
          <w:p w14:paraId="6B79F99E"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NA</w:t>
            </w:r>
          </w:p>
        </w:tc>
      </w:tr>
      <w:tr w:rsidR="000E02C8" w:rsidRPr="0065566F" w14:paraId="449600B3" w14:textId="77777777" w:rsidTr="005D6A90">
        <w:trPr>
          <w:trHeight w:val="323"/>
        </w:trPr>
        <w:tc>
          <w:tcPr>
            <w:tcW w:w="2903" w:type="dxa"/>
            <w:shd w:val="clear" w:color="auto" w:fill="D9D9D9" w:themeFill="background1" w:themeFillShade="D9"/>
            <w:vAlign w:val="center"/>
          </w:tcPr>
          <w:p w14:paraId="1F4E24AA" w14:textId="77777777" w:rsidR="000E02C8" w:rsidRPr="0065566F" w:rsidRDefault="000E02C8" w:rsidP="000361A6">
            <w:pPr>
              <w:tabs>
                <w:tab w:val="left" w:pos="3200"/>
              </w:tabs>
              <w:rPr>
                <w:rFonts w:ascii="Arial" w:hAnsi="Arial" w:cs="Arial"/>
                <w:sz w:val="20"/>
                <w:szCs w:val="20"/>
              </w:rPr>
            </w:pPr>
            <w:r w:rsidRPr="0065566F">
              <w:rPr>
                <w:rFonts w:ascii="Arial" w:hAnsi="Arial" w:cs="Arial"/>
                <w:sz w:val="20"/>
                <w:szCs w:val="20"/>
              </w:rPr>
              <w:t>B.5 Environmental Assessment and Plans Requirements</w:t>
            </w:r>
          </w:p>
        </w:tc>
        <w:tc>
          <w:tcPr>
            <w:tcW w:w="10890" w:type="dxa"/>
            <w:gridSpan w:val="5"/>
            <w:vAlign w:val="center"/>
          </w:tcPr>
          <w:p w14:paraId="13E1480E"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NA</w:t>
            </w:r>
          </w:p>
        </w:tc>
      </w:tr>
      <w:tr w:rsidR="000E02C8" w:rsidRPr="0065566F" w14:paraId="7FEF322F" w14:textId="77777777" w:rsidTr="005D6A90">
        <w:trPr>
          <w:trHeight w:val="323"/>
        </w:trPr>
        <w:tc>
          <w:tcPr>
            <w:tcW w:w="2903" w:type="dxa"/>
            <w:shd w:val="clear" w:color="auto" w:fill="D9D9D9" w:themeFill="background1" w:themeFillShade="D9"/>
            <w:vAlign w:val="center"/>
          </w:tcPr>
          <w:p w14:paraId="49A5B509" w14:textId="77777777" w:rsidR="000E02C8" w:rsidRPr="0065566F" w:rsidRDefault="000E02C8" w:rsidP="000361A6">
            <w:pPr>
              <w:tabs>
                <w:tab w:val="left" w:pos="3200"/>
              </w:tabs>
              <w:rPr>
                <w:rFonts w:ascii="Arial" w:hAnsi="Arial" w:cs="Arial"/>
                <w:sz w:val="20"/>
                <w:szCs w:val="20"/>
              </w:rPr>
            </w:pPr>
            <w:r w:rsidRPr="0065566F">
              <w:rPr>
                <w:rFonts w:ascii="Arial" w:hAnsi="Arial" w:cs="Arial"/>
                <w:sz w:val="20"/>
                <w:szCs w:val="20"/>
              </w:rPr>
              <w:t>B.5 Social</w:t>
            </w:r>
          </w:p>
          <w:p w14:paraId="751EE439" w14:textId="77777777" w:rsidR="000E02C8" w:rsidRPr="0065566F" w:rsidRDefault="000E02C8" w:rsidP="000361A6">
            <w:pPr>
              <w:tabs>
                <w:tab w:val="left" w:pos="3200"/>
              </w:tabs>
              <w:rPr>
                <w:rFonts w:ascii="Arial" w:hAnsi="Arial" w:cs="Arial"/>
                <w:sz w:val="20"/>
                <w:szCs w:val="20"/>
              </w:rPr>
            </w:pPr>
            <w:r w:rsidRPr="0065566F">
              <w:rPr>
                <w:rFonts w:ascii="Arial" w:hAnsi="Arial" w:cs="Arial"/>
                <w:sz w:val="20"/>
                <w:szCs w:val="20"/>
              </w:rPr>
              <w:t>Assessment and Plans Requirements</w:t>
            </w:r>
          </w:p>
        </w:tc>
        <w:tc>
          <w:tcPr>
            <w:tcW w:w="10890" w:type="dxa"/>
            <w:gridSpan w:val="5"/>
            <w:vAlign w:val="center"/>
          </w:tcPr>
          <w:p w14:paraId="3D264343"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NA</w:t>
            </w:r>
          </w:p>
        </w:tc>
      </w:tr>
      <w:tr w:rsidR="000E02C8" w:rsidRPr="0065566F" w14:paraId="1F3F7AE9" w14:textId="77777777" w:rsidTr="005D6A90">
        <w:trPr>
          <w:trHeight w:val="323"/>
        </w:trPr>
        <w:tc>
          <w:tcPr>
            <w:tcW w:w="2903" w:type="dxa"/>
            <w:shd w:val="clear" w:color="auto" w:fill="D9D9D9" w:themeFill="background1" w:themeFillShade="D9"/>
            <w:vAlign w:val="center"/>
          </w:tcPr>
          <w:p w14:paraId="166534E8" w14:textId="77777777" w:rsidR="000E02C8" w:rsidRPr="0065566F" w:rsidRDefault="000E02C8" w:rsidP="000361A6">
            <w:pPr>
              <w:tabs>
                <w:tab w:val="left" w:pos="3200"/>
              </w:tabs>
              <w:rPr>
                <w:rFonts w:ascii="Arial" w:hAnsi="Arial" w:cs="Arial"/>
                <w:sz w:val="20"/>
                <w:szCs w:val="20"/>
              </w:rPr>
            </w:pPr>
            <w:r w:rsidRPr="0065566F">
              <w:rPr>
                <w:rFonts w:ascii="Arial" w:hAnsi="Arial" w:cs="Arial"/>
                <w:sz w:val="20"/>
                <w:szCs w:val="20"/>
              </w:rPr>
              <w:t xml:space="preserve">B.6 Consultation (including consultation with affected </w:t>
            </w:r>
            <w:r w:rsidRPr="0065566F">
              <w:rPr>
                <w:rFonts w:ascii="Arial" w:hAnsi="Arial" w:cs="Arial"/>
                <w:sz w:val="20"/>
                <w:szCs w:val="20"/>
              </w:rPr>
              <w:lastRenderedPageBreak/>
              <w:t>women, indigenous persons, and/or minority groups)</w:t>
            </w:r>
          </w:p>
        </w:tc>
        <w:tc>
          <w:tcPr>
            <w:tcW w:w="10890" w:type="dxa"/>
            <w:gridSpan w:val="5"/>
            <w:vAlign w:val="center"/>
          </w:tcPr>
          <w:p w14:paraId="43AB5743"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lastRenderedPageBreak/>
              <w:t>NA</w:t>
            </w:r>
          </w:p>
        </w:tc>
      </w:tr>
      <w:tr w:rsidR="00641735" w:rsidRPr="0065566F" w14:paraId="0DE13BC3" w14:textId="77777777" w:rsidTr="000361A6">
        <w:trPr>
          <w:trHeight w:val="323"/>
        </w:trPr>
        <w:tc>
          <w:tcPr>
            <w:tcW w:w="2903" w:type="dxa"/>
            <w:shd w:val="clear" w:color="auto" w:fill="D9D9D9" w:themeFill="background1" w:themeFillShade="D9"/>
            <w:vAlign w:val="center"/>
          </w:tcPr>
          <w:p w14:paraId="615B00C1" w14:textId="77777777" w:rsidR="00641735" w:rsidRPr="0065566F" w:rsidRDefault="00641735" w:rsidP="000361A6">
            <w:pPr>
              <w:tabs>
                <w:tab w:val="left" w:pos="3200"/>
              </w:tabs>
              <w:rPr>
                <w:rFonts w:ascii="Arial" w:hAnsi="Arial" w:cs="Arial"/>
                <w:sz w:val="20"/>
                <w:szCs w:val="20"/>
              </w:rPr>
            </w:pPr>
            <w:r w:rsidRPr="0065566F">
              <w:rPr>
                <w:rFonts w:ascii="Arial" w:hAnsi="Arial" w:cs="Arial"/>
                <w:sz w:val="20"/>
                <w:szCs w:val="20"/>
              </w:rPr>
              <w:t xml:space="preserve">B.7 Supervision </w:t>
            </w:r>
            <w:r w:rsidR="00611432" w:rsidRPr="0065566F">
              <w:rPr>
                <w:rFonts w:ascii="Arial" w:hAnsi="Arial" w:cs="Arial"/>
                <w:sz w:val="20"/>
                <w:szCs w:val="20"/>
              </w:rPr>
              <w:t>and</w:t>
            </w:r>
            <w:r w:rsidRPr="0065566F">
              <w:rPr>
                <w:rFonts w:ascii="Arial" w:hAnsi="Arial" w:cs="Arial"/>
                <w:sz w:val="20"/>
                <w:szCs w:val="20"/>
              </w:rPr>
              <w:t xml:space="preserve"> Compliance</w:t>
            </w:r>
          </w:p>
        </w:tc>
        <w:tc>
          <w:tcPr>
            <w:tcW w:w="2160" w:type="dxa"/>
            <w:gridSpan w:val="2"/>
            <w:vAlign w:val="center"/>
          </w:tcPr>
          <w:p w14:paraId="7B38CA38" w14:textId="77777777" w:rsidR="00641735" w:rsidRPr="0065566F" w:rsidRDefault="006750E7" w:rsidP="00292828">
            <w:pPr>
              <w:tabs>
                <w:tab w:val="left" w:pos="3200"/>
              </w:tabs>
              <w:rPr>
                <w:rFonts w:ascii="Arial" w:hAnsi="Arial" w:cs="Arial"/>
                <w:sz w:val="20"/>
                <w:szCs w:val="20"/>
              </w:rPr>
            </w:pPr>
            <w:r w:rsidRPr="006750E7">
              <w:rPr>
                <w:rFonts w:ascii="Arial" w:hAnsi="Arial" w:cs="Arial"/>
                <w:sz w:val="20"/>
                <w:szCs w:val="20"/>
              </w:rPr>
              <w:t>Program and sub-project supervision and monitoring.</w:t>
            </w:r>
          </w:p>
        </w:tc>
        <w:tc>
          <w:tcPr>
            <w:tcW w:w="4320" w:type="dxa"/>
          </w:tcPr>
          <w:p w14:paraId="4CB2CBF1" w14:textId="77777777" w:rsidR="00641735" w:rsidRPr="0065566F" w:rsidRDefault="00292828" w:rsidP="006F7063">
            <w:pPr>
              <w:tabs>
                <w:tab w:val="left" w:pos="3200"/>
              </w:tabs>
              <w:jc w:val="both"/>
              <w:rPr>
                <w:rFonts w:ascii="Arial" w:hAnsi="Arial" w:cs="Arial"/>
                <w:sz w:val="20"/>
                <w:szCs w:val="20"/>
              </w:rPr>
            </w:pPr>
            <w:r>
              <w:rPr>
                <w:rFonts w:ascii="Arial" w:hAnsi="Arial" w:cs="Arial"/>
                <w:sz w:val="20"/>
                <w:szCs w:val="20"/>
              </w:rPr>
              <w:t xml:space="preserve">Compliance expected during </w:t>
            </w:r>
            <w:r w:rsidR="005D6A90">
              <w:rPr>
                <w:rFonts w:ascii="Arial" w:hAnsi="Arial" w:cs="Arial"/>
                <w:sz w:val="20"/>
                <w:szCs w:val="20"/>
              </w:rPr>
              <w:t>Program</w:t>
            </w:r>
            <w:r>
              <w:rPr>
                <w:rFonts w:ascii="Arial" w:hAnsi="Arial" w:cs="Arial"/>
                <w:sz w:val="20"/>
                <w:szCs w:val="20"/>
              </w:rPr>
              <w:t xml:space="preserve"> execution</w:t>
            </w:r>
          </w:p>
        </w:tc>
        <w:tc>
          <w:tcPr>
            <w:tcW w:w="4410" w:type="dxa"/>
            <w:gridSpan w:val="2"/>
          </w:tcPr>
          <w:p w14:paraId="0246B14C" w14:textId="77777777" w:rsidR="00641735" w:rsidRDefault="00292828" w:rsidP="006F7063">
            <w:pPr>
              <w:tabs>
                <w:tab w:val="left" w:pos="3200"/>
              </w:tabs>
              <w:jc w:val="both"/>
              <w:rPr>
                <w:rFonts w:ascii="Arial" w:hAnsi="Arial" w:cs="Arial"/>
                <w:sz w:val="20"/>
                <w:szCs w:val="20"/>
              </w:rPr>
            </w:pPr>
            <w:r>
              <w:rPr>
                <w:rFonts w:ascii="Arial" w:hAnsi="Arial" w:cs="Arial"/>
                <w:sz w:val="20"/>
                <w:szCs w:val="20"/>
              </w:rPr>
              <w:t>AFD will ensure that the ESM</w:t>
            </w:r>
            <w:r w:rsidR="005D6A90">
              <w:rPr>
                <w:rFonts w:ascii="Arial" w:hAnsi="Arial" w:cs="Arial"/>
                <w:sz w:val="20"/>
                <w:szCs w:val="20"/>
              </w:rPr>
              <w:t>R</w:t>
            </w:r>
            <w:r>
              <w:rPr>
                <w:rFonts w:ascii="Arial" w:hAnsi="Arial" w:cs="Arial"/>
                <w:sz w:val="20"/>
                <w:szCs w:val="20"/>
              </w:rPr>
              <w:t xml:space="preserve"> requirements apply to participating FIs and sub-projects borrowers. </w:t>
            </w:r>
          </w:p>
          <w:p w14:paraId="6D0C74CB" w14:textId="77777777" w:rsidR="00292828" w:rsidRDefault="00292828" w:rsidP="00292828">
            <w:pPr>
              <w:tabs>
                <w:tab w:val="left" w:pos="3200"/>
              </w:tabs>
              <w:jc w:val="both"/>
              <w:rPr>
                <w:rFonts w:ascii="Arial" w:hAnsi="Arial" w:cs="Arial"/>
                <w:sz w:val="20"/>
                <w:szCs w:val="20"/>
              </w:rPr>
            </w:pPr>
            <w:r>
              <w:rPr>
                <w:rFonts w:ascii="Arial" w:hAnsi="Arial" w:cs="Arial"/>
                <w:sz w:val="20"/>
                <w:szCs w:val="20"/>
              </w:rPr>
              <w:t>The ESM</w:t>
            </w:r>
            <w:r w:rsidR="005D6A90">
              <w:rPr>
                <w:rFonts w:ascii="Arial" w:hAnsi="Arial" w:cs="Arial"/>
                <w:sz w:val="20"/>
                <w:szCs w:val="20"/>
              </w:rPr>
              <w:t>R</w:t>
            </w:r>
            <w:r>
              <w:rPr>
                <w:rFonts w:ascii="Arial" w:hAnsi="Arial" w:cs="Arial"/>
                <w:sz w:val="20"/>
                <w:szCs w:val="20"/>
              </w:rPr>
              <w:t xml:space="preserve"> includes the following requirement from AFD: </w:t>
            </w:r>
          </w:p>
          <w:p w14:paraId="11E974D4" w14:textId="77777777" w:rsidR="00292828" w:rsidRPr="00292828" w:rsidRDefault="00292828" w:rsidP="00292828">
            <w:pPr>
              <w:tabs>
                <w:tab w:val="left" w:pos="3200"/>
              </w:tabs>
              <w:jc w:val="both"/>
              <w:rPr>
                <w:rFonts w:ascii="Arial" w:hAnsi="Arial" w:cs="Arial"/>
                <w:sz w:val="20"/>
                <w:szCs w:val="20"/>
              </w:rPr>
            </w:pPr>
            <w:r>
              <w:rPr>
                <w:rFonts w:ascii="Arial" w:hAnsi="Arial" w:cs="Arial"/>
                <w:sz w:val="20"/>
                <w:szCs w:val="20"/>
              </w:rPr>
              <w:t>1. To p</w:t>
            </w:r>
            <w:r w:rsidRPr="00292828">
              <w:rPr>
                <w:rFonts w:ascii="Arial" w:hAnsi="Arial" w:cs="Arial"/>
                <w:sz w:val="20"/>
                <w:szCs w:val="20"/>
              </w:rPr>
              <w:t>erform compulsory site-visits for projects above US$1m (AFD E&amp;S specialist)</w:t>
            </w:r>
          </w:p>
          <w:p w14:paraId="4433B4C5" w14:textId="77777777" w:rsidR="00292828" w:rsidRDefault="00292828" w:rsidP="00292828">
            <w:pPr>
              <w:tabs>
                <w:tab w:val="left" w:pos="3200"/>
              </w:tabs>
              <w:jc w:val="both"/>
              <w:rPr>
                <w:rFonts w:ascii="Arial" w:hAnsi="Arial" w:cs="Arial"/>
                <w:sz w:val="20"/>
                <w:szCs w:val="20"/>
              </w:rPr>
            </w:pPr>
            <w:r>
              <w:rPr>
                <w:rFonts w:ascii="Arial" w:hAnsi="Arial" w:cs="Arial"/>
                <w:sz w:val="20"/>
                <w:szCs w:val="20"/>
              </w:rPr>
              <w:t>2. To p</w:t>
            </w:r>
            <w:r w:rsidRPr="00292828">
              <w:rPr>
                <w:rFonts w:ascii="Arial" w:hAnsi="Arial" w:cs="Arial"/>
                <w:sz w:val="20"/>
                <w:szCs w:val="20"/>
              </w:rPr>
              <w:t xml:space="preserve">resent an Annual Environmental and Social Compliance Report (ESCR) with information on the guaranteed portfolio and any </w:t>
            </w:r>
            <w:proofErr w:type="gramStart"/>
            <w:r w:rsidRPr="00292828">
              <w:rPr>
                <w:rFonts w:ascii="Arial" w:hAnsi="Arial" w:cs="Arial"/>
                <w:sz w:val="20"/>
                <w:szCs w:val="20"/>
              </w:rPr>
              <w:t>particular risk</w:t>
            </w:r>
            <w:proofErr w:type="gramEnd"/>
            <w:r w:rsidRPr="00292828">
              <w:rPr>
                <w:rFonts w:ascii="Arial" w:hAnsi="Arial" w:cs="Arial"/>
                <w:sz w:val="20"/>
                <w:szCs w:val="20"/>
              </w:rPr>
              <w:t xml:space="preserve"> issues identified, mitigation measures agreed with clients as well as compliance status.</w:t>
            </w:r>
          </w:p>
          <w:p w14:paraId="0EAAB58C" w14:textId="77777777" w:rsidR="00292828" w:rsidRDefault="00292828" w:rsidP="00292828">
            <w:pPr>
              <w:tabs>
                <w:tab w:val="left" w:pos="3200"/>
              </w:tabs>
              <w:jc w:val="both"/>
              <w:rPr>
                <w:rFonts w:ascii="Arial" w:hAnsi="Arial" w:cs="Arial"/>
                <w:sz w:val="20"/>
                <w:szCs w:val="20"/>
              </w:rPr>
            </w:pPr>
            <w:r>
              <w:rPr>
                <w:rFonts w:ascii="Arial" w:hAnsi="Arial" w:cs="Arial"/>
                <w:sz w:val="20"/>
                <w:szCs w:val="20"/>
              </w:rPr>
              <w:t xml:space="preserve">3. To </w:t>
            </w:r>
            <w:r w:rsidRPr="00292828">
              <w:rPr>
                <w:rFonts w:ascii="Arial" w:hAnsi="Arial" w:cs="Arial"/>
                <w:sz w:val="20"/>
                <w:szCs w:val="20"/>
              </w:rPr>
              <w:t>provide and facilitate access by IDB to all relevant documentation, personnel and sub-projects facilities.</w:t>
            </w:r>
          </w:p>
          <w:p w14:paraId="46037661" w14:textId="77777777" w:rsidR="00292828" w:rsidRPr="0065566F" w:rsidRDefault="00292828" w:rsidP="00292828">
            <w:pPr>
              <w:tabs>
                <w:tab w:val="left" w:pos="3200"/>
              </w:tabs>
              <w:jc w:val="both"/>
              <w:rPr>
                <w:rFonts w:ascii="Arial" w:hAnsi="Arial" w:cs="Arial"/>
                <w:sz w:val="20"/>
                <w:szCs w:val="20"/>
              </w:rPr>
            </w:pPr>
            <w:r>
              <w:rPr>
                <w:rFonts w:ascii="Arial" w:hAnsi="Arial" w:cs="Arial"/>
                <w:sz w:val="20"/>
                <w:szCs w:val="20"/>
              </w:rPr>
              <w:t xml:space="preserve">4. </w:t>
            </w:r>
            <w:r w:rsidRPr="00292828">
              <w:rPr>
                <w:rFonts w:ascii="Arial" w:hAnsi="Arial" w:cs="Arial"/>
                <w:sz w:val="20"/>
                <w:szCs w:val="20"/>
              </w:rPr>
              <w:t xml:space="preserve">If necessary, </w:t>
            </w:r>
            <w:r>
              <w:rPr>
                <w:rFonts w:ascii="Arial" w:hAnsi="Arial" w:cs="Arial"/>
                <w:sz w:val="20"/>
                <w:szCs w:val="20"/>
              </w:rPr>
              <w:t>to</w:t>
            </w:r>
            <w:r w:rsidRPr="00292828">
              <w:rPr>
                <w:rFonts w:ascii="Arial" w:hAnsi="Arial" w:cs="Arial"/>
                <w:sz w:val="20"/>
                <w:szCs w:val="20"/>
              </w:rPr>
              <w:t xml:space="preserve"> agree </w:t>
            </w:r>
            <w:r>
              <w:rPr>
                <w:rFonts w:ascii="Arial" w:hAnsi="Arial" w:cs="Arial"/>
                <w:sz w:val="20"/>
                <w:szCs w:val="20"/>
              </w:rPr>
              <w:t xml:space="preserve">with IDB </w:t>
            </w:r>
            <w:r w:rsidRPr="00292828">
              <w:rPr>
                <w:rFonts w:ascii="Arial" w:hAnsi="Arial" w:cs="Arial"/>
                <w:sz w:val="20"/>
                <w:szCs w:val="20"/>
              </w:rPr>
              <w:t>on corrective actions or measures necessary to address impacts and risks and/or to enhance their management.</w:t>
            </w:r>
          </w:p>
        </w:tc>
      </w:tr>
      <w:tr w:rsidR="000E02C8" w:rsidRPr="0065566F" w14:paraId="3FBCE298" w14:textId="77777777" w:rsidTr="005D6A90">
        <w:trPr>
          <w:trHeight w:val="323"/>
        </w:trPr>
        <w:tc>
          <w:tcPr>
            <w:tcW w:w="2903" w:type="dxa"/>
            <w:shd w:val="clear" w:color="auto" w:fill="D9D9D9" w:themeFill="background1" w:themeFillShade="D9"/>
            <w:vAlign w:val="center"/>
          </w:tcPr>
          <w:p w14:paraId="14BE571F"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B.8 Transboundary Impacts</w:t>
            </w:r>
          </w:p>
        </w:tc>
        <w:tc>
          <w:tcPr>
            <w:tcW w:w="10890" w:type="dxa"/>
            <w:gridSpan w:val="5"/>
            <w:vAlign w:val="center"/>
          </w:tcPr>
          <w:p w14:paraId="65210B57"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NA</w:t>
            </w:r>
          </w:p>
        </w:tc>
      </w:tr>
      <w:tr w:rsidR="000E02C8" w:rsidRPr="0065566F" w14:paraId="2855583C" w14:textId="77777777" w:rsidTr="005D6A90">
        <w:trPr>
          <w:trHeight w:val="323"/>
        </w:trPr>
        <w:tc>
          <w:tcPr>
            <w:tcW w:w="2903" w:type="dxa"/>
            <w:shd w:val="clear" w:color="auto" w:fill="D9D9D9" w:themeFill="background1" w:themeFillShade="D9"/>
            <w:vAlign w:val="center"/>
          </w:tcPr>
          <w:p w14:paraId="4C4DC0D4"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B.9 Natural Habitats</w:t>
            </w:r>
          </w:p>
        </w:tc>
        <w:tc>
          <w:tcPr>
            <w:tcW w:w="10890" w:type="dxa"/>
            <w:gridSpan w:val="5"/>
            <w:vAlign w:val="center"/>
          </w:tcPr>
          <w:p w14:paraId="5DEB5629"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NA</w:t>
            </w:r>
          </w:p>
        </w:tc>
      </w:tr>
      <w:tr w:rsidR="000E02C8" w:rsidRPr="0065566F" w14:paraId="50A545B0" w14:textId="77777777" w:rsidTr="005D6A90">
        <w:trPr>
          <w:trHeight w:val="323"/>
        </w:trPr>
        <w:tc>
          <w:tcPr>
            <w:tcW w:w="2903" w:type="dxa"/>
            <w:shd w:val="clear" w:color="auto" w:fill="D9D9D9" w:themeFill="background1" w:themeFillShade="D9"/>
            <w:vAlign w:val="center"/>
          </w:tcPr>
          <w:p w14:paraId="6D26BA81"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B.9 Invasive Species</w:t>
            </w:r>
          </w:p>
        </w:tc>
        <w:tc>
          <w:tcPr>
            <w:tcW w:w="10890" w:type="dxa"/>
            <w:gridSpan w:val="5"/>
            <w:vAlign w:val="center"/>
          </w:tcPr>
          <w:p w14:paraId="01CDD65C" w14:textId="77777777" w:rsidR="000E02C8" w:rsidRPr="0065566F" w:rsidRDefault="000E02C8" w:rsidP="00292828">
            <w:pPr>
              <w:tabs>
                <w:tab w:val="left" w:pos="3200"/>
              </w:tabs>
              <w:jc w:val="center"/>
              <w:rPr>
                <w:rFonts w:ascii="Arial" w:hAnsi="Arial" w:cs="Arial"/>
                <w:sz w:val="20"/>
                <w:szCs w:val="20"/>
              </w:rPr>
            </w:pPr>
            <w:r w:rsidRPr="0065566F">
              <w:rPr>
                <w:rFonts w:ascii="Arial" w:hAnsi="Arial" w:cs="Arial"/>
                <w:sz w:val="20"/>
                <w:szCs w:val="20"/>
              </w:rPr>
              <w:t>NA</w:t>
            </w:r>
          </w:p>
        </w:tc>
      </w:tr>
      <w:tr w:rsidR="000E02C8" w:rsidRPr="0065566F" w14:paraId="315CA797" w14:textId="77777777" w:rsidTr="005D6A90">
        <w:trPr>
          <w:trHeight w:val="323"/>
        </w:trPr>
        <w:tc>
          <w:tcPr>
            <w:tcW w:w="2903" w:type="dxa"/>
            <w:shd w:val="clear" w:color="auto" w:fill="D9D9D9" w:themeFill="background1" w:themeFillShade="D9"/>
            <w:vAlign w:val="center"/>
          </w:tcPr>
          <w:p w14:paraId="6F6F489A"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B.9 Cultural Sites</w:t>
            </w:r>
          </w:p>
        </w:tc>
        <w:tc>
          <w:tcPr>
            <w:tcW w:w="10890" w:type="dxa"/>
            <w:gridSpan w:val="5"/>
            <w:vAlign w:val="center"/>
          </w:tcPr>
          <w:p w14:paraId="1B4140B9" w14:textId="77777777" w:rsidR="000E02C8" w:rsidRPr="0065566F" w:rsidRDefault="000E02C8" w:rsidP="00292828">
            <w:pPr>
              <w:tabs>
                <w:tab w:val="left" w:pos="3200"/>
              </w:tabs>
              <w:jc w:val="center"/>
              <w:rPr>
                <w:rFonts w:ascii="Arial" w:hAnsi="Arial" w:cs="Arial"/>
                <w:sz w:val="20"/>
                <w:szCs w:val="20"/>
              </w:rPr>
            </w:pPr>
            <w:r w:rsidRPr="0065566F">
              <w:rPr>
                <w:rFonts w:ascii="Arial" w:hAnsi="Arial" w:cs="Arial"/>
                <w:sz w:val="20"/>
                <w:szCs w:val="20"/>
              </w:rPr>
              <w:t>NA</w:t>
            </w:r>
          </w:p>
        </w:tc>
      </w:tr>
      <w:tr w:rsidR="00292828" w:rsidRPr="0065566F" w14:paraId="43960AD5" w14:textId="77777777" w:rsidTr="00292828">
        <w:trPr>
          <w:trHeight w:val="323"/>
        </w:trPr>
        <w:tc>
          <w:tcPr>
            <w:tcW w:w="2903" w:type="dxa"/>
            <w:shd w:val="clear" w:color="auto" w:fill="D9D9D9" w:themeFill="background1" w:themeFillShade="D9"/>
            <w:vAlign w:val="center"/>
          </w:tcPr>
          <w:p w14:paraId="4A96100A" w14:textId="77777777" w:rsidR="00292828" w:rsidRPr="0065566F" w:rsidDel="00641735" w:rsidRDefault="00292828" w:rsidP="000E02C8">
            <w:pPr>
              <w:tabs>
                <w:tab w:val="left" w:pos="3200"/>
              </w:tabs>
              <w:rPr>
                <w:rFonts w:ascii="Arial" w:hAnsi="Arial" w:cs="Arial"/>
                <w:b/>
                <w:sz w:val="20"/>
                <w:szCs w:val="20"/>
              </w:rPr>
            </w:pPr>
            <w:r w:rsidRPr="0065566F">
              <w:rPr>
                <w:rFonts w:ascii="Arial" w:hAnsi="Arial" w:cs="Arial"/>
                <w:sz w:val="20"/>
                <w:szCs w:val="20"/>
              </w:rPr>
              <w:t>B.10 Hazardous Materials</w:t>
            </w:r>
          </w:p>
        </w:tc>
        <w:tc>
          <w:tcPr>
            <w:tcW w:w="2137" w:type="dxa"/>
            <w:vAlign w:val="center"/>
          </w:tcPr>
          <w:p w14:paraId="79F234B5" w14:textId="77777777" w:rsidR="00292828" w:rsidRPr="0065566F" w:rsidRDefault="006750E7" w:rsidP="006750E7">
            <w:pPr>
              <w:tabs>
                <w:tab w:val="left" w:pos="3200"/>
              </w:tabs>
              <w:rPr>
                <w:rFonts w:ascii="Arial" w:hAnsi="Arial" w:cs="Arial"/>
                <w:sz w:val="20"/>
                <w:szCs w:val="20"/>
              </w:rPr>
            </w:pPr>
            <w:r w:rsidRPr="006750E7">
              <w:rPr>
                <w:rFonts w:ascii="Arial" w:hAnsi="Arial" w:cs="Arial"/>
                <w:sz w:val="20"/>
                <w:szCs w:val="20"/>
              </w:rPr>
              <w:t>Avoid impacts associated with production,</w:t>
            </w:r>
            <w:r>
              <w:rPr>
                <w:rFonts w:ascii="Arial" w:hAnsi="Arial" w:cs="Arial"/>
                <w:sz w:val="20"/>
                <w:szCs w:val="20"/>
              </w:rPr>
              <w:t xml:space="preserve"> </w:t>
            </w:r>
            <w:r w:rsidRPr="006750E7">
              <w:rPr>
                <w:rFonts w:ascii="Arial" w:hAnsi="Arial" w:cs="Arial"/>
                <w:sz w:val="20"/>
                <w:szCs w:val="20"/>
              </w:rPr>
              <w:t>acquisition, use, and final disposal of hazardous materials</w:t>
            </w:r>
          </w:p>
        </w:tc>
        <w:tc>
          <w:tcPr>
            <w:tcW w:w="4410" w:type="dxa"/>
            <w:gridSpan w:val="3"/>
            <w:vAlign w:val="center"/>
          </w:tcPr>
          <w:p w14:paraId="5BDD053B" w14:textId="77777777" w:rsidR="00292828" w:rsidRPr="0065566F" w:rsidRDefault="006750E7" w:rsidP="000E02C8">
            <w:pPr>
              <w:tabs>
                <w:tab w:val="left" w:pos="3200"/>
              </w:tabs>
              <w:jc w:val="both"/>
              <w:rPr>
                <w:rFonts w:ascii="Arial" w:hAnsi="Arial" w:cs="Arial"/>
                <w:sz w:val="20"/>
                <w:szCs w:val="20"/>
              </w:rPr>
            </w:pPr>
            <w:r>
              <w:rPr>
                <w:rFonts w:ascii="Arial" w:hAnsi="Arial" w:cs="Arial"/>
                <w:sz w:val="20"/>
                <w:szCs w:val="20"/>
              </w:rPr>
              <w:t xml:space="preserve">Compliance expected during </w:t>
            </w:r>
            <w:r w:rsidR="005D6A90">
              <w:rPr>
                <w:rFonts w:ascii="Arial" w:hAnsi="Arial" w:cs="Arial"/>
                <w:sz w:val="20"/>
                <w:szCs w:val="20"/>
              </w:rPr>
              <w:t>Program</w:t>
            </w:r>
            <w:r>
              <w:rPr>
                <w:rFonts w:ascii="Arial" w:hAnsi="Arial" w:cs="Arial"/>
                <w:sz w:val="20"/>
                <w:szCs w:val="20"/>
              </w:rPr>
              <w:t xml:space="preserve"> execution</w:t>
            </w:r>
          </w:p>
        </w:tc>
        <w:tc>
          <w:tcPr>
            <w:tcW w:w="4343" w:type="dxa"/>
            <w:vAlign w:val="center"/>
          </w:tcPr>
          <w:p w14:paraId="491E7D7A" w14:textId="77777777" w:rsidR="00292828" w:rsidRPr="00292828" w:rsidRDefault="00292828" w:rsidP="00292828">
            <w:pPr>
              <w:tabs>
                <w:tab w:val="left" w:pos="3200"/>
              </w:tabs>
              <w:jc w:val="both"/>
              <w:rPr>
                <w:rFonts w:ascii="Arial" w:hAnsi="Arial" w:cs="Arial"/>
                <w:sz w:val="20"/>
                <w:szCs w:val="20"/>
              </w:rPr>
            </w:pPr>
          </w:p>
          <w:p w14:paraId="31C09161" w14:textId="77777777" w:rsidR="00292828" w:rsidRPr="0065566F" w:rsidRDefault="00292828" w:rsidP="00292828">
            <w:pPr>
              <w:tabs>
                <w:tab w:val="left" w:pos="3200"/>
              </w:tabs>
              <w:jc w:val="both"/>
              <w:rPr>
                <w:rFonts w:ascii="Arial" w:hAnsi="Arial" w:cs="Arial"/>
                <w:sz w:val="20"/>
                <w:szCs w:val="20"/>
              </w:rPr>
            </w:pPr>
            <w:r w:rsidRPr="00292828">
              <w:rPr>
                <w:rFonts w:ascii="Arial" w:hAnsi="Arial" w:cs="Arial"/>
                <w:sz w:val="20"/>
                <w:szCs w:val="20"/>
              </w:rPr>
              <w:t xml:space="preserve">Compliance with applicable legislation includes the necessary requirements for the proper management of waste and hazardous waste. </w:t>
            </w:r>
            <w:r>
              <w:rPr>
                <w:rFonts w:ascii="Arial" w:hAnsi="Arial" w:cs="Arial"/>
                <w:sz w:val="20"/>
                <w:szCs w:val="20"/>
              </w:rPr>
              <w:t>AFD</w:t>
            </w:r>
            <w:r w:rsidRPr="00292828">
              <w:rPr>
                <w:rFonts w:ascii="Arial" w:hAnsi="Arial" w:cs="Arial"/>
                <w:sz w:val="20"/>
                <w:szCs w:val="20"/>
              </w:rPr>
              <w:t xml:space="preserve"> only finances projects that comply with the applicable legislation</w:t>
            </w:r>
          </w:p>
        </w:tc>
      </w:tr>
      <w:tr w:rsidR="000E02C8" w:rsidRPr="0065566F" w14:paraId="46D5097B" w14:textId="77777777" w:rsidTr="000361A6">
        <w:trPr>
          <w:trHeight w:val="323"/>
        </w:trPr>
        <w:tc>
          <w:tcPr>
            <w:tcW w:w="2903" w:type="dxa"/>
            <w:shd w:val="clear" w:color="auto" w:fill="D9D9D9" w:themeFill="background1" w:themeFillShade="D9"/>
            <w:vAlign w:val="center"/>
          </w:tcPr>
          <w:p w14:paraId="6E2A69FD"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B.11 Pollution Prevention &amp; Abatement</w:t>
            </w:r>
          </w:p>
        </w:tc>
        <w:tc>
          <w:tcPr>
            <w:tcW w:w="2160" w:type="dxa"/>
            <w:gridSpan w:val="2"/>
            <w:vAlign w:val="center"/>
          </w:tcPr>
          <w:p w14:paraId="6C30FC3A" w14:textId="77777777" w:rsidR="000E02C8" w:rsidRPr="0065566F" w:rsidRDefault="006750E7" w:rsidP="000E02C8">
            <w:pPr>
              <w:tabs>
                <w:tab w:val="left" w:pos="3200"/>
              </w:tabs>
              <w:jc w:val="both"/>
              <w:rPr>
                <w:rFonts w:ascii="Arial" w:hAnsi="Arial" w:cs="Arial"/>
                <w:sz w:val="20"/>
                <w:szCs w:val="20"/>
              </w:rPr>
            </w:pPr>
            <w:r w:rsidRPr="006750E7">
              <w:rPr>
                <w:rFonts w:ascii="Arial" w:hAnsi="Arial" w:cs="Arial"/>
                <w:sz w:val="20"/>
                <w:szCs w:val="20"/>
              </w:rPr>
              <w:t>Reduce or eliminate emissions, including gaseous, liquid, and solid waste</w:t>
            </w:r>
          </w:p>
        </w:tc>
        <w:tc>
          <w:tcPr>
            <w:tcW w:w="4320" w:type="dxa"/>
          </w:tcPr>
          <w:p w14:paraId="2E493DE0" w14:textId="77777777" w:rsidR="000E02C8" w:rsidRPr="0065566F" w:rsidRDefault="006750E7" w:rsidP="000E02C8">
            <w:pPr>
              <w:tabs>
                <w:tab w:val="left" w:pos="3200"/>
              </w:tabs>
              <w:jc w:val="both"/>
              <w:rPr>
                <w:rFonts w:ascii="Arial" w:hAnsi="Arial" w:cs="Arial"/>
                <w:sz w:val="20"/>
                <w:szCs w:val="20"/>
              </w:rPr>
            </w:pPr>
            <w:r>
              <w:rPr>
                <w:rFonts w:ascii="Arial" w:hAnsi="Arial" w:cs="Arial"/>
                <w:sz w:val="20"/>
                <w:szCs w:val="20"/>
              </w:rPr>
              <w:t xml:space="preserve">Compliance expected during </w:t>
            </w:r>
            <w:r w:rsidR="005D6A90">
              <w:rPr>
                <w:rFonts w:ascii="Arial" w:hAnsi="Arial" w:cs="Arial"/>
                <w:sz w:val="20"/>
                <w:szCs w:val="20"/>
              </w:rPr>
              <w:t>Program</w:t>
            </w:r>
            <w:r>
              <w:rPr>
                <w:rFonts w:ascii="Arial" w:hAnsi="Arial" w:cs="Arial"/>
                <w:sz w:val="20"/>
                <w:szCs w:val="20"/>
              </w:rPr>
              <w:t xml:space="preserve"> execution</w:t>
            </w:r>
          </w:p>
        </w:tc>
        <w:tc>
          <w:tcPr>
            <w:tcW w:w="4410" w:type="dxa"/>
            <w:gridSpan w:val="2"/>
          </w:tcPr>
          <w:p w14:paraId="4AD77724" w14:textId="77777777" w:rsidR="00292828" w:rsidRPr="00292828" w:rsidRDefault="00292828" w:rsidP="00292828">
            <w:pPr>
              <w:tabs>
                <w:tab w:val="left" w:pos="3200"/>
              </w:tabs>
              <w:jc w:val="both"/>
              <w:rPr>
                <w:rFonts w:ascii="Arial" w:hAnsi="Arial" w:cs="Arial"/>
                <w:sz w:val="20"/>
                <w:szCs w:val="20"/>
              </w:rPr>
            </w:pPr>
          </w:p>
          <w:p w14:paraId="470285D5" w14:textId="77777777" w:rsidR="000E02C8" w:rsidRPr="0065566F" w:rsidRDefault="00292828" w:rsidP="00292828">
            <w:pPr>
              <w:tabs>
                <w:tab w:val="left" w:pos="3200"/>
              </w:tabs>
              <w:jc w:val="both"/>
              <w:rPr>
                <w:rFonts w:ascii="Arial" w:hAnsi="Arial" w:cs="Arial"/>
                <w:sz w:val="20"/>
                <w:szCs w:val="20"/>
              </w:rPr>
            </w:pPr>
            <w:r w:rsidRPr="00292828">
              <w:rPr>
                <w:rFonts w:ascii="Arial" w:hAnsi="Arial" w:cs="Arial"/>
                <w:sz w:val="20"/>
                <w:szCs w:val="20"/>
              </w:rPr>
              <w:t>Compliance with applicable legislation includes the necessary requirements for</w:t>
            </w:r>
            <w:r w:rsidR="00E228C6">
              <w:rPr>
                <w:rFonts w:ascii="Arial" w:hAnsi="Arial" w:cs="Arial"/>
                <w:sz w:val="20"/>
                <w:szCs w:val="20"/>
              </w:rPr>
              <w:t xml:space="preserve"> pollution prevention</w:t>
            </w:r>
            <w:r w:rsidRPr="00292828">
              <w:rPr>
                <w:rFonts w:ascii="Arial" w:hAnsi="Arial" w:cs="Arial"/>
                <w:sz w:val="20"/>
                <w:szCs w:val="20"/>
              </w:rPr>
              <w:t xml:space="preserve">. </w:t>
            </w:r>
            <w:r>
              <w:rPr>
                <w:rFonts w:ascii="Arial" w:hAnsi="Arial" w:cs="Arial"/>
                <w:sz w:val="20"/>
                <w:szCs w:val="20"/>
              </w:rPr>
              <w:t>AFD</w:t>
            </w:r>
            <w:r w:rsidRPr="00292828">
              <w:rPr>
                <w:rFonts w:ascii="Arial" w:hAnsi="Arial" w:cs="Arial"/>
                <w:sz w:val="20"/>
                <w:szCs w:val="20"/>
              </w:rPr>
              <w:t xml:space="preserve"> only finances projects that comply with the applicable legislation</w:t>
            </w:r>
          </w:p>
        </w:tc>
      </w:tr>
      <w:tr w:rsidR="000E02C8" w:rsidRPr="0065566F" w14:paraId="1960A2CC" w14:textId="77777777" w:rsidTr="000361A6">
        <w:trPr>
          <w:trHeight w:val="323"/>
        </w:trPr>
        <w:tc>
          <w:tcPr>
            <w:tcW w:w="2903" w:type="dxa"/>
            <w:shd w:val="clear" w:color="auto" w:fill="D9D9D9" w:themeFill="background1" w:themeFillShade="D9"/>
            <w:vAlign w:val="center"/>
          </w:tcPr>
          <w:p w14:paraId="75D989FF" w14:textId="77777777" w:rsidR="000E02C8" w:rsidRPr="0065566F" w:rsidRDefault="000E02C8" w:rsidP="000E02C8">
            <w:pPr>
              <w:tabs>
                <w:tab w:val="left" w:pos="3200"/>
              </w:tabs>
              <w:rPr>
                <w:rFonts w:ascii="Arial" w:hAnsi="Arial" w:cs="Arial"/>
                <w:sz w:val="20"/>
                <w:szCs w:val="20"/>
              </w:rPr>
            </w:pPr>
            <w:r w:rsidRPr="0065566F">
              <w:rPr>
                <w:rFonts w:ascii="Arial" w:hAnsi="Arial" w:cs="Arial"/>
                <w:sz w:val="20"/>
                <w:szCs w:val="20"/>
              </w:rPr>
              <w:lastRenderedPageBreak/>
              <w:t>B.11 Pollution Prevention &amp; Abatement</w:t>
            </w:r>
          </w:p>
        </w:tc>
        <w:tc>
          <w:tcPr>
            <w:tcW w:w="2160" w:type="dxa"/>
            <w:gridSpan w:val="2"/>
            <w:vAlign w:val="center"/>
          </w:tcPr>
          <w:p w14:paraId="3590056E" w14:textId="77777777" w:rsidR="000E02C8" w:rsidRPr="0065566F" w:rsidRDefault="000E02C8" w:rsidP="000E02C8">
            <w:pPr>
              <w:tabs>
                <w:tab w:val="left" w:pos="3200"/>
              </w:tabs>
              <w:jc w:val="both"/>
              <w:rPr>
                <w:rFonts w:ascii="Arial" w:hAnsi="Arial" w:cs="Arial"/>
                <w:sz w:val="20"/>
                <w:szCs w:val="20"/>
              </w:rPr>
            </w:pPr>
          </w:p>
        </w:tc>
        <w:tc>
          <w:tcPr>
            <w:tcW w:w="4320" w:type="dxa"/>
          </w:tcPr>
          <w:p w14:paraId="712D284C" w14:textId="77777777" w:rsidR="000E02C8" w:rsidRPr="0065566F" w:rsidRDefault="000E02C8" w:rsidP="000E02C8">
            <w:pPr>
              <w:tabs>
                <w:tab w:val="left" w:pos="3200"/>
              </w:tabs>
              <w:jc w:val="both"/>
              <w:rPr>
                <w:rFonts w:ascii="Arial" w:hAnsi="Arial" w:cs="Arial"/>
                <w:i/>
                <w:sz w:val="20"/>
                <w:szCs w:val="20"/>
              </w:rPr>
            </w:pPr>
            <w:r w:rsidRPr="0065566F">
              <w:rPr>
                <w:rFonts w:ascii="Arial" w:hAnsi="Arial" w:cs="Arial"/>
                <w:i/>
                <w:sz w:val="20"/>
                <w:szCs w:val="20"/>
              </w:rPr>
              <w:t>.</w:t>
            </w:r>
          </w:p>
        </w:tc>
        <w:tc>
          <w:tcPr>
            <w:tcW w:w="4410" w:type="dxa"/>
            <w:gridSpan w:val="2"/>
          </w:tcPr>
          <w:p w14:paraId="6C6FD58E" w14:textId="77777777" w:rsidR="000E02C8" w:rsidRPr="0065566F" w:rsidRDefault="000E02C8" w:rsidP="000E02C8">
            <w:pPr>
              <w:tabs>
                <w:tab w:val="left" w:pos="3200"/>
              </w:tabs>
              <w:jc w:val="both"/>
              <w:rPr>
                <w:rFonts w:ascii="Arial" w:hAnsi="Arial" w:cs="Arial"/>
                <w:sz w:val="20"/>
                <w:szCs w:val="20"/>
              </w:rPr>
            </w:pPr>
          </w:p>
        </w:tc>
      </w:tr>
      <w:tr w:rsidR="000E02C8" w:rsidRPr="0065566F" w14:paraId="55D9B137" w14:textId="77777777" w:rsidTr="005D6A90">
        <w:trPr>
          <w:trHeight w:val="323"/>
        </w:trPr>
        <w:tc>
          <w:tcPr>
            <w:tcW w:w="2903" w:type="dxa"/>
            <w:shd w:val="clear" w:color="auto" w:fill="D9D9D9" w:themeFill="background1" w:themeFillShade="D9"/>
            <w:vAlign w:val="center"/>
          </w:tcPr>
          <w:p w14:paraId="2B52297A"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B.12 Projects under Construction</w:t>
            </w:r>
          </w:p>
        </w:tc>
        <w:tc>
          <w:tcPr>
            <w:tcW w:w="10890" w:type="dxa"/>
            <w:gridSpan w:val="5"/>
            <w:vAlign w:val="center"/>
          </w:tcPr>
          <w:p w14:paraId="0A0DFE19"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4481388F" w14:textId="77777777" w:rsidTr="000361A6">
        <w:trPr>
          <w:trHeight w:val="323"/>
        </w:trPr>
        <w:tc>
          <w:tcPr>
            <w:tcW w:w="2903" w:type="dxa"/>
            <w:shd w:val="clear" w:color="auto" w:fill="D9D9D9" w:themeFill="background1" w:themeFillShade="D9"/>
            <w:vAlign w:val="center"/>
          </w:tcPr>
          <w:p w14:paraId="1B70644C"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B.13 Noninvestment Lending and Flexible Lending Instruments</w:t>
            </w:r>
          </w:p>
        </w:tc>
        <w:tc>
          <w:tcPr>
            <w:tcW w:w="2160" w:type="dxa"/>
            <w:gridSpan w:val="2"/>
            <w:vAlign w:val="center"/>
          </w:tcPr>
          <w:p w14:paraId="41C47EDE" w14:textId="77777777" w:rsidR="000E02C8" w:rsidRPr="0065566F" w:rsidRDefault="006750E7" w:rsidP="006750E7">
            <w:pPr>
              <w:tabs>
                <w:tab w:val="left" w:pos="3200"/>
              </w:tabs>
              <w:rPr>
                <w:rFonts w:ascii="Arial" w:hAnsi="Arial" w:cs="Arial"/>
                <w:sz w:val="20"/>
                <w:szCs w:val="20"/>
              </w:rPr>
            </w:pPr>
            <w:r w:rsidRPr="006750E7">
              <w:rPr>
                <w:rFonts w:ascii="Arial" w:hAnsi="Arial" w:cs="Arial"/>
                <w:sz w:val="20"/>
                <w:szCs w:val="20"/>
              </w:rPr>
              <w:t xml:space="preserve">Implement an appropriate and feasible Environmental Management System (EMS) tailored to the </w:t>
            </w:r>
            <w:proofErr w:type="gramStart"/>
            <w:r w:rsidRPr="006750E7">
              <w:rPr>
                <w:rFonts w:ascii="Arial" w:hAnsi="Arial" w:cs="Arial"/>
                <w:sz w:val="20"/>
                <w:szCs w:val="20"/>
              </w:rPr>
              <w:t>particular needs</w:t>
            </w:r>
            <w:proofErr w:type="gramEnd"/>
            <w:r w:rsidRPr="006750E7">
              <w:rPr>
                <w:rFonts w:ascii="Arial" w:hAnsi="Arial" w:cs="Arial"/>
                <w:sz w:val="20"/>
                <w:szCs w:val="20"/>
              </w:rPr>
              <w:t xml:space="preserve"> of the operation.</w:t>
            </w:r>
          </w:p>
        </w:tc>
        <w:tc>
          <w:tcPr>
            <w:tcW w:w="4320" w:type="dxa"/>
          </w:tcPr>
          <w:p w14:paraId="2A43DA86" w14:textId="77777777" w:rsidR="000E02C8" w:rsidRPr="0065566F" w:rsidRDefault="006750E7" w:rsidP="000E02C8">
            <w:pPr>
              <w:tabs>
                <w:tab w:val="left" w:pos="3200"/>
              </w:tabs>
              <w:jc w:val="both"/>
              <w:rPr>
                <w:rFonts w:ascii="Arial" w:hAnsi="Arial" w:cs="Arial"/>
                <w:sz w:val="20"/>
                <w:szCs w:val="20"/>
              </w:rPr>
            </w:pPr>
            <w:r>
              <w:rPr>
                <w:rFonts w:ascii="Arial" w:hAnsi="Arial" w:cs="Arial"/>
                <w:sz w:val="20"/>
                <w:szCs w:val="20"/>
              </w:rPr>
              <w:t xml:space="preserve">Compliance expected during </w:t>
            </w:r>
            <w:r w:rsidR="005D6A90">
              <w:rPr>
                <w:rFonts w:ascii="Arial" w:hAnsi="Arial" w:cs="Arial"/>
                <w:sz w:val="20"/>
                <w:szCs w:val="20"/>
              </w:rPr>
              <w:t>Program</w:t>
            </w:r>
            <w:r>
              <w:rPr>
                <w:rFonts w:ascii="Arial" w:hAnsi="Arial" w:cs="Arial"/>
                <w:sz w:val="20"/>
                <w:szCs w:val="20"/>
              </w:rPr>
              <w:t xml:space="preserve"> execution</w:t>
            </w:r>
          </w:p>
        </w:tc>
        <w:tc>
          <w:tcPr>
            <w:tcW w:w="4410" w:type="dxa"/>
            <w:gridSpan w:val="2"/>
          </w:tcPr>
          <w:p w14:paraId="08231249" w14:textId="5DB45D0D" w:rsidR="000E02C8" w:rsidRPr="0065566F" w:rsidRDefault="00E228C6" w:rsidP="000E02C8">
            <w:pPr>
              <w:tabs>
                <w:tab w:val="left" w:pos="3200"/>
              </w:tabs>
              <w:jc w:val="both"/>
              <w:rPr>
                <w:rFonts w:ascii="Arial" w:hAnsi="Arial" w:cs="Arial"/>
                <w:sz w:val="20"/>
                <w:szCs w:val="20"/>
              </w:rPr>
            </w:pPr>
            <w:r>
              <w:rPr>
                <w:rFonts w:ascii="Arial" w:hAnsi="Arial" w:cs="Arial"/>
                <w:sz w:val="20"/>
                <w:szCs w:val="20"/>
              </w:rPr>
              <w:t xml:space="preserve">During the Due Diligence process, the </w:t>
            </w:r>
            <w:r w:rsidR="005D6A90">
              <w:rPr>
                <w:rFonts w:ascii="Arial" w:hAnsi="Arial" w:cs="Arial"/>
                <w:sz w:val="20"/>
                <w:szCs w:val="20"/>
              </w:rPr>
              <w:t>Program</w:t>
            </w:r>
            <w:r>
              <w:rPr>
                <w:rFonts w:ascii="Arial" w:hAnsi="Arial" w:cs="Arial"/>
                <w:sz w:val="20"/>
                <w:szCs w:val="20"/>
              </w:rPr>
              <w:t xml:space="preserve"> team identif</w:t>
            </w:r>
            <w:r w:rsidR="006750E7">
              <w:rPr>
                <w:rFonts w:ascii="Arial" w:hAnsi="Arial" w:cs="Arial"/>
                <w:sz w:val="20"/>
                <w:szCs w:val="20"/>
              </w:rPr>
              <w:t>ied</w:t>
            </w:r>
            <w:r>
              <w:rPr>
                <w:rFonts w:ascii="Arial" w:hAnsi="Arial" w:cs="Arial"/>
                <w:sz w:val="20"/>
                <w:szCs w:val="20"/>
              </w:rPr>
              <w:t xml:space="preserve"> potential negative E&amp;S impacts from eligible sub-projects and assess</w:t>
            </w:r>
            <w:r w:rsidR="006750E7">
              <w:rPr>
                <w:rFonts w:ascii="Arial" w:hAnsi="Arial" w:cs="Arial"/>
                <w:sz w:val="20"/>
                <w:szCs w:val="20"/>
              </w:rPr>
              <w:t>ed</w:t>
            </w:r>
            <w:r>
              <w:rPr>
                <w:rFonts w:ascii="Arial" w:hAnsi="Arial" w:cs="Arial"/>
                <w:sz w:val="20"/>
                <w:szCs w:val="20"/>
              </w:rPr>
              <w:t xml:space="preserve"> the executing agency capacity to manage those. </w:t>
            </w:r>
            <w:r w:rsidR="006750E7">
              <w:rPr>
                <w:rFonts w:ascii="Arial" w:hAnsi="Arial" w:cs="Arial"/>
                <w:sz w:val="20"/>
                <w:szCs w:val="20"/>
              </w:rPr>
              <w:t>As a result, a</w:t>
            </w:r>
            <w:r>
              <w:rPr>
                <w:rFonts w:ascii="Arial" w:hAnsi="Arial" w:cs="Arial"/>
                <w:sz w:val="20"/>
                <w:szCs w:val="20"/>
              </w:rPr>
              <w:t>n ESM</w:t>
            </w:r>
            <w:r w:rsidR="005D6A90">
              <w:rPr>
                <w:rFonts w:ascii="Arial" w:hAnsi="Arial" w:cs="Arial"/>
                <w:sz w:val="20"/>
                <w:szCs w:val="20"/>
              </w:rPr>
              <w:t>R</w:t>
            </w:r>
            <w:r>
              <w:rPr>
                <w:rFonts w:ascii="Arial" w:hAnsi="Arial" w:cs="Arial"/>
                <w:sz w:val="20"/>
                <w:szCs w:val="20"/>
              </w:rPr>
              <w:t xml:space="preserve"> </w:t>
            </w:r>
            <w:r w:rsidR="006750E7">
              <w:rPr>
                <w:rFonts w:ascii="Arial" w:hAnsi="Arial" w:cs="Arial"/>
                <w:sz w:val="20"/>
                <w:szCs w:val="20"/>
              </w:rPr>
              <w:t>was</w:t>
            </w:r>
            <w:r>
              <w:rPr>
                <w:rFonts w:ascii="Arial" w:hAnsi="Arial" w:cs="Arial"/>
                <w:sz w:val="20"/>
                <w:szCs w:val="20"/>
              </w:rPr>
              <w:t xml:space="preserve"> designed and </w:t>
            </w:r>
            <w:r w:rsidRPr="00E228C6">
              <w:rPr>
                <w:rFonts w:ascii="Arial" w:hAnsi="Arial" w:cs="Arial"/>
                <w:sz w:val="20"/>
                <w:szCs w:val="20"/>
              </w:rPr>
              <w:t xml:space="preserve">will be included in the Operating </w:t>
            </w:r>
            <w:r w:rsidR="005323C3">
              <w:rPr>
                <w:rFonts w:ascii="Arial" w:hAnsi="Arial" w:cs="Arial"/>
                <w:sz w:val="20"/>
                <w:szCs w:val="20"/>
              </w:rPr>
              <w:t xml:space="preserve">Regulation </w:t>
            </w:r>
            <w:r w:rsidRPr="00E228C6">
              <w:rPr>
                <w:rFonts w:ascii="Arial" w:hAnsi="Arial" w:cs="Arial"/>
                <w:sz w:val="20"/>
                <w:szCs w:val="20"/>
              </w:rPr>
              <w:t>of the Program, whose approval by AFD, prior to the non-objection of the Bank, will be a condition precedent to the first disbursement of the program's resources.</w:t>
            </w:r>
          </w:p>
        </w:tc>
      </w:tr>
      <w:tr w:rsidR="000E02C8" w:rsidRPr="0065566F" w14:paraId="46D7862C" w14:textId="77777777" w:rsidTr="005D6A90">
        <w:trPr>
          <w:trHeight w:val="323"/>
        </w:trPr>
        <w:tc>
          <w:tcPr>
            <w:tcW w:w="2903" w:type="dxa"/>
            <w:shd w:val="clear" w:color="auto" w:fill="D9D9D9" w:themeFill="background1" w:themeFillShade="D9"/>
            <w:vAlign w:val="center"/>
          </w:tcPr>
          <w:p w14:paraId="2C63AF13"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B.14 Multiple Phase and Repeat Loans</w:t>
            </w:r>
          </w:p>
        </w:tc>
        <w:tc>
          <w:tcPr>
            <w:tcW w:w="10890" w:type="dxa"/>
            <w:gridSpan w:val="5"/>
            <w:vAlign w:val="center"/>
          </w:tcPr>
          <w:p w14:paraId="07403FAD"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35B88BED" w14:textId="77777777" w:rsidTr="005D6A90">
        <w:trPr>
          <w:trHeight w:val="323"/>
        </w:trPr>
        <w:tc>
          <w:tcPr>
            <w:tcW w:w="2903" w:type="dxa"/>
            <w:shd w:val="clear" w:color="auto" w:fill="D9D9D9" w:themeFill="background1" w:themeFillShade="D9"/>
            <w:vAlign w:val="center"/>
          </w:tcPr>
          <w:p w14:paraId="554313E9"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B.15 Co-financing Operations</w:t>
            </w:r>
          </w:p>
        </w:tc>
        <w:tc>
          <w:tcPr>
            <w:tcW w:w="10890" w:type="dxa"/>
            <w:gridSpan w:val="5"/>
            <w:vAlign w:val="center"/>
          </w:tcPr>
          <w:p w14:paraId="095FA7E4"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54C5D138" w14:textId="77777777" w:rsidTr="005D6A90">
        <w:trPr>
          <w:trHeight w:val="323"/>
        </w:trPr>
        <w:tc>
          <w:tcPr>
            <w:tcW w:w="2903" w:type="dxa"/>
            <w:shd w:val="clear" w:color="auto" w:fill="D9D9D9" w:themeFill="background1" w:themeFillShade="D9"/>
            <w:vAlign w:val="center"/>
          </w:tcPr>
          <w:p w14:paraId="03DCE27C"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B.16 In-Country Systems</w:t>
            </w:r>
          </w:p>
        </w:tc>
        <w:tc>
          <w:tcPr>
            <w:tcW w:w="10890" w:type="dxa"/>
            <w:gridSpan w:val="5"/>
            <w:vAlign w:val="center"/>
          </w:tcPr>
          <w:p w14:paraId="4BE96B4A"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2BC41645" w14:textId="77777777" w:rsidTr="005D6A90">
        <w:trPr>
          <w:trHeight w:val="323"/>
        </w:trPr>
        <w:tc>
          <w:tcPr>
            <w:tcW w:w="2903" w:type="dxa"/>
            <w:shd w:val="clear" w:color="auto" w:fill="D9D9D9" w:themeFill="background1" w:themeFillShade="D9"/>
            <w:vAlign w:val="center"/>
          </w:tcPr>
          <w:p w14:paraId="43F83B4B"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B.17 Procurement</w:t>
            </w:r>
          </w:p>
        </w:tc>
        <w:tc>
          <w:tcPr>
            <w:tcW w:w="10890" w:type="dxa"/>
            <w:gridSpan w:val="5"/>
            <w:vAlign w:val="center"/>
          </w:tcPr>
          <w:p w14:paraId="25077FF1"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6DC45967" w14:textId="77777777" w:rsidTr="000361A6">
        <w:trPr>
          <w:trHeight w:val="323"/>
        </w:trPr>
        <w:tc>
          <w:tcPr>
            <w:tcW w:w="13793" w:type="dxa"/>
            <w:gridSpan w:val="6"/>
            <w:shd w:val="clear" w:color="auto" w:fill="D9D9D9" w:themeFill="background1" w:themeFillShade="D9"/>
            <w:vAlign w:val="center"/>
          </w:tcPr>
          <w:p w14:paraId="1C97271E" w14:textId="77777777" w:rsidR="000E02C8" w:rsidRPr="0065566F" w:rsidRDefault="000E02C8" w:rsidP="000E02C8">
            <w:pPr>
              <w:tabs>
                <w:tab w:val="left" w:pos="3200"/>
              </w:tabs>
              <w:jc w:val="both"/>
              <w:rPr>
                <w:rFonts w:ascii="Arial" w:hAnsi="Arial" w:cs="Arial"/>
                <w:sz w:val="20"/>
                <w:szCs w:val="20"/>
              </w:rPr>
            </w:pPr>
            <w:r w:rsidRPr="0065566F">
              <w:rPr>
                <w:rFonts w:ascii="Arial" w:hAnsi="Arial" w:cs="Arial"/>
                <w:b/>
                <w:sz w:val="20"/>
                <w:szCs w:val="20"/>
              </w:rPr>
              <w:t>OP-704 Natural Disaster Risk Management Policy</w:t>
            </w:r>
          </w:p>
        </w:tc>
      </w:tr>
      <w:tr w:rsidR="000E02C8" w:rsidRPr="0065566F" w14:paraId="2B4C539A" w14:textId="77777777" w:rsidTr="005D6A90">
        <w:trPr>
          <w:trHeight w:val="323"/>
        </w:trPr>
        <w:tc>
          <w:tcPr>
            <w:tcW w:w="2903" w:type="dxa"/>
            <w:shd w:val="clear" w:color="auto" w:fill="D9D9D9" w:themeFill="background1" w:themeFillShade="D9"/>
            <w:vAlign w:val="center"/>
          </w:tcPr>
          <w:p w14:paraId="20A6A467"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A.2 Analysis and management of Type 2 risk scenario</w:t>
            </w:r>
          </w:p>
        </w:tc>
        <w:tc>
          <w:tcPr>
            <w:tcW w:w="10890" w:type="dxa"/>
            <w:gridSpan w:val="5"/>
            <w:vMerge w:val="restart"/>
            <w:vAlign w:val="center"/>
          </w:tcPr>
          <w:p w14:paraId="33FDD11F"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7E1335CD" w14:textId="77777777" w:rsidTr="005D6A90">
        <w:trPr>
          <w:trHeight w:val="323"/>
        </w:trPr>
        <w:tc>
          <w:tcPr>
            <w:tcW w:w="2903" w:type="dxa"/>
            <w:shd w:val="clear" w:color="auto" w:fill="D9D9D9" w:themeFill="background1" w:themeFillShade="D9"/>
            <w:vAlign w:val="center"/>
          </w:tcPr>
          <w:p w14:paraId="2A2FFD69"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A.2 Contingency planning (Emergency response plan, Community health and safety plan, Occupational health and safety plan)</w:t>
            </w:r>
          </w:p>
        </w:tc>
        <w:tc>
          <w:tcPr>
            <w:tcW w:w="10890" w:type="dxa"/>
            <w:gridSpan w:val="5"/>
            <w:vMerge/>
            <w:vAlign w:val="center"/>
          </w:tcPr>
          <w:p w14:paraId="0E195D0B" w14:textId="77777777" w:rsidR="000E02C8" w:rsidRPr="0065566F" w:rsidRDefault="000E02C8" w:rsidP="000E02C8">
            <w:pPr>
              <w:tabs>
                <w:tab w:val="left" w:pos="3200"/>
              </w:tabs>
              <w:jc w:val="both"/>
              <w:rPr>
                <w:rFonts w:ascii="Arial" w:hAnsi="Arial" w:cs="Arial"/>
                <w:sz w:val="20"/>
                <w:szCs w:val="20"/>
              </w:rPr>
            </w:pPr>
          </w:p>
        </w:tc>
      </w:tr>
      <w:tr w:rsidR="000E02C8" w:rsidRPr="0065566F" w14:paraId="2B8BAAAC" w14:textId="77777777" w:rsidTr="000361A6">
        <w:trPr>
          <w:trHeight w:val="323"/>
        </w:trPr>
        <w:tc>
          <w:tcPr>
            <w:tcW w:w="13793" w:type="dxa"/>
            <w:gridSpan w:val="6"/>
            <w:shd w:val="clear" w:color="auto" w:fill="D9D9D9" w:themeFill="background1" w:themeFillShade="D9"/>
            <w:vAlign w:val="center"/>
          </w:tcPr>
          <w:p w14:paraId="4203EC43" w14:textId="77777777" w:rsidR="000E02C8" w:rsidRPr="0065566F" w:rsidRDefault="000E02C8" w:rsidP="000E02C8">
            <w:pPr>
              <w:tabs>
                <w:tab w:val="left" w:pos="3200"/>
              </w:tabs>
              <w:jc w:val="both"/>
              <w:rPr>
                <w:rFonts w:ascii="Arial" w:hAnsi="Arial" w:cs="Arial"/>
                <w:sz w:val="20"/>
                <w:szCs w:val="20"/>
              </w:rPr>
            </w:pPr>
            <w:r w:rsidRPr="0065566F">
              <w:rPr>
                <w:rFonts w:ascii="Arial" w:hAnsi="Arial" w:cs="Arial"/>
                <w:b/>
                <w:sz w:val="20"/>
                <w:szCs w:val="20"/>
              </w:rPr>
              <w:t>OP-710 Operational Policy on Involuntary Resettlement</w:t>
            </w:r>
          </w:p>
        </w:tc>
      </w:tr>
      <w:tr w:rsidR="000E02C8" w:rsidRPr="0065566F" w14:paraId="40B128E3" w14:textId="77777777" w:rsidTr="005D6A90">
        <w:trPr>
          <w:trHeight w:val="323"/>
        </w:trPr>
        <w:tc>
          <w:tcPr>
            <w:tcW w:w="2903" w:type="dxa"/>
            <w:shd w:val="clear" w:color="auto" w:fill="D9D9D9" w:themeFill="background1" w:themeFillShade="D9"/>
            <w:vAlign w:val="center"/>
          </w:tcPr>
          <w:p w14:paraId="281F4447"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Resettlement Minimization</w:t>
            </w:r>
          </w:p>
        </w:tc>
        <w:tc>
          <w:tcPr>
            <w:tcW w:w="10890" w:type="dxa"/>
            <w:gridSpan w:val="5"/>
            <w:vMerge w:val="restart"/>
            <w:vAlign w:val="center"/>
          </w:tcPr>
          <w:p w14:paraId="528B2FAF"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0DDA225D" w14:textId="77777777" w:rsidTr="005D6A90">
        <w:trPr>
          <w:trHeight w:val="323"/>
        </w:trPr>
        <w:tc>
          <w:tcPr>
            <w:tcW w:w="2903" w:type="dxa"/>
            <w:shd w:val="clear" w:color="auto" w:fill="D9D9D9" w:themeFill="background1" w:themeFillShade="D9"/>
            <w:vAlign w:val="center"/>
          </w:tcPr>
          <w:p w14:paraId="677A5DE9" w14:textId="77777777" w:rsidR="000E02C8" w:rsidRPr="0065566F" w:rsidRDefault="000E02C8" w:rsidP="000E02C8">
            <w:pPr>
              <w:tabs>
                <w:tab w:val="left" w:pos="3200"/>
              </w:tabs>
              <w:rPr>
                <w:rFonts w:ascii="Arial" w:hAnsi="Arial" w:cs="Arial"/>
                <w:sz w:val="20"/>
                <w:szCs w:val="20"/>
              </w:rPr>
            </w:pPr>
            <w:r w:rsidRPr="0065566F">
              <w:rPr>
                <w:rFonts w:ascii="Arial" w:hAnsi="Arial" w:cs="Arial"/>
                <w:sz w:val="20"/>
                <w:szCs w:val="20"/>
              </w:rPr>
              <w:t xml:space="preserve">Resettlement Plan Consultations </w:t>
            </w:r>
          </w:p>
        </w:tc>
        <w:tc>
          <w:tcPr>
            <w:tcW w:w="10890" w:type="dxa"/>
            <w:gridSpan w:val="5"/>
            <w:vMerge/>
            <w:vAlign w:val="center"/>
          </w:tcPr>
          <w:p w14:paraId="5C719E7E" w14:textId="77777777" w:rsidR="000E02C8" w:rsidRPr="0065566F" w:rsidRDefault="000E02C8" w:rsidP="000E02C8">
            <w:pPr>
              <w:tabs>
                <w:tab w:val="left" w:pos="3200"/>
              </w:tabs>
              <w:jc w:val="both"/>
              <w:rPr>
                <w:rFonts w:ascii="Arial" w:hAnsi="Arial" w:cs="Arial"/>
                <w:sz w:val="20"/>
                <w:szCs w:val="20"/>
              </w:rPr>
            </w:pPr>
          </w:p>
        </w:tc>
      </w:tr>
      <w:tr w:rsidR="000E02C8" w:rsidRPr="0065566F" w14:paraId="3714ADB2" w14:textId="77777777" w:rsidTr="005D6A90">
        <w:trPr>
          <w:trHeight w:val="323"/>
        </w:trPr>
        <w:tc>
          <w:tcPr>
            <w:tcW w:w="2903" w:type="dxa"/>
            <w:shd w:val="clear" w:color="auto" w:fill="D9D9D9" w:themeFill="background1" w:themeFillShade="D9"/>
            <w:vAlign w:val="center"/>
          </w:tcPr>
          <w:p w14:paraId="0465146B"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 xml:space="preserve">Impoverishment Risk Analysis </w:t>
            </w:r>
          </w:p>
        </w:tc>
        <w:tc>
          <w:tcPr>
            <w:tcW w:w="10890" w:type="dxa"/>
            <w:gridSpan w:val="5"/>
            <w:vMerge/>
            <w:vAlign w:val="center"/>
          </w:tcPr>
          <w:p w14:paraId="34CCFD0D" w14:textId="77777777" w:rsidR="000E02C8" w:rsidRPr="0065566F" w:rsidRDefault="000E02C8" w:rsidP="000E02C8">
            <w:pPr>
              <w:tabs>
                <w:tab w:val="left" w:pos="3200"/>
              </w:tabs>
              <w:jc w:val="both"/>
              <w:rPr>
                <w:rFonts w:ascii="Arial" w:hAnsi="Arial" w:cs="Arial"/>
                <w:sz w:val="20"/>
                <w:szCs w:val="20"/>
              </w:rPr>
            </w:pPr>
          </w:p>
        </w:tc>
      </w:tr>
      <w:tr w:rsidR="000E02C8" w:rsidRPr="0065566F" w14:paraId="22D06220" w14:textId="77777777" w:rsidTr="005D6A90">
        <w:trPr>
          <w:trHeight w:val="323"/>
        </w:trPr>
        <w:tc>
          <w:tcPr>
            <w:tcW w:w="2903" w:type="dxa"/>
            <w:shd w:val="clear" w:color="auto" w:fill="D9D9D9" w:themeFill="background1" w:themeFillShade="D9"/>
            <w:vAlign w:val="center"/>
          </w:tcPr>
          <w:p w14:paraId="2F585491"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Resettlement Plan and/or Resettlement Framework Requirement</w:t>
            </w:r>
          </w:p>
        </w:tc>
        <w:tc>
          <w:tcPr>
            <w:tcW w:w="10890" w:type="dxa"/>
            <w:gridSpan w:val="5"/>
            <w:vMerge/>
            <w:vAlign w:val="center"/>
          </w:tcPr>
          <w:p w14:paraId="6AB0FC6A" w14:textId="77777777" w:rsidR="000E02C8" w:rsidRPr="0065566F" w:rsidRDefault="000E02C8" w:rsidP="000E02C8">
            <w:pPr>
              <w:tabs>
                <w:tab w:val="left" w:pos="3200"/>
              </w:tabs>
              <w:jc w:val="both"/>
              <w:rPr>
                <w:rFonts w:ascii="Arial" w:hAnsi="Arial" w:cs="Arial"/>
                <w:sz w:val="20"/>
                <w:szCs w:val="20"/>
              </w:rPr>
            </w:pPr>
          </w:p>
        </w:tc>
      </w:tr>
      <w:tr w:rsidR="000E02C8" w:rsidRPr="0065566F" w14:paraId="78AAF316" w14:textId="77777777" w:rsidTr="005D6A90">
        <w:trPr>
          <w:trHeight w:val="323"/>
        </w:trPr>
        <w:tc>
          <w:tcPr>
            <w:tcW w:w="2903" w:type="dxa"/>
            <w:shd w:val="clear" w:color="auto" w:fill="D9D9D9" w:themeFill="background1" w:themeFillShade="D9"/>
            <w:vAlign w:val="center"/>
          </w:tcPr>
          <w:p w14:paraId="2F512384"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lastRenderedPageBreak/>
              <w:t xml:space="preserve">Livelihood Restoration Program Requirement </w:t>
            </w:r>
          </w:p>
        </w:tc>
        <w:tc>
          <w:tcPr>
            <w:tcW w:w="10890" w:type="dxa"/>
            <w:gridSpan w:val="5"/>
            <w:vMerge/>
            <w:vAlign w:val="center"/>
          </w:tcPr>
          <w:p w14:paraId="56CC5A24" w14:textId="77777777" w:rsidR="000E02C8" w:rsidRPr="0065566F" w:rsidRDefault="000E02C8" w:rsidP="000E02C8">
            <w:pPr>
              <w:tabs>
                <w:tab w:val="left" w:pos="3200"/>
              </w:tabs>
              <w:jc w:val="both"/>
              <w:rPr>
                <w:rFonts w:ascii="Arial" w:hAnsi="Arial" w:cs="Arial"/>
                <w:sz w:val="20"/>
                <w:szCs w:val="20"/>
              </w:rPr>
            </w:pPr>
          </w:p>
        </w:tc>
      </w:tr>
      <w:tr w:rsidR="000E02C8" w:rsidRPr="0065566F" w14:paraId="33147DF1" w14:textId="77777777" w:rsidTr="005D6A90">
        <w:trPr>
          <w:trHeight w:val="323"/>
        </w:trPr>
        <w:tc>
          <w:tcPr>
            <w:tcW w:w="2903" w:type="dxa"/>
            <w:shd w:val="clear" w:color="auto" w:fill="D9D9D9" w:themeFill="background1" w:themeFillShade="D9"/>
            <w:vAlign w:val="center"/>
          </w:tcPr>
          <w:p w14:paraId="513C954B"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Consent (Indigenous Peoples and other Rural Ethnic Minorities)</w:t>
            </w:r>
          </w:p>
        </w:tc>
        <w:tc>
          <w:tcPr>
            <w:tcW w:w="10890" w:type="dxa"/>
            <w:gridSpan w:val="5"/>
            <w:vMerge/>
            <w:vAlign w:val="center"/>
          </w:tcPr>
          <w:p w14:paraId="1C38334B" w14:textId="77777777" w:rsidR="000E02C8" w:rsidRPr="0065566F" w:rsidRDefault="000E02C8" w:rsidP="000E02C8">
            <w:pPr>
              <w:tabs>
                <w:tab w:val="left" w:pos="3200"/>
              </w:tabs>
              <w:jc w:val="both"/>
              <w:rPr>
                <w:rFonts w:ascii="Arial" w:hAnsi="Arial" w:cs="Arial"/>
                <w:sz w:val="20"/>
                <w:szCs w:val="20"/>
              </w:rPr>
            </w:pPr>
          </w:p>
        </w:tc>
      </w:tr>
      <w:tr w:rsidR="000E02C8" w:rsidRPr="0065566F" w14:paraId="3E25770E" w14:textId="77777777" w:rsidTr="000361A6">
        <w:trPr>
          <w:trHeight w:val="323"/>
        </w:trPr>
        <w:tc>
          <w:tcPr>
            <w:tcW w:w="13793" w:type="dxa"/>
            <w:gridSpan w:val="6"/>
            <w:shd w:val="clear" w:color="auto" w:fill="D9D9D9" w:themeFill="background1" w:themeFillShade="D9"/>
            <w:vAlign w:val="center"/>
          </w:tcPr>
          <w:p w14:paraId="34305B25" w14:textId="77777777" w:rsidR="000E02C8" w:rsidRPr="0065566F" w:rsidRDefault="000E02C8" w:rsidP="000E02C8">
            <w:pPr>
              <w:tabs>
                <w:tab w:val="left" w:pos="3200"/>
              </w:tabs>
              <w:jc w:val="both"/>
              <w:rPr>
                <w:rFonts w:ascii="Arial" w:hAnsi="Arial" w:cs="Arial"/>
                <w:sz w:val="20"/>
                <w:szCs w:val="20"/>
              </w:rPr>
            </w:pPr>
            <w:r w:rsidRPr="0065566F">
              <w:rPr>
                <w:rFonts w:ascii="Arial" w:hAnsi="Arial" w:cs="Arial"/>
                <w:b/>
                <w:sz w:val="20"/>
                <w:szCs w:val="20"/>
              </w:rPr>
              <w:t>OP-765 Operational Policy on Indigenous Peoples</w:t>
            </w:r>
          </w:p>
        </w:tc>
      </w:tr>
      <w:tr w:rsidR="000E02C8" w:rsidRPr="0065566F" w14:paraId="01205883" w14:textId="77777777" w:rsidTr="005D6A90">
        <w:trPr>
          <w:trHeight w:val="323"/>
        </w:trPr>
        <w:tc>
          <w:tcPr>
            <w:tcW w:w="2903" w:type="dxa"/>
            <w:shd w:val="clear" w:color="auto" w:fill="D9D9D9" w:themeFill="background1" w:themeFillShade="D9"/>
            <w:vAlign w:val="center"/>
          </w:tcPr>
          <w:p w14:paraId="3E551B0B"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 xml:space="preserve">Sociocultural Evaluation Requirement  </w:t>
            </w:r>
          </w:p>
        </w:tc>
        <w:tc>
          <w:tcPr>
            <w:tcW w:w="10890" w:type="dxa"/>
            <w:gridSpan w:val="5"/>
            <w:vMerge w:val="restart"/>
            <w:vAlign w:val="center"/>
          </w:tcPr>
          <w:p w14:paraId="61FB4F5C"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3F5DB475" w14:textId="77777777" w:rsidTr="005D6A90">
        <w:trPr>
          <w:trHeight w:val="323"/>
        </w:trPr>
        <w:tc>
          <w:tcPr>
            <w:tcW w:w="2903" w:type="dxa"/>
            <w:shd w:val="clear" w:color="auto" w:fill="D9D9D9" w:themeFill="background1" w:themeFillShade="D9"/>
            <w:vAlign w:val="center"/>
          </w:tcPr>
          <w:p w14:paraId="50F05622" w14:textId="77777777" w:rsidR="000E02C8" w:rsidRPr="0065566F" w:rsidDel="00641735" w:rsidRDefault="000E02C8" w:rsidP="000E02C8">
            <w:pPr>
              <w:tabs>
                <w:tab w:val="left" w:pos="3200"/>
              </w:tabs>
              <w:jc w:val="both"/>
              <w:rPr>
                <w:rFonts w:ascii="Arial" w:hAnsi="Arial" w:cs="Arial"/>
                <w:b/>
                <w:sz w:val="20"/>
                <w:szCs w:val="20"/>
              </w:rPr>
            </w:pPr>
            <w:r w:rsidRPr="0065566F">
              <w:rPr>
                <w:rFonts w:ascii="Arial" w:hAnsi="Arial" w:cs="Arial"/>
                <w:sz w:val="20"/>
                <w:szCs w:val="20"/>
              </w:rPr>
              <w:t>Good-faith Negotiations and proper documentation</w:t>
            </w:r>
          </w:p>
        </w:tc>
        <w:tc>
          <w:tcPr>
            <w:tcW w:w="10890" w:type="dxa"/>
            <w:gridSpan w:val="5"/>
            <w:vMerge/>
            <w:vAlign w:val="center"/>
          </w:tcPr>
          <w:p w14:paraId="2F252734" w14:textId="77777777" w:rsidR="000E02C8" w:rsidRPr="0065566F" w:rsidRDefault="000E02C8" w:rsidP="000E02C8">
            <w:pPr>
              <w:tabs>
                <w:tab w:val="left" w:pos="3200"/>
              </w:tabs>
              <w:jc w:val="both"/>
              <w:rPr>
                <w:rFonts w:ascii="Arial" w:hAnsi="Arial" w:cs="Arial"/>
                <w:sz w:val="20"/>
                <w:szCs w:val="20"/>
              </w:rPr>
            </w:pPr>
          </w:p>
        </w:tc>
      </w:tr>
      <w:tr w:rsidR="000E02C8" w:rsidRPr="0065566F" w14:paraId="27EB5873" w14:textId="77777777" w:rsidTr="005D6A90">
        <w:trPr>
          <w:trHeight w:val="323"/>
        </w:trPr>
        <w:tc>
          <w:tcPr>
            <w:tcW w:w="2903" w:type="dxa"/>
            <w:shd w:val="clear" w:color="auto" w:fill="D9D9D9" w:themeFill="background1" w:themeFillShade="D9"/>
            <w:vAlign w:val="center"/>
          </w:tcPr>
          <w:p w14:paraId="08E0B9AF"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Agreement with Affected Indigenous Peoples</w:t>
            </w:r>
          </w:p>
        </w:tc>
        <w:tc>
          <w:tcPr>
            <w:tcW w:w="10890" w:type="dxa"/>
            <w:gridSpan w:val="5"/>
            <w:vMerge/>
            <w:vAlign w:val="center"/>
          </w:tcPr>
          <w:p w14:paraId="3040257F" w14:textId="77777777" w:rsidR="000E02C8" w:rsidRPr="0065566F" w:rsidRDefault="000E02C8" w:rsidP="000E02C8">
            <w:pPr>
              <w:tabs>
                <w:tab w:val="left" w:pos="3200"/>
              </w:tabs>
              <w:jc w:val="both"/>
              <w:rPr>
                <w:rFonts w:ascii="Arial" w:hAnsi="Arial" w:cs="Arial"/>
                <w:sz w:val="20"/>
                <w:szCs w:val="20"/>
              </w:rPr>
            </w:pPr>
          </w:p>
        </w:tc>
      </w:tr>
      <w:tr w:rsidR="000E02C8" w:rsidRPr="0065566F" w14:paraId="036A094A" w14:textId="77777777" w:rsidTr="005D6A90">
        <w:trPr>
          <w:trHeight w:val="323"/>
        </w:trPr>
        <w:tc>
          <w:tcPr>
            <w:tcW w:w="2903" w:type="dxa"/>
            <w:shd w:val="clear" w:color="auto" w:fill="D9D9D9" w:themeFill="background1" w:themeFillShade="D9"/>
            <w:vAlign w:val="center"/>
          </w:tcPr>
          <w:p w14:paraId="0AACE90E"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Indigenous Peoples Compensation, and Development Plan or Framework requirement</w:t>
            </w:r>
          </w:p>
        </w:tc>
        <w:tc>
          <w:tcPr>
            <w:tcW w:w="10890" w:type="dxa"/>
            <w:gridSpan w:val="5"/>
            <w:vMerge/>
            <w:vAlign w:val="center"/>
          </w:tcPr>
          <w:p w14:paraId="2675772F" w14:textId="77777777" w:rsidR="000E02C8" w:rsidRPr="0065566F" w:rsidRDefault="000E02C8" w:rsidP="000E02C8">
            <w:pPr>
              <w:tabs>
                <w:tab w:val="left" w:pos="3200"/>
              </w:tabs>
              <w:jc w:val="both"/>
              <w:rPr>
                <w:rFonts w:ascii="Arial" w:hAnsi="Arial" w:cs="Arial"/>
                <w:sz w:val="20"/>
                <w:szCs w:val="20"/>
              </w:rPr>
            </w:pPr>
          </w:p>
        </w:tc>
      </w:tr>
      <w:tr w:rsidR="000E02C8" w:rsidRPr="0065566F" w14:paraId="32060DF0" w14:textId="77777777" w:rsidTr="005D6A90">
        <w:trPr>
          <w:trHeight w:val="323"/>
        </w:trPr>
        <w:tc>
          <w:tcPr>
            <w:tcW w:w="2903" w:type="dxa"/>
            <w:shd w:val="clear" w:color="auto" w:fill="D9D9D9" w:themeFill="background1" w:themeFillShade="D9"/>
            <w:vAlign w:val="center"/>
          </w:tcPr>
          <w:p w14:paraId="15F30CBD" w14:textId="77777777" w:rsidR="000E02C8" w:rsidRPr="0065566F" w:rsidRDefault="000E02C8" w:rsidP="000E02C8">
            <w:pPr>
              <w:tabs>
                <w:tab w:val="left" w:pos="3200"/>
              </w:tabs>
              <w:rPr>
                <w:rFonts w:ascii="Arial" w:hAnsi="Arial" w:cs="Arial"/>
                <w:sz w:val="20"/>
                <w:szCs w:val="20"/>
              </w:rPr>
            </w:pPr>
            <w:r w:rsidRPr="0065566F">
              <w:rPr>
                <w:rFonts w:ascii="Arial" w:hAnsi="Arial" w:cs="Arial"/>
                <w:sz w:val="20"/>
                <w:szCs w:val="20"/>
              </w:rPr>
              <w:t xml:space="preserve">Discrimination Issues </w:t>
            </w:r>
          </w:p>
        </w:tc>
        <w:tc>
          <w:tcPr>
            <w:tcW w:w="10890" w:type="dxa"/>
            <w:gridSpan w:val="5"/>
            <w:vMerge/>
            <w:vAlign w:val="center"/>
          </w:tcPr>
          <w:p w14:paraId="283C729F" w14:textId="77777777" w:rsidR="000E02C8" w:rsidRPr="0065566F" w:rsidRDefault="000E02C8" w:rsidP="000E02C8">
            <w:pPr>
              <w:tabs>
                <w:tab w:val="left" w:pos="3200"/>
              </w:tabs>
              <w:jc w:val="both"/>
              <w:rPr>
                <w:rFonts w:ascii="Arial" w:hAnsi="Arial" w:cs="Arial"/>
                <w:sz w:val="20"/>
                <w:szCs w:val="20"/>
              </w:rPr>
            </w:pPr>
          </w:p>
        </w:tc>
      </w:tr>
      <w:tr w:rsidR="000E02C8" w:rsidRPr="0065566F" w14:paraId="15359774" w14:textId="77777777" w:rsidTr="005D6A90">
        <w:trPr>
          <w:trHeight w:val="323"/>
        </w:trPr>
        <w:tc>
          <w:tcPr>
            <w:tcW w:w="2903" w:type="dxa"/>
            <w:shd w:val="clear" w:color="auto" w:fill="D9D9D9" w:themeFill="background1" w:themeFillShade="D9"/>
            <w:vAlign w:val="center"/>
          </w:tcPr>
          <w:p w14:paraId="2D51714D" w14:textId="77777777" w:rsidR="000E02C8" w:rsidRPr="0065566F" w:rsidRDefault="000E02C8" w:rsidP="000E02C8">
            <w:pPr>
              <w:tabs>
                <w:tab w:val="left" w:pos="3200"/>
              </w:tabs>
              <w:rPr>
                <w:rFonts w:ascii="Arial" w:hAnsi="Arial" w:cs="Arial"/>
                <w:sz w:val="20"/>
                <w:szCs w:val="20"/>
              </w:rPr>
            </w:pPr>
            <w:r w:rsidRPr="0065566F">
              <w:rPr>
                <w:rFonts w:ascii="Arial" w:hAnsi="Arial" w:cs="Arial"/>
                <w:sz w:val="20"/>
                <w:szCs w:val="20"/>
              </w:rPr>
              <w:t xml:space="preserve">Transborder Impacts </w:t>
            </w:r>
          </w:p>
        </w:tc>
        <w:tc>
          <w:tcPr>
            <w:tcW w:w="10890" w:type="dxa"/>
            <w:gridSpan w:val="5"/>
            <w:vMerge/>
            <w:vAlign w:val="center"/>
          </w:tcPr>
          <w:p w14:paraId="28746AE5" w14:textId="77777777" w:rsidR="000E02C8" w:rsidRPr="0065566F" w:rsidRDefault="000E02C8" w:rsidP="000E02C8">
            <w:pPr>
              <w:tabs>
                <w:tab w:val="left" w:pos="3200"/>
              </w:tabs>
              <w:jc w:val="both"/>
              <w:rPr>
                <w:rFonts w:ascii="Arial" w:hAnsi="Arial" w:cs="Arial"/>
                <w:sz w:val="20"/>
                <w:szCs w:val="20"/>
              </w:rPr>
            </w:pPr>
          </w:p>
        </w:tc>
      </w:tr>
      <w:tr w:rsidR="000E02C8" w:rsidRPr="0065566F" w14:paraId="7725A25B" w14:textId="77777777" w:rsidTr="005D6A90">
        <w:trPr>
          <w:trHeight w:val="323"/>
        </w:trPr>
        <w:tc>
          <w:tcPr>
            <w:tcW w:w="2903" w:type="dxa"/>
            <w:shd w:val="clear" w:color="auto" w:fill="D9D9D9" w:themeFill="background1" w:themeFillShade="D9"/>
            <w:vAlign w:val="center"/>
          </w:tcPr>
          <w:p w14:paraId="440002D3" w14:textId="77777777" w:rsidR="000E02C8" w:rsidRPr="0065566F" w:rsidRDefault="000E02C8" w:rsidP="000E02C8">
            <w:pPr>
              <w:tabs>
                <w:tab w:val="left" w:pos="3200"/>
              </w:tabs>
              <w:rPr>
                <w:rFonts w:ascii="Arial" w:hAnsi="Arial" w:cs="Arial"/>
                <w:sz w:val="20"/>
                <w:szCs w:val="20"/>
              </w:rPr>
            </w:pPr>
            <w:r w:rsidRPr="0065566F">
              <w:rPr>
                <w:rFonts w:ascii="Arial" w:hAnsi="Arial" w:cs="Arial"/>
                <w:sz w:val="20"/>
                <w:szCs w:val="20"/>
              </w:rPr>
              <w:t xml:space="preserve">Impacts on Isolated Indigenous Peoples </w:t>
            </w:r>
          </w:p>
        </w:tc>
        <w:tc>
          <w:tcPr>
            <w:tcW w:w="10890" w:type="dxa"/>
            <w:gridSpan w:val="5"/>
            <w:vMerge/>
            <w:vAlign w:val="center"/>
          </w:tcPr>
          <w:p w14:paraId="4F792FA5" w14:textId="77777777" w:rsidR="000E02C8" w:rsidRPr="0065566F" w:rsidRDefault="000E02C8" w:rsidP="000E02C8">
            <w:pPr>
              <w:tabs>
                <w:tab w:val="left" w:pos="3200"/>
              </w:tabs>
              <w:jc w:val="both"/>
              <w:rPr>
                <w:rFonts w:ascii="Arial" w:hAnsi="Arial" w:cs="Arial"/>
                <w:sz w:val="20"/>
                <w:szCs w:val="20"/>
              </w:rPr>
            </w:pPr>
          </w:p>
        </w:tc>
      </w:tr>
      <w:tr w:rsidR="000E02C8" w:rsidRPr="0065566F" w14:paraId="1B83C06F" w14:textId="77777777" w:rsidTr="000361A6">
        <w:trPr>
          <w:trHeight w:val="323"/>
        </w:trPr>
        <w:tc>
          <w:tcPr>
            <w:tcW w:w="13793" w:type="dxa"/>
            <w:gridSpan w:val="6"/>
            <w:shd w:val="clear" w:color="auto" w:fill="D9D9D9" w:themeFill="background1" w:themeFillShade="D9"/>
            <w:vAlign w:val="center"/>
          </w:tcPr>
          <w:p w14:paraId="79D27FF5" w14:textId="77777777" w:rsidR="000E02C8" w:rsidRPr="0065566F" w:rsidRDefault="000E02C8" w:rsidP="000E02C8">
            <w:pPr>
              <w:tabs>
                <w:tab w:val="left" w:pos="3200"/>
              </w:tabs>
              <w:jc w:val="both"/>
              <w:rPr>
                <w:rFonts w:ascii="Arial" w:hAnsi="Arial" w:cs="Arial"/>
                <w:sz w:val="20"/>
                <w:szCs w:val="20"/>
              </w:rPr>
            </w:pPr>
            <w:r w:rsidRPr="0065566F">
              <w:rPr>
                <w:rFonts w:ascii="Arial" w:hAnsi="Arial" w:cs="Arial"/>
                <w:b/>
                <w:sz w:val="20"/>
                <w:szCs w:val="20"/>
              </w:rPr>
              <w:t>OP-761 Operational Policy on Gender Equality in Development</w:t>
            </w:r>
          </w:p>
        </w:tc>
      </w:tr>
      <w:tr w:rsidR="000E02C8" w:rsidRPr="0065566F" w14:paraId="37A38AC6" w14:textId="77777777" w:rsidTr="005D6A90">
        <w:trPr>
          <w:trHeight w:val="323"/>
        </w:trPr>
        <w:tc>
          <w:tcPr>
            <w:tcW w:w="2903" w:type="dxa"/>
            <w:shd w:val="clear" w:color="auto" w:fill="D9D9D9" w:themeFill="background1" w:themeFillShade="D9"/>
            <w:vAlign w:val="center"/>
          </w:tcPr>
          <w:p w14:paraId="287A217E"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Consultation and effective participation of women and men</w:t>
            </w:r>
          </w:p>
        </w:tc>
        <w:tc>
          <w:tcPr>
            <w:tcW w:w="10890" w:type="dxa"/>
            <w:gridSpan w:val="5"/>
            <w:vMerge w:val="restart"/>
            <w:vAlign w:val="center"/>
          </w:tcPr>
          <w:p w14:paraId="706396F8" w14:textId="77777777" w:rsidR="000E02C8" w:rsidRPr="0065566F" w:rsidRDefault="000E02C8" w:rsidP="000E02C8">
            <w:pPr>
              <w:tabs>
                <w:tab w:val="left" w:pos="3200"/>
              </w:tabs>
              <w:jc w:val="center"/>
              <w:rPr>
                <w:rFonts w:ascii="Arial" w:hAnsi="Arial" w:cs="Arial"/>
                <w:sz w:val="20"/>
                <w:szCs w:val="20"/>
              </w:rPr>
            </w:pPr>
            <w:r w:rsidRPr="0065566F">
              <w:rPr>
                <w:rFonts w:ascii="Arial" w:hAnsi="Arial" w:cs="Arial"/>
                <w:sz w:val="20"/>
                <w:szCs w:val="20"/>
              </w:rPr>
              <w:t>Not triggered</w:t>
            </w:r>
          </w:p>
        </w:tc>
      </w:tr>
      <w:tr w:rsidR="000E02C8" w:rsidRPr="0065566F" w14:paraId="6951DF15" w14:textId="77777777" w:rsidTr="005D6A90">
        <w:trPr>
          <w:trHeight w:val="323"/>
        </w:trPr>
        <w:tc>
          <w:tcPr>
            <w:tcW w:w="2903" w:type="dxa"/>
            <w:shd w:val="clear" w:color="auto" w:fill="D9D9D9" w:themeFill="background1" w:themeFillShade="D9"/>
            <w:vAlign w:val="center"/>
          </w:tcPr>
          <w:p w14:paraId="180FB050"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t>Application of safeguard and risk</w:t>
            </w:r>
            <w:r w:rsidRPr="0065566F">
              <w:rPr>
                <w:rStyle w:val="FootnoteReference"/>
                <w:rFonts w:ascii="Arial" w:hAnsi="Arial" w:cs="Arial"/>
                <w:sz w:val="20"/>
                <w:szCs w:val="20"/>
              </w:rPr>
              <w:footnoteReference w:id="8"/>
            </w:r>
            <w:r w:rsidRPr="0065566F">
              <w:rPr>
                <w:rFonts w:ascii="Arial" w:hAnsi="Arial" w:cs="Arial"/>
                <w:sz w:val="20"/>
                <w:szCs w:val="20"/>
              </w:rPr>
              <w:t xml:space="preserve"> analysis</w:t>
            </w:r>
          </w:p>
        </w:tc>
        <w:tc>
          <w:tcPr>
            <w:tcW w:w="10890" w:type="dxa"/>
            <w:gridSpan w:val="5"/>
            <w:vMerge/>
            <w:vAlign w:val="center"/>
          </w:tcPr>
          <w:p w14:paraId="2CEBB37F" w14:textId="77777777" w:rsidR="000E02C8" w:rsidRPr="0065566F" w:rsidRDefault="000E02C8" w:rsidP="000E02C8">
            <w:pPr>
              <w:tabs>
                <w:tab w:val="left" w:pos="3200"/>
              </w:tabs>
              <w:jc w:val="both"/>
              <w:rPr>
                <w:rFonts w:ascii="Arial" w:hAnsi="Arial" w:cs="Arial"/>
                <w:sz w:val="20"/>
                <w:szCs w:val="20"/>
              </w:rPr>
            </w:pPr>
          </w:p>
        </w:tc>
      </w:tr>
      <w:tr w:rsidR="000E02C8" w:rsidRPr="0065566F" w14:paraId="585C7198" w14:textId="77777777" w:rsidTr="000361A6">
        <w:trPr>
          <w:trHeight w:val="323"/>
        </w:trPr>
        <w:tc>
          <w:tcPr>
            <w:tcW w:w="13793" w:type="dxa"/>
            <w:gridSpan w:val="6"/>
            <w:shd w:val="clear" w:color="auto" w:fill="D9D9D9" w:themeFill="background1" w:themeFillShade="D9"/>
            <w:vAlign w:val="center"/>
          </w:tcPr>
          <w:p w14:paraId="04E82191" w14:textId="77777777" w:rsidR="000E02C8" w:rsidRPr="0065566F" w:rsidRDefault="000E02C8" w:rsidP="000E02C8">
            <w:pPr>
              <w:tabs>
                <w:tab w:val="left" w:pos="3200"/>
              </w:tabs>
              <w:jc w:val="both"/>
              <w:rPr>
                <w:rFonts w:ascii="Arial" w:hAnsi="Arial" w:cs="Arial"/>
                <w:sz w:val="20"/>
                <w:szCs w:val="20"/>
              </w:rPr>
            </w:pPr>
            <w:r w:rsidRPr="0065566F">
              <w:rPr>
                <w:rFonts w:ascii="Arial" w:hAnsi="Arial" w:cs="Arial"/>
                <w:b/>
                <w:sz w:val="20"/>
                <w:szCs w:val="20"/>
              </w:rPr>
              <w:t>OP-102 Access to Information Policy</w:t>
            </w:r>
          </w:p>
        </w:tc>
      </w:tr>
      <w:tr w:rsidR="000E02C8" w:rsidRPr="0065566F" w14:paraId="05BEAFF5" w14:textId="77777777" w:rsidTr="000361A6">
        <w:trPr>
          <w:trHeight w:val="323"/>
        </w:trPr>
        <w:tc>
          <w:tcPr>
            <w:tcW w:w="2903" w:type="dxa"/>
            <w:shd w:val="clear" w:color="auto" w:fill="D9D9D9" w:themeFill="background1" w:themeFillShade="D9"/>
            <w:vAlign w:val="center"/>
          </w:tcPr>
          <w:p w14:paraId="6D7EBDB7" w14:textId="77777777" w:rsidR="000E02C8" w:rsidRPr="0065566F" w:rsidDel="00641735" w:rsidRDefault="000E02C8" w:rsidP="000E02C8">
            <w:pPr>
              <w:tabs>
                <w:tab w:val="left" w:pos="3200"/>
              </w:tabs>
              <w:rPr>
                <w:rFonts w:ascii="Arial" w:hAnsi="Arial" w:cs="Arial"/>
                <w:b/>
                <w:sz w:val="20"/>
                <w:szCs w:val="20"/>
              </w:rPr>
            </w:pPr>
            <w:r w:rsidRPr="0065566F">
              <w:rPr>
                <w:rFonts w:ascii="Arial" w:eastAsia="Arial" w:hAnsi="Arial" w:cs="Arial"/>
                <w:sz w:val="20"/>
                <w:szCs w:val="20"/>
              </w:rPr>
              <w:t xml:space="preserve">Disclosure of relevant Environmental and Social </w:t>
            </w:r>
            <w:proofErr w:type="spellStart"/>
            <w:r w:rsidRPr="0065566F">
              <w:rPr>
                <w:rFonts w:ascii="Arial" w:eastAsia="Arial" w:hAnsi="Arial" w:cs="Arial"/>
                <w:sz w:val="20"/>
                <w:szCs w:val="20"/>
              </w:rPr>
              <w:t>AssessmentsPrior</w:t>
            </w:r>
            <w:proofErr w:type="spellEnd"/>
            <w:r w:rsidRPr="0065566F">
              <w:rPr>
                <w:rFonts w:ascii="Arial" w:eastAsia="Arial" w:hAnsi="Arial" w:cs="Arial"/>
                <w:sz w:val="20"/>
                <w:szCs w:val="20"/>
              </w:rPr>
              <w:t xml:space="preserve"> to Analysis Mission, QRR, OPC and submission of the operation for Board consideration</w:t>
            </w:r>
          </w:p>
        </w:tc>
        <w:tc>
          <w:tcPr>
            <w:tcW w:w="2160" w:type="dxa"/>
            <w:gridSpan w:val="2"/>
            <w:vAlign w:val="center"/>
          </w:tcPr>
          <w:p w14:paraId="32410C18" w14:textId="77777777" w:rsidR="000E02C8" w:rsidRPr="0065566F" w:rsidRDefault="006750E7" w:rsidP="000E02C8">
            <w:pPr>
              <w:tabs>
                <w:tab w:val="left" w:pos="3200"/>
              </w:tabs>
              <w:jc w:val="both"/>
              <w:rPr>
                <w:rFonts w:ascii="Arial" w:hAnsi="Arial" w:cs="Arial"/>
                <w:sz w:val="20"/>
                <w:szCs w:val="20"/>
              </w:rPr>
            </w:pPr>
            <w:r>
              <w:rPr>
                <w:rFonts w:ascii="Arial" w:hAnsi="Arial" w:cs="Arial"/>
                <w:sz w:val="20"/>
                <w:szCs w:val="20"/>
              </w:rPr>
              <w:t>Disclosure of E&amp;S documents</w:t>
            </w:r>
          </w:p>
        </w:tc>
        <w:tc>
          <w:tcPr>
            <w:tcW w:w="4320" w:type="dxa"/>
          </w:tcPr>
          <w:p w14:paraId="0479BCE1" w14:textId="77777777" w:rsidR="000E02C8" w:rsidRPr="0065566F" w:rsidRDefault="006750E7" w:rsidP="000E02C8">
            <w:pPr>
              <w:tabs>
                <w:tab w:val="left" w:pos="3200"/>
              </w:tabs>
              <w:jc w:val="both"/>
              <w:rPr>
                <w:rFonts w:ascii="Arial" w:hAnsi="Arial" w:cs="Arial"/>
                <w:sz w:val="20"/>
                <w:szCs w:val="20"/>
              </w:rPr>
            </w:pPr>
            <w:r>
              <w:rPr>
                <w:rFonts w:ascii="Arial" w:hAnsi="Arial" w:cs="Arial"/>
                <w:sz w:val="20"/>
                <w:szCs w:val="20"/>
              </w:rPr>
              <w:t xml:space="preserve">Compliance expected </w:t>
            </w:r>
          </w:p>
        </w:tc>
        <w:tc>
          <w:tcPr>
            <w:tcW w:w="4410" w:type="dxa"/>
            <w:gridSpan w:val="2"/>
          </w:tcPr>
          <w:p w14:paraId="4D4FB424" w14:textId="77777777" w:rsidR="000E02C8" w:rsidRPr="0065566F" w:rsidRDefault="00E228C6" w:rsidP="000E02C8">
            <w:pPr>
              <w:tabs>
                <w:tab w:val="left" w:pos="3200"/>
              </w:tabs>
              <w:jc w:val="both"/>
              <w:rPr>
                <w:rFonts w:ascii="Arial" w:hAnsi="Arial" w:cs="Arial"/>
                <w:sz w:val="20"/>
                <w:szCs w:val="20"/>
              </w:rPr>
            </w:pPr>
            <w:r w:rsidRPr="00E228C6">
              <w:rPr>
                <w:rFonts w:ascii="Arial" w:hAnsi="Arial" w:cs="Arial"/>
                <w:sz w:val="20"/>
                <w:szCs w:val="20"/>
              </w:rPr>
              <w:t xml:space="preserve">The IDB will publish the </w:t>
            </w:r>
            <w:r w:rsidR="005D6A90">
              <w:rPr>
                <w:rFonts w:ascii="Arial" w:hAnsi="Arial" w:cs="Arial"/>
                <w:sz w:val="20"/>
                <w:szCs w:val="20"/>
              </w:rPr>
              <w:t>Program</w:t>
            </w:r>
            <w:r w:rsidRPr="00E228C6">
              <w:rPr>
                <w:rFonts w:ascii="Arial" w:hAnsi="Arial" w:cs="Arial"/>
                <w:sz w:val="20"/>
                <w:szCs w:val="20"/>
              </w:rPr>
              <w:t xml:space="preserve"> documents in compliance with OP-102. Only C category subprojects are eligible for financing.</w:t>
            </w:r>
          </w:p>
        </w:tc>
      </w:tr>
      <w:tr w:rsidR="000E02C8" w:rsidRPr="0065566F" w14:paraId="38FF4053" w14:textId="77777777" w:rsidTr="000361A6">
        <w:trPr>
          <w:trHeight w:val="323"/>
        </w:trPr>
        <w:tc>
          <w:tcPr>
            <w:tcW w:w="2903" w:type="dxa"/>
            <w:shd w:val="clear" w:color="auto" w:fill="D9D9D9" w:themeFill="background1" w:themeFillShade="D9"/>
            <w:vAlign w:val="center"/>
          </w:tcPr>
          <w:p w14:paraId="7F710C89" w14:textId="77777777" w:rsidR="000E02C8" w:rsidRPr="0065566F" w:rsidDel="00641735" w:rsidRDefault="000E02C8" w:rsidP="000E02C8">
            <w:pPr>
              <w:tabs>
                <w:tab w:val="left" w:pos="3200"/>
              </w:tabs>
              <w:rPr>
                <w:rFonts w:ascii="Arial" w:hAnsi="Arial" w:cs="Arial"/>
                <w:b/>
                <w:sz w:val="20"/>
                <w:szCs w:val="20"/>
              </w:rPr>
            </w:pPr>
            <w:r w:rsidRPr="0065566F">
              <w:rPr>
                <w:rFonts w:ascii="Arial" w:hAnsi="Arial" w:cs="Arial"/>
                <w:sz w:val="20"/>
                <w:szCs w:val="20"/>
              </w:rPr>
              <w:lastRenderedPageBreak/>
              <w:t>Provisions for Disclosure of Environmental and Social Documents during Project Implementation</w:t>
            </w:r>
          </w:p>
        </w:tc>
        <w:tc>
          <w:tcPr>
            <w:tcW w:w="2160" w:type="dxa"/>
            <w:gridSpan w:val="2"/>
            <w:vAlign w:val="center"/>
          </w:tcPr>
          <w:p w14:paraId="2EFAEF5D" w14:textId="77777777" w:rsidR="000E02C8" w:rsidRPr="0065566F" w:rsidRDefault="000E02C8" w:rsidP="000E02C8">
            <w:pPr>
              <w:tabs>
                <w:tab w:val="left" w:pos="3200"/>
              </w:tabs>
              <w:jc w:val="both"/>
              <w:rPr>
                <w:rFonts w:ascii="Arial" w:hAnsi="Arial" w:cs="Arial"/>
                <w:sz w:val="20"/>
                <w:szCs w:val="20"/>
              </w:rPr>
            </w:pPr>
          </w:p>
        </w:tc>
        <w:tc>
          <w:tcPr>
            <w:tcW w:w="4320" w:type="dxa"/>
          </w:tcPr>
          <w:p w14:paraId="6BBD858B" w14:textId="77777777" w:rsidR="000E02C8" w:rsidRPr="0065566F" w:rsidRDefault="000E02C8" w:rsidP="000E02C8">
            <w:pPr>
              <w:tabs>
                <w:tab w:val="left" w:pos="3200"/>
              </w:tabs>
              <w:jc w:val="both"/>
              <w:rPr>
                <w:rFonts w:ascii="Arial" w:hAnsi="Arial" w:cs="Arial"/>
                <w:sz w:val="20"/>
                <w:szCs w:val="20"/>
              </w:rPr>
            </w:pPr>
          </w:p>
        </w:tc>
        <w:tc>
          <w:tcPr>
            <w:tcW w:w="4410" w:type="dxa"/>
            <w:gridSpan w:val="2"/>
          </w:tcPr>
          <w:p w14:paraId="60B91FA1" w14:textId="77777777" w:rsidR="000E02C8" w:rsidRPr="0065566F" w:rsidRDefault="001C6E68" w:rsidP="000E02C8">
            <w:pPr>
              <w:tabs>
                <w:tab w:val="left" w:pos="3200"/>
              </w:tabs>
              <w:jc w:val="both"/>
              <w:rPr>
                <w:rFonts w:ascii="Arial" w:hAnsi="Arial" w:cs="Arial"/>
                <w:sz w:val="20"/>
                <w:szCs w:val="20"/>
              </w:rPr>
            </w:pPr>
            <w:r>
              <w:rPr>
                <w:rFonts w:ascii="Arial" w:hAnsi="Arial" w:cs="Arial"/>
                <w:sz w:val="20"/>
                <w:szCs w:val="20"/>
              </w:rPr>
              <w:t>NA</w:t>
            </w:r>
          </w:p>
        </w:tc>
      </w:tr>
    </w:tbl>
    <w:p w14:paraId="33538C04" w14:textId="77777777" w:rsidR="00B01F04" w:rsidRPr="0065566F" w:rsidRDefault="00B01F04" w:rsidP="004B6155">
      <w:pPr>
        <w:widowControl w:val="0"/>
        <w:autoSpaceDE w:val="0"/>
        <w:autoSpaceDN w:val="0"/>
        <w:adjustRightInd w:val="0"/>
        <w:ind w:right="-720"/>
        <w:jc w:val="both"/>
        <w:rPr>
          <w:rFonts w:ascii="Arial" w:hAnsi="Arial" w:cs="Arial"/>
          <w:bCs/>
          <w:sz w:val="20"/>
          <w:szCs w:val="20"/>
        </w:rPr>
      </w:pPr>
    </w:p>
    <w:p w14:paraId="272F4375" w14:textId="77777777" w:rsidR="00874CC0" w:rsidRPr="0065566F" w:rsidRDefault="00874CC0" w:rsidP="004B6155">
      <w:pPr>
        <w:widowControl w:val="0"/>
        <w:autoSpaceDE w:val="0"/>
        <w:autoSpaceDN w:val="0"/>
        <w:adjustRightInd w:val="0"/>
        <w:ind w:right="-720"/>
        <w:jc w:val="both"/>
        <w:rPr>
          <w:rFonts w:ascii="Arial" w:hAnsi="Arial" w:cs="Arial"/>
          <w:bCs/>
          <w:sz w:val="20"/>
          <w:szCs w:val="20"/>
        </w:rPr>
      </w:pPr>
    </w:p>
    <w:p w14:paraId="5B3B965A" w14:textId="77777777" w:rsidR="00874CC0" w:rsidRPr="0065566F" w:rsidRDefault="00874CC0" w:rsidP="004B6155">
      <w:pPr>
        <w:widowControl w:val="0"/>
        <w:autoSpaceDE w:val="0"/>
        <w:autoSpaceDN w:val="0"/>
        <w:adjustRightInd w:val="0"/>
        <w:ind w:right="-720"/>
        <w:jc w:val="both"/>
        <w:rPr>
          <w:rFonts w:ascii="Arial" w:hAnsi="Arial" w:cs="Arial"/>
          <w:bCs/>
          <w:sz w:val="20"/>
          <w:szCs w:val="20"/>
        </w:rPr>
      </w:pPr>
    </w:p>
    <w:p w14:paraId="1803D30A" w14:textId="77777777" w:rsidR="00BE1ADE" w:rsidRPr="0065566F" w:rsidRDefault="00874CC0" w:rsidP="00BE1ADE">
      <w:pPr>
        <w:rPr>
          <w:rFonts w:ascii="Arial" w:hAnsi="Arial" w:cs="Arial"/>
          <w:bCs/>
          <w:sz w:val="20"/>
          <w:szCs w:val="20"/>
        </w:rPr>
        <w:sectPr w:rsidR="00BE1ADE" w:rsidRPr="0065566F" w:rsidSect="00883BA1">
          <w:pgSz w:w="15840" w:h="12240" w:orient="landscape"/>
          <w:pgMar w:top="1166" w:right="1440" w:bottom="1800" w:left="1440" w:header="720" w:footer="720" w:gutter="0"/>
          <w:cols w:space="720"/>
          <w:docGrid w:linePitch="360"/>
        </w:sectPr>
      </w:pPr>
      <w:r w:rsidRPr="0065566F">
        <w:rPr>
          <w:rFonts w:ascii="Arial" w:hAnsi="Arial" w:cs="Arial"/>
          <w:bCs/>
          <w:sz w:val="20"/>
          <w:szCs w:val="20"/>
        </w:rPr>
        <w:br w:type="page"/>
      </w:r>
    </w:p>
    <w:p w14:paraId="65C3E007" w14:textId="77777777" w:rsidR="00BE1ADE" w:rsidRPr="0065566F" w:rsidRDefault="00874CC0" w:rsidP="00BE1ADE">
      <w:pPr>
        <w:rPr>
          <w:rFonts w:ascii="Arial" w:hAnsi="Arial" w:cs="Arial"/>
          <w:b/>
          <w:sz w:val="20"/>
          <w:szCs w:val="20"/>
        </w:rPr>
      </w:pPr>
      <w:r w:rsidRPr="0065566F">
        <w:rPr>
          <w:rFonts w:ascii="Arial" w:hAnsi="Arial" w:cs="Arial"/>
          <w:b/>
          <w:bCs/>
          <w:sz w:val="20"/>
          <w:szCs w:val="20"/>
        </w:rPr>
        <w:lastRenderedPageBreak/>
        <w:t>Annex B. ESHS Legal Requirements</w:t>
      </w:r>
      <w:r w:rsidR="00BE1ADE" w:rsidRPr="0065566F">
        <w:rPr>
          <w:rFonts w:ascii="Arial" w:hAnsi="Arial" w:cs="Arial"/>
          <w:b/>
          <w:sz w:val="20"/>
          <w:szCs w:val="20"/>
        </w:rPr>
        <w:t xml:space="preserve"> </w:t>
      </w:r>
    </w:p>
    <w:p w14:paraId="26764BA1" w14:textId="77777777" w:rsidR="009F0069" w:rsidRPr="0065566F" w:rsidRDefault="009F0069" w:rsidP="009F0069">
      <w:pPr>
        <w:rPr>
          <w:rFonts w:ascii="Arial" w:eastAsia="Times New Roman" w:hAnsi="Arial" w:cs="Arial"/>
          <w:b/>
          <w:i/>
          <w:sz w:val="20"/>
          <w:szCs w:val="20"/>
          <w:lang w:val="en"/>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9F0069" w:rsidRPr="0065566F" w14:paraId="7F1D19B4" w14:textId="77777777" w:rsidTr="009F006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3402639" w14:textId="77777777" w:rsidR="009F0069" w:rsidRPr="0065566F" w:rsidRDefault="009F0069" w:rsidP="00267CCE">
            <w:pPr>
              <w:spacing w:before="120" w:after="120"/>
              <w:rPr>
                <w:rFonts w:ascii="Arial" w:eastAsia="Times New Roman" w:hAnsi="Arial" w:cs="Arial"/>
                <w:color w:val="0070C0"/>
                <w:sz w:val="20"/>
                <w:szCs w:val="20"/>
                <w:lang w:val="en"/>
              </w:rPr>
            </w:pPr>
            <w:r w:rsidRPr="0065566F">
              <w:rPr>
                <w:rFonts w:ascii="Arial" w:eastAsia="Times New Roman" w:hAnsi="Arial" w:cs="Arial"/>
                <w:b/>
                <w:color w:val="0070C0"/>
                <w:sz w:val="20"/>
                <w:szCs w:val="20"/>
                <w:lang w:val="en"/>
              </w:rPr>
              <w:t>A. ESHS Conditions of the Loan Agreement.</w:t>
            </w:r>
          </w:p>
          <w:p w14:paraId="6F071E2A" w14:textId="77777777" w:rsidR="009F0069" w:rsidRPr="0065566F" w:rsidRDefault="009F0069" w:rsidP="00267CCE">
            <w:pPr>
              <w:spacing w:before="120" w:after="120"/>
              <w:rPr>
                <w:rFonts w:ascii="Arial" w:eastAsia="Times New Roman" w:hAnsi="Arial" w:cs="Arial"/>
                <w:b/>
                <w:color w:val="0070C0"/>
                <w:sz w:val="20"/>
                <w:szCs w:val="20"/>
                <w:lang w:val="en"/>
              </w:rPr>
            </w:pPr>
            <w:r w:rsidRPr="0065566F">
              <w:rPr>
                <w:rFonts w:ascii="Arial" w:eastAsia="Times New Roman" w:hAnsi="Arial" w:cs="Arial"/>
                <w:color w:val="0070C0"/>
                <w:sz w:val="20"/>
                <w:szCs w:val="20"/>
                <w:lang w:val="en"/>
              </w:rPr>
              <w:t>The following ESHS conditions are required to be fu</w:t>
            </w:r>
            <w:bookmarkStart w:id="4" w:name="_GoBack"/>
            <w:r w:rsidRPr="0065566F">
              <w:rPr>
                <w:rFonts w:ascii="Arial" w:eastAsia="Times New Roman" w:hAnsi="Arial" w:cs="Arial"/>
                <w:color w:val="0070C0"/>
                <w:sz w:val="20"/>
                <w:szCs w:val="20"/>
                <w:lang w:val="en"/>
              </w:rPr>
              <w:t>lfi</w:t>
            </w:r>
            <w:bookmarkEnd w:id="4"/>
            <w:r w:rsidRPr="0065566F">
              <w:rPr>
                <w:rFonts w:ascii="Arial" w:eastAsia="Times New Roman" w:hAnsi="Arial" w:cs="Arial"/>
                <w:color w:val="0070C0"/>
                <w:sz w:val="20"/>
                <w:szCs w:val="20"/>
                <w:lang w:val="en"/>
              </w:rPr>
              <w:t xml:space="preserve">lled to the satisfaction of the Bank and will be included in the Loan Agreement </w:t>
            </w:r>
            <w:r w:rsidR="008B2083">
              <w:rPr>
                <w:rFonts w:ascii="Arial" w:eastAsia="Times New Roman" w:hAnsi="Arial" w:cs="Arial"/>
                <w:color w:val="0070C0"/>
                <w:sz w:val="20"/>
                <w:szCs w:val="20"/>
                <w:lang w:val="en"/>
              </w:rPr>
              <w:t xml:space="preserve">and further detailed in the Operating regulations (OR) </w:t>
            </w:r>
            <w:proofErr w:type="gramStart"/>
            <w:r w:rsidRPr="0065566F">
              <w:rPr>
                <w:rFonts w:ascii="Arial" w:eastAsia="Times New Roman" w:hAnsi="Arial" w:cs="Arial"/>
                <w:color w:val="0070C0"/>
                <w:sz w:val="20"/>
                <w:szCs w:val="20"/>
                <w:lang w:val="en"/>
              </w:rPr>
              <w:t>in order to</w:t>
            </w:r>
            <w:proofErr w:type="gramEnd"/>
            <w:r w:rsidRPr="0065566F">
              <w:rPr>
                <w:rFonts w:ascii="Arial" w:eastAsia="Times New Roman" w:hAnsi="Arial" w:cs="Arial"/>
                <w:color w:val="0070C0"/>
                <w:sz w:val="20"/>
                <w:szCs w:val="20"/>
                <w:lang w:val="en"/>
              </w:rPr>
              <w:t xml:space="preserve"> comply with the Bank’s ESHS Safeguard Policies.</w:t>
            </w:r>
          </w:p>
        </w:tc>
      </w:tr>
      <w:tr w:rsidR="009F0069" w:rsidRPr="0065566F" w14:paraId="33B5C648" w14:textId="77777777" w:rsidTr="009F006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A7016B0" w14:textId="77777777" w:rsidR="009F0069" w:rsidRPr="0065566F" w:rsidRDefault="009F0069" w:rsidP="00267CCE">
            <w:pPr>
              <w:spacing w:before="120" w:after="120"/>
              <w:rPr>
                <w:rFonts w:ascii="Arial" w:eastAsia="Times New Roman" w:hAnsi="Arial" w:cs="Arial"/>
                <w:sz w:val="20"/>
                <w:szCs w:val="20"/>
                <w:lang w:val="en"/>
              </w:rPr>
            </w:pPr>
            <w:r w:rsidRPr="0065566F">
              <w:rPr>
                <w:rFonts w:ascii="Arial" w:eastAsia="Times New Roman" w:hAnsi="Arial" w:cs="Arial"/>
                <w:b/>
                <w:color w:val="0070C0"/>
                <w:sz w:val="20"/>
                <w:szCs w:val="20"/>
                <w:lang w:val="en"/>
              </w:rPr>
              <w:t xml:space="preserve">1. Conditions to be </w:t>
            </w:r>
            <w:r w:rsidR="00646525" w:rsidRPr="0065566F">
              <w:rPr>
                <w:rFonts w:ascii="Arial" w:eastAsia="Times New Roman" w:hAnsi="Arial" w:cs="Arial"/>
                <w:b/>
                <w:color w:val="0070C0"/>
                <w:sz w:val="20"/>
                <w:szCs w:val="20"/>
                <w:lang w:val="en"/>
              </w:rPr>
              <w:t>M</w:t>
            </w:r>
            <w:r w:rsidRPr="0065566F">
              <w:rPr>
                <w:rFonts w:ascii="Arial" w:eastAsia="Times New Roman" w:hAnsi="Arial" w:cs="Arial"/>
                <w:b/>
                <w:color w:val="0070C0"/>
                <w:sz w:val="20"/>
                <w:szCs w:val="20"/>
                <w:lang w:val="en"/>
              </w:rPr>
              <w:t xml:space="preserve">et Prior to the First Disbursement of the Loan. </w:t>
            </w:r>
          </w:p>
          <w:p w14:paraId="592320FF" w14:textId="148E5883" w:rsidR="009F0069" w:rsidRPr="0065566F" w:rsidRDefault="009F0069" w:rsidP="00646525">
            <w:pPr>
              <w:pStyle w:val="CommentText"/>
              <w:spacing w:before="120" w:after="120"/>
              <w:rPr>
                <w:rFonts w:ascii="Arial" w:hAnsi="Arial" w:cs="Arial"/>
                <w:b/>
                <w:color w:val="0070C0"/>
                <w:lang w:val="en"/>
              </w:rPr>
            </w:pPr>
            <w:r w:rsidRPr="0065566F">
              <w:rPr>
                <w:rFonts w:ascii="Arial" w:hAnsi="Arial" w:cs="Arial"/>
                <w:color w:val="0070C0"/>
                <w:lang w:val="en"/>
              </w:rPr>
              <w:t xml:space="preserve">The </w:t>
            </w:r>
            <w:r w:rsidR="00646525" w:rsidRPr="0065566F">
              <w:rPr>
                <w:rFonts w:ascii="Arial" w:hAnsi="Arial" w:cs="Arial"/>
                <w:color w:val="0070C0"/>
                <w:lang w:val="en"/>
              </w:rPr>
              <w:t>AFD</w:t>
            </w:r>
            <w:r w:rsidRPr="0065566F">
              <w:rPr>
                <w:rFonts w:ascii="Arial" w:hAnsi="Arial" w:cs="Arial"/>
                <w:color w:val="0070C0"/>
                <w:lang w:val="en"/>
              </w:rPr>
              <w:t xml:space="preserve"> shall present </w:t>
            </w:r>
            <w:proofErr w:type="gramStart"/>
            <w:r w:rsidRPr="0065566F">
              <w:rPr>
                <w:rFonts w:ascii="Arial" w:hAnsi="Arial" w:cs="Arial"/>
                <w:color w:val="0070C0"/>
                <w:lang w:val="en"/>
              </w:rPr>
              <w:t>evidence  that</w:t>
            </w:r>
            <w:proofErr w:type="gramEnd"/>
            <w:r w:rsidRPr="0065566F">
              <w:rPr>
                <w:rFonts w:ascii="Arial" w:hAnsi="Arial" w:cs="Arial"/>
                <w:color w:val="0070C0"/>
                <w:lang w:val="en"/>
              </w:rPr>
              <w:t xml:space="preserve"> </w:t>
            </w:r>
            <w:r w:rsidR="00057F69">
              <w:rPr>
                <w:rFonts w:ascii="Arial" w:hAnsi="Arial" w:cs="Arial"/>
                <w:color w:val="0070C0"/>
                <w:lang w:val="en"/>
              </w:rPr>
              <w:t xml:space="preserve">an </w:t>
            </w:r>
            <w:r w:rsidRPr="0065566F">
              <w:rPr>
                <w:rFonts w:ascii="Arial" w:hAnsi="Arial" w:cs="Arial"/>
                <w:color w:val="0070C0"/>
                <w:lang w:val="en"/>
              </w:rPr>
              <w:t>O</w:t>
            </w:r>
            <w:r w:rsidR="00646525" w:rsidRPr="0065566F">
              <w:rPr>
                <w:rFonts w:ascii="Arial" w:hAnsi="Arial" w:cs="Arial"/>
                <w:color w:val="0070C0"/>
                <w:lang w:val="en"/>
              </w:rPr>
              <w:t>perating Manual (OM)</w:t>
            </w:r>
            <w:r w:rsidR="0075679D">
              <w:rPr>
                <w:rFonts w:ascii="Arial" w:hAnsi="Arial" w:cs="Arial"/>
                <w:color w:val="0070C0"/>
                <w:lang w:val="en"/>
              </w:rPr>
              <w:t>,</w:t>
            </w:r>
            <w:r w:rsidR="00DD5673">
              <w:rPr>
                <w:rFonts w:ascii="Arial" w:hAnsi="Arial" w:cs="Arial"/>
                <w:color w:val="0070C0"/>
                <w:lang w:val="en"/>
              </w:rPr>
              <w:t xml:space="preserve"> that will be part of the Operating Regulations to be</w:t>
            </w:r>
            <w:r w:rsidRPr="0065566F">
              <w:rPr>
                <w:rFonts w:ascii="Arial" w:hAnsi="Arial" w:cs="Arial"/>
                <w:color w:val="0070C0"/>
                <w:lang w:val="en"/>
              </w:rPr>
              <w:t xml:space="preserve"> agreed upon with the Bank</w:t>
            </w:r>
            <w:r w:rsidR="0075679D">
              <w:rPr>
                <w:rFonts w:ascii="Arial" w:hAnsi="Arial" w:cs="Arial"/>
                <w:color w:val="0070C0"/>
                <w:lang w:val="en"/>
              </w:rPr>
              <w:t>,</w:t>
            </w:r>
            <w:r w:rsidRPr="0065566F">
              <w:rPr>
                <w:rFonts w:ascii="Arial" w:hAnsi="Arial" w:cs="Arial"/>
                <w:color w:val="0070C0"/>
                <w:lang w:val="en"/>
              </w:rPr>
              <w:t xml:space="preserve"> is in effect, including the </w:t>
            </w:r>
            <w:r w:rsidR="00057F69">
              <w:rPr>
                <w:rFonts w:ascii="Arial" w:hAnsi="Arial" w:cs="Arial"/>
                <w:color w:val="0070C0"/>
                <w:lang w:val="en"/>
              </w:rPr>
              <w:t xml:space="preserve">specifications </w:t>
            </w:r>
            <w:r w:rsidRPr="0065566F">
              <w:rPr>
                <w:rFonts w:ascii="Arial" w:hAnsi="Arial" w:cs="Arial"/>
                <w:color w:val="0070C0"/>
                <w:lang w:val="en"/>
              </w:rPr>
              <w:t>ESM</w:t>
            </w:r>
            <w:r w:rsidR="005D6A90">
              <w:rPr>
                <w:rFonts w:ascii="Arial" w:hAnsi="Arial" w:cs="Arial"/>
                <w:color w:val="0070C0"/>
                <w:lang w:val="en"/>
              </w:rPr>
              <w:t>R</w:t>
            </w:r>
            <w:r w:rsidRPr="0065566F">
              <w:rPr>
                <w:rFonts w:ascii="Arial" w:hAnsi="Arial" w:cs="Arial"/>
                <w:color w:val="0070C0"/>
                <w:lang w:val="en"/>
              </w:rPr>
              <w:t xml:space="preserve"> for the </w:t>
            </w:r>
            <w:r w:rsidR="005D6A90">
              <w:rPr>
                <w:rFonts w:ascii="Arial" w:hAnsi="Arial" w:cs="Arial"/>
                <w:color w:val="0070C0"/>
                <w:lang w:val="en"/>
              </w:rPr>
              <w:t>Program</w:t>
            </w:r>
            <w:r w:rsidRPr="0065566F">
              <w:rPr>
                <w:rFonts w:ascii="Arial" w:hAnsi="Arial" w:cs="Arial"/>
                <w:color w:val="0070C0"/>
                <w:lang w:val="en"/>
              </w:rPr>
              <w:t>,</w:t>
            </w:r>
            <w:r w:rsidR="00057F69">
              <w:rPr>
                <w:rFonts w:ascii="Arial" w:hAnsi="Arial" w:cs="Arial"/>
                <w:color w:val="0070C0"/>
                <w:lang w:val="en"/>
              </w:rPr>
              <w:t xml:space="preserve"> and in particular </w:t>
            </w:r>
            <w:r w:rsidRPr="0065566F">
              <w:rPr>
                <w:rFonts w:ascii="Arial" w:hAnsi="Arial" w:cs="Arial"/>
                <w:color w:val="0070C0"/>
                <w:lang w:val="en"/>
              </w:rPr>
              <w:t>the requirements set forth in the</w:t>
            </w:r>
            <w:r w:rsidR="003E2C2F" w:rsidRPr="0065566F">
              <w:rPr>
                <w:rFonts w:ascii="Arial" w:hAnsi="Arial" w:cs="Arial"/>
                <w:color w:val="0070C0"/>
                <w:lang w:val="en"/>
              </w:rPr>
              <w:t xml:space="preserve"> paragraph </w:t>
            </w:r>
            <w:r w:rsidR="007B163C" w:rsidRPr="0065566F">
              <w:rPr>
                <w:rFonts w:ascii="Arial" w:hAnsi="Arial" w:cs="Arial"/>
                <w:color w:val="0070C0"/>
                <w:lang w:val="en"/>
              </w:rPr>
              <w:t>B</w:t>
            </w:r>
            <w:r w:rsidR="003E2C2F" w:rsidRPr="0065566F">
              <w:rPr>
                <w:rFonts w:ascii="Arial" w:hAnsi="Arial" w:cs="Arial"/>
                <w:color w:val="0070C0"/>
                <w:lang w:val="en"/>
              </w:rPr>
              <w:t xml:space="preserve"> below. </w:t>
            </w:r>
            <w:r w:rsidRPr="0065566F">
              <w:rPr>
                <w:rFonts w:ascii="Arial" w:hAnsi="Arial" w:cs="Arial"/>
                <w:color w:val="0070C0"/>
                <w:lang w:val="en"/>
              </w:rPr>
              <w:t xml:space="preserve"> </w:t>
            </w:r>
          </w:p>
        </w:tc>
      </w:tr>
      <w:tr w:rsidR="009F0069" w:rsidRPr="0065566F" w14:paraId="466B2E3D" w14:textId="77777777" w:rsidTr="009F006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F84845B" w14:textId="77777777" w:rsidR="009F0069" w:rsidRPr="0065566F" w:rsidRDefault="009F0069" w:rsidP="00267CCE">
            <w:pPr>
              <w:spacing w:before="120" w:after="120"/>
              <w:rPr>
                <w:rFonts w:ascii="Arial" w:eastAsia="Times New Roman" w:hAnsi="Arial" w:cs="Arial"/>
                <w:b/>
                <w:color w:val="0070C0"/>
                <w:sz w:val="20"/>
                <w:szCs w:val="20"/>
                <w:lang w:val="en"/>
              </w:rPr>
            </w:pPr>
            <w:r w:rsidRPr="0065566F">
              <w:rPr>
                <w:rFonts w:ascii="Arial" w:eastAsia="Times New Roman" w:hAnsi="Arial" w:cs="Arial"/>
                <w:b/>
                <w:color w:val="0070C0"/>
                <w:sz w:val="20"/>
                <w:szCs w:val="20"/>
                <w:lang w:val="en"/>
              </w:rPr>
              <w:t>2. Conditions of Execution for Compliance During the Life of the Loan</w:t>
            </w:r>
            <w:r w:rsidR="00646525" w:rsidRPr="0065566F">
              <w:rPr>
                <w:rFonts w:ascii="Arial" w:eastAsia="Times New Roman" w:hAnsi="Arial" w:cs="Arial"/>
                <w:b/>
                <w:color w:val="0070C0"/>
                <w:sz w:val="20"/>
                <w:szCs w:val="20"/>
                <w:lang w:val="en"/>
              </w:rPr>
              <w:t>.</w:t>
            </w:r>
          </w:p>
          <w:p w14:paraId="79D68CD8" w14:textId="77777777" w:rsidR="003E2C2F" w:rsidRPr="0065566F" w:rsidRDefault="003E2C2F" w:rsidP="00267CCE">
            <w:pPr>
              <w:spacing w:before="120" w:after="120"/>
              <w:rPr>
                <w:rFonts w:ascii="Arial" w:eastAsia="Times New Roman" w:hAnsi="Arial" w:cs="Arial"/>
                <w:color w:val="0070C0"/>
                <w:sz w:val="20"/>
                <w:szCs w:val="20"/>
                <w:lang w:val="en"/>
              </w:rPr>
            </w:pPr>
          </w:p>
          <w:p w14:paraId="36E628FD" w14:textId="33E645E0" w:rsidR="009F0069" w:rsidRPr="0065566F" w:rsidRDefault="009F0069" w:rsidP="00267CCE">
            <w:p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 xml:space="preserve">The </w:t>
            </w:r>
            <w:r w:rsidR="00646525" w:rsidRPr="0065566F">
              <w:rPr>
                <w:rFonts w:ascii="Arial" w:eastAsia="Times New Roman" w:hAnsi="Arial" w:cs="Arial"/>
                <w:color w:val="0070C0"/>
                <w:sz w:val="20"/>
                <w:szCs w:val="20"/>
                <w:lang w:val="en"/>
              </w:rPr>
              <w:t>AFD</w:t>
            </w:r>
            <w:r w:rsidRPr="0065566F">
              <w:rPr>
                <w:rFonts w:ascii="Arial" w:eastAsia="Times New Roman" w:hAnsi="Arial" w:cs="Arial"/>
                <w:color w:val="0070C0"/>
                <w:sz w:val="20"/>
                <w:szCs w:val="20"/>
                <w:lang w:val="en"/>
              </w:rPr>
              <w:t xml:space="preserve"> shall implement and comply with the </w:t>
            </w:r>
            <w:r w:rsidR="003E2C2F" w:rsidRPr="0065566F">
              <w:rPr>
                <w:rFonts w:ascii="Arial" w:eastAsia="Times New Roman" w:hAnsi="Arial" w:cs="Arial"/>
                <w:color w:val="0070C0"/>
                <w:sz w:val="20"/>
                <w:szCs w:val="20"/>
                <w:lang w:val="en"/>
              </w:rPr>
              <w:t>O</w:t>
            </w:r>
            <w:r w:rsidR="00057F69">
              <w:rPr>
                <w:rFonts w:ascii="Arial" w:eastAsia="Times New Roman" w:hAnsi="Arial" w:cs="Arial"/>
                <w:color w:val="0070C0"/>
                <w:sz w:val="20"/>
                <w:szCs w:val="20"/>
                <w:lang w:val="en"/>
              </w:rPr>
              <w:t xml:space="preserve">R and </w:t>
            </w:r>
            <w:r w:rsidR="0075679D">
              <w:rPr>
                <w:rFonts w:ascii="Arial" w:eastAsia="Times New Roman" w:hAnsi="Arial" w:cs="Arial"/>
                <w:color w:val="0070C0"/>
                <w:sz w:val="20"/>
                <w:szCs w:val="20"/>
                <w:lang w:val="en"/>
              </w:rPr>
              <w:t>the</w:t>
            </w:r>
            <w:r w:rsidR="00057F69">
              <w:rPr>
                <w:rFonts w:ascii="Arial" w:eastAsia="Times New Roman" w:hAnsi="Arial" w:cs="Arial"/>
                <w:color w:val="0070C0"/>
                <w:sz w:val="20"/>
                <w:szCs w:val="20"/>
                <w:lang w:val="en"/>
              </w:rPr>
              <w:t xml:space="preserve"> </w:t>
            </w:r>
            <w:r w:rsidR="0075679D">
              <w:rPr>
                <w:rFonts w:ascii="Arial" w:eastAsia="Times New Roman" w:hAnsi="Arial" w:cs="Arial"/>
                <w:color w:val="0070C0"/>
                <w:sz w:val="20"/>
                <w:szCs w:val="20"/>
                <w:lang w:val="en"/>
              </w:rPr>
              <w:t xml:space="preserve">related </w:t>
            </w:r>
            <w:proofErr w:type="gramStart"/>
            <w:r w:rsidR="00057F69">
              <w:rPr>
                <w:rFonts w:ascii="Arial" w:eastAsia="Times New Roman" w:hAnsi="Arial" w:cs="Arial"/>
                <w:color w:val="0070C0"/>
                <w:sz w:val="20"/>
                <w:szCs w:val="20"/>
                <w:lang w:val="en"/>
              </w:rPr>
              <w:t>OM</w:t>
            </w:r>
            <w:r w:rsidRPr="0065566F">
              <w:rPr>
                <w:rFonts w:ascii="Arial" w:eastAsia="Times New Roman" w:hAnsi="Arial" w:cs="Arial"/>
                <w:color w:val="0070C0"/>
                <w:sz w:val="20"/>
                <w:szCs w:val="20"/>
                <w:lang w:val="en"/>
              </w:rPr>
              <w:t>,</w:t>
            </w:r>
            <w:r w:rsidR="0075679D">
              <w:rPr>
                <w:rFonts w:ascii="Arial" w:eastAsia="Times New Roman" w:hAnsi="Arial" w:cs="Arial"/>
                <w:color w:val="0070C0"/>
                <w:sz w:val="20"/>
                <w:szCs w:val="20"/>
                <w:lang w:val="en"/>
              </w:rPr>
              <w:t xml:space="preserve"> </w:t>
            </w:r>
            <w:r w:rsidRPr="0065566F">
              <w:rPr>
                <w:rFonts w:ascii="Arial" w:eastAsia="Times New Roman" w:hAnsi="Arial" w:cs="Arial"/>
                <w:color w:val="0070C0"/>
                <w:sz w:val="20"/>
                <w:szCs w:val="20"/>
                <w:lang w:val="en"/>
              </w:rPr>
              <w:t>and</w:t>
            </w:r>
            <w:proofErr w:type="gramEnd"/>
            <w:r w:rsidRPr="0065566F">
              <w:rPr>
                <w:rFonts w:ascii="Arial" w:eastAsia="Times New Roman" w:hAnsi="Arial" w:cs="Arial"/>
                <w:color w:val="0070C0"/>
                <w:sz w:val="20"/>
                <w:szCs w:val="20"/>
                <w:lang w:val="en"/>
              </w:rPr>
              <w:t xml:space="preserve"> shall cause the </w:t>
            </w:r>
            <w:r w:rsidR="00646525" w:rsidRPr="0065566F">
              <w:rPr>
                <w:rFonts w:ascii="Arial" w:eastAsia="Times New Roman" w:hAnsi="Arial" w:cs="Arial"/>
                <w:color w:val="0070C0"/>
                <w:sz w:val="20"/>
                <w:szCs w:val="20"/>
                <w:lang w:val="en"/>
              </w:rPr>
              <w:t>Financial Intermediaries</w:t>
            </w:r>
            <w:r w:rsidRPr="0065566F">
              <w:rPr>
                <w:rFonts w:ascii="Arial" w:eastAsia="Times New Roman" w:hAnsi="Arial" w:cs="Arial"/>
                <w:color w:val="0070C0"/>
                <w:sz w:val="20"/>
                <w:szCs w:val="20"/>
                <w:lang w:val="en"/>
              </w:rPr>
              <w:t xml:space="preserve"> and every sub-Borrower, contractor, operator or any other Person performing </w:t>
            </w:r>
            <w:r w:rsidR="005D6A90">
              <w:rPr>
                <w:rFonts w:ascii="Arial" w:eastAsia="Times New Roman" w:hAnsi="Arial" w:cs="Arial"/>
                <w:color w:val="0070C0"/>
                <w:sz w:val="20"/>
                <w:szCs w:val="20"/>
                <w:lang w:val="en"/>
              </w:rPr>
              <w:t>Program</w:t>
            </w:r>
            <w:r w:rsidRPr="0065566F">
              <w:rPr>
                <w:rFonts w:ascii="Arial" w:eastAsia="Times New Roman" w:hAnsi="Arial" w:cs="Arial"/>
                <w:color w:val="0070C0"/>
                <w:sz w:val="20"/>
                <w:szCs w:val="20"/>
                <w:lang w:val="en"/>
              </w:rPr>
              <w:t xml:space="preserve"> related activities to, design, build, operate, </w:t>
            </w:r>
            <w:r w:rsidRPr="0065566F">
              <w:rPr>
                <w:rFonts w:ascii="Arial" w:hAnsi="Arial" w:cs="Arial"/>
                <w:color w:val="0070C0"/>
                <w:sz w:val="20"/>
                <w:szCs w:val="20"/>
              </w:rPr>
              <w:t>maintain and monitor</w:t>
            </w:r>
            <w:r w:rsidRPr="0065566F">
              <w:rPr>
                <w:rFonts w:ascii="Arial" w:eastAsia="Times New Roman" w:hAnsi="Arial" w:cs="Arial"/>
                <w:color w:val="0070C0"/>
                <w:sz w:val="20"/>
                <w:szCs w:val="20"/>
                <w:lang w:val="en"/>
              </w:rPr>
              <w:t xml:space="preserve"> the </w:t>
            </w:r>
            <w:r w:rsidR="005D6A90">
              <w:rPr>
                <w:rFonts w:ascii="Arial" w:eastAsia="Times New Roman" w:hAnsi="Arial" w:cs="Arial"/>
                <w:color w:val="0070C0"/>
                <w:sz w:val="20"/>
                <w:szCs w:val="20"/>
                <w:lang w:val="en"/>
              </w:rPr>
              <w:t>Program</w:t>
            </w:r>
            <w:r w:rsidRPr="0065566F">
              <w:rPr>
                <w:rFonts w:ascii="Arial" w:eastAsia="Times New Roman" w:hAnsi="Arial" w:cs="Arial"/>
                <w:color w:val="0070C0"/>
                <w:sz w:val="20"/>
                <w:szCs w:val="20"/>
                <w:lang w:val="en"/>
              </w:rPr>
              <w:t xml:space="preserve">, each </w:t>
            </w:r>
            <w:r w:rsidR="005D6A90">
              <w:rPr>
                <w:rFonts w:ascii="Arial" w:eastAsia="Times New Roman" w:hAnsi="Arial" w:cs="Arial"/>
                <w:color w:val="0070C0"/>
                <w:sz w:val="20"/>
                <w:szCs w:val="20"/>
                <w:lang w:val="en"/>
              </w:rPr>
              <w:t>Program</w:t>
            </w:r>
            <w:r w:rsidRPr="0065566F">
              <w:rPr>
                <w:rFonts w:ascii="Arial" w:eastAsia="Times New Roman" w:hAnsi="Arial" w:cs="Arial"/>
                <w:color w:val="0070C0"/>
                <w:sz w:val="20"/>
                <w:szCs w:val="20"/>
                <w:lang w:val="en"/>
              </w:rPr>
              <w:t xml:space="preserve"> activity and sub-Project in accordance with </w:t>
            </w:r>
            <w:r w:rsidR="00646525" w:rsidRPr="0065566F">
              <w:rPr>
                <w:rFonts w:ascii="Arial" w:eastAsia="Times New Roman" w:hAnsi="Arial" w:cs="Arial"/>
                <w:color w:val="0070C0"/>
                <w:sz w:val="20"/>
                <w:szCs w:val="20"/>
                <w:lang w:val="en"/>
              </w:rPr>
              <w:t xml:space="preserve">the </w:t>
            </w:r>
            <w:r w:rsidR="003E2C2F" w:rsidRPr="0065566F">
              <w:rPr>
                <w:rFonts w:ascii="Arial" w:eastAsia="Times New Roman" w:hAnsi="Arial" w:cs="Arial"/>
                <w:color w:val="0070C0"/>
                <w:sz w:val="20"/>
                <w:szCs w:val="20"/>
                <w:lang w:val="en"/>
              </w:rPr>
              <w:t>O</w:t>
            </w:r>
            <w:r w:rsidR="00057F69">
              <w:rPr>
                <w:rFonts w:ascii="Arial" w:eastAsia="Times New Roman" w:hAnsi="Arial" w:cs="Arial"/>
                <w:color w:val="0070C0"/>
                <w:sz w:val="20"/>
                <w:szCs w:val="20"/>
                <w:lang w:val="en"/>
              </w:rPr>
              <w:t xml:space="preserve">R. </w:t>
            </w:r>
          </w:p>
          <w:p w14:paraId="36BF48C1" w14:textId="77777777" w:rsidR="003E2C2F" w:rsidRPr="0065566F" w:rsidRDefault="003E2C2F" w:rsidP="00267CCE">
            <w:pPr>
              <w:pStyle w:val="CommentText"/>
              <w:spacing w:before="120" w:after="120"/>
              <w:rPr>
                <w:rFonts w:ascii="Arial" w:hAnsi="Arial" w:cs="Arial"/>
                <w:color w:val="0070C0"/>
              </w:rPr>
            </w:pPr>
          </w:p>
          <w:p w14:paraId="6356DB98" w14:textId="77777777" w:rsidR="009F0069" w:rsidRPr="0065566F" w:rsidRDefault="009F0069" w:rsidP="007B163C">
            <w:pPr>
              <w:pStyle w:val="CommentText"/>
              <w:spacing w:before="120" w:after="120"/>
              <w:rPr>
                <w:rFonts w:ascii="Arial" w:hAnsi="Arial" w:cs="Arial"/>
                <w:color w:val="0070C0"/>
                <w:lang w:val="en"/>
              </w:rPr>
            </w:pPr>
            <w:r w:rsidRPr="0065566F">
              <w:rPr>
                <w:rFonts w:ascii="Arial" w:hAnsi="Arial" w:cs="Arial"/>
                <w:color w:val="0070C0"/>
                <w:lang w:val="en"/>
              </w:rPr>
              <w:t xml:space="preserve">Any substantive changes to the </w:t>
            </w:r>
            <w:r w:rsidR="003E2C2F" w:rsidRPr="0065566F">
              <w:rPr>
                <w:rFonts w:ascii="Arial" w:hAnsi="Arial" w:cs="Arial"/>
                <w:color w:val="0070C0"/>
                <w:lang w:val="en"/>
              </w:rPr>
              <w:t>O</w:t>
            </w:r>
            <w:r w:rsidR="00057F69">
              <w:rPr>
                <w:rFonts w:ascii="Arial" w:hAnsi="Arial" w:cs="Arial"/>
                <w:color w:val="0070C0"/>
                <w:lang w:val="en"/>
              </w:rPr>
              <w:t>R</w:t>
            </w:r>
            <w:r w:rsidRPr="0065566F">
              <w:rPr>
                <w:rFonts w:ascii="Arial" w:hAnsi="Arial" w:cs="Arial"/>
                <w:color w:val="0070C0"/>
                <w:lang w:val="en"/>
              </w:rPr>
              <w:t xml:space="preserve"> </w:t>
            </w:r>
            <w:r w:rsidR="0075679D">
              <w:rPr>
                <w:rFonts w:ascii="Arial" w:hAnsi="Arial" w:cs="Arial"/>
                <w:color w:val="0070C0"/>
                <w:lang w:val="en"/>
              </w:rPr>
              <w:t xml:space="preserve">and the related OM </w:t>
            </w:r>
            <w:r w:rsidRPr="0065566F">
              <w:rPr>
                <w:rFonts w:ascii="Arial" w:hAnsi="Arial" w:cs="Arial"/>
                <w:color w:val="0070C0"/>
                <w:lang w:val="en"/>
              </w:rPr>
              <w:t>shall be in writing and approved by the Bank in a manner consistent with the Bank's environmental and social safeguards policies.</w:t>
            </w:r>
          </w:p>
          <w:p w14:paraId="16333B00" w14:textId="77777777" w:rsidR="007B163C" w:rsidRPr="0065566F" w:rsidRDefault="007B163C" w:rsidP="007B163C">
            <w:pPr>
              <w:pStyle w:val="CommentText"/>
              <w:spacing w:before="120" w:after="120"/>
              <w:rPr>
                <w:rFonts w:ascii="Arial" w:hAnsi="Arial" w:cs="Arial"/>
                <w:i/>
              </w:rPr>
            </w:pPr>
          </w:p>
        </w:tc>
      </w:tr>
      <w:tr w:rsidR="009F0069" w:rsidRPr="0065566F" w14:paraId="0B826023" w14:textId="77777777" w:rsidTr="009F006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D9BFB1" w14:textId="77777777" w:rsidR="009F0069" w:rsidRPr="0065566F" w:rsidRDefault="009F0069" w:rsidP="00267CCE">
            <w:pPr>
              <w:spacing w:before="120" w:after="120"/>
              <w:rPr>
                <w:rFonts w:ascii="Arial" w:eastAsia="Times New Roman" w:hAnsi="Arial" w:cs="Arial"/>
                <w:b/>
                <w:color w:val="0070C0"/>
                <w:sz w:val="20"/>
                <w:szCs w:val="20"/>
                <w:lang w:val="en"/>
              </w:rPr>
            </w:pPr>
            <w:r w:rsidRPr="0065566F">
              <w:rPr>
                <w:rFonts w:ascii="Arial" w:eastAsia="Times New Roman" w:hAnsi="Arial" w:cs="Arial"/>
                <w:b/>
                <w:color w:val="0070C0"/>
                <w:sz w:val="20"/>
                <w:szCs w:val="20"/>
                <w:lang w:val="en"/>
              </w:rPr>
              <w:t>3. Monitoring, Reporting and Supervision.</w:t>
            </w:r>
          </w:p>
          <w:p w14:paraId="749BA17E" w14:textId="77777777" w:rsidR="009F0069" w:rsidRPr="0065566F" w:rsidRDefault="009F0069" w:rsidP="00267CCE">
            <w:pPr>
              <w:spacing w:before="120" w:after="120"/>
              <w:rPr>
                <w:rFonts w:ascii="Arial" w:eastAsia="Times New Roman" w:hAnsi="Arial" w:cs="Arial"/>
                <w:sz w:val="20"/>
                <w:szCs w:val="20"/>
                <w:lang w:val="en"/>
              </w:rPr>
            </w:pPr>
            <w:r w:rsidRPr="0065566F">
              <w:rPr>
                <w:rFonts w:ascii="Arial" w:eastAsia="Times New Roman" w:hAnsi="Arial" w:cs="Arial"/>
                <w:color w:val="0070C0"/>
                <w:sz w:val="20"/>
                <w:szCs w:val="20"/>
                <w:lang w:val="en"/>
              </w:rPr>
              <w:t>a) For the purposes of monitoring supervision of ESHS compliance, the following requirements shall apply:</w:t>
            </w:r>
          </w:p>
          <w:p w14:paraId="118F67D2" w14:textId="77777777" w:rsidR="009F0069" w:rsidRPr="0065566F" w:rsidRDefault="009F0069" w:rsidP="0032085B">
            <w:pPr>
              <w:pStyle w:val="ListParagraph"/>
              <w:numPr>
                <w:ilvl w:val="0"/>
                <w:numId w:val="7"/>
              </w:numPr>
              <w:spacing w:before="120" w:after="120"/>
              <w:ind w:left="686"/>
              <w:rPr>
                <w:rFonts w:ascii="Arial" w:hAnsi="Arial" w:cs="Arial"/>
                <w:sz w:val="20"/>
                <w:szCs w:val="20"/>
                <w:lang w:val="en"/>
              </w:rPr>
            </w:pPr>
            <w:r w:rsidRPr="0065566F">
              <w:rPr>
                <w:rFonts w:ascii="Arial" w:hAnsi="Arial" w:cs="Arial"/>
                <w:color w:val="0070C0"/>
                <w:sz w:val="20"/>
                <w:szCs w:val="20"/>
              </w:rPr>
              <w:t xml:space="preserve">The </w:t>
            </w:r>
            <w:r w:rsidR="003E2C2F" w:rsidRPr="0065566F">
              <w:rPr>
                <w:rFonts w:ascii="Arial" w:hAnsi="Arial" w:cs="Arial"/>
                <w:color w:val="0070C0"/>
                <w:sz w:val="20"/>
                <w:szCs w:val="20"/>
              </w:rPr>
              <w:t>AFD</w:t>
            </w:r>
            <w:r w:rsidRPr="0065566F">
              <w:rPr>
                <w:rFonts w:ascii="Arial" w:hAnsi="Arial" w:cs="Arial"/>
                <w:color w:val="0070C0"/>
                <w:sz w:val="20"/>
                <w:szCs w:val="20"/>
              </w:rPr>
              <w:t xml:space="preserve"> shall prepare and present to the Bank’s satisfaction, an ESHS Compliance Report (ESCR), in the form and content agreed upon with the Bank, as part of the</w:t>
            </w:r>
            <w:r w:rsidR="003E2C2F" w:rsidRPr="0065566F">
              <w:rPr>
                <w:rFonts w:ascii="Arial" w:hAnsi="Arial" w:cs="Arial"/>
                <w:color w:val="0070C0"/>
                <w:sz w:val="20"/>
                <w:szCs w:val="20"/>
              </w:rPr>
              <w:t xml:space="preserve"> annual</w:t>
            </w:r>
            <w:r w:rsidRPr="0065566F">
              <w:rPr>
                <w:rFonts w:ascii="Arial" w:hAnsi="Arial" w:cs="Arial"/>
                <w:color w:val="0070C0"/>
                <w:sz w:val="20"/>
                <w:szCs w:val="20"/>
              </w:rPr>
              <w:t xml:space="preserve"> </w:t>
            </w:r>
            <w:r w:rsidR="005D6A90">
              <w:rPr>
                <w:rFonts w:ascii="Arial" w:hAnsi="Arial" w:cs="Arial"/>
                <w:color w:val="0070C0"/>
                <w:sz w:val="20"/>
                <w:szCs w:val="20"/>
              </w:rPr>
              <w:t>Program</w:t>
            </w:r>
            <w:r w:rsidR="003E2C2F" w:rsidRPr="0065566F">
              <w:rPr>
                <w:rFonts w:ascii="Arial" w:hAnsi="Arial" w:cs="Arial"/>
                <w:color w:val="0070C0"/>
                <w:sz w:val="20"/>
                <w:szCs w:val="20"/>
              </w:rPr>
              <w:t xml:space="preserve"> </w:t>
            </w:r>
            <w:r w:rsidRPr="0065566F">
              <w:rPr>
                <w:rFonts w:ascii="Arial" w:hAnsi="Arial" w:cs="Arial"/>
                <w:color w:val="0070C0"/>
                <w:sz w:val="20"/>
                <w:szCs w:val="20"/>
              </w:rPr>
              <w:t>report</w:t>
            </w:r>
            <w:r w:rsidR="003E2C2F" w:rsidRPr="0065566F">
              <w:rPr>
                <w:rFonts w:ascii="Arial" w:hAnsi="Arial" w:cs="Arial"/>
                <w:color w:val="0070C0"/>
                <w:sz w:val="20"/>
                <w:szCs w:val="20"/>
              </w:rPr>
              <w:t>.</w:t>
            </w:r>
          </w:p>
          <w:p w14:paraId="458E9F4E" w14:textId="77777777" w:rsidR="009F0069" w:rsidRPr="0065566F" w:rsidRDefault="003E2C2F" w:rsidP="0032085B">
            <w:pPr>
              <w:pStyle w:val="ListParagraph"/>
              <w:numPr>
                <w:ilvl w:val="0"/>
                <w:numId w:val="8"/>
              </w:numPr>
              <w:spacing w:before="120" w:after="120"/>
              <w:ind w:left="686" w:hanging="36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 xml:space="preserve">The IDB will supervise the ESHS and labor aspects related to the use of the proceeds of the </w:t>
            </w:r>
            <w:r w:rsidR="005D6A90">
              <w:rPr>
                <w:rFonts w:ascii="Arial" w:eastAsia="Times New Roman" w:hAnsi="Arial" w:cs="Arial"/>
                <w:color w:val="0070C0"/>
                <w:sz w:val="20"/>
                <w:szCs w:val="20"/>
                <w:lang w:val="en"/>
              </w:rPr>
              <w:t>Program</w:t>
            </w:r>
            <w:r w:rsidRPr="0065566F">
              <w:rPr>
                <w:rFonts w:ascii="Arial" w:eastAsia="Times New Roman" w:hAnsi="Arial" w:cs="Arial"/>
                <w:color w:val="0070C0"/>
                <w:sz w:val="20"/>
                <w:szCs w:val="20"/>
                <w:lang w:val="en"/>
              </w:rPr>
              <w:t>, as necessary either by an IDB in-house specialist or with external consultants, hired by the IDB.  To this end, AFD will provide and facilitate access by IDB to all relevant documentation, personnel and sub-projects facilities.</w:t>
            </w:r>
          </w:p>
        </w:tc>
      </w:tr>
      <w:tr w:rsidR="009F0069" w:rsidRPr="0065566F" w14:paraId="0215D66C" w14:textId="77777777" w:rsidTr="009F006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3AEC84D" w14:textId="77777777" w:rsidR="009F0069" w:rsidRPr="0065566F" w:rsidRDefault="009F0069" w:rsidP="00267CCE">
            <w:pPr>
              <w:spacing w:before="120" w:after="120"/>
              <w:rPr>
                <w:rFonts w:ascii="Arial" w:eastAsia="Times New Roman" w:hAnsi="Arial" w:cs="Arial"/>
                <w:b/>
                <w:color w:val="0070C0"/>
                <w:sz w:val="20"/>
                <w:szCs w:val="20"/>
                <w:lang w:val="en"/>
              </w:rPr>
            </w:pPr>
            <w:r w:rsidRPr="0065566F">
              <w:rPr>
                <w:rFonts w:ascii="Arial" w:eastAsia="Times New Roman" w:hAnsi="Arial" w:cs="Arial"/>
                <w:b/>
                <w:color w:val="0070C0"/>
                <w:sz w:val="20"/>
                <w:szCs w:val="20"/>
                <w:lang w:val="en"/>
              </w:rPr>
              <w:t>B. ESHS Conditions of the Operating Manual</w:t>
            </w:r>
            <w:r w:rsidR="007B163C" w:rsidRPr="0065566F">
              <w:rPr>
                <w:rFonts w:ascii="Arial" w:eastAsia="Times New Roman" w:hAnsi="Arial" w:cs="Arial"/>
                <w:b/>
                <w:color w:val="0070C0"/>
                <w:sz w:val="20"/>
                <w:szCs w:val="20"/>
                <w:lang w:val="en"/>
              </w:rPr>
              <w:t xml:space="preserve"> (OM)</w:t>
            </w:r>
            <w:r w:rsidR="008B2083">
              <w:rPr>
                <w:rFonts w:ascii="Arial" w:eastAsia="Times New Roman" w:hAnsi="Arial" w:cs="Arial"/>
                <w:b/>
                <w:color w:val="0070C0"/>
                <w:sz w:val="20"/>
                <w:szCs w:val="20"/>
                <w:lang w:val="en"/>
              </w:rPr>
              <w:t xml:space="preserve"> to be incorporated in the </w:t>
            </w:r>
            <w:r w:rsidR="00130BDE">
              <w:rPr>
                <w:rFonts w:ascii="Arial" w:eastAsia="Times New Roman" w:hAnsi="Arial" w:cs="Arial"/>
                <w:b/>
                <w:color w:val="0070C0"/>
                <w:sz w:val="20"/>
                <w:szCs w:val="20"/>
                <w:lang w:val="en"/>
              </w:rPr>
              <w:t xml:space="preserve">Program’s </w:t>
            </w:r>
            <w:r w:rsidR="008B2083">
              <w:rPr>
                <w:rFonts w:ascii="Arial" w:eastAsia="Times New Roman" w:hAnsi="Arial" w:cs="Arial"/>
                <w:b/>
                <w:color w:val="0070C0"/>
                <w:sz w:val="20"/>
                <w:szCs w:val="20"/>
                <w:lang w:val="en"/>
              </w:rPr>
              <w:t>Operating Regulations</w:t>
            </w:r>
          </w:p>
          <w:p w14:paraId="0347048C" w14:textId="77777777" w:rsidR="009F0069" w:rsidRPr="0065566F" w:rsidRDefault="009F0069" w:rsidP="00267CCE">
            <w:p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 xml:space="preserve">The following ESHS conditions are required to be fulfilled to the satisfaction of the Bank and will be included in the </w:t>
            </w:r>
            <w:r w:rsidR="0075679D">
              <w:rPr>
                <w:rFonts w:ascii="Arial" w:eastAsia="Times New Roman" w:hAnsi="Arial" w:cs="Arial"/>
                <w:color w:val="0070C0"/>
                <w:sz w:val="20"/>
                <w:szCs w:val="20"/>
                <w:lang w:val="en"/>
              </w:rPr>
              <w:t xml:space="preserve">Operating regulations of the program and further in an internal </w:t>
            </w:r>
            <w:r w:rsidRPr="0065566F">
              <w:rPr>
                <w:rFonts w:ascii="Arial" w:eastAsia="Times New Roman" w:hAnsi="Arial" w:cs="Arial"/>
                <w:color w:val="0070C0"/>
                <w:sz w:val="20"/>
                <w:szCs w:val="20"/>
                <w:lang w:val="en"/>
              </w:rPr>
              <w:t xml:space="preserve">Operating Manual </w:t>
            </w:r>
            <w:proofErr w:type="gramStart"/>
            <w:r w:rsidRPr="0065566F">
              <w:rPr>
                <w:rFonts w:ascii="Arial" w:eastAsia="Times New Roman" w:hAnsi="Arial" w:cs="Arial"/>
                <w:color w:val="0070C0"/>
                <w:sz w:val="20"/>
                <w:szCs w:val="20"/>
                <w:lang w:val="en"/>
              </w:rPr>
              <w:t>in order to</w:t>
            </w:r>
            <w:proofErr w:type="gramEnd"/>
            <w:r w:rsidRPr="0065566F">
              <w:rPr>
                <w:rFonts w:ascii="Arial" w:eastAsia="Times New Roman" w:hAnsi="Arial" w:cs="Arial"/>
                <w:color w:val="0070C0"/>
                <w:sz w:val="20"/>
                <w:szCs w:val="20"/>
                <w:lang w:val="en"/>
              </w:rPr>
              <w:t xml:space="preserve"> comply with the Bank’s ESHS Safeguard Policies.</w:t>
            </w:r>
          </w:p>
          <w:p w14:paraId="568628C7" w14:textId="24136344" w:rsidR="00D93ADD" w:rsidRPr="0065566F" w:rsidRDefault="00D93ADD" w:rsidP="00D93ADD">
            <w:pPr>
              <w:pStyle w:val="CommentText"/>
              <w:spacing w:before="120" w:after="120"/>
              <w:rPr>
                <w:rFonts w:ascii="Arial" w:hAnsi="Arial" w:cs="Arial"/>
                <w:color w:val="FF0000"/>
                <w:lang w:val="en"/>
              </w:rPr>
            </w:pPr>
            <w:r w:rsidRPr="0065566F">
              <w:rPr>
                <w:rFonts w:ascii="Arial" w:hAnsi="Arial" w:cs="Arial"/>
                <w:color w:val="0070C0"/>
                <w:lang w:val="en"/>
              </w:rPr>
              <w:t xml:space="preserve">The </w:t>
            </w:r>
            <w:r w:rsidR="0075679D">
              <w:rPr>
                <w:rFonts w:ascii="Arial" w:hAnsi="Arial" w:cs="Arial"/>
                <w:color w:val="0070C0"/>
                <w:lang w:val="en"/>
              </w:rPr>
              <w:t xml:space="preserve">Operating Regulations shall ensure that </w:t>
            </w:r>
            <w:r w:rsidRPr="0065566F">
              <w:rPr>
                <w:rFonts w:ascii="Arial" w:hAnsi="Arial" w:cs="Arial"/>
                <w:color w:val="0070C0"/>
                <w:lang w:val="en"/>
              </w:rPr>
              <w:t>AFD shall comply with the following ESHS conditions:</w:t>
            </w:r>
          </w:p>
          <w:p w14:paraId="73D743CB" w14:textId="77777777" w:rsidR="00D93ADD" w:rsidRPr="0065566F"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Comply with all applicable environmental, social, health and safety, and labor regulatory requirements of Paraguay.</w:t>
            </w:r>
          </w:p>
          <w:p w14:paraId="2450AA00" w14:textId="77777777" w:rsidR="00D93ADD" w:rsidRPr="0065566F"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 xml:space="preserve">Confirm that the 1st Tier Banks participating in the </w:t>
            </w:r>
            <w:r w:rsidR="005D6A90">
              <w:rPr>
                <w:rFonts w:ascii="Arial" w:eastAsia="Times New Roman" w:hAnsi="Arial" w:cs="Arial"/>
                <w:color w:val="0070C0"/>
                <w:sz w:val="20"/>
                <w:szCs w:val="20"/>
                <w:lang w:val="en"/>
              </w:rPr>
              <w:t>Program</w:t>
            </w:r>
            <w:r w:rsidRPr="0065566F">
              <w:rPr>
                <w:rFonts w:ascii="Arial" w:eastAsia="Times New Roman" w:hAnsi="Arial" w:cs="Arial"/>
                <w:color w:val="0070C0"/>
                <w:sz w:val="20"/>
                <w:szCs w:val="20"/>
                <w:lang w:val="en"/>
              </w:rPr>
              <w:t xml:space="preserve"> and the sub-projects financed through this </w:t>
            </w:r>
            <w:r w:rsidR="005D6A90">
              <w:rPr>
                <w:rFonts w:ascii="Arial" w:eastAsia="Times New Roman" w:hAnsi="Arial" w:cs="Arial"/>
                <w:color w:val="0070C0"/>
                <w:sz w:val="20"/>
                <w:szCs w:val="20"/>
                <w:lang w:val="en"/>
              </w:rPr>
              <w:t>Program</w:t>
            </w:r>
            <w:r w:rsidRPr="0065566F">
              <w:rPr>
                <w:rFonts w:ascii="Arial" w:eastAsia="Times New Roman" w:hAnsi="Arial" w:cs="Arial"/>
                <w:color w:val="0070C0"/>
                <w:sz w:val="20"/>
                <w:szCs w:val="20"/>
                <w:lang w:val="en"/>
              </w:rPr>
              <w:t xml:space="preserve"> comply with all applicable environmental, social, health and safety, and labor regulatory requirements of Paraguay. </w:t>
            </w:r>
          </w:p>
          <w:p w14:paraId="4596812A" w14:textId="77777777" w:rsidR="00D93ADD" w:rsidRPr="0065566F"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 xml:space="preserve">Appoint an Environmental and Social Coordinator for the duration of the </w:t>
            </w:r>
            <w:r w:rsidR="005D6A90">
              <w:rPr>
                <w:rFonts w:ascii="Arial" w:eastAsia="Times New Roman" w:hAnsi="Arial" w:cs="Arial"/>
                <w:color w:val="0070C0"/>
                <w:sz w:val="20"/>
                <w:szCs w:val="20"/>
                <w:lang w:val="en"/>
              </w:rPr>
              <w:t>Program</w:t>
            </w:r>
            <w:r w:rsidRPr="0065566F">
              <w:rPr>
                <w:rFonts w:ascii="Arial" w:eastAsia="Times New Roman" w:hAnsi="Arial" w:cs="Arial"/>
                <w:color w:val="0070C0"/>
                <w:sz w:val="20"/>
                <w:szCs w:val="20"/>
                <w:lang w:val="en"/>
              </w:rPr>
              <w:t>.</w:t>
            </w:r>
          </w:p>
          <w:p w14:paraId="39E606D1" w14:textId="77777777" w:rsidR="00D93ADD" w:rsidRPr="0065566F"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Integrate the IDB exclusions list (see Annex I) in the sub-loan approval process. It is worth noting that this list excludes – among others – projects that (i) involve involuntary resettlement of people, (ii) have a potentially adverse social impact on communities and/or indigenous peoples, (iii) involve conversion or degradation of critical natural habitats or cultural sites.</w:t>
            </w:r>
          </w:p>
          <w:p w14:paraId="48A0629B" w14:textId="77777777" w:rsidR="00D93ADD" w:rsidRPr="0065566F"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lastRenderedPageBreak/>
              <w:t>For Energy Efficiency sub-projects, adopt a Decommissioning and Disposal Protocol for replaced equipment and materials acceptable to the IDB, to be presented by AFD and approved by the IDB as a condition prior to first disbursement. The protocol must ensure that any equipment replaced is not reused and is appropriately disposed. It will include the necessary description of each party responsibility. Once approved, said Protocol will be part of this ESM</w:t>
            </w:r>
            <w:r w:rsidR="005D6A90">
              <w:rPr>
                <w:rFonts w:ascii="Arial" w:eastAsia="Times New Roman" w:hAnsi="Arial" w:cs="Arial"/>
                <w:color w:val="0070C0"/>
                <w:sz w:val="20"/>
                <w:szCs w:val="20"/>
                <w:lang w:val="en"/>
              </w:rPr>
              <w:t>R</w:t>
            </w:r>
            <w:r w:rsidRPr="0065566F">
              <w:rPr>
                <w:rFonts w:ascii="Arial" w:eastAsia="Times New Roman" w:hAnsi="Arial" w:cs="Arial"/>
                <w:color w:val="0070C0"/>
                <w:sz w:val="20"/>
                <w:szCs w:val="20"/>
                <w:lang w:val="en"/>
              </w:rPr>
              <w:t xml:space="preserve"> and as such will apply to AFD, the participating FI and each respective sub-borrower as pertinent to their respective responsibilities.</w:t>
            </w:r>
          </w:p>
          <w:p w14:paraId="4BF3B69D" w14:textId="77777777" w:rsidR="00D93ADD" w:rsidRPr="0065566F"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For co-generation projects, develop a classification tool. The tool will be based on the IFC Converting Biomass to Energy: A Guide for Developers and Investors and will be in line with the IDB safeguards. It will be presented by AFD and approved by the IDB as a condition prior to first disbursement.  Once approved, said tool will be part of this ESM</w:t>
            </w:r>
            <w:r w:rsidR="005D6A90">
              <w:rPr>
                <w:rFonts w:ascii="Arial" w:eastAsia="Times New Roman" w:hAnsi="Arial" w:cs="Arial"/>
                <w:color w:val="0070C0"/>
                <w:sz w:val="20"/>
                <w:szCs w:val="20"/>
                <w:lang w:val="en"/>
              </w:rPr>
              <w:t>R</w:t>
            </w:r>
            <w:r w:rsidRPr="0065566F">
              <w:rPr>
                <w:rFonts w:ascii="Arial" w:eastAsia="Times New Roman" w:hAnsi="Arial" w:cs="Arial"/>
                <w:color w:val="0070C0"/>
                <w:sz w:val="20"/>
                <w:szCs w:val="20"/>
                <w:lang w:val="en"/>
              </w:rPr>
              <w:t xml:space="preserve">. AFD will be responsible to classify the co-generation projects. Only C category projects will be eligible for financing. </w:t>
            </w:r>
          </w:p>
          <w:p w14:paraId="5FB18ADC" w14:textId="77777777" w:rsidR="00D93ADD" w:rsidRPr="0065566F"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 xml:space="preserve">For co-generation projects, ensure that all projects will only use agricultural waste. AFD will be responsible for the verification that could be obtained via the contractual documents between the FI and the sub-borrower (affidavit).  </w:t>
            </w:r>
          </w:p>
          <w:p w14:paraId="3929145B" w14:textId="77777777" w:rsidR="00D93ADD" w:rsidRPr="00711105"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65566F">
              <w:rPr>
                <w:rFonts w:ascii="Arial" w:eastAsia="Times New Roman" w:hAnsi="Arial" w:cs="Arial"/>
                <w:color w:val="0070C0"/>
                <w:sz w:val="20"/>
                <w:szCs w:val="20"/>
                <w:lang w:val="en"/>
              </w:rPr>
              <w:t xml:space="preserve">Perform </w:t>
            </w:r>
            <w:r w:rsidRPr="00711105">
              <w:rPr>
                <w:rFonts w:ascii="Arial" w:eastAsia="Times New Roman" w:hAnsi="Arial" w:cs="Arial"/>
                <w:color w:val="0070C0"/>
                <w:sz w:val="20"/>
                <w:szCs w:val="20"/>
                <w:lang w:val="en"/>
              </w:rPr>
              <w:t>compulsory site-visits for projects above US$1m (AFD E&amp;S specialist)</w:t>
            </w:r>
          </w:p>
          <w:p w14:paraId="77FEB940" w14:textId="77777777" w:rsidR="009F0069" w:rsidRPr="0065566F" w:rsidRDefault="00D93ADD" w:rsidP="0032085B">
            <w:pPr>
              <w:pStyle w:val="ListParagraph"/>
              <w:numPr>
                <w:ilvl w:val="0"/>
                <w:numId w:val="11"/>
              </w:numPr>
              <w:spacing w:before="120" w:after="120"/>
              <w:rPr>
                <w:rFonts w:ascii="Arial" w:eastAsia="Times New Roman" w:hAnsi="Arial" w:cs="Arial"/>
                <w:color w:val="0070C0"/>
                <w:sz w:val="20"/>
                <w:szCs w:val="20"/>
                <w:lang w:val="en"/>
              </w:rPr>
            </w:pPr>
            <w:r w:rsidRPr="00711105">
              <w:rPr>
                <w:rFonts w:ascii="Arial" w:eastAsia="Times New Roman" w:hAnsi="Arial" w:cs="Arial"/>
                <w:color w:val="0070C0"/>
                <w:sz w:val="20"/>
                <w:szCs w:val="20"/>
                <w:lang w:val="en"/>
              </w:rPr>
              <w:t xml:space="preserve">Implement a grievance mechanism at the </w:t>
            </w:r>
            <w:r w:rsidR="005D6A90" w:rsidRPr="00711105">
              <w:rPr>
                <w:rFonts w:ascii="Arial" w:eastAsia="Times New Roman" w:hAnsi="Arial" w:cs="Arial"/>
                <w:color w:val="0070C0"/>
                <w:sz w:val="20"/>
                <w:szCs w:val="20"/>
                <w:lang w:val="en"/>
              </w:rPr>
              <w:t>Program</w:t>
            </w:r>
            <w:r w:rsidRPr="00711105">
              <w:rPr>
                <w:rFonts w:ascii="Arial" w:eastAsia="Times New Roman" w:hAnsi="Arial" w:cs="Arial"/>
                <w:color w:val="0070C0"/>
                <w:sz w:val="20"/>
                <w:szCs w:val="20"/>
                <w:lang w:val="en"/>
              </w:rPr>
              <w:t xml:space="preserve"> level</w:t>
            </w:r>
          </w:p>
        </w:tc>
      </w:tr>
    </w:tbl>
    <w:p w14:paraId="1ACF9E9D" w14:textId="77777777" w:rsidR="009F0069" w:rsidRPr="0065566F" w:rsidRDefault="009F0069" w:rsidP="009F0069">
      <w:pPr>
        <w:rPr>
          <w:rFonts w:ascii="Arial" w:eastAsia="Times New Roman" w:hAnsi="Arial" w:cs="Arial"/>
          <w:b/>
          <w:i/>
          <w:sz w:val="20"/>
          <w:szCs w:val="20"/>
          <w:lang w:val="en"/>
        </w:rPr>
      </w:pPr>
    </w:p>
    <w:p w14:paraId="2A04BB6A" w14:textId="77777777" w:rsidR="009F0069" w:rsidRPr="0065566F" w:rsidRDefault="009F0069" w:rsidP="00BE1ADE">
      <w:pPr>
        <w:ind w:firstLine="90"/>
        <w:rPr>
          <w:rFonts w:ascii="Arial" w:hAnsi="Arial" w:cs="Arial"/>
          <w:b/>
          <w:sz w:val="20"/>
          <w:szCs w:val="20"/>
          <w:lang w:val="en"/>
        </w:rPr>
      </w:pPr>
    </w:p>
    <w:p w14:paraId="12969BD7" w14:textId="77777777" w:rsidR="00874CC0" w:rsidRPr="0065566F" w:rsidRDefault="00874CC0" w:rsidP="004B6155">
      <w:pPr>
        <w:widowControl w:val="0"/>
        <w:autoSpaceDE w:val="0"/>
        <w:autoSpaceDN w:val="0"/>
        <w:adjustRightInd w:val="0"/>
        <w:ind w:right="-720"/>
        <w:jc w:val="both"/>
        <w:rPr>
          <w:rFonts w:ascii="Arial" w:hAnsi="Arial" w:cs="Arial"/>
          <w:bCs/>
          <w:sz w:val="20"/>
          <w:szCs w:val="20"/>
        </w:rPr>
      </w:pPr>
    </w:p>
    <w:sectPr w:rsidR="00874CC0" w:rsidRPr="0065566F" w:rsidSect="009F0069">
      <w:pgSz w:w="12240" w:h="15840"/>
      <w:pgMar w:top="1440" w:right="1166"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915C7" w14:textId="77777777" w:rsidR="00707DC9" w:rsidRDefault="00707DC9" w:rsidP="00953C33">
      <w:r>
        <w:separator/>
      </w:r>
    </w:p>
  </w:endnote>
  <w:endnote w:type="continuationSeparator" w:id="0">
    <w:p w14:paraId="2FB1EA53" w14:textId="77777777" w:rsidR="00707DC9" w:rsidRDefault="00707DC9" w:rsidP="00953C33">
      <w:r>
        <w:continuationSeparator/>
      </w:r>
    </w:p>
  </w:endnote>
  <w:endnote w:type="continuationNotice" w:id="1">
    <w:p w14:paraId="13A023FF" w14:textId="77777777" w:rsidR="00707DC9" w:rsidRDefault="00707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8EC70" w14:textId="77777777" w:rsidR="005D6A90" w:rsidRDefault="005D6A90" w:rsidP="00837A8F">
    <w:pPr>
      <w:pStyle w:val="Footer"/>
      <w:pBdr>
        <w:bottom w:val="single" w:sz="6" w:space="1" w:color="auto"/>
      </w:pBdr>
      <w:ind w:right="-630"/>
    </w:pPr>
  </w:p>
  <w:p w14:paraId="3E636485" w14:textId="77777777" w:rsidR="005D6A90" w:rsidRPr="00B01F04" w:rsidRDefault="005D6A90" w:rsidP="00B757F7">
    <w:pPr>
      <w:pStyle w:val="Footer"/>
      <w:jc w:val="center"/>
      <w:rPr>
        <w:sz w:val="18"/>
        <w:szCs w:val="18"/>
      </w:rPr>
    </w:pPr>
    <w:r>
      <w:rPr>
        <w:sz w:val="18"/>
        <w:szCs w:val="18"/>
      </w:rPr>
      <w:t xml:space="preserve">IDB </w:t>
    </w:r>
    <w:r w:rsidRPr="00B01F04">
      <w:rPr>
        <w:sz w:val="18"/>
        <w:szCs w:val="18"/>
      </w:rPr>
      <w:t>Environmental and</w:t>
    </w:r>
    <w:r>
      <w:rPr>
        <w:sz w:val="18"/>
        <w:szCs w:val="18"/>
      </w:rPr>
      <w:t xml:space="preserve"> Social Management Report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4D400" w14:textId="77777777" w:rsidR="00707DC9" w:rsidRDefault="00707DC9" w:rsidP="00953C33">
      <w:r>
        <w:separator/>
      </w:r>
    </w:p>
  </w:footnote>
  <w:footnote w:type="continuationSeparator" w:id="0">
    <w:p w14:paraId="3CF3BD92" w14:textId="77777777" w:rsidR="00707DC9" w:rsidRDefault="00707DC9" w:rsidP="00953C33">
      <w:r>
        <w:continuationSeparator/>
      </w:r>
    </w:p>
  </w:footnote>
  <w:footnote w:type="continuationNotice" w:id="1">
    <w:p w14:paraId="6BB2EA0D" w14:textId="77777777" w:rsidR="00707DC9" w:rsidRDefault="00707DC9"/>
  </w:footnote>
  <w:footnote w:id="2">
    <w:p w14:paraId="36E541C6" w14:textId="77777777" w:rsidR="005D6A90" w:rsidRPr="00BA1657" w:rsidRDefault="005D6A90" w:rsidP="000C3D10">
      <w:pPr>
        <w:pStyle w:val="FootnoteText"/>
        <w:rPr>
          <w:rFonts w:ascii="Arial" w:hAnsi="Arial" w:cs="Arial"/>
          <w:sz w:val="16"/>
          <w:szCs w:val="16"/>
        </w:rPr>
      </w:pPr>
      <w:r w:rsidRPr="00C05B59">
        <w:rPr>
          <w:rStyle w:val="FootnoteReference"/>
          <w:rFonts w:cs="Arial"/>
        </w:rPr>
        <w:footnoteRef/>
      </w:r>
      <w:r w:rsidRPr="00C05B59">
        <w:rPr>
          <w:rFonts w:ascii="Arial" w:hAnsi="Arial" w:cs="Arial"/>
          <w:sz w:val="16"/>
          <w:szCs w:val="16"/>
        </w:rPr>
        <w:t xml:space="preserve"> According to ISIC Rev.4, code 2392: manufacture of structural non-refractory clay building materials: manufacture of ceramic bricks, roofing tiles, chimney pots, pipes, conduits etc. Section C, manufacturing: Division 23, Manufacture of </w:t>
      </w:r>
      <w:r w:rsidRPr="00BA1657">
        <w:rPr>
          <w:rFonts w:ascii="Arial" w:hAnsi="Arial" w:cs="Arial"/>
          <w:sz w:val="16"/>
          <w:szCs w:val="16"/>
        </w:rPr>
        <w:t xml:space="preserve">other non-metallic mineral products. </w:t>
      </w:r>
    </w:p>
  </w:footnote>
  <w:footnote w:id="3">
    <w:p w14:paraId="14192B63" w14:textId="77777777" w:rsidR="005D6A90" w:rsidRPr="00C05B59" w:rsidRDefault="005D6A90" w:rsidP="000C3D10">
      <w:pPr>
        <w:pStyle w:val="FootnoteText"/>
        <w:rPr>
          <w:rFonts w:ascii="Arial" w:hAnsi="Arial" w:cs="Arial"/>
          <w:sz w:val="16"/>
          <w:szCs w:val="16"/>
        </w:rPr>
      </w:pPr>
      <w:r w:rsidRPr="00C05B59">
        <w:rPr>
          <w:rStyle w:val="FootnoteReference"/>
          <w:rFonts w:cs="Arial"/>
        </w:rPr>
        <w:footnoteRef/>
      </w:r>
      <w:r w:rsidRPr="00C05B59">
        <w:rPr>
          <w:rFonts w:ascii="Arial" w:hAnsi="Arial" w:cs="Arial"/>
          <w:sz w:val="16"/>
          <w:szCs w:val="16"/>
        </w:rPr>
        <w:t xml:space="preserve"> According to ISIC Rev.4, code 0164: This activity includes the drying, cleaning, grading and treating of seeds until they are marketed.</w:t>
      </w:r>
    </w:p>
  </w:footnote>
  <w:footnote w:id="4">
    <w:p w14:paraId="24A2425E" w14:textId="77777777" w:rsidR="005D6A90" w:rsidRPr="00042151" w:rsidRDefault="005D6A90" w:rsidP="000C3D10">
      <w:pPr>
        <w:jc w:val="both"/>
        <w:rPr>
          <w:rFonts w:ascii="Arial" w:hAnsi="Arial" w:cs="Arial"/>
          <w:sz w:val="16"/>
          <w:szCs w:val="16"/>
        </w:rPr>
      </w:pPr>
      <w:r w:rsidRPr="00C05B59">
        <w:rPr>
          <w:rStyle w:val="FootnoteReference"/>
          <w:rFonts w:cs="Arial"/>
        </w:rPr>
        <w:footnoteRef/>
      </w:r>
      <w:r w:rsidRPr="00C05B59">
        <w:rPr>
          <w:rFonts w:ascii="Arial" w:hAnsi="Arial" w:cs="Arial"/>
          <w:sz w:val="16"/>
          <w:szCs w:val="16"/>
        </w:rPr>
        <w:t xml:space="preserve"> According to ISIC Rev.4, code 1072: Manufacture of sugar. Section: C – Manufacturing; Division: 10 - Manufacture of food products; Group: 107 - Manufacture of other food products; Class: 1072 - Manufacture of sugar.</w:t>
      </w:r>
    </w:p>
  </w:footnote>
  <w:footnote w:id="5">
    <w:p w14:paraId="7FD8DBF9" w14:textId="77777777" w:rsidR="005D6A90" w:rsidRPr="0066245F" w:rsidRDefault="005D6A90" w:rsidP="001C165A">
      <w:pPr>
        <w:pStyle w:val="FootnoteText"/>
        <w:rPr>
          <w:rFonts w:ascii="Arial" w:hAnsi="Arial" w:cs="Arial"/>
          <w:sz w:val="16"/>
          <w:szCs w:val="16"/>
        </w:rPr>
      </w:pPr>
      <w:r w:rsidRPr="0066245F">
        <w:rPr>
          <w:rStyle w:val="FootnoteReference"/>
          <w:rFonts w:ascii="Arial" w:hAnsi="Arial" w:cs="Arial"/>
          <w:sz w:val="16"/>
          <w:szCs w:val="16"/>
        </w:rPr>
        <w:footnoteRef/>
      </w:r>
      <w:r w:rsidRPr="0066245F">
        <w:rPr>
          <w:rFonts w:ascii="Arial" w:hAnsi="Arial" w:cs="Arial"/>
          <w:sz w:val="16"/>
          <w:szCs w:val="16"/>
        </w:rPr>
        <w:t xml:space="preserve"> ‘Secondary crops refer to byproducts used for energy production. As such, the main crop harvested (for example grain for food and feed) is not used for energy generation, but any residues (straw husks, shells) are.’ – Source </w:t>
      </w:r>
      <w:hyperlink r:id="rId1" w:history="1">
        <w:r w:rsidRPr="0066245F">
          <w:rPr>
            <w:rStyle w:val="Hyperlink"/>
            <w:rFonts w:ascii="Arial" w:hAnsi="Arial" w:cs="Arial"/>
            <w:sz w:val="16"/>
            <w:szCs w:val="16"/>
          </w:rPr>
          <w:t>Converting Biomass to Energy - A Guide for Developers and Investors</w:t>
        </w:r>
      </w:hyperlink>
      <w:r w:rsidRPr="0066245F">
        <w:rPr>
          <w:rFonts w:ascii="Arial" w:hAnsi="Arial" w:cs="Arial"/>
          <w:sz w:val="16"/>
          <w:szCs w:val="16"/>
        </w:rPr>
        <w:t>, June 2017</w:t>
      </w:r>
    </w:p>
  </w:footnote>
  <w:footnote w:id="6">
    <w:p w14:paraId="3D7BD8C4" w14:textId="77777777" w:rsidR="005D6A90" w:rsidRPr="009D4143" w:rsidRDefault="005D6A90" w:rsidP="001C165A">
      <w:pPr>
        <w:pStyle w:val="FootnoteText"/>
        <w:rPr>
          <w:rFonts w:ascii="Arial" w:hAnsi="Arial" w:cs="Arial"/>
          <w:sz w:val="16"/>
          <w:szCs w:val="16"/>
        </w:rPr>
      </w:pPr>
      <w:r w:rsidRPr="009D4143">
        <w:rPr>
          <w:rStyle w:val="FootnoteReference"/>
          <w:rFonts w:ascii="Arial" w:hAnsi="Arial" w:cs="Arial"/>
          <w:sz w:val="16"/>
          <w:szCs w:val="16"/>
        </w:rPr>
        <w:footnoteRef/>
      </w:r>
      <w:r w:rsidRPr="009D4143">
        <w:rPr>
          <w:rFonts w:ascii="Arial" w:hAnsi="Arial" w:cs="Arial"/>
          <w:sz w:val="16"/>
          <w:szCs w:val="16"/>
        </w:rPr>
        <w:t xml:space="preserve"> For more information, see IFC </w:t>
      </w:r>
      <w:hyperlink r:id="rId2" w:history="1">
        <w:r w:rsidRPr="009D4143">
          <w:rPr>
            <w:rStyle w:val="Hyperlink"/>
            <w:rFonts w:ascii="Arial" w:hAnsi="Arial" w:cs="Arial"/>
            <w:sz w:val="16"/>
            <w:szCs w:val="16"/>
          </w:rPr>
          <w:t>Converting Biomass to Energy - A Guide for Developers and Investors</w:t>
        </w:r>
      </w:hyperlink>
      <w:r w:rsidRPr="009D4143">
        <w:rPr>
          <w:rFonts w:ascii="Arial" w:hAnsi="Arial" w:cs="Arial"/>
          <w:sz w:val="16"/>
          <w:szCs w:val="16"/>
        </w:rPr>
        <w:t>, June 2017</w:t>
      </w:r>
    </w:p>
  </w:footnote>
  <w:footnote w:id="7">
    <w:p w14:paraId="5337B40A" w14:textId="77777777" w:rsidR="005D6A90" w:rsidRPr="00AF5C47" w:rsidRDefault="005D6A90">
      <w:pPr>
        <w:pStyle w:val="FootnoteText"/>
        <w:rPr>
          <w:sz w:val="18"/>
          <w:szCs w:val="18"/>
        </w:rPr>
      </w:pPr>
      <w:r w:rsidRPr="00AF5C47">
        <w:rPr>
          <w:rStyle w:val="FootnoteReference"/>
          <w:sz w:val="18"/>
          <w:szCs w:val="18"/>
        </w:rPr>
        <w:footnoteRef/>
      </w:r>
      <w:r w:rsidRPr="00AF5C47">
        <w:rPr>
          <w:sz w:val="18"/>
          <w:szCs w:val="18"/>
        </w:rPr>
        <w:t xml:space="preserve"> </w:t>
      </w:r>
      <w:r>
        <w:rPr>
          <w:sz w:val="18"/>
          <w:szCs w:val="18"/>
        </w:rPr>
        <w:t>Please note that ESG is working on preparing a compliance checklist.</w:t>
      </w:r>
    </w:p>
  </w:footnote>
  <w:footnote w:id="8">
    <w:p w14:paraId="1B02BF7F" w14:textId="77777777" w:rsidR="005D6A90" w:rsidRPr="00BA0EFF" w:rsidRDefault="005D6A90" w:rsidP="007046A7">
      <w:pPr>
        <w:pStyle w:val="FootnoteText"/>
        <w:rPr>
          <w:sz w:val="18"/>
          <w:szCs w:val="18"/>
        </w:rPr>
      </w:pPr>
      <w:r w:rsidRPr="00BA0EFF">
        <w:rPr>
          <w:rStyle w:val="FootnoteReference"/>
          <w:sz w:val="18"/>
          <w:szCs w:val="18"/>
        </w:rPr>
        <w:footnoteRef/>
      </w:r>
      <w:r w:rsidRPr="00BA0EFF">
        <w:rPr>
          <w:sz w:val="18"/>
          <w:szCs w:val="18"/>
        </w:rPr>
        <w:t xml:space="preserve"> </w:t>
      </w:r>
      <w:r>
        <w:rPr>
          <w:sz w:val="18"/>
          <w:szCs w:val="18"/>
        </w:rPr>
        <w:t xml:space="preserve">Risks may include: (i) </w:t>
      </w:r>
      <w:r w:rsidRPr="00DD55CF">
        <w:rPr>
          <w:sz w:val="18"/>
          <w:szCs w:val="18"/>
        </w:rPr>
        <w:t>Unequal access to project benefits/ compensation measures</w:t>
      </w:r>
      <w:r>
        <w:rPr>
          <w:sz w:val="18"/>
          <w:szCs w:val="18"/>
        </w:rPr>
        <w:t xml:space="preserve">, (ii) </w:t>
      </w:r>
      <w:r w:rsidRPr="00DD55CF">
        <w:rPr>
          <w:sz w:val="18"/>
          <w:szCs w:val="18"/>
        </w:rPr>
        <w:t>Men or women disproportionally affected due to gender factors</w:t>
      </w:r>
      <w:r>
        <w:rPr>
          <w:sz w:val="18"/>
          <w:szCs w:val="18"/>
        </w:rPr>
        <w:t xml:space="preserve">, (iii) </w:t>
      </w:r>
      <w:r w:rsidRPr="00DD55CF">
        <w:rPr>
          <w:sz w:val="18"/>
          <w:szCs w:val="18"/>
        </w:rPr>
        <w:t>Non-compliance with applicable legislation related to equality between men and women</w:t>
      </w:r>
      <w:r>
        <w:rPr>
          <w:sz w:val="18"/>
          <w:szCs w:val="18"/>
        </w:rPr>
        <w:t xml:space="preserve">, (iv) </w:t>
      </w:r>
      <w:r w:rsidRPr="00DD55CF">
        <w:rPr>
          <w:sz w:val="18"/>
          <w:szCs w:val="18"/>
        </w:rPr>
        <w:t>Increased risk of gender-based violence, including sexual exploitation, human trafficking and sexually transmitted diseases</w:t>
      </w:r>
      <w:r>
        <w:rPr>
          <w:sz w:val="18"/>
          <w:szCs w:val="18"/>
        </w:rPr>
        <w:t>, and (v) Disregard of w</w:t>
      </w:r>
      <w:r w:rsidRPr="00DD55CF">
        <w:rPr>
          <w:sz w:val="18"/>
          <w:szCs w:val="18"/>
        </w:rPr>
        <w:t>omen’s ownership rights</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93923" w14:textId="77777777" w:rsidR="005D6A90" w:rsidRDefault="005D6A90" w:rsidP="005354FC">
    <w:pPr>
      <w:pStyle w:val="Header"/>
      <w:pBdr>
        <w:bottom w:val="single" w:sz="6" w:space="2" w:color="auto"/>
      </w:pBdr>
      <w:tabs>
        <w:tab w:val="clear" w:pos="4320"/>
        <w:tab w:val="clear" w:pos="8640"/>
        <w:tab w:val="left" w:pos="4019"/>
      </w:tabs>
      <w:ind w:right="-720"/>
    </w:pPr>
    <w:r>
      <w:t>IDB-ESG-TP-002, Ver. 03</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146229A5"/>
    <w:multiLevelType w:val="hybridMultilevel"/>
    <w:tmpl w:val="9E188D9A"/>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A2963"/>
    <w:multiLevelType w:val="hybridMultilevel"/>
    <w:tmpl w:val="6B2E4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255F5A"/>
    <w:multiLevelType w:val="hybridMultilevel"/>
    <w:tmpl w:val="957C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0232DA"/>
    <w:multiLevelType w:val="hybridMultilevel"/>
    <w:tmpl w:val="E5102AE6"/>
    <w:lvl w:ilvl="0" w:tplc="30766414">
      <w:start w:val="2"/>
      <w:numFmt w:val="lowerRoman"/>
      <w:lvlText w:val="%1 "/>
      <w:lvlJc w:val="left"/>
      <w:pPr>
        <w:ind w:left="2160" w:hanging="720"/>
      </w:pPr>
      <w:rPr>
        <w:rFonts w:hint="default"/>
        <w:b/>
        <w:color w:val="0070C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3783207"/>
    <w:multiLevelType w:val="hybridMultilevel"/>
    <w:tmpl w:val="03447F9E"/>
    <w:lvl w:ilvl="0" w:tplc="0662344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A6288B"/>
    <w:multiLevelType w:val="hybridMultilevel"/>
    <w:tmpl w:val="5AB67878"/>
    <w:lvl w:ilvl="0" w:tplc="957AF3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D0DA5"/>
    <w:multiLevelType w:val="hybridMultilevel"/>
    <w:tmpl w:val="60B4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085BF4"/>
    <w:multiLevelType w:val="hybridMultilevel"/>
    <w:tmpl w:val="73224162"/>
    <w:lvl w:ilvl="0" w:tplc="A1EA0B4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7D53304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num>
  <w:num w:numId="3">
    <w:abstractNumId w:val="7"/>
  </w:num>
  <w:num w:numId="4">
    <w:abstractNumId w:val="2"/>
  </w:num>
  <w:num w:numId="5">
    <w:abstractNumId w:val="1"/>
  </w:num>
  <w:num w:numId="6">
    <w:abstractNumId w:val="5"/>
  </w:num>
  <w:num w:numId="7">
    <w:abstractNumId w:val="9"/>
  </w:num>
  <w:num w:numId="8">
    <w:abstractNumId w:val="4"/>
  </w:num>
  <w:num w:numId="9">
    <w:abstractNumId w:val="8"/>
  </w:num>
  <w:num w:numId="10">
    <w:abstractNumId w:val="10"/>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2506E"/>
    <w:rsid w:val="000361A6"/>
    <w:rsid w:val="00050023"/>
    <w:rsid w:val="00056EE2"/>
    <w:rsid w:val="00057F69"/>
    <w:rsid w:val="00066214"/>
    <w:rsid w:val="00067751"/>
    <w:rsid w:val="000709EE"/>
    <w:rsid w:val="00076E4F"/>
    <w:rsid w:val="000840FB"/>
    <w:rsid w:val="0009036F"/>
    <w:rsid w:val="000904E1"/>
    <w:rsid w:val="000907E3"/>
    <w:rsid w:val="000A20D3"/>
    <w:rsid w:val="000B5B2B"/>
    <w:rsid w:val="000C15CB"/>
    <w:rsid w:val="000C3D10"/>
    <w:rsid w:val="000E02C8"/>
    <w:rsid w:val="000F2A9E"/>
    <w:rsid w:val="000F3843"/>
    <w:rsid w:val="00110ABE"/>
    <w:rsid w:val="001110C6"/>
    <w:rsid w:val="0011347D"/>
    <w:rsid w:val="00122626"/>
    <w:rsid w:val="00122A70"/>
    <w:rsid w:val="00122C17"/>
    <w:rsid w:val="00130BDE"/>
    <w:rsid w:val="00132D6F"/>
    <w:rsid w:val="0013691E"/>
    <w:rsid w:val="001409FA"/>
    <w:rsid w:val="00147412"/>
    <w:rsid w:val="00152334"/>
    <w:rsid w:val="00153E03"/>
    <w:rsid w:val="00163990"/>
    <w:rsid w:val="001661A8"/>
    <w:rsid w:val="00170727"/>
    <w:rsid w:val="00174928"/>
    <w:rsid w:val="00175AD2"/>
    <w:rsid w:val="00182417"/>
    <w:rsid w:val="00183CA6"/>
    <w:rsid w:val="00184DF3"/>
    <w:rsid w:val="00186BF5"/>
    <w:rsid w:val="001A2C1E"/>
    <w:rsid w:val="001A33FA"/>
    <w:rsid w:val="001B0819"/>
    <w:rsid w:val="001B11C3"/>
    <w:rsid w:val="001B210B"/>
    <w:rsid w:val="001C165A"/>
    <w:rsid w:val="001C38FF"/>
    <w:rsid w:val="001C57BE"/>
    <w:rsid w:val="001C5972"/>
    <w:rsid w:val="001C6E68"/>
    <w:rsid w:val="001D0317"/>
    <w:rsid w:val="001D1006"/>
    <w:rsid w:val="001D2104"/>
    <w:rsid w:val="001D350E"/>
    <w:rsid w:val="001D5036"/>
    <w:rsid w:val="001D7E4F"/>
    <w:rsid w:val="001E30AF"/>
    <w:rsid w:val="001E40BC"/>
    <w:rsid w:val="0020183C"/>
    <w:rsid w:val="00206D50"/>
    <w:rsid w:val="00221A3B"/>
    <w:rsid w:val="00224C01"/>
    <w:rsid w:val="002279B4"/>
    <w:rsid w:val="00231844"/>
    <w:rsid w:val="00232DCD"/>
    <w:rsid w:val="0024298E"/>
    <w:rsid w:val="00243F29"/>
    <w:rsid w:val="00245EEB"/>
    <w:rsid w:val="0024716F"/>
    <w:rsid w:val="00250C7A"/>
    <w:rsid w:val="00267C2D"/>
    <w:rsid w:val="00267CCE"/>
    <w:rsid w:val="00271B38"/>
    <w:rsid w:val="00282AA1"/>
    <w:rsid w:val="00291788"/>
    <w:rsid w:val="00292828"/>
    <w:rsid w:val="0029521C"/>
    <w:rsid w:val="00296B9E"/>
    <w:rsid w:val="002A0934"/>
    <w:rsid w:val="002A37BB"/>
    <w:rsid w:val="002A684C"/>
    <w:rsid w:val="002B009D"/>
    <w:rsid w:val="002C120B"/>
    <w:rsid w:val="002C4ED0"/>
    <w:rsid w:val="002D69A9"/>
    <w:rsid w:val="002E1E0C"/>
    <w:rsid w:val="002E3A02"/>
    <w:rsid w:val="002F2CFD"/>
    <w:rsid w:val="002F43B3"/>
    <w:rsid w:val="003068FA"/>
    <w:rsid w:val="00307D0B"/>
    <w:rsid w:val="00314064"/>
    <w:rsid w:val="00314AF9"/>
    <w:rsid w:val="00315D7B"/>
    <w:rsid w:val="00315E3A"/>
    <w:rsid w:val="0032085B"/>
    <w:rsid w:val="003305DE"/>
    <w:rsid w:val="0033584F"/>
    <w:rsid w:val="0034627F"/>
    <w:rsid w:val="00355E80"/>
    <w:rsid w:val="00356737"/>
    <w:rsid w:val="00356C72"/>
    <w:rsid w:val="00360F5E"/>
    <w:rsid w:val="003641A9"/>
    <w:rsid w:val="00371712"/>
    <w:rsid w:val="003A4B89"/>
    <w:rsid w:val="003A5214"/>
    <w:rsid w:val="003B569D"/>
    <w:rsid w:val="003C2881"/>
    <w:rsid w:val="003D6ABA"/>
    <w:rsid w:val="003D6C2F"/>
    <w:rsid w:val="003E2C2F"/>
    <w:rsid w:val="003F281E"/>
    <w:rsid w:val="003F3FAD"/>
    <w:rsid w:val="003F6879"/>
    <w:rsid w:val="00400171"/>
    <w:rsid w:val="004127F6"/>
    <w:rsid w:val="00413E8A"/>
    <w:rsid w:val="00414AD4"/>
    <w:rsid w:val="0041502F"/>
    <w:rsid w:val="00416E08"/>
    <w:rsid w:val="004229C8"/>
    <w:rsid w:val="00424483"/>
    <w:rsid w:val="00425A6B"/>
    <w:rsid w:val="0043617D"/>
    <w:rsid w:val="004434A8"/>
    <w:rsid w:val="00443B2E"/>
    <w:rsid w:val="004553C2"/>
    <w:rsid w:val="0045636E"/>
    <w:rsid w:val="00465336"/>
    <w:rsid w:val="00472AA5"/>
    <w:rsid w:val="0047677D"/>
    <w:rsid w:val="00482877"/>
    <w:rsid w:val="00484A18"/>
    <w:rsid w:val="004A09B4"/>
    <w:rsid w:val="004A4CB1"/>
    <w:rsid w:val="004A5D54"/>
    <w:rsid w:val="004B6155"/>
    <w:rsid w:val="004C2CEB"/>
    <w:rsid w:val="004D3CD1"/>
    <w:rsid w:val="004D6E9F"/>
    <w:rsid w:val="004E347E"/>
    <w:rsid w:val="004F752B"/>
    <w:rsid w:val="0051060D"/>
    <w:rsid w:val="00513A75"/>
    <w:rsid w:val="005157E1"/>
    <w:rsid w:val="00525149"/>
    <w:rsid w:val="0053035D"/>
    <w:rsid w:val="005323C3"/>
    <w:rsid w:val="005354FC"/>
    <w:rsid w:val="00546E2F"/>
    <w:rsid w:val="005508EF"/>
    <w:rsid w:val="005571DC"/>
    <w:rsid w:val="00563673"/>
    <w:rsid w:val="0057400B"/>
    <w:rsid w:val="0057636F"/>
    <w:rsid w:val="00580E87"/>
    <w:rsid w:val="005B5337"/>
    <w:rsid w:val="005B5997"/>
    <w:rsid w:val="005C1EA8"/>
    <w:rsid w:val="005C32AE"/>
    <w:rsid w:val="005C421D"/>
    <w:rsid w:val="005C6976"/>
    <w:rsid w:val="005D6A90"/>
    <w:rsid w:val="005E413E"/>
    <w:rsid w:val="00611432"/>
    <w:rsid w:val="00620F9D"/>
    <w:rsid w:val="00622BC4"/>
    <w:rsid w:val="00627A8D"/>
    <w:rsid w:val="00637CEB"/>
    <w:rsid w:val="00641735"/>
    <w:rsid w:val="00646525"/>
    <w:rsid w:val="0065566F"/>
    <w:rsid w:val="00655E63"/>
    <w:rsid w:val="006606C8"/>
    <w:rsid w:val="0066245F"/>
    <w:rsid w:val="006750E7"/>
    <w:rsid w:val="00676EF1"/>
    <w:rsid w:val="006847F7"/>
    <w:rsid w:val="00686DDF"/>
    <w:rsid w:val="006A1488"/>
    <w:rsid w:val="006A158F"/>
    <w:rsid w:val="006A2D12"/>
    <w:rsid w:val="006D1E7C"/>
    <w:rsid w:val="006E5D9E"/>
    <w:rsid w:val="006F2D51"/>
    <w:rsid w:val="006F315E"/>
    <w:rsid w:val="006F7063"/>
    <w:rsid w:val="007046A7"/>
    <w:rsid w:val="00707DC9"/>
    <w:rsid w:val="00711105"/>
    <w:rsid w:val="007223EC"/>
    <w:rsid w:val="00724EC9"/>
    <w:rsid w:val="00740EB7"/>
    <w:rsid w:val="00741069"/>
    <w:rsid w:val="007541F9"/>
    <w:rsid w:val="0075612D"/>
    <w:rsid w:val="0075679D"/>
    <w:rsid w:val="00761155"/>
    <w:rsid w:val="007647C0"/>
    <w:rsid w:val="00765479"/>
    <w:rsid w:val="007870E3"/>
    <w:rsid w:val="00790993"/>
    <w:rsid w:val="007B07F2"/>
    <w:rsid w:val="007B163C"/>
    <w:rsid w:val="007C0236"/>
    <w:rsid w:val="007D36C8"/>
    <w:rsid w:val="007E78E5"/>
    <w:rsid w:val="007F7531"/>
    <w:rsid w:val="008005B7"/>
    <w:rsid w:val="008035AA"/>
    <w:rsid w:val="008075B3"/>
    <w:rsid w:val="00823799"/>
    <w:rsid w:val="00826BCF"/>
    <w:rsid w:val="00836447"/>
    <w:rsid w:val="00837A8F"/>
    <w:rsid w:val="0084091F"/>
    <w:rsid w:val="00841D04"/>
    <w:rsid w:val="00844A93"/>
    <w:rsid w:val="00850E52"/>
    <w:rsid w:val="00874CC0"/>
    <w:rsid w:val="008819D1"/>
    <w:rsid w:val="00883BA1"/>
    <w:rsid w:val="008874FC"/>
    <w:rsid w:val="008913A1"/>
    <w:rsid w:val="00891D1A"/>
    <w:rsid w:val="00891FBA"/>
    <w:rsid w:val="00892C06"/>
    <w:rsid w:val="008966A4"/>
    <w:rsid w:val="008A30EE"/>
    <w:rsid w:val="008A763A"/>
    <w:rsid w:val="008B2083"/>
    <w:rsid w:val="008C2E0F"/>
    <w:rsid w:val="008D6AD5"/>
    <w:rsid w:val="008E0C2F"/>
    <w:rsid w:val="008E2AB9"/>
    <w:rsid w:val="008E6310"/>
    <w:rsid w:val="008E7356"/>
    <w:rsid w:val="008F11AC"/>
    <w:rsid w:val="008F1F71"/>
    <w:rsid w:val="008F3A1B"/>
    <w:rsid w:val="008F7EFA"/>
    <w:rsid w:val="00904F75"/>
    <w:rsid w:val="00913A73"/>
    <w:rsid w:val="00921754"/>
    <w:rsid w:val="009430B3"/>
    <w:rsid w:val="009444D9"/>
    <w:rsid w:val="00953C33"/>
    <w:rsid w:val="00957524"/>
    <w:rsid w:val="00961FF5"/>
    <w:rsid w:val="009635EE"/>
    <w:rsid w:val="00966D25"/>
    <w:rsid w:val="0097208F"/>
    <w:rsid w:val="009747CE"/>
    <w:rsid w:val="009954BC"/>
    <w:rsid w:val="009A1DBA"/>
    <w:rsid w:val="009A77A6"/>
    <w:rsid w:val="009C48D5"/>
    <w:rsid w:val="009D3ADF"/>
    <w:rsid w:val="009D4143"/>
    <w:rsid w:val="009F0069"/>
    <w:rsid w:val="009F339F"/>
    <w:rsid w:val="00A00C5A"/>
    <w:rsid w:val="00A11ACD"/>
    <w:rsid w:val="00A12A3B"/>
    <w:rsid w:val="00A15318"/>
    <w:rsid w:val="00A27A68"/>
    <w:rsid w:val="00A27E96"/>
    <w:rsid w:val="00A41E00"/>
    <w:rsid w:val="00A464C6"/>
    <w:rsid w:val="00A81618"/>
    <w:rsid w:val="00A97D37"/>
    <w:rsid w:val="00AA1CCD"/>
    <w:rsid w:val="00AA1CE9"/>
    <w:rsid w:val="00AA33E7"/>
    <w:rsid w:val="00AB569A"/>
    <w:rsid w:val="00AC2D5D"/>
    <w:rsid w:val="00AD70DF"/>
    <w:rsid w:val="00AD7EC6"/>
    <w:rsid w:val="00AE60E4"/>
    <w:rsid w:val="00AF0DA7"/>
    <w:rsid w:val="00AF5C47"/>
    <w:rsid w:val="00B0100F"/>
    <w:rsid w:val="00B01F04"/>
    <w:rsid w:val="00B13DDA"/>
    <w:rsid w:val="00B16655"/>
    <w:rsid w:val="00B174A7"/>
    <w:rsid w:val="00B20556"/>
    <w:rsid w:val="00B3466C"/>
    <w:rsid w:val="00B40D0A"/>
    <w:rsid w:val="00B418FD"/>
    <w:rsid w:val="00B44DDA"/>
    <w:rsid w:val="00B479D3"/>
    <w:rsid w:val="00B505FD"/>
    <w:rsid w:val="00B51A3B"/>
    <w:rsid w:val="00B56B1E"/>
    <w:rsid w:val="00B757F7"/>
    <w:rsid w:val="00B81ABB"/>
    <w:rsid w:val="00B82B6E"/>
    <w:rsid w:val="00B95FCB"/>
    <w:rsid w:val="00BB0493"/>
    <w:rsid w:val="00BB311B"/>
    <w:rsid w:val="00BC0D6F"/>
    <w:rsid w:val="00BC1DF2"/>
    <w:rsid w:val="00BC41F1"/>
    <w:rsid w:val="00BC7021"/>
    <w:rsid w:val="00BD26E4"/>
    <w:rsid w:val="00BE1ADE"/>
    <w:rsid w:val="00BF59CB"/>
    <w:rsid w:val="00C004B3"/>
    <w:rsid w:val="00C04F56"/>
    <w:rsid w:val="00C33F71"/>
    <w:rsid w:val="00C34D0E"/>
    <w:rsid w:val="00C356AC"/>
    <w:rsid w:val="00C4031A"/>
    <w:rsid w:val="00C51F87"/>
    <w:rsid w:val="00C53ABB"/>
    <w:rsid w:val="00C5418F"/>
    <w:rsid w:val="00C55E62"/>
    <w:rsid w:val="00C7006C"/>
    <w:rsid w:val="00C84ACB"/>
    <w:rsid w:val="00C97C3C"/>
    <w:rsid w:val="00CA4D2B"/>
    <w:rsid w:val="00CB7D48"/>
    <w:rsid w:val="00CD70DC"/>
    <w:rsid w:val="00CE3105"/>
    <w:rsid w:val="00D055D3"/>
    <w:rsid w:val="00D05EB3"/>
    <w:rsid w:val="00D0694A"/>
    <w:rsid w:val="00D22380"/>
    <w:rsid w:val="00D22AF7"/>
    <w:rsid w:val="00D4457C"/>
    <w:rsid w:val="00D50B80"/>
    <w:rsid w:val="00D53532"/>
    <w:rsid w:val="00D56917"/>
    <w:rsid w:val="00D632E9"/>
    <w:rsid w:val="00D862C2"/>
    <w:rsid w:val="00D9059D"/>
    <w:rsid w:val="00D93ADD"/>
    <w:rsid w:val="00D97C3E"/>
    <w:rsid w:val="00DA0A4C"/>
    <w:rsid w:val="00DA2315"/>
    <w:rsid w:val="00DA65F6"/>
    <w:rsid w:val="00DB4E6C"/>
    <w:rsid w:val="00DB7B2E"/>
    <w:rsid w:val="00DD5673"/>
    <w:rsid w:val="00DF2FF7"/>
    <w:rsid w:val="00E15822"/>
    <w:rsid w:val="00E228C6"/>
    <w:rsid w:val="00E236F9"/>
    <w:rsid w:val="00E2602E"/>
    <w:rsid w:val="00E32C43"/>
    <w:rsid w:val="00E51AF1"/>
    <w:rsid w:val="00E528CA"/>
    <w:rsid w:val="00E65933"/>
    <w:rsid w:val="00E7242F"/>
    <w:rsid w:val="00E8034C"/>
    <w:rsid w:val="00E813AD"/>
    <w:rsid w:val="00E81E75"/>
    <w:rsid w:val="00E86DA3"/>
    <w:rsid w:val="00E87388"/>
    <w:rsid w:val="00E9041C"/>
    <w:rsid w:val="00E94898"/>
    <w:rsid w:val="00EA45C9"/>
    <w:rsid w:val="00EA6F04"/>
    <w:rsid w:val="00EB364C"/>
    <w:rsid w:val="00EC7B70"/>
    <w:rsid w:val="00ED2779"/>
    <w:rsid w:val="00ED475D"/>
    <w:rsid w:val="00ED4E72"/>
    <w:rsid w:val="00EE20EB"/>
    <w:rsid w:val="00EE794C"/>
    <w:rsid w:val="00EE7DAC"/>
    <w:rsid w:val="00EF071D"/>
    <w:rsid w:val="00EF155A"/>
    <w:rsid w:val="00EF5A23"/>
    <w:rsid w:val="00EF64FB"/>
    <w:rsid w:val="00F00582"/>
    <w:rsid w:val="00F018B3"/>
    <w:rsid w:val="00F01D96"/>
    <w:rsid w:val="00F14FB5"/>
    <w:rsid w:val="00F21A2D"/>
    <w:rsid w:val="00F22DD8"/>
    <w:rsid w:val="00F45CA4"/>
    <w:rsid w:val="00F46383"/>
    <w:rsid w:val="00F515CD"/>
    <w:rsid w:val="00F54393"/>
    <w:rsid w:val="00F55055"/>
    <w:rsid w:val="00F667EE"/>
    <w:rsid w:val="00F84B8B"/>
    <w:rsid w:val="00F85F19"/>
    <w:rsid w:val="00FA1C53"/>
    <w:rsid w:val="00FA27DF"/>
    <w:rsid w:val="00FA4941"/>
    <w:rsid w:val="00FB0D4A"/>
    <w:rsid w:val="00FB6202"/>
    <w:rsid w:val="00FC0D31"/>
    <w:rsid w:val="00FD295A"/>
    <w:rsid w:val="00FD4BB2"/>
    <w:rsid w:val="00FE0773"/>
    <w:rsid w:val="00FF0438"/>
    <w:rsid w:val="00FF48F6"/>
    <w:rsid w:val="00FF6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7FF9A"/>
  <w15:docId w15:val="{D43CFD93-441C-4664-AEE0-0C8B0099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Table/Figure Heading,En tête 1,List Paragraph1,IFCL - List Paragraph"/>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Fußnotentextf,Fußnote,Footnote Text Char1 Char,Footnote Text Char Char Char,Footnote Text Char Char Char Char Char Char,ADB,f"/>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Fußnotentextf Char,Fußnote Char,Footnote Text Char1 Char Char,Footnote Text Char Char Char Char"/>
    <w:basedOn w:val="DefaultParagraphFont"/>
    <w:link w:val="FootnoteText"/>
    <w:uiPriority w:val="99"/>
    <w:rsid w:val="00356C72"/>
  </w:style>
  <w:style w:type="character" w:styleId="FootnoteReference">
    <w:name w:val="footnote reference"/>
    <w:aliases w:val="Style 24,ftref,(NECG) Footnote Reference,Ref,de nota al pie,16 Point,Superscript 6 Point,Fußnotenzeichen DISS,referencia nota al pie,Nota de pie,Ref. de nota al pie2,Massilia Footnote Reference,Nota al pie info 1,Footnote,titulo 2,FC"/>
    <w:basedOn w:val="DefaultParagraphFont"/>
    <w:uiPriority w:val="99"/>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BE1ADE"/>
  </w:style>
  <w:style w:type="character" w:customStyle="1" w:styleId="ListParagraphChar">
    <w:name w:val="List Paragraph Char"/>
    <w:aliases w:val="Table/Figure Heading Char,En tête 1 Char,List Paragraph1 Char,IFCL - List Paragraph Char"/>
    <w:basedOn w:val="DefaultParagraphFont"/>
    <w:link w:val="ListParagraph"/>
    <w:uiPriority w:val="34"/>
    <w:locked/>
    <w:rsid w:val="001C165A"/>
  </w:style>
  <w:style w:type="character" w:styleId="UnresolvedMention">
    <w:name w:val="Unresolved Mention"/>
    <w:basedOn w:val="DefaultParagraphFont"/>
    <w:uiPriority w:val="99"/>
    <w:semiHidden/>
    <w:unhideWhenUsed/>
    <w:rsid w:val="008364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93031">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d.gov.py/productos" TargetMode="Externa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fd.gov.py/contact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ifc.org/wps/wcm/connect/7a1813bc-b6e8-4139-a7fc-cee8c5c61f64/BioMass_report_06+2017.pdf?MOD=AJPERES" TargetMode="External"/><Relationship Id="rId1" Type="http://schemas.openxmlformats.org/officeDocument/2006/relationships/hyperlink" Target="https://www.ifc.org/wps/wcm/connect/7a1813bc-b6e8-4139-a7fc-cee8c5c61f64/BioMass_report_06+2017.pdf?MOD=AJPE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Arauz Herrera, Alison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FM-FES</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128</Value>
      <Value>24</Value>
      <Value>52</Value>
      <Value>73</Value>
      <Value>1</Value>
      <Value>136</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R0001964501</Record_x0020_Number>
    <_dlc_DocId xmlns="cdc7663a-08f0-4737-9e8c-148ce897a09c">EZSHARE-1067953801-11</_dlc_DocId>
    <_dlc_DocIdUrl xmlns="cdc7663a-08f0-4737-9e8c-148ce897a09c">
      <Url>https://idbg.sharepoint.com/teams/EZ-PR-LON/PR-L1146/_layouts/15/DocIdRedir.aspx?ID=EZSHARE-1067953801-11</Url>
      <Description>EZSHARE-1067953801-11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20D4CA0E10454FB677C99A32C73F5E" ma:contentTypeVersion="178" ma:contentTypeDescription="A content type to manage public (operations) IDB documents" ma:contentTypeScope="" ma:versionID="c2832b166b0cd5b427172b329f96135d">
  <xsd:schema xmlns:xsd="http://www.w3.org/2001/XMLSchema" xmlns:xs="http://www.w3.org/2001/XMLSchema" xmlns:p="http://schemas.microsoft.com/office/2006/metadata/properties" xmlns:ns2="cdc7663a-08f0-4737-9e8c-148ce897a09c" targetNamespace="http://schemas.microsoft.com/office/2006/metadata/properties" ma:root="true" ma:fieldsID="f13cfc6ef225058d4f1aeda843700f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353E184-4205-4CDA-8FAB-E3D2BD793A18}"/>
</file>

<file path=customXml/itemProps2.xml><?xml version="1.0" encoding="utf-8"?>
<ds:datastoreItem xmlns:ds="http://schemas.openxmlformats.org/officeDocument/2006/customXml" ds:itemID="{95526E0D-728B-4F7F-941F-8350DE856E39}">
  <ds:schemaRefs>
    <ds:schemaRef ds:uri="http://schemas.microsoft.com/sharepoint/v3/contenttype/forms"/>
  </ds:schemaRefs>
</ds:datastoreItem>
</file>

<file path=customXml/itemProps3.xml><?xml version="1.0" encoding="utf-8"?>
<ds:datastoreItem xmlns:ds="http://schemas.openxmlformats.org/officeDocument/2006/customXml" ds:itemID="{B2AC612B-893F-4318-B7E6-4E172B9822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EE38EF-4FEA-46F9-90DF-52942B999AE8}">
  <ds:schemaRefs>
    <ds:schemaRef ds:uri="http://schemas.openxmlformats.org/officeDocument/2006/bibliography"/>
  </ds:schemaRefs>
</ds:datastoreItem>
</file>

<file path=customXml/itemProps5.xml><?xml version="1.0" encoding="utf-8"?>
<ds:datastoreItem xmlns:ds="http://schemas.openxmlformats.org/officeDocument/2006/customXml" ds:itemID="{0391C6FB-4A95-4961-B5AF-8A137E8F63AE}"/>
</file>

<file path=customXml/itemProps6.xml><?xml version="1.0" encoding="utf-8"?>
<ds:datastoreItem xmlns:ds="http://schemas.openxmlformats.org/officeDocument/2006/customXml" ds:itemID="{DC06C5E3-C587-4EDB-8D9F-CF00DD0F1955}"/>
</file>

<file path=customXml/itemProps7.xml><?xml version="1.0" encoding="utf-8"?>
<ds:datastoreItem xmlns:ds="http://schemas.openxmlformats.org/officeDocument/2006/customXml" ds:itemID="{714E7256-8E51-461A-8C12-5E1A29CF5374}"/>
</file>

<file path=docProps/app.xml><?xml version="1.0" encoding="utf-8"?>
<Properties xmlns="http://schemas.openxmlformats.org/officeDocument/2006/extended-properties" xmlns:vt="http://schemas.openxmlformats.org/officeDocument/2006/docPropsVTypes">
  <Template>Normal.dotm</Template>
  <TotalTime>2</TotalTime>
  <Pages>16</Pages>
  <Words>5696</Words>
  <Characters>31332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keywords/>
  <cp:lastModifiedBy>Arauz Herrera, Alison</cp:lastModifiedBy>
  <cp:revision>4</cp:revision>
  <cp:lastPrinted>2018-01-22T13:35:00Z</cp:lastPrinted>
  <dcterms:created xsi:type="dcterms:W3CDTF">2018-04-11T19:34:00Z</dcterms:created>
  <dcterms:modified xsi:type="dcterms:W3CDTF">2018-06-18T19:30:00Z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RecordStorageActiveId">
    <vt:lpwstr>98d13302-b79b-4cfc-8f5d-d90a4eab02d2</vt:lpwstr>
  </property>
  <property fmtid="{D5CDD505-2E9C-101B-9397-08002B2CF9AE}" pid="6" name="Series Operations IDB">
    <vt:lpwstr>73;#Proposal for Operation Development (POD)|24e0d6d4-9e5f-4c37-abe1-0e66100c0228</vt:lpwstr>
  </property>
  <property fmtid="{D5CDD505-2E9C-101B-9397-08002B2CF9AE}" pid="7" name="Sub-Sector">
    <vt:lpwstr>128;#FM-FES|dcc8718d-dd7c-4b5d-bcc4-86a6a708df42</vt:lpwstr>
  </property>
  <property fmtid="{D5CDD505-2E9C-101B-9397-08002B2CF9AE}" pid="8" name="Country">
    <vt:lpwstr>24;#PR|50282442-27e7-4526-9d04-55bf5da33a10</vt:lpwstr>
  </property>
  <property fmtid="{D5CDD505-2E9C-101B-9397-08002B2CF9AE}" pid="9" name="Fund IDB">
    <vt:lpwstr>136;#GRN|d0f1dc7f-e162-4a9c-9421-b7d8c382a710</vt:lpwstr>
  </property>
  <property fmtid="{D5CDD505-2E9C-101B-9397-08002B2CF9AE}" pid="10" name="_dlc_DocIdItemGuid">
    <vt:lpwstr>a3463161-8482-4617-91ef-0e64203d0400</vt:lpwstr>
  </property>
  <property fmtid="{D5CDD505-2E9C-101B-9397-08002B2CF9AE}" pid="11" name="Sector IDB">
    <vt:lpwstr>52;#FM|75500f29-2419-473a-bcd8-84901ddc2aa7</vt:lpwstr>
  </property>
  <property fmtid="{D5CDD505-2E9C-101B-9397-08002B2CF9AE}" pid="13" name="Function Operations IDB">
    <vt:lpwstr>1;#Project Preparation, Planning and Design|29ca0c72-1fc4-435f-a09c-28585cb5eac9</vt:lpwstr>
  </property>
  <property fmtid="{D5CDD505-2E9C-101B-9397-08002B2CF9AE}" pid="14" name="Disclosure Activity">
    <vt:lpwstr>Loan Proposal</vt:lpwstr>
  </property>
  <property fmtid="{D5CDD505-2E9C-101B-9397-08002B2CF9AE}" pid="15" name="ContentTypeId">
    <vt:lpwstr>0x0101001A458A224826124E8B45B1D613300CFC002520D4CA0E10454FB677C99A32C73F5E</vt:lpwstr>
  </property>
</Properties>
</file>