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AC5" w:rsidRPr="00510C63" w:rsidRDefault="002F6AC5" w:rsidP="002F6AC5">
      <w:pPr>
        <w:tabs>
          <w:tab w:val="left" w:pos="0"/>
          <w:tab w:val="num" w:pos="1152"/>
          <w:tab w:val="num" w:pos="1296"/>
        </w:tabs>
        <w:spacing w:before="120"/>
        <w:jc w:val="center"/>
        <w:outlineLvl w:val="2"/>
        <w:rPr>
          <w:rFonts w:ascii="Arial" w:eastAsia="Times New Roman" w:hAnsi="Arial" w:cs="Arial"/>
          <w:smallCaps/>
          <w:sz w:val="22"/>
          <w:szCs w:val="22"/>
        </w:rPr>
      </w:pPr>
      <w:r w:rsidRPr="00510C63">
        <w:rPr>
          <w:rFonts w:ascii="Arial" w:eastAsia="Times New Roman" w:hAnsi="Arial" w:cs="Arial"/>
          <w:smallCaps/>
          <w:sz w:val="22"/>
          <w:szCs w:val="22"/>
        </w:rPr>
        <w:t>Document of the Inter-American Development Bank</w:t>
      </w:r>
    </w:p>
    <w:p w:rsidR="002F6AC5" w:rsidRPr="00510C63" w:rsidRDefault="002F6AC5" w:rsidP="002F6AC5">
      <w:pPr>
        <w:tabs>
          <w:tab w:val="left" w:pos="1440"/>
          <w:tab w:val="left" w:pos="3060"/>
        </w:tabs>
        <w:spacing w:after="200" w:line="276" w:lineRule="auto"/>
        <w:jc w:val="center"/>
        <w:rPr>
          <w:rFonts w:ascii="Arial" w:eastAsia="Times New Roman" w:hAnsi="Arial" w:cs="Arial"/>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sz w:val="22"/>
          <w:szCs w:val="22"/>
        </w:rPr>
      </w:pPr>
    </w:p>
    <w:p w:rsidR="002F6AC5" w:rsidRPr="00510C63" w:rsidRDefault="002F6AC5" w:rsidP="002F6AC5">
      <w:pPr>
        <w:spacing w:after="200" w:line="276" w:lineRule="auto"/>
        <w:ind w:left="540" w:hanging="540"/>
        <w:jc w:val="center"/>
        <w:rPr>
          <w:rFonts w:ascii="Arial" w:eastAsia="Times New Roman" w:hAnsi="Arial" w:cs="Arial"/>
          <w:b/>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b/>
          <w:smallCaps/>
          <w:sz w:val="22"/>
          <w:szCs w:val="22"/>
        </w:rPr>
      </w:pPr>
      <w:r w:rsidRPr="00510C63">
        <w:rPr>
          <w:rFonts w:ascii="Arial" w:eastAsia="Times New Roman" w:hAnsi="Arial" w:cs="Arial"/>
          <w:b/>
          <w:smallCaps/>
          <w:sz w:val="22"/>
          <w:szCs w:val="22"/>
        </w:rPr>
        <w:t>Paraguay</w:t>
      </w:r>
    </w:p>
    <w:p w:rsidR="002F6AC5" w:rsidRPr="00510C63" w:rsidRDefault="002F6AC5" w:rsidP="002F6AC5">
      <w:pPr>
        <w:tabs>
          <w:tab w:val="left" w:pos="1440"/>
          <w:tab w:val="left" w:pos="3060"/>
        </w:tabs>
        <w:spacing w:after="200" w:line="276" w:lineRule="auto"/>
        <w:jc w:val="center"/>
        <w:rPr>
          <w:rFonts w:ascii="Arial" w:eastAsia="Times New Roman" w:hAnsi="Arial" w:cs="Arial"/>
          <w:smallCaps/>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smallCaps/>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smallCaps/>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smallCaps/>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b/>
          <w:smallCaps/>
          <w:sz w:val="22"/>
          <w:szCs w:val="22"/>
        </w:rPr>
      </w:pPr>
      <w:bookmarkStart w:id="0" w:name="_Hlk500781678"/>
      <w:r w:rsidRPr="00510C63">
        <w:rPr>
          <w:rFonts w:ascii="Arial" w:eastAsia="Times New Roman" w:hAnsi="Arial" w:cs="Arial"/>
          <w:b/>
          <w:smallCaps/>
          <w:sz w:val="22"/>
          <w:szCs w:val="22"/>
        </w:rPr>
        <w:t>Promoting Private Sector Investments in Energy Efficiency in the Industrial Sector in Paraguay</w:t>
      </w:r>
    </w:p>
    <w:bookmarkEnd w:id="0"/>
    <w:p w:rsidR="002F6AC5" w:rsidRPr="00510C63" w:rsidRDefault="002F6AC5" w:rsidP="002F6AC5">
      <w:pPr>
        <w:tabs>
          <w:tab w:val="left" w:pos="1440"/>
          <w:tab w:val="left" w:pos="3060"/>
        </w:tabs>
        <w:spacing w:after="200" w:line="276" w:lineRule="auto"/>
        <w:jc w:val="center"/>
        <w:rPr>
          <w:rFonts w:ascii="Arial" w:eastAsia="Times New Roman" w:hAnsi="Arial" w:cs="Arial"/>
          <w:b/>
          <w:smallCaps/>
          <w:sz w:val="22"/>
          <w:szCs w:val="22"/>
        </w:rPr>
      </w:pPr>
    </w:p>
    <w:p w:rsidR="002F6AC5" w:rsidRPr="00510C63" w:rsidRDefault="002F6AC5" w:rsidP="002F6AC5">
      <w:pPr>
        <w:tabs>
          <w:tab w:val="left" w:pos="1440"/>
          <w:tab w:val="left" w:pos="3060"/>
        </w:tabs>
        <w:spacing w:after="200" w:line="276" w:lineRule="auto"/>
        <w:jc w:val="center"/>
        <w:rPr>
          <w:rFonts w:ascii="Arial" w:eastAsia="Times New Roman" w:hAnsi="Arial" w:cs="Arial"/>
          <w:b/>
          <w:smallCaps/>
          <w:sz w:val="22"/>
          <w:szCs w:val="22"/>
        </w:rPr>
      </w:pPr>
      <w:r w:rsidRPr="00510C63">
        <w:rPr>
          <w:rFonts w:ascii="Arial" w:eastAsia="Times New Roman" w:hAnsi="Arial" w:cs="Arial"/>
          <w:b/>
          <w:smallCaps/>
          <w:sz w:val="22"/>
          <w:szCs w:val="22"/>
        </w:rPr>
        <w:t>(PR-L1146)</w:t>
      </w:r>
    </w:p>
    <w:p w:rsidR="002F6AC5" w:rsidRPr="00510C63" w:rsidRDefault="002F6AC5" w:rsidP="002F6AC5">
      <w:pPr>
        <w:tabs>
          <w:tab w:val="left" w:pos="1440"/>
          <w:tab w:val="left" w:pos="3060"/>
        </w:tabs>
        <w:spacing w:after="200" w:line="276" w:lineRule="auto"/>
        <w:jc w:val="center"/>
        <w:rPr>
          <w:rFonts w:ascii="Arial" w:eastAsia="Times New Roman" w:hAnsi="Arial" w:cs="Arial"/>
          <w:b/>
          <w:smallCaps/>
          <w:sz w:val="22"/>
          <w:szCs w:val="22"/>
        </w:rPr>
      </w:pPr>
    </w:p>
    <w:p w:rsidR="002F6AC5" w:rsidRPr="00510C63" w:rsidRDefault="002F6AC5" w:rsidP="002F6AC5">
      <w:pPr>
        <w:spacing w:after="200" w:line="276" w:lineRule="auto"/>
        <w:ind w:left="540" w:hanging="540"/>
        <w:jc w:val="center"/>
        <w:rPr>
          <w:rFonts w:ascii="Arial" w:eastAsia="Times New Roman" w:hAnsi="Arial" w:cs="Arial"/>
          <w:b/>
          <w:sz w:val="22"/>
          <w:szCs w:val="22"/>
        </w:rPr>
      </w:pPr>
    </w:p>
    <w:p w:rsidR="002F6AC5" w:rsidRPr="00510C63" w:rsidRDefault="002F6AC5" w:rsidP="002F6AC5">
      <w:pPr>
        <w:spacing w:after="200" w:line="276" w:lineRule="auto"/>
        <w:ind w:left="540" w:hanging="540"/>
        <w:jc w:val="center"/>
        <w:rPr>
          <w:rFonts w:ascii="Arial" w:eastAsia="Times New Roman" w:hAnsi="Arial" w:cs="Arial"/>
          <w:b/>
          <w:sz w:val="22"/>
          <w:szCs w:val="22"/>
        </w:rPr>
      </w:pPr>
    </w:p>
    <w:p w:rsidR="002F6AC5" w:rsidRPr="00510C63" w:rsidRDefault="002F6AC5" w:rsidP="002F6AC5">
      <w:pPr>
        <w:spacing w:after="200" w:line="276" w:lineRule="auto"/>
        <w:jc w:val="center"/>
        <w:rPr>
          <w:rFonts w:ascii="Arial" w:eastAsia="Times New Roman" w:hAnsi="Arial" w:cs="Arial"/>
          <w:b/>
          <w:smallCaps/>
          <w:sz w:val="22"/>
          <w:szCs w:val="22"/>
        </w:rPr>
      </w:pPr>
      <w:r w:rsidRPr="00510C63">
        <w:rPr>
          <w:rFonts w:ascii="Arial" w:eastAsia="Times New Roman" w:hAnsi="Arial" w:cs="Arial"/>
          <w:b/>
          <w:smallCaps/>
          <w:sz w:val="22"/>
          <w:szCs w:val="22"/>
        </w:rPr>
        <w:t>Gender Assessment</w:t>
      </w:r>
      <w:r w:rsidR="005773A2" w:rsidRPr="00510C63">
        <w:rPr>
          <w:rFonts w:ascii="Arial" w:eastAsia="Times New Roman" w:hAnsi="Arial" w:cs="Arial"/>
          <w:b/>
          <w:smallCaps/>
          <w:sz w:val="22"/>
          <w:szCs w:val="22"/>
        </w:rPr>
        <w:t xml:space="preserve"> and Gender Action Plan</w:t>
      </w:r>
    </w:p>
    <w:p w:rsidR="002F6AC5" w:rsidRPr="00510C63" w:rsidRDefault="002F6AC5" w:rsidP="002F6AC5">
      <w:pPr>
        <w:spacing w:after="200" w:line="276" w:lineRule="auto"/>
        <w:rPr>
          <w:rFonts w:ascii="Arial" w:eastAsia="Times New Roman" w:hAnsi="Arial" w:cs="Arial"/>
          <w:sz w:val="22"/>
          <w:szCs w:val="22"/>
        </w:rPr>
      </w:pPr>
    </w:p>
    <w:p w:rsidR="002F6AC5" w:rsidRPr="00510C63" w:rsidRDefault="002F6AC5" w:rsidP="002F6AC5">
      <w:pPr>
        <w:spacing w:after="200" w:line="276" w:lineRule="auto"/>
        <w:rPr>
          <w:rFonts w:ascii="Arial" w:eastAsia="Times New Roman" w:hAnsi="Arial" w:cs="Arial"/>
          <w:sz w:val="22"/>
          <w:szCs w:val="22"/>
        </w:rPr>
      </w:pPr>
    </w:p>
    <w:p w:rsidR="002F6AC5" w:rsidRPr="00510C63" w:rsidRDefault="002F6AC5" w:rsidP="002F6AC5">
      <w:pPr>
        <w:spacing w:after="200" w:line="276" w:lineRule="auto"/>
        <w:rPr>
          <w:rFonts w:ascii="Arial" w:eastAsia="Times New Roman" w:hAnsi="Arial" w:cs="Arial"/>
          <w:sz w:val="22"/>
          <w:szCs w:val="22"/>
        </w:rPr>
      </w:pPr>
    </w:p>
    <w:p w:rsidR="002F6AC5" w:rsidRPr="00510C63" w:rsidRDefault="002F6AC5" w:rsidP="002F6AC5">
      <w:pPr>
        <w:spacing w:after="200" w:line="276" w:lineRule="auto"/>
        <w:rPr>
          <w:rFonts w:ascii="Arial" w:eastAsia="Times New Roman" w:hAnsi="Arial" w:cs="Arial"/>
          <w:sz w:val="22"/>
          <w:szCs w:val="22"/>
        </w:rPr>
      </w:pPr>
    </w:p>
    <w:p w:rsidR="002F6AC5" w:rsidRPr="00510C63" w:rsidRDefault="002F6AC5" w:rsidP="002F6AC5">
      <w:pPr>
        <w:spacing w:line="276" w:lineRule="auto"/>
        <w:jc w:val="center"/>
        <w:rPr>
          <w:rFonts w:ascii="Arial" w:eastAsia="Times New Roman" w:hAnsi="Arial" w:cs="Arial"/>
          <w:b/>
          <w:smallCaps/>
          <w:sz w:val="22"/>
          <w:szCs w:val="22"/>
        </w:rPr>
      </w:pPr>
    </w:p>
    <w:p w:rsidR="002F6AC5" w:rsidRPr="00510C63" w:rsidRDefault="002F6AC5" w:rsidP="002F6AC5">
      <w:pPr>
        <w:spacing w:line="276" w:lineRule="auto"/>
        <w:jc w:val="center"/>
        <w:rPr>
          <w:rFonts w:ascii="Arial" w:eastAsia="Times New Roman" w:hAnsi="Arial" w:cs="Arial"/>
          <w:b/>
          <w:smallCaps/>
          <w:sz w:val="22"/>
          <w:szCs w:val="22"/>
        </w:rPr>
      </w:pPr>
    </w:p>
    <w:p w:rsidR="002F6AC5" w:rsidRPr="00510C63" w:rsidRDefault="002F6AC5" w:rsidP="002F6AC5">
      <w:pPr>
        <w:spacing w:line="276" w:lineRule="auto"/>
        <w:jc w:val="center"/>
        <w:rPr>
          <w:rFonts w:ascii="Arial" w:eastAsia="Times New Roman" w:hAnsi="Arial" w:cs="Arial"/>
          <w:b/>
          <w:smallCaps/>
          <w:sz w:val="22"/>
          <w:szCs w:val="22"/>
        </w:rPr>
      </w:pPr>
    </w:p>
    <w:p w:rsidR="00CE03CA" w:rsidRPr="00510C63" w:rsidRDefault="00CE03CA" w:rsidP="00CE03CA">
      <w:pPr>
        <w:pStyle w:val="Chapter"/>
        <w:keepNext/>
        <w:numPr>
          <w:ilvl w:val="0"/>
          <w:numId w:val="42"/>
        </w:numPr>
        <w:tabs>
          <w:tab w:val="clear" w:pos="1440"/>
          <w:tab w:val="clear" w:pos="1800"/>
          <w:tab w:val="left" w:pos="360"/>
        </w:tabs>
        <w:spacing w:before="360"/>
        <w:ind w:left="0" w:firstLine="0"/>
        <w:rPr>
          <w:rFonts w:ascii="Arial" w:hAnsi="Arial" w:cs="Arial"/>
          <w:color w:val="auto"/>
          <w:sz w:val="22"/>
          <w:szCs w:val="22"/>
        </w:rPr>
      </w:pPr>
      <w:bookmarkStart w:id="1" w:name="_Toc501218141"/>
      <w:r w:rsidRPr="00510C63">
        <w:rPr>
          <w:rFonts w:ascii="Arial" w:hAnsi="Arial" w:cs="Arial"/>
          <w:color w:val="auto"/>
          <w:sz w:val="22"/>
          <w:szCs w:val="22"/>
        </w:rPr>
        <w:lastRenderedPageBreak/>
        <w:t>Introduction</w:t>
      </w:r>
      <w:bookmarkStart w:id="2" w:name="_Ref320198321"/>
      <w:bookmarkEnd w:id="1"/>
    </w:p>
    <w:bookmarkEnd w:id="2"/>
    <w:p w:rsidR="00CE03CA" w:rsidRPr="00510C63" w:rsidRDefault="00CE03CA" w:rsidP="00CE03CA">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 xml:space="preserve">The Promoting Private Sector Investments in Energy Efficiency in the Industrial Sector in Paraguay program’s objective is to promote energy efficiency (EE) in the industrial sector in Paraguay, by providing medium and long-term finance for EE investment projects by SMEs, </w:t>
      </w:r>
      <w:proofErr w:type="gramStart"/>
      <w:r w:rsidRPr="00510C63">
        <w:rPr>
          <w:rFonts w:ascii="Arial" w:hAnsi="Arial" w:cs="Arial"/>
          <w:color w:val="auto"/>
          <w:sz w:val="22"/>
          <w:szCs w:val="22"/>
        </w:rPr>
        <w:t>so as to</w:t>
      </w:r>
      <w:proofErr w:type="gramEnd"/>
      <w:r w:rsidRPr="00510C63">
        <w:rPr>
          <w:rFonts w:ascii="Arial" w:hAnsi="Arial" w:cs="Arial"/>
          <w:color w:val="auto"/>
          <w:sz w:val="22"/>
          <w:szCs w:val="22"/>
        </w:rPr>
        <w:t xml:space="preserve"> contribute to reduce greenhouse gas (GHG) emissions, supporting the achievement of the country’s climate change goals and improving small and medium enterprises’ (SME) productivity in the long term.</w:t>
      </w:r>
    </w:p>
    <w:p w:rsidR="00CE03CA" w:rsidRPr="00510C63" w:rsidRDefault="00CE03CA" w:rsidP="00CE03CA">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 xml:space="preserve">As described in the Proposal for Operation Development (POD), one </w:t>
      </w:r>
      <w:proofErr w:type="gramStart"/>
      <w:r w:rsidRPr="00510C63">
        <w:rPr>
          <w:rFonts w:ascii="Arial" w:hAnsi="Arial" w:cs="Arial"/>
          <w:color w:val="auto"/>
          <w:sz w:val="22"/>
          <w:szCs w:val="22"/>
        </w:rPr>
        <w:t>particular type of investment</w:t>
      </w:r>
      <w:proofErr w:type="gramEnd"/>
      <w:r w:rsidRPr="00510C63">
        <w:rPr>
          <w:rFonts w:ascii="Arial" w:hAnsi="Arial" w:cs="Arial"/>
          <w:color w:val="auto"/>
          <w:sz w:val="22"/>
          <w:szCs w:val="22"/>
        </w:rPr>
        <w:t xml:space="preserve"> that is relevant to SMEs is associated to the implementation of EE measures, which can have a significant impact in the firm’s energy consumption, contributing toward reducing company expenses and increasing productivity and competitiveness</w:t>
      </w:r>
      <w:r w:rsidRPr="00510C63">
        <w:rPr>
          <w:rFonts w:ascii="Arial" w:hAnsi="Arial" w:cs="Arial"/>
          <w:color w:val="auto"/>
          <w:sz w:val="22"/>
          <w:szCs w:val="22"/>
          <w:vertAlign w:val="superscript"/>
          <w:lang w:val="es-ES_tradnl"/>
        </w:rPr>
        <w:footnoteReference w:id="1"/>
      </w:r>
      <w:r w:rsidRPr="00510C63">
        <w:rPr>
          <w:rFonts w:ascii="Arial" w:hAnsi="Arial" w:cs="Arial"/>
          <w:color w:val="auto"/>
          <w:sz w:val="22"/>
          <w:szCs w:val="22"/>
        </w:rPr>
        <w:t>. However, EE investments in Paraguay are hindered by credit constraints, which in the case of SMEs are heightened by extra collateral requirements, lack of credit history and documentation, and high transaction costs that translate into high interest rates. EE technologies involve high up-front costs and long payback periods</w:t>
      </w:r>
      <w:r w:rsidRPr="00510C63">
        <w:rPr>
          <w:rFonts w:ascii="Arial" w:hAnsi="Arial" w:cs="Arial"/>
          <w:color w:val="auto"/>
          <w:sz w:val="22"/>
          <w:szCs w:val="22"/>
          <w:vertAlign w:val="superscript"/>
          <w:lang w:val="es-ES_tradnl"/>
        </w:rPr>
        <w:footnoteReference w:id="2"/>
      </w:r>
      <w:r w:rsidRPr="00510C63">
        <w:rPr>
          <w:rFonts w:ascii="Arial" w:hAnsi="Arial" w:cs="Arial"/>
          <w:color w:val="auto"/>
          <w:sz w:val="22"/>
          <w:szCs w:val="22"/>
        </w:rPr>
        <w:t>, and there is usually very little information on the performance of new equipment and availability of reliable service for its installation and maintenance. As a result, firms lack the capacity to develop bankable business plans and local financial institutions (</w:t>
      </w:r>
      <w:r w:rsidR="00FF4D1A">
        <w:rPr>
          <w:rFonts w:ascii="Arial" w:hAnsi="Arial" w:cs="Arial"/>
          <w:color w:val="auto"/>
          <w:sz w:val="22"/>
          <w:szCs w:val="22"/>
        </w:rPr>
        <w:t>I</w:t>
      </w:r>
      <w:r w:rsidRPr="00510C63">
        <w:rPr>
          <w:rFonts w:ascii="Arial" w:hAnsi="Arial" w:cs="Arial"/>
          <w:color w:val="auto"/>
          <w:sz w:val="22"/>
          <w:szCs w:val="22"/>
        </w:rPr>
        <w:t>FI) use traditional asset-based lending (future cash flows generated by EE investment projects are not included in the risk analysis), limiting financial flows to these projects</w:t>
      </w:r>
      <w:r w:rsidRPr="00510C63">
        <w:rPr>
          <w:rFonts w:ascii="Arial" w:hAnsi="Arial" w:cs="Arial"/>
          <w:color w:val="auto"/>
          <w:sz w:val="22"/>
          <w:szCs w:val="22"/>
          <w:vertAlign w:val="superscript"/>
          <w:lang w:val="es-ES_tradnl"/>
        </w:rPr>
        <w:footnoteReference w:id="3"/>
      </w:r>
      <w:r w:rsidRPr="00510C63">
        <w:rPr>
          <w:rFonts w:ascii="Arial" w:hAnsi="Arial" w:cs="Arial"/>
          <w:color w:val="auto"/>
          <w:sz w:val="22"/>
          <w:szCs w:val="22"/>
        </w:rPr>
        <w:t>.</w:t>
      </w:r>
    </w:p>
    <w:p w:rsidR="001D5C76" w:rsidRPr="00510C63" w:rsidRDefault="00CE03CA" w:rsidP="00CE03CA">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 xml:space="preserve">The </w:t>
      </w:r>
      <w:r w:rsidR="00510C63" w:rsidRPr="00510C63">
        <w:rPr>
          <w:rFonts w:ascii="Arial" w:hAnsi="Arial" w:cs="Arial"/>
          <w:color w:val="auto"/>
          <w:sz w:val="22"/>
          <w:szCs w:val="22"/>
        </w:rPr>
        <w:t>above-mentioned</w:t>
      </w:r>
      <w:r w:rsidRPr="00510C63">
        <w:rPr>
          <w:rFonts w:ascii="Arial" w:hAnsi="Arial" w:cs="Arial"/>
          <w:color w:val="auto"/>
          <w:sz w:val="22"/>
          <w:szCs w:val="22"/>
        </w:rPr>
        <w:t xml:space="preserve"> constraints, are particularly amplified for women-led SMEs in Paraguay.</w:t>
      </w:r>
      <w:r w:rsidRPr="00510C63">
        <w:rPr>
          <w:rStyle w:val="FootnoteReference"/>
          <w:rFonts w:ascii="Arial" w:hAnsi="Arial" w:cs="Arial"/>
          <w:color w:val="auto"/>
          <w:sz w:val="22"/>
          <w:szCs w:val="22"/>
        </w:rPr>
        <w:footnoteReference w:id="4"/>
      </w:r>
      <w:r w:rsidRPr="00510C63">
        <w:rPr>
          <w:rFonts w:ascii="Arial" w:hAnsi="Arial" w:cs="Arial"/>
          <w:color w:val="auto"/>
          <w:sz w:val="22"/>
          <w:szCs w:val="22"/>
        </w:rPr>
        <w:t xml:space="preserve"> A recent IDB study</w:t>
      </w:r>
      <w:r w:rsidRPr="00510C63">
        <w:rPr>
          <w:rFonts w:ascii="Arial" w:hAnsi="Arial" w:cs="Arial"/>
          <w:color w:val="auto"/>
          <w:sz w:val="22"/>
          <w:szCs w:val="22"/>
          <w:vertAlign w:val="superscript"/>
        </w:rPr>
        <w:footnoteReference w:id="5"/>
      </w:r>
      <w:r w:rsidRPr="00510C63">
        <w:rPr>
          <w:rFonts w:ascii="Arial" w:hAnsi="Arial" w:cs="Arial"/>
          <w:color w:val="auto"/>
          <w:sz w:val="22"/>
          <w:szCs w:val="22"/>
        </w:rPr>
        <w:t>, conducted for the Paraguayan Central Bank, reveals a lack of gender-disaggregated data</w:t>
      </w:r>
      <w:r w:rsidR="00B240BC" w:rsidRPr="00510C63">
        <w:rPr>
          <w:rFonts w:ascii="Arial" w:hAnsi="Arial" w:cs="Arial"/>
          <w:color w:val="auto"/>
          <w:sz w:val="22"/>
          <w:szCs w:val="22"/>
        </w:rPr>
        <w:t xml:space="preserve">. Rectifying this situation would require finalizing the crossing of databases of the </w:t>
      </w:r>
      <w:proofErr w:type="spellStart"/>
      <w:r w:rsidR="00B240BC" w:rsidRPr="00510C63">
        <w:rPr>
          <w:rFonts w:ascii="Arial" w:hAnsi="Arial" w:cs="Arial"/>
          <w:color w:val="auto"/>
          <w:sz w:val="22"/>
          <w:szCs w:val="22"/>
        </w:rPr>
        <w:t>Superintendency</w:t>
      </w:r>
      <w:proofErr w:type="spellEnd"/>
      <w:r w:rsidR="00B240BC" w:rsidRPr="00510C63">
        <w:rPr>
          <w:rFonts w:ascii="Arial" w:hAnsi="Arial" w:cs="Arial"/>
          <w:color w:val="auto"/>
          <w:sz w:val="22"/>
          <w:szCs w:val="22"/>
        </w:rPr>
        <w:t xml:space="preserve"> of Banks, changes in the archives of the central information system of the Cooperatives to allow the clear identification and differentiation of loans to different enterprise sizes (Micro, SMEs and other commercial), as well as an assurance mechanism to guarantee quality information pr</w:t>
      </w:r>
      <w:r w:rsidR="001D5C76" w:rsidRPr="00510C63">
        <w:rPr>
          <w:rFonts w:ascii="Arial" w:hAnsi="Arial" w:cs="Arial"/>
          <w:color w:val="auto"/>
          <w:sz w:val="22"/>
          <w:szCs w:val="22"/>
        </w:rPr>
        <w:t>o</w:t>
      </w:r>
      <w:r w:rsidR="00B240BC" w:rsidRPr="00510C63">
        <w:rPr>
          <w:rFonts w:ascii="Arial" w:hAnsi="Arial" w:cs="Arial"/>
          <w:color w:val="auto"/>
          <w:sz w:val="22"/>
          <w:szCs w:val="22"/>
        </w:rPr>
        <w:t>vision</w:t>
      </w:r>
      <w:r w:rsidR="001D5C76" w:rsidRPr="00510C63">
        <w:rPr>
          <w:rFonts w:ascii="Arial" w:hAnsi="Arial" w:cs="Arial"/>
          <w:color w:val="auto"/>
          <w:sz w:val="22"/>
          <w:szCs w:val="22"/>
        </w:rPr>
        <w:t xml:space="preserve">. </w:t>
      </w:r>
    </w:p>
    <w:p w:rsidR="00CE03CA" w:rsidRPr="00510C63" w:rsidRDefault="001D5C76" w:rsidP="00CE03CA">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The project foresees a gender baseline study that builds upon the existing knowledge and that facilitates the inclusion of gender aspects in the execution of the loan.</w:t>
      </w:r>
    </w:p>
    <w:p w:rsidR="00FE7644" w:rsidRPr="00510C63" w:rsidRDefault="005773A2" w:rsidP="001D5C76">
      <w:pPr>
        <w:pStyle w:val="Chapter"/>
        <w:keepNext/>
        <w:numPr>
          <w:ilvl w:val="0"/>
          <w:numId w:val="42"/>
        </w:numPr>
        <w:tabs>
          <w:tab w:val="clear" w:pos="1440"/>
          <w:tab w:val="clear" w:pos="1800"/>
          <w:tab w:val="left" w:pos="360"/>
        </w:tabs>
        <w:spacing w:before="360"/>
        <w:ind w:left="0" w:firstLine="0"/>
        <w:rPr>
          <w:rFonts w:ascii="Arial" w:hAnsi="Arial" w:cs="Arial"/>
          <w:color w:val="auto"/>
          <w:sz w:val="22"/>
          <w:szCs w:val="22"/>
        </w:rPr>
      </w:pPr>
      <w:r w:rsidRPr="00510C63">
        <w:rPr>
          <w:rFonts w:ascii="Arial" w:eastAsiaTheme="minorEastAsia" w:hAnsi="Arial" w:cs="Arial"/>
          <w:color w:val="auto"/>
          <w:sz w:val="22"/>
          <w:szCs w:val="22"/>
        </w:rPr>
        <w:lastRenderedPageBreak/>
        <w:t>Background</w:t>
      </w:r>
      <w:r w:rsidR="00FE7644" w:rsidRPr="00510C63">
        <w:rPr>
          <w:rStyle w:val="FootnoteReference"/>
          <w:rFonts w:ascii="Arial" w:hAnsi="Arial" w:cs="Arial"/>
          <w:color w:val="auto"/>
          <w:sz w:val="22"/>
          <w:szCs w:val="22"/>
          <w:lang w:val="en"/>
        </w:rPr>
        <w:footnoteReference w:id="6"/>
      </w:r>
    </w:p>
    <w:p w:rsidR="00FE7644" w:rsidRPr="00510C63" w:rsidRDefault="00FE7644" w:rsidP="001D5C76">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 xml:space="preserve">Historically, women were linked to domestic chores and care (of children, the sick, or the elderly) and men to paid work. This cultural tradition represents one of the greatest obstacles to women's labor insertion. On the one hand, it limits its labor supply and reduces its economic opportunities due to the need to reconcile domestic and care for paid work. On the other hand, it defines in the collective imagination social representations about the roles and capacities of women, which in turn influence the labor supply and demand, both in their salaries and in the occupations socially assigned to women. Hence, women are concentrated in activities that can be considered as extension of their traditional roles within the family, such as paid domestic work, teaching or nursing, which also present Levels of remuneration lower than other occupations that require levels of education and accountability. </w:t>
      </w:r>
    </w:p>
    <w:p w:rsidR="00FE7644" w:rsidRPr="00510C63" w:rsidRDefault="00FE7644" w:rsidP="001D5C76">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Of the total number of women of working age (10 years and ov</w:t>
      </w:r>
      <w:r w:rsidR="008B3E2D" w:rsidRPr="00510C63">
        <w:rPr>
          <w:rFonts w:ascii="Arial" w:hAnsi="Arial" w:cs="Arial"/>
          <w:color w:val="auto"/>
          <w:sz w:val="22"/>
          <w:szCs w:val="22"/>
        </w:rPr>
        <w:t xml:space="preserve">er), 48.1% are inactive (PEI), </w:t>
      </w:r>
      <w:r w:rsidRPr="00510C63">
        <w:rPr>
          <w:rFonts w:ascii="Arial" w:hAnsi="Arial" w:cs="Arial"/>
          <w:color w:val="auto"/>
          <w:sz w:val="22"/>
          <w:szCs w:val="22"/>
        </w:rPr>
        <w:t xml:space="preserve">that is, they do not work or seek employment, compared to 26.2% of men. Of all the inactive, 65.6% are women. Gaps in inactivity are exacerbated by the area of residence. In the rural sector, 52.8% of women are inactive compared to 21.7% of men; While in the urban sector it affects 45.4% of women and 29.4% of men (UN Women, 2015). </w:t>
      </w:r>
    </w:p>
    <w:p w:rsidR="00FE7644" w:rsidRPr="00510C63" w:rsidRDefault="00FE7644" w:rsidP="001D5C76">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The smallest gaps in the urban area are likely to be more flexible gender division of labor towards male responsibility in the care of children, along with the combination of better educational levels, greater opportunities for work, greater possibilities to transfer to the market certain needs such as buying food, washing of clothing, for certain women the possibility of contracting external help, the smallest distance between home and workplaces and increased availability of public transportation, among others.</w:t>
      </w:r>
    </w:p>
    <w:p w:rsidR="00FE7644" w:rsidRPr="00510C63" w:rsidRDefault="00FE7644" w:rsidP="001D5C76">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 xml:space="preserve">The reasons for inactivity show differences that could be attributable to gender considerations; 41.5% of the women reported that they were inactive due to "housework" and "family reasons", compared to only 2.3% of men. </w:t>
      </w:r>
    </w:p>
    <w:p w:rsidR="00FE7644" w:rsidRPr="00510C63" w:rsidRDefault="00FE7644" w:rsidP="001D5C76">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 xml:space="preserve">There are also inequalities in terms of opportunities and labor conditions. 51.9% of women offered their labor to the market, compared to 73.8% of men, reporting a significant gap in this regard. Of this group, 95% work and the remaining 5% are unemployed, affecting this situation </w:t>
      </w:r>
      <w:proofErr w:type="gramStart"/>
      <w:r w:rsidRPr="00510C63">
        <w:rPr>
          <w:rFonts w:ascii="Arial" w:hAnsi="Arial" w:cs="Arial"/>
          <w:color w:val="auto"/>
          <w:sz w:val="22"/>
          <w:szCs w:val="22"/>
        </w:rPr>
        <w:t>to a greater extent to</w:t>
      </w:r>
      <w:proofErr w:type="gramEnd"/>
      <w:r w:rsidRPr="00510C63">
        <w:rPr>
          <w:rFonts w:ascii="Arial" w:hAnsi="Arial" w:cs="Arial"/>
          <w:color w:val="auto"/>
          <w:sz w:val="22"/>
          <w:szCs w:val="22"/>
        </w:rPr>
        <w:t xml:space="preserve"> women with an unemployment rate of 5.7%, compared to men with 4.5% study is the main reason for inactivity for both sexes, in men it had a greater weight than in women. Female youth unemployment increases to 10.7%, showing a double inequality, that derived from sex and age.</w:t>
      </w:r>
    </w:p>
    <w:p w:rsidR="005773A2" w:rsidRPr="00510C63" w:rsidRDefault="00FE7644" w:rsidP="001D5C76">
      <w:pPr>
        <w:pStyle w:val="Chapter"/>
        <w:keepNext/>
        <w:numPr>
          <w:ilvl w:val="0"/>
          <w:numId w:val="42"/>
        </w:numPr>
        <w:tabs>
          <w:tab w:val="clear" w:pos="1440"/>
          <w:tab w:val="clear" w:pos="1800"/>
          <w:tab w:val="left" w:pos="360"/>
          <w:tab w:val="num" w:pos="648"/>
        </w:tabs>
        <w:spacing w:before="360"/>
        <w:ind w:left="0" w:firstLine="0"/>
        <w:rPr>
          <w:rFonts w:ascii="Arial" w:eastAsiaTheme="minorEastAsia" w:hAnsi="Arial" w:cs="Arial"/>
          <w:color w:val="auto"/>
          <w:sz w:val="22"/>
          <w:szCs w:val="22"/>
        </w:rPr>
      </w:pPr>
      <w:r w:rsidRPr="00510C63">
        <w:rPr>
          <w:rFonts w:ascii="Arial" w:eastAsiaTheme="minorEastAsia" w:hAnsi="Arial" w:cs="Arial"/>
          <w:color w:val="auto"/>
          <w:sz w:val="22"/>
          <w:szCs w:val="22"/>
        </w:rPr>
        <w:t>Land Tenure</w:t>
      </w:r>
      <w:r w:rsidR="000A355C" w:rsidRPr="00510C63">
        <w:rPr>
          <w:rFonts w:ascii="Arial" w:eastAsiaTheme="minorEastAsia" w:hAnsi="Arial" w:cs="Arial"/>
          <w:color w:val="auto"/>
          <w:sz w:val="22"/>
          <w:szCs w:val="22"/>
        </w:rPr>
        <w:t xml:space="preserve"> and</w:t>
      </w:r>
      <w:r w:rsidR="005773A2" w:rsidRPr="00510C63">
        <w:rPr>
          <w:rFonts w:ascii="Arial" w:eastAsiaTheme="minorEastAsia" w:hAnsi="Arial" w:cs="Arial"/>
          <w:color w:val="auto"/>
          <w:sz w:val="22"/>
          <w:szCs w:val="22"/>
        </w:rPr>
        <w:t xml:space="preserve"> </w:t>
      </w:r>
      <w:r w:rsidR="000A355C" w:rsidRPr="00510C63">
        <w:rPr>
          <w:rFonts w:ascii="Arial" w:eastAsiaTheme="minorEastAsia" w:hAnsi="Arial" w:cs="Arial"/>
          <w:color w:val="auto"/>
          <w:sz w:val="22"/>
          <w:szCs w:val="22"/>
        </w:rPr>
        <w:t>w</w:t>
      </w:r>
      <w:r w:rsidR="005773A2" w:rsidRPr="00510C63">
        <w:rPr>
          <w:rFonts w:ascii="Arial" w:eastAsiaTheme="minorEastAsia" w:hAnsi="Arial" w:cs="Arial"/>
          <w:color w:val="auto"/>
          <w:sz w:val="22"/>
          <w:szCs w:val="22"/>
        </w:rPr>
        <w:t>om</w:t>
      </w:r>
      <w:r w:rsidR="000A355C" w:rsidRPr="00510C63">
        <w:rPr>
          <w:rFonts w:ascii="Arial" w:eastAsiaTheme="minorEastAsia" w:hAnsi="Arial" w:cs="Arial"/>
          <w:color w:val="auto"/>
          <w:sz w:val="22"/>
          <w:szCs w:val="22"/>
        </w:rPr>
        <w:t>en participation in Industrial s</w:t>
      </w:r>
      <w:r w:rsidR="005773A2" w:rsidRPr="00510C63">
        <w:rPr>
          <w:rFonts w:ascii="Arial" w:eastAsiaTheme="minorEastAsia" w:hAnsi="Arial" w:cs="Arial"/>
          <w:color w:val="auto"/>
          <w:sz w:val="22"/>
          <w:szCs w:val="22"/>
        </w:rPr>
        <w:t>ectors in Paraguay</w:t>
      </w:r>
    </w:p>
    <w:p w:rsidR="00FE7644" w:rsidRPr="00510C63" w:rsidRDefault="00FE7644" w:rsidP="001D5C76">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 xml:space="preserve">The information from the national agricultural censuses of 1991 and 2008 shows advances in the ownership of land by women. According to the latest census (2008), 22% of farms are headed by a woman, compared to 9% in 1991. The smaller the farm size, the greater the probability of being headed by a woman. Twenty-six percent of </w:t>
      </w:r>
      <w:r w:rsidRPr="00510C63">
        <w:rPr>
          <w:rFonts w:ascii="Arial" w:hAnsi="Arial" w:cs="Arial"/>
          <w:color w:val="auto"/>
          <w:sz w:val="22"/>
          <w:szCs w:val="22"/>
        </w:rPr>
        <w:lastRenderedPageBreak/>
        <w:t xml:space="preserve">small farms (up to 5 ha) are headed by a woman, while on larger farms (over 50 ha) this proportion is reduced to 15%. </w:t>
      </w:r>
    </w:p>
    <w:p w:rsidR="00FE7644" w:rsidRPr="00510C63" w:rsidRDefault="00FE7644" w:rsidP="001D5C76">
      <w:pPr>
        <w:pStyle w:val="Paragraph"/>
        <w:numPr>
          <w:ilvl w:val="1"/>
          <w:numId w:val="41"/>
        </w:numPr>
        <w:tabs>
          <w:tab w:val="clear" w:pos="1746"/>
        </w:tabs>
        <w:ind w:left="720" w:hanging="720"/>
        <w:rPr>
          <w:rFonts w:ascii="Arial" w:hAnsi="Arial" w:cs="Arial"/>
          <w:color w:val="auto"/>
          <w:sz w:val="22"/>
          <w:szCs w:val="22"/>
        </w:rPr>
      </w:pPr>
      <w:r w:rsidRPr="00510C63">
        <w:rPr>
          <w:rFonts w:ascii="Arial" w:hAnsi="Arial" w:cs="Arial"/>
          <w:color w:val="auto"/>
          <w:sz w:val="22"/>
          <w:szCs w:val="22"/>
        </w:rPr>
        <w:t xml:space="preserve">There is anecdotal evidence, in consultations with several actors in the project’s focus industries (brickmaking, grain drying and sugar industry), that follows the patterns of economic participation and land tenure in Paraguay. According to several people interviewed, there is minimum participation of women as firm owners in the grain drying industry, sugarcane industry and brickmaking. Within non-metal industry, there might be an industry segment that may have a higher participation of women, which is ceramics. There, and upon confirmation, there might be women that are owners/co-owners of ceramic facilities. </w:t>
      </w:r>
    </w:p>
    <w:p w:rsidR="00FE7644" w:rsidRPr="00510C63" w:rsidRDefault="00FE7644" w:rsidP="005773A2">
      <w:pPr>
        <w:pStyle w:val="Heading2"/>
        <w:jc w:val="both"/>
        <w:rPr>
          <w:rFonts w:ascii="Arial" w:hAnsi="Arial" w:cs="Arial"/>
          <w:color w:val="auto"/>
          <w:sz w:val="22"/>
          <w:szCs w:val="22"/>
        </w:rPr>
      </w:pPr>
      <w:r w:rsidRPr="00510C63">
        <w:rPr>
          <w:rFonts w:ascii="Arial" w:hAnsi="Arial" w:cs="Arial"/>
          <w:color w:val="auto"/>
          <w:sz w:val="22"/>
          <w:szCs w:val="22"/>
        </w:rPr>
        <w:t>It is worth noting that some of the challenges in terms of available data of credits directed to women in the focus sectors, are:</w:t>
      </w:r>
    </w:p>
    <w:p w:rsidR="005773A2" w:rsidRPr="00510C63" w:rsidRDefault="00FE7644" w:rsidP="005773A2">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 xml:space="preserve">Lack of gender data on credit lines to industrial sectors. Currently, there is no statistical significant information to establish a baseline of credit in the industrial sectors focus of this study. That is, </w:t>
      </w:r>
      <w:proofErr w:type="gramStart"/>
      <w:r w:rsidRPr="00510C63">
        <w:rPr>
          <w:rFonts w:ascii="Arial" w:hAnsi="Arial" w:cs="Arial"/>
          <w:color w:val="auto"/>
          <w:sz w:val="22"/>
          <w:szCs w:val="22"/>
        </w:rPr>
        <w:t>at the moment</w:t>
      </w:r>
      <w:proofErr w:type="gramEnd"/>
      <w:r w:rsidRPr="00510C63">
        <w:rPr>
          <w:rFonts w:ascii="Arial" w:hAnsi="Arial" w:cs="Arial"/>
          <w:color w:val="auto"/>
          <w:sz w:val="22"/>
          <w:szCs w:val="22"/>
        </w:rPr>
        <w:t>, there is not enough information to stablish a baseline. At the same time, and explained in the financial context of Paraguay, there are few credit lines in those sectors, which exacerbates the situation of data reliability to establish a baseline.</w:t>
      </w:r>
    </w:p>
    <w:p w:rsidR="00FE7644" w:rsidRPr="00510C63" w:rsidRDefault="00FE7644" w:rsidP="005773A2">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 xml:space="preserve">Business ownership. Even if there is information of credit lines where there is a differentiation between men and women, the main problem is that firms are usually registered (in most cases) under the husband’s name, and not the wife’s name. That is the case, even if the women </w:t>
      </w:r>
      <w:proofErr w:type="gramStart"/>
      <w:r w:rsidRPr="00510C63">
        <w:rPr>
          <w:rFonts w:ascii="Arial" w:hAnsi="Arial" w:cs="Arial"/>
          <w:color w:val="auto"/>
          <w:sz w:val="22"/>
          <w:szCs w:val="22"/>
        </w:rPr>
        <w:t>is</w:t>
      </w:r>
      <w:proofErr w:type="gramEnd"/>
      <w:r w:rsidRPr="00510C63">
        <w:rPr>
          <w:rFonts w:ascii="Arial" w:hAnsi="Arial" w:cs="Arial"/>
          <w:color w:val="auto"/>
          <w:sz w:val="22"/>
          <w:szCs w:val="22"/>
        </w:rPr>
        <w:t xml:space="preserve"> the one doing the work on the firm/business. That may present challenges in setting up targets/goals of directing credit lines to groups of women.</w:t>
      </w:r>
    </w:p>
    <w:p w:rsidR="00FE7644" w:rsidRPr="00510C63" w:rsidRDefault="00FE7644" w:rsidP="00FE7644">
      <w:pPr>
        <w:pStyle w:val="Heading2"/>
        <w:jc w:val="both"/>
        <w:rPr>
          <w:rFonts w:ascii="Arial" w:hAnsi="Arial" w:cs="Arial"/>
          <w:color w:val="auto"/>
          <w:sz w:val="22"/>
          <w:szCs w:val="22"/>
        </w:rPr>
      </w:pPr>
      <w:r w:rsidRPr="00510C63">
        <w:rPr>
          <w:rFonts w:ascii="Arial" w:hAnsi="Arial" w:cs="Arial"/>
          <w:color w:val="auto"/>
          <w:sz w:val="22"/>
          <w:szCs w:val="22"/>
        </w:rPr>
        <w:t xml:space="preserve">The project will set up a Gender Action Plan to reduce those data challenges, as it will incorporate a system to identify women </w:t>
      </w:r>
      <w:r w:rsidR="000A355C" w:rsidRPr="00510C63">
        <w:rPr>
          <w:rFonts w:ascii="Arial" w:hAnsi="Arial" w:cs="Arial"/>
          <w:color w:val="auto"/>
          <w:sz w:val="22"/>
          <w:szCs w:val="22"/>
        </w:rPr>
        <w:t xml:space="preserve">participation </w:t>
      </w:r>
      <w:r w:rsidRPr="00510C63">
        <w:rPr>
          <w:rFonts w:ascii="Arial" w:hAnsi="Arial" w:cs="Arial"/>
          <w:color w:val="auto"/>
          <w:sz w:val="22"/>
          <w:szCs w:val="22"/>
        </w:rPr>
        <w:t>in the credit lines, as well as target women in the selected industries to incentivize the use of the financial and non-financial products by those women business owners.</w:t>
      </w:r>
      <w:r w:rsidR="000A355C" w:rsidRPr="00510C63">
        <w:rPr>
          <w:rFonts w:ascii="Arial" w:hAnsi="Arial" w:cs="Arial"/>
          <w:color w:val="auto"/>
          <w:sz w:val="22"/>
          <w:szCs w:val="22"/>
        </w:rPr>
        <w:t xml:space="preserve"> </w:t>
      </w:r>
      <w:r w:rsidRPr="00510C63">
        <w:rPr>
          <w:rFonts w:ascii="Arial" w:hAnsi="Arial" w:cs="Arial"/>
          <w:color w:val="auto"/>
          <w:sz w:val="22"/>
          <w:szCs w:val="22"/>
        </w:rPr>
        <w:t>Th</w:t>
      </w:r>
      <w:r w:rsidR="000A355C" w:rsidRPr="00510C63">
        <w:rPr>
          <w:rFonts w:ascii="Arial" w:hAnsi="Arial" w:cs="Arial"/>
          <w:color w:val="auto"/>
          <w:sz w:val="22"/>
          <w:szCs w:val="22"/>
        </w:rPr>
        <w:t>e</w:t>
      </w:r>
      <w:r w:rsidRPr="00510C63">
        <w:rPr>
          <w:rFonts w:ascii="Arial" w:hAnsi="Arial" w:cs="Arial"/>
          <w:color w:val="auto"/>
          <w:sz w:val="22"/>
          <w:szCs w:val="22"/>
        </w:rPr>
        <w:t xml:space="preserve"> Gender Action Plan will be aligned with the Inter-American Development Bank’s (IDB) Operational Policy on Gender Equality in Development. </w:t>
      </w:r>
    </w:p>
    <w:p w:rsidR="00946C4A" w:rsidRPr="00510C63" w:rsidRDefault="000A355C" w:rsidP="001D5C76">
      <w:pPr>
        <w:pStyle w:val="Chapter"/>
        <w:keepNext/>
        <w:numPr>
          <w:ilvl w:val="0"/>
          <w:numId w:val="42"/>
        </w:numPr>
        <w:tabs>
          <w:tab w:val="clear" w:pos="1440"/>
          <w:tab w:val="clear" w:pos="1800"/>
          <w:tab w:val="left" w:pos="360"/>
          <w:tab w:val="num" w:pos="648"/>
        </w:tabs>
        <w:spacing w:before="360"/>
        <w:ind w:left="0" w:firstLine="0"/>
        <w:rPr>
          <w:rFonts w:ascii="Arial" w:eastAsiaTheme="minorEastAsia" w:hAnsi="Arial" w:cs="Arial"/>
          <w:color w:val="auto"/>
          <w:sz w:val="22"/>
          <w:szCs w:val="22"/>
        </w:rPr>
      </w:pPr>
      <w:r w:rsidRPr="00510C63">
        <w:rPr>
          <w:rFonts w:ascii="Arial" w:eastAsiaTheme="minorEastAsia" w:hAnsi="Arial" w:cs="Arial"/>
          <w:color w:val="auto"/>
          <w:sz w:val="22"/>
          <w:szCs w:val="22"/>
        </w:rPr>
        <w:t>Gender Action Plan</w:t>
      </w:r>
    </w:p>
    <w:p w:rsidR="00946C4A" w:rsidRPr="00510C63" w:rsidRDefault="000A355C" w:rsidP="000A355C">
      <w:pPr>
        <w:pStyle w:val="Heading2"/>
        <w:jc w:val="both"/>
        <w:rPr>
          <w:rFonts w:ascii="Arial" w:hAnsi="Arial" w:cs="Arial"/>
          <w:color w:val="auto"/>
          <w:sz w:val="22"/>
          <w:szCs w:val="22"/>
        </w:rPr>
      </w:pPr>
      <w:r w:rsidRPr="00510C63">
        <w:rPr>
          <w:rFonts w:ascii="Arial" w:hAnsi="Arial" w:cs="Arial"/>
          <w:color w:val="auto"/>
          <w:sz w:val="22"/>
          <w:szCs w:val="22"/>
        </w:rPr>
        <w:t xml:space="preserve">The activities of the </w:t>
      </w:r>
      <w:r w:rsidR="00946C4A" w:rsidRPr="00510C63">
        <w:rPr>
          <w:rFonts w:ascii="Arial" w:hAnsi="Arial" w:cs="Arial"/>
          <w:color w:val="auto"/>
          <w:sz w:val="22"/>
          <w:szCs w:val="22"/>
        </w:rPr>
        <w:t>Gender Action Plan are focus</w:t>
      </w:r>
      <w:r w:rsidRPr="00510C63">
        <w:rPr>
          <w:rFonts w:ascii="Arial" w:hAnsi="Arial" w:cs="Arial"/>
          <w:color w:val="auto"/>
          <w:sz w:val="22"/>
          <w:szCs w:val="22"/>
        </w:rPr>
        <w:t>ed</w:t>
      </w:r>
      <w:r w:rsidR="00946C4A" w:rsidRPr="00510C63">
        <w:rPr>
          <w:rFonts w:ascii="Arial" w:hAnsi="Arial" w:cs="Arial"/>
          <w:color w:val="auto"/>
          <w:sz w:val="22"/>
          <w:szCs w:val="22"/>
        </w:rPr>
        <w:t xml:space="preserve"> on </w:t>
      </w:r>
      <w:r w:rsidRPr="00510C63">
        <w:rPr>
          <w:rFonts w:ascii="Arial" w:hAnsi="Arial" w:cs="Arial"/>
          <w:color w:val="auto"/>
          <w:sz w:val="22"/>
          <w:szCs w:val="22"/>
        </w:rPr>
        <w:t>ensuring</w:t>
      </w:r>
      <w:r w:rsidR="002B55F7" w:rsidRPr="00510C63">
        <w:rPr>
          <w:rFonts w:ascii="Arial" w:hAnsi="Arial" w:cs="Arial"/>
          <w:color w:val="auto"/>
          <w:sz w:val="22"/>
          <w:szCs w:val="22"/>
        </w:rPr>
        <w:t xml:space="preserve"> </w:t>
      </w:r>
      <w:r w:rsidR="00946C4A" w:rsidRPr="00510C63">
        <w:rPr>
          <w:rFonts w:ascii="Arial" w:hAnsi="Arial" w:cs="Arial"/>
          <w:color w:val="auto"/>
          <w:sz w:val="22"/>
          <w:szCs w:val="22"/>
        </w:rPr>
        <w:t xml:space="preserve">women have </w:t>
      </w:r>
      <w:r w:rsidR="00CE4F72" w:rsidRPr="00510C63">
        <w:rPr>
          <w:rFonts w:ascii="Arial" w:hAnsi="Arial" w:cs="Arial"/>
          <w:color w:val="auto"/>
          <w:sz w:val="22"/>
          <w:szCs w:val="22"/>
        </w:rPr>
        <w:t>equally benefit</w:t>
      </w:r>
      <w:r w:rsidR="00741C9E" w:rsidRPr="00510C63">
        <w:rPr>
          <w:rFonts w:ascii="Arial" w:hAnsi="Arial" w:cs="Arial"/>
          <w:color w:val="auto"/>
          <w:sz w:val="22"/>
          <w:szCs w:val="22"/>
        </w:rPr>
        <w:t>s</w:t>
      </w:r>
      <w:r w:rsidR="00946C4A" w:rsidRPr="00510C63">
        <w:rPr>
          <w:rFonts w:ascii="Arial" w:hAnsi="Arial" w:cs="Arial"/>
          <w:color w:val="auto"/>
          <w:sz w:val="22"/>
          <w:szCs w:val="22"/>
        </w:rPr>
        <w:t xml:space="preserve"> to financial </w:t>
      </w:r>
      <w:r w:rsidRPr="00510C63">
        <w:rPr>
          <w:rFonts w:ascii="Arial" w:hAnsi="Arial" w:cs="Arial"/>
          <w:color w:val="auto"/>
          <w:sz w:val="22"/>
          <w:szCs w:val="22"/>
        </w:rPr>
        <w:t xml:space="preserve">and non-financial </w:t>
      </w:r>
      <w:r w:rsidR="00946C4A" w:rsidRPr="00510C63">
        <w:rPr>
          <w:rFonts w:ascii="Arial" w:hAnsi="Arial" w:cs="Arial"/>
          <w:color w:val="auto"/>
          <w:sz w:val="22"/>
          <w:szCs w:val="22"/>
        </w:rPr>
        <w:t xml:space="preserve">products offered by the </w:t>
      </w:r>
      <w:r w:rsidR="002B55F7" w:rsidRPr="00510C63">
        <w:rPr>
          <w:rFonts w:ascii="Arial" w:hAnsi="Arial" w:cs="Arial"/>
          <w:color w:val="auto"/>
          <w:sz w:val="22"/>
          <w:szCs w:val="22"/>
        </w:rPr>
        <w:t>Program</w:t>
      </w:r>
      <w:r w:rsidRPr="00510C63">
        <w:rPr>
          <w:rFonts w:ascii="Arial" w:hAnsi="Arial" w:cs="Arial"/>
          <w:color w:val="auto"/>
          <w:sz w:val="22"/>
          <w:szCs w:val="22"/>
        </w:rPr>
        <w:t xml:space="preserve"> both through the technical assistance and the loan component.</w:t>
      </w:r>
      <w:r w:rsidR="00946C4A" w:rsidRPr="00510C63">
        <w:rPr>
          <w:rFonts w:ascii="Arial" w:hAnsi="Arial" w:cs="Arial"/>
          <w:color w:val="auto"/>
          <w:sz w:val="22"/>
          <w:szCs w:val="22"/>
        </w:rPr>
        <w:t xml:space="preserve"> </w:t>
      </w:r>
    </w:p>
    <w:p w:rsidR="00946C4A" w:rsidRPr="00510C63" w:rsidRDefault="00946C4A" w:rsidP="00946C4A">
      <w:pPr>
        <w:rPr>
          <w:rFonts w:ascii="Arial" w:hAnsi="Arial" w:cs="Arial"/>
          <w:b/>
          <w:sz w:val="22"/>
          <w:szCs w:val="22"/>
        </w:rPr>
      </w:pPr>
    </w:p>
    <w:p w:rsidR="00946C4A" w:rsidRPr="00510C63" w:rsidRDefault="00F44CC1" w:rsidP="00510C63">
      <w:pPr>
        <w:pStyle w:val="FirstHeading"/>
        <w:ind w:left="540" w:hanging="540"/>
        <w:rPr>
          <w:rFonts w:ascii="Arial" w:hAnsi="Arial" w:cs="Arial"/>
          <w:color w:val="auto"/>
          <w:sz w:val="22"/>
          <w:szCs w:val="22"/>
        </w:rPr>
      </w:pPr>
      <w:r w:rsidRPr="00510C63">
        <w:rPr>
          <w:rFonts w:ascii="Arial" w:hAnsi="Arial" w:cs="Arial"/>
          <w:color w:val="auto"/>
          <w:sz w:val="22"/>
          <w:szCs w:val="22"/>
        </w:rPr>
        <w:fldChar w:fldCharType="begin"/>
      </w:r>
      <w:r w:rsidRPr="00510C63">
        <w:rPr>
          <w:rFonts w:ascii="Arial" w:hAnsi="Arial" w:cs="Arial"/>
          <w:color w:val="auto"/>
          <w:sz w:val="22"/>
          <w:szCs w:val="22"/>
        </w:rPr>
        <w:instrText xml:space="preserve"> SEQ "</w:instrText>
      </w:r>
      <w:r w:rsidRPr="00510C63">
        <w:rPr>
          <w:rFonts w:ascii="Arial" w:hAnsi="Arial" w:cs="Arial"/>
          <w:color w:val="auto"/>
          <w:sz w:val="22"/>
          <w:szCs w:val="22"/>
        </w:rPr>
        <w:fldChar w:fldCharType="begin"/>
      </w:r>
      <w:r w:rsidRPr="00510C63">
        <w:rPr>
          <w:rFonts w:ascii="Arial" w:hAnsi="Arial" w:cs="Arial"/>
          <w:color w:val="auto"/>
          <w:sz w:val="22"/>
          <w:szCs w:val="22"/>
        </w:rPr>
        <w:instrText xml:space="preserve"> SECTION  \* MERGEFORMAT </w:instrText>
      </w:r>
      <w:r w:rsidRPr="00510C63">
        <w:rPr>
          <w:rFonts w:ascii="Arial" w:hAnsi="Arial" w:cs="Arial"/>
          <w:color w:val="auto"/>
          <w:sz w:val="22"/>
          <w:szCs w:val="22"/>
        </w:rPr>
        <w:fldChar w:fldCharType="separate"/>
      </w:r>
      <w:r w:rsidRPr="00510C63">
        <w:rPr>
          <w:rFonts w:ascii="Arial" w:hAnsi="Arial" w:cs="Arial"/>
          <w:color w:val="auto"/>
          <w:sz w:val="22"/>
          <w:szCs w:val="22"/>
        </w:rPr>
        <w:instrText>1</w:instrText>
      </w:r>
      <w:r w:rsidRPr="00510C63">
        <w:rPr>
          <w:rFonts w:ascii="Arial" w:hAnsi="Arial" w:cs="Arial"/>
          <w:color w:val="auto"/>
          <w:sz w:val="22"/>
          <w:szCs w:val="22"/>
        </w:rPr>
        <w:fldChar w:fldCharType="end"/>
      </w:r>
      <w:r w:rsidRPr="00510C63">
        <w:rPr>
          <w:rFonts w:ascii="Arial" w:hAnsi="Arial" w:cs="Arial"/>
          <w:color w:val="auto"/>
          <w:sz w:val="22"/>
          <w:szCs w:val="22"/>
        </w:rPr>
        <w:instrText xml:space="preserve">#"\* ALPHABETIC \* MERGEFORMAT </w:instrText>
      </w:r>
      <w:r w:rsidRPr="00510C63">
        <w:rPr>
          <w:rFonts w:ascii="Arial" w:hAnsi="Arial" w:cs="Arial"/>
          <w:color w:val="auto"/>
          <w:sz w:val="22"/>
          <w:szCs w:val="22"/>
        </w:rPr>
        <w:fldChar w:fldCharType="separate"/>
      </w:r>
      <w:r w:rsidRPr="00510C63">
        <w:rPr>
          <w:rFonts w:ascii="Arial" w:hAnsi="Arial" w:cs="Arial"/>
          <w:noProof/>
          <w:color w:val="auto"/>
          <w:sz w:val="22"/>
          <w:szCs w:val="22"/>
        </w:rPr>
        <w:t>A</w:t>
      </w:r>
      <w:r w:rsidRPr="00510C63">
        <w:rPr>
          <w:rFonts w:ascii="Arial" w:hAnsi="Arial" w:cs="Arial"/>
          <w:color w:val="auto"/>
          <w:sz w:val="22"/>
          <w:szCs w:val="22"/>
        </w:rPr>
        <w:fldChar w:fldCharType="end"/>
      </w:r>
      <w:r w:rsidRPr="00510C63">
        <w:rPr>
          <w:rFonts w:ascii="Arial" w:hAnsi="Arial" w:cs="Arial"/>
          <w:color w:val="auto"/>
          <w:sz w:val="22"/>
          <w:szCs w:val="22"/>
        </w:rPr>
        <w:t>.</w:t>
      </w:r>
      <w:r w:rsidRPr="00510C63">
        <w:rPr>
          <w:rFonts w:ascii="Arial" w:hAnsi="Arial" w:cs="Arial"/>
          <w:color w:val="auto"/>
          <w:sz w:val="22"/>
          <w:szCs w:val="22"/>
        </w:rPr>
        <w:tab/>
      </w:r>
      <w:r w:rsidR="00946C4A" w:rsidRPr="00510C63">
        <w:rPr>
          <w:rFonts w:ascii="Arial" w:hAnsi="Arial" w:cs="Arial"/>
          <w:color w:val="auto"/>
          <w:sz w:val="22"/>
          <w:szCs w:val="22"/>
        </w:rPr>
        <w:t xml:space="preserve">Technical assistance </w:t>
      </w:r>
    </w:p>
    <w:p w:rsidR="00946C4A" w:rsidRPr="00510C63" w:rsidRDefault="00946C4A" w:rsidP="000A355C">
      <w:pPr>
        <w:pStyle w:val="Heading2"/>
        <w:jc w:val="both"/>
        <w:rPr>
          <w:rFonts w:ascii="Arial" w:hAnsi="Arial" w:cs="Arial"/>
          <w:color w:val="auto"/>
          <w:sz w:val="22"/>
          <w:szCs w:val="22"/>
        </w:rPr>
      </w:pPr>
      <w:r w:rsidRPr="00510C63">
        <w:rPr>
          <w:rFonts w:ascii="Arial" w:hAnsi="Arial" w:cs="Arial"/>
          <w:color w:val="auto"/>
          <w:sz w:val="22"/>
          <w:szCs w:val="22"/>
        </w:rPr>
        <w:t xml:space="preserve">The project will provide technical assistance to </w:t>
      </w:r>
      <w:r w:rsidR="002B55F7" w:rsidRPr="00510C63">
        <w:rPr>
          <w:rFonts w:ascii="Arial" w:hAnsi="Arial" w:cs="Arial"/>
          <w:color w:val="auto"/>
          <w:sz w:val="22"/>
          <w:szCs w:val="22"/>
        </w:rPr>
        <w:t>AFD to ensure that in the design and development of the Strategy</w:t>
      </w:r>
      <w:r w:rsidRPr="00510C63">
        <w:rPr>
          <w:rFonts w:ascii="Arial" w:hAnsi="Arial" w:cs="Arial"/>
          <w:color w:val="auto"/>
          <w:sz w:val="22"/>
          <w:szCs w:val="22"/>
        </w:rPr>
        <w:t>:</w:t>
      </w:r>
    </w:p>
    <w:p w:rsidR="00946C4A" w:rsidRPr="00510C63" w:rsidRDefault="00946C4A" w:rsidP="00946C4A">
      <w:pPr>
        <w:rPr>
          <w:rFonts w:ascii="Arial" w:hAnsi="Arial" w:cs="Arial"/>
          <w:sz w:val="22"/>
          <w:szCs w:val="22"/>
        </w:rPr>
      </w:pPr>
    </w:p>
    <w:p w:rsidR="002B55F7" w:rsidRPr="00510C63" w:rsidRDefault="002B55F7" w:rsidP="00F44CC1">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lastRenderedPageBreak/>
        <w:t>The needs and realities of women and men are addressed during project consultations</w:t>
      </w:r>
    </w:p>
    <w:p w:rsidR="002B55F7" w:rsidRPr="00510C63" w:rsidRDefault="002B55F7" w:rsidP="00F44CC1">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Women and men equally benefit from the trainings and services</w:t>
      </w:r>
    </w:p>
    <w:p w:rsidR="00F44CC1" w:rsidRPr="00510C63" w:rsidRDefault="002B55F7" w:rsidP="00F44CC1">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The needs and realities of women and men are addressed during project consultations</w:t>
      </w:r>
    </w:p>
    <w:p w:rsidR="00F44CC1" w:rsidRPr="00510C63" w:rsidRDefault="00CC7890" w:rsidP="00F44CC1">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 xml:space="preserve">The needs to collect gender disaggregated data to track the real gender </w:t>
      </w:r>
      <w:r w:rsidR="00027595" w:rsidRPr="00510C63">
        <w:rPr>
          <w:rFonts w:ascii="Arial" w:hAnsi="Arial" w:cs="Arial"/>
          <w:color w:val="auto"/>
          <w:sz w:val="22"/>
          <w:szCs w:val="22"/>
        </w:rPr>
        <w:t>impact of the project</w:t>
      </w:r>
      <w:r w:rsidR="00027595" w:rsidRPr="00510C63">
        <w:rPr>
          <w:rStyle w:val="FootnoteReference"/>
          <w:rFonts w:ascii="Arial" w:hAnsi="Arial" w:cs="Arial"/>
          <w:color w:val="auto"/>
          <w:sz w:val="22"/>
          <w:szCs w:val="22"/>
        </w:rPr>
        <w:footnoteReference w:id="7"/>
      </w:r>
      <w:r w:rsidR="00F44CC1" w:rsidRPr="00510C63">
        <w:rPr>
          <w:rFonts w:ascii="Arial" w:hAnsi="Arial" w:cs="Arial"/>
          <w:color w:val="auto"/>
          <w:sz w:val="22"/>
          <w:szCs w:val="22"/>
        </w:rPr>
        <w:t xml:space="preserve">, </w:t>
      </w:r>
      <w:r w:rsidRPr="00510C63">
        <w:rPr>
          <w:rFonts w:ascii="Arial" w:hAnsi="Arial" w:cs="Arial"/>
          <w:color w:val="auto"/>
          <w:sz w:val="22"/>
          <w:szCs w:val="22"/>
        </w:rPr>
        <w:t xml:space="preserve">and a sex-disaggregated analysis for actively assisting women-owned and women-led SMEs to gain access to zero or flexible collateral credit to undertake EE projects </w:t>
      </w:r>
    </w:p>
    <w:p w:rsidR="00F44CC1" w:rsidRPr="00510C63" w:rsidRDefault="002B55F7" w:rsidP="00F44CC1">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Address any gender inequalities real or potential in the project</w:t>
      </w:r>
    </w:p>
    <w:p w:rsidR="00946C4A" w:rsidRPr="00510C63" w:rsidRDefault="00741C9E" w:rsidP="00F44CC1">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That</w:t>
      </w:r>
      <w:r w:rsidR="002B55F7" w:rsidRPr="00510C63">
        <w:rPr>
          <w:rFonts w:ascii="Arial" w:hAnsi="Arial" w:cs="Arial"/>
          <w:color w:val="auto"/>
          <w:sz w:val="22"/>
          <w:szCs w:val="22"/>
        </w:rPr>
        <w:t xml:space="preserve"> the electronic registry system collect sex–disaggregated data and qualitative information to track the real gender impacts of the project</w:t>
      </w:r>
    </w:p>
    <w:p w:rsidR="002B55F7" w:rsidRPr="00510C63" w:rsidRDefault="002B55F7" w:rsidP="00946C4A">
      <w:pPr>
        <w:rPr>
          <w:rFonts w:ascii="Arial" w:hAnsi="Arial" w:cs="Arial"/>
          <w:sz w:val="22"/>
          <w:szCs w:val="22"/>
        </w:rPr>
      </w:pPr>
    </w:p>
    <w:p w:rsidR="00946C4A" w:rsidRPr="00510C63" w:rsidRDefault="00F44CC1" w:rsidP="00F44CC1">
      <w:pPr>
        <w:pStyle w:val="FirstHeading"/>
        <w:rPr>
          <w:rFonts w:ascii="Arial" w:hAnsi="Arial" w:cs="Arial"/>
          <w:color w:val="auto"/>
          <w:sz w:val="22"/>
          <w:szCs w:val="22"/>
        </w:rPr>
      </w:pPr>
      <w:r w:rsidRPr="00510C63">
        <w:rPr>
          <w:rFonts w:ascii="Arial" w:hAnsi="Arial" w:cs="Arial"/>
          <w:color w:val="auto"/>
          <w:sz w:val="22"/>
          <w:szCs w:val="22"/>
        </w:rPr>
        <w:fldChar w:fldCharType="begin"/>
      </w:r>
      <w:r w:rsidRPr="00510C63">
        <w:rPr>
          <w:rFonts w:ascii="Arial" w:hAnsi="Arial" w:cs="Arial"/>
          <w:color w:val="auto"/>
          <w:sz w:val="22"/>
          <w:szCs w:val="22"/>
        </w:rPr>
        <w:instrText xml:space="preserve"> SEQ "</w:instrText>
      </w:r>
      <w:r w:rsidRPr="00510C63">
        <w:rPr>
          <w:rFonts w:ascii="Arial" w:hAnsi="Arial" w:cs="Arial"/>
          <w:color w:val="auto"/>
          <w:sz w:val="22"/>
          <w:szCs w:val="22"/>
        </w:rPr>
        <w:fldChar w:fldCharType="begin"/>
      </w:r>
      <w:r w:rsidRPr="00510C63">
        <w:rPr>
          <w:rFonts w:ascii="Arial" w:hAnsi="Arial" w:cs="Arial"/>
          <w:color w:val="auto"/>
          <w:sz w:val="22"/>
          <w:szCs w:val="22"/>
        </w:rPr>
        <w:instrText xml:space="preserve"> SECTION  \* MERGEFORMAT </w:instrText>
      </w:r>
      <w:r w:rsidRPr="00510C63">
        <w:rPr>
          <w:rFonts w:ascii="Arial" w:hAnsi="Arial" w:cs="Arial"/>
          <w:color w:val="auto"/>
          <w:sz w:val="22"/>
          <w:szCs w:val="22"/>
        </w:rPr>
        <w:fldChar w:fldCharType="separate"/>
      </w:r>
      <w:r w:rsidRPr="00510C63">
        <w:rPr>
          <w:rFonts w:ascii="Arial" w:hAnsi="Arial" w:cs="Arial"/>
          <w:color w:val="auto"/>
          <w:sz w:val="22"/>
          <w:szCs w:val="22"/>
        </w:rPr>
        <w:instrText>1</w:instrText>
      </w:r>
      <w:r w:rsidRPr="00510C63">
        <w:rPr>
          <w:rFonts w:ascii="Arial" w:hAnsi="Arial" w:cs="Arial"/>
          <w:color w:val="auto"/>
          <w:sz w:val="22"/>
          <w:szCs w:val="22"/>
        </w:rPr>
        <w:fldChar w:fldCharType="end"/>
      </w:r>
      <w:r w:rsidRPr="00510C63">
        <w:rPr>
          <w:rFonts w:ascii="Arial" w:hAnsi="Arial" w:cs="Arial"/>
          <w:color w:val="auto"/>
          <w:sz w:val="22"/>
          <w:szCs w:val="22"/>
        </w:rPr>
        <w:instrText xml:space="preserve">#"\* ALPHABETIC \* MERGEFORMAT </w:instrText>
      </w:r>
      <w:r w:rsidRPr="00510C63">
        <w:rPr>
          <w:rFonts w:ascii="Arial" w:hAnsi="Arial" w:cs="Arial"/>
          <w:color w:val="auto"/>
          <w:sz w:val="22"/>
          <w:szCs w:val="22"/>
        </w:rPr>
        <w:fldChar w:fldCharType="separate"/>
      </w:r>
      <w:r w:rsidRPr="00510C63">
        <w:rPr>
          <w:rFonts w:ascii="Arial" w:hAnsi="Arial" w:cs="Arial"/>
          <w:noProof/>
          <w:color w:val="auto"/>
          <w:sz w:val="22"/>
          <w:szCs w:val="22"/>
        </w:rPr>
        <w:t>B</w:t>
      </w:r>
      <w:r w:rsidRPr="00510C63">
        <w:rPr>
          <w:rFonts w:ascii="Arial" w:hAnsi="Arial" w:cs="Arial"/>
          <w:color w:val="auto"/>
          <w:sz w:val="22"/>
          <w:szCs w:val="22"/>
        </w:rPr>
        <w:fldChar w:fldCharType="end"/>
      </w:r>
      <w:r w:rsidRPr="00510C63">
        <w:rPr>
          <w:rFonts w:ascii="Arial" w:hAnsi="Arial" w:cs="Arial"/>
          <w:color w:val="auto"/>
          <w:sz w:val="22"/>
          <w:szCs w:val="22"/>
        </w:rPr>
        <w:t>.</w:t>
      </w:r>
      <w:r w:rsidRPr="00510C63">
        <w:rPr>
          <w:rFonts w:ascii="Arial" w:hAnsi="Arial" w:cs="Arial"/>
          <w:color w:val="auto"/>
          <w:sz w:val="22"/>
          <w:szCs w:val="22"/>
        </w:rPr>
        <w:tab/>
      </w:r>
      <w:r w:rsidR="00B96586" w:rsidRPr="00510C63">
        <w:rPr>
          <w:rFonts w:ascii="Arial" w:hAnsi="Arial" w:cs="Arial"/>
          <w:color w:val="auto"/>
          <w:sz w:val="22"/>
          <w:szCs w:val="22"/>
        </w:rPr>
        <w:t>Capacity</w:t>
      </w:r>
      <w:r w:rsidR="00B96586" w:rsidRPr="00510C63">
        <w:rPr>
          <w:rFonts w:ascii="Arial" w:hAnsi="Arial" w:cs="Arial"/>
          <w:noProof/>
          <w:color w:val="auto"/>
          <w:sz w:val="22"/>
          <w:szCs w:val="22"/>
        </w:rPr>
        <w:t xml:space="preserve"> building </w:t>
      </w:r>
    </w:p>
    <w:p w:rsidR="00946C4A" w:rsidRPr="00510C63" w:rsidRDefault="00946C4A" w:rsidP="000A355C">
      <w:pPr>
        <w:pStyle w:val="Heading2"/>
        <w:jc w:val="both"/>
        <w:rPr>
          <w:rFonts w:ascii="Arial" w:hAnsi="Arial" w:cs="Arial"/>
          <w:color w:val="auto"/>
          <w:sz w:val="22"/>
          <w:szCs w:val="22"/>
        </w:rPr>
      </w:pPr>
      <w:r w:rsidRPr="00510C63">
        <w:rPr>
          <w:rFonts w:ascii="Arial" w:hAnsi="Arial" w:cs="Arial"/>
          <w:color w:val="auto"/>
          <w:sz w:val="22"/>
          <w:szCs w:val="22"/>
        </w:rPr>
        <w:t>The objective of this activity is to</w:t>
      </w:r>
      <w:r w:rsidR="00B96586" w:rsidRPr="00510C63">
        <w:rPr>
          <w:rFonts w:ascii="Arial" w:hAnsi="Arial" w:cs="Arial"/>
          <w:color w:val="auto"/>
          <w:sz w:val="22"/>
          <w:szCs w:val="22"/>
        </w:rPr>
        <w:t xml:space="preserve"> ensure women and men</w:t>
      </w:r>
      <w:r w:rsidRPr="00510C63">
        <w:rPr>
          <w:rFonts w:ascii="Arial" w:hAnsi="Arial" w:cs="Arial"/>
          <w:color w:val="auto"/>
          <w:sz w:val="22"/>
          <w:szCs w:val="22"/>
        </w:rPr>
        <w:t xml:space="preserve"> </w:t>
      </w:r>
      <w:r w:rsidR="00B96586" w:rsidRPr="00510C63">
        <w:rPr>
          <w:rFonts w:ascii="Arial" w:hAnsi="Arial" w:cs="Arial"/>
          <w:color w:val="auto"/>
          <w:sz w:val="22"/>
          <w:szCs w:val="22"/>
        </w:rPr>
        <w:t>have equal access to capacity building, project resources and services</w:t>
      </w:r>
      <w:r w:rsidRPr="00510C63">
        <w:rPr>
          <w:rFonts w:ascii="Arial" w:hAnsi="Arial" w:cs="Arial"/>
          <w:color w:val="auto"/>
          <w:sz w:val="22"/>
          <w:szCs w:val="22"/>
        </w:rPr>
        <w:t xml:space="preserve">. The capacity building will </w:t>
      </w:r>
      <w:r w:rsidR="00B96586" w:rsidRPr="00510C63">
        <w:rPr>
          <w:rFonts w:ascii="Arial" w:hAnsi="Arial" w:cs="Arial"/>
          <w:color w:val="auto"/>
          <w:sz w:val="22"/>
          <w:szCs w:val="22"/>
        </w:rPr>
        <w:t>ensure</w:t>
      </w:r>
      <w:r w:rsidRPr="00510C63">
        <w:rPr>
          <w:rFonts w:ascii="Arial" w:hAnsi="Arial" w:cs="Arial"/>
          <w:color w:val="auto"/>
          <w:sz w:val="22"/>
          <w:szCs w:val="22"/>
        </w:rPr>
        <w:t xml:space="preserve">: </w:t>
      </w:r>
    </w:p>
    <w:p w:rsidR="00B96586" w:rsidRPr="00510C63" w:rsidRDefault="00B96586"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women and men equally benefit from the trainings and services</w:t>
      </w:r>
    </w:p>
    <w:p w:rsidR="00946C4A" w:rsidRPr="00510C63" w:rsidRDefault="00B96586"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The needs and realities of women and men are addressed in project activities</w:t>
      </w:r>
    </w:p>
    <w:p w:rsidR="00D562C5" w:rsidRPr="00510C63" w:rsidRDefault="00D562C5"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Collect and analyze sex–disaggregated data and qualitative information to track the real gender impacts of the project</w:t>
      </w:r>
    </w:p>
    <w:p w:rsidR="00D562C5" w:rsidRPr="00510C63" w:rsidRDefault="00027595" w:rsidP="00027595">
      <w:pPr>
        <w:pStyle w:val="Heading2"/>
        <w:rPr>
          <w:rFonts w:ascii="Arial" w:hAnsi="Arial" w:cs="Arial"/>
          <w:color w:val="auto"/>
          <w:sz w:val="22"/>
          <w:szCs w:val="22"/>
        </w:rPr>
      </w:pPr>
      <w:r w:rsidRPr="00510C63">
        <w:rPr>
          <w:rFonts w:ascii="Arial" w:hAnsi="Arial" w:cs="Arial"/>
          <w:color w:val="auto"/>
          <w:sz w:val="22"/>
          <w:szCs w:val="22"/>
        </w:rPr>
        <w:t>For reference, c</w:t>
      </w:r>
      <w:r w:rsidR="00946C4A" w:rsidRPr="00510C63">
        <w:rPr>
          <w:rFonts w:ascii="Arial" w:hAnsi="Arial" w:cs="Arial"/>
          <w:color w:val="auto"/>
          <w:sz w:val="22"/>
          <w:szCs w:val="22"/>
        </w:rPr>
        <w:t xml:space="preserve">apacity building </w:t>
      </w:r>
      <w:r w:rsidRPr="00510C63">
        <w:rPr>
          <w:rFonts w:ascii="Arial" w:hAnsi="Arial" w:cs="Arial"/>
          <w:color w:val="auto"/>
          <w:sz w:val="22"/>
          <w:szCs w:val="22"/>
        </w:rPr>
        <w:t xml:space="preserve">activities </w:t>
      </w:r>
      <w:r w:rsidR="00D562C5" w:rsidRPr="00510C63">
        <w:rPr>
          <w:rFonts w:ascii="Arial" w:hAnsi="Arial" w:cs="Arial"/>
          <w:color w:val="auto"/>
          <w:sz w:val="22"/>
          <w:szCs w:val="22"/>
        </w:rPr>
        <w:t>will include workshops and</w:t>
      </w:r>
      <w:r w:rsidR="00946C4A" w:rsidRPr="00510C63">
        <w:rPr>
          <w:rFonts w:ascii="Arial" w:hAnsi="Arial" w:cs="Arial"/>
          <w:color w:val="auto"/>
          <w:sz w:val="22"/>
          <w:szCs w:val="22"/>
        </w:rPr>
        <w:t xml:space="preserve"> </w:t>
      </w:r>
      <w:r w:rsidRPr="00510C63">
        <w:rPr>
          <w:rFonts w:ascii="Arial" w:hAnsi="Arial" w:cs="Arial"/>
          <w:color w:val="auto"/>
          <w:sz w:val="22"/>
          <w:szCs w:val="22"/>
        </w:rPr>
        <w:t xml:space="preserve">training. See </w:t>
      </w:r>
      <w:proofErr w:type="gramStart"/>
      <w:r w:rsidRPr="00510C63">
        <w:rPr>
          <w:rFonts w:ascii="Arial" w:hAnsi="Arial" w:cs="Arial"/>
          <w:color w:val="auto"/>
          <w:sz w:val="22"/>
          <w:szCs w:val="22"/>
        </w:rPr>
        <w:t>in particular Table</w:t>
      </w:r>
      <w:proofErr w:type="gramEnd"/>
      <w:r w:rsidRPr="00510C63">
        <w:rPr>
          <w:rFonts w:ascii="Arial" w:hAnsi="Arial" w:cs="Arial"/>
          <w:color w:val="auto"/>
          <w:sz w:val="22"/>
          <w:szCs w:val="22"/>
        </w:rPr>
        <w:t xml:space="preserve"> 2 for a list by component and activity, and specifically in activity 1.2. </w:t>
      </w:r>
      <w:r w:rsidRPr="00510C63">
        <w:rPr>
          <w:rFonts w:ascii="Arial" w:hAnsi="Arial" w:cs="Arial"/>
          <w:i/>
          <w:color w:val="auto"/>
          <w:sz w:val="22"/>
          <w:szCs w:val="22"/>
        </w:rPr>
        <w:t xml:space="preserve">Strengthen capacity of </w:t>
      </w:r>
      <w:r w:rsidR="00FF4D1A">
        <w:rPr>
          <w:rFonts w:ascii="Arial" w:hAnsi="Arial" w:cs="Arial"/>
          <w:i/>
          <w:color w:val="auto"/>
          <w:sz w:val="22"/>
          <w:szCs w:val="22"/>
        </w:rPr>
        <w:t>I</w:t>
      </w:r>
      <w:r w:rsidRPr="00510C63">
        <w:rPr>
          <w:rFonts w:ascii="Arial" w:hAnsi="Arial" w:cs="Arial"/>
          <w:i/>
          <w:color w:val="auto"/>
          <w:sz w:val="22"/>
          <w:szCs w:val="22"/>
        </w:rPr>
        <w:t>FIs, ESTPs and validators for EE project development</w:t>
      </w:r>
      <w:r w:rsidR="00D562C5" w:rsidRPr="00510C63">
        <w:rPr>
          <w:rFonts w:ascii="Arial" w:hAnsi="Arial" w:cs="Arial"/>
          <w:color w:val="auto"/>
          <w:sz w:val="22"/>
          <w:szCs w:val="22"/>
        </w:rPr>
        <w:t>:</w:t>
      </w:r>
    </w:p>
    <w:p w:rsidR="00946C4A" w:rsidRPr="00510C63" w:rsidRDefault="00D562C5"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AFD staff, with at least at least 20% women participating,</w:t>
      </w:r>
      <w:r w:rsidR="00B96586" w:rsidRPr="00510C63">
        <w:rPr>
          <w:rFonts w:ascii="Arial" w:hAnsi="Arial" w:cs="Arial"/>
          <w:color w:val="auto"/>
          <w:sz w:val="22"/>
          <w:szCs w:val="22"/>
        </w:rPr>
        <w:t xml:space="preserve"> on Project mechanisms and methodologies</w:t>
      </w:r>
    </w:p>
    <w:p w:rsidR="00D562C5" w:rsidRPr="00510C63" w:rsidRDefault="00D562C5"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 xml:space="preserve">Workshops and seminars to inform and train five (5) </w:t>
      </w:r>
      <w:r w:rsidR="00FF4D1A">
        <w:rPr>
          <w:rFonts w:ascii="Arial" w:hAnsi="Arial" w:cs="Arial"/>
          <w:color w:val="auto"/>
          <w:sz w:val="22"/>
          <w:szCs w:val="22"/>
        </w:rPr>
        <w:t>I</w:t>
      </w:r>
      <w:r w:rsidRPr="00510C63">
        <w:rPr>
          <w:rFonts w:ascii="Arial" w:hAnsi="Arial" w:cs="Arial"/>
          <w:color w:val="auto"/>
          <w:sz w:val="22"/>
          <w:szCs w:val="22"/>
        </w:rPr>
        <w:t xml:space="preserve">FIs and its staff (2 per </w:t>
      </w:r>
      <w:r w:rsidR="00FF4D1A">
        <w:rPr>
          <w:rFonts w:ascii="Arial" w:hAnsi="Arial" w:cs="Arial"/>
          <w:color w:val="auto"/>
          <w:sz w:val="22"/>
          <w:szCs w:val="22"/>
        </w:rPr>
        <w:t>I</w:t>
      </w:r>
      <w:r w:rsidRPr="00510C63">
        <w:rPr>
          <w:rFonts w:ascii="Arial" w:hAnsi="Arial" w:cs="Arial"/>
          <w:color w:val="auto"/>
          <w:sz w:val="22"/>
          <w:szCs w:val="22"/>
        </w:rPr>
        <w:t>FI) on financing EE projects</w:t>
      </w:r>
    </w:p>
    <w:p w:rsidR="00D562C5" w:rsidRPr="00510C63" w:rsidRDefault="00D562C5"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Two (2) local technical validators (total of 6 staff) informed and trained (at least 20% women) about Project methodology.</w:t>
      </w:r>
    </w:p>
    <w:p w:rsidR="00D562C5" w:rsidRPr="00510C63" w:rsidRDefault="00D562C5"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Training thirty (30) technology solution providers (at least 20% women) about Program mechanisms</w:t>
      </w:r>
    </w:p>
    <w:p w:rsidR="00D562C5" w:rsidRPr="00510C63" w:rsidRDefault="00D562C5"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Training of SMEs on Program mechanisms</w:t>
      </w:r>
    </w:p>
    <w:p w:rsidR="00D562C5" w:rsidRPr="00510C63" w:rsidRDefault="00D562C5"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Development of six (6) products/publications, knowledge sharing events, country market reports published, and webinars</w:t>
      </w:r>
    </w:p>
    <w:p w:rsidR="00D562C5" w:rsidRPr="00510C63" w:rsidRDefault="00D562C5"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Development of 15 pilot demonstration projects</w:t>
      </w:r>
    </w:p>
    <w:p w:rsidR="00D562C5" w:rsidRPr="00510C63" w:rsidRDefault="00D562C5" w:rsidP="00027595">
      <w:pPr>
        <w:pStyle w:val="Heading2"/>
        <w:numPr>
          <w:ilvl w:val="8"/>
          <w:numId w:val="26"/>
        </w:numPr>
        <w:ind w:hanging="504"/>
        <w:jc w:val="both"/>
        <w:rPr>
          <w:rFonts w:ascii="Arial" w:hAnsi="Arial" w:cs="Arial"/>
          <w:color w:val="auto"/>
          <w:sz w:val="22"/>
          <w:szCs w:val="22"/>
        </w:rPr>
      </w:pPr>
      <w:r w:rsidRPr="00510C63">
        <w:rPr>
          <w:rFonts w:ascii="Arial" w:hAnsi="Arial" w:cs="Arial"/>
          <w:color w:val="auto"/>
          <w:sz w:val="22"/>
          <w:szCs w:val="22"/>
        </w:rPr>
        <w:t>Support of 160 SMEs to have access to credit from the Project’s financing to invest in EE projects</w:t>
      </w:r>
    </w:p>
    <w:p w:rsidR="00946C4A" w:rsidRPr="00510C63" w:rsidRDefault="00946C4A" w:rsidP="000A355C">
      <w:pPr>
        <w:pStyle w:val="Heading2"/>
        <w:jc w:val="both"/>
        <w:rPr>
          <w:rFonts w:ascii="Arial" w:hAnsi="Arial" w:cs="Arial"/>
          <w:color w:val="auto"/>
          <w:sz w:val="22"/>
          <w:szCs w:val="22"/>
        </w:rPr>
      </w:pPr>
      <w:r w:rsidRPr="00510C63">
        <w:rPr>
          <w:rFonts w:ascii="Arial" w:hAnsi="Arial" w:cs="Arial"/>
          <w:color w:val="auto"/>
          <w:sz w:val="22"/>
          <w:szCs w:val="22"/>
        </w:rPr>
        <w:t xml:space="preserve">The capacity building on finance and women empowerment will be provided through </w:t>
      </w:r>
      <w:r w:rsidR="00D562C5" w:rsidRPr="00510C63">
        <w:rPr>
          <w:rFonts w:ascii="Arial" w:hAnsi="Arial" w:cs="Arial"/>
          <w:color w:val="auto"/>
          <w:sz w:val="22"/>
          <w:szCs w:val="22"/>
        </w:rPr>
        <w:t>AFD</w:t>
      </w:r>
      <w:r w:rsidRPr="00510C63">
        <w:rPr>
          <w:rFonts w:ascii="Arial" w:hAnsi="Arial" w:cs="Arial"/>
          <w:color w:val="auto"/>
          <w:sz w:val="22"/>
          <w:szCs w:val="22"/>
        </w:rPr>
        <w:t xml:space="preserve"> </w:t>
      </w:r>
      <w:r w:rsidR="00027595" w:rsidRPr="00510C63">
        <w:rPr>
          <w:rFonts w:ascii="Arial" w:hAnsi="Arial" w:cs="Arial"/>
          <w:color w:val="auto"/>
          <w:sz w:val="22"/>
          <w:szCs w:val="22"/>
        </w:rPr>
        <w:t>with a view to attain the following indicators in Table 1.</w:t>
      </w:r>
    </w:p>
    <w:p w:rsidR="000A355C" w:rsidRPr="00510C63" w:rsidRDefault="000A355C" w:rsidP="000A355C">
      <w:pPr>
        <w:rPr>
          <w:rFonts w:ascii="Arial" w:hAnsi="Arial" w:cs="Arial"/>
          <w:sz w:val="22"/>
          <w:szCs w:val="22"/>
        </w:rPr>
      </w:pPr>
    </w:p>
    <w:p w:rsidR="000A355C" w:rsidRDefault="000A355C" w:rsidP="000A355C">
      <w:pPr>
        <w:rPr>
          <w:rFonts w:ascii="Arial" w:hAnsi="Arial" w:cs="Arial"/>
          <w:sz w:val="22"/>
          <w:szCs w:val="22"/>
        </w:rPr>
      </w:pPr>
    </w:p>
    <w:p w:rsidR="00510C63" w:rsidRPr="00510C63" w:rsidRDefault="00510C63" w:rsidP="000A355C">
      <w:pPr>
        <w:rPr>
          <w:rFonts w:ascii="Arial" w:hAnsi="Arial" w:cs="Arial"/>
          <w:sz w:val="22"/>
          <w:szCs w:val="22"/>
        </w:rPr>
      </w:pPr>
    </w:p>
    <w:p w:rsidR="00027595" w:rsidRPr="00510C63" w:rsidRDefault="00027595" w:rsidP="000A355C">
      <w:pPr>
        <w:rPr>
          <w:rFonts w:ascii="Arial" w:hAnsi="Arial" w:cs="Arial"/>
          <w:sz w:val="22"/>
          <w:szCs w:val="22"/>
        </w:rPr>
      </w:pPr>
    </w:p>
    <w:p w:rsidR="00946C4A" w:rsidRPr="00510C63" w:rsidRDefault="000A355C" w:rsidP="00946C4A">
      <w:pPr>
        <w:rPr>
          <w:rFonts w:ascii="Arial" w:hAnsi="Arial" w:cs="Arial"/>
          <w:b/>
          <w:sz w:val="22"/>
          <w:szCs w:val="22"/>
        </w:rPr>
      </w:pPr>
      <w:r w:rsidRPr="00510C63">
        <w:rPr>
          <w:rFonts w:ascii="Arial" w:hAnsi="Arial" w:cs="Arial"/>
          <w:b/>
          <w:sz w:val="22"/>
          <w:szCs w:val="22"/>
        </w:rPr>
        <w:lastRenderedPageBreak/>
        <w:t>Table 1: Impact indicators disaggregated by sex</w:t>
      </w:r>
    </w:p>
    <w:tbl>
      <w:tblPr>
        <w:tblStyle w:val="TableGrid"/>
        <w:tblW w:w="9350" w:type="dxa"/>
        <w:jc w:val="center"/>
        <w:tblLook w:val="04A0" w:firstRow="1" w:lastRow="0" w:firstColumn="1" w:lastColumn="0" w:noHBand="0" w:noVBand="1"/>
      </w:tblPr>
      <w:tblGrid>
        <w:gridCol w:w="2985"/>
        <w:gridCol w:w="1121"/>
        <w:gridCol w:w="1253"/>
        <w:gridCol w:w="1453"/>
        <w:gridCol w:w="2538"/>
      </w:tblGrid>
      <w:tr w:rsidR="00946C4A" w:rsidRPr="00510C63" w:rsidTr="00645E1B">
        <w:trPr>
          <w:jc w:val="center"/>
        </w:trPr>
        <w:tc>
          <w:tcPr>
            <w:tcW w:w="9350" w:type="dxa"/>
            <w:gridSpan w:val="5"/>
          </w:tcPr>
          <w:p w:rsidR="00946C4A" w:rsidRPr="00510C63" w:rsidRDefault="00946C4A" w:rsidP="00A728B9">
            <w:pPr>
              <w:rPr>
                <w:rFonts w:ascii="Arial" w:hAnsi="Arial" w:cs="Arial"/>
                <w:b/>
                <w:i/>
                <w:sz w:val="18"/>
                <w:szCs w:val="18"/>
              </w:rPr>
            </w:pPr>
            <w:r w:rsidRPr="00510C63">
              <w:rPr>
                <w:rFonts w:ascii="Arial" w:hAnsi="Arial" w:cs="Arial"/>
                <w:b/>
                <w:i/>
                <w:sz w:val="18"/>
                <w:szCs w:val="18"/>
                <w:u w:val="single"/>
              </w:rPr>
              <w:t>Impact</w:t>
            </w:r>
            <w:r w:rsidRPr="00510C63">
              <w:rPr>
                <w:rFonts w:ascii="Arial" w:hAnsi="Arial" w:cs="Arial"/>
                <w:b/>
                <w:i/>
                <w:sz w:val="18"/>
                <w:szCs w:val="18"/>
              </w:rPr>
              <w:t xml:space="preserve">: </w:t>
            </w:r>
            <w:r w:rsidR="00CE4F72" w:rsidRPr="00510C63">
              <w:rPr>
                <w:rFonts w:ascii="Arial" w:hAnsi="Arial" w:cs="Arial"/>
                <w:b/>
                <w:i/>
                <w:sz w:val="18"/>
                <w:szCs w:val="18"/>
              </w:rPr>
              <w:t>women have equally benefit to financial products offered by the Program.</w:t>
            </w:r>
          </w:p>
        </w:tc>
      </w:tr>
      <w:tr w:rsidR="00946C4A" w:rsidRPr="00510C63" w:rsidTr="00645E1B">
        <w:trPr>
          <w:jc w:val="center"/>
        </w:trPr>
        <w:tc>
          <w:tcPr>
            <w:tcW w:w="2985" w:type="dxa"/>
          </w:tcPr>
          <w:p w:rsidR="00946C4A" w:rsidRPr="00510C63" w:rsidRDefault="00946C4A" w:rsidP="00A728B9">
            <w:pPr>
              <w:jc w:val="center"/>
              <w:rPr>
                <w:rFonts w:ascii="Arial" w:hAnsi="Arial" w:cs="Arial"/>
                <w:b/>
                <w:sz w:val="18"/>
                <w:szCs w:val="18"/>
              </w:rPr>
            </w:pPr>
            <w:r w:rsidRPr="00510C63">
              <w:rPr>
                <w:rFonts w:ascii="Arial" w:hAnsi="Arial" w:cs="Arial"/>
                <w:b/>
                <w:sz w:val="18"/>
                <w:szCs w:val="18"/>
              </w:rPr>
              <w:t>Indicator</w:t>
            </w:r>
          </w:p>
        </w:tc>
        <w:tc>
          <w:tcPr>
            <w:tcW w:w="1121" w:type="dxa"/>
          </w:tcPr>
          <w:p w:rsidR="00946C4A" w:rsidRPr="00510C63" w:rsidRDefault="00946C4A" w:rsidP="00A728B9">
            <w:pPr>
              <w:jc w:val="center"/>
              <w:rPr>
                <w:rFonts w:ascii="Arial" w:hAnsi="Arial" w:cs="Arial"/>
                <w:b/>
                <w:sz w:val="18"/>
                <w:szCs w:val="18"/>
              </w:rPr>
            </w:pPr>
            <w:r w:rsidRPr="00510C63">
              <w:rPr>
                <w:rFonts w:ascii="Arial" w:hAnsi="Arial" w:cs="Arial"/>
                <w:b/>
                <w:sz w:val="18"/>
                <w:szCs w:val="18"/>
              </w:rPr>
              <w:t>Baseline</w:t>
            </w:r>
          </w:p>
        </w:tc>
        <w:tc>
          <w:tcPr>
            <w:tcW w:w="1253" w:type="dxa"/>
          </w:tcPr>
          <w:p w:rsidR="00946C4A" w:rsidRPr="00510C63" w:rsidRDefault="00946C4A" w:rsidP="00A728B9">
            <w:pPr>
              <w:jc w:val="center"/>
              <w:rPr>
                <w:rFonts w:ascii="Arial" w:hAnsi="Arial" w:cs="Arial"/>
                <w:b/>
                <w:sz w:val="18"/>
                <w:szCs w:val="18"/>
              </w:rPr>
            </w:pPr>
            <w:r w:rsidRPr="00510C63">
              <w:rPr>
                <w:rFonts w:ascii="Arial" w:hAnsi="Arial" w:cs="Arial"/>
                <w:b/>
                <w:sz w:val="18"/>
                <w:szCs w:val="18"/>
              </w:rPr>
              <w:t>Target</w:t>
            </w:r>
          </w:p>
        </w:tc>
        <w:tc>
          <w:tcPr>
            <w:tcW w:w="1453" w:type="dxa"/>
          </w:tcPr>
          <w:p w:rsidR="00946C4A" w:rsidRPr="00510C63" w:rsidRDefault="00946C4A" w:rsidP="00A728B9">
            <w:pPr>
              <w:jc w:val="center"/>
              <w:rPr>
                <w:rFonts w:ascii="Arial" w:hAnsi="Arial" w:cs="Arial"/>
                <w:b/>
                <w:sz w:val="18"/>
                <w:szCs w:val="18"/>
              </w:rPr>
            </w:pPr>
            <w:r w:rsidRPr="00510C63">
              <w:rPr>
                <w:rFonts w:ascii="Arial" w:hAnsi="Arial" w:cs="Arial"/>
                <w:b/>
                <w:sz w:val="18"/>
                <w:szCs w:val="18"/>
              </w:rPr>
              <w:t>Timeline</w:t>
            </w:r>
          </w:p>
        </w:tc>
        <w:tc>
          <w:tcPr>
            <w:tcW w:w="2538" w:type="dxa"/>
          </w:tcPr>
          <w:p w:rsidR="00946C4A" w:rsidRPr="00510C63" w:rsidRDefault="00946C4A" w:rsidP="00A728B9">
            <w:pPr>
              <w:jc w:val="center"/>
              <w:rPr>
                <w:rFonts w:ascii="Arial" w:hAnsi="Arial" w:cs="Arial"/>
                <w:b/>
                <w:sz w:val="18"/>
                <w:szCs w:val="18"/>
              </w:rPr>
            </w:pPr>
            <w:r w:rsidRPr="00510C63">
              <w:rPr>
                <w:rFonts w:ascii="Arial" w:hAnsi="Arial" w:cs="Arial"/>
                <w:b/>
                <w:sz w:val="18"/>
                <w:szCs w:val="18"/>
              </w:rPr>
              <w:t>Source of Verification</w:t>
            </w:r>
          </w:p>
        </w:tc>
      </w:tr>
      <w:tr w:rsidR="00946C4A" w:rsidRPr="00510C63" w:rsidTr="00645E1B">
        <w:trPr>
          <w:jc w:val="center"/>
        </w:trPr>
        <w:tc>
          <w:tcPr>
            <w:tcW w:w="9350" w:type="dxa"/>
            <w:gridSpan w:val="5"/>
          </w:tcPr>
          <w:p w:rsidR="00946C4A" w:rsidRPr="00510C63" w:rsidRDefault="00946C4A" w:rsidP="00A728B9">
            <w:pPr>
              <w:rPr>
                <w:rFonts w:ascii="Arial" w:hAnsi="Arial" w:cs="Arial"/>
                <w:sz w:val="18"/>
                <w:szCs w:val="18"/>
              </w:rPr>
            </w:pPr>
            <w:r w:rsidRPr="00510C63">
              <w:rPr>
                <w:rFonts w:ascii="Arial" w:hAnsi="Arial" w:cs="Arial"/>
                <w:b/>
                <w:sz w:val="18"/>
                <w:szCs w:val="18"/>
              </w:rPr>
              <w:t>Result 1:</w:t>
            </w:r>
            <w:r w:rsidRPr="00510C63">
              <w:rPr>
                <w:rFonts w:ascii="Arial" w:hAnsi="Arial" w:cs="Arial"/>
                <w:sz w:val="18"/>
                <w:szCs w:val="18"/>
              </w:rPr>
              <w:t xml:space="preserve"> Women access to financial products offered by </w:t>
            </w:r>
            <w:r w:rsidR="00FF4D1A">
              <w:rPr>
                <w:rFonts w:ascii="Arial" w:hAnsi="Arial" w:cs="Arial"/>
                <w:sz w:val="18"/>
                <w:szCs w:val="18"/>
              </w:rPr>
              <w:t>I</w:t>
            </w:r>
            <w:r w:rsidR="00D562C5" w:rsidRPr="00510C63">
              <w:rPr>
                <w:rFonts w:ascii="Arial" w:hAnsi="Arial" w:cs="Arial"/>
                <w:sz w:val="18"/>
                <w:szCs w:val="18"/>
              </w:rPr>
              <w:t>FIs</w:t>
            </w:r>
          </w:p>
        </w:tc>
      </w:tr>
      <w:tr w:rsidR="00946C4A" w:rsidRPr="00510C63" w:rsidTr="00645E1B">
        <w:trPr>
          <w:jc w:val="center"/>
        </w:trPr>
        <w:tc>
          <w:tcPr>
            <w:tcW w:w="2985" w:type="dxa"/>
          </w:tcPr>
          <w:p w:rsidR="00EB62F6" w:rsidRPr="00510C63" w:rsidRDefault="00EB62F6" w:rsidP="00A728B9">
            <w:pPr>
              <w:rPr>
                <w:rFonts w:ascii="Arial" w:hAnsi="Arial" w:cs="Arial"/>
                <w:sz w:val="18"/>
                <w:szCs w:val="18"/>
              </w:rPr>
            </w:pPr>
            <w:r w:rsidRPr="00510C63">
              <w:rPr>
                <w:rFonts w:ascii="Arial" w:hAnsi="Arial" w:cs="Arial"/>
                <w:sz w:val="18"/>
                <w:szCs w:val="18"/>
              </w:rPr>
              <w:t>Percentage share of loans for investments channeled to SMEs managed by women</w:t>
            </w:r>
          </w:p>
        </w:tc>
        <w:tc>
          <w:tcPr>
            <w:tcW w:w="1121" w:type="dxa"/>
            <w:vAlign w:val="center"/>
          </w:tcPr>
          <w:p w:rsidR="00946C4A" w:rsidRPr="00510C63" w:rsidRDefault="00946C4A" w:rsidP="00A728B9">
            <w:pPr>
              <w:jc w:val="center"/>
              <w:rPr>
                <w:rFonts w:ascii="Arial" w:hAnsi="Arial" w:cs="Arial"/>
                <w:sz w:val="18"/>
                <w:szCs w:val="18"/>
              </w:rPr>
            </w:pPr>
            <w:r w:rsidRPr="00510C63">
              <w:rPr>
                <w:rFonts w:ascii="Arial" w:hAnsi="Arial" w:cs="Arial"/>
                <w:sz w:val="18"/>
                <w:szCs w:val="18"/>
              </w:rPr>
              <w:t>0</w:t>
            </w:r>
          </w:p>
        </w:tc>
        <w:tc>
          <w:tcPr>
            <w:tcW w:w="1253" w:type="dxa"/>
            <w:vAlign w:val="center"/>
          </w:tcPr>
          <w:p w:rsidR="00946C4A" w:rsidRPr="00510C63" w:rsidRDefault="00D562C5" w:rsidP="00A728B9">
            <w:pPr>
              <w:jc w:val="center"/>
              <w:rPr>
                <w:rFonts w:ascii="Arial" w:hAnsi="Arial" w:cs="Arial"/>
                <w:sz w:val="18"/>
                <w:szCs w:val="18"/>
              </w:rPr>
            </w:pPr>
            <w:r w:rsidRPr="00510C63">
              <w:rPr>
                <w:rFonts w:ascii="Arial" w:hAnsi="Arial" w:cs="Arial"/>
                <w:sz w:val="18"/>
                <w:szCs w:val="18"/>
              </w:rPr>
              <w:t>20</w:t>
            </w:r>
          </w:p>
        </w:tc>
        <w:tc>
          <w:tcPr>
            <w:tcW w:w="1453" w:type="dxa"/>
            <w:vAlign w:val="center"/>
          </w:tcPr>
          <w:p w:rsidR="00946C4A" w:rsidRPr="00510C63" w:rsidRDefault="00946C4A" w:rsidP="00A728B9">
            <w:pPr>
              <w:rPr>
                <w:rFonts w:ascii="Arial" w:hAnsi="Arial" w:cs="Arial"/>
                <w:color w:val="000000"/>
                <w:sz w:val="18"/>
                <w:szCs w:val="18"/>
              </w:rPr>
            </w:pPr>
            <w:r w:rsidRPr="00510C63">
              <w:rPr>
                <w:rFonts w:ascii="Arial" w:hAnsi="Arial" w:cs="Arial"/>
                <w:color w:val="000000"/>
                <w:sz w:val="18"/>
                <w:szCs w:val="18"/>
              </w:rPr>
              <w:t xml:space="preserve">By the end of the program </w:t>
            </w:r>
          </w:p>
        </w:tc>
        <w:tc>
          <w:tcPr>
            <w:tcW w:w="2538" w:type="dxa"/>
          </w:tcPr>
          <w:p w:rsidR="00946C4A" w:rsidRPr="00510C63" w:rsidRDefault="00946C4A" w:rsidP="00A728B9">
            <w:pPr>
              <w:pStyle w:val="Default"/>
              <w:rPr>
                <w:sz w:val="18"/>
                <w:szCs w:val="18"/>
              </w:rPr>
            </w:pPr>
            <w:r w:rsidRPr="00510C63">
              <w:rPr>
                <w:sz w:val="18"/>
                <w:szCs w:val="18"/>
              </w:rPr>
              <w:t>Source: Executing Agencies six-month reports and survey</w:t>
            </w:r>
          </w:p>
        </w:tc>
      </w:tr>
      <w:tr w:rsidR="008B58A8" w:rsidRPr="00510C63" w:rsidTr="00645E1B">
        <w:trPr>
          <w:jc w:val="center"/>
        </w:trPr>
        <w:tc>
          <w:tcPr>
            <w:tcW w:w="2985" w:type="dxa"/>
          </w:tcPr>
          <w:p w:rsidR="008B58A8" w:rsidRPr="00510C63" w:rsidRDefault="008B58A8" w:rsidP="00A728B9">
            <w:pPr>
              <w:rPr>
                <w:rFonts w:ascii="Arial" w:hAnsi="Arial" w:cs="Arial"/>
                <w:sz w:val="18"/>
                <w:szCs w:val="18"/>
              </w:rPr>
            </w:pPr>
            <w:r w:rsidRPr="00510C63">
              <w:rPr>
                <w:rFonts w:ascii="Arial" w:hAnsi="Arial" w:cs="Arial"/>
                <w:sz w:val="18"/>
                <w:szCs w:val="18"/>
              </w:rPr>
              <w:t>Analysis of disaggregated data on women-owned and women-led SMEs to gain access to credit</w:t>
            </w:r>
          </w:p>
        </w:tc>
        <w:tc>
          <w:tcPr>
            <w:tcW w:w="1121" w:type="dxa"/>
            <w:vAlign w:val="center"/>
          </w:tcPr>
          <w:p w:rsidR="008B58A8" w:rsidRPr="00510C63" w:rsidRDefault="008B58A8" w:rsidP="00A728B9">
            <w:pPr>
              <w:jc w:val="center"/>
              <w:rPr>
                <w:rFonts w:ascii="Arial" w:hAnsi="Arial" w:cs="Arial"/>
                <w:sz w:val="18"/>
                <w:szCs w:val="18"/>
              </w:rPr>
            </w:pPr>
            <w:r w:rsidRPr="00510C63">
              <w:rPr>
                <w:rFonts w:ascii="Arial" w:hAnsi="Arial" w:cs="Arial"/>
                <w:sz w:val="18"/>
                <w:szCs w:val="18"/>
              </w:rPr>
              <w:t>0</w:t>
            </w:r>
          </w:p>
        </w:tc>
        <w:tc>
          <w:tcPr>
            <w:tcW w:w="1253" w:type="dxa"/>
            <w:vAlign w:val="center"/>
          </w:tcPr>
          <w:p w:rsidR="008B58A8" w:rsidRPr="00510C63" w:rsidRDefault="008B58A8" w:rsidP="00A728B9">
            <w:pPr>
              <w:jc w:val="center"/>
              <w:rPr>
                <w:rFonts w:ascii="Arial" w:hAnsi="Arial" w:cs="Arial"/>
                <w:sz w:val="18"/>
                <w:szCs w:val="18"/>
              </w:rPr>
            </w:pPr>
            <w:r w:rsidRPr="00510C63">
              <w:rPr>
                <w:rFonts w:ascii="Arial" w:hAnsi="Arial" w:cs="Arial"/>
                <w:sz w:val="18"/>
                <w:szCs w:val="18"/>
              </w:rPr>
              <w:t>1</w:t>
            </w:r>
          </w:p>
        </w:tc>
        <w:tc>
          <w:tcPr>
            <w:tcW w:w="1453" w:type="dxa"/>
            <w:vAlign w:val="center"/>
          </w:tcPr>
          <w:p w:rsidR="008B58A8" w:rsidRPr="00510C63" w:rsidRDefault="008B58A8" w:rsidP="00A728B9">
            <w:pPr>
              <w:rPr>
                <w:rFonts w:ascii="Arial" w:hAnsi="Arial" w:cs="Arial"/>
                <w:color w:val="000000"/>
                <w:sz w:val="18"/>
                <w:szCs w:val="18"/>
              </w:rPr>
            </w:pPr>
            <w:r w:rsidRPr="00510C63">
              <w:rPr>
                <w:rFonts w:ascii="Arial" w:hAnsi="Arial" w:cs="Arial"/>
                <w:color w:val="000000"/>
                <w:sz w:val="18"/>
                <w:szCs w:val="18"/>
              </w:rPr>
              <w:t>By the end of the program</w:t>
            </w:r>
          </w:p>
        </w:tc>
        <w:tc>
          <w:tcPr>
            <w:tcW w:w="2538" w:type="dxa"/>
          </w:tcPr>
          <w:p w:rsidR="008B58A8" w:rsidRPr="00510C63" w:rsidRDefault="008B58A8" w:rsidP="000A355C">
            <w:pPr>
              <w:pStyle w:val="Default"/>
              <w:rPr>
                <w:sz w:val="18"/>
                <w:szCs w:val="18"/>
              </w:rPr>
            </w:pPr>
            <w:r w:rsidRPr="00510C63">
              <w:rPr>
                <w:sz w:val="18"/>
                <w:szCs w:val="18"/>
              </w:rPr>
              <w:t>Source</w:t>
            </w:r>
            <w:r w:rsidR="00F90E29" w:rsidRPr="00510C63">
              <w:rPr>
                <w:sz w:val="18"/>
                <w:szCs w:val="18"/>
              </w:rPr>
              <w:t>:</w:t>
            </w:r>
            <w:r w:rsidR="000A355C" w:rsidRPr="00510C63">
              <w:rPr>
                <w:sz w:val="18"/>
                <w:szCs w:val="18"/>
              </w:rPr>
              <w:t xml:space="preserve"> </w:t>
            </w:r>
            <w:r w:rsidR="00F90E29" w:rsidRPr="00510C63">
              <w:rPr>
                <w:sz w:val="18"/>
                <w:szCs w:val="18"/>
              </w:rPr>
              <w:t xml:space="preserve">Tracking </w:t>
            </w:r>
            <w:r w:rsidRPr="00510C63">
              <w:rPr>
                <w:sz w:val="18"/>
                <w:szCs w:val="18"/>
              </w:rPr>
              <w:t xml:space="preserve">Registry- recollection, surveys </w:t>
            </w:r>
          </w:p>
        </w:tc>
      </w:tr>
      <w:tr w:rsidR="00946C4A" w:rsidRPr="00510C63" w:rsidTr="00645E1B">
        <w:trPr>
          <w:trHeight w:val="296"/>
          <w:jc w:val="center"/>
        </w:trPr>
        <w:tc>
          <w:tcPr>
            <w:tcW w:w="9350" w:type="dxa"/>
            <w:gridSpan w:val="5"/>
          </w:tcPr>
          <w:p w:rsidR="00946C4A" w:rsidRPr="00510C63" w:rsidRDefault="00946C4A" w:rsidP="005423F1">
            <w:pPr>
              <w:pStyle w:val="Default"/>
              <w:rPr>
                <w:sz w:val="18"/>
                <w:szCs w:val="18"/>
              </w:rPr>
            </w:pPr>
            <w:r w:rsidRPr="00510C63">
              <w:rPr>
                <w:b/>
                <w:sz w:val="18"/>
                <w:szCs w:val="18"/>
              </w:rPr>
              <w:t xml:space="preserve">Result 2: </w:t>
            </w:r>
            <w:r w:rsidRPr="00510C63">
              <w:rPr>
                <w:sz w:val="18"/>
                <w:szCs w:val="18"/>
              </w:rPr>
              <w:t xml:space="preserve">Women trained </w:t>
            </w:r>
            <w:proofErr w:type="gramStart"/>
            <w:r w:rsidRPr="00510C63">
              <w:rPr>
                <w:sz w:val="18"/>
                <w:szCs w:val="18"/>
              </w:rPr>
              <w:t xml:space="preserve">in </w:t>
            </w:r>
            <w:r w:rsidR="00D562C5" w:rsidRPr="00510C63">
              <w:rPr>
                <w:sz w:val="18"/>
                <w:szCs w:val="18"/>
              </w:rPr>
              <w:t xml:space="preserve"> their</w:t>
            </w:r>
            <w:proofErr w:type="gramEnd"/>
            <w:r w:rsidR="00D562C5" w:rsidRPr="00510C63">
              <w:rPr>
                <w:sz w:val="18"/>
                <w:szCs w:val="18"/>
              </w:rPr>
              <w:t xml:space="preserve"> capacity for EE project development</w:t>
            </w:r>
          </w:p>
        </w:tc>
      </w:tr>
      <w:tr w:rsidR="00946C4A" w:rsidRPr="00510C63" w:rsidTr="00510C63">
        <w:trPr>
          <w:trHeight w:val="674"/>
          <w:jc w:val="center"/>
        </w:trPr>
        <w:tc>
          <w:tcPr>
            <w:tcW w:w="2985" w:type="dxa"/>
          </w:tcPr>
          <w:p w:rsidR="00946C4A" w:rsidRPr="00510C63" w:rsidRDefault="00946C4A" w:rsidP="005423F1">
            <w:pPr>
              <w:rPr>
                <w:rFonts w:ascii="Arial" w:hAnsi="Arial" w:cs="Arial"/>
                <w:sz w:val="18"/>
                <w:szCs w:val="18"/>
              </w:rPr>
            </w:pPr>
            <w:r w:rsidRPr="00510C63">
              <w:rPr>
                <w:rFonts w:ascii="Arial" w:hAnsi="Arial" w:cs="Arial"/>
                <w:sz w:val="18"/>
                <w:szCs w:val="18"/>
              </w:rPr>
              <w:t>% of women trained</w:t>
            </w:r>
            <w:r w:rsidR="005423F1" w:rsidRPr="00510C63">
              <w:rPr>
                <w:rFonts w:ascii="Arial" w:hAnsi="Arial" w:cs="Arial"/>
                <w:sz w:val="18"/>
                <w:szCs w:val="18"/>
              </w:rPr>
              <w:t xml:space="preserve"> out of the total of training beneficiaries under Activity 1.2.</w:t>
            </w:r>
            <w:r w:rsidRPr="00510C63">
              <w:rPr>
                <w:rFonts w:ascii="Arial" w:hAnsi="Arial" w:cs="Arial"/>
                <w:sz w:val="18"/>
                <w:szCs w:val="18"/>
              </w:rPr>
              <w:t xml:space="preserve"> </w:t>
            </w:r>
          </w:p>
        </w:tc>
        <w:tc>
          <w:tcPr>
            <w:tcW w:w="1121" w:type="dxa"/>
            <w:vAlign w:val="center"/>
          </w:tcPr>
          <w:p w:rsidR="00946C4A" w:rsidRPr="00510C63" w:rsidRDefault="00946C4A" w:rsidP="00A728B9">
            <w:pPr>
              <w:jc w:val="center"/>
              <w:rPr>
                <w:rFonts w:ascii="Arial" w:hAnsi="Arial" w:cs="Arial"/>
                <w:sz w:val="18"/>
                <w:szCs w:val="18"/>
              </w:rPr>
            </w:pPr>
            <w:r w:rsidRPr="00510C63">
              <w:rPr>
                <w:rFonts w:ascii="Arial" w:hAnsi="Arial" w:cs="Arial"/>
                <w:sz w:val="18"/>
                <w:szCs w:val="18"/>
              </w:rPr>
              <w:t>0</w:t>
            </w:r>
          </w:p>
        </w:tc>
        <w:tc>
          <w:tcPr>
            <w:tcW w:w="1253" w:type="dxa"/>
            <w:vAlign w:val="center"/>
          </w:tcPr>
          <w:p w:rsidR="00946C4A" w:rsidRPr="00510C63" w:rsidRDefault="00D562C5" w:rsidP="00A728B9">
            <w:pPr>
              <w:jc w:val="center"/>
              <w:rPr>
                <w:rFonts w:ascii="Arial" w:hAnsi="Arial" w:cs="Arial"/>
                <w:sz w:val="18"/>
                <w:szCs w:val="18"/>
              </w:rPr>
            </w:pPr>
            <w:r w:rsidRPr="00510C63">
              <w:rPr>
                <w:rFonts w:ascii="Arial" w:hAnsi="Arial" w:cs="Arial"/>
                <w:sz w:val="18"/>
                <w:szCs w:val="18"/>
              </w:rPr>
              <w:t>20</w:t>
            </w:r>
          </w:p>
        </w:tc>
        <w:tc>
          <w:tcPr>
            <w:tcW w:w="1453" w:type="dxa"/>
            <w:vAlign w:val="center"/>
          </w:tcPr>
          <w:p w:rsidR="00946C4A" w:rsidRPr="00510C63" w:rsidRDefault="00946C4A" w:rsidP="00A728B9">
            <w:pPr>
              <w:jc w:val="center"/>
              <w:rPr>
                <w:rFonts w:ascii="Arial" w:hAnsi="Arial" w:cs="Arial"/>
                <w:color w:val="000000"/>
                <w:sz w:val="18"/>
                <w:szCs w:val="18"/>
              </w:rPr>
            </w:pPr>
            <w:r w:rsidRPr="00510C63">
              <w:rPr>
                <w:rFonts w:ascii="Arial" w:hAnsi="Arial" w:cs="Arial"/>
                <w:color w:val="000000"/>
                <w:sz w:val="18"/>
                <w:szCs w:val="18"/>
              </w:rPr>
              <w:t>By the end of the program</w:t>
            </w:r>
          </w:p>
        </w:tc>
        <w:tc>
          <w:tcPr>
            <w:tcW w:w="2538" w:type="dxa"/>
          </w:tcPr>
          <w:p w:rsidR="00946C4A" w:rsidRPr="00510C63" w:rsidRDefault="00946C4A" w:rsidP="00A728B9">
            <w:pPr>
              <w:pStyle w:val="Default"/>
              <w:rPr>
                <w:sz w:val="18"/>
                <w:szCs w:val="18"/>
              </w:rPr>
            </w:pPr>
            <w:r w:rsidRPr="00510C63">
              <w:rPr>
                <w:sz w:val="18"/>
                <w:szCs w:val="18"/>
              </w:rPr>
              <w:t>Source: Executing Agencies six-month reports and survey</w:t>
            </w:r>
          </w:p>
        </w:tc>
      </w:tr>
      <w:tr w:rsidR="00946C4A" w:rsidRPr="00510C63" w:rsidTr="00645E1B">
        <w:trPr>
          <w:trHeight w:val="278"/>
          <w:jc w:val="center"/>
        </w:trPr>
        <w:tc>
          <w:tcPr>
            <w:tcW w:w="9350" w:type="dxa"/>
            <w:gridSpan w:val="5"/>
          </w:tcPr>
          <w:p w:rsidR="00946C4A" w:rsidRPr="00510C63" w:rsidRDefault="00946C4A" w:rsidP="00A728B9">
            <w:pPr>
              <w:rPr>
                <w:rFonts w:ascii="Arial" w:hAnsi="Arial" w:cs="Arial"/>
                <w:b/>
                <w:sz w:val="18"/>
                <w:szCs w:val="18"/>
              </w:rPr>
            </w:pPr>
            <w:r w:rsidRPr="00510C63">
              <w:rPr>
                <w:rFonts w:ascii="Arial" w:hAnsi="Arial" w:cs="Arial"/>
                <w:b/>
                <w:sz w:val="18"/>
                <w:szCs w:val="18"/>
              </w:rPr>
              <w:t xml:space="preserve">Result 3: </w:t>
            </w:r>
            <w:r w:rsidR="00D562C5" w:rsidRPr="00510C63">
              <w:rPr>
                <w:rFonts w:ascii="Arial" w:hAnsi="Arial" w:cs="Arial"/>
                <w:sz w:val="18"/>
                <w:szCs w:val="18"/>
              </w:rPr>
              <w:t>Tracking registry of gender impact</w:t>
            </w:r>
          </w:p>
        </w:tc>
      </w:tr>
      <w:tr w:rsidR="00946C4A" w:rsidRPr="00510C63" w:rsidTr="00510C63">
        <w:trPr>
          <w:trHeight w:val="890"/>
          <w:jc w:val="center"/>
        </w:trPr>
        <w:tc>
          <w:tcPr>
            <w:tcW w:w="2985" w:type="dxa"/>
          </w:tcPr>
          <w:p w:rsidR="00946C4A" w:rsidRPr="00510C63" w:rsidRDefault="00CE4F72" w:rsidP="00A728B9">
            <w:pPr>
              <w:rPr>
                <w:rFonts w:ascii="Arial" w:hAnsi="Arial" w:cs="Arial"/>
                <w:sz w:val="18"/>
                <w:szCs w:val="18"/>
              </w:rPr>
            </w:pPr>
            <w:r w:rsidRPr="00510C63">
              <w:rPr>
                <w:rFonts w:ascii="Arial" w:hAnsi="Arial" w:cs="Arial"/>
                <w:sz w:val="18"/>
                <w:szCs w:val="18"/>
              </w:rPr>
              <w:t>One registry that includes a report</w:t>
            </w:r>
            <w:r w:rsidR="00D562C5" w:rsidRPr="00510C63">
              <w:rPr>
                <w:rFonts w:ascii="Arial" w:hAnsi="Arial" w:cs="Arial"/>
                <w:sz w:val="18"/>
                <w:szCs w:val="18"/>
              </w:rPr>
              <w:t xml:space="preserve"> of real gender impact of the project </w:t>
            </w:r>
            <w:r w:rsidRPr="00510C63">
              <w:rPr>
                <w:rFonts w:ascii="Arial" w:hAnsi="Arial" w:cs="Arial"/>
                <w:sz w:val="18"/>
                <w:szCs w:val="18"/>
              </w:rPr>
              <w:t>(collect and analyze sex-disaggregated data)</w:t>
            </w:r>
          </w:p>
        </w:tc>
        <w:tc>
          <w:tcPr>
            <w:tcW w:w="1121" w:type="dxa"/>
            <w:vAlign w:val="center"/>
          </w:tcPr>
          <w:p w:rsidR="00946C4A" w:rsidRPr="00510C63" w:rsidRDefault="00946C4A" w:rsidP="00A728B9">
            <w:pPr>
              <w:jc w:val="center"/>
              <w:rPr>
                <w:rFonts w:ascii="Arial" w:hAnsi="Arial" w:cs="Arial"/>
                <w:sz w:val="18"/>
                <w:szCs w:val="18"/>
              </w:rPr>
            </w:pPr>
            <w:r w:rsidRPr="00510C63">
              <w:rPr>
                <w:rFonts w:ascii="Arial" w:hAnsi="Arial" w:cs="Arial"/>
                <w:sz w:val="18"/>
                <w:szCs w:val="18"/>
              </w:rPr>
              <w:t>0</w:t>
            </w:r>
          </w:p>
        </w:tc>
        <w:tc>
          <w:tcPr>
            <w:tcW w:w="1253" w:type="dxa"/>
            <w:vAlign w:val="center"/>
          </w:tcPr>
          <w:p w:rsidR="00946C4A" w:rsidRPr="00510C63" w:rsidRDefault="00CE4F72" w:rsidP="00A728B9">
            <w:pPr>
              <w:jc w:val="center"/>
              <w:rPr>
                <w:rFonts w:ascii="Arial" w:hAnsi="Arial" w:cs="Arial"/>
                <w:sz w:val="18"/>
                <w:szCs w:val="18"/>
              </w:rPr>
            </w:pPr>
            <w:r w:rsidRPr="00510C63">
              <w:rPr>
                <w:rFonts w:ascii="Arial" w:hAnsi="Arial" w:cs="Arial"/>
                <w:sz w:val="18"/>
                <w:szCs w:val="18"/>
              </w:rPr>
              <w:t>1</w:t>
            </w:r>
          </w:p>
        </w:tc>
        <w:tc>
          <w:tcPr>
            <w:tcW w:w="1453" w:type="dxa"/>
            <w:vAlign w:val="center"/>
          </w:tcPr>
          <w:p w:rsidR="00946C4A" w:rsidRPr="00510C63" w:rsidRDefault="00946C4A" w:rsidP="00A728B9">
            <w:pPr>
              <w:rPr>
                <w:rFonts w:ascii="Arial" w:hAnsi="Arial" w:cs="Arial"/>
                <w:sz w:val="18"/>
                <w:szCs w:val="18"/>
              </w:rPr>
            </w:pPr>
            <w:r w:rsidRPr="00510C63">
              <w:rPr>
                <w:rFonts w:ascii="Arial" w:hAnsi="Arial" w:cs="Arial"/>
                <w:color w:val="000000"/>
                <w:sz w:val="18"/>
                <w:szCs w:val="18"/>
              </w:rPr>
              <w:t>By the end of the program</w:t>
            </w:r>
          </w:p>
        </w:tc>
        <w:tc>
          <w:tcPr>
            <w:tcW w:w="2538" w:type="dxa"/>
          </w:tcPr>
          <w:p w:rsidR="00946C4A" w:rsidRPr="00510C63" w:rsidRDefault="00946C4A" w:rsidP="00A728B9">
            <w:pPr>
              <w:pStyle w:val="Default"/>
              <w:rPr>
                <w:sz w:val="18"/>
                <w:szCs w:val="18"/>
              </w:rPr>
            </w:pPr>
            <w:r w:rsidRPr="00510C63">
              <w:rPr>
                <w:sz w:val="18"/>
                <w:szCs w:val="18"/>
              </w:rPr>
              <w:t>Source: Executing Agencies six-month reports and survey</w:t>
            </w:r>
          </w:p>
        </w:tc>
      </w:tr>
    </w:tbl>
    <w:p w:rsidR="000A355C" w:rsidRPr="00510C63" w:rsidRDefault="000A355C" w:rsidP="00946C4A">
      <w:pPr>
        <w:rPr>
          <w:rFonts w:ascii="Arial" w:hAnsi="Arial" w:cs="Arial"/>
          <w:sz w:val="22"/>
          <w:szCs w:val="22"/>
        </w:rPr>
        <w:sectPr w:rsidR="000A355C" w:rsidRPr="00510C63" w:rsidSect="005773A2">
          <w:type w:val="continuous"/>
          <w:pgSz w:w="12240" w:h="15840"/>
          <w:pgMar w:top="1440" w:right="1440" w:bottom="1440" w:left="1440" w:header="720" w:footer="720" w:gutter="0"/>
          <w:cols w:space="720"/>
          <w:docGrid w:linePitch="360"/>
        </w:sectPr>
      </w:pPr>
    </w:p>
    <w:p w:rsidR="00B91A16" w:rsidRPr="00510C63" w:rsidRDefault="000A355C" w:rsidP="000A355C">
      <w:pPr>
        <w:jc w:val="both"/>
        <w:rPr>
          <w:rFonts w:ascii="Arial" w:hAnsi="Arial" w:cs="Arial"/>
          <w:b/>
          <w:sz w:val="22"/>
          <w:szCs w:val="22"/>
        </w:rPr>
      </w:pPr>
      <w:r w:rsidRPr="00510C63">
        <w:rPr>
          <w:rFonts w:ascii="Arial" w:hAnsi="Arial" w:cs="Arial"/>
          <w:b/>
          <w:sz w:val="22"/>
          <w:szCs w:val="22"/>
        </w:rPr>
        <w:lastRenderedPageBreak/>
        <w:t>Table 2</w:t>
      </w:r>
      <w:r w:rsidR="00B91A16" w:rsidRPr="00510C63">
        <w:rPr>
          <w:rFonts w:ascii="Arial" w:hAnsi="Arial" w:cs="Arial"/>
          <w:b/>
          <w:sz w:val="22"/>
          <w:szCs w:val="22"/>
        </w:rPr>
        <w:t>. Gender Considerations by Project Component and Activity.</w:t>
      </w:r>
    </w:p>
    <w:tbl>
      <w:tblPr>
        <w:tblStyle w:val="TableGrid"/>
        <w:tblW w:w="12426" w:type="dxa"/>
        <w:tblInd w:w="169" w:type="dxa"/>
        <w:tblLayout w:type="fixed"/>
        <w:tblLook w:val="04A0" w:firstRow="1" w:lastRow="0" w:firstColumn="1" w:lastColumn="0" w:noHBand="0" w:noVBand="1"/>
      </w:tblPr>
      <w:tblGrid>
        <w:gridCol w:w="1986"/>
        <w:gridCol w:w="1800"/>
        <w:gridCol w:w="4500"/>
        <w:gridCol w:w="4140"/>
      </w:tblGrid>
      <w:tr w:rsidR="00B91A16" w:rsidRPr="00510C63" w:rsidTr="00545042">
        <w:trPr>
          <w:trHeight w:val="600"/>
        </w:trPr>
        <w:tc>
          <w:tcPr>
            <w:tcW w:w="1986" w:type="dxa"/>
            <w:shd w:val="clear" w:color="auto" w:fill="006C4B"/>
            <w:vAlign w:val="center"/>
          </w:tcPr>
          <w:p w:rsidR="00B91A16" w:rsidRPr="00510C63" w:rsidRDefault="00B91A16" w:rsidP="000A355C">
            <w:pPr>
              <w:ind w:right="-29"/>
              <w:jc w:val="center"/>
              <w:rPr>
                <w:rFonts w:ascii="Arial" w:eastAsia="Times New Roman" w:hAnsi="Arial" w:cs="Arial"/>
                <w:b/>
                <w:color w:val="FFFFFF" w:themeColor="background1"/>
                <w:sz w:val="18"/>
                <w:szCs w:val="18"/>
              </w:rPr>
            </w:pPr>
            <w:r w:rsidRPr="00510C63">
              <w:rPr>
                <w:rFonts w:ascii="Arial" w:eastAsia="Times New Roman" w:hAnsi="Arial" w:cs="Arial"/>
                <w:b/>
                <w:color w:val="FFFFFF" w:themeColor="background1"/>
                <w:sz w:val="18"/>
                <w:szCs w:val="18"/>
              </w:rPr>
              <w:t>Project Component</w:t>
            </w:r>
          </w:p>
        </w:tc>
        <w:tc>
          <w:tcPr>
            <w:tcW w:w="1800" w:type="dxa"/>
            <w:shd w:val="clear" w:color="auto" w:fill="006C4B"/>
            <w:vAlign w:val="center"/>
          </w:tcPr>
          <w:p w:rsidR="00B91A16" w:rsidRPr="00510C63" w:rsidRDefault="00B91A16" w:rsidP="000A355C">
            <w:pPr>
              <w:ind w:right="-29"/>
              <w:jc w:val="center"/>
              <w:rPr>
                <w:rFonts w:ascii="Arial" w:eastAsia="Times New Roman" w:hAnsi="Arial" w:cs="Arial"/>
                <w:b/>
                <w:color w:val="FFFFFF" w:themeColor="background1"/>
                <w:sz w:val="18"/>
                <w:szCs w:val="18"/>
              </w:rPr>
            </w:pPr>
            <w:r w:rsidRPr="00510C63">
              <w:rPr>
                <w:rFonts w:ascii="Arial" w:eastAsia="Times New Roman" w:hAnsi="Arial" w:cs="Arial"/>
                <w:b/>
                <w:color w:val="FFFFFF" w:themeColor="background1"/>
                <w:sz w:val="18"/>
                <w:szCs w:val="18"/>
              </w:rPr>
              <w:t>Activity</w:t>
            </w:r>
          </w:p>
        </w:tc>
        <w:tc>
          <w:tcPr>
            <w:tcW w:w="4500" w:type="dxa"/>
            <w:shd w:val="clear" w:color="auto" w:fill="006C4B"/>
            <w:vAlign w:val="center"/>
          </w:tcPr>
          <w:p w:rsidR="00B91A16" w:rsidRPr="00510C63" w:rsidRDefault="00B91A16" w:rsidP="000A355C">
            <w:pPr>
              <w:ind w:right="-29"/>
              <w:jc w:val="center"/>
              <w:rPr>
                <w:rFonts w:ascii="Arial" w:eastAsia="Times New Roman" w:hAnsi="Arial" w:cs="Arial"/>
                <w:b/>
                <w:color w:val="FFFFFF" w:themeColor="background1"/>
                <w:sz w:val="18"/>
                <w:szCs w:val="18"/>
              </w:rPr>
            </w:pPr>
            <w:r w:rsidRPr="00510C63">
              <w:rPr>
                <w:rFonts w:ascii="Arial" w:eastAsia="Times New Roman" w:hAnsi="Arial" w:cs="Arial"/>
                <w:b/>
                <w:color w:val="FFFFFF" w:themeColor="background1"/>
                <w:sz w:val="18"/>
                <w:szCs w:val="18"/>
              </w:rPr>
              <w:t>Sub-Activity</w:t>
            </w:r>
          </w:p>
        </w:tc>
        <w:tc>
          <w:tcPr>
            <w:tcW w:w="4140" w:type="dxa"/>
            <w:shd w:val="clear" w:color="auto" w:fill="006C4B"/>
            <w:vAlign w:val="center"/>
          </w:tcPr>
          <w:p w:rsidR="00B91A16" w:rsidRPr="00510C63" w:rsidRDefault="00B91A16" w:rsidP="000A355C">
            <w:pPr>
              <w:ind w:right="-29"/>
              <w:jc w:val="center"/>
              <w:rPr>
                <w:rFonts w:ascii="Arial" w:eastAsia="Times New Roman" w:hAnsi="Arial" w:cs="Arial"/>
                <w:b/>
                <w:color w:val="FFFFFF" w:themeColor="background1"/>
                <w:sz w:val="18"/>
                <w:szCs w:val="18"/>
              </w:rPr>
            </w:pPr>
            <w:r w:rsidRPr="00510C63">
              <w:rPr>
                <w:rFonts w:ascii="Arial" w:eastAsia="Times New Roman" w:hAnsi="Arial" w:cs="Arial"/>
                <w:b/>
                <w:color w:val="FFFFFF" w:themeColor="background1"/>
                <w:sz w:val="18"/>
                <w:szCs w:val="18"/>
              </w:rPr>
              <w:t>Gender Considerations</w:t>
            </w:r>
          </w:p>
        </w:tc>
      </w:tr>
      <w:tr w:rsidR="00B91A16" w:rsidRPr="00510C63" w:rsidTr="00545042">
        <w:trPr>
          <w:trHeight w:val="375"/>
        </w:trPr>
        <w:tc>
          <w:tcPr>
            <w:tcW w:w="1986" w:type="dxa"/>
            <w:vMerge w:val="restart"/>
            <w:vAlign w:val="center"/>
          </w:tcPr>
          <w:p w:rsidR="00B91A16" w:rsidRPr="00510C63" w:rsidRDefault="00B91A16" w:rsidP="000A355C">
            <w:pPr>
              <w:ind w:right="-29"/>
              <w:rPr>
                <w:rFonts w:ascii="Arial" w:eastAsia="Times New Roman" w:hAnsi="Arial" w:cs="Arial"/>
                <w:sz w:val="18"/>
                <w:szCs w:val="18"/>
              </w:rPr>
            </w:pPr>
            <w:r w:rsidRPr="00510C63">
              <w:rPr>
                <w:rFonts w:ascii="Arial" w:hAnsi="Arial" w:cs="Arial"/>
                <w:sz w:val="18"/>
                <w:szCs w:val="18"/>
              </w:rPr>
              <w:t>1. Improved access to financial and non-financial instruments and operational mechanisms to deploy them for financing EE investments by SMEs</w:t>
            </w:r>
          </w:p>
        </w:tc>
        <w:tc>
          <w:tcPr>
            <w:tcW w:w="1800" w:type="dxa"/>
            <w:vMerge w:val="restart"/>
            <w:vAlign w:val="center"/>
          </w:tcPr>
          <w:p w:rsidR="00B91A16" w:rsidRPr="00510C63" w:rsidRDefault="00B91A16" w:rsidP="000A355C">
            <w:pPr>
              <w:ind w:right="-29"/>
              <w:rPr>
                <w:rFonts w:ascii="Arial" w:eastAsia="Times New Roman" w:hAnsi="Arial" w:cs="Arial"/>
                <w:sz w:val="18"/>
                <w:szCs w:val="18"/>
              </w:rPr>
            </w:pPr>
            <w:r w:rsidRPr="00510C63">
              <w:rPr>
                <w:rFonts w:ascii="Arial" w:hAnsi="Arial" w:cs="Arial"/>
                <w:sz w:val="18"/>
                <w:szCs w:val="18"/>
              </w:rPr>
              <w:t>1.1.</w:t>
            </w:r>
            <w:r w:rsidR="000A355C" w:rsidRPr="00510C63">
              <w:rPr>
                <w:rFonts w:ascii="Arial" w:hAnsi="Arial" w:cs="Arial"/>
                <w:sz w:val="18"/>
                <w:szCs w:val="18"/>
              </w:rPr>
              <w:t xml:space="preserve"> </w:t>
            </w:r>
            <w:r w:rsidRPr="00510C63">
              <w:rPr>
                <w:rFonts w:ascii="Arial" w:hAnsi="Arial" w:cs="Arial"/>
                <w:sz w:val="18"/>
                <w:szCs w:val="18"/>
              </w:rPr>
              <w:t>Develop financial and non-financial instruments, including standard performance contract, insurance policy covering energy savings and validation methodologies to account energy savings</w:t>
            </w:r>
          </w:p>
        </w:tc>
        <w:tc>
          <w:tcPr>
            <w:tcW w:w="4500" w:type="dxa"/>
          </w:tcPr>
          <w:p w:rsidR="00B91A16" w:rsidRPr="00510C63" w:rsidRDefault="00B91A16" w:rsidP="000A355C">
            <w:pPr>
              <w:ind w:right="-29"/>
              <w:rPr>
                <w:rFonts w:ascii="Arial" w:eastAsia="Times New Roman" w:hAnsi="Arial" w:cs="Arial"/>
                <w:sz w:val="18"/>
                <w:szCs w:val="18"/>
              </w:rPr>
            </w:pPr>
            <w:r w:rsidRPr="00510C63">
              <w:rPr>
                <w:rFonts w:ascii="Arial" w:eastAsia="Times New Roman" w:hAnsi="Arial" w:cs="Arial"/>
                <w:sz w:val="18"/>
                <w:szCs w:val="18"/>
              </w:rPr>
              <w:t>1.1.1. Development of a standard performance contract for risk sharing between SMEs and ESTPs</w:t>
            </w:r>
          </w:p>
        </w:tc>
        <w:tc>
          <w:tcPr>
            <w:tcW w:w="4140" w:type="dxa"/>
            <w:vMerge w:val="restart"/>
            <w:vAlign w:val="center"/>
          </w:tcPr>
          <w:p w:rsidR="00B91A16" w:rsidRPr="00510C63" w:rsidRDefault="00B91A16" w:rsidP="000A355C">
            <w:pPr>
              <w:ind w:right="-29"/>
              <w:rPr>
                <w:rFonts w:ascii="Arial" w:eastAsia="Times New Roman" w:hAnsi="Arial" w:cs="Arial"/>
                <w:sz w:val="18"/>
                <w:szCs w:val="18"/>
              </w:rPr>
            </w:pPr>
            <w:r w:rsidRPr="00510C63">
              <w:rPr>
                <w:rFonts w:ascii="Arial" w:eastAsia="Times New Roman" w:hAnsi="Arial" w:cs="Arial"/>
                <w:sz w:val="18"/>
                <w:szCs w:val="18"/>
              </w:rPr>
              <w:t>Ensure the needs and realities of women and men are addressed during project consultations</w:t>
            </w:r>
          </w:p>
        </w:tc>
      </w:tr>
      <w:tr w:rsidR="00B91A16" w:rsidRPr="00510C63" w:rsidTr="00545042">
        <w:trPr>
          <w:trHeight w:val="375"/>
        </w:trPr>
        <w:tc>
          <w:tcPr>
            <w:tcW w:w="1986" w:type="dxa"/>
            <w:vMerge/>
            <w:vAlign w:val="center"/>
          </w:tcPr>
          <w:p w:rsidR="00B91A16" w:rsidRPr="00510C63" w:rsidRDefault="00B91A16" w:rsidP="000A355C">
            <w:pPr>
              <w:ind w:right="-29"/>
              <w:rPr>
                <w:rFonts w:ascii="Arial" w:hAnsi="Arial" w:cs="Arial"/>
                <w:sz w:val="18"/>
                <w:szCs w:val="18"/>
              </w:rPr>
            </w:pPr>
          </w:p>
        </w:tc>
        <w:tc>
          <w:tcPr>
            <w:tcW w:w="1800" w:type="dxa"/>
            <w:vMerge/>
            <w:vAlign w:val="center"/>
          </w:tcPr>
          <w:p w:rsidR="00B91A16" w:rsidRPr="00510C63" w:rsidRDefault="00B91A16" w:rsidP="000A355C">
            <w:pPr>
              <w:ind w:right="-29"/>
              <w:rPr>
                <w:rFonts w:ascii="Arial" w:hAnsi="Arial" w:cs="Arial"/>
                <w:sz w:val="18"/>
                <w:szCs w:val="18"/>
              </w:rPr>
            </w:pPr>
          </w:p>
        </w:tc>
        <w:tc>
          <w:tcPr>
            <w:tcW w:w="4500" w:type="dxa"/>
          </w:tcPr>
          <w:p w:rsidR="00B91A16" w:rsidRPr="00510C63" w:rsidRDefault="00B91A16" w:rsidP="000A355C">
            <w:pPr>
              <w:ind w:right="-29"/>
              <w:rPr>
                <w:rFonts w:ascii="Arial" w:eastAsia="Times New Roman" w:hAnsi="Arial" w:cs="Arial"/>
                <w:sz w:val="18"/>
                <w:szCs w:val="18"/>
              </w:rPr>
            </w:pPr>
            <w:r w:rsidRPr="00510C63">
              <w:rPr>
                <w:rFonts w:ascii="Arial" w:eastAsia="Times New Roman" w:hAnsi="Arial" w:cs="Arial"/>
                <w:sz w:val="18"/>
                <w:szCs w:val="18"/>
              </w:rPr>
              <w:t>1.1.2. Development of insurance policy covering energy savings</w:t>
            </w:r>
          </w:p>
        </w:tc>
        <w:tc>
          <w:tcPr>
            <w:tcW w:w="4140" w:type="dxa"/>
            <w:vMerge/>
          </w:tcPr>
          <w:p w:rsidR="00B91A16" w:rsidRPr="00510C63" w:rsidRDefault="00B91A16" w:rsidP="000A355C">
            <w:pPr>
              <w:ind w:right="-29"/>
              <w:rPr>
                <w:rFonts w:ascii="Arial" w:eastAsia="Times New Roman" w:hAnsi="Arial" w:cs="Arial"/>
                <w:sz w:val="18"/>
                <w:szCs w:val="18"/>
              </w:rPr>
            </w:pPr>
          </w:p>
        </w:tc>
      </w:tr>
      <w:tr w:rsidR="00B91A16" w:rsidRPr="00510C63" w:rsidTr="00545042">
        <w:trPr>
          <w:trHeight w:val="375"/>
        </w:trPr>
        <w:tc>
          <w:tcPr>
            <w:tcW w:w="1986" w:type="dxa"/>
            <w:vMerge/>
            <w:vAlign w:val="center"/>
          </w:tcPr>
          <w:p w:rsidR="00B91A16" w:rsidRPr="00510C63" w:rsidRDefault="00B91A16" w:rsidP="00545042">
            <w:pPr>
              <w:spacing w:before="40" w:after="120"/>
              <w:ind w:right="-29"/>
              <w:rPr>
                <w:rFonts w:ascii="Arial" w:hAnsi="Arial" w:cs="Arial"/>
                <w:sz w:val="18"/>
                <w:szCs w:val="18"/>
              </w:rPr>
            </w:pPr>
          </w:p>
        </w:tc>
        <w:tc>
          <w:tcPr>
            <w:tcW w:w="1800" w:type="dxa"/>
            <w:vMerge/>
            <w:vAlign w:val="center"/>
          </w:tcPr>
          <w:p w:rsidR="00B91A16" w:rsidRPr="00510C63" w:rsidRDefault="00B91A16" w:rsidP="00545042">
            <w:pPr>
              <w:spacing w:before="40" w:after="120"/>
              <w:ind w:right="-29"/>
              <w:rPr>
                <w:rFonts w:ascii="Arial" w:hAnsi="Arial" w:cs="Arial"/>
                <w:sz w:val="18"/>
                <w:szCs w:val="18"/>
              </w:rPr>
            </w:pPr>
          </w:p>
        </w:tc>
        <w:tc>
          <w:tcPr>
            <w:tcW w:w="450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1.1.3. Develop methodologies accounting for technology / project level energy savings</w:t>
            </w:r>
          </w:p>
        </w:tc>
        <w:tc>
          <w:tcPr>
            <w:tcW w:w="414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Ensure women and men equally benefit from the trainings and services</w:t>
            </w:r>
          </w:p>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Ensure the needs and realities of women and men are addressed during project consultations</w:t>
            </w:r>
          </w:p>
        </w:tc>
      </w:tr>
      <w:tr w:rsidR="00B91A16" w:rsidRPr="00510C63" w:rsidTr="00545042">
        <w:trPr>
          <w:trHeight w:val="375"/>
        </w:trPr>
        <w:tc>
          <w:tcPr>
            <w:tcW w:w="1986" w:type="dxa"/>
            <w:vMerge/>
            <w:vAlign w:val="center"/>
          </w:tcPr>
          <w:p w:rsidR="00B91A16" w:rsidRPr="00510C63" w:rsidRDefault="00B91A16" w:rsidP="00545042">
            <w:pPr>
              <w:spacing w:before="40" w:after="120"/>
              <w:ind w:right="-29"/>
              <w:rPr>
                <w:rFonts w:ascii="Arial" w:hAnsi="Arial" w:cs="Arial"/>
                <w:sz w:val="18"/>
                <w:szCs w:val="18"/>
              </w:rPr>
            </w:pPr>
          </w:p>
        </w:tc>
        <w:tc>
          <w:tcPr>
            <w:tcW w:w="1800" w:type="dxa"/>
            <w:vMerge/>
            <w:vAlign w:val="center"/>
          </w:tcPr>
          <w:p w:rsidR="00B91A16" w:rsidRPr="00510C63" w:rsidRDefault="00B91A16" w:rsidP="00545042">
            <w:pPr>
              <w:spacing w:before="40" w:after="120"/>
              <w:ind w:right="-29"/>
              <w:rPr>
                <w:rFonts w:ascii="Arial" w:hAnsi="Arial" w:cs="Arial"/>
                <w:sz w:val="18"/>
                <w:szCs w:val="18"/>
              </w:rPr>
            </w:pPr>
          </w:p>
        </w:tc>
        <w:tc>
          <w:tcPr>
            <w:tcW w:w="450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1.1.4. Development of a Business Plan for the Project promotion and execution</w:t>
            </w:r>
          </w:p>
        </w:tc>
        <w:tc>
          <w:tcPr>
            <w:tcW w:w="414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Ensure the needs and realities of women and men are addressed during project consultations</w:t>
            </w:r>
          </w:p>
        </w:tc>
      </w:tr>
      <w:tr w:rsidR="00B91A16" w:rsidRPr="00510C63" w:rsidTr="00545042">
        <w:trPr>
          <w:trHeight w:val="375"/>
        </w:trPr>
        <w:tc>
          <w:tcPr>
            <w:tcW w:w="1986" w:type="dxa"/>
            <w:vMerge/>
            <w:vAlign w:val="center"/>
          </w:tcPr>
          <w:p w:rsidR="00B91A16" w:rsidRPr="00510C63" w:rsidRDefault="00B91A16" w:rsidP="00545042">
            <w:pPr>
              <w:spacing w:before="40" w:after="120"/>
              <w:ind w:right="-29"/>
              <w:rPr>
                <w:rFonts w:ascii="Arial" w:hAnsi="Arial" w:cs="Arial"/>
                <w:sz w:val="18"/>
                <w:szCs w:val="18"/>
              </w:rPr>
            </w:pPr>
          </w:p>
        </w:tc>
        <w:tc>
          <w:tcPr>
            <w:tcW w:w="1800" w:type="dxa"/>
            <w:vMerge/>
            <w:vAlign w:val="center"/>
          </w:tcPr>
          <w:p w:rsidR="00B91A16" w:rsidRPr="00510C63" w:rsidRDefault="00B91A16" w:rsidP="00545042">
            <w:pPr>
              <w:spacing w:before="40" w:after="120"/>
              <w:ind w:right="-29"/>
              <w:rPr>
                <w:rFonts w:ascii="Arial" w:hAnsi="Arial" w:cs="Arial"/>
                <w:sz w:val="18"/>
                <w:szCs w:val="18"/>
              </w:rPr>
            </w:pPr>
          </w:p>
        </w:tc>
        <w:tc>
          <w:tcPr>
            <w:tcW w:w="450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1.1.5. Hiring and operationalization of two (2) validators</w:t>
            </w:r>
          </w:p>
        </w:tc>
        <w:tc>
          <w:tcPr>
            <w:tcW w:w="414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Address any gender inequalities real or potential in the project</w:t>
            </w:r>
          </w:p>
        </w:tc>
      </w:tr>
      <w:tr w:rsidR="00B91A16" w:rsidRPr="00510C63" w:rsidTr="00545042">
        <w:trPr>
          <w:trHeight w:val="375"/>
        </w:trPr>
        <w:tc>
          <w:tcPr>
            <w:tcW w:w="1986" w:type="dxa"/>
            <w:vMerge/>
            <w:vAlign w:val="center"/>
          </w:tcPr>
          <w:p w:rsidR="00B91A16" w:rsidRPr="00510C63" w:rsidRDefault="00B91A16" w:rsidP="00545042">
            <w:pPr>
              <w:spacing w:before="40" w:after="120"/>
              <w:ind w:right="-29"/>
              <w:rPr>
                <w:rFonts w:ascii="Arial" w:hAnsi="Arial" w:cs="Arial"/>
                <w:sz w:val="18"/>
                <w:szCs w:val="18"/>
              </w:rPr>
            </w:pPr>
          </w:p>
        </w:tc>
        <w:tc>
          <w:tcPr>
            <w:tcW w:w="1800" w:type="dxa"/>
            <w:vMerge/>
            <w:vAlign w:val="center"/>
          </w:tcPr>
          <w:p w:rsidR="00B91A16" w:rsidRPr="00510C63" w:rsidRDefault="00B91A16" w:rsidP="00545042">
            <w:pPr>
              <w:spacing w:before="40" w:after="120"/>
              <w:ind w:right="-29"/>
              <w:rPr>
                <w:rFonts w:ascii="Arial" w:hAnsi="Arial" w:cs="Arial"/>
                <w:sz w:val="18"/>
                <w:szCs w:val="18"/>
              </w:rPr>
            </w:pPr>
          </w:p>
        </w:tc>
        <w:tc>
          <w:tcPr>
            <w:tcW w:w="450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1.1.6. Establishment at AFD of a business unit dedicated for EE financing and</w:t>
            </w:r>
            <w:r w:rsidR="00027595" w:rsidRPr="00510C63">
              <w:rPr>
                <w:rFonts w:ascii="Arial" w:eastAsia="Times New Roman" w:hAnsi="Arial" w:cs="Arial"/>
                <w:sz w:val="18"/>
                <w:szCs w:val="18"/>
              </w:rPr>
              <w:t xml:space="preserve"> </w:t>
            </w:r>
            <w:r w:rsidR="005F61C6" w:rsidRPr="00510C63">
              <w:rPr>
                <w:rFonts w:ascii="Arial" w:eastAsia="Times New Roman" w:hAnsi="Arial" w:cs="Arial"/>
                <w:sz w:val="18"/>
                <w:szCs w:val="18"/>
              </w:rPr>
              <w:t>Project and pipeline development</w:t>
            </w:r>
          </w:p>
        </w:tc>
        <w:tc>
          <w:tcPr>
            <w:tcW w:w="414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Ensure the needs and realities of women and men are addressed during project consultations</w:t>
            </w:r>
          </w:p>
        </w:tc>
      </w:tr>
      <w:tr w:rsidR="00B91A16" w:rsidRPr="00510C63" w:rsidTr="00545042">
        <w:trPr>
          <w:trHeight w:val="375"/>
        </w:trPr>
        <w:tc>
          <w:tcPr>
            <w:tcW w:w="1986" w:type="dxa"/>
            <w:vMerge/>
            <w:vAlign w:val="center"/>
          </w:tcPr>
          <w:p w:rsidR="00B91A16" w:rsidRPr="00510C63" w:rsidRDefault="00B91A16" w:rsidP="00545042">
            <w:pPr>
              <w:spacing w:before="40" w:after="120"/>
              <w:ind w:right="-29"/>
              <w:rPr>
                <w:rFonts w:ascii="Arial" w:hAnsi="Arial" w:cs="Arial"/>
                <w:sz w:val="18"/>
                <w:szCs w:val="18"/>
              </w:rPr>
            </w:pPr>
          </w:p>
        </w:tc>
        <w:tc>
          <w:tcPr>
            <w:tcW w:w="1800" w:type="dxa"/>
            <w:vMerge/>
            <w:vAlign w:val="center"/>
          </w:tcPr>
          <w:p w:rsidR="00B91A16" w:rsidRPr="00510C63" w:rsidRDefault="00B91A16" w:rsidP="00545042">
            <w:pPr>
              <w:spacing w:before="40" w:after="120"/>
              <w:ind w:right="-29"/>
              <w:rPr>
                <w:rFonts w:ascii="Arial" w:hAnsi="Arial" w:cs="Arial"/>
                <w:sz w:val="18"/>
                <w:szCs w:val="18"/>
              </w:rPr>
            </w:pPr>
          </w:p>
        </w:tc>
        <w:tc>
          <w:tcPr>
            <w:tcW w:w="450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1.1.7. Establishment of electronic registry system for monitoring and evaluation of projects and program’s results</w:t>
            </w:r>
          </w:p>
        </w:tc>
        <w:tc>
          <w:tcPr>
            <w:tcW w:w="414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Ensure that the electronic registry system collect sex–disaggregated data and qualitative information to track the real gender impacts of the project</w:t>
            </w:r>
          </w:p>
        </w:tc>
      </w:tr>
      <w:tr w:rsidR="00B91A16" w:rsidRPr="00510C63" w:rsidTr="00545042">
        <w:trPr>
          <w:trHeight w:val="375"/>
        </w:trPr>
        <w:tc>
          <w:tcPr>
            <w:tcW w:w="1986" w:type="dxa"/>
            <w:vMerge/>
            <w:vAlign w:val="center"/>
          </w:tcPr>
          <w:p w:rsidR="00B91A16" w:rsidRPr="00510C63" w:rsidRDefault="00B91A16" w:rsidP="00545042">
            <w:pPr>
              <w:spacing w:before="40" w:after="120"/>
              <w:ind w:right="-29"/>
              <w:rPr>
                <w:rFonts w:ascii="Arial" w:eastAsia="Times New Roman" w:hAnsi="Arial" w:cs="Arial"/>
                <w:sz w:val="18"/>
                <w:szCs w:val="18"/>
              </w:rPr>
            </w:pPr>
          </w:p>
        </w:tc>
        <w:tc>
          <w:tcPr>
            <w:tcW w:w="1800" w:type="dxa"/>
            <w:vMerge w:val="restart"/>
            <w:vAlign w:val="center"/>
          </w:tcPr>
          <w:p w:rsidR="00B91A16" w:rsidRPr="00510C63" w:rsidRDefault="00B91A16" w:rsidP="00545042">
            <w:pPr>
              <w:spacing w:before="40" w:after="120"/>
              <w:ind w:right="-29"/>
              <w:rPr>
                <w:rFonts w:ascii="Arial" w:hAnsi="Arial" w:cs="Arial"/>
                <w:sz w:val="18"/>
                <w:szCs w:val="18"/>
              </w:rPr>
            </w:pPr>
            <w:r w:rsidRPr="00510C63">
              <w:rPr>
                <w:rFonts w:ascii="Arial" w:hAnsi="Arial" w:cs="Arial"/>
                <w:sz w:val="18"/>
                <w:szCs w:val="18"/>
              </w:rPr>
              <w:t xml:space="preserve">1.2. Strengthen capacity of </w:t>
            </w:r>
            <w:r w:rsidR="00FF4D1A">
              <w:rPr>
                <w:rFonts w:ascii="Arial" w:hAnsi="Arial" w:cs="Arial"/>
                <w:sz w:val="18"/>
                <w:szCs w:val="18"/>
              </w:rPr>
              <w:t>I</w:t>
            </w:r>
            <w:r w:rsidRPr="00510C63">
              <w:rPr>
                <w:rFonts w:ascii="Arial" w:hAnsi="Arial" w:cs="Arial"/>
                <w:sz w:val="18"/>
                <w:szCs w:val="18"/>
              </w:rPr>
              <w:t>FIs, ESTPs and validators for EE project development</w:t>
            </w:r>
          </w:p>
        </w:tc>
        <w:tc>
          <w:tcPr>
            <w:tcW w:w="4500" w:type="dxa"/>
            <w:vAlign w:val="center"/>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1.2.1. Training of AFD staff (at least 20% women) on Project mechanisms and methodologies.</w:t>
            </w:r>
          </w:p>
        </w:tc>
        <w:tc>
          <w:tcPr>
            <w:tcW w:w="4140" w:type="dxa"/>
            <w:vMerge w:val="restart"/>
            <w:vAlign w:val="center"/>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Ensure women and men have equal access to project resources, services, capacity building</w:t>
            </w:r>
          </w:p>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Ensure women and men equally benefit from the trainings and services</w:t>
            </w:r>
          </w:p>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Ensure the needs and realities of women and men are addressed in project activities</w:t>
            </w:r>
          </w:p>
        </w:tc>
      </w:tr>
      <w:tr w:rsidR="00B91A16" w:rsidRPr="00510C63" w:rsidTr="00545042">
        <w:trPr>
          <w:trHeight w:val="375"/>
        </w:trPr>
        <w:tc>
          <w:tcPr>
            <w:tcW w:w="1986" w:type="dxa"/>
            <w:vMerge/>
          </w:tcPr>
          <w:p w:rsidR="00B91A16" w:rsidRPr="00510C63" w:rsidRDefault="00B91A16" w:rsidP="00545042">
            <w:pPr>
              <w:spacing w:before="40" w:after="120"/>
              <w:ind w:right="-29"/>
              <w:rPr>
                <w:rFonts w:ascii="Arial" w:eastAsia="Times New Roman" w:hAnsi="Arial" w:cs="Arial"/>
                <w:sz w:val="18"/>
                <w:szCs w:val="18"/>
              </w:rPr>
            </w:pPr>
          </w:p>
        </w:tc>
        <w:tc>
          <w:tcPr>
            <w:tcW w:w="1800" w:type="dxa"/>
            <w:vMerge/>
          </w:tcPr>
          <w:p w:rsidR="00B91A16" w:rsidRPr="00510C63" w:rsidRDefault="00B91A16" w:rsidP="00545042">
            <w:pPr>
              <w:spacing w:before="40" w:after="120"/>
              <w:ind w:right="-29"/>
              <w:rPr>
                <w:rFonts w:ascii="Arial" w:hAnsi="Arial" w:cs="Arial"/>
                <w:sz w:val="18"/>
                <w:szCs w:val="18"/>
              </w:rPr>
            </w:pPr>
          </w:p>
        </w:tc>
        <w:tc>
          <w:tcPr>
            <w:tcW w:w="4500" w:type="dxa"/>
            <w:vAlign w:val="center"/>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 xml:space="preserve">1.2.2. Training activities (workshops, seminars, etc.) to inform and train five (5) </w:t>
            </w:r>
            <w:r w:rsidR="00FF4D1A">
              <w:rPr>
                <w:rFonts w:ascii="Arial" w:eastAsia="Times New Roman" w:hAnsi="Arial" w:cs="Arial"/>
                <w:sz w:val="18"/>
                <w:szCs w:val="18"/>
              </w:rPr>
              <w:t>I</w:t>
            </w:r>
            <w:r w:rsidRPr="00510C63">
              <w:rPr>
                <w:rFonts w:ascii="Arial" w:eastAsia="Times New Roman" w:hAnsi="Arial" w:cs="Arial"/>
                <w:sz w:val="18"/>
                <w:szCs w:val="18"/>
              </w:rPr>
              <w:t xml:space="preserve">FIs and its staff (2 per </w:t>
            </w:r>
            <w:r w:rsidR="00FF4D1A">
              <w:rPr>
                <w:rFonts w:ascii="Arial" w:eastAsia="Times New Roman" w:hAnsi="Arial" w:cs="Arial"/>
                <w:sz w:val="18"/>
                <w:szCs w:val="18"/>
              </w:rPr>
              <w:t>I</w:t>
            </w:r>
            <w:bookmarkStart w:id="4" w:name="_GoBack"/>
            <w:bookmarkEnd w:id="4"/>
            <w:r w:rsidRPr="00510C63">
              <w:rPr>
                <w:rFonts w:ascii="Arial" w:eastAsia="Times New Roman" w:hAnsi="Arial" w:cs="Arial"/>
                <w:sz w:val="18"/>
                <w:szCs w:val="18"/>
              </w:rPr>
              <w:t>FI) on financing EE projects</w:t>
            </w:r>
          </w:p>
        </w:tc>
        <w:tc>
          <w:tcPr>
            <w:tcW w:w="4140" w:type="dxa"/>
            <w:vMerge/>
          </w:tcPr>
          <w:p w:rsidR="00B91A16" w:rsidRPr="00510C63" w:rsidRDefault="00B91A16" w:rsidP="00545042">
            <w:pPr>
              <w:spacing w:before="40" w:after="120"/>
              <w:ind w:right="-29"/>
              <w:rPr>
                <w:rFonts w:ascii="Arial" w:eastAsia="Times New Roman" w:hAnsi="Arial" w:cs="Arial"/>
                <w:sz w:val="22"/>
                <w:szCs w:val="22"/>
              </w:rPr>
            </w:pPr>
          </w:p>
        </w:tc>
      </w:tr>
      <w:tr w:rsidR="00B91A16" w:rsidRPr="00510C63" w:rsidTr="00545042">
        <w:trPr>
          <w:trHeight w:val="375"/>
        </w:trPr>
        <w:tc>
          <w:tcPr>
            <w:tcW w:w="1986" w:type="dxa"/>
            <w:vMerge/>
          </w:tcPr>
          <w:p w:rsidR="00B91A16" w:rsidRPr="00510C63" w:rsidRDefault="00B91A16" w:rsidP="00545042">
            <w:pPr>
              <w:spacing w:before="40" w:after="120"/>
              <w:ind w:right="-29"/>
              <w:rPr>
                <w:rFonts w:ascii="Arial" w:eastAsia="Times New Roman" w:hAnsi="Arial" w:cs="Arial"/>
                <w:sz w:val="18"/>
                <w:szCs w:val="18"/>
              </w:rPr>
            </w:pPr>
          </w:p>
        </w:tc>
        <w:tc>
          <w:tcPr>
            <w:tcW w:w="1800" w:type="dxa"/>
            <w:vMerge/>
          </w:tcPr>
          <w:p w:rsidR="00B91A16" w:rsidRPr="00510C63" w:rsidRDefault="00B91A16" w:rsidP="00545042">
            <w:pPr>
              <w:spacing w:before="40" w:after="120"/>
              <w:ind w:right="-29"/>
              <w:rPr>
                <w:rFonts w:ascii="Arial" w:hAnsi="Arial" w:cs="Arial"/>
                <w:sz w:val="18"/>
                <w:szCs w:val="18"/>
              </w:rPr>
            </w:pPr>
          </w:p>
        </w:tc>
        <w:tc>
          <w:tcPr>
            <w:tcW w:w="4500" w:type="dxa"/>
            <w:vAlign w:val="center"/>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1.2.3. Two (2) local technical validators (total of 6 staff) informed and trained (at least 20% women) about Project methodology.</w:t>
            </w:r>
          </w:p>
        </w:tc>
        <w:tc>
          <w:tcPr>
            <w:tcW w:w="4140" w:type="dxa"/>
            <w:vMerge/>
          </w:tcPr>
          <w:p w:rsidR="00B91A16" w:rsidRPr="00510C63" w:rsidRDefault="00B91A16" w:rsidP="00545042">
            <w:pPr>
              <w:spacing w:before="40" w:after="120"/>
              <w:ind w:right="-29"/>
              <w:jc w:val="right"/>
              <w:rPr>
                <w:rFonts w:ascii="Arial" w:eastAsia="Times New Roman" w:hAnsi="Arial" w:cs="Arial"/>
                <w:sz w:val="22"/>
                <w:szCs w:val="22"/>
              </w:rPr>
            </w:pPr>
          </w:p>
        </w:tc>
      </w:tr>
      <w:tr w:rsidR="00B91A16" w:rsidRPr="00510C63" w:rsidTr="00545042">
        <w:trPr>
          <w:trHeight w:val="375"/>
        </w:trPr>
        <w:tc>
          <w:tcPr>
            <w:tcW w:w="1986" w:type="dxa"/>
            <w:vMerge/>
          </w:tcPr>
          <w:p w:rsidR="00B91A16" w:rsidRPr="00510C63" w:rsidRDefault="00B91A16" w:rsidP="00545042">
            <w:pPr>
              <w:spacing w:before="40" w:after="120"/>
              <w:ind w:right="-29"/>
              <w:rPr>
                <w:rFonts w:ascii="Arial" w:eastAsia="Times New Roman" w:hAnsi="Arial" w:cs="Arial"/>
                <w:sz w:val="18"/>
                <w:szCs w:val="18"/>
              </w:rPr>
            </w:pPr>
          </w:p>
        </w:tc>
        <w:tc>
          <w:tcPr>
            <w:tcW w:w="1800" w:type="dxa"/>
            <w:vMerge/>
          </w:tcPr>
          <w:p w:rsidR="00B91A16" w:rsidRPr="00510C63" w:rsidRDefault="00B91A16" w:rsidP="00545042">
            <w:pPr>
              <w:spacing w:before="40" w:after="120"/>
              <w:ind w:right="-29"/>
              <w:rPr>
                <w:rFonts w:ascii="Arial" w:hAnsi="Arial" w:cs="Arial"/>
                <w:sz w:val="18"/>
                <w:szCs w:val="18"/>
              </w:rPr>
            </w:pPr>
          </w:p>
        </w:tc>
        <w:tc>
          <w:tcPr>
            <w:tcW w:w="4500" w:type="dxa"/>
            <w:vAlign w:val="center"/>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1.2.4. Training thirty (30) technology solution providers (at least 20% women) about Program mechanisms</w:t>
            </w:r>
          </w:p>
        </w:tc>
        <w:tc>
          <w:tcPr>
            <w:tcW w:w="4140" w:type="dxa"/>
            <w:vMerge/>
          </w:tcPr>
          <w:p w:rsidR="00B91A16" w:rsidRPr="00510C63" w:rsidRDefault="00B91A16" w:rsidP="00545042">
            <w:pPr>
              <w:spacing w:before="40" w:after="120"/>
              <w:ind w:right="-29"/>
              <w:jc w:val="right"/>
              <w:rPr>
                <w:rFonts w:ascii="Arial" w:eastAsia="Times New Roman" w:hAnsi="Arial" w:cs="Arial"/>
                <w:sz w:val="22"/>
                <w:szCs w:val="22"/>
              </w:rPr>
            </w:pPr>
          </w:p>
        </w:tc>
      </w:tr>
      <w:tr w:rsidR="00B91A16" w:rsidRPr="00510C63" w:rsidTr="00545042">
        <w:trPr>
          <w:trHeight w:val="375"/>
        </w:trPr>
        <w:tc>
          <w:tcPr>
            <w:tcW w:w="1986" w:type="dxa"/>
            <w:vMerge/>
          </w:tcPr>
          <w:p w:rsidR="00B91A16" w:rsidRPr="00510C63" w:rsidRDefault="00B91A16" w:rsidP="00545042">
            <w:pPr>
              <w:spacing w:before="40" w:after="120"/>
              <w:ind w:right="-29"/>
              <w:rPr>
                <w:rFonts w:ascii="Arial" w:eastAsia="Times New Roman" w:hAnsi="Arial" w:cs="Arial"/>
                <w:sz w:val="22"/>
                <w:szCs w:val="22"/>
              </w:rPr>
            </w:pPr>
          </w:p>
        </w:tc>
        <w:tc>
          <w:tcPr>
            <w:tcW w:w="1800" w:type="dxa"/>
            <w:vMerge/>
          </w:tcPr>
          <w:p w:rsidR="00B91A16" w:rsidRPr="00510C63" w:rsidRDefault="00B91A16" w:rsidP="00545042">
            <w:pPr>
              <w:spacing w:before="40" w:after="120"/>
              <w:ind w:right="-29"/>
              <w:rPr>
                <w:rFonts w:ascii="Arial" w:hAnsi="Arial" w:cs="Arial"/>
                <w:sz w:val="22"/>
                <w:szCs w:val="22"/>
              </w:rPr>
            </w:pPr>
          </w:p>
        </w:tc>
        <w:tc>
          <w:tcPr>
            <w:tcW w:w="4500" w:type="dxa"/>
            <w:vAlign w:val="center"/>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1.2.5. Training of SMEs on Program mechanisms</w:t>
            </w:r>
          </w:p>
        </w:tc>
        <w:tc>
          <w:tcPr>
            <w:tcW w:w="4140" w:type="dxa"/>
            <w:vMerge/>
          </w:tcPr>
          <w:p w:rsidR="00B91A16" w:rsidRPr="00510C63" w:rsidRDefault="00B91A16" w:rsidP="00545042">
            <w:pPr>
              <w:spacing w:before="40" w:after="120"/>
              <w:ind w:right="-29"/>
              <w:jc w:val="right"/>
              <w:rPr>
                <w:rFonts w:ascii="Arial" w:eastAsia="Times New Roman" w:hAnsi="Arial" w:cs="Arial"/>
                <w:sz w:val="18"/>
                <w:szCs w:val="18"/>
              </w:rPr>
            </w:pPr>
          </w:p>
        </w:tc>
      </w:tr>
      <w:tr w:rsidR="00B91A16" w:rsidRPr="00510C63" w:rsidTr="00545042">
        <w:trPr>
          <w:trHeight w:val="375"/>
        </w:trPr>
        <w:tc>
          <w:tcPr>
            <w:tcW w:w="1986" w:type="dxa"/>
            <w:vMerge/>
          </w:tcPr>
          <w:p w:rsidR="00B91A16" w:rsidRPr="00510C63" w:rsidRDefault="00B91A16" w:rsidP="00545042">
            <w:pPr>
              <w:spacing w:before="40" w:after="120"/>
              <w:ind w:right="-29"/>
              <w:rPr>
                <w:rFonts w:ascii="Arial" w:eastAsia="Times New Roman" w:hAnsi="Arial" w:cs="Arial"/>
                <w:sz w:val="22"/>
                <w:szCs w:val="22"/>
              </w:rPr>
            </w:pPr>
          </w:p>
        </w:tc>
        <w:tc>
          <w:tcPr>
            <w:tcW w:w="1800" w:type="dxa"/>
            <w:vMerge/>
          </w:tcPr>
          <w:p w:rsidR="00B91A16" w:rsidRPr="00510C63" w:rsidRDefault="00B91A16" w:rsidP="00545042">
            <w:pPr>
              <w:spacing w:before="40" w:after="120"/>
              <w:ind w:right="-29"/>
              <w:rPr>
                <w:rFonts w:ascii="Arial" w:hAnsi="Arial" w:cs="Arial"/>
                <w:sz w:val="22"/>
                <w:szCs w:val="22"/>
              </w:rPr>
            </w:pPr>
          </w:p>
        </w:tc>
        <w:tc>
          <w:tcPr>
            <w:tcW w:w="450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1.2.6. Development of six (6) products/publications, knowledge sharing events, country market reports published, and webinars</w:t>
            </w:r>
          </w:p>
        </w:tc>
        <w:tc>
          <w:tcPr>
            <w:tcW w:w="414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Collect and analyze sex–disaggregated data and qualitative information to track the real gender impacts of the project</w:t>
            </w:r>
          </w:p>
        </w:tc>
      </w:tr>
      <w:tr w:rsidR="00B91A16" w:rsidRPr="00510C63" w:rsidTr="00510C63">
        <w:trPr>
          <w:trHeight w:val="1448"/>
        </w:trPr>
        <w:tc>
          <w:tcPr>
            <w:tcW w:w="1986" w:type="dxa"/>
            <w:vAlign w:val="center"/>
          </w:tcPr>
          <w:p w:rsidR="00B91A16" w:rsidRPr="00510C63" w:rsidRDefault="00B91A16" w:rsidP="00545042">
            <w:pPr>
              <w:rPr>
                <w:rFonts w:ascii="Arial" w:eastAsia="Times New Roman" w:hAnsi="Arial" w:cs="Arial"/>
                <w:sz w:val="18"/>
                <w:szCs w:val="18"/>
              </w:rPr>
            </w:pPr>
            <w:r w:rsidRPr="00510C63">
              <w:rPr>
                <w:rFonts w:ascii="Arial" w:hAnsi="Arial" w:cs="Arial"/>
                <w:sz w:val="18"/>
                <w:szCs w:val="18"/>
              </w:rPr>
              <w:t>2. Increased annual dollar amount of medium and long-term loans granted to EE projects in SMEs using the ESI strategy</w:t>
            </w:r>
          </w:p>
        </w:tc>
        <w:tc>
          <w:tcPr>
            <w:tcW w:w="1800" w:type="dxa"/>
            <w:vAlign w:val="center"/>
          </w:tcPr>
          <w:p w:rsidR="00B91A16" w:rsidRPr="00510C63" w:rsidRDefault="00B91A16" w:rsidP="00545042">
            <w:pPr>
              <w:spacing w:before="40" w:after="120"/>
              <w:ind w:right="-29"/>
              <w:rPr>
                <w:rFonts w:ascii="Arial" w:hAnsi="Arial" w:cs="Arial"/>
                <w:sz w:val="18"/>
                <w:szCs w:val="18"/>
              </w:rPr>
            </w:pPr>
            <w:r w:rsidRPr="00510C63">
              <w:rPr>
                <w:rFonts w:ascii="Arial" w:hAnsi="Arial" w:cs="Arial"/>
                <w:sz w:val="18"/>
                <w:szCs w:val="18"/>
              </w:rPr>
              <w:t xml:space="preserve">2.1 Increase second tier medium and </w:t>
            </w:r>
            <w:proofErr w:type="gramStart"/>
            <w:r w:rsidRPr="00510C63">
              <w:rPr>
                <w:rFonts w:ascii="Arial" w:hAnsi="Arial" w:cs="Arial"/>
                <w:sz w:val="18"/>
                <w:szCs w:val="18"/>
              </w:rPr>
              <w:t>long term</w:t>
            </w:r>
            <w:proofErr w:type="gramEnd"/>
            <w:r w:rsidRPr="00510C63">
              <w:rPr>
                <w:rFonts w:ascii="Arial" w:hAnsi="Arial" w:cs="Arial"/>
                <w:sz w:val="18"/>
                <w:szCs w:val="18"/>
              </w:rPr>
              <w:t xml:space="preserve"> credit line for EE projects provided to SMEs in key industrial sectors</w:t>
            </w:r>
          </w:p>
        </w:tc>
        <w:tc>
          <w:tcPr>
            <w:tcW w:w="4500" w:type="dxa"/>
            <w:vAlign w:val="center"/>
          </w:tcPr>
          <w:p w:rsidR="00B91A16" w:rsidRPr="00510C63" w:rsidRDefault="00B91A16" w:rsidP="00545042">
            <w:pPr>
              <w:spacing w:before="40" w:after="120"/>
              <w:ind w:right="-29"/>
              <w:rPr>
                <w:rFonts w:ascii="Arial" w:eastAsia="Times New Roman" w:hAnsi="Arial" w:cs="Arial"/>
                <w:sz w:val="18"/>
                <w:szCs w:val="18"/>
              </w:rPr>
            </w:pPr>
            <w:r w:rsidRPr="00510C63">
              <w:rPr>
                <w:rFonts w:ascii="Arial" w:hAnsi="Arial" w:cs="Arial"/>
                <w:sz w:val="18"/>
                <w:szCs w:val="18"/>
              </w:rPr>
              <w:t xml:space="preserve">2.1.2. Support of 160 SMEs to have </w:t>
            </w:r>
            <w:r w:rsidRPr="00510C63">
              <w:rPr>
                <w:rFonts w:ascii="Arial" w:hAnsi="Arial" w:cs="Arial"/>
                <w:color w:val="000000"/>
                <w:sz w:val="18"/>
                <w:szCs w:val="18"/>
              </w:rPr>
              <w:t>access to credit from the Project’s financing to invest in EE projects</w:t>
            </w:r>
          </w:p>
        </w:tc>
        <w:tc>
          <w:tcPr>
            <w:tcW w:w="4140" w:type="dxa"/>
          </w:tcPr>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Ensure the needs and realities of women and men are addressed in project activities</w:t>
            </w:r>
          </w:p>
          <w:p w:rsidR="00B91A16" w:rsidRPr="00510C63" w:rsidRDefault="00B91A16" w:rsidP="00545042">
            <w:pPr>
              <w:spacing w:before="40" w:after="120"/>
              <w:ind w:right="-29"/>
              <w:rPr>
                <w:rFonts w:ascii="Arial" w:eastAsia="Times New Roman" w:hAnsi="Arial" w:cs="Arial"/>
                <w:sz w:val="18"/>
                <w:szCs w:val="18"/>
              </w:rPr>
            </w:pPr>
            <w:r w:rsidRPr="00510C63">
              <w:rPr>
                <w:rFonts w:ascii="Arial" w:eastAsia="Times New Roman" w:hAnsi="Arial" w:cs="Arial"/>
                <w:sz w:val="18"/>
                <w:szCs w:val="18"/>
              </w:rPr>
              <w:t>Collect and analyze sex–disaggregated data and qualitative information to track the real gender impacts of the project</w:t>
            </w:r>
          </w:p>
          <w:p w:rsidR="00B91A16" w:rsidRPr="00510C63" w:rsidRDefault="00B91A16" w:rsidP="00545042">
            <w:pPr>
              <w:spacing w:before="40" w:after="120"/>
              <w:ind w:right="-29"/>
              <w:jc w:val="right"/>
              <w:rPr>
                <w:rFonts w:ascii="Arial" w:eastAsia="Times New Roman" w:hAnsi="Arial" w:cs="Arial"/>
                <w:sz w:val="18"/>
                <w:szCs w:val="18"/>
              </w:rPr>
            </w:pPr>
          </w:p>
        </w:tc>
      </w:tr>
    </w:tbl>
    <w:p w:rsidR="00B91A16" w:rsidRPr="00510C63" w:rsidRDefault="00B91A16" w:rsidP="00B91A16">
      <w:pPr>
        <w:jc w:val="both"/>
        <w:rPr>
          <w:rFonts w:ascii="Arial" w:hAnsi="Arial" w:cs="Arial"/>
          <w:sz w:val="22"/>
          <w:szCs w:val="22"/>
        </w:rPr>
      </w:pPr>
    </w:p>
    <w:p w:rsidR="00B91A16" w:rsidRPr="00510C63" w:rsidRDefault="00B91A16">
      <w:pPr>
        <w:rPr>
          <w:rFonts w:ascii="Arial" w:hAnsi="Arial" w:cs="Arial"/>
          <w:sz w:val="22"/>
          <w:szCs w:val="22"/>
        </w:rPr>
      </w:pPr>
    </w:p>
    <w:p w:rsidR="00B91A16" w:rsidRPr="00510C63" w:rsidRDefault="00B91A16">
      <w:pPr>
        <w:rPr>
          <w:rFonts w:ascii="Arial" w:hAnsi="Arial" w:cs="Arial"/>
          <w:sz w:val="22"/>
          <w:szCs w:val="22"/>
        </w:rPr>
      </w:pPr>
    </w:p>
    <w:sectPr w:rsidR="00B91A16" w:rsidRPr="00510C63" w:rsidSect="000A355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59A" w:rsidRDefault="00E1359A" w:rsidP="00FE7644">
      <w:r>
        <w:separator/>
      </w:r>
    </w:p>
  </w:endnote>
  <w:endnote w:type="continuationSeparator" w:id="0">
    <w:p w:rsidR="00E1359A" w:rsidRDefault="00E1359A" w:rsidP="00FE7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59A" w:rsidRDefault="00E1359A" w:rsidP="00FE7644">
      <w:r>
        <w:separator/>
      </w:r>
    </w:p>
  </w:footnote>
  <w:footnote w:type="continuationSeparator" w:id="0">
    <w:p w:rsidR="00E1359A" w:rsidRDefault="00E1359A" w:rsidP="00FE7644">
      <w:r>
        <w:continuationSeparator/>
      </w:r>
    </w:p>
  </w:footnote>
  <w:footnote w:id="1">
    <w:p w:rsidR="00CE03CA" w:rsidRPr="00510C63" w:rsidRDefault="00CE03CA" w:rsidP="00CE03CA">
      <w:pPr>
        <w:pStyle w:val="FootnoteText"/>
        <w:spacing w:after="0"/>
        <w:ind w:left="270" w:hanging="270"/>
        <w:rPr>
          <w:rFonts w:ascii="Arial" w:hAnsi="Arial" w:cs="Arial"/>
          <w:sz w:val="18"/>
          <w:szCs w:val="18"/>
        </w:rPr>
      </w:pPr>
      <w:r w:rsidRPr="00510C63">
        <w:rPr>
          <w:rStyle w:val="FootnoteReference"/>
          <w:rFonts w:ascii="Arial" w:hAnsi="Arial" w:cs="Arial"/>
          <w:sz w:val="18"/>
          <w:szCs w:val="18"/>
        </w:rPr>
        <w:footnoteRef/>
      </w:r>
      <w:r w:rsidRPr="00510C63">
        <w:rPr>
          <w:rFonts w:ascii="Arial" w:hAnsi="Arial" w:cs="Arial"/>
          <w:sz w:val="18"/>
          <w:szCs w:val="18"/>
        </w:rPr>
        <w:t xml:space="preserve"> </w:t>
      </w:r>
      <w:r w:rsidRPr="00510C63">
        <w:rPr>
          <w:rFonts w:ascii="Arial" w:hAnsi="Arial" w:cs="Arial"/>
          <w:sz w:val="18"/>
          <w:szCs w:val="18"/>
        </w:rPr>
        <w:tab/>
      </w:r>
      <w:hyperlink r:id="rId1" w:history="1">
        <w:r w:rsidRPr="00510C63">
          <w:rPr>
            <w:rStyle w:val="Hyperlink"/>
            <w:rFonts w:ascii="Arial" w:hAnsi="Arial" w:cs="Arial"/>
            <w:sz w:val="18"/>
            <w:szCs w:val="18"/>
          </w:rPr>
          <w:t>Industrial EE and competitiveness</w:t>
        </w:r>
      </w:hyperlink>
      <w:r w:rsidRPr="00510C63">
        <w:rPr>
          <w:rFonts w:ascii="Arial" w:hAnsi="Arial" w:cs="Arial"/>
          <w:sz w:val="18"/>
          <w:szCs w:val="18"/>
        </w:rPr>
        <w:t>, Working Paper 05/2011, United Nations Industrial Development Organization (UNIDO), 2011.</w:t>
      </w:r>
    </w:p>
  </w:footnote>
  <w:footnote w:id="2">
    <w:p w:rsidR="00CE03CA" w:rsidRPr="00510C63" w:rsidRDefault="00CE03CA" w:rsidP="00CE03CA">
      <w:pPr>
        <w:pStyle w:val="FootnoteText"/>
        <w:spacing w:after="0"/>
        <w:ind w:left="270" w:hanging="270"/>
        <w:rPr>
          <w:rFonts w:ascii="Arial" w:hAnsi="Arial" w:cs="Arial"/>
          <w:sz w:val="18"/>
          <w:szCs w:val="18"/>
        </w:rPr>
      </w:pPr>
      <w:r w:rsidRPr="00510C63">
        <w:rPr>
          <w:rStyle w:val="FootnoteReference"/>
          <w:rFonts w:ascii="Arial" w:hAnsi="Arial" w:cs="Arial"/>
          <w:sz w:val="18"/>
          <w:szCs w:val="18"/>
        </w:rPr>
        <w:footnoteRef/>
      </w:r>
      <w:r w:rsidRPr="00510C63">
        <w:rPr>
          <w:rFonts w:ascii="Arial" w:hAnsi="Arial" w:cs="Arial"/>
          <w:sz w:val="18"/>
          <w:szCs w:val="18"/>
        </w:rPr>
        <w:t xml:space="preserve"> </w:t>
      </w:r>
      <w:r w:rsidRPr="00510C63">
        <w:rPr>
          <w:rFonts w:ascii="Arial" w:hAnsi="Arial" w:cs="Arial"/>
          <w:sz w:val="18"/>
          <w:szCs w:val="18"/>
        </w:rPr>
        <w:tab/>
        <w:t>The average payback period of these projects is 3.6 years, which is incompatible with the conditions offered by the banking system, generating mismatches in loan amortization periods.</w:t>
      </w:r>
    </w:p>
  </w:footnote>
  <w:footnote w:id="3">
    <w:p w:rsidR="00CE03CA" w:rsidRPr="00510C63" w:rsidRDefault="00CE03CA" w:rsidP="00CE03CA">
      <w:pPr>
        <w:pStyle w:val="FootnoteText"/>
        <w:spacing w:after="0"/>
        <w:ind w:left="270" w:hanging="270"/>
        <w:jc w:val="left"/>
        <w:rPr>
          <w:rFonts w:ascii="Arial" w:hAnsi="Arial" w:cs="Arial"/>
          <w:sz w:val="18"/>
          <w:szCs w:val="18"/>
          <w:lang w:val="es-PE"/>
        </w:rPr>
      </w:pPr>
      <w:r w:rsidRPr="00510C63">
        <w:rPr>
          <w:rStyle w:val="FootnoteReference"/>
          <w:rFonts w:ascii="Arial" w:hAnsi="Arial" w:cs="Arial"/>
          <w:sz w:val="18"/>
          <w:szCs w:val="18"/>
        </w:rPr>
        <w:footnoteRef/>
      </w:r>
      <w:r w:rsidRPr="00510C63">
        <w:rPr>
          <w:rFonts w:ascii="Arial" w:hAnsi="Arial" w:cs="Arial"/>
          <w:sz w:val="18"/>
          <w:szCs w:val="18"/>
          <w:lang w:val="es-PE"/>
        </w:rPr>
        <w:t xml:space="preserve"> </w:t>
      </w:r>
      <w:bookmarkStart w:id="3" w:name="_Hlk494187432"/>
      <w:r w:rsidR="00510C63">
        <w:rPr>
          <w:rFonts w:ascii="Arial" w:hAnsi="Arial" w:cs="Arial"/>
          <w:sz w:val="18"/>
          <w:szCs w:val="18"/>
          <w:lang w:val="es-PE"/>
        </w:rPr>
        <w:tab/>
      </w:r>
      <w:proofErr w:type="spellStart"/>
      <w:proofErr w:type="gramStart"/>
      <w:r w:rsidRPr="00510C63">
        <w:rPr>
          <w:rFonts w:ascii="Arial" w:hAnsi="Arial" w:cs="Arial"/>
          <w:sz w:val="18"/>
          <w:szCs w:val="18"/>
          <w:lang w:val="es-PE"/>
        </w:rPr>
        <w:t>Carlino</w:t>
      </w:r>
      <w:proofErr w:type="spellEnd"/>
      <w:r w:rsidRPr="00510C63">
        <w:rPr>
          <w:rFonts w:ascii="Arial" w:hAnsi="Arial" w:cs="Arial"/>
          <w:sz w:val="18"/>
          <w:szCs w:val="18"/>
          <w:lang w:val="es-PE"/>
        </w:rPr>
        <w:t>  et al.</w:t>
      </w:r>
      <w:proofErr w:type="gramEnd"/>
      <w:r w:rsidRPr="00510C63">
        <w:rPr>
          <w:rFonts w:ascii="Arial" w:hAnsi="Arial" w:cs="Arial"/>
          <w:sz w:val="18"/>
          <w:szCs w:val="18"/>
          <w:lang w:val="es-PE"/>
        </w:rPr>
        <w:t xml:space="preserve"> 2017. </w:t>
      </w:r>
      <w:r w:rsidR="00E1359A">
        <w:fldChar w:fldCharType="begin"/>
      </w:r>
      <w:r w:rsidR="00E1359A" w:rsidRPr="00FF4D1A">
        <w:rPr>
          <w:lang w:val="es-ES_tradnl"/>
        </w:rPr>
        <w:instrText xml:space="preserve"> HYPERLINK "https://publications.iadb.org/handle/11319/8241?locale-attribute=es&amp;" </w:instrText>
      </w:r>
      <w:r w:rsidR="00E1359A">
        <w:fldChar w:fldCharType="separate"/>
      </w:r>
      <w:r w:rsidRPr="00510C63">
        <w:rPr>
          <w:rStyle w:val="Hyperlink"/>
          <w:rFonts w:ascii="Arial" w:hAnsi="Arial" w:cs="Arial"/>
          <w:bCs/>
          <w:i/>
          <w:sz w:val="18"/>
          <w:szCs w:val="18"/>
          <w:lang w:val="es-PE"/>
        </w:rPr>
        <w:t xml:space="preserve">Guía para la estructuración de instrumentos financieros para la promoción de la eficiencia energética - </w:t>
      </w:r>
      <w:r w:rsidRPr="00510C63">
        <w:rPr>
          <w:rStyle w:val="Hyperlink"/>
          <w:rFonts w:ascii="Arial" w:hAnsi="Arial" w:cs="Arial"/>
          <w:i/>
          <w:sz w:val="18"/>
          <w:szCs w:val="18"/>
          <w:lang w:val="es-PE"/>
        </w:rPr>
        <w:t>Estudio de caso de la Agencia Financiera de Desarrollo de Paraguay</w:t>
      </w:r>
      <w:r w:rsidR="00E1359A">
        <w:rPr>
          <w:rStyle w:val="Hyperlink"/>
          <w:rFonts w:ascii="Arial" w:hAnsi="Arial" w:cs="Arial"/>
          <w:i/>
          <w:sz w:val="18"/>
          <w:szCs w:val="18"/>
          <w:lang w:val="es-PE"/>
        </w:rPr>
        <w:fldChar w:fldCharType="end"/>
      </w:r>
      <w:r w:rsidRPr="00510C63">
        <w:rPr>
          <w:rFonts w:ascii="Arial" w:hAnsi="Arial" w:cs="Arial"/>
          <w:i/>
          <w:sz w:val="18"/>
          <w:szCs w:val="18"/>
          <w:lang w:val="es-PE"/>
        </w:rPr>
        <w:t xml:space="preserve"> </w:t>
      </w:r>
      <w:bookmarkEnd w:id="3"/>
    </w:p>
  </w:footnote>
  <w:footnote w:id="4">
    <w:p w:rsidR="00CE03CA" w:rsidRPr="00510C63" w:rsidRDefault="00CE03CA" w:rsidP="00CE03CA">
      <w:pPr>
        <w:pStyle w:val="FootnoteText"/>
        <w:spacing w:after="0"/>
        <w:ind w:left="270" w:hanging="270"/>
        <w:rPr>
          <w:rFonts w:ascii="Arial" w:hAnsi="Arial" w:cs="Arial"/>
          <w:sz w:val="18"/>
          <w:szCs w:val="18"/>
        </w:rPr>
      </w:pPr>
      <w:r w:rsidRPr="00510C63">
        <w:rPr>
          <w:rStyle w:val="FootnoteReference"/>
          <w:rFonts w:ascii="Arial" w:hAnsi="Arial" w:cs="Arial"/>
          <w:sz w:val="18"/>
          <w:szCs w:val="18"/>
        </w:rPr>
        <w:footnoteRef/>
      </w:r>
      <w:r w:rsidRPr="00510C63">
        <w:rPr>
          <w:rFonts w:ascii="Arial" w:hAnsi="Arial" w:cs="Arial"/>
          <w:sz w:val="18"/>
          <w:szCs w:val="18"/>
        </w:rPr>
        <w:t xml:space="preserve"> </w:t>
      </w:r>
      <w:r w:rsidR="00510C63">
        <w:rPr>
          <w:rFonts w:ascii="Arial" w:hAnsi="Arial" w:cs="Arial"/>
          <w:sz w:val="18"/>
          <w:szCs w:val="18"/>
        </w:rPr>
        <w:tab/>
      </w:r>
      <w:r w:rsidRPr="00510C63">
        <w:rPr>
          <w:rFonts w:ascii="Arial" w:hAnsi="Arial" w:cs="Arial"/>
          <w:sz w:val="18"/>
          <w:szCs w:val="18"/>
        </w:rPr>
        <w:t xml:space="preserve">See for instance: </w:t>
      </w:r>
      <w:proofErr w:type="spellStart"/>
      <w:r w:rsidRPr="00510C63">
        <w:rPr>
          <w:rFonts w:ascii="Arial" w:hAnsi="Arial" w:cs="Arial"/>
          <w:sz w:val="18"/>
          <w:szCs w:val="18"/>
        </w:rPr>
        <w:t>Narain</w:t>
      </w:r>
      <w:proofErr w:type="spellEnd"/>
      <w:r w:rsidRPr="00510C63">
        <w:rPr>
          <w:rFonts w:ascii="Arial" w:hAnsi="Arial" w:cs="Arial"/>
          <w:sz w:val="18"/>
          <w:szCs w:val="18"/>
        </w:rPr>
        <w:t xml:space="preserve"> (2009) </w:t>
      </w:r>
      <w:hyperlink r:id="rId2" w:history="1">
        <w:r w:rsidRPr="00510C63">
          <w:rPr>
            <w:rStyle w:val="Hyperlink"/>
            <w:rFonts w:ascii="Arial" w:hAnsi="Arial" w:cs="Arial"/>
            <w:sz w:val="18"/>
            <w:szCs w:val="18"/>
          </w:rPr>
          <w:t>Gender and access to finance</w:t>
        </w:r>
      </w:hyperlink>
      <w:r w:rsidRPr="00510C63">
        <w:rPr>
          <w:rFonts w:ascii="Arial" w:hAnsi="Arial" w:cs="Arial"/>
          <w:sz w:val="18"/>
          <w:szCs w:val="18"/>
        </w:rPr>
        <w:t xml:space="preserve">, </w:t>
      </w:r>
      <w:proofErr w:type="spellStart"/>
      <w:r w:rsidRPr="00510C63">
        <w:rPr>
          <w:rFonts w:ascii="Arial" w:hAnsi="Arial" w:cs="Arial"/>
          <w:sz w:val="18"/>
          <w:szCs w:val="18"/>
        </w:rPr>
        <w:t>Bardasi</w:t>
      </w:r>
      <w:proofErr w:type="spellEnd"/>
      <w:r w:rsidRPr="00510C63">
        <w:rPr>
          <w:rFonts w:ascii="Arial" w:hAnsi="Arial" w:cs="Arial"/>
          <w:sz w:val="18"/>
          <w:szCs w:val="18"/>
        </w:rPr>
        <w:t xml:space="preserve"> et al. (2007) </w:t>
      </w:r>
      <w:hyperlink r:id="rId3" w:history="1">
        <w:r w:rsidRPr="00510C63">
          <w:rPr>
            <w:rStyle w:val="Hyperlink"/>
            <w:rFonts w:ascii="Arial" w:hAnsi="Arial" w:cs="Arial"/>
            <w:sz w:val="18"/>
            <w:szCs w:val="18"/>
          </w:rPr>
          <w:t xml:space="preserve">Gender, Entrepreneurship, and Competitiveness in Africa, </w:t>
        </w:r>
        <w:proofErr w:type="spellStart"/>
        <w:r w:rsidRPr="00510C63">
          <w:rPr>
            <w:rStyle w:val="Hyperlink"/>
            <w:rFonts w:ascii="Arial" w:hAnsi="Arial" w:cs="Arial"/>
            <w:sz w:val="18"/>
            <w:szCs w:val="18"/>
          </w:rPr>
          <w:t>Worldbank</w:t>
        </w:r>
        <w:proofErr w:type="spellEnd"/>
        <w:r w:rsidRPr="00510C63">
          <w:rPr>
            <w:rStyle w:val="Hyperlink"/>
            <w:rFonts w:ascii="Arial" w:hAnsi="Arial" w:cs="Arial"/>
            <w:sz w:val="18"/>
            <w:szCs w:val="18"/>
          </w:rPr>
          <w:t xml:space="preserve"> Group.</w:t>
        </w:r>
      </w:hyperlink>
      <w:r w:rsidRPr="00510C63">
        <w:rPr>
          <w:rFonts w:ascii="Arial" w:hAnsi="Arial" w:cs="Arial"/>
          <w:sz w:val="18"/>
          <w:szCs w:val="18"/>
        </w:rPr>
        <w:t xml:space="preserve"> Ellis et al. (2007) </w:t>
      </w:r>
      <w:hyperlink r:id="rId4" w:history="1">
        <w:r w:rsidRPr="00510C63">
          <w:rPr>
            <w:rStyle w:val="Hyperlink"/>
            <w:rFonts w:ascii="Arial" w:hAnsi="Arial" w:cs="Arial"/>
            <w:sz w:val="18"/>
            <w:szCs w:val="18"/>
          </w:rPr>
          <w:t xml:space="preserve">Gender and Economic Growth in Kenya, </w:t>
        </w:r>
        <w:proofErr w:type="spellStart"/>
        <w:r w:rsidRPr="00510C63">
          <w:rPr>
            <w:rStyle w:val="Hyperlink"/>
            <w:rFonts w:ascii="Arial" w:hAnsi="Arial" w:cs="Arial"/>
            <w:sz w:val="18"/>
            <w:szCs w:val="18"/>
          </w:rPr>
          <w:t>Worldbank</w:t>
        </w:r>
        <w:proofErr w:type="spellEnd"/>
        <w:r w:rsidRPr="00510C63">
          <w:rPr>
            <w:rStyle w:val="Hyperlink"/>
            <w:rFonts w:ascii="Arial" w:hAnsi="Arial" w:cs="Arial"/>
            <w:sz w:val="18"/>
            <w:szCs w:val="18"/>
          </w:rPr>
          <w:t xml:space="preserve"> Group</w:t>
        </w:r>
      </w:hyperlink>
      <w:r w:rsidRPr="00510C63">
        <w:rPr>
          <w:rFonts w:ascii="Arial" w:hAnsi="Arial" w:cs="Arial"/>
          <w:sz w:val="18"/>
          <w:szCs w:val="18"/>
        </w:rPr>
        <w:t xml:space="preserve">, </w:t>
      </w:r>
      <w:proofErr w:type="spellStart"/>
      <w:r w:rsidRPr="00510C63">
        <w:rPr>
          <w:rFonts w:ascii="Arial" w:hAnsi="Arial" w:cs="Arial"/>
          <w:sz w:val="18"/>
          <w:szCs w:val="18"/>
        </w:rPr>
        <w:t>Demirguc-Kunt</w:t>
      </w:r>
      <w:proofErr w:type="spellEnd"/>
      <w:r w:rsidRPr="00510C63">
        <w:rPr>
          <w:rFonts w:ascii="Arial" w:hAnsi="Arial" w:cs="Arial"/>
          <w:sz w:val="18"/>
          <w:szCs w:val="18"/>
        </w:rPr>
        <w:t xml:space="preserve"> et al. (2013) </w:t>
      </w:r>
      <w:hyperlink r:id="rId5" w:history="1">
        <w:r w:rsidRPr="00510C63">
          <w:rPr>
            <w:rStyle w:val="Hyperlink"/>
            <w:rFonts w:ascii="Arial" w:hAnsi="Arial" w:cs="Arial"/>
            <w:sz w:val="18"/>
            <w:szCs w:val="18"/>
          </w:rPr>
          <w:t>Financial Inclusion and Legal Discrimination Against Women: Evidence from Developing Countries</w:t>
        </w:r>
      </w:hyperlink>
      <w:r w:rsidRPr="00510C63">
        <w:rPr>
          <w:rStyle w:val="Hyperlink"/>
          <w:rFonts w:ascii="Arial" w:hAnsi="Arial" w:cs="Arial"/>
          <w:sz w:val="18"/>
          <w:szCs w:val="18"/>
        </w:rPr>
        <w:t>,</w:t>
      </w:r>
      <w:r w:rsidRPr="00510C63">
        <w:rPr>
          <w:rFonts w:ascii="Arial" w:hAnsi="Arial" w:cs="Arial"/>
          <w:sz w:val="18"/>
          <w:szCs w:val="18"/>
        </w:rPr>
        <w:t xml:space="preserve"> DiCaprio (2016) </w:t>
      </w:r>
      <w:hyperlink r:id="rId6" w:history="1">
        <w:r w:rsidRPr="00510C63">
          <w:rPr>
            <w:rStyle w:val="Hyperlink"/>
            <w:rFonts w:ascii="Arial" w:hAnsi="Arial" w:cs="Arial"/>
            <w:sz w:val="18"/>
            <w:szCs w:val="18"/>
          </w:rPr>
          <w:t>Trade Finance Gaps, Growth, and Jobs Survey</w:t>
        </w:r>
      </w:hyperlink>
      <w:r w:rsidRPr="00510C63">
        <w:rPr>
          <w:rStyle w:val="Hyperlink"/>
          <w:rFonts w:ascii="Arial" w:hAnsi="Arial" w:cs="Arial"/>
          <w:sz w:val="18"/>
          <w:szCs w:val="18"/>
        </w:rPr>
        <w:t xml:space="preserve">. </w:t>
      </w:r>
      <w:r w:rsidRPr="00510C63">
        <w:rPr>
          <w:rFonts w:ascii="Arial" w:hAnsi="Arial" w:cs="Arial"/>
          <w:sz w:val="18"/>
          <w:szCs w:val="18"/>
        </w:rPr>
        <w:t xml:space="preserve">Furthermore, according to </w:t>
      </w:r>
      <w:proofErr w:type="spellStart"/>
      <w:r w:rsidRPr="00510C63">
        <w:rPr>
          <w:rFonts w:ascii="Arial" w:hAnsi="Arial" w:cs="Arial"/>
          <w:sz w:val="18"/>
          <w:szCs w:val="18"/>
        </w:rPr>
        <w:t>Fundera</w:t>
      </w:r>
      <w:proofErr w:type="spellEnd"/>
      <w:r w:rsidRPr="00510C63">
        <w:rPr>
          <w:rFonts w:ascii="Arial" w:hAnsi="Arial" w:cs="Arial"/>
          <w:sz w:val="18"/>
          <w:szCs w:val="18"/>
        </w:rPr>
        <w:t xml:space="preserve"> (2016) </w:t>
      </w:r>
      <w:hyperlink r:id="rId7" w:history="1">
        <w:r w:rsidRPr="00510C63">
          <w:rPr>
            <w:rStyle w:val="Hyperlink"/>
            <w:rFonts w:ascii="Arial" w:hAnsi="Arial" w:cs="Arial"/>
            <w:sz w:val="18"/>
            <w:szCs w:val="18"/>
          </w:rPr>
          <w:t>The State of Online Small Business Lending – Focus on Women Entrepreneurs</w:t>
        </w:r>
      </w:hyperlink>
      <w:r w:rsidRPr="00510C63">
        <w:rPr>
          <w:rFonts w:ascii="Arial" w:hAnsi="Arial" w:cs="Arial"/>
          <w:sz w:val="18"/>
          <w:szCs w:val="18"/>
        </w:rPr>
        <w:t xml:space="preserve"> in the US the rejection rate for women-led SME’s loan is three percentage points higher than for male-led SMEs. Additionally, the average tenor of loans is shorter for women-led SMEs. </w:t>
      </w:r>
    </w:p>
  </w:footnote>
  <w:footnote w:id="5">
    <w:p w:rsidR="00CE03CA" w:rsidRDefault="00CE03CA" w:rsidP="001D5C76">
      <w:pPr>
        <w:pStyle w:val="FootnoteText"/>
        <w:spacing w:after="0"/>
        <w:ind w:left="270" w:hanging="270"/>
      </w:pPr>
      <w:r w:rsidRPr="00510C63">
        <w:rPr>
          <w:rStyle w:val="FootnoteReference"/>
          <w:rFonts w:ascii="Arial" w:hAnsi="Arial" w:cs="Arial"/>
          <w:sz w:val="18"/>
          <w:szCs w:val="18"/>
        </w:rPr>
        <w:footnoteRef/>
      </w:r>
      <w:r w:rsidRPr="00510C63">
        <w:rPr>
          <w:rFonts w:ascii="Arial" w:hAnsi="Arial" w:cs="Arial"/>
          <w:sz w:val="18"/>
          <w:szCs w:val="18"/>
        </w:rPr>
        <w:t xml:space="preserve"> </w:t>
      </w:r>
      <w:r w:rsidR="00510C63">
        <w:rPr>
          <w:rFonts w:ascii="Arial" w:hAnsi="Arial" w:cs="Arial"/>
          <w:sz w:val="18"/>
          <w:szCs w:val="18"/>
        </w:rPr>
        <w:tab/>
      </w:r>
      <w:r w:rsidRPr="00510C63">
        <w:rPr>
          <w:rFonts w:ascii="Arial" w:hAnsi="Arial" w:cs="Arial"/>
          <w:sz w:val="18"/>
          <w:szCs w:val="18"/>
        </w:rPr>
        <w:t xml:space="preserve">IDB, 2018. A relevant gender perspective for financial inclusion [Original </w:t>
      </w:r>
      <w:proofErr w:type="spellStart"/>
      <w:r w:rsidRPr="00510C63">
        <w:rPr>
          <w:rFonts w:ascii="Arial" w:hAnsi="Arial" w:cs="Arial"/>
          <w:sz w:val="18"/>
          <w:szCs w:val="18"/>
        </w:rPr>
        <w:t>Perspectiva</w:t>
      </w:r>
      <w:proofErr w:type="spellEnd"/>
      <w:r w:rsidRPr="00510C63">
        <w:rPr>
          <w:rFonts w:ascii="Arial" w:hAnsi="Arial" w:cs="Arial"/>
          <w:sz w:val="18"/>
          <w:szCs w:val="18"/>
        </w:rPr>
        <w:t xml:space="preserve"> de </w:t>
      </w:r>
      <w:proofErr w:type="spellStart"/>
      <w:r w:rsidRPr="00510C63">
        <w:rPr>
          <w:rFonts w:ascii="Arial" w:hAnsi="Arial" w:cs="Arial"/>
          <w:sz w:val="18"/>
          <w:szCs w:val="18"/>
        </w:rPr>
        <w:t>Género</w:t>
      </w:r>
      <w:proofErr w:type="spellEnd"/>
      <w:r w:rsidRPr="00510C63">
        <w:rPr>
          <w:rFonts w:ascii="Arial" w:hAnsi="Arial" w:cs="Arial"/>
          <w:sz w:val="18"/>
          <w:szCs w:val="18"/>
        </w:rPr>
        <w:t xml:space="preserve"> </w:t>
      </w:r>
      <w:proofErr w:type="spellStart"/>
      <w:r w:rsidRPr="00510C63">
        <w:rPr>
          <w:rFonts w:ascii="Arial" w:hAnsi="Arial" w:cs="Arial"/>
          <w:sz w:val="18"/>
          <w:szCs w:val="18"/>
        </w:rPr>
        <w:t>relevante</w:t>
      </w:r>
      <w:proofErr w:type="spellEnd"/>
      <w:r w:rsidRPr="00510C63">
        <w:rPr>
          <w:rFonts w:ascii="Arial" w:hAnsi="Arial" w:cs="Arial"/>
          <w:sz w:val="18"/>
          <w:szCs w:val="18"/>
        </w:rPr>
        <w:t xml:space="preserve"> para la </w:t>
      </w:r>
      <w:proofErr w:type="spellStart"/>
      <w:r w:rsidRPr="00510C63">
        <w:rPr>
          <w:rFonts w:ascii="Arial" w:hAnsi="Arial" w:cs="Arial"/>
          <w:sz w:val="18"/>
          <w:szCs w:val="18"/>
        </w:rPr>
        <w:t>Inclusión</w:t>
      </w:r>
      <w:proofErr w:type="spellEnd"/>
      <w:r w:rsidRPr="00510C63">
        <w:rPr>
          <w:rFonts w:ascii="Arial" w:hAnsi="Arial" w:cs="Arial"/>
          <w:sz w:val="18"/>
          <w:szCs w:val="18"/>
        </w:rPr>
        <w:t xml:space="preserve"> </w:t>
      </w:r>
      <w:proofErr w:type="spellStart"/>
      <w:r w:rsidRPr="00510C63">
        <w:rPr>
          <w:rFonts w:ascii="Arial" w:hAnsi="Arial" w:cs="Arial"/>
          <w:sz w:val="18"/>
          <w:szCs w:val="18"/>
        </w:rPr>
        <w:t>Financiera</w:t>
      </w:r>
      <w:proofErr w:type="spellEnd"/>
      <w:r w:rsidRPr="00510C63">
        <w:rPr>
          <w:rFonts w:ascii="Arial" w:hAnsi="Arial" w:cs="Arial"/>
          <w:sz w:val="18"/>
          <w:szCs w:val="18"/>
        </w:rPr>
        <w:t xml:space="preserve"> – Diagnostics e </w:t>
      </w:r>
      <w:proofErr w:type="spellStart"/>
      <w:r w:rsidRPr="00510C63">
        <w:rPr>
          <w:rFonts w:ascii="Arial" w:hAnsi="Arial" w:cs="Arial"/>
          <w:sz w:val="18"/>
          <w:szCs w:val="18"/>
        </w:rPr>
        <w:t>Estrategia</w:t>
      </w:r>
      <w:proofErr w:type="spellEnd"/>
      <w:r w:rsidRPr="00510C63">
        <w:rPr>
          <w:rFonts w:ascii="Arial" w:hAnsi="Arial" w:cs="Arial"/>
          <w:sz w:val="18"/>
          <w:szCs w:val="18"/>
        </w:rPr>
        <w:t>].</w:t>
      </w:r>
    </w:p>
  </w:footnote>
  <w:footnote w:id="6">
    <w:p w:rsidR="00FE7644" w:rsidRPr="00CE03CA" w:rsidRDefault="00FE7644" w:rsidP="00CE03CA">
      <w:pPr>
        <w:pStyle w:val="FootnoteText"/>
        <w:spacing w:after="0"/>
        <w:rPr>
          <w:rFonts w:ascii="Arial" w:hAnsi="Arial" w:cs="Arial"/>
          <w:sz w:val="18"/>
          <w:szCs w:val="18"/>
          <w:lang w:val="es-ES_tradnl"/>
        </w:rPr>
      </w:pPr>
      <w:r w:rsidRPr="00CE03CA">
        <w:rPr>
          <w:rStyle w:val="FootnoteReference"/>
          <w:rFonts w:ascii="Arial" w:hAnsi="Arial" w:cs="Arial"/>
          <w:sz w:val="18"/>
          <w:szCs w:val="18"/>
        </w:rPr>
        <w:footnoteRef/>
      </w:r>
      <w:r w:rsidRPr="00510C63">
        <w:rPr>
          <w:rFonts w:ascii="Arial" w:hAnsi="Arial" w:cs="Arial"/>
          <w:sz w:val="18"/>
          <w:szCs w:val="18"/>
          <w:lang w:val="es-ES_tradnl"/>
        </w:rPr>
        <w:t xml:space="preserve"> </w:t>
      </w:r>
      <w:r w:rsidR="00510C63">
        <w:rPr>
          <w:rFonts w:ascii="Arial" w:hAnsi="Arial" w:cs="Arial"/>
          <w:sz w:val="18"/>
          <w:szCs w:val="18"/>
          <w:lang w:val="es-ES_tradnl"/>
        </w:rPr>
        <w:tab/>
      </w:r>
      <w:proofErr w:type="spellStart"/>
      <w:r w:rsidRPr="00510C63">
        <w:rPr>
          <w:rFonts w:ascii="Arial" w:hAnsi="Arial" w:cs="Arial"/>
          <w:sz w:val="18"/>
          <w:szCs w:val="18"/>
          <w:lang w:val="es-ES_tradnl"/>
        </w:rPr>
        <w:t>Source</w:t>
      </w:r>
      <w:proofErr w:type="spellEnd"/>
      <w:r w:rsidRPr="00510C63">
        <w:rPr>
          <w:rFonts w:ascii="Arial" w:hAnsi="Arial" w:cs="Arial"/>
          <w:sz w:val="18"/>
          <w:szCs w:val="18"/>
          <w:lang w:val="es-ES_tradnl"/>
        </w:rPr>
        <w:t xml:space="preserve">: ONU Mujeres, 2015. </w:t>
      </w:r>
      <w:r w:rsidRPr="00CE03CA">
        <w:rPr>
          <w:rFonts w:ascii="Arial" w:hAnsi="Arial" w:cs="Arial"/>
          <w:i/>
          <w:sz w:val="18"/>
          <w:szCs w:val="18"/>
          <w:lang w:val="es-ES_tradnl"/>
        </w:rPr>
        <w:t>Igualdad de género y principales brechas en Paraguay</w:t>
      </w:r>
      <w:r w:rsidRPr="00CE03CA">
        <w:rPr>
          <w:rFonts w:ascii="Arial" w:hAnsi="Arial" w:cs="Arial"/>
          <w:sz w:val="18"/>
          <w:szCs w:val="18"/>
          <w:lang w:val="es-ES_tradnl"/>
        </w:rPr>
        <w:t xml:space="preserve">. </w:t>
      </w:r>
    </w:p>
  </w:footnote>
  <w:footnote w:id="7">
    <w:p w:rsidR="00027595" w:rsidRPr="00CE03CA" w:rsidRDefault="00027595" w:rsidP="00CE03CA">
      <w:pPr>
        <w:pStyle w:val="FootnoteText"/>
        <w:spacing w:after="0"/>
        <w:rPr>
          <w:rFonts w:ascii="Arial" w:hAnsi="Arial" w:cs="Arial"/>
          <w:sz w:val="18"/>
          <w:szCs w:val="18"/>
        </w:rPr>
      </w:pPr>
      <w:r w:rsidRPr="001D5C76">
        <w:rPr>
          <w:rStyle w:val="FootnoteReference"/>
          <w:rFonts w:ascii="Arial" w:hAnsi="Arial" w:cs="Arial"/>
          <w:sz w:val="18"/>
          <w:szCs w:val="18"/>
        </w:rPr>
        <w:footnoteRef/>
      </w:r>
      <w:r w:rsidRPr="001D5C76">
        <w:rPr>
          <w:rFonts w:ascii="Arial" w:hAnsi="Arial" w:cs="Arial"/>
          <w:sz w:val="18"/>
          <w:szCs w:val="18"/>
        </w:rPr>
        <w:t xml:space="preserve"> </w:t>
      </w:r>
      <w:r w:rsidR="00510C63">
        <w:rPr>
          <w:rFonts w:ascii="Arial" w:hAnsi="Arial" w:cs="Arial"/>
          <w:sz w:val="18"/>
          <w:szCs w:val="18"/>
        </w:rPr>
        <w:tab/>
      </w:r>
      <w:r w:rsidRPr="001D5C76">
        <w:rPr>
          <w:rFonts w:ascii="Arial" w:hAnsi="Arial" w:cs="Arial"/>
          <w:sz w:val="18"/>
          <w:szCs w:val="18"/>
        </w:rPr>
        <w:t>There are sufficient SMEs that are women owned or managed that are interested in taking up loans on EE investments to have a share of loans for investments channeled to SMEs managed by women.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05FA"/>
    <w:multiLevelType w:val="multilevel"/>
    <w:tmpl w:val="27CC3992"/>
    <w:lvl w:ilvl="0">
      <w:start w:val="1"/>
      <w:numFmt w:val="upperRoman"/>
      <w:lvlRestart w:val="0"/>
      <w:lvlText w:val="%1."/>
      <w:lvlJc w:val="center"/>
      <w:pPr>
        <w:tabs>
          <w:tab w:val="num" w:pos="1512"/>
        </w:tabs>
        <w:ind w:left="864" w:firstLine="288"/>
      </w:pPr>
      <w:rPr>
        <w:b/>
        <w:i w:val="0"/>
      </w:rPr>
    </w:lvl>
    <w:lvl w:ilvl="1">
      <w:start w:val="1"/>
      <w:numFmt w:val="decimal"/>
      <w:isLgl/>
      <w:lvlText w:val="%1.%2"/>
      <w:lvlJc w:val="left"/>
      <w:pPr>
        <w:tabs>
          <w:tab w:val="num" w:pos="2160"/>
        </w:tabs>
        <w:ind w:left="2160" w:hanging="1296"/>
      </w:pPr>
    </w:lvl>
    <w:lvl w:ilvl="2">
      <w:start w:val="1"/>
      <w:numFmt w:val="lowerLetter"/>
      <w:lvlText w:val="%3."/>
      <w:lvlJc w:val="left"/>
      <w:pPr>
        <w:tabs>
          <w:tab w:val="num" w:pos="2016"/>
        </w:tabs>
        <w:ind w:left="2016" w:hanging="432"/>
      </w:pPr>
    </w:lvl>
    <w:lvl w:ilvl="3">
      <w:start w:val="1"/>
      <w:numFmt w:val="decimal"/>
      <w:lvlText w:val="%1.%2.%3.%4"/>
      <w:lvlJc w:val="left"/>
      <w:pPr>
        <w:ind w:left="1728" w:hanging="864"/>
      </w:pPr>
    </w:lvl>
    <w:lvl w:ilvl="4">
      <w:start w:val="1"/>
      <w:numFmt w:val="decimal"/>
      <w:lvlText w:val="%1.%2.%3.%4.%5"/>
      <w:lvlJc w:val="left"/>
      <w:pPr>
        <w:ind w:left="1872" w:hanging="1008"/>
      </w:pPr>
    </w:lvl>
    <w:lvl w:ilvl="5">
      <w:start w:val="1"/>
      <w:numFmt w:val="decimal"/>
      <w:lvlText w:val="%1.%2.%3.%4.%5.%6"/>
      <w:lvlJc w:val="left"/>
      <w:pPr>
        <w:ind w:left="2016" w:hanging="1152"/>
      </w:pPr>
    </w:lvl>
    <w:lvl w:ilvl="6">
      <w:start w:val="1"/>
      <w:numFmt w:val="decimal"/>
      <w:lvlText w:val="%1.%2.%3.%4.%5.%6.%7"/>
      <w:lvlJc w:val="left"/>
      <w:pPr>
        <w:ind w:left="2160" w:hanging="1296"/>
      </w:pPr>
    </w:lvl>
    <w:lvl w:ilvl="7">
      <w:start w:val="1"/>
      <w:numFmt w:val="decimal"/>
      <w:lvlText w:val="%1.%2.%3.%4.%5.%6.%7.%8"/>
      <w:lvlJc w:val="left"/>
      <w:pPr>
        <w:ind w:left="2304" w:hanging="1440"/>
      </w:pPr>
    </w:lvl>
    <w:lvl w:ilvl="8">
      <w:start w:val="1"/>
      <w:numFmt w:val="decimal"/>
      <w:lvlText w:val="%1.%2.%3.%4.%5.%6.%7.%8.%9"/>
      <w:lvlJc w:val="left"/>
      <w:pPr>
        <w:ind w:left="2448" w:hanging="1584"/>
      </w:pPr>
    </w:lvl>
  </w:abstractNum>
  <w:abstractNum w:abstractNumId="1" w15:restartNumberingAfterBreak="0">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08A019E0"/>
    <w:multiLevelType w:val="multilevel"/>
    <w:tmpl w:val="64A2F95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098E38C1"/>
    <w:multiLevelType w:val="hybridMultilevel"/>
    <w:tmpl w:val="06DC78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92698E"/>
    <w:multiLevelType w:val="multilevel"/>
    <w:tmpl w:val="33081AC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CC62AB4"/>
    <w:multiLevelType w:val="hybridMultilevel"/>
    <w:tmpl w:val="06DC7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C0F51"/>
    <w:multiLevelType w:val="multilevel"/>
    <w:tmpl w:val="9C04F38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FE57FF8"/>
    <w:multiLevelType w:val="multilevel"/>
    <w:tmpl w:val="D5A6D2F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b w:val="0"/>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13555E08"/>
    <w:multiLevelType w:val="hybridMultilevel"/>
    <w:tmpl w:val="2C66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464F9"/>
    <w:multiLevelType w:val="hybridMultilevel"/>
    <w:tmpl w:val="FDF2B806"/>
    <w:lvl w:ilvl="0" w:tplc="8034D196">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74B17"/>
    <w:multiLevelType w:val="multilevel"/>
    <w:tmpl w:val="FD5C3E1C"/>
    <w:lvl w:ilvl="0">
      <w:start w:val="1"/>
      <w:numFmt w:val="decimal"/>
      <w:lvlText w:val="%1"/>
      <w:lvlJc w:val="left"/>
      <w:pPr>
        <w:ind w:left="432" w:hanging="432"/>
      </w:p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10E5952"/>
    <w:multiLevelType w:val="multilevel"/>
    <w:tmpl w:val="7EB8CF82"/>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308F2567"/>
    <w:multiLevelType w:val="multilevel"/>
    <w:tmpl w:val="CCA08B46"/>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65A4DE4"/>
    <w:multiLevelType w:val="hybridMultilevel"/>
    <w:tmpl w:val="51D497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4E11295"/>
    <w:multiLevelType w:val="hybridMultilevel"/>
    <w:tmpl w:val="AED466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BB90EE2"/>
    <w:multiLevelType w:val="hybridMultilevel"/>
    <w:tmpl w:val="43D23AF8"/>
    <w:lvl w:ilvl="0" w:tplc="64E4E7A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1A82735"/>
    <w:multiLevelType w:val="multilevel"/>
    <w:tmpl w:val="9D2E95E8"/>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7" w15:restartNumberingAfterBreak="0">
    <w:nsid w:val="66923444"/>
    <w:multiLevelType w:val="hybridMultilevel"/>
    <w:tmpl w:val="835015CC"/>
    <w:lvl w:ilvl="0" w:tplc="8034D19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11453E"/>
    <w:multiLevelType w:val="multilevel"/>
    <w:tmpl w:val="B20ABCF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6AE36641"/>
    <w:multiLevelType w:val="hybridMultilevel"/>
    <w:tmpl w:val="254071C8"/>
    <w:lvl w:ilvl="0" w:tplc="8034D19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0A1601"/>
    <w:multiLevelType w:val="hybridMultilevel"/>
    <w:tmpl w:val="A5228B9A"/>
    <w:lvl w:ilvl="0" w:tplc="64E4E7AC">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F6377A5"/>
    <w:multiLevelType w:val="hybridMultilevel"/>
    <w:tmpl w:val="8CB45244"/>
    <w:lvl w:ilvl="0" w:tplc="86A87EF2">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7314261B"/>
    <w:multiLevelType w:val="multilevel"/>
    <w:tmpl w:val="C2500C86"/>
    <w:lvl w:ilvl="0">
      <w:start w:val="1"/>
      <w:numFmt w:val="decimal"/>
      <w:lvlText w:val="%1"/>
      <w:lvlJc w:val="left"/>
      <w:pPr>
        <w:ind w:left="432" w:hanging="432"/>
      </w:pPr>
    </w:lvl>
    <w:lvl w:ilvl="1">
      <w:start w:val="1"/>
      <w:numFmt w:val="bullet"/>
      <w:lvlText w:val=""/>
      <w:lvlJc w:val="left"/>
      <w:pPr>
        <w:ind w:left="576" w:hanging="576"/>
      </w:pPr>
      <w:rPr>
        <w:rFonts w:ascii="Symbol" w:hAnsi="Symbo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bullet"/>
      <w:lvlText w:val=""/>
      <w:lvlJc w:val="left"/>
      <w:pPr>
        <w:ind w:left="1584" w:hanging="1584"/>
      </w:pPr>
      <w:rPr>
        <w:rFonts w:ascii="Symbol" w:hAnsi="Symbol" w:hint="default"/>
      </w:rPr>
    </w:lvl>
  </w:abstractNum>
  <w:abstractNum w:abstractNumId="23" w15:restartNumberingAfterBreak="0">
    <w:nsid w:val="74AA6D8E"/>
    <w:multiLevelType w:val="multilevel"/>
    <w:tmpl w:val="F02201D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79447C24"/>
    <w:multiLevelType w:val="hybridMultilevel"/>
    <w:tmpl w:val="AA9803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20"/>
  </w:num>
  <w:num w:numId="4">
    <w:abstractNumId w:val="17"/>
  </w:num>
  <w:num w:numId="5">
    <w:abstractNumId w:val="9"/>
  </w:num>
  <w:num w:numId="6">
    <w:abstractNumId w:val="19"/>
  </w:num>
  <w:num w:numId="7">
    <w:abstractNumId w:val="13"/>
  </w:num>
  <w:num w:numId="8">
    <w:abstractNumId w:val="5"/>
  </w:num>
  <w:num w:numId="9">
    <w:abstractNumId w:val="8"/>
  </w:num>
  <w:num w:numId="10">
    <w:abstractNumId w:val="3"/>
  </w:num>
  <w:num w:numId="11">
    <w:abstractNumId w:val="12"/>
  </w:num>
  <w:num w:numId="12">
    <w:abstractNumId w:val="4"/>
  </w:num>
  <w:num w:numId="13">
    <w:abstractNumId w:val="6"/>
  </w:num>
  <w:num w:numId="14">
    <w:abstractNumId w:val="0"/>
  </w:num>
  <w:num w:numId="15">
    <w:abstractNumId w:val="18"/>
  </w:num>
  <w:num w:numId="16">
    <w:abstractNumId w:val="23"/>
  </w:num>
  <w:num w:numId="17">
    <w:abstractNumId w:val="11"/>
  </w:num>
  <w:num w:numId="18">
    <w:abstractNumId w:val="2"/>
  </w:num>
  <w:num w:numId="19">
    <w:abstractNumId w:val="16"/>
  </w:num>
  <w:num w:numId="20">
    <w:abstractNumId w:val="12"/>
  </w:num>
  <w:num w:numId="21">
    <w:abstractNumId w:val="12"/>
  </w:num>
  <w:num w:numId="22">
    <w:abstractNumId w:val="12"/>
  </w:num>
  <w:num w:numId="23">
    <w:abstractNumId w:val="12"/>
  </w:num>
  <w:num w:numId="24">
    <w:abstractNumId w:val="12"/>
  </w:num>
  <w:num w:numId="25">
    <w:abstractNumId w:val="10"/>
  </w:num>
  <w:num w:numId="26">
    <w:abstractNumId w:val="2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24"/>
  </w:num>
  <w:num w:numId="35">
    <w:abstractNumId w:val="12"/>
  </w:num>
  <w:num w:numId="36">
    <w:abstractNumId w:val="12"/>
  </w:num>
  <w:num w:numId="37">
    <w:abstractNumId w:val="12"/>
  </w:num>
  <w:num w:numId="38">
    <w:abstractNumId w:val="12"/>
  </w:num>
  <w:num w:numId="39">
    <w:abstractNumId w:val="12"/>
  </w:num>
  <w:num w:numId="40">
    <w:abstractNumId w:val="21"/>
  </w:num>
  <w:num w:numId="41">
    <w:abstractNumId w:val="1"/>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C4A"/>
    <w:rsid w:val="0002402E"/>
    <w:rsid w:val="00027595"/>
    <w:rsid w:val="000A355C"/>
    <w:rsid w:val="00197D83"/>
    <w:rsid w:val="001D5C76"/>
    <w:rsid w:val="0028260C"/>
    <w:rsid w:val="002B55F7"/>
    <w:rsid w:val="002C4B8D"/>
    <w:rsid w:val="002F6AC5"/>
    <w:rsid w:val="00337D46"/>
    <w:rsid w:val="00396C07"/>
    <w:rsid w:val="003B76CD"/>
    <w:rsid w:val="004D0150"/>
    <w:rsid w:val="00507D24"/>
    <w:rsid w:val="00510C63"/>
    <w:rsid w:val="005423F1"/>
    <w:rsid w:val="005773A2"/>
    <w:rsid w:val="005C2BB4"/>
    <w:rsid w:val="005F61C6"/>
    <w:rsid w:val="00645E1B"/>
    <w:rsid w:val="00654408"/>
    <w:rsid w:val="00741C9E"/>
    <w:rsid w:val="0084558E"/>
    <w:rsid w:val="008B3E2D"/>
    <w:rsid w:val="008B58A8"/>
    <w:rsid w:val="00946C4A"/>
    <w:rsid w:val="00A32218"/>
    <w:rsid w:val="00A922B0"/>
    <w:rsid w:val="00AE6EA3"/>
    <w:rsid w:val="00B240BC"/>
    <w:rsid w:val="00B46C0B"/>
    <w:rsid w:val="00B91A16"/>
    <w:rsid w:val="00B96586"/>
    <w:rsid w:val="00C15980"/>
    <w:rsid w:val="00C86A27"/>
    <w:rsid w:val="00CC7890"/>
    <w:rsid w:val="00CD7CE4"/>
    <w:rsid w:val="00CE03CA"/>
    <w:rsid w:val="00CE4F72"/>
    <w:rsid w:val="00D562C5"/>
    <w:rsid w:val="00DE4218"/>
    <w:rsid w:val="00E1359A"/>
    <w:rsid w:val="00E45C27"/>
    <w:rsid w:val="00E84B16"/>
    <w:rsid w:val="00EB62F6"/>
    <w:rsid w:val="00F44CC1"/>
    <w:rsid w:val="00F72226"/>
    <w:rsid w:val="00F90E29"/>
    <w:rsid w:val="00FE7644"/>
    <w:rsid w:val="00FF4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CAFD3"/>
  <w15:docId w15:val="{5C89CD54-0BF1-49CD-8386-9E16D688E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6C4A"/>
    <w:pPr>
      <w:spacing w:after="0" w:line="240" w:lineRule="auto"/>
    </w:pPr>
    <w:rPr>
      <w:sz w:val="24"/>
      <w:szCs w:val="24"/>
    </w:rPr>
  </w:style>
  <w:style w:type="paragraph" w:styleId="Heading1">
    <w:name w:val="heading 1"/>
    <w:basedOn w:val="Normal"/>
    <w:next w:val="Normal"/>
    <w:link w:val="Heading1Char"/>
    <w:uiPriority w:val="9"/>
    <w:qFormat/>
    <w:rsid w:val="00946C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773A2"/>
    <w:pPr>
      <w:keepNext/>
      <w:keepLines/>
      <w:numPr>
        <w:ilvl w:val="1"/>
        <w:numId w:val="11"/>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5773A2"/>
    <w:pPr>
      <w:keepNext/>
      <w:keepLines/>
      <w:numPr>
        <w:ilvl w:val="2"/>
        <w:numId w:val="1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773A2"/>
    <w:pPr>
      <w:keepNext/>
      <w:keepLines/>
      <w:numPr>
        <w:ilvl w:val="3"/>
        <w:numId w:val="1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773A2"/>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773A2"/>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773A2"/>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773A2"/>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773A2"/>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6C4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773A2"/>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946C4A"/>
    <w:pPr>
      <w:ind w:left="720"/>
      <w:contextualSpacing/>
    </w:pPr>
  </w:style>
  <w:style w:type="character" w:styleId="Hyperlink">
    <w:name w:val="Hyperlink"/>
    <w:basedOn w:val="DefaultParagraphFont"/>
    <w:uiPriority w:val="99"/>
    <w:unhideWhenUsed/>
    <w:rsid w:val="00946C4A"/>
    <w:rPr>
      <w:color w:val="0000FF"/>
      <w:u w:val="single"/>
    </w:rPr>
  </w:style>
  <w:style w:type="table" w:styleId="TableGrid">
    <w:name w:val="Table Grid"/>
    <w:basedOn w:val="TableNormal"/>
    <w:uiPriority w:val="59"/>
    <w:rsid w:val="00946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6C4A"/>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FE7644"/>
    <w:pPr>
      <w:keepNext/>
      <w:keepLines/>
      <w:spacing w:after="120"/>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FE7644"/>
    <w:rPr>
      <w:rFonts w:ascii="Times New Roman" w:hAnsi="Times New Roman" w:cs="Times New Roman"/>
      <w:spacing w:val="-3"/>
      <w:sz w:val="20"/>
      <w:szCs w:val="20"/>
    </w:rPr>
  </w:style>
  <w:style w:type="character" w:styleId="FootnoteReference">
    <w:name w:val="footnote reference"/>
    <w:aliases w:val="titulo 2,FC,referencia nota al pie,Fußnotenzeichen DISS,ftref,16 Point,Superscript 6 Point,BVI fnr, BVI fnr,Знак сноски 1,Footnote Referencefra,Ref. de nota al pie.,Stinking Styles11,Texto de nota al pie,Footnote symbol,Footnote,fr"/>
    <w:basedOn w:val="DefaultParagraphFont"/>
    <w:uiPriority w:val="99"/>
    <w:unhideWhenUsed/>
    <w:qFormat/>
    <w:rsid w:val="00FE7644"/>
    <w:rPr>
      <w:vertAlign w:val="superscript"/>
    </w:rPr>
  </w:style>
  <w:style w:type="paragraph" w:styleId="BalloonText">
    <w:name w:val="Balloon Text"/>
    <w:basedOn w:val="Normal"/>
    <w:link w:val="BalloonTextChar"/>
    <w:uiPriority w:val="99"/>
    <w:semiHidden/>
    <w:unhideWhenUsed/>
    <w:rsid w:val="005F61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1C6"/>
    <w:rPr>
      <w:rFonts w:ascii="Segoe UI" w:hAnsi="Segoe UI" w:cs="Segoe UI"/>
      <w:sz w:val="18"/>
      <w:szCs w:val="18"/>
    </w:rPr>
  </w:style>
  <w:style w:type="paragraph" w:customStyle="1" w:styleId="SubSubPar">
    <w:name w:val="SubSubPar"/>
    <w:basedOn w:val="subpar"/>
    <w:link w:val="SubSubParChar"/>
    <w:uiPriority w:val="99"/>
    <w:rsid w:val="002F6AC5"/>
    <w:pPr>
      <w:numPr>
        <w:ilvl w:val="3"/>
      </w:numPr>
      <w:tabs>
        <w:tab w:val="left" w:pos="0"/>
        <w:tab w:val="num" w:pos="1152"/>
        <w:tab w:val="num" w:pos="1296"/>
      </w:tabs>
      <w:ind w:left="1296" w:hanging="288"/>
    </w:pPr>
    <w:rPr>
      <w:rFonts w:eastAsia="Times New Roman"/>
    </w:rPr>
  </w:style>
  <w:style w:type="character" w:customStyle="1" w:styleId="SubSubParChar">
    <w:name w:val="SubSubPar Char"/>
    <w:basedOn w:val="DefaultParagraphFont"/>
    <w:link w:val="SubSubPar"/>
    <w:rsid w:val="002F6AC5"/>
    <w:rPr>
      <w:rFonts w:ascii="Times New Roman" w:eastAsia="Times New Roman" w:hAnsi="Times New Roman" w:cs="Times New Roman"/>
      <w:color w:val="365F91" w:themeColor="accent1" w:themeShade="BF"/>
      <w:sz w:val="24"/>
      <w:szCs w:val="16"/>
    </w:rPr>
  </w:style>
  <w:style w:type="paragraph" w:customStyle="1" w:styleId="Chapter">
    <w:name w:val="Chapter"/>
    <w:basedOn w:val="Normal"/>
    <w:next w:val="Normal"/>
    <w:link w:val="ChapterChar"/>
    <w:rsid w:val="005773A2"/>
    <w:pPr>
      <w:tabs>
        <w:tab w:val="left" w:pos="1440"/>
      </w:tabs>
      <w:spacing w:after="240"/>
      <w:jc w:val="center"/>
    </w:pPr>
    <w:rPr>
      <w:rFonts w:ascii="Times New Roman" w:eastAsiaTheme="majorEastAsia" w:hAnsi="Times New Roman" w:cs="Times New Roman"/>
      <w:b/>
      <w:smallCaps/>
      <w:color w:val="365F91" w:themeColor="accent1" w:themeShade="BF"/>
    </w:rPr>
  </w:style>
  <w:style w:type="character" w:customStyle="1" w:styleId="ChapterChar">
    <w:name w:val="Chapter Char"/>
    <w:basedOn w:val="Heading1Char"/>
    <w:link w:val="Chapter"/>
    <w:rsid w:val="005773A2"/>
    <w:rPr>
      <w:rFonts w:ascii="Times New Roman" w:eastAsiaTheme="majorEastAsia" w:hAnsi="Times New Roman" w:cs="Times New Roman"/>
      <w:b/>
      <w:smallCaps/>
      <w:color w:val="365F91" w:themeColor="accent1" w:themeShade="BF"/>
      <w:sz w:val="24"/>
      <w:szCs w:val="24"/>
    </w:rPr>
  </w:style>
  <w:style w:type="paragraph" w:customStyle="1" w:styleId="FirstHeading">
    <w:name w:val="FirstHeading"/>
    <w:basedOn w:val="Normal"/>
    <w:next w:val="Normal"/>
    <w:link w:val="FirstHeadingChar"/>
    <w:rsid w:val="005773A2"/>
    <w:pPr>
      <w:tabs>
        <w:tab w:val="left" w:pos="0"/>
        <w:tab w:val="left" w:pos="86"/>
      </w:tabs>
      <w:spacing w:before="120" w:after="120"/>
      <w:ind w:left="720" w:hanging="720"/>
    </w:pPr>
    <w:rPr>
      <w:rFonts w:ascii="Times New Roman" w:eastAsiaTheme="majorEastAsia" w:hAnsi="Times New Roman" w:cs="Times New Roman"/>
      <w:b/>
      <w:color w:val="365F91" w:themeColor="accent1" w:themeShade="BF"/>
    </w:rPr>
  </w:style>
  <w:style w:type="character" w:customStyle="1" w:styleId="FirstHeadingChar">
    <w:name w:val="FirstHeading Char"/>
    <w:basedOn w:val="Heading1Char"/>
    <w:link w:val="FirstHeading"/>
    <w:rsid w:val="005773A2"/>
    <w:rPr>
      <w:rFonts w:ascii="Times New Roman" w:eastAsiaTheme="majorEastAsia" w:hAnsi="Times New Roman" w:cs="Times New Roman"/>
      <w:b/>
      <w:color w:val="365F91" w:themeColor="accent1" w:themeShade="BF"/>
      <w:sz w:val="24"/>
      <w:szCs w:val="24"/>
    </w:rPr>
  </w:style>
  <w:style w:type="paragraph" w:customStyle="1" w:styleId="SecHeading">
    <w:name w:val="SecHeading"/>
    <w:basedOn w:val="Normal"/>
    <w:next w:val="Paragraph"/>
    <w:link w:val="SecHeadingChar"/>
    <w:rsid w:val="005773A2"/>
    <w:pPr>
      <w:tabs>
        <w:tab w:val="num" w:pos="1296"/>
      </w:tabs>
      <w:spacing w:before="120" w:after="120"/>
      <w:ind w:left="1296" w:hanging="576"/>
    </w:pPr>
    <w:rPr>
      <w:rFonts w:ascii="Times New Roman" w:eastAsiaTheme="majorEastAsia" w:hAnsi="Times New Roman" w:cs="Times New Roman"/>
      <w:b/>
      <w:color w:val="365F91" w:themeColor="accent1" w:themeShade="BF"/>
    </w:rPr>
  </w:style>
  <w:style w:type="character" w:customStyle="1" w:styleId="SecHeadingChar">
    <w:name w:val="SecHeading Char"/>
    <w:basedOn w:val="Heading1Char"/>
    <w:link w:val="SecHeading"/>
    <w:rsid w:val="005773A2"/>
    <w:rPr>
      <w:rFonts w:ascii="Times New Roman" w:eastAsiaTheme="majorEastAsia" w:hAnsi="Times New Roman" w:cs="Times New Roman"/>
      <w:b/>
      <w:color w:val="365F91" w:themeColor="accent1" w:themeShade="BF"/>
      <w:sz w:val="24"/>
      <w:szCs w:val="24"/>
    </w:rPr>
  </w:style>
  <w:style w:type="paragraph" w:customStyle="1" w:styleId="SubHeading1">
    <w:name w:val="SubHeading1"/>
    <w:basedOn w:val="SecHeading"/>
    <w:link w:val="SubHeading1Char"/>
    <w:rsid w:val="005773A2"/>
    <w:pPr>
      <w:keepNext/>
      <w:tabs>
        <w:tab w:val="clear" w:pos="1296"/>
        <w:tab w:val="num" w:pos="1872"/>
      </w:tabs>
      <w:ind w:left="1872"/>
    </w:pPr>
    <w:rPr>
      <w:color w:val="auto"/>
    </w:rPr>
  </w:style>
  <w:style w:type="character" w:customStyle="1" w:styleId="SubHeading1Char">
    <w:name w:val="SubHeading1 Char"/>
    <w:basedOn w:val="Heading1Char"/>
    <w:link w:val="SubHeading1"/>
    <w:rsid w:val="005773A2"/>
    <w:rPr>
      <w:rFonts w:ascii="Times New Roman" w:eastAsiaTheme="majorEastAsia" w:hAnsi="Times New Roman" w:cs="Times New Roman"/>
      <w:b/>
      <w:color w:val="365F91" w:themeColor="accent1" w:themeShade="BF"/>
      <w:sz w:val="24"/>
      <w:szCs w:val="24"/>
    </w:rPr>
  </w:style>
  <w:style w:type="paragraph" w:customStyle="1" w:styleId="Subheading2">
    <w:name w:val="Subheading2"/>
    <w:basedOn w:val="SecHeading"/>
    <w:link w:val="Subheading2Char"/>
    <w:rsid w:val="005773A2"/>
    <w:pPr>
      <w:keepNext/>
      <w:tabs>
        <w:tab w:val="clear" w:pos="1296"/>
        <w:tab w:val="num" w:pos="2376"/>
      </w:tabs>
      <w:ind w:left="2376" w:hanging="288"/>
    </w:pPr>
    <w:rPr>
      <w:color w:val="auto"/>
    </w:rPr>
  </w:style>
  <w:style w:type="character" w:customStyle="1" w:styleId="Subheading2Char">
    <w:name w:val="Subheading2 Char"/>
    <w:basedOn w:val="Heading1Char"/>
    <w:link w:val="Subheading2"/>
    <w:rsid w:val="005773A2"/>
    <w:rPr>
      <w:rFonts w:ascii="Times New Roman" w:eastAsiaTheme="majorEastAsia" w:hAnsi="Times New Roman" w:cs="Times New Roman"/>
      <w:b/>
      <w:color w:val="365F91" w:themeColor="accent1" w:themeShade="BF"/>
      <w:sz w:val="24"/>
      <w:szCs w:val="24"/>
    </w:rPr>
  </w:style>
  <w:style w:type="paragraph" w:customStyle="1" w:styleId="Paragraph">
    <w:name w:val="Paragraph"/>
    <w:aliases w:val="paragraph,p,PARAGRAPH,PG,pa,at"/>
    <w:basedOn w:val="BodyTextIndent"/>
    <w:link w:val="ParagraphChar"/>
    <w:qFormat/>
    <w:rsid w:val="005773A2"/>
    <w:pPr>
      <w:tabs>
        <w:tab w:val="num" w:pos="720"/>
      </w:tabs>
      <w:spacing w:before="120"/>
      <w:ind w:left="720" w:hanging="720"/>
      <w:jc w:val="both"/>
      <w:outlineLvl w:val="1"/>
    </w:pPr>
    <w:rPr>
      <w:rFonts w:eastAsiaTheme="majorEastAsia"/>
      <w:color w:val="365F91" w:themeColor="accent1" w:themeShade="BF"/>
    </w:rPr>
  </w:style>
  <w:style w:type="character" w:customStyle="1" w:styleId="ParagraphChar">
    <w:name w:val="Paragraph Char"/>
    <w:basedOn w:val="Heading1Char"/>
    <w:link w:val="Paragraph"/>
    <w:rsid w:val="005773A2"/>
    <w:rPr>
      <w:rFonts w:ascii="Times New Roman" w:eastAsiaTheme="majorEastAsia" w:hAnsi="Times New Roman" w:cs="Times New Roman"/>
      <w:color w:val="365F91" w:themeColor="accent1" w:themeShade="BF"/>
      <w:sz w:val="24"/>
      <w:szCs w:val="24"/>
    </w:rPr>
  </w:style>
  <w:style w:type="paragraph" w:customStyle="1" w:styleId="subpar">
    <w:name w:val="subpar"/>
    <w:basedOn w:val="BodyTextIndent3"/>
    <w:link w:val="subparChar"/>
    <w:rsid w:val="005773A2"/>
    <w:pPr>
      <w:tabs>
        <w:tab w:val="num" w:pos="1152"/>
      </w:tabs>
      <w:spacing w:before="120"/>
      <w:ind w:left="1152" w:hanging="432"/>
      <w:jc w:val="both"/>
      <w:outlineLvl w:val="2"/>
    </w:pPr>
    <w:rPr>
      <w:rFonts w:eastAsiaTheme="majorEastAsia"/>
      <w:color w:val="365F91" w:themeColor="accent1" w:themeShade="BF"/>
    </w:rPr>
  </w:style>
  <w:style w:type="character" w:customStyle="1" w:styleId="subparChar">
    <w:name w:val="subpar Char"/>
    <w:basedOn w:val="Heading1Char"/>
    <w:link w:val="subpar"/>
    <w:rsid w:val="005773A2"/>
    <w:rPr>
      <w:rFonts w:ascii="Times New Roman" w:eastAsiaTheme="majorEastAsia" w:hAnsi="Times New Roman" w:cs="Times New Roman"/>
      <w:color w:val="365F91" w:themeColor="accent1" w:themeShade="BF"/>
      <w:sz w:val="24"/>
      <w:szCs w:val="16"/>
    </w:rPr>
  </w:style>
  <w:style w:type="paragraph" w:customStyle="1" w:styleId="Regtable">
    <w:name w:val="Regtable"/>
    <w:basedOn w:val="Normal"/>
    <w:link w:val="RegtableChar"/>
    <w:rsid w:val="005773A2"/>
    <w:pPr>
      <w:framePr w:wrap="around" w:vAnchor="text" w:hAnchor="text" w:y="1"/>
      <w:spacing w:before="20" w:after="20"/>
    </w:pPr>
    <w:rPr>
      <w:rFonts w:ascii="Times New Roman" w:eastAsiaTheme="majorEastAsia" w:hAnsi="Times New Roman" w:cs="Times New Roman"/>
      <w:color w:val="365F91" w:themeColor="accent1" w:themeShade="BF"/>
      <w:sz w:val="20"/>
    </w:rPr>
  </w:style>
  <w:style w:type="character" w:customStyle="1" w:styleId="RegtableChar">
    <w:name w:val="Regtable Char"/>
    <w:basedOn w:val="Heading1Char"/>
    <w:link w:val="Regtable"/>
    <w:rsid w:val="005773A2"/>
    <w:rPr>
      <w:rFonts w:ascii="Times New Roman" w:eastAsiaTheme="majorEastAsia" w:hAnsi="Times New Roman" w:cs="Times New Roman"/>
      <w:color w:val="365F91" w:themeColor="accent1" w:themeShade="BF"/>
      <w:sz w:val="20"/>
      <w:szCs w:val="24"/>
    </w:rPr>
  </w:style>
  <w:style w:type="paragraph" w:customStyle="1" w:styleId="TableTitle">
    <w:name w:val="TableTitle"/>
    <w:basedOn w:val="Normal"/>
    <w:link w:val="TableTitleChar"/>
    <w:rsid w:val="005773A2"/>
    <w:pPr>
      <w:framePr w:wrap="around" w:vAnchor="text" w:hAnchor="text" w:y="1"/>
      <w:spacing w:before="20" w:after="20"/>
      <w:jc w:val="center"/>
    </w:pPr>
    <w:rPr>
      <w:rFonts w:ascii="Times New Roman Bold" w:eastAsiaTheme="majorEastAsia" w:hAnsi="Times New Roman Bold" w:cs="Arial"/>
      <w:b/>
      <w:color w:val="365F91" w:themeColor="accent1" w:themeShade="BF"/>
      <w:spacing w:val="-3"/>
      <w:sz w:val="20"/>
    </w:rPr>
  </w:style>
  <w:style w:type="character" w:customStyle="1" w:styleId="TableTitleChar">
    <w:name w:val="TableTitle Char"/>
    <w:basedOn w:val="Heading1Char"/>
    <w:link w:val="TableTitle"/>
    <w:rsid w:val="005773A2"/>
    <w:rPr>
      <w:rFonts w:ascii="Times New Roman Bold" w:eastAsiaTheme="majorEastAsia" w:hAnsi="Times New Roman Bold" w:cs="Arial"/>
      <w:b/>
      <w:color w:val="365F91" w:themeColor="accent1" w:themeShade="BF"/>
      <w:spacing w:val="-3"/>
      <w:sz w:val="20"/>
      <w:szCs w:val="24"/>
    </w:rPr>
  </w:style>
  <w:style w:type="character" w:customStyle="1" w:styleId="Heading3Char">
    <w:name w:val="Heading 3 Char"/>
    <w:basedOn w:val="DefaultParagraphFont"/>
    <w:link w:val="Heading3"/>
    <w:uiPriority w:val="9"/>
    <w:rsid w:val="005773A2"/>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5773A2"/>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5773A2"/>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5773A2"/>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5773A2"/>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5773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773A2"/>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5773A2"/>
    <w:pPr>
      <w:spacing w:after="120"/>
      <w:ind w:left="360"/>
    </w:pPr>
    <w:rPr>
      <w:rFonts w:ascii="Times New Roman" w:hAnsi="Times New Roman" w:cs="Times New Roman"/>
    </w:rPr>
  </w:style>
  <w:style w:type="character" w:customStyle="1" w:styleId="BodyTextIndentChar">
    <w:name w:val="Body Text Indent Char"/>
    <w:basedOn w:val="DefaultParagraphFont"/>
    <w:link w:val="BodyTextIndent"/>
    <w:uiPriority w:val="99"/>
    <w:semiHidden/>
    <w:rsid w:val="005773A2"/>
    <w:rPr>
      <w:rFonts w:ascii="Times New Roman" w:hAnsi="Times New Roman" w:cs="Times New Roman"/>
      <w:sz w:val="24"/>
      <w:szCs w:val="24"/>
    </w:rPr>
  </w:style>
  <w:style w:type="paragraph" w:styleId="BodyTextIndent3">
    <w:name w:val="Body Text Indent 3"/>
    <w:basedOn w:val="Normal"/>
    <w:link w:val="BodyTextIndent3Char"/>
    <w:uiPriority w:val="99"/>
    <w:semiHidden/>
    <w:unhideWhenUsed/>
    <w:rsid w:val="005773A2"/>
    <w:pPr>
      <w:spacing w:after="120"/>
      <w:ind w:left="360"/>
    </w:pPr>
    <w:rPr>
      <w:rFonts w:ascii="Times New Roman" w:hAnsi="Times New Roman" w:cs="Times New Roman"/>
      <w:szCs w:val="16"/>
    </w:rPr>
  </w:style>
  <w:style w:type="character" w:customStyle="1" w:styleId="BodyTextIndent3Char">
    <w:name w:val="Body Text Indent 3 Char"/>
    <w:basedOn w:val="DefaultParagraphFont"/>
    <w:link w:val="BodyTextIndent3"/>
    <w:uiPriority w:val="99"/>
    <w:semiHidden/>
    <w:rsid w:val="005773A2"/>
    <w:rPr>
      <w:rFonts w:ascii="Times New Roman" w:hAnsi="Times New Roman" w:cs="Times New Roman"/>
      <w:sz w:val="24"/>
      <w:szCs w:val="16"/>
    </w:rPr>
  </w:style>
  <w:style w:type="character" w:styleId="CommentReference">
    <w:name w:val="annotation reference"/>
    <w:basedOn w:val="DefaultParagraphFont"/>
    <w:uiPriority w:val="99"/>
    <w:semiHidden/>
    <w:unhideWhenUsed/>
    <w:rsid w:val="005773A2"/>
    <w:rPr>
      <w:sz w:val="16"/>
      <w:szCs w:val="16"/>
    </w:rPr>
  </w:style>
  <w:style w:type="paragraph" w:styleId="CommentText">
    <w:name w:val="annotation text"/>
    <w:basedOn w:val="Normal"/>
    <w:link w:val="CommentTextChar"/>
    <w:uiPriority w:val="99"/>
    <w:semiHidden/>
    <w:unhideWhenUsed/>
    <w:rsid w:val="005773A2"/>
    <w:rPr>
      <w:sz w:val="20"/>
      <w:szCs w:val="20"/>
    </w:rPr>
  </w:style>
  <w:style w:type="character" w:customStyle="1" w:styleId="CommentTextChar">
    <w:name w:val="Comment Text Char"/>
    <w:basedOn w:val="DefaultParagraphFont"/>
    <w:link w:val="CommentText"/>
    <w:uiPriority w:val="99"/>
    <w:semiHidden/>
    <w:rsid w:val="005773A2"/>
    <w:rPr>
      <w:sz w:val="20"/>
      <w:szCs w:val="20"/>
    </w:rPr>
  </w:style>
  <w:style w:type="paragraph" w:styleId="CommentSubject">
    <w:name w:val="annotation subject"/>
    <w:basedOn w:val="CommentText"/>
    <w:next w:val="CommentText"/>
    <w:link w:val="CommentSubjectChar"/>
    <w:uiPriority w:val="99"/>
    <w:semiHidden/>
    <w:unhideWhenUsed/>
    <w:rsid w:val="005773A2"/>
    <w:rPr>
      <w:b/>
      <w:bCs/>
    </w:rPr>
  </w:style>
  <w:style w:type="character" w:customStyle="1" w:styleId="CommentSubjectChar">
    <w:name w:val="Comment Subject Char"/>
    <w:basedOn w:val="CommentTextChar"/>
    <w:link w:val="CommentSubject"/>
    <w:uiPriority w:val="99"/>
    <w:semiHidden/>
    <w:rsid w:val="005773A2"/>
    <w:rPr>
      <w:b/>
      <w:bCs/>
      <w:sz w:val="20"/>
      <w:szCs w:val="20"/>
    </w:rPr>
  </w:style>
  <w:style w:type="table" w:customStyle="1" w:styleId="Tabladecuadrcula4-nfasis51">
    <w:name w:val="Tabla de cuadrícula 4 - Énfasis 51"/>
    <w:basedOn w:val="TableNormal"/>
    <w:uiPriority w:val="49"/>
    <w:rsid w:val="00CE03C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citeseerx.ist.psu.edu/viewdoc/download?doi=10.1.1.497.4003&amp;rep=rep1&amp;type=pdf" TargetMode="External"/><Relationship Id="rId7" Type="http://schemas.openxmlformats.org/officeDocument/2006/relationships/hyperlink" Target="http://go.fundera.com/the-state-of-online-small-business-lending-q2-2016" TargetMode="External"/><Relationship Id="rId2" Type="http://schemas.openxmlformats.org/officeDocument/2006/relationships/hyperlink" Target="http://siteresources.worldbank.org/EXTGENDERSTATS/Resources/SushmaNarain-AccesstoFinanceAnalyticalPaper.doc" TargetMode="External"/><Relationship Id="rId1" Type="http://schemas.openxmlformats.org/officeDocument/2006/relationships/hyperlink" Target="https://www.unido.org/fileadmin/user_media/Services/Research_and_Statistics/WP052011_Ebook.pdf" TargetMode="External"/><Relationship Id="rId6" Type="http://schemas.openxmlformats.org/officeDocument/2006/relationships/hyperlink" Target="https://www.adb.org/sites/default/files/publication/190631/trade-finance-gaps.pdf" TargetMode="External"/><Relationship Id="rId5" Type="http://schemas.openxmlformats.org/officeDocument/2006/relationships/hyperlink" Target="https://papers.ssrn.com/sol3/papers.cfm?abstract_id=2254240" TargetMode="External"/><Relationship Id="rId4" Type="http://schemas.openxmlformats.org/officeDocument/2006/relationships/hyperlink" Target="http://www.ifc.org/wps/wcm/connect/84f6b48048855d698ee4de6a6515bb18/Gender+and+Economic+Growth+in+Kenya.pdf?MOD=AJPE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20D4CA0E10454FB677C99A32C73F5E" ma:contentTypeVersion="178" ma:contentTypeDescription="A content type to manage public (operations) IDB documents" ma:contentTypeScope="" ma:versionID="c2832b166b0cd5b427172b329f96135d">
  <xsd:schema xmlns:xsd="http://www.w3.org/2001/XMLSchema" xmlns:xs="http://www.w3.org/2001/XMLSchema" xmlns:p="http://schemas.microsoft.com/office/2006/metadata/properties" xmlns:ns2="cdc7663a-08f0-4737-9e8c-148ce897a09c" targetNamespace="http://schemas.microsoft.com/office/2006/metadata/properties" ma:root="true" ma:fieldsID="f13cfc6ef225058d4f1aeda843700f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4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Arauz Herrera, Alison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FM-FES</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128</Value>
      <Value>24</Value>
      <Value>52</Value>
      <Value>73</Value>
      <Value>1</Value>
      <Value>136</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Record_x0020_Number xmlns="cdc7663a-08f0-4737-9e8c-148ce897a09c">R0002006998</Record_x0020_Number>
    <_dlc_DocId xmlns="cdc7663a-08f0-4737-9e8c-148ce897a09c">EZSHARE-1067953801-18</_dlc_DocId>
    <_dlc_DocIdUrl xmlns="cdc7663a-08f0-4737-9e8c-148ce897a09c">
      <Url>https://idbg.sharepoint.com/teams/EZ-PR-LON/PR-L1146/_layouts/15/DocIdRedir.aspx?ID=EZSHARE-1067953801-18</Url>
      <Description>EZSHARE-1067953801-18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A2806-43D5-4DC7-8CAA-869CFADD3682}">
  <ds:schemaRefs>
    <ds:schemaRef ds:uri="http://schemas.microsoft.com/sharepoint/events"/>
  </ds:schemaRefs>
</ds:datastoreItem>
</file>

<file path=customXml/itemProps2.xml><?xml version="1.0" encoding="utf-8"?>
<ds:datastoreItem xmlns:ds="http://schemas.openxmlformats.org/officeDocument/2006/customXml" ds:itemID="{D15044F3-66D8-446B-9E2F-6EA88DDADC91}"/>
</file>

<file path=customXml/itemProps3.xml><?xml version="1.0" encoding="utf-8"?>
<ds:datastoreItem xmlns:ds="http://schemas.openxmlformats.org/officeDocument/2006/customXml" ds:itemID="{57BD2AA9-F6EA-4C66-B96F-1A52C728D288}">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729EFDD5-1252-4AF5-8A2E-5574E227D1AB}"/>
</file>

<file path=customXml/itemProps5.xml><?xml version="1.0" encoding="utf-8"?>
<ds:datastoreItem xmlns:ds="http://schemas.openxmlformats.org/officeDocument/2006/customXml" ds:itemID="{DCCED9FC-9E72-4C09-8AE7-DFA8F6495C6D}"/>
</file>

<file path=customXml/itemProps6.xml><?xml version="1.0" encoding="utf-8"?>
<ds:datastoreItem xmlns:ds="http://schemas.openxmlformats.org/officeDocument/2006/customXml" ds:itemID="{853DFC08-85E0-4472-B038-743CC0A8EDCC}">
  <ds:schemaRefs>
    <ds:schemaRef ds:uri="http://schemas.microsoft.com/sharepoint/v3/contenttype/forms"/>
  </ds:schemaRefs>
</ds:datastoreItem>
</file>

<file path=customXml/itemProps7.xml><?xml version="1.0" encoding="utf-8"?>
<ds:datastoreItem xmlns:ds="http://schemas.openxmlformats.org/officeDocument/2006/customXml" ds:itemID="{26BD4843-CAAB-4452-9E19-C40374EA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2330</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Botero, Maria Margarita</dc:creator>
  <cp:keywords/>
  <dc:description/>
  <cp:lastModifiedBy>Arauz Herrera, Alison</cp:lastModifiedBy>
  <cp:revision>12</cp:revision>
  <dcterms:created xsi:type="dcterms:W3CDTF">2017-07-20T14:59:00Z</dcterms:created>
  <dcterms:modified xsi:type="dcterms:W3CDTF">2018-06-18T20:49:00Z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73;#Proposal for Operation Development (POD)|24e0d6d4-9e5f-4c37-abe1-0e66100c0228</vt:lpwstr>
  </property>
  <property fmtid="{D5CDD505-2E9C-101B-9397-08002B2CF9AE}" pid="6" name="Sub-Sector">
    <vt:lpwstr>128;#FM-FES|dcc8718d-dd7c-4b5d-bcc4-86a6a708df42</vt:lpwstr>
  </property>
  <property fmtid="{D5CDD505-2E9C-101B-9397-08002B2CF9AE}" pid="7" name="Fund IDB">
    <vt:lpwstr>136;#GRN|d0f1dc7f-e162-4a9c-9421-b7d8c382a710</vt:lpwstr>
  </property>
  <property fmtid="{D5CDD505-2E9C-101B-9397-08002B2CF9AE}" pid="8" name="Country">
    <vt:lpwstr>24;#PR|50282442-27e7-4526-9d04-55bf5da33a10</vt:lpwstr>
  </property>
  <property fmtid="{D5CDD505-2E9C-101B-9397-08002B2CF9AE}" pid="9" name="Sector IDB">
    <vt:lpwstr>52;#FM|75500f29-2419-473a-bcd8-84901ddc2aa7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f31e3f8e-26ed-4172-8420-f628a5662f79</vt:lpwstr>
  </property>
  <property fmtid="{D5CDD505-2E9C-101B-9397-08002B2CF9AE}" pid="13" name="RecordStorageActiveId">
    <vt:lpwstr>4fd2795b-3eb9-4cff-b856-1dbf0a37ca19</vt:lpwstr>
  </property>
  <property fmtid="{D5CDD505-2E9C-101B-9397-08002B2CF9AE}" pid="14" name="Disclosure Activity">
    <vt:lpwstr>Loan Proposal</vt:lpwstr>
  </property>
  <property fmtid="{D5CDD505-2E9C-101B-9397-08002B2CF9AE}" pid="15" name="ContentTypeId">
    <vt:lpwstr>0x0101001A458A224826124E8B45B1D613300CFC002520D4CA0E10454FB677C99A32C73F5E</vt:lpwstr>
  </property>
</Properties>
</file>