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66FCEB" w14:textId="33FA0379" w:rsidR="00D23981" w:rsidRPr="00D23981" w:rsidRDefault="00D23981" w:rsidP="00D23981">
      <w:pPr>
        <w:pStyle w:val="SecHeading"/>
        <w:numPr>
          <w:ilvl w:val="0"/>
          <w:numId w:val="0"/>
        </w:numPr>
        <w:ind w:left="1296" w:hanging="576"/>
        <w:jc w:val="center"/>
        <w:rPr>
          <w:szCs w:val="22"/>
          <w:lang w:val="en-US"/>
        </w:rPr>
      </w:pPr>
      <w:bookmarkStart w:id="0" w:name="_Toc492031828"/>
      <w:bookmarkStart w:id="1" w:name="_Toc495075885"/>
      <w:r w:rsidRPr="00D23981">
        <w:rPr>
          <w:szCs w:val="22"/>
          <w:lang w:val="en-US"/>
        </w:rPr>
        <w:t xml:space="preserve">ANALYSIS OF FINANCIAL SYSTEM </w:t>
      </w:r>
      <w:r w:rsidR="00106944">
        <w:rPr>
          <w:szCs w:val="22"/>
          <w:lang w:val="en-US"/>
        </w:rPr>
        <w:t xml:space="preserve">AND </w:t>
      </w:r>
      <w:r w:rsidR="00AC2583">
        <w:rPr>
          <w:szCs w:val="22"/>
          <w:lang w:val="en-US"/>
        </w:rPr>
        <w:t>I</w:t>
      </w:r>
      <w:bookmarkStart w:id="2" w:name="_GoBack"/>
      <w:bookmarkEnd w:id="2"/>
      <w:r w:rsidR="00106944">
        <w:rPr>
          <w:szCs w:val="22"/>
          <w:lang w:val="en-US"/>
        </w:rPr>
        <w:t>FI</w:t>
      </w:r>
      <w:r w:rsidR="006E0E0D">
        <w:rPr>
          <w:rStyle w:val="FootnoteReference"/>
          <w:szCs w:val="22"/>
          <w:lang w:val="en-US"/>
        </w:rPr>
        <w:footnoteReference w:id="1"/>
      </w:r>
    </w:p>
    <w:p w14:paraId="040197F8" w14:textId="77777777" w:rsidR="00D23981" w:rsidRPr="00D23981" w:rsidRDefault="00D23981" w:rsidP="00D23981">
      <w:pPr>
        <w:pStyle w:val="Paragraph"/>
        <w:numPr>
          <w:ilvl w:val="0"/>
          <w:numId w:val="0"/>
        </w:numPr>
        <w:ind w:left="720"/>
        <w:rPr>
          <w:lang w:val="en-US"/>
        </w:rPr>
      </w:pPr>
    </w:p>
    <w:p w14:paraId="4C2FBB57" w14:textId="77777777" w:rsidR="00D23981" w:rsidRPr="00D6501F" w:rsidRDefault="00D23981" w:rsidP="00D23981">
      <w:pPr>
        <w:pStyle w:val="SecHeading"/>
        <w:numPr>
          <w:ilvl w:val="0"/>
          <w:numId w:val="0"/>
        </w:numPr>
        <w:ind w:left="1296" w:hanging="576"/>
      </w:pPr>
      <w:r>
        <w:rPr>
          <w:szCs w:val="22"/>
        </w:rPr>
        <w:t>A</w:t>
      </w:r>
      <w:r w:rsidRPr="00D6501F">
        <w:rPr>
          <w:szCs w:val="22"/>
        </w:rPr>
        <w:t xml:space="preserve">.  </w:t>
      </w:r>
      <w:r w:rsidRPr="00D6501F">
        <w:rPr>
          <w:szCs w:val="22"/>
        </w:rPr>
        <w:tab/>
        <w:t>El funcionamiento del sistema financiero en Paraguay</w:t>
      </w:r>
      <w:bookmarkEnd w:id="0"/>
      <w:bookmarkEnd w:id="1"/>
    </w:p>
    <w:p w14:paraId="5E32E5ED" w14:textId="77777777" w:rsidR="00D23981" w:rsidRPr="00751C6B" w:rsidRDefault="00D23981" w:rsidP="00D23981">
      <w:pPr>
        <w:pStyle w:val="Paragraph"/>
        <w:tabs>
          <w:tab w:val="clear" w:pos="360"/>
        </w:tabs>
        <w:rPr>
          <w:szCs w:val="22"/>
          <w:lang w:val="es-ES_tradnl"/>
        </w:rPr>
      </w:pPr>
      <w:r w:rsidRPr="00751C6B">
        <w:rPr>
          <w:b/>
          <w:lang w:val="es-ES_tradnl"/>
        </w:rPr>
        <w:t>Sistema financiero</w:t>
      </w:r>
      <w:r w:rsidRPr="00D6501F">
        <w:rPr>
          <w:b/>
          <w:lang w:val="es-ES_tradnl"/>
        </w:rPr>
        <w:t xml:space="preserve"> en Paraguay.</w:t>
      </w:r>
      <w:r w:rsidRPr="00D6501F">
        <w:rPr>
          <w:lang w:val="es-ES_tradnl"/>
        </w:rPr>
        <w:t xml:space="preserve"> El sistema financiero es sólido y se encuentra bien capitalizado. Los activos de las instituciones financieras equivalen a 93% del PIB. El sistema es principalmente bancario (los 17 bancos que operan en el país poseen 78% del total de activos) y está concentrado (cuatro grandes bancos controlan alrededor de dos tercios del total de los activos financieros). Asimismo, el principal componente de los </w:t>
      </w:r>
      <w:r w:rsidRPr="00B15B92">
        <w:rPr>
          <w:lang w:val="es-ES_tradnl"/>
        </w:rPr>
        <w:t>activos de los bancos son los créditos, que se concentran en el sector agrícola (</w:t>
      </w:r>
      <w:r w:rsidR="00B15B92" w:rsidRPr="00B15B92">
        <w:rPr>
          <w:lang w:val="es-ES_tradnl"/>
        </w:rPr>
        <w:t>17,9</w:t>
      </w:r>
      <w:r w:rsidRPr="00B15B92">
        <w:rPr>
          <w:lang w:val="es-ES_tradnl"/>
        </w:rPr>
        <w:t>%), comercial al por mayor (</w:t>
      </w:r>
      <w:r w:rsidR="00B15B92" w:rsidRPr="00B15B92">
        <w:rPr>
          <w:lang w:val="es-ES_tradnl"/>
        </w:rPr>
        <w:t>15,3</w:t>
      </w:r>
      <w:r w:rsidRPr="00B15B92">
        <w:rPr>
          <w:lang w:val="es-ES_tradnl"/>
        </w:rPr>
        <w:t xml:space="preserve">%) y </w:t>
      </w:r>
      <w:r w:rsidR="00B15B92" w:rsidRPr="00B15B92">
        <w:rPr>
          <w:lang w:val="es-ES_tradnl"/>
        </w:rPr>
        <w:t xml:space="preserve">consumo </w:t>
      </w:r>
      <w:r w:rsidRPr="00B15B92">
        <w:rPr>
          <w:lang w:val="es-ES_tradnl"/>
        </w:rPr>
        <w:t>(13</w:t>
      </w:r>
      <w:r w:rsidR="00B15B92" w:rsidRPr="00B15B92">
        <w:rPr>
          <w:lang w:val="es-ES_tradnl"/>
        </w:rPr>
        <w:t>,9</w:t>
      </w:r>
      <w:r w:rsidRPr="00B15B92">
        <w:rPr>
          <w:lang w:val="es-ES_tradnl"/>
        </w:rPr>
        <w:t>%)</w:t>
      </w:r>
      <w:r w:rsidRPr="00B15B92">
        <w:rPr>
          <w:vertAlign w:val="superscript"/>
          <w:lang w:val="es-ES_tradnl"/>
        </w:rPr>
        <w:footnoteReference w:id="2"/>
      </w:r>
      <w:r w:rsidRPr="00B15B92">
        <w:rPr>
          <w:lang w:val="es-ES_tradnl"/>
        </w:rPr>
        <w:t>. Se observa una brecha de género en cuanto a la composición de la cartera de crédito con, por ejemplo, 70% de</w:t>
      </w:r>
      <w:r w:rsidRPr="00751C6B">
        <w:rPr>
          <w:lang w:val="es-ES_tradnl"/>
        </w:rPr>
        <w:t xml:space="preserve"> créditos agrícolas otorgados a empresas o proyectos liderados por hombres, versus 30% a aquéllos liderados por mujeres, lo cual limita avanzar hacia una mayor inclusión financiera</w:t>
      </w:r>
      <w:r w:rsidRPr="00751C6B">
        <w:rPr>
          <w:rStyle w:val="FootnoteReference"/>
          <w:lang w:val="es-ES_tradnl"/>
        </w:rPr>
        <w:footnoteReference w:id="3"/>
      </w:r>
      <w:r w:rsidRPr="00751C6B">
        <w:rPr>
          <w:lang w:val="es-ES_tradnl"/>
        </w:rPr>
        <w:t xml:space="preserve">. Los niveles de capital regulatorio sobre activos ponderados por riesgo (17,9%), de cartera vencida sobre préstamos totales (2,9%) y de rentabilidad </w:t>
      </w:r>
      <w:proofErr w:type="spellStart"/>
      <w:r w:rsidRPr="00215E0C">
        <w:rPr>
          <w:i/>
          <w:lang w:val="es-ES_tradnl"/>
        </w:rPr>
        <w:t>Return</w:t>
      </w:r>
      <w:proofErr w:type="spellEnd"/>
      <w:r w:rsidRPr="00215E0C">
        <w:rPr>
          <w:i/>
          <w:lang w:val="es-ES_tradnl"/>
        </w:rPr>
        <w:t xml:space="preserve"> </w:t>
      </w:r>
      <w:proofErr w:type="spellStart"/>
      <w:r w:rsidRPr="00215E0C">
        <w:rPr>
          <w:i/>
          <w:lang w:val="es-ES_tradnl"/>
        </w:rPr>
        <w:t>on</w:t>
      </w:r>
      <w:proofErr w:type="spellEnd"/>
      <w:r w:rsidRPr="00215E0C">
        <w:rPr>
          <w:i/>
          <w:lang w:val="es-ES_tradnl"/>
        </w:rPr>
        <w:t xml:space="preserve"> </w:t>
      </w:r>
      <w:proofErr w:type="spellStart"/>
      <w:r w:rsidRPr="00215E0C">
        <w:rPr>
          <w:i/>
          <w:lang w:val="es-ES_tradnl"/>
        </w:rPr>
        <w:t>Assets</w:t>
      </w:r>
      <w:proofErr w:type="spellEnd"/>
      <w:r w:rsidRPr="00215E0C">
        <w:rPr>
          <w:lang w:val="es-ES_tradnl"/>
        </w:rPr>
        <w:t xml:space="preserve"> </w:t>
      </w:r>
      <w:r>
        <w:rPr>
          <w:lang w:val="es-ES_tradnl"/>
        </w:rPr>
        <w:t>(</w:t>
      </w:r>
      <w:r w:rsidRPr="00751C6B">
        <w:rPr>
          <w:lang w:val="es-ES_tradnl"/>
        </w:rPr>
        <w:t>ROA</w:t>
      </w:r>
      <w:r>
        <w:rPr>
          <w:lang w:val="es-ES_tradnl"/>
        </w:rPr>
        <w:t>)</w:t>
      </w:r>
      <w:r w:rsidRPr="00751C6B">
        <w:rPr>
          <w:lang w:val="es-ES_tradnl"/>
        </w:rPr>
        <w:t xml:space="preserve"> y </w:t>
      </w:r>
      <w:proofErr w:type="spellStart"/>
      <w:r w:rsidRPr="00215E0C">
        <w:rPr>
          <w:i/>
          <w:lang w:val="es-ES_tradnl"/>
        </w:rPr>
        <w:t>Return</w:t>
      </w:r>
      <w:proofErr w:type="spellEnd"/>
      <w:r w:rsidRPr="00215E0C">
        <w:rPr>
          <w:i/>
          <w:lang w:val="es-ES_tradnl"/>
        </w:rPr>
        <w:t xml:space="preserve"> </w:t>
      </w:r>
      <w:proofErr w:type="spellStart"/>
      <w:r w:rsidRPr="00215E0C">
        <w:rPr>
          <w:i/>
          <w:lang w:val="es-ES_tradnl"/>
        </w:rPr>
        <w:t>on</w:t>
      </w:r>
      <w:proofErr w:type="spellEnd"/>
      <w:r w:rsidRPr="00215E0C">
        <w:rPr>
          <w:i/>
          <w:lang w:val="es-ES_tradnl"/>
        </w:rPr>
        <w:t xml:space="preserve"> </w:t>
      </w:r>
      <w:proofErr w:type="spellStart"/>
      <w:r w:rsidRPr="00215E0C">
        <w:rPr>
          <w:i/>
          <w:lang w:val="es-ES_tradnl"/>
        </w:rPr>
        <w:t>Equity</w:t>
      </w:r>
      <w:proofErr w:type="spellEnd"/>
      <w:r w:rsidRPr="00215E0C">
        <w:rPr>
          <w:lang w:val="es-ES_tradnl"/>
        </w:rPr>
        <w:t xml:space="preserve"> </w:t>
      </w:r>
      <w:r>
        <w:rPr>
          <w:lang w:val="es-ES_tradnl"/>
        </w:rPr>
        <w:t>(</w:t>
      </w:r>
      <w:r w:rsidRPr="00751C6B">
        <w:rPr>
          <w:lang w:val="es-ES_tradnl"/>
        </w:rPr>
        <w:t>ROE</w:t>
      </w:r>
      <w:r>
        <w:rPr>
          <w:lang w:val="es-ES_tradnl"/>
        </w:rPr>
        <w:t>)</w:t>
      </w:r>
      <w:r w:rsidRPr="00751C6B">
        <w:rPr>
          <w:lang w:val="es-ES_tradnl"/>
        </w:rPr>
        <w:t xml:space="preserve"> de 2,</w:t>
      </w:r>
      <w:r w:rsidR="00E11F0E">
        <w:rPr>
          <w:lang w:val="es-ES_tradnl"/>
        </w:rPr>
        <w:t>2</w:t>
      </w:r>
      <w:r w:rsidRPr="00751C6B">
        <w:rPr>
          <w:lang w:val="es-ES_tradnl"/>
        </w:rPr>
        <w:t>% y 23,3%, respectivamente) son comparables a los niveles de los países más avanzados de la región (ALC-5)</w:t>
      </w:r>
      <w:r w:rsidRPr="00751C6B">
        <w:rPr>
          <w:vertAlign w:val="superscript"/>
          <w:lang w:val="es-ES_tradnl"/>
        </w:rPr>
        <w:footnoteReference w:id="4"/>
      </w:r>
      <w:r w:rsidRPr="00751C6B">
        <w:rPr>
          <w:vertAlign w:val="superscript"/>
          <w:lang w:val="es-ES_tradnl"/>
        </w:rPr>
        <w:t>,</w:t>
      </w:r>
      <w:r w:rsidRPr="00751C6B">
        <w:rPr>
          <w:vertAlign w:val="superscript"/>
          <w:lang w:val="es-ES_tradnl"/>
        </w:rPr>
        <w:footnoteReference w:id="5"/>
      </w:r>
      <w:r w:rsidRPr="00751C6B">
        <w:rPr>
          <w:lang w:val="es-ES_tradnl"/>
        </w:rPr>
        <w:t>. Los mercados de capitales son todavía muy pequeños, poco profundos y líquidos, lo que reduce las capacidades de diversificar las fuentes de financiamiento de empresas y hogares, minando a su vez la estabilidad financiera del país.</w:t>
      </w:r>
    </w:p>
    <w:p w14:paraId="61AB8F76" w14:textId="77777777" w:rsidR="00D23981" w:rsidRPr="00D6501F" w:rsidRDefault="00D23981" w:rsidP="00D23981">
      <w:pPr>
        <w:pStyle w:val="Paragraph"/>
        <w:tabs>
          <w:tab w:val="clear" w:pos="360"/>
        </w:tabs>
        <w:rPr>
          <w:szCs w:val="22"/>
          <w:lang w:val="es-ES_tradnl"/>
        </w:rPr>
      </w:pPr>
      <w:r w:rsidRPr="00D6501F">
        <w:rPr>
          <w:b/>
          <w:lang w:val="es-ES_tradnl"/>
        </w:rPr>
        <w:t>Desafíos pendientes.</w:t>
      </w:r>
      <w:r w:rsidRPr="00D6501F">
        <w:rPr>
          <w:lang w:val="es-ES_tradnl"/>
        </w:rPr>
        <w:t xml:space="preserve"> Estudios recientes</w:t>
      </w:r>
      <w:r w:rsidRPr="00751C6B">
        <w:rPr>
          <w:rStyle w:val="FootnoteReference"/>
          <w:lang w:val="es-ES_tradnl"/>
        </w:rPr>
        <w:footnoteReference w:id="6"/>
      </w:r>
      <w:r w:rsidRPr="00751C6B">
        <w:rPr>
          <w:lang w:val="es-ES_tradnl"/>
        </w:rPr>
        <w:t xml:space="preserve"> destacan tres factores que ameritan especial atención en relación con la estabilidad y adecuado funcionamiento del sistema financiero paraguayo. En primer lugar, el</w:t>
      </w:r>
      <w:r>
        <w:rPr>
          <w:lang w:val="es-ES_tradnl"/>
        </w:rPr>
        <w:t xml:space="preserve"> crecimiento del crédito </w:t>
      </w:r>
      <w:r w:rsidR="00F80A61">
        <w:rPr>
          <w:lang w:val="es-ES_tradnl"/>
        </w:rPr>
        <w:t>al sector privado</w:t>
      </w:r>
      <w:r w:rsidR="00395072">
        <w:rPr>
          <w:lang w:val="es-ES_tradnl"/>
        </w:rPr>
        <w:t xml:space="preserve"> </w:t>
      </w:r>
      <w:r>
        <w:rPr>
          <w:lang w:val="es-ES_tradnl"/>
        </w:rPr>
        <w:t>(</w:t>
      </w:r>
      <w:r w:rsidR="00395072">
        <w:rPr>
          <w:lang w:val="es-ES_tradnl"/>
        </w:rPr>
        <w:t>14,7% en el periodo 2006-2015</w:t>
      </w:r>
      <w:r w:rsidRPr="00751C6B">
        <w:rPr>
          <w:lang w:val="es-ES_tradnl"/>
        </w:rPr>
        <w:t>) ha sido muy elevado</w:t>
      </w:r>
      <w:r w:rsidR="00415622">
        <w:rPr>
          <w:lang w:val="es-ES_tradnl"/>
        </w:rPr>
        <w:t>, lo que refleja</w:t>
      </w:r>
      <w:r w:rsidRPr="00751C6B">
        <w:rPr>
          <w:lang w:val="es-ES_tradnl"/>
        </w:rPr>
        <w:t>, por un lado, en parte el fuerte rezago que tenía el país en materia de profundidad financiera y, por otro, que el crecimiento de la cartera vencida ha sido reducido (medio punto porcentual entre 2016 y 2017). En segundo lugar, el sistema bancario se caracteriza especialmente por la elevada dolarización de su cartera de crédito (casi la mitad está denominada en moneda extranjera), mientras que en los países de ALC-5 no supera el 30%</w:t>
      </w:r>
      <w:r w:rsidRPr="00751C6B">
        <w:rPr>
          <w:vertAlign w:val="superscript"/>
          <w:lang w:val="es-ES_tradnl"/>
        </w:rPr>
        <w:footnoteReference w:id="7"/>
      </w:r>
      <w:r w:rsidRPr="00751C6B">
        <w:rPr>
          <w:lang w:val="es-ES_tradnl"/>
        </w:rPr>
        <w:t xml:space="preserve">. En tercer lugar, el sistema bancario presenta un sesgo de género, lo cual limita avanzar hacia mayores niveles de inclusión financiera. De manera adicional, se carece de información actualizada y detallada sobre esta situación, lo cual impide diseñar acciones de política para corregir dicho sesgo. Para atender esta situación, y en coherencia con el diagnóstico de los principales organismos internacionales, se requiere apoyar las </w:t>
      </w:r>
      <w:bookmarkStart w:id="3" w:name="_Hlk489439927"/>
      <w:r w:rsidRPr="00751C6B">
        <w:rPr>
          <w:lang w:val="es-ES_tradnl"/>
        </w:rPr>
        <w:t>reformas que el gobierno está impulsando en las siguientes áreas: (i) mejora de la regulación micro prudencial; (ii) mejora de la regulación macro prudencial</w:t>
      </w:r>
      <w:r w:rsidRPr="00D6501F">
        <w:rPr>
          <w:lang w:val="es-ES_tradnl"/>
        </w:rPr>
        <w:t xml:space="preserve">; y (iii) inclusión de la perspectiva de género en el </w:t>
      </w:r>
      <w:bookmarkEnd w:id="3"/>
      <w:r w:rsidRPr="00D6501F">
        <w:rPr>
          <w:lang w:val="es-ES_tradnl"/>
        </w:rPr>
        <w:t xml:space="preserve">sistema financiero. Las primeras dos áreas de reformas tienen como objetivo impulsar la estabilidad financiera, mientras que la tercera área de reformas busca ampliar el alcance del sistema financiero a segmentos hoy </w:t>
      </w:r>
      <w:proofErr w:type="spellStart"/>
      <w:r w:rsidRPr="00D6501F">
        <w:rPr>
          <w:lang w:val="es-ES_tradnl"/>
        </w:rPr>
        <w:t>subatendidos</w:t>
      </w:r>
      <w:proofErr w:type="spellEnd"/>
      <w:r w:rsidRPr="00D6501F">
        <w:rPr>
          <w:lang w:val="es-ES_tradnl"/>
        </w:rPr>
        <w:t>.</w:t>
      </w:r>
    </w:p>
    <w:p w14:paraId="0DAB7DF5" w14:textId="77777777" w:rsidR="00D23981" w:rsidRDefault="00D23981" w:rsidP="00D23981">
      <w:pPr>
        <w:pStyle w:val="SecHeading"/>
        <w:numPr>
          <w:ilvl w:val="0"/>
          <w:numId w:val="0"/>
        </w:numPr>
        <w:ind w:left="1296" w:hanging="576"/>
        <w:jc w:val="both"/>
      </w:pPr>
      <w:bookmarkStart w:id="4" w:name="_Toc492031829"/>
      <w:bookmarkStart w:id="5" w:name="_Toc495075886"/>
    </w:p>
    <w:p w14:paraId="070BDC8D" w14:textId="77777777" w:rsidR="00D23981" w:rsidRPr="00D6501F" w:rsidRDefault="00D23981" w:rsidP="00D23981">
      <w:pPr>
        <w:pStyle w:val="SecHeading"/>
        <w:numPr>
          <w:ilvl w:val="0"/>
          <w:numId w:val="0"/>
        </w:numPr>
        <w:ind w:left="1296" w:hanging="576"/>
        <w:jc w:val="both"/>
      </w:pPr>
      <w:r>
        <w:t>B</w:t>
      </w:r>
      <w:r w:rsidRPr="00D6501F">
        <w:t xml:space="preserve">.  </w:t>
      </w:r>
      <w:r w:rsidRPr="00D6501F">
        <w:tab/>
        <w:t>El marco legal e institucional del financiamiento a largo plazo en Paraguay</w:t>
      </w:r>
      <w:bookmarkEnd w:id="4"/>
      <w:bookmarkEnd w:id="5"/>
    </w:p>
    <w:p w14:paraId="6D18B7B4" w14:textId="77777777" w:rsidR="00D23981" w:rsidRPr="00751C6B" w:rsidRDefault="00D23981" w:rsidP="00D23981">
      <w:pPr>
        <w:pStyle w:val="Paragraph"/>
        <w:tabs>
          <w:tab w:val="clear" w:pos="360"/>
        </w:tabs>
        <w:rPr>
          <w:szCs w:val="22"/>
          <w:lang w:val="es-ES_tradnl"/>
        </w:rPr>
      </w:pPr>
      <w:r w:rsidRPr="00D6501F">
        <w:rPr>
          <w:b/>
          <w:szCs w:val="22"/>
          <w:lang w:val="es-ES_tradnl"/>
        </w:rPr>
        <w:t>Productividad, marco legal e instituciones para el financiamiento de largo plazo.</w:t>
      </w:r>
      <w:r w:rsidRPr="00D6501F">
        <w:rPr>
          <w:szCs w:val="22"/>
          <w:lang w:val="es-ES_tradnl"/>
        </w:rPr>
        <w:t xml:space="preserve"> </w:t>
      </w:r>
      <w:r w:rsidRPr="00D6501F">
        <w:rPr>
          <w:lang w:val="es-ES_tradnl"/>
        </w:rPr>
        <w:t>Además de la estabilidad financiera, el desarrollo financiero depende de la eficiencia de la intermediación financiera para incrementar la capacidad del sistema de financiar proyectos de mayor rentabilidad y riesgo</w:t>
      </w:r>
      <w:r w:rsidRPr="00751C6B">
        <w:rPr>
          <w:rStyle w:val="FootnoteReference"/>
          <w:lang w:val="es-ES_tradnl"/>
        </w:rPr>
        <w:footnoteReference w:id="8"/>
      </w:r>
      <w:r w:rsidRPr="00751C6B">
        <w:rPr>
          <w:lang w:val="es-ES_tradnl"/>
        </w:rPr>
        <w:t>. Para que la intermediación financiera pueda asignar de manera eficiente los recursos de una economía hacia los proyectos más productivos, es necesario contar con instituciones que promuevan un entorno de información creíble y accesible, que facilite que las entidades bancarias, o los agentes del mercado de capitales (fondos de pensiones, de inversión u otros), puedan tomar sus decisiones de crédito e invers</w:t>
      </w:r>
      <w:r w:rsidRPr="00D6501F">
        <w:rPr>
          <w:lang w:val="es-ES_tradnl"/>
        </w:rPr>
        <w:t>ión de la manera más informada posible, incrementando su capacidad de detectar los proyectos con el mejor perfil riesgo-rentabilidad. Al mismo tiempo, el buen funcionamiento de la intermediación financiera depende de instituciones capaces de garantizar de manera efectiva y eficiente el cumplimiento de los contratos financieros, para reducir el costo de financiamiento o hacer factible el financiamiento basado en esquemas de colateral (por ejemplo, la financiación estructurada) que faciliten el financiamiento a largo plazo</w:t>
      </w:r>
      <w:r w:rsidRPr="00751C6B">
        <w:rPr>
          <w:rStyle w:val="FootnoteReference"/>
          <w:lang w:val="es-ES_tradnl"/>
        </w:rPr>
        <w:footnoteReference w:id="9"/>
      </w:r>
      <w:r w:rsidRPr="00751C6B">
        <w:rPr>
          <w:lang w:val="es-ES_tradnl"/>
        </w:rPr>
        <w:t>.</w:t>
      </w:r>
    </w:p>
    <w:p w14:paraId="684C7437" w14:textId="77777777" w:rsidR="00D23981" w:rsidRPr="00320F32" w:rsidRDefault="00D23981" w:rsidP="00D23981">
      <w:pPr>
        <w:pStyle w:val="Paragraph"/>
        <w:tabs>
          <w:tab w:val="clear" w:pos="360"/>
        </w:tabs>
        <w:rPr>
          <w:szCs w:val="22"/>
          <w:lang w:val="es-ES_tradnl"/>
        </w:rPr>
      </w:pPr>
      <w:r w:rsidRPr="00320F32">
        <w:rPr>
          <w:b/>
          <w:lang w:val="es-ES_tradnl"/>
        </w:rPr>
        <w:t>Financiamiento de largo plazo en Paraguay.</w:t>
      </w:r>
      <w:r w:rsidRPr="00320F32">
        <w:rPr>
          <w:lang w:val="es-ES_tradnl"/>
        </w:rPr>
        <w:t xml:space="preserve"> De acuerdo con estudios recientes, la falta de acceso a financiamiento constituye una de las barreras activas al desarrollo del país</w:t>
      </w:r>
      <w:r w:rsidRPr="00320F32">
        <w:rPr>
          <w:rStyle w:val="FootnoteReference"/>
          <w:lang w:val="es-ES_tradnl"/>
        </w:rPr>
        <w:footnoteReference w:id="10"/>
      </w:r>
      <w:r w:rsidRPr="00320F32">
        <w:rPr>
          <w:lang w:val="es-ES_tradnl"/>
        </w:rPr>
        <w:t>. El sistema financiero paraguayo es relativamente líquido, pero presenta una brecha en materia de profundidad si se compara con otros países de ALC. En 201</w:t>
      </w:r>
      <w:r w:rsidR="00320F32">
        <w:rPr>
          <w:lang w:val="es-ES_tradnl"/>
        </w:rPr>
        <w:t>6</w:t>
      </w:r>
      <w:r w:rsidRPr="00320F32">
        <w:rPr>
          <w:lang w:val="es-ES_tradnl"/>
        </w:rPr>
        <w:t xml:space="preserve">, el crédito al sector privado como porcentaje del PIB alcanzó el </w:t>
      </w:r>
      <w:r w:rsidR="00320F32" w:rsidRPr="00320F32">
        <w:rPr>
          <w:lang w:val="es-ES_tradnl"/>
        </w:rPr>
        <w:t>5</w:t>
      </w:r>
      <w:r w:rsidR="00320F32">
        <w:rPr>
          <w:lang w:val="es-ES_tradnl"/>
        </w:rPr>
        <w:t>2</w:t>
      </w:r>
      <w:r w:rsidRPr="00320F32">
        <w:rPr>
          <w:lang w:val="es-ES_tradnl"/>
        </w:rPr>
        <w:t>,</w:t>
      </w:r>
      <w:r w:rsidR="00320F32">
        <w:rPr>
          <w:lang w:val="es-ES_tradnl"/>
        </w:rPr>
        <w:t>1</w:t>
      </w:r>
      <w:r w:rsidRPr="00320F32">
        <w:rPr>
          <w:lang w:val="es-ES_tradnl"/>
        </w:rPr>
        <w:t>%, ubicándose por delante de países como Argentina (14%) y Uruguay (</w:t>
      </w:r>
      <w:r w:rsidR="00320F32">
        <w:rPr>
          <w:lang w:val="es-ES_tradnl"/>
        </w:rPr>
        <w:t>28,2</w:t>
      </w:r>
      <w:r w:rsidRPr="00320F32">
        <w:rPr>
          <w:lang w:val="es-ES_tradnl"/>
        </w:rPr>
        <w:t>%), pero rezagado respecto a Brasil (</w:t>
      </w:r>
      <w:r w:rsidR="00320F32" w:rsidRPr="00320F32">
        <w:rPr>
          <w:lang w:val="es-ES_tradnl"/>
        </w:rPr>
        <w:t>6</w:t>
      </w:r>
      <w:r w:rsidR="00320F32">
        <w:rPr>
          <w:lang w:val="es-ES_tradnl"/>
        </w:rPr>
        <w:t>2</w:t>
      </w:r>
      <w:r w:rsidRPr="00320F32">
        <w:rPr>
          <w:lang w:val="es-ES_tradnl"/>
        </w:rPr>
        <w:t>,</w:t>
      </w:r>
      <w:r w:rsidR="00320F32">
        <w:rPr>
          <w:lang w:val="es-ES_tradnl"/>
        </w:rPr>
        <w:t>2</w:t>
      </w:r>
      <w:r w:rsidRPr="00320F32">
        <w:rPr>
          <w:lang w:val="es-ES_tradnl"/>
        </w:rPr>
        <w:t>%), Chile (11</w:t>
      </w:r>
      <w:r w:rsidR="00320F32">
        <w:rPr>
          <w:lang w:val="es-ES_tradnl"/>
        </w:rPr>
        <w:t>2,</w:t>
      </w:r>
      <w:r w:rsidRPr="00320F32">
        <w:rPr>
          <w:lang w:val="es-ES_tradnl"/>
        </w:rPr>
        <w:t>1%) y el promedio de los países de ingreso medio (97%)</w:t>
      </w:r>
      <w:r w:rsidRPr="00320F32">
        <w:rPr>
          <w:rStyle w:val="FootnoteReference"/>
          <w:lang w:val="es-ES_tradnl"/>
        </w:rPr>
        <w:footnoteReference w:id="11"/>
      </w:r>
      <w:r w:rsidRPr="00320F32">
        <w:rPr>
          <w:lang w:val="es-ES_tradnl"/>
        </w:rPr>
        <w:t xml:space="preserve">. La eficiencia de la intermediación es baja en términos comparados: en el decenio 2006-2015 el margen de interés neto en el país se ubicó cerca del 20%, casi el triple que el promedio de los países de renta media y los países de ALC. A su vez, la protección de los derechos de prestatarios y prestamistas es débil: en 2017, Paraguay se ubicó en la posición 137/190 del ranking </w:t>
      </w:r>
      <w:proofErr w:type="spellStart"/>
      <w:r w:rsidRPr="00320F32">
        <w:rPr>
          <w:i/>
          <w:lang w:val="es-ES_tradnl"/>
        </w:rPr>
        <w:t>Doing</w:t>
      </w:r>
      <w:proofErr w:type="spellEnd"/>
      <w:r w:rsidRPr="00320F32">
        <w:rPr>
          <w:i/>
          <w:lang w:val="es-ES_tradnl"/>
        </w:rPr>
        <w:t xml:space="preserve"> Business</w:t>
      </w:r>
      <w:r w:rsidRPr="00320F32">
        <w:rPr>
          <w:lang w:val="es-ES_tradnl"/>
        </w:rPr>
        <w:t xml:space="preserve"> en esta materia, perdiendo una posición respecto al año anterior. Todo ello se expresa en niveles muy elevados de colateral, así como también en la dificultad de acceder a financiamiento por parte de las empresas de menor tamaño relativo y aquéllas de creación reciente y de base tecnológica</w:t>
      </w:r>
      <w:r w:rsidRPr="00320F32">
        <w:rPr>
          <w:rStyle w:val="FootnoteReference"/>
          <w:lang w:val="es-ES_tradnl"/>
        </w:rPr>
        <w:footnoteReference w:id="12"/>
      </w:r>
      <w:r w:rsidRPr="00320F32">
        <w:rPr>
          <w:lang w:val="es-ES_tradnl"/>
        </w:rPr>
        <w:t>. Datos disponibles evidencian que el acceso a financiamiento se encuentra especialmente restringido para PyME. Si bien representan el 97,1% del total de unidades económicas del país y generan alrededor del 65,2% del empleo, menos del 30% de las pequeñas empresas y menos de la mitad de las medianas empresas acceden a financiamiento formal</w:t>
      </w:r>
      <w:r w:rsidRPr="00320F32">
        <w:rPr>
          <w:vertAlign w:val="superscript"/>
          <w:lang w:val="es-ES_tradnl"/>
        </w:rPr>
        <w:footnoteReference w:id="13"/>
      </w:r>
      <w:r w:rsidRPr="00320F32">
        <w:rPr>
          <w:lang w:val="es-ES_tradnl"/>
        </w:rPr>
        <w:t xml:space="preserve">. Entre las </w:t>
      </w:r>
      <w:r w:rsidRPr="00320F32">
        <w:rPr>
          <w:lang w:val="es-ES_tradnl"/>
        </w:rPr>
        <w:lastRenderedPageBreak/>
        <w:t xml:space="preserve">principales barreras para acceder a financiamiento, las empresas coinciden en mencionar el no cumplir con los requisitos solicitados por las entidades financieras, las elevadas tasas de interés y la falta de colateral. </w:t>
      </w:r>
      <w:bookmarkStart w:id="6" w:name="_Hlk494895858"/>
      <w:bookmarkStart w:id="7" w:name="_Hlk494890273"/>
      <w:r w:rsidRPr="00320F32">
        <w:rPr>
          <w:lang w:val="es-ES_tradnl"/>
        </w:rPr>
        <w:t>Por su parte, el financiamiento de proyectos productivos se encuentra limitado por la escasez de financiamiento de largo plazo. En efecto, los activos bancarios se encuentran principalmente concentrados en activos de corto y mediano plazo (78% de la cartera a marzo de 2017).</w:t>
      </w:r>
      <w:bookmarkEnd w:id="6"/>
      <w:r w:rsidRPr="00320F32">
        <w:rPr>
          <w:lang w:val="es-ES_tradnl"/>
        </w:rPr>
        <w:t xml:space="preserve"> En este contexto, si bien la banca de desarrollo podría jugar un rol clave para incentivar la provisión de financiamiento de largo plazo, su participación es actualmente menor, con </w:t>
      </w:r>
      <w:r w:rsidRPr="00320F32">
        <w:rPr>
          <w:szCs w:val="22"/>
          <w:lang w:val="es-ES_tradnl"/>
        </w:rPr>
        <w:t xml:space="preserve">5,6% del total de la cartera del país para </w:t>
      </w:r>
      <w:r w:rsidRPr="00320F32">
        <w:rPr>
          <w:lang w:val="es-ES_tradnl"/>
        </w:rPr>
        <w:t xml:space="preserve">la </w:t>
      </w:r>
      <w:r w:rsidRPr="00320F32">
        <w:rPr>
          <w:szCs w:val="22"/>
          <w:lang w:val="es-ES_tradnl"/>
        </w:rPr>
        <w:t xml:space="preserve">Agencia Financiera de Desarrollo (AFD) y 7% para el Banco Nacional de Fomento (BNF).    </w:t>
      </w:r>
      <w:r w:rsidRPr="00320F32">
        <w:rPr>
          <w:lang w:val="es-ES_tradnl"/>
        </w:rPr>
        <w:t xml:space="preserve">  </w:t>
      </w:r>
      <w:bookmarkEnd w:id="7"/>
    </w:p>
    <w:p w14:paraId="58135DB0" w14:textId="77777777" w:rsidR="00D23981" w:rsidRPr="00D23981" w:rsidRDefault="00D23981">
      <w:pPr>
        <w:rPr>
          <w:lang w:val="es-ES_tradnl"/>
        </w:rPr>
      </w:pPr>
    </w:p>
    <w:sectPr w:rsidR="00D23981" w:rsidRPr="00D239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176947" w14:textId="77777777" w:rsidR="00B73391" w:rsidRDefault="00B73391" w:rsidP="00D23981">
      <w:pPr>
        <w:spacing w:after="0" w:line="240" w:lineRule="auto"/>
      </w:pPr>
      <w:r>
        <w:separator/>
      </w:r>
    </w:p>
  </w:endnote>
  <w:endnote w:type="continuationSeparator" w:id="0">
    <w:p w14:paraId="503FE1CD" w14:textId="77777777" w:rsidR="00B73391" w:rsidRDefault="00B73391" w:rsidP="00D23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7400D1" w14:textId="77777777" w:rsidR="00B73391" w:rsidRDefault="00B73391" w:rsidP="00D23981">
      <w:pPr>
        <w:spacing w:after="0" w:line="240" w:lineRule="auto"/>
      </w:pPr>
      <w:r>
        <w:separator/>
      </w:r>
    </w:p>
  </w:footnote>
  <w:footnote w:type="continuationSeparator" w:id="0">
    <w:p w14:paraId="7DD02948" w14:textId="77777777" w:rsidR="00B73391" w:rsidRDefault="00B73391" w:rsidP="00D23981">
      <w:pPr>
        <w:spacing w:after="0" w:line="240" w:lineRule="auto"/>
      </w:pPr>
      <w:r>
        <w:continuationSeparator/>
      </w:r>
    </w:p>
  </w:footnote>
  <w:footnote w:id="1">
    <w:p w14:paraId="62B7FDAB" w14:textId="77777777" w:rsidR="006E0E0D" w:rsidRPr="006E0E0D" w:rsidRDefault="006E0E0D" w:rsidP="006E0E0D">
      <w:pPr>
        <w:pStyle w:val="FootnoteText"/>
        <w:spacing w:after="0"/>
        <w:ind w:left="270" w:hanging="270"/>
        <w:rPr>
          <w:rStyle w:val="FootnoteReference"/>
          <w:sz w:val="18"/>
          <w:szCs w:val="18"/>
          <w:vertAlign w:val="baseline"/>
        </w:rPr>
      </w:pPr>
      <w:r w:rsidRPr="006E0E0D">
        <w:rPr>
          <w:rStyle w:val="FootnoteReference"/>
          <w:sz w:val="18"/>
          <w:szCs w:val="18"/>
        </w:rPr>
        <w:footnoteRef/>
      </w:r>
      <w:r w:rsidRPr="006E0E0D">
        <w:rPr>
          <w:rStyle w:val="FootnoteReference"/>
          <w:sz w:val="18"/>
          <w:szCs w:val="18"/>
        </w:rPr>
        <w:t xml:space="preserve"> </w:t>
      </w:r>
      <w:r>
        <w:rPr>
          <w:sz w:val="18"/>
          <w:szCs w:val="18"/>
        </w:rPr>
        <w:tab/>
      </w:r>
      <w:r w:rsidR="00495514">
        <w:rPr>
          <w:sz w:val="18"/>
          <w:szCs w:val="18"/>
        </w:rPr>
        <w:t xml:space="preserve">Análisis </w:t>
      </w:r>
      <w:r w:rsidR="00106944">
        <w:rPr>
          <w:sz w:val="18"/>
          <w:szCs w:val="18"/>
        </w:rPr>
        <w:t xml:space="preserve">preparado </w:t>
      </w:r>
      <w:r w:rsidR="00495514">
        <w:rPr>
          <w:sz w:val="18"/>
          <w:szCs w:val="18"/>
        </w:rPr>
        <w:t xml:space="preserve">por la </w:t>
      </w:r>
      <w:r w:rsidR="00681192">
        <w:rPr>
          <w:rStyle w:val="FootnoteReference"/>
          <w:sz w:val="18"/>
          <w:szCs w:val="18"/>
          <w:vertAlign w:val="baseline"/>
        </w:rPr>
        <w:t xml:space="preserve">División de </w:t>
      </w:r>
      <w:r w:rsidR="00681192">
        <w:rPr>
          <w:sz w:val="18"/>
          <w:szCs w:val="18"/>
        </w:rPr>
        <w:t>Conectividad, Mercados y Finanzas</w:t>
      </w:r>
      <w:r w:rsidRPr="006E0E0D">
        <w:rPr>
          <w:rStyle w:val="FootnoteReference"/>
          <w:sz w:val="18"/>
          <w:szCs w:val="18"/>
          <w:vertAlign w:val="baseline"/>
        </w:rPr>
        <w:t>. BID, 2017.</w:t>
      </w:r>
    </w:p>
  </w:footnote>
  <w:footnote w:id="2">
    <w:p w14:paraId="478B67E8" w14:textId="77777777" w:rsidR="00D23981" w:rsidRPr="00144C5C" w:rsidRDefault="00D23981" w:rsidP="00D23981">
      <w:pPr>
        <w:pStyle w:val="FootnoteText"/>
        <w:spacing w:after="0"/>
        <w:rPr>
          <w:sz w:val="18"/>
          <w:szCs w:val="18"/>
        </w:rPr>
      </w:pPr>
      <w:r w:rsidRPr="00144C5C">
        <w:rPr>
          <w:rStyle w:val="FootnoteReference"/>
          <w:sz w:val="18"/>
          <w:szCs w:val="18"/>
        </w:rPr>
        <w:footnoteRef/>
      </w:r>
      <w:r w:rsidRPr="00144C5C">
        <w:rPr>
          <w:sz w:val="18"/>
          <w:szCs w:val="18"/>
        </w:rPr>
        <w:t xml:space="preserve"> </w:t>
      </w:r>
      <w:r>
        <w:rPr>
          <w:sz w:val="18"/>
          <w:szCs w:val="18"/>
        </w:rPr>
        <w:tab/>
        <w:t>Banco Central de Paraguay</w:t>
      </w:r>
      <w:r w:rsidRPr="00144C5C">
        <w:rPr>
          <w:sz w:val="18"/>
          <w:szCs w:val="18"/>
        </w:rPr>
        <w:t xml:space="preserve"> </w:t>
      </w:r>
      <w:r>
        <w:rPr>
          <w:sz w:val="18"/>
          <w:szCs w:val="18"/>
        </w:rPr>
        <w:t>(</w:t>
      </w:r>
      <w:r w:rsidRPr="00144C5C">
        <w:rPr>
          <w:sz w:val="18"/>
          <w:szCs w:val="18"/>
        </w:rPr>
        <w:t>2017</w:t>
      </w:r>
      <w:r>
        <w:rPr>
          <w:sz w:val="18"/>
          <w:szCs w:val="18"/>
        </w:rPr>
        <w:t xml:space="preserve">), </w:t>
      </w:r>
      <w:r w:rsidRPr="005329A5">
        <w:rPr>
          <w:sz w:val="18"/>
          <w:szCs w:val="18"/>
        </w:rPr>
        <w:t>Informe de Estabilidad Financiera</w:t>
      </w:r>
      <w:r>
        <w:rPr>
          <w:sz w:val="18"/>
          <w:szCs w:val="18"/>
        </w:rPr>
        <w:t>,</w:t>
      </w:r>
      <w:r w:rsidRPr="00144C5C">
        <w:rPr>
          <w:sz w:val="18"/>
          <w:szCs w:val="18"/>
        </w:rPr>
        <w:t xml:space="preserve"> </w:t>
      </w:r>
      <w:r w:rsidR="00B15B92">
        <w:rPr>
          <w:sz w:val="18"/>
          <w:szCs w:val="18"/>
        </w:rPr>
        <w:t>noviembre</w:t>
      </w:r>
      <w:r w:rsidRPr="00144C5C">
        <w:rPr>
          <w:sz w:val="18"/>
          <w:szCs w:val="18"/>
        </w:rPr>
        <w:t xml:space="preserve">. </w:t>
      </w:r>
    </w:p>
  </w:footnote>
  <w:footnote w:id="3">
    <w:p w14:paraId="4A1E0081" w14:textId="77777777" w:rsidR="00D23981" w:rsidRPr="00B50AD3" w:rsidRDefault="00D23981" w:rsidP="00D23981">
      <w:pPr>
        <w:pStyle w:val="FootnoteText"/>
        <w:spacing w:after="0"/>
        <w:rPr>
          <w:sz w:val="18"/>
          <w:szCs w:val="18"/>
        </w:rPr>
      </w:pPr>
      <w:r w:rsidRPr="00B50AD3">
        <w:rPr>
          <w:rStyle w:val="FootnoteReference"/>
          <w:sz w:val="18"/>
          <w:szCs w:val="18"/>
        </w:rPr>
        <w:footnoteRef/>
      </w:r>
      <w:r w:rsidRPr="00B50AD3">
        <w:rPr>
          <w:sz w:val="18"/>
          <w:szCs w:val="18"/>
        </w:rPr>
        <w:t xml:space="preserve"> </w:t>
      </w:r>
      <w:r>
        <w:rPr>
          <w:sz w:val="18"/>
          <w:szCs w:val="18"/>
        </w:rPr>
        <w:tab/>
      </w:r>
      <w:r w:rsidRPr="00B50AD3">
        <w:rPr>
          <w:sz w:val="18"/>
          <w:szCs w:val="18"/>
        </w:rPr>
        <w:t xml:space="preserve">Global </w:t>
      </w:r>
      <w:proofErr w:type="spellStart"/>
      <w:r w:rsidRPr="00B50AD3">
        <w:rPr>
          <w:sz w:val="18"/>
          <w:szCs w:val="18"/>
        </w:rPr>
        <w:t>Findex</w:t>
      </w:r>
      <w:proofErr w:type="spellEnd"/>
      <w:r w:rsidRPr="00B50AD3">
        <w:rPr>
          <w:sz w:val="18"/>
          <w:szCs w:val="18"/>
        </w:rPr>
        <w:t xml:space="preserve"> (2011). </w:t>
      </w:r>
    </w:p>
  </w:footnote>
  <w:footnote w:id="4">
    <w:p w14:paraId="7C062ACD" w14:textId="77777777" w:rsidR="00D23981" w:rsidRPr="00144C5C" w:rsidRDefault="00D23981" w:rsidP="00D23981">
      <w:pPr>
        <w:pStyle w:val="FootnoteText"/>
        <w:spacing w:after="0"/>
        <w:rPr>
          <w:sz w:val="18"/>
          <w:szCs w:val="18"/>
        </w:rPr>
      </w:pPr>
      <w:r w:rsidRPr="00144C5C">
        <w:rPr>
          <w:rStyle w:val="FootnoteReference"/>
          <w:sz w:val="18"/>
          <w:szCs w:val="18"/>
        </w:rPr>
        <w:footnoteRef/>
      </w:r>
      <w:r w:rsidRPr="00144C5C">
        <w:rPr>
          <w:sz w:val="18"/>
          <w:szCs w:val="18"/>
        </w:rPr>
        <w:t xml:space="preserve"> </w:t>
      </w:r>
      <w:r>
        <w:rPr>
          <w:sz w:val="18"/>
          <w:szCs w:val="18"/>
        </w:rPr>
        <w:tab/>
        <w:t>Los países incluidos en ALC-</w:t>
      </w:r>
      <w:r w:rsidRPr="00144C5C">
        <w:rPr>
          <w:sz w:val="18"/>
          <w:szCs w:val="18"/>
        </w:rPr>
        <w:t xml:space="preserve">5 son México, Brasil, Chile, Colombia y Paraguay. </w:t>
      </w:r>
    </w:p>
  </w:footnote>
  <w:footnote w:id="5">
    <w:p w14:paraId="13A507CA" w14:textId="77777777" w:rsidR="00D23981" w:rsidRPr="00481371" w:rsidRDefault="00D23981" w:rsidP="00D23981">
      <w:pPr>
        <w:pStyle w:val="FootnoteText"/>
        <w:spacing w:after="0"/>
        <w:rPr>
          <w:sz w:val="18"/>
          <w:szCs w:val="18"/>
        </w:rPr>
      </w:pPr>
      <w:r w:rsidRPr="00144C5C">
        <w:rPr>
          <w:rStyle w:val="FootnoteReference"/>
          <w:sz w:val="18"/>
          <w:szCs w:val="18"/>
        </w:rPr>
        <w:footnoteRef/>
      </w:r>
      <w:r w:rsidRPr="00481371">
        <w:rPr>
          <w:sz w:val="18"/>
          <w:szCs w:val="18"/>
        </w:rPr>
        <w:t xml:space="preserve"> </w:t>
      </w:r>
      <w:r w:rsidRPr="00481371">
        <w:rPr>
          <w:sz w:val="18"/>
          <w:szCs w:val="18"/>
        </w:rPr>
        <w:tab/>
        <w:t>FMI (</w:t>
      </w:r>
      <w:r w:rsidR="00E11F0E" w:rsidRPr="00481371">
        <w:rPr>
          <w:sz w:val="18"/>
          <w:szCs w:val="18"/>
        </w:rPr>
        <w:t>201</w:t>
      </w:r>
      <w:r w:rsidR="00E11F0E">
        <w:rPr>
          <w:sz w:val="18"/>
          <w:szCs w:val="18"/>
        </w:rPr>
        <w:t>7</w:t>
      </w:r>
      <w:r w:rsidRPr="00481371">
        <w:rPr>
          <w:sz w:val="18"/>
          <w:szCs w:val="18"/>
        </w:rPr>
        <w:t xml:space="preserve">), </w:t>
      </w:r>
      <w:r w:rsidRPr="00481371">
        <w:rPr>
          <w:i/>
          <w:sz w:val="18"/>
          <w:szCs w:val="18"/>
        </w:rPr>
        <w:t xml:space="preserve">Financial </w:t>
      </w:r>
      <w:proofErr w:type="spellStart"/>
      <w:r w:rsidRPr="00481371">
        <w:rPr>
          <w:i/>
          <w:sz w:val="18"/>
          <w:szCs w:val="18"/>
        </w:rPr>
        <w:t>Soundness</w:t>
      </w:r>
      <w:proofErr w:type="spellEnd"/>
      <w:r w:rsidRPr="00481371">
        <w:rPr>
          <w:i/>
          <w:sz w:val="18"/>
          <w:szCs w:val="18"/>
        </w:rPr>
        <w:t xml:space="preserve"> </w:t>
      </w:r>
      <w:proofErr w:type="spellStart"/>
      <w:r w:rsidRPr="00481371">
        <w:rPr>
          <w:i/>
          <w:sz w:val="18"/>
          <w:szCs w:val="18"/>
        </w:rPr>
        <w:t>Indicators</w:t>
      </w:r>
      <w:proofErr w:type="spellEnd"/>
      <w:r w:rsidRPr="00481371">
        <w:rPr>
          <w:sz w:val="18"/>
          <w:szCs w:val="18"/>
        </w:rPr>
        <w:t xml:space="preserve">. </w:t>
      </w:r>
    </w:p>
  </w:footnote>
  <w:footnote w:id="6">
    <w:p w14:paraId="3D289A0A" w14:textId="77777777" w:rsidR="00D23981" w:rsidRPr="00481371" w:rsidRDefault="00D23981" w:rsidP="00D23981">
      <w:pPr>
        <w:pStyle w:val="FootnoteText"/>
        <w:spacing w:after="0"/>
        <w:rPr>
          <w:sz w:val="18"/>
          <w:szCs w:val="18"/>
        </w:rPr>
      </w:pPr>
      <w:r w:rsidRPr="00144C5C">
        <w:rPr>
          <w:rStyle w:val="FootnoteReference"/>
          <w:sz w:val="18"/>
          <w:szCs w:val="18"/>
        </w:rPr>
        <w:footnoteRef/>
      </w:r>
      <w:r>
        <w:rPr>
          <w:sz w:val="18"/>
          <w:szCs w:val="18"/>
        </w:rPr>
        <w:t xml:space="preserve"> </w:t>
      </w:r>
      <w:r>
        <w:rPr>
          <w:sz w:val="18"/>
          <w:szCs w:val="18"/>
        </w:rPr>
        <w:tab/>
        <w:t>FMI (2017</w:t>
      </w:r>
      <w:r w:rsidRPr="00481371">
        <w:rPr>
          <w:sz w:val="18"/>
          <w:szCs w:val="18"/>
        </w:rPr>
        <w:t xml:space="preserve">), </w:t>
      </w:r>
      <w:r w:rsidRPr="005329A5">
        <w:rPr>
          <w:sz w:val="18"/>
          <w:szCs w:val="18"/>
        </w:rPr>
        <w:t>Artículo IV.</w:t>
      </w:r>
    </w:p>
  </w:footnote>
  <w:footnote w:id="7">
    <w:p w14:paraId="59AA3A50" w14:textId="77777777" w:rsidR="00D23981" w:rsidRPr="00144C5C" w:rsidRDefault="00D23981" w:rsidP="00D23981">
      <w:pPr>
        <w:pStyle w:val="FootnoteText"/>
        <w:spacing w:after="0"/>
        <w:rPr>
          <w:sz w:val="18"/>
          <w:szCs w:val="18"/>
        </w:rPr>
      </w:pPr>
      <w:r w:rsidRPr="00144C5C">
        <w:rPr>
          <w:rStyle w:val="FootnoteReference"/>
          <w:sz w:val="18"/>
          <w:szCs w:val="18"/>
        </w:rPr>
        <w:footnoteRef/>
      </w:r>
      <w:r w:rsidRPr="00144C5C">
        <w:rPr>
          <w:sz w:val="18"/>
          <w:szCs w:val="18"/>
        </w:rPr>
        <w:t xml:space="preserve"> </w:t>
      </w:r>
      <w:r>
        <w:rPr>
          <w:sz w:val="18"/>
          <w:szCs w:val="18"/>
        </w:rPr>
        <w:tab/>
      </w:r>
      <w:r w:rsidRPr="00144C5C">
        <w:rPr>
          <w:color w:val="000000"/>
          <w:sz w:val="18"/>
          <w:szCs w:val="18"/>
        </w:rPr>
        <w:t>No obstante, los sectores que concentran las tres cuartas partes de la deuda en moneda extr</w:t>
      </w:r>
      <w:r>
        <w:rPr>
          <w:color w:val="000000"/>
          <w:sz w:val="18"/>
          <w:szCs w:val="18"/>
        </w:rPr>
        <w:t>anjera (agricultura y comercio)</w:t>
      </w:r>
      <w:r w:rsidRPr="00144C5C">
        <w:rPr>
          <w:color w:val="000000"/>
          <w:sz w:val="18"/>
          <w:szCs w:val="18"/>
        </w:rPr>
        <w:t xml:space="preserve"> están orientados a las exportaciones y, por tanto, tienen ingresos en dólares y, así, una cobertura natural. </w:t>
      </w:r>
      <w:r>
        <w:rPr>
          <w:color w:val="000000"/>
          <w:sz w:val="18"/>
          <w:szCs w:val="18"/>
        </w:rPr>
        <w:t>Sin embargo</w:t>
      </w:r>
      <w:r w:rsidRPr="00144C5C">
        <w:rPr>
          <w:color w:val="000000"/>
          <w:sz w:val="18"/>
          <w:szCs w:val="18"/>
        </w:rPr>
        <w:t xml:space="preserve">, pruebas de </w:t>
      </w:r>
      <w:r w:rsidRPr="00297FAA">
        <w:rPr>
          <w:i/>
          <w:color w:val="000000"/>
          <w:sz w:val="18"/>
          <w:szCs w:val="18"/>
        </w:rPr>
        <w:t>stress</w:t>
      </w:r>
      <w:r w:rsidRPr="00144C5C">
        <w:rPr>
          <w:color w:val="000000"/>
          <w:sz w:val="18"/>
          <w:szCs w:val="18"/>
        </w:rPr>
        <w:t xml:space="preserve"> mue</w:t>
      </w:r>
      <w:r>
        <w:rPr>
          <w:color w:val="000000"/>
          <w:sz w:val="18"/>
          <w:szCs w:val="18"/>
        </w:rPr>
        <w:t>stran que los problemas de los b</w:t>
      </w:r>
      <w:r w:rsidRPr="00144C5C">
        <w:rPr>
          <w:color w:val="000000"/>
          <w:sz w:val="18"/>
          <w:szCs w:val="18"/>
        </w:rPr>
        <w:t>ancos ante fuertes devaluaciones de la moneda pudiera</w:t>
      </w:r>
      <w:r>
        <w:rPr>
          <w:color w:val="000000"/>
          <w:sz w:val="18"/>
          <w:szCs w:val="18"/>
        </w:rPr>
        <w:t>n ser significativos (Ver FMI, Paraguay,</w:t>
      </w:r>
      <w:r w:rsidRPr="00144C5C">
        <w:rPr>
          <w:color w:val="000000"/>
          <w:sz w:val="18"/>
          <w:szCs w:val="18"/>
        </w:rPr>
        <w:t xml:space="preserve"> Informe del país No 16/117). </w:t>
      </w:r>
    </w:p>
  </w:footnote>
  <w:footnote w:id="8">
    <w:p w14:paraId="728BF03E" w14:textId="77777777" w:rsidR="00D23981" w:rsidRPr="00E6462C" w:rsidRDefault="00D23981" w:rsidP="00D23981">
      <w:pPr>
        <w:pStyle w:val="FootnoteText"/>
        <w:spacing w:after="0"/>
        <w:rPr>
          <w:sz w:val="18"/>
          <w:szCs w:val="18"/>
        </w:rPr>
      </w:pPr>
      <w:r w:rsidRPr="00722C66">
        <w:rPr>
          <w:rStyle w:val="FootnoteReference"/>
          <w:sz w:val="18"/>
          <w:szCs w:val="18"/>
        </w:rPr>
        <w:footnoteRef/>
      </w:r>
      <w:r w:rsidRPr="00722C66">
        <w:rPr>
          <w:sz w:val="18"/>
          <w:szCs w:val="18"/>
        </w:rPr>
        <w:t xml:space="preserve"> </w:t>
      </w:r>
      <w:r>
        <w:rPr>
          <w:sz w:val="18"/>
          <w:szCs w:val="18"/>
        </w:rPr>
        <w:tab/>
      </w:r>
      <w:r w:rsidRPr="00722C66">
        <w:rPr>
          <w:sz w:val="18"/>
          <w:szCs w:val="18"/>
        </w:rPr>
        <w:t xml:space="preserve">Para un modelo cuantitativo de la importancia de la intermediación para la productividad </w:t>
      </w:r>
      <w:r>
        <w:rPr>
          <w:sz w:val="18"/>
          <w:szCs w:val="18"/>
        </w:rPr>
        <w:t>ver</w:t>
      </w:r>
      <w:r w:rsidRPr="00722C66">
        <w:rPr>
          <w:sz w:val="18"/>
          <w:szCs w:val="18"/>
        </w:rPr>
        <w:t xml:space="preserve"> Greenwood y otros </w:t>
      </w:r>
      <w:r>
        <w:rPr>
          <w:sz w:val="18"/>
          <w:szCs w:val="18"/>
        </w:rPr>
        <w:t>(</w:t>
      </w:r>
      <w:r w:rsidRPr="00722C66">
        <w:rPr>
          <w:sz w:val="18"/>
          <w:szCs w:val="18"/>
        </w:rPr>
        <w:t>2013</w:t>
      </w:r>
      <w:r>
        <w:rPr>
          <w:sz w:val="18"/>
          <w:szCs w:val="18"/>
        </w:rPr>
        <w:t>),</w:t>
      </w:r>
      <w:r w:rsidRPr="00722C66">
        <w:rPr>
          <w:sz w:val="18"/>
          <w:szCs w:val="18"/>
        </w:rPr>
        <w:t xml:space="preserve"> </w:t>
      </w:r>
      <w:r>
        <w:rPr>
          <w:sz w:val="18"/>
          <w:szCs w:val="18"/>
        </w:rPr>
        <w:t>“</w:t>
      </w:r>
      <w:proofErr w:type="spellStart"/>
      <w:r w:rsidRPr="005329A5">
        <w:rPr>
          <w:i/>
          <w:sz w:val="18"/>
          <w:szCs w:val="18"/>
        </w:rPr>
        <w:t>Quantifying</w:t>
      </w:r>
      <w:proofErr w:type="spellEnd"/>
      <w:r w:rsidRPr="005329A5">
        <w:rPr>
          <w:i/>
          <w:sz w:val="18"/>
          <w:szCs w:val="18"/>
        </w:rPr>
        <w:t xml:space="preserve"> the </w:t>
      </w:r>
      <w:proofErr w:type="spellStart"/>
      <w:r w:rsidRPr="005329A5">
        <w:rPr>
          <w:i/>
          <w:sz w:val="18"/>
          <w:szCs w:val="18"/>
        </w:rPr>
        <w:t>Impact</w:t>
      </w:r>
      <w:proofErr w:type="spellEnd"/>
      <w:r w:rsidRPr="005329A5">
        <w:rPr>
          <w:i/>
          <w:sz w:val="18"/>
          <w:szCs w:val="18"/>
        </w:rPr>
        <w:t xml:space="preserve"> of Financial </w:t>
      </w:r>
      <w:proofErr w:type="spellStart"/>
      <w:r w:rsidRPr="005329A5">
        <w:rPr>
          <w:i/>
          <w:sz w:val="18"/>
          <w:szCs w:val="18"/>
        </w:rPr>
        <w:t>Development</w:t>
      </w:r>
      <w:proofErr w:type="spellEnd"/>
      <w:r w:rsidRPr="005329A5">
        <w:rPr>
          <w:i/>
          <w:sz w:val="18"/>
          <w:szCs w:val="18"/>
        </w:rPr>
        <w:t xml:space="preserve"> </w:t>
      </w:r>
      <w:proofErr w:type="spellStart"/>
      <w:r w:rsidRPr="005329A5">
        <w:rPr>
          <w:i/>
          <w:sz w:val="18"/>
          <w:szCs w:val="18"/>
        </w:rPr>
        <w:t>on</w:t>
      </w:r>
      <w:proofErr w:type="spellEnd"/>
      <w:r w:rsidRPr="005329A5">
        <w:rPr>
          <w:i/>
          <w:sz w:val="18"/>
          <w:szCs w:val="18"/>
        </w:rPr>
        <w:t xml:space="preserve"> </w:t>
      </w:r>
      <w:proofErr w:type="spellStart"/>
      <w:r w:rsidRPr="005329A5">
        <w:rPr>
          <w:i/>
          <w:sz w:val="18"/>
          <w:szCs w:val="18"/>
        </w:rPr>
        <w:t>Economic</w:t>
      </w:r>
      <w:proofErr w:type="spellEnd"/>
      <w:r w:rsidRPr="005329A5">
        <w:rPr>
          <w:i/>
          <w:sz w:val="18"/>
          <w:szCs w:val="18"/>
        </w:rPr>
        <w:t xml:space="preserve"> </w:t>
      </w:r>
      <w:proofErr w:type="spellStart"/>
      <w:r w:rsidRPr="005329A5">
        <w:rPr>
          <w:i/>
          <w:sz w:val="18"/>
          <w:szCs w:val="18"/>
        </w:rPr>
        <w:t>Development</w:t>
      </w:r>
      <w:proofErr w:type="spellEnd"/>
      <w:r>
        <w:rPr>
          <w:sz w:val="18"/>
          <w:szCs w:val="18"/>
        </w:rPr>
        <w:t>”,</w:t>
      </w:r>
      <w:r w:rsidRPr="00722C66">
        <w:rPr>
          <w:sz w:val="18"/>
          <w:szCs w:val="18"/>
        </w:rPr>
        <w:t xml:space="preserve"> </w:t>
      </w:r>
      <w:r w:rsidRPr="00722C66">
        <w:rPr>
          <w:i/>
          <w:sz w:val="18"/>
          <w:szCs w:val="18"/>
        </w:rPr>
        <w:t xml:space="preserve">Review of </w:t>
      </w:r>
      <w:proofErr w:type="spellStart"/>
      <w:r w:rsidRPr="00E6462C">
        <w:rPr>
          <w:i/>
          <w:sz w:val="18"/>
          <w:szCs w:val="18"/>
        </w:rPr>
        <w:t>Economic</w:t>
      </w:r>
      <w:proofErr w:type="spellEnd"/>
      <w:r w:rsidRPr="00E6462C">
        <w:rPr>
          <w:i/>
          <w:sz w:val="18"/>
          <w:szCs w:val="18"/>
        </w:rPr>
        <w:t xml:space="preserve"> Dynamics</w:t>
      </w:r>
      <w:r w:rsidRPr="00E6462C">
        <w:rPr>
          <w:sz w:val="18"/>
          <w:szCs w:val="18"/>
        </w:rPr>
        <w:t>.</w:t>
      </w:r>
    </w:p>
  </w:footnote>
  <w:footnote w:id="9">
    <w:p w14:paraId="7D8C6AEA" w14:textId="77777777" w:rsidR="00D23981" w:rsidRPr="00E6462C" w:rsidRDefault="00D23981" w:rsidP="00D23981">
      <w:pPr>
        <w:pStyle w:val="FootnoteText"/>
        <w:spacing w:after="0"/>
        <w:rPr>
          <w:sz w:val="18"/>
          <w:szCs w:val="18"/>
          <w:lang w:val="en-US"/>
        </w:rPr>
      </w:pPr>
      <w:r w:rsidRPr="00E6462C">
        <w:rPr>
          <w:rStyle w:val="FootnoteReference"/>
          <w:sz w:val="18"/>
          <w:szCs w:val="18"/>
        </w:rPr>
        <w:footnoteRef/>
      </w:r>
      <w:r w:rsidRPr="00E6462C">
        <w:rPr>
          <w:sz w:val="18"/>
          <w:szCs w:val="18"/>
          <w:lang w:val="en-US"/>
        </w:rPr>
        <w:t xml:space="preserve"> </w:t>
      </w:r>
      <w:r>
        <w:rPr>
          <w:sz w:val="18"/>
          <w:szCs w:val="18"/>
          <w:lang w:val="en-US"/>
        </w:rPr>
        <w:tab/>
      </w:r>
      <w:r w:rsidRPr="00E6462C">
        <w:rPr>
          <w:sz w:val="18"/>
          <w:szCs w:val="18"/>
          <w:lang w:val="en-US"/>
        </w:rPr>
        <w:t>V</w:t>
      </w:r>
      <w:r>
        <w:rPr>
          <w:sz w:val="18"/>
          <w:szCs w:val="18"/>
          <w:lang w:val="en-US"/>
        </w:rPr>
        <w:t>er</w:t>
      </w:r>
      <w:r w:rsidRPr="00E6462C">
        <w:rPr>
          <w:sz w:val="18"/>
          <w:szCs w:val="18"/>
          <w:lang w:val="en-US"/>
        </w:rPr>
        <w:t xml:space="preserve">, por </w:t>
      </w:r>
      <w:proofErr w:type="spellStart"/>
      <w:r w:rsidRPr="00E6462C">
        <w:rPr>
          <w:sz w:val="18"/>
          <w:szCs w:val="18"/>
          <w:lang w:val="en-US"/>
        </w:rPr>
        <w:t>ejemplo</w:t>
      </w:r>
      <w:proofErr w:type="spellEnd"/>
      <w:r w:rsidRPr="00E6462C">
        <w:rPr>
          <w:sz w:val="18"/>
          <w:szCs w:val="18"/>
          <w:lang w:val="en-US"/>
        </w:rPr>
        <w:t xml:space="preserve">, </w:t>
      </w:r>
      <w:r>
        <w:rPr>
          <w:spacing w:val="0"/>
          <w:sz w:val="18"/>
          <w:szCs w:val="18"/>
          <w:lang w:val="en-US"/>
        </w:rPr>
        <w:t>Qian y Strahan (</w:t>
      </w:r>
      <w:r w:rsidRPr="00E6462C">
        <w:rPr>
          <w:spacing w:val="0"/>
          <w:sz w:val="18"/>
          <w:szCs w:val="18"/>
          <w:lang w:val="en-US"/>
        </w:rPr>
        <w:t>2007</w:t>
      </w:r>
      <w:r>
        <w:rPr>
          <w:spacing w:val="0"/>
          <w:sz w:val="18"/>
          <w:szCs w:val="18"/>
          <w:lang w:val="en-US"/>
        </w:rPr>
        <w:t xml:space="preserve">), </w:t>
      </w:r>
      <w:r w:rsidRPr="00E6462C">
        <w:rPr>
          <w:sz w:val="18"/>
          <w:szCs w:val="18"/>
          <w:lang w:val="en-US"/>
        </w:rPr>
        <w:t>“</w:t>
      </w:r>
      <w:r w:rsidRPr="005329A5">
        <w:rPr>
          <w:i/>
          <w:sz w:val="18"/>
          <w:szCs w:val="18"/>
          <w:lang w:val="en-US"/>
        </w:rPr>
        <w:t>How Laws and Institutions Shape Financial Contracts: The Case of Bank Loans</w:t>
      </w:r>
      <w:r w:rsidRPr="00E6462C">
        <w:rPr>
          <w:sz w:val="18"/>
          <w:szCs w:val="18"/>
          <w:lang w:val="en-US"/>
        </w:rPr>
        <w:t>”</w:t>
      </w:r>
      <w:r>
        <w:rPr>
          <w:sz w:val="18"/>
          <w:szCs w:val="18"/>
          <w:lang w:val="en-US"/>
        </w:rPr>
        <w:t>,</w:t>
      </w:r>
      <w:r w:rsidRPr="00E6462C">
        <w:rPr>
          <w:sz w:val="18"/>
          <w:szCs w:val="18"/>
          <w:lang w:val="en-US"/>
        </w:rPr>
        <w:t xml:space="preserve"> </w:t>
      </w:r>
      <w:r w:rsidRPr="00E6462C">
        <w:rPr>
          <w:i/>
          <w:sz w:val="18"/>
          <w:szCs w:val="18"/>
          <w:lang w:val="en-US"/>
        </w:rPr>
        <w:t>The Journal of Finance,</w:t>
      </w:r>
      <w:r w:rsidRPr="00E6462C">
        <w:rPr>
          <w:sz w:val="18"/>
          <w:szCs w:val="18"/>
          <w:lang w:val="en-US"/>
        </w:rPr>
        <w:t xml:space="preserve"> 62: 2803–2834</w:t>
      </w:r>
      <w:r>
        <w:rPr>
          <w:spacing w:val="0"/>
          <w:sz w:val="18"/>
          <w:szCs w:val="18"/>
          <w:lang w:val="en-US"/>
        </w:rPr>
        <w:t>; Bae y Goyal (</w:t>
      </w:r>
      <w:r w:rsidRPr="00E6462C">
        <w:rPr>
          <w:spacing w:val="0"/>
          <w:sz w:val="18"/>
          <w:szCs w:val="18"/>
          <w:lang w:val="en-US"/>
        </w:rPr>
        <w:t>20</w:t>
      </w:r>
      <w:r>
        <w:rPr>
          <w:spacing w:val="0"/>
          <w:sz w:val="18"/>
          <w:szCs w:val="18"/>
          <w:lang w:val="en-US"/>
        </w:rPr>
        <w:t>09),</w:t>
      </w:r>
      <w:r w:rsidRPr="00E6462C">
        <w:rPr>
          <w:rFonts w:eastAsiaTheme="minorHAnsi"/>
          <w:sz w:val="18"/>
          <w:szCs w:val="18"/>
          <w:lang w:val="en-US"/>
        </w:rPr>
        <w:t xml:space="preserve"> </w:t>
      </w:r>
      <w:r>
        <w:rPr>
          <w:rFonts w:eastAsiaTheme="minorHAnsi"/>
          <w:sz w:val="18"/>
          <w:szCs w:val="18"/>
          <w:lang w:val="en-US"/>
        </w:rPr>
        <w:t>“</w:t>
      </w:r>
      <w:r w:rsidRPr="005329A5">
        <w:rPr>
          <w:i/>
          <w:sz w:val="18"/>
          <w:szCs w:val="18"/>
          <w:lang w:val="en-US"/>
        </w:rPr>
        <w:t>Creditor Rights, Enforcement, and Bank Loans</w:t>
      </w:r>
      <w:r w:rsidRPr="00E6462C">
        <w:rPr>
          <w:sz w:val="18"/>
          <w:szCs w:val="18"/>
          <w:lang w:val="en-US"/>
        </w:rPr>
        <w:t>”</w:t>
      </w:r>
      <w:r>
        <w:rPr>
          <w:sz w:val="18"/>
          <w:szCs w:val="18"/>
          <w:lang w:val="en-US"/>
        </w:rPr>
        <w:t>,</w:t>
      </w:r>
      <w:r w:rsidRPr="00E6462C">
        <w:rPr>
          <w:sz w:val="18"/>
          <w:szCs w:val="18"/>
          <w:lang w:val="en-US"/>
        </w:rPr>
        <w:t xml:space="preserve"> </w:t>
      </w:r>
      <w:r w:rsidRPr="00E6462C">
        <w:rPr>
          <w:i/>
          <w:sz w:val="18"/>
          <w:szCs w:val="18"/>
          <w:lang w:val="en-US"/>
        </w:rPr>
        <w:t>The Journal of Finance</w:t>
      </w:r>
      <w:r>
        <w:rPr>
          <w:sz w:val="18"/>
          <w:szCs w:val="18"/>
          <w:lang w:val="en-US"/>
        </w:rPr>
        <w:t xml:space="preserve">, 64: 823–860; </w:t>
      </w:r>
      <w:proofErr w:type="spellStart"/>
      <w:r>
        <w:rPr>
          <w:spacing w:val="0"/>
          <w:sz w:val="18"/>
          <w:szCs w:val="18"/>
          <w:lang w:val="en-US"/>
        </w:rPr>
        <w:t>Ponticelli</w:t>
      </w:r>
      <w:proofErr w:type="spellEnd"/>
      <w:r>
        <w:rPr>
          <w:spacing w:val="0"/>
          <w:sz w:val="18"/>
          <w:szCs w:val="18"/>
          <w:lang w:val="en-US"/>
        </w:rPr>
        <w:t xml:space="preserve"> y </w:t>
      </w:r>
      <w:proofErr w:type="spellStart"/>
      <w:r>
        <w:rPr>
          <w:spacing w:val="0"/>
          <w:sz w:val="18"/>
          <w:szCs w:val="18"/>
          <w:lang w:val="en-US"/>
        </w:rPr>
        <w:t>Alencar</w:t>
      </w:r>
      <w:proofErr w:type="spellEnd"/>
      <w:r>
        <w:rPr>
          <w:spacing w:val="0"/>
          <w:sz w:val="18"/>
          <w:szCs w:val="18"/>
          <w:lang w:val="en-US"/>
        </w:rPr>
        <w:t xml:space="preserve"> (</w:t>
      </w:r>
      <w:r w:rsidRPr="00E6462C">
        <w:rPr>
          <w:spacing w:val="0"/>
          <w:sz w:val="18"/>
          <w:szCs w:val="18"/>
          <w:lang w:val="en-US"/>
        </w:rPr>
        <w:t>2016</w:t>
      </w:r>
      <w:r>
        <w:rPr>
          <w:spacing w:val="0"/>
          <w:sz w:val="18"/>
          <w:szCs w:val="18"/>
          <w:lang w:val="en-US"/>
        </w:rPr>
        <w:t>)</w:t>
      </w:r>
      <w:r w:rsidRPr="00E6462C">
        <w:rPr>
          <w:spacing w:val="0"/>
          <w:sz w:val="18"/>
          <w:szCs w:val="18"/>
          <w:lang w:val="en-US"/>
        </w:rPr>
        <w:t xml:space="preserve"> </w:t>
      </w:r>
      <w:r>
        <w:rPr>
          <w:spacing w:val="0"/>
          <w:sz w:val="18"/>
          <w:szCs w:val="18"/>
          <w:lang w:val="en-US"/>
        </w:rPr>
        <w:t>“</w:t>
      </w:r>
      <w:r w:rsidRPr="005329A5">
        <w:rPr>
          <w:i/>
          <w:spacing w:val="0"/>
          <w:sz w:val="18"/>
          <w:szCs w:val="18"/>
          <w:lang w:val="en-US"/>
        </w:rPr>
        <w:t>Court enforcement and firm productivity: evidence from a bankruptcy reform in Brazil</w:t>
      </w:r>
      <w:r>
        <w:rPr>
          <w:spacing w:val="0"/>
          <w:sz w:val="18"/>
          <w:szCs w:val="18"/>
          <w:lang w:val="en-US"/>
        </w:rPr>
        <w:t>”</w:t>
      </w:r>
      <w:r w:rsidRPr="008E6BE9">
        <w:rPr>
          <w:i/>
          <w:spacing w:val="0"/>
          <w:sz w:val="18"/>
          <w:szCs w:val="18"/>
          <w:lang w:val="en-US"/>
        </w:rPr>
        <w:t>, Booth School of Business, University of Chicago</w:t>
      </w:r>
      <w:r w:rsidRPr="00E6462C">
        <w:rPr>
          <w:spacing w:val="0"/>
          <w:sz w:val="18"/>
          <w:szCs w:val="18"/>
          <w:lang w:val="en-US"/>
        </w:rPr>
        <w:t>.</w:t>
      </w:r>
    </w:p>
  </w:footnote>
  <w:footnote w:id="10">
    <w:p w14:paraId="0EEE7E89" w14:textId="77777777" w:rsidR="00D23981" w:rsidRPr="00C67C82" w:rsidRDefault="00D23981" w:rsidP="00D23981">
      <w:pPr>
        <w:pStyle w:val="FootnoteText"/>
        <w:spacing w:after="0"/>
      </w:pPr>
      <w:r>
        <w:rPr>
          <w:rStyle w:val="FootnoteReference"/>
        </w:rPr>
        <w:footnoteRef/>
      </w:r>
      <w:r w:rsidRPr="00C67C82">
        <w:t xml:space="preserve"> </w:t>
      </w:r>
      <w:r>
        <w:tab/>
      </w:r>
      <w:r w:rsidRPr="00DA0FEB">
        <w:rPr>
          <w:sz w:val="18"/>
          <w:szCs w:val="18"/>
        </w:rPr>
        <w:t xml:space="preserve">BID (2017), </w:t>
      </w:r>
      <w:r w:rsidRPr="00297FAA">
        <w:rPr>
          <w:sz w:val="18"/>
          <w:szCs w:val="18"/>
        </w:rPr>
        <w:t>Paraguay: Desafíos de Desarrollo del País</w:t>
      </w:r>
      <w:r w:rsidRPr="00DA0FEB">
        <w:rPr>
          <w:sz w:val="18"/>
          <w:szCs w:val="18"/>
        </w:rPr>
        <w:t>, en preparación.</w:t>
      </w:r>
    </w:p>
  </w:footnote>
  <w:footnote w:id="11">
    <w:p w14:paraId="6E78F40E" w14:textId="77777777" w:rsidR="00D23981" w:rsidRPr="00701072" w:rsidRDefault="00D23981" w:rsidP="00D23981">
      <w:pPr>
        <w:pStyle w:val="FootnoteText"/>
        <w:spacing w:after="0"/>
        <w:ind w:left="270" w:hanging="270"/>
        <w:rPr>
          <w:sz w:val="18"/>
          <w:szCs w:val="18"/>
        </w:rPr>
      </w:pPr>
      <w:r w:rsidRPr="00C9545A">
        <w:rPr>
          <w:rStyle w:val="FootnoteReference"/>
          <w:sz w:val="18"/>
          <w:szCs w:val="18"/>
        </w:rPr>
        <w:footnoteRef/>
      </w:r>
      <w:r w:rsidRPr="00C9545A">
        <w:rPr>
          <w:sz w:val="18"/>
          <w:szCs w:val="18"/>
          <w:lang w:val="en-US"/>
        </w:rPr>
        <w:t xml:space="preserve"> </w:t>
      </w:r>
      <w:r w:rsidRPr="00C9545A">
        <w:rPr>
          <w:sz w:val="18"/>
          <w:szCs w:val="18"/>
          <w:lang w:val="en-US"/>
        </w:rPr>
        <w:tab/>
        <w:t xml:space="preserve">Banco Mundial (2017), </w:t>
      </w:r>
      <w:r w:rsidRPr="00C9545A">
        <w:rPr>
          <w:i/>
          <w:sz w:val="18"/>
          <w:szCs w:val="18"/>
          <w:lang w:val="en-US"/>
        </w:rPr>
        <w:t>World Development Indicators</w:t>
      </w:r>
      <w:r w:rsidRPr="00C9545A">
        <w:rPr>
          <w:sz w:val="18"/>
          <w:szCs w:val="18"/>
          <w:lang w:val="en-US"/>
        </w:rPr>
        <w:t>.</w:t>
      </w:r>
      <w:r w:rsidR="00701072" w:rsidRPr="00701072">
        <w:rPr>
          <w:sz w:val="18"/>
          <w:szCs w:val="18"/>
          <w:lang w:val="en-US"/>
        </w:rPr>
        <w:t xml:space="preserve"> </w:t>
      </w:r>
      <w:r w:rsidR="00B73391">
        <w:fldChar w:fldCharType="begin"/>
      </w:r>
      <w:r w:rsidR="00B73391" w:rsidRPr="00AC2583">
        <w:rPr>
          <w:lang w:val="en-US"/>
        </w:rPr>
        <w:instrText xml:space="preserve"> HYPERLINK "https://data.worldbank.org/indicator/FS.AST.PRVT.GD.ZS" </w:instrText>
      </w:r>
      <w:r w:rsidR="00B73391">
        <w:fldChar w:fldCharType="separate"/>
      </w:r>
      <w:proofErr w:type="spellStart"/>
      <w:r w:rsidR="00701072" w:rsidRPr="00701072">
        <w:rPr>
          <w:rStyle w:val="Hyperlink"/>
          <w:sz w:val="18"/>
          <w:szCs w:val="18"/>
        </w:rPr>
        <w:t>Domestic</w:t>
      </w:r>
      <w:proofErr w:type="spellEnd"/>
      <w:r w:rsidR="00701072" w:rsidRPr="00701072">
        <w:rPr>
          <w:rStyle w:val="Hyperlink"/>
          <w:sz w:val="18"/>
          <w:szCs w:val="18"/>
        </w:rPr>
        <w:t xml:space="preserve"> </w:t>
      </w:r>
      <w:proofErr w:type="spellStart"/>
      <w:r w:rsidR="00701072" w:rsidRPr="00701072">
        <w:rPr>
          <w:rStyle w:val="Hyperlink"/>
          <w:sz w:val="18"/>
          <w:szCs w:val="18"/>
        </w:rPr>
        <w:t>credit</w:t>
      </w:r>
      <w:proofErr w:type="spellEnd"/>
      <w:r w:rsidR="00701072" w:rsidRPr="00701072">
        <w:rPr>
          <w:rStyle w:val="Hyperlink"/>
          <w:sz w:val="18"/>
          <w:szCs w:val="18"/>
        </w:rPr>
        <w:t xml:space="preserve"> </w:t>
      </w:r>
      <w:proofErr w:type="spellStart"/>
      <w:r w:rsidR="00701072" w:rsidRPr="00701072">
        <w:rPr>
          <w:rStyle w:val="Hyperlink"/>
          <w:sz w:val="18"/>
          <w:szCs w:val="18"/>
        </w:rPr>
        <w:t>to</w:t>
      </w:r>
      <w:proofErr w:type="spellEnd"/>
      <w:r w:rsidR="00701072" w:rsidRPr="00701072">
        <w:rPr>
          <w:rStyle w:val="Hyperlink"/>
          <w:sz w:val="18"/>
          <w:szCs w:val="18"/>
        </w:rPr>
        <w:t xml:space="preserve"> </w:t>
      </w:r>
      <w:proofErr w:type="spellStart"/>
      <w:r w:rsidR="00701072" w:rsidRPr="00701072">
        <w:rPr>
          <w:rStyle w:val="Hyperlink"/>
          <w:sz w:val="18"/>
          <w:szCs w:val="18"/>
        </w:rPr>
        <w:t>private</w:t>
      </w:r>
      <w:proofErr w:type="spellEnd"/>
      <w:r w:rsidR="00701072" w:rsidRPr="00701072">
        <w:rPr>
          <w:rStyle w:val="Hyperlink"/>
          <w:sz w:val="18"/>
          <w:szCs w:val="18"/>
        </w:rPr>
        <w:t xml:space="preserve"> sector</w:t>
      </w:r>
      <w:r w:rsidR="00B73391">
        <w:rPr>
          <w:rStyle w:val="Hyperlink"/>
          <w:sz w:val="18"/>
          <w:szCs w:val="18"/>
        </w:rPr>
        <w:fldChar w:fldCharType="end"/>
      </w:r>
      <w:r w:rsidR="00701072" w:rsidRPr="00701072">
        <w:rPr>
          <w:sz w:val="18"/>
          <w:szCs w:val="18"/>
        </w:rPr>
        <w:t>.</w:t>
      </w:r>
    </w:p>
  </w:footnote>
  <w:footnote w:id="12">
    <w:p w14:paraId="3137B652" w14:textId="77777777" w:rsidR="00D23981" w:rsidRPr="00C9545A" w:rsidRDefault="00D23981" w:rsidP="00D23981">
      <w:pPr>
        <w:pStyle w:val="FootnoteText"/>
        <w:spacing w:after="0"/>
        <w:ind w:left="270" w:hanging="270"/>
        <w:rPr>
          <w:sz w:val="18"/>
          <w:szCs w:val="18"/>
        </w:rPr>
      </w:pPr>
      <w:r w:rsidRPr="00C9545A">
        <w:rPr>
          <w:rStyle w:val="FootnoteReference"/>
          <w:sz w:val="18"/>
          <w:szCs w:val="18"/>
        </w:rPr>
        <w:footnoteRef/>
      </w:r>
      <w:r w:rsidRPr="00C9545A">
        <w:rPr>
          <w:sz w:val="18"/>
          <w:szCs w:val="18"/>
        </w:rPr>
        <w:t xml:space="preserve"> </w:t>
      </w:r>
      <w:r w:rsidRPr="00C9545A">
        <w:rPr>
          <w:sz w:val="18"/>
          <w:szCs w:val="18"/>
        </w:rPr>
        <w:tab/>
        <w:t xml:space="preserve">Las restricciones de financiamiento para las PyME, empresas nuevas y empresas de base tecnológica, se debe al mayor riesgo percibido por el sector bancario, asociado con las características particulares de estos segmentos. Las asimetrías de información, la ausencia de historiales de comportamiento crediticio, los mayores costos fijos de intermediación, menores niveles de capitalización y capacidad de ofrecer colateral, y bajo nivel de formalización en aspectos contables y operativos, entre otros, hacen que los bancos tengan especial cuidado al ofrecer financiamiento a estas empresas. Ver: BID (2017), </w:t>
      </w:r>
      <w:proofErr w:type="spellStart"/>
      <w:r w:rsidRPr="00297FAA">
        <w:rPr>
          <w:sz w:val="18"/>
          <w:szCs w:val="18"/>
        </w:rPr>
        <w:t>Op</w:t>
      </w:r>
      <w:proofErr w:type="spellEnd"/>
      <w:r w:rsidRPr="00297FAA">
        <w:rPr>
          <w:sz w:val="18"/>
          <w:szCs w:val="18"/>
        </w:rPr>
        <w:t>. cit</w:t>
      </w:r>
      <w:r w:rsidRPr="00C9545A">
        <w:rPr>
          <w:sz w:val="18"/>
          <w:szCs w:val="18"/>
        </w:rPr>
        <w:t>. sobre el acceso a financiamiento para estos segmentos de empresas.</w:t>
      </w:r>
    </w:p>
  </w:footnote>
  <w:footnote w:id="13">
    <w:p w14:paraId="415A3DBB" w14:textId="77777777" w:rsidR="00D23981" w:rsidRPr="00C9545A" w:rsidRDefault="00D23981" w:rsidP="00D23981">
      <w:pPr>
        <w:pStyle w:val="FootnoteText"/>
        <w:spacing w:after="0"/>
        <w:ind w:left="270" w:hanging="270"/>
        <w:rPr>
          <w:rStyle w:val="FootnoteReference"/>
          <w:sz w:val="18"/>
          <w:szCs w:val="18"/>
        </w:rPr>
      </w:pPr>
      <w:r w:rsidRPr="00C9545A">
        <w:rPr>
          <w:rStyle w:val="FootnoteReference"/>
          <w:sz w:val="18"/>
          <w:szCs w:val="18"/>
        </w:rPr>
        <w:footnoteRef/>
      </w:r>
      <w:r w:rsidRPr="00C9545A">
        <w:rPr>
          <w:rStyle w:val="FootnoteReference"/>
          <w:sz w:val="18"/>
          <w:szCs w:val="18"/>
        </w:rPr>
        <w:t xml:space="preserve"> </w:t>
      </w:r>
      <w:r w:rsidRPr="00C9545A">
        <w:rPr>
          <w:rStyle w:val="FootnoteReference"/>
          <w:sz w:val="18"/>
          <w:szCs w:val="18"/>
        </w:rPr>
        <w:tab/>
      </w:r>
      <w:r w:rsidRPr="00C9545A">
        <w:rPr>
          <w:sz w:val="18"/>
          <w:szCs w:val="18"/>
        </w:rPr>
        <w:t xml:space="preserve">Dirección General de Estadística, Encuestas y Censos (2011), </w:t>
      </w:r>
      <w:r w:rsidRPr="009F7F82">
        <w:rPr>
          <w:sz w:val="18"/>
          <w:szCs w:val="18"/>
        </w:rPr>
        <w:t>Censo Económico Nacional.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D17698"/>
    <w:multiLevelType w:val="multilevel"/>
    <w:tmpl w:val="26BE8C0E"/>
    <w:lvl w:ilvl="0">
      <w:start w:val="1"/>
      <w:numFmt w:val="upperLetter"/>
      <w:lvlRestart w:val="0"/>
      <w:pStyle w:val="FirstHeading"/>
      <w:lvlText w:val="%1."/>
      <w:lvlJc w:val="left"/>
      <w:pPr>
        <w:ind w:left="720" w:hanging="720"/>
      </w:pPr>
      <w:rPr>
        <w:b/>
        <w:i w:val="0"/>
      </w:rPr>
    </w:lvl>
    <w:lvl w:ilvl="1">
      <w:start w:val="1"/>
      <w:numFmt w:val="decimal"/>
      <w:pStyle w:val="SecHeading"/>
      <w:lvlText w:val="%2."/>
      <w:lvlJc w:val="left"/>
      <w:pPr>
        <w:tabs>
          <w:tab w:val="num" w:pos="1296"/>
        </w:tabs>
        <w:ind w:left="1296" w:hanging="576"/>
      </w:pPr>
      <w:rPr>
        <w:b/>
      </w:rPr>
    </w:lvl>
    <w:lvl w:ilvl="2">
      <w:start w:val="1"/>
      <w:numFmt w:val="lowerLetter"/>
      <w:pStyle w:val="SubHeading1"/>
      <w:lvlText w:val="%3)"/>
      <w:lvlJc w:val="left"/>
      <w:pPr>
        <w:tabs>
          <w:tab w:val="num" w:pos="1872"/>
        </w:tabs>
        <w:ind w:left="1872"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 w15:restartNumberingAfterBreak="0">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981"/>
    <w:rsid w:val="00106944"/>
    <w:rsid w:val="00217E5B"/>
    <w:rsid w:val="00320F32"/>
    <w:rsid w:val="00395072"/>
    <w:rsid w:val="003E50F1"/>
    <w:rsid w:val="00415622"/>
    <w:rsid w:val="00495514"/>
    <w:rsid w:val="00681192"/>
    <w:rsid w:val="006D72FE"/>
    <w:rsid w:val="006E0E0D"/>
    <w:rsid w:val="00701072"/>
    <w:rsid w:val="00AC2583"/>
    <w:rsid w:val="00AF56DF"/>
    <w:rsid w:val="00B15B92"/>
    <w:rsid w:val="00B73391"/>
    <w:rsid w:val="00D23981"/>
    <w:rsid w:val="00D4645C"/>
    <w:rsid w:val="00DA11B8"/>
    <w:rsid w:val="00E11F0E"/>
    <w:rsid w:val="00E65A7E"/>
    <w:rsid w:val="00EF6EC0"/>
    <w:rsid w:val="00F80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90134"/>
  <w15:chartTrackingRefBased/>
  <w15:docId w15:val="{9DC0890F-39D0-437A-84A5-9585F492B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5">
    <w:name w:val="heading 5"/>
    <w:basedOn w:val="Normal"/>
    <w:next w:val="Normal"/>
    <w:link w:val="Heading5Char"/>
    <w:unhideWhenUsed/>
    <w:qFormat/>
    <w:rsid w:val="00D23981"/>
    <w:pPr>
      <w:keepNext/>
      <w:keepLines/>
      <w:numPr>
        <w:ilvl w:val="4"/>
        <w:numId w:val="2"/>
      </w:numPr>
      <w:spacing w:before="200" w:after="0" w:line="240" w:lineRule="auto"/>
      <w:outlineLvl w:val="4"/>
    </w:pPr>
    <w:rPr>
      <w:rFonts w:asciiTheme="majorHAnsi" w:eastAsiaTheme="majorEastAsia" w:hAnsiTheme="majorHAnsi" w:cstheme="majorBidi"/>
      <w:color w:val="1F3763" w:themeColor="accent1" w:themeShade="7F"/>
      <w:sz w:val="24"/>
      <w:szCs w:val="20"/>
      <w:lang w:val="es-ES_tradnl"/>
    </w:rPr>
  </w:style>
  <w:style w:type="paragraph" w:styleId="Heading6">
    <w:name w:val="heading 6"/>
    <w:basedOn w:val="Normal"/>
    <w:next w:val="Normal"/>
    <w:link w:val="Heading6Char"/>
    <w:unhideWhenUsed/>
    <w:qFormat/>
    <w:rsid w:val="00D23981"/>
    <w:pPr>
      <w:keepNext/>
      <w:keepLines/>
      <w:numPr>
        <w:ilvl w:val="5"/>
        <w:numId w:val="2"/>
      </w:numPr>
      <w:spacing w:before="200" w:after="0" w:line="240" w:lineRule="auto"/>
      <w:outlineLvl w:val="5"/>
    </w:pPr>
    <w:rPr>
      <w:rFonts w:asciiTheme="majorHAnsi" w:eastAsiaTheme="majorEastAsia" w:hAnsiTheme="majorHAnsi" w:cstheme="majorBidi"/>
      <w:i/>
      <w:iCs/>
      <w:color w:val="1F3763" w:themeColor="accent1" w:themeShade="7F"/>
      <w:sz w:val="24"/>
      <w:szCs w:val="20"/>
      <w:lang w:val="es-ES_tradnl"/>
    </w:rPr>
  </w:style>
  <w:style w:type="paragraph" w:styleId="Heading7">
    <w:name w:val="heading 7"/>
    <w:basedOn w:val="Normal"/>
    <w:next w:val="Normal"/>
    <w:link w:val="Heading7Char"/>
    <w:unhideWhenUsed/>
    <w:qFormat/>
    <w:rsid w:val="00D23981"/>
    <w:pPr>
      <w:keepNext/>
      <w:keepLines/>
      <w:numPr>
        <w:ilvl w:val="6"/>
        <w:numId w:val="2"/>
      </w:numPr>
      <w:spacing w:before="200" w:after="0" w:line="240" w:lineRule="auto"/>
      <w:outlineLvl w:val="6"/>
    </w:pPr>
    <w:rPr>
      <w:rFonts w:asciiTheme="majorHAnsi" w:eastAsiaTheme="majorEastAsia" w:hAnsiTheme="majorHAnsi" w:cstheme="majorBidi"/>
      <w:i/>
      <w:iCs/>
      <w:color w:val="404040" w:themeColor="text1" w:themeTint="BF"/>
      <w:sz w:val="24"/>
      <w:szCs w:val="20"/>
      <w:lang w:val="es-ES_tradnl"/>
    </w:rPr>
  </w:style>
  <w:style w:type="paragraph" w:styleId="Heading8">
    <w:name w:val="heading 8"/>
    <w:basedOn w:val="Normal"/>
    <w:next w:val="Normal"/>
    <w:link w:val="Heading8Char"/>
    <w:unhideWhenUsed/>
    <w:qFormat/>
    <w:rsid w:val="00D23981"/>
    <w:pPr>
      <w:keepNext/>
      <w:keepLines/>
      <w:numPr>
        <w:ilvl w:val="7"/>
        <w:numId w:val="2"/>
      </w:numPr>
      <w:spacing w:before="200" w:after="0" w:line="240" w:lineRule="auto"/>
      <w:outlineLvl w:val="7"/>
    </w:pPr>
    <w:rPr>
      <w:rFonts w:asciiTheme="majorHAnsi" w:eastAsiaTheme="majorEastAsia" w:hAnsiTheme="majorHAnsi" w:cstheme="majorBidi"/>
      <w:color w:val="404040" w:themeColor="text1" w:themeTint="BF"/>
      <w:sz w:val="20"/>
      <w:szCs w:val="20"/>
      <w:lang w:val="es-ES_tradnl"/>
    </w:rPr>
  </w:style>
  <w:style w:type="paragraph" w:styleId="Heading9">
    <w:name w:val="heading 9"/>
    <w:basedOn w:val="Normal"/>
    <w:next w:val="Normal"/>
    <w:link w:val="Heading9Char"/>
    <w:unhideWhenUsed/>
    <w:qFormat/>
    <w:rsid w:val="00D23981"/>
    <w:pPr>
      <w:keepNext/>
      <w:keepLines/>
      <w:numPr>
        <w:ilvl w:val="8"/>
        <w:numId w:val="2"/>
      </w:numPr>
      <w:spacing w:before="200" w:after="0" w:line="240" w:lineRule="auto"/>
      <w:outlineLvl w:val="8"/>
    </w:pPr>
    <w:rPr>
      <w:rFonts w:asciiTheme="majorHAnsi" w:eastAsiaTheme="majorEastAsia" w:hAnsiTheme="majorHAnsi" w:cstheme="majorBidi"/>
      <w:i/>
      <w:iCs/>
      <w:color w:val="404040" w:themeColor="text1" w:themeTint="BF"/>
      <w:sz w:val="20"/>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D23981"/>
    <w:rPr>
      <w:rFonts w:asciiTheme="majorHAnsi" w:eastAsiaTheme="majorEastAsia" w:hAnsiTheme="majorHAnsi" w:cstheme="majorBidi"/>
      <w:color w:val="1F3763" w:themeColor="accent1" w:themeShade="7F"/>
      <w:sz w:val="24"/>
      <w:szCs w:val="20"/>
      <w:lang w:val="es-ES_tradnl"/>
    </w:rPr>
  </w:style>
  <w:style w:type="character" w:customStyle="1" w:styleId="Heading6Char">
    <w:name w:val="Heading 6 Char"/>
    <w:basedOn w:val="DefaultParagraphFont"/>
    <w:link w:val="Heading6"/>
    <w:rsid w:val="00D23981"/>
    <w:rPr>
      <w:rFonts w:asciiTheme="majorHAnsi" w:eastAsiaTheme="majorEastAsia" w:hAnsiTheme="majorHAnsi" w:cstheme="majorBidi"/>
      <w:i/>
      <w:iCs/>
      <w:color w:val="1F3763" w:themeColor="accent1" w:themeShade="7F"/>
      <w:sz w:val="24"/>
      <w:szCs w:val="20"/>
      <w:lang w:val="es-ES_tradnl"/>
    </w:rPr>
  </w:style>
  <w:style w:type="character" w:customStyle="1" w:styleId="Heading7Char">
    <w:name w:val="Heading 7 Char"/>
    <w:basedOn w:val="DefaultParagraphFont"/>
    <w:link w:val="Heading7"/>
    <w:rsid w:val="00D23981"/>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sid w:val="00D23981"/>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D23981"/>
    <w:rPr>
      <w:rFonts w:asciiTheme="majorHAnsi" w:eastAsiaTheme="majorEastAsia" w:hAnsiTheme="majorHAnsi" w:cstheme="majorBidi"/>
      <w:i/>
      <w:iCs/>
      <w:color w:val="404040" w:themeColor="text1" w:themeTint="BF"/>
      <w:sz w:val="20"/>
      <w:szCs w:val="20"/>
      <w:lang w:val="es-ES_tradnl"/>
    </w:rPr>
  </w:style>
  <w:style w:type="paragraph" w:customStyle="1" w:styleId="Chapter">
    <w:name w:val="Chapter"/>
    <w:basedOn w:val="Normal"/>
    <w:next w:val="Normal"/>
    <w:rsid w:val="00D23981"/>
    <w:pPr>
      <w:keepNext/>
      <w:numPr>
        <w:numId w:val="1"/>
      </w:numPr>
      <w:tabs>
        <w:tab w:val="clear" w:pos="1800"/>
        <w:tab w:val="num" w:pos="648"/>
        <w:tab w:val="left" w:pos="1440"/>
      </w:tabs>
      <w:spacing w:before="240" w:after="240" w:line="240" w:lineRule="auto"/>
      <w:ind w:left="0"/>
      <w:jc w:val="center"/>
    </w:pPr>
    <w:rPr>
      <w:rFonts w:ascii="Arial" w:eastAsia="Times New Roman" w:hAnsi="Arial" w:cs="Arial"/>
      <w:b/>
      <w:smallCaps/>
      <w:sz w:val="24"/>
      <w:szCs w:val="20"/>
      <w:lang w:val="es-ES"/>
    </w:rPr>
  </w:style>
  <w:style w:type="paragraph" w:customStyle="1" w:styleId="FirstHeading">
    <w:name w:val="FirstHeading"/>
    <w:basedOn w:val="Normal"/>
    <w:next w:val="Normal"/>
    <w:rsid w:val="00D23981"/>
    <w:pPr>
      <w:keepNext/>
      <w:numPr>
        <w:numId w:val="2"/>
      </w:numPr>
      <w:tabs>
        <w:tab w:val="left" w:pos="0"/>
        <w:tab w:val="left" w:pos="86"/>
      </w:tabs>
      <w:spacing w:before="120" w:after="120" w:line="240" w:lineRule="auto"/>
    </w:pPr>
    <w:rPr>
      <w:rFonts w:ascii="Arial" w:eastAsia="Times New Roman" w:hAnsi="Arial" w:cs="Arial"/>
      <w:b/>
      <w:szCs w:val="20"/>
      <w:lang w:val="es-ES"/>
    </w:rPr>
  </w:style>
  <w:style w:type="paragraph" w:styleId="FootnoteText">
    <w:name w:val="footnote text"/>
    <w:aliases w:val="fn,Texto nota pie IIRSA,ft,footnote,Texto,nota,pie,Ref.,al,F1,texto de nota al pie,NOTA AL PIE TESIS PUCP,foottextfra,F,footnote text,Geneva 9,Font: Geneva 9,Boston 10,f,Fußnotentextr,Texto nota pie Car Car,single space,Fußn,Style 25,Char"/>
    <w:basedOn w:val="Normal"/>
    <w:link w:val="FootnoteTextChar"/>
    <w:qFormat/>
    <w:rsid w:val="00D23981"/>
    <w:pPr>
      <w:keepNext/>
      <w:keepLines/>
      <w:spacing w:after="120" w:line="240" w:lineRule="auto"/>
      <w:ind w:left="288" w:hanging="288"/>
      <w:jc w:val="both"/>
    </w:pPr>
    <w:rPr>
      <w:rFonts w:ascii="Arial" w:eastAsia="Times New Roman" w:hAnsi="Arial" w:cs="Arial"/>
      <w:spacing w:val="-3"/>
      <w:sz w:val="20"/>
      <w:szCs w:val="20"/>
      <w:lang w:val="es-ES_tradnl"/>
    </w:rPr>
  </w:style>
  <w:style w:type="character" w:customStyle="1" w:styleId="FootnoteTextChar">
    <w:name w:val="Footnote Text Char"/>
    <w:aliases w:val="fn Char,Texto nota pie IIRSA Char,ft Char,footnote Char,Texto Char,nota Char,pie Char,Ref. Char,al Char,F1 Char,texto de nota al pie Char,NOTA AL PIE TESIS PUCP Char,foottextfra Char,F Char,footnote text Char,Geneva 9 Char,f Char"/>
    <w:basedOn w:val="DefaultParagraphFont"/>
    <w:link w:val="FootnoteText"/>
    <w:rsid w:val="00D23981"/>
    <w:rPr>
      <w:rFonts w:ascii="Arial" w:eastAsia="Times New Roman" w:hAnsi="Arial" w:cs="Arial"/>
      <w:spacing w:val="-3"/>
      <w:sz w:val="20"/>
      <w:szCs w:val="20"/>
      <w:lang w:val="es-ES_tradnl"/>
    </w:rPr>
  </w:style>
  <w:style w:type="paragraph" w:customStyle="1" w:styleId="Paragraph">
    <w:name w:val="Paragraph"/>
    <w:basedOn w:val="BodyTextIndent"/>
    <w:rsid w:val="00D23981"/>
    <w:pPr>
      <w:numPr>
        <w:ilvl w:val="1"/>
        <w:numId w:val="1"/>
      </w:numPr>
      <w:tabs>
        <w:tab w:val="clear" w:pos="2448"/>
        <w:tab w:val="num" w:pos="360"/>
        <w:tab w:val="num" w:pos="720"/>
      </w:tabs>
      <w:spacing w:before="120" w:line="240" w:lineRule="auto"/>
      <w:ind w:left="720" w:hanging="720"/>
      <w:jc w:val="both"/>
      <w:outlineLvl w:val="1"/>
    </w:pPr>
    <w:rPr>
      <w:rFonts w:ascii="Arial" w:eastAsia="Times New Roman" w:hAnsi="Arial" w:cs="Arial"/>
      <w:szCs w:val="20"/>
      <w:lang w:val="es-ES"/>
    </w:rPr>
  </w:style>
  <w:style w:type="paragraph" w:customStyle="1" w:styleId="SecHeading">
    <w:name w:val="SecHeading"/>
    <w:basedOn w:val="Normal"/>
    <w:next w:val="Paragraph"/>
    <w:rsid w:val="00D23981"/>
    <w:pPr>
      <w:keepNext/>
      <w:numPr>
        <w:ilvl w:val="1"/>
        <w:numId w:val="2"/>
      </w:numPr>
      <w:spacing w:before="120" w:after="120" w:line="240" w:lineRule="auto"/>
    </w:pPr>
    <w:rPr>
      <w:rFonts w:ascii="Arial" w:eastAsia="Times New Roman" w:hAnsi="Arial" w:cs="Arial"/>
      <w:b/>
      <w:szCs w:val="20"/>
      <w:lang w:val="es-ES_tradnl"/>
    </w:rPr>
  </w:style>
  <w:style w:type="paragraph" w:customStyle="1" w:styleId="SubHeading1">
    <w:name w:val="SubHeading1"/>
    <w:basedOn w:val="SecHeading"/>
    <w:rsid w:val="00D23981"/>
    <w:pPr>
      <w:numPr>
        <w:ilvl w:val="2"/>
      </w:numPr>
    </w:pPr>
  </w:style>
  <w:style w:type="paragraph" w:customStyle="1" w:styleId="Subheading2">
    <w:name w:val="Subheading2"/>
    <w:basedOn w:val="SecHeading"/>
    <w:rsid w:val="00D23981"/>
    <w:pPr>
      <w:numPr>
        <w:ilvl w:val="3"/>
      </w:numPr>
      <w:tabs>
        <w:tab w:val="clear" w:pos="6480"/>
        <w:tab w:val="num" w:pos="2376"/>
      </w:tabs>
      <w:ind w:left="2376"/>
    </w:pPr>
  </w:style>
  <w:style w:type="paragraph" w:customStyle="1" w:styleId="subpar">
    <w:name w:val="subpar"/>
    <w:basedOn w:val="BodyTextIndent3"/>
    <w:rsid w:val="00D23981"/>
    <w:pPr>
      <w:numPr>
        <w:ilvl w:val="2"/>
        <w:numId w:val="1"/>
      </w:numPr>
      <w:tabs>
        <w:tab w:val="clear" w:pos="2304"/>
        <w:tab w:val="num" w:pos="360"/>
        <w:tab w:val="num" w:pos="1152"/>
      </w:tabs>
      <w:spacing w:before="120" w:line="240" w:lineRule="auto"/>
      <w:ind w:left="1152" w:firstLine="0"/>
      <w:jc w:val="both"/>
      <w:outlineLvl w:val="2"/>
    </w:pPr>
    <w:rPr>
      <w:rFonts w:ascii="Arial" w:eastAsia="Times New Roman" w:hAnsi="Arial" w:cs="Arial"/>
      <w:sz w:val="22"/>
      <w:szCs w:val="20"/>
      <w:lang w:val="es-ES_tradnl"/>
    </w:rPr>
  </w:style>
  <w:style w:type="paragraph" w:customStyle="1" w:styleId="SubSubPar">
    <w:name w:val="SubSubPar"/>
    <w:basedOn w:val="subpar"/>
    <w:rsid w:val="00D23981"/>
    <w:pPr>
      <w:numPr>
        <w:ilvl w:val="3"/>
      </w:numPr>
      <w:tabs>
        <w:tab w:val="clear" w:pos="2736"/>
        <w:tab w:val="left" w:pos="0"/>
        <w:tab w:val="num" w:pos="360"/>
        <w:tab w:val="num" w:pos="1152"/>
        <w:tab w:val="num" w:pos="1296"/>
      </w:tabs>
      <w:ind w:left="1296"/>
    </w:pPr>
  </w:style>
  <w:style w:type="character" w:styleId="Hyperlink">
    <w:name w:val="Hyperlink"/>
    <w:basedOn w:val="DefaultParagraphFont"/>
    <w:rsid w:val="00D23981"/>
    <w:rPr>
      <w:color w:val="0000FF"/>
      <w:u w:val="single"/>
    </w:rPr>
  </w:style>
  <w:style w:type="character" w:styleId="FootnoteReference">
    <w:name w:val="footnote reference"/>
    <w:aliases w:val="titulo 2,16 Point,Superscript 6 Point,ftref,Fußnotenzeichen DISS,BVI fnr, BVI fnr,Знак сноски 1,referencia nota al pie,FC,Footnote Referencefra,Ref. de nota al pie.,Style 24,Footnote Reference Number,Footnote,Ref,de nota al pie,fr"/>
    <w:basedOn w:val="DefaultParagraphFont"/>
    <w:uiPriority w:val="99"/>
    <w:qFormat/>
    <w:rsid w:val="00D23981"/>
    <w:rPr>
      <w:vertAlign w:val="superscript"/>
    </w:rPr>
  </w:style>
  <w:style w:type="paragraph" w:styleId="BodyTextIndent">
    <w:name w:val="Body Text Indent"/>
    <w:basedOn w:val="Normal"/>
    <w:link w:val="BodyTextIndentChar"/>
    <w:uiPriority w:val="99"/>
    <w:semiHidden/>
    <w:unhideWhenUsed/>
    <w:rsid w:val="00D23981"/>
    <w:pPr>
      <w:spacing w:after="120"/>
      <w:ind w:left="360"/>
    </w:pPr>
  </w:style>
  <w:style w:type="character" w:customStyle="1" w:styleId="BodyTextIndentChar">
    <w:name w:val="Body Text Indent Char"/>
    <w:basedOn w:val="DefaultParagraphFont"/>
    <w:link w:val="BodyTextIndent"/>
    <w:uiPriority w:val="99"/>
    <w:semiHidden/>
    <w:rsid w:val="00D23981"/>
  </w:style>
  <w:style w:type="paragraph" w:styleId="BodyTextIndent3">
    <w:name w:val="Body Text Indent 3"/>
    <w:basedOn w:val="Normal"/>
    <w:link w:val="BodyTextIndent3Char"/>
    <w:uiPriority w:val="99"/>
    <w:semiHidden/>
    <w:unhideWhenUsed/>
    <w:rsid w:val="00D2398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23981"/>
    <w:rPr>
      <w:sz w:val="16"/>
      <w:szCs w:val="16"/>
    </w:rPr>
  </w:style>
  <w:style w:type="paragraph" w:styleId="BalloonText">
    <w:name w:val="Balloon Text"/>
    <w:basedOn w:val="Normal"/>
    <w:link w:val="BalloonTextChar"/>
    <w:uiPriority w:val="99"/>
    <w:semiHidden/>
    <w:unhideWhenUsed/>
    <w:rsid w:val="007010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10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520D4CA0E10454FB677C99A32C73F5E" ma:contentTypeVersion="178" ma:contentTypeDescription="A content type to manage public (operations) IDB documents" ma:contentTypeScope="" ma:versionID="c2832b166b0cd5b427172b329f96135d">
  <xsd:schema xmlns:xsd="http://www.w3.org/2001/XMLSchema" xmlns:xs="http://www.w3.org/2001/XMLSchema" xmlns:p="http://schemas.microsoft.com/office/2006/metadata/properties" xmlns:ns2="cdc7663a-08f0-4737-9e8c-148ce897a09c" targetNamespace="http://schemas.microsoft.com/office/2006/metadata/properties" ma:root="true" ma:fieldsID="f13cfc6ef225058d4f1aeda843700f6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4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Proposal for Operation Development (POD)</TermName>
          <TermId xmlns="http://schemas.microsoft.com/office/infopath/2007/PartnerControls">24e0d6d4-9e5f-4c37-abe1-0e66100c0228</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PR</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Arauz Herrera, Alison</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FM-FES</TermName>
          <TermId xmlns="http://schemas.microsoft.com/office/infopath/2007/PartnerControls">dcc8718d-dd7c-4b5d-bcc4-86a6a708df42</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GRN</TermName>
          <TermId xmlns="http://schemas.microsoft.com/office/infopath/2007/PartnerControls">d0f1dc7f-e162-4a9c-9421-b7d8c382a710</TermId>
        </TermInfo>
      </Terms>
    </g511464f9e53401d84b16fa9b379a574>
    <Related_x0020_SisCor_x0020_Number xmlns="cdc7663a-08f0-4737-9e8c-148ce897a09c" xsi:nil="true"/>
    <TaxCatchAll xmlns="cdc7663a-08f0-4737-9e8c-148ce897a09c">
      <Value>128</Value>
      <Value>24</Value>
      <Value>52</Value>
      <Value>73</Value>
      <Value>1</Value>
      <Value>136</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PR-L1146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FM</TermName>
          <TermId xmlns="http://schemas.microsoft.com/office/infopath/2007/PartnerControls">75500f29-2419-473a-bcd8-84901ddc2aa7</TermId>
        </TermInfo>
      </Terms>
    </nddeef1749674d76abdbe4b239a70bc6>
    <Record_x0020_Number xmlns="cdc7663a-08f0-4737-9e8c-148ce897a09c">R0001964248</Record_x0020_Number>
    <_dlc_DocId xmlns="cdc7663a-08f0-4737-9e8c-148ce897a09c">EZSHARE-1067953801-8</_dlc_DocId>
    <_dlc_DocIdUrl xmlns="cdc7663a-08f0-4737-9e8c-148ce897a09c">
      <Url>https://idbg.sharepoint.com/teams/EZ-PR-LON/PR-L1146/_layouts/15/DocIdRedir.aspx?ID=EZSHARE-1067953801-8</Url>
      <Description>EZSHARE-1067953801-8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55D5E-91AD-4616-8E71-FF2CC3580595}">
  <ds:schemaRefs>
    <ds:schemaRef ds:uri="http://schemas.microsoft.com/sharepoint/events"/>
  </ds:schemaRefs>
</ds:datastoreItem>
</file>

<file path=customXml/itemProps2.xml><?xml version="1.0" encoding="utf-8"?>
<ds:datastoreItem xmlns:ds="http://schemas.openxmlformats.org/officeDocument/2006/customXml" ds:itemID="{239C3E0A-6750-4B60-B8CA-FA1AD8E81A71}"/>
</file>

<file path=customXml/itemProps3.xml><?xml version="1.0" encoding="utf-8"?>
<ds:datastoreItem xmlns:ds="http://schemas.openxmlformats.org/officeDocument/2006/customXml" ds:itemID="{508AA1B2-FDC4-46DB-B28B-624AEC331D36}">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B0412618-CAF6-417F-BBF9-8F8A947E04D2}"/>
</file>

<file path=customXml/itemProps5.xml><?xml version="1.0" encoding="utf-8"?>
<ds:datastoreItem xmlns:ds="http://schemas.openxmlformats.org/officeDocument/2006/customXml" ds:itemID="{B1B78B46-1019-46C9-8A63-0DC7A789B0CF}"/>
</file>

<file path=customXml/itemProps6.xml><?xml version="1.0" encoding="utf-8"?>
<ds:datastoreItem xmlns:ds="http://schemas.openxmlformats.org/officeDocument/2006/customXml" ds:itemID="{57A92E3B-06D0-49B0-ABC4-BA78AE772C46}">
  <ds:schemaRefs>
    <ds:schemaRef ds:uri="http://schemas.microsoft.com/sharepoint/v3/contenttype/forms"/>
  </ds:schemaRefs>
</ds:datastoreItem>
</file>

<file path=customXml/itemProps7.xml><?xml version="1.0" encoding="utf-8"?>
<ds:datastoreItem xmlns:ds="http://schemas.openxmlformats.org/officeDocument/2006/customXml" ds:itemID="{EEB8BD3E-E481-4E76-A6A8-C8212C9B4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1060</Words>
  <Characters>5833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Fernandini Puga, Manuel Pablo</dc:creator>
  <cp:keywords/>
  <dc:description/>
  <cp:lastModifiedBy>Arauz Herrera, Alison</cp:lastModifiedBy>
  <cp:revision>5</cp:revision>
  <dcterms:created xsi:type="dcterms:W3CDTF">2018-01-22T21:58:00Z</dcterms:created>
  <dcterms:modified xsi:type="dcterms:W3CDTF">2018-06-18T19:29:00Z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73;#Proposal for Operation Development (POD)|24e0d6d4-9e5f-4c37-abe1-0e66100c0228</vt:lpwstr>
  </property>
  <property fmtid="{D5CDD505-2E9C-101B-9397-08002B2CF9AE}" pid="6" name="Sub-Sector">
    <vt:lpwstr>128;#FM-FES|dcc8718d-dd7c-4b5d-bcc4-86a6a708df42</vt:lpwstr>
  </property>
  <property fmtid="{D5CDD505-2E9C-101B-9397-08002B2CF9AE}" pid="7" name="Fund IDB">
    <vt:lpwstr>136;#GRN|d0f1dc7f-e162-4a9c-9421-b7d8c382a710</vt:lpwstr>
  </property>
  <property fmtid="{D5CDD505-2E9C-101B-9397-08002B2CF9AE}" pid="8" name="Country">
    <vt:lpwstr>24;#PR|50282442-27e7-4526-9d04-55bf5da33a10</vt:lpwstr>
  </property>
  <property fmtid="{D5CDD505-2E9C-101B-9397-08002B2CF9AE}" pid="9" name="Sector IDB">
    <vt:lpwstr>52;#FM|75500f29-2419-473a-bcd8-84901ddc2aa7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8f9000c7-9902-40fb-adca-22a7ee111fc5</vt:lpwstr>
  </property>
  <property fmtid="{D5CDD505-2E9C-101B-9397-08002B2CF9AE}" pid="13" name="RecordStorageActiveId">
    <vt:lpwstr>ca4acb8f-f3bc-496a-a48a-95ccdb1b99d6</vt:lpwstr>
  </property>
  <property fmtid="{D5CDD505-2E9C-101B-9397-08002B2CF9AE}" pid="14" name="Disclosure Activity">
    <vt:lpwstr>Loan Proposal</vt:lpwstr>
  </property>
  <property fmtid="{D5CDD505-2E9C-101B-9397-08002B2CF9AE}" pid="15" name="ContentTypeId">
    <vt:lpwstr>0x0101001A458A224826124E8B45B1D613300CFC002520D4CA0E10454FB677C99A32C73F5E</vt:lpwstr>
  </property>
</Properties>
</file>