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1301B" w14:textId="77777777" w:rsidR="003011C8" w:rsidRPr="0043746B" w:rsidRDefault="003011C8" w:rsidP="003011C8">
      <w:pPr>
        <w:spacing w:after="0" w:line="240" w:lineRule="auto"/>
        <w:jc w:val="center"/>
        <w:rPr>
          <w:rFonts w:asciiTheme="minorHAnsi" w:hAnsiTheme="minorHAnsi" w:cstheme="minorHAnsi"/>
          <w:b/>
          <w:sz w:val="32"/>
          <w:szCs w:val="32"/>
          <w:lang w:val="es-ES"/>
        </w:rPr>
      </w:pPr>
    </w:p>
    <w:p w14:paraId="75EF70FE" w14:textId="77777777" w:rsidR="003011C8" w:rsidRPr="0043746B" w:rsidRDefault="003011C8" w:rsidP="003011C8">
      <w:pPr>
        <w:spacing w:after="0" w:line="240" w:lineRule="auto"/>
        <w:jc w:val="center"/>
        <w:rPr>
          <w:rFonts w:asciiTheme="minorHAnsi" w:hAnsiTheme="minorHAnsi" w:cstheme="minorHAnsi"/>
          <w:b/>
          <w:sz w:val="32"/>
          <w:szCs w:val="32"/>
          <w:lang w:val="es-ES"/>
        </w:rPr>
      </w:pPr>
      <w:r w:rsidRPr="0043746B">
        <w:rPr>
          <w:rFonts w:asciiTheme="minorHAnsi" w:hAnsiTheme="minorHAnsi" w:cstheme="minorHAnsi"/>
          <w:b/>
          <w:sz w:val="32"/>
          <w:szCs w:val="32"/>
          <w:lang w:val="es-ES"/>
        </w:rPr>
        <w:t xml:space="preserve">PROGRAMA PARA LA IMPLEMENTACIÓN DE LA ESTRATEGIA NACIONAL DE INCLUSIÓN FINANCIERA </w:t>
      </w:r>
      <w:r w:rsidR="00CA0159" w:rsidRPr="0043746B">
        <w:rPr>
          <w:rFonts w:asciiTheme="minorHAnsi" w:hAnsiTheme="minorHAnsi" w:cstheme="minorHAnsi"/>
          <w:b/>
          <w:sz w:val="32"/>
          <w:szCs w:val="32"/>
          <w:lang w:val="es-ES"/>
        </w:rPr>
        <w:t xml:space="preserve">(ENIF) </w:t>
      </w:r>
      <w:r w:rsidRPr="0043746B">
        <w:rPr>
          <w:rFonts w:asciiTheme="minorHAnsi" w:hAnsiTheme="minorHAnsi" w:cstheme="minorHAnsi"/>
          <w:b/>
          <w:sz w:val="32"/>
          <w:szCs w:val="32"/>
          <w:lang w:val="es-ES"/>
        </w:rPr>
        <w:t>DE ARGENTINA</w:t>
      </w:r>
    </w:p>
    <w:p w14:paraId="7DCEC3C5" w14:textId="77777777" w:rsidR="003011C8" w:rsidRPr="0043746B" w:rsidRDefault="003011C8" w:rsidP="003011C8">
      <w:pPr>
        <w:spacing w:after="0" w:line="240" w:lineRule="auto"/>
        <w:jc w:val="center"/>
        <w:rPr>
          <w:rFonts w:asciiTheme="minorHAnsi" w:hAnsiTheme="minorHAnsi" w:cstheme="minorHAnsi"/>
          <w:b/>
          <w:sz w:val="32"/>
          <w:szCs w:val="32"/>
          <w:lang w:val="es-ES_tradnl"/>
        </w:rPr>
      </w:pPr>
    </w:p>
    <w:p w14:paraId="00395462" w14:textId="77777777" w:rsidR="003011C8" w:rsidRPr="0043746B" w:rsidRDefault="003011C8" w:rsidP="003011C8">
      <w:pPr>
        <w:spacing w:after="0" w:line="240" w:lineRule="auto"/>
        <w:jc w:val="center"/>
        <w:rPr>
          <w:rFonts w:asciiTheme="minorHAnsi" w:hAnsiTheme="minorHAnsi" w:cstheme="minorHAnsi"/>
          <w:b/>
          <w:sz w:val="32"/>
          <w:szCs w:val="32"/>
          <w:lang w:val="es-ES_tradnl"/>
        </w:rPr>
      </w:pPr>
    </w:p>
    <w:p w14:paraId="3266D1CC" w14:textId="77777777" w:rsidR="003011C8" w:rsidRPr="0043746B" w:rsidRDefault="003011C8" w:rsidP="003011C8">
      <w:pPr>
        <w:spacing w:after="0" w:line="240" w:lineRule="auto"/>
        <w:jc w:val="center"/>
        <w:rPr>
          <w:rFonts w:asciiTheme="minorHAnsi" w:hAnsiTheme="minorHAnsi" w:cstheme="minorHAnsi"/>
          <w:b/>
          <w:sz w:val="32"/>
          <w:szCs w:val="32"/>
          <w:lang w:val="es-ES"/>
        </w:rPr>
      </w:pPr>
      <w:r w:rsidRPr="0043746B">
        <w:rPr>
          <w:rFonts w:asciiTheme="minorHAnsi" w:hAnsiTheme="minorHAnsi" w:cstheme="minorHAnsi"/>
          <w:b/>
          <w:sz w:val="32"/>
          <w:szCs w:val="32"/>
          <w:lang w:val="es-ES_tradnl"/>
        </w:rPr>
        <w:t>(AR-L1249)</w:t>
      </w:r>
    </w:p>
    <w:p w14:paraId="2D8B60AB"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57085504"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75B24C92" w14:textId="77777777" w:rsidR="00DB6C91" w:rsidRDefault="00DB6C91" w:rsidP="00DB6C91">
      <w:pPr>
        <w:spacing w:after="0" w:line="240" w:lineRule="auto"/>
        <w:jc w:val="center"/>
        <w:rPr>
          <w:rFonts w:asciiTheme="minorHAnsi" w:hAnsiTheme="minorHAnsi" w:cstheme="minorHAnsi"/>
          <w:b/>
          <w:sz w:val="32"/>
          <w:szCs w:val="32"/>
          <w:lang w:val="es-ES"/>
        </w:rPr>
      </w:pPr>
      <w:r w:rsidRPr="0043746B">
        <w:rPr>
          <w:rFonts w:asciiTheme="minorHAnsi" w:hAnsiTheme="minorHAnsi" w:cstheme="minorHAnsi"/>
          <w:b/>
          <w:sz w:val="32"/>
          <w:szCs w:val="32"/>
          <w:lang w:val="es-ES"/>
        </w:rPr>
        <w:t xml:space="preserve">REGLAMENTO OPERATIVO DEL PROGRAMA  </w:t>
      </w:r>
    </w:p>
    <w:p w14:paraId="5430803D" w14:textId="77777777" w:rsidR="00DB6C91" w:rsidRPr="0043746B" w:rsidRDefault="00DB6C91" w:rsidP="00DB6C91">
      <w:pPr>
        <w:spacing w:after="0" w:line="240" w:lineRule="auto"/>
        <w:jc w:val="center"/>
        <w:rPr>
          <w:rFonts w:asciiTheme="minorHAnsi" w:hAnsiTheme="minorHAnsi" w:cstheme="minorHAnsi"/>
          <w:b/>
          <w:sz w:val="32"/>
          <w:szCs w:val="32"/>
          <w:lang w:val="es-ES"/>
        </w:rPr>
      </w:pPr>
      <w:r w:rsidRPr="0043746B">
        <w:rPr>
          <w:rFonts w:asciiTheme="minorHAnsi" w:hAnsiTheme="minorHAnsi" w:cstheme="minorHAnsi"/>
          <w:b/>
          <w:sz w:val="32"/>
          <w:szCs w:val="32"/>
          <w:lang w:val="es-ES"/>
        </w:rPr>
        <w:t>(</w:t>
      </w:r>
      <w:r w:rsidRPr="0043746B">
        <w:rPr>
          <w:rFonts w:asciiTheme="minorHAnsi" w:hAnsiTheme="minorHAnsi" w:cstheme="minorHAnsi"/>
          <w:b/>
          <w:sz w:val="32"/>
          <w:szCs w:val="32"/>
          <w:u w:val="single"/>
          <w:lang w:val="es-ES"/>
        </w:rPr>
        <w:t>Borrador</w:t>
      </w:r>
      <w:r>
        <w:rPr>
          <w:rFonts w:asciiTheme="minorHAnsi" w:hAnsiTheme="minorHAnsi" w:cstheme="minorHAnsi"/>
          <w:b/>
          <w:sz w:val="32"/>
          <w:szCs w:val="32"/>
          <w:u w:val="single"/>
          <w:lang w:val="es-ES"/>
        </w:rPr>
        <w:t xml:space="preserve"> sujeto a revisión por el Prestatario y Organismo Ejecutor</w:t>
      </w:r>
      <w:r w:rsidRPr="0043746B">
        <w:rPr>
          <w:rFonts w:asciiTheme="minorHAnsi" w:hAnsiTheme="minorHAnsi" w:cstheme="minorHAnsi"/>
          <w:b/>
          <w:sz w:val="32"/>
          <w:szCs w:val="32"/>
          <w:lang w:val="es-ES"/>
        </w:rPr>
        <w:t>)</w:t>
      </w:r>
    </w:p>
    <w:p w14:paraId="63B48018" w14:textId="77777777" w:rsidR="003011C8" w:rsidRPr="00DB6C91" w:rsidRDefault="003011C8" w:rsidP="003011C8">
      <w:pPr>
        <w:spacing w:after="0" w:line="240" w:lineRule="auto"/>
        <w:jc w:val="center"/>
        <w:rPr>
          <w:rFonts w:asciiTheme="minorHAnsi" w:hAnsiTheme="minorHAnsi" w:cstheme="minorHAnsi"/>
          <w:b/>
          <w:sz w:val="32"/>
          <w:szCs w:val="32"/>
          <w:lang w:val="es-ES"/>
        </w:rPr>
      </w:pPr>
    </w:p>
    <w:p w14:paraId="1EA3140E"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71450FCF"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017C7748"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1EF8BB08" w14:textId="77777777" w:rsidR="003011C8" w:rsidRPr="0043746B" w:rsidRDefault="003011C8" w:rsidP="003011C8">
      <w:pPr>
        <w:spacing w:after="0" w:line="240" w:lineRule="auto"/>
        <w:jc w:val="center"/>
        <w:rPr>
          <w:rFonts w:asciiTheme="minorHAnsi" w:hAnsiTheme="minorHAnsi" w:cstheme="minorHAnsi"/>
          <w:b/>
          <w:sz w:val="32"/>
          <w:szCs w:val="32"/>
          <w:lang w:val="es-MX"/>
        </w:rPr>
      </w:pPr>
    </w:p>
    <w:p w14:paraId="472BEC63" w14:textId="77777777" w:rsidR="003011C8" w:rsidRPr="0043746B" w:rsidRDefault="003F22C2" w:rsidP="003011C8">
      <w:pPr>
        <w:spacing w:after="0" w:line="240" w:lineRule="auto"/>
        <w:jc w:val="center"/>
        <w:rPr>
          <w:rFonts w:asciiTheme="minorHAnsi" w:hAnsiTheme="minorHAnsi" w:cstheme="minorHAnsi"/>
          <w:b/>
          <w:sz w:val="32"/>
          <w:szCs w:val="32"/>
          <w:lang w:val="es-MX"/>
        </w:rPr>
      </w:pPr>
      <w:r>
        <w:rPr>
          <w:rFonts w:asciiTheme="minorHAnsi" w:hAnsiTheme="minorHAnsi" w:cstheme="minorHAnsi"/>
          <w:b/>
          <w:sz w:val="32"/>
          <w:szCs w:val="32"/>
          <w:lang w:val="es-MX"/>
        </w:rPr>
        <w:t>1</w:t>
      </w:r>
      <w:r w:rsidR="003011C8" w:rsidRPr="0043746B">
        <w:rPr>
          <w:rFonts w:asciiTheme="minorHAnsi" w:hAnsiTheme="minorHAnsi" w:cstheme="minorHAnsi"/>
          <w:b/>
          <w:sz w:val="32"/>
          <w:szCs w:val="32"/>
          <w:lang w:val="es-MX"/>
        </w:rPr>
        <w:t xml:space="preserve"> de octubre de 2017</w:t>
      </w:r>
    </w:p>
    <w:p w14:paraId="7B186612" w14:textId="77777777" w:rsidR="00C25D97" w:rsidRPr="0043746B" w:rsidRDefault="003011C8" w:rsidP="001561F5">
      <w:pPr>
        <w:spacing w:after="0" w:line="240" w:lineRule="auto"/>
        <w:rPr>
          <w:rFonts w:asciiTheme="minorHAnsi" w:hAnsiTheme="minorHAnsi" w:cstheme="minorHAnsi"/>
          <w:bCs/>
          <w:sz w:val="32"/>
          <w:szCs w:val="32"/>
        </w:rPr>
      </w:pPr>
      <w:r w:rsidRPr="0043746B">
        <w:rPr>
          <w:rFonts w:asciiTheme="minorHAnsi" w:hAnsiTheme="minorHAnsi" w:cstheme="minorHAnsi"/>
          <w:bCs/>
          <w:sz w:val="32"/>
          <w:szCs w:val="32"/>
        </w:rPr>
        <w:br w:type="page"/>
      </w:r>
    </w:p>
    <w:p w14:paraId="7210A970" w14:textId="77777777" w:rsidR="0046130C" w:rsidRDefault="00FF5624" w:rsidP="00E8744D">
      <w:pPr>
        <w:pStyle w:val="Heading2"/>
        <w:numPr>
          <w:ilvl w:val="0"/>
          <w:numId w:val="5"/>
        </w:numPr>
        <w:spacing w:line="240" w:lineRule="auto"/>
        <w:jc w:val="both"/>
        <w:rPr>
          <w:rFonts w:asciiTheme="minorHAnsi" w:hAnsiTheme="minorHAnsi" w:cstheme="minorHAnsi"/>
          <w:color w:val="auto"/>
          <w:sz w:val="28"/>
          <w:szCs w:val="28"/>
        </w:rPr>
      </w:pPr>
      <w:bookmarkStart w:id="0" w:name="_Toc323123968"/>
      <w:bookmarkStart w:id="1" w:name="_Toc323124301"/>
      <w:bookmarkStart w:id="2" w:name="_Toc323124380"/>
      <w:bookmarkStart w:id="3" w:name="_Toc323126091"/>
      <w:bookmarkStart w:id="4" w:name="_Toc323126198"/>
      <w:bookmarkStart w:id="5" w:name="_Toc323127421"/>
      <w:bookmarkStart w:id="6" w:name="_Toc323127569"/>
      <w:bookmarkStart w:id="7" w:name="_Toc323123969"/>
      <w:bookmarkStart w:id="8" w:name="_Toc323124302"/>
      <w:bookmarkStart w:id="9" w:name="_Toc323124381"/>
      <w:bookmarkStart w:id="10" w:name="_Toc323126092"/>
      <w:bookmarkStart w:id="11" w:name="_Toc323126199"/>
      <w:bookmarkStart w:id="12" w:name="_Toc323127422"/>
      <w:bookmarkStart w:id="13" w:name="_Toc323127570"/>
      <w:bookmarkStart w:id="14" w:name="_Toc324196859"/>
      <w:bookmarkStart w:id="15" w:name="_Toc98690383"/>
      <w:bookmarkStart w:id="16" w:name="_Toc107667889"/>
      <w:bookmarkStart w:id="17" w:name="_Toc311526046"/>
      <w:bookmarkEnd w:id="0"/>
      <w:bookmarkEnd w:id="1"/>
      <w:bookmarkEnd w:id="2"/>
      <w:bookmarkEnd w:id="3"/>
      <w:bookmarkEnd w:id="4"/>
      <w:bookmarkEnd w:id="5"/>
      <w:bookmarkEnd w:id="6"/>
      <w:bookmarkEnd w:id="7"/>
      <w:bookmarkEnd w:id="8"/>
      <w:bookmarkEnd w:id="9"/>
      <w:bookmarkEnd w:id="10"/>
      <w:bookmarkEnd w:id="11"/>
      <w:bookmarkEnd w:id="12"/>
      <w:bookmarkEnd w:id="13"/>
      <w:r w:rsidRPr="00C249E6">
        <w:rPr>
          <w:rFonts w:asciiTheme="minorHAnsi" w:hAnsiTheme="minorHAnsi" w:cstheme="minorHAnsi"/>
          <w:color w:val="auto"/>
          <w:sz w:val="28"/>
          <w:szCs w:val="28"/>
        </w:rPr>
        <w:lastRenderedPageBreak/>
        <w:t>Normas Generales</w:t>
      </w:r>
      <w:bookmarkEnd w:id="14"/>
    </w:p>
    <w:p w14:paraId="044112EB" w14:textId="77777777" w:rsidR="00992876" w:rsidRPr="00BB1A22" w:rsidRDefault="00992876" w:rsidP="00E8744D">
      <w:pPr>
        <w:pStyle w:val="Heading2"/>
        <w:numPr>
          <w:ilvl w:val="1"/>
          <w:numId w:val="5"/>
        </w:numPr>
        <w:spacing w:line="240" w:lineRule="auto"/>
        <w:jc w:val="both"/>
        <w:rPr>
          <w:rFonts w:asciiTheme="minorHAnsi" w:hAnsiTheme="minorHAnsi" w:cstheme="minorHAnsi"/>
          <w:b w:val="0"/>
          <w:color w:val="auto"/>
          <w:sz w:val="24"/>
          <w:szCs w:val="24"/>
        </w:rPr>
      </w:pPr>
      <w:bookmarkStart w:id="18" w:name="_Toc324196860"/>
      <w:r w:rsidRPr="00992876">
        <w:rPr>
          <w:rFonts w:asciiTheme="minorHAnsi" w:hAnsiTheme="minorHAnsi" w:cstheme="minorHAnsi"/>
          <w:color w:val="auto"/>
          <w:sz w:val="24"/>
          <w:szCs w:val="24"/>
        </w:rPr>
        <w:t>Objeto y Recursos del Programa</w:t>
      </w:r>
      <w:r w:rsidR="00BB1A22" w:rsidRPr="00BB1A22">
        <w:rPr>
          <w:rFonts w:asciiTheme="minorHAnsi" w:hAnsiTheme="minorHAnsi" w:cstheme="minorHAnsi"/>
          <w:b w:val="0"/>
          <w:color w:val="auto"/>
          <w:sz w:val="24"/>
          <w:szCs w:val="24"/>
        </w:rPr>
        <w:t>:</w:t>
      </w:r>
      <w:bookmarkEnd w:id="18"/>
    </w:p>
    <w:p w14:paraId="4F7F8422" w14:textId="13C68521" w:rsidR="00911C48" w:rsidRDefault="0071235A" w:rsidP="003011C8">
      <w:pPr>
        <w:pStyle w:val="Heading2"/>
        <w:spacing w:after="240" w:line="240" w:lineRule="auto"/>
        <w:ind w:left="708"/>
        <w:jc w:val="both"/>
        <w:rPr>
          <w:rFonts w:asciiTheme="minorHAnsi" w:hAnsiTheme="minorHAnsi" w:cstheme="minorHAnsi"/>
          <w:b w:val="0"/>
          <w:color w:val="auto"/>
          <w:sz w:val="24"/>
          <w:szCs w:val="24"/>
        </w:rPr>
      </w:pPr>
      <w:bookmarkStart w:id="19" w:name="_Toc324185181"/>
      <w:bookmarkStart w:id="20" w:name="_Toc324185952"/>
      <w:bookmarkStart w:id="21" w:name="_Toc324196861"/>
      <w:r w:rsidRPr="0071235A">
        <w:rPr>
          <w:rFonts w:asciiTheme="minorHAnsi" w:hAnsiTheme="minorHAnsi" w:cstheme="minorHAnsi"/>
          <w:b w:val="0"/>
          <w:color w:val="auto"/>
          <w:sz w:val="24"/>
          <w:szCs w:val="24"/>
          <w:lang w:val="es-ES"/>
        </w:rPr>
        <w:t xml:space="preserve">El objetivo del programa es </w:t>
      </w:r>
      <w:bookmarkStart w:id="22" w:name="_Hlk485892931"/>
      <w:r w:rsidRPr="0071235A">
        <w:rPr>
          <w:rFonts w:asciiTheme="minorHAnsi" w:hAnsiTheme="minorHAnsi" w:cstheme="minorHAnsi"/>
          <w:b w:val="0"/>
          <w:color w:val="auto"/>
          <w:sz w:val="24"/>
          <w:szCs w:val="24"/>
          <w:lang w:val="es-ES"/>
        </w:rPr>
        <w:t>contribuir a incrementar el acceso y uso de servicios financieros para hogares y empresas a través de: (i) implementar la Estrategia Nacional de Inclusi</w:t>
      </w:r>
      <w:r w:rsidRPr="0071235A">
        <w:rPr>
          <w:rFonts w:asciiTheme="minorHAnsi" w:hAnsiTheme="minorHAnsi" w:cstheme="minorHAnsi"/>
          <w:b w:val="0"/>
          <w:color w:val="auto"/>
          <w:sz w:val="24"/>
          <w:szCs w:val="24"/>
          <w:lang w:val="es-ES_tradnl"/>
        </w:rPr>
        <w:t xml:space="preserve">ón Financiera; e (ii) </w:t>
      </w:r>
      <w:r w:rsidRPr="0071235A">
        <w:rPr>
          <w:rFonts w:asciiTheme="minorHAnsi" w:hAnsiTheme="minorHAnsi" w:cstheme="minorHAnsi"/>
          <w:b w:val="0"/>
          <w:color w:val="auto"/>
          <w:sz w:val="24"/>
          <w:szCs w:val="24"/>
          <w:lang w:val="es-ES"/>
        </w:rPr>
        <w:t>incrementar el acceso a crédito de Micro y Pequeñas Empresas (MyPE</w:t>
      </w:r>
      <w:bookmarkEnd w:id="22"/>
      <w:r w:rsidRPr="0071235A">
        <w:rPr>
          <w:rFonts w:asciiTheme="minorHAnsi" w:hAnsiTheme="minorHAnsi" w:cstheme="minorHAnsi"/>
          <w:b w:val="0"/>
          <w:color w:val="auto"/>
          <w:sz w:val="24"/>
          <w:szCs w:val="24"/>
          <w:lang w:val="es-ES"/>
        </w:rPr>
        <w:t>).</w:t>
      </w:r>
      <w:bookmarkEnd w:id="19"/>
      <w:bookmarkEnd w:id="20"/>
      <w:bookmarkEnd w:id="21"/>
    </w:p>
    <w:p w14:paraId="69FCE01F" w14:textId="77777777" w:rsidR="00992876" w:rsidRPr="0069659B" w:rsidRDefault="007454A2" w:rsidP="000B2BFF">
      <w:pPr>
        <w:ind w:left="70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El Programa se financia</w:t>
      </w:r>
      <w:r w:rsidR="00BF68C5" w:rsidRPr="0069659B">
        <w:rPr>
          <w:rFonts w:asciiTheme="minorHAnsi" w:eastAsia="Times New Roman" w:hAnsiTheme="minorHAnsi" w:cstheme="minorHAnsi"/>
          <w:bCs/>
          <w:sz w:val="24"/>
          <w:szCs w:val="24"/>
        </w:rPr>
        <w:t xml:space="preserve"> con fondos de </w:t>
      </w:r>
      <w:r w:rsidRPr="0069659B">
        <w:rPr>
          <w:rFonts w:asciiTheme="minorHAnsi" w:eastAsia="Times New Roman" w:hAnsiTheme="minorHAnsi" w:cstheme="minorHAnsi"/>
          <w:bCs/>
          <w:sz w:val="24"/>
          <w:szCs w:val="24"/>
        </w:rPr>
        <w:t>pr</w:t>
      </w:r>
      <w:bookmarkStart w:id="23" w:name="_GoBack"/>
      <w:bookmarkEnd w:id="23"/>
      <w:r w:rsidRPr="0069659B">
        <w:rPr>
          <w:rFonts w:asciiTheme="minorHAnsi" w:eastAsia="Times New Roman" w:hAnsiTheme="minorHAnsi" w:cstheme="minorHAnsi"/>
          <w:bCs/>
          <w:sz w:val="24"/>
          <w:szCs w:val="24"/>
        </w:rPr>
        <w:t>éstamo provenientes del B</w:t>
      </w:r>
      <w:r w:rsidR="00007AD4">
        <w:rPr>
          <w:rFonts w:asciiTheme="minorHAnsi" w:eastAsia="Times New Roman" w:hAnsiTheme="minorHAnsi" w:cstheme="minorHAnsi"/>
          <w:bCs/>
          <w:sz w:val="24"/>
          <w:szCs w:val="24"/>
        </w:rPr>
        <w:t xml:space="preserve">anco </w:t>
      </w:r>
      <w:r w:rsidRPr="0034335A">
        <w:rPr>
          <w:rFonts w:asciiTheme="minorHAnsi" w:eastAsia="Times New Roman" w:hAnsiTheme="minorHAnsi" w:cstheme="minorHAnsi"/>
          <w:bCs/>
          <w:sz w:val="24"/>
          <w:szCs w:val="24"/>
        </w:rPr>
        <w:t>I</w:t>
      </w:r>
      <w:r w:rsidR="00007AD4">
        <w:rPr>
          <w:rFonts w:asciiTheme="minorHAnsi" w:eastAsia="Times New Roman" w:hAnsiTheme="minorHAnsi" w:cstheme="minorHAnsi"/>
          <w:bCs/>
          <w:sz w:val="24"/>
          <w:szCs w:val="24"/>
        </w:rPr>
        <w:t xml:space="preserve">nteramericano de Desarrollo (BID) </w:t>
      </w:r>
      <w:r w:rsidRPr="0045635D">
        <w:rPr>
          <w:rFonts w:asciiTheme="minorHAnsi" w:eastAsia="Times New Roman" w:hAnsiTheme="minorHAnsi" w:cstheme="minorHAnsi"/>
          <w:bCs/>
          <w:sz w:val="24"/>
          <w:szCs w:val="24"/>
        </w:rPr>
        <w:t xml:space="preserve">y </w:t>
      </w:r>
      <w:r w:rsidR="00992876" w:rsidRPr="0069659B">
        <w:rPr>
          <w:rFonts w:asciiTheme="minorHAnsi" w:eastAsia="Times New Roman" w:hAnsiTheme="minorHAnsi" w:cstheme="minorHAnsi"/>
          <w:bCs/>
          <w:sz w:val="24"/>
          <w:szCs w:val="24"/>
        </w:rPr>
        <w:t xml:space="preserve">recursos de </w:t>
      </w:r>
      <w:r w:rsidRPr="0069659B">
        <w:rPr>
          <w:rFonts w:asciiTheme="minorHAnsi" w:eastAsia="Times New Roman" w:hAnsiTheme="minorHAnsi" w:cstheme="minorHAnsi"/>
          <w:bCs/>
          <w:sz w:val="24"/>
          <w:szCs w:val="24"/>
        </w:rPr>
        <w:t>contrapart</w:t>
      </w:r>
      <w:r>
        <w:rPr>
          <w:rFonts w:asciiTheme="minorHAnsi" w:eastAsia="Times New Roman" w:hAnsiTheme="minorHAnsi" w:cstheme="minorHAnsi"/>
          <w:bCs/>
          <w:sz w:val="24"/>
          <w:szCs w:val="24"/>
        </w:rPr>
        <w:t>ida</w:t>
      </w:r>
      <w:r w:rsidRPr="0069659B">
        <w:rPr>
          <w:rFonts w:asciiTheme="minorHAnsi" w:eastAsia="Times New Roman" w:hAnsiTheme="minorHAnsi" w:cstheme="minorHAnsi"/>
          <w:bCs/>
          <w:sz w:val="24"/>
          <w:szCs w:val="24"/>
        </w:rPr>
        <w:t xml:space="preserve"> </w:t>
      </w:r>
      <w:r w:rsidR="00390C2C" w:rsidRPr="0069659B">
        <w:rPr>
          <w:rFonts w:asciiTheme="minorHAnsi" w:eastAsia="Times New Roman" w:hAnsiTheme="minorHAnsi" w:cstheme="minorHAnsi"/>
          <w:bCs/>
          <w:sz w:val="24"/>
          <w:szCs w:val="24"/>
        </w:rPr>
        <w:t>local</w:t>
      </w:r>
      <w:r w:rsidR="00007AD4">
        <w:rPr>
          <w:rFonts w:asciiTheme="minorHAnsi" w:eastAsia="Times New Roman" w:hAnsiTheme="minorHAnsi" w:cstheme="minorHAnsi"/>
          <w:bCs/>
          <w:sz w:val="24"/>
          <w:szCs w:val="24"/>
        </w:rPr>
        <w:t>,</w:t>
      </w:r>
      <w:r w:rsidR="00992876" w:rsidRPr="0069659B">
        <w:rPr>
          <w:rFonts w:asciiTheme="minorHAnsi" w:eastAsia="Times New Roman" w:hAnsiTheme="minorHAnsi" w:cstheme="minorHAnsi"/>
          <w:bCs/>
          <w:sz w:val="24"/>
          <w:szCs w:val="24"/>
        </w:rPr>
        <w:t xml:space="preserve"> aportados por </w:t>
      </w:r>
      <w:r w:rsidR="00E85017">
        <w:rPr>
          <w:rFonts w:asciiTheme="minorHAnsi" w:eastAsia="Times New Roman" w:hAnsiTheme="minorHAnsi" w:cstheme="minorHAnsi"/>
          <w:bCs/>
          <w:sz w:val="24"/>
          <w:szCs w:val="24"/>
        </w:rPr>
        <w:t>el Ministerio de Finanzas</w:t>
      </w:r>
      <w:r w:rsidR="00992876" w:rsidRPr="0069659B">
        <w:rPr>
          <w:rFonts w:asciiTheme="minorHAnsi" w:eastAsia="Times New Roman" w:hAnsiTheme="minorHAnsi" w:cstheme="minorHAnsi"/>
          <w:bCs/>
          <w:sz w:val="24"/>
          <w:szCs w:val="24"/>
        </w:rPr>
        <w:t>.</w:t>
      </w:r>
    </w:p>
    <w:p w14:paraId="252EE1F3" w14:textId="77777777" w:rsidR="00992876" w:rsidRDefault="00992876" w:rsidP="000B2BFF">
      <w:pPr>
        <w:spacing w:after="0"/>
        <w:ind w:left="708"/>
        <w:jc w:val="both"/>
        <w:rPr>
          <w:rFonts w:asciiTheme="minorHAnsi" w:hAnsiTheme="minorHAnsi" w:cstheme="minorHAnsi"/>
          <w:sz w:val="24"/>
          <w:szCs w:val="24"/>
        </w:rPr>
      </w:pPr>
      <w:r>
        <w:rPr>
          <w:rFonts w:asciiTheme="minorHAnsi" w:hAnsiTheme="minorHAnsi" w:cstheme="minorHAnsi"/>
          <w:sz w:val="24"/>
          <w:szCs w:val="24"/>
        </w:rPr>
        <w:t>Aporte Préstamo BID:</w:t>
      </w:r>
      <w:r w:rsidR="00C522B8">
        <w:rPr>
          <w:rFonts w:asciiTheme="minorHAnsi" w:hAnsiTheme="minorHAnsi" w:cstheme="minorHAnsi"/>
          <w:sz w:val="24"/>
          <w:szCs w:val="24"/>
        </w:rPr>
        <w:tab/>
      </w:r>
      <w:r w:rsidR="00BB1A22">
        <w:rPr>
          <w:rFonts w:asciiTheme="minorHAnsi" w:hAnsiTheme="minorHAnsi" w:cstheme="minorHAnsi"/>
          <w:sz w:val="24"/>
          <w:szCs w:val="24"/>
        </w:rPr>
        <w:tab/>
      </w:r>
      <w:r>
        <w:rPr>
          <w:rFonts w:asciiTheme="minorHAnsi" w:hAnsiTheme="minorHAnsi" w:cstheme="minorHAnsi"/>
          <w:sz w:val="24"/>
          <w:szCs w:val="24"/>
        </w:rPr>
        <w:t xml:space="preserve">USD </w:t>
      </w:r>
      <w:r w:rsidR="00E85017">
        <w:rPr>
          <w:rFonts w:asciiTheme="minorHAnsi" w:hAnsiTheme="minorHAnsi" w:cstheme="minorHAnsi"/>
          <w:sz w:val="24"/>
          <w:szCs w:val="24"/>
        </w:rPr>
        <w:t>20</w:t>
      </w:r>
      <w:r>
        <w:rPr>
          <w:rFonts w:asciiTheme="minorHAnsi" w:hAnsiTheme="minorHAnsi" w:cstheme="minorHAnsi"/>
          <w:sz w:val="24"/>
          <w:szCs w:val="24"/>
        </w:rPr>
        <w:t>.000.000</w:t>
      </w:r>
    </w:p>
    <w:p w14:paraId="129EF535" w14:textId="77777777" w:rsidR="00992876" w:rsidRDefault="00992876" w:rsidP="000B2BFF">
      <w:pPr>
        <w:spacing w:after="0"/>
        <w:ind w:left="708"/>
        <w:jc w:val="both"/>
        <w:rPr>
          <w:sz w:val="24"/>
          <w:szCs w:val="24"/>
        </w:rPr>
      </w:pPr>
      <w:r w:rsidRPr="00BB1A22">
        <w:rPr>
          <w:sz w:val="24"/>
          <w:szCs w:val="24"/>
        </w:rPr>
        <w:t>Aporte local:</w:t>
      </w:r>
      <w:r w:rsidR="00E85017">
        <w:rPr>
          <w:sz w:val="24"/>
          <w:szCs w:val="24"/>
        </w:rPr>
        <w:t xml:space="preserve">            </w:t>
      </w:r>
      <w:r w:rsidR="00C522B8">
        <w:rPr>
          <w:sz w:val="24"/>
          <w:szCs w:val="24"/>
        </w:rPr>
        <w:tab/>
      </w:r>
      <w:r w:rsidR="00C522B8">
        <w:rPr>
          <w:sz w:val="24"/>
          <w:szCs w:val="24"/>
        </w:rPr>
        <w:tab/>
      </w:r>
      <w:r w:rsidR="00BB1A22" w:rsidRPr="00BB1A22">
        <w:rPr>
          <w:sz w:val="24"/>
          <w:szCs w:val="24"/>
        </w:rPr>
        <w:t xml:space="preserve">USD   </w:t>
      </w:r>
      <w:r w:rsidR="00E85017">
        <w:rPr>
          <w:sz w:val="24"/>
          <w:szCs w:val="24"/>
        </w:rPr>
        <w:t>1</w:t>
      </w:r>
      <w:r w:rsidR="00BB1A22" w:rsidRPr="00BB1A22">
        <w:rPr>
          <w:sz w:val="24"/>
          <w:szCs w:val="24"/>
        </w:rPr>
        <w:t>.</w:t>
      </w:r>
      <w:r w:rsidR="00E85017">
        <w:rPr>
          <w:sz w:val="24"/>
          <w:szCs w:val="24"/>
        </w:rPr>
        <w:t>000</w:t>
      </w:r>
      <w:r w:rsidR="00BB1A22" w:rsidRPr="00BB1A22">
        <w:rPr>
          <w:sz w:val="24"/>
          <w:szCs w:val="24"/>
        </w:rPr>
        <w:t xml:space="preserve">.000 </w:t>
      </w:r>
    </w:p>
    <w:p w14:paraId="7731A221" w14:textId="77777777" w:rsidR="00BB1A22" w:rsidRPr="00BB1A22" w:rsidRDefault="00BB1A22" w:rsidP="000B2BFF">
      <w:pPr>
        <w:spacing w:after="0"/>
        <w:ind w:left="708"/>
        <w:jc w:val="both"/>
        <w:rPr>
          <w:sz w:val="24"/>
          <w:szCs w:val="24"/>
        </w:rPr>
      </w:pPr>
      <w:r>
        <w:rPr>
          <w:sz w:val="24"/>
          <w:szCs w:val="24"/>
        </w:rPr>
        <w:t>Total:</w:t>
      </w:r>
      <w:r>
        <w:rPr>
          <w:sz w:val="24"/>
          <w:szCs w:val="24"/>
        </w:rPr>
        <w:tab/>
      </w:r>
      <w:r>
        <w:rPr>
          <w:sz w:val="24"/>
          <w:szCs w:val="24"/>
        </w:rPr>
        <w:tab/>
      </w:r>
      <w:r>
        <w:rPr>
          <w:sz w:val="24"/>
          <w:szCs w:val="24"/>
        </w:rPr>
        <w:tab/>
        <w:t xml:space="preserve"> </w:t>
      </w:r>
      <w:r w:rsidR="00C522B8">
        <w:rPr>
          <w:sz w:val="24"/>
          <w:szCs w:val="24"/>
        </w:rPr>
        <w:tab/>
      </w:r>
      <w:r>
        <w:rPr>
          <w:sz w:val="24"/>
          <w:szCs w:val="24"/>
        </w:rPr>
        <w:t xml:space="preserve">USD </w:t>
      </w:r>
      <w:r w:rsidR="00E85017">
        <w:rPr>
          <w:sz w:val="24"/>
          <w:szCs w:val="24"/>
        </w:rPr>
        <w:t>21</w:t>
      </w:r>
      <w:r>
        <w:rPr>
          <w:sz w:val="24"/>
          <w:szCs w:val="24"/>
        </w:rPr>
        <w:t>.</w:t>
      </w:r>
      <w:r w:rsidR="00E85017">
        <w:rPr>
          <w:sz w:val="24"/>
          <w:szCs w:val="24"/>
        </w:rPr>
        <w:t>000</w:t>
      </w:r>
      <w:r>
        <w:rPr>
          <w:sz w:val="24"/>
          <w:szCs w:val="24"/>
        </w:rPr>
        <w:t>.000</w:t>
      </w:r>
    </w:p>
    <w:p w14:paraId="4625CED0" w14:textId="77777777" w:rsidR="00911C48" w:rsidRPr="005350A7" w:rsidRDefault="00911C48" w:rsidP="00E8744D">
      <w:pPr>
        <w:pStyle w:val="Heading2"/>
        <w:numPr>
          <w:ilvl w:val="1"/>
          <w:numId w:val="5"/>
        </w:numPr>
        <w:spacing w:after="240" w:line="240" w:lineRule="auto"/>
        <w:jc w:val="both"/>
        <w:rPr>
          <w:rFonts w:asciiTheme="minorHAnsi" w:hAnsiTheme="minorHAnsi" w:cstheme="minorHAnsi"/>
          <w:b w:val="0"/>
          <w:color w:val="000000" w:themeColor="text1"/>
          <w:sz w:val="24"/>
          <w:szCs w:val="24"/>
        </w:rPr>
      </w:pPr>
      <w:bookmarkStart w:id="24" w:name="_Toc324196862"/>
      <w:r w:rsidRPr="005350A7">
        <w:rPr>
          <w:rFonts w:asciiTheme="minorHAnsi" w:hAnsiTheme="minorHAnsi" w:cstheme="minorHAnsi"/>
          <w:color w:val="auto"/>
          <w:sz w:val="24"/>
          <w:szCs w:val="24"/>
        </w:rPr>
        <w:t>Finalidad del Reglamento</w:t>
      </w:r>
      <w:r w:rsidR="006F7CFD" w:rsidRPr="005350A7">
        <w:rPr>
          <w:rFonts w:asciiTheme="minorHAnsi" w:hAnsiTheme="minorHAnsi" w:cstheme="minorHAnsi"/>
          <w:color w:val="auto"/>
          <w:sz w:val="24"/>
          <w:szCs w:val="24"/>
        </w:rPr>
        <w:t xml:space="preserve"> Operativo del Programa (ROP)</w:t>
      </w:r>
      <w:r w:rsidR="00BB1A22" w:rsidRPr="005350A7">
        <w:rPr>
          <w:rFonts w:asciiTheme="minorHAnsi" w:hAnsiTheme="minorHAnsi" w:cstheme="minorHAnsi"/>
          <w:b w:val="0"/>
          <w:color w:val="auto"/>
          <w:sz w:val="24"/>
          <w:szCs w:val="24"/>
        </w:rPr>
        <w:t xml:space="preserve">. </w:t>
      </w:r>
      <w:r w:rsidR="005350A7" w:rsidRPr="005350A7">
        <w:rPr>
          <w:rFonts w:asciiTheme="minorHAnsi" w:hAnsiTheme="minorHAnsi" w:cstheme="minorHAnsi"/>
          <w:b w:val="0"/>
          <w:color w:val="auto"/>
          <w:sz w:val="24"/>
          <w:szCs w:val="24"/>
        </w:rPr>
        <w:t>El objetivo del ROP es brindar el marco de referencia para la ejecución del Programa dentro del Contrato de Préstamo suscrito entre la República de Argentina y el BID. Bajo las orientaciones y normas que contiene el ROP se ejecutarán los componentes, se registrarán las operaciones financieras, se llevarán a cabo los procesos de adquisiciones, se controlará el uso adecuado de los recursos, se realizará el monitoreo de indicadores de cumplimiento de Programa, y se reportará sobre los avances del mismo</w:t>
      </w:r>
      <w:r w:rsidR="00BB1A22" w:rsidRPr="005350A7">
        <w:rPr>
          <w:rFonts w:asciiTheme="minorHAnsi" w:hAnsiTheme="minorHAnsi" w:cstheme="minorHAnsi"/>
          <w:b w:val="0"/>
          <w:color w:val="000000" w:themeColor="text1"/>
          <w:sz w:val="24"/>
          <w:szCs w:val="24"/>
        </w:rPr>
        <w:t>.</w:t>
      </w:r>
      <w:bookmarkEnd w:id="24"/>
    </w:p>
    <w:p w14:paraId="337BE119" w14:textId="77777777" w:rsidR="00911C48" w:rsidRPr="0069659B" w:rsidRDefault="00911C48" w:rsidP="00E8744D">
      <w:pPr>
        <w:pStyle w:val="Heading2"/>
        <w:numPr>
          <w:ilvl w:val="1"/>
          <w:numId w:val="5"/>
        </w:numPr>
        <w:spacing w:before="0" w:line="240" w:lineRule="auto"/>
        <w:jc w:val="both"/>
        <w:rPr>
          <w:rFonts w:asciiTheme="minorHAnsi" w:hAnsiTheme="minorHAnsi" w:cstheme="minorHAnsi"/>
          <w:b w:val="0"/>
          <w:color w:val="000000" w:themeColor="text1"/>
          <w:sz w:val="24"/>
          <w:szCs w:val="24"/>
        </w:rPr>
      </w:pPr>
      <w:bookmarkStart w:id="25" w:name="_Toc324196863"/>
      <w:r w:rsidRPr="00BB1A22">
        <w:rPr>
          <w:rFonts w:asciiTheme="minorHAnsi" w:hAnsiTheme="minorHAnsi" w:cstheme="minorHAnsi"/>
          <w:color w:val="auto"/>
          <w:sz w:val="24"/>
          <w:szCs w:val="24"/>
        </w:rPr>
        <w:t>Aprobación</w:t>
      </w:r>
      <w:r w:rsidR="006F7CFD" w:rsidRPr="00BB1A22">
        <w:rPr>
          <w:rFonts w:asciiTheme="minorHAnsi" w:hAnsiTheme="minorHAnsi" w:cstheme="minorHAnsi"/>
          <w:color w:val="auto"/>
          <w:sz w:val="24"/>
          <w:szCs w:val="24"/>
        </w:rPr>
        <w:t xml:space="preserve"> del ROP</w:t>
      </w:r>
      <w:r w:rsidR="00BB1A22" w:rsidRPr="00C522B8">
        <w:rPr>
          <w:rFonts w:asciiTheme="minorHAnsi" w:hAnsiTheme="minorHAnsi" w:cstheme="minorHAnsi"/>
          <w:color w:val="auto"/>
          <w:sz w:val="24"/>
          <w:szCs w:val="24"/>
        </w:rPr>
        <w:t xml:space="preserve">. </w:t>
      </w:r>
      <w:bookmarkEnd w:id="25"/>
      <w:r w:rsidR="00DE29A9" w:rsidRPr="00DE29A9">
        <w:rPr>
          <w:rFonts w:asciiTheme="minorHAnsi" w:hAnsiTheme="minorHAnsi" w:cstheme="minorHAnsi"/>
          <w:b w:val="0"/>
          <w:color w:val="auto"/>
          <w:sz w:val="24"/>
          <w:szCs w:val="24"/>
        </w:rPr>
        <w:t>Deberá ser aprobado p</w:t>
      </w:r>
      <w:r w:rsidR="00DE29A9" w:rsidRPr="00DE29A9">
        <w:rPr>
          <w:rFonts w:asciiTheme="minorHAnsi" w:hAnsiTheme="minorHAnsi" w:cstheme="minorHAnsi"/>
          <w:b w:val="0"/>
          <w:color w:val="000000" w:themeColor="text1"/>
          <w:sz w:val="24"/>
          <w:szCs w:val="24"/>
          <w:lang w:val="es-MX"/>
        </w:rPr>
        <w:t>or el Ministerio de Finanzas</w:t>
      </w:r>
      <w:r w:rsidR="00CA0159">
        <w:rPr>
          <w:rFonts w:asciiTheme="minorHAnsi" w:hAnsiTheme="minorHAnsi" w:cstheme="minorHAnsi"/>
          <w:b w:val="0"/>
          <w:color w:val="000000" w:themeColor="text1"/>
          <w:sz w:val="24"/>
          <w:szCs w:val="24"/>
          <w:lang w:val="es-MX"/>
        </w:rPr>
        <w:t xml:space="preserve"> (MF)</w:t>
      </w:r>
      <w:r w:rsidR="00DE29A9" w:rsidRPr="00DE29A9">
        <w:rPr>
          <w:rFonts w:asciiTheme="minorHAnsi" w:hAnsiTheme="minorHAnsi" w:cstheme="minorHAnsi"/>
          <w:b w:val="0"/>
          <w:color w:val="000000" w:themeColor="text1"/>
          <w:sz w:val="24"/>
          <w:szCs w:val="24"/>
          <w:lang w:val="es-MX"/>
        </w:rPr>
        <w:t>, con la previa no objeción del Banco</w:t>
      </w:r>
      <w:r w:rsidR="007454A2">
        <w:rPr>
          <w:rFonts w:asciiTheme="minorHAnsi" w:hAnsiTheme="minorHAnsi" w:cstheme="minorHAnsi"/>
          <w:b w:val="0"/>
          <w:color w:val="000000" w:themeColor="text1"/>
          <w:sz w:val="24"/>
          <w:szCs w:val="24"/>
        </w:rPr>
        <w:t>.</w:t>
      </w:r>
    </w:p>
    <w:p w14:paraId="32774643" w14:textId="77777777" w:rsidR="00911C48" w:rsidRPr="00BB1A22" w:rsidRDefault="00911C48" w:rsidP="0046130C">
      <w:pPr>
        <w:pStyle w:val="CommentText"/>
        <w:spacing w:after="0"/>
        <w:jc w:val="both"/>
        <w:rPr>
          <w:color w:val="000000" w:themeColor="text1"/>
          <w:sz w:val="24"/>
          <w:szCs w:val="24"/>
        </w:rPr>
      </w:pPr>
    </w:p>
    <w:p w14:paraId="24CF4B70" w14:textId="77777777" w:rsidR="00E05A82" w:rsidRDefault="00911C48" w:rsidP="00E8744D">
      <w:pPr>
        <w:pStyle w:val="CommentText"/>
        <w:numPr>
          <w:ilvl w:val="1"/>
          <w:numId w:val="5"/>
        </w:numPr>
        <w:jc w:val="both"/>
        <w:outlineLvl w:val="1"/>
        <w:rPr>
          <w:sz w:val="24"/>
          <w:szCs w:val="24"/>
        </w:rPr>
      </w:pPr>
      <w:bookmarkStart w:id="26" w:name="_Toc324196864"/>
      <w:r w:rsidRPr="000B2BFF">
        <w:rPr>
          <w:b/>
          <w:sz w:val="24"/>
          <w:szCs w:val="24"/>
        </w:rPr>
        <w:t xml:space="preserve">Responsabilidad de la ejecución </w:t>
      </w:r>
      <w:r w:rsidR="00BB1A22" w:rsidRPr="000B2BFF">
        <w:rPr>
          <w:b/>
          <w:sz w:val="24"/>
          <w:szCs w:val="24"/>
        </w:rPr>
        <w:t>del Programa</w:t>
      </w:r>
      <w:r w:rsidR="00BB1A22" w:rsidRPr="000B2BFF">
        <w:rPr>
          <w:sz w:val="24"/>
          <w:szCs w:val="24"/>
        </w:rPr>
        <w:t xml:space="preserve">. </w:t>
      </w:r>
      <w:r w:rsidR="00CA0159" w:rsidRPr="00CA0159">
        <w:rPr>
          <w:sz w:val="24"/>
          <w:szCs w:val="24"/>
          <w:lang w:val="es-ES"/>
        </w:rPr>
        <w:t xml:space="preserve">La ejecución y administración del programa estará a cargo del </w:t>
      </w:r>
      <w:r w:rsidR="00CA0159">
        <w:rPr>
          <w:sz w:val="24"/>
          <w:szCs w:val="24"/>
          <w:lang w:val="es-ES"/>
        </w:rPr>
        <w:t>MF</w:t>
      </w:r>
      <w:r w:rsidR="00CA0159" w:rsidRPr="00CA0159">
        <w:rPr>
          <w:sz w:val="24"/>
          <w:szCs w:val="24"/>
          <w:lang w:val="es-ES"/>
        </w:rPr>
        <w:t>, a través de la Unidad de Coordinación de Programas y Proyectos con Enfoque Sectorial Amplio</w:t>
      </w:r>
      <w:r w:rsidR="00CA0159">
        <w:rPr>
          <w:sz w:val="24"/>
          <w:szCs w:val="24"/>
          <w:lang w:val="es-ES"/>
        </w:rPr>
        <w:t xml:space="preserve"> (UCP)</w:t>
      </w:r>
      <w:r w:rsidR="00CA0159" w:rsidRPr="00CA0159">
        <w:rPr>
          <w:sz w:val="24"/>
          <w:szCs w:val="24"/>
          <w:lang w:val="es-ES"/>
        </w:rPr>
        <w:t xml:space="preserve">. La UCP </w:t>
      </w:r>
      <w:r w:rsidR="00CA0159" w:rsidRPr="00CA0159">
        <w:rPr>
          <w:sz w:val="24"/>
          <w:szCs w:val="24"/>
          <w:lang w:val="es-ES_tradnl"/>
        </w:rPr>
        <w:t>se encargará de coordinar las acciones de las entidades públicas y privadas involucradas en implementar la ENIF, proveer a las demás instancias elementos necesarios para la toma de decisiones y asegurar la participación del sistema financiero y de las entidades participantes</w:t>
      </w:r>
      <w:r w:rsidR="00977FFD" w:rsidRPr="000B2BFF">
        <w:rPr>
          <w:rFonts w:asciiTheme="minorHAnsi" w:hAnsiTheme="minorHAnsi" w:cstheme="minorHAnsi"/>
          <w:color w:val="000000"/>
          <w:sz w:val="24"/>
          <w:szCs w:val="24"/>
        </w:rPr>
        <w:t>.</w:t>
      </w:r>
      <w:bookmarkEnd w:id="26"/>
      <w:r w:rsidR="00007AD4">
        <w:rPr>
          <w:sz w:val="24"/>
          <w:szCs w:val="24"/>
        </w:rPr>
        <w:t xml:space="preserve"> </w:t>
      </w:r>
    </w:p>
    <w:p w14:paraId="3F8DCC06" w14:textId="77777777" w:rsidR="00846403" w:rsidRPr="000B2BFF" w:rsidRDefault="00846403" w:rsidP="00E8744D">
      <w:pPr>
        <w:pStyle w:val="CommentText"/>
        <w:numPr>
          <w:ilvl w:val="1"/>
          <w:numId w:val="5"/>
        </w:numPr>
        <w:jc w:val="both"/>
        <w:outlineLvl w:val="1"/>
        <w:rPr>
          <w:sz w:val="24"/>
          <w:szCs w:val="24"/>
        </w:rPr>
      </w:pPr>
      <w:r>
        <w:rPr>
          <w:sz w:val="24"/>
          <w:szCs w:val="24"/>
          <w:lang w:val="es-ES"/>
        </w:rPr>
        <w:t>P</w:t>
      </w:r>
      <w:r w:rsidRPr="00846403">
        <w:rPr>
          <w:sz w:val="24"/>
          <w:szCs w:val="24"/>
          <w:lang w:val="es-ES"/>
        </w:rPr>
        <w:t xml:space="preserve">ara el Componente 2, el Ministerio establecerá un convenio con FONCAP que delinee el traspaso de ejecución de recursos y la rendición de cuentas al OE </w:t>
      </w:r>
      <w:r w:rsidRPr="00846403">
        <w:rPr>
          <w:bCs/>
          <w:sz w:val="24"/>
          <w:szCs w:val="24"/>
          <w:lang w:val="es-ES"/>
        </w:rPr>
        <w:t>para fines de lograr los resultados del programa</w:t>
      </w:r>
      <w:r w:rsidRPr="00846403">
        <w:rPr>
          <w:bCs/>
          <w:sz w:val="24"/>
          <w:szCs w:val="24"/>
          <w:vertAlign w:val="superscript"/>
          <w:lang w:val="es-ES"/>
        </w:rPr>
        <w:footnoteReference w:id="1"/>
      </w:r>
      <w:r w:rsidRPr="00846403">
        <w:rPr>
          <w:sz w:val="24"/>
          <w:szCs w:val="24"/>
          <w:lang w:val="es-ES"/>
        </w:rPr>
        <w:t xml:space="preserve">. Bajo este mecanismo, FONCAP realizará préstamos a las entidades financieras elegibles, para que a su vez éstas puedan hacer llegar los recursos a los beneficiarios finales. Los recursos se </w:t>
      </w:r>
      <w:r w:rsidRPr="00846403">
        <w:rPr>
          <w:sz w:val="24"/>
          <w:szCs w:val="24"/>
          <w:lang w:val="es-ES"/>
        </w:rPr>
        <w:lastRenderedPageBreak/>
        <w:t>trasladarán sin requerir su reembolso al ministerio de Finanzas, con la finalidad de capitalizar a FON</w:t>
      </w:r>
      <w:r w:rsidRPr="00846403">
        <w:rPr>
          <w:bCs/>
          <w:sz w:val="24"/>
          <w:szCs w:val="24"/>
          <w:lang w:val="es-ES"/>
        </w:rPr>
        <w:t>CAP. Es condición</w:t>
      </w:r>
      <w:r w:rsidRPr="00846403">
        <w:rPr>
          <w:sz w:val="24"/>
          <w:szCs w:val="24"/>
          <w:lang w:val="es-ES"/>
        </w:rPr>
        <w:t xml:space="preserve"> especial de ejecución del Componente 2 la subscripción del convenio subsidiario entre el Ministerio de Finanzas y FONCAP</w:t>
      </w:r>
      <w:r>
        <w:rPr>
          <w:sz w:val="24"/>
          <w:szCs w:val="24"/>
          <w:lang w:val="es-ES"/>
        </w:rPr>
        <w:t>.</w:t>
      </w:r>
    </w:p>
    <w:p w14:paraId="3DD8CED5" w14:textId="77777777" w:rsidR="006F7CFD" w:rsidRPr="00BB1A22" w:rsidRDefault="00FA138B" w:rsidP="00E8744D">
      <w:pPr>
        <w:pStyle w:val="CommentText"/>
        <w:numPr>
          <w:ilvl w:val="1"/>
          <w:numId w:val="5"/>
        </w:numPr>
        <w:spacing w:after="0"/>
        <w:jc w:val="both"/>
        <w:outlineLvl w:val="1"/>
        <w:rPr>
          <w:rFonts w:asciiTheme="minorHAnsi" w:hAnsiTheme="minorHAnsi" w:cstheme="minorHAnsi"/>
          <w:sz w:val="24"/>
          <w:szCs w:val="24"/>
        </w:rPr>
      </w:pPr>
      <w:bookmarkStart w:id="27" w:name="_Toc324196865"/>
      <w:r w:rsidRPr="00BB1A22">
        <w:rPr>
          <w:b/>
          <w:sz w:val="24"/>
          <w:szCs w:val="24"/>
        </w:rPr>
        <w:t>R</w:t>
      </w:r>
      <w:r w:rsidR="00911C48" w:rsidRPr="00BB1A22">
        <w:rPr>
          <w:b/>
          <w:sz w:val="24"/>
          <w:szCs w:val="24"/>
        </w:rPr>
        <w:t>evisión y actualización</w:t>
      </w:r>
      <w:r w:rsidRPr="00BB1A22">
        <w:rPr>
          <w:b/>
          <w:sz w:val="24"/>
          <w:szCs w:val="24"/>
        </w:rPr>
        <w:t xml:space="preserve"> del ROP</w:t>
      </w:r>
      <w:r w:rsidR="00BB1A22" w:rsidRPr="00BB1A22">
        <w:rPr>
          <w:sz w:val="24"/>
          <w:szCs w:val="24"/>
        </w:rPr>
        <w:t xml:space="preserve">.- </w:t>
      </w:r>
      <w:bookmarkStart w:id="28" w:name="_Toc323123974"/>
      <w:bookmarkStart w:id="29" w:name="_Toc323126204"/>
      <w:bookmarkStart w:id="30" w:name="_Toc323127427"/>
      <w:bookmarkStart w:id="31" w:name="_Toc323127575"/>
      <w:bookmarkStart w:id="32" w:name="_Toc323217687"/>
      <w:bookmarkStart w:id="33" w:name="_Toc323634937"/>
      <w:bookmarkStart w:id="34" w:name="_Toc323635505"/>
      <w:bookmarkStart w:id="35" w:name="_Toc323636011"/>
      <w:bookmarkStart w:id="36" w:name="_Toc323661645"/>
      <w:bookmarkStart w:id="37" w:name="_Toc323662093"/>
      <w:bookmarkStart w:id="38" w:name="_Toc323662293"/>
      <w:bookmarkStart w:id="39" w:name="_Toc323723157"/>
      <w:bookmarkStart w:id="40" w:name="_Toc324021201"/>
      <w:bookmarkStart w:id="41" w:name="_Toc324021491"/>
      <w:bookmarkStart w:id="42" w:name="_Toc324021662"/>
      <w:r w:rsidR="006F7CFD" w:rsidRPr="00BB1A22">
        <w:rPr>
          <w:rFonts w:asciiTheme="minorHAnsi" w:hAnsiTheme="minorHAnsi" w:cstheme="minorHAnsi"/>
          <w:sz w:val="24"/>
          <w:szCs w:val="24"/>
        </w:rPr>
        <w:t xml:space="preserve">El Organismo Ejecutor, previa la no-objeción del BID, podrá modificar el </w:t>
      </w:r>
      <w:r w:rsidR="00007AD4">
        <w:rPr>
          <w:rFonts w:asciiTheme="minorHAnsi" w:hAnsiTheme="minorHAnsi" w:cstheme="minorHAnsi"/>
          <w:sz w:val="24"/>
          <w:szCs w:val="24"/>
        </w:rPr>
        <w:t>ROP</w:t>
      </w:r>
      <w:r w:rsidR="006F7CFD" w:rsidRPr="00BB1A22">
        <w:rPr>
          <w:rFonts w:asciiTheme="minorHAnsi" w:hAnsiTheme="minorHAnsi" w:cstheme="minorHAnsi"/>
          <w:sz w:val="24"/>
          <w:szCs w:val="24"/>
        </w:rPr>
        <w:t>.</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006F7CFD" w:rsidRPr="00BB1A22">
        <w:rPr>
          <w:rFonts w:asciiTheme="minorHAnsi" w:hAnsiTheme="minorHAnsi" w:cstheme="minorHAnsi"/>
          <w:sz w:val="24"/>
          <w:szCs w:val="24"/>
        </w:rPr>
        <w:t xml:space="preserve"> </w:t>
      </w:r>
    </w:p>
    <w:p w14:paraId="41839440" w14:textId="77777777" w:rsidR="00911C48" w:rsidRPr="00BB1A22" w:rsidRDefault="00911C48" w:rsidP="00E8744D">
      <w:pPr>
        <w:pStyle w:val="CommentText"/>
        <w:numPr>
          <w:ilvl w:val="1"/>
          <w:numId w:val="5"/>
        </w:numPr>
        <w:tabs>
          <w:tab w:val="left" w:pos="709"/>
        </w:tabs>
        <w:spacing w:before="240"/>
        <w:jc w:val="both"/>
        <w:outlineLvl w:val="1"/>
        <w:rPr>
          <w:rFonts w:asciiTheme="minorHAnsi" w:hAnsiTheme="minorHAnsi" w:cstheme="minorHAnsi"/>
          <w:sz w:val="24"/>
          <w:szCs w:val="24"/>
        </w:rPr>
      </w:pPr>
      <w:bookmarkStart w:id="43" w:name="_Toc324196866"/>
      <w:r w:rsidRPr="00BB1A22">
        <w:rPr>
          <w:b/>
          <w:sz w:val="24"/>
          <w:szCs w:val="24"/>
        </w:rPr>
        <w:t>Base legal</w:t>
      </w:r>
      <w:r w:rsidR="00846403">
        <w:rPr>
          <w:b/>
          <w:sz w:val="24"/>
          <w:szCs w:val="24"/>
        </w:rPr>
        <w:t>.</w:t>
      </w:r>
      <w:r w:rsidR="00BB1A22">
        <w:rPr>
          <w:b/>
          <w:sz w:val="24"/>
          <w:szCs w:val="24"/>
        </w:rPr>
        <w:t>-</w:t>
      </w:r>
      <w:r w:rsidR="00BB1A22" w:rsidRPr="00BB1A22">
        <w:rPr>
          <w:sz w:val="24"/>
          <w:szCs w:val="24"/>
        </w:rPr>
        <w:t xml:space="preserve"> </w:t>
      </w:r>
      <w:r w:rsidR="00846403">
        <w:rPr>
          <w:sz w:val="24"/>
          <w:szCs w:val="24"/>
        </w:rPr>
        <w:t>El C</w:t>
      </w:r>
      <w:r w:rsidR="001D4CAD" w:rsidRPr="00BB1A22">
        <w:rPr>
          <w:rFonts w:asciiTheme="minorHAnsi" w:hAnsiTheme="minorHAnsi" w:cstheme="minorHAnsi"/>
          <w:sz w:val="24"/>
          <w:szCs w:val="24"/>
        </w:rPr>
        <w:t>on</w:t>
      </w:r>
      <w:r w:rsidR="001D4CAD">
        <w:rPr>
          <w:rFonts w:asciiTheme="minorHAnsi" w:hAnsiTheme="minorHAnsi" w:cstheme="minorHAnsi"/>
          <w:sz w:val="24"/>
          <w:szCs w:val="24"/>
        </w:rPr>
        <w:t>trato</w:t>
      </w:r>
      <w:r w:rsidR="001D4CAD" w:rsidRPr="00BB1A22">
        <w:rPr>
          <w:rFonts w:asciiTheme="minorHAnsi" w:hAnsiTheme="minorHAnsi" w:cstheme="minorHAnsi"/>
          <w:sz w:val="24"/>
          <w:szCs w:val="24"/>
        </w:rPr>
        <w:t xml:space="preserve"> </w:t>
      </w:r>
      <w:r w:rsidRPr="00BB1A22">
        <w:rPr>
          <w:rFonts w:asciiTheme="minorHAnsi" w:hAnsiTheme="minorHAnsi" w:cstheme="minorHAnsi"/>
          <w:sz w:val="24"/>
          <w:szCs w:val="24"/>
        </w:rPr>
        <w:t xml:space="preserve">de Préstamo suscrito entre </w:t>
      </w:r>
      <w:r w:rsidR="00846403">
        <w:rPr>
          <w:rFonts w:asciiTheme="minorHAnsi" w:hAnsiTheme="minorHAnsi" w:cstheme="minorHAnsi"/>
          <w:sz w:val="24"/>
          <w:szCs w:val="24"/>
        </w:rPr>
        <w:t xml:space="preserve">la República de Argentina </w:t>
      </w:r>
      <w:r w:rsidR="0046130C" w:rsidRPr="00BB1A22">
        <w:rPr>
          <w:rFonts w:asciiTheme="minorHAnsi" w:hAnsiTheme="minorHAnsi" w:cstheme="minorHAnsi"/>
          <w:sz w:val="24"/>
          <w:szCs w:val="24"/>
        </w:rPr>
        <w:t xml:space="preserve">a través del Ministerio de Finanzas y </w:t>
      </w:r>
      <w:r w:rsidRPr="00BB1A22">
        <w:rPr>
          <w:rFonts w:asciiTheme="minorHAnsi" w:hAnsiTheme="minorHAnsi" w:cstheme="minorHAnsi"/>
          <w:sz w:val="24"/>
          <w:szCs w:val="24"/>
        </w:rPr>
        <w:t>el BID</w:t>
      </w:r>
      <w:r w:rsidR="00007AD4">
        <w:rPr>
          <w:rFonts w:asciiTheme="minorHAnsi" w:hAnsiTheme="minorHAnsi" w:cstheme="minorHAnsi"/>
          <w:sz w:val="24"/>
          <w:szCs w:val="24"/>
        </w:rPr>
        <w:t>,</w:t>
      </w:r>
      <w:r w:rsidR="0046130C" w:rsidRPr="00BB1A22">
        <w:rPr>
          <w:rFonts w:asciiTheme="minorHAnsi" w:hAnsiTheme="minorHAnsi" w:cstheme="minorHAnsi"/>
          <w:sz w:val="24"/>
          <w:szCs w:val="24"/>
        </w:rPr>
        <w:t xml:space="preserve"> Operación No. </w:t>
      </w:r>
      <w:r w:rsidR="00846403">
        <w:rPr>
          <w:rFonts w:asciiTheme="minorHAnsi" w:hAnsiTheme="minorHAnsi" w:cstheme="minorHAnsi"/>
          <w:sz w:val="24"/>
          <w:szCs w:val="24"/>
        </w:rPr>
        <w:t>XXXX</w:t>
      </w:r>
      <w:r w:rsidR="0046130C" w:rsidRPr="00BB1A22">
        <w:rPr>
          <w:rFonts w:asciiTheme="minorHAnsi" w:hAnsiTheme="minorHAnsi" w:cstheme="minorHAnsi"/>
          <w:sz w:val="24"/>
          <w:szCs w:val="24"/>
        </w:rPr>
        <w:t>.</w:t>
      </w:r>
      <w:bookmarkEnd w:id="43"/>
    </w:p>
    <w:p w14:paraId="6FDB310A" w14:textId="77777777" w:rsidR="00911C48" w:rsidRPr="00BB1A22" w:rsidRDefault="00911C48" w:rsidP="00E8744D">
      <w:pPr>
        <w:pStyle w:val="CommentText"/>
        <w:numPr>
          <w:ilvl w:val="1"/>
          <w:numId w:val="5"/>
        </w:numPr>
        <w:spacing w:before="240" w:after="0"/>
        <w:jc w:val="both"/>
        <w:outlineLvl w:val="1"/>
        <w:rPr>
          <w:sz w:val="24"/>
          <w:szCs w:val="24"/>
        </w:rPr>
      </w:pPr>
      <w:bookmarkStart w:id="44" w:name="_Toc324196867"/>
      <w:r w:rsidRPr="00BB1A22">
        <w:rPr>
          <w:b/>
          <w:sz w:val="24"/>
          <w:szCs w:val="24"/>
        </w:rPr>
        <w:t>Vigencia</w:t>
      </w:r>
      <w:r w:rsidR="00BB1A22" w:rsidRPr="00BB1A22">
        <w:rPr>
          <w:b/>
          <w:sz w:val="24"/>
          <w:szCs w:val="24"/>
        </w:rPr>
        <w:t>.</w:t>
      </w:r>
      <w:r w:rsidR="00BB1A22">
        <w:rPr>
          <w:b/>
          <w:sz w:val="24"/>
          <w:szCs w:val="24"/>
        </w:rPr>
        <w:t>-</w:t>
      </w:r>
      <w:r w:rsidR="00BB1A22" w:rsidRPr="00BB1A22">
        <w:rPr>
          <w:b/>
          <w:sz w:val="24"/>
          <w:szCs w:val="24"/>
        </w:rPr>
        <w:t xml:space="preserve">  </w:t>
      </w:r>
      <w:r w:rsidR="00E05A82" w:rsidRPr="00BB1A22">
        <w:rPr>
          <w:rFonts w:asciiTheme="minorHAnsi" w:hAnsiTheme="minorHAnsi" w:cstheme="minorHAnsi"/>
          <w:sz w:val="24"/>
          <w:szCs w:val="24"/>
        </w:rPr>
        <w:t xml:space="preserve">La duración del Programa estará definida en el </w:t>
      </w:r>
      <w:r w:rsidR="001D4CAD" w:rsidRPr="00BB1A22">
        <w:rPr>
          <w:rFonts w:asciiTheme="minorHAnsi" w:hAnsiTheme="minorHAnsi" w:cstheme="minorHAnsi"/>
          <w:sz w:val="24"/>
          <w:szCs w:val="24"/>
        </w:rPr>
        <w:t>Con</w:t>
      </w:r>
      <w:r w:rsidR="001D4CAD">
        <w:rPr>
          <w:rFonts w:asciiTheme="minorHAnsi" w:hAnsiTheme="minorHAnsi" w:cstheme="minorHAnsi"/>
          <w:sz w:val="24"/>
          <w:szCs w:val="24"/>
        </w:rPr>
        <w:t>trato</w:t>
      </w:r>
      <w:r w:rsidR="001D4CAD" w:rsidRPr="00BB1A22">
        <w:rPr>
          <w:rFonts w:asciiTheme="minorHAnsi" w:hAnsiTheme="minorHAnsi" w:cstheme="minorHAnsi"/>
          <w:sz w:val="24"/>
          <w:szCs w:val="24"/>
        </w:rPr>
        <w:t xml:space="preserve"> </w:t>
      </w:r>
      <w:r w:rsidR="00E05A82" w:rsidRPr="00BB1A22">
        <w:rPr>
          <w:rFonts w:asciiTheme="minorHAnsi" w:hAnsiTheme="minorHAnsi" w:cstheme="minorHAnsi"/>
          <w:sz w:val="24"/>
          <w:szCs w:val="24"/>
        </w:rPr>
        <w:t>de Préstamo</w:t>
      </w:r>
      <w:r w:rsidR="00BB1A22" w:rsidRPr="00BB1A22">
        <w:rPr>
          <w:rFonts w:asciiTheme="minorHAnsi" w:hAnsiTheme="minorHAnsi" w:cstheme="minorHAnsi"/>
          <w:sz w:val="24"/>
          <w:szCs w:val="24"/>
        </w:rPr>
        <w:t xml:space="preserve">, en tanto que </w:t>
      </w:r>
      <w:r w:rsidR="00390C2C">
        <w:rPr>
          <w:sz w:val="24"/>
          <w:szCs w:val="24"/>
        </w:rPr>
        <w:t>l</w:t>
      </w:r>
      <w:r w:rsidR="0046130C" w:rsidRPr="00BB1A22">
        <w:rPr>
          <w:sz w:val="24"/>
          <w:szCs w:val="24"/>
        </w:rPr>
        <w:t xml:space="preserve">a vigencia del ROP iniciará </w:t>
      </w:r>
      <w:r w:rsidR="00E05A82" w:rsidRPr="00BB1A22">
        <w:rPr>
          <w:sz w:val="24"/>
          <w:szCs w:val="24"/>
        </w:rPr>
        <w:t>a partir de la fecha de su aprobación</w:t>
      </w:r>
      <w:bookmarkEnd w:id="44"/>
      <w:r w:rsidR="00390C2C">
        <w:rPr>
          <w:sz w:val="24"/>
          <w:szCs w:val="24"/>
        </w:rPr>
        <w:t>.</w:t>
      </w:r>
    </w:p>
    <w:p w14:paraId="46F54C03" w14:textId="77777777" w:rsidR="00911C48" w:rsidRDefault="00911C48" w:rsidP="00FA138B">
      <w:pPr>
        <w:pStyle w:val="CommentText"/>
        <w:spacing w:after="0"/>
        <w:jc w:val="both"/>
        <w:rPr>
          <w:sz w:val="24"/>
          <w:szCs w:val="24"/>
        </w:rPr>
      </w:pPr>
    </w:p>
    <w:p w14:paraId="4B71E0D6" w14:textId="77777777" w:rsidR="00911C48" w:rsidRPr="00BB1A22" w:rsidRDefault="00911C48" w:rsidP="00E8744D">
      <w:pPr>
        <w:pStyle w:val="CommentText"/>
        <w:numPr>
          <w:ilvl w:val="1"/>
          <w:numId w:val="5"/>
        </w:numPr>
        <w:spacing w:after="0"/>
        <w:jc w:val="both"/>
        <w:outlineLvl w:val="1"/>
        <w:rPr>
          <w:sz w:val="24"/>
          <w:szCs w:val="24"/>
        </w:rPr>
      </w:pPr>
      <w:bookmarkStart w:id="45" w:name="_Toc324196868"/>
      <w:r w:rsidRPr="00BB1A22">
        <w:rPr>
          <w:b/>
          <w:sz w:val="24"/>
          <w:szCs w:val="24"/>
        </w:rPr>
        <w:t>Distribuci</w:t>
      </w:r>
      <w:r w:rsidR="00BA42ED" w:rsidRPr="00BB1A22">
        <w:rPr>
          <w:b/>
          <w:sz w:val="24"/>
          <w:szCs w:val="24"/>
        </w:rPr>
        <w:t>ó</w:t>
      </w:r>
      <w:r w:rsidRPr="00BB1A22">
        <w:rPr>
          <w:b/>
          <w:sz w:val="24"/>
          <w:szCs w:val="24"/>
        </w:rPr>
        <w:t>n</w:t>
      </w:r>
      <w:r w:rsidR="00BB1A22" w:rsidRPr="00BB1A22">
        <w:rPr>
          <w:b/>
          <w:sz w:val="24"/>
          <w:szCs w:val="24"/>
        </w:rPr>
        <w:t xml:space="preserve"> del ROP</w:t>
      </w:r>
      <w:r w:rsidR="00BB1A22">
        <w:rPr>
          <w:b/>
          <w:sz w:val="24"/>
          <w:szCs w:val="24"/>
        </w:rPr>
        <w:t>.-</w:t>
      </w:r>
      <w:r w:rsidR="00BB1A22" w:rsidRPr="00BB1A22">
        <w:rPr>
          <w:b/>
          <w:sz w:val="24"/>
          <w:szCs w:val="24"/>
        </w:rPr>
        <w:t xml:space="preserve"> </w:t>
      </w:r>
      <w:r w:rsidRPr="00BB1A22">
        <w:rPr>
          <w:sz w:val="24"/>
          <w:szCs w:val="24"/>
        </w:rPr>
        <w:t xml:space="preserve">A los funcionarios responsables de la ejecución y </w:t>
      </w:r>
      <w:r w:rsidR="00846403">
        <w:rPr>
          <w:sz w:val="24"/>
          <w:szCs w:val="24"/>
        </w:rPr>
        <w:t xml:space="preserve">el </w:t>
      </w:r>
      <w:r w:rsidRPr="00BB1A22">
        <w:rPr>
          <w:sz w:val="24"/>
          <w:szCs w:val="24"/>
        </w:rPr>
        <w:t>control</w:t>
      </w:r>
      <w:r w:rsidR="00BB1A22" w:rsidRPr="00BB1A22">
        <w:rPr>
          <w:b/>
          <w:sz w:val="24"/>
          <w:szCs w:val="24"/>
        </w:rPr>
        <w:t>.</w:t>
      </w:r>
      <w:bookmarkEnd w:id="45"/>
    </w:p>
    <w:p w14:paraId="6ACB5219" w14:textId="77777777" w:rsidR="00911C48" w:rsidRDefault="00911C48" w:rsidP="00FA138B">
      <w:pPr>
        <w:pStyle w:val="CommentText"/>
        <w:spacing w:after="0"/>
        <w:jc w:val="both"/>
        <w:rPr>
          <w:sz w:val="24"/>
          <w:szCs w:val="24"/>
        </w:rPr>
      </w:pPr>
    </w:p>
    <w:p w14:paraId="1519798D" w14:textId="77777777" w:rsidR="00C41C7B" w:rsidRPr="00FA138B" w:rsidRDefault="00FF5624" w:rsidP="00E8744D">
      <w:pPr>
        <w:pStyle w:val="Heading1"/>
        <w:numPr>
          <w:ilvl w:val="0"/>
          <w:numId w:val="5"/>
        </w:numPr>
        <w:spacing w:after="0"/>
        <w:jc w:val="both"/>
        <w:rPr>
          <w:rFonts w:asciiTheme="minorHAnsi" w:hAnsiTheme="minorHAnsi" w:cstheme="minorHAnsi"/>
          <w:sz w:val="28"/>
          <w:szCs w:val="28"/>
        </w:rPr>
      </w:pPr>
      <w:bookmarkStart w:id="46" w:name="_Toc324196873"/>
      <w:r w:rsidRPr="00FA138B">
        <w:rPr>
          <w:rFonts w:asciiTheme="minorHAnsi" w:hAnsiTheme="minorHAnsi" w:cstheme="minorHAnsi"/>
          <w:sz w:val="28"/>
          <w:szCs w:val="28"/>
        </w:rPr>
        <w:t>Estructura Organizativa Del Programa</w:t>
      </w:r>
      <w:bookmarkEnd w:id="46"/>
    </w:p>
    <w:p w14:paraId="0D58E26E" w14:textId="77777777" w:rsidR="0015359C" w:rsidRDefault="0015359C" w:rsidP="00C57AB5">
      <w:pPr>
        <w:spacing w:after="0" w:line="240" w:lineRule="auto"/>
        <w:jc w:val="both"/>
        <w:rPr>
          <w:rFonts w:asciiTheme="minorHAnsi" w:hAnsiTheme="minorHAnsi" w:cstheme="minorHAnsi"/>
          <w:sz w:val="24"/>
          <w:szCs w:val="24"/>
        </w:rPr>
      </w:pPr>
    </w:p>
    <w:p w14:paraId="25F33F06" w14:textId="77777777" w:rsidR="00986E05" w:rsidRDefault="00986E05" w:rsidP="00C57AB5">
      <w:pPr>
        <w:spacing w:after="0" w:line="240" w:lineRule="auto"/>
        <w:jc w:val="both"/>
        <w:rPr>
          <w:rFonts w:asciiTheme="minorHAnsi" w:hAnsiTheme="minorHAnsi" w:cstheme="minorHAnsi"/>
          <w:sz w:val="24"/>
          <w:szCs w:val="24"/>
        </w:rPr>
      </w:pPr>
      <w:r w:rsidRPr="00986E05">
        <w:rPr>
          <w:rFonts w:asciiTheme="minorHAnsi" w:hAnsiTheme="minorHAnsi" w:cstheme="minorHAnsi"/>
          <w:sz w:val="24"/>
          <w:szCs w:val="24"/>
          <w:lang w:val="es-ES_tradnl"/>
        </w:rPr>
        <w:t xml:space="preserve">La UCP utilizará su estructura organizativa, siendo </w:t>
      </w:r>
      <w:r w:rsidRPr="00986E05">
        <w:rPr>
          <w:rFonts w:asciiTheme="minorHAnsi" w:hAnsiTheme="minorHAnsi" w:cstheme="minorHAnsi"/>
          <w:sz w:val="24"/>
          <w:szCs w:val="24"/>
        </w:rPr>
        <w:t xml:space="preserve">responsable de la administración técnica, operativa, financiera y de las adquisiciones del programa, así como de la coordinación con las otras dependencias del gobierno. </w:t>
      </w:r>
    </w:p>
    <w:p w14:paraId="7FC59155" w14:textId="77777777" w:rsidR="00986E05" w:rsidRDefault="00986E05" w:rsidP="00C57AB5">
      <w:pPr>
        <w:spacing w:after="0" w:line="240" w:lineRule="auto"/>
        <w:jc w:val="both"/>
        <w:rPr>
          <w:rFonts w:asciiTheme="minorHAnsi" w:hAnsiTheme="minorHAnsi" w:cstheme="minorHAnsi"/>
          <w:sz w:val="24"/>
          <w:szCs w:val="24"/>
        </w:rPr>
      </w:pPr>
    </w:p>
    <w:p w14:paraId="59656702" w14:textId="77777777" w:rsidR="00986E05" w:rsidRDefault="00986E05" w:rsidP="00C57AB5">
      <w:pPr>
        <w:spacing w:after="0" w:line="240" w:lineRule="auto"/>
        <w:jc w:val="both"/>
        <w:rPr>
          <w:rFonts w:asciiTheme="minorHAnsi" w:hAnsiTheme="minorHAnsi" w:cstheme="minorHAnsi"/>
          <w:sz w:val="24"/>
          <w:szCs w:val="24"/>
        </w:rPr>
      </w:pPr>
      <w:r w:rsidRPr="00986E05">
        <w:rPr>
          <w:rFonts w:asciiTheme="minorHAnsi" w:hAnsiTheme="minorHAnsi" w:cstheme="minorHAnsi"/>
          <w:sz w:val="24"/>
          <w:szCs w:val="24"/>
        </w:rPr>
        <w:t xml:space="preserve">Para la ejecución del Componente 1, el área técnica de la UCP tendrá entre sus funciones principales analizar y aprobar las convocatorias y documentos precontractuales y recomendar la aprobación de los proyectos, concursos y desembolsos correspondientes. </w:t>
      </w:r>
    </w:p>
    <w:p w14:paraId="222D9EC1" w14:textId="77777777" w:rsidR="00986E05" w:rsidRDefault="00986E05" w:rsidP="00C57AB5">
      <w:pPr>
        <w:spacing w:after="0" w:line="240" w:lineRule="auto"/>
        <w:jc w:val="both"/>
        <w:rPr>
          <w:rFonts w:asciiTheme="minorHAnsi" w:hAnsiTheme="minorHAnsi" w:cstheme="minorHAnsi"/>
          <w:sz w:val="24"/>
          <w:szCs w:val="24"/>
        </w:rPr>
      </w:pPr>
    </w:p>
    <w:p w14:paraId="4B302296" w14:textId="77777777" w:rsidR="00747C67" w:rsidRPr="001B7747" w:rsidRDefault="00747C67" w:rsidP="00C57AB5">
      <w:pPr>
        <w:spacing w:after="0" w:line="240" w:lineRule="auto"/>
        <w:jc w:val="both"/>
        <w:rPr>
          <w:rFonts w:asciiTheme="minorHAnsi" w:hAnsiTheme="minorHAnsi" w:cstheme="minorHAnsi"/>
          <w:b/>
          <w:sz w:val="24"/>
          <w:szCs w:val="24"/>
        </w:rPr>
      </w:pPr>
      <w:r w:rsidRPr="001B7747">
        <w:rPr>
          <w:rFonts w:asciiTheme="minorHAnsi" w:hAnsiTheme="minorHAnsi" w:cstheme="minorHAnsi"/>
          <w:b/>
          <w:sz w:val="24"/>
          <w:szCs w:val="24"/>
        </w:rPr>
        <w:t xml:space="preserve">INSERTAR ESTRUCTURA ORGANIZATIVA </w:t>
      </w:r>
      <w:r w:rsidR="00C2457A" w:rsidRPr="001B7747">
        <w:rPr>
          <w:rFonts w:asciiTheme="minorHAnsi" w:hAnsiTheme="minorHAnsi" w:cstheme="minorHAnsi"/>
          <w:b/>
          <w:sz w:val="24"/>
          <w:szCs w:val="24"/>
        </w:rPr>
        <w:t xml:space="preserve">(ORGANIGRAMA) </w:t>
      </w:r>
      <w:r w:rsidRPr="001B7747">
        <w:rPr>
          <w:rFonts w:asciiTheme="minorHAnsi" w:hAnsiTheme="minorHAnsi" w:cstheme="minorHAnsi"/>
          <w:b/>
          <w:sz w:val="24"/>
          <w:szCs w:val="24"/>
        </w:rPr>
        <w:t>DE LA UCP, incluyendo la coordinación del programa y expertos técnicos</w:t>
      </w:r>
    </w:p>
    <w:p w14:paraId="10ABB17B" w14:textId="77777777" w:rsidR="00747C67" w:rsidRDefault="00747C67" w:rsidP="00C57AB5">
      <w:pPr>
        <w:spacing w:after="0" w:line="240" w:lineRule="auto"/>
        <w:jc w:val="both"/>
        <w:rPr>
          <w:rFonts w:asciiTheme="minorHAnsi" w:hAnsiTheme="minorHAnsi" w:cstheme="minorHAnsi"/>
          <w:sz w:val="24"/>
          <w:szCs w:val="24"/>
        </w:rPr>
      </w:pPr>
    </w:p>
    <w:p w14:paraId="25C47F1F" w14:textId="77777777" w:rsidR="00986E05" w:rsidRDefault="00986E05" w:rsidP="00C57AB5">
      <w:pPr>
        <w:spacing w:after="0" w:line="240" w:lineRule="auto"/>
        <w:jc w:val="both"/>
        <w:rPr>
          <w:rFonts w:asciiTheme="minorHAnsi" w:hAnsiTheme="minorHAnsi" w:cstheme="minorHAnsi"/>
          <w:sz w:val="24"/>
          <w:szCs w:val="24"/>
          <w:lang w:val="es-ES"/>
        </w:rPr>
      </w:pPr>
      <w:r w:rsidRPr="00986E05">
        <w:rPr>
          <w:rFonts w:asciiTheme="minorHAnsi" w:hAnsiTheme="minorHAnsi" w:cstheme="minorHAnsi"/>
          <w:sz w:val="24"/>
          <w:szCs w:val="24"/>
        </w:rPr>
        <w:t xml:space="preserve">Para la ejecución del Componente 2, </w:t>
      </w:r>
      <w:r w:rsidRPr="00986E05">
        <w:rPr>
          <w:rFonts w:asciiTheme="minorHAnsi" w:hAnsiTheme="minorHAnsi" w:cstheme="minorHAnsi"/>
          <w:sz w:val="24"/>
          <w:szCs w:val="24"/>
          <w:lang w:val="es-ES"/>
        </w:rPr>
        <w:t>FONCAP será responsable del monitoreo y la supervisión del uso adecuado de los recursos de los subpréstamos, y la provisión en tiempo y forma de los recursos humanos tecnológicos necesarios</w:t>
      </w:r>
      <w:r>
        <w:rPr>
          <w:rFonts w:asciiTheme="minorHAnsi" w:hAnsiTheme="minorHAnsi" w:cstheme="minorHAnsi"/>
          <w:sz w:val="24"/>
          <w:szCs w:val="24"/>
          <w:lang w:val="es-ES"/>
        </w:rPr>
        <w:t>.</w:t>
      </w:r>
    </w:p>
    <w:p w14:paraId="7E4D8E04" w14:textId="77777777" w:rsidR="00986E05" w:rsidRDefault="00986E05" w:rsidP="00C57AB5">
      <w:pPr>
        <w:spacing w:after="0" w:line="240" w:lineRule="auto"/>
        <w:jc w:val="both"/>
        <w:rPr>
          <w:rFonts w:asciiTheme="minorHAnsi" w:hAnsiTheme="minorHAnsi" w:cstheme="minorHAnsi"/>
          <w:sz w:val="24"/>
          <w:szCs w:val="24"/>
          <w:lang w:val="es-ES"/>
        </w:rPr>
      </w:pPr>
    </w:p>
    <w:p w14:paraId="004E33C8" w14:textId="77777777" w:rsidR="00986E05" w:rsidRPr="00986E05" w:rsidRDefault="00986E05" w:rsidP="00986E05">
      <w:pPr>
        <w:spacing w:after="0" w:line="240" w:lineRule="auto"/>
        <w:jc w:val="both"/>
        <w:rPr>
          <w:rFonts w:asciiTheme="minorHAnsi" w:hAnsiTheme="minorHAnsi" w:cstheme="minorHAnsi"/>
          <w:sz w:val="24"/>
          <w:szCs w:val="24"/>
          <w:lang w:val="es-ES_tradnl"/>
        </w:rPr>
      </w:pPr>
      <w:r w:rsidRPr="00986E05">
        <w:rPr>
          <w:rFonts w:asciiTheme="minorHAnsi" w:hAnsiTheme="minorHAnsi" w:cstheme="minorHAnsi"/>
          <w:sz w:val="24"/>
          <w:szCs w:val="24"/>
          <w:lang w:val="es-ES"/>
        </w:rPr>
        <w:t>Como condiciones contractuales especiales previa</w:t>
      </w:r>
      <w:r w:rsidR="0013184F">
        <w:rPr>
          <w:rFonts w:asciiTheme="minorHAnsi" w:hAnsiTheme="minorHAnsi" w:cstheme="minorHAnsi"/>
          <w:sz w:val="24"/>
          <w:szCs w:val="24"/>
          <w:lang w:val="es-ES"/>
        </w:rPr>
        <w:t>s</w:t>
      </w:r>
      <w:r w:rsidRPr="00986E05">
        <w:rPr>
          <w:rFonts w:asciiTheme="minorHAnsi" w:hAnsiTheme="minorHAnsi" w:cstheme="minorHAnsi"/>
          <w:sz w:val="24"/>
          <w:szCs w:val="24"/>
          <w:lang w:val="es-ES"/>
        </w:rPr>
        <w:t xml:space="preserve"> al </w:t>
      </w:r>
      <w:r w:rsidR="0013184F">
        <w:rPr>
          <w:rFonts w:asciiTheme="minorHAnsi" w:hAnsiTheme="minorHAnsi" w:cstheme="minorHAnsi"/>
          <w:sz w:val="24"/>
          <w:szCs w:val="24"/>
          <w:lang w:val="es-ES"/>
        </w:rPr>
        <w:t xml:space="preserve">primer </w:t>
      </w:r>
      <w:r w:rsidRPr="00986E05">
        <w:rPr>
          <w:rFonts w:asciiTheme="minorHAnsi" w:hAnsiTheme="minorHAnsi" w:cstheme="minorHAnsi"/>
          <w:sz w:val="24"/>
          <w:szCs w:val="24"/>
          <w:lang w:val="es-ES"/>
        </w:rPr>
        <w:t>desembolso</w:t>
      </w:r>
      <w:r w:rsidRPr="00986E05">
        <w:rPr>
          <w:rFonts w:asciiTheme="minorHAnsi" w:hAnsiTheme="minorHAnsi" w:cstheme="minorHAnsi"/>
          <w:sz w:val="24"/>
          <w:szCs w:val="24"/>
          <w:lang w:val="es-MX"/>
        </w:rPr>
        <w:t xml:space="preserve">, se establece el nombramiento formal del coordinador del programa y </w:t>
      </w:r>
      <w:r w:rsidRPr="00986E05">
        <w:rPr>
          <w:rFonts w:asciiTheme="minorHAnsi" w:hAnsiTheme="minorHAnsi" w:cstheme="minorHAnsi"/>
          <w:sz w:val="24"/>
          <w:szCs w:val="24"/>
          <w:lang w:val="es-ES_tradnl"/>
        </w:rPr>
        <w:t>la contratación de los especialistas técnicos en inclusión financiera que apoyará a la UCP en la implementación del Programa</w:t>
      </w:r>
      <w:r w:rsidRPr="00986E05">
        <w:rPr>
          <w:rFonts w:asciiTheme="minorHAnsi" w:hAnsiTheme="minorHAnsi" w:cstheme="minorHAnsi"/>
          <w:sz w:val="24"/>
          <w:szCs w:val="24"/>
          <w:lang w:val="es-MX"/>
        </w:rPr>
        <w:t xml:space="preserve">. El coordinador </w:t>
      </w:r>
      <w:r w:rsidRPr="00986E05">
        <w:rPr>
          <w:rFonts w:asciiTheme="minorHAnsi" w:hAnsiTheme="minorHAnsi" w:cstheme="minorHAnsi"/>
          <w:sz w:val="24"/>
          <w:szCs w:val="24"/>
          <w:lang w:val="es-ES"/>
        </w:rPr>
        <w:t>apoyará una ejecución más efectiva y eficiente a través de la utilización de la</w:t>
      </w:r>
      <w:r w:rsidRPr="00986E05">
        <w:rPr>
          <w:rFonts w:asciiTheme="minorHAnsi" w:hAnsiTheme="minorHAnsi" w:cstheme="minorHAnsi"/>
          <w:sz w:val="24"/>
          <w:szCs w:val="24"/>
          <w:lang w:val="es-ES_tradnl"/>
        </w:rPr>
        <w:t xml:space="preserve"> estructura organizativa de la UCP, sin embargo la administración propia del programa deberá respaldarse con un mínimo de dos expertos técnicos en la materia, que deberán contratarse previo a </w:t>
      </w:r>
      <w:r w:rsidR="0013184F">
        <w:rPr>
          <w:rFonts w:asciiTheme="minorHAnsi" w:hAnsiTheme="minorHAnsi" w:cstheme="minorHAnsi"/>
          <w:sz w:val="24"/>
          <w:szCs w:val="24"/>
          <w:lang w:val="es-ES_tradnl"/>
        </w:rPr>
        <w:t xml:space="preserve">primer </w:t>
      </w:r>
      <w:r w:rsidRPr="00986E05">
        <w:rPr>
          <w:rFonts w:asciiTheme="minorHAnsi" w:hAnsiTheme="minorHAnsi" w:cstheme="minorHAnsi"/>
          <w:sz w:val="24"/>
          <w:szCs w:val="24"/>
          <w:lang w:val="es-ES_tradnl"/>
        </w:rPr>
        <w:t>desembolso y contar con la no objeción del Banco. Estas contrataciones se efectuarán con recursos de la contrapartida</w:t>
      </w:r>
      <w:r w:rsidR="0013184F">
        <w:rPr>
          <w:rFonts w:asciiTheme="minorHAnsi" w:hAnsiTheme="minorHAnsi" w:cstheme="minorHAnsi"/>
          <w:sz w:val="24"/>
          <w:szCs w:val="24"/>
          <w:lang w:val="es-ES_tradnl"/>
        </w:rPr>
        <w:t xml:space="preserve"> local</w:t>
      </w:r>
      <w:r w:rsidRPr="00986E05">
        <w:rPr>
          <w:rFonts w:asciiTheme="minorHAnsi" w:hAnsiTheme="minorHAnsi" w:cstheme="minorHAnsi"/>
          <w:sz w:val="24"/>
          <w:szCs w:val="24"/>
          <w:lang w:val="es-ES_tradnl"/>
        </w:rPr>
        <w:t xml:space="preserve">. </w:t>
      </w:r>
    </w:p>
    <w:p w14:paraId="53252ABD" w14:textId="77777777" w:rsidR="00986E05" w:rsidRDefault="00986E05" w:rsidP="00986E05">
      <w:pPr>
        <w:spacing w:after="0" w:line="240" w:lineRule="auto"/>
        <w:jc w:val="both"/>
        <w:rPr>
          <w:rFonts w:asciiTheme="minorHAnsi" w:hAnsiTheme="minorHAnsi" w:cstheme="minorHAnsi"/>
          <w:sz w:val="24"/>
          <w:szCs w:val="24"/>
        </w:rPr>
      </w:pPr>
    </w:p>
    <w:p w14:paraId="53E57F82" w14:textId="77777777" w:rsidR="00986E05" w:rsidRDefault="00986E05" w:rsidP="00986E05">
      <w:pPr>
        <w:spacing w:after="0" w:line="240" w:lineRule="auto"/>
        <w:jc w:val="both"/>
        <w:rPr>
          <w:rFonts w:asciiTheme="minorHAnsi" w:hAnsiTheme="minorHAnsi" w:cstheme="minorHAnsi"/>
          <w:sz w:val="24"/>
          <w:szCs w:val="24"/>
        </w:rPr>
      </w:pPr>
      <w:r>
        <w:rPr>
          <w:rFonts w:asciiTheme="minorHAnsi" w:hAnsiTheme="minorHAnsi" w:cstheme="minorHAnsi"/>
          <w:bCs/>
          <w:sz w:val="24"/>
          <w:szCs w:val="24"/>
          <w:lang w:val="es-MX"/>
        </w:rPr>
        <w:t>E</w:t>
      </w:r>
      <w:r w:rsidRPr="00986E05">
        <w:rPr>
          <w:rFonts w:asciiTheme="minorHAnsi" w:hAnsiTheme="minorHAnsi" w:cstheme="minorHAnsi"/>
          <w:bCs/>
          <w:sz w:val="24"/>
          <w:szCs w:val="24"/>
          <w:lang w:val="es-MX"/>
        </w:rPr>
        <w:t xml:space="preserve">l </w:t>
      </w:r>
      <w:r w:rsidRPr="00986E05">
        <w:rPr>
          <w:rFonts w:asciiTheme="minorHAnsi" w:hAnsiTheme="minorHAnsi" w:cstheme="minorHAnsi"/>
          <w:sz w:val="24"/>
          <w:szCs w:val="24"/>
          <w:lang w:val="es-ES_tradnl"/>
        </w:rPr>
        <w:t>Consejo Nacional de Coordinación de la Inclusión Financiera (CNCIF)</w:t>
      </w:r>
      <w:r w:rsidRPr="00986E05">
        <w:rPr>
          <w:rFonts w:asciiTheme="minorHAnsi" w:hAnsiTheme="minorHAnsi" w:cstheme="minorHAnsi"/>
          <w:sz w:val="24"/>
          <w:szCs w:val="24"/>
          <w:vertAlign w:val="superscript"/>
          <w:lang w:val="es-ES_tradnl"/>
        </w:rPr>
        <w:footnoteReference w:id="2"/>
      </w:r>
      <w:r w:rsidRPr="00986E05">
        <w:rPr>
          <w:rFonts w:ascii="Arial" w:hAnsi="Arial" w:cs="Arial"/>
          <w:lang w:val="es-ES_tradnl"/>
        </w:rPr>
        <w:t xml:space="preserve"> </w:t>
      </w:r>
      <w:r w:rsidRPr="00986E05">
        <w:rPr>
          <w:rFonts w:asciiTheme="minorHAnsi" w:hAnsiTheme="minorHAnsi" w:cstheme="minorHAnsi"/>
          <w:sz w:val="24"/>
          <w:szCs w:val="24"/>
          <w:lang w:val="es-ES_tradnl"/>
        </w:rPr>
        <w:t xml:space="preserve">tendrá un rol relevante en la ejecución del programa, particularmente el Componente 1, ya que de él emanarán las prioridades del Gobierno en la implementación de la ENIF, sus objetivos en el corto y mediano plazo y las medidas principales. </w:t>
      </w:r>
      <w:r w:rsidR="0013184F">
        <w:rPr>
          <w:rFonts w:asciiTheme="minorHAnsi" w:hAnsiTheme="minorHAnsi" w:cstheme="minorHAnsi"/>
          <w:sz w:val="24"/>
          <w:szCs w:val="24"/>
          <w:lang w:val="es-ES_tradnl"/>
        </w:rPr>
        <w:t xml:space="preserve">Asimismo, tendrá un </w:t>
      </w:r>
      <w:r w:rsidR="0013184F" w:rsidRPr="00967039">
        <w:rPr>
          <w:rFonts w:asciiTheme="minorHAnsi" w:hAnsiTheme="minorHAnsi" w:cstheme="minorHAnsi"/>
          <w:sz w:val="24"/>
          <w:szCs w:val="24"/>
        </w:rPr>
        <w:t xml:space="preserve">rol coordinador tanto con otras entidades </w:t>
      </w:r>
      <w:r w:rsidR="0013184F">
        <w:rPr>
          <w:rFonts w:asciiTheme="minorHAnsi" w:hAnsiTheme="minorHAnsi" w:cstheme="minorHAnsi"/>
          <w:sz w:val="24"/>
          <w:szCs w:val="24"/>
        </w:rPr>
        <w:t xml:space="preserve">públicas y </w:t>
      </w:r>
      <w:r w:rsidR="0013184F" w:rsidRPr="00967039">
        <w:rPr>
          <w:rFonts w:asciiTheme="minorHAnsi" w:hAnsiTheme="minorHAnsi" w:cstheme="minorHAnsi"/>
          <w:sz w:val="24"/>
          <w:szCs w:val="24"/>
        </w:rPr>
        <w:t>con el sector financiero</w:t>
      </w:r>
      <w:r>
        <w:rPr>
          <w:rFonts w:asciiTheme="minorHAnsi" w:hAnsiTheme="minorHAnsi" w:cstheme="minorHAnsi"/>
          <w:sz w:val="24"/>
          <w:szCs w:val="24"/>
          <w:lang w:val="es-ES_tradnl"/>
        </w:rPr>
        <w:t>.</w:t>
      </w:r>
    </w:p>
    <w:p w14:paraId="26598734" w14:textId="77777777" w:rsidR="00BC0DD1" w:rsidRDefault="00BC0DD1" w:rsidP="00F86B89">
      <w:pPr>
        <w:pStyle w:val="CommentText"/>
        <w:spacing w:after="0"/>
        <w:jc w:val="both"/>
        <w:rPr>
          <w:b/>
          <w:sz w:val="24"/>
          <w:szCs w:val="24"/>
        </w:rPr>
      </w:pPr>
    </w:p>
    <w:p w14:paraId="53A49BB9" w14:textId="77777777" w:rsidR="00C2457A" w:rsidRDefault="00C2457A" w:rsidP="00F86B89">
      <w:pPr>
        <w:pStyle w:val="CommentText"/>
        <w:spacing w:after="0"/>
        <w:jc w:val="both"/>
        <w:rPr>
          <w:b/>
          <w:sz w:val="24"/>
          <w:szCs w:val="24"/>
        </w:rPr>
      </w:pPr>
      <w:r w:rsidRPr="00C2457A">
        <w:rPr>
          <w:b/>
          <w:sz w:val="24"/>
          <w:szCs w:val="24"/>
        </w:rPr>
        <w:t xml:space="preserve">EN ESTA SECCION </w:t>
      </w:r>
      <w:r w:rsidR="001B7747">
        <w:rPr>
          <w:b/>
          <w:sz w:val="24"/>
          <w:szCs w:val="24"/>
        </w:rPr>
        <w:t xml:space="preserve">QUE SIGUE </w:t>
      </w:r>
      <w:r w:rsidRPr="00C2457A">
        <w:rPr>
          <w:b/>
          <w:sz w:val="24"/>
          <w:szCs w:val="24"/>
        </w:rPr>
        <w:t>SE DESCRIBEN LAS FUNCIONES, RESPONSABILIDADES Y FACULTADES DEL PERSONAL DE LA UCP ENCARGADA DE EJECUTAR EL PROGRAMA</w:t>
      </w:r>
      <w:r>
        <w:rPr>
          <w:b/>
          <w:sz w:val="24"/>
          <w:szCs w:val="24"/>
        </w:rPr>
        <w:t xml:space="preserve">, incluyendo personal </w:t>
      </w:r>
      <w:r w:rsidR="004910F2">
        <w:rPr>
          <w:b/>
          <w:sz w:val="24"/>
          <w:szCs w:val="24"/>
        </w:rPr>
        <w:t xml:space="preserve">o comité que se establezca en su caso, </w:t>
      </w:r>
      <w:r>
        <w:rPr>
          <w:b/>
          <w:sz w:val="24"/>
          <w:szCs w:val="24"/>
        </w:rPr>
        <w:t>que:</w:t>
      </w:r>
    </w:p>
    <w:p w14:paraId="6CF6ED22" w14:textId="77777777" w:rsidR="00C2457A" w:rsidRDefault="00C2457A" w:rsidP="00F86B89">
      <w:pPr>
        <w:pStyle w:val="CommentText"/>
        <w:spacing w:after="0"/>
        <w:jc w:val="both"/>
        <w:rPr>
          <w:b/>
          <w:sz w:val="24"/>
          <w:szCs w:val="24"/>
        </w:rPr>
      </w:pPr>
    </w:p>
    <w:p w14:paraId="57F424E4" w14:textId="77777777" w:rsidR="00BC0DD1" w:rsidRPr="00960425" w:rsidRDefault="00C2457A" w:rsidP="00E8744D">
      <w:pPr>
        <w:pStyle w:val="ListParagraph"/>
        <w:numPr>
          <w:ilvl w:val="0"/>
          <w:numId w:val="11"/>
        </w:numPr>
        <w:jc w:val="both"/>
        <w:rPr>
          <w:rFonts w:asciiTheme="minorHAnsi" w:hAnsiTheme="minorHAnsi" w:cstheme="minorHAnsi"/>
        </w:rPr>
      </w:pPr>
      <w:r>
        <w:rPr>
          <w:rFonts w:asciiTheme="minorHAnsi" w:hAnsiTheme="minorHAnsi" w:cstheme="minorHAnsi"/>
        </w:rPr>
        <w:t>A</w:t>
      </w:r>
      <w:r w:rsidR="00BC0DD1" w:rsidRPr="00960425">
        <w:rPr>
          <w:rFonts w:asciiTheme="minorHAnsi" w:hAnsiTheme="minorHAnsi" w:cstheme="minorHAnsi"/>
        </w:rPr>
        <w:t>prueba y establece las políticas del Programa, en base al ROP, POA y Presupuesto.</w:t>
      </w:r>
    </w:p>
    <w:p w14:paraId="4C381C43" w14:textId="77777777" w:rsidR="00BC0DD1" w:rsidRPr="00960425" w:rsidRDefault="00BC0DD1" w:rsidP="00E8744D">
      <w:pPr>
        <w:pStyle w:val="ListParagraph"/>
        <w:numPr>
          <w:ilvl w:val="0"/>
          <w:numId w:val="11"/>
        </w:numPr>
        <w:jc w:val="both"/>
        <w:rPr>
          <w:rFonts w:asciiTheme="minorHAnsi" w:hAnsiTheme="minorHAnsi" w:cstheme="minorHAnsi"/>
        </w:rPr>
      </w:pPr>
      <w:r w:rsidRPr="00960425">
        <w:rPr>
          <w:rFonts w:asciiTheme="minorHAnsi" w:hAnsiTheme="minorHAnsi" w:cstheme="minorHAnsi"/>
        </w:rPr>
        <w:t>Conoce y aprueba informes de avance del Programa</w:t>
      </w:r>
    </w:p>
    <w:p w14:paraId="1FA12396" w14:textId="77777777" w:rsidR="00BC0DD1" w:rsidRPr="00960425" w:rsidRDefault="00BC0DD1" w:rsidP="00E8744D">
      <w:pPr>
        <w:pStyle w:val="ListParagraph"/>
        <w:numPr>
          <w:ilvl w:val="0"/>
          <w:numId w:val="11"/>
        </w:numPr>
        <w:jc w:val="both"/>
        <w:rPr>
          <w:rFonts w:asciiTheme="minorHAnsi" w:hAnsiTheme="minorHAnsi" w:cstheme="minorHAnsi"/>
        </w:rPr>
      </w:pPr>
      <w:r w:rsidRPr="00960425">
        <w:rPr>
          <w:rFonts w:asciiTheme="minorHAnsi" w:hAnsiTheme="minorHAnsi" w:cstheme="minorHAnsi"/>
        </w:rPr>
        <w:t>Conoce</w:t>
      </w:r>
      <w:r w:rsidR="00977FFD" w:rsidRPr="00960425">
        <w:rPr>
          <w:rFonts w:asciiTheme="minorHAnsi" w:hAnsiTheme="minorHAnsi" w:cstheme="minorHAnsi"/>
        </w:rPr>
        <w:t xml:space="preserve"> </w:t>
      </w:r>
      <w:r w:rsidRPr="00960425">
        <w:rPr>
          <w:rFonts w:asciiTheme="minorHAnsi" w:hAnsiTheme="minorHAnsi" w:cstheme="minorHAnsi"/>
        </w:rPr>
        <w:t>y apr</w:t>
      </w:r>
      <w:r w:rsidR="00977FFD" w:rsidRPr="00960425">
        <w:rPr>
          <w:rFonts w:asciiTheme="minorHAnsi" w:hAnsiTheme="minorHAnsi" w:cstheme="minorHAnsi"/>
        </w:rPr>
        <w:t>ueba</w:t>
      </w:r>
      <w:r w:rsidRPr="00960425">
        <w:rPr>
          <w:rFonts w:asciiTheme="minorHAnsi" w:hAnsiTheme="minorHAnsi" w:cstheme="minorHAnsi"/>
        </w:rPr>
        <w:t xml:space="preserve"> las evaluaciones de impacto del Programa.</w:t>
      </w:r>
    </w:p>
    <w:p w14:paraId="03DF04E4" w14:textId="77777777" w:rsidR="00BC0DD1" w:rsidRPr="00960425" w:rsidRDefault="00BC0DD1" w:rsidP="00E8744D">
      <w:pPr>
        <w:pStyle w:val="ListParagraph"/>
        <w:numPr>
          <w:ilvl w:val="0"/>
          <w:numId w:val="11"/>
        </w:numPr>
        <w:jc w:val="both"/>
        <w:rPr>
          <w:rFonts w:asciiTheme="minorHAnsi" w:hAnsiTheme="minorHAnsi" w:cstheme="minorHAnsi"/>
        </w:rPr>
      </w:pPr>
      <w:r w:rsidRPr="00960425">
        <w:rPr>
          <w:rFonts w:asciiTheme="minorHAnsi" w:hAnsiTheme="minorHAnsi" w:cstheme="minorHAnsi"/>
        </w:rPr>
        <w:t>Conoce y apr</w:t>
      </w:r>
      <w:r w:rsidR="00977FFD" w:rsidRPr="00960425">
        <w:rPr>
          <w:rFonts w:asciiTheme="minorHAnsi" w:hAnsiTheme="minorHAnsi" w:cstheme="minorHAnsi"/>
        </w:rPr>
        <w:t>ueba</w:t>
      </w:r>
      <w:r w:rsidRPr="00960425">
        <w:rPr>
          <w:rFonts w:asciiTheme="minorHAnsi" w:hAnsiTheme="minorHAnsi" w:cstheme="minorHAnsi"/>
        </w:rPr>
        <w:t xml:space="preserve"> las auditorías externas anuales y operativas de desembolsos.</w:t>
      </w:r>
    </w:p>
    <w:p w14:paraId="1DCB58AD" w14:textId="77777777" w:rsidR="00B27B08" w:rsidRPr="00B27B08" w:rsidRDefault="00966E49" w:rsidP="00E8744D">
      <w:pPr>
        <w:pStyle w:val="ListParagraph"/>
        <w:numPr>
          <w:ilvl w:val="0"/>
          <w:numId w:val="11"/>
        </w:numPr>
        <w:jc w:val="both"/>
        <w:rPr>
          <w:rFonts w:asciiTheme="minorHAnsi" w:hAnsiTheme="minorHAnsi" w:cstheme="minorHAnsi"/>
        </w:rPr>
      </w:pPr>
      <w:bookmarkStart w:id="47" w:name="_Toc324021204"/>
      <w:bookmarkStart w:id="48" w:name="_Toc324021494"/>
      <w:bookmarkStart w:id="49" w:name="_Toc324021665"/>
      <w:bookmarkEnd w:id="47"/>
      <w:bookmarkEnd w:id="48"/>
      <w:bookmarkEnd w:id="49"/>
      <w:r w:rsidRPr="00B27B08">
        <w:rPr>
          <w:rFonts w:asciiTheme="minorHAnsi" w:hAnsiTheme="minorHAnsi" w:cstheme="minorHAnsi"/>
        </w:rPr>
        <w:t>Informa al BID</w:t>
      </w:r>
    </w:p>
    <w:p w14:paraId="1D15A104" w14:textId="77777777" w:rsidR="0015359C" w:rsidRPr="00B27B08" w:rsidRDefault="0015359C" w:rsidP="00E8744D">
      <w:pPr>
        <w:pStyle w:val="ListParagraph"/>
        <w:numPr>
          <w:ilvl w:val="0"/>
          <w:numId w:val="11"/>
        </w:numPr>
        <w:jc w:val="both"/>
        <w:rPr>
          <w:rFonts w:asciiTheme="minorHAnsi" w:hAnsiTheme="minorHAnsi" w:cstheme="minorHAnsi"/>
        </w:rPr>
      </w:pPr>
      <w:r w:rsidRPr="00B27B08">
        <w:rPr>
          <w:rFonts w:asciiTheme="minorHAnsi" w:hAnsiTheme="minorHAnsi" w:cstheme="minorHAnsi"/>
        </w:rPr>
        <w:t>Apr</w:t>
      </w:r>
      <w:r w:rsidR="00C2457A">
        <w:rPr>
          <w:rFonts w:asciiTheme="minorHAnsi" w:hAnsiTheme="minorHAnsi" w:cstheme="minorHAnsi"/>
        </w:rPr>
        <w:t xml:space="preserve">ueba </w:t>
      </w:r>
      <w:r w:rsidRPr="00B27B08">
        <w:rPr>
          <w:rFonts w:asciiTheme="minorHAnsi" w:hAnsiTheme="minorHAnsi" w:cstheme="minorHAnsi"/>
        </w:rPr>
        <w:t>los proyectos, concursos y demás desembolsos que se vaya</w:t>
      </w:r>
      <w:r w:rsidR="004910F2">
        <w:rPr>
          <w:rFonts w:asciiTheme="minorHAnsi" w:hAnsiTheme="minorHAnsi" w:cstheme="minorHAnsi"/>
        </w:rPr>
        <w:t>n</w:t>
      </w:r>
      <w:r w:rsidRPr="00B27B08">
        <w:rPr>
          <w:rFonts w:asciiTheme="minorHAnsi" w:hAnsiTheme="minorHAnsi" w:cstheme="minorHAnsi"/>
        </w:rPr>
        <w:t xml:space="preserve"> a realizar dentro del </w:t>
      </w:r>
      <w:r w:rsidR="00C2457A">
        <w:rPr>
          <w:rFonts w:asciiTheme="minorHAnsi" w:hAnsiTheme="minorHAnsi" w:cstheme="minorHAnsi"/>
        </w:rPr>
        <w:t>subcomponente 1.1</w:t>
      </w:r>
      <w:r w:rsidRPr="00B27B08">
        <w:rPr>
          <w:rFonts w:asciiTheme="minorHAnsi" w:hAnsiTheme="minorHAnsi" w:cstheme="minorHAnsi"/>
        </w:rPr>
        <w:t>.</w:t>
      </w:r>
    </w:p>
    <w:p w14:paraId="61CEEAD2" w14:textId="77777777" w:rsidR="0015359C" w:rsidRPr="00960425" w:rsidRDefault="00B27B08" w:rsidP="00E8744D">
      <w:pPr>
        <w:pStyle w:val="ListParagraph"/>
        <w:numPr>
          <w:ilvl w:val="0"/>
          <w:numId w:val="11"/>
        </w:numPr>
        <w:jc w:val="both"/>
        <w:rPr>
          <w:rFonts w:asciiTheme="minorHAnsi" w:hAnsiTheme="minorHAnsi" w:cstheme="minorHAnsi"/>
        </w:rPr>
      </w:pPr>
      <w:r>
        <w:rPr>
          <w:rFonts w:asciiTheme="minorHAnsi" w:hAnsiTheme="minorHAnsi" w:cstheme="minorHAnsi"/>
        </w:rPr>
        <w:t>A</w:t>
      </w:r>
      <w:r w:rsidR="0015359C" w:rsidRPr="00960425">
        <w:rPr>
          <w:rFonts w:asciiTheme="minorHAnsi" w:hAnsiTheme="minorHAnsi" w:cstheme="minorHAnsi"/>
        </w:rPr>
        <w:t>justa el Presupuesto Anual del Programa.</w:t>
      </w:r>
    </w:p>
    <w:p w14:paraId="5A13685C" w14:textId="77777777" w:rsidR="0015359C" w:rsidRPr="00960425" w:rsidRDefault="0015359C" w:rsidP="00E8744D">
      <w:pPr>
        <w:pStyle w:val="ListParagraph"/>
        <w:numPr>
          <w:ilvl w:val="0"/>
          <w:numId w:val="11"/>
        </w:numPr>
        <w:jc w:val="both"/>
        <w:rPr>
          <w:rFonts w:asciiTheme="minorHAnsi" w:hAnsiTheme="minorHAnsi" w:cstheme="minorHAnsi"/>
        </w:rPr>
      </w:pPr>
      <w:r w:rsidRPr="00960425">
        <w:rPr>
          <w:rFonts w:asciiTheme="minorHAnsi" w:hAnsiTheme="minorHAnsi" w:cstheme="minorHAnsi"/>
        </w:rPr>
        <w:t>Revisa el Plan Operativo Anual del Programa.</w:t>
      </w:r>
    </w:p>
    <w:p w14:paraId="359764BE" w14:textId="77777777" w:rsidR="0015359C" w:rsidRPr="00B27B08" w:rsidRDefault="0015359C" w:rsidP="00E8744D">
      <w:pPr>
        <w:pStyle w:val="ListParagraph"/>
        <w:numPr>
          <w:ilvl w:val="0"/>
          <w:numId w:val="11"/>
        </w:numPr>
        <w:jc w:val="both"/>
        <w:rPr>
          <w:rFonts w:asciiTheme="minorHAnsi" w:hAnsiTheme="minorHAnsi" w:cstheme="minorHAnsi"/>
        </w:rPr>
      </w:pPr>
      <w:r w:rsidRPr="00B27B08">
        <w:rPr>
          <w:rFonts w:asciiTheme="minorHAnsi" w:hAnsiTheme="minorHAnsi" w:cstheme="minorHAnsi"/>
        </w:rPr>
        <w:t>Res</w:t>
      </w:r>
      <w:r w:rsidR="00C2457A">
        <w:rPr>
          <w:rFonts w:asciiTheme="minorHAnsi" w:hAnsiTheme="minorHAnsi" w:cstheme="minorHAnsi"/>
        </w:rPr>
        <w:t xml:space="preserve">uelve </w:t>
      </w:r>
      <w:r w:rsidRPr="00B27B08">
        <w:rPr>
          <w:rFonts w:asciiTheme="minorHAnsi" w:hAnsiTheme="minorHAnsi" w:cstheme="minorHAnsi"/>
        </w:rPr>
        <w:t>sobre la contratación de la firma de auditores independientes para la evaluación y dictamen de los estados financieros del Programa, conforme a las normas del BID.</w:t>
      </w:r>
    </w:p>
    <w:p w14:paraId="0C00A644" w14:textId="77777777" w:rsidR="0015359C" w:rsidRPr="00960425" w:rsidRDefault="00B27B08" w:rsidP="00E8744D">
      <w:pPr>
        <w:pStyle w:val="ListParagraph"/>
        <w:numPr>
          <w:ilvl w:val="0"/>
          <w:numId w:val="11"/>
        </w:numPr>
        <w:jc w:val="both"/>
        <w:rPr>
          <w:rFonts w:asciiTheme="minorHAnsi" w:hAnsiTheme="minorHAnsi" w:cstheme="minorHAnsi"/>
        </w:rPr>
      </w:pPr>
      <w:r>
        <w:rPr>
          <w:rFonts w:asciiTheme="minorHAnsi" w:hAnsiTheme="minorHAnsi" w:cstheme="minorHAnsi"/>
        </w:rPr>
        <w:t>A</w:t>
      </w:r>
      <w:r w:rsidR="0015359C" w:rsidRPr="00960425">
        <w:rPr>
          <w:rFonts w:asciiTheme="minorHAnsi" w:hAnsiTheme="minorHAnsi" w:cstheme="minorHAnsi"/>
        </w:rPr>
        <w:t>pr</w:t>
      </w:r>
      <w:r w:rsidR="00C2457A">
        <w:rPr>
          <w:rFonts w:asciiTheme="minorHAnsi" w:hAnsiTheme="minorHAnsi" w:cstheme="minorHAnsi"/>
        </w:rPr>
        <w:t xml:space="preserve">ueba </w:t>
      </w:r>
      <w:r w:rsidR="0015359C" w:rsidRPr="00960425">
        <w:rPr>
          <w:rFonts w:asciiTheme="minorHAnsi" w:hAnsiTheme="minorHAnsi" w:cstheme="minorHAnsi"/>
        </w:rPr>
        <w:t>los TDR´s.</w:t>
      </w:r>
    </w:p>
    <w:p w14:paraId="0FF73EFF" w14:textId="77777777" w:rsidR="0015359C" w:rsidRPr="00960425" w:rsidRDefault="0015359C" w:rsidP="00E8744D">
      <w:pPr>
        <w:pStyle w:val="ListParagraph"/>
        <w:numPr>
          <w:ilvl w:val="0"/>
          <w:numId w:val="11"/>
        </w:numPr>
        <w:jc w:val="both"/>
        <w:rPr>
          <w:rFonts w:asciiTheme="minorHAnsi" w:hAnsiTheme="minorHAnsi" w:cstheme="minorHAnsi"/>
        </w:rPr>
      </w:pPr>
      <w:r w:rsidRPr="00960425">
        <w:rPr>
          <w:rFonts w:asciiTheme="minorHAnsi" w:hAnsiTheme="minorHAnsi" w:cstheme="minorHAnsi"/>
        </w:rPr>
        <w:t>Res</w:t>
      </w:r>
      <w:r w:rsidR="00C2457A">
        <w:rPr>
          <w:rFonts w:asciiTheme="minorHAnsi" w:hAnsiTheme="minorHAnsi" w:cstheme="minorHAnsi"/>
        </w:rPr>
        <w:t xml:space="preserve">uelve </w:t>
      </w:r>
      <w:r w:rsidRPr="00960425">
        <w:rPr>
          <w:rFonts w:asciiTheme="minorHAnsi" w:hAnsiTheme="minorHAnsi" w:cstheme="minorHAnsi"/>
        </w:rPr>
        <w:t>la aprobación o negación de financiamiento del ganador o declarar el concurso desierto.</w:t>
      </w:r>
    </w:p>
    <w:p w14:paraId="1B386A45" w14:textId="77777777" w:rsidR="0015359C" w:rsidRPr="00960425" w:rsidRDefault="00B27B08" w:rsidP="00E8744D">
      <w:pPr>
        <w:pStyle w:val="ListParagraph"/>
        <w:numPr>
          <w:ilvl w:val="0"/>
          <w:numId w:val="11"/>
        </w:numPr>
        <w:jc w:val="both"/>
        <w:rPr>
          <w:rFonts w:asciiTheme="minorHAnsi" w:hAnsiTheme="minorHAnsi" w:cstheme="minorHAnsi"/>
        </w:rPr>
      </w:pPr>
      <w:r>
        <w:rPr>
          <w:rFonts w:asciiTheme="minorHAnsi" w:hAnsiTheme="minorHAnsi" w:cstheme="minorHAnsi"/>
        </w:rPr>
        <w:t>Suscrib</w:t>
      </w:r>
      <w:r w:rsidR="00C2457A">
        <w:rPr>
          <w:rFonts w:asciiTheme="minorHAnsi" w:hAnsiTheme="minorHAnsi" w:cstheme="minorHAnsi"/>
        </w:rPr>
        <w:t>e</w:t>
      </w:r>
      <w:r>
        <w:rPr>
          <w:rFonts w:asciiTheme="minorHAnsi" w:hAnsiTheme="minorHAnsi" w:cstheme="minorHAnsi"/>
        </w:rPr>
        <w:t xml:space="preserve"> los</w:t>
      </w:r>
      <w:r w:rsidR="0015359C" w:rsidRPr="00960425">
        <w:rPr>
          <w:rFonts w:asciiTheme="minorHAnsi" w:hAnsiTheme="minorHAnsi" w:cstheme="minorHAnsi"/>
        </w:rPr>
        <w:t xml:space="preserve"> convenio</w:t>
      </w:r>
      <w:r>
        <w:rPr>
          <w:rFonts w:asciiTheme="minorHAnsi" w:hAnsiTheme="minorHAnsi" w:cstheme="minorHAnsi"/>
        </w:rPr>
        <w:t>s</w:t>
      </w:r>
      <w:r w:rsidR="0015359C" w:rsidRPr="00960425">
        <w:rPr>
          <w:rFonts w:asciiTheme="minorHAnsi" w:hAnsiTheme="minorHAnsi" w:cstheme="minorHAnsi"/>
        </w:rPr>
        <w:t xml:space="preserve"> con </w:t>
      </w:r>
      <w:r>
        <w:rPr>
          <w:rFonts w:asciiTheme="minorHAnsi" w:hAnsiTheme="minorHAnsi" w:cstheme="minorHAnsi"/>
        </w:rPr>
        <w:t>los beneficiarios</w:t>
      </w:r>
      <w:r w:rsidR="0015359C" w:rsidRPr="00960425">
        <w:rPr>
          <w:rFonts w:asciiTheme="minorHAnsi" w:hAnsiTheme="minorHAnsi" w:cstheme="minorHAnsi"/>
        </w:rPr>
        <w:t>.</w:t>
      </w:r>
    </w:p>
    <w:p w14:paraId="5E51A44B" w14:textId="77777777" w:rsidR="0015359C" w:rsidRDefault="0015359C" w:rsidP="001B7747">
      <w:pPr>
        <w:spacing w:after="0" w:line="240" w:lineRule="auto"/>
        <w:jc w:val="both"/>
        <w:rPr>
          <w:rFonts w:asciiTheme="minorHAnsi" w:hAnsiTheme="minorHAnsi" w:cstheme="minorHAnsi"/>
          <w:sz w:val="24"/>
          <w:szCs w:val="24"/>
        </w:rPr>
      </w:pPr>
    </w:p>
    <w:p w14:paraId="7D18B92B" w14:textId="77777777" w:rsidR="00B27B08" w:rsidRPr="001B7747" w:rsidRDefault="001B7747" w:rsidP="001B7747">
      <w:pPr>
        <w:spacing w:after="0" w:line="240" w:lineRule="auto"/>
        <w:jc w:val="both"/>
      </w:pPr>
      <w:r>
        <w:rPr>
          <w:rFonts w:asciiTheme="minorHAnsi" w:hAnsiTheme="minorHAnsi" w:cstheme="minorHAnsi"/>
          <w:sz w:val="24"/>
          <w:szCs w:val="24"/>
        </w:rPr>
        <w:t>La UCP podrá conformar un Comité Interno para fines de ejecutar el componente 1.</w:t>
      </w:r>
      <w:bookmarkStart w:id="50" w:name="_Toc324185967"/>
      <w:bookmarkStart w:id="51" w:name="_Toc324196877"/>
      <w:r>
        <w:rPr>
          <w:rFonts w:asciiTheme="minorHAnsi" w:hAnsiTheme="minorHAnsi" w:cstheme="minorHAnsi"/>
          <w:sz w:val="24"/>
          <w:szCs w:val="24"/>
        </w:rPr>
        <w:t xml:space="preserve"> </w:t>
      </w:r>
      <w:r w:rsidR="0013105D" w:rsidRPr="001B7747">
        <w:rPr>
          <w:rFonts w:asciiTheme="minorHAnsi" w:hAnsiTheme="minorHAnsi" w:cstheme="minorHAnsi"/>
          <w:bCs/>
          <w:sz w:val="24"/>
          <w:szCs w:val="24"/>
        </w:rPr>
        <w:t>El Comité tendrá</w:t>
      </w:r>
      <w:r w:rsidR="0013105D" w:rsidRPr="001B7747">
        <w:rPr>
          <w:rFonts w:asciiTheme="minorHAnsi" w:hAnsiTheme="minorHAnsi" w:cstheme="minorHAnsi"/>
          <w:sz w:val="24"/>
          <w:szCs w:val="24"/>
        </w:rPr>
        <w:t xml:space="preserve"> </w:t>
      </w:r>
      <w:r w:rsidR="000B2BFF" w:rsidRPr="001B7747">
        <w:rPr>
          <w:rFonts w:asciiTheme="minorHAnsi" w:hAnsiTheme="minorHAnsi" w:cstheme="minorHAnsi"/>
          <w:sz w:val="24"/>
          <w:szCs w:val="24"/>
        </w:rPr>
        <w:t>entre sus funciones:</w:t>
      </w:r>
      <w:bookmarkEnd w:id="50"/>
      <w:bookmarkEnd w:id="51"/>
    </w:p>
    <w:p w14:paraId="3884A45A" w14:textId="77777777" w:rsidR="00AB7458" w:rsidRPr="00960425" w:rsidRDefault="0015359C" w:rsidP="00E8744D">
      <w:pPr>
        <w:pStyle w:val="ListParagraph"/>
        <w:numPr>
          <w:ilvl w:val="0"/>
          <w:numId w:val="6"/>
        </w:numPr>
        <w:jc w:val="both"/>
        <w:rPr>
          <w:rFonts w:asciiTheme="minorHAnsi" w:eastAsia="Calibri" w:hAnsiTheme="minorHAnsi" w:cstheme="minorHAnsi"/>
        </w:rPr>
      </w:pPr>
      <w:bookmarkStart w:id="52" w:name="_Toc323661653"/>
      <w:bookmarkStart w:id="53" w:name="_Toc323662101"/>
      <w:bookmarkStart w:id="54" w:name="_Toc323662301"/>
      <w:bookmarkStart w:id="55" w:name="_Toc323723164"/>
      <w:bookmarkStart w:id="56" w:name="_Toc324021209"/>
      <w:bookmarkStart w:id="57" w:name="_Toc324021499"/>
      <w:bookmarkStart w:id="58" w:name="_Toc324021670"/>
      <w:r w:rsidRPr="00960425">
        <w:rPr>
          <w:rFonts w:asciiTheme="minorHAnsi" w:eastAsia="Calibri" w:hAnsiTheme="minorHAnsi" w:cstheme="minorHAnsi"/>
        </w:rPr>
        <w:t>Analizar y aprobar en primera instancia las convocatorias</w:t>
      </w:r>
      <w:bookmarkEnd w:id="52"/>
      <w:bookmarkEnd w:id="53"/>
      <w:bookmarkEnd w:id="54"/>
      <w:bookmarkEnd w:id="55"/>
      <w:bookmarkEnd w:id="56"/>
      <w:bookmarkEnd w:id="57"/>
      <w:bookmarkEnd w:id="58"/>
      <w:r w:rsidR="00AB7458" w:rsidRPr="00960425">
        <w:rPr>
          <w:rFonts w:asciiTheme="minorHAnsi" w:eastAsia="Calibri" w:hAnsiTheme="minorHAnsi" w:cstheme="minorHAnsi"/>
        </w:rPr>
        <w:t xml:space="preserve"> y documentos precontractuales</w:t>
      </w:r>
      <w:bookmarkStart w:id="59" w:name="_Toc323661654"/>
      <w:bookmarkStart w:id="60" w:name="_Toc323662102"/>
      <w:bookmarkStart w:id="61" w:name="_Toc323662302"/>
      <w:bookmarkStart w:id="62" w:name="_Toc323723165"/>
      <w:bookmarkStart w:id="63" w:name="_Toc324021210"/>
      <w:bookmarkStart w:id="64" w:name="_Toc324021500"/>
      <w:bookmarkStart w:id="65" w:name="_Toc324021671"/>
      <w:r w:rsidR="001B7747">
        <w:rPr>
          <w:rFonts w:asciiTheme="minorHAnsi" w:eastAsia="Calibri" w:hAnsiTheme="minorHAnsi" w:cstheme="minorHAnsi"/>
        </w:rPr>
        <w:t xml:space="preserve">. </w:t>
      </w:r>
    </w:p>
    <w:p w14:paraId="53A1E2BE" w14:textId="77777777" w:rsidR="0015359C" w:rsidRPr="00960425" w:rsidRDefault="0015359C" w:rsidP="00E8744D">
      <w:pPr>
        <w:pStyle w:val="ListParagraph"/>
        <w:numPr>
          <w:ilvl w:val="0"/>
          <w:numId w:val="6"/>
        </w:numPr>
        <w:jc w:val="both"/>
        <w:rPr>
          <w:rFonts w:asciiTheme="minorHAnsi" w:eastAsia="Calibri" w:hAnsiTheme="minorHAnsi" w:cstheme="minorHAnsi"/>
        </w:rPr>
      </w:pPr>
      <w:r w:rsidRPr="00960425">
        <w:rPr>
          <w:rFonts w:asciiTheme="minorHAnsi" w:eastAsia="Calibri" w:hAnsiTheme="minorHAnsi" w:cstheme="minorHAnsi"/>
        </w:rPr>
        <w:t>Recomendar la aprobación de los proyectos, concursos y demás desembolsos que se vaya</w:t>
      </w:r>
      <w:r w:rsidR="00960425">
        <w:rPr>
          <w:rFonts w:asciiTheme="minorHAnsi" w:eastAsia="Calibri" w:hAnsiTheme="minorHAnsi" w:cstheme="minorHAnsi"/>
        </w:rPr>
        <w:t>n</w:t>
      </w:r>
      <w:r w:rsidRPr="00960425">
        <w:rPr>
          <w:rFonts w:asciiTheme="minorHAnsi" w:eastAsia="Calibri" w:hAnsiTheme="minorHAnsi" w:cstheme="minorHAnsi"/>
        </w:rPr>
        <w:t xml:space="preserve"> a realizar.</w:t>
      </w:r>
      <w:bookmarkEnd w:id="59"/>
      <w:bookmarkEnd w:id="60"/>
      <w:bookmarkEnd w:id="61"/>
      <w:bookmarkEnd w:id="62"/>
      <w:bookmarkEnd w:id="63"/>
      <w:bookmarkEnd w:id="64"/>
      <w:bookmarkEnd w:id="65"/>
    </w:p>
    <w:p w14:paraId="048468E5" w14:textId="77777777" w:rsidR="00722FAF" w:rsidRPr="00960425" w:rsidRDefault="009C516D" w:rsidP="00E8744D">
      <w:pPr>
        <w:pStyle w:val="ListParagraph"/>
        <w:numPr>
          <w:ilvl w:val="0"/>
          <w:numId w:val="6"/>
        </w:numPr>
        <w:jc w:val="both"/>
        <w:rPr>
          <w:rFonts w:asciiTheme="minorHAnsi" w:eastAsia="Calibri" w:hAnsiTheme="minorHAnsi" w:cstheme="minorHAnsi"/>
        </w:rPr>
      </w:pPr>
      <w:r w:rsidRPr="00960425">
        <w:rPr>
          <w:rFonts w:asciiTheme="minorHAnsi" w:eastAsia="Calibri" w:hAnsiTheme="minorHAnsi" w:cstheme="minorHAnsi"/>
        </w:rPr>
        <w:t>Hacer seguimiento mensual de las actividades financiadas con los recursos</w:t>
      </w:r>
      <w:r w:rsidR="001B7747" w:rsidRPr="001B7747">
        <w:rPr>
          <w:rFonts w:asciiTheme="minorHAnsi" w:hAnsiTheme="minorHAnsi" w:cstheme="minorHAnsi"/>
        </w:rPr>
        <w:t xml:space="preserve"> </w:t>
      </w:r>
      <w:r w:rsidR="001B7747">
        <w:rPr>
          <w:rFonts w:asciiTheme="minorHAnsi" w:hAnsiTheme="minorHAnsi" w:cstheme="minorHAnsi"/>
        </w:rPr>
        <w:t>de los concursos</w:t>
      </w:r>
      <w:r w:rsidRPr="00960425">
        <w:rPr>
          <w:rFonts w:asciiTheme="minorHAnsi" w:eastAsia="Calibri" w:hAnsiTheme="minorHAnsi" w:cstheme="minorHAnsi"/>
        </w:rPr>
        <w:t>.</w:t>
      </w:r>
    </w:p>
    <w:p w14:paraId="66B8D2CF" w14:textId="77777777" w:rsidR="00722FAF" w:rsidRDefault="009C516D" w:rsidP="00E8744D">
      <w:pPr>
        <w:pStyle w:val="ListParagraph"/>
        <w:numPr>
          <w:ilvl w:val="0"/>
          <w:numId w:val="6"/>
        </w:numPr>
        <w:jc w:val="both"/>
        <w:rPr>
          <w:rFonts w:asciiTheme="minorHAnsi" w:eastAsia="Calibri" w:hAnsiTheme="minorHAnsi" w:cstheme="minorHAnsi"/>
        </w:rPr>
      </w:pPr>
      <w:r w:rsidRPr="00960425">
        <w:rPr>
          <w:rFonts w:asciiTheme="minorHAnsi" w:eastAsia="Calibri" w:hAnsiTheme="minorHAnsi" w:cstheme="minorHAnsi"/>
        </w:rPr>
        <w:t>Revisar el diseño de concursos y</w:t>
      </w:r>
      <w:r w:rsidR="008076C3">
        <w:rPr>
          <w:rFonts w:asciiTheme="minorHAnsi" w:eastAsia="Calibri" w:hAnsiTheme="minorHAnsi" w:cstheme="minorHAnsi"/>
        </w:rPr>
        <w:t xml:space="preserve"> calificación,</w:t>
      </w:r>
      <w:r w:rsidRPr="00960425">
        <w:rPr>
          <w:rFonts w:asciiTheme="minorHAnsi" w:eastAsia="Calibri" w:hAnsiTheme="minorHAnsi" w:cstheme="minorHAnsi"/>
        </w:rPr>
        <w:t xml:space="preserve"> hacer recomendaciones </w:t>
      </w:r>
      <w:r w:rsidR="008076C3">
        <w:rPr>
          <w:rFonts w:asciiTheme="minorHAnsi" w:eastAsia="Calibri" w:hAnsiTheme="minorHAnsi" w:cstheme="minorHAnsi"/>
        </w:rPr>
        <w:t>que correspondan</w:t>
      </w:r>
      <w:r w:rsidRPr="00960425">
        <w:rPr>
          <w:rFonts w:asciiTheme="minorHAnsi" w:eastAsia="Calibri" w:hAnsiTheme="minorHAnsi" w:cstheme="minorHAnsi"/>
        </w:rPr>
        <w:t xml:space="preserve">. </w:t>
      </w:r>
    </w:p>
    <w:p w14:paraId="5B7C4330" w14:textId="77777777" w:rsidR="00B27B08" w:rsidRPr="00960425" w:rsidRDefault="00B27B08" w:rsidP="00E8744D">
      <w:pPr>
        <w:pStyle w:val="ListParagraph"/>
        <w:numPr>
          <w:ilvl w:val="0"/>
          <w:numId w:val="6"/>
        </w:numPr>
        <w:jc w:val="both"/>
        <w:rPr>
          <w:rFonts w:asciiTheme="minorHAnsi" w:eastAsia="Calibri" w:hAnsiTheme="minorHAnsi" w:cstheme="minorHAnsi"/>
        </w:rPr>
      </w:pPr>
      <w:r>
        <w:rPr>
          <w:rFonts w:asciiTheme="minorHAnsi" w:eastAsia="Calibri" w:hAnsiTheme="minorHAnsi" w:cstheme="minorHAnsi"/>
        </w:rPr>
        <w:lastRenderedPageBreak/>
        <w:t>Evaluar y opinar sobre proyectos precontractuales elaborados por el equipo técnico.</w:t>
      </w:r>
    </w:p>
    <w:p w14:paraId="492A692B" w14:textId="77777777" w:rsidR="001B7747" w:rsidRDefault="001B7747" w:rsidP="00B27B08">
      <w:pPr>
        <w:jc w:val="both"/>
        <w:rPr>
          <w:rFonts w:asciiTheme="minorHAnsi" w:hAnsiTheme="minorHAnsi" w:cstheme="minorHAnsi"/>
          <w:sz w:val="24"/>
          <w:szCs w:val="24"/>
          <w:lang w:val="es-ES" w:eastAsia="es-ES"/>
        </w:rPr>
      </w:pPr>
    </w:p>
    <w:p w14:paraId="7B118390" w14:textId="77777777" w:rsidR="00B27B08" w:rsidRPr="00B27B08" w:rsidRDefault="00B27B08" w:rsidP="00B27B08">
      <w:pPr>
        <w:jc w:val="both"/>
        <w:rPr>
          <w:rFonts w:asciiTheme="minorHAnsi" w:hAnsiTheme="minorHAnsi" w:cstheme="minorHAnsi"/>
          <w:sz w:val="24"/>
          <w:szCs w:val="24"/>
          <w:lang w:val="es-ES" w:eastAsia="es-ES"/>
        </w:rPr>
      </w:pPr>
      <w:r w:rsidRPr="00B27B08">
        <w:rPr>
          <w:rFonts w:asciiTheme="minorHAnsi" w:hAnsiTheme="minorHAnsi" w:cstheme="minorHAnsi"/>
          <w:sz w:val="24"/>
          <w:szCs w:val="24"/>
          <w:lang w:val="es-ES" w:eastAsia="es-ES"/>
        </w:rPr>
        <w:t>Las decisiones del Comité serán formalizadas mediante la preparación del acta correspondiente la cual deberá ser suscrita por todos los participantes.</w:t>
      </w:r>
    </w:p>
    <w:p w14:paraId="69F12F8F" w14:textId="77777777" w:rsidR="0015359C" w:rsidRDefault="0015359C" w:rsidP="000B2BFF">
      <w:pPr>
        <w:pStyle w:val="CommentText"/>
        <w:spacing w:after="0"/>
        <w:ind w:left="360"/>
        <w:rPr>
          <w:rFonts w:asciiTheme="minorHAnsi" w:eastAsia="Times New Roman" w:hAnsiTheme="minorHAnsi" w:cstheme="minorHAnsi"/>
          <w:bCs/>
          <w:sz w:val="24"/>
          <w:szCs w:val="24"/>
          <w:lang w:val="es-ES" w:eastAsia="es-ES"/>
        </w:rPr>
      </w:pPr>
    </w:p>
    <w:p w14:paraId="64BA71B7" w14:textId="77777777" w:rsidR="00F40443" w:rsidRPr="00F40443" w:rsidRDefault="00F40443" w:rsidP="00E8744D">
      <w:pPr>
        <w:pStyle w:val="CommentText"/>
        <w:numPr>
          <w:ilvl w:val="1"/>
          <w:numId w:val="5"/>
        </w:numPr>
        <w:spacing w:after="0"/>
        <w:outlineLvl w:val="1"/>
        <w:rPr>
          <w:rFonts w:asciiTheme="minorHAnsi" w:eastAsia="Times New Roman" w:hAnsiTheme="minorHAnsi" w:cstheme="minorHAnsi"/>
          <w:b/>
          <w:bCs/>
          <w:sz w:val="24"/>
          <w:szCs w:val="24"/>
          <w:lang w:val="es-ES" w:eastAsia="es-ES"/>
        </w:rPr>
      </w:pPr>
      <w:bookmarkStart w:id="66" w:name="_Toc324196878"/>
      <w:r w:rsidRPr="00F40443">
        <w:rPr>
          <w:rFonts w:asciiTheme="minorHAnsi" w:eastAsia="Times New Roman" w:hAnsiTheme="minorHAnsi" w:cstheme="minorHAnsi"/>
          <w:b/>
          <w:bCs/>
          <w:sz w:val="24"/>
          <w:szCs w:val="24"/>
          <w:lang w:val="es-ES" w:eastAsia="es-ES"/>
        </w:rPr>
        <w:t>Equipo Técnico</w:t>
      </w:r>
      <w:bookmarkEnd w:id="66"/>
    </w:p>
    <w:p w14:paraId="5FA9617B" w14:textId="77777777" w:rsidR="00F40443" w:rsidRDefault="00F40443" w:rsidP="00C57AB5">
      <w:pPr>
        <w:spacing w:after="0" w:line="240" w:lineRule="auto"/>
        <w:jc w:val="both"/>
        <w:rPr>
          <w:rFonts w:asciiTheme="minorHAnsi" w:hAnsiTheme="minorHAnsi" w:cstheme="minorHAnsi"/>
          <w:sz w:val="24"/>
          <w:szCs w:val="24"/>
        </w:rPr>
      </w:pPr>
    </w:p>
    <w:p w14:paraId="000D8A06" w14:textId="77777777" w:rsidR="0015359C" w:rsidRPr="00C57AB5" w:rsidRDefault="00F40443" w:rsidP="001B7747">
      <w:pPr>
        <w:spacing w:after="0" w:line="240" w:lineRule="auto"/>
        <w:jc w:val="both"/>
        <w:rPr>
          <w:rFonts w:asciiTheme="minorHAnsi" w:hAnsiTheme="minorHAnsi" w:cstheme="minorHAnsi"/>
          <w:b/>
          <w:bCs/>
          <w:sz w:val="24"/>
          <w:szCs w:val="24"/>
        </w:rPr>
      </w:pPr>
      <w:r>
        <w:rPr>
          <w:rFonts w:asciiTheme="minorHAnsi" w:hAnsiTheme="minorHAnsi" w:cstheme="minorHAnsi"/>
          <w:sz w:val="24"/>
          <w:szCs w:val="24"/>
        </w:rPr>
        <w:t>E</w:t>
      </w:r>
      <w:r w:rsidR="0015359C" w:rsidRPr="00C57AB5">
        <w:rPr>
          <w:rFonts w:asciiTheme="minorHAnsi" w:hAnsiTheme="minorHAnsi" w:cstheme="minorHAnsi"/>
          <w:sz w:val="24"/>
          <w:szCs w:val="24"/>
        </w:rPr>
        <w:t>l equipo técnico será el responsable de la administración técnica, operativa, financiera y de las adquisiciones del Programa.</w:t>
      </w:r>
      <w:r w:rsidR="001B7747">
        <w:rPr>
          <w:rFonts w:asciiTheme="minorHAnsi" w:hAnsiTheme="minorHAnsi" w:cstheme="minorHAnsi"/>
          <w:sz w:val="24"/>
          <w:szCs w:val="24"/>
        </w:rPr>
        <w:t xml:space="preserve"> </w:t>
      </w:r>
      <w:bookmarkStart w:id="67" w:name="_Toc323127596"/>
      <w:bookmarkStart w:id="68" w:name="_Toc323217709"/>
      <w:bookmarkStart w:id="69" w:name="_Toc323635512"/>
      <w:bookmarkStart w:id="70" w:name="_Toc323636018"/>
      <w:bookmarkStart w:id="71" w:name="_Toc323661656"/>
      <w:bookmarkStart w:id="72" w:name="_Toc323662104"/>
      <w:bookmarkStart w:id="73" w:name="_Toc323662304"/>
      <w:bookmarkStart w:id="74" w:name="_Toc323723167"/>
      <w:bookmarkStart w:id="75" w:name="_Toc324021212"/>
      <w:bookmarkStart w:id="76" w:name="_Toc324021502"/>
      <w:bookmarkStart w:id="77" w:name="_Toc324021673"/>
      <w:bookmarkStart w:id="78" w:name="_Toc324185969"/>
      <w:bookmarkStart w:id="79" w:name="_Toc324196879"/>
      <w:r w:rsidR="0015359C" w:rsidRPr="001B7747">
        <w:rPr>
          <w:rFonts w:asciiTheme="minorHAnsi" w:hAnsiTheme="minorHAnsi" w:cstheme="minorHAnsi"/>
          <w:bCs/>
          <w:sz w:val="24"/>
          <w:szCs w:val="24"/>
        </w:rPr>
        <w:t>Las funciones de cada uno de los integrantes del equipo técnico se describen a continuación:</w:t>
      </w:r>
      <w:bookmarkEnd w:id="67"/>
      <w:bookmarkEnd w:id="68"/>
      <w:bookmarkEnd w:id="69"/>
      <w:bookmarkEnd w:id="70"/>
      <w:bookmarkEnd w:id="71"/>
      <w:bookmarkEnd w:id="72"/>
      <w:bookmarkEnd w:id="73"/>
      <w:bookmarkEnd w:id="74"/>
      <w:bookmarkEnd w:id="75"/>
      <w:bookmarkEnd w:id="76"/>
      <w:bookmarkEnd w:id="77"/>
      <w:bookmarkEnd w:id="78"/>
      <w:bookmarkEnd w:id="79"/>
    </w:p>
    <w:p w14:paraId="2274AF98" w14:textId="77777777" w:rsidR="0015359C" w:rsidRPr="00C57AB5" w:rsidRDefault="0015359C" w:rsidP="00C57AB5">
      <w:pPr>
        <w:spacing w:after="0" w:line="240" w:lineRule="auto"/>
        <w:jc w:val="both"/>
        <w:rPr>
          <w:rFonts w:asciiTheme="minorHAnsi" w:hAnsiTheme="minorHAnsi" w:cstheme="minorHAnsi"/>
          <w:sz w:val="24"/>
          <w:szCs w:val="24"/>
        </w:rPr>
      </w:pPr>
    </w:p>
    <w:p w14:paraId="71812286" w14:textId="77777777" w:rsidR="00D17EDF" w:rsidRDefault="00D17EDF" w:rsidP="00E8744D">
      <w:pPr>
        <w:pStyle w:val="Default"/>
        <w:numPr>
          <w:ilvl w:val="0"/>
          <w:numId w:val="12"/>
        </w:numPr>
        <w:jc w:val="both"/>
        <w:rPr>
          <w:rFonts w:asciiTheme="minorHAnsi" w:hAnsiTheme="minorHAnsi" w:cstheme="minorHAnsi"/>
          <w:bCs/>
          <w:color w:val="auto"/>
          <w:lang w:eastAsia="en-US"/>
        </w:rPr>
      </w:pPr>
      <w:r>
        <w:rPr>
          <w:rFonts w:asciiTheme="minorHAnsi" w:hAnsiTheme="minorHAnsi" w:cstheme="minorHAnsi"/>
          <w:bCs/>
          <w:color w:val="auto"/>
          <w:lang w:eastAsia="en-US"/>
        </w:rPr>
        <w:t>Coordinador:</w:t>
      </w:r>
    </w:p>
    <w:p w14:paraId="02166106" w14:textId="77777777" w:rsidR="00D17EDF" w:rsidRDefault="00D17EDF">
      <w:pPr>
        <w:pStyle w:val="Default"/>
        <w:jc w:val="both"/>
        <w:rPr>
          <w:rFonts w:asciiTheme="minorHAnsi" w:hAnsiTheme="minorHAnsi" w:cstheme="minorHAnsi"/>
          <w:bCs/>
          <w:color w:val="auto"/>
          <w:lang w:eastAsia="en-US"/>
        </w:rPr>
      </w:pPr>
    </w:p>
    <w:p w14:paraId="2F94DDDA" w14:textId="77777777" w:rsidR="001541D3" w:rsidRDefault="002210B8">
      <w:pPr>
        <w:pStyle w:val="Default"/>
        <w:jc w:val="both"/>
        <w:rPr>
          <w:rFonts w:asciiTheme="minorHAnsi" w:hAnsiTheme="minorHAnsi" w:cstheme="minorHAnsi"/>
          <w:bCs/>
          <w:color w:val="auto"/>
          <w:lang w:eastAsia="en-US"/>
        </w:rPr>
      </w:pPr>
      <w:r w:rsidRPr="001B7747">
        <w:rPr>
          <w:rFonts w:asciiTheme="minorHAnsi" w:hAnsiTheme="minorHAnsi" w:cstheme="minorHAnsi"/>
          <w:bCs/>
          <w:color w:val="auto"/>
          <w:lang w:eastAsia="en-US"/>
        </w:rPr>
        <w:t>Perfil profesional:</w:t>
      </w:r>
      <w:r w:rsidRPr="002210B8">
        <w:rPr>
          <w:rFonts w:asciiTheme="minorHAnsi" w:hAnsiTheme="minorHAnsi" w:cstheme="minorHAnsi"/>
          <w:bCs/>
          <w:color w:val="auto"/>
          <w:lang w:eastAsia="en-US"/>
        </w:rPr>
        <w:t xml:space="preserve"> Profesional con especialización en </w:t>
      </w:r>
      <w:r w:rsidR="001541D3">
        <w:rPr>
          <w:rFonts w:asciiTheme="minorHAnsi" w:hAnsiTheme="minorHAnsi" w:cstheme="minorHAnsi"/>
          <w:bCs/>
          <w:color w:val="auto"/>
          <w:lang w:eastAsia="en-US"/>
        </w:rPr>
        <w:t>economía</w:t>
      </w:r>
      <w:r w:rsidRPr="002210B8">
        <w:rPr>
          <w:rFonts w:asciiTheme="minorHAnsi" w:hAnsiTheme="minorHAnsi" w:cstheme="minorHAnsi"/>
          <w:bCs/>
          <w:color w:val="auto"/>
          <w:lang w:eastAsia="en-US"/>
        </w:rPr>
        <w:t>,</w:t>
      </w:r>
      <w:r w:rsidR="00722FAF" w:rsidRPr="00C57AB5">
        <w:rPr>
          <w:rFonts w:asciiTheme="minorHAnsi" w:hAnsiTheme="minorHAnsi" w:cstheme="minorHAnsi"/>
          <w:bCs/>
          <w:color w:val="auto"/>
          <w:lang w:eastAsia="en-US"/>
        </w:rPr>
        <w:t xml:space="preserve"> administración de</w:t>
      </w:r>
      <w:r w:rsidRPr="002210B8">
        <w:rPr>
          <w:rFonts w:asciiTheme="minorHAnsi" w:hAnsiTheme="minorHAnsi" w:cstheme="minorHAnsi"/>
          <w:bCs/>
          <w:color w:val="auto"/>
          <w:lang w:eastAsia="en-US"/>
        </w:rPr>
        <w:t xml:space="preserve"> empresas, derecho </w:t>
      </w:r>
      <w:r w:rsidR="001541D3">
        <w:rPr>
          <w:rFonts w:asciiTheme="minorHAnsi" w:hAnsiTheme="minorHAnsi" w:cstheme="minorHAnsi"/>
          <w:bCs/>
          <w:color w:val="auto"/>
          <w:lang w:eastAsia="en-US"/>
        </w:rPr>
        <w:t>u</w:t>
      </w:r>
      <w:r w:rsidRPr="002210B8">
        <w:rPr>
          <w:rFonts w:asciiTheme="minorHAnsi" w:hAnsiTheme="minorHAnsi" w:cstheme="minorHAnsi"/>
          <w:bCs/>
          <w:color w:val="auto"/>
          <w:lang w:eastAsia="en-US"/>
        </w:rPr>
        <w:t xml:space="preserve"> otras ciencias afines, con experiencia </w:t>
      </w:r>
      <w:r w:rsidR="001541D3">
        <w:rPr>
          <w:rFonts w:asciiTheme="minorHAnsi" w:hAnsiTheme="minorHAnsi" w:cstheme="minorHAnsi"/>
          <w:bCs/>
          <w:color w:val="auto"/>
          <w:lang w:eastAsia="en-US"/>
        </w:rPr>
        <w:t xml:space="preserve">de por lo menos 10 años en: el sector financiero, en entidades de regulación y supervisión; </w:t>
      </w:r>
      <w:r w:rsidR="00C522B8">
        <w:rPr>
          <w:rFonts w:asciiTheme="minorHAnsi" w:hAnsiTheme="minorHAnsi" w:cstheme="minorHAnsi"/>
          <w:bCs/>
          <w:color w:val="auto"/>
          <w:lang w:eastAsia="en-US"/>
        </w:rPr>
        <w:t>o</w:t>
      </w:r>
      <w:r w:rsidR="001541D3">
        <w:rPr>
          <w:rFonts w:asciiTheme="minorHAnsi" w:hAnsiTheme="minorHAnsi" w:cstheme="minorHAnsi"/>
          <w:bCs/>
          <w:color w:val="auto"/>
          <w:lang w:eastAsia="en-US"/>
        </w:rPr>
        <w:t xml:space="preserve">, en programas de </w:t>
      </w:r>
      <w:r w:rsidR="00C522B8">
        <w:rPr>
          <w:rFonts w:asciiTheme="minorHAnsi" w:hAnsiTheme="minorHAnsi" w:cstheme="minorHAnsi"/>
          <w:bCs/>
          <w:color w:val="auto"/>
          <w:lang w:eastAsia="en-US"/>
        </w:rPr>
        <w:t xml:space="preserve">apoyo y/o fortalecimiento </w:t>
      </w:r>
      <w:r w:rsidR="001541D3">
        <w:rPr>
          <w:rFonts w:asciiTheme="minorHAnsi" w:hAnsiTheme="minorHAnsi" w:cstheme="minorHAnsi"/>
          <w:bCs/>
          <w:color w:val="auto"/>
          <w:lang w:eastAsia="en-US"/>
        </w:rPr>
        <w:t xml:space="preserve">del sector financiero. </w:t>
      </w:r>
    </w:p>
    <w:p w14:paraId="7D0FB049" w14:textId="77777777" w:rsidR="001541D3" w:rsidRDefault="001541D3">
      <w:pPr>
        <w:pStyle w:val="Default"/>
        <w:jc w:val="both"/>
        <w:rPr>
          <w:rFonts w:asciiTheme="minorHAnsi" w:hAnsiTheme="minorHAnsi" w:cstheme="minorHAnsi"/>
          <w:b/>
          <w:bCs/>
        </w:rPr>
      </w:pPr>
    </w:p>
    <w:p w14:paraId="5DEAEB49" w14:textId="77777777" w:rsidR="0015359C" w:rsidRPr="001B7747" w:rsidRDefault="0015359C" w:rsidP="00C57AB5">
      <w:pPr>
        <w:spacing w:after="0" w:line="240" w:lineRule="auto"/>
        <w:jc w:val="both"/>
        <w:rPr>
          <w:rFonts w:asciiTheme="minorHAnsi" w:hAnsiTheme="minorHAnsi" w:cstheme="minorHAnsi"/>
          <w:bCs/>
          <w:sz w:val="24"/>
          <w:szCs w:val="24"/>
        </w:rPr>
      </w:pPr>
      <w:r w:rsidRPr="001B7747">
        <w:rPr>
          <w:rFonts w:asciiTheme="minorHAnsi" w:hAnsiTheme="minorHAnsi" w:cstheme="minorHAnsi"/>
          <w:bCs/>
          <w:sz w:val="24"/>
          <w:szCs w:val="24"/>
        </w:rPr>
        <w:t xml:space="preserve">Funciones: </w:t>
      </w:r>
    </w:p>
    <w:p w14:paraId="185138A6" w14:textId="77777777" w:rsidR="0015359C" w:rsidRPr="00C57AB5" w:rsidRDefault="0015359C" w:rsidP="00C57AB5">
      <w:pPr>
        <w:spacing w:after="0" w:line="240" w:lineRule="auto"/>
        <w:jc w:val="both"/>
        <w:rPr>
          <w:rFonts w:asciiTheme="minorHAnsi" w:hAnsiTheme="minorHAnsi" w:cstheme="minorHAnsi"/>
          <w:b/>
          <w:bCs/>
          <w:sz w:val="24"/>
          <w:szCs w:val="24"/>
        </w:rPr>
      </w:pPr>
    </w:p>
    <w:p w14:paraId="7EF6E5B5" w14:textId="77777777" w:rsidR="0015359C" w:rsidRPr="00C57AB5" w:rsidRDefault="001541D3" w:rsidP="00E8744D">
      <w:pPr>
        <w:pStyle w:val="ListParagraph"/>
        <w:numPr>
          <w:ilvl w:val="0"/>
          <w:numId w:val="2"/>
        </w:numPr>
        <w:jc w:val="both"/>
        <w:rPr>
          <w:rFonts w:asciiTheme="minorHAnsi" w:hAnsiTheme="minorHAnsi" w:cstheme="minorHAnsi"/>
        </w:rPr>
      </w:pPr>
      <w:r w:rsidRPr="001541D3">
        <w:rPr>
          <w:rFonts w:asciiTheme="minorHAnsi" w:hAnsiTheme="minorHAnsi" w:cstheme="minorHAnsi"/>
          <w:bCs/>
        </w:rPr>
        <w:t xml:space="preserve">Dirigir, planear y evaluar las actividades generales del área de acuerdo con los lineamientos del </w:t>
      </w:r>
      <w:r w:rsidR="00E9605E">
        <w:rPr>
          <w:rFonts w:asciiTheme="minorHAnsi" w:hAnsiTheme="minorHAnsi" w:cstheme="minorHAnsi"/>
          <w:bCs/>
        </w:rPr>
        <w:t>ROP</w:t>
      </w:r>
      <w:r w:rsidR="00966E49">
        <w:rPr>
          <w:rFonts w:asciiTheme="minorHAnsi" w:hAnsiTheme="minorHAnsi" w:cstheme="minorHAnsi"/>
          <w:bCs/>
        </w:rPr>
        <w:t>,</w:t>
      </w:r>
      <w:r w:rsidRPr="001541D3">
        <w:rPr>
          <w:rFonts w:asciiTheme="minorHAnsi" w:hAnsiTheme="minorHAnsi" w:cstheme="minorHAnsi"/>
          <w:bCs/>
        </w:rPr>
        <w:t xml:space="preserve"> el </w:t>
      </w:r>
      <w:r w:rsidR="00966E49">
        <w:rPr>
          <w:rFonts w:asciiTheme="minorHAnsi" w:hAnsiTheme="minorHAnsi" w:cstheme="minorHAnsi"/>
          <w:bCs/>
        </w:rPr>
        <w:t>Contrato de Préstamo con el BID y</w:t>
      </w:r>
      <w:r w:rsidR="0015359C" w:rsidRPr="00C57AB5">
        <w:rPr>
          <w:rFonts w:asciiTheme="minorHAnsi" w:hAnsiTheme="minorHAnsi" w:cstheme="minorHAnsi"/>
        </w:rPr>
        <w:t xml:space="preserve"> directrices del </w:t>
      </w:r>
      <w:r w:rsidR="001B7747">
        <w:rPr>
          <w:rFonts w:asciiTheme="minorHAnsi" w:hAnsiTheme="minorHAnsi" w:cstheme="minorHAnsi"/>
        </w:rPr>
        <w:t>MF</w:t>
      </w:r>
      <w:r w:rsidR="0015359C" w:rsidRPr="00C57AB5">
        <w:rPr>
          <w:rFonts w:asciiTheme="minorHAnsi" w:hAnsiTheme="minorHAnsi" w:cstheme="minorHAnsi"/>
        </w:rPr>
        <w:t>.</w:t>
      </w:r>
    </w:p>
    <w:p w14:paraId="60D753CD"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Preparar y presentar la asignación de recursos para los programa</w:t>
      </w:r>
      <w:r w:rsidR="00966E49">
        <w:rPr>
          <w:rFonts w:asciiTheme="minorHAnsi" w:hAnsiTheme="minorHAnsi" w:cstheme="minorHAnsi"/>
          <w:sz w:val="24"/>
          <w:szCs w:val="24"/>
        </w:rPr>
        <w:t>s</w:t>
      </w:r>
      <w:r w:rsidRPr="00C57AB5">
        <w:rPr>
          <w:rFonts w:asciiTheme="minorHAnsi" w:hAnsiTheme="minorHAnsi" w:cstheme="minorHAnsi"/>
          <w:sz w:val="24"/>
          <w:szCs w:val="24"/>
        </w:rPr>
        <w:t>.</w:t>
      </w:r>
    </w:p>
    <w:p w14:paraId="3FB6D3D6"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Presentar informes periódicos.</w:t>
      </w:r>
    </w:p>
    <w:p w14:paraId="63E995F3"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Participar activamente en el diseño, puesta en marcha y evaluación de los incentivos a ser administrados por </w:t>
      </w:r>
      <w:r w:rsidR="001B7747">
        <w:rPr>
          <w:rFonts w:asciiTheme="minorHAnsi" w:hAnsiTheme="minorHAnsi" w:cstheme="minorHAnsi"/>
          <w:sz w:val="24"/>
          <w:szCs w:val="24"/>
        </w:rPr>
        <w:t>los concursos</w:t>
      </w:r>
      <w:r w:rsidRPr="00C57AB5">
        <w:rPr>
          <w:rFonts w:asciiTheme="minorHAnsi" w:hAnsiTheme="minorHAnsi" w:cstheme="minorHAnsi"/>
          <w:sz w:val="24"/>
          <w:szCs w:val="24"/>
        </w:rPr>
        <w:t>.</w:t>
      </w:r>
    </w:p>
    <w:p w14:paraId="132A89FC"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Diseñar, formular y evaluar los planes y políticas </w:t>
      </w:r>
      <w:r w:rsidR="001B7747">
        <w:rPr>
          <w:rFonts w:asciiTheme="minorHAnsi" w:hAnsiTheme="minorHAnsi" w:cstheme="minorHAnsi"/>
          <w:sz w:val="24"/>
          <w:szCs w:val="24"/>
        </w:rPr>
        <w:t>de los concursos</w:t>
      </w:r>
      <w:r w:rsidR="001B7747" w:rsidRPr="00C57AB5">
        <w:rPr>
          <w:rFonts w:asciiTheme="minorHAnsi" w:hAnsiTheme="minorHAnsi" w:cstheme="minorHAnsi"/>
          <w:sz w:val="24"/>
          <w:szCs w:val="24"/>
        </w:rPr>
        <w:t>.</w:t>
      </w:r>
    </w:p>
    <w:p w14:paraId="61FC41F1"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Servir de interlocutor con las autoridades de regulación y supervisión para promover modificaciones que afectan la prestación de servicios financieros por parte de las IFIs.</w:t>
      </w:r>
    </w:p>
    <w:p w14:paraId="257A99A3"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Preparar y presentar el avance de ejecución del presupuesto y programas de inversión </w:t>
      </w:r>
      <w:r w:rsidR="001B7747">
        <w:rPr>
          <w:rFonts w:asciiTheme="minorHAnsi" w:hAnsiTheme="minorHAnsi" w:cstheme="minorHAnsi"/>
          <w:sz w:val="24"/>
          <w:szCs w:val="24"/>
        </w:rPr>
        <w:t>de los concursos</w:t>
      </w:r>
      <w:r w:rsidRPr="00C57AB5">
        <w:rPr>
          <w:rFonts w:asciiTheme="minorHAnsi" w:hAnsiTheme="minorHAnsi" w:cstheme="minorHAnsi"/>
          <w:sz w:val="24"/>
          <w:szCs w:val="24"/>
        </w:rPr>
        <w:t>.</w:t>
      </w:r>
    </w:p>
    <w:p w14:paraId="6B64C8F2"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Controlar la asignación y adjudicación de los recursos de los programas y subprogramas de inversión.</w:t>
      </w:r>
    </w:p>
    <w:p w14:paraId="147DD7BD"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Coordinar la preparación, revisar y aprobar los informes que se presentan al BID.</w:t>
      </w:r>
    </w:p>
    <w:p w14:paraId="3ACA2FD3"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Efectuar reuniones de coordinación, evaluación y seguimiento de las labores que desarrollan.</w:t>
      </w:r>
    </w:p>
    <w:p w14:paraId="79997409" w14:textId="77777777" w:rsidR="00D91F5B" w:rsidRPr="00966E49" w:rsidRDefault="00D91F5B" w:rsidP="00E8744D">
      <w:pPr>
        <w:numPr>
          <w:ilvl w:val="0"/>
          <w:numId w:val="2"/>
        </w:numPr>
        <w:spacing w:after="0" w:line="240" w:lineRule="auto"/>
        <w:jc w:val="both"/>
        <w:rPr>
          <w:rFonts w:asciiTheme="minorHAnsi" w:hAnsiTheme="minorHAnsi" w:cstheme="minorHAnsi"/>
          <w:sz w:val="24"/>
          <w:szCs w:val="24"/>
        </w:rPr>
      </w:pPr>
      <w:r w:rsidRPr="0069659B">
        <w:rPr>
          <w:rFonts w:asciiTheme="minorHAnsi" w:hAnsiTheme="minorHAnsi" w:cstheme="minorHAnsi"/>
          <w:sz w:val="24"/>
          <w:szCs w:val="24"/>
        </w:rPr>
        <w:t xml:space="preserve">Presentar las iniciativas al Comité Interno </w:t>
      </w:r>
      <w:r w:rsidR="00966E49" w:rsidRPr="0069659B">
        <w:rPr>
          <w:rFonts w:asciiTheme="minorHAnsi" w:hAnsiTheme="minorHAnsi" w:cstheme="minorHAnsi"/>
          <w:sz w:val="24"/>
          <w:szCs w:val="24"/>
        </w:rPr>
        <w:t>y a</w:t>
      </w:r>
      <w:r w:rsidRPr="0069659B">
        <w:rPr>
          <w:rFonts w:asciiTheme="minorHAnsi" w:hAnsiTheme="minorHAnsi" w:cstheme="minorHAnsi"/>
          <w:sz w:val="24"/>
          <w:szCs w:val="24"/>
        </w:rPr>
        <w:t>tender</w:t>
      </w:r>
      <w:r w:rsidR="00966E49" w:rsidRPr="0069659B">
        <w:rPr>
          <w:rFonts w:asciiTheme="minorHAnsi" w:hAnsiTheme="minorHAnsi" w:cstheme="minorHAnsi"/>
          <w:sz w:val="24"/>
          <w:szCs w:val="24"/>
        </w:rPr>
        <w:t xml:space="preserve"> los lineamientos y recomendaciones impartidas por él.</w:t>
      </w:r>
    </w:p>
    <w:p w14:paraId="0F057AED" w14:textId="77777777" w:rsidR="0015359C" w:rsidRPr="00C57AB5" w:rsidRDefault="0015359C" w:rsidP="00E8744D">
      <w:pPr>
        <w:numPr>
          <w:ilvl w:val="0"/>
          <w:numId w:val="2"/>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Otras actividades relacionadas directa o indirectamente con las funciones antes indicadas y los objetivos del Programa instruidas por autoridad competente</w:t>
      </w:r>
      <w:r w:rsidR="00E81ED7">
        <w:rPr>
          <w:rFonts w:asciiTheme="minorHAnsi" w:hAnsiTheme="minorHAnsi" w:cstheme="minorHAnsi"/>
          <w:sz w:val="24"/>
          <w:szCs w:val="24"/>
        </w:rPr>
        <w:t>.</w:t>
      </w:r>
    </w:p>
    <w:p w14:paraId="6049A119" w14:textId="77777777" w:rsidR="0015359C" w:rsidRDefault="0015359C" w:rsidP="00C57AB5">
      <w:pPr>
        <w:spacing w:after="0" w:line="240" w:lineRule="auto"/>
        <w:jc w:val="both"/>
        <w:rPr>
          <w:rFonts w:asciiTheme="minorHAnsi" w:hAnsiTheme="minorHAnsi" w:cstheme="minorHAnsi"/>
        </w:rPr>
      </w:pPr>
    </w:p>
    <w:p w14:paraId="03B63578" w14:textId="77777777" w:rsidR="00D17EDF" w:rsidRDefault="00D17EDF" w:rsidP="00E8744D">
      <w:pPr>
        <w:pStyle w:val="Default"/>
        <w:numPr>
          <w:ilvl w:val="0"/>
          <w:numId w:val="12"/>
        </w:numPr>
        <w:jc w:val="both"/>
        <w:rPr>
          <w:rFonts w:asciiTheme="minorHAnsi" w:hAnsiTheme="minorHAnsi" w:cstheme="minorHAnsi"/>
          <w:bCs/>
          <w:color w:val="auto"/>
          <w:lang w:eastAsia="en-US"/>
        </w:rPr>
      </w:pPr>
      <w:r>
        <w:rPr>
          <w:rFonts w:asciiTheme="minorHAnsi" w:hAnsiTheme="minorHAnsi" w:cstheme="minorHAnsi"/>
          <w:bCs/>
          <w:color w:val="auto"/>
          <w:lang w:eastAsia="en-US"/>
        </w:rPr>
        <w:lastRenderedPageBreak/>
        <w:t>Experto técnico:</w:t>
      </w:r>
    </w:p>
    <w:p w14:paraId="002DF9F7" w14:textId="77777777" w:rsidR="00D17EDF" w:rsidRDefault="00D17EDF">
      <w:pPr>
        <w:pStyle w:val="Default"/>
        <w:jc w:val="both"/>
        <w:rPr>
          <w:rFonts w:asciiTheme="minorHAnsi" w:hAnsiTheme="minorHAnsi" w:cstheme="minorHAnsi"/>
          <w:color w:val="auto"/>
          <w:lang w:eastAsia="en-US"/>
        </w:rPr>
      </w:pPr>
    </w:p>
    <w:p w14:paraId="7EDB2323" w14:textId="77777777" w:rsidR="001541D3" w:rsidRDefault="002210B8" w:rsidP="00D17EDF">
      <w:pPr>
        <w:pStyle w:val="Default"/>
        <w:jc w:val="both"/>
        <w:rPr>
          <w:rFonts w:asciiTheme="minorHAnsi" w:hAnsiTheme="minorHAnsi" w:cstheme="minorHAnsi"/>
          <w:color w:val="auto"/>
          <w:lang w:eastAsia="en-US"/>
        </w:rPr>
      </w:pPr>
      <w:r w:rsidRPr="00D17EDF">
        <w:rPr>
          <w:rFonts w:asciiTheme="minorHAnsi" w:hAnsiTheme="minorHAnsi" w:cstheme="minorHAnsi"/>
          <w:color w:val="auto"/>
          <w:lang w:eastAsia="en-US"/>
        </w:rPr>
        <w:t>Perfil profesional</w:t>
      </w:r>
      <w:r w:rsidR="00D91F5B" w:rsidRPr="00C57AB5">
        <w:rPr>
          <w:rFonts w:asciiTheme="minorHAnsi" w:hAnsiTheme="minorHAnsi" w:cstheme="minorHAnsi"/>
          <w:color w:val="auto"/>
          <w:lang w:eastAsia="en-US"/>
        </w:rPr>
        <w:t xml:space="preserve">: </w:t>
      </w:r>
      <w:r w:rsidRPr="002210B8">
        <w:rPr>
          <w:rFonts w:asciiTheme="minorHAnsi" w:hAnsiTheme="minorHAnsi" w:cstheme="minorHAnsi"/>
          <w:color w:val="auto"/>
          <w:lang w:eastAsia="en-US"/>
        </w:rPr>
        <w:t xml:space="preserve">Profesional con especialización en </w:t>
      </w:r>
      <w:r w:rsidR="00806F89">
        <w:rPr>
          <w:rFonts w:asciiTheme="minorHAnsi" w:hAnsiTheme="minorHAnsi" w:cstheme="minorHAnsi"/>
          <w:color w:val="auto"/>
          <w:lang w:eastAsia="en-US"/>
        </w:rPr>
        <w:t>economía</w:t>
      </w:r>
      <w:r w:rsidRPr="002210B8">
        <w:rPr>
          <w:rFonts w:asciiTheme="minorHAnsi" w:hAnsiTheme="minorHAnsi" w:cstheme="minorHAnsi"/>
          <w:color w:val="auto"/>
          <w:lang w:eastAsia="en-US"/>
        </w:rPr>
        <w:t xml:space="preserve">, administración de empresas, derecho </w:t>
      </w:r>
      <w:r w:rsidR="00806F89">
        <w:rPr>
          <w:rFonts w:asciiTheme="minorHAnsi" w:hAnsiTheme="minorHAnsi" w:cstheme="minorHAnsi"/>
          <w:color w:val="auto"/>
          <w:lang w:eastAsia="en-US"/>
        </w:rPr>
        <w:t>u</w:t>
      </w:r>
      <w:r w:rsidRPr="002210B8">
        <w:rPr>
          <w:rFonts w:asciiTheme="minorHAnsi" w:hAnsiTheme="minorHAnsi" w:cstheme="minorHAnsi"/>
          <w:color w:val="auto"/>
          <w:lang w:eastAsia="en-US"/>
        </w:rPr>
        <w:t xml:space="preserve"> otras ciencias afines, con experiencia de por lo menos </w:t>
      </w:r>
      <w:r w:rsidR="00806F89">
        <w:rPr>
          <w:rFonts w:asciiTheme="minorHAnsi" w:hAnsiTheme="minorHAnsi" w:cstheme="minorHAnsi"/>
          <w:color w:val="auto"/>
          <w:lang w:eastAsia="en-US"/>
        </w:rPr>
        <w:t>5</w:t>
      </w:r>
      <w:r w:rsidRPr="002210B8">
        <w:rPr>
          <w:rFonts w:asciiTheme="minorHAnsi" w:hAnsiTheme="minorHAnsi" w:cstheme="minorHAnsi"/>
          <w:color w:val="auto"/>
          <w:lang w:eastAsia="en-US"/>
        </w:rPr>
        <w:t xml:space="preserve"> años en el sector financiero, </w:t>
      </w:r>
      <w:r w:rsidR="00E9605E">
        <w:rPr>
          <w:rFonts w:asciiTheme="minorHAnsi" w:hAnsiTheme="minorHAnsi" w:cstheme="minorHAnsi"/>
          <w:color w:val="auto"/>
          <w:lang w:eastAsia="en-US"/>
        </w:rPr>
        <w:t>o</w:t>
      </w:r>
      <w:r w:rsidRPr="002210B8">
        <w:rPr>
          <w:rFonts w:asciiTheme="minorHAnsi" w:hAnsiTheme="minorHAnsi" w:cstheme="minorHAnsi"/>
          <w:color w:val="auto"/>
          <w:lang w:eastAsia="en-US"/>
        </w:rPr>
        <w:t xml:space="preserve"> en actividades relacionadas con </w:t>
      </w:r>
      <w:r w:rsidR="00D17EDF">
        <w:rPr>
          <w:rFonts w:asciiTheme="minorHAnsi" w:hAnsiTheme="minorHAnsi" w:cstheme="minorHAnsi"/>
          <w:color w:val="auto"/>
          <w:lang w:eastAsia="en-US"/>
        </w:rPr>
        <w:t>inclusión financiera</w:t>
      </w:r>
      <w:r w:rsidRPr="002210B8">
        <w:rPr>
          <w:rFonts w:asciiTheme="minorHAnsi" w:hAnsiTheme="minorHAnsi" w:cstheme="minorHAnsi"/>
          <w:color w:val="auto"/>
          <w:lang w:eastAsia="en-US"/>
        </w:rPr>
        <w:t xml:space="preserve">. </w:t>
      </w:r>
    </w:p>
    <w:p w14:paraId="37DFEE94" w14:textId="77777777" w:rsidR="00D91F5B" w:rsidRPr="00C57AB5" w:rsidRDefault="00D91F5B" w:rsidP="00D17EDF">
      <w:pPr>
        <w:pStyle w:val="Default"/>
        <w:jc w:val="both"/>
        <w:rPr>
          <w:rFonts w:asciiTheme="minorHAnsi" w:hAnsiTheme="minorHAnsi" w:cstheme="minorHAnsi"/>
          <w:b/>
          <w:bCs/>
        </w:rPr>
      </w:pPr>
    </w:p>
    <w:p w14:paraId="24D0652E" w14:textId="77777777" w:rsidR="0015359C" w:rsidRPr="00D17EDF" w:rsidRDefault="0015359C" w:rsidP="00D17EDF">
      <w:pPr>
        <w:spacing w:after="0" w:line="240" w:lineRule="auto"/>
        <w:jc w:val="both"/>
        <w:rPr>
          <w:rFonts w:asciiTheme="minorHAnsi" w:hAnsiTheme="minorHAnsi" w:cstheme="minorHAnsi"/>
          <w:bCs/>
          <w:sz w:val="24"/>
          <w:szCs w:val="24"/>
        </w:rPr>
      </w:pPr>
      <w:r w:rsidRPr="00D17EDF">
        <w:rPr>
          <w:rFonts w:asciiTheme="minorHAnsi" w:hAnsiTheme="minorHAnsi" w:cstheme="minorHAnsi"/>
          <w:bCs/>
          <w:sz w:val="24"/>
          <w:szCs w:val="24"/>
        </w:rPr>
        <w:t>Funciones:</w:t>
      </w:r>
    </w:p>
    <w:p w14:paraId="69C65F23" w14:textId="77777777" w:rsidR="0015359C" w:rsidRPr="00C57AB5" w:rsidRDefault="0015359C" w:rsidP="00D17EDF">
      <w:pPr>
        <w:spacing w:after="0" w:line="240" w:lineRule="auto"/>
        <w:jc w:val="both"/>
        <w:rPr>
          <w:rFonts w:asciiTheme="minorHAnsi" w:hAnsiTheme="minorHAnsi" w:cstheme="minorHAnsi"/>
          <w:b/>
          <w:bCs/>
          <w:sz w:val="24"/>
          <w:szCs w:val="24"/>
        </w:rPr>
      </w:pPr>
    </w:p>
    <w:p w14:paraId="7A3CC237" w14:textId="77777777" w:rsidR="00806F89" w:rsidRDefault="00806F89"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 xml:space="preserve">Coordinar el desarrollo de los proyectos asignados, con el fin de cumplir con los objetivos establecidos </w:t>
      </w:r>
      <w:r w:rsidR="00D17EDF">
        <w:rPr>
          <w:rFonts w:asciiTheme="minorHAnsi" w:hAnsiTheme="minorHAnsi" w:cstheme="minorHAnsi"/>
          <w:color w:val="auto"/>
          <w:lang w:eastAsia="en-US"/>
        </w:rPr>
        <w:t>en los concursos</w:t>
      </w:r>
      <w:r w:rsidR="00E9605E">
        <w:rPr>
          <w:rFonts w:asciiTheme="minorHAnsi" w:hAnsiTheme="minorHAnsi" w:cstheme="minorHAnsi"/>
          <w:color w:val="auto"/>
          <w:lang w:eastAsia="en-US"/>
        </w:rPr>
        <w:t>.</w:t>
      </w:r>
    </w:p>
    <w:p w14:paraId="07F3A588"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Diseñar, presentar y ejecutar los planes para el desarrollo de</w:t>
      </w:r>
      <w:r w:rsidR="00D17EDF" w:rsidRPr="00D17EDF">
        <w:rPr>
          <w:rFonts w:asciiTheme="minorHAnsi" w:hAnsiTheme="minorHAnsi" w:cstheme="minorHAnsi"/>
          <w:color w:val="auto"/>
          <w:lang w:eastAsia="en-US"/>
        </w:rPr>
        <w:t xml:space="preserve"> </w:t>
      </w:r>
      <w:r w:rsidR="00D17EDF">
        <w:rPr>
          <w:rFonts w:asciiTheme="minorHAnsi" w:hAnsiTheme="minorHAnsi" w:cstheme="minorHAnsi"/>
          <w:color w:val="auto"/>
          <w:lang w:eastAsia="en-US"/>
        </w:rPr>
        <w:t>los concursos</w:t>
      </w:r>
      <w:r w:rsidRPr="00C57AB5">
        <w:rPr>
          <w:rFonts w:asciiTheme="minorHAnsi" w:hAnsiTheme="minorHAnsi" w:cstheme="minorHAnsi"/>
          <w:color w:val="auto"/>
          <w:lang w:eastAsia="en-US"/>
        </w:rPr>
        <w:t xml:space="preserve">. </w:t>
      </w:r>
    </w:p>
    <w:p w14:paraId="2921F51A"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Participar en el diseño y preparación de material didáctico, estrategias de difusión en medios masivos y alternativos para capacitar a las IFIs</w:t>
      </w:r>
      <w:r w:rsidR="00D17EDF">
        <w:rPr>
          <w:rFonts w:asciiTheme="minorHAnsi" w:hAnsiTheme="minorHAnsi" w:cstheme="minorHAnsi"/>
          <w:color w:val="auto"/>
          <w:lang w:eastAsia="en-US"/>
        </w:rPr>
        <w:t xml:space="preserve"> </w:t>
      </w:r>
      <w:r w:rsidRPr="00C57AB5">
        <w:rPr>
          <w:rFonts w:asciiTheme="minorHAnsi" w:hAnsiTheme="minorHAnsi" w:cstheme="minorHAnsi"/>
          <w:color w:val="auto"/>
          <w:lang w:eastAsia="en-US"/>
        </w:rPr>
        <w:t xml:space="preserve">y población en general, difundiendo los beneficios </w:t>
      </w:r>
      <w:r w:rsidR="00D17EDF">
        <w:rPr>
          <w:rFonts w:asciiTheme="minorHAnsi" w:hAnsiTheme="minorHAnsi" w:cstheme="minorHAnsi"/>
          <w:color w:val="auto"/>
          <w:lang w:eastAsia="en-US"/>
        </w:rPr>
        <w:t>de los concursos</w:t>
      </w:r>
      <w:r w:rsidRPr="00C57AB5">
        <w:rPr>
          <w:rFonts w:asciiTheme="minorHAnsi" w:hAnsiTheme="minorHAnsi" w:cstheme="minorHAnsi"/>
          <w:color w:val="auto"/>
          <w:lang w:eastAsia="en-US"/>
        </w:rPr>
        <w:t xml:space="preserve">. </w:t>
      </w:r>
    </w:p>
    <w:p w14:paraId="16C49DBF"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 xml:space="preserve">Identificar, analizar y hacer seguimiento a los temas relacionados con el marco regulatorio que afectan la prestación de servicios financieros. </w:t>
      </w:r>
    </w:p>
    <w:p w14:paraId="0FE45DD0"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Presentar la propuesta sobre asignación, adjudicación y presupuesto de los programas</w:t>
      </w:r>
      <w:r w:rsidR="00D17EDF">
        <w:rPr>
          <w:rFonts w:asciiTheme="minorHAnsi" w:hAnsiTheme="minorHAnsi" w:cstheme="minorHAnsi"/>
          <w:color w:val="auto"/>
          <w:lang w:eastAsia="en-US"/>
        </w:rPr>
        <w:t xml:space="preserve"> de los concursos</w:t>
      </w:r>
      <w:r w:rsidRPr="00C57AB5">
        <w:rPr>
          <w:rFonts w:asciiTheme="minorHAnsi" w:hAnsiTheme="minorHAnsi" w:cstheme="minorHAnsi"/>
          <w:color w:val="auto"/>
          <w:lang w:eastAsia="en-US"/>
        </w:rPr>
        <w:t xml:space="preserve">. </w:t>
      </w:r>
    </w:p>
    <w:p w14:paraId="46EFBB98"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 xml:space="preserve">Preparar los términos de referencia para las convocatorias. </w:t>
      </w:r>
    </w:p>
    <w:p w14:paraId="75FC978C"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Administrar, coordinar y controlar la ejecución de los contratos/convenios de</w:t>
      </w:r>
      <w:r w:rsidR="00D17EDF">
        <w:rPr>
          <w:rFonts w:asciiTheme="minorHAnsi" w:hAnsiTheme="minorHAnsi" w:cstheme="minorHAnsi"/>
          <w:color w:val="auto"/>
          <w:lang w:eastAsia="en-US"/>
        </w:rPr>
        <w:t xml:space="preserve"> </w:t>
      </w:r>
      <w:r w:rsidRPr="00C57AB5">
        <w:rPr>
          <w:rFonts w:asciiTheme="minorHAnsi" w:hAnsiTheme="minorHAnsi" w:cstheme="minorHAnsi"/>
          <w:color w:val="auto"/>
          <w:lang w:eastAsia="en-US"/>
        </w:rPr>
        <w:t>l</w:t>
      </w:r>
      <w:r w:rsidR="00D17EDF">
        <w:rPr>
          <w:rFonts w:asciiTheme="minorHAnsi" w:hAnsiTheme="minorHAnsi" w:cstheme="minorHAnsi"/>
          <w:color w:val="auto"/>
          <w:lang w:eastAsia="en-US"/>
        </w:rPr>
        <w:t>os</w:t>
      </w:r>
      <w:r w:rsidRPr="00C57AB5">
        <w:rPr>
          <w:rFonts w:asciiTheme="minorHAnsi" w:hAnsiTheme="minorHAnsi" w:cstheme="minorHAnsi"/>
          <w:color w:val="auto"/>
          <w:lang w:eastAsia="en-US"/>
        </w:rPr>
        <w:t xml:space="preserve"> programa</w:t>
      </w:r>
      <w:r w:rsidR="00D17EDF">
        <w:rPr>
          <w:rFonts w:asciiTheme="minorHAnsi" w:hAnsiTheme="minorHAnsi" w:cstheme="minorHAnsi"/>
          <w:color w:val="auto"/>
          <w:lang w:eastAsia="en-US"/>
        </w:rPr>
        <w:t>s</w:t>
      </w:r>
      <w:r w:rsidRPr="00C57AB5">
        <w:rPr>
          <w:rFonts w:asciiTheme="minorHAnsi" w:hAnsiTheme="minorHAnsi" w:cstheme="minorHAnsi"/>
          <w:color w:val="auto"/>
          <w:lang w:eastAsia="en-US"/>
        </w:rPr>
        <w:t xml:space="preserve">. </w:t>
      </w:r>
    </w:p>
    <w:p w14:paraId="764ED42F" w14:textId="77777777" w:rsidR="0015359C" w:rsidRPr="00C57AB5" w:rsidRDefault="0015359C" w:rsidP="00E8744D">
      <w:pPr>
        <w:pStyle w:val="Default"/>
        <w:numPr>
          <w:ilvl w:val="0"/>
          <w:numId w:val="3"/>
        </w:numPr>
        <w:jc w:val="both"/>
        <w:rPr>
          <w:rFonts w:asciiTheme="minorHAnsi" w:hAnsiTheme="minorHAnsi" w:cstheme="minorHAnsi"/>
          <w:color w:val="auto"/>
          <w:lang w:eastAsia="en-US"/>
        </w:rPr>
      </w:pPr>
      <w:r w:rsidRPr="00C57AB5">
        <w:rPr>
          <w:rFonts w:asciiTheme="minorHAnsi" w:hAnsiTheme="minorHAnsi" w:cstheme="minorHAnsi"/>
          <w:color w:val="auto"/>
          <w:lang w:eastAsia="en-US"/>
        </w:rPr>
        <w:t>Elaborar y presentar informes sobre los avances de los contratos y convenios</w:t>
      </w:r>
      <w:r w:rsidR="00E9605E">
        <w:rPr>
          <w:rFonts w:asciiTheme="minorHAnsi" w:hAnsiTheme="minorHAnsi" w:cstheme="minorHAnsi"/>
          <w:color w:val="auto"/>
          <w:lang w:eastAsia="en-US"/>
        </w:rPr>
        <w:t>.</w:t>
      </w:r>
    </w:p>
    <w:p w14:paraId="492F18DE" w14:textId="77777777" w:rsidR="0015359C" w:rsidRPr="00C57AB5" w:rsidRDefault="0015359C" w:rsidP="00E8744D">
      <w:pPr>
        <w:numPr>
          <w:ilvl w:val="0"/>
          <w:numId w:val="3"/>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Otras actividades relacionadas directa o indirectamente con las funciones antes indicadas y los objetivos del Programa, instruidas por autoridad competente</w:t>
      </w:r>
      <w:r w:rsidR="00E9605E">
        <w:rPr>
          <w:rFonts w:asciiTheme="minorHAnsi" w:hAnsiTheme="minorHAnsi" w:cstheme="minorHAnsi"/>
          <w:sz w:val="24"/>
          <w:szCs w:val="24"/>
        </w:rPr>
        <w:t>.</w:t>
      </w:r>
    </w:p>
    <w:p w14:paraId="2ED9D7FD" w14:textId="77777777" w:rsidR="0015359C" w:rsidRPr="0069659B" w:rsidRDefault="0015359C" w:rsidP="00C57AB5">
      <w:pPr>
        <w:pStyle w:val="Heading3"/>
        <w:spacing w:before="120" w:after="0"/>
        <w:jc w:val="both"/>
        <w:rPr>
          <w:rFonts w:asciiTheme="minorHAnsi" w:hAnsiTheme="minorHAnsi" w:cstheme="minorHAnsi"/>
          <w:sz w:val="24"/>
          <w:szCs w:val="24"/>
          <w:lang w:val="es-EC"/>
        </w:rPr>
      </w:pPr>
    </w:p>
    <w:p w14:paraId="763FC87E" w14:textId="77777777" w:rsidR="0015359C" w:rsidRPr="00172CF5" w:rsidRDefault="00D17EDF" w:rsidP="00E8744D">
      <w:pPr>
        <w:pStyle w:val="Heading1"/>
        <w:numPr>
          <w:ilvl w:val="0"/>
          <w:numId w:val="5"/>
        </w:numPr>
        <w:rPr>
          <w:rFonts w:asciiTheme="minorHAnsi" w:hAnsiTheme="minorHAnsi" w:cstheme="minorHAnsi"/>
          <w:sz w:val="28"/>
          <w:szCs w:val="24"/>
        </w:rPr>
      </w:pPr>
      <w:bookmarkStart w:id="80" w:name="_Toc323217717"/>
      <w:bookmarkStart w:id="81" w:name="_Toc311526055"/>
      <w:bookmarkStart w:id="82" w:name="_Toc324196886"/>
      <w:bookmarkEnd w:id="15"/>
      <w:bookmarkEnd w:id="16"/>
      <w:bookmarkEnd w:id="17"/>
      <w:bookmarkEnd w:id="80"/>
      <w:r w:rsidRPr="00D17EDF">
        <w:rPr>
          <w:rFonts w:asciiTheme="minorHAnsi" w:hAnsiTheme="minorHAnsi" w:cstheme="minorHAnsi"/>
          <w:sz w:val="28"/>
          <w:szCs w:val="24"/>
          <w:lang w:val="es-EC"/>
        </w:rPr>
        <w:t>Componentes del Programa</w:t>
      </w:r>
      <w:r w:rsidR="0015359C" w:rsidRPr="00172CF5">
        <w:rPr>
          <w:rFonts w:asciiTheme="minorHAnsi" w:hAnsiTheme="minorHAnsi" w:cstheme="minorHAnsi"/>
          <w:sz w:val="28"/>
          <w:szCs w:val="24"/>
        </w:rPr>
        <w:t>.</w:t>
      </w:r>
      <w:bookmarkEnd w:id="81"/>
      <w:r w:rsidR="0015359C" w:rsidRPr="00172CF5">
        <w:rPr>
          <w:rFonts w:asciiTheme="minorHAnsi" w:hAnsiTheme="minorHAnsi" w:cstheme="minorHAnsi"/>
          <w:sz w:val="28"/>
          <w:szCs w:val="24"/>
        </w:rPr>
        <w:t>-</w:t>
      </w:r>
      <w:bookmarkEnd w:id="82"/>
    </w:p>
    <w:p w14:paraId="07FB83D6" w14:textId="77777777" w:rsidR="00D17EDF" w:rsidRDefault="00D17EDF" w:rsidP="00D17EDF">
      <w:pPr>
        <w:spacing w:line="240" w:lineRule="auto"/>
        <w:rPr>
          <w:sz w:val="24"/>
          <w:szCs w:val="24"/>
          <w:lang w:val="es-ES" w:eastAsia="es-ES"/>
        </w:rPr>
      </w:pPr>
    </w:p>
    <w:p w14:paraId="56FD582C" w14:textId="2FFC013F" w:rsidR="0090567A" w:rsidRDefault="00D17EDF" w:rsidP="00E8744D">
      <w:pPr>
        <w:pStyle w:val="CommentText"/>
        <w:numPr>
          <w:ilvl w:val="1"/>
          <w:numId w:val="5"/>
        </w:numPr>
        <w:spacing w:after="0"/>
        <w:jc w:val="both"/>
        <w:outlineLvl w:val="1"/>
        <w:rPr>
          <w:sz w:val="24"/>
          <w:szCs w:val="24"/>
          <w:lang w:val="es-ES" w:eastAsia="es-ES"/>
        </w:rPr>
      </w:pPr>
      <w:r w:rsidRPr="0090567A">
        <w:rPr>
          <w:b/>
          <w:sz w:val="24"/>
          <w:szCs w:val="24"/>
          <w:lang w:val="es-ES" w:eastAsia="es-ES"/>
        </w:rPr>
        <w:t>Componente 1</w:t>
      </w:r>
      <w:r w:rsidR="0090567A" w:rsidRPr="0090567A">
        <w:rPr>
          <w:b/>
          <w:sz w:val="24"/>
          <w:szCs w:val="24"/>
          <w:lang w:val="es-ES" w:eastAsia="es-ES"/>
        </w:rPr>
        <w:t xml:space="preserve">. </w:t>
      </w:r>
      <w:r w:rsidRPr="0090567A">
        <w:rPr>
          <w:sz w:val="24"/>
          <w:szCs w:val="24"/>
          <w:lang w:val="es-ES" w:eastAsia="es-ES"/>
        </w:rPr>
        <w:t xml:space="preserve">Implementación de la Estrategia Nacional </w:t>
      </w:r>
      <w:r w:rsidR="0038766F">
        <w:rPr>
          <w:sz w:val="24"/>
          <w:szCs w:val="24"/>
          <w:lang w:val="es-ES" w:eastAsia="es-ES"/>
        </w:rPr>
        <w:t>de</w:t>
      </w:r>
      <w:r w:rsidRPr="0090567A">
        <w:rPr>
          <w:sz w:val="24"/>
          <w:szCs w:val="24"/>
          <w:lang w:val="es-ES" w:eastAsia="es-ES"/>
        </w:rPr>
        <w:t xml:space="preserve"> Inclusión Financiera (US$13.5 millones). </w:t>
      </w:r>
    </w:p>
    <w:p w14:paraId="502C6900" w14:textId="77777777" w:rsidR="0090567A" w:rsidRDefault="0090567A" w:rsidP="0090567A">
      <w:pPr>
        <w:pStyle w:val="CommentText"/>
        <w:spacing w:after="0"/>
        <w:jc w:val="both"/>
        <w:outlineLvl w:val="1"/>
        <w:rPr>
          <w:b/>
          <w:sz w:val="24"/>
          <w:szCs w:val="24"/>
          <w:lang w:val="es-ES" w:eastAsia="es-ES"/>
        </w:rPr>
      </w:pPr>
    </w:p>
    <w:p w14:paraId="52C4F6BF" w14:textId="77777777" w:rsidR="00D17EDF" w:rsidRPr="0090567A" w:rsidRDefault="00D17EDF" w:rsidP="0090567A">
      <w:pPr>
        <w:pStyle w:val="CommentText"/>
        <w:spacing w:after="0"/>
        <w:jc w:val="both"/>
        <w:outlineLvl w:val="1"/>
        <w:rPr>
          <w:sz w:val="24"/>
          <w:szCs w:val="24"/>
          <w:lang w:val="es-ES" w:eastAsia="es-ES"/>
        </w:rPr>
      </w:pPr>
      <w:r w:rsidRPr="0090567A">
        <w:rPr>
          <w:sz w:val="24"/>
          <w:szCs w:val="24"/>
          <w:lang w:val="es-ES" w:eastAsia="es-ES"/>
        </w:rPr>
        <w:t>Se divide en dos subcomponentes, el primero para fortalecer las capacidades de los oferentes de servicios financieros, y el segundo para fortalecer la capacidad institucional del gobierno para desarrollar políticas de inclusión financiera.</w:t>
      </w:r>
    </w:p>
    <w:p w14:paraId="693ADDBE" w14:textId="77777777" w:rsidR="0071006F" w:rsidRDefault="0071006F" w:rsidP="0090567A">
      <w:pPr>
        <w:spacing w:line="240" w:lineRule="auto"/>
        <w:jc w:val="both"/>
        <w:rPr>
          <w:b/>
          <w:sz w:val="24"/>
          <w:szCs w:val="24"/>
          <w:lang w:val="es-ES" w:eastAsia="es-ES"/>
        </w:rPr>
      </w:pPr>
    </w:p>
    <w:p w14:paraId="1259B27E" w14:textId="07B769BD" w:rsidR="00D17EDF" w:rsidRPr="00D17EDF" w:rsidRDefault="00D17EDF" w:rsidP="0090567A">
      <w:pPr>
        <w:spacing w:line="240" w:lineRule="auto"/>
        <w:jc w:val="both"/>
        <w:rPr>
          <w:sz w:val="24"/>
          <w:szCs w:val="24"/>
          <w:lang w:val="es-ES" w:eastAsia="es-ES"/>
        </w:rPr>
      </w:pPr>
      <w:r w:rsidRPr="0090567A">
        <w:rPr>
          <w:b/>
          <w:sz w:val="24"/>
          <w:szCs w:val="24"/>
          <w:lang w:val="es-ES" w:eastAsia="es-ES"/>
        </w:rPr>
        <w:t>Subcomponente 1.1 - Fortalecimiento de las capacidades de los oferentes de servicios financieros</w:t>
      </w:r>
      <w:r w:rsidRPr="00D17EDF">
        <w:rPr>
          <w:sz w:val="24"/>
          <w:szCs w:val="24"/>
          <w:lang w:val="es-ES" w:eastAsia="es-ES"/>
        </w:rPr>
        <w:t xml:space="preserve"> (US$10 millones). </w:t>
      </w:r>
      <w:r w:rsidR="0071235A" w:rsidRPr="0071235A">
        <w:rPr>
          <w:sz w:val="24"/>
          <w:szCs w:val="24"/>
          <w:lang w:val="es-ES" w:eastAsia="es-ES"/>
        </w:rPr>
        <w:t xml:space="preserve">Se otorgará asistencia técnica y financiera, a través de transferencias monetarias condicionadas, a EF </w:t>
      </w:r>
      <w:r w:rsidR="0071235A" w:rsidRPr="0071235A">
        <w:rPr>
          <w:sz w:val="24"/>
          <w:szCs w:val="24"/>
          <w:lang w:val="es-ES_tradnl" w:eastAsia="es-ES"/>
        </w:rPr>
        <w:t xml:space="preserve">reguladas </w:t>
      </w:r>
      <w:r w:rsidR="0071235A" w:rsidRPr="0071235A">
        <w:rPr>
          <w:sz w:val="24"/>
          <w:szCs w:val="24"/>
          <w:lang w:val="es-ES" w:eastAsia="es-ES"/>
        </w:rPr>
        <w:t>para mejorar los niveles de acceso y uso de servicios por los hogares</w:t>
      </w:r>
      <w:r w:rsidR="0071235A" w:rsidRPr="0071235A">
        <w:rPr>
          <w:bCs/>
          <w:sz w:val="24"/>
          <w:szCs w:val="24"/>
          <w:lang w:val="es-MX" w:eastAsia="es-ES"/>
        </w:rPr>
        <w:t xml:space="preserve">. Esto se logrará mediante </w:t>
      </w:r>
      <w:r w:rsidR="0071235A" w:rsidRPr="0071235A">
        <w:rPr>
          <w:bCs/>
          <w:sz w:val="24"/>
          <w:szCs w:val="24"/>
          <w:lang w:val="es-AR" w:eastAsia="es-ES"/>
        </w:rPr>
        <w:t xml:space="preserve">concursos </w:t>
      </w:r>
      <w:r w:rsidR="0071235A" w:rsidRPr="0071235A">
        <w:rPr>
          <w:bCs/>
          <w:sz w:val="24"/>
          <w:szCs w:val="24"/>
          <w:lang w:eastAsia="es-ES"/>
        </w:rPr>
        <w:t xml:space="preserve">de fomento de la IF que dotarán conocimiento e incentivos monetarios </w:t>
      </w:r>
      <w:r w:rsidR="0071235A" w:rsidRPr="0071235A">
        <w:rPr>
          <w:sz w:val="24"/>
          <w:szCs w:val="24"/>
          <w:lang w:val="es-ES_tradnl" w:eastAsia="es-ES"/>
        </w:rPr>
        <w:t>a las EF para desarrollar proyectos específicos de expansión de cobertura a mercados subatendidos en mercados desconocidos</w:t>
      </w:r>
      <w:r w:rsidRPr="00D17EDF">
        <w:rPr>
          <w:sz w:val="24"/>
          <w:szCs w:val="24"/>
          <w:lang w:val="es-ES" w:eastAsia="es-ES"/>
        </w:rPr>
        <w:t xml:space="preserve">. </w:t>
      </w:r>
    </w:p>
    <w:p w14:paraId="162157E7" w14:textId="77777777" w:rsidR="00D17EDF" w:rsidRPr="0090567A" w:rsidRDefault="00D17EDF" w:rsidP="00B80C93">
      <w:pPr>
        <w:spacing w:line="240" w:lineRule="auto"/>
        <w:jc w:val="both"/>
      </w:pPr>
      <w:r w:rsidRPr="0090567A">
        <w:rPr>
          <w:b/>
          <w:sz w:val="24"/>
          <w:szCs w:val="24"/>
          <w:lang w:val="es-ES" w:eastAsia="es-ES"/>
        </w:rPr>
        <w:lastRenderedPageBreak/>
        <w:t>Subcomponente 1.2 - Fortalecimiento de la capacidad institucional del gobierno para desarrollar políticas de inclusión financiera</w:t>
      </w:r>
      <w:r w:rsidRPr="00D17EDF">
        <w:rPr>
          <w:sz w:val="24"/>
          <w:szCs w:val="24"/>
          <w:lang w:val="es-ES" w:eastAsia="es-ES"/>
        </w:rPr>
        <w:t xml:space="preserve"> (US$3.5 millones). Se apoyará la institucionalidad pública para implementar la ENIF. </w:t>
      </w:r>
    </w:p>
    <w:p w14:paraId="18360160" w14:textId="77777777" w:rsidR="0090567A" w:rsidRPr="0090567A" w:rsidRDefault="0090567A" w:rsidP="0090567A">
      <w:pPr>
        <w:pStyle w:val="ListParagraph"/>
        <w:ind w:left="1080"/>
        <w:jc w:val="both"/>
      </w:pPr>
    </w:p>
    <w:p w14:paraId="6ADF8C26" w14:textId="77777777" w:rsidR="0090567A" w:rsidRPr="0090567A" w:rsidRDefault="00D17EDF" w:rsidP="00E8744D">
      <w:pPr>
        <w:pStyle w:val="CommentText"/>
        <w:numPr>
          <w:ilvl w:val="1"/>
          <w:numId w:val="5"/>
        </w:numPr>
        <w:spacing w:after="0"/>
        <w:jc w:val="both"/>
        <w:outlineLvl w:val="1"/>
        <w:rPr>
          <w:b/>
          <w:sz w:val="24"/>
          <w:szCs w:val="24"/>
          <w:lang w:val="es-ES" w:eastAsia="es-ES"/>
        </w:rPr>
      </w:pPr>
      <w:r w:rsidRPr="0090567A">
        <w:rPr>
          <w:b/>
          <w:sz w:val="24"/>
          <w:szCs w:val="24"/>
          <w:lang w:val="es-ES" w:eastAsia="es-ES"/>
        </w:rPr>
        <w:t xml:space="preserve">Componente 2 – Mejora del acceso a crédito de las MyPE (US$6.5 millones). </w:t>
      </w:r>
    </w:p>
    <w:p w14:paraId="1D108A90" w14:textId="77777777" w:rsidR="0090567A" w:rsidRDefault="00D17EDF" w:rsidP="0090567A">
      <w:pPr>
        <w:spacing w:line="240" w:lineRule="auto"/>
        <w:jc w:val="both"/>
        <w:rPr>
          <w:sz w:val="24"/>
          <w:szCs w:val="24"/>
          <w:lang w:val="es-ES" w:eastAsia="es-ES"/>
        </w:rPr>
      </w:pPr>
      <w:r w:rsidRPr="00D17EDF">
        <w:rPr>
          <w:sz w:val="24"/>
          <w:szCs w:val="24"/>
          <w:lang w:val="es-ES" w:eastAsia="es-ES"/>
        </w:rPr>
        <w:t xml:space="preserve">Con fines de superar el limitado acceso a crédito de las MyPE , el Ministerio de Finanzas transferirá parte de los recursos del préstamo a FONCAP, para que éste los canalice a las IMF con carácter reembolsable, a través de: </w:t>
      </w:r>
    </w:p>
    <w:p w14:paraId="1EA07A6D" w14:textId="77777777" w:rsidR="00D2543B" w:rsidRDefault="00D17EDF" w:rsidP="0090567A">
      <w:pPr>
        <w:spacing w:line="240" w:lineRule="auto"/>
        <w:jc w:val="both"/>
        <w:rPr>
          <w:sz w:val="24"/>
          <w:szCs w:val="24"/>
          <w:lang w:val="es-ES" w:eastAsia="es-ES"/>
        </w:rPr>
      </w:pPr>
      <w:r w:rsidRPr="00D17EDF">
        <w:rPr>
          <w:sz w:val="24"/>
          <w:szCs w:val="24"/>
          <w:lang w:val="es-ES" w:eastAsia="es-ES"/>
        </w:rPr>
        <w:t xml:space="preserve">(a) líneas de fondeo (por US$5.5 millones) para que las IMF canalicen préstamos a las MyPE; y </w:t>
      </w:r>
    </w:p>
    <w:p w14:paraId="0D855F59" w14:textId="77777777" w:rsidR="0090567A" w:rsidRDefault="00D17EDF" w:rsidP="0090567A">
      <w:pPr>
        <w:spacing w:line="240" w:lineRule="auto"/>
        <w:jc w:val="both"/>
        <w:rPr>
          <w:sz w:val="24"/>
          <w:szCs w:val="24"/>
          <w:lang w:val="es-ES" w:eastAsia="es-ES"/>
        </w:rPr>
      </w:pPr>
      <w:r w:rsidRPr="00D17EDF">
        <w:rPr>
          <w:sz w:val="24"/>
          <w:szCs w:val="24"/>
          <w:lang w:val="es-ES" w:eastAsia="es-ES"/>
        </w:rPr>
        <w:t xml:space="preserve">(b) préstamos directos (por US$1 millón) a las propias IMF. </w:t>
      </w:r>
    </w:p>
    <w:p w14:paraId="50A79234" w14:textId="77777777" w:rsidR="0090567A" w:rsidRDefault="00D17EDF" w:rsidP="00E8744D">
      <w:pPr>
        <w:pStyle w:val="CommentText"/>
        <w:numPr>
          <w:ilvl w:val="1"/>
          <w:numId w:val="5"/>
        </w:numPr>
        <w:spacing w:after="0"/>
        <w:jc w:val="both"/>
        <w:outlineLvl w:val="1"/>
        <w:rPr>
          <w:sz w:val="24"/>
          <w:szCs w:val="24"/>
          <w:lang w:val="es-ES" w:eastAsia="es-ES"/>
        </w:rPr>
      </w:pPr>
      <w:r w:rsidRPr="0090567A">
        <w:rPr>
          <w:b/>
          <w:sz w:val="24"/>
          <w:szCs w:val="24"/>
          <w:lang w:val="es-ES" w:eastAsia="es-ES"/>
        </w:rPr>
        <w:t>Beneficiarios finales</w:t>
      </w:r>
      <w:r w:rsidRPr="00D17EDF">
        <w:rPr>
          <w:sz w:val="24"/>
          <w:szCs w:val="24"/>
          <w:lang w:val="es-ES" w:eastAsia="es-ES"/>
        </w:rPr>
        <w:t>.</w:t>
      </w:r>
    </w:p>
    <w:p w14:paraId="47A0A98F" w14:textId="77777777" w:rsidR="0090567A" w:rsidRDefault="0090567A" w:rsidP="00D17EDF">
      <w:pPr>
        <w:spacing w:line="240" w:lineRule="auto"/>
        <w:rPr>
          <w:sz w:val="24"/>
          <w:szCs w:val="24"/>
          <w:lang w:val="es-ES" w:eastAsia="es-ES"/>
        </w:rPr>
      </w:pPr>
    </w:p>
    <w:p w14:paraId="7995B687" w14:textId="77777777" w:rsidR="0090567A" w:rsidRDefault="00D17EDF" w:rsidP="0090567A">
      <w:pPr>
        <w:spacing w:line="240" w:lineRule="auto"/>
        <w:jc w:val="both"/>
        <w:rPr>
          <w:sz w:val="24"/>
          <w:szCs w:val="24"/>
          <w:lang w:val="es-ES" w:eastAsia="es-ES"/>
        </w:rPr>
      </w:pPr>
      <w:r w:rsidRPr="00D17EDF">
        <w:rPr>
          <w:sz w:val="24"/>
          <w:szCs w:val="24"/>
          <w:lang w:val="es-ES" w:eastAsia="es-ES"/>
        </w:rPr>
        <w:t>La población objetivo para el Subcomponente 1</w:t>
      </w:r>
      <w:r w:rsidR="00A56680">
        <w:rPr>
          <w:sz w:val="24"/>
          <w:szCs w:val="24"/>
          <w:lang w:val="es-ES" w:eastAsia="es-ES"/>
        </w:rPr>
        <w:t>.1</w:t>
      </w:r>
      <w:r w:rsidRPr="00D17EDF">
        <w:rPr>
          <w:sz w:val="24"/>
          <w:szCs w:val="24"/>
          <w:lang w:val="es-ES" w:eastAsia="es-ES"/>
        </w:rPr>
        <w:t xml:space="preserve"> son las personas que obtienen los instrumentos financieros ofrecidos por las entidades financieras apoyadas, incluyendo: (i) la población excluida del sistema financiero, particularmente la población en condición de pobreza y vulnerabilidad y segmentos cuyos ingresos provienen de fuentes informales; y (ii) la población que no hace un uso adecuado de los servicios, específicamente transferencias y pagos digitales. Para el Componente 2, la población objetivo serán las micro y pequeñas empresas, habiendo un foco en aquellas que no hayan tenido un crédito en el último año por alguna IMF apoyada por FONCAP. FONCAP pondrá condiciones para fomentar nuevos clientes. Los recursos se destinarán al segmento poblacional de menor ingreso que se caracteriza por estar en situación de pobreza y de vulnerabilidad de caer en ésta y por depender de múltiples fuentes de ingresos. La Matriz de Resultados estima el número de beneficiarios de ambos componentes. Cabe mencionar que adicionalmente, el Componente 1 (en particular el subcomponente 1.2) al realizar medidas transversales podrá beneficiar otros segmentos de IF, como el crédito a personas y la apertura de cuentas y uso de pagos digitales por empresas.</w:t>
      </w:r>
      <w:r w:rsidR="0090567A">
        <w:rPr>
          <w:sz w:val="24"/>
          <w:szCs w:val="24"/>
          <w:lang w:val="es-ES" w:eastAsia="es-ES"/>
        </w:rPr>
        <w:t xml:space="preserve"> </w:t>
      </w:r>
    </w:p>
    <w:p w14:paraId="7F88423D" w14:textId="77777777" w:rsidR="0090567A" w:rsidRDefault="0090567A" w:rsidP="0090567A">
      <w:pPr>
        <w:spacing w:line="240" w:lineRule="auto"/>
        <w:jc w:val="both"/>
        <w:rPr>
          <w:sz w:val="24"/>
          <w:szCs w:val="24"/>
          <w:lang w:val="es-ES" w:eastAsia="es-ES"/>
        </w:rPr>
      </w:pPr>
    </w:p>
    <w:p w14:paraId="29621F43" w14:textId="77777777" w:rsidR="00C64900" w:rsidRPr="00D1516A" w:rsidRDefault="00AB64E2" w:rsidP="00E8744D">
      <w:pPr>
        <w:pStyle w:val="Heading1"/>
        <w:numPr>
          <w:ilvl w:val="0"/>
          <w:numId w:val="5"/>
        </w:numPr>
        <w:rPr>
          <w:rFonts w:asciiTheme="minorHAnsi" w:hAnsiTheme="minorHAnsi" w:cstheme="minorHAnsi"/>
          <w:sz w:val="24"/>
          <w:szCs w:val="24"/>
        </w:rPr>
      </w:pPr>
      <w:bookmarkStart w:id="83" w:name="_Toc324196887"/>
      <w:r w:rsidRPr="00FF5624">
        <w:rPr>
          <w:rFonts w:asciiTheme="minorHAnsi" w:hAnsiTheme="minorHAnsi" w:cstheme="minorHAnsi"/>
          <w:sz w:val="28"/>
          <w:szCs w:val="28"/>
        </w:rPr>
        <w:t xml:space="preserve">Gestión técnica del </w:t>
      </w:r>
      <w:r w:rsidR="00AF70D9" w:rsidRPr="00FF5624">
        <w:rPr>
          <w:rFonts w:asciiTheme="minorHAnsi" w:hAnsiTheme="minorHAnsi" w:cstheme="minorHAnsi"/>
          <w:sz w:val="28"/>
          <w:szCs w:val="28"/>
        </w:rPr>
        <w:t>sub</w:t>
      </w:r>
      <w:r w:rsidRPr="00FF5624">
        <w:rPr>
          <w:rFonts w:asciiTheme="minorHAnsi" w:hAnsiTheme="minorHAnsi" w:cstheme="minorHAnsi"/>
          <w:sz w:val="28"/>
          <w:szCs w:val="28"/>
        </w:rPr>
        <w:t>componente 1</w:t>
      </w:r>
      <w:r w:rsidR="00AF70D9" w:rsidRPr="00FF5624">
        <w:rPr>
          <w:rFonts w:asciiTheme="minorHAnsi" w:hAnsiTheme="minorHAnsi" w:cstheme="minorHAnsi"/>
          <w:sz w:val="28"/>
          <w:szCs w:val="28"/>
        </w:rPr>
        <w:t>.1</w:t>
      </w:r>
      <w:r w:rsidRPr="00FF5624">
        <w:rPr>
          <w:rFonts w:asciiTheme="minorHAnsi" w:hAnsiTheme="minorHAnsi" w:cstheme="minorHAnsi"/>
          <w:sz w:val="28"/>
          <w:szCs w:val="28"/>
        </w:rPr>
        <w:t xml:space="preserve"> del programa: </w:t>
      </w:r>
      <w:r w:rsidR="00AF70D9" w:rsidRPr="00FF5624">
        <w:rPr>
          <w:rFonts w:asciiTheme="minorHAnsi" w:hAnsiTheme="minorHAnsi" w:cstheme="minorHAnsi"/>
          <w:sz w:val="28"/>
          <w:szCs w:val="28"/>
        </w:rPr>
        <w:t xml:space="preserve">Concursos </w:t>
      </w:r>
      <w:r w:rsidR="00C64900" w:rsidRPr="00FF5624">
        <w:rPr>
          <w:rFonts w:asciiTheme="minorHAnsi" w:hAnsiTheme="minorHAnsi" w:cstheme="minorHAnsi"/>
          <w:sz w:val="28"/>
          <w:szCs w:val="28"/>
        </w:rPr>
        <w:t>de apoyo a la inclusión financiera</w:t>
      </w:r>
      <w:r w:rsidRPr="00D1516A">
        <w:rPr>
          <w:rFonts w:asciiTheme="minorHAnsi" w:hAnsiTheme="minorHAnsi" w:cstheme="minorHAnsi"/>
          <w:sz w:val="24"/>
          <w:szCs w:val="24"/>
        </w:rPr>
        <w:t>.</w:t>
      </w:r>
      <w:bookmarkEnd w:id="83"/>
    </w:p>
    <w:p w14:paraId="345625FB" w14:textId="77777777" w:rsidR="00977327" w:rsidRPr="0069659B" w:rsidRDefault="00977327" w:rsidP="00C57AB5">
      <w:pPr>
        <w:spacing w:after="0" w:line="240" w:lineRule="auto"/>
        <w:jc w:val="both"/>
        <w:rPr>
          <w:rFonts w:asciiTheme="minorHAnsi" w:hAnsiTheme="minorHAnsi" w:cstheme="minorHAnsi"/>
          <w:lang w:val="es-ES"/>
        </w:rPr>
      </w:pPr>
    </w:p>
    <w:p w14:paraId="67FBE373" w14:textId="77777777" w:rsidR="0015359C" w:rsidRPr="00C64900" w:rsidRDefault="00C64900" w:rsidP="00B97BBD">
      <w:pPr>
        <w:pStyle w:val="Heading3"/>
        <w:ind w:firstLine="708"/>
        <w:rPr>
          <w:rFonts w:asciiTheme="minorHAnsi" w:hAnsiTheme="minorHAnsi" w:cstheme="minorHAnsi"/>
          <w:b w:val="0"/>
          <w:sz w:val="24"/>
          <w:szCs w:val="24"/>
          <w:lang w:val="es-ES_tradnl"/>
        </w:rPr>
      </w:pPr>
      <w:bookmarkStart w:id="84" w:name="_Toc322363669"/>
      <w:bookmarkStart w:id="85" w:name="_Toc324196888"/>
      <w:r w:rsidRPr="007E0620">
        <w:rPr>
          <w:rFonts w:asciiTheme="minorHAnsi" w:hAnsiTheme="minorHAnsi" w:cstheme="minorHAnsi"/>
          <w:sz w:val="24"/>
          <w:szCs w:val="24"/>
          <w:lang w:val="es-ES_tradnl"/>
        </w:rPr>
        <w:t>4.1.1</w:t>
      </w:r>
      <w:r w:rsidRPr="00C64900">
        <w:rPr>
          <w:rFonts w:asciiTheme="minorHAnsi" w:hAnsiTheme="minorHAnsi" w:cstheme="minorHAnsi"/>
          <w:b w:val="0"/>
          <w:sz w:val="24"/>
          <w:szCs w:val="24"/>
          <w:lang w:val="es-ES_tradnl"/>
        </w:rPr>
        <w:t xml:space="preserve"> </w:t>
      </w:r>
      <w:r w:rsidR="007E0620">
        <w:rPr>
          <w:rFonts w:asciiTheme="minorHAnsi" w:hAnsiTheme="minorHAnsi" w:cstheme="minorHAnsi"/>
          <w:sz w:val="24"/>
          <w:szCs w:val="24"/>
          <w:lang w:val="es-ES_tradnl"/>
        </w:rPr>
        <w:t xml:space="preserve"> </w:t>
      </w:r>
      <w:r w:rsidR="0015359C" w:rsidRPr="007E0620">
        <w:rPr>
          <w:rFonts w:asciiTheme="minorHAnsi" w:hAnsiTheme="minorHAnsi" w:cstheme="minorHAnsi"/>
          <w:sz w:val="24"/>
          <w:szCs w:val="24"/>
          <w:lang w:val="es-ES_tradnl"/>
        </w:rPr>
        <w:t>Objetivo</w:t>
      </w:r>
      <w:r w:rsidR="00EE13C7">
        <w:rPr>
          <w:rFonts w:asciiTheme="minorHAnsi" w:hAnsiTheme="minorHAnsi" w:cstheme="minorHAnsi"/>
          <w:sz w:val="24"/>
          <w:szCs w:val="24"/>
          <w:lang w:val="es-ES_tradnl"/>
        </w:rPr>
        <w:t>s</w:t>
      </w:r>
      <w:bookmarkEnd w:id="84"/>
      <w:r w:rsidR="0015359C" w:rsidRPr="007E0620">
        <w:rPr>
          <w:rFonts w:asciiTheme="minorHAnsi" w:hAnsiTheme="minorHAnsi" w:cstheme="minorHAnsi"/>
          <w:sz w:val="24"/>
          <w:szCs w:val="24"/>
          <w:lang w:val="es-ES_tradnl"/>
        </w:rPr>
        <w:t>.-</w:t>
      </w:r>
      <w:bookmarkEnd w:id="85"/>
    </w:p>
    <w:p w14:paraId="4551A7BE" w14:textId="77777777" w:rsidR="0015359C" w:rsidRPr="00C57AB5" w:rsidRDefault="0015359C" w:rsidP="00C57AB5">
      <w:pPr>
        <w:spacing w:after="0" w:line="240" w:lineRule="auto"/>
        <w:jc w:val="both"/>
        <w:rPr>
          <w:rFonts w:asciiTheme="minorHAnsi" w:hAnsiTheme="minorHAnsi" w:cstheme="minorHAnsi"/>
          <w:sz w:val="24"/>
          <w:szCs w:val="24"/>
        </w:rPr>
      </w:pPr>
    </w:p>
    <w:p w14:paraId="689CEC41" w14:textId="77777777" w:rsidR="00EE13C7" w:rsidRDefault="00EE13C7" w:rsidP="00EE13C7">
      <w:pPr>
        <w:spacing w:line="240" w:lineRule="auto"/>
        <w:jc w:val="both"/>
        <w:rPr>
          <w:sz w:val="24"/>
          <w:szCs w:val="24"/>
          <w:lang w:val="es-ES" w:eastAsia="es-ES"/>
        </w:rPr>
      </w:pPr>
      <w:bookmarkStart w:id="86" w:name="_Toc322363670"/>
      <w:bookmarkStart w:id="87" w:name="_Toc324196889"/>
      <w:r w:rsidRPr="00D17EDF">
        <w:rPr>
          <w:sz w:val="24"/>
          <w:szCs w:val="24"/>
          <w:lang w:val="es-ES" w:eastAsia="es-ES"/>
        </w:rPr>
        <w:t xml:space="preserve">El diseño de los concursos tendrá como requisito obtener por lo menos uno de los dos resultados siguientes: </w:t>
      </w:r>
    </w:p>
    <w:p w14:paraId="67205759" w14:textId="77777777" w:rsidR="00EE13C7" w:rsidRPr="0090567A" w:rsidRDefault="007D408C" w:rsidP="00E8744D">
      <w:pPr>
        <w:pStyle w:val="ListParagraph"/>
        <w:numPr>
          <w:ilvl w:val="0"/>
          <w:numId w:val="13"/>
        </w:numPr>
        <w:jc w:val="both"/>
        <w:rPr>
          <w:rFonts w:ascii="Calibri" w:eastAsia="Calibri" w:hAnsi="Calibri"/>
        </w:rPr>
      </w:pPr>
      <w:r w:rsidRPr="007D408C">
        <w:rPr>
          <w:rFonts w:ascii="Calibri" w:eastAsia="Calibri" w:hAnsi="Calibri"/>
          <w:lang w:val="es-EC"/>
        </w:rPr>
        <w:lastRenderedPageBreak/>
        <w:t xml:space="preserve">incrementar el acceso de personas previamente excluidas del sistema, definida como que </w:t>
      </w:r>
      <w:r w:rsidRPr="007D408C">
        <w:rPr>
          <w:rFonts w:ascii="Calibri" w:eastAsia="Calibri" w:hAnsi="Calibri"/>
          <w:lang w:val="es-ES_tradnl"/>
        </w:rPr>
        <w:t xml:space="preserve">no ha tenido acceso </w:t>
      </w:r>
      <w:r w:rsidRPr="007D408C">
        <w:rPr>
          <w:rFonts w:ascii="Calibri" w:eastAsia="Calibri" w:hAnsi="Calibri"/>
          <w:lang w:val="es-EC"/>
        </w:rPr>
        <w:t>a por lo menos un servicio financiero</w:t>
      </w:r>
      <w:r w:rsidRPr="007D408C">
        <w:rPr>
          <w:rFonts w:ascii="Calibri" w:eastAsia="Calibri" w:hAnsi="Calibri"/>
          <w:lang w:val="es-ES_tradnl"/>
        </w:rPr>
        <w:t xml:space="preserve"> en el último año (específicamente, una caja de ahorro),</w:t>
      </w:r>
      <w:r w:rsidRPr="007D408C">
        <w:rPr>
          <w:rFonts w:ascii="Calibri" w:eastAsia="Calibri" w:hAnsi="Calibri"/>
          <w:lang w:val="es-EC"/>
        </w:rPr>
        <w:t xml:space="preserve"> con un enfoque en segmento de ingresos informales y de bajos ingresos, que será medido por las cuentas abiertas en el año por clientes nuevos al sistema</w:t>
      </w:r>
      <w:r w:rsidR="00EE13C7" w:rsidRPr="0090567A">
        <w:rPr>
          <w:rFonts w:ascii="Calibri" w:eastAsia="Calibri" w:hAnsi="Calibri"/>
        </w:rPr>
        <w:t xml:space="preserve">; y </w:t>
      </w:r>
    </w:p>
    <w:p w14:paraId="3A03A452" w14:textId="77777777" w:rsidR="0038766F" w:rsidRPr="0038766F" w:rsidRDefault="007D408C" w:rsidP="00E8744D">
      <w:pPr>
        <w:pStyle w:val="ListParagraph"/>
        <w:numPr>
          <w:ilvl w:val="0"/>
          <w:numId w:val="13"/>
        </w:numPr>
        <w:jc w:val="both"/>
        <w:rPr>
          <w:rFonts w:ascii="Calibri" w:eastAsia="Calibri" w:hAnsi="Calibri"/>
        </w:rPr>
      </w:pPr>
      <w:r w:rsidRPr="007D408C">
        <w:rPr>
          <w:rFonts w:ascii="Calibri" w:eastAsia="Calibri" w:hAnsi="Calibri"/>
          <w:lang w:val="es-EC"/>
        </w:rPr>
        <w:t>incrementar el uso de servicios, medido por el aumento en el nú</w:t>
      </w:r>
      <w:r w:rsidRPr="007D408C">
        <w:rPr>
          <w:rFonts w:ascii="Calibri" w:eastAsia="Calibri" w:hAnsi="Calibri"/>
          <w:lang w:val="es-ES_tradnl"/>
        </w:rPr>
        <w:t>mero de personas con al menos tres transacciones digitales</w:t>
      </w:r>
      <w:r w:rsidRPr="007D408C">
        <w:rPr>
          <w:rFonts w:ascii="Calibri" w:eastAsia="Calibri" w:hAnsi="Calibri"/>
          <w:vertAlign w:val="superscript"/>
          <w:lang w:val="es-EC"/>
        </w:rPr>
        <w:footnoteReference w:id="3"/>
      </w:r>
      <w:r w:rsidRPr="007D408C">
        <w:rPr>
          <w:rFonts w:ascii="Calibri" w:eastAsia="Calibri" w:hAnsi="Calibri"/>
          <w:lang w:val="es-ES_tradnl"/>
        </w:rPr>
        <w:t xml:space="preserve"> al mes</w:t>
      </w:r>
      <w:r w:rsidRPr="007D408C">
        <w:rPr>
          <w:rFonts w:ascii="Calibri" w:eastAsia="Calibri" w:hAnsi="Calibri"/>
          <w:lang w:val="es-EC"/>
        </w:rPr>
        <w:t>, específicamente transferencias y pagos</w:t>
      </w:r>
      <w:r w:rsidRPr="007D408C">
        <w:rPr>
          <w:rFonts w:ascii="Calibri" w:eastAsia="Calibri" w:hAnsi="Calibri"/>
          <w:vertAlign w:val="superscript"/>
          <w:lang w:val="es-EC"/>
        </w:rPr>
        <w:footnoteReference w:id="4"/>
      </w:r>
      <w:r w:rsidRPr="007D408C">
        <w:rPr>
          <w:rFonts w:ascii="Calibri" w:eastAsia="Calibri" w:hAnsi="Calibri"/>
          <w:lang w:val="es-EC"/>
        </w:rPr>
        <w:t xml:space="preserve">. </w:t>
      </w:r>
    </w:p>
    <w:p w14:paraId="58300B96" w14:textId="77777777" w:rsidR="0038766F" w:rsidRDefault="0038766F" w:rsidP="0038766F">
      <w:pPr>
        <w:pStyle w:val="ListParagraph"/>
        <w:ind w:left="1080"/>
        <w:jc w:val="both"/>
        <w:rPr>
          <w:rFonts w:ascii="Calibri" w:eastAsia="Calibri" w:hAnsi="Calibri"/>
        </w:rPr>
      </w:pPr>
    </w:p>
    <w:p w14:paraId="5EC3D416" w14:textId="37E348DF" w:rsidR="00EE13C7" w:rsidRPr="0090567A" w:rsidRDefault="0038766F" w:rsidP="0038766F">
      <w:pPr>
        <w:pStyle w:val="ListParagraph"/>
        <w:ind w:left="1080"/>
        <w:jc w:val="both"/>
        <w:rPr>
          <w:rFonts w:ascii="Calibri" w:eastAsia="Calibri" w:hAnsi="Calibri"/>
        </w:rPr>
      </w:pPr>
      <w:r w:rsidRPr="0038766F">
        <w:rPr>
          <w:rFonts w:ascii="Calibri" w:eastAsia="Calibri" w:hAnsi="Calibri"/>
          <w:lang w:val="es-EC"/>
        </w:rPr>
        <w:t>Los recursos de este subcomponente se utilizarán para asistencia técnica y aportes no reembolsables a las EF concursantes que deberán destinarse a la ampliación de cobertura de canales de acceso y al diseño e implementación de nuevos servicios financieros para los segmentos de la población excluida o subatendida</w:t>
      </w:r>
      <w:r w:rsidR="007D408C" w:rsidRPr="007D408C">
        <w:rPr>
          <w:rFonts w:ascii="Calibri" w:eastAsia="Calibri" w:hAnsi="Calibri"/>
          <w:lang w:val="es-EC"/>
        </w:rPr>
        <w:t>, así como el desarrollo de programas de educación financiera</w:t>
      </w:r>
      <w:r w:rsidR="007D408C" w:rsidRPr="007D408C">
        <w:rPr>
          <w:rFonts w:ascii="Calibri" w:eastAsia="Calibri" w:hAnsi="Calibri"/>
          <w:vertAlign w:val="superscript"/>
          <w:lang w:val="es-EC"/>
        </w:rPr>
        <w:footnoteReference w:id="5"/>
      </w:r>
      <w:r w:rsidR="00EE13C7" w:rsidRPr="0090567A">
        <w:rPr>
          <w:rFonts w:ascii="Calibri" w:eastAsia="Calibri" w:hAnsi="Calibri"/>
        </w:rPr>
        <w:t xml:space="preserve">. </w:t>
      </w:r>
    </w:p>
    <w:p w14:paraId="19AC3945" w14:textId="77777777" w:rsidR="0015359C" w:rsidRPr="00C57AB5" w:rsidRDefault="00485653" w:rsidP="00B97BBD">
      <w:pPr>
        <w:pStyle w:val="Heading3"/>
        <w:ind w:firstLine="708"/>
        <w:rPr>
          <w:rFonts w:asciiTheme="minorHAnsi" w:hAnsiTheme="minorHAnsi" w:cstheme="minorHAnsi"/>
          <w:sz w:val="24"/>
          <w:szCs w:val="24"/>
          <w:lang w:val="es-ES_tradnl"/>
        </w:rPr>
      </w:pPr>
      <w:r>
        <w:rPr>
          <w:rFonts w:asciiTheme="minorHAnsi" w:hAnsiTheme="minorHAnsi" w:cstheme="minorHAnsi"/>
          <w:sz w:val="24"/>
          <w:szCs w:val="24"/>
          <w:lang w:val="es-ES_tradnl"/>
        </w:rPr>
        <w:t xml:space="preserve">4.1.2  </w:t>
      </w:r>
      <w:r w:rsidR="0015359C" w:rsidRPr="00C57AB5">
        <w:rPr>
          <w:rFonts w:asciiTheme="minorHAnsi" w:hAnsiTheme="minorHAnsi" w:cstheme="minorHAnsi"/>
          <w:sz w:val="24"/>
          <w:szCs w:val="24"/>
          <w:lang w:val="es-ES_tradnl"/>
        </w:rPr>
        <w:t>Resultados Esperados</w:t>
      </w:r>
      <w:bookmarkEnd w:id="86"/>
      <w:r w:rsidR="0015359C" w:rsidRPr="00C57AB5">
        <w:rPr>
          <w:rFonts w:asciiTheme="minorHAnsi" w:hAnsiTheme="minorHAnsi" w:cstheme="minorHAnsi"/>
          <w:sz w:val="24"/>
          <w:szCs w:val="24"/>
          <w:lang w:val="es-ES_tradnl"/>
        </w:rPr>
        <w:t>.-</w:t>
      </w:r>
      <w:bookmarkEnd w:id="87"/>
    </w:p>
    <w:p w14:paraId="7F1DC768" w14:textId="77777777" w:rsidR="0015359C" w:rsidRPr="00C57AB5" w:rsidRDefault="0015359C" w:rsidP="00C57AB5">
      <w:pPr>
        <w:spacing w:after="0" w:line="240" w:lineRule="auto"/>
        <w:rPr>
          <w:rFonts w:asciiTheme="minorHAnsi" w:hAnsiTheme="minorHAnsi" w:cstheme="minorHAnsi"/>
          <w:lang w:val="es-ES_tradnl" w:eastAsia="es-ES"/>
        </w:rPr>
      </w:pPr>
    </w:p>
    <w:p w14:paraId="3477DB97" w14:textId="77777777" w:rsidR="00EE13C7" w:rsidRDefault="00EE13C7" w:rsidP="00C57AB5">
      <w:pPr>
        <w:spacing w:after="0" w:line="240" w:lineRule="auto"/>
        <w:jc w:val="both"/>
        <w:rPr>
          <w:rFonts w:asciiTheme="minorHAnsi" w:hAnsiTheme="minorHAnsi" w:cstheme="minorHAnsi"/>
          <w:sz w:val="24"/>
          <w:szCs w:val="24"/>
        </w:rPr>
      </w:pPr>
      <w:r w:rsidRPr="00EE13C7">
        <w:rPr>
          <w:rFonts w:asciiTheme="minorHAnsi" w:hAnsiTheme="minorHAnsi" w:cstheme="minorHAnsi"/>
          <w:b/>
          <w:sz w:val="24"/>
          <w:szCs w:val="24"/>
        </w:rPr>
        <w:t>RESULTADO 1:</w:t>
      </w:r>
      <w:r w:rsidRPr="00EE13C7">
        <w:rPr>
          <w:rFonts w:asciiTheme="minorHAnsi" w:hAnsiTheme="minorHAnsi" w:cstheme="minorHAnsi"/>
          <w:sz w:val="24"/>
          <w:szCs w:val="24"/>
        </w:rPr>
        <w:t xml:space="preserve"> Acceso y uso de servicios financieros para hogares y empresas incrementados a través del programa</w:t>
      </w:r>
    </w:p>
    <w:p w14:paraId="752FFE9A" w14:textId="77777777" w:rsidR="00EE13C7" w:rsidRDefault="00EE13C7" w:rsidP="00C57AB5">
      <w:pPr>
        <w:spacing w:after="0" w:line="240" w:lineRule="auto"/>
        <w:jc w:val="both"/>
        <w:rPr>
          <w:rFonts w:asciiTheme="minorHAnsi" w:hAnsiTheme="minorHAnsi" w:cstheme="minorHAnsi"/>
          <w:sz w:val="24"/>
          <w:szCs w:val="24"/>
        </w:rPr>
      </w:pPr>
    </w:p>
    <w:p w14:paraId="4D47567A" w14:textId="77777777" w:rsidR="00EE13C7" w:rsidRPr="00EE13C7" w:rsidRDefault="00EE13C7" w:rsidP="00EE13C7">
      <w:pPr>
        <w:spacing w:after="0" w:line="240" w:lineRule="auto"/>
        <w:jc w:val="both"/>
        <w:rPr>
          <w:rFonts w:asciiTheme="minorHAnsi" w:hAnsiTheme="minorHAnsi" w:cstheme="minorHAnsi"/>
          <w:sz w:val="24"/>
          <w:szCs w:val="24"/>
          <w:lang w:val="es-ES_tradnl"/>
        </w:rPr>
      </w:pPr>
      <w:r w:rsidRPr="00EE13C7">
        <w:rPr>
          <w:rFonts w:asciiTheme="minorHAnsi" w:hAnsiTheme="minorHAnsi" w:cstheme="minorHAnsi"/>
          <w:b/>
          <w:sz w:val="24"/>
          <w:szCs w:val="24"/>
          <w:lang w:val="es-ES_tradnl"/>
        </w:rPr>
        <w:t>Indicador 1.</w:t>
      </w:r>
      <w:r w:rsidRPr="00EE13C7">
        <w:rPr>
          <w:rFonts w:asciiTheme="minorHAnsi" w:hAnsiTheme="minorHAnsi" w:cstheme="minorHAnsi"/>
          <w:sz w:val="24"/>
          <w:szCs w:val="24"/>
          <w:lang w:val="es-ES_tradnl"/>
        </w:rPr>
        <w:t xml:space="preserve">  </w:t>
      </w:r>
    </w:p>
    <w:p w14:paraId="44CD5BF7" w14:textId="77777777" w:rsidR="00EE13C7" w:rsidRPr="00EE13C7" w:rsidRDefault="00EE13C7" w:rsidP="00EE13C7">
      <w:pPr>
        <w:spacing w:after="0" w:line="240" w:lineRule="auto"/>
        <w:jc w:val="both"/>
        <w:rPr>
          <w:rFonts w:asciiTheme="minorHAnsi" w:hAnsiTheme="minorHAnsi" w:cstheme="minorHAnsi"/>
          <w:sz w:val="24"/>
          <w:szCs w:val="24"/>
          <w:lang w:val="es-ES"/>
        </w:rPr>
      </w:pPr>
      <w:bookmarkStart w:id="88" w:name="_Hlk494805087"/>
      <w:r w:rsidRPr="00EE13C7">
        <w:rPr>
          <w:rFonts w:asciiTheme="minorHAnsi" w:hAnsiTheme="minorHAnsi" w:cstheme="minorHAnsi"/>
          <w:sz w:val="24"/>
          <w:szCs w:val="24"/>
          <w:lang w:val="es-ES"/>
        </w:rPr>
        <w:t xml:space="preserve">Cuentas abiertas en el año por clientes nuevos al sistema </w:t>
      </w:r>
      <w:bookmarkEnd w:id="88"/>
      <w:r w:rsidRPr="00EE13C7">
        <w:rPr>
          <w:rFonts w:asciiTheme="minorHAnsi" w:hAnsiTheme="minorHAnsi" w:cstheme="minorHAnsi"/>
          <w:sz w:val="24"/>
          <w:szCs w:val="24"/>
          <w:lang w:val="es-ES"/>
        </w:rPr>
        <w:t>relativo al acervo de cuentas al cierre de año (promedio para las entidades financieras ganadoras)</w:t>
      </w:r>
    </w:p>
    <w:p w14:paraId="154DDDD0" w14:textId="77777777" w:rsidR="00EE13C7" w:rsidRPr="00EE13C7" w:rsidRDefault="00EE13C7" w:rsidP="00C57AB5">
      <w:pPr>
        <w:spacing w:after="0" w:line="240" w:lineRule="auto"/>
        <w:jc w:val="both"/>
        <w:rPr>
          <w:rFonts w:asciiTheme="minorHAnsi" w:hAnsiTheme="minorHAnsi" w:cstheme="minorHAnsi"/>
          <w:sz w:val="24"/>
          <w:szCs w:val="24"/>
          <w:lang w:val="es-ES"/>
        </w:rPr>
      </w:pPr>
    </w:p>
    <w:p w14:paraId="67432830" w14:textId="77777777" w:rsid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t xml:space="preserve">Es una medida de acceso a por lo menos un servicio o producto dentro del sistema financiero. Nuevos usuarios se refieren a </w:t>
      </w:r>
      <w:bookmarkStart w:id="89" w:name="_Hlk494805068"/>
      <w:r w:rsidRPr="00EE13C7">
        <w:rPr>
          <w:rFonts w:asciiTheme="minorHAnsi" w:hAnsiTheme="minorHAnsi" w:cstheme="minorHAnsi"/>
          <w:sz w:val="24"/>
          <w:szCs w:val="24"/>
          <w:lang w:val="es-ES"/>
        </w:rPr>
        <w:t>personas previamente excluidas del sistema, definida como que no ha tenido acceso a por lo menos un servicio financiero en el último año (particularmente, una caja de ahorro), con un enfoque en segmento de ingresos informales y de bajos ingresos</w:t>
      </w:r>
      <w:bookmarkEnd w:id="89"/>
      <w:r w:rsidRPr="00EE13C7">
        <w:rPr>
          <w:rFonts w:asciiTheme="minorHAnsi" w:hAnsiTheme="minorHAnsi" w:cstheme="minorHAnsi"/>
          <w:sz w:val="24"/>
          <w:szCs w:val="24"/>
          <w:lang w:val="es-ES"/>
        </w:rPr>
        <w:t xml:space="preserve">. </w:t>
      </w:r>
    </w:p>
    <w:p w14:paraId="1669990D"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p>
    <w:p w14:paraId="6C213281"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t xml:space="preserve">De esta forma, se excluyen cuentas sueldos, así como cuentas relacionadas a pagos de subsidios, pensiones y jubilaciones. </w:t>
      </w:r>
    </w:p>
    <w:p w14:paraId="509B7433"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p>
    <w:p w14:paraId="76C5B3BF"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t xml:space="preserve">La línea base no está disponible dado que no se sabrá hasta realizarse cada concurso, cuál es el acervo de cuentas al cierre de año de los ganadores ni cuantas cuentas son abiertas por clientes nuevos al sistema. Será condición para concursar el que las entidades aporten dicha información, incluyendo sobre el acceso a otras cuentas de sus beneficiarias.  </w:t>
      </w:r>
    </w:p>
    <w:p w14:paraId="198DA3D2"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p>
    <w:p w14:paraId="69D26576" w14:textId="77777777" w:rsidR="00EE13C7" w:rsidRPr="00EE13C7" w:rsidRDefault="00EE13C7" w:rsidP="00EE13C7">
      <w:pPr>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lastRenderedPageBreak/>
        <w:t>Relacionado al objetivo ENIF: (iii) mejorar el acceso de los hogares y MiPyME a cajas de ahorro; (iv) mejorar el acceso al crédito de los hogares, de forma responsable y sostenible.</w:t>
      </w:r>
    </w:p>
    <w:p w14:paraId="478B4638" w14:textId="77777777" w:rsidR="00EE13C7" w:rsidRDefault="00EE13C7" w:rsidP="00EE13C7">
      <w:pPr>
        <w:spacing w:after="0" w:line="240" w:lineRule="auto"/>
        <w:jc w:val="both"/>
        <w:rPr>
          <w:rFonts w:asciiTheme="minorHAnsi" w:hAnsiTheme="minorHAnsi" w:cstheme="minorHAnsi"/>
          <w:b/>
          <w:sz w:val="24"/>
          <w:szCs w:val="24"/>
          <w:lang w:val="es-ES_tradnl"/>
        </w:rPr>
      </w:pPr>
    </w:p>
    <w:p w14:paraId="4511B0D4" w14:textId="77777777" w:rsidR="00EE13C7" w:rsidRPr="00EE13C7" w:rsidRDefault="00EE13C7" w:rsidP="00EE13C7">
      <w:pPr>
        <w:spacing w:after="0" w:line="240" w:lineRule="auto"/>
        <w:jc w:val="both"/>
        <w:rPr>
          <w:rFonts w:asciiTheme="minorHAnsi" w:hAnsiTheme="minorHAnsi" w:cstheme="minorHAnsi"/>
          <w:sz w:val="24"/>
          <w:szCs w:val="24"/>
          <w:lang w:val="es-ES_tradnl"/>
        </w:rPr>
      </w:pPr>
      <w:r w:rsidRPr="00EE13C7">
        <w:rPr>
          <w:rFonts w:asciiTheme="minorHAnsi" w:hAnsiTheme="minorHAnsi" w:cstheme="minorHAnsi"/>
          <w:b/>
          <w:sz w:val="24"/>
          <w:szCs w:val="24"/>
          <w:lang w:val="es-ES_tradnl"/>
        </w:rPr>
        <w:t>Indicador 2.</w:t>
      </w:r>
      <w:r w:rsidRPr="00EE13C7">
        <w:rPr>
          <w:rFonts w:asciiTheme="minorHAnsi" w:hAnsiTheme="minorHAnsi" w:cstheme="minorHAnsi"/>
          <w:sz w:val="24"/>
          <w:szCs w:val="24"/>
          <w:lang w:val="es-ES_tradnl"/>
        </w:rPr>
        <w:t xml:space="preserve">  </w:t>
      </w:r>
    </w:p>
    <w:p w14:paraId="52B990BA" w14:textId="77777777" w:rsidR="007D408C" w:rsidRPr="007D408C" w:rsidRDefault="007D408C" w:rsidP="007D408C">
      <w:pPr>
        <w:spacing w:after="0" w:line="240" w:lineRule="auto"/>
        <w:jc w:val="both"/>
        <w:rPr>
          <w:rFonts w:asciiTheme="minorHAnsi" w:hAnsiTheme="minorHAnsi" w:cstheme="minorHAnsi"/>
          <w:sz w:val="24"/>
          <w:szCs w:val="24"/>
          <w:lang w:val="es-ES"/>
        </w:rPr>
      </w:pPr>
      <w:r w:rsidRPr="007D408C">
        <w:rPr>
          <w:rFonts w:asciiTheme="minorHAnsi" w:hAnsiTheme="minorHAnsi" w:cstheme="minorHAnsi"/>
          <w:sz w:val="24"/>
          <w:szCs w:val="24"/>
          <w:lang w:val="es-ES_tradnl"/>
        </w:rPr>
        <w:t>Número de personas con al menos tres transacciones digitales</w:t>
      </w:r>
      <w:r w:rsidRPr="007D408C">
        <w:rPr>
          <w:rFonts w:asciiTheme="minorHAnsi" w:hAnsiTheme="minorHAnsi" w:cstheme="minorHAnsi"/>
          <w:sz w:val="24"/>
          <w:szCs w:val="24"/>
          <w:vertAlign w:val="superscript"/>
          <w:lang w:val="es-ES"/>
        </w:rPr>
        <w:footnoteReference w:id="6"/>
      </w:r>
      <w:r w:rsidRPr="007D408C">
        <w:rPr>
          <w:rFonts w:asciiTheme="minorHAnsi" w:hAnsiTheme="minorHAnsi" w:cstheme="minorHAnsi"/>
          <w:sz w:val="24"/>
          <w:szCs w:val="24"/>
          <w:lang w:val="es-ES_tradnl"/>
        </w:rPr>
        <w:t xml:space="preserve"> al mes sobre el total de clientes de la entidad ganadora </w:t>
      </w:r>
      <w:r w:rsidRPr="007D408C">
        <w:rPr>
          <w:rFonts w:asciiTheme="minorHAnsi" w:hAnsiTheme="minorHAnsi" w:cstheme="minorHAnsi"/>
          <w:sz w:val="24"/>
          <w:szCs w:val="24"/>
          <w:lang w:val="es-ES"/>
        </w:rPr>
        <w:t>(promedio de los últimos seis meses)</w:t>
      </w:r>
      <w:r>
        <w:rPr>
          <w:rFonts w:asciiTheme="minorHAnsi" w:hAnsiTheme="minorHAnsi" w:cstheme="minorHAnsi"/>
          <w:sz w:val="24"/>
          <w:szCs w:val="24"/>
          <w:lang w:val="es-ES"/>
        </w:rPr>
        <w:t>.</w:t>
      </w:r>
    </w:p>
    <w:p w14:paraId="33F21600" w14:textId="77777777" w:rsidR="00EE13C7" w:rsidRPr="00EE13C7" w:rsidRDefault="00EE13C7" w:rsidP="00C57AB5">
      <w:pPr>
        <w:spacing w:after="0" w:line="240" w:lineRule="auto"/>
        <w:jc w:val="both"/>
        <w:rPr>
          <w:rFonts w:asciiTheme="minorHAnsi" w:hAnsiTheme="minorHAnsi" w:cstheme="minorHAnsi"/>
          <w:sz w:val="24"/>
          <w:szCs w:val="24"/>
          <w:lang w:val="es-ES"/>
        </w:rPr>
      </w:pPr>
    </w:p>
    <w:p w14:paraId="6942BD16" w14:textId="77777777" w:rsidR="007D408C" w:rsidRPr="007D408C" w:rsidRDefault="007D408C" w:rsidP="007D408C">
      <w:pPr>
        <w:autoSpaceDE w:val="0"/>
        <w:autoSpaceDN w:val="0"/>
        <w:adjustRightInd w:val="0"/>
        <w:spacing w:after="0" w:line="240" w:lineRule="auto"/>
        <w:jc w:val="both"/>
        <w:rPr>
          <w:rFonts w:asciiTheme="minorHAnsi" w:hAnsiTheme="minorHAnsi" w:cstheme="minorHAnsi"/>
          <w:sz w:val="24"/>
          <w:szCs w:val="24"/>
          <w:lang w:val="es-ES"/>
        </w:rPr>
      </w:pPr>
      <w:r w:rsidRPr="007D408C">
        <w:rPr>
          <w:rFonts w:asciiTheme="minorHAnsi" w:hAnsiTheme="minorHAnsi" w:cstheme="minorHAnsi"/>
          <w:sz w:val="24"/>
          <w:szCs w:val="24"/>
          <w:lang w:val="es-ES"/>
        </w:rPr>
        <w:t>Es una medida de uso</w:t>
      </w:r>
      <w:r w:rsidRPr="007D408C">
        <w:rPr>
          <w:rFonts w:asciiTheme="minorHAnsi" w:hAnsiTheme="minorHAnsi" w:cstheme="minorHAnsi"/>
          <w:i/>
          <w:sz w:val="24"/>
          <w:szCs w:val="24"/>
          <w:lang w:val="es-ES"/>
        </w:rPr>
        <w:t xml:space="preserve"> </w:t>
      </w:r>
      <w:r w:rsidRPr="007D408C">
        <w:rPr>
          <w:rFonts w:asciiTheme="minorHAnsi" w:hAnsiTheme="minorHAnsi" w:cstheme="minorHAnsi"/>
          <w:sz w:val="24"/>
          <w:szCs w:val="24"/>
          <w:lang w:val="es-ES"/>
        </w:rPr>
        <w:t>de servicios financieros específicamente transferencias y pagos</w:t>
      </w:r>
      <w:r w:rsidRPr="007D408C">
        <w:rPr>
          <w:rFonts w:asciiTheme="minorHAnsi" w:hAnsiTheme="minorHAnsi" w:cstheme="minorHAnsi"/>
          <w:sz w:val="24"/>
          <w:szCs w:val="24"/>
          <w:vertAlign w:val="superscript"/>
          <w:lang w:val="es-ES"/>
        </w:rPr>
        <w:footnoteReference w:id="7"/>
      </w:r>
      <w:r w:rsidRPr="007D408C">
        <w:rPr>
          <w:rFonts w:asciiTheme="minorHAnsi" w:hAnsiTheme="minorHAnsi" w:cstheme="minorHAnsi"/>
          <w:sz w:val="24"/>
          <w:szCs w:val="24"/>
          <w:lang w:val="es-ES"/>
        </w:rPr>
        <w:t xml:space="preserve">. </w:t>
      </w:r>
    </w:p>
    <w:p w14:paraId="405CF2F2" w14:textId="77777777" w:rsidR="00EE13C7" w:rsidRPr="00EE13C7" w:rsidRDefault="007D408C" w:rsidP="007D408C">
      <w:pPr>
        <w:autoSpaceDE w:val="0"/>
        <w:autoSpaceDN w:val="0"/>
        <w:adjustRightInd w:val="0"/>
        <w:spacing w:after="0" w:line="240" w:lineRule="auto"/>
        <w:jc w:val="both"/>
        <w:rPr>
          <w:rFonts w:asciiTheme="minorHAnsi" w:hAnsiTheme="minorHAnsi" w:cstheme="minorHAnsi"/>
          <w:sz w:val="24"/>
          <w:szCs w:val="24"/>
          <w:lang w:val="es-ES"/>
        </w:rPr>
      </w:pPr>
      <w:bookmarkStart w:id="90" w:name="_Hlk494805424"/>
      <w:r w:rsidRPr="007D408C">
        <w:rPr>
          <w:rFonts w:asciiTheme="minorHAnsi" w:hAnsiTheme="minorHAnsi" w:cstheme="minorHAnsi"/>
          <w:sz w:val="24"/>
          <w:szCs w:val="24"/>
          <w:lang w:val="es-ES"/>
        </w:rPr>
        <w:t>Incluye medidas tendientes a incrementar la ampliación de cobertura de canales de bajo costo</w:t>
      </w:r>
      <w:r w:rsidRPr="007D408C">
        <w:rPr>
          <w:rFonts w:asciiTheme="minorHAnsi" w:hAnsiTheme="minorHAnsi" w:cstheme="minorHAnsi"/>
          <w:sz w:val="24"/>
          <w:szCs w:val="24"/>
          <w:vertAlign w:val="superscript"/>
          <w:lang w:val="es-ES"/>
        </w:rPr>
        <w:footnoteReference w:id="8"/>
      </w:r>
      <w:r w:rsidRPr="007D408C">
        <w:rPr>
          <w:rFonts w:asciiTheme="minorHAnsi" w:hAnsiTheme="minorHAnsi" w:cstheme="minorHAnsi"/>
          <w:sz w:val="24"/>
          <w:szCs w:val="24"/>
          <w:lang w:val="es-ES"/>
        </w:rPr>
        <w:t>, así como nuevos productos y servicios</w:t>
      </w:r>
      <w:bookmarkEnd w:id="90"/>
      <w:r w:rsidRPr="007D408C">
        <w:rPr>
          <w:rFonts w:asciiTheme="minorHAnsi" w:hAnsiTheme="minorHAnsi" w:cstheme="minorHAnsi"/>
          <w:sz w:val="24"/>
          <w:szCs w:val="24"/>
          <w:lang w:val="es-ES"/>
        </w:rPr>
        <w:t xml:space="preserve"> de</w:t>
      </w:r>
      <w:bookmarkStart w:id="91" w:name="_Hlk493852808"/>
      <w:r w:rsidRPr="007D408C">
        <w:rPr>
          <w:rFonts w:asciiTheme="minorHAnsi" w:hAnsiTheme="minorHAnsi" w:cstheme="minorHAnsi"/>
          <w:sz w:val="24"/>
          <w:szCs w:val="24"/>
          <w:lang w:val="es-ES"/>
        </w:rPr>
        <w:t xml:space="preserve"> transferencias y pagos digitales</w:t>
      </w:r>
      <w:bookmarkEnd w:id="91"/>
      <w:r w:rsidR="00EE13C7" w:rsidRPr="00EE13C7">
        <w:rPr>
          <w:rFonts w:asciiTheme="minorHAnsi" w:hAnsiTheme="minorHAnsi" w:cstheme="minorHAnsi"/>
          <w:sz w:val="24"/>
          <w:szCs w:val="24"/>
          <w:lang w:val="es-ES"/>
        </w:rPr>
        <w:t xml:space="preserve">. </w:t>
      </w:r>
    </w:p>
    <w:p w14:paraId="48E114B7"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p>
    <w:p w14:paraId="7DE49269"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t>La información de la</w:t>
      </w:r>
      <w:r w:rsidR="007D408C">
        <w:rPr>
          <w:rFonts w:asciiTheme="minorHAnsi" w:hAnsiTheme="minorHAnsi" w:cstheme="minorHAnsi"/>
          <w:sz w:val="24"/>
          <w:szCs w:val="24"/>
          <w:lang w:val="es-ES"/>
        </w:rPr>
        <w:t xml:space="preserve"> línea base y de las</w:t>
      </w:r>
      <w:r w:rsidRPr="00EE13C7">
        <w:rPr>
          <w:rFonts w:asciiTheme="minorHAnsi" w:hAnsiTheme="minorHAnsi" w:cstheme="minorHAnsi"/>
          <w:sz w:val="24"/>
          <w:szCs w:val="24"/>
          <w:lang w:val="es-ES"/>
        </w:rPr>
        <w:t xml:space="preserve"> metas logradas se obtendrá de los concursantes ganadores. Será condición para concursar el que las entidades aporten dicha información.</w:t>
      </w:r>
      <w:r w:rsidRPr="00EE13C7" w:rsidDel="00CD4EF7">
        <w:rPr>
          <w:rFonts w:asciiTheme="minorHAnsi" w:hAnsiTheme="minorHAnsi" w:cstheme="minorHAnsi"/>
          <w:sz w:val="24"/>
          <w:szCs w:val="24"/>
          <w:lang w:val="es-ES"/>
        </w:rPr>
        <w:t xml:space="preserve"> </w:t>
      </w:r>
    </w:p>
    <w:p w14:paraId="44D1AF7E" w14:textId="77777777" w:rsidR="00EE13C7" w:rsidRPr="00EE13C7" w:rsidRDefault="00EE13C7" w:rsidP="00EE13C7">
      <w:pPr>
        <w:autoSpaceDE w:val="0"/>
        <w:autoSpaceDN w:val="0"/>
        <w:adjustRightInd w:val="0"/>
        <w:spacing w:after="0" w:line="240" w:lineRule="auto"/>
        <w:jc w:val="both"/>
        <w:rPr>
          <w:rFonts w:asciiTheme="minorHAnsi" w:hAnsiTheme="minorHAnsi" w:cstheme="minorHAnsi"/>
          <w:sz w:val="24"/>
          <w:szCs w:val="24"/>
          <w:lang w:val="es-ES"/>
        </w:rPr>
      </w:pPr>
    </w:p>
    <w:p w14:paraId="3B465D99" w14:textId="77777777" w:rsidR="00EE13C7" w:rsidRPr="00EE13C7" w:rsidRDefault="00EE13C7" w:rsidP="00EE13C7">
      <w:pPr>
        <w:spacing w:after="0" w:line="240" w:lineRule="auto"/>
        <w:jc w:val="both"/>
        <w:rPr>
          <w:rFonts w:asciiTheme="minorHAnsi" w:hAnsiTheme="minorHAnsi" w:cstheme="minorHAnsi"/>
          <w:sz w:val="24"/>
          <w:szCs w:val="24"/>
          <w:lang w:val="es-ES"/>
        </w:rPr>
      </w:pPr>
      <w:r w:rsidRPr="00EE13C7">
        <w:rPr>
          <w:rFonts w:asciiTheme="minorHAnsi" w:hAnsiTheme="minorHAnsi" w:cstheme="minorHAnsi"/>
          <w:sz w:val="24"/>
          <w:szCs w:val="24"/>
          <w:lang w:val="es-ES"/>
        </w:rPr>
        <w:t>Relacionado al objetivo ENIF: (i) incrementar el uso de servicios financieros y de medios electrónicos de pagos; y (ii) promover la oferta de servicios financieros digitales.</w:t>
      </w:r>
    </w:p>
    <w:p w14:paraId="158194D8" w14:textId="77777777" w:rsidR="0015359C" w:rsidRDefault="0015359C" w:rsidP="00C57AB5">
      <w:pPr>
        <w:spacing w:after="0" w:line="240" w:lineRule="auto"/>
        <w:ind w:left="787"/>
        <w:jc w:val="both"/>
        <w:rPr>
          <w:rFonts w:asciiTheme="minorHAnsi" w:hAnsiTheme="minorHAnsi" w:cstheme="minorHAnsi"/>
          <w:sz w:val="24"/>
          <w:szCs w:val="24"/>
        </w:rPr>
      </w:pPr>
    </w:p>
    <w:p w14:paraId="2737E947" w14:textId="77777777" w:rsidR="0015359C" w:rsidRPr="00B97BBD" w:rsidRDefault="00485653" w:rsidP="00B97BBD">
      <w:pPr>
        <w:pStyle w:val="Heading3"/>
        <w:ind w:firstLine="708"/>
        <w:rPr>
          <w:rFonts w:asciiTheme="minorHAnsi" w:hAnsiTheme="minorHAnsi" w:cstheme="minorHAnsi"/>
          <w:sz w:val="24"/>
          <w:szCs w:val="24"/>
          <w:lang w:val="es-ES_tradnl"/>
        </w:rPr>
      </w:pPr>
      <w:bookmarkStart w:id="92" w:name="_Toc322363672"/>
      <w:bookmarkStart w:id="93" w:name="_Toc324196890"/>
      <w:r w:rsidRPr="00B97BBD">
        <w:rPr>
          <w:rFonts w:asciiTheme="minorHAnsi" w:hAnsiTheme="minorHAnsi" w:cstheme="minorHAnsi"/>
          <w:sz w:val="24"/>
          <w:szCs w:val="24"/>
          <w:lang w:val="es-ES_tradnl"/>
        </w:rPr>
        <w:t>4.1.3</w:t>
      </w:r>
      <w:r w:rsidRPr="00B97BBD">
        <w:rPr>
          <w:rFonts w:asciiTheme="minorHAnsi" w:hAnsiTheme="minorHAnsi" w:cstheme="minorHAnsi"/>
          <w:sz w:val="24"/>
          <w:szCs w:val="24"/>
          <w:lang w:val="es-ES_tradnl"/>
        </w:rPr>
        <w:tab/>
      </w:r>
      <w:r w:rsidR="0015359C" w:rsidRPr="00B97BBD">
        <w:rPr>
          <w:rFonts w:asciiTheme="minorHAnsi" w:hAnsiTheme="minorHAnsi" w:cstheme="minorHAnsi"/>
          <w:sz w:val="24"/>
          <w:szCs w:val="24"/>
          <w:lang w:val="es-ES_tradnl"/>
        </w:rPr>
        <w:t>Lineamientos Generales</w:t>
      </w:r>
      <w:bookmarkEnd w:id="92"/>
      <w:r w:rsidR="0015359C" w:rsidRPr="00B97BBD">
        <w:rPr>
          <w:rFonts w:asciiTheme="minorHAnsi" w:hAnsiTheme="minorHAnsi" w:cstheme="minorHAnsi"/>
          <w:sz w:val="24"/>
          <w:szCs w:val="24"/>
          <w:lang w:val="es-ES_tradnl"/>
        </w:rPr>
        <w:t>.-</w:t>
      </w:r>
      <w:bookmarkEnd w:id="93"/>
    </w:p>
    <w:p w14:paraId="26FD1539" w14:textId="77777777" w:rsidR="0015359C" w:rsidRPr="00C57AB5" w:rsidRDefault="0015359C" w:rsidP="00C57AB5">
      <w:pPr>
        <w:spacing w:after="0" w:line="240" w:lineRule="auto"/>
        <w:rPr>
          <w:rFonts w:asciiTheme="minorHAnsi" w:hAnsiTheme="minorHAnsi" w:cstheme="minorHAnsi"/>
          <w:lang w:val="es-ES_tradnl" w:eastAsia="es-ES"/>
        </w:rPr>
      </w:pPr>
    </w:p>
    <w:p w14:paraId="5623E9AC" w14:textId="77777777" w:rsidR="0015359C" w:rsidRDefault="0015359C" w:rsidP="00012C31">
      <w:p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Las actividades de apoyo y fortalecimiento de la oferta de servicios financieros proporcionada por las IFIs, deben dirigirse directamente al logro de los objetivos del Programa de acuerdo con los siguientes lineamientos, los cuales están orientados a promover la sostenibilidad de las intervenciones</w:t>
      </w:r>
      <w:r w:rsidR="007E0620">
        <w:rPr>
          <w:rFonts w:asciiTheme="minorHAnsi" w:hAnsiTheme="minorHAnsi" w:cstheme="minorHAnsi"/>
          <w:sz w:val="24"/>
          <w:szCs w:val="24"/>
        </w:rPr>
        <w:t xml:space="preserve"> y</w:t>
      </w:r>
      <w:r w:rsidRPr="00C57AB5">
        <w:rPr>
          <w:rFonts w:asciiTheme="minorHAnsi" w:hAnsiTheme="minorHAnsi" w:cstheme="minorHAnsi"/>
          <w:sz w:val="24"/>
          <w:szCs w:val="24"/>
        </w:rPr>
        <w:t xml:space="preserve"> la optimización de los recursos del </w:t>
      </w:r>
      <w:r w:rsidR="000F128A">
        <w:rPr>
          <w:rFonts w:asciiTheme="minorHAnsi" w:hAnsiTheme="minorHAnsi" w:cstheme="minorHAnsi"/>
          <w:sz w:val="24"/>
          <w:szCs w:val="24"/>
        </w:rPr>
        <w:t>Programa</w:t>
      </w:r>
      <w:r w:rsidRPr="00C57AB5">
        <w:rPr>
          <w:rFonts w:asciiTheme="minorHAnsi" w:hAnsiTheme="minorHAnsi" w:cstheme="minorHAnsi"/>
          <w:sz w:val="24"/>
          <w:szCs w:val="24"/>
        </w:rPr>
        <w:t xml:space="preserve">: </w:t>
      </w:r>
    </w:p>
    <w:p w14:paraId="3AC84DA4" w14:textId="77777777" w:rsidR="007E0620" w:rsidRPr="00C57AB5" w:rsidRDefault="007E0620" w:rsidP="00C57AB5">
      <w:pPr>
        <w:spacing w:after="0" w:line="240" w:lineRule="auto"/>
        <w:jc w:val="both"/>
        <w:rPr>
          <w:rFonts w:asciiTheme="minorHAnsi" w:hAnsiTheme="minorHAnsi" w:cstheme="minorHAnsi"/>
          <w:sz w:val="24"/>
          <w:szCs w:val="24"/>
        </w:rPr>
      </w:pPr>
    </w:p>
    <w:p w14:paraId="31576478" w14:textId="77777777" w:rsidR="0015359C" w:rsidRPr="00012C31" w:rsidRDefault="000F128A" w:rsidP="00E8744D">
      <w:pPr>
        <w:pStyle w:val="ListParagraph"/>
        <w:numPr>
          <w:ilvl w:val="0"/>
          <w:numId w:val="8"/>
        </w:numPr>
        <w:jc w:val="both"/>
        <w:rPr>
          <w:rFonts w:asciiTheme="minorHAnsi" w:hAnsiTheme="minorHAnsi" w:cstheme="minorHAnsi"/>
        </w:rPr>
      </w:pPr>
      <w:r>
        <w:rPr>
          <w:rFonts w:asciiTheme="minorHAnsi" w:hAnsiTheme="minorHAnsi" w:cstheme="minorHAnsi"/>
        </w:rPr>
        <w:t xml:space="preserve">Criterios para </w:t>
      </w:r>
      <w:r w:rsidR="0015359C" w:rsidRPr="00012C31">
        <w:rPr>
          <w:rFonts w:asciiTheme="minorHAnsi" w:hAnsiTheme="minorHAnsi" w:cstheme="minorHAnsi"/>
        </w:rPr>
        <w:t>Utilizar instrumentos de apoyo:</w:t>
      </w:r>
    </w:p>
    <w:p w14:paraId="00B62BE9" w14:textId="77777777" w:rsidR="0015359C" w:rsidRPr="00C57AB5" w:rsidRDefault="0015359C" w:rsidP="00C57AB5">
      <w:pPr>
        <w:spacing w:after="0" w:line="240" w:lineRule="auto"/>
        <w:ind w:left="720"/>
        <w:jc w:val="both"/>
        <w:rPr>
          <w:rFonts w:asciiTheme="minorHAnsi" w:hAnsiTheme="minorHAnsi" w:cstheme="minorHAnsi"/>
          <w:sz w:val="24"/>
          <w:szCs w:val="24"/>
        </w:rPr>
      </w:pPr>
    </w:p>
    <w:p w14:paraId="67BF34BA" w14:textId="77777777" w:rsidR="0015359C" w:rsidRPr="00C57AB5" w:rsidRDefault="0015359C" w:rsidP="00E8744D">
      <w:pPr>
        <w:numPr>
          <w:ilvl w:val="1"/>
          <w:numId w:val="7"/>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Otorgar los montos mínimos necesarios para lograr el objetivo.</w:t>
      </w:r>
    </w:p>
    <w:p w14:paraId="2D56AE6C" w14:textId="77777777" w:rsidR="0015359C" w:rsidRPr="00C57AB5" w:rsidRDefault="0015359C" w:rsidP="00E8744D">
      <w:pPr>
        <w:numPr>
          <w:ilvl w:val="1"/>
          <w:numId w:val="7"/>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Optimizar los recursos del </w:t>
      </w:r>
      <w:r w:rsidR="000F128A">
        <w:rPr>
          <w:rFonts w:asciiTheme="minorHAnsi" w:hAnsiTheme="minorHAnsi" w:cstheme="minorHAnsi"/>
          <w:sz w:val="24"/>
          <w:szCs w:val="24"/>
        </w:rPr>
        <w:t>Programa</w:t>
      </w:r>
    </w:p>
    <w:p w14:paraId="716E24EC" w14:textId="77777777" w:rsidR="0015359C" w:rsidRPr="00C57AB5" w:rsidRDefault="0015359C" w:rsidP="00E8744D">
      <w:pPr>
        <w:numPr>
          <w:ilvl w:val="1"/>
          <w:numId w:val="7"/>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Maximizar el esfuerzo y la contrapartida de las entidades financieras beneficiarias</w:t>
      </w:r>
    </w:p>
    <w:p w14:paraId="298B5AB6"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Estimular el desarrollo de productos y servicios financieros</w:t>
      </w:r>
      <w:r w:rsidR="000F128A">
        <w:rPr>
          <w:rFonts w:asciiTheme="minorHAnsi" w:hAnsiTheme="minorHAnsi" w:cstheme="minorHAnsi"/>
          <w:sz w:val="24"/>
          <w:szCs w:val="24"/>
        </w:rPr>
        <w:t>, y</w:t>
      </w:r>
      <w:r w:rsidRPr="00C57AB5">
        <w:rPr>
          <w:rFonts w:asciiTheme="minorHAnsi" w:hAnsiTheme="minorHAnsi" w:cstheme="minorHAnsi"/>
          <w:sz w:val="24"/>
          <w:szCs w:val="24"/>
        </w:rPr>
        <w:t xml:space="preserve"> el desarrollo y la penetración de nuevos mercados por parte de las IFIs, de una manera sostenible.</w:t>
      </w:r>
    </w:p>
    <w:p w14:paraId="6223BE06"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Desarrollar intervenciones que maximicen el impacto y el alcance llegando a una porción importante de los oferentes con mayor capacidad de escalamiento de los servicios a nivel regional y nacional. </w:t>
      </w:r>
    </w:p>
    <w:p w14:paraId="103DD814" w14:textId="77777777" w:rsidR="0015359C" w:rsidRPr="00C57AB5" w:rsidRDefault="0015359C" w:rsidP="00C57AB5">
      <w:pPr>
        <w:spacing w:after="0" w:line="240" w:lineRule="auto"/>
        <w:ind w:left="1440"/>
        <w:jc w:val="both"/>
        <w:rPr>
          <w:rFonts w:asciiTheme="minorHAnsi" w:hAnsiTheme="minorHAnsi" w:cstheme="minorHAnsi"/>
          <w:sz w:val="24"/>
          <w:szCs w:val="24"/>
        </w:rPr>
      </w:pPr>
    </w:p>
    <w:p w14:paraId="2F974052" w14:textId="77777777" w:rsidR="0015359C" w:rsidRPr="00C57AB5" w:rsidRDefault="0015359C" w:rsidP="00E8744D">
      <w:pPr>
        <w:numPr>
          <w:ilvl w:val="0"/>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Cumplir con los siguientes principios:</w:t>
      </w:r>
    </w:p>
    <w:p w14:paraId="588B6773" w14:textId="77777777" w:rsidR="0015359C" w:rsidRPr="00C57AB5" w:rsidRDefault="0015359C" w:rsidP="00C57AB5">
      <w:pPr>
        <w:spacing w:after="0" w:line="240" w:lineRule="auto"/>
        <w:ind w:left="720"/>
        <w:jc w:val="both"/>
        <w:rPr>
          <w:rFonts w:asciiTheme="minorHAnsi" w:hAnsiTheme="minorHAnsi" w:cstheme="minorHAnsi"/>
          <w:sz w:val="24"/>
          <w:szCs w:val="24"/>
        </w:rPr>
      </w:pPr>
    </w:p>
    <w:p w14:paraId="770C8290"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Ser dimensionados en función de los objetivos y los requerimientos de la oferta.</w:t>
      </w:r>
    </w:p>
    <w:p w14:paraId="35F9BBB5"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Ser temporales, de tal forma que cumplan la función de estimular el desarrollo y la entrada a nuevos mercados; además de la exploración de nuevos productos y servicios financieros sin distorsionar los mercados mediante la reducción artificial y permanente de los verdaderos costos que implican estas actividades para la oferta de servicios financieros. </w:t>
      </w:r>
    </w:p>
    <w:p w14:paraId="48A2F016"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Ser decrecientes, durante el periodo del contrato de apoyo con cada entidad financiera. El monto del apoyo deberá reducirse gradualmente en monto y proporción hasta llegar a cero de tal forma que durante la etapa final del contrato la entidad financiera siga comprometida con el logro de los objetivos sin recibir recursos del </w:t>
      </w:r>
      <w:r w:rsidR="00C924CA">
        <w:rPr>
          <w:rFonts w:asciiTheme="minorHAnsi" w:hAnsiTheme="minorHAnsi" w:cstheme="minorHAnsi"/>
          <w:sz w:val="24"/>
          <w:szCs w:val="24"/>
        </w:rPr>
        <w:t>Programa</w:t>
      </w:r>
      <w:r w:rsidRPr="00C57AB5">
        <w:rPr>
          <w:rFonts w:asciiTheme="minorHAnsi" w:hAnsiTheme="minorHAnsi" w:cstheme="minorHAnsi"/>
          <w:sz w:val="24"/>
          <w:szCs w:val="24"/>
        </w:rPr>
        <w:t>.</w:t>
      </w:r>
    </w:p>
    <w:p w14:paraId="2DE153F6" w14:textId="77777777" w:rsidR="0015359C" w:rsidRPr="00C57AB5" w:rsidRDefault="0015359C" w:rsidP="00E8744D">
      <w:pPr>
        <w:numPr>
          <w:ilvl w:val="1"/>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Permitir verificar los resultados y la sostenibilidad de la intervención.</w:t>
      </w:r>
    </w:p>
    <w:p w14:paraId="385EC149" w14:textId="77777777" w:rsidR="0015359C" w:rsidRPr="00C57AB5" w:rsidRDefault="0015359C" w:rsidP="00C57AB5">
      <w:pPr>
        <w:spacing w:after="0" w:line="240" w:lineRule="auto"/>
        <w:ind w:left="1080"/>
        <w:rPr>
          <w:rFonts w:asciiTheme="minorHAnsi" w:hAnsiTheme="minorHAnsi" w:cstheme="minorHAnsi"/>
        </w:rPr>
      </w:pPr>
    </w:p>
    <w:p w14:paraId="2629DAD9" w14:textId="77777777" w:rsidR="00D82615" w:rsidRPr="00D82615" w:rsidRDefault="00D82615" w:rsidP="00E8744D">
      <w:pPr>
        <w:numPr>
          <w:ilvl w:val="0"/>
          <w:numId w:val="4"/>
        </w:numPr>
        <w:spacing w:after="0" w:line="240" w:lineRule="auto"/>
        <w:jc w:val="both"/>
        <w:rPr>
          <w:rFonts w:asciiTheme="minorHAnsi" w:hAnsiTheme="minorHAnsi" w:cstheme="minorHAnsi"/>
          <w:sz w:val="24"/>
          <w:szCs w:val="24"/>
        </w:rPr>
      </w:pPr>
      <w:r>
        <w:rPr>
          <w:rFonts w:asciiTheme="minorHAnsi" w:eastAsia="Times New Roman" w:hAnsiTheme="minorHAnsi" w:cstheme="minorHAnsi"/>
          <w:sz w:val="24"/>
          <w:szCs w:val="24"/>
          <w:lang w:val="es-ES" w:eastAsia="es-ES"/>
        </w:rPr>
        <w:t>S</w:t>
      </w:r>
      <w:r w:rsidRPr="00CC4601">
        <w:rPr>
          <w:rFonts w:asciiTheme="minorHAnsi" w:eastAsia="Times New Roman" w:hAnsiTheme="minorHAnsi" w:cstheme="minorHAnsi"/>
          <w:sz w:val="24"/>
          <w:szCs w:val="24"/>
          <w:lang w:val="es-ES" w:eastAsia="es-ES"/>
        </w:rPr>
        <w:t>erá condición para concursar el que las entidades aporten la información para establecer una línea base para el programa</w:t>
      </w:r>
      <w:r>
        <w:rPr>
          <w:rFonts w:asciiTheme="minorHAnsi" w:eastAsia="Times New Roman" w:hAnsiTheme="minorHAnsi" w:cstheme="minorHAnsi"/>
          <w:sz w:val="24"/>
          <w:szCs w:val="24"/>
          <w:lang w:val="es-ES" w:eastAsia="es-ES"/>
        </w:rPr>
        <w:t>, en su caso, así como las metas logradas.</w:t>
      </w:r>
      <w:r w:rsidRPr="00D82615">
        <w:rPr>
          <w:rFonts w:asciiTheme="minorHAnsi" w:eastAsia="Times New Roman" w:hAnsiTheme="minorHAnsi" w:cstheme="minorHAnsi"/>
          <w:sz w:val="24"/>
          <w:szCs w:val="24"/>
          <w:lang w:val="es-ES" w:eastAsia="es-ES"/>
        </w:rPr>
        <w:t xml:space="preserve"> </w:t>
      </w:r>
    </w:p>
    <w:p w14:paraId="2EBD7BB1" w14:textId="77777777" w:rsidR="00D82615" w:rsidRDefault="00D82615" w:rsidP="00D82615">
      <w:pPr>
        <w:spacing w:after="0" w:line="240" w:lineRule="auto"/>
        <w:ind w:left="786"/>
        <w:jc w:val="both"/>
        <w:rPr>
          <w:rFonts w:asciiTheme="minorHAnsi" w:hAnsiTheme="minorHAnsi" w:cstheme="minorHAnsi"/>
          <w:sz w:val="24"/>
          <w:szCs w:val="24"/>
        </w:rPr>
      </w:pPr>
    </w:p>
    <w:p w14:paraId="363F0C5E" w14:textId="77777777" w:rsidR="00012C31" w:rsidRDefault="0015359C" w:rsidP="00E8744D">
      <w:pPr>
        <w:numPr>
          <w:ilvl w:val="0"/>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Asignar los apoyos mediante convocatorias </w:t>
      </w:r>
      <w:r w:rsidR="00224B07">
        <w:rPr>
          <w:rFonts w:asciiTheme="minorHAnsi" w:hAnsiTheme="minorHAnsi" w:cstheme="minorHAnsi"/>
          <w:sz w:val="24"/>
          <w:szCs w:val="24"/>
        </w:rPr>
        <w:t xml:space="preserve">públicas </w:t>
      </w:r>
      <w:r w:rsidRPr="00C57AB5">
        <w:rPr>
          <w:rFonts w:asciiTheme="minorHAnsi" w:hAnsiTheme="minorHAnsi" w:cstheme="minorHAnsi"/>
          <w:sz w:val="24"/>
          <w:szCs w:val="24"/>
        </w:rPr>
        <w:t>que deberán observar los principios de legalidad, trato justo, igualdad, calidad, vigencia tecnológica, oportunidad, transparencia, equidad, libre concurrencia y publicidad de los beneficiarios.</w:t>
      </w:r>
      <w:r w:rsidR="00224B07">
        <w:rPr>
          <w:rFonts w:asciiTheme="minorHAnsi" w:hAnsiTheme="minorHAnsi" w:cstheme="minorHAnsi"/>
          <w:sz w:val="24"/>
          <w:szCs w:val="24"/>
        </w:rPr>
        <w:t xml:space="preserve"> Los términos de referencia y/o especificaciones técnicas deberán ser específicos y diseñados </w:t>
      </w:r>
      <w:r w:rsidR="00637647">
        <w:rPr>
          <w:rFonts w:asciiTheme="minorHAnsi" w:hAnsiTheme="minorHAnsi" w:cstheme="minorHAnsi"/>
          <w:sz w:val="24"/>
          <w:szCs w:val="24"/>
        </w:rPr>
        <w:t xml:space="preserve">en detalle para el logro de los objetivos del apoyo o incentivo que se pretenda desarrollar. </w:t>
      </w:r>
    </w:p>
    <w:p w14:paraId="2BCA4E89" w14:textId="77777777" w:rsidR="0015359C" w:rsidRPr="00C57AB5" w:rsidRDefault="0015359C" w:rsidP="00012C31">
      <w:pPr>
        <w:spacing w:after="0" w:line="240" w:lineRule="auto"/>
        <w:ind w:left="426"/>
        <w:jc w:val="both"/>
        <w:rPr>
          <w:rFonts w:asciiTheme="minorHAnsi" w:hAnsiTheme="minorHAnsi" w:cstheme="minorHAnsi"/>
          <w:sz w:val="24"/>
          <w:szCs w:val="24"/>
        </w:rPr>
      </w:pPr>
    </w:p>
    <w:p w14:paraId="0B33B630" w14:textId="77777777" w:rsidR="0015359C" w:rsidRDefault="0015359C" w:rsidP="00E8744D">
      <w:pPr>
        <w:numPr>
          <w:ilvl w:val="0"/>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 xml:space="preserve">Contar con un sistema de asignación y ejecución de los apoyos que asegure el uso eficiente de los recursos. </w:t>
      </w:r>
    </w:p>
    <w:p w14:paraId="59E10FCD" w14:textId="77777777" w:rsidR="00012C31" w:rsidRDefault="00012C31" w:rsidP="00012C31">
      <w:pPr>
        <w:pStyle w:val="ListParagraph"/>
        <w:rPr>
          <w:rFonts w:asciiTheme="minorHAnsi" w:hAnsiTheme="minorHAnsi" w:cstheme="minorHAnsi"/>
        </w:rPr>
      </w:pPr>
    </w:p>
    <w:p w14:paraId="2A280670" w14:textId="77777777" w:rsidR="0015359C" w:rsidRPr="00C57AB5" w:rsidRDefault="0015359C" w:rsidP="00E8744D">
      <w:pPr>
        <w:numPr>
          <w:ilvl w:val="0"/>
          <w:numId w:val="4"/>
        </w:num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rPr>
        <w:t>Realizar el control de cada uno de los apoyos por entidad a través de un manejo contable separado. Las IFIs adjudicatarias deberán llevar registros contables independientes en donde consten las inversiones y gastos correspondientes al proyecto objeto de cofinanciación con este incentivo.</w:t>
      </w:r>
    </w:p>
    <w:p w14:paraId="5C8BBDCB" w14:textId="77777777" w:rsidR="0015359C" w:rsidRPr="00B97BBD" w:rsidRDefault="00485653" w:rsidP="00B97BBD">
      <w:pPr>
        <w:pStyle w:val="Heading3"/>
        <w:ind w:firstLine="708"/>
        <w:rPr>
          <w:rFonts w:asciiTheme="minorHAnsi" w:hAnsiTheme="minorHAnsi" w:cstheme="minorHAnsi"/>
          <w:sz w:val="24"/>
          <w:szCs w:val="24"/>
          <w:lang w:val="es-ES_tradnl"/>
        </w:rPr>
      </w:pPr>
      <w:bookmarkStart w:id="94" w:name="_Toc322363673"/>
      <w:bookmarkStart w:id="95" w:name="_Toc324196891"/>
      <w:r w:rsidRPr="00B97BBD">
        <w:rPr>
          <w:rFonts w:asciiTheme="minorHAnsi" w:hAnsiTheme="minorHAnsi" w:cstheme="minorHAnsi"/>
          <w:sz w:val="24"/>
          <w:szCs w:val="24"/>
          <w:lang w:val="es-ES_tradnl"/>
        </w:rPr>
        <w:t xml:space="preserve">4.1.4  </w:t>
      </w:r>
      <w:r w:rsidR="0015359C" w:rsidRPr="00B97BBD">
        <w:rPr>
          <w:rFonts w:asciiTheme="minorHAnsi" w:hAnsiTheme="minorHAnsi" w:cstheme="minorHAnsi"/>
          <w:sz w:val="24"/>
          <w:szCs w:val="24"/>
          <w:lang w:val="es-ES_tradnl"/>
        </w:rPr>
        <w:t>Actividades Financiables</w:t>
      </w:r>
      <w:bookmarkEnd w:id="94"/>
      <w:r w:rsidR="0015359C" w:rsidRPr="00B97BBD">
        <w:rPr>
          <w:rFonts w:asciiTheme="minorHAnsi" w:hAnsiTheme="minorHAnsi" w:cstheme="minorHAnsi"/>
          <w:sz w:val="24"/>
          <w:szCs w:val="24"/>
          <w:lang w:val="es-ES_tradnl"/>
        </w:rPr>
        <w:t>.-</w:t>
      </w:r>
      <w:bookmarkEnd w:id="95"/>
    </w:p>
    <w:p w14:paraId="77FCFD0B" w14:textId="77777777" w:rsidR="0015359C" w:rsidRPr="00C57AB5" w:rsidRDefault="0015359C" w:rsidP="00C57AB5">
      <w:pPr>
        <w:spacing w:after="0" w:line="240" w:lineRule="auto"/>
        <w:rPr>
          <w:rFonts w:asciiTheme="minorHAnsi" w:hAnsiTheme="minorHAnsi" w:cstheme="minorHAnsi"/>
        </w:rPr>
      </w:pPr>
    </w:p>
    <w:p w14:paraId="3F848934" w14:textId="77777777" w:rsidR="0015359C" w:rsidRDefault="002515E0" w:rsidP="002515E0">
      <w:pPr>
        <w:spacing w:after="0" w:line="240" w:lineRule="auto"/>
        <w:ind w:left="284"/>
        <w:jc w:val="both"/>
        <w:rPr>
          <w:rFonts w:asciiTheme="minorHAnsi" w:hAnsiTheme="minorHAnsi" w:cstheme="minorHAnsi"/>
        </w:rPr>
      </w:pPr>
      <w:r w:rsidRPr="002515E0">
        <w:rPr>
          <w:rFonts w:asciiTheme="minorHAnsi" w:hAnsiTheme="minorHAnsi" w:cstheme="minorHAnsi"/>
          <w:sz w:val="24"/>
          <w:szCs w:val="24"/>
        </w:rPr>
        <w:t xml:space="preserve">Los recursos de este subcomponente </w:t>
      </w:r>
      <w:r w:rsidR="00A56680">
        <w:rPr>
          <w:rFonts w:asciiTheme="minorHAnsi" w:hAnsiTheme="minorHAnsi" w:cstheme="minorHAnsi"/>
          <w:sz w:val="24"/>
          <w:szCs w:val="24"/>
        </w:rPr>
        <w:t xml:space="preserve">1.1 </w:t>
      </w:r>
      <w:r w:rsidRPr="002515E0">
        <w:rPr>
          <w:rFonts w:asciiTheme="minorHAnsi" w:hAnsiTheme="minorHAnsi" w:cstheme="minorHAnsi"/>
          <w:sz w:val="24"/>
          <w:szCs w:val="24"/>
        </w:rPr>
        <w:t>podrán destinarse a apoyar a las entidades financieras concursantes en la ampliación de cobertura de puntos de acceso</w:t>
      </w:r>
      <w:r w:rsidRPr="002515E0">
        <w:rPr>
          <w:rFonts w:asciiTheme="minorHAnsi" w:hAnsiTheme="minorHAnsi" w:cstheme="minorHAnsi"/>
          <w:sz w:val="24"/>
          <w:szCs w:val="24"/>
          <w:vertAlign w:val="superscript"/>
          <w:lang w:val="es-ES"/>
        </w:rPr>
        <w:footnoteReference w:id="9"/>
      </w:r>
      <w:r w:rsidRPr="002515E0">
        <w:rPr>
          <w:rFonts w:asciiTheme="minorHAnsi" w:hAnsiTheme="minorHAnsi" w:cstheme="minorHAnsi"/>
          <w:sz w:val="24"/>
          <w:szCs w:val="24"/>
        </w:rPr>
        <w:t xml:space="preserve"> y en el diseño e implementación de nuevos servicios financieros para los segmentos de la </w:t>
      </w:r>
      <w:r w:rsidRPr="002515E0">
        <w:rPr>
          <w:rFonts w:asciiTheme="minorHAnsi" w:hAnsiTheme="minorHAnsi" w:cstheme="minorHAnsi"/>
          <w:sz w:val="24"/>
          <w:szCs w:val="24"/>
        </w:rPr>
        <w:lastRenderedPageBreak/>
        <w:t>población</w:t>
      </w:r>
      <w:r w:rsidRPr="002515E0">
        <w:rPr>
          <w:rFonts w:asciiTheme="minorHAnsi" w:hAnsiTheme="minorHAnsi" w:cstheme="minorHAnsi"/>
          <w:sz w:val="24"/>
          <w:szCs w:val="24"/>
          <w:lang w:val="es-ES"/>
        </w:rPr>
        <w:t xml:space="preserve"> excluida o subatendida, así como el </w:t>
      </w:r>
      <w:r w:rsidRPr="002515E0">
        <w:rPr>
          <w:rFonts w:asciiTheme="minorHAnsi" w:hAnsiTheme="minorHAnsi" w:cstheme="minorHAnsi"/>
          <w:sz w:val="24"/>
          <w:szCs w:val="24"/>
        </w:rPr>
        <w:t>desarrollo de programas de educación financiera</w:t>
      </w:r>
      <w:r w:rsidR="00547D13">
        <w:rPr>
          <w:rFonts w:asciiTheme="minorHAnsi" w:hAnsiTheme="minorHAnsi" w:cstheme="minorHAnsi"/>
        </w:rPr>
        <w:t>.</w:t>
      </w:r>
    </w:p>
    <w:p w14:paraId="5A90739E" w14:textId="77777777" w:rsidR="004567C7" w:rsidRDefault="004567C7" w:rsidP="00547D13">
      <w:pPr>
        <w:spacing w:after="0" w:line="240" w:lineRule="auto"/>
        <w:ind w:left="284"/>
        <w:jc w:val="both"/>
        <w:rPr>
          <w:rFonts w:asciiTheme="minorHAnsi" w:hAnsiTheme="minorHAnsi" w:cstheme="minorHAnsi"/>
          <w:sz w:val="24"/>
          <w:szCs w:val="24"/>
        </w:rPr>
      </w:pPr>
    </w:p>
    <w:p w14:paraId="72B06B88" w14:textId="77777777" w:rsidR="004567C7" w:rsidRDefault="004567C7" w:rsidP="00547D13">
      <w:pPr>
        <w:spacing w:after="0" w:line="240" w:lineRule="auto"/>
        <w:ind w:left="284"/>
        <w:jc w:val="both"/>
        <w:rPr>
          <w:rFonts w:asciiTheme="minorHAnsi" w:hAnsiTheme="minorHAnsi" w:cstheme="minorHAnsi"/>
          <w:sz w:val="24"/>
          <w:szCs w:val="24"/>
        </w:rPr>
      </w:pPr>
      <w:r w:rsidRPr="004567C7">
        <w:rPr>
          <w:rFonts w:asciiTheme="minorHAnsi" w:hAnsiTheme="minorHAnsi" w:cstheme="minorHAnsi"/>
          <w:sz w:val="24"/>
          <w:szCs w:val="24"/>
        </w:rPr>
        <w:t>Por tanto, no son financiables actividades que resulten ajenas a las referidas en los literales anteriores, tales como: otorgamiento de crédito, emisión de garantías, inversión en proyectos de capital de riesgo, inversión en capital de empresas, financiación de gastos de la nación u otras entidades públicas</w:t>
      </w:r>
      <w:r w:rsidRPr="00547D13">
        <w:rPr>
          <w:rFonts w:asciiTheme="minorHAnsi" w:hAnsiTheme="minorHAnsi" w:cstheme="minorHAnsi"/>
          <w:sz w:val="24"/>
          <w:szCs w:val="24"/>
        </w:rPr>
        <w:t>.</w:t>
      </w:r>
    </w:p>
    <w:p w14:paraId="751A3943" w14:textId="77777777" w:rsidR="00C924CA" w:rsidRPr="00547D13" w:rsidRDefault="00C924CA" w:rsidP="00547D13">
      <w:pPr>
        <w:spacing w:after="0" w:line="240" w:lineRule="auto"/>
        <w:ind w:left="284"/>
        <w:jc w:val="both"/>
        <w:rPr>
          <w:rFonts w:asciiTheme="minorHAnsi" w:hAnsiTheme="minorHAnsi" w:cstheme="minorHAnsi"/>
          <w:sz w:val="24"/>
          <w:szCs w:val="24"/>
        </w:rPr>
      </w:pPr>
    </w:p>
    <w:p w14:paraId="0A13BF19" w14:textId="77777777" w:rsidR="0015359C" w:rsidRPr="00B97BBD" w:rsidRDefault="00B97BBD" w:rsidP="00B97BBD">
      <w:pPr>
        <w:pStyle w:val="Heading3"/>
        <w:ind w:firstLine="708"/>
        <w:rPr>
          <w:rFonts w:asciiTheme="minorHAnsi" w:hAnsiTheme="minorHAnsi" w:cstheme="minorHAnsi"/>
          <w:sz w:val="24"/>
          <w:szCs w:val="24"/>
          <w:lang w:val="es-ES_tradnl"/>
        </w:rPr>
      </w:pPr>
      <w:bookmarkStart w:id="96" w:name="_Toc322363676"/>
      <w:bookmarkStart w:id="97" w:name="_Toc324196893"/>
      <w:r>
        <w:rPr>
          <w:rFonts w:asciiTheme="minorHAnsi" w:hAnsiTheme="minorHAnsi" w:cstheme="minorHAnsi"/>
          <w:sz w:val="24"/>
          <w:szCs w:val="24"/>
          <w:lang w:val="es-ES_tradnl"/>
        </w:rPr>
        <w:t xml:space="preserve">4.1.5 </w:t>
      </w:r>
      <w:r w:rsidR="0015359C" w:rsidRPr="00B97BBD">
        <w:rPr>
          <w:rFonts w:asciiTheme="minorHAnsi" w:hAnsiTheme="minorHAnsi" w:cstheme="minorHAnsi"/>
          <w:sz w:val="24"/>
          <w:szCs w:val="24"/>
          <w:lang w:val="es-ES_tradnl"/>
        </w:rPr>
        <w:t>Duración de</w:t>
      </w:r>
      <w:r w:rsidR="001867B8" w:rsidRPr="00B97BBD">
        <w:rPr>
          <w:rFonts w:asciiTheme="minorHAnsi" w:hAnsiTheme="minorHAnsi" w:cstheme="minorHAnsi"/>
          <w:sz w:val="24"/>
          <w:szCs w:val="24"/>
          <w:lang w:val="es-ES_tradnl"/>
        </w:rPr>
        <w:t xml:space="preserve"> Ejecución de Concursos</w:t>
      </w:r>
      <w:bookmarkEnd w:id="96"/>
      <w:r w:rsidR="0015359C" w:rsidRPr="00B97BBD">
        <w:rPr>
          <w:rFonts w:asciiTheme="minorHAnsi" w:hAnsiTheme="minorHAnsi" w:cstheme="minorHAnsi"/>
          <w:sz w:val="24"/>
          <w:szCs w:val="24"/>
          <w:lang w:val="es-ES_tradnl"/>
        </w:rPr>
        <w:t>.-</w:t>
      </w:r>
      <w:bookmarkEnd w:id="97"/>
    </w:p>
    <w:p w14:paraId="3296CA05" w14:textId="77777777" w:rsidR="0015359C" w:rsidRPr="00C57AB5" w:rsidRDefault="0015359C" w:rsidP="00C57AB5">
      <w:pPr>
        <w:spacing w:after="0" w:line="240" w:lineRule="auto"/>
        <w:rPr>
          <w:rFonts w:asciiTheme="minorHAnsi" w:hAnsiTheme="minorHAnsi" w:cstheme="minorHAnsi"/>
          <w:lang w:val="es-ES_tradnl"/>
        </w:rPr>
      </w:pPr>
    </w:p>
    <w:p w14:paraId="5DD0F489" w14:textId="77777777" w:rsidR="001E00CF" w:rsidRDefault="001E00CF" w:rsidP="002710B4">
      <w:pPr>
        <w:spacing w:after="0" w:line="240" w:lineRule="auto"/>
        <w:ind w:left="284"/>
        <w:jc w:val="both"/>
        <w:rPr>
          <w:rFonts w:asciiTheme="minorHAnsi" w:hAnsiTheme="minorHAnsi" w:cstheme="minorHAnsi"/>
          <w:sz w:val="24"/>
          <w:szCs w:val="24"/>
        </w:rPr>
      </w:pPr>
      <w:r>
        <w:rPr>
          <w:rFonts w:asciiTheme="minorHAnsi" w:hAnsiTheme="minorHAnsi" w:cstheme="minorHAnsi"/>
          <w:sz w:val="24"/>
          <w:szCs w:val="24"/>
        </w:rPr>
        <w:t xml:space="preserve">Ningún concurso o proyecto individual podrá exceder, en su ejecución, el periodo de ejecución del </w:t>
      </w:r>
      <w:r w:rsidR="00125340">
        <w:rPr>
          <w:rFonts w:asciiTheme="minorHAnsi" w:hAnsiTheme="minorHAnsi" w:cstheme="minorHAnsi"/>
          <w:sz w:val="24"/>
          <w:szCs w:val="24"/>
        </w:rPr>
        <w:t>Programa</w:t>
      </w:r>
      <w:r>
        <w:rPr>
          <w:rFonts w:asciiTheme="minorHAnsi" w:hAnsiTheme="minorHAnsi" w:cstheme="minorHAnsi"/>
          <w:sz w:val="24"/>
          <w:szCs w:val="24"/>
        </w:rPr>
        <w:t>.</w:t>
      </w:r>
    </w:p>
    <w:p w14:paraId="344219FD" w14:textId="77777777" w:rsidR="0015359C" w:rsidRDefault="00485653" w:rsidP="00B97BBD">
      <w:pPr>
        <w:pStyle w:val="Heading3"/>
        <w:ind w:firstLine="708"/>
        <w:rPr>
          <w:rFonts w:asciiTheme="minorHAnsi" w:hAnsiTheme="minorHAnsi" w:cstheme="minorHAnsi"/>
          <w:sz w:val="24"/>
          <w:szCs w:val="24"/>
          <w:lang w:val="es-ES_tradnl"/>
        </w:rPr>
      </w:pPr>
      <w:bookmarkStart w:id="98" w:name="_Toc324021228"/>
      <w:bookmarkStart w:id="99" w:name="_Toc324021518"/>
      <w:bookmarkStart w:id="100" w:name="_Toc324021689"/>
      <w:bookmarkStart w:id="101" w:name="_Toc324021229"/>
      <w:bookmarkStart w:id="102" w:name="_Toc324021519"/>
      <w:bookmarkStart w:id="103" w:name="_Toc324021690"/>
      <w:bookmarkStart w:id="104" w:name="_Toc323122756"/>
      <w:bookmarkStart w:id="105" w:name="_Toc323124006"/>
      <w:bookmarkStart w:id="106" w:name="_Toc323124341"/>
      <w:bookmarkStart w:id="107" w:name="_Toc323124421"/>
      <w:bookmarkStart w:id="108" w:name="_Toc323126140"/>
      <w:bookmarkStart w:id="109" w:name="_Toc323126247"/>
      <w:bookmarkStart w:id="110" w:name="_Toc323127470"/>
      <w:bookmarkStart w:id="111" w:name="_Toc323127618"/>
      <w:bookmarkStart w:id="112" w:name="_Toc323122757"/>
      <w:bookmarkStart w:id="113" w:name="_Toc323124007"/>
      <w:bookmarkStart w:id="114" w:name="_Toc323124342"/>
      <w:bookmarkStart w:id="115" w:name="_Toc323124422"/>
      <w:bookmarkStart w:id="116" w:name="_Toc323126141"/>
      <w:bookmarkStart w:id="117" w:name="_Toc323126248"/>
      <w:bookmarkStart w:id="118" w:name="_Toc323127471"/>
      <w:bookmarkStart w:id="119" w:name="_Toc323127619"/>
      <w:bookmarkStart w:id="120" w:name="_Toc323122758"/>
      <w:bookmarkStart w:id="121" w:name="_Toc323124008"/>
      <w:bookmarkStart w:id="122" w:name="_Toc323124343"/>
      <w:bookmarkStart w:id="123" w:name="_Toc323124423"/>
      <w:bookmarkStart w:id="124" w:name="_Toc323126142"/>
      <w:bookmarkStart w:id="125" w:name="_Toc323126249"/>
      <w:bookmarkStart w:id="126" w:name="_Toc323127472"/>
      <w:bookmarkStart w:id="127" w:name="_Toc323127620"/>
      <w:bookmarkStart w:id="128" w:name="_Toc323122759"/>
      <w:bookmarkStart w:id="129" w:name="_Toc323124009"/>
      <w:bookmarkStart w:id="130" w:name="_Toc323124344"/>
      <w:bookmarkStart w:id="131" w:name="_Toc323124424"/>
      <w:bookmarkStart w:id="132" w:name="_Toc323126143"/>
      <w:bookmarkStart w:id="133" w:name="_Toc323126250"/>
      <w:bookmarkStart w:id="134" w:name="_Toc323127473"/>
      <w:bookmarkStart w:id="135" w:name="_Toc323127621"/>
      <w:bookmarkStart w:id="136" w:name="_Toc323122760"/>
      <w:bookmarkStart w:id="137" w:name="_Toc323124010"/>
      <w:bookmarkStart w:id="138" w:name="_Toc323124345"/>
      <w:bookmarkStart w:id="139" w:name="_Toc323124425"/>
      <w:bookmarkStart w:id="140" w:name="_Toc323126144"/>
      <w:bookmarkStart w:id="141" w:name="_Toc323126251"/>
      <w:bookmarkStart w:id="142" w:name="_Toc323127474"/>
      <w:bookmarkStart w:id="143" w:name="_Toc323127622"/>
      <w:bookmarkStart w:id="144" w:name="_Toc323122761"/>
      <w:bookmarkStart w:id="145" w:name="_Toc323124011"/>
      <w:bookmarkStart w:id="146" w:name="_Toc323124346"/>
      <w:bookmarkStart w:id="147" w:name="_Toc323124426"/>
      <w:bookmarkStart w:id="148" w:name="_Toc323126145"/>
      <w:bookmarkStart w:id="149" w:name="_Toc323126252"/>
      <w:bookmarkStart w:id="150" w:name="_Toc323127475"/>
      <w:bookmarkStart w:id="151" w:name="_Toc32312762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Pr>
          <w:rFonts w:asciiTheme="minorHAnsi" w:hAnsiTheme="minorHAnsi" w:cstheme="minorHAnsi"/>
          <w:sz w:val="24"/>
          <w:szCs w:val="24"/>
          <w:lang w:val="es-ES_tradnl"/>
        </w:rPr>
        <w:t>4.1.</w:t>
      </w:r>
      <w:r w:rsidR="00B97BBD">
        <w:rPr>
          <w:rFonts w:asciiTheme="minorHAnsi" w:hAnsiTheme="minorHAnsi" w:cstheme="minorHAnsi"/>
          <w:sz w:val="24"/>
          <w:szCs w:val="24"/>
          <w:lang w:val="es-ES_tradnl"/>
        </w:rPr>
        <w:t>6</w:t>
      </w:r>
      <w:r>
        <w:rPr>
          <w:rFonts w:asciiTheme="minorHAnsi" w:hAnsiTheme="minorHAnsi" w:cstheme="minorHAnsi"/>
          <w:sz w:val="24"/>
          <w:szCs w:val="24"/>
          <w:lang w:val="es-ES_tradnl"/>
        </w:rPr>
        <w:t xml:space="preserve"> </w:t>
      </w:r>
      <w:bookmarkStart w:id="152" w:name="_Toc322363678"/>
      <w:bookmarkStart w:id="153" w:name="_Toc324196894"/>
      <w:r w:rsidR="0015359C" w:rsidRPr="002710B4">
        <w:rPr>
          <w:rFonts w:asciiTheme="minorHAnsi" w:hAnsiTheme="minorHAnsi" w:cstheme="minorHAnsi"/>
          <w:sz w:val="24"/>
          <w:szCs w:val="24"/>
          <w:lang w:val="es-ES_tradnl"/>
        </w:rPr>
        <w:t>Entidades Elegibles</w:t>
      </w:r>
      <w:bookmarkEnd w:id="152"/>
      <w:r w:rsidR="0015359C" w:rsidRPr="002710B4">
        <w:rPr>
          <w:rFonts w:asciiTheme="minorHAnsi" w:hAnsiTheme="minorHAnsi" w:cstheme="minorHAnsi"/>
          <w:sz w:val="24"/>
          <w:szCs w:val="24"/>
          <w:lang w:val="es-ES_tradnl"/>
        </w:rPr>
        <w:t>.-</w:t>
      </w:r>
      <w:bookmarkEnd w:id="153"/>
    </w:p>
    <w:p w14:paraId="66EBE02A" w14:textId="77777777" w:rsidR="00CC4601" w:rsidRDefault="00CC4601" w:rsidP="002710B4">
      <w:pPr>
        <w:spacing w:line="240" w:lineRule="auto"/>
        <w:ind w:left="284"/>
        <w:jc w:val="both"/>
        <w:rPr>
          <w:sz w:val="24"/>
          <w:szCs w:val="24"/>
          <w:lang w:val="es-ES" w:eastAsia="es-ES"/>
        </w:rPr>
      </w:pPr>
    </w:p>
    <w:p w14:paraId="0203A29F" w14:textId="77777777" w:rsidR="00125340" w:rsidRDefault="00125340" w:rsidP="002710B4">
      <w:pPr>
        <w:spacing w:line="240" w:lineRule="auto"/>
        <w:ind w:left="284"/>
        <w:jc w:val="both"/>
        <w:rPr>
          <w:sz w:val="24"/>
          <w:szCs w:val="24"/>
          <w:lang w:val="es-ES" w:eastAsia="es-ES"/>
        </w:rPr>
      </w:pPr>
      <w:r w:rsidRPr="00D17EDF">
        <w:rPr>
          <w:sz w:val="24"/>
          <w:szCs w:val="24"/>
          <w:lang w:val="es-ES" w:eastAsia="es-ES"/>
        </w:rPr>
        <w:t>Las entidades elegibles serán las instituciones financieras reguladas y supervisadas por el Banco Central y las empresas auxiliares del sistema financiero que se asocien con ellas para el soporte técnico, tecnológico y operativo de proyectos.</w:t>
      </w:r>
    </w:p>
    <w:p w14:paraId="60826ECC" w14:textId="77777777" w:rsidR="001D037A" w:rsidRPr="0069659B" w:rsidRDefault="001D037A" w:rsidP="0045635D">
      <w:pPr>
        <w:pStyle w:val="Heading1"/>
        <w:spacing w:after="0"/>
        <w:ind w:left="284"/>
        <w:jc w:val="both"/>
        <w:rPr>
          <w:rFonts w:asciiTheme="minorHAnsi" w:eastAsia="Calibri" w:hAnsiTheme="minorHAnsi" w:cstheme="minorHAnsi"/>
          <w:b w:val="0"/>
          <w:bCs w:val="0"/>
          <w:kern w:val="0"/>
          <w:sz w:val="24"/>
          <w:szCs w:val="24"/>
          <w:lang w:val="es-EC" w:eastAsia="en-US"/>
        </w:rPr>
      </w:pPr>
      <w:r w:rsidRPr="0069659B">
        <w:rPr>
          <w:rFonts w:asciiTheme="minorHAnsi" w:eastAsia="Calibri" w:hAnsiTheme="minorHAnsi" w:cstheme="minorHAnsi"/>
          <w:b w:val="0"/>
          <w:bCs w:val="0"/>
          <w:kern w:val="0"/>
          <w:sz w:val="24"/>
          <w:szCs w:val="24"/>
          <w:lang w:val="es-EC" w:eastAsia="en-US"/>
        </w:rPr>
        <w:t xml:space="preserve">Los </w:t>
      </w:r>
      <w:r w:rsidR="00B27B08" w:rsidRPr="0069659B">
        <w:rPr>
          <w:rFonts w:asciiTheme="minorHAnsi" w:eastAsia="Calibri" w:hAnsiTheme="minorHAnsi" w:cstheme="minorHAnsi"/>
          <w:b w:val="0"/>
          <w:bCs w:val="0"/>
          <w:kern w:val="0"/>
          <w:sz w:val="24"/>
          <w:szCs w:val="24"/>
          <w:lang w:val="es-EC" w:eastAsia="en-US"/>
        </w:rPr>
        <w:t>requisitos</w:t>
      </w:r>
      <w:r w:rsidRPr="0069659B">
        <w:rPr>
          <w:rFonts w:asciiTheme="minorHAnsi" w:eastAsia="Calibri" w:hAnsiTheme="minorHAnsi" w:cstheme="minorHAnsi"/>
          <w:b w:val="0"/>
          <w:bCs w:val="0"/>
          <w:kern w:val="0"/>
          <w:sz w:val="24"/>
          <w:szCs w:val="24"/>
          <w:lang w:val="es-EC" w:eastAsia="en-US"/>
        </w:rPr>
        <w:t>,</w:t>
      </w:r>
      <w:r w:rsidR="00B27B08" w:rsidRPr="0069659B">
        <w:rPr>
          <w:rFonts w:asciiTheme="minorHAnsi" w:eastAsia="Calibri" w:hAnsiTheme="minorHAnsi" w:cstheme="minorHAnsi"/>
          <w:b w:val="0"/>
          <w:bCs w:val="0"/>
          <w:kern w:val="0"/>
          <w:sz w:val="24"/>
          <w:szCs w:val="24"/>
          <w:lang w:val="es-EC" w:eastAsia="en-US"/>
        </w:rPr>
        <w:t xml:space="preserve"> </w:t>
      </w:r>
      <w:r w:rsidR="0015359C" w:rsidRPr="0069659B">
        <w:rPr>
          <w:rFonts w:asciiTheme="minorHAnsi" w:eastAsia="Calibri" w:hAnsiTheme="minorHAnsi" w:cstheme="minorHAnsi"/>
          <w:b w:val="0"/>
          <w:bCs w:val="0"/>
          <w:kern w:val="0"/>
          <w:sz w:val="24"/>
          <w:szCs w:val="24"/>
          <w:lang w:val="es-EC" w:eastAsia="en-US"/>
        </w:rPr>
        <w:t>indicadores financieros y operativos mínimos</w:t>
      </w:r>
      <w:r w:rsidRPr="0069659B">
        <w:rPr>
          <w:rFonts w:asciiTheme="minorHAnsi" w:eastAsia="Calibri" w:hAnsiTheme="minorHAnsi" w:cstheme="minorHAnsi"/>
          <w:b w:val="0"/>
          <w:bCs w:val="0"/>
          <w:kern w:val="0"/>
          <w:sz w:val="24"/>
          <w:szCs w:val="24"/>
          <w:lang w:val="es-EC" w:eastAsia="en-US"/>
        </w:rPr>
        <w:t>, entre otros, serán establecidos en el diseño de cada concurso.</w:t>
      </w:r>
      <w:r w:rsidRPr="0069659B" w:rsidDel="001D037A">
        <w:rPr>
          <w:rFonts w:asciiTheme="minorHAnsi" w:eastAsia="Calibri" w:hAnsiTheme="minorHAnsi" w:cstheme="minorHAnsi"/>
          <w:b w:val="0"/>
          <w:bCs w:val="0"/>
          <w:kern w:val="0"/>
          <w:sz w:val="24"/>
          <w:szCs w:val="24"/>
          <w:lang w:val="es-EC" w:eastAsia="en-US"/>
        </w:rPr>
        <w:t xml:space="preserve"> </w:t>
      </w:r>
    </w:p>
    <w:p w14:paraId="06E17B6E" w14:textId="77777777" w:rsidR="00C522B8" w:rsidRPr="00257239" w:rsidRDefault="00485653" w:rsidP="00B97BBD">
      <w:pPr>
        <w:pStyle w:val="Heading3"/>
        <w:ind w:firstLine="708"/>
        <w:rPr>
          <w:rFonts w:asciiTheme="minorHAnsi" w:hAnsiTheme="minorHAnsi" w:cstheme="minorHAnsi"/>
          <w:sz w:val="24"/>
          <w:szCs w:val="24"/>
          <w:lang w:val="es-ES_tradnl"/>
        </w:rPr>
      </w:pPr>
      <w:bookmarkStart w:id="154" w:name="_Toc322363679"/>
      <w:bookmarkStart w:id="155" w:name="_Toc324196895"/>
      <w:r w:rsidRPr="00257239">
        <w:rPr>
          <w:rFonts w:asciiTheme="minorHAnsi" w:hAnsiTheme="minorHAnsi" w:cstheme="minorHAnsi"/>
          <w:sz w:val="24"/>
          <w:szCs w:val="24"/>
          <w:lang w:val="es-ES_tradnl"/>
        </w:rPr>
        <w:t>4.1.</w:t>
      </w:r>
      <w:r w:rsidR="00B97BBD">
        <w:rPr>
          <w:rFonts w:asciiTheme="minorHAnsi" w:hAnsiTheme="minorHAnsi" w:cstheme="minorHAnsi"/>
          <w:sz w:val="24"/>
          <w:szCs w:val="24"/>
          <w:lang w:val="es-ES_tradnl"/>
        </w:rPr>
        <w:t>7</w:t>
      </w:r>
      <w:r w:rsidRPr="00257239">
        <w:rPr>
          <w:rFonts w:asciiTheme="minorHAnsi" w:hAnsiTheme="minorHAnsi" w:cstheme="minorHAnsi"/>
          <w:sz w:val="24"/>
          <w:szCs w:val="24"/>
          <w:lang w:val="es-ES_tradnl"/>
        </w:rPr>
        <w:t xml:space="preserve"> </w:t>
      </w:r>
      <w:r w:rsidR="0015359C" w:rsidRPr="00257239">
        <w:rPr>
          <w:rFonts w:asciiTheme="minorHAnsi" w:hAnsiTheme="minorHAnsi" w:cstheme="minorHAnsi"/>
          <w:sz w:val="24"/>
          <w:szCs w:val="24"/>
          <w:lang w:val="es-ES_tradnl"/>
        </w:rPr>
        <w:t>Instrumentos de Apoyo</w:t>
      </w:r>
      <w:bookmarkEnd w:id="154"/>
      <w:r w:rsidR="0015359C" w:rsidRPr="00257239">
        <w:rPr>
          <w:rFonts w:asciiTheme="minorHAnsi" w:hAnsiTheme="minorHAnsi" w:cstheme="minorHAnsi"/>
          <w:sz w:val="24"/>
          <w:szCs w:val="24"/>
          <w:lang w:val="es-ES_tradnl"/>
        </w:rPr>
        <w:t>.-</w:t>
      </w:r>
      <w:bookmarkEnd w:id="155"/>
    </w:p>
    <w:p w14:paraId="1348E3FC" w14:textId="77777777" w:rsidR="00CC4601" w:rsidRPr="00CC4601" w:rsidRDefault="00CC4601" w:rsidP="00CC4601">
      <w:pPr>
        <w:pStyle w:val="subpar"/>
        <w:tabs>
          <w:tab w:val="clear" w:pos="1152"/>
        </w:tabs>
        <w:ind w:left="360" w:firstLine="0"/>
        <w:rPr>
          <w:rFonts w:ascii="Calibri" w:hAnsi="Calibri"/>
          <w:szCs w:val="24"/>
          <w:lang w:eastAsia="es-ES"/>
        </w:rPr>
      </w:pPr>
      <w:r w:rsidRPr="00CC4601">
        <w:rPr>
          <w:rFonts w:ascii="Calibri" w:hAnsi="Calibri"/>
          <w:szCs w:val="24"/>
          <w:lang w:eastAsia="es-ES"/>
        </w:rPr>
        <w:t xml:space="preserve">Para otorgar los recursos del fondo a las entidades elegibles se utilizarán los siguientes instrumentos: </w:t>
      </w:r>
    </w:p>
    <w:p w14:paraId="6E5EF6C9" w14:textId="77777777" w:rsidR="00CC4601" w:rsidRPr="00CC4601" w:rsidRDefault="00CC4601" w:rsidP="00E8744D">
      <w:pPr>
        <w:pStyle w:val="SubSubPar"/>
        <w:numPr>
          <w:ilvl w:val="3"/>
          <w:numId w:val="15"/>
        </w:numPr>
        <w:tabs>
          <w:tab w:val="num" w:pos="1440"/>
        </w:tabs>
        <w:ind w:left="1440" w:hanging="180"/>
        <w:rPr>
          <w:rFonts w:ascii="Calibri" w:hAnsi="Calibri"/>
          <w:szCs w:val="24"/>
          <w:lang w:eastAsia="es-ES"/>
        </w:rPr>
      </w:pPr>
      <w:r w:rsidRPr="00CC4601">
        <w:rPr>
          <w:rFonts w:ascii="Calibri" w:hAnsi="Calibri"/>
          <w:szCs w:val="24"/>
          <w:lang w:eastAsia="es-ES"/>
        </w:rPr>
        <w:t>Incentivos directos. Incentivo monetario que se utilizará para financiar intervenciones donde se solicita que los concursantes oferten productos y servicios de características similares. El monto será como una proporción del costo de los productos o canales implementados, subastándose al que menos recursos solicite, pero deberá ser menor o igual al 50% del costo en el primer año y decreciente en el tiempo a partir del segundo año. El producto será por cuenta y riesgo de los adjudicatarios.</w:t>
      </w:r>
    </w:p>
    <w:p w14:paraId="4C2E7EB8" w14:textId="77777777" w:rsidR="00CC4601" w:rsidRPr="00CC4601" w:rsidRDefault="00CC4601" w:rsidP="00E8744D">
      <w:pPr>
        <w:pStyle w:val="SubSubPar"/>
        <w:numPr>
          <w:ilvl w:val="3"/>
          <w:numId w:val="15"/>
        </w:numPr>
        <w:tabs>
          <w:tab w:val="clear" w:pos="2736"/>
          <w:tab w:val="num" w:pos="1440"/>
        </w:tabs>
        <w:ind w:left="1440" w:hanging="180"/>
        <w:rPr>
          <w:rFonts w:ascii="Calibri" w:hAnsi="Calibri"/>
          <w:szCs w:val="24"/>
          <w:lang w:eastAsia="es-ES"/>
        </w:rPr>
      </w:pPr>
      <w:r w:rsidRPr="00CC4601">
        <w:rPr>
          <w:rFonts w:ascii="Calibri" w:hAnsi="Calibri"/>
          <w:szCs w:val="24"/>
          <w:lang w:eastAsia="es-ES"/>
        </w:rPr>
        <w:t xml:space="preserve">Cofinanciamiento de proyectos. Implica la entrega de recursos no reembolsables que se otorgarán a través de desembolsos parciales que guardarán relación con los gastos fijos previstos para la implementación del proyecto financiado. Este tipo de apoyo se utilizará para financiar intervenciones donde se establece un objetivo común y los concursantes presentan proyectos diferentes para el logro de ese objetivo. Se asignará un porcentaje máximo y decreciente en el tiempo, y requiere contrapartida. Se asigna conforme el cumplimiento de un objetivo </w:t>
      </w:r>
      <w:r w:rsidRPr="00CC4601">
        <w:rPr>
          <w:rFonts w:ascii="Calibri" w:hAnsi="Calibri"/>
          <w:szCs w:val="24"/>
          <w:lang w:eastAsia="es-ES"/>
        </w:rPr>
        <w:lastRenderedPageBreak/>
        <w:t xml:space="preserve">específico, el ofrecimiento de una mayor contrapartida o una combinación de éstas. </w:t>
      </w:r>
    </w:p>
    <w:p w14:paraId="2EC042DE" w14:textId="77777777" w:rsidR="00CC4601" w:rsidRPr="00CC4601" w:rsidRDefault="00CC4601" w:rsidP="00E8744D">
      <w:pPr>
        <w:pStyle w:val="SubSubPar"/>
        <w:numPr>
          <w:ilvl w:val="3"/>
          <w:numId w:val="15"/>
        </w:numPr>
        <w:tabs>
          <w:tab w:val="clear" w:pos="2736"/>
          <w:tab w:val="num" w:pos="1440"/>
        </w:tabs>
        <w:ind w:left="1440" w:hanging="180"/>
        <w:rPr>
          <w:rFonts w:ascii="Calibri" w:hAnsi="Calibri"/>
          <w:szCs w:val="24"/>
          <w:lang w:eastAsia="es-ES"/>
        </w:rPr>
      </w:pPr>
      <w:r w:rsidRPr="00CC4601">
        <w:rPr>
          <w:rFonts w:ascii="Calibri" w:hAnsi="Calibri"/>
          <w:szCs w:val="24"/>
          <w:lang w:eastAsia="es-ES"/>
        </w:rPr>
        <w:t xml:space="preserve">Asistencia técnica. Contratación de servicios de consultoría para apoyar a las entidades en los aspectos que se definan en cada concurso. El organismo ejecutor definirá el monto máximo de cada concurso y los criterios de la contrapartida que deben aportar las entidades beneficiarias. </w:t>
      </w:r>
    </w:p>
    <w:p w14:paraId="20D21950" w14:textId="77777777" w:rsidR="00CC4601" w:rsidRPr="00CC4601" w:rsidRDefault="00CC4601" w:rsidP="00E8744D">
      <w:pPr>
        <w:pStyle w:val="SubSubPar"/>
        <w:numPr>
          <w:ilvl w:val="3"/>
          <w:numId w:val="15"/>
        </w:numPr>
        <w:tabs>
          <w:tab w:val="clear" w:pos="2736"/>
          <w:tab w:val="num" w:pos="1440"/>
        </w:tabs>
        <w:ind w:left="1440" w:hanging="180"/>
        <w:rPr>
          <w:rFonts w:ascii="Calibri" w:hAnsi="Calibri"/>
          <w:szCs w:val="24"/>
          <w:lang w:eastAsia="es-ES"/>
        </w:rPr>
      </w:pPr>
      <w:r>
        <w:rPr>
          <w:rFonts w:ascii="Calibri" w:hAnsi="Calibri"/>
          <w:szCs w:val="24"/>
          <w:lang w:eastAsia="es-ES"/>
        </w:rPr>
        <w:t>Concurso</w:t>
      </w:r>
      <w:r w:rsidRPr="00CC4601">
        <w:rPr>
          <w:rFonts w:ascii="Calibri" w:hAnsi="Calibri"/>
          <w:szCs w:val="24"/>
          <w:lang w:eastAsia="es-ES"/>
        </w:rPr>
        <w:t xml:space="preserve"> para la innovación. Se utilizará para otorgar recursos para una solución innovadora a un objeto específico. Se establecerá un monto límite por proyecto. La asignación se basa mayormente en criterios cualitativos.</w:t>
      </w:r>
    </w:p>
    <w:p w14:paraId="3721E3A9" w14:textId="77777777" w:rsidR="00B97BBD" w:rsidRDefault="00B97BBD" w:rsidP="00B97BBD">
      <w:pPr>
        <w:spacing w:line="240" w:lineRule="auto"/>
        <w:ind w:left="360"/>
        <w:jc w:val="both"/>
        <w:rPr>
          <w:sz w:val="24"/>
          <w:szCs w:val="24"/>
          <w:lang w:val="es-ES" w:eastAsia="es-ES"/>
        </w:rPr>
      </w:pPr>
      <w:bookmarkStart w:id="156" w:name="_Toc322363680"/>
      <w:bookmarkStart w:id="157" w:name="_Toc324196896"/>
      <w:r w:rsidRPr="00992AC2">
        <w:rPr>
          <w:b/>
          <w:sz w:val="24"/>
          <w:szCs w:val="24"/>
          <w:lang w:val="es-ES" w:eastAsia="es-ES"/>
        </w:rPr>
        <w:t>Los instrumentos y objetivos previstos y considerados para los resultados del programa</w:t>
      </w:r>
      <w:r w:rsidRPr="00D17EDF">
        <w:rPr>
          <w:sz w:val="24"/>
          <w:szCs w:val="24"/>
          <w:lang w:val="es-ES" w:eastAsia="es-ES"/>
        </w:rPr>
        <w:t xml:space="preserve">, </w:t>
      </w:r>
      <w:r w:rsidR="00307F92">
        <w:rPr>
          <w:sz w:val="24"/>
          <w:szCs w:val="24"/>
          <w:lang w:val="es-ES" w:eastAsia="es-ES"/>
        </w:rPr>
        <w:t xml:space="preserve">utilizando recursos no reembolsables, </w:t>
      </w:r>
      <w:r w:rsidRPr="00D17EDF">
        <w:rPr>
          <w:sz w:val="24"/>
          <w:szCs w:val="24"/>
          <w:lang w:val="es-ES" w:eastAsia="es-ES"/>
        </w:rPr>
        <w:t>son</w:t>
      </w:r>
      <w:r w:rsidR="00992AC2">
        <w:rPr>
          <w:sz w:val="24"/>
          <w:szCs w:val="24"/>
          <w:lang w:val="es-ES" w:eastAsia="es-ES"/>
        </w:rPr>
        <w:t xml:space="preserve"> por lo menos</w:t>
      </w:r>
      <w:r w:rsidRPr="00D17EDF">
        <w:rPr>
          <w:sz w:val="24"/>
          <w:szCs w:val="24"/>
          <w:lang w:val="es-ES" w:eastAsia="es-ES"/>
        </w:rPr>
        <w:t xml:space="preserve">: </w:t>
      </w:r>
    </w:p>
    <w:p w14:paraId="2A279CD1" w14:textId="77777777" w:rsidR="00B97BBD" w:rsidRPr="0090567A" w:rsidRDefault="00A56680" w:rsidP="00E8744D">
      <w:pPr>
        <w:pStyle w:val="ListParagraph"/>
        <w:numPr>
          <w:ilvl w:val="0"/>
          <w:numId w:val="14"/>
        </w:numPr>
        <w:jc w:val="both"/>
        <w:rPr>
          <w:rFonts w:ascii="Calibri" w:eastAsia="Calibri" w:hAnsi="Calibri"/>
        </w:rPr>
      </w:pPr>
      <w:r w:rsidRPr="00A56680">
        <w:rPr>
          <w:rFonts w:ascii="Calibri" w:eastAsia="Calibri" w:hAnsi="Calibri"/>
          <w:lang w:val="es-EC"/>
        </w:rPr>
        <w:t>un concurso de asistencia técnica para desarrollar líneas de negocio dirigidos a promover la atención y el acceso a segmentos excluidos. En específico, la asistencia será para capacitar a las entidades financieras en el producto de cajas de ahorro de régimen simplificado de debida diligencia, dirigido a segmentos informales de bajos ingresos. Las entidades financieras actualmente no ofrecen este producto por falta de conocimiento del producto, del segmento objeto y de su rentabilidad. Es por ello que la asistencia en desarrollar el producto llevará al resultado esperado de aumentar el acceso, medido por el incremento en la apertura de cuentas por clientes nuevos al sistema financiero frente al acervo de cuentas al cierre de año de las entidades involucradas</w:t>
      </w:r>
      <w:r w:rsidR="00B97BBD" w:rsidRPr="0090567A">
        <w:rPr>
          <w:rFonts w:ascii="Calibri" w:eastAsia="Calibri" w:hAnsi="Calibri"/>
        </w:rPr>
        <w:t>;</w:t>
      </w:r>
    </w:p>
    <w:p w14:paraId="4CB7D046" w14:textId="77777777" w:rsidR="00B97BBD" w:rsidRPr="0090567A" w:rsidRDefault="00A56680" w:rsidP="00E8744D">
      <w:pPr>
        <w:pStyle w:val="ListParagraph"/>
        <w:numPr>
          <w:ilvl w:val="0"/>
          <w:numId w:val="14"/>
        </w:numPr>
        <w:jc w:val="both"/>
        <w:rPr>
          <w:rFonts w:ascii="Calibri" w:eastAsia="Calibri" w:hAnsi="Calibri"/>
        </w:rPr>
      </w:pPr>
      <w:r w:rsidRPr="00A56680">
        <w:rPr>
          <w:rFonts w:ascii="Calibri" w:eastAsia="Calibri" w:hAnsi="Calibri"/>
          <w:lang w:val="es-EC"/>
        </w:rPr>
        <w:t xml:space="preserve">un concurso </w:t>
      </w:r>
      <w:bookmarkStart w:id="158" w:name="_Hlk495058997"/>
      <w:r w:rsidRPr="00A56680">
        <w:rPr>
          <w:rFonts w:ascii="Calibri" w:eastAsia="Calibri" w:hAnsi="Calibri"/>
          <w:lang w:val="es-EC"/>
        </w:rPr>
        <w:t>para promover la ampliación de cobertura de canales de bajo costo</w:t>
      </w:r>
      <w:r w:rsidRPr="00A56680">
        <w:rPr>
          <w:rFonts w:ascii="Calibri" w:eastAsia="Calibri" w:hAnsi="Calibri"/>
          <w:vertAlign w:val="superscript"/>
          <w:lang w:val="es-EC"/>
        </w:rPr>
        <w:footnoteReference w:id="10"/>
      </w:r>
      <w:r w:rsidRPr="00A56680">
        <w:rPr>
          <w:rFonts w:ascii="Calibri" w:eastAsia="Calibri" w:hAnsi="Calibri"/>
          <w:lang w:val="es-EC"/>
        </w:rPr>
        <w:t xml:space="preserve"> que faciliten el acceso de la población a pagos electrónicos (y otros servicios financieros),</w:t>
      </w:r>
      <w:bookmarkEnd w:id="158"/>
      <w:r w:rsidRPr="00A56680">
        <w:rPr>
          <w:rFonts w:ascii="Calibri" w:eastAsia="Calibri" w:hAnsi="Calibri"/>
          <w:lang w:val="es-EC"/>
        </w:rPr>
        <w:t xml:space="preserve"> con el resultado esperado de incrementar el uso, medido por el </w:t>
      </w:r>
      <w:r w:rsidRPr="00A56680">
        <w:rPr>
          <w:rFonts w:ascii="Calibri" w:eastAsia="Calibri" w:hAnsi="Calibri"/>
          <w:lang w:val="es-ES_tradnl"/>
        </w:rPr>
        <w:t>número de personas con al menos tres transacciones digitales al mes sobre el total de clientes de las entidades concursantes</w:t>
      </w:r>
      <w:r w:rsidRPr="00A56680">
        <w:rPr>
          <w:rFonts w:ascii="Calibri" w:eastAsia="Calibri" w:hAnsi="Calibri"/>
          <w:lang w:val="es-EC"/>
        </w:rPr>
        <w:t xml:space="preserve">. Esto se logrará ofreciendo esquemas de cofinanciación para cubrir parcialmente los costos operativos asociados al despliegue de este tipo de infraestructura de mercado para expandir la cobertura en el país, con lo cual será requisito que los concursantes desplieguen canales en Departamentos con menor densidad  (definido por número de puntos de contacto por 10,000 habitantes menor al promedio nacional); los concursantes deberán especificar sus metas </w:t>
      </w:r>
      <w:r w:rsidRPr="00A56680">
        <w:rPr>
          <w:rFonts w:ascii="Calibri" w:eastAsia="Calibri" w:hAnsi="Calibri"/>
          <w:lang w:val="es-ES_tradnl"/>
        </w:rPr>
        <w:t>tanto en materia de cobertura como </w:t>
      </w:r>
      <w:r w:rsidRPr="00A56680">
        <w:rPr>
          <w:rFonts w:ascii="Calibri" w:eastAsia="Calibri" w:hAnsi="Calibri"/>
          <w:lang w:val="es-EC"/>
        </w:rPr>
        <w:t xml:space="preserve"> de mayores transacciones digitales y los instrumentos para lograrlas</w:t>
      </w:r>
      <w:r w:rsidR="00B97BBD" w:rsidRPr="0090567A">
        <w:rPr>
          <w:rFonts w:ascii="Calibri" w:eastAsia="Calibri" w:hAnsi="Calibri"/>
        </w:rPr>
        <w:t>; y</w:t>
      </w:r>
    </w:p>
    <w:p w14:paraId="42BDD8CF" w14:textId="77777777" w:rsidR="00B97BBD" w:rsidRPr="0090567A" w:rsidRDefault="00A56680" w:rsidP="00E8744D">
      <w:pPr>
        <w:pStyle w:val="ListParagraph"/>
        <w:numPr>
          <w:ilvl w:val="0"/>
          <w:numId w:val="14"/>
        </w:numPr>
        <w:jc w:val="both"/>
        <w:rPr>
          <w:rFonts w:ascii="Calibri" w:eastAsia="Calibri" w:hAnsi="Calibri"/>
        </w:rPr>
      </w:pPr>
      <w:r w:rsidRPr="00A56680">
        <w:rPr>
          <w:rFonts w:ascii="Calibri" w:eastAsia="Calibri" w:hAnsi="Calibri"/>
          <w:lang w:val="es-EC"/>
        </w:rPr>
        <w:t xml:space="preserve">un concurso para apoyar el impulso de productos innovadores que fomenten el desarrollo y la oferta de </w:t>
      </w:r>
      <w:r w:rsidRPr="00A56680">
        <w:rPr>
          <w:rFonts w:ascii="Calibri" w:eastAsia="Calibri" w:hAnsi="Calibri"/>
          <w:bCs/>
          <w:lang w:val="es-MX"/>
        </w:rPr>
        <w:t xml:space="preserve">servicios financieros </w:t>
      </w:r>
      <w:r w:rsidRPr="00A56680">
        <w:rPr>
          <w:rFonts w:ascii="Calibri" w:eastAsia="Calibri" w:hAnsi="Calibri"/>
          <w:lang w:val="es-EC"/>
        </w:rPr>
        <w:t xml:space="preserve">digitales, particularmente de pagos. En la convocatoria se establecerá como requisito al concursante que </w:t>
      </w:r>
      <w:r w:rsidRPr="00A56680">
        <w:rPr>
          <w:rFonts w:ascii="Calibri" w:eastAsia="Calibri" w:hAnsi="Calibri"/>
          <w:lang w:val="es-EC"/>
        </w:rPr>
        <w:lastRenderedPageBreak/>
        <w:t xml:space="preserve">el servicio financiero que desee desarrollar conlleve al resultado esperado de incrementar el </w:t>
      </w:r>
      <w:r w:rsidRPr="00A56680">
        <w:rPr>
          <w:rFonts w:ascii="Calibri" w:eastAsia="Calibri" w:hAnsi="Calibri"/>
          <w:lang w:val="es-ES_tradnl"/>
        </w:rPr>
        <w:t xml:space="preserve">número de personas con al menos tres transacciones digitales al mes </w:t>
      </w:r>
      <w:r w:rsidRPr="00A56680">
        <w:rPr>
          <w:rFonts w:ascii="Calibri" w:eastAsia="Calibri" w:hAnsi="Calibri"/>
          <w:lang w:val="es-EC"/>
        </w:rPr>
        <w:t xml:space="preserve">y la forma de lograrlo; un ejemplo de posible servicio de pago digital es el despliegue de </w:t>
      </w:r>
      <w:r w:rsidRPr="00A56680">
        <w:rPr>
          <w:rFonts w:ascii="Calibri" w:eastAsia="Calibri" w:hAnsi="Calibri"/>
          <w:lang w:val="es-AR"/>
        </w:rPr>
        <w:t xml:space="preserve">un mecanismo de pago por dispositivos de comunicaciones móviles (o </w:t>
      </w:r>
      <w:r w:rsidRPr="00A56680">
        <w:rPr>
          <w:rFonts w:ascii="Calibri" w:eastAsia="Calibri" w:hAnsi="Calibri"/>
          <w:lang w:val="es-EC"/>
        </w:rPr>
        <w:t>monedero electrónico), que puede requerir apoyo en aplicativos, capacitación de agentes, promoción e investigación de mercado</w:t>
      </w:r>
      <w:r w:rsidR="00B97BBD" w:rsidRPr="0090567A">
        <w:rPr>
          <w:rFonts w:ascii="Calibri" w:eastAsia="Calibri" w:hAnsi="Calibri"/>
        </w:rPr>
        <w:t>.</w:t>
      </w:r>
    </w:p>
    <w:p w14:paraId="08334CB4" w14:textId="77777777" w:rsidR="001541D3" w:rsidRDefault="00485653" w:rsidP="00B97BBD">
      <w:pPr>
        <w:pStyle w:val="Heading3"/>
        <w:ind w:firstLine="708"/>
        <w:rPr>
          <w:rFonts w:asciiTheme="minorHAnsi" w:hAnsiTheme="minorHAnsi" w:cstheme="minorHAnsi"/>
          <w:sz w:val="24"/>
          <w:szCs w:val="24"/>
          <w:lang w:val="es-ES_tradnl"/>
        </w:rPr>
      </w:pPr>
      <w:r>
        <w:rPr>
          <w:rFonts w:asciiTheme="minorHAnsi" w:hAnsiTheme="minorHAnsi" w:cstheme="minorHAnsi"/>
          <w:sz w:val="24"/>
          <w:szCs w:val="24"/>
          <w:lang w:val="es-ES_tradnl"/>
        </w:rPr>
        <w:t>4.1.</w:t>
      </w:r>
      <w:r w:rsidR="00B97BBD">
        <w:rPr>
          <w:rFonts w:asciiTheme="minorHAnsi" w:hAnsiTheme="minorHAnsi" w:cstheme="minorHAnsi"/>
          <w:sz w:val="24"/>
          <w:szCs w:val="24"/>
          <w:lang w:val="es-ES_tradnl"/>
        </w:rPr>
        <w:t>8</w:t>
      </w:r>
      <w:r>
        <w:rPr>
          <w:rFonts w:asciiTheme="minorHAnsi" w:hAnsiTheme="minorHAnsi" w:cstheme="minorHAnsi"/>
          <w:sz w:val="24"/>
          <w:szCs w:val="24"/>
          <w:lang w:val="es-ES_tradnl"/>
        </w:rPr>
        <w:t xml:space="preserve"> </w:t>
      </w:r>
      <w:r w:rsidR="0015359C" w:rsidRPr="00C57AB5">
        <w:rPr>
          <w:rFonts w:asciiTheme="minorHAnsi" w:hAnsiTheme="minorHAnsi" w:cstheme="minorHAnsi"/>
          <w:sz w:val="24"/>
          <w:szCs w:val="24"/>
          <w:lang w:val="es-ES_tradnl"/>
        </w:rPr>
        <w:t>Montos, Contrapartidas y Rubros Financiables.</w:t>
      </w:r>
      <w:bookmarkEnd w:id="156"/>
      <w:r w:rsidR="0015359C" w:rsidRPr="00C57AB5">
        <w:rPr>
          <w:rFonts w:asciiTheme="minorHAnsi" w:hAnsiTheme="minorHAnsi" w:cstheme="minorHAnsi"/>
          <w:sz w:val="24"/>
          <w:szCs w:val="24"/>
          <w:lang w:val="es-ES_tradnl"/>
        </w:rPr>
        <w:t>-</w:t>
      </w:r>
      <w:bookmarkEnd w:id="157"/>
    </w:p>
    <w:p w14:paraId="33123E27" w14:textId="77777777" w:rsidR="0015359C" w:rsidRPr="00C57AB5" w:rsidRDefault="0015359C" w:rsidP="00C57AB5">
      <w:pPr>
        <w:spacing w:after="0" w:line="240" w:lineRule="auto"/>
        <w:rPr>
          <w:rFonts w:asciiTheme="minorHAnsi" w:hAnsiTheme="minorHAnsi" w:cstheme="minorHAnsi"/>
        </w:rPr>
      </w:pPr>
    </w:p>
    <w:p w14:paraId="5DE730D0" w14:textId="77777777" w:rsidR="0015359C" w:rsidRPr="00C57AB5" w:rsidRDefault="0015359C" w:rsidP="00FE755C">
      <w:pPr>
        <w:spacing w:after="0" w:line="240" w:lineRule="auto"/>
        <w:ind w:left="284"/>
        <w:jc w:val="both"/>
        <w:rPr>
          <w:rFonts w:asciiTheme="minorHAnsi" w:hAnsiTheme="minorHAnsi" w:cstheme="minorHAnsi"/>
          <w:sz w:val="24"/>
          <w:szCs w:val="24"/>
        </w:rPr>
      </w:pPr>
      <w:r w:rsidRPr="00C57AB5">
        <w:rPr>
          <w:rFonts w:asciiTheme="minorHAnsi" w:hAnsiTheme="minorHAnsi" w:cstheme="minorHAnsi"/>
          <w:sz w:val="24"/>
          <w:szCs w:val="24"/>
        </w:rPr>
        <w:t xml:space="preserve">En cada uno de los concursos que se desarrollen para lograr los objetivos, deberán definirse los montos máximos de apoyo y la contrapartida mínima que deberán aportar las entidades elegibles teniendo en cuenta los siguientes tipos de incentivos: </w:t>
      </w:r>
    </w:p>
    <w:p w14:paraId="094882D1" w14:textId="77777777" w:rsidR="001541D3" w:rsidRDefault="00485653" w:rsidP="00B97BBD">
      <w:pPr>
        <w:pStyle w:val="Heading3"/>
        <w:ind w:firstLine="708"/>
        <w:rPr>
          <w:rFonts w:asciiTheme="minorHAnsi" w:hAnsiTheme="minorHAnsi" w:cstheme="minorHAnsi"/>
          <w:sz w:val="24"/>
          <w:szCs w:val="24"/>
          <w:lang w:val="es-ES_tradnl"/>
        </w:rPr>
      </w:pPr>
      <w:bookmarkStart w:id="159" w:name="_Toc322363684"/>
      <w:bookmarkStart w:id="160" w:name="_Toc324196900"/>
      <w:r>
        <w:rPr>
          <w:rFonts w:asciiTheme="minorHAnsi" w:hAnsiTheme="minorHAnsi" w:cstheme="minorHAnsi"/>
          <w:sz w:val="24"/>
          <w:szCs w:val="24"/>
          <w:lang w:val="es-ES_tradnl"/>
        </w:rPr>
        <w:t>4.1.</w:t>
      </w:r>
      <w:r w:rsidR="00B97BBD">
        <w:rPr>
          <w:rFonts w:asciiTheme="minorHAnsi" w:hAnsiTheme="minorHAnsi" w:cstheme="minorHAnsi"/>
          <w:sz w:val="24"/>
          <w:szCs w:val="24"/>
          <w:lang w:val="es-ES_tradnl"/>
        </w:rPr>
        <w:t>9</w:t>
      </w:r>
      <w:r>
        <w:rPr>
          <w:rFonts w:asciiTheme="minorHAnsi" w:hAnsiTheme="minorHAnsi" w:cstheme="minorHAnsi"/>
          <w:sz w:val="24"/>
          <w:szCs w:val="24"/>
          <w:lang w:val="es-ES_tradnl"/>
        </w:rPr>
        <w:t xml:space="preserve"> </w:t>
      </w:r>
      <w:r w:rsidR="0015359C" w:rsidRPr="00C57AB5">
        <w:rPr>
          <w:rFonts w:asciiTheme="minorHAnsi" w:hAnsiTheme="minorHAnsi" w:cstheme="minorHAnsi"/>
          <w:sz w:val="24"/>
          <w:szCs w:val="24"/>
          <w:lang w:val="es-ES_tradnl"/>
        </w:rPr>
        <w:t>Desembolso de los Recursos</w:t>
      </w:r>
      <w:bookmarkEnd w:id="159"/>
      <w:r w:rsidR="0015359C" w:rsidRPr="00C57AB5">
        <w:rPr>
          <w:rFonts w:asciiTheme="minorHAnsi" w:hAnsiTheme="minorHAnsi" w:cstheme="minorHAnsi"/>
          <w:sz w:val="24"/>
          <w:szCs w:val="24"/>
          <w:lang w:val="es-ES_tradnl"/>
        </w:rPr>
        <w:t>.-</w:t>
      </w:r>
      <w:bookmarkEnd w:id="160"/>
      <w:r w:rsidR="00BC3C5A">
        <w:rPr>
          <w:rFonts w:asciiTheme="minorHAnsi" w:hAnsiTheme="minorHAnsi" w:cstheme="minorHAnsi"/>
          <w:sz w:val="24"/>
          <w:szCs w:val="24"/>
          <w:lang w:val="es-ES_tradnl"/>
        </w:rPr>
        <w:t xml:space="preserve"> </w:t>
      </w:r>
    </w:p>
    <w:p w14:paraId="3DCF4AF1" w14:textId="77777777" w:rsidR="00257239" w:rsidRDefault="00257239" w:rsidP="00257239">
      <w:pPr>
        <w:spacing w:line="240" w:lineRule="auto"/>
        <w:ind w:left="708"/>
        <w:jc w:val="both"/>
        <w:rPr>
          <w:rFonts w:asciiTheme="minorHAnsi" w:hAnsiTheme="minorHAnsi" w:cstheme="minorHAnsi"/>
          <w:sz w:val="24"/>
          <w:szCs w:val="24"/>
          <w:lang w:val="es-ES_tradnl"/>
        </w:rPr>
      </w:pPr>
    </w:p>
    <w:p w14:paraId="547AD02C" w14:textId="77777777" w:rsidR="00257239" w:rsidRPr="00C57AB5" w:rsidRDefault="00257239" w:rsidP="0069659B">
      <w:pPr>
        <w:spacing w:line="240" w:lineRule="auto"/>
        <w:ind w:left="360"/>
        <w:jc w:val="both"/>
        <w:rPr>
          <w:rFonts w:asciiTheme="minorHAnsi" w:hAnsiTheme="minorHAnsi" w:cstheme="minorHAnsi"/>
          <w:lang w:val="es-ES_tradnl"/>
        </w:rPr>
      </w:pPr>
      <w:r>
        <w:rPr>
          <w:rFonts w:asciiTheme="minorHAnsi" w:hAnsiTheme="minorHAnsi" w:cstheme="minorHAnsi"/>
          <w:sz w:val="24"/>
          <w:szCs w:val="24"/>
          <w:lang w:val="es-ES_tradnl"/>
        </w:rPr>
        <w:t xml:space="preserve">El desembolso de los recursos </w:t>
      </w:r>
      <w:r w:rsidRPr="00C57AB5">
        <w:rPr>
          <w:rFonts w:asciiTheme="minorHAnsi" w:hAnsiTheme="minorHAnsi" w:cstheme="minorHAnsi"/>
          <w:sz w:val="24"/>
          <w:szCs w:val="24"/>
          <w:lang w:val="es-ES_tradnl"/>
        </w:rPr>
        <w:t xml:space="preserve">se </w:t>
      </w:r>
      <w:r>
        <w:rPr>
          <w:rFonts w:asciiTheme="minorHAnsi" w:hAnsiTheme="minorHAnsi" w:cstheme="minorHAnsi"/>
          <w:sz w:val="24"/>
          <w:szCs w:val="24"/>
          <w:lang w:val="es-ES_tradnl"/>
        </w:rPr>
        <w:t>realizará</w:t>
      </w:r>
      <w:r w:rsidRPr="00C57AB5">
        <w:rPr>
          <w:rFonts w:asciiTheme="minorHAnsi" w:hAnsiTheme="minorHAnsi" w:cstheme="minorHAnsi"/>
          <w:sz w:val="24"/>
          <w:szCs w:val="24"/>
          <w:lang w:val="es-ES_tradnl"/>
        </w:rPr>
        <w:t xml:space="preserve"> a través de las siguientes modalidades</w:t>
      </w:r>
      <w:r>
        <w:rPr>
          <w:rFonts w:asciiTheme="minorHAnsi" w:hAnsiTheme="minorHAnsi" w:cstheme="minorHAnsi"/>
          <w:sz w:val="24"/>
          <w:szCs w:val="24"/>
          <w:lang w:val="es-ES_tradnl"/>
        </w:rPr>
        <w:t>, la misma que será especificada en cada concurso.</w:t>
      </w:r>
    </w:p>
    <w:p w14:paraId="069112E9" w14:textId="77777777" w:rsidR="00257239" w:rsidRPr="0069659B" w:rsidRDefault="00257239" w:rsidP="00E8744D">
      <w:pPr>
        <w:pStyle w:val="ListParagraph"/>
        <w:numPr>
          <w:ilvl w:val="0"/>
          <w:numId w:val="10"/>
        </w:numPr>
        <w:jc w:val="both"/>
        <w:rPr>
          <w:rFonts w:asciiTheme="minorHAnsi" w:hAnsiTheme="minorHAnsi" w:cstheme="minorHAnsi"/>
          <w:lang w:val="es-ES_tradnl"/>
        </w:rPr>
      </w:pPr>
      <w:r w:rsidRPr="0069659B">
        <w:rPr>
          <w:rFonts w:asciiTheme="minorHAnsi" w:hAnsiTheme="minorHAnsi" w:cstheme="minorHAnsi"/>
          <w:b/>
          <w:lang w:val="es-ES_tradnl"/>
        </w:rPr>
        <w:t>ANTICIPOS</w:t>
      </w:r>
      <w:r w:rsidRPr="0069659B">
        <w:rPr>
          <w:rFonts w:asciiTheme="minorHAnsi" w:hAnsiTheme="minorHAnsi" w:cstheme="minorHAnsi"/>
          <w:lang w:val="es-ES_tradnl"/>
        </w:rPr>
        <w:t>.-Son avances de fondos con base en las necesidades reales de liquidez del Proyecto, respaldadas por compromisos suscritos (contratos / convenios), o anticipados con un alto grado de certeza.</w:t>
      </w:r>
    </w:p>
    <w:p w14:paraId="068F2FD7" w14:textId="77777777" w:rsidR="00257239" w:rsidRPr="00C57AB5" w:rsidRDefault="00257239" w:rsidP="00257239">
      <w:pPr>
        <w:spacing w:after="0" w:line="240" w:lineRule="auto"/>
        <w:jc w:val="both"/>
        <w:rPr>
          <w:rFonts w:asciiTheme="minorHAnsi" w:hAnsiTheme="minorHAnsi" w:cstheme="minorHAnsi"/>
          <w:b/>
          <w:lang w:val="es-ES_tradnl"/>
        </w:rPr>
      </w:pPr>
    </w:p>
    <w:p w14:paraId="3E2B119D" w14:textId="77777777" w:rsidR="00257239" w:rsidRDefault="00257239" w:rsidP="00E8744D">
      <w:pPr>
        <w:pStyle w:val="ListParagraph"/>
        <w:numPr>
          <w:ilvl w:val="0"/>
          <w:numId w:val="10"/>
        </w:numPr>
        <w:jc w:val="both"/>
        <w:rPr>
          <w:rFonts w:asciiTheme="minorHAnsi" w:hAnsiTheme="minorHAnsi" w:cstheme="minorHAnsi"/>
          <w:lang w:val="es-ES_tradnl"/>
        </w:rPr>
      </w:pPr>
      <w:r w:rsidRPr="0069659B">
        <w:rPr>
          <w:rFonts w:asciiTheme="minorHAnsi" w:hAnsiTheme="minorHAnsi" w:cstheme="minorHAnsi"/>
          <w:b/>
          <w:lang w:val="es-ES_tradnl"/>
        </w:rPr>
        <w:t>REEMBOLSO DE PAGOS EFECTUADOS</w:t>
      </w:r>
      <w:r w:rsidRPr="0069659B">
        <w:rPr>
          <w:rFonts w:asciiTheme="minorHAnsi" w:hAnsiTheme="minorHAnsi" w:cstheme="minorHAnsi"/>
          <w:lang w:val="es-ES_tradnl"/>
        </w:rPr>
        <w:t>.- Es el reembol</w:t>
      </w:r>
      <w:r>
        <w:rPr>
          <w:rFonts w:asciiTheme="minorHAnsi" w:hAnsiTheme="minorHAnsi" w:cstheme="minorHAnsi"/>
          <w:lang w:val="es-ES_tradnl"/>
        </w:rPr>
        <w:t>so de pagos realizados por la</w:t>
      </w:r>
      <w:r w:rsidR="003875F7">
        <w:rPr>
          <w:rFonts w:asciiTheme="minorHAnsi" w:hAnsiTheme="minorHAnsi" w:cstheme="minorHAnsi"/>
          <w:lang w:val="es-ES_tradnl"/>
        </w:rPr>
        <w:t>s</w:t>
      </w:r>
      <w:r>
        <w:rPr>
          <w:rFonts w:asciiTheme="minorHAnsi" w:hAnsiTheme="minorHAnsi" w:cstheme="minorHAnsi"/>
          <w:lang w:val="es-ES_tradnl"/>
        </w:rPr>
        <w:t xml:space="preserve"> entidades elegibles, mismas que deberá</w:t>
      </w:r>
      <w:r w:rsidR="003875F7">
        <w:rPr>
          <w:rFonts w:asciiTheme="minorHAnsi" w:hAnsiTheme="minorHAnsi" w:cstheme="minorHAnsi"/>
          <w:lang w:val="es-ES_tradnl"/>
        </w:rPr>
        <w:t>n</w:t>
      </w:r>
      <w:r>
        <w:rPr>
          <w:rFonts w:asciiTheme="minorHAnsi" w:hAnsiTheme="minorHAnsi" w:cstheme="minorHAnsi"/>
          <w:lang w:val="es-ES_tradnl"/>
        </w:rPr>
        <w:t xml:space="preserve"> ser parte de los rubros elegibles especificados dentro de cada concurso</w:t>
      </w:r>
    </w:p>
    <w:p w14:paraId="154F8AF4" w14:textId="77777777" w:rsidR="00257239" w:rsidRPr="0069659B" w:rsidRDefault="00257239" w:rsidP="0045635D">
      <w:pPr>
        <w:pStyle w:val="ListParagraph"/>
        <w:rPr>
          <w:rFonts w:asciiTheme="minorHAnsi" w:hAnsiTheme="minorHAnsi" w:cstheme="minorHAnsi"/>
          <w:lang w:val="es-ES_tradnl"/>
        </w:rPr>
      </w:pPr>
    </w:p>
    <w:p w14:paraId="27928118" w14:textId="77777777" w:rsidR="001541D3" w:rsidRPr="00B97BBD" w:rsidRDefault="00485653" w:rsidP="00B97BBD">
      <w:pPr>
        <w:pStyle w:val="Heading3"/>
        <w:ind w:firstLine="708"/>
        <w:rPr>
          <w:rFonts w:asciiTheme="minorHAnsi" w:hAnsiTheme="minorHAnsi" w:cstheme="minorHAnsi"/>
          <w:sz w:val="24"/>
          <w:szCs w:val="24"/>
          <w:lang w:val="es-ES_tradnl"/>
        </w:rPr>
      </w:pPr>
      <w:bookmarkStart w:id="161" w:name="_Toc322363688"/>
      <w:bookmarkStart w:id="162" w:name="_Toc324196902"/>
      <w:r w:rsidRPr="00B97BBD">
        <w:rPr>
          <w:rFonts w:asciiTheme="minorHAnsi" w:hAnsiTheme="minorHAnsi" w:cstheme="minorHAnsi"/>
          <w:sz w:val="24"/>
          <w:szCs w:val="24"/>
          <w:lang w:val="es-ES_tradnl"/>
        </w:rPr>
        <w:t>4.1.1</w:t>
      </w:r>
      <w:r w:rsidR="00B97BBD">
        <w:rPr>
          <w:rFonts w:asciiTheme="minorHAnsi" w:hAnsiTheme="minorHAnsi" w:cstheme="minorHAnsi"/>
          <w:sz w:val="24"/>
          <w:szCs w:val="24"/>
          <w:lang w:val="es-ES_tradnl"/>
        </w:rPr>
        <w:t>0</w:t>
      </w:r>
      <w:r w:rsidRPr="00B97BBD">
        <w:rPr>
          <w:rFonts w:asciiTheme="minorHAnsi" w:hAnsiTheme="minorHAnsi" w:cstheme="minorHAnsi"/>
          <w:sz w:val="24"/>
          <w:szCs w:val="24"/>
          <w:lang w:val="es-ES_tradnl"/>
        </w:rPr>
        <w:t xml:space="preserve"> </w:t>
      </w:r>
      <w:r w:rsidR="000B48FE" w:rsidRPr="00B97BBD">
        <w:rPr>
          <w:rFonts w:asciiTheme="minorHAnsi" w:hAnsiTheme="minorHAnsi" w:cstheme="minorHAnsi"/>
          <w:sz w:val="24"/>
          <w:szCs w:val="24"/>
          <w:lang w:val="es-ES_tradnl"/>
        </w:rPr>
        <w:t>P</w:t>
      </w:r>
      <w:r w:rsidR="0015359C" w:rsidRPr="00B97BBD">
        <w:rPr>
          <w:rFonts w:asciiTheme="minorHAnsi" w:hAnsiTheme="minorHAnsi" w:cstheme="minorHAnsi"/>
          <w:sz w:val="24"/>
          <w:szCs w:val="24"/>
          <w:lang w:val="es-ES_tradnl"/>
        </w:rPr>
        <w:t>roceso de las Convocatorias</w:t>
      </w:r>
      <w:bookmarkEnd w:id="161"/>
      <w:r w:rsidR="0015359C" w:rsidRPr="00B97BBD">
        <w:rPr>
          <w:rFonts w:asciiTheme="minorHAnsi" w:hAnsiTheme="minorHAnsi" w:cstheme="minorHAnsi"/>
          <w:sz w:val="24"/>
          <w:szCs w:val="24"/>
          <w:lang w:val="es-ES_tradnl"/>
        </w:rPr>
        <w:t>.-</w:t>
      </w:r>
      <w:bookmarkEnd w:id="162"/>
    </w:p>
    <w:p w14:paraId="3A6F3003" w14:textId="77777777" w:rsidR="0015359C" w:rsidRPr="00C57AB5" w:rsidRDefault="0015359C" w:rsidP="00C57AB5">
      <w:pPr>
        <w:pStyle w:val="ListParagraph"/>
        <w:ind w:left="480"/>
        <w:rPr>
          <w:rFonts w:asciiTheme="minorHAnsi" w:hAnsiTheme="minorHAnsi" w:cstheme="minorHAnsi"/>
        </w:rPr>
      </w:pPr>
    </w:p>
    <w:p w14:paraId="5691C911" w14:textId="77777777" w:rsidR="0015359C" w:rsidRDefault="0015359C" w:rsidP="00531CC2">
      <w:pPr>
        <w:spacing w:after="0" w:line="240" w:lineRule="auto"/>
        <w:ind w:left="284"/>
        <w:jc w:val="both"/>
        <w:rPr>
          <w:rFonts w:asciiTheme="minorHAnsi" w:hAnsiTheme="minorHAnsi" w:cstheme="minorHAnsi"/>
          <w:sz w:val="24"/>
          <w:szCs w:val="24"/>
        </w:rPr>
      </w:pPr>
      <w:r w:rsidRPr="00C57AB5">
        <w:rPr>
          <w:rFonts w:asciiTheme="minorHAnsi" w:hAnsiTheme="minorHAnsi" w:cstheme="minorHAnsi"/>
          <w:sz w:val="24"/>
          <w:szCs w:val="24"/>
        </w:rPr>
        <w:t>La asignación de todos los recursos del Fondo</w:t>
      </w:r>
      <w:r w:rsidR="00596361">
        <w:rPr>
          <w:rFonts w:asciiTheme="minorHAnsi" w:hAnsiTheme="minorHAnsi" w:cstheme="minorHAnsi"/>
          <w:sz w:val="24"/>
          <w:szCs w:val="24"/>
        </w:rPr>
        <w:t xml:space="preserve"> Concursable</w:t>
      </w:r>
      <w:r w:rsidRPr="00C57AB5">
        <w:rPr>
          <w:rFonts w:asciiTheme="minorHAnsi" w:hAnsiTheme="minorHAnsi" w:cstheme="minorHAnsi"/>
          <w:sz w:val="24"/>
          <w:szCs w:val="24"/>
        </w:rPr>
        <w:t xml:space="preserve"> deberá realizarse mediante convocatorias que aseguren la libre concurrencia y competencia</w:t>
      </w:r>
      <w:r w:rsidR="009C2AAB">
        <w:rPr>
          <w:rFonts w:asciiTheme="minorHAnsi" w:hAnsiTheme="minorHAnsi" w:cstheme="minorHAnsi"/>
          <w:sz w:val="24"/>
          <w:szCs w:val="24"/>
        </w:rPr>
        <w:t xml:space="preserve"> de los potenciales beneficiarios</w:t>
      </w:r>
      <w:r w:rsidRPr="00C57AB5">
        <w:rPr>
          <w:rFonts w:asciiTheme="minorHAnsi" w:hAnsiTheme="minorHAnsi" w:cstheme="minorHAnsi"/>
          <w:sz w:val="24"/>
          <w:szCs w:val="24"/>
        </w:rPr>
        <w:t xml:space="preserve">. </w:t>
      </w:r>
      <w:r w:rsidR="004E09ED">
        <w:rPr>
          <w:rFonts w:asciiTheme="minorHAnsi" w:hAnsiTheme="minorHAnsi" w:cstheme="minorHAnsi"/>
          <w:sz w:val="24"/>
          <w:szCs w:val="24"/>
        </w:rPr>
        <w:t xml:space="preserve">Los términos de referencia específicos para cada concurso, deberán contar con la no objeción del BID. </w:t>
      </w:r>
      <w:r w:rsidRPr="00C57AB5">
        <w:rPr>
          <w:rFonts w:asciiTheme="minorHAnsi" w:hAnsiTheme="minorHAnsi" w:cstheme="minorHAnsi"/>
          <w:sz w:val="24"/>
          <w:szCs w:val="24"/>
        </w:rPr>
        <w:t>Para ello todas las convocatorias deberán al menos cumplir el proceso que se describe a continuación</w:t>
      </w:r>
      <w:r w:rsidR="004E09ED">
        <w:rPr>
          <w:rFonts w:asciiTheme="minorHAnsi" w:hAnsiTheme="minorHAnsi" w:cstheme="minorHAnsi"/>
          <w:sz w:val="24"/>
          <w:szCs w:val="24"/>
        </w:rPr>
        <w:t xml:space="preserve">: </w:t>
      </w:r>
    </w:p>
    <w:p w14:paraId="31DB732F" w14:textId="77777777" w:rsidR="00531CC2" w:rsidRPr="00C57AB5" w:rsidRDefault="00531CC2" w:rsidP="00531CC2">
      <w:pPr>
        <w:spacing w:after="0" w:line="240" w:lineRule="auto"/>
        <w:ind w:left="284"/>
        <w:jc w:val="both"/>
        <w:rPr>
          <w:rFonts w:asciiTheme="minorHAnsi" w:hAnsiTheme="minorHAnsi" w:cstheme="minorHAnsi"/>
          <w:sz w:val="24"/>
          <w:szCs w:val="24"/>
        </w:rPr>
      </w:pPr>
    </w:p>
    <w:p w14:paraId="4ADE9C07" w14:textId="77777777" w:rsidR="00230FE5" w:rsidRDefault="0015359C" w:rsidP="00E8744D">
      <w:pPr>
        <w:pStyle w:val="ListParagraph"/>
        <w:numPr>
          <w:ilvl w:val="0"/>
          <w:numId w:val="9"/>
        </w:numPr>
        <w:rPr>
          <w:rFonts w:asciiTheme="minorHAnsi" w:hAnsiTheme="minorHAnsi" w:cstheme="minorHAnsi"/>
          <w:b/>
        </w:rPr>
      </w:pPr>
      <w:bookmarkStart w:id="163" w:name="_Toc322363689"/>
      <w:r w:rsidRPr="00B27B08">
        <w:rPr>
          <w:rFonts w:asciiTheme="minorHAnsi" w:hAnsiTheme="minorHAnsi" w:cstheme="minorHAnsi"/>
          <w:b/>
        </w:rPr>
        <w:t>Participación</w:t>
      </w:r>
      <w:bookmarkEnd w:id="163"/>
      <w:r w:rsidRPr="00B27B08">
        <w:rPr>
          <w:rFonts w:asciiTheme="minorHAnsi" w:hAnsiTheme="minorHAnsi" w:cstheme="minorHAnsi"/>
          <w:b/>
        </w:rPr>
        <w:t>.-</w:t>
      </w:r>
      <w:r w:rsidR="00531CC2" w:rsidRPr="00B27B08">
        <w:rPr>
          <w:rFonts w:asciiTheme="minorHAnsi" w:hAnsiTheme="minorHAnsi" w:cstheme="minorHAnsi"/>
          <w:b/>
        </w:rPr>
        <w:t xml:space="preserve">  </w:t>
      </w:r>
    </w:p>
    <w:p w14:paraId="59149D18" w14:textId="77777777" w:rsidR="00C522B8" w:rsidRDefault="00C522B8" w:rsidP="0069659B">
      <w:pPr>
        <w:pStyle w:val="ListParagraph"/>
        <w:rPr>
          <w:rFonts w:asciiTheme="minorHAnsi" w:hAnsiTheme="minorHAnsi" w:cstheme="minorHAnsi"/>
          <w:b/>
        </w:rPr>
      </w:pPr>
    </w:p>
    <w:p w14:paraId="06DB98C9" w14:textId="77777777" w:rsidR="0015359C" w:rsidRPr="00E55EBB" w:rsidRDefault="0015359C" w:rsidP="0069659B">
      <w:pPr>
        <w:ind w:left="360"/>
        <w:jc w:val="both"/>
        <w:rPr>
          <w:rFonts w:asciiTheme="minorHAnsi" w:hAnsiTheme="minorHAnsi" w:cstheme="minorHAnsi"/>
          <w:sz w:val="24"/>
          <w:szCs w:val="24"/>
        </w:rPr>
      </w:pPr>
      <w:r w:rsidRPr="00E55EBB">
        <w:rPr>
          <w:rFonts w:asciiTheme="minorHAnsi" w:hAnsiTheme="minorHAnsi" w:cstheme="minorHAnsi"/>
          <w:sz w:val="24"/>
          <w:szCs w:val="24"/>
        </w:rPr>
        <w:t xml:space="preserve">Con el fin de asegurar la transparencia y libre concurrencia de los participantes, de manera general el proceso de participación </w:t>
      </w:r>
      <w:r w:rsidR="00A41114">
        <w:rPr>
          <w:rFonts w:asciiTheme="minorHAnsi" w:hAnsiTheme="minorHAnsi" w:cstheme="minorHAnsi"/>
          <w:sz w:val="24"/>
          <w:szCs w:val="24"/>
        </w:rPr>
        <w:t>será tal</w:t>
      </w:r>
      <w:r w:rsidR="009C2AAB">
        <w:rPr>
          <w:rFonts w:asciiTheme="minorHAnsi" w:hAnsiTheme="minorHAnsi" w:cstheme="minorHAnsi"/>
          <w:sz w:val="24"/>
          <w:szCs w:val="24"/>
        </w:rPr>
        <w:t>,</w:t>
      </w:r>
      <w:r w:rsidR="00A41114">
        <w:rPr>
          <w:rFonts w:asciiTheme="minorHAnsi" w:hAnsiTheme="minorHAnsi" w:cstheme="minorHAnsi"/>
          <w:sz w:val="24"/>
          <w:szCs w:val="24"/>
        </w:rPr>
        <w:t xml:space="preserve"> que garantice una amplia participación de las IFI.</w:t>
      </w:r>
    </w:p>
    <w:p w14:paraId="3180FC2F" w14:textId="77777777" w:rsidR="001541D3" w:rsidRPr="00531CC2" w:rsidRDefault="0015359C" w:rsidP="00E8744D">
      <w:pPr>
        <w:pStyle w:val="Heading2"/>
        <w:keepLines w:val="0"/>
        <w:numPr>
          <w:ilvl w:val="0"/>
          <w:numId w:val="9"/>
        </w:numPr>
        <w:spacing w:before="240" w:line="240" w:lineRule="auto"/>
        <w:jc w:val="both"/>
        <w:rPr>
          <w:rFonts w:asciiTheme="minorHAnsi" w:hAnsiTheme="minorHAnsi" w:cstheme="minorHAnsi"/>
          <w:color w:val="auto"/>
          <w:sz w:val="24"/>
          <w:szCs w:val="24"/>
        </w:rPr>
      </w:pPr>
      <w:bookmarkStart w:id="164" w:name="_Toc322363690"/>
      <w:bookmarkStart w:id="165" w:name="_Toc324185993"/>
      <w:bookmarkStart w:id="166" w:name="_Toc324196903"/>
      <w:r w:rsidRPr="00531CC2">
        <w:rPr>
          <w:rFonts w:asciiTheme="minorHAnsi" w:hAnsiTheme="minorHAnsi" w:cstheme="minorHAnsi"/>
          <w:color w:val="auto"/>
          <w:sz w:val="24"/>
          <w:szCs w:val="24"/>
        </w:rPr>
        <w:lastRenderedPageBreak/>
        <w:t>Requisitos de las propuestas</w:t>
      </w:r>
      <w:bookmarkEnd w:id="164"/>
      <w:r w:rsidRPr="00531CC2">
        <w:rPr>
          <w:rFonts w:asciiTheme="minorHAnsi" w:hAnsiTheme="minorHAnsi" w:cstheme="minorHAnsi"/>
          <w:color w:val="auto"/>
          <w:sz w:val="24"/>
          <w:szCs w:val="24"/>
        </w:rPr>
        <w:t>.-</w:t>
      </w:r>
      <w:bookmarkEnd w:id="165"/>
      <w:bookmarkEnd w:id="166"/>
    </w:p>
    <w:p w14:paraId="3C577483" w14:textId="77777777" w:rsidR="0015359C" w:rsidRPr="00C57AB5" w:rsidRDefault="0015359C" w:rsidP="00C57AB5">
      <w:pPr>
        <w:pStyle w:val="ListParagraph"/>
        <w:rPr>
          <w:rFonts w:asciiTheme="minorHAnsi" w:hAnsiTheme="minorHAnsi" w:cstheme="minorHAnsi"/>
        </w:rPr>
      </w:pPr>
    </w:p>
    <w:p w14:paraId="021D8C7A" w14:textId="77777777" w:rsidR="00C522B8" w:rsidRDefault="0015359C" w:rsidP="0069659B">
      <w:pPr>
        <w:spacing w:line="240" w:lineRule="auto"/>
        <w:ind w:left="360"/>
        <w:jc w:val="both"/>
        <w:rPr>
          <w:rFonts w:asciiTheme="minorHAnsi" w:hAnsiTheme="minorHAnsi" w:cstheme="minorHAnsi"/>
          <w:sz w:val="24"/>
          <w:szCs w:val="24"/>
        </w:rPr>
      </w:pPr>
      <w:r w:rsidRPr="00C57AB5">
        <w:rPr>
          <w:rFonts w:asciiTheme="minorHAnsi" w:hAnsiTheme="minorHAnsi" w:cstheme="minorHAnsi"/>
          <w:sz w:val="24"/>
          <w:szCs w:val="24"/>
        </w:rPr>
        <w:t>Los requisitos para la presentación de las propuestas deben ser incluidos en detalle en los Términos de Referencia y/o Especificaciones Técnicas según el caso</w:t>
      </w:r>
      <w:r w:rsidR="00A41114">
        <w:rPr>
          <w:rFonts w:asciiTheme="minorHAnsi" w:hAnsiTheme="minorHAnsi" w:cstheme="minorHAnsi"/>
          <w:sz w:val="24"/>
          <w:szCs w:val="24"/>
        </w:rPr>
        <w:t>.</w:t>
      </w:r>
      <w:r w:rsidRPr="00C57AB5">
        <w:rPr>
          <w:rFonts w:asciiTheme="minorHAnsi" w:hAnsiTheme="minorHAnsi" w:cstheme="minorHAnsi"/>
          <w:sz w:val="24"/>
          <w:szCs w:val="24"/>
        </w:rPr>
        <w:t xml:space="preserve"> </w:t>
      </w:r>
    </w:p>
    <w:p w14:paraId="42A2D15A" w14:textId="77777777" w:rsidR="001541D3" w:rsidRPr="00230FE5" w:rsidRDefault="0015359C" w:rsidP="00E8744D">
      <w:pPr>
        <w:pStyle w:val="Heading3"/>
        <w:numPr>
          <w:ilvl w:val="0"/>
          <w:numId w:val="9"/>
        </w:numPr>
        <w:spacing w:after="0"/>
        <w:rPr>
          <w:rFonts w:asciiTheme="minorHAnsi" w:hAnsiTheme="minorHAnsi" w:cstheme="minorHAnsi"/>
          <w:sz w:val="24"/>
          <w:szCs w:val="24"/>
        </w:rPr>
      </w:pPr>
      <w:bookmarkStart w:id="167" w:name="_Toc322363691"/>
      <w:bookmarkStart w:id="168" w:name="_Toc324185994"/>
      <w:bookmarkStart w:id="169" w:name="_Toc324196904"/>
      <w:r w:rsidRPr="00230FE5">
        <w:rPr>
          <w:rFonts w:asciiTheme="minorHAnsi" w:hAnsiTheme="minorHAnsi" w:cstheme="minorHAnsi"/>
          <w:sz w:val="24"/>
          <w:szCs w:val="24"/>
        </w:rPr>
        <w:t>Análisis y evaluación de propuestas</w:t>
      </w:r>
      <w:bookmarkEnd w:id="167"/>
      <w:r w:rsidRPr="00230FE5">
        <w:rPr>
          <w:rFonts w:asciiTheme="minorHAnsi" w:hAnsiTheme="minorHAnsi" w:cstheme="minorHAnsi"/>
          <w:sz w:val="24"/>
          <w:szCs w:val="24"/>
        </w:rPr>
        <w:t>.-</w:t>
      </w:r>
      <w:bookmarkEnd w:id="168"/>
      <w:bookmarkEnd w:id="169"/>
    </w:p>
    <w:p w14:paraId="7B4649E7" w14:textId="77777777" w:rsidR="0015359C" w:rsidRPr="00C57AB5" w:rsidRDefault="0015359C" w:rsidP="00C57AB5">
      <w:pPr>
        <w:pStyle w:val="ListParagraph"/>
        <w:rPr>
          <w:rFonts w:asciiTheme="minorHAnsi" w:hAnsiTheme="minorHAnsi" w:cstheme="minorHAnsi"/>
        </w:rPr>
      </w:pPr>
    </w:p>
    <w:p w14:paraId="528E1C73" w14:textId="77777777" w:rsidR="0015359C" w:rsidRPr="00C57AB5" w:rsidRDefault="0015359C" w:rsidP="00230FE5">
      <w:pPr>
        <w:spacing w:after="0" w:line="240" w:lineRule="auto"/>
        <w:ind w:left="360"/>
        <w:jc w:val="both"/>
        <w:rPr>
          <w:rFonts w:asciiTheme="minorHAnsi" w:hAnsiTheme="minorHAnsi" w:cstheme="minorHAnsi"/>
          <w:sz w:val="24"/>
          <w:szCs w:val="24"/>
        </w:rPr>
      </w:pPr>
      <w:r w:rsidRPr="00C57AB5">
        <w:rPr>
          <w:rFonts w:asciiTheme="minorHAnsi" w:hAnsiTheme="minorHAnsi" w:cstheme="minorHAnsi"/>
          <w:sz w:val="24"/>
          <w:szCs w:val="24"/>
        </w:rPr>
        <w:t xml:space="preserve">El proceso de análisis y evaluación de las propuestas </w:t>
      </w:r>
      <w:r w:rsidR="00A41114">
        <w:rPr>
          <w:rFonts w:asciiTheme="minorHAnsi" w:hAnsiTheme="minorHAnsi" w:cstheme="minorHAnsi"/>
          <w:sz w:val="24"/>
          <w:szCs w:val="24"/>
        </w:rPr>
        <w:t>las realizará el Comité, conforme a lo establecido en cada concurso.</w:t>
      </w:r>
      <w:r w:rsidR="004E09ED">
        <w:rPr>
          <w:rFonts w:asciiTheme="minorHAnsi" w:hAnsiTheme="minorHAnsi" w:cstheme="minorHAnsi"/>
          <w:sz w:val="24"/>
          <w:szCs w:val="24"/>
        </w:rPr>
        <w:t xml:space="preserve"> </w:t>
      </w:r>
      <w:r w:rsidR="00230FE5">
        <w:rPr>
          <w:rFonts w:asciiTheme="minorHAnsi" w:hAnsiTheme="minorHAnsi" w:cstheme="minorHAnsi"/>
          <w:sz w:val="24"/>
          <w:szCs w:val="24"/>
        </w:rPr>
        <w:t xml:space="preserve"> </w:t>
      </w:r>
    </w:p>
    <w:p w14:paraId="30E65998" w14:textId="77777777" w:rsidR="001541D3" w:rsidRPr="00B97BBD" w:rsidRDefault="00B97BBD" w:rsidP="00B97BBD">
      <w:pPr>
        <w:pStyle w:val="Heading3"/>
        <w:ind w:firstLine="708"/>
        <w:rPr>
          <w:rFonts w:asciiTheme="minorHAnsi" w:hAnsiTheme="minorHAnsi" w:cstheme="minorHAnsi"/>
          <w:sz w:val="24"/>
          <w:szCs w:val="24"/>
          <w:lang w:val="es-ES_tradnl"/>
        </w:rPr>
      </w:pPr>
      <w:bookmarkStart w:id="170" w:name="_Toc322363692"/>
      <w:bookmarkStart w:id="171" w:name="_Toc324196905"/>
      <w:r>
        <w:rPr>
          <w:rFonts w:asciiTheme="minorHAnsi" w:hAnsiTheme="minorHAnsi" w:cstheme="minorHAnsi"/>
          <w:sz w:val="24"/>
          <w:szCs w:val="24"/>
          <w:lang w:val="es-ES_tradnl"/>
        </w:rPr>
        <w:t>4.1.11</w:t>
      </w:r>
      <w:r w:rsidR="00485653" w:rsidRPr="00B97BBD">
        <w:rPr>
          <w:rFonts w:asciiTheme="minorHAnsi" w:hAnsiTheme="minorHAnsi" w:cstheme="minorHAnsi"/>
          <w:sz w:val="24"/>
          <w:szCs w:val="24"/>
          <w:lang w:val="es-ES_tradnl"/>
        </w:rPr>
        <w:t xml:space="preserve">  </w:t>
      </w:r>
      <w:r w:rsidR="0015359C" w:rsidRPr="00B97BBD">
        <w:rPr>
          <w:rFonts w:asciiTheme="minorHAnsi" w:hAnsiTheme="minorHAnsi" w:cstheme="minorHAnsi"/>
          <w:sz w:val="24"/>
          <w:szCs w:val="24"/>
          <w:lang w:val="es-ES_tradnl"/>
        </w:rPr>
        <w:t>Adjudicación</w:t>
      </w:r>
      <w:bookmarkEnd w:id="170"/>
      <w:r w:rsidR="0015359C" w:rsidRPr="00B97BBD">
        <w:rPr>
          <w:rFonts w:asciiTheme="minorHAnsi" w:hAnsiTheme="minorHAnsi" w:cstheme="minorHAnsi"/>
          <w:sz w:val="24"/>
          <w:szCs w:val="24"/>
          <w:lang w:val="es-ES_tradnl"/>
        </w:rPr>
        <w:t>.-</w:t>
      </w:r>
      <w:bookmarkEnd w:id="171"/>
    </w:p>
    <w:p w14:paraId="1007F2B0" w14:textId="77777777" w:rsidR="0015359C" w:rsidRPr="00C57AB5" w:rsidRDefault="0015359C" w:rsidP="00C57AB5">
      <w:pPr>
        <w:pStyle w:val="ListParagraph"/>
        <w:ind w:left="480"/>
        <w:rPr>
          <w:rFonts w:asciiTheme="minorHAnsi" w:hAnsiTheme="minorHAnsi" w:cstheme="minorHAnsi"/>
        </w:rPr>
      </w:pPr>
    </w:p>
    <w:p w14:paraId="1BF614F1" w14:textId="77777777" w:rsidR="0015359C" w:rsidRDefault="0015359C" w:rsidP="00934256">
      <w:pPr>
        <w:spacing w:after="0" w:line="240" w:lineRule="auto"/>
        <w:ind w:left="284"/>
        <w:jc w:val="both"/>
        <w:rPr>
          <w:rFonts w:asciiTheme="minorHAnsi" w:hAnsiTheme="minorHAnsi" w:cstheme="minorHAnsi"/>
          <w:sz w:val="24"/>
          <w:szCs w:val="24"/>
        </w:rPr>
      </w:pPr>
      <w:r w:rsidRPr="00C57AB5">
        <w:rPr>
          <w:rFonts w:asciiTheme="minorHAnsi" w:hAnsiTheme="minorHAnsi" w:cstheme="minorHAnsi"/>
          <w:sz w:val="24"/>
          <w:szCs w:val="24"/>
        </w:rPr>
        <w:t>El Comité adjudicará los recursos a los proponentes que hayan alcanzado los puntajes mínimos de elegibilidad de cada tipo de incentivo teniendo en cuenta los criterios de evaluación para cada uno de los instrumentos de apoyo</w:t>
      </w:r>
      <w:r w:rsidR="003875F7">
        <w:rPr>
          <w:rFonts w:asciiTheme="minorHAnsi" w:hAnsiTheme="minorHAnsi" w:cstheme="minorHAnsi"/>
          <w:sz w:val="24"/>
          <w:szCs w:val="24"/>
        </w:rPr>
        <w:t>, que estarán definidos dentro de cada concurso</w:t>
      </w:r>
      <w:r w:rsidRPr="00C57AB5">
        <w:rPr>
          <w:rFonts w:asciiTheme="minorHAnsi" w:hAnsiTheme="minorHAnsi" w:cstheme="minorHAnsi"/>
          <w:sz w:val="24"/>
          <w:szCs w:val="24"/>
        </w:rPr>
        <w:t xml:space="preserve">. </w:t>
      </w:r>
    </w:p>
    <w:p w14:paraId="4A8E3492" w14:textId="77777777" w:rsidR="002E390B" w:rsidRDefault="002E390B" w:rsidP="00934256">
      <w:pPr>
        <w:spacing w:after="0" w:line="240" w:lineRule="auto"/>
        <w:ind w:left="284"/>
        <w:jc w:val="both"/>
        <w:rPr>
          <w:rFonts w:asciiTheme="minorHAnsi" w:hAnsiTheme="minorHAnsi" w:cstheme="minorHAnsi"/>
          <w:sz w:val="24"/>
          <w:szCs w:val="24"/>
        </w:rPr>
      </w:pPr>
    </w:p>
    <w:p w14:paraId="4C83A8C5" w14:textId="77777777" w:rsidR="002E390B" w:rsidRDefault="002E390B" w:rsidP="00B97BBD">
      <w:pPr>
        <w:pStyle w:val="Heading3"/>
        <w:ind w:firstLine="708"/>
        <w:rPr>
          <w:rFonts w:asciiTheme="minorHAnsi" w:hAnsiTheme="minorHAnsi" w:cstheme="minorHAnsi"/>
          <w:sz w:val="24"/>
          <w:szCs w:val="24"/>
        </w:rPr>
      </w:pPr>
      <w:r w:rsidRPr="00B97BBD">
        <w:rPr>
          <w:rFonts w:asciiTheme="minorHAnsi" w:hAnsiTheme="minorHAnsi" w:cstheme="minorHAnsi"/>
          <w:sz w:val="24"/>
          <w:szCs w:val="24"/>
          <w:lang w:val="es-ES_tradnl"/>
        </w:rPr>
        <w:t>4.1.1</w:t>
      </w:r>
      <w:r w:rsidR="00B97BBD">
        <w:rPr>
          <w:rFonts w:asciiTheme="minorHAnsi" w:hAnsiTheme="minorHAnsi" w:cstheme="minorHAnsi"/>
          <w:sz w:val="24"/>
          <w:szCs w:val="24"/>
          <w:lang w:val="es-ES_tradnl"/>
        </w:rPr>
        <w:t>2</w:t>
      </w:r>
      <w:r w:rsidRPr="00B97BBD">
        <w:rPr>
          <w:rFonts w:asciiTheme="minorHAnsi" w:hAnsiTheme="minorHAnsi" w:cstheme="minorHAnsi"/>
          <w:sz w:val="24"/>
          <w:szCs w:val="24"/>
          <w:lang w:val="es-ES_tradnl"/>
        </w:rPr>
        <w:t xml:space="preserve">  Divulgación de los resultados de los concursos .-</w:t>
      </w:r>
    </w:p>
    <w:p w14:paraId="71EE5E56" w14:textId="77777777" w:rsidR="00934256" w:rsidRPr="00B97BBD" w:rsidRDefault="00934256" w:rsidP="00934256">
      <w:pPr>
        <w:spacing w:after="0" w:line="240" w:lineRule="auto"/>
        <w:ind w:left="284"/>
        <w:jc w:val="both"/>
        <w:rPr>
          <w:rFonts w:asciiTheme="minorHAnsi" w:hAnsiTheme="minorHAnsi" w:cstheme="minorHAnsi"/>
          <w:sz w:val="24"/>
          <w:szCs w:val="24"/>
          <w:lang w:val="es-ES"/>
        </w:rPr>
      </w:pPr>
    </w:p>
    <w:p w14:paraId="60A6021A" w14:textId="77777777" w:rsidR="002E390B" w:rsidRDefault="002E390B" w:rsidP="00934256">
      <w:pPr>
        <w:spacing w:after="0" w:line="240" w:lineRule="auto"/>
        <w:ind w:left="284"/>
        <w:jc w:val="both"/>
        <w:rPr>
          <w:rFonts w:asciiTheme="minorHAnsi" w:hAnsiTheme="minorHAnsi" w:cstheme="minorHAnsi"/>
          <w:sz w:val="24"/>
          <w:szCs w:val="24"/>
        </w:rPr>
      </w:pPr>
      <w:r>
        <w:rPr>
          <w:rFonts w:asciiTheme="minorHAnsi" w:hAnsiTheme="minorHAnsi" w:cstheme="minorHAnsi"/>
          <w:sz w:val="24"/>
          <w:szCs w:val="24"/>
        </w:rPr>
        <w:t xml:space="preserve">Los resultados de los concursos y las adjudicaciones deberán darse a conocer al público, a través su publicación en el sitio de Internet del </w:t>
      </w:r>
      <w:r w:rsidR="003155C4">
        <w:rPr>
          <w:rFonts w:asciiTheme="minorHAnsi" w:hAnsiTheme="minorHAnsi" w:cstheme="minorHAnsi"/>
          <w:sz w:val="24"/>
          <w:szCs w:val="24"/>
        </w:rPr>
        <w:t>MF</w:t>
      </w:r>
      <w:r>
        <w:rPr>
          <w:rFonts w:asciiTheme="minorHAnsi" w:hAnsiTheme="minorHAnsi" w:cstheme="minorHAnsi"/>
          <w:sz w:val="24"/>
          <w:szCs w:val="24"/>
        </w:rPr>
        <w:t>.</w:t>
      </w:r>
    </w:p>
    <w:p w14:paraId="5BAB78D5" w14:textId="77777777" w:rsidR="002E390B" w:rsidRDefault="002E390B" w:rsidP="00934256">
      <w:pPr>
        <w:spacing w:after="0" w:line="240" w:lineRule="auto"/>
        <w:ind w:left="284"/>
        <w:jc w:val="both"/>
        <w:rPr>
          <w:rFonts w:asciiTheme="minorHAnsi" w:hAnsiTheme="minorHAnsi" w:cstheme="minorHAnsi"/>
          <w:sz w:val="24"/>
          <w:szCs w:val="24"/>
        </w:rPr>
      </w:pPr>
    </w:p>
    <w:p w14:paraId="5C4777F7" w14:textId="77777777" w:rsidR="001541D3" w:rsidRPr="00B97BBD" w:rsidRDefault="00B97BBD" w:rsidP="00B97BBD">
      <w:pPr>
        <w:pStyle w:val="Heading3"/>
        <w:ind w:firstLine="708"/>
        <w:rPr>
          <w:rFonts w:asciiTheme="minorHAnsi" w:hAnsiTheme="minorHAnsi" w:cstheme="minorHAnsi"/>
          <w:sz w:val="24"/>
          <w:szCs w:val="24"/>
          <w:lang w:val="es-ES_tradnl"/>
        </w:rPr>
      </w:pPr>
      <w:bookmarkStart w:id="172" w:name="_Toc322363693"/>
      <w:bookmarkStart w:id="173" w:name="_Toc324196906"/>
      <w:r w:rsidRPr="00B97BBD">
        <w:rPr>
          <w:rFonts w:asciiTheme="minorHAnsi" w:hAnsiTheme="minorHAnsi" w:cstheme="minorHAnsi"/>
          <w:sz w:val="24"/>
          <w:szCs w:val="24"/>
          <w:lang w:val="es-ES_tradnl"/>
        </w:rPr>
        <w:t>4.1.1</w:t>
      </w:r>
      <w:r>
        <w:rPr>
          <w:rFonts w:asciiTheme="minorHAnsi" w:hAnsiTheme="minorHAnsi" w:cstheme="minorHAnsi"/>
          <w:sz w:val="24"/>
          <w:szCs w:val="24"/>
          <w:lang w:val="es-ES_tradnl"/>
        </w:rPr>
        <w:t>3</w:t>
      </w:r>
      <w:r w:rsidRPr="00B97BBD">
        <w:rPr>
          <w:rFonts w:asciiTheme="minorHAnsi" w:hAnsiTheme="minorHAnsi" w:cstheme="minorHAnsi"/>
          <w:sz w:val="24"/>
          <w:szCs w:val="24"/>
          <w:lang w:val="es-ES_tradnl"/>
        </w:rPr>
        <w:t xml:space="preserve">  </w:t>
      </w:r>
      <w:r w:rsidR="0015359C" w:rsidRPr="00B97BBD">
        <w:rPr>
          <w:rFonts w:asciiTheme="minorHAnsi" w:hAnsiTheme="minorHAnsi" w:cstheme="minorHAnsi"/>
          <w:sz w:val="24"/>
          <w:szCs w:val="24"/>
          <w:lang w:val="es-ES_tradnl"/>
        </w:rPr>
        <w:t>Formalización y Contratación</w:t>
      </w:r>
      <w:bookmarkEnd w:id="172"/>
      <w:r w:rsidR="0015359C" w:rsidRPr="00B97BBD">
        <w:rPr>
          <w:rFonts w:asciiTheme="minorHAnsi" w:hAnsiTheme="minorHAnsi" w:cstheme="minorHAnsi"/>
          <w:sz w:val="24"/>
          <w:szCs w:val="24"/>
          <w:lang w:val="es-ES_tradnl"/>
        </w:rPr>
        <w:t>.-</w:t>
      </w:r>
      <w:bookmarkEnd w:id="173"/>
    </w:p>
    <w:p w14:paraId="3CD230D9" w14:textId="77777777" w:rsidR="0015359C" w:rsidRPr="00C57AB5" w:rsidRDefault="0015359C" w:rsidP="00C57AB5">
      <w:pPr>
        <w:pStyle w:val="ListParagraph"/>
        <w:ind w:left="480"/>
        <w:rPr>
          <w:rFonts w:asciiTheme="minorHAnsi" w:hAnsiTheme="minorHAnsi" w:cstheme="minorHAnsi"/>
        </w:rPr>
      </w:pPr>
    </w:p>
    <w:p w14:paraId="66A8C0CF" w14:textId="77777777" w:rsidR="0015359C" w:rsidRPr="00C57AB5" w:rsidRDefault="0015359C" w:rsidP="00F04367">
      <w:pPr>
        <w:spacing w:after="0" w:line="240" w:lineRule="auto"/>
        <w:ind w:left="284"/>
        <w:jc w:val="both"/>
        <w:rPr>
          <w:rFonts w:asciiTheme="minorHAnsi" w:hAnsiTheme="minorHAnsi" w:cstheme="minorHAnsi"/>
          <w:sz w:val="24"/>
          <w:szCs w:val="24"/>
        </w:rPr>
      </w:pPr>
      <w:r w:rsidRPr="00C57AB5">
        <w:rPr>
          <w:rFonts w:asciiTheme="minorHAnsi" w:hAnsiTheme="minorHAnsi" w:cstheme="minorHAnsi"/>
          <w:sz w:val="24"/>
          <w:szCs w:val="24"/>
        </w:rPr>
        <w:t xml:space="preserve">La formalización de la asignación descrita se debe realizar a través de la firma de un  convenio o contrato con cada una de las entidades beneficiarias por cada uno de los proyectos seleccionados, de acuerdo con un modelo de contrato que prepare el </w:t>
      </w:r>
      <w:r w:rsidR="00B97BBD">
        <w:rPr>
          <w:rFonts w:asciiTheme="minorHAnsi" w:hAnsiTheme="minorHAnsi" w:cstheme="minorHAnsi"/>
          <w:sz w:val="24"/>
          <w:szCs w:val="24"/>
        </w:rPr>
        <w:t xml:space="preserve">MF </w:t>
      </w:r>
      <w:r w:rsidRPr="00C57AB5">
        <w:rPr>
          <w:rFonts w:asciiTheme="minorHAnsi" w:hAnsiTheme="minorHAnsi" w:cstheme="minorHAnsi"/>
          <w:sz w:val="24"/>
          <w:szCs w:val="24"/>
        </w:rPr>
        <w:t>para el efecto. Este modelo de con</w:t>
      </w:r>
      <w:r w:rsidR="004516A6">
        <w:rPr>
          <w:rFonts w:asciiTheme="minorHAnsi" w:hAnsiTheme="minorHAnsi" w:cstheme="minorHAnsi"/>
          <w:sz w:val="24"/>
          <w:szCs w:val="24"/>
        </w:rPr>
        <w:t>venio</w:t>
      </w:r>
      <w:r w:rsidRPr="00C57AB5">
        <w:rPr>
          <w:rFonts w:asciiTheme="minorHAnsi" w:hAnsiTheme="minorHAnsi" w:cstheme="minorHAnsi"/>
          <w:sz w:val="24"/>
          <w:szCs w:val="24"/>
        </w:rPr>
        <w:t xml:space="preserve"> debe ser parte de los Términos de Referencia y/o Especificaciones Técnicas correspondientes.</w:t>
      </w:r>
    </w:p>
    <w:p w14:paraId="72F9A614" w14:textId="77777777" w:rsidR="00F04367" w:rsidRDefault="00F04367" w:rsidP="00F04367">
      <w:pPr>
        <w:spacing w:after="0" w:line="240" w:lineRule="auto"/>
        <w:ind w:left="284"/>
        <w:jc w:val="both"/>
        <w:rPr>
          <w:rFonts w:asciiTheme="minorHAnsi" w:hAnsiTheme="minorHAnsi" w:cstheme="minorHAnsi"/>
          <w:sz w:val="24"/>
          <w:szCs w:val="24"/>
        </w:rPr>
      </w:pPr>
    </w:p>
    <w:p w14:paraId="6E654825" w14:textId="77777777" w:rsidR="0015359C" w:rsidRDefault="004516A6" w:rsidP="00F04367">
      <w:pPr>
        <w:spacing w:after="0" w:line="240" w:lineRule="auto"/>
        <w:ind w:left="284"/>
        <w:jc w:val="both"/>
        <w:rPr>
          <w:rFonts w:asciiTheme="minorHAnsi" w:hAnsiTheme="minorHAnsi" w:cstheme="minorHAnsi"/>
          <w:sz w:val="24"/>
          <w:szCs w:val="24"/>
        </w:rPr>
      </w:pPr>
      <w:r w:rsidRPr="0069659B">
        <w:rPr>
          <w:rFonts w:asciiTheme="minorHAnsi" w:hAnsiTheme="minorHAnsi" w:cstheme="minorHAnsi"/>
          <w:sz w:val="24"/>
          <w:szCs w:val="24"/>
        </w:rPr>
        <w:t>Los requisitos para acceder a los recursos se establecerán en cada concurso, conforme al marco descrito en</w:t>
      </w:r>
      <w:r w:rsidR="0015359C" w:rsidRPr="0069659B">
        <w:rPr>
          <w:rFonts w:asciiTheme="minorHAnsi" w:hAnsiTheme="minorHAnsi" w:cstheme="minorHAnsi"/>
          <w:sz w:val="24"/>
          <w:szCs w:val="24"/>
        </w:rPr>
        <w:t xml:space="preserve"> este Reglamento.</w:t>
      </w:r>
      <w:r w:rsidR="0015359C" w:rsidRPr="00C57AB5">
        <w:rPr>
          <w:rFonts w:asciiTheme="minorHAnsi" w:hAnsiTheme="minorHAnsi" w:cstheme="minorHAnsi"/>
          <w:sz w:val="24"/>
          <w:szCs w:val="24"/>
        </w:rPr>
        <w:t xml:space="preserve"> </w:t>
      </w:r>
    </w:p>
    <w:p w14:paraId="3E8DAF73" w14:textId="77777777" w:rsidR="004F1400" w:rsidRPr="00C57AB5" w:rsidRDefault="004F1400" w:rsidP="00F04367">
      <w:pPr>
        <w:spacing w:after="0" w:line="240" w:lineRule="auto"/>
        <w:ind w:left="284"/>
        <w:jc w:val="both"/>
        <w:rPr>
          <w:rFonts w:asciiTheme="minorHAnsi" w:hAnsiTheme="minorHAnsi" w:cstheme="minorHAnsi"/>
          <w:sz w:val="24"/>
          <w:szCs w:val="24"/>
        </w:rPr>
      </w:pPr>
    </w:p>
    <w:p w14:paraId="5C9099EE" w14:textId="77777777" w:rsidR="0015359C" w:rsidRPr="00C57AB5" w:rsidRDefault="00485653" w:rsidP="00B97BBD">
      <w:pPr>
        <w:pStyle w:val="Heading3"/>
        <w:ind w:firstLine="708"/>
        <w:rPr>
          <w:rFonts w:asciiTheme="minorHAnsi" w:hAnsiTheme="minorHAnsi" w:cstheme="minorHAnsi"/>
          <w:sz w:val="24"/>
          <w:szCs w:val="24"/>
          <w:lang w:val="es-ES_tradnl"/>
        </w:rPr>
      </w:pPr>
      <w:bookmarkStart w:id="174" w:name="_Toc322363695"/>
      <w:bookmarkStart w:id="175" w:name="_Toc324196907"/>
      <w:r>
        <w:rPr>
          <w:rFonts w:asciiTheme="minorHAnsi" w:hAnsiTheme="minorHAnsi" w:cstheme="minorHAnsi"/>
          <w:sz w:val="24"/>
          <w:szCs w:val="24"/>
          <w:lang w:val="es-ES_tradnl"/>
        </w:rPr>
        <w:t>4.1.1</w:t>
      </w:r>
      <w:r w:rsidR="00B97BBD">
        <w:rPr>
          <w:rFonts w:asciiTheme="minorHAnsi" w:hAnsiTheme="minorHAnsi" w:cstheme="minorHAnsi"/>
          <w:sz w:val="24"/>
          <w:szCs w:val="24"/>
          <w:lang w:val="es-ES_tradnl"/>
        </w:rPr>
        <w:t>4</w:t>
      </w:r>
      <w:r>
        <w:rPr>
          <w:rFonts w:asciiTheme="minorHAnsi" w:hAnsiTheme="minorHAnsi" w:cstheme="minorHAnsi"/>
          <w:sz w:val="24"/>
          <w:szCs w:val="24"/>
          <w:lang w:val="es-ES_tradnl"/>
        </w:rPr>
        <w:t xml:space="preserve"> </w:t>
      </w:r>
      <w:r w:rsidR="0015359C" w:rsidRPr="00C57AB5">
        <w:rPr>
          <w:rFonts w:asciiTheme="minorHAnsi" w:hAnsiTheme="minorHAnsi" w:cstheme="minorHAnsi"/>
          <w:sz w:val="24"/>
          <w:szCs w:val="24"/>
          <w:lang w:val="es-ES_tradnl"/>
        </w:rPr>
        <w:t>Monitoreo y Evaluación</w:t>
      </w:r>
      <w:bookmarkEnd w:id="174"/>
      <w:r w:rsidR="0015359C" w:rsidRPr="00C57AB5">
        <w:rPr>
          <w:rFonts w:asciiTheme="minorHAnsi" w:hAnsiTheme="minorHAnsi" w:cstheme="minorHAnsi"/>
          <w:sz w:val="24"/>
          <w:szCs w:val="24"/>
          <w:lang w:val="es-ES_tradnl"/>
        </w:rPr>
        <w:t>.-</w:t>
      </w:r>
      <w:bookmarkEnd w:id="175"/>
    </w:p>
    <w:p w14:paraId="326E206B" w14:textId="77777777" w:rsidR="0015359C" w:rsidRPr="00C57AB5" w:rsidRDefault="0015359C" w:rsidP="00C57AB5">
      <w:pPr>
        <w:spacing w:after="0" w:line="240" w:lineRule="auto"/>
        <w:rPr>
          <w:rFonts w:asciiTheme="minorHAnsi" w:hAnsiTheme="minorHAnsi" w:cstheme="minorHAnsi"/>
        </w:rPr>
      </w:pPr>
    </w:p>
    <w:p w14:paraId="45DE845C" w14:textId="77777777" w:rsidR="00C522B8" w:rsidRDefault="004516A6" w:rsidP="0045635D">
      <w:pPr>
        <w:spacing w:line="240" w:lineRule="auto"/>
        <w:ind w:left="284"/>
        <w:jc w:val="both"/>
        <w:rPr>
          <w:rFonts w:asciiTheme="minorHAnsi" w:hAnsiTheme="minorHAnsi" w:cstheme="minorHAnsi"/>
          <w:sz w:val="24"/>
          <w:szCs w:val="24"/>
        </w:rPr>
      </w:pPr>
      <w:r>
        <w:rPr>
          <w:rFonts w:asciiTheme="minorHAnsi" w:hAnsiTheme="minorHAnsi" w:cstheme="minorHAnsi"/>
          <w:sz w:val="24"/>
          <w:szCs w:val="24"/>
        </w:rPr>
        <w:t xml:space="preserve">El monitoreo y evaluación se realizará en base al plan </w:t>
      </w:r>
      <w:r w:rsidR="00C16E77">
        <w:rPr>
          <w:rFonts w:asciiTheme="minorHAnsi" w:hAnsiTheme="minorHAnsi" w:cstheme="minorHAnsi"/>
          <w:sz w:val="24"/>
          <w:szCs w:val="24"/>
        </w:rPr>
        <w:t xml:space="preserve">elaborado para el efecto, que constituye el anexo 1 del </w:t>
      </w:r>
      <w:r w:rsidR="00596361">
        <w:rPr>
          <w:rFonts w:asciiTheme="minorHAnsi" w:hAnsiTheme="minorHAnsi" w:cstheme="minorHAnsi"/>
          <w:sz w:val="24"/>
          <w:szCs w:val="24"/>
        </w:rPr>
        <w:t>ROP</w:t>
      </w:r>
      <w:r w:rsidR="00C16E77">
        <w:rPr>
          <w:rFonts w:asciiTheme="minorHAnsi" w:hAnsiTheme="minorHAnsi" w:cstheme="minorHAnsi"/>
          <w:sz w:val="24"/>
          <w:szCs w:val="24"/>
        </w:rPr>
        <w:t xml:space="preserve">. </w:t>
      </w:r>
    </w:p>
    <w:p w14:paraId="04888EF3" w14:textId="77777777" w:rsidR="00AB64E2" w:rsidRPr="00C57AB5" w:rsidRDefault="00AB64E2" w:rsidP="000B48FE">
      <w:pPr>
        <w:spacing w:after="0" w:line="240" w:lineRule="auto"/>
        <w:ind w:left="284"/>
        <w:jc w:val="both"/>
        <w:rPr>
          <w:rFonts w:asciiTheme="minorHAnsi" w:hAnsiTheme="minorHAnsi" w:cstheme="minorHAnsi"/>
          <w:sz w:val="24"/>
          <w:szCs w:val="24"/>
        </w:rPr>
      </w:pPr>
    </w:p>
    <w:p w14:paraId="05E0A55F" w14:textId="77777777" w:rsidR="00B80C93" w:rsidRPr="00FF5624" w:rsidRDefault="00B80C93" w:rsidP="00E8744D">
      <w:pPr>
        <w:pStyle w:val="Heading1"/>
        <w:numPr>
          <w:ilvl w:val="0"/>
          <w:numId w:val="5"/>
        </w:numPr>
        <w:rPr>
          <w:rFonts w:asciiTheme="minorHAnsi" w:hAnsiTheme="minorHAnsi" w:cstheme="minorHAnsi"/>
          <w:sz w:val="28"/>
          <w:szCs w:val="28"/>
        </w:rPr>
      </w:pPr>
      <w:bookmarkStart w:id="176" w:name="_Toc324196908"/>
      <w:r w:rsidRPr="00FF5624">
        <w:rPr>
          <w:rFonts w:asciiTheme="minorHAnsi" w:hAnsiTheme="minorHAnsi" w:cstheme="minorHAnsi"/>
          <w:sz w:val="28"/>
          <w:szCs w:val="28"/>
        </w:rPr>
        <w:lastRenderedPageBreak/>
        <w:t xml:space="preserve">Gestión técnica del Subcomponente 1.2 </w:t>
      </w:r>
    </w:p>
    <w:p w14:paraId="1634DD9E" w14:textId="77777777" w:rsidR="00B80C93" w:rsidRPr="00B80C93" w:rsidRDefault="00B80C93" w:rsidP="00B80C93">
      <w:pPr>
        <w:rPr>
          <w:lang w:val="es-ES" w:eastAsia="es-ES"/>
        </w:rPr>
      </w:pPr>
    </w:p>
    <w:p w14:paraId="0526C168" w14:textId="77777777" w:rsidR="00B80C93" w:rsidRDefault="00B80C93" w:rsidP="00B80C93">
      <w:pPr>
        <w:spacing w:line="240" w:lineRule="auto"/>
        <w:jc w:val="both"/>
        <w:rPr>
          <w:sz w:val="24"/>
          <w:szCs w:val="24"/>
          <w:lang w:val="es-ES" w:eastAsia="es-ES"/>
        </w:rPr>
      </w:pPr>
      <w:r w:rsidRPr="00D17EDF">
        <w:rPr>
          <w:sz w:val="24"/>
          <w:szCs w:val="24"/>
          <w:lang w:val="es-ES" w:eastAsia="es-ES"/>
        </w:rPr>
        <w:t xml:space="preserve">Las actividades y gastos elegibles de apoyo bajo este Subcomponente incluyen: </w:t>
      </w:r>
    </w:p>
    <w:p w14:paraId="3AD65F70" w14:textId="77777777" w:rsidR="00B80C93" w:rsidRPr="0090567A" w:rsidRDefault="00B80C93" w:rsidP="00E8744D">
      <w:pPr>
        <w:pStyle w:val="ListParagraph"/>
        <w:numPr>
          <w:ilvl w:val="0"/>
          <w:numId w:val="16"/>
        </w:numPr>
        <w:jc w:val="both"/>
        <w:rPr>
          <w:rFonts w:ascii="Calibri" w:eastAsia="Calibri" w:hAnsi="Calibri"/>
        </w:rPr>
      </w:pPr>
      <w:r w:rsidRPr="0090567A">
        <w:rPr>
          <w:rFonts w:ascii="Calibri" w:eastAsia="Calibri" w:hAnsi="Calibri"/>
        </w:rPr>
        <w:t xml:space="preserve">estudios y capacitación que promuevan reformas normativas o provean información al mercado y hacedores de política con fines de elevar la IF. Las principales áreas de reforma normativa consideradas son definir un marco regulatorio propicio para el desarrollo de modelos viables de servicios financieros digitales, autorizar la prestación de servicios financieros a través de agentes o corresponsales bancarios, mejorar los reportes a buros de crédito de entidades financieras reguladas y no reguladas, y asegurar una adecuada protección al consumidor financiero. Adicionalmente, se contempla una encuesta sobre las características de la demanda de servicios financieros formales con el fin de profundizar en entender con precisión la percepción de la demanda e identificar necesidades y comportamientos financieros de la población, habiendo un énfasis en el tema de género de manera que se logre integrar el tema dentro de la ENIF; </w:t>
      </w:r>
    </w:p>
    <w:p w14:paraId="4D182F6B" w14:textId="77777777" w:rsidR="00B80C93" w:rsidRPr="0090567A" w:rsidRDefault="00B80C93" w:rsidP="00E8744D">
      <w:pPr>
        <w:pStyle w:val="ListParagraph"/>
        <w:numPr>
          <w:ilvl w:val="0"/>
          <w:numId w:val="16"/>
        </w:numPr>
        <w:jc w:val="both"/>
        <w:rPr>
          <w:rFonts w:ascii="Calibri" w:eastAsia="Calibri" w:hAnsi="Calibri"/>
        </w:rPr>
      </w:pPr>
      <w:r w:rsidRPr="0090567A">
        <w:rPr>
          <w:rFonts w:ascii="Calibri" w:eastAsia="Calibri" w:hAnsi="Calibri"/>
        </w:rPr>
        <w:t xml:space="preserve">medidas para mejorar la educación financiera y la protección al consumidor. Dado que la ENIF va generalmente orientada a beneficiar segmentos de la población de menores ingresos o en situación de vulnerabilidad, se vuelve relevante desarrollar programas que aseguren que éstos cuentan con las capacidades adecuadas para hacer uso de los nuevos productos financieros, y tienen las herramientas para definir y comparar las condiciones en las cuales estos resultan aceptables o no. Para ello, los gastos elegibles incluyen estudios que conduzcan a coordinar una mejor política de educación financiera y estrategias de comunicación a través de campañas informativas que promuevan el acceso y el uso de los productos financieros; y </w:t>
      </w:r>
    </w:p>
    <w:p w14:paraId="33DFECA5" w14:textId="77777777" w:rsidR="00B80C93" w:rsidRPr="0090567A" w:rsidRDefault="00B80C93" w:rsidP="00E8744D">
      <w:pPr>
        <w:pStyle w:val="ListParagraph"/>
        <w:numPr>
          <w:ilvl w:val="0"/>
          <w:numId w:val="16"/>
        </w:numPr>
        <w:jc w:val="both"/>
        <w:rPr>
          <w:rFonts w:ascii="Calibri" w:eastAsia="Calibri" w:hAnsi="Calibri"/>
        </w:rPr>
      </w:pPr>
      <w:r w:rsidRPr="0090567A">
        <w:rPr>
          <w:rFonts w:ascii="Calibri" w:eastAsia="Calibri" w:hAnsi="Calibri"/>
        </w:rPr>
        <w:t xml:space="preserve">gastos de gestión y comunicación relacionados a la implementación de la ENIF y a la articulación de los procesos participativos entre los diferentes actores públicos y privados. </w:t>
      </w:r>
    </w:p>
    <w:p w14:paraId="30864870" w14:textId="77777777" w:rsidR="00B80C93" w:rsidRDefault="00485653" w:rsidP="00485653">
      <w:pPr>
        <w:pStyle w:val="Heading2"/>
        <w:rPr>
          <w:rFonts w:asciiTheme="minorHAnsi" w:hAnsiTheme="minorHAnsi" w:cstheme="minorHAnsi"/>
          <w:color w:val="auto"/>
          <w:sz w:val="24"/>
          <w:szCs w:val="24"/>
          <w:lang w:val="es-ES_tradnl" w:eastAsia="es-ES"/>
        </w:rPr>
      </w:pPr>
      <w:r w:rsidRPr="00485653">
        <w:rPr>
          <w:rFonts w:asciiTheme="minorHAnsi" w:hAnsiTheme="minorHAnsi" w:cstheme="minorHAnsi"/>
          <w:color w:val="auto"/>
          <w:sz w:val="24"/>
          <w:szCs w:val="24"/>
          <w:lang w:val="es-ES_tradnl" w:eastAsia="es-ES"/>
        </w:rPr>
        <w:t xml:space="preserve"> </w:t>
      </w:r>
    </w:p>
    <w:p w14:paraId="2A95CA01" w14:textId="77777777" w:rsidR="001541D3" w:rsidRPr="00FF5624" w:rsidRDefault="00AB64E2" w:rsidP="00E8744D">
      <w:pPr>
        <w:pStyle w:val="Heading1"/>
        <w:numPr>
          <w:ilvl w:val="0"/>
          <w:numId w:val="5"/>
        </w:numPr>
        <w:rPr>
          <w:rFonts w:asciiTheme="minorHAnsi" w:hAnsiTheme="minorHAnsi" w:cstheme="minorHAnsi"/>
          <w:sz w:val="28"/>
          <w:szCs w:val="28"/>
        </w:rPr>
      </w:pPr>
      <w:r w:rsidRPr="00FF5624">
        <w:rPr>
          <w:rFonts w:asciiTheme="minorHAnsi" w:hAnsiTheme="minorHAnsi" w:cstheme="minorHAnsi"/>
          <w:sz w:val="28"/>
          <w:szCs w:val="28"/>
        </w:rPr>
        <w:t>Gestión técnica del componente 2 del programa</w:t>
      </w:r>
      <w:bookmarkEnd w:id="176"/>
    </w:p>
    <w:p w14:paraId="4F734F9F" w14:textId="77777777" w:rsidR="0015359C" w:rsidRDefault="0015359C" w:rsidP="00C57AB5">
      <w:pPr>
        <w:spacing w:after="0" w:line="240" w:lineRule="auto"/>
        <w:rPr>
          <w:rFonts w:asciiTheme="minorHAnsi" w:hAnsiTheme="minorHAnsi" w:cstheme="minorHAnsi"/>
          <w:sz w:val="24"/>
          <w:szCs w:val="24"/>
          <w:lang w:val="es-ES" w:eastAsia="es-ES"/>
        </w:rPr>
      </w:pPr>
    </w:p>
    <w:p w14:paraId="15C256A3" w14:textId="77777777" w:rsidR="00B80C93" w:rsidRDefault="002B15AA" w:rsidP="00B80C93">
      <w:pPr>
        <w:spacing w:line="240" w:lineRule="auto"/>
        <w:jc w:val="both"/>
        <w:rPr>
          <w:sz w:val="24"/>
          <w:szCs w:val="24"/>
          <w:lang w:val="es-ES" w:eastAsia="es-ES"/>
        </w:rPr>
      </w:pPr>
      <w:r w:rsidRPr="002B15AA">
        <w:rPr>
          <w:b/>
          <w:sz w:val="24"/>
          <w:szCs w:val="24"/>
          <w:lang w:eastAsia="es-ES"/>
        </w:rPr>
        <w:t>Líneas y Actividades financiables</w:t>
      </w:r>
      <w:r w:rsidRPr="002B15AA">
        <w:rPr>
          <w:sz w:val="24"/>
          <w:szCs w:val="24"/>
          <w:lang w:val="es-ES" w:eastAsia="es-ES"/>
        </w:rPr>
        <w:t xml:space="preserve"> </w:t>
      </w:r>
      <w:r w:rsidR="00B80C93" w:rsidRPr="00D17EDF">
        <w:rPr>
          <w:sz w:val="24"/>
          <w:szCs w:val="24"/>
          <w:lang w:val="es-ES" w:eastAsia="es-ES"/>
        </w:rPr>
        <w:t xml:space="preserve">Con fines de superar el limitado acceso a crédito de las MyPE , el Ministerio de Finanzas transferirá parte de los recursos del préstamo a FONCAP, para que éste los canalice a las IMF con carácter reembolsable, a través de: </w:t>
      </w:r>
    </w:p>
    <w:p w14:paraId="5B8276D1" w14:textId="77777777" w:rsidR="00656750" w:rsidRDefault="00B80C93" w:rsidP="002B15AA">
      <w:pPr>
        <w:spacing w:line="240" w:lineRule="auto"/>
        <w:ind w:left="708"/>
        <w:jc w:val="both"/>
        <w:rPr>
          <w:sz w:val="24"/>
          <w:szCs w:val="24"/>
          <w:lang w:val="es-ES" w:eastAsia="es-ES"/>
        </w:rPr>
      </w:pPr>
      <w:r w:rsidRPr="00544DE3">
        <w:rPr>
          <w:b/>
          <w:sz w:val="24"/>
          <w:szCs w:val="24"/>
          <w:lang w:val="es-ES" w:eastAsia="es-ES"/>
        </w:rPr>
        <w:t>(a) líneas de fondeo para que las IMF canalicen préstamos a las MyPE</w:t>
      </w:r>
      <w:r w:rsidRPr="00D17EDF">
        <w:rPr>
          <w:sz w:val="24"/>
          <w:szCs w:val="24"/>
          <w:lang w:val="es-ES" w:eastAsia="es-ES"/>
        </w:rPr>
        <w:t xml:space="preserve"> </w:t>
      </w:r>
    </w:p>
    <w:p w14:paraId="37151455" w14:textId="77777777" w:rsidR="00B80C93" w:rsidRDefault="007C17C5" w:rsidP="00B80C93">
      <w:pPr>
        <w:spacing w:line="240" w:lineRule="auto"/>
        <w:jc w:val="both"/>
        <w:rPr>
          <w:sz w:val="24"/>
          <w:szCs w:val="24"/>
          <w:lang w:val="es-ES" w:eastAsia="es-ES"/>
        </w:rPr>
      </w:pPr>
      <w:r w:rsidRPr="002B15AA">
        <w:rPr>
          <w:sz w:val="24"/>
          <w:szCs w:val="24"/>
          <w:lang w:val="es-ES" w:eastAsia="es-ES"/>
        </w:rPr>
        <w:t>Características de las operaciones elegibles</w:t>
      </w:r>
      <w:r>
        <w:rPr>
          <w:sz w:val="24"/>
          <w:szCs w:val="24"/>
          <w:lang w:val="es-ES" w:eastAsia="es-ES"/>
        </w:rPr>
        <w:t>:</w:t>
      </w:r>
      <w:r w:rsidRPr="007C17C5">
        <w:rPr>
          <w:sz w:val="24"/>
          <w:szCs w:val="24"/>
          <w:lang w:val="es-ES" w:eastAsia="es-ES"/>
        </w:rPr>
        <w:t xml:space="preserve"> </w:t>
      </w:r>
      <w:r>
        <w:rPr>
          <w:sz w:val="24"/>
          <w:szCs w:val="24"/>
          <w:lang w:val="es-ES" w:eastAsia="es-ES"/>
        </w:rPr>
        <w:t>s</w:t>
      </w:r>
      <w:r w:rsidR="00B80C93" w:rsidRPr="00D17EDF">
        <w:rPr>
          <w:sz w:val="24"/>
          <w:szCs w:val="24"/>
          <w:lang w:val="es-ES" w:eastAsia="es-ES"/>
        </w:rPr>
        <w:t xml:space="preserve">e financiarán las actividades productivas (ya sea empresariales, agropecuarias, industriales, comerciales y de servicios) de estas empresas, ya sea para capital fijo o de trabajo; no se restringe la actividad económica </w:t>
      </w:r>
      <w:r w:rsidR="00B80C93" w:rsidRPr="00D17EDF">
        <w:rPr>
          <w:sz w:val="24"/>
          <w:szCs w:val="24"/>
          <w:lang w:val="es-ES" w:eastAsia="es-ES"/>
        </w:rPr>
        <w:lastRenderedPageBreak/>
        <w:t>del deudor, lo que permite aguardar que los resultados sean satisfactorios en términos de bancarizar y dar oportunidad a población que no accede a servicios financieros</w:t>
      </w:r>
      <w:r>
        <w:rPr>
          <w:sz w:val="24"/>
          <w:szCs w:val="24"/>
          <w:lang w:val="es-ES" w:eastAsia="es-ES"/>
        </w:rPr>
        <w:t>.</w:t>
      </w:r>
      <w:r w:rsidR="00B80C93" w:rsidRPr="00D17EDF">
        <w:rPr>
          <w:sz w:val="24"/>
          <w:szCs w:val="24"/>
          <w:lang w:val="es-ES" w:eastAsia="es-ES"/>
        </w:rPr>
        <w:t xml:space="preserve">  </w:t>
      </w:r>
    </w:p>
    <w:p w14:paraId="3EB9C3A4" w14:textId="77777777" w:rsidR="00B80C93" w:rsidRDefault="00B80C93" w:rsidP="002B15AA">
      <w:pPr>
        <w:spacing w:line="240" w:lineRule="auto"/>
        <w:ind w:left="708"/>
        <w:jc w:val="both"/>
        <w:rPr>
          <w:sz w:val="24"/>
          <w:szCs w:val="24"/>
          <w:lang w:val="es-ES" w:eastAsia="es-ES"/>
        </w:rPr>
      </w:pPr>
      <w:r w:rsidRPr="00544DE3">
        <w:rPr>
          <w:b/>
          <w:sz w:val="24"/>
          <w:szCs w:val="24"/>
          <w:lang w:val="es-ES" w:eastAsia="es-ES"/>
        </w:rPr>
        <w:t>(b) préstamos directos a las propias IMF</w:t>
      </w:r>
      <w:r w:rsidRPr="00D17EDF">
        <w:rPr>
          <w:sz w:val="24"/>
          <w:szCs w:val="24"/>
          <w:lang w:val="es-ES" w:eastAsia="es-ES"/>
        </w:rPr>
        <w:t xml:space="preserve">. </w:t>
      </w:r>
    </w:p>
    <w:p w14:paraId="77933E58" w14:textId="77777777" w:rsidR="007C17C5" w:rsidRPr="002B15AA" w:rsidRDefault="007C17C5" w:rsidP="00B80C93">
      <w:pPr>
        <w:spacing w:line="240" w:lineRule="auto"/>
        <w:jc w:val="both"/>
        <w:rPr>
          <w:rFonts w:ascii="Arial" w:hAnsi="Arial" w:cs="Arial"/>
          <w:sz w:val="18"/>
          <w:szCs w:val="18"/>
          <w:lang w:val="es-ES"/>
        </w:rPr>
      </w:pPr>
      <w:r w:rsidRPr="002B15AA">
        <w:rPr>
          <w:sz w:val="24"/>
          <w:szCs w:val="24"/>
          <w:lang w:val="es-ES" w:eastAsia="es-ES"/>
        </w:rPr>
        <w:t>Características de las operaciones elegibles:</w:t>
      </w:r>
      <w:r w:rsidRPr="002B15AA">
        <w:rPr>
          <w:rFonts w:ascii="Arial" w:hAnsi="Arial" w:cs="Arial"/>
          <w:sz w:val="18"/>
          <w:szCs w:val="18"/>
          <w:lang w:val="es-ES"/>
        </w:rPr>
        <w:t xml:space="preserve"> </w:t>
      </w:r>
    </w:p>
    <w:p w14:paraId="66CBB904" w14:textId="77777777" w:rsidR="007C17C5" w:rsidRPr="007C17C5" w:rsidRDefault="007C17C5" w:rsidP="00E8744D">
      <w:pPr>
        <w:pStyle w:val="ListParagraph"/>
        <w:numPr>
          <w:ilvl w:val="0"/>
          <w:numId w:val="25"/>
        </w:numPr>
        <w:jc w:val="both"/>
        <w:rPr>
          <w:rFonts w:ascii="Calibri" w:eastAsia="Calibri" w:hAnsi="Calibri"/>
        </w:rPr>
      </w:pPr>
      <w:r w:rsidRPr="007C17C5">
        <w:rPr>
          <w:rFonts w:ascii="Calibri" w:eastAsia="Calibri" w:hAnsi="Calibri"/>
        </w:rPr>
        <w:t>actividades destinadas a ampliar su cobertura como es la ampliación de oficinas (es decir, sucursales o sus equivalentes) o adopción de tecnologías de la información</w:t>
      </w:r>
    </w:p>
    <w:p w14:paraId="3085C2D1" w14:textId="77777777" w:rsidR="007C17C5" w:rsidRPr="007C17C5" w:rsidRDefault="007C17C5" w:rsidP="00E8744D">
      <w:pPr>
        <w:pStyle w:val="ListParagraph"/>
        <w:numPr>
          <w:ilvl w:val="0"/>
          <w:numId w:val="25"/>
        </w:numPr>
        <w:jc w:val="both"/>
        <w:rPr>
          <w:rFonts w:ascii="Calibri" w:eastAsia="Calibri" w:hAnsi="Calibri"/>
        </w:rPr>
      </w:pPr>
      <w:r w:rsidRPr="007C17C5">
        <w:rPr>
          <w:rFonts w:ascii="Calibri" w:eastAsia="Calibri" w:hAnsi="Calibri"/>
        </w:rPr>
        <w:t>actividades destinadas a fortalecer su capacidad técnica y operativa para atender a más MyPE</w:t>
      </w:r>
    </w:p>
    <w:p w14:paraId="168FA924" w14:textId="77777777" w:rsidR="007C17C5" w:rsidRPr="007C17C5" w:rsidRDefault="007C17C5" w:rsidP="007C17C5">
      <w:pPr>
        <w:pStyle w:val="ListParagraph"/>
        <w:jc w:val="both"/>
      </w:pPr>
      <w:r w:rsidRPr="007C17C5">
        <w:t xml:space="preserve"> </w:t>
      </w:r>
    </w:p>
    <w:p w14:paraId="20587C0F" w14:textId="77777777" w:rsidR="00B80C93" w:rsidRPr="00D17EDF" w:rsidRDefault="002B15AA" w:rsidP="00B80C93">
      <w:pPr>
        <w:spacing w:line="240" w:lineRule="auto"/>
        <w:jc w:val="both"/>
        <w:rPr>
          <w:sz w:val="24"/>
          <w:szCs w:val="24"/>
          <w:lang w:val="es-ES" w:eastAsia="es-ES"/>
        </w:rPr>
      </w:pPr>
      <w:r>
        <w:rPr>
          <w:b/>
          <w:sz w:val="24"/>
          <w:szCs w:val="24"/>
          <w:lang w:val="es-ES" w:eastAsia="es-ES"/>
        </w:rPr>
        <w:t>R</w:t>
      </w:r>
      <w:r w:rsidRPr="002B15AA">
        <w:rPr>
          <w:b/>
          <w:sz w:val="24"/>
          <w:szCs w:val="24"/>
          <w:lang w:val="es-ES" w:eastAsia="es-ES"/>
        </w:rPr>
        <w:t xml:space="preserve">esultado esperado. </w:t>
      </w:r>
      <w:r w:rsidR="00B80C93" w:rsidRPr="00D17EDF">
        <w:rPr>
          <w:sz w:val="24"/>
          <w:szCs w:val="24"/>
          <w:lang w:val="es-ES" w:eastAsia="es-ES"/>
        </w:rPr>
        <w:t xml:space="preserve">En su conjunto, ambos productos llevarán al resultado esperado de incrementar el porcentaje de créditos otorgados a nuevos clientes MyPE, respecto del total de créditos otorgados a MyPE por las IMF beneficiarias del programa. Para ello, FONCAP pondrá como requisito en las líneas de fondeo a IMF que al menos 25% de las empresas financiadas sean nuevos clientes. En adición, los préstamos para inversión también tendrán como condición el buscar fomentar nuevos clientes. </w:t>
      </w:r>
    </w:p>
    <w:p w14:paraId="7D9C04D7" w14:textId="77777777" w:rsidR="00723505" w:rsidRDefault="00564B8E" w:rsidP="00B80C93">
      <w:pPr>
        <w:spacing w:after="0" w:line="240" w:lineRule="auto"/>
        <w:jc w:val="both"/>
        <w:rPr>
          <w:sz w:val="24"/>
          <w:szCs w:val="24"/>
          <w:lang w:val="es-ES" w:eastAsia="es-ES"/>
        </w:rPr>
      </w:pPr>
      <w:r>
        <w:rPr>
          <w:b/>
          <w:sz w:val="24"/>
          <w:szCs w:val="24"/>
          <w:lang w:val="es-ES" w:eastAsia="es-ES"/>
        </w:rPr>
        <w:t>C</w:t>
      </w:r>
      <w:r w:rsidRPr="00564B8E">
        <w:rPr>
          <w:b/>
          <w:sz w:val="24"/>
          <w:szCs w:val="24"/>
          <w:lang w:val="es-ES" w:eastAsia="es-ES"/>
        </w:rPr>
        <w:t>riterios y las condiciones de elegibilidad de las entidades financieras</w:t>
      </w:r>
      <w:r>
        <w:rPr>
          <w:b/>
          <w:sz w:val="24"/>
          <w:szCs w:val="24"/>
          <w:lang w:val="es-ES" w:eastAsia="es-ES"/>
        </w:rPr>
        <w:t>.</w:t>
      </w:r>
      <w:r w:rsidRPr="00835F37">
        <w:rPr>
          <w:sz w:val="24"/>
          <w:szCs w:val="24"/>
          <w:lang w:val="es-ES" w:eastAsia="es-ES"/>
        </w:rPr>
        <w:t xml:space="preserve"> </w:t>
      </w:r>
      <w:r w:rsidR="00835F37" w:rsidRPr="00835F37">
        <w:rPr>
          <w:sz w:val="24"/>
          <w:szCs w:val="24"/>
          <w:lang w:val="es-ES" w:eastAsia="es-ES"/>
        </w:rPr>
        <w:t>FONCAP determinará el cumplimiento de los criterios y las condiciones de elegibilidad de las entidades financieras</w:t>
      </w:r>
      <w:r w:rsidR="00B80C93" w:rsidRPr="00D17EDF">
        <w:rPr>
          <w:sz w:val="24"/>
          <w:szCs w:val="24"/>
          <w:lang w:val="es-ES" w:eastAsia="es-ES"/>
        </w:rPr>
        <w:t xml:space="preserve">. Las entidades deberán cumplir con la normativa aplicable </w:t>
      </w:r>
      <w:r w:rsidR="00723505">
        <w:rPr>
          <w:sz w:val="24"/>
          <w:szCs w:val="24"/>
          <w:lang w:val="es-ES" w:eastAsia="es-ES"/>
        </w:rPr>
        <w:t xml:space="preserve">del país </w:t>
      </w:r>
      <w:r w:rsidR="00B80C93" w:rsidRPr="00D17EDF">
        <w:rPr>
          <w:sz w:val="24"/>
          <w:szCs w:val="24"/>
          <w:lang w:val="es-ES" w:eastAsia="es-ES"/>
        </w:rPr>
        <w:t xml:space="preserve">y del FONCAP. Conforme a su herramienta de evaluación, deberán ser lo suficientemente sanas, desde la perspectiva financiera y de gobierno corporativo, para llevar a cabo la intermediación de forma adecuada. </w:t>
      </w:r>
    </w:p>
    <w:p w14:paraId="6572B18D" w14:textId="77777777" w:rsidR="00723505" w:rsidRDefault="00723505" w:rsidP="00B80C93">
      <w:pPr>
        <w:spacing w:after="0" w:line="240" w:lineRule="auto"/>
        <w:jc w:val="both"/>
        <w:rPr>
          <w:sz w:val="24"/>
          <w:szCs w:val="24"/>
          <w:lang w:val="es-ES" w:eastAsia="es-ES"/>
        </w:rPr>
      </w:pPr>
    </w:p>
    <w:p w14:paraId="7C125B64" w14:textId="77777777" w:rsidR="00B80C93" w:rsidRDefault="00B80C93" w:rsidP="00B80C93">
      <w:pPr>
        <w:spacing w:after="0" w:line="240" w:lineRule="auto"/>
        <w:jc w:val="both"/>
        <w:rPr>
          <w:sz w:val="24"/>
          <w:szCs w:val="24"/>
          <w:lang w:val="es-ES" w:eastAsia="es-ES"/>
        </w:rPr>
      </w:pPr>
      <w:r w:rsidRPr="00D17EDF">
        <w:rPr>
          <w:sz w:val="24"/>
          <w:szCs w:val="24"/>
          <w:lang w:val="es-ES" w:eastAsia="es-ES"/>
        </w:rPr>
        <w:t xml:space="preserve">Como </w:t>
      </w:r>
      <w:r w:rsidR="00723505">
        <w:rPr>
          <w:sz w:val="24"/>
          <w:szCs w:val="24"/>
          <w:lang w:val="es-ES" w:eastAsia="es-ES"/>
        </w:rPr>
        <w:t xml:space="preserve">requisitos </w:t>
      </w:r>
      <w:r w:rsidRPr="00D17EDF">
        <w:rPr>
          <w:sz w:val="24"/>
          <w:szCs w:val="24"/>
          <w:lang w:val="es-ES" w:eastAsia="es-ES"/>
        </w:rPr>
        <w:t>mínimo</w:t>
      </w:r>
      <w:r w:rsidR="00723505">
        <w:rPr>
          <w:sz w:val="24"/>
          <w:szCs w:val="24"/>
          <w:lang w:val="es-ES" w:eastAsia="es-ES"/>
        </w:rPr>
        <w:t>s</w:t>
      </w:r>
      <w:r w:rsidRPr="00D17EDF">
        <w:rPr>
          <w:sz w:val="24"/>
          <w:szCs w:val="24"/>
          <w:lang w:val="es-ES" w:eastAsia="es-ES"/>
        </w:rPr>
        <w:t xml:space="preserve"> deberán cumplir con: emplear tecnologías crediticias especializadas para bajos montos; mantener controles en materia de prevención de lavado de activos y financiación del terrorismo; presentar tres años de estados financieros auditados; tener un sólido gobierno corporativo; reflejar viables indicadores financieros. </w:t>
      </w:r>
    </w:p>
    <w:p w14:paraId="6748FE1E" w14:textId="77777777" w:rsidR="00B80C93" w:rsidRDefault="00B80C93" w:rsidP="00B80C93">
      <w:pPr>
        <w:spacing w:after="0" w:line="240" w:lineRule="auto"/>
        <w:jc w:val="both"/>
        <w:rPr>
          <w:sz w:val="24"/>
          <w:szCs w:val="24"/>
          <w:lang w:val="es-ES" w:eastAsia="es-ES"/>
        </w:rPr>
      </w:pPr>
    </w:p>
    <w:p w14:paraId="7649A939" w14:textId="77777777" w:rsidR="00B02FD5" w:rsidRDefault="00B80C93" w:rsidP="0048482C">
      <w:pPr>
        <w:spacing w:after="0" w:line="240" w:lineRule="auto"/>
        <w:jc w:val="both"/>
        <w:rPr>
          <w:sz w:val="24"/>
          <w:szCs w:val="24"/>
          <w:lang w:val="es-ES" w:eastAsia="es-ES"/>
        </w:rPr>
      </w:pPr>
      <w:r w:rsidRPr="00D17EDF">
        <w:rPr>
          <w:sz w:val="24"/>
          <w:szCs w:val="24"/>
          <w:lang w:val="es-ES" w:eastAsia="es-ES"/>
        </w:rPr>
        <w:t>FONCAP establecerá los cupos a las entidades financieras</w:t>
      </w:r>
      <w:r w:rsidR="00B02FD5">
        <w:rPr>
          <w:sz w:val="24"/>
          <w:szCs w:val="24"/>
          <w:lang w:val="es-ES" w:eastAsia="es-ES"/>
        </w:rPr>
        <w:t>,</w:t>
      </w:r>
      <w:r w:rsidRPr="00D17EDF">
        <w:rPr>
          <w:sz w:val="24"/>
          <w:szCs w:val="24"/>
          <w:lang w:val="es-ES" w:eastAsia="es-ES"/>
        </w:rPr>
        <w:t xml:space="preserve"> incluyendo el porcentaje máximo que podrá dirigirse a una sola entidad para fines de diversificación, </w:t>
      </w:r>
      <w:r w:rsidR="00B02FD5">
        <w:rPr>
          <w:sz w:val="24"/>
          <w:szCs w:val="24"/>
          <w:lang w:val="es-ES" w:eastAsia="es-ES"/>
        </w:rPr>
        <w:t>sin embargo se sugiere que ese sea de 25%.</w:t>
      </w:r>
    </w:p>
    <w:p w14:paraId="02EDF83B" w14:textId="77777777" w:rsidR="00B02FD5" w:rsidRDefault="00B02FD5" w:rsidP="0048482C">
      <w:pPr>
        <w:spacing w:after="0" w:line="240" w:lineRule="auto"/>
        <w:jc w:val="both"/>
        <w:rPr>
          <w:sz w:val="24"/>
          <w:szCs w:val="24"/>
          <w:lang w:val="es-ES" w:eastAsia="es-ES"/>
        </w:rPr>
      </w:pPr>
    </w:p>
    <w:p w14:paraId="7E58A11C" w14:textId="77777777" w:rsidR="00723505" w:rsidRDefault="00E978D6" w:rsidP="0048482C">
      <w:pPr>
        <w:spacing w:after="0" w:line="240" w:lineRule="auto"/>
        <w:jc w:val="both"/>
        <w:rPr>
          <w:sz w:val="24"/>
          <w:szCs w:val="24"/>
          <w:lang w:val="es-ES" w:eastAsia="es-ES"/>
        </w:rPr>
      </w:pPr>
      <w:r w:rsidRPr="00E978D6">
        <w:rPr>
          <w:b/>
          <w:sz w:val="24"/>
          <w:szCs w:val="24"/>
          <w:lang w:val="es-ES" w:eastAsia="es-ES"/>
        </w:rPr>
        <w:t>Condiciones financieras</w:t>
      </w:r>
      <w:r>
        <w:rPr>
          <w:sz w:val="24"/>
          <w:szCs w:val="24"/>
          <w:lang w:val="es-ES" w:eastAsia="es-ES"/>
        </w:rPr>
        <w:t xml:space="preserve">. </w:t>
      </w:r>
      <w:r w:rsidRPr="00E978D6">
        <w:rPr>
          <w:sz w:val="24"/>
          <w:szCs w:val="24"/>
          <w:lang w:val="es-ES" w:eastAsia="es-ES"/>
        </w:rPr>
        <w:t xml:space="preserve">FONCAP establecerá </w:t>
      </w:r>
      <w:r w:rsidR="00B80C93" w:rsidRPr="00D17EDF">
        <w:rPr>
          <w:sz w:val="24"/>
          <w:szCs w:val="24"/>
          <w:lang w:val="es-ES" w:eastAsia="es-ES"/>
        </w:rPr>
        <w:t>las características de desembolsos, las tasas de interés y comisiones, plazos y frecuencia de amortización y períodos de gracia, así como las garantías</w:t>
      </w:r>
      <w:r w:rsidR="00656750">
        <w:rPr>
          <w:sz w:val="24"/>
          <w:szCs w:val="24"/>
          <w:lang w:val="es-ES" w:eastAsia="es-ES"/>
        </w:rPr>
        <w:t xml:space="preserve">. </w:t>
      </w:r>
    </w:p>
    <w:p w14:paraId="2929996D" w14:textId="77777777" w:rsidR="00723505" w:rsidRDefault="00723505" w:rsidP="0048482C">
      <w:pPr>
        <w:spacing w:after="0" w:line="240" w:lineRule="auto"/>
        <w:jc w:val="both"/>
        <w:rPr>
          <w:sz w:val="24"/>
          <w:szCs w:val="24"/>
          <w:lang w:val="es-ES" w:eastAsia="es-ES"/>
        </w:rPr>
      </w:pPr>
    </w:p>
    <w:p w14:paraId="3BEFA485" w14:textId="77777777" w:rsidR="00723505" w:rsidRDefault="00723505" w:rsidP="0048482C">
      <w:pPr>
        <w:spacing w:after="0" w:line="240" w:lineRule="auto"/>
        <w:jc w:val="both"/>
        <w:rPr>
          <w:sz w:val="24"/>
          <w:szCs w:val="24"/>
          <w:lang w:val="es-ES" w:eastAsia="es-ES"/>
        </w:rPr>
      </w:pPr>
      <w:r>
        <w:rPr>
          <w:sz w:val="24"/>
          <w:szCs w:val="24"/>
          <w:lang w:val="es-ES" w:eastAsia="es-ES"/>
        </w:rPr>
        <w:t xml:space="preserve">Sin embargo, como requisitos minimos: </w:t>
      </w:r>
    </w:p>
    <w:p w14:paraId="73874573" w14:textId="77777777" w:rsidR="00723505" w:rsidRDefault="00E978D6" w:rsidP="00E8744D">
      <w:pPr>
        <w:pStyle w:val="ListParagraph"/>
        <w:numPr>
          <w:ilvl w:val="0"/>
          <w:numId w:val="26"/>
        </w:numPr>
        <w:jc w:val="both"/>
        <w:rPr>
          <w:rFonts w:ascii="Calibri" w:eastAsia="Calibri" w:hAnsi="Calibri"/>
        </w:rPr>
      </w:pPr>
      <w:r w:rsidRPr="00723505">
        <w:rPr>
          <w:rFonts w:ascii="Calibri" w:eastAsia="Calibri" w:hAnsi="Calibri"/>
        </w:rPr>
        <w:t xml:space="preserve">FONCAP determinará las tasas de interés, guardando armonía con sus políticas, que consideran la sostenibilidad de la institución y su carácter de entidad de desarrollo. </w:t>
      </w:r>
    </w:p>
    <w:p w14:paraId="27804364" w14:textId="77777777" w:rsidR="0048482C" w:rsidRPr="00723505" w:rsidRDefault="00723505" w:rsidP="00E8744D">
      <w:pPr>
        <w:pStyle w:val="ListParagraph"/>
        <w:numPr>
          <w:ilvl w:val="0"/>
          <w:numId w:val="26"/>
        </w:numPr>
        <w:jc w:val="both"/>
        <w:rPr>
          <w:rFonts w:ascii="Calibri" w:eastAsia="Calibri" w:hAnsi="Calibri"/>
        </w:rPr>
      </w:pPr>
      <w:r>
        <w:rPr>
          <w:rFonts w:ascii="Calibri" w:eastAsia="Calibri" w:hAnsi="Calibri"/>
        </w:rPr>
        <w:lastRenderedPageBreak/>
        <w:t>D</w:t>
      </w:r>
      <w:r w:rsidR="00656750" w:rsidRPr="00723505">
        <w:rPr>
          <w:rFonts w:ascii="Calibri" w:eastAsia="Calibri" w:hAnsi="Calibri"/>
        </w:rPr>
        <w:t>eberán cumplir con  las siguientes características: (i) ser a tasa fija o variable, producto de la tasa de fondeo del programa más los márgenes de FONCAP y de las entidades financieras; (ii) los plazos serán acordes al proyecto financiado, sin que superen los 5 años; y (iii)  FONCAP asumirá los riesgos de las entidades financieras y éstas de sus préstamos.</w:t>
      </w:r>
      <w:r w:rsidR="0048482C" w:rsidRPr="00723505">
        <w:rPr>
          <w:rFonts w:ascii="Calibri" w:eastAsia="Calibri" w:hAnsi="Calibri"/>
        </w:rPr>
        <w:t xml:space="preserve"> FONCAP asume enteramente los riesgos de crédito de los Sub-préstamos a las IMF.</w:t>
      </w:r>
    </w:p>
    <w:p w14:paraId="7EA61B7B" w14:textId="77777777" w:rsidR="00B80C93" w:rsidRDefault="00B80C93" w:rsidP="00C57AB5">
      <w:pPr>
        <w:spacing w:after="0" w:line="240" w:lineRule="auto"/>
        <w:rPr>
          <w:rFonts w:asciiTheme="minorHAnsi" w:hAnsiTheme="minorHAnsi" w:cstheme="minorHAnsi"/>
          <w:sz w:val="24"/>
          <w:szCs w:val="24"/>
          <w:lang w:val="es-ES" w:eastAsia="es-ES"/>
        </w:rPr>
      </w:pPr>
    </w:p>
    <w:p w14:paraId="45793AD0" w14:textId="77777777" w:rsidR="00656750" w:rsidRDefault="00E978D6" w:rsidP="00656750">
      <w:pPr>
        <w:spacing w:after="0" w:line="240" w:lineRule="auto"/>
        <w:jc w:val="both"/>
        <w:rPr>
          <w:rFonts w:asciiTheme="minorHAnsi" w:hAnsiTheme="minorHAnsi" w:cstheme="minorHAnsi"/>
          <w:sz w:val="24"/>
          <w:szCs w:val="24"/>
          <w:lang w:val="es-MX" w:eastAsia="es-ES"/>
        </w:rPr>
      </w:pPr>
      <w:r w:rsidRPr="00E978D6">
        <w:rPr>
          <w:b/>
          <w:sz w:val="24"/>
          <w:szCs w:val="24"/>
          <w:lang w:val="es-ES" w:eastAsia="es-ES"/>
        </w:rPr>
        <w:t>Aspectos de ejecución.</w:t>
      </w:r>
      <w:r>
        <w:rPr>
          <w:sz w:val="24"/>
          <w:szCs w:val="24"/>
          <w:lang w:val="es-ES" w:eastAsia="es-ES"/>
        </w:rPr>
        <w:t xml:space="preserve"> </w:t>
      </w:r>
      <w:r w:rsidR="00656750">
        <w:rPr>
          <w:sz w:val="24"/>
          <w:szCs w:val="24"/>
          <w:lang w:val="es-ES" w:eastAsia="es-ES"/>
        </w:rPr>
        <w:t>FONCAP</w:t>
      </w:r>
      <w:r w:rsidR="00656750" w:rsidRPr="00656750">
        <w:rPr>
          <w:rFonts w:asciiTheme="minorHAnsi" w:hAnsiTheme="minorHAnsi" w:cstheme="minorHAnsi"/>
          <w:sz w:val="24"/>
          <w:szCs w:val="24"/>
          <w:lang w:val="es-MX" w:eastAsia="es-ES"/>
        </w:rPr>
        <w:t xml:space="preserve"> tendrá la responsabilidad de identificar y seleccionar las operaciones elegibles del Programa, según lo estipulado en este </w:t>
      </w:r>
      <w:r w:rsidR="00656750">
        <w:rPr>
          <w:rFonts w:asciiTheme="minorHAnsi" w:hAnsiTheme="minorHAnsi" w:cstheme="minorHAnsi"/>
          <w:sz w:val="24"/>
          <w:szCs w:val="24"/>
          <w:lang w:val="es-MX" w:eastAsia="es-ES"/>
        </w:rPr>
        <w:t xml:space="preserve">ROP </w:t>
      </w:r>
      <w:r w:rsidR="00656750" w:rsidRPr="00656750">
        <w:rPr>
          <w:rFonts w:asciiTheme="minorHAnsi" w:hAnsiTheme="minorHAnsi" w:cstheme="minorHAnsi"/>
          <w:sz w:val="24"/>
          <w:szCs w:val="24"/>
          <w:lang w:val="es-MX" w:eastAsia="es-ES"/>
        </w:rPr>
        <w:t xml:space="preserve">y sus propias políticas, programas y procesos. Las </w:t>
      </w:r>
      <w:r w:rsidR="00656750">
        <w:rPr>
          <w:rFonts w:asciiTheme="minorHAnsi" w:hAnsiTheme="minorHAnsi" w:cstheme="minorHAnsi"/>
          <w:sz w:val="24"/>
          <w:szCs w:val="24"/>
          <w:lang w:val="es-MX" w:eastAsia="es-ES"/>
        </w:rPr>
        <w:t>IMF</w:t>
      </w:r>
      <w:r w:rsidR="00656750" w:rsidRPr="00656750">
        <w:rPr>
          <w:rFonts w:asciiTheme="minorHAnsi" w:hAnsiTheme="minorHAnsi" w:cstheme="minorHAnsi"/>
          <w:sz w:val="24"/>
          <w:szCs w:val="24"/>
          <w:lang w:val="es-MX" w:eastAsia="es-ES"/>
        </w:rPr>
        <w:t xml:space="preserve"> elegibles tendrán la responsabilidad de poner a disposición de</w:t>
      </w:r>
      <w:r w:rsidR="00656750" w:rsidRPr="00656750">
        <w:rPr>
          <w:sz w:val="24"/>
          <w:szCs w:val="24"/>
          <w:lang w:val="es-ES" w:eastAsia="es-ES"/>
        </w:rPr>
        <w:t xml:space="preserve"> </w:t>
      </w:r>
      <w:r w:rsidR="00656750">
        <w:rPr>
          <w:sz w:val="24"/>
          <w:szCs w:val="24"/>
          <w:lang w:val="es-ES" w:eastAsia="es-ES"/>
        </w:rPr>
        <w:t>FONCAP</w:t>
      </w:r>
      <w:r w:rsidR="00656750" w:rsidRPr="00656750">
        <w:rPr>
          <w:rFonts w:asciiTheme="minorHAnsi" w:hAnsiTheme="minorHAnsi" w:cstheme="minorHAnsi"/>
          <w:sz w:val="24"/>
          <w:szCs w:val="24"/>
          <w:lang w:val="es-MX" w:eastAsia="es-ES"/>
        </w:rPr>
        <w:t xml:space="preserve"> la información relativa a cada operación para que</w:t>
      </w:r>
      <w:r w:rsidR="00656750" w:rsidRPr="00656750">
        <w:rPr>
          <w:sz w:val="24"/>
          <w:szCs w:val="24"/>
          <w:lang w:val="es-ES" w:eastAsia="es-ES"/>
        </w:rPr>
        <w:t xml:space="preserve"> </w:t>
      </w:r>
      <w:r w:rsidR="00656750">
        <w:rPr>
          <w:sz w:val="24"/>
          <w:szCs w:val="24"/>
          <w:lang w:val="es-ES" w:eastAsia="es-ES"/>
        </w:rPr>
        <w:t>FONCAP</w:t>
      </w:r>
      <w:r w:rsidR="00656750" w:rsidRPr="00656750">
        <w:rPr>
          <w:rFonts w:asciiTheme="minorHAnsi" w:hAnsiTheme="minorHAnsi" w:cstheme="minorHAnsi"/>
          <w:sz w:val="24"/>
          <w:szCs w:val="24"/>
          <w:lang w:val="es-MX" w:eastAsia="es-ES"/>
        </w:rPr>
        <w:t xml:space="preserve"> pueda identificar y seleccionar los créditos elegibles del Programa. De igual forma, las </w:t>
      </w:r>
      <w:r w:rsidR="00656750">
        <w:rPr>
          <w:rFonts w:asciiTheme="minorHAnsi" w:hAnsiTheme="minorHAnsi" w:cstheme="minorHAnsi"/>
          <w:sz w:val="24"/>
          <w:szCs w:val="24"/>
          <w:lang w:val="es-MX" w:eastAsia="es-ES"/>
        </w:rPr>
        <w:t xml:space="preserve">IMF </w:t>
      </w:r>
      <w:r w:rsidR="00656750" w:rsidRPr="00656750">
        <w:rPr>
          <w:rFonts w:asciiTheme="minorHAnsi" w:hAnsiTheme="minorHAnsi" w:cstheme="minorHAnsi"/>
          <w:sz w:val="24"/>
          <w:szCs w:val="24"/>
          <w:lang w:val="es-MX" w:eastAsia="es-ES"/>
        </w:rPr>
        <w:t>deberán  poner a disposición la información necesaria para la elaboración de reportes y para la atención de la auditoría</w:t>
      </w:r>
      <w:r w:rsidR="00656750">
        <w:rPr>
          <w:rFonts w:asciiTheme="minorHAnsi" w:hAnsiTheme="minorHAnsi" w:cstheme="minorHAnsi"/>
          <w:sz w:val="24"/>
          <w:szCs w:val="24"/>
          <w:lang w:val="es-MX" w:eastAsia="es-ES"/>
        </w:rPr>
        <w:t>.</w:t>
      </w:r>
    </w:p>
    <w:p w14:paraId="56D22496" w14:textId="77777777" w:rsidR="00B95794" w:rsidRDefault="00B95794" w:rsidP="00B95794">
      <w:pPr>
        <w:spacing w:after="0" w:line="240" w:lineRule="auto"/>
        <w:jc w:val="both"/>
        <w:rPr>
          <w:rFonts w:asciiTheme="minorHAnsi" w:hAnsiTheme="minorHAnsi" w:cstheme="minorHAnsi"/>
          <w:sz w:val="24"/>
          <w:szCs w:val="24"/>
          <w:lang w:val="es-MX" w:eastAsia="es-ES"/>
        </w:rPr>
      </w:pPr>
    </w:p>
    <w:p w14:paraId="56D28554"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 xml:space="preserve">En todos los contratos de Sub préstamos que otorgue </w:t>
      </w:r>
      <w:r>
        <w:rPr>
          <w:rFonts w:asciiTheme="minorHAnsi" w:hAnsiTheme="minorHAnsi" w:cstheme="minorHAnsi"/>
          <w:sz w:val="24"/>
          <w:szCs w:val="24"/>
          <w:lang w:val="es-MX" w:eastAsia="es-ES"/>
        </w:rPr>
        <w:t xml:space="preserve">FONCAP </w:t>
      </w:r>
      <w:r w:rsidRPr="00B95794">
        <w:rPr>
          <w:rFonts w:asciiTheme="minorHAnsi" w:hAnsiTheme="minorHAnsi" w:cstheme="minorHAnsi"/>
          <w:sz w:val="24"/>
          <w:szCs w:val="24"/>
          <w:lang w:val="es-MX" w:eastAsia="es-ES"/>
        </w:rPr>
        <w:t xml:space="preserve">con cargo al Programa, se deberán tener en consideración entre las condiciones que se deban exigir a cada Sub-prestatario, por lo menos, las siguientes: </w:t>
      </w:r>
    </w:p>
    <w:p w14:paraId="6551C480"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a.</w:t>
      </w:r>
      <w:r w:rsidRPr="00B95794">
        <w:rPr>
          <w:rFonts w:asciiTheme="minorHAnsi" w:hAnsiTheme="minorHAnsi" w:cstheme="minorHAnsi"/>
          <w:sz w:val="24"/>
          <w:szCs w:val="24"/>
          <w:lang w:val="es-MX" w:eastAsia="es-ES"/>
        </w:rPr>
        <w:tab/>
        <w:t xml:space="preserve">El compromiso del Sub-prestatario de utilizar los recursos exclusivamente para los objetivos del Programa; </w:t>
      </w:r>
    </w:p>
    <w:p w14:paraId="0CEC4C4D"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b.</w:t>
      </w:r>
      <w:r w:rsidRPr="00B95794">
        <w:rPr>
          <w:rFonts w:asciiTheme="minorHAnsi" w:hAnsiTheme="minorHAnsi" w:cstheme="minorHAnsi"/>
          <w:sz w:val="24"/>
          <w:szCs w:val="24"/>
          <w:lang w:val="es-MX" w:eastAsia="es-ES"/>
        </w:rPr>
        <w:tab/>
        <w:t xml:space="preserve">El compromiso del Sub-prestatario de proporcionar toda la información que </w:t>
      </w:r>
      <w:r>
        <w:rPr>
          <w:rFonts w:asciiTheme="minorHAnsi" w:hAnsiTheme="minorHAnsi" w:cstheme="minorHAnsi"/>
          <w:sz w:val="24"/>
          <w:szCs w:val="24"/>
          <w:lang w:val="es-MX" w:eastAsia="es-ES"/>
        </w:rPr>
        <w:t>FONCAP</w:t>
      </w:r>
      <w:r w:rsidRPr="00B95794">
        <w:rPr>
          <w:rFonts w:asciiTheme="minorHAnsi" w:hAnsiTheme="minorHAnsi" w:cstheme="minorHAnsi"/>
          <w:sz w:val="24"/>
          <w:szCs w:val="24"/>
          <w:lang w:val="es-MX" w:eastAsia="es-ES"/>
        </w:rPr>
        <w:t xml:space="preserve"> razonablemente le solicite en relación con el Programa y su situación financiera; así como el derecho de </w:t>
      </w:r>
      <w:r>
        <w:rPr>
          <w:rFonts w:asciiTheme="minorHAnsi" w:hAnsiTheme="minorHAnsi" w:cstheme="minorHAnsi"/>
          <w:sz w:val="24"/>
          <w:szCs w:val="24"/>
          <w:lang w:val="es-MX" w:eastAsia="es-ES"/>
        </w:rPr>
        <w:t>FONCAP</w:t>
      </w:r>
      <w:r w:rsidRPr="00B95794">
        <w:rPr>
          <w:rFonts w:asciiTheme="minorHAnsi" w:hAnsiTheme="minorHAnsi" w:cstheme="minorHAnsi"/>
          <w:sz w:val="24"/>
          <w:szCs w:val="24"/>
          <w:lang w:val="es-MX" w:eastAsia="es-ES"/>
        </w:rPr>
        <w:t xml:space="preserve"> y del Banco a examinar la documentación, bienes, lugares, trabajos y obras del respectivo proyecto; </w:t>
      </w:r>
    </w:p>
    <w:p w14:paraId="6037EBBB"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c.</w:t>
      </w:r>
      <w:r w:rsidRPr="00B95794">
        <w:rPr>
          <w:rFonts w:asciiTheme="minorHAnsi" w:hAnsiTheme="minorHAnsi" w:cstheme="minorHAnsi"/>
          <w:sz w:val="24"/>
          <w:szCs w:val="24"/>
          <w:lang w:val="es-MX" w:eastAsia="es-ES"/>
        </w:rPr>
        <w:tab/>
        <w:t xml:space="preserve">El Sub-prestatario deberá abrir una cuenta bancaria exclusiva para el manejo de los recursos que serán entregados por </w:t>
      </w:r>
      <w:r>
        <w:rPr>
          <w:rFonts w:asciiTheme="minorHAnsi" w:hAnsiTheme="minorHAnsi" w:cstheme="minorHAnsi"/>
          <w:sz w:val="24"/>
          <w:szCs w:val="24"/>
          <w:lang w:val="es-MX" w:eastAsia="es-ES"/>
        </w:rPr>
        <w:t xml:space="preserve">FONCAP </w:t>
      </w:r>
      <w:r w:rsidRPr="00B95794">
        <w:rPr>
          <w:rFonts w:asciiTheme="minorHAnsi" w:hAnsiTheme="minorHAnsi" w:cstheme="minorHAnsi"/>
          <w:sz w:val="24"/>
          <w:szCs w:val="24"/>
          <w:lang w:val="es-MX" w:eastAsia="es-ES"/>
        </w:rPr>
        <w:t>en calidad de anticipo.</w:t>
      </w:r>
    </w:p>
    <w:p w14:paraId="5C5B42E4"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d.</w:t>
      </w:r>
      <w:r w:rsidRPr="00B95794">
        <w:rPr>
          <w:rFonts w:asciiTheme="minorHAnsi" w:hAnsiTheme="minorHAnsi" w:cstheme="minorHAnsi"/>
          <w:sz w:val="24"/>
          <w:szCs w:val="24"/>
          <w:lang w:val="es-MX" w:eastAsia="es-ES"/>
        </w:rPr>
        <w:tab/>
        <w:t>El compromiso del Sub-prestatario de mantener la contabilidad y registros de los recursos que le sean otorgados bajo el contrato de Sub-préstamo a través de un centro de costos dentro de la contabilidad de la entidad;</w:t>
      </w:r>
    </w:p>
    <w:p w14:paraId="34221C7D" w14:textId="77777777" w:rsidR="00B95794" w:rsidRPr="00B95794" w:rsidRDefault="00B95794" w:rsidP="00B95794">
      <w:pPr>
        <w:spacing w:after="0" w:line="240" w:lineRule="auto"/>
        <w:jc w:val="both"/>
        <w:rPr>
          <w:rFonts w:asciiTheme="minorHAnsi" w:hAnsiTheme="minorHAnsi" w:cstheme="minorHAnsi"/>
          <w:sz w:val="24"/>
          <w:szCs w:val="24"/>
          <w:lang w:val="es-MX" w:eastAsia="es-ES"/>
        </w:rPr>
      </w:pPr>
      <w:r w:rsidRPr="00B95794">
        <w:rPr>
          <w:rFonts w:asciiTheme="minorHAnsi" w:hAnsiTheme="minorHAnsi" w:cstheme="minorHAnsi"/>
          <w:sz w:val="24"/>
          <w:szCs w:val="24"/>
          <w:lang w:val="es-MX" w:eastAsia="es-ES"/>
        </w:rPr>
        <w:t>e.</w:t>
      </w:r>
      <w:r w:rsidRPr="00B95794">
        <w:rPr>
          <w:rFonts w:asciiTheme="minorHAnsi" w:hAnsiTheme="minorHAnsi" w:cstheme="minorHAnsi"/>
          <w:sz w:val="24"/>
          <w:szCs w:val="24"/>
          <w:lang w:val="es-MX" w:eastAsia="es-ES"/>
        </w:rPr>
        <w:tab/>
        <w:t xml:space="preserve">El compromiso del Sub-prestatario de presentar informes mensuales de ejecución de operaciones y trimestralmente informes financieros que permitan la legalización de los recursos recibidos en calidad de anticipo, de acuerdo con los formatos requeridos por </w:t>
      </w:r>
      <w:r>
        <w:rPr>
          <w:rFonts w:asciiTheme="minorHAnsi" w:hAnsiTheme="minorHAnsi" w:cstheme="minorHAnsi"/>
          <w:sz w:val="24"/>
          <w:szCs w:val="24"/>
          <w:lang w:val="es-MX" w:eastAsia="es-ES"/>
        </w:rPr>
        <w:t>FONCAP</w:t>
      </w:r>
      <w:r w:rsidRPr="00B95794">
        <w:rPr>
          <w:rFonts w:asciiTheme="minorHAnsi" w:hAnsiTheme="minorHAnsi" w:cstheme="minorHAnsi"/>
          <w:sz w:val="24"/>
          <w:szCs w:val="24"/>
          <w:lang w:val="es-MX" w:eastAsia="es-ES"/>
        </w:rPr>
        <w:t xml:space="preserve">. </w:t>
      </w:r>
    </w:p>
    <w:p w14:paraId="1BABC453" w14:textId="77777777" w:rsidR="00B95794" w:rsidRDefault="00985405" w:rsidP="00B95794">
      <w:pPr>
        <w:spacing w:after="0" w:line="240" w:lineRule="auto"/>
        <w:jc w:val="both"/>
        <w:rPr>
          <w:rFonts w:asciiTheme="minorHAnsi" w:hAnsiTheme="minorHAnsi" w:cstheme="minorHAnsi"/>
          <w:sz w:val="24"/>
          <w:szCs w:val="24"/>
          <w:lang w:val="es-MX" w:eastAsia="es-ES"/>
        </w:rPr>
      </w:pPr>
      <w:r>
        <w:rPr>
          <w:rFonts w:asciiTheme="minorHAnsi" w:hAnsiTheme="minorHAnsi" w:cstheme="minorHAnsi"/>
          <w:sz w:val="24"/>
          <w:szCs w:val="24"/>
          <w:lang w:val="es-MX" w:eastAsia="es-ES"/>
        </w:rPr>
        <w:t>f</w:t>
      </w:r>
      <w:r w:rsidR="00B95794" w:rsidRPr="00B95794">
        <w:rPr>
          <w:rFonts w:asciiTheme="minorHAnsi" w:hAnsiTheme="minorHAnsi" w:cstheme="minorHAnsi"/>
          <w:sz w:val="24"/>
          <w:szCs w:val="24"/>
          <w:lang w:val="es-MX" w:eastAsia="es-ES"/>
        </w:rPr>
        <w:t>.</w:t>
      </w:r>
      <w:r w:rsidR="00B95794" w:rsidRPr="00B95794">
        <w:rPr>
          <w:rFonts w:asciiTheme="minorHAnsi" w:hAnsiTheme="minorHAnsi" w:cstheme="minorHAnsi"/>
          <w:sz w:val="24"/>
          <w:szCs w:val="24"/>
          <w:lang w:val="es-MX" w:eastAsia="es-ES"/>
        </w:rPr>
        <w:tab/>
        <w:t xml:space="preserve">El compromiso del Sub-prestatario Elegible de observar las disposiciones relativas al manejo ambiental y social detalladas en el </w:t>
      </w:r>
      <w:r w:rsidR="00B95794">
        <w:rPr>
          <w:rFonts w:asciiTheme="minorHAnsi" w:hAnsiTheme="minorHAnsi" w:cstheme="minorHAnsi"/>
          <w:sz w:val="24"/>
          <w:szCs w:val="24"/>
          <w:lang w:val="es-MX" w:eastAsia="es-ES"/>
        </w:rPr>
        <w:t>ROP.</w:t>
      </w:r>
    </w:p>
    <w:p w14:paraId="2797609F" w14:textId="77777777" w:rsidR="00FF5624" w:rsidRDefault="00FF5624" w:rsidP="00B95794">
      <w:pPr>
        <w:spacing w:after="0" w:line="240" w:lineRule="auto"/>
        <w:jc w:val="both"/>
        <w:rPr>
          <w:rFonts w:asciiTheme="minorHAnsi" w:hAnsiTheme="minorHAnsi" w:cstheme="minorHAnsi"/>
          <w:sz w:val="24"/>
          <w:szCs w:val="24"/>
          <w:lang w:val="es-MX" w:eastAsia="es-ES"/>
        </w:rPr>
      </w:pPr>
    </w:p>
    <w:p w14:paraId="75627DA3" w14:textId="77777777" w:rsidR="00FF5624" w:rsidRPr="00FF5624" w:rsidRDefault="00FF5624" w:rsidP="00E8744D">
      <w:pPr>
        <w:pStyle w:val="Heading1"/>
        <w:numPr>
          <w:ilvl w:val="0"/>
          <w:numId w:val="5"/>
        </w:numPr>
        <w:rPr>
          <w:rFonts w:asciiTheme="minorHAnsi" w:hAnsiTheme="minorHAnsi" w:cstheme="minorHAnsi"/>
          <w:sz w:val="28"/>
          <w:szCs w:val="28"/>
          <w:lang w:val="es-ES_tradnl"/>
        </w:rPr>
      </w:pPr>
      <w:bookmarkStart w:id="177" w:name="_Toc451440252"/>
      <w:r w:rsidRPr="00FF5624">
        <w:rPr>
          <w:rFonts w:asciiTheme="minorHAnsi" w:hAnsiTheme="minorHAnsi" w:cstheme="minorHAnsi"/>
          <w:sz w:val="28"/>
          <w:szCs w:val="28"/>
        </w:rPr>
        <w:t>Requerimientos Ambientales y Sociales</w:t>
      </w:r>
      <w:bookmarkEnd w:id="177"/>
    </w:p>
    <w:p w14:paraId="5E7ADA29" w14:textId="77777777" w:rsidR="00FF5624" w:rsidRDefault="00FF5624" w:rsidP="00B95794">
      <w:pPr>
        <w:spacing w:after="0" w:line="240" w:lineRule="auto"/>
        <w:jc w:val="both"/>
        <w:rPr>
          <w:rFonts w:asciiTheme="minorHAnsi" w:hAnsiTheme="minorHAnsi" w:cstheme="minorHAnsi"/>
          <w:sz w:val="24"/>
          <w:szCs w:val="24"/>
          <w:lang w:val="es-MX" w:eastAsia="es-ES"/>
        </w:rPr>
      </w:pPr>
    </w:p>
    <w:p w14:paraId="2A105227" w14:textId="77777777" w:rsidR="00FF5624" w:rsidRPr="00FF5624" w:rsidRDefault="00FF5624" w:rsidP="00FF5624">
      <w:pPr>
        <w:spacing w:after="0" w:line="240" w:lineRule="auto"/>
        <w:jc w:val="both"/>
        <w:rPr>
          <w:rFonts w:asciiTheme="minorHAnsi" w:hAnsiTheme="minorHAnsi" w:cstheme="minorHAnsi"/>
          <w:sz w:val="24"/>
          <w:szCs w:val="24"/>
          <w:lang w:val="es-ES_tradnl" w:eastAsia="es-ES"/>
        </w:rPr>
      </w:pPr>
      <w:bookmarkStart w:id="178" w:name="_Hlk490580623"/>
      <w:r w:rsidRPr="00FF5624">
        <w:rPr>
          <w:rFonts w:asciiTheme="minorHAnsi" w:hAnsiTheme="minorHAnsi" w:cstheme="minorHAnsi"/>
          <w:sz w:val="24"/>
          <w:szCs w:val="24"/>
          <w:lang w:val="es-ES_tradnl" w:eastAsia="es-ES"/>
        </w:rPr>
        <w:t>Durante toda la ejecución del Programa</w:t>
      </w:r>
      <w:r>
        <w:rPr>
          <w:rFonts w:asciiTheme="minorHAnsi" w:hAnsiTheme="minorHAnsi" w:cstheme="minorHAnsi"/>
          <w:sz w:val="24"/>
          <w:szCs w:val="24"/>
          <w:lang w:val="es-ES_tradnl" w:eastAsia="es-ES"/>
        </w:rPr>
        <w:t>, se deberá</w:t>
      </w:r>
      <w:r w:rsidRPr="00FF5624">
        <w:rPr>
          <w:rFonts w:asciiTheme="minorHAnsi" w:hAnsiTheme="minorHAnsi" w:cstheme="minorHAnsi"/>
          <w:sz w:val="24"/>
          <w:szCs w:val="24"/>
          <w:lang w:val="es-ES_tradnl" w:eastAsia="es-ES"/>
        </w:rPr>
        <w:t>:</w:t>
      </w:r>
    </w:p>
    <w:p w14:paraId="4F2C744A" w14:textId="77777777" w:rsidR="00FF5624" w:rsidRPr="00FF5624" w:rsidRDefault="00FF5624" w:rsidP="00E8744D">
      <w:pPr>
        <w:numPr>
          <w:ilvl w:val="0"/>
          <w:numId w:val="24"/>
        </w:numPr>
        <w:spacing w:after="0" w:line="240" w:lineRule="auto"/>
        <w:jc w:val="both"/>
        <w:rPr>
          <w:rFonts w:asciiTheme="minorHAnsi" w:hAnsiTheme="minorHAnsi" w:cstheme="minorHAnsi"/>
          <w:sz w:val="24"/>
          <w:szCs w:val="24"/>
          <w:lang w:val="es-ES_tradnl" w:eastAsia="es-ES"/>
        </w:rPr>
      </w:pPr>
      <w:bookmarkStart w:id="179" w:name="_Hlk491348997"/>
      <w:r w:rsidRPr="00FF5624">
        <w:rPr>
          <w:rFonts w:asciiTheme="minorHAnsi" w:hAnsiTheme="minorHAnsi" w:cstheme="minorHAnsi"/>
          <w:sz w:val="24"/>
          <w:szCs w:val="24"/>
          <w:lang w:val="es-ES_tradnl" w:eastAsia="es-ES"/>
        </w:rPr>
        <w:t>Cumplir con la legislación socioambiental aplicable</w:t>
      </w:r>
    </w:p>
    <w:p w14:paraId="777617B7" w14:textId="77777777" w:rsidR="00FF5624" w:rsidRPr="00FF5624" w:rsidRDefault="00FF5624" w:rsidP="00E8744D">
      <w:pPr>
        <w:numPr>
          <w:ilvl w:val="0"/>
          <w:numId w:val="24"/>
        </w:numPr>
        <w:spacing w:after="0" w:line="240" w:lineRule="auto"/>
        <w:jc w:val="both"/>
        <w:rPr>
          <w:rFonts w:asciiTheme="minorHAnsi" w:hAnsiTheme="minorHAnsi" w:cstheme="minorHAnsi"/>
          <w:sz w:val="24"/>
          <w:szCs w:val="24"/>
          <w:lang w:val="es-ES_tradnl" w:eastAsia="es-ES"/>
        </w:rPr>
      </w:pPr>
      <w:r w:rsidRPr="00FF5624">
        <w:rPr>
          <w:rFonts w:asciiTheme="minorHAnsi" w:hAnsiTheme="minorHAnsi" w:cstheme="minorHAnsi"/>
          <w:sz w:val="24"/>
          <w:szCs w:val="24"/>
          <w:lang w:val="es-ES_tradnl" w:eastAsia="es-ES"/>
        </w:rPr>
        <w:t xml:space="preserve">Asegurarse que los beneficiarios del programa (IMF y licitantes para el Componente 1) cumplen con la legislación socioambiental aplicable. </w:t>
      </w:r>
    </w:p>
    <w:p w14:paraId="0878C9B6" w14:textId="77777777" w:rsidR="00FF5624" w:rsidRPr="00FF5624" w:rsidRDefault="00FF5624" w:rsidP="00E8744D">
      <w:pPr>
        <w:numPr>
          <w:ilvl w:val="0"/>
          <w:numId w:val="24"/>
        </w:numPr>
        <w:spacing w:after="0" w:line="240" w:lineRule="auto"/>
        <w:jc w:val="both"/>
        <w:rPr>
          <w:rFonts w:asciiTheme="minorHAnsi" w:hAnsiTheme="minorHAnsi" w:cstheme="minorHAnsi"/>
          <w:sz w:val="24"/>
          <w:szCs w:val="24"/>
          <w:lang w:val="es-ES_tradnl" w:eastAsia="es-ES"/>
        </w:rPr>
      </w:pPr>
      <w:r w:rsidRPr="00FF5624">
        <w:rPr>
          <w:rFonts w:asciiTheme="minorHAnsi" w:hAnsiTheme="minorHAnsi" w:cstheme="minorHAnsi"/>
          <w:sz w:val="24"/>
          <w:szCs w:val="24"/>
          <w:lang w:val="es-ES_tradnl" w:eastAsia="es-ES"/>
        </w:rPr>
        <w:t xml:space="preserve">Requerir la aprobación del BID para cualquier cambio del ROP del Programa </w:t>
      </w:r>
    </w:p>
    <w:p w14:paraId="1CDEF2E8" w14:textId="77777777" w:rsidR="00FF5624" w:rsidRPr="00FF5624" w:rsidRDefault="00FF5624" w:rsidP="00E8744D">
      <w:pPr>
        <w:numPr>
          <w:ilvl w:val="0"/>
          <w:numId w:val="24"/>
        </w:numPr>
        <w:spacing w:after="0" w:line="240" w:lineRule="auto"/>
        <w:jc w:val="both"/>
        <w:rPr>
          <w:rFonts w:asciiTheme="minorHAnsi" w:hAnsiTheme="minorHAnsi" w:cstheme="minorHAnsi"/>
          <w:sz w:val="24"/>
          <w:szCs w:val="24"/>
          <w:lang w:val="es-ES_tradnl" w:eastAsia="es-ES"/>
        </w:rPr>
      </w:pPr>
      <w:bookmarkStart w:id="180" w:name="_Hlk491348429"/>
      <w:r w:rsidRPr="00FF5624">
        <w:rPr>
          <w:rFonts w:asciiTheme="minorHAnsi" w:hAnsiTheme="minorHAnsi" w:cstheme="minorHAnsi"/>
          <w:sz w:val="24"/>
          <w:szCs w:val="24"/>
          <w:lang w:val="es-ES_tradnl" w:eastAsia="es-ES"/>
        </w:rPr>
        <w:lastRenderedPageBreak/>
        <w:t xml:space="preserve">No financiar ninguna de las actividades de la Lista de Exclusión del BID con recursos del Programa, </w:t>
      </w:r>
    </w:p>
    <w:bookmarkEnd w:id="180"/>
    <w:p w14:paraId="30197311" w14:textId="77777777" w:rsidR="00FF5624" w:rsidRPr="00FF5624" w:rsidRDefault="00FF5624" w:rsidP="00E8744D">
      <w:pPr>
        <w:numPr>
          <w:ilvl w:val="0"/>
          <w:numId w:val="24"/>
        </w:numPr>
        <w:spacing w:after="0" w:line="240" w:lineRule="auto"/>
        <w:jc w:val="both"/>
        <w:rPr>
          <w:rFonts w:asciiTheme="minorHAnsi" w:hAnsiTheme="minorHAnsi" w:cstheme="minorHAnsi"/>
          <w:sz w:val="24"/>
          <w:szCs w:val="24"/>
          <w:lang w:val="es-ES_tradnl" w:eastAsia="es-ES"/>
        </w:rPr>
      </w:pPr>
      <w:r w:rsidRPr="00FF5624">
        <w:rPr>
          <w:rFonts w:asciiTheme="minorHAnsi" w:hAnsiTheme="minorHAnsi" w:cstheme="minorHAnsi"/>
          <w:sz w:val="24"/>
          <w:szCs w:val="24"/>
          <w:lang w:val="es-ES_tradnl" w:eastAsia="es-ES"/>
        </w:rPr>
        <w:t xml:space="preserve">Presentar, en el informe de progreso, cualquier información socioambiental relevante.  </w:t>
      </w:r>
      <w:bookmarkEnd w:id="179"/>
    </w:p>
    <w:bookmarkEnd w:id="178"/>
    <w:p w14:paraId="5B602346" w14:textId="77777777" w:rsidR="00FF5624" w:rsidRPr="00FF5624" w:rsidRDefault="00FF5624" w:rsidP="00B95794">
      <w:pPr>
        <w:spacing w:after="0" w:line="240" w:lineRule="auto"/>
        <w:jc w:val="both"/>
        <w:rPr>
          <w:rFonts w:asciiTheme="minorHAnsi" w:hAnsiTheme="minorHAnsi" w:cstheme="minorHAnsi"/>
          <w:sz w:val="24"/>
          <w:szCs w:val="24"/>
          <w:lang w:val="es-ES_tradnl" w:eastAsia="es-ES"/>
        </w:rPr>
      </w:pPr>
    </w:p>
    <w:p w14:paraId="123614F1" w14:textId="77777777" w:rsidR="001541D3" w:rsidRPr="00FF5624" w:rsidRDefault="00FF5624" w:rsidP="00E8744D">
      <w:pPr>
        <w:pStyle w:val="Heading1"/>
        <w:numPr>
          <w:ilvl w:val="0"/>
          <w:numId w:val="5"/>
        </w:numPr>
        <w:rPr>
          <w:rFonts w:asciiTheme="minorHAnsi" w:hAnsiTheme="minorHAnsi" w:cstheme="minorHAnsi"/>
          <w:sz w:val="28"/>
          <w:szCs w:val="28"/>
        </w:rPr>
      </w:pPr>
      <w:bookmarkStart w:id="181" w:name="_Toc243304369"/>
      <w:bookmarkStart w:id="182" w:name="_Toc243304373"/>
      <w:bookmarkStart w:id="183" w:name="_Toc311526068"/>
      <w:bookmarkStart w:id="184" w:name="_Toc324196909"/>
      <w:bookmarkEnd w:id="181"/>
      <w:bookmarkEnd w:id="182"/>
      <w:r w:rsidRPr="00FF5624">
        <w:rPr>
          <w:rFonts w:asciiTheme="minorHAnsi" w:hAnsiTheme="minorHAnsi" w:cstheme="minorHAnsi"/>
          <w:sz w:val="28"/>
          <w:szCs w:val="28"/>
        </w:rPr>
        <w:t>Gestión  Financiera - Contable</w:t>
      </w:r>
      <w:bookmarkEnd w:id="183"/>
      <w:bookmarkEnd w:id="184"/>
    </w:p>
    <w:p w14:paraId="3FCE133B" w14:textId="77777777" w:rsidR="00504BF3" w:rsidRPr="00C57AB5" w:rsidRDefault="00504BF3" w:rsidP="00C57AB5">
      <w:pPr>
        <w:spacing w:after="0" w:line="240" w:lineRule="auto"/>
        <w:rPr>
          <w:rFonts w:asciiTheme="minorHAnsi" w:hAnsiTheme="minorHAnsi" w:cstheme="minorHAnsi"/>
          <w:lang w:val="es-ES" w:eastAsia="es-ES"/>
        </w:rPr>
      </w:pPr>
      <w:bookmarkStart w:id="185" w:name="_Toc189829486"/>
    </w:p>
    <w:p w14:paraId="5FC48251" w14:textId="77777777" w:rsidR="00504BF3" w:rsidRDefault="00504BF3" w:rsidP="00C57AB5">
      <w:pPr>
        <w:spacing w:after="0" w:line="240" w:lineRule="auto"/>
        <w:jc w:val="both"/>
        <w:rPr>
          <w:rFonts w:asciiTheme="minorHAnsi" w:hAnsiTheme="minorHAnsi" w:cstheme="minorHAnsi"/>
          <w:sz w:val="24"/>
          <w:szCs w:val="24"/>
        </w:rPr>
      </w:pPr>
      <w:r w:rsidRPr="00C57AB5">
        <w:rPr>
          <w:rFonts w:asciiTheme="minorHAnsi" w:hAnsiTheme="minorHAnsi" w:cstheme="minorHAnsi"/>
          <w:sz w:val="24"/>
          <w:szCs w:val="24"/>
          <w:lang w:val="es-ES_tradnl"/>
        </w:rPr>
        <w:t xml:space="preserve">En este capítulo del </w:t>
      </w:r>
      <w:r w:rsidR="00596361">
        <w:rPr>
          <w:rFonts w:asciiTheme="minorHAnsi" w:hAnsiTheme="minorHAnsi" w:cstheme="minorHAnsi"/>
          <w:sz w:val="24"/>
          <w:szCs w:val="24"/>
          <w:lang w:val="es-ES_tradnl"/>
        </w:rPr>
        <w:t>ROP</w:t>
      </w:r>
      <w:r w:rsidR="00596361" w:rsidRPr="00C57AB5">
        <w:rPr>
          <w:rFonts w:asciiTheme="minorHAnsi" w:hAnsiTheme="minorHAnsi" w:cstheme="minorHAnsi"/>
          <w:sz w:val="24"/>
          <w:szCs w:val="24"/>
          <w:lang w:val="es-ES_tradnl"/>
        </w:rPr>
        <w:t xml:space="preserve"> </w:t>
      </w:r>
      <w:r w:rsidRPr="00C57AB5">
        <w:rPr>
          <w:rFonts w:asciiTheme="minorHAnsi" w:hAnsiTheme="minorHAnsi" w:cstheme="minorHAnsi"/>
          <w:sz w:val="24"/>
          <w:szCs w:val="24"/>
          <w:lang w:val="es-ES_tradnl"/>
        </w:rPr>
        <w:t xml:space="preserve">se describen las responsabilidades, políticas y  procedimientos para la adecuada administración de los recursos del </w:t>
      </w:r>
      <w:r w:rsidRPr="00C57AB5">
        <w:rPr>
          <w:rFonts w:asciiTheme="minorHAnsi" w:hAnsiTheme="minorHAnsi" w:cstheme="minorHAnsi"/>
          <w:sz w:val="24"/>
          <w:szCs w:val="24"/>
        </w:rPr>
        <w:t xml:space="preserve">Programa. </w:t>
      </w:r>
    </w:p>
    <w:p w14:paraId="10C84CFF" w14:textId="77777777" w:rsidR="00B80C93" w:rsidRDefault="00B80C93" w:rsidP="00C57AB5">
      <w:pPr>
        <w:spacing w:after="0" w:line="240" w:lineRule="auto"/>
        <w:jc w:val="both"/>
        <w:rPr>
          <w:rFonts w:asciiTheme="minorHAnsi" w:hAnsiTheme="minorHAnsi" w:cstheme="minorHAnsi"/>
          <w:sz w:val="24"/>
          <w:szCs w:val="24"/>
          <w:lang w:val="es-ES_tradnl"/>
        </w:rPr>
      </w:pPr>
    </w:p>
    <w:p w14:paraId="6F3E97DE" w14:textId="77777777" w:rsidR="00105980" w:rsidRDefault="00105980" w:rsidP="00C57AB5">
      <w:pPr>
        <w:spacing w:after="0" w:line="240" w:lineRule="auto"/>
        <w:jc w:val="both"/>
        <w:rPr>
          <w:rFonts w:asciiTheme="minorHAnsi" w:hAnsiTheme="minorHAnsi" w:cstheme="minorHAnsi"/>
          <w:sz w:val="24"/>
          <w:szCs w:val="24"/>
          <w:lang w:val="es-ES_tradnl"/>
        </w:rPr>
      </w:pPr>
      <w:r w:rsidRPr="00105980">
        <w:rPr>
          <w:rFonts w:asciiTheme="minorHAnsi" w:hAnsiTheme="minorHAnsi" w:cstheme="minorHAnsi"/>
          <w:sz w:val="24"/>
          <w:szCs w:val="24"/>
          <w:lang w:val="es-ES_tradnl"/>
        </w:rPr>
        <w:t xml:space="preserve">Los </w:t>
      </w:r>
      <w:r w:rsidRPr="00105980">
        <w:rPr>
          <w:rFonts w:asciiTheme="minorHAnsi" w:hAnsiTheme="minorHAnsi" w:cstheme="minorHAnsi"/>
          <w:sz w:val="24"/>
          <w:szCs w:val="24"/>
          <w:lang w:val="es-ES"/>
        </w:rPr>
        <w:t>sistemas</w:t>
      </w:r>
      <w:r w:rsidRPr="00105980">
        <w:rPr>
          <w:rFonts w:asciiTheme="minorHAnsi" w:hAnsiTheme="minorHAnsi" w:cstheme="minorHAnsi"/>
          <w:sz w:val="24"/>
          <w:szCs w:val="24"/>
          <w:lang w:val="es-ES_tradnl"/>
        </w:rPr>
        <w:t xml:space="preserve"> fiduciarios utilizados para la ejecución del programa son el Presupuestario a través del Sistema Integrado de Información Financiera (SIDIF) y el Sistema de Información y Contabilidad (UEPEX</w:t>
      </w:r>
      <w:r>
        <w:rPr>
          <w:rFonts w:asciiTheme="minorHAnsi" w:hAnsiTheme="minorHAnsi" w:cstheme="minorHAnsi"/>
          <w:sz w:val="24"/>
          <w:szCs w:val="24"/>
          <w:lang w:val="es-ES_tradnl"/>
        </w:rPr>
        <w:t>).</w:t>
      </w:r>
    </w:p>
    <w:p w14:paraId="4F55198E" w14:textId="77777777" w:rsidR="00105980" w:rsidRDefault="00105980" w:rsidP="00C57AB5">
      <w:pPr>
        <w:spacing w:after="0" w:line="240" w:lineRule="auto"/>
        <w:jc w:val="both"/>
        <w:rPr>
          <w:rFonts w:asciiTheme="minorHAnsi" w:hAnsiTheme="minorHAnsi" w:cstheme="minorHAnsi"/>
          <w:sz w:val="24"/>
          <w:szCs w:val="24"/>
          <w:lang w:val="es-ES_tradnl"/>
        </w:rPr>
      </w:pPr>
    </w:p>
    <w:p w14:paraId="0EC24ACF" w14:textId="77777777" w:rsidR="000125D4" w:rsidRPr="000125D4" w:rsidRDefault="000125D4" w:rsidP="000125D4">
      <w:pPr>
        <w:spacing w:after="0" w:line="240" w:lineRule="auto"/>
        <w:jc w:val="both"/>
        <w:rPr>
          <w:rFonts w:asciiTheme="minorHAnsi" w:hAnsiTheme="minorHAnsi" w:cstheme="minorHAnsi"/>
          <w:sz w:val="24"/>
          <w:szCs w:val="24"/>
          <w:lang w:val="es-ES"/>
        </w:rPr>
      </w:pPr>
      <w:r w:rsidRPr="000125D4">
        <w:rPr>
          <w:rFonts w:asciiTheme="minorHAnsi" w:hAnsiTheme="minorHAnsi" w:cstheme="minorHAnsi"/>
          <w:b/>
          <w:sz w:val="24"/>
          <w:szCs w:val="24"/>
          <w:lang w:val="es-ES"/>
        </w:rPr>
        <w:t>Adquisiciones</w:t>
      </w:r>
      <w:r w:rsidRPr="000125D4">
        <w:rPr>
          <w:rFonts w:asciiTheme="minorHAnsi" w:hAnsiTheme="minorHAnsi" w:cstheme="minorHAnsi"/>
          <w:sz w:val="24"/>
          <w:szCs w:val="24"/>
          <w:lang w:val="es-ES"/>
        </w:rPr>
        <w:t xml:space="preserve">. Se aplicarán las Políticas para la Adquisición de Obras y Bienes Financiados por el BID (GN-2349-9) y las Políticas para la Selección y Contratación de Consultores Financiados por el BID (GN-2350-9) para todas las adquisiciones realizadas por el OE a través de la </w:t>
      </w:r>
      <w:r w:rsidRPr="000125D4">
        <w:rPr>
          <w:rFonts w:asciiTheme="minorHAnsi" w:hAnsiTheme="minorHAnsi" w:cstheme="minorHAnsi"/>
          <w:sz w:val="24"/>
          <w:szCs w:val="24"/>
          <w:lang w:val="es-ES_tradnl"/>
        </w:rPr>
        <w:t>UCP</w:t>
      </w:r>
      <w:r w:rsidRPr="000125D4">
        <w:rPr>
          <w:rFonts w:asciiTheme="minorHAnsi" w:hAnsiTheme="minorHAnsi" w:cstheme="minorHAnsi"/>
          <w:sz w:val="24"/>
          <w:szCs w:val="24"/>
          <w:lang w:val="es-ES"/>
        </w:rPr>
        <w:t>. Para la ejecución de las adquisiciones realizada en el marco de los</w:t>
      </w:r>
      <w:r w:rsidR="00985405" w:rsidRPr="00985405">
        <w:rPr>
          <w:rFonts w:asciiTheme="minorHAnsi" w:hAnsiTheme="minorHAnsi" w:cstheme="minorHAnsi"/>
          <w:b/>
          <w:sz w:val="24"/>
          <w:szCs w:val="24"/>
          <w:lang w:val="es-ES_tradnl"/>
        </w:rPr>
        <w:t xml:space="preserve"> </w:t>
      </w:r>
      <w:r w:rsidR="00985405" w:rsidRPr="00985405">
        <w:rPr>
          <w:rFonts w:asciiTheme="minorHAnsi" w:hAnsiTheme="minorHAnsi" w:cstheme="minorHAnsi"/>
          <w:sz w:val="24"/>
          <w:szCs w:val="24"/>
          <w:lang w:val="es-ES_tradnl"/>
        </w:rPr>
        <w:t>Aportes No Reembolsables</w:t>
      </w:r>
      <w:r w:rsidRPr="000125D4">
        <w:rPr>
          <w:rFonts w:asciiTheme="minorHAnsi" w:hAnsiTheme="minorHAnsi" w:cstheme="minorHAnsi"/>
          <w:sz w:val="24"/>
          <w:szCs w:val="24"/>
          <w:lang w:val="es-ES"/>
        </w:rPr>
        <w:t xml:space="preserve"> </w:t>
      </w:r>
      <w:r w:rsidR="00985405">
        <w:rPr>
          <w:rFonts w:asciiTheme="minorHAnsi" w:hAnsiTheme="minorHAnsi" w:cstheme="minorHAnsi"/>
          <w:sz w:val="24"/>
          <w:szCs w:val="24"/>
          <w:lang w:val="es-ES"/>
        </w:rPr>
        <w:t>(</w:t>
      </w:r>
      <w:r w:rsidRPr="000125D4">
        <w:rPr>
          <w:rFonts w:asciiTheme="minorHAnsi" w:hAnsiTheme="minorHAnsi" w:cstheme="minorHAnsi"/>
          <w:sz w:val="24"/>
          <w:szCs w:val="24"/>
          <w:lang w:val="es-ES"/>
        </w:rPr>
        <w:t>ANRs</w:t>
      </w:r>
      <w:r w:rsidR="00985405">
        <w:rPr>
          <w:rFonts w:asciiTheme="minorHAnsi" w:hAnsiTheme="minorHAnsi" w:cstheme="minorHAnsi"/>
          <w:sz w:val="24"/>
          <w:szCs w:val="24"/>
          <w:lang w:val="es-ES"/>
        </w:rPr>
        <w:t xml:space="preserve">), </w:t>
      </w:r>
      <w:r w:rsidRPr="000125D4">
        <w:rPr>
          <w:rFonts w:asciiTheme="minorHAnsi" w:hAnsiTheme="minorHAnsi" w:cstheme="minorHAnsi"/>
          <w:sz w:val="24"/>
          <w:szCs w:val="24"/>
          <w:lang w:val="es-ES"/>
        </w:rPr>
        <w:t xml:space="preserve">corresponderá la aplicación de las prácticas comerciales usuales, bajo la supervisión de la </w:t>
      </w:r>
      <w:r w:rsidRPr="000125D4">
        <w:rPr>
          <w:rFonts w:asciiTheme="minorHAnsi" w:hAnsiTheme="minorHAnsi" w:cstheme="minorHAnsi"/>
          <w:sz w:val="24"/>
          <w:szCs w:val="24"/>
          <w:lang w:val="es-ES_tradnl"/>
        </w:rPr>
        <w:t>UCP</w:t>
      </w:r>
      <w:r w:rsidRPr="000125D4">
        <w:rPr>
          <w:rFonts w:asciiTheme="minorHAnsi" w:hAnsiTheme="minorHAnsi" w:cstheme="minorHAnsi"/>
          <w:sz w:val="24"/>
          <w:szCs w:val="24"/>
          <w:lang w:val="es-ES"/>
        </w:rPr>
        <w:t>.</w:t>
      </w:r>
    </w:p>
    <w:p w14:paraId="4EBCA218" w14:textId="77777777" w:rsidR="000125D4" w:rsidRDefault="000125D4" w:rsidP="000125D4">
      <w:pPr>
        <w:spacing w:after="0" w:line="240" w:lineRule="auto"/>
        <w:jc w:val="both"/>
        <w:rPr>
          <w:rFonts w:asciiTheme="minorHAnsi" w:hAnsiTheme="minorHAnsi" w:cstheme="minorHAnsi"/>
          <w:b/>
          <w:sz w:val="24"/>
          <w:szCs w:val="24"/>
          <w:lang w:val="es-ES_tradnl"/>
        </w:rPr>
      </w:pPr>
    </w:p>
    <w:p w14:paraId="35A343B8"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Gestión de desembolsos.</w:t>
      </w:r>
      <w:r w:rsidRPr="000125D4">
        <w:rPr>
          <w:rFonts w:asciiTheme="minorHAnsi" w:hAnsiTheme="minorHAnsi" w:cstheme="minorHAnsi"/>
          <w:sz w:val="24"/>
          <w:szCs w:val="24"/>
          <w:lang w:val="es-ES_tradnl"/>
        </w:rPr>
        <w:t xml:space="preserve"> El ejecutor deberá presentar la planificación financiera del programa de acuerdo con los lineamientos acordados entre el Banco y el país. El porcentaje mínimo que se requerirá para la reposición de anticipo de fondos será del 80%.</w:t>
      </w:r>
    </w:p>
    <w:p w14:paraId="5369AAE1"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17CD6D0E"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 xml:space="preserve">Tipo de Cambio. </w:t>
      </w:r>
      <w:r w:rsidRPr="000125D4">
        <w:rPr>
          <w:rFonts w:asciiTheme="minorHAnsi" w:hAnsiTheme="minorHAnsi" w:cstheme="minorHAnsi"/>
          <w:sz w:val="24"/>
          <w:szCs w:val="24"/>
          <w:lang w:val="es-ES_tradnl"/>
        </w:rPr>
        <w:t>Para efectos de lo estipulado en el Artículo 4.10 de las Normas Generales, las Partes acuerdan que la tasa de cambio aplicable será la indicada en el inciso (b) (i) de dicho Artículo. Para efectos de determinar la equivalencia de gastos incurridos en Moneda Local con cargo al Aporte Local, la tasa de cambio acordada será la tasa de cambio del primer día hábil del mes del pago en que el Prestatario, el OE o cualquier otra persona natural o jurídica a quien se le haya delegado la facultad de efectuar gastos, efectúe los pagos respectivos en favor del contratista, proveedor o beneficiario. Para efectos de determinar la equivalencia del reembolso de gastos con cargo al Préstamo, la tasa de cambio acordada será la tasa de cambio del primer día hábil del mes de la presentación de la solicitud de reembolso.</w:t>
      </w:r>
      <w:r w:rsidRPr="000125D4">
        <w:rPr>
          <w:rFonts w:asciiTheme="minorHAnsi" w:hAnsiTheme="minorHAnsi" w:cstheme="minorHAnsi"/>
          <w:b/>
          <w:bCs/>
          <w:sz w:val="24"/>
          <w:szCs w:val="24"/>
          <w:lang w:val="es-ES_tradnl"/>
        </w:rPr>
        <w:t xml:space="preserve"> </w:t>
      </w:r>
      <w:r w:rsidRPr="000125D4">
        <w:rPr>
          <w:rFonts w:asciiTheme="minorHAnsi" w:hAnsiTheme="minorHAnsi" w:cstheme="minorHAnsi"/>
          <w:sz w:val="24"/>
          <w:szCs w:val="24"/>
          <w:lang w:val="es-ES_tradnl"/>
        </w:rPr>
        <w:t>Adicionalmente, debido a las limitaciones del sistema UEPEX, para determinar la equivalencia de gastos incurridos en Moneda Local con cargo a los recursos del Préstamo y del Aporte Local se utilizará la tasa de cambio indicada en el inciso (b) (i) del Artículo 4.10 de las Normas Generales.</w:t>
      </w:r>
    </w:p>
    <w:p w14:paraId="3EDD7A78"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51B012E7"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Supervisión Financiera</w:t>
      </w:r>
      <w:r w:rsidRPr="000125D4">
        <w:rPr>
          <w:rFonts w:asciiTheme="minorHAnsi" w:hAnsiTheme="minorHAnsi" w:cstheme="minorHAnsi"/>
          <w:b/>
          <w:sz w:val="24"/>
          <w:szCs w:val="24"/>
          <w:lang w:val="en-US"/>
        </w:rPr>
        <w:t>:</w:t>
      </w:r>
    </w:p>
    <w:p w14:paraId="6AD2026E" w14:textId="77777777" w:rsidR="000125D4" w:rsidRPr="000125D4" w:rsidRDefault="000125D4" w:rsidP="00E8744D">
      <w:pPr>
        <w:numPr>
          <w:ilvl w:val="1"/>
          <w:numId w:val="19"/>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A fin de tener flexibilidad y poder ajustar la cartera de préstamos a la capacidad de auditoria oportuna de la Auditoria General de la Nación </w:t>
      </w:r>
      <w:r w:rsidRPr="000125D4">
        <w:rPr>
          <w:rFonts w:asciiTheme="minorHAnsi" w:hAnsiTheme="minorHAnsi" w:cstheme="minorHAnsi"/>
          <w:sz w:val="24"/>
          <w:szCs w:val="24"/>
          <w:lang w:val="es-ES_tradnl"/>
        </w:rPr>
        <w:lastRenderedPageBreak/>
        <w:t>Argentina (AGN) se recomienda que tanto la AGN como firmas auditoras independientes sean elegibles contractualmente para realizar las auditorías del programa.</w:t>
      </w:r>
    </w:p>
    <w:p w14:paraId="15B41FFD" w14:textId="77777777" w:rsidR="000125D4" w:rsidRPr="000125D4" w:rsidRDefault="000125D4" w:rsidP="00E8744D">
      <w:pPr>
        <w:numPr>
          <w:ilvl w:val="1"/>
          <w:numId w:val="19"/>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El informe que se requerirá para realizar la supervisión financiera adicional a los requeridos para tramitar desembolsos y el de auditoría anual, será el plan financiero</w:t>
      </w:r>
      <w:r w:rsidRPr="000125D4">
        <w:rPr>
          <w:rFonts w:asciiTheme="minorHAnsi" w:hAnsiTheme="minorHAnsi" w:cstheme="minorHAnsi"/>
          <w:b/>
          <w:sz w:val="24"/>
          <w:szCs w:val="24"/>
          <w:lang w:val="es-ES_tradnl"/>
        </w:rPr>
        <w:t>.</w:t>
      </w:r>
    </w:p>
    <w:p w14:paraId="3A3BE149" w14:textId="77777777" w:rsidR="000125D4" w:rsidRDefault="000125D4" w:rsidP="000125D4">
      <w:pPr>
        <w:spacing w:after="0" w:line="240" w:lineRule="auto"/>
        <w:jc w:val="both"/>
        <w:rPr>
          <w:rFonts w:asciiTheme="minorHAnsi" w:hAnsiTheme="minorHAnsi" w:cstheme="minorHAnsi"/>
          <w:b/>
          <w:sz w:val="24"/>
          <w:szCs w:val="24"/>
          <w:lang w:val="es-ES_tradnl"/>
        </w:rPr>
      </w:pPr>
    </w:p>
    <w:p w14:paraId="263E8616" w14:textId="77777777" w:rsidR="000125D4" w:rsidRPr="00FF5624" w:rsidRDefault="000125D4" w:rsidP="00E8744D">
      <w:pPr>
        <w:pStyle w:val="Heading1"/>
        <w:numPr>
          <w:ilvl w:val="0"/>
          <w:numId w:val="5"/>
        </w:numPr>
        <w:rPr>
          <w:rFonts w:asciiTheme="minorHAnsi" w:hAnsiTheme="minorHAnsi" w:cstheme="minorHAnsi"/>
          <w:sz w:val="28"/>
          <w:szCs w:val="28"/>
        </w:rPr>
      </w:pPr>
      <w:r w:rsidRPr="00FF5624">
        <w:rPr>
          <w:rFonts w:asciiTheme="minorHAnsi" w:hAnsiTheme="minorHAnsi" w:cstheme="minorHAnsi"/>
          <w:sz w:val="28"/>
          <w:szCs w:val="28"/>
        </w:rPr>
        <w:t>Acuerdos y Requisitos para la Ejecución de las Adquisiciones</w:t>
      </w:r>
    </w:p>
    <w:p w14:paraId="47AAC84B" w14:textId="77777777" w:rsidR="000125D4" w:rsidRDefault="000125D4" w:rsidP="000125D4">
      <w:pPr>
        <w:spacing w:after="0" w:line="240" w:lineRule="auto"/>
        <w:jc w:val="both"/>
        <w:rPr>
          <w:rFonts w:asciiTheme="minorHAnsi" w:hAnsiTheme="minorHAnsi" w:cstheme="minorHAnsi"/>
          <w:sz w:val="24"/>
          <w:szCs w:val="24"/>
          <w:lang w:val="es-ES_tradnl"/>
        </w:rPr>
      </w:pPr>
    </w:p>
    <w:p w14:paraId="7DD2B7F7"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Los Acuerdos y Requisitos Fiduciarios en Adquisiciones establecen las disposiciones que aplican para la ejecución de todas las adquisiciones previstas en el proyecto.</w:t>
      </w:r>
    </w:p>
    <w:p w14:paraId="17E86CF4" w14:textId="77777777" w:rsidR="000125D4" w:rsidRDefault="000125D4" w:rsidP="000125D4">
      <w:pPr>
        <w:tabs>
          <w:tab w:val="left" w:pos="720"/>
        </w:tabs>
        <w:spacing w:after="0" w:line="240" w:lineRule="auto"/>
        <w:jc w:val="both"/>
        <w:rPr>
          <w:rFonts w:asciiTheme="minorHAnsi" w:hAnsiTheme="minorHAnsi" w:cstheme="minorHAnsi"/>
          <w:b/>
          <w:sz w:val="24"/>
          <w:szCs w:val="24"/>
          <w:lang w:val="es-ES_tradnl"/>
        </w:rPr>
      </w:pPr>
      <w:bookmarkStart w:id="186" w:name="_Toc244412081"/>
    </w:p>
    <w:p w14:paraId="4AA8879C" w14:textId="77777777" w:rsidR="000125D4" w:rsidRPr="000125D4" w:rsidRDefault="000125D4" w:rsidP="000125D4">
      <w:pPr>
        <w:tabs>
          <w:tab w:val="left" w:pos="720"/>
        </w:tabs>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Ejecución de las Adquisiciones</w:t>
      </w:r>
      <w:bookmarkEnd w:id="186"/>
      <w:r>
        <w:rPr>
          <w:rFonts w:asciiTheme="minorHAnsi" w:hAnsiTheme="minorHAnsi" w:cstheme="minorHAnsi"/>
          <w:b/>
          <w:sz w:val="24"/>
          <w:szCs w:val="24"/>
          <w:lang w:val="es-ES_tradnl"/>
        </w:rPr>
        <w:t xml:space="preserve">. </w:t>
      </w:r>
      <w:r w:rsidRPr="000125D4">
        <w:rPr>
          <w:rFonts w:asciiTheme="minorHAnsi" w:hAnsiTheme="minorHAnsi" w:cstheme="minorHAnsi"/>
          <w:sz w:val="24"/>
          <w:szCs w:val="24"/>
          <w:lang w:val="es-ES_tradnl"/>
        </w:rPr>
        <w:t>Las adquisiciones de bienes, servicios diferentes a consultoría y servicios de consultoría realizadas por la UCP, se realizarán de acuerdo con: (i) Políticas para la Adquisición de Obras y Bienes financiados por el BID (GN-2349-9); y (ii) Políticas para la Selección y Contratación de Consultores financiados por el BID (GN</w:t>
      </w:r>
      <w:r w:rsidRPr="000125D4">
        <w:rPr>
          <w:rFonts w:asciiTheme="minorHAnsi" w:hAnsiTheme="minorHAnsi" w:cstheme="minorHAnsi"/>
          <w:sz w:val="24"/>
          <w:szCs w:val="24"/>
          <w:lang w:val="es-ES_tradnl"/>
        </w:rPr>
        <w:noBreakHyphen/>
        <w:t>2350</w:t>
      </w:r>
      <w:r w:rsidRPr="000125D4">
        <w:rPr>
          <w:rFonts w:asciiTheme="minorHAnsi" w:hAnsiTheme="minorHAnsi" w:cstheme="minorHAnsi"/>
          <w:sz w:val="24"/>
          <w:szCs w:val="24"/>
          <w:lang w:val="es-ES_tradnl"/>
        </w:rPr>
        <w:noBreakHyphen/>
        <w:t>9), respectivamente. Los procesos de selección y contratación serán supervisados en forma ex ante y ex post según se defina en el respectivo Plan de Adquisiciones (PA), el cual deberá ser manejado a través de SEPA y será revisado y ajustado por el OE, de acuerdo con las necesidades del proyecto. Las modificaciones del PA deberán contar con la respectiva no objeción del Banco, la cual se debe obtener antes de la realización de los procesos allí incluidos. La responsabilidad de aprobación del Plan de Adquisiciones y mantener actualizado el mismo durante la ejecución del programa es del Jefe de Equipo de Proyecto (JEP).</w:t>
      </w:r>
    </w:p>
    <w:p w14:paraId="3E6743A3" w14:textId="77777777" w:rsidR="000125D4" w:rsidRPr="000125D4" w:rsidRDefault="000125D4" w:rsidP="00E8744D">
      <w:pPr>
        <w:numPr>
          <w:ilvl w:val="0"/>
          <w:numId w:val="17"/>
        </w:numPr>
        <w:spacing w:after="0" w:line="240" w:lineRule="auto"/>
        <w:jc w:val="both"/>
        <w:rPr>
          <w:rFonts w:asciiTheme="minorHAnsi" w:hAnsiTheme="minorHAnsi" w:cstheme="minorHAnsi"/>
          <w:i/>
          <w:sz w:val="24"/>
          <w:szCs w:val="24"/>
          <w:lang w:val="es-ES_tradnl"/>
        </w:rPr>
      </w:pPr>
      <w:bookmarkStart w:id="187" w:name="_Toc244412082"/>
      <w:r w:rsidRPr="000125D4">
        <w:rPr>
          <w:rFonts w:asciiTheme="minorHAnsi" w:hAnsiTheme="minorHAnsi" w:cstheme="minorHAnsi"/>
          <w:b/>
          <w:sz w:val="24"/>
          <w:szCs w:val="24"/>
          <w:lang w:val="es-ES_tradnl"/>
        </w:rPr>
        <w:t>Adquisiciones de Bienes y Servicios Diferentes de Consultoría:</w:t>
      </w:r>
      <w:r w:rsidRPr="000125D4">
        <w:rPr>
          <w:rFonts w:asciiTheme="minorHAnsi" w:hAnsiTheme="minorHAnsi" w:cstheme="minorHAnsi"/>
          <w:sz w:val="24"/>
          <w:szCs w:val="24"/>
          <w:lang w:val="es-ES_tradnl"/>
        </w:rPr>
        <w:t xml:space="preserve"> </w:t>
      </w:r>
      <w:bookmarkStart w:id="188" w:name="_Toc244412095"/>
      <w:bookmarkEnd w:id="187"/>
      <w:r w:rsidRPr="000125D4">
        <w:rPr>
          <w:rFonts w:asciiTheme="minorHAnsi" w:hAnsiTheme="minorHAnsi" w:cstheme="minorHAnsi"/>
          <w:sz w:val="24"/>
          <w:szCs w:val="24"/>
          <w:lang w:val="es-ES_tradnl"/>
        </w:rPr>
        <w:t>Los contratos de Bienes y Servicios Diferentes de Consultoría</w:t>
      </w:r>
      <w:r w:rsidRPr="000125D4">
        <w:rPr>
          <w:rFonts w:asciiTheme="minorHAnsi" w:hAnsiTheme="minorHAnsi" w:cstheme="minorHAnsi"/>
          <w:sz w:val="24"/>
          <w:szCs w:val="24"/>
          <w:vertAlign w:val="superscript"/>
          <w:lang w:val="es-ES_tradnl"/>
        </w:rPr>
        <w:footnoteReference w:id="11"/>
      </w:r>
      <w:r w:rsidRPr="000125D4">
        <w:rPr>
          <w:rFonts w:asciiTheme="minorHAnsi" w:hAnsiTheme="minorHAnsi" w:cstheme="minorHAnsi"/>
          <w:sz w:val="24"/>
          <w:szCs w:val="24"/>
          <w:lang w:val="es-ES_tradnl"/>
        </w:rPr>
        <w:t xml:space="preserve"> generados bajo el proyecto y sujetos a Licitación Pública Internacional (LPI) se ejecutarán utilizando los Documentos Estándar de Licitaciones (DELs) emitidos por el Banco. Las licitaciones sujetas a Licitación Pública Nacional (LPN) se ejecutarán usando Documentos de Licitación Nacional acordados con el Banco. La revisión de las especificaciones técnicas de las adquisiciones durante la preparación de procesos de selección es responsabilidad del especialista sectorial del proyecto. No se contemplan contrataciones directas en estas categorías, pero las que se definan a lo largo del programa, serán identificadas previa y oportunamente en el PA, con su respectiva justificación, así como también se deberán identificar los procesos de selección que requieran precalificación de oferentes.</w:t>
      </w:r>
    </w:p>
    <w:p w14:paraId="1A9AA77F" w14:textId="77777777" w:rsidR="000125D4" w:rsidRPr="000125D4" w:rsidRDefault="000125D4" w:rsidP="00E8744D">
      <w:pPr>
        <w:numPr>
          <w:ilvl w:val="0"/>
          <w:numId w:val="17"/>
        </w:numPr>
        <w:spacing w:after="0" w:line="240" w:lineRule="auto"/>
        <w:jc w:val="both"/>
        <w:rPr>
          <w:rFonts w:asciiTheme="minorHAnsi" w:hAnsiTheme="minorHAnsi" w:cstheme="minorHAnsi"/>
          <w:sz w:val="24"/>
          <w:szCs w:val="24"/>
          <w:lang w:val="es-ES_tradnl"/>
        </w:rPr>
      </w:pPr>
      <w:bookmarkStart w:id="189" w:name="_Toc244412085"/>
      <w:bookmarkEnd w:id="188"/>
      <w:r w:rsidRPr="000125D4">
        <w:rPr>
          <w:rFonts w:asciiTheme="minorHAnsi" w:hAnsiTheme="minorHAnsi" w:cstheme="minorHAnsi"/>
          <w:b/>
          <w:sz w:val="24"/>
          <w:szCs w:val="24"/>
          <w:lang w:val="es-ES_tradnl"/>
        </w:rPr>
        <w:t>Selección y Contratación de Consultores</w:t>
      </w:r>
      <w:r w:rsidRPr="000125D4">
        <w:rPr>
          <w:rFonts w:asciiTheme="minorHAnsi" w:hAnsiTheme="minorHAnsi" w:cstheme="minorHAnsi"/>
          <w:sz w:val="24"/>
          <w:szCs w:val="24"/>
          <w:lang w:val="es-ES_tradnl"/>
        </w:rPr>
        <w:t xml:space="preserve">: Los contratos de Servicios de Consultoría generados bajo el proyecto se ejecutarán utilizando la Solicitud Estándar de Propuestas (SEPs) emitida o acordada con el Banco. La revisión de </w:t>
      </w:r>
      <w:r w:rsidRPr="000125D4">
        <w:rPr>
          <w:rFonts w:asciiTheme="minorHAnsi" w:hAnsiTheme="minorHAnsi" w:cstheme="minorHAnsi"/>
          <w:sz w:val="24"/>
          <w:szCs w:val="24"/>
          <w:lang w:val="es-ES_tradnl"/>
        </w:rPr>
        <w:lastRenderedPageBreak/>
        <w:t>términos de referencia para la contratación de servicios de consultoría es responsabilidad del especialista sectorial del proyecto. No se contemplan contrataciones directas en esta categoría, pero las que se definan a lo largo del programa, serán identificadas previa y oportunamente en el PA, con su respectiva justificación.</w:t>
      </w:r>
    </w:p>
    <w:p w14:paraId="3A188077" w14:textId="77777777" w:rsidR="000125D4" w:rsidRPr="000125D4" w:rsidRDefault="000125D4" w:rsidP="00E8744D">
      <w:pPr>
        <w:numPr>
          <w:ilvl w:val="1"/>
          <w:numId w:val="17"/>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La selección de los consultores individuales</w:t>
      </w:r>
      <w:r w:rsidRPr="000125D4">
        <w:rPr>
          <w:rFonts w:asciiTheme="minorHAnsi" w:hAnsiTheme="minorHAnsi" w:cstheme="minorHAnsi"/>
          <w:sz w:val="24"/>
          <w:szCs w:val="24"/>
          <w:lang w:val="es-ES_tradnl"/>
        </w:rPr>
        <w:t>:</w:t>
      </w:r>
      <w:r w:rsidRPr="000125D4">
        <w:rPr>
          <w:rFonts w:asciiTheme="minorHAnsi" w:hAnsiTheme="minorHAnsi" w:cstheme="minorHAnsi"/>
          <w:i/>
          <w:sz w:val="24"/>
          <w:szCs w:val="24"/>
          <w:lang w:val="es-ES_tradnl"/>
        </w:rPr>
        <w:t xml:space="preserve"> </w:t>
      </w:r>
      <w:bookmarkEnd w:id="189"/>
      <w:r w:rsidRPr="000125D4">
        <w:rPr>
          <w:rFonts w:asciiTheme="minorHAnsi" w:hAnsiTheme="minorHAnsi" w:cstheme="minorHAnsi"/>
          <w:sz w:val="24"/>
          <w:szCs w:val="24"/>
          <w:lang w:val="es-ES_tradnl"/>
        </w:rPr>
        <w:t>En los casos identificados en el PA, la contratación de consultores individuales se regirá por lo establecido en el documento GN 2350-9, Sección V, párrafos del 5.1 al 5.4. Para el funcionamiento de la unidad ejecutora, se podrá contratar según el método de selección directa a consultores que en ese momento se encuentren desarrollando actividades en el marco de contratos financiados por otros programas que estas unidades estén ejecutando</w:t>
      </w:r>
      <w:r w:rsidRPr="000125D4">
        <w:rPr>
          <w:rFonts w:asciiTheme="minorHAnsi" w:hAnsiTheme="minorHAnsi" w:cstheme="minorHAnsi"/>
          <w:sz w:val="24"/>
          <w:szCs w:val="24"/>
          <w:vertAlign w:val="superscript"/>
          <w:lang w:val="es-ES_tradnl"/>
        </w:rPr>
        <w:footnoteReference w:id="12"/>
      </w:r>
      <w:r w:rsidRPr="000125D4">
        <w:rPr>
          <w:rFonts w:asciiTheme="minorHAnsi" w:hAnsiTheme="minorHAnsi" w:cstheme="minorHAnsi"/>
          <w:sz w:val="24"/>
          <w:szCs w:val="24"/>
          <w:lang w:val="es-ES_tradnl"/>
        </w:rPr>
        <w:t>.</w:t>
      </w:r>
    </w:p>
    <w:p w14:paraId="59051A17" w14:textId="77777777" w:rsidR="000125D4" w:rsidRPr="000125D4" w:rsidRDefault="000125D4" w:rsidP="00E8744D">
      <w:pPr>
        <w:numPr>
          <w:ilvl w:val="0"/>
          <w:numId w:val="17"/>
        </w:numPr>
        <w:tabs>
          <w:tab w:val="num" w:pos="-6660"/>
          <w:tab w:val="left" w:pos="900"/>
        </w:tabs>
        <w:spacing w:after="0" w:line="240" w:lineRule="auto"/>
        <w:jc w:val="both"/>
        <w:rPr>
          <w:rFonts w:asciiTheme="minorHAnsi" w:hAnsiTheme="minorHAnsi" w:cstheme="minorHAnsi"/>
          <w:sz w:val="24"/>
          <w:szCs w:val="24"/>
          <w:lang w:val="es-ES_tradnl"/>
        </w:rPr>
      </w:pPr>
      <w:bookmarkStart w:id="190" w:name="_Toc244412086"/>
      <w:r w:rsidRPr="000125D4">
        <w:rPr>
          <w:rFonts w:asciiTheme="minorHAnsi" w:hAnsiTheme="minorHAnsi" w:cstheme="minorHAnsi"/>
          <w:b/>
          <w:sz w:val="24"/>
          <w:szCs w:val="24"/>
          <w:lang w:val="es-ES_tradnl"/>
        </w:rPr>
        <w:t>Aportes No Reembolsables:</w:t>
      </w:r>
      <w:r w:rsidRPr="000125D4">
        <w:rPr>
          <w:rFonts w:asciiTheme="minorHAnsi" w:hAnsiTheme="minorHAnsi" w:cstheme="minorHAnsi"/>
          <w:b/>
          <w:sz w:val="24"/>
          <w:szCs w:val="24"/>
          <w:u w:val="single"/>
          <w:lang w:val="es-ES_tradnl"/>
        </w:rPr>
        <w:t xml:space="preserve"> </w:t>
      </w:r>
      <w:r w:rsidRPr="000125D4">
        <w:rPr>
          <w:rFonts w:asciiTheme="minorHAnsi" w:hAnsiTheme="minorHAnsi" w:cstheme="minorHAnsi"/>
          <w:sz w:val="24"/>
          <w:szCs w:val="24"/>
          <w:lang w:val="es-ES_tradnl"/>
        </w:rPr>
        <w:t>La entrega de los fondos en el marco del Componente I (Subcomponente 1</w:t>
      </w:r>
      <w:r w:rsidR="00985405">
        <w:rPr>
          <w:rFonts w:asciiTheme="minorHAnsi" w:hAnsiTheme="minorHAnsi" w:cstheme="minorHAnsi"/>
          <w:sz w:val="24"/>
          <w:szCs w:val="24"/>
          <w:lang w:val="es-ES_tradnl"/>
        </w:rPr>
        <w:t>.1</w:t>
      </w:r>
      <w:r w:rsidRPr="000125D4">
        <w:rPr>
          <w:rFonts w:asciiTheme="minorHAnsi" w:hAnsiTheme="minorHAnsi" w:cstheme="minorHAnsi"/>
          <w:sz w:val="24"/>
          <w:szCs w:val="24"/>
          <w:lang w:val="es-ES_tradnl"/>
        </w:rPr>
        <w:t xml:space="preserve">) se hará por medio de ANRs y los criterios de selección </w:t>
      </w:r>
      <w:r w:rsidR="00985405">
        <w:rPr>
          <w:rFonts w:asciiTheme="minorHAnsi" w:hAnsiTheme="minorHAnsi" w:cstheme="minorHAnsi"/>
          <w:sz w:val="24"/>
          <w:szCs w:val="24"/>
          <w:lang w:val="es-ES_tradnl"/>
        </w:rPr>
        <w:t>en los concursos</w:t>
      </w:r>
      <w:r w:rsidRPr="000125D4">
        <w:rPr>
          <w:rFonts w:asciiTheme="minorHAnsi" w:hAnsiTheme="minorHAnsi" w:cstheme="minorHAnsi"/>
          <w:sz w:val="24"/>
          <w:szCs w:val="24"/>
          <w:lang w:val="es-ES_tradnl"/>
        </w:rPr>
        <w:t xml:space="preserve">, mientras que el OE firmará un convenio subsidiario con FONCAP para el manejo de los recursos del Componente 2. Las contrataciones en el marco de los ANRs se realizarán según prácticas corrientes del sector privado o comerciales, bajo la supervisión del OE. El Banco verificará la pertinencia del gasto el marco de los proyectos. </w:t>
      </w:r>
    </w:p>
    <w:p w14:paraId="33C6BB6C" w14:textId="77777777" w:rsidR="000125D4" w:rsidRPr="000125D4" w:rsidRDefault="000125D4" w:rsidP="00E8744D">
      <w:pPr>
        <w:numPr>
          <w:ilvl w:val="0"/>
          <w:numId w:val="17"/>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Uso de Sistema Nacional de Adquisiciones</w:t>
      </w:r>
      <w:r w:rsidRPr="000125D4">
        <w:rPr>
          <w:rFonts w:asciiTheme="minorHAnsi" w:hAnsiTheme="minorHAnsi" w:cstheme="minorHAnsi"/>
          <w:sz w:val="24"/>
          <w:szCs w:val="24"/>
          <w:lang w:val="es-ES_tradnl"/>
        </w:rPr>
        <w:t xml:space="preserve">: Cualquier sistema o subsistema que sea aprobado con posterioridad será aplicable a la operación. El Plan de Adquisiciones de la operación y sus actualizaciones indicará qué contrataciones se ejecutarán a través de los sistemas nacionales aprobados. </w:t>
      </w:r>
    </w:p>
    <w:p w14:paraId="6A10FA9E" w14:textId="77777777" w:rsidR="000125D4" w:rsidRPr="000125D4" w:rsidRDefault="000125D4" w:rsidP="00E8744D">
      <w:pPr>
        <w:numPr>
          <w:ilvl w:val="0"/>
          <w:numId w:val="17"/>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Gastos Recurrentes:</w:t>
      </w:r>
      <w:r w:rsidRPr="000125D4">
        <w:rPr>
          <w:rFonts w:asciiTheme="minorHAnsi" w:hAnsiTheme="minorHAnsi" w:cstheme="minorHAnsi"/>
          <w:sz w:val="24"/>
          <w:szCs w:val="24"/>
          <w:lang w:val="es-ES_tradnl"/>
        </w:rPr>
        <w:t xml:space="preserve"> </w:t>
      </w:r>
      <w:bookmarkEnd w:id="190"/>
      <w:r w:rsidRPr="000125D4">
        <w:rPr>
          <w:rFonts w:asciiTheme="minorHAnsi" w:hAnsiTheme="minorHAnsi" w:cstheme="minorHAnsi"/>
          <w:sz w:val="24"/>
          <w:szCs w:val="24"/>
          <w:lang w:val="es-ES_tradnl"/>
        </w:rPr>
        <w:t>Los gastos recurrentes o gastos operativos y de mantenimiento requeridos durante el proyecto serán: pasajes, viáticos, movilidad, alquileres de equipos y servicios, mantenimiento de oficinas, expensas, gastos de librería y de capacitación, productos de artes gráficas, imprenta, publicaciones y reproducciones, mensajería y correo, servicios de limpieza, insumos informáticos, seguros, telefonía, y gastos menores que demande la UCP para el funcionamiento del programa. Estos gastos serán financiados por el proyecto con recursos de contrapartida, y serían realizados siguiendo los procedimientos administrativos del OE, siempre que no vulneren los principios fundamentales de las Políticas del Banco con relación a competencia, eficiencia, y economía. Los costos de operación no incluyen salarios de funcionarios en ejercicio público.</w:t>
      </w:r>
    </w:p>
    <w:p w14:paraId="286B7E2E" w14:textId="77777777" w:rsidR="000125D4" w:rsidRPr="000125D4" w:rsidRDefault="000125D4" w:rsidP="00E8744D">
      <w:pPr>
        <w:numPr>
          <w:ilvl w:val="0"/>
          <w:numId w:val="17"/>
        </w:numPr>
        <w:tabs>
          <w:tab w:val="num" w:pos="-6660"/>
          <w:tab w:val="left" w:pos="900"/>
        </w:tabs>
        <w:spacing w:after="0" w:line="240" w:lineRule="auto"/>
        <w:jc w:val="both"/>
        <w:rPr>
          <w:rFonts w:asciiTheme="minorHAnsi" w:hAnsiTheme="minorHAnsi" w:cstheme="minorHAnsi"/>
          <w:b/>
          <w:i/>
          <w:sz w:val="24"/>
          <w:szCs w:val="24"/>
          <w:u w:val="single"/>
          <w:lang w:val="es-ES_tradnl"/>
        </w:rPr>
      </w:pPr>
      <w:bookmarkStart w:id="191" w:name="_Toc244412089"/>
      <w:r w:rsidRPr="000125D4">
        <w:rPr>
          <w:rFonts w:asciiTheme="minorHAnsi" w:hAnsiTheme="minorHAnsi" w:cstheme="minorHAnsi"/>
          <w:b/>
          <w:sz w:val="24"/>
          <w:szCs w:val="24"/>
          <w:lang w:val="es-ES_tradnl"/>
        </w:rPr>
        <w:t>Pertinencia del gasto</w:t>
      </w:r>
      <w:r w:rsidRPr="000125D4">
        <w:rPr>
          <w:rFonts w:asciiTheme="minorHAnsi" w:hAnsiTheme="minorHAnsi" w:cstheme="minorHAnsi"/>
          <w:sz w:val="24"/>
          <w:szCs w:val="24"/>
          <w:lang w:val="es-ES_tradnl"/>
        </w:rPr>
        <w:t>:</w:t>
      </w:r>
      <w:r w:rsidRPr="000125D4">
        <w:rPr>
          <w:rFonts w:asciiTheme="minorHAnsi" w:hAnsiTheme="minorHAnsi" w:cstheme="minorHAnsi"/>
          <w:i/>
          <w:sz w:val="24"/>
          <w:szCs w:val="24"/>
          <w:lang w:val="es-ES_tradnl"/>
        </w:rPr>
        <w:t xml:space="preserve"> </w:t>
      </w:r>
      <w:r w:rsidRPr="000125D4">
        <w:rPr>
          <w:rFonts w:asciiTheme="minorHAnsi" w:hAnsiTheme="minorHAnsi" w:cstheme="minorHAnsi"/>
          <w:sz w:val="24"/>
          <w:szCs w:val="24"/>
          <w:lang w:val="es-ES_tradnl"/>
        </w:rPr>
        <w:t>La pertinencia del gasto, los Términos de Referencia, las especificaciones técnicas y el presupuesto de las adquisiciones que se realicen en el marco del programa serán responsabilidad del JEP y necesitarán siempre de la no-objeción previa del Banco.</w:t>
      </w:r>
      <w:r w:rsidRPr="000125D4">
        <w:rPr>
          <w:rFonts w:asciiTheme="minorHAnsi" w:hAnsiTheme="minorHAnsi" w:cstheme="minorHAnsi"/>
          <w:i/>
          <w:sz w:val="24"/>
          <w:szCs w:val="24"/>
          <w:lang w:val="es-ES_tradnl"/>
        </w:rPr>
        <w:t xml:space="preserve"> </w:t>
      </w:r>
      <w:bookmarkEnd w:id="191"/>
    </w:p>
    <w:p w14:paraId="3ED46B13" w14:textId="77777777" w:rsidR="000125D4" w:rsidRDefault="000125D4" w:rsidP="000125D4">
      <w:pPr>
        <w:spacing w:after="0" w:line="240" w:lineRule="auto"/>
        <w:jc w:val="both"/>
        <w:rPr>
          <w:rFonts w:asciiTheme="minorHAnsi" w:hAnsiTheme="minorHAnsi" w:cstheme="minorHAnsi"/>
          <w:b/>
          <w:sz w:val="24"/>
          <w:szCs w:val="24"/>
          <w:lang w:val="es-ES_tradnl"/>
        </w:rPr>
      </w:pPr>
    </w:p>
    <w:p w14:paraId="761C92DD"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lastRenderedPageBreak/>
        <w:t>Montos Límites para Licitación Internacional y Lista Corta con Conformación Internacional (miles US$)</w:t>
      </w:r>
    </w:p>
    <w:p w14:paraId="413B15C1" w14:textId="77777777" w:rsidR="000125D4" w:rsidRPr="000125D4" w:rsidRDefault="000125D4" w:rsidP="000125D4">
      <w:pPr>
        <w:spacing w:after="0" w:line="240" w:lineRule="auto"/>
        <w:jc w:val="center"/>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Cuadro 2. Montos Límites</w:t>
      </w:r>
    </w:p>
    <w:tbl>
      <w:tblPr>
        <w:tblW w:w="0" w:type="auto"/>
        <w:jc w:val="center"/>
        <w:tblLook w:val="04A0" w:firstRow="1" w:lastRow="0" w:firstColumn="1" w:lastColumn="0" w:noHBand="0" w:noVBand="1"/>
      </w:tblPr>
      <w:tblGrid>
        <w:gridCol w:w="1313"/>
        <w:gridCol w:w="1671"/>
        <w:gridCol w:w="3304"/>
        <w:gridCol w:w="2206"/>
      </w:tblGrid>
      <w:tr w:rsidR="000125D4" w:rsidRPr="0043746B" w14:paraId="4795BD7C" w14:textId="77777777" w:rsidTr="000125D4">
        <w:trPr>
          <w:trHeight w:val="206"/>
          <w:jc w:val="center"/>
        </w:trPr>
        <w:tc>
          <w:tcPr>
            <w:tcW w:w="1350" w:type="dxa"/>
            <w:tcBorders>
              <w:left w:val="single" w:sz="4" w:space="0" w:color="FFFFFF"/>
              <w:right w:val="single" w:sz="4" w:space="0" w:color="FFFFFF"/>
            </w:tcBorders>
            <w:shd w:val="clear" w:color="auto" w:fill="00B0F0"/>
          </w:tcPr>
          <w:p w14:paraId="12BE757E" w14:textId="77777777" w:rsidR="000125D4" w:rsidRPr="0043746B" w:rsidRDefault="000125D4" w:rsidP="000125D4">
            <w:pPr>
              <w:spacing w:after="0" w:line="240" w:lineRule="auto"/>
              <w:jc w:val="both"/>
              <w:rPr>
                <w:rFonts w:asciiTheme="minorHAnsi" w:hAnsiTheme="minorHAnsi" w:cstheme="minorHAnsi"/>
                <w:b/>
                <w:sz w:val="20"/>
                <w:szCs w:val="20"/>
                <w:lang w:val="es-ES_tradnl"/>
              </w:rPr>
            </w:pPr>
            <w:r w:rsidRPr="0043746B">
              <w:rPr>
                <w:rFonts w:asciiTheme="minorHAnsi" w:hAnsiTheme="minorHAnsi" w:cstheme="minorHAnsi"/>
                <w:b/>
                <w:sz w:val="20"/>
                <w:szCs w:val="20"/>
                <w:lang w:val="es-ES_tradnl"/>
              </w:rPr>
              <w:t>Método</w:t>
            </w:r>
          </w:p>
        </w:tc>
        <w:tc>
          <w:tcPr>
            <w:tcW w:w="1710" w:type="dxa"/>
            <w:tcBorders>
              <w:left w:val="single" w:sz="4" w:space="0" w:color="FFFFFF"/>
              <w:right w:val="single" w:sz="4" w:space="0" w:color="FFFFFF"/>
            </w:tcBorders>
            <w:shd w:val="clear" w:color="auto" w:fill="00B0F0"/>
          </w:tcPr>
          <w:p w14:paraId="2FAE1739" w14:textId="77777777" w:rsidR="000125D4" w:rsidRPr="0043746B" w:rsidRDefault="000125D4" w:rsidP="000125D4">
            <w:pPr>
              <w:spacing w:after="0" w:line="240" w:lineRule="auto"/>
              <w:jc w:val="both"/>
              <w:rPr>
                <w:rFonts w:asciiTheme="minorHAnsi" w:hAnsiTheme="minorHAnsi" w:cstheme="minorHAnsi"/>
                <w:b/>
                <w:sz w:val="20"/>
                <w:szCs w:val="20"/>
                <w:lang w:val="es-ES_tradnl"/>
              </w:rPr>
            </w:pPr>
            <w:r w:rsidRPr="0043746B">
              <w:rPr>
                <w:rFonts w:asciiTheme="minorHAnsi" w:hAnsiTheme="minorHAnsi" w:cstheme="minorHAnsi"/>
                <w:b/>
                <w:sz w:val="20"/>
                <w:szCs w:val="20"/>
                <w:lang w:val="es-ES_tradnl"/>
              </w:rPr>
              <w:t>LPI Obras</w:t>
            </w:r>
          </w:p>
        </w:tc>
        <w:tc>
          <w:tcPr>
            <w:tcW w:w="3494" w:type="dxa"/>
            <w:tcBorders>
              <w:left w:val="single" w:sz="4" w:space="0" w:color="FFFFFF"/>
              <w:right w:val="single" w:sz="4" w:space="0" w:color="FFFFFF"/>
            </w:tcBorders>
            <w:shd w:val="clear" w:color="auto" w:fill="00B0F0"/>
          </w:tcPr>
          <w:p w14:paraId="44BDC53E" w14:textId="77777777" w:rsidR="000125D4" w:rsidRPr="0043746B" w:rsidRDefault="000125D4" w:rsidP="000125D4">
            <w:pPr>
              <w:spacing w:after="0" w:line="240" w:lineRule="auto"/>
              <w:jc w:val="both"/>
              <w:rPr>
                <w:rFonts w:asciiTheme="minorHAnsi" w:hAnsiTheme="minorHAnsi" w:cstheme="minorHAnsi"/>
                <w:b/>
                <w:sz w:val="20"/>
                <w:szCs w:val="20"/>
                <w:lang w:val="es-ES_tradnl"/>
              </w:rPr>
            </w:pPr>
            <w:r w:rsidRPr="0043746B">
              <w:rPr>
                <w:rFonts w:asciiTheme="minorHAnsi" w:hAnsiTheme="minorHAnsi" w:cstheme="minorHAnsi"/>
                <w:b/>
                <w:sz w:val="20"/>
                <w:szCs w:val="20"/>
                <w:lang w:val="es-ES_tradnl"/>
              </w:rPr>
              <w:t>LPI Bienes y Servicios diferentes a la consultoría</w:t>
            </w:r>
          </w:p>
        </w:tc>
        <w:tc>
          <w:tcPr>
            <w:tcW w:w="2284" w:type="dxa"/>
            <w:tcBorders>
              <w:left w:val="single" w:sz="4" w:space="0" w:color="FFFFFF"/>
              <w:right w:val="single" w:sz="4" w:space="0" w:color="FFFFFF"/>
            </w:tcBorders>
            <w:shd w:val="clear" w:color="auto" w:fill="00B0F0"/>
          </w:tcPr>
          <w:p w14:paraId="3F44A5B4" w14:textId="77777777" w:rsidR="000125D4" w:rsidRPr="0043746B" w:rsidRDefault="000125D4" w:rsidP="000125D4">
            <w:pPr>
              <w:spacing w:after="0" w:line="240" w:lineRule="auto"/>
              <w:jc w:val="both"/>
              <w:rPr>
                <w:rFonts w:asciiTheme="minorHAnsi" w:hAnsiTheme="minorHAnsi" w:cstheme="minorHAnsi"/>
                <w:b/>
                <w:sz w:val="20"/>
                <w:szCs w:val="20"/>
                <w:lang w:val="es-ES_tradnl"/>
              </w:rPr>
            </w:pPr>
            <w:r w:rsidRPr="0043746B">
              <w:rPr>
                <w:rFonts w:asciiTheme="minorHAnsi" w:hAnsiTheme="minorHAnsi" w:cstheme="minorHAnsi"/>
                <w:b/>
                <w:sz w:val="20"/>
                <w:szCs w:val="20"/>
                <w:lang w:val="es-ES_tradnl"/>
              </w:rPr>
              <w:t>Lista Corta Internacional en servicios de consultoría</w:t>
            </w:r>
          </w:p>
        </w:tc>
      </w:tr>
      <w:tr w:rsidR="000125D4" w:rsidRPr="0043746B" w14:paraId="06446E0D" w14:textId="77777777" w:rsidTr="000125D4">
        <w:trPr>
          <w:trHeight w:val="188"/>
          <w:jc w:val="center"/>
        </w:trPr>
        <w:tc>
          <w:tcPr>
            <w:tcW w:w="1350" w:type="dxa"/>
            <w:tcBorders>
              <w:left w:val="single" w:sz="4" w:space="0" w:color="808080"/>
              <w:bottom w:val="single" w:sz="4" w:space="0" w:color="808080"/>
              <w:right w:val="single" w:sz="4" w:space="0" w:color="808080"/>
            </w:tcBorders>
            <w:shd w:val="clear" w:color="auto" w:fill="auto"/>
          </w:tcPr>
          <w:p w14:paraId="569328BE" w14:textId="77777777" w:rsidR="000125D4" w:rsidRPr="0043746B" w:rsidRDefault="000125D4" w:rsidP="000125D4">
            <w:pPr>
              <w:spacing w:after="0" w:line="240" w:lineRule="auto"/>
              <w:jc w:val="both"/>
              <w:rPr>
                <w:rFonts w:asciiTheme="minorHAnsi" w:hAnsiTheme="minorHAnsi" w:cstheme="minorHAnsi"/>
                <w:b/>
                <w:sz w:val="20"/>
                <w:szCs w:val="20"/>
                <w:lang w:val="es-ES_tradnl"/>
              </w:rPr>
            </w:pPr>
            <w:r w:rsidRPr="0043746B">
              <w:rPr>
                <w:rFonts w:asciiTheme="minorHAnsi" w:hAnsiTheme="minorHAnsi" w:cstheme="minorHAnsi"/>
                <w:b/>
                <w:sz w:val="20"/>
                <w:szCs w:val="20"/>
                <w:lang w:val="es-ES_tradnl"/>
              </w:rPr>
              <w:t>Monto Límite</w:t>
            </w:r>
          </w:p>
        </w:tc>
        <w:tc>
          <w:tcPr>
            <w:tcW w:w="1710" w:type="dxa"/>
            <w:tcBorders>
              <w:left w:val="single" w:sz="4" w:space="0" w:color="808080"/>
              <w:bottom w:val="single" w:sz="4" w:space="0" w:color="808080"/>
              <w:right w:val="single" w:sz="4" w:space="0" w:color="808080"/>
            </w:tcBorders>
            <w:shd w:val="clear" w:color="auto" w:fill="auto"/>
          </w:tcPr>
          <w:p w14:paraId="668EF409" w14:textId="77777777" w:rsidR="000125D4" w:rsidRPr="0043746B" w:rsidRDefault="000125D4" w:rsidP="000125D4">
            <w:pPr>
              <w:spacing w:after="0" w:line="240" w:lineRule="auto"/>
              <w:jc w:val="both"/>
              <w:rPr>
                <w:rFonts w:asciiTheme="minorHAnsi" w:hAnsiTheme="minorHAnsi" w:cstheme="minorHAnsi"/>
                <w:i/>
                <w:sz w:val="20"/>
                <w:szCs w:val="20"/>
                <w:lang w:val="es-ES_tradnl"/>
              </w:rPr>
            </w:pPr>
            <w:r w:rsidRPr="0043746B">
              <w:rPr>
                <w:rFonts w:asciiTheme="minorHAnsi" w:hAnsiTheme="minorHAnsi" w:cstheme="minorHAnsi"/>
                <w:i/>
                <w:sz w:val="20"/>
                <w:szCs w:val="20"/>
                <w:lang w:val="es-ES_tradnl"/>
              </w:rPr>
              <w:t>≥25.000.000</w:t>
            </w:r>
          </w:p>
        </w:tc>
        <w:tc>
          <w:tcPr>
            <w:tcW w:w="3494" w:type="dxa"/>
            <w:tcBorders>
              <w:left w:val="single" w:sz="4" w:space="0" w:color="808080"/>
              <w:bottom w:val="single" w:sz="4" w:space="0" w:color="808080"/>
              <w:right w:val="single" w:sz="4" w:space="0" w:color="808080"/>
            </w:tcBorders>
          </w:tcPr>
          <w:p w14:paraId="1534F682" w14:textId="77777777" w:rsidR="000125D4" w:rsidRPr="0043746B" w:rsidRDefault="000125D4" w:rsidP="000125D4">
            <w:pPr>
              <w:spacing w:after="0" w:line="240" w:lineRule="auto"/>
              <w:jc w:val="both"/>
              <w:rPr>
                <w:rFonts w:asciiTheme="minorHAnsi" w:hAnsiTheme="minorHAnsi" w:cstheme="minorHAnsi"/>
                <w:i/>
                <w:sz w:val="20"/>
                <w:szCs w:val="20"/>
                <w:lang w:val="es-ES_tradnl"/>
              </w:rPr>
            </w:pPr>
            <w:r w:rsidRPr="0043746B">
              <w:rPr>
                <w:rFonts w:asciiTheme="minorHAnsi" w:hAnsiTheme="minorHAnsi" w:cstheme="minorHAnsi"/>
                <w:i/>
                <w:sz w:val="20"/>
                <w:szCs w:val="20"/>
                <w:lang w:val="es-ES_tradnl"/>
              </w:rPr>
              <w:t>≥1.500.000</w:t>
            </w:r>
          </w:p>
        </w:tc>
        <w:tc>
          <w:tcPr>
            <w:tcW w:w="2284" w:type="dxa"/>
            <w:tcBorders>
              <w:left w:val="single" w:sz="4" w:space="0" w:color="808080"/>
              <w:bottom w:val="single" w:sz="4" w:space="0" w:color="808080"/>
              <w:right w:val="single" w:sz="4" w:space="0" w:color="808080"/>
            </w:tcBorders>
            <w:shd w:val="clear" w:color="auto" w:fill="auto"/>
            <w:vAlign w:val="center"/>
          </w:tcPr>
          <w:p w14:paraId="2BE188A8" w14:textId="77777777" w:rsidR="000125D4" w:rsidRPr="0043746B" w:rsidRDefault="000125D4" w:rsidP="000125D4">
            <w:pPr>
              <w:spacing w:after="0" w:line="240" w:lineRule="auto"/>
              <w:jc w:val="both"/>
              <w:rPr>
                <w:rFonts w:asciiTheme="minorHAnsi" w:hAnsiTheme="minorHAnsi" w:cstheme="minorHAnsi"/>
                <w:i/>
                <w:sz w:val="20"/>
                <w:szCs w:val="20"/>
                <w:lang w:val="es-ES_tradnl"/>
              </w:rPr>
            </w:pPr>
            <w:r w:rsidRPr="0043746B">
              <w:rPr>
                <w:rFonts w:asciiTheme="minorHAnsi" w:hAnsiTheme="minorHAnsi" w:cstheme="minorHAnsi"/>
                <w:i/>
                <w:sz w:val="20"/>
                <w:szCs w:val="20"/>
                <w:lang w:val="es-ES_tradnl"/>
              </w:rPr>
              <w:t>≥1.000.000</w:t>
            </w:r>
          </w:p>
        </w:tc>
      </w:tr>
    </w:tbl>
    <w:p w14:paraId="0A3E941C" w14:textId="77777777" w:rsidR="000125D4" w:rsidRPr="000125D4" w:rsidRDefault="000125D4" w:rsidP="000125D4">
      <w:pPr>
        <w:spacing w:after="0" w:line="240" w:lineRule="auto"/>
        <w:jc w:val="both"/>
        <w:rPr>
          <w:rFonts w:asciiTheme="minorHAnsi" w:hAnsiTheme="minorHAnsi" w:cstheme="minorHAnsi"/>
          <w:i/>
          <w:sz w:val="24"/>
          <w:szCs w:val="24"/>
          <w:lang w:val="es-ES_tradnl"/>
        </w:rPr>
      </w:pPr>
      <w:r w:rsidRPr="000125D4">
        <w:rPr>
          <w:rFonts w:asciiTheme="minorHAnsi" w:hAnsiTheme="minorHAnsi" w:cstheme="minorHAnsi"/>
          <w:b/>
          <w:sz w:val="24"/>
          <w:szCs w:val="24"/>
          <w:lang w:val="es-ES_tradnl"/>
        </w:rPr>
        <w:t>Nota</w:t>
      </w:r>
      <w:r w:rsidRPr="000125D4">
        <w:rPr>
          <w:rFonts w:asciiTheme="minorHAnsi" w:hAnsiTheme="minorHAnsi" w:cstheme="minorHAnsi"/>
          <w:sz w:val="24"/>
          <w:szCs w:val="24"/>
          <w:lang w:val="es-ES_tradnl"/>
        </w:rPr>
        <w:t xml:space="preserve">: </w:t>
      </w:r>
      <w:r w:rsidRPr="000125D4">
        <w:rPr>
          <w:rFonts w:asciiTheme="minorHAnsi" w:hAnsiTheme="minorHAnsi" w:cstheme="minorHAnsi"/>
          <w:i/>
          <w:sz w:val="24"/>
          <w:szCs w:val="24"/>
          <w:lang w:val="es-ES_tradnl"/>
        </w:rPr>
        <w:t>Los procesos de servicios de consultoría de valor mayor al equivalente de US$200.000 se deben anunciar en los sitios de Internet del UNDB online y del Banco.</w:t>
      </w:r>
    </w:p>
    <w:p w14:paraId="1DC4B02B" w14:textId="77777777" w:rsidR="000125D4" w:rsidRDefault="000125D4" w:rsidP="000125D4">
      <w:pPr>
        <w:spacing w:after="0" w:line="240" w:lineRule="auto"/>
        <w:jc w:val="both"/>
        <w:rPr>
          <w:rFonts w:asciiTheme="minorHAnsi" w:hAnsiTheme="minorHAnsi" w:cstheme="minorHAnsi"/>
          <w:b/>
          <w:sz w:val="24"/>
          <w:szCs w:val="24"/>
          <w:lang w:val="es-ES_tradnl"/>
        </w:rPr>
      </w:pPr>
      <w:bookmarkStart w:id="192" w:name="_Toc244412090"/>
    </w:p>
    <w:p w14:paraId="1DA72BBA"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 xml:space="preserve">Adquisiciones </w:t>
      </w:r>
      <w:bookmarkEnd w:id="192"/>
      <w:r w:rsidRPr="000125D4">
        <w:rPr>
          <w:rFonts w:asciiTheme="minorHAnsi" w:hAnsiTheme="minorHAnsi" w:cstheme="minorHAnsi"/>
          <w:b/>
          <w:sz w:val="24"/>
          <w:szCs w:val="24"/>
          <w:lang w:val="es-ES_tradnl"/>
        </w:rPr>
        <w:t>Principales</w:t>
      </w:r>
    </w:p>
    <w:p w14:paraId="31454AB3" w14:textId="77777777" w:rsidR="000125D4" w:rsidRPr="000125D4" w:rsidRDefault="000125D4" w:rsidP="000125D4">
      <w:pPr>
        <w:spacing w:after="0" w:line="240" w:lineRule="auto"/>
        <w:jc w:val="center"/>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Cuadro 3. Adquisiciones Principales</w:t>
      </w:r>
    </w:p>
    <w:tbl>
      <w:tblPr>
        <w:tblW w:w="8630" w:type="dxa"/>
        <w:jc w:val="center"/>
        <w:tblCellMar>
          <w:left w:w="70" w:type="dxa"/>
          <w:right w:w="70" w:type="dxa"/>
        </w:tblCellMar>
        <w:tblLook w:val="04A0" w:firstRow="1" w:lastRow="0" w:firstColumn="1" w:lastColumn="0" w:noHBand="0" w:noVBand="1"/>
      </w:tblPr>
      <w:tblGrid>
        <w:gridCol w:w="3950"/>
        <w:gridCol w:w="917"/>
        <w:gridCol w:w="2143"/>
        <w:gridCol w:w="1620"/>
      </w:tblGrid>
      <w:tr w:rsidR="000125D4" w:rsidRPr="0043746B" w14:paraId="66C01655" w14:textId="77777777" w:rsidTr="000125D4">
        <w:trPr>
          <w:trHeight w:val="745"/>
          <w:jc w:val="center"/>
        </w:trPr>
        <w:tc>
          <w:tcPr>
            <w:tcW w:w="3950" w:type="dxa"/>
            <w:tcBorders>
              <w:top w:val="single" w:sz="8" w:space="0" w:color="F2F2F2"/>
              <w:left w:val="single" w:sz="8" w:space="0" w:color="F2F2F2"/>
              <w:bottom w:val="nil"/>
              <w:right w:val="single" w:sz="8" w:space="0" w:color="F2F2F2"/>
            </w:tcBorders>
            <w:shd w:val="clear" w:color="000000" w:fill="00B0F0"/>
            <w:vAlign w:val="center"/>
            <w:hideMark/>
          </w:tcPr>
          <w:p w14:paraId="4A4F7D7C"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bookmarkStart w:id="193" w:name="_Toc244412091"/>
            <w:r w:rsidRPr="0043746B">
              <w:rPr>
                <w:rFonts w:asciiTheme="minorHAnsi" w:hAnsiTheme="minorHAnsi" w:cstheme="minorHAnsi"/>
                <w:b/>
                <w:bCs/>
                <w:sz w:val="20"/>
                <w:szCs w:val="20"/>
                <w:lang w:val="es-ES_tradnl"/>
              </w:rPr>
              <w:t>Actividad</w:t>
            </w:r>
          </w:p>
        </w:tc>
        <w:bookmarkStart w:id="194" w:name="RANGE!B1"/>
        <w:tc>
          <w:tcPr>
            <w:tcW w:w="917" w:type="dxa"/>
            <w:tcBorders>
              <w:top w:val="single" w:sz="8" w:space="0" w:color="F2F2F2"/>
              <w:left w:val="nil"/>
              <w:bottom w:val="nil"/>
              <w:right w:val="single" w:sz="8" w:space="0" w:color="F2F2F2"/>
            </w:tcBorders>
            <w:shd w:val="clear" w:color="000000" w:fill="00B0F0"/>
            <w:vAlign w:val="center"/>
            <w:hideMark/>
          </w:tcPr>
          <w:p w14:paraId="668DCA52" w14:textId="614CCBB1"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fldChar w:fldCharType="begin"/>
            </w:r>
            <w:r w:rsidR="00D576AE">
              <w:rPr>
                <w:rFonts w:asciiTheme="minorHAnsi" w:hAnsiTheme="minorHAnsi" w:cstheme="minorHAnsi"/>
                <w:b/>
                <w:bCs/>
                <w:sz w:val="20"/>
                <w:szCs w:val="20"/>
                <w:lang w:val="es-ES_tradnl"/>
              </w:rPr>
              <w:instrText>HYPERLINK "C:\\Users\\RUDYL\\AppData\\AppData\\AppData\\AppData\\Local\\Microsoft\\marisolp\\Documents\\DATA\\DATA.IDB\\Documents\\Argentina\\Adquisiciones\\2017\\Anexo III\\AR-L1249\\Plan Adquisiciones BORRADOR.xlsx" \l "RANGE!A19"</w:instrText>
            </w:r>
            <w:r w:rsidRPr="0043746B">
              <w:rPr>
                <w:rFonts w:asciiTheme="minorHAnsi" w:hAnsiTheme="minorHAnsi" w:cstheme="minorHAnsi"/>
                <w:b/>
                <w:bCs/>
                <w:sz w:val="20"/>
                <w:szCs w:val="20"/>
                <w:lang w:val="es-ES_tradnl"/>
              </w:rPr>
              <w:fldChar w:fldCharType="separate"/>
            </w:r>
            <w:r w:rsidRPr="0043746B">
              <w:rPr>
                <w:rStyle w:val="Hyperlink"/>
                <w:rFonts w:asciiTheme="minorHAnsi" w:hAnsiTheme="minorHAnsi" w:cstheme="minorHAnsi"/>
                <w:sz w:val="20"/>
                <w:szCs w:val="20"/>
                <w:lang w:val="es-ES_tradnl"/>
              </w:rPr>
              <w:t>Método de Selección</w:t>
            </w:r>
            <w:r w:rsidRPr="0043746B">
              <w:rPr>
                <w:rFonts w:asciiTheme="minorHAnsi" w:hAnsiTheme="minorHAnsi" w:cstheme="minorHAnsi"/>
                <w:sz w:val="20"/>
                <w:szCs w:val="20"/>
                <w:lang w:val="es-ES_tradnl"/>
              </w:rPr>
              <w:fldChar w:fldCharType="end"/>
            </w:r>
            <w:bookmarkEnd w:id="194"/>
          </w:p>
        </w:tc>
        <w:tc>
          <w:tcPr>
            <w:tcW w:w="2143" w:type="dxa"/>
            <w:tcBorders>
              <w:top w:val="single" w:sz="8" w:space="0" w:color="F2F2F2"/>
              <w:left w:val="nil"/>
              <w:bottom w:val="nil"/>
              <w:right w:val="single" w:sz="8" w:space="0" w:color="F2F2F2"/>
            </w:tcBorders>
            <w:shd w:val="clear" w:color="000000" w:fill="00B0F0"/>
            <w:vAlign w:val="center"/>
            <w:hideMark/>
          </w:tcPr>
          <w:p w14:paraId="6897A88B"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Fecha Estimada de convocatoria/invitación</w:t>
            </w:r>
          </w:p>
        </w:tc>
        <w:tc>
          <w:tcPr>
            <w:tcW w:w="1620" w:type="dxa"/>
            <w:tcBorders>
              <w:top w:val="single" w:sz="8" w:space="0" w:color="F2F2F2"/>
              <w:left w:val="nil"/>
              <w:bottom w:val="nil"/>
              <w:right w:val="single" w:sz="8" w:space="0" w:color="F2F2F2"/>
            </w:tcBorders>
            <w:shd w:val="clear" w:color="000000" w:fill="00B0F0"/>
            <w:vAlign w:val="center"/>
            <w:hideMark/>
          </w:tcPr>
          <w:p w14:paraId="1D29C6E6"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Monto Estimado</w:t>
            </w:r>
          </w:p>
        </w:tc>
      </w:tr>
      <w:tr w:rsidR="000125D4" w:rsidRPr="0043746B" w14:paraId="5AEA02AB" w14:textId="77777777" w:rsidTr="000125D4">
        <w:trPr>
          <w:trHeight w:val="324"/>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14:paraId="72259E3B"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Transferencias</w:t>
            </w:r>
          </w:p>
        </w:tc>
        <w:tc>
          <w:tcPr>
            <w:tcW w:w="917" w:type="dxa"/>
            <w:tcBorders>
              <w:top w:val="nil"/>
              <w:left w:val="nil"/>
              <w:bottom w:val="single" w:sz="8" w:space="0" w:color="BFBFBF"/>
              <w:right w:val="single" w:sz="8" w:space="0" w:color="BFBFBF"/>
            </w:tcBorders>
            <w:shd w:val="clear" w:color="000000" w:fill="BFBFBF"/>
            <w:vAlign w:val="center"/>
            <w:hideMark/>
          </w:tcPr>
          <w:p w14:paraId="2834381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14:paraId="7658B187"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14:paraId="439F8CD1"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r>
      <w:tr w:rsidR="000125D4" w:rsidRPr="0043746B" w14:paraId="35C74FD2" w14:textId="77777777" w:rsidTr="000125D4">
        <w:trPr>
          <w:trHeight w:val="324"/>
          <w:jc w:val="center"/>
        </w:trPr>
        <w:tc>
          <w:tcPr>
            <w:tcW w:w="3950" w:type="dxa"/>
            <w:tcBorders>
              <w:top w:val="nil"/>
              <w:left w:val="single" w:sz="8" w:space="0" w:color="D9D9D9"/>
              <w:bottom w:val="single" w:sz="8" w:space="0" w:color="D9D9D9"/>
              <w:right w:val="single" w:sz="8" w:space="0" w:color="D9D9D9"/>
            </w:tcBorders>
            <w:shd w:val="clear" w:color="auto" w:fill="auto"/>
            <w:noWrap/>
            <w:vAlign w:val="bottom"/>
            <w:hideMark/>
          </w:tcPr>
          <w:p w14:paraId="5E7544AB"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ANRs (Componente 1)</w:t>
            </w:r>
          </w:p>
        </w:tc>
        <w:tc>
          <w:tcPr>
            <w:tcW w:w="917" w:type="dxa"/>
            <w:tcBorders>
              <w:top w:val="nil"/>
              <w:left w:val="nil"/>
              <w:bottom w:val="single" w:sz="8" w:space="0" w:color="BFBFBF"/>
              <w:right w:val="single" w:sz="8" w:space="0" w:color="BFBFBF"/>
            </w:tcBorders>
            <w:shd w:val="clear" w:color="auto" w:fill="auto"/>
            <w:vAlign w:val="center"/>
            <w:hideMark/>
          </w:tcPr>
          <w:p w14:paraId="53D83933"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single" w:sz="8" w:space="0" w:color="BFBFBF"/>
              <w:right w:val="single" w:sz="8" w:space="0" w:color="BFBFBF"/>
            </w:tcBorders>
            <w:shd w:val="clear" w:color="auto" w:fill="auto"/>
            <w:vAlign w:val="center"/>
            <w:hideMark/>
          </w:tcPr>
          <w:p w14:paraId="291734A4"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single" w:sz="8" w:space="0" w:color="D9D9D9"/>
              <w:bottom w:val="single" w:sz="8" w:space="0" w:color="D9D9D9"/>
              <w:right w:val="single" w:sz="8" w:space="0" w:color="D9D9D9"/>
            </w:tcBorders>
            <w:shd w:val="clear" w:color="auto" w:fill="auto"/>
            <w:vAlign w:val="center"/>
            <w:hideMark/>
          </w:tcPr>
          <w:p w14:paraId="7A4B4C9E"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10.000.000,00</w:t>
            </w:r>
          </w:p>
        </w:tc>
      </w:tr>
      <w:tr w:rsidR="000125D4" w:rsidRPr="0043746B" w14:paraId="27FD908D" w14:textId="77777777" w:rsidTr="000125D4">
        <w:trPr>
          <w:trHeight w:val="324"/>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noWrap/>
            <w:vAlign w:val="bottom"/>
            <w:hideMark/>
          </w:tcPr>
          <w:p w14:paraId="3A4E0009"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ANRs + Créditos (Componente 2)</w:t>
            </w:r>
          </w:p>
        </w:tc>
        <w:tc>
          <w:tcPr>
            <w:tcW w:w="917" w:type="dxa"/>
            <w:tcBorders>
              <w:top w:val="nil"/>
              <w:left w:val="nil"/>
              <w:bottom w:val="single" w:sz="8" w:space="0" w:color="BFBFBF"/>
              <w:right w:val="single" w:sz="8" w:space="0" w:color="BFBFBF"/>
            </w:tcBorders>
            <w:shd w:val="clear" w:color="auto" w:fill="auto"/>
            <w:vAlign w:val="center"/>
            <w:hideMark/>
          </w:tcPr>
          <w:p w14:paraId="5D641D74"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single" w:sz="8" w:space="0" w:color="BFBFBF"/>
              <w:right w:val="single" w:sz="8" w:space="0" w:color="BFBFBF"/>
            </w:tcBorders>
            <w:shd w:val="clear" w:color="auto" w:fill="auto"/>
            <w:vAlign w:val="center"/>
            <w:hideMark/>
          </w:tcPr>
          <w:p w14:paraId="64CAD03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single" w:sz="8" w:space="0" w:color="BFBFBF"/>
              <w:left w:val="single" w:sz="8" w:space="0" w:color="D9D9D9"/>
              <w:bottom w:val="single" w:sz="8" w:space="0" w:color="D9D9D9"/>
              <w:right w:val="single" w:sz="8" w:space="0" w:color="D9D9D9"/>
            </w:tcBorders>
            <w:shd w:val="clear" w:color="auto" w:fill="auto"/>
            <w:vAlign w:val="center"/>
            <w:hideMark/>
          </w:tcPr>
          <w:p w14:paraId="53A2CF75"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6.500.000,00</w:t>
            </w:r>
          </w:p>
        </w:tc>
      </w:tr>
      <w:tr w:rsidR="000125D4" w:rsidRPr="0043746B" w14:paraId="5D0B1D76" w14:textId="77777777" w:rsidTr="000125D4">
        <w:trPr>
          <w:trHeight w:val="502"/>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14:paraId="459F2AEB"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 xml:space="preserve">Servicios de no consultoría </w:t>
            </w:r>
          </w:p>
        </w:tc>
        <w:tc>
          <w:tcPr>
            <w:tcW w:w="917" w:type="dxa"/>
            <w:tcBorders>
              <w:top w:val="nil"/>
              <w:left w:val="nil"/>
              <w:bottom w:val="single" w:sz="8" w:space="0" w:color="BFBFBF"/>
              <w:right w:val="single" w:sz="8" w:space="0" w:color="BFBFBF"/>
            </w:tcBorders>
            <w:shd w:val="clear" w:color="000000" w:fill="BFBFBF"/>
            <w:vAlign w:val="center"/>
            <w:hideMark/>
          </w:tcPr>
          <w:p w14:paraId="063E4DF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14:paraId="1F41D95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14:paraId="3C3BCBED"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r>
      <w:tr w:rsidR="000125D4" w:rsidRPr="0043746B" w14:paraId="3FD1D38A" w14:textId="77777777" w:rsidTr="000125D4">
        <w:trPr>
          <w:trHeight w:val="520"/>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14:paraId="0E7613F5"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Gastos relacionados con Educación financiera y protección del consumidor (Varios procesos a lo largo de la vida del proyecto)</w:t>
            </w:r>
          </w:p>
        </w:tc>
        <w:tc>
          <w:tcPr>
            <w:tcW w:w="917" w:type="dxa"/>
            <w:tcBorders>
              <w:top w:val="nil"/>
              <w:left w:val="nil"/>
              <w:bottom w:val="single" w:sz="8" w:space="0" w:color="D9D9D9"/>
              <w:right w:val="single" w:sz="8" w:space="0" w:color="D9D9D9"/>
            </w:tcBorders>
            <w:shd w:val="clear" w:color="auto" w:fill="auto"/>
            <w:vAlign w:val="center"/>
            <w:hideMark/>
          </w:tcPr>
          <w:p w14:paraId="62E85A8B"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CP</w:t>
            </w:r>
          </w:p>
        </w:tc>
        <w:tc>
          <w:tcPr>
            <w:tcW w:w="2143" w:type="dxa"/>
            <w:tcBorders>
              <w:top w:val="nil"/>
              <w:left w:val="nil"/>
              <w:bottom w:val="single" w:sz="8" w:space="0" w:color="D9D9D9"/>
              <w:right w:val="single" w:sz="8" w:space="0" w:color="D9D9D9"/>
            </w:tcBorders>
            <w:shd w:val="clear" w:color="auto" w:fill="auto"/>
            <w:vAlign w:val="center"/>
            <w:hideMark/>
          </w:tcPr>
          <w:p w14:paraId="06E67DB6"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14:paraId="5371623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1.000.000,00</w:t>
            </w:r>
          </w:p>
        </w:tc>
      </w:tr>
      <w:tr w:rsidR="000125D4" w:rsidRPr="0043746B" w14:paraId="51D7D235" w14:textId="77777777" w:rsidTr="000125D4">
        <w:trPr>
          <w:trHeight w:val="565"/>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14:paraId="6FAD1CC3"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Gastos logísticos (realización de eventos/ Talleres/ Seminarios) (Varios procesos a lo largo de la vida del proyecto)</w:t>
            </w:r>
          </w:p>
        </w:tc>
        <w:tc>
          <w:tcPr>
            <w:tcW w:w="917" w:type="dxa"/>
            <w:tcBorders>
              <w:top w:val="nil"/>
              <w:left w:val="nil"/>
              <w:bottom w:val="single" w:sz="8" w:space="0" w:color="BFBFBF"/>
              <w:right w:val="single" w:sz="8" w:space="0" w:color="D9D9D9"/>
            </w:tcBorders>
            <w:shd w:val="clear" w:color="auto" w:fill="auto"/>
            <w:vAlign w:val="center"/>
            <w:hideMark/>
          </w:tcPr>
          <w:p w14:paraId="5F35578E"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CP</w:t>
            </w:r>
          </w:p>
        </w:tc>
        <w:tc>
          <w:tcPr>
            <w:tcW w:w="2143" w:type="dxa"/>
            <w:tcBorders>
              <w:top w:val="nil"/>
              <w:left w:val="nil"/>
              <w:bottom w:val="single" w:sz="8" w:space="0" w:color="BFBFBF"/>
              <w:right w:val="single" w:sz="8" w:space="0" w:color="D9D9D9"/>
            </w:tcBorders>
            <w:shd w:val="clear" w:color="auto" w:fill="auto"/>
            <w:vAlign w:val="center"/>
            <w:hideMark/>
          </w:tcPr>
          <w:p w14:paraId="1C6CC006"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nil"/>
              <w:right w:val="single" w:sz="8" w:space="0" w:color="D9D9D9"/>
            </w:tcBorders>
            <w:shd w:val="clear" w:color="auto" w:fill="auto"/>
            <w:vAlign w:val="center"/>
            <w:hideMark/>
          </w:tcPr>
          <w:p w14:paraId="130F6D11"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400.000,00 </w:t>
            </w:r>
          </w:p>
        </w:tc>
      </w:tr>
      <w:tr w:rsidR="000125D4" w:rsidRPr="0043746B" w14:paraId="7B71B1A7" w14:textId="77777777" w:rsidTr="000125D4">
        <w:trPr>
          <w:trHeight w:val="324"/>
          <w:jc w:val="center"/>
        </w:trPr>
        <w:tc>
          <w:tcPr>
            <w:tcW w:w="3950" w:type="dxa"/>
            <w:tcBorders>
              <w:top w:val="nil"/>
              <w:left w:val="single" w:sz="8" w:space="0" w:color="BFBFBF"/>
              <w:bottom w:val="nil"/>
              <w:right w:val="single" w:sz="8" w:space="0" w:color="BFBFBF"/>
            </w:tcBorders>
            <w:shd w:val="clear" w:color="000000" w:fill="BFBFBF"/>
            <w:vAlign w:val="center"/>
            <w:hideMark/>
          </w:tcPr>
          <w:p w14:paraId="5FA81B76"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Firmas</w:t>
            </w:r>
          </w:p>
        </w:tc>
        <w:tc>
          <w:tcPr>
            <w:tcW w:w="917" w:type="dxa"/>
            <w:tcBorders>
              <w:top w:val="nil"/>
              <w:left w:val="nil"/>
              <w:bottom w:val="nil"/>
              <w:right w:val="single" w:sz="8" w:space="0" w:color="BFBFBF"/>
            </w:tcBorders>
            <w:shd w:val="clear" w:color="000000" w:fill="BFBFBF"/>
            <w:vAlign w:val="center"/>
            <w:hideMark/>
          </w:tcPr>
          <w:p w14:paraId="4F326066"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nil"/>
              <w:right w:val="single" w:sz="8" w:space="0" w:color="BFBFBF"/>
            </w:tcBorders>
            <w:shd w:val="clear" w:color="000000" w:fill="BFBFBF"/>
            <w:vAlign w:val="center"/>
            <w:hideMark/>
          </w:tcPr>
          <w:p w14:paraId="5AA8FD6C"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1620" w:type="dxa"/>
            <w:tcBorders>
              <w:top w:val="nil"/>
              <w:left w:val="nil"/>
              <w:bottom w:val="nil"/>
              <w:right w:val="single" w:sz="8" w:space="0" w:color="BFBFBF"/>
            </w:tcBorders>
            <w:shd w:val="clear" w:color="000000" w:fill="BFBFBF"/>
            <w:vAlign w:val="center"/>
            <w:hideMark/>
          </w:tcPr>
          <w:p w14:paraId="200F064E"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r>
      <w:tr w:rsidR="000125D4" w:rsidRPr="0043746B" w14:paraId="2D061602" w14:textId="77777777" w:rsidTr="000125D4">
        <w:trPr>
          <w:trHeight w:val="655"/>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14:paraId="53B95345"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Firma Consultora para estudios y capacitación de los hacedores de políticas que promuevan reformas normativas. </w:t>
            </w:r>
          </w:p>
        </w:tc>
        <w:tc>
          <w:tcPr>
            <w:tcW w:w="917" w:type="dxa"/>
            <w:tcBorders>
              <w:top w:val="single" w:sz="8" w:space="0" w:color="D9D9D9"/>
              <w:left w:val="nil"/>
              <w:bottom w:val="single" w:sz="8" w:space="0" w:color="D9D9D9"/>
              <w:right w:val="single" w:sz="8" w:space="0" w:color="D9D9D9"/>
            </w:tcBorders>
            <w:shd w:val="clear" w:color="auto" w:fill="auto"/>
            <w:vAlign w:val="center"/>
            <w:hideMark/>
          </w:tcPr>
          <w:p w14:paraId="07BC64CC"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SBCC</w:t>
            </w:r>
          </w:p>
        </w:tc>
        <w:tc>
          <w:tcPr>
            <w:tcW w:w="2143" w:type="dxa"/>
            <w:tcBorders>
              <w:top w:val="single" w:sz="8" w:space="0" w:color="D9D9D9"/>
              <w:left w:val="nil"/>
              <w:bottom w:val="single" w:sz="8" w:space="0" w:color="D9D9D9"/>
              <w:right w:val="single" w:sz="8" w:space="0" w:color="D9D9D9"/>
            </w:tcBorders>
            <w:shd w:val="clear" w:color="auto" w:fill="auto"/>
            <w:vAlign w:val="center"/>
            <w:hideMark/>
          </w:tcPr>
          <w:p w14:paraId="61739AB5"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single" w:sz="8" w:space="0" w:color="D9D9D9"/>
              <w:left w:val="nil"/>
              <w:bottom w:val="single" w:sz="8" w:space="0" w:color="D9D9D9"/>
              <w:right w:val="single" w:sz="8" w:space="0" w:color="D9D9D9"/>
            </w:tcBorders>
            <w:shd w:val="clear" w:color="auto" w:fill="auto"/>
            <w:vAlign w:val="center"/>
            <w:hideMark/>
          </w:tcPr>
          <w:p w14:paraId="2B02FF3A"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500.000,00 </w:t>
            </w:r>
          </w:p>
        </w:tc>
      </w:tr>
      <w:tr w:rsidR="000125D4" w:rsidRPr="0043746B" w14:paraId="3BBC328F" w14:textId="77777777" w:rsidTr="000125D4">
        <w:trPr>
          <w:trHeight w:val="430"/>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14:paraId="5D871E92"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Firma Consultora para Encuesta de demanda de servicios financieros </w:t>
            </w:r>
          </w:p>
        </w:tc>
        <w:tc>
          <w:tcPr>
            <w:tcW w:w="917" w:type="dxa"/>
            <w:tcBorders>
              <w:top w:val="nil"/>
              <w:left w:val="nil"/>
              <w:bottom w:val="single" w:sz="8" w:space="0" w:color="D9D9D9"/>
              <w:right w:val="single" w:sz="8" w:space="0" w:color="D9D9D9"/>
            </w:tcBorders>
            <w:shd w:val="clear" w:color="auto" w:fill="auto"/>
            <w:vAlign w:val="center"/>
            <w:hideMark/>
          </w:tcPr>
          <w:p w14:paraId="23ACAAB2"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SBCC</w:t>
            </w:r>
          </w:p>
        </w:tc>
        <w:tc>
          <w:tcPr>
            <w:tcW w:w="2143" w:type="dxa"/>
            <w:tcBorders>
              <w:top w:val="nil"/>
              <w:left w:val="nil"/>
              <w:bottom w:val="single" w:sz="8" w:space="0" w:color="D9D9D9"/>
              <w:right w:val="single" w:sz="8" w:space="0" w:color="D9D9D9"/>
            </w:tcBorders>
            <w:shd w:val="clear" w:color="auto" w:fill="auto"/>
            <w:vAlign w:val="center"/>
            <w:hideMark/>
          </w:tcPr>
          <w:p w14:paraId="321D387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14:paraId="260C2A36"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500.000,00 </w:t>
            </w:r>
          </w:p>
        </w:tc>
      </w:tr>
      <w:tr w:rsidR="000125D4" w:rsidRPr="0043746B" w14:paraId="2A1C6172" w14:textId="77777777" w:rsidTr="000125D4">
        <w:trPr>
          <w:trHeight w:val="421"/>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14:paraId="3DEC62BA"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Firma para Desarrollo e Implementación de Estadísticas, Indicadores, para el mercado.</w:t>
            </w:r>
          </w:p>
        </w:tc>
        <w:tc>
          <w:tcPr>
            <w:tcW w:w="917" w:type="dxa"/>
            <w:tcBorders>
              <w:top w:val="nil"/>
              <w:left w:val="nil"/>
              <w:bottom w:val="single" w:sz="8" w:space="0" w:color="D9D9D9"/>
              <w:right w:val="single" w:sz="8" w:space="0" w:color="D9D9D9"/>
            </w:tcBorders>
            <w:shd w:val="clear" w:color="auto" w:fill="auto"/>
            <w:vAlign w:val="center"/>
            <w:hideMark/>
          </w:tcPr>
          <w:p w14:paraId="30945E0D"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SBCC</w:t>
            </w:r>
          </w:p>
        </w:tc>
        <w:tc>
          <w:tcPr>
            <w:tcW w:w="2143" w:type="dxa"/>
            <w:tcBorders>
              <w:top w:val="nil"/>
              <w:left w:val="nil"/>
              <w:bottom w:val="single" w:sz="8" w:space="0" w:color="D9D9D9"/>
              <w:right w:val="single" w:sz="8" w:space="0" w:color="D9D9D9"/>
            </w:tcBorders>
            <w:shd w:val="clear" w:color="auto" w:fill="auto"/>
            <w:vAlign w:val="center"/>
            <w:hideMark/>
          </w:tcPr>
          <w:p w14:paraId="46E8E274"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single" w:sz="8" w:space="0" w:color="D9D9D9"/>
              <w:right w:val="single" w:sz="8" w:space="0" w:color="D9D9D9"/>
            </w:tcBorders>
            <w:shd w:val="clear" w:color="auto" w:fill="auto"/>
            <w:vAlign w:val="center"/>
            <w:hideMark/>
          </w:tcPr>
          <w:p w14:paraId="6F444BC9"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400.000,00 </w:t>
            </w:r>
          </w:p>
        </w:tc>
      </w:tr>
      <w:tr w:rsidR="000125D4" w:rsidRPr="0043746B" w14:paraId="68FDF77D" w14:textId="77777777" w:rsidTr="000125D4">
        <w:trPr>
          <w:trHeight w:val="340"/>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14:paraId="1DD31CF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Firma Consultora para Actividades de Difusión y comunicación de la ENIF.</w:t>
            </w:r>
          </w:p>
        </w:tc>
        <w:tc>
          <w:tcPr>
            <w:tcW w:w="917" w:type="dxa"/>
            <w:tcBorders>
              <w:top w:val="nil"/>
              <w:left w:val="nil"/>
              <w:bottom w:val="single" w:sz="8" w:space="0" w:color="D9D9D9"/>
              <w:right w:val="single" w:sz="8" w:space="0" w:color="D9D9D9"/>
            </w:tcBorders>
            <w:shd w:val="clear" w:color="auto" w:fill="auto"/>
            <w:vAlign w:val="center"/>
            <w:hideMark/>
          </w:tcPr>
          <w:p w14:paraId="470B25AB"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SBCC</w:t>
            </w:r>
          </w:p>
        </w:tc>
        <w:tc>
          <w:tcPr>
            <w:tcW w:w="2143" w:type="dxa"/>
            <w:tcBorders>
              <w:top w:val="nil"/>
              <w:left w:val="nil"/>
              <w:bottom w:val="nil"/>
              <w:right w:val="single" w:sz="8" w:space="0" w:color="D9D9D9"/>
            </w:tcBorders>
            <w:shd w:val="clear" w:color="auto" w:fill="auto"/>
            <w:vAlign w:val="center"/>
            <w:hideMark/>
          </w:tcPr>
          <w:p w14:paraId="11B0E738"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nil"/>
              <w:right w:val="single" w:sz="8" w:space="0" w:color="D9D9D9"/>
            </w:tcBorders>
            <w:shd w:val="clear" w:color="auto" w:fill="auto"/>
            <w:vAlign w:val="center"/>
            <w:hideMark/>
          </w:tcPr>
          <w:p w14:paraId="4AA2F781"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200.000,00 </w:t>
            </w:r>
          </w:p>
        </w:tc>
      </w:tr>
      <w:tr w:rsidR="000125D4" w:rsidRPr="0043746B" w14:paraId="0C2C0153" w14:textId="77777777" w:rsidTr="000125D4">
        <w:trPr>
          <w:trHeight w:val="538"/>
          <w:jc w:val="center"/>
        </w:trPr>
        <w:tc>
          <w:tcPr>
            <w:tcW w:w="3950" w:type="dxa"/>
            <w:tcBorders>
              <w:top w:val="single" w:sz="8" w:space="0" w:color="BFBFBF"/>
              <w:left w:val="single" w:sz="8" w:space="0" w:color="D9D9D9"/>
              <w:bottom w:val="single" w:sz="8" w:space="0" w:color="D9D9D9"/>
              <w:right w:val="single" w:sz="8" w:space="0" w:color="D9D9D9"/>
            </w:tcBorders>
            <w:shd w:val="clear" w:color="auto" w:fill="auto"/>
            <w:vAlign w:val="bottom"/>
            <w:hideMark/>
          </w:tcPr>
          <w:p w14:paraId="720C5844"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Firma Consultora para Desarrollo e Implementación del Sistema de Monitoreo y Evaluación de la ENIF</w:t>
            </w:r>
          </w:p>
        </w:tc>
        <w:tc>
          <w:tcPr>
            <w:tcW w:w="917" w:type="dxa"/>
            <w:tcBorders>
              <w:top w:val="nil"/>
              <w:left w:val="nil"/>
              <w:bottom w:val="single" w:sz="8" w:space="0" w:color="D9D9D9"/>
              <w:right w:val="single" w:sz="8" w:space="0" w:color="D9D9D9"/>
            </w:tcBorders>
            <w:shd w:val="clear" w:color="auto" w:fill="auto"/>
            <w:vAlign w:val="center"/>
            <w:hideMark/>
          </w:tcPr>
          <w:p w14:paraId="5EA30B15"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SBCC</w:t>
            </w:r>
          </w:p>
        </w:tc>
        <w:tc>
          <w:tcPr>
            <w:tcW w:w="2143" w:type="dxa"/>
            <w:tcBorders>
              <w:top w:val="single" w:sz="8" w:space="0" w:color="D9D9D9"/>
              <w:left w:val="nil"/>
              <w:bottom w:val="single" w:sz="8" w:space="0" w:color="D9D9D9"/>
              <w:right w:val="single" w:sz="8" w:space="0" w:color="D9D9D9"/>
            </w:tcBorders>
            <w:shd w:val="clear" w:color="auto" w:fill="auto"/>
            <w:vAlign w:val="center"/>
            <w:hideMark/>
          </w:tcPr>
          <w:p w14:paraId="2FED1180"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single" w:sz="8" w:space="0" w:color="D9D9D9"/>
              <w:left w:val="nil"/>
              <w:bottom w:val="single" w:sz="8" w:space="0" w:color="D9D9D9"/>
              <w:right w:val="single" w:sz="8" w:space="0" w:color="D9D9D9"/>
            </w:tcBorders>
            <w:shd w:val="clear" w:color="auto" w:fill="auto"/>
            <w:vAlign w:val="center"/>
            <w:hideMark/>
          </w:tcPr>
          <w:p w14:paraId="34C5326B"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200.000,00 </w:t>
            </w:r>
          </w:p>
        </w:tc>
      </w:tr>
      <w:tr w:rsidR="000125D4" w:rsidRPr="0043746B" w14:paraId="5875A7B7" w14:textId="77777777" w:rsidTr="000125D4">
        <w:trPr>
          <w:trHeight w:val="324"/>
          <w:jc w:val="center"/>
        </w:trPr>
        <w:tc>
          <w:tcPr>
            <w:tcW w:w="3950" w:type="dxa"/>
            <w:tcBorders>
              <w:top w:val="nil"/>
              <w:left w:val="single" w:sz="8" w:space="0" w:color="BFBFBF"/>
              <w:bottom w:val="single" w:sz="8" w:space="0" w:color="BFBFBF"/>
              <w:right w:val="single" w:sz="8" w:space="0" w:color="BFBFBF"/>
            </w:tcBorders>
            <w:shd w:val="clear" w:color="000000" w:fill="BFBFBF"/>
            <w:vAlign w:val="center"/>
            <w:hideMark/>
          </w:tcPr>
          <w:p w14:paraId="0F3B8773" w14:textId="77777777" w:rsidR="000125D4" w:rsidRPr="0043746B" w:rsidRDefault="000125D4" w:rsidP="000125D4">
            <w:pPr>
              <w:spacing w:after="0" w:line="240" w:lineRule="auto"/>
              <w:jc w:val="both"/>
              <w:rPr>
                <w:rFonts w:asciiTheme="minorHAnsi" w:hAnsiTheme="minorHAnsi" w:cstheme="minorHAnsi"/>
                <w:b/>
                <w:bCs/>
                <w:sz w:val="20"/>
                <w:szCs w:val="20"/>
                <w:lang w:val="es-ES_tradnl"/>
              </w:rPr>
            </w:pPr>
            <w:r w:rsidRPr="0043746B">
              <w:rPr>
                <w:rFonts w:asciiTheme="minorHAnsi" w:hAnsiTheme="minorHAnsi" w:cstheme="minorHAnsi"/>
                <w:b/>
                <w:bCs/>
                <w:sz w:val="20"/>
                <w:szCs w:val="20"/>
                <w:lang w:val="es-ES_tradnl"/>
              </w:rPr>
              <w:t>Individuos</w:t>
            </w:r>
          </w:p>
        </w:tc>
        <w:tc>
          <w:tcPr>
            <w:tcW w:w="917" w:type="dxa"/>
            <w:tcBorders>
              <w:top w:val="nil"/>
              <w:left w:val="nil"/>
              <w:bottom w:val="single" w:sz="8" w:space="0" w:color="BFBFBF"/>
              <w:right w:val="single" w:sz="8" w:space="0" w:color="BFBFBF"/>
            </w:tcBorders>
            <w:shd w:val="clear" w:color="000000" w:fill="BFBFBF"/>
            <w:vAlign w:val="center"/>
            <w:hideMark/>
          </w:tcPr>
          <w:p w14:paraId="79C80663"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2143" w:type="dxa"/>
            <w:tcBorders>
              <w:top w:val="nil"/>
              <w:left w:val="nil"/>
              <w:bottom w:val="single" w:sz="8" w:space="0" w:color="BFBFBF"/>
              <w:right w:val="single" w:sz="8" w:space="0" w:color="BFBFBF"/>
            </w:tcBorders>
            <w:shd w:val="clear" w:color="000000" w:fill="BFBFBF"/>
            <w:vAlign w:val="center"/>
            <w:hideMark/>
          </w:tcPr>
          <w:p w14:paraId="09AA0C57"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c>
          <w:tcPr>
            <w:tcW w:w="1620" w:type="dxa"/>
            <w:tcBorders>
              <w:top w:val="nil"/>
              <w:left w:val="nil"/>
              <w:bottom w:val="single" w:sz="8" w:space="0" w:color="BFBFBF"/>
              <w:right w:val="single" w:sz="8" w:space="0" w:color="BFBFBF"/>
            </w:tcBorders>
            <w:shd w:val="clear" w:color="000000" w:fill="BFBFBF"/>
            <w:vAlign w:val="center"/>
            <w:hideMark/>
          </w:tcPr>
          <w:p w14:paraId="5BA80932"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w:t>
            </w:r>
          </w:p>
        </w:tc>
      </w:tr>
      <w:tr w:rsidR="000125D4" w:rsidRPr="0043746B" w14:paraId="0A586A8E" w14:textId="77777777" w:rsidTr="000125D4">
        <w:trPr>
          <w:trHeight w:val="448"/>
          <w:jc w:val="center"/>
        </w:trPr>
        <w:tc>
          <w:tcPr>
            <w:tcW w:w="3950" w:type="dxa"/>
            <w:tcBorders>
              <w:top w:val="nil"/>
              <w:left w:val="single" w:sz="8" w:space="0" w:color="D9D9D9"/>
              <w:bottom w:val="single" w:sz="8" w:space="0" w:color="D9D9D9"/>
              <w:right w:val="single" w:sz="8" w:space="0" w:color="D9D9D9"/>
            </w:tcBorders>
            <w:shd w:val="clear" w:color="auto" w:fill="auto"/>
            <w:vAlign w:val="bottom"/>
            <w:hideMark/>
          </w:tcPr>
          <w:p w14:paraId="34B00E8B"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Consultoría para Asistencia Técnica para la gestión de la estrategia.</w:t>
            </w:r>
          </w:p>
        </w:tc>
        <w:tc>
          <w:tcPr>
            <w:tcW w:w="917" w:type="dxa"/>
            <w:tcBorders>
              <w:top w:val="nil"/>
              <w:left w:val="single" w:sz="8" w:space="0" w:color="BFBFBF"/>
              <w:bottom w:val="single" w:sz="8" w:space="0" w:color="BFBFBF"/>
              <w:right w:val="single" w:sz="8" w:space="0" w:color="BFBFBF"/>
            </w:tcBorders>
            <w:shd w:val="clear" w:color="auto" w:fill="auto"/>
            <w:vAlign w:val="center"/>
            <w:hideMark/>
          </w:tcPr>
          <w:p w14:paraId="612AB606"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3cv</w:t>
            </w:r>
          </w:p>
        </w:tc>
        <w:tc>
          <w:tcPr>
            <w:tcW w:w="2143" w:type="dxa"/>
            <w:tcBorders>
              <w:top w:val="nil"/>
              <w:left w:val="nil"/>
              <w:bottom w:val="single" w:sz="8" w:space="0" w:color="BFBFBF"/>
              <w:right w:val="single" w:sz="8" w:space="0" w:color="BFBFBF"/>
            </w:tcBorders>
            <w:shd w:val="clear" w:color="auto" w:fill="auto"/>
            <w:vAlign w:val="center"/>
            <w:hideMark/>
          </w:tcPr>
          <w:p w14:paraId="3E95E19E"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2018</w:t>
            </w:r>
          </w:p>
        </w:tc>
        <w:tc>
          <w:tcPr>
            <w:tcW w:w="1620" w:type="dxa"/>
            <w:tcBorders>
              <w:top w:val="nil"/>
              <w:left w:val="nil"/>
              <w:bottom w:val="single" w:sz="8" w:space="0" w:color="BFBFBF"/>
              <w:right w:val="single" w:sz="8" w:space="0" w:color="BFBFBF"/>
            </w:tcBorders>
            <w:shd w:val="clear" w:color="auto" w:fill="auto"/>
            <w:vAlign w:val="center"/>
            <w:hideMark/>
          </w:tcPr>
          <w:p w14:paraId="16FD3149"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 xml:space="preserve">300.000,00 </w:t>
            </w:r>
          </w:p>
        </w:tc>
      </w:tr>
    </w:tbl>
    <w:p w14:paraId="7CFC836D"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 Para acceder al Plan de Adquisiciones 18 meses PA, haga clic </w:t>
      </w:r>
      <w:hyperlink r:id="rId8" w:history="1">
        <w:r w:rsidRPr="000125D4">
          <w:rPr>
            <w:rStyle w:val="Hyperlink"/>
            <w:rFonts w:asciiTheme="minorHAnsi" w:hAnsiTheme="minorHAnsi" w:cstheme="minorHAnsi"/>
            <w:sz w:val="24"/>
            <w:szCs w:val="24"/>
            <w:lang w:val="es-ES_tradnl"/>
          </w:rPr>
          <w:t>aquí</w:t>
        </w:r>
      </w:hyperlink>
      <w:r w:rsidRPr="000125D4">
        <w:rPr>
          <w:rFonts w:asciiTheme="minorHAnsi" w:hAnsiTheme="minorHAnsi" w:cstheme="minorHAnsi"/>
          <w:sz w:val="24"/>
          <w:szCs w:val="24"/>
          <w:lang w:val="es-ES_tradnl"/>
        </w:rPr>
        <w:t>.</w:t>
      </w:r>
    </w:p>
    <w:p w14:paraId="7E4AF57D" w14:textId="77777777" w:rsidR="000125D4" w:rsidRDefault="000125D4" w:rsidP="000125D4">
      <w:pPr>
        <w:spacing w:after="0" w:line="240" w:lineRule="auto"/>
        <w:jc w:val="both"/>
        <w:rPr>
          <w:rFonts w:asciiTheme="minorHAnsi" w:hAnsiTheme="minorHAnsi" w:cstheme="minorHAnsi"/>
          <w:b/>
          <w:sz w:val="24"/>
          <w:szCs w:val="24"/>
          <w:lang w:val="es-ES_tradnl"/>
        </w:rPr>
      </w:pPr>
    </w:p>
    <w:p w14:paraId="1CB8B738"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Supervisión de Adquisiciones</w:t>
      </w:r>
      <w:bookmarkEnd w:id="193"/>
    </w:p>
    <w:p w14:paraId="7559AE17" w14:textId="77777777" w:rsidR="000125D4" w:rsidRPr="000125D4" w:rsidRDefault="000125D4" w:rsidP="000125D4">
      <w:pPr>
        <w:spacing w:after="0" w:line="240" w:lineRule="auto"/>
        <w:jc w:val="both"/>
        <w:rPr>
          <w:rFonts w:asciiTheme="minorHAnsi" w:hAnsiTheme="minorHAnsi" w:cstheme="minorHAnsi"/>
          <w:sz w:val="24"/>
          <w:szCs w:val="24"/>
          <w:lang w:val="es-ES_tradnl"/>
        </w:rPr>
      </w:pPr>
      <w:bookmarkStart w:id="195" w:name="_Toc244412092"/>
      <w:r w:rsidRPr="000125D4">
        <w:rPr>
          <w:rFonts w:asciiTheme="minorHAnsi" w:hAnsiTheme="minorHAnsi" w:cstheme="minorHAnsi"/>
          <w:sz w:val="24"/>
          <w:szCs w:val="24"/>
          <w:lang w:val="es-ES_tradnl"/>
        </w:rPr>
        <w:lastRenderedPageBreak/>
        <w:t>Las adquisiciones serán supervisadas de manera ex ante con excepción de los procesos de Comparación de Precios (bienes y servicios de no consultoría inferiores a US$100 mil) y Consultoría Individual, que serán realizados de manera ex post. Las visitas de revisión ex post se realizarán, cada 12 meses. Los reportes de revisión ex</w:t>
      </w:r>
      <w:r w:rsidRPr="000125D4">
        <w:rPr>
          <w:rFonts w:asciiTheme="minorHAnsi" w:hAnsiTheme="minorHAnsi" w:cstheme="minorHAnsi"/>
          <w:sz w:val="24"/>
          <w:szCs w:val="24"/>
          <w:lang w:val="es-ES_tradnl"/>
        </w:rPr>
        <w:noBreakHyphen/>
        <w:t>post incluirán al menos una visita de inspección física, escogida de los procesos de adquisiciones sujetos a la revisión ex post. Al menos el 10% de los contratos revisados se inspeccionarán físicamente durante el programa.</w:t>
      </w:r>
    </w:p>
    <w:p w14:paraId="0C78A4E4" w14:textId="77777777" w:rsidR="000125D4" w:rsidRPr="000125D4" w:rsidRDefault="000125D4" w:rsidP="000125D4">
      <w:pPr>
        <w:spacing w:after="0" w:line="240" w:lineRule="auto"/>
        <w:jc w:val="center"/>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Cuadro 4. Límites para Revisión Ex Post</w:t>
      </w:r>
    </w:p>
    <w:tbl>
      <w:tblPr>
        <w:tblW w:w="0" w:type="auto"/>
        <w:jc w:val="center"/>
        <w:tblLayout w:type="fixed"/>
        <w:tblLook w:val="0000" w:firstRow="0" w:lastRow="0" w:firstColumn="0" w:lastColumn="0" w:noHBand="0" w:noVBand="0"/>
      </w:tblPr>
      <w:tblGrid>
        <w:gridCol w:w="3456"/>
        <w:gridCol w:w="2340"/>
      </w:tblGrid>
      <w:tr w:rsidR="000125D4" w:rsidRPr="0043746B" w14:paraId="3506B83D" w14:textId="77777777" w:rsidTr="000125D4">
        <w:trPr>
          <w:jc w:val="center"/>
        </w:trPr>
        <w:tc>
          <w:tcPr>
            <w:tcW w:w="3456" w:type="dxa"/>
            <w:tcBorders>
              <w:top w:val="single" w:sz="4" w:space="0" w:color="808080"/>
              <w:left w:val="single" w:sz="4" w:space="0" w:color="808080"/>
              <w:bottom w:val="single" w:sz="4" w:space="0" w:color="808080"/>
            </w:tcBorders>
            <w:shd w:val="clear" w:color="auto" w:fill="00B0F0"/>
          </w:tcPr>
          <w:p w14:paraId="0B5A6E1D" w14:textId="77777777" w:rsidR="000125D4" w:rsidRPr="0043746B" w:rsidRDefault="000125D4" w:rsidP="000125D4">
            <w:pPr>
              <w:spacing w:after="0" w:line="240" w:lineRule="auto"/>
              <w:jc w:val="both"/>
              <w:rPr>
                <w:rFonts w:asciiTheme="minorHAnsi" w:hAnsiTheme="minorHAnsi" w:cstheme="minorHAnsi"/>
                <w:b/>
                <w:sz w:val="20"/>
                <w:szCs w:val="20"/>
                <w:lang w:val="es-AR"/>
              </w:rPr>
            </w:pPr>
            <w:r w:rsidRPr="0043746B">
              <w:rPr>
                <w:rFonts w:asciiTheme="minorHAnsi" w:hAnsiTheme="minorHAnsi" w:cstheme="minorHAnsi"/>
                <w:b/>
                <w:sz w:val="20"/>
                <w:szCs w:val="20"/>
                <w:lang w:val="es-AR"/>
              </w:rPr>
              <w:t>Comparación de precios (Bienes y Servicios de No Consultoría)</w:t>
            </w:r>
          </w:p>
        </w:tc>
        <w:tc>
          <w:tcPr>
            <w:tcW w:w="2340" w:type="dxa"/>
            <w:tcBorders>
              <w:top w:val="single" w:sz="4" w:space="0" w:color="808080"/>
              <w:left w:val="single" w:sz="4" w:space="0" w:color="808080"/>
              <w:bottom w:val="single" w:sz="4" w:space="0" w:color="808080"/>
              <w:right w:val="single" w:sz="4" w:space="0" w:color="808080"/>
            </w:tcBorders>
            <w:shd w:val="clear" w:color="auto" w:fill="00B0F0"/>
          </w:tcPr>
          <w:p w14:paraId="273EF340" w14:textId="77777777" w:rsidR="000125D4" w:rsidRPr="0043746B" w:rsidRDefault="000125D4" w:rsidP="000125D4">
            <w:pPr>
              <w:spacing w:after="0" w:line="240" w:lineRule="auto"/>
              <w:jc w:val="both"/>
              <w:rPr>
                <w:rFonts w:asciiTheme="minorHAnsi" w:hAnsiTheme="minorHAnsi" w:cstheme="minorHAnsi"/>
                <w:b/>
                <w:sz w:val="20"/>
                <w:szCs w:val="20"/>
                <w:lang w:val="es-AR"/>
              </w:rPr>
            </w:pPr>
            <w:r w:rsidRPr="0043746B">
              <w:rPr>
                <w:rFonts w:asciiTheme="minorHAnsi" w:hAnsiTheme="minorHAnsi" w:cstheme="minorHAnsi"/>
                <w:b/>
                <w:sz w:val="20"/>
                <w:szCs w:val="20"/>
                <w:lang w:val="es-AR"/>
              </w:rPr>
              <w:t>Consultoría Individual</w:t>
            </w:r>
          </w:p>
        </w:tc>
      </w:tr>
      <w:tr w:rsidR="000125D4" w:rsidRPr="0043746B" w14:paraId="74AE6C74" w14:textId="77777777" w:rsidTr="000125D4">
        <w:trPr>
          <w:trHeight w:val="293"/>
          <w:jc w:val="center"/>
        </w:trPr>
        <w:tc>
          <w:tcPr>
            <w:tcW w:w="3456" w:type="dxa"/>
            <w:tcBorders>
              <w:top w:val="single" w:sz="4" w:space="0" w:color="808080"/>
              <w:left w:val="single" w:sz="4" w:space="0" w:color="808080"/>
              <w:bottom w:val="single" w:sz="4" w:space="0" w:color="808080"/>
            </w:tcBorders>
            <w:shd w:val="clear" w:color="auto" w:fill="auto"/>
          </w:tcPr>
          <w:p w14:paraId="5DD6DBC4"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&lt;100.000</w:t>
            </w:r>
          </w:p>
        </w:tc>
        <w:tc>
          <w:tcPr>
            <w:tcW w:w="2340" w:type="dxa"/>
            <w:tcBorders>
              <w:top w:val="single" w:sz="4" w:space="0" w:color="808080"/>
              <w:left w:val="single" w:sz="4" w:space="0" w:color="808080"/>
              <w:bottom w:val="single" w:sz="4" w:space="0" w:color="808080"/>
              <w:right w:val="single" w:sz="4" w:space="0" w:color="808080"/>
            </w:tcBorders>
            <w:shd w:val="clear" w:color="auto" w:fill="auto"/>
          </w:tcPr>
          <w:p w14:paraId="16B9E5B7" w14:textId="77777777" w:rsidR="000125D4" w:rsidRPr="0043746B" w:rsidRDefault="000125D4" w:rsidP="000125D4">
            <w:pPr>
              <w:spacing w:after="0" w:line="240" w:lineRule="auto"/>
              <w:jc w:val="both"/>
              <w:rPr>
                <w:rFonts w:asciiTheme="minorHAnsi" w:hAnsiTheme="minorHAnsi" w:cstheme="minorHAnsi"/>
                <w:sz w:val="20"/>
                <w:szCs w:val="20"/>
                <w:lang w:val="es-ES_tradnl"/>
              </w:rPr>
            </w:pPr>
            <w:r w:rsidRPr="0043746B">
              <w:rPr>
                <w:rFonts w:asciiTheme="minorHAnsi" w:hAnsiTheme="minorHAnsi" w:cstheme="minorHAnsi"/>
                <w:sz w:val="20"/>
                <w:szCs w:val="20"/>
                <w:lang w:val="es-ES_tradnl"/>
              </w:rPr>
              <w:t>&lt;50.000</w:t>
            </w:r>
          </w:p>
        </w:tc>
      </w:tr>
    </w:tbl>
    <w:p w14:paraId="62838936"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Nota: Los montos límites establecidos para revisión ex-post se aplican en función de la capacidad fiduciaria de ejecución del OE y pueden ser modificados por el Banco en la medida que tal capacidad varíe.</w:t>
      </w:r>
    </w:p>
    <w:p w14:paraId="6B33CC2F" w14:textId="77777777" w:rsidR="000125D4" w:rsidRDefault="000125D4" w:rsidP="000125D4">
      <w:pPr>
        <w:spacing w:after="0" w:line="240" w:lineRule="auto"/>
        <w:jc w:val="both"/>
        <w:rPr>
          <w:rFonts w:asciiTheme="minorHAnsi" w:hAnsiTheme="minorHAnsi" w:cstheme="minorHAnsi"/>
          <w:b/>
          <w:sz w:val="24"/>
          <w:szCs w:val="24"/>
          <w:lang w:val="es-ES_tradnl"/>
        </w:rPr>
      </w:pPr>
    </w:p>
    <w:p w14:paraId="3D2D12AC"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Disposiciones especiales</w:t>
      </w:r>
      <w:bookmarkEnd w:id="195"/>
    </w:p>
    <w:p w14:paraId="05322409" w14:textId="77777777" w:rsidR="000125D4" w:rsidRPr="000125D4" w:rsidRDefault="000125D4" w:rsidP="00E8744D">
      <w:pPr>
        <w:numPr>
          <w:ilvl w:val="0"/>
          <w:numId w:val="18"/>
        </w:numPr>
        <w:spacing w:after="0" w:line="240" w:lineRule="auto"/>
        <w:jc w:val="both"/>
        <w:rPr>
          <w:rFonts w:asciiTheme="minorHAnsi" w:hAnsiTheme="minorHAnsi" w:cstheme="minorHAnsi"/>
          <w:sz w:val="24"/>
          <w:szCs w:val="24"/>
          <w:lang w:val="es-ES_tradnl"/>
        </w:rPr>
      </w:pPr>
      <w:bookmarkStart w:id="196" w:name="_Toc244412094"/>
      <w:bookmarkStart w:id="197" w:name="_Toc244412099"/>
      <w:r w:rsidRPr="000125D4">
        <w:rPr>
          <w:rFonts w:asciiTheme="minorHAnsi" w:hAnsiTheme="minorHAnsi" w:cstheme="minorHAnsi"/>
          <w:b/>
          <w:sz w:val="24"/>
          <w:szCs w:val="24"/>
          <w:lang w:val="es-ES_tradnl"/>
        </w:rPr>
        <w:t>Medidas para reducir las probabilidades de corrupción:</w:t>
      </w:r>
      <w:r w:rsidRPr="000125D4">
        <w:rPr>
          <w:rFonts w:asciiTheme="minorHAnsi" w:hAnsiTheme="minorHAnsi" w:cstheme="minorHAnsi"/>
          <w:sz w:val="24"/>
          <w:szCs w:val="24"/>
          <w:lang w:val="es-ES_tradnl"/>
        </w:rPr>
        <w:t xml:space="preserve"> </w:t>
      </w:r>
      <w:bookmarkStart w:id="198" w:name="_Toc244412096"/>
      <w:bookmarkEnd w:id="196"/>
      <w:r w:rsidRPr="000125D4">
        <w:rPr>
          <w:rFonts w:asciiTheme="minorHAnsi" w:hAnsiTheme="minorHAnsi" w:cstheme="minorHAnsi"/>
          <w:sz w:val="24"/>
          <w:szCs w:val="24"/>
          <w:lang w:val="es-ES_tradnl"/>
        </w:rPr>
        <w:t>Atender las disposiciones de las políticas GN-2349-9 y 2350-9 en cuanto a prácticas prohibidas. También será deber del ejecutor revisar el listado de firmas y personas sancionadas para participar en procesos financiados por la Banca Multilateral.</w:t>
      </w:r>
    </w:p>
    <w:p w14:paraId="6F9D0EAF" w14:textId="77777777" w:rsidR="000125D4" w:rsidRPr="000125D4" w:rsidRDefault="000125D4" w:rsidP="00E8744D">
      <w:pPr>
        <w:numPr>
          <w:ilvl w:val="0"/>
          <w:numId w:val="18"/>
        </w:num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 xml:space="preserve">Otros Procedimientos especiales: </w:t>
      </w:r>
      <w:bookmarkEnd w:id="198"/>
      <w:r w:rsidRPr="000125D4">
        <w:rPr>
          <w:rFonts w:asciiTheme="minorHAnsi" w:hAnsiTheme="minorHAnsi" w:cstheme="minorHAnsi"/>
          <w:sz w:val="24"/>
          <w:szCs w:val="24"/>
          <w:lang w:val="es-ES_tradnl"/>
        </w:rPr>
        <w:t>Mantener el PA actualizado de acuerdo con las necesidades del proyecto e integrado a la planificación del mismo.</w:t>
      </w:r>
    </w:p>
    <w:p w14:paraId="77495039" w14:textId="77777777" w:rsidR="000125D4" w:rsidRPr="000125D4" w:rsidRDefault="000125D4" w:rsidP="00E8744D">
      <w:pPr>
        <w:numPr>
          <w:ilvl w:val="0"/>
          <w:numId w:val="18"/>
        </w:num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 xml:space="preserve">Registros y Archivos: </w:t>
      </w:r>
      <w:r w:rsidRPr="000125D4">
        <w:rPr>
          <w:rFonts w:asciiTheme="minorHAnsi" w:hAnsiTheme="minorHAnsi" w:cstheme="minorHAnsi"/>
          <w:sz w:val="24"/>
          <w:szCs w:val="24"/>
          <w:lang w:val="es-ES_tradnl"/>
        </w:rPr>
        <w:t>La UCP será la encargada de mantener los archivos de adquisiciones del proyecto. Para la preparación y archivo de los reportes del proyecto se</w:t>
      </w:r>
      <w:r w:rsidRPr="000125D4">
        <w:rPr>
          <w:rFonts w:asciiTheme="minorHAnsi" w:hAnsiTheme="minorHAnsi" w:cstheme="minorHAnsi"/>
          <w:b/>
          <w:sz w:val="24"/>
          <w:szCs w:val="24"/>
          <w:lang w:val="es-ES_tradnl"/>
        </w:rPr>
        <w:t xml:space="preserve"> </w:t>
      </w:r>
      <w:r w:rsidRPr="000125D4">
        <w:rPr>
          <w:rFonts w:asciiTheme="minorHAnsi" w:hAnsiTheme="minorHAnsi" w:cstheme="minorHAnsi"/>
          <w:sz w:val="24"/>
          <w:szCs w:val="24"/>
          <w:lang w:val="es-ES_tradnl"/>
        </w:rPr>
        <w:t>deben utilizar los formatos o procedimientos que han sido acordados y están descritos en el Reglamento Operativo del proyecto.</w:t>
      </w:r>
    </w:p>
    <w:p w14:paraId="52979643" w14:textId="77777777" w:rsidR="000125D4" w:rsidRDefault="000125D4" w:rsidP="000125D4">
      <w:pPr>
        <w:spacing w:after="0" w:line="240" w:lineRule="auto"/>
        <w:jc w:val="both"/>
        <w:rPr>
          <w:rFonts w:asciiTheme="minorHAnsi" w:hAnsiTheme="minorHAnsi" w:cstheme="minorHAnsi"/>
          <w:b/>
          <w:sz w:val="24"/>
          <w:szCs w:val="24"/>
          <w:lang w:val="es-ES_tradnl"/>
        </w:rPr>
      </w:pPr>
    </w:p>
    <w:p w14:paraId="1C6C7669"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Registros y Archivos</w:t>
      </w:r>
      <w:bookmarkEnd w:id="197"/>
    </w:p>
    <w:p w14:paraId="08076D78"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La documentación de los procesos de adquisiciones llevadas a cabo por el Organismo Ejecutor, estarán en las oficinas de la UCP, y esta secretaría será la responsable de mantener los registros y archivos debidamente ordenados, clasificados y actualizados con toda la documentación que generen los procesos de adquisición y contratación</w:t>
      </w:r>
      <w:r w:rsidRPr="000125D4">
        <w:rPr>
          <w:rFonts w:asciiTheme="minorHAnsi" w:hAnsiTheme="minorHAnsi" w:cstheme="minorHAnsi"/>
          <w:i/>
          <w:sz w:val="24"/>
          <w:szCs w:val="24"/>
          <w:lang w:val="es-ES_tradnl"/>
        </w:rPr>
        <w:t xml:space="preserve">. </w:t>
      </w:r>
      <w:r w:rsidRPr="000125D4">
        <w:rPr>
          <w:rFonts w:asciiTheme="minorHAnsi" w:hAnsiTheme="minorHAnsi" w:cstheme="minorHAnsi"/>
          <w:sz w:val="24"/>
          <w:szCs w:val="24"/>
          <w:lang w:val="es-ES_tradnl"/>
        </w:rPr>
        <w:t>Para la preparación y archivo de los reportes del proyecto se deben utilizar los formatos o procedimientos que han sido acordados y están descritos en el Reglamento Operativo del proyecto.</w:t>
      </w:r>
    </w:p>
    <w:p w14:paraId="1FFF4779"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1F65AD3F" w14:textId="77777777" w:rsidR="000125D4" w:rsidRPr="00FF5624" w:rsidRDefault="000125D4" w:rsidP="00E8744D">
      <w:pPr>
        <w:pStyle w:val="Heading1"/>
        <w:numPr>
          <w:ilvl w:val="0"/>
          <w:numId w:val="5"/>
        </w:numPr>
        <w:rPr>
          <w:rFonts w:asciiTheme="minorHAnsi" w:hAnsiTheme="minorHAnsi" w:cstheme="minorHAnsi"/>
          <w:sz w:val="28"/>
          <w:szCs w:val="28"/>
        </w:rPr>
      </w:pPr>
      <w:r w:rsidRPr="00FF5624">
        <w:rPr>
          <w:rFonts w:asciiTheme="minorHAnsi" w:hAnsiTheme="minorHAnsi" w:cstheme="minorHAnsi"/>
          <w:sz w:val="28"/>
          <w:szCs w:val="28"/>
        </w:rPr>
        <w:t>Acuerdos y Requisitos para la Gestión Financiera</w:t>
      </w:r>
    </w:p>
    <w:p w14:paraId="1AB41DE2" w14:textId="77777777" w:rsidR="000125D4" w:rsidRDefault="000125D4" w:rsidP="000125D4">
      <w:pPr>
        <w:spacing w:after="0" w:line="240" w:lineRule="auto"/>
        <w:jc w:val="both"/>
        <w:rPr>
          <w:rFonts w:asciiTheme="minorHAnsi" w:hAnsiTheme="minorHAnsi" w:cstheme="minorHAnsi"/>
          <w:b/>
          <w:sz w:val="24"/>
          <w:szCs w:val="24"/>
          <w:lang w:val="es-ES_tradnl"/>
        </w:rPr>
      </w:pPr>
    </w:p>
    <w:p w14:paraId="0AEB3255"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Programación y Presupuesto</w:t>
      </w:r>
      <w:r w:rsidRPr="000125D4" w:rsidDel="002875B3">
        <w:rPr>
          <w:rFonts w:asciiTheme="minorHAnsi" w:hAnsiTheme="minorHAnsi" w:cstheme="minorHAnsi"/>
          <w:sz w:val="24"/>
          <w:szCs w:val="24"/>
          <w:lang w:val="es-ES_tradnl"/>
        </w:rPr>
        <w:t xml:space="preserve"> </w:t>
      </w:r>
    </w:p>
    <w:p w14:paraId="7BF6A870" w14:textId="77777777" w:rsidR="000125D4" w:rsidRPr="000125D4" w:rsidRDefault="000125D4" w:rsidP="00E8744D">
      <w:pPr>
        <w:numPr>
          <w:ilvl w:val="0"/>
          <w:numId w:val="20"/>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El responsable del proceso de formulación y programación del presupuesto anual es la UCP quien se encarga de realizar todos los procedimientos conducentes a la consolidación del presupuesto anual para su aprobación. </w:t>
      </w:r>
    </w:p>
    <w:p w14:paraId="40A8CE6B" w14:textId="77777777" w:rsidR="000125D4" w:rsidRPr="000125D4" w:rsidRDefault="000125D4" w:rsidP="00E8744D">
      <w:pPr>
        <w:numPr>
          <w:ilvl w:val="0"/>
          <w:numId w:val="20"/>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lastRenderedPageBreak/>
        <w:t>A medida que surgen necesidades de ampliaciones o reasignaciones de partidas, la UCP solicita las modificaciones encargándose de gestionar su aprobación. Los créditos presupuestarios se ejecutan mediante cuotas de compromiso trimestrales y mensuales de devengado, las cuales son asignadas por la Oficina Nacional de Presupuesto.</w:t>
      </w:r>
    </w:p>
    <w:p w14:paraId="2703B0EB" w14:textId="77777777" w:rsidR="000125D4" w:rsidRPr="000125D4" w:rsidRDefault="000125D4" w:rsidP="00E8744D">
      <w:pPr>
        <w:numPr>
          <w:ilvl w:val="0"/>
          <w:numId w:val="20"/>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No se anticipan dificultades para el manejo presupuestario que afecten la ejecución. </w:t>
      </w:r>
    </w:p>
    <w:p w14:paraId="53A6FD3D" w14:textId="77777777" w:rsidR="000125D4" w:rsidRDefault="000125D4" w:rsidP="000125D4">
      <w:pPr>
        <w:spacing w:after="0" w:line="240" w:lineRule="auto"/>
        <w:jc w:val="both"/>
        <w:rPr>
          <w:rFonts w:asciiTheme="minorHAnsi" w:hAnsiTheme="minorHAnsi" w:cstheme="minorHAnsi"/>
          <w:b/>
          <w:sz w:val="24"/>
          <w:szCs w:val="24"/>
          <w:lang w:val="es-ES_tradnl"/>
        </w:rPr>
      </w:pPr>
    </w:p>
    <w:p w14:paraId="484DED25"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Tesorería y Gestión de Desembolsos</w:t>
      </w:r>
    </w:p>
    <w:p w14:paraId="708F7211" w14:textId="77777777" w:rsidR="000125D4" w:rsidRPr="000125D4" w:rsidRDefault="000125D4" w:rsidP="00E8744D">
      <w:pPr>
        <w:numPr>
          <w:ilvl w:val="0"/>
          <w:numId w:val="21"/>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Los desembolsos se realizarán con base en un plan financiero detallado, cuyo modelo ha sido acordado con las autoridades del Ministerio de Hacienda y Finanzas Públicas y Jefatura de Gabinete de Ministros.</w:t>
      </w:r>
    </w:p>
    <w:p w14:paraId="4A17D6E8" w14:textId="77777777" w:rsidR="000125D4" w:rsidRDefault="000125D4" w:rsidP="000125D4">
      <w:pPr>
        <w:spacing w:after="0" w:line="240" w:lineRule="auto"/>
        <w:jc w:val="both"/>
        <w:rPr>
          <w:rFonts w:asciiTheme="minorHAnsi" w:hAnsiTheme="minorHAnsi" w:cstheme="minorHAnsi"/>
          <w:b/>
          <w:sz w:val="24"/>
          <w:szCs w:val="24"/>
          <w:lang w:val="es-ES_tradnl"/>
        </w:rPr>
      </w:pPr>
    </w:p>
    <w:p w14:paraId="0F9C6F4E"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Contabilidad, Sistemas de Información y Generación de Reportes</w:t>
      </w:r>
    </w:p>
    <w:p w14:paraId="7F66C1D3"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La UCP utilizará el sistema UEPEX como sistema de administración financiera. El registro de la contabilidad se hará en base de caja y se seguirán las Normas Internacionales de Información Financiera cuando aplique de acuerdo con los criterios nacionales establecidos. Los informes financieros requeridos serán: (i) Plan de Ejecución Financiera para hasta 180 días posteriores a la solicitud de anticipos; (ii) estados financieros anuales auditados, según lo estipulado en el artículo 7.03 inciso (a) de las Normas Generales del Contrato de Préstamo; y (iii) otros informes a ser requeridos por los especialistas fiduciarios. </w:t>
      </w:r>
    </w:p>
    <w:p w14:paraId="2426A83A" w14:textId="77777777" w:rsidR="000125D4" w:rsidRDefault="000125D4" w:rsidP="000125D4">
      <w:pPr>
        <w:spacing w:after="0" w:line="240" w:lineRule="auto"/>
        <w:jc w:val="both"/>
        <w:rPr>
          <w:rFonts w:asciiTheme="minorHAnsi" w:hAnsiTheme="minorHAnsi" w:cstheme="minorHAnsi"/>
          <w:b/>
          <w:sz w:val="24"/>
          <w:szCs w:val="24"/>
          <w:lang w:val="es-ES_tradnl"/>
        </w:rPr>
      </w:pPr>
    </w:p>
    <w:p w14:paraId="7A10742F"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Control Interno y Auditoría Interna</w:t>
      </w:r>
    </w:p>
    <w:p w14:paraId="64463B57" w14:textId="77777777" w:rsidR="000125D4" w:rsidRDefault="000125D4" w:rsidP="000125D4">
      <w:pPr>
        <w:spacing w:after="0" w:line="240" w:lineRule="auto"/>
        <w:jc w:val="both"/>
        <w:rPr>
          <w:rFonts w:asciiTheme="minorHAnsi" w:hAnsiTheme="minorHAnsi" w:cstheme="minorHAnsi"/>
          <w:sz w:val="24"/>
          <w:szCs w:val="24"/>
          <w:lang w:val="es-ES_tradnl"/>
        </w:rPr>
      </w:pPr>
    </w:p>
    <w:p w14:paraId="755F53A4"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El ente nacional de Control Interno es la Sindicatura General de la Nación (SIGEN). La auditoría interna de cada OE se realiza por intermedio de la Unidad de Auditoría Interna (UAI). Dicha unidad, dependiente en forma directa del ministro, es la encargada de efectuar las auditorias y recomendaciones de acuerdo con las facultades conferidas por la Ley 24.156 (Ley de Administración Financiera). </w:t>
      </w:r>
    </w:p>
    <w:p w14:paraId="6518AF04" w14:textId="77777777" w:rsidR="000125D4" w:rsidRDefault="000125D4" w:rsidP="000125D4">
      <w:pPr>
        <w:spacing w:after="0" w:line="240" w:lineRule="auto"/>
        <w:jc w:val="both"/>
        <w:rPr>
          <w:rFonts w:asciiTheme="minorHAnsi" w:hAnsiTheme="minorHAnsi" w:cstheme="minorHAnsi"/>
          <w:b/>
          <w:sz w:val="24"/>
          <w:szCs w:val="24"/>
          <w:lang w:val="es-ES_tradnl"/>
        </w:rPr>
      </w:pPr>
    </w:p>
    <w:p w14:paraId="7EFF10C7" w14:textId="77777777" w:rsidR="000125D4" w:rsidRPr="000125D4" w:rsidRDefault="000125D4" w:rsidP="000125D4">
      <w:p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b/>
          <w:sz w:val="24"/>
          <w:szCs w:val="24"/>
          <w:lang w:val="es-ES_tradnl"/>
        </w:rPr>
        <w:t>Control Externo: Auditoría Financiera Externa e Informes de los Proyectos</w:t>
      </w:r>
    </w:p>
    <w:p w14:paraId="1A33AAD1" w14:textId="77777777" w:rsidR="000125D4" w:rsidRPr="000125D4" w:rsidRDefault="000125D4" w:rsidP="00E8744D">
      <w:pPr>
        <w:numPr>
          <w:ilvl w:val="0"/>
          <w:numId w:val="22"/>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En el año 2011 el Banco concluyó un diagnóstico sobre Prácticas de Auditoría Gubernamental de la AGN, realizado de acuerdo a la guía del Banco para determinar el nivel de desarrollo de los sistemas de gestión financiera pública. La evaluación concluyó en la validación de la AGN como auditor de proyectos del Banco.</w:t>
      </w:r>
    </w:p>
    <w:p w14:paraId="4B2CC59A"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0FA58F32" w14:textId="77777777" w:rsidR="000125D4" w:rsidRPr="000125D4" w:rsidRDefault="000125D4" w:rsidP="00E8744D">
      <w:pPr>
        <w:numPr>
          <w:ilvl w:val="0"/>
          <w:numId w:val="22"/>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La AGN es un órgano dependiente y de asistencia del Congreso Nacional en el control del estado de cuentas del Sector Público. Su creación y funcionamiento se encuentran reglamentados en el Título VII, Capítulo I de la Ley 24.156 de Administración Financiera y de los Sistemas del Control Externo.  Allí se especifica que la AGN es una entidad con personería jurídica propia y con independencia funcional, por lo cual también tiene independencia financiera, </w:t>
      </w:r>
      <w:r w:rsidRPr="000125D4">
        <w:rPr>
          <w:rFonts w:asciiTheme="minorHAnsi" w:hAnsiTheme="minorHAnsi" w:cstheme="minorHAnsi"/>
          <w:sz w:val="24"/>
          <w:szCs w:val="24"/>
          <w:lang w:val="es-ES_tradnl"/>
        </w:rPr>
        <w:lastRenderedPageBreak/>
        <w:t xml:space="preserve">siendo su patrimonio una composición de todos los bienes que le asigne el Estado Nacional, aquellos pertenecientes con anterioridad al Tribunal de Cuentas de la Nación y los transferidos por causa jurídica. </w:t>
      </w:r>
    </w:p>
    <w:p w14:paraId="5D733A5E"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289313BF" w14:textId="77777777" w:rsidR="000125D4" w:rsidRPr="000125D4" w:rsidRDefault="000125D4" w:rsidP="00E8744D">
      <w:pPr>
        <w:numPr>
          <w:ilvl w:val="0"/>
          <w:numId w:val="22"/>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Sin embargo, en octubre del 2014, en base a los antecedentes de oportunidad de presentación de EFAs de los últimos años, se acordó con la Nación reducir la cartera de AGN para ajustarla a sus reales capacidades de cumplimiento. </w:t>
      </w:r>
    </w:p>
    <w:p w14:paraId="2D6959EF"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3DABED9B" w14:textId="77777777" w:rsidR="000125D4" w:rsidRPr="000125D4" w:rsidRDefault="000125D4" w:rsidP="00E8744D">
      <w:pPr>
        <w:numPr>
          <w:ilvl w:val="0"/>
          <w:numId w:val="22"/>
        </w:numPr>
        <w:spacing w:after="0" w:line="240" w:lineRule="auto"/>
        <w:jc w:val="both"/>
        <w:rPr>
          <w:rFonts w:asciiTheme="minorHAnsi" w:hAnsiTheme="minorHAnsi" w:cstheme="minorHAnsi"/>
          <w:b/>
          <w:sz w:val="24"/>
          <w:szCs w:val="24"/>
          <w:lang w:val="es-ES_tradnl"/>
        </w:rPr>
      </w:pPr>
      <w:r w:rsidRPr="000125D4">
        <w:rPr>
          <w:rFonts w:asciiTheme="minorHAnsi" w:hAnsiTheme="minorHAnsi" w:cstheme="minorHAnsi"/>
          <w:sz w:val="24"/>
          <w:szCs w:val="24"/>
          <w:lang w:val="es-ES_tradnl"/>
        </w:rPr>
        <w:t>A fin de tener flexibilidad y poder ajustar la cartera de préstamos a la capacidad de auditoría oportuna de la AGN se recomienda que tanto la AGN como firmas independientes sean elegibles contractualmente para realizar las auditorías del programa.</w:t>
      </w:r>
    </w:p>
    <w:p w14:paraId="07C72D9A" w14:textId="77777777" w:rsidR="000125D4" w:rsidRDefault="000125D4" w:rsidP="000125D4">
      <w:pPr>
        <w:spacing w:after="0" w:line="240" w:lineRule="auto"/>
        <w:jc w:val="both"/>
        <w:rPr>
          <w:rFonts w:asciiTheme="minorHAnsi" w:hAnsiTheme="minorHAnsi" w:cstheme="minorHAnsi"/>
          <w:b/>
          <w:sz w:val="24"/>
          <w:szCs w:val="24"/>
          <w:lang w:val="es-ES_tradnl"/>
        </w:rPr>
      </w:pPr>
    </w:p>
    <w:p w14:paraId="7F2D1BB2" w14:textId="77777777" w:rsidR="000125D4" w:rsidRPr="000125D4" w:rsidRDefault="000125D4" w:rsidP="000125D4">
      <w:p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b/>
          <w:sz w:val="24"/>
          <w:szCs w:val="24"/>
          <w:lang w:val="es-ES_tradnl"/>
        </w:rPr>
        <w:t>Supervisión Financiera de Proyecto</w:t>
      </w:r>
      <w:r w:rsidRPr="000125D4">
        <w:rPr>
          <w:rFonts w:asciiTheme="minorHAnsi" w:hAnsiTheme="minorHAnsi" w:cstheme="minorHAnsi"/>
          <w:bCs/>
          <w:sz w:val="24"/>
          <w:szCs w:val="24"/>
          <w:vertAlign w:val="superscript"/>
          <w:lang w:val="es-ES_tradnl"/>
        </w:rPr>
        <w:footnoteReference w:id="13"/>
      </w:r>
    </w:p>
    <w:p w14:paraId="008C890F" w14:textId="77777777" w:rsidR="000125D4" w:rsidRPr="000125D4" w:rsidRDefault="000125D4" w:rsidP="00E8744D">
      <w:pPr>
        <w:numPr>
          <w:ilvl w:val="0"/>
          <w:numId w:val="23"/>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El plan de supervisión financiera inicial surge a partir de las evaluaciones de riesgo y capacidad fiduciaria realizadas de acuerdo a las revisiones in situ y de “escritorio” previstas para el programa que incluye el alcance de las acciones operacional, financiera y contable, de cumplimiento y legalidad, frecuencia y responsable de las mismas. </w:t>
      </w:r>
    </w:p>
    <w:p w14:paraId="2A72AEA3" w14:textId="77777777" w:rsidR="000125D4" w:rsidRPr="000125D4" w:rsidRDefault="000125D4" w:rsidP="000125D4">
      <w:pPr>
        <w:spacing w:after="0" w:line="240" w:lineRule="auto"/>
        <w:jc w:val="both"/>
        <w:rPr>
          <w:rFonts w:asciiTheme="minorHAnsi" w:hAnsiTheme="minorHAnsi" w:cstheme="minorHAnsi"/>
          <w:sz w:val="24"/>
          <w:szCs w:val="24"/>
          <w:lang w:val="es-ES_tradnl"/>
        </w:rPr>
      </w:pPr>
    </w:p>
    <w:p w14:paraId="0CA260CF" w14:textId="77777777" w:rsidR="000125D4" w:rsidRPr="000125D4" w:rsidRDefault="000125D4" w:rsidP="00E8744D">
      <w:pPr>
        <w:numPr>
          <w:ilvl w:val="0"/>
          <w:numId w:val="23"/>
        </w:numPr>
        <w:spacing w:after="0" w:line="240" w:lineRule="auto"/>
        <w:jc w:val="both"/>
        <w:rPr>
          <w:rFonts w:asciiTheme="minorHAnsi" w:hAnsiTheme="minorHAnsi" w:cstheme="minorHAnsi"/>
          <w:sz w:val="24"/>
          <w:szCs w:val="24"/>
          <w:lang w:val="es-ES_tradnl"/>
        </w:rPr>
      </w:pPr>
      <w:r w:rsidRPr="000125D4">
        <w:rPr>
          <w:rFonts w:asciiTheme="minorHAnsi" w:hAnsiTheme="minorHAnsi" w:cstheme="minorHAnsi"/>
          <w:sz w:val="24"/>
          <w:szCs w:val="24"/>
          <w:lang w:val="es-ES_tradnl"/>
        </w:rPr>
        <w:t xml:space="preserve">El informe que se requerirá para realizar la supervisión financiera, adicionales a los requeridos para tramitar desembolsos y el de auditoría anual, será el Plan Financiero. </w:t>
      </w:r>
    </w:p>
    <w:p w14:paraId="4C68B004" w14:textId="77777777" w:rsidR="00105980" w:rsidRDefault="00105980" w:rsidP="00C57AB5">
      <w:pPr>
        <w:spacing w:after="0" w:line="240" w:lineRule="auto"/>
        <w:jc w:val="both"/>
        <w:rPr>
          <w:rFonts w:asciiTheme="minorHAnsi" w:hAnsiTheme="minorHAnsi" w:cstheme="minorHAnsi"/>
          <w:sz w:val="24"/>
          <w:szCs w:val="24"/>
          <w:lang w:val="es-ES_tradnl"/>
        </w:rPr>
      </w:pPr>
    </w:p>
    <w:bookmarkEnd w:id="185"/>
    <w:p w14:paraId="67355E3B" w14:textId="77777777" w:rsidR="000125D4" w:rsidRDefault="000125D4" w:rsidP="000125D4">
      <w:pPr>
        <w:spacing w:after="0" w:line="240" w:lineRule="auto"/>
        <w:jc w:val="both"/>
        <w:rPr>
          <w:rFonts w:asciiTheme="minorHAnsi" w:hAnsiTheme="minorHAnsi" w:cstheme="minorHAnsi"/>
          <w:sz w:val="24"/>
          <w:szCs w:val="24"/>
        </w:rPr>
      </w:pPr>
    </w:p>
    <w:p w14:paraId="056CFE9D" w14:textId="77777777" w:rsidR="000125D4" w:rsidRPr="00FF5624" w:rsidRDefault="000125D4" w:rsidP="00E8744D">
      <w:pPr>
        <w:pStyle w:val="Heading1"/>
        <w:numPr>
          <w:ilvl w:val="0"/>
          <w:numId w:val="5"/>
        </w:numPr>
        <w:rPr>
          <w:rFonts w:asciiTheme="minorHAnsi" w:eastAsia="Calibri" w:hAnsiTheme="minorHAnsi" w:cstheme="minorHAnsi"/>
          <w:bCs w:val="0"/>
          <w:kern w:val="0"/>
          <w:sz w:val="28"/>
          <w:szCs w:val="28"/>
          <w:lang w:val="es-ES_tradnl" w:eastAsia="en-US"/>
        </w:rPr>
      </w:pPr>
      <w:r w:rsidRPr="00FF5624">
        <w:rPr>
          <w:rFonts w:asciiTheme="minorHAnsi" w:eastAsia="Calibri" w:hAnsiTheme="minorHAnsi" w:cstheme="minorHAnsi"/>
          <w:bCs w:val="0"/>
          <w:kern w:val="0"/>
          <w:sz w:val="28"/>
          <w:szCs w:val="28"/>
          <w:lang w:val="es-ES_tradnl" w:eastAsia="en-US"/>
        </w:rPr>
        <w:t>Arreglos para el Monitoreo de Resultados</w:t>
      </w:r>
    </w:p>
    <w:p w14:paraId="41708635" w14:textId="77777777" w:rsidR="002319F3" w:rsidRPr="000125D4" w:rsidRDefault="002319F3" w:rsidP="00C57AB5">
      <w:pPr>
        <w:spacing w:after="0" w:line="240" w:lineRule="auto"/>
        <w:jc w:val="both"/>
        <w:rPr>
          <w:rFonts w:asciiTheme="minorHAnsi" w:hAnsiTheme="minorHAnsi" w:cstheme="minorHAnsi"/>
          <w:sz w:val="24"/>
          <w:szCs w:val="24"/>
          <w:lang w:val="es-ES"/>
        </w:rPr>
      </w:pPr>
    </w:p>
    <w:p w14:paraId="14D96970" w14:textId="77777777" w:rsidR="00C46882" w:rsidRDefault="000125D4" w:rsidP="000125D4">
      <w:pPr>
        <w:pStyle w:val="Paragraph"/>
        <w:tabs>
          <w:tab w:val="clear" w:pos="720"/>
        </w:tabs>
        <w:ind w:left="0" w:firstLine="0"/>
        <w:rPr>
          <w:rFonts w:asciiTheme="minorHAnsi" w:eastAsia="Calibri" w:hAnsiTheme="minorHAnsi" w:cstheme="minorHAnsi"/>
          <w:szCs w:val="24"/>
          <w:lang w:val="es-ES_tradnl"/>
        </w:rPr>
      </w:pPr>
      <w:r w:rsidRPr="000125D4">
        <w:rPr>
          <w:rFonts w:asciiTheme="minorHAnsi" w:eastAsia="Calibri" w:hAnsiTheme="minorHAnsi" w:cstheme="minorHAnsi"/>
          <w:b/>
          <w:szCs w:val="24"/>
          <w:lang w:val="es-ES_tradnl"/>
        </w:rPr>
        <w:t>Informes.</w:t>
      </w:r>
      <w:r w:rsidRPr="000125D4">
        <w:rPr>
          <w:rFonts w:asciiTheme="minorHAnsi" w:eastAsia="Calibri" w:hAnsiTheme="minorHAnsi" w:cstheme="minorHAnsi"/>
          <w:szCs w:val="24"/>
          <w:lang w:val="es-ES_tradnl"/>
        </w:rPr>
        <w:t xml:space="preserve"> El programa será monitoreado mediante informes semestrales elaborados por el OE y presentados al Banco en un plazo de 60 días después del cierre de cada semestre calendario y un informe final, entregado a más tardar dos meses después del cierre de ejecución, </w:t>
      </w:r>
      <w:r w:rsidR="00C46882">
        <w:rPr>
          <w:rFonts w:asciiTheme="minorHAnsi" w:eastAsia="Calibri" w:hAnsiTheme="minorHAnsi" w:cstheme="minorHAnsi"/>
          <w:szCs w:val="24"/>
          <w:lang w:val="es-ES_tradnl"/>
        </w:rPr>
        <w:t>c</w:t>
      </w:r>
      <w:r w:rsidR="00C46882" w:rsidRPr="00C46882">
        <w:rPr>
          <w:rFonts w:asciiTheme="minorHAnsi" w:eastAsia="Calibri" w:hAnsiTheme="minorHAnsi" w:cstheme="minorHAnsi"/>
          <w:szCs w:val="24"/>
          <w:lang w:val="es-EC"/>
        </w:rPr>
        <w:t>onsiderando la justificación completa de los desembolsos efectuados</w:t>
      </w:r>
      <w:r w:rsidR="00C46882">
        <w:rPr>
          <w:rFonts w:asciiTheme="minorHAnsi" w:eastAsia="Calibri" w:hAnsiTheme="minorHAnsi" w:cstheme="minorHAnsi"/>
          <w:szCs w:val="24"/>
          <w:lang w:val="es-EC"/>
        </w:rPr>
        <w:t>,</w:t>
      </w:r>
      <w:r w:rsidR="00C46882" w:rsidRPr="00C46882">
        <w:rPr>
          <w:rFonts w:asciiTheme="minorHAnsi" w:eastAsia="Calibri" w:hAnsiTheme="minorHAnsi" w:cstheme="minorHAnsi"/>
          <w:szCs w:val="24"/>
          <w:lang w:val="es-ES_tradnl"/>
        </w:rPr>
        <w:t xml:space="preserve"> </w:t>
      </w:r>
      <w:r w:rsidRPr="000125D4">
        <w:rPr>
          <w:rFonts w:asciiTheme="minorHAnsi" w:eastAsia="Calibri" w:hAnsiTheme="minorHAnsi" w:cstheme="minorHAnsi"/>
          <w:szCs w:val="24"/>
          <w:lang w:val="es-ES_tradnl"/>
        </w:rPr>
        <w:t xml:space="preserve">que servirá de base para elaborar el Informe de Terminación de Proyecto (ITP). Los informes medirán el progreso de los indicadores de resultados y el cumplimiento de los criterios de elegibilidad a nivel de proyecto y de programa. Para el componente 2, FONCAP será responsable de entregar al OE la información necesaria. Se programarán reuniones de monitoreo conforme sea necesario. </w:t>
      </w:r>
    </w:p>
    <w:p w14:paraId="73AE9A6B" w14:textId="77777777" w:rsidR="000125D4" w:rsidRPr="000125D4" w:rsidRDefault="000125D4" w:rsidP="000125D4">
      <w:pPr>
        <w:pStyle w:val="Paragraph"/>
        <w:tabs>
          <w:tab w:val="clear" w:pos="720"/>
        </w:tabs>
        <w:ind w:left="0" w:firstLine="0"/>
        <w:rPr>
          <w:rFonts w:asciiTheme="minorHAnsi" w:eastAsia="Calibri" w:hAnsiTheme="minorHAnsi" w:cstheme="minorHAnsi"/>
          <w:szCs w:val="24"/>
          <w:lang w:val="es-ES_tradnl"/>
        </w:rPr>
      </w:pPr>
      <w:r w:rsidRPr="000125D4">
        <w:rPr>
          <w:rFonts w:asciiTheme="minorHAnsi" w:eastAsia="Calibri" w:hAnsiTheme="minorHAnsi" w:cstheme="minorHAnsi"/>
          <w:szCs w:val="24"/>
          <w:lang w:val="es-ES_tradnl"/>
        </w:rPr>
        <w:t>Los estados financieros auditados del programa deberán ser dictaminados por auditores externos elegibles al Banco y el plazo de presentación de los mismos deberá ser dentro de ciento veinte días siguientes al cierre de cada ejercicio económico del OE.</w:t>
      </w:r>
    </w:p>
    <w:p w14:paraId="0C66E593" w14:textId="77777777" w:rsidR="000125D4" w:rsidRPr="000125D4" w:rsidRDefault="000125D4" w:rsidP="000125D4">
      <w:pPr>
        <w:pStyle w:val="Paragraph"/>
        <w:tabs>
          <w:tab w:val="clear" w:pos="720"/>
        </w:tabs>
        <w:ind w:left="0" w:firstLine="0"/>
        <w:rPr>
          <w:rFonts w:asciiTheme="minorHAnsi" w:eastAsia="Calibri" w:hAnsiTheme="minorHAnsi" w:cstheme="minorHAnsi"/>
          <w:b/>
          <w:szCs w:val="24"/>
          <w:lang w:val="es-ES_tradnl"/>
        </w:rPr>
      </w:pPr>
      <w:r w:rsidRPr="000125D4">
        <w:rPr>
          <w:rFonts w:asciiTheme="minorHAnsi" w:eastAsia="Calibri" w:hAnsiTheme="minorHAnsi" w:cstheme="minorHAnsi"/>
          <w:b/>
          <w:szCs w:val="24"/>
          <w:lang w:val="es-ES_tradnl"/>
        </w:rPr>
        <w:lastRenderedPageBreak/>
        <w:t xml:space="preserve">Información y evaluación. </w:t>
      </w:r>
      <w:r w:rsidRPr="000125D4">
        <w:rPr>
          <w:rFonts w:asciiTheme="minorHAnsi" w:eastAsia="Calibri" w:hAnsiTheme="minorHAnsi" w:cstheme="minorHAnsi"/>
          <w:szCs w:val="24"/>
          <w:lang w:val="es-ES_tradnl"/>
        </w:rPr>
        <w:t xml:space="preserve">El prestatario y el OE recopilarán y conservarán toda la información relevante, incluyendo toda la documentación requerida para elaborar el ITP. La evaluación de impacto se describe en el </w:t>
      </w:r>
      <w:hyperlink r:id="rId9" w:history="1">
        <w:r w:rsidRPr="000125D4">
          <w:rPr>
            <w:rFonts w:asciiTheme="minorHAnsi" w:eastAsia="Calibri" w:hAnsiTheme="minorHAnsi" w:cstheme="minorHAnsi"/>
            <w:szCs w:val="24"/>
            <w:lang w:val="es-ES_tradnl"/>
          </w:rPr>
          <w:t>Plan de Monitoreo y Evaluación</w:t>
        </w:r>
      </w:hyperlink>
      <w:r w:rsidR="00C46882">
        <w:rPr>
          <w:rFonts w:asciiTheme="minorHAnsi" w:eastAsia="Calibri" w:hAnsiTheme="minorHAnsi" w:cstheme="minorHAnsi"/>
          <w:szCs w:val="24"/>
          <w:lang w:val="es-ES_tradnl"/>
        </w:rPr>
        <w:t xml:space="preserve"> (ANEXO)</w:t>
      </w:r>
      <w:r w:rsidRPr="000125D4">
        <w:rPr>
          <w:rFonts w:asciiTheme="minorHAnsi" w:eastAsia="Calibri" w:hAnsiTheme="minorHAnsi" w:cstheme="minorHAnsi"/>
          <w:szCs w:val="24"/>
          <w:lang w:val="es-ES_tradnl"/>
        </w:rPr>
        <w:t>. Ésta consistirá en utilizar un método de costo</w:t>
      </w:r>
      <w:r w:rsidRPr="000125D4">
        <w:rPr>
          <w:rFonts w:asciiTheme="minorHAnsi" w:eastAsia="Calibri" w:hAnsiTheme="minorHAnsi" w:cstheme="minorHAnsi"/>
          <w:szCs w:val="24"/>
          <w:lang w:val="es-ES_tradnl"/>
        </w:rPr>
        <w:noBreakHyphen/>
        <w:t>beneficio ex post basado en información recogida durante la vida del proyecto y contrastada con estimaciones hechas para un grupo de comparación.</w:t>
      </w:r>
      <w:r w:rsidRPr="000125D4">
        <w:rPr>
          <w:rFonts w:asciiTheme="minorHAnsi" w:eastAsia="Calibri" w:hAnsiTheme="minorHAnsi" w:cstheme="minorHAnsi"/>
          <w:b/>
          <w:szCs w:val="24"/>
          <w:lang w:val="es-ES_tradnl"/>
        </w:rPr>
        <w:t xml:space="preserve"> </w:t>
      </w:r>
    </w:p>
    <w:p w14:paraId="6281DEB0" w14:textId="77777777" w:rsidR="002319F3" w:rsidRPr="00C57AB5" w:rsidRDefault="002319F3" w:rsidP="000125D4">
      <w:pPr>
        <w:pStyle w:val="Heading1"/>
        <w:ind w:left="420"/>
        <w:rPr>
          <w:rFonts w:asciiTheme="minorHAnsi" w:hAnsiTheme="minorHAnsi" w:cstheme="minorHAnsi"/>
          <w:sz w:val="24"/>
          <w:szCs w:val="24"/>
        </w:rPr>
      </w:pPr>
    </w:p>
    <w:sectPr w:rsidR="002319F3" w:rsidRPr="00C57AB5" w:rsidSect="00216D4D">
      <w:headerReference w:type="default" r:id="rId10"/>
      <w:footerReference w:type="default" r:id="rId11"/>
      <w:pgSz w:w="11906" w:h="16838" w:code="9"/>
      <w:pgMar w:top="226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B48F9" w14:textId="77777777" w:rsidR="00005C02" w:rsidRDefault="00005C02" w:rsidP="00A7530E">
      <w:pPr>
        <w:spacing w:after="0" w:line="240" w:lineRule="auto"/>
      </w:pPr>
      <w:r>
        <w:separator/>
      </w:r>
    </w:p>
  </w:endnote>
  <w:endnote w:type="continuationSeparator" w:id="0">
    <w:p w14:paraId="6CE29FED" w14:textId="77777777" w:rsidR="00005C02" w:rsidRDefault="00005C02" w:rsidP="00A75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ttawa">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3F9C6" w14:textId="1647AB2E" w:rsidR="000125D4" w:rsidRDefault="000125D4">
    <w:pPr>
      <w:pStyle w:val="Footer"/>
      <w:jc w:val="center"/>
    </w:pPr>
    <w:r>
      <w:fldChar w:fldCharType="begin"/>
    </w:r>
    <w:r>
      <w:instrText xml:space="preserve"> PAGE   \* MERGEFORMAT </w:instrText>
    </w:r>
    <w:r>
      <w:fldChar w:fldCharType="separate"/>
    </w:r>
    <w:r w:rsidR="00B9252E">
      <w:rPr>
        <w:noProof/>
      </w:rPr>
      <w:t>2</w:t>
    </w:r>
    <w:r>
      <w:rPr>
        <w:noProof/>
      </w:rPr>
      <w:fldChar w:fldCharType="end"/>
    </w:r>
  </w:p>
  <w:p w14:paraId="09420B7B" w14:textId="77777777" w:rsidR="000125D4" w:rsidRDefault="00012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3A78E" w14:textId="77777777" w:rsidR="00005C02" w:rsidRDefault="00005C02" w:rsidP="00A7530E">
      <w:pPr>
        <w:spacing w:after="0" w:line="240" w:lineRule="auto"/>
      </w:pPr>
      <w:r>
        <w:separator/>
      </w:r>
    </w:p>
  </w:footnote>
  <w:footnote w:type="continuationSeparator" w:id="0">
    <w:p w14:paraId="7A0EF792" w14:textId="77777777" w:rsidR="00005C02" w:rsidRDefault="00005C02" w:rsidP="00A7530E">
      <w:pPr>
        <w:spacing w:after="0" w:line="240" w:lineRule="auto"/>
      </w:pPr>
      <w:r>
        <w:continuationSeparator/>
      </w:r>
    </w:p>
  </w:footnote>
  <w:footnote w:id="1">
    <w:p w14:paraId="78D5C041" w14:textId="77777777" w:rsidR="000125D4" w:rsidRPr="000013BA" w:rsidRDefault="000125D4" w:rsidP="00846403">
      <w:pPr>
        <w:pStyle w:val="FootnoteText"/>
        <w:rPr>
          <w:rFonts w:ascii="Arial" w:hAnsi="Arial" w:cs="Arial"/>
          <w:sz w:val="18"/>
          <w:szCs w:val="18"/>
        </w:rPr>
      </w:pPr>
      <w:r w:rsidRPr="000013BA">
        <w:rPr>
          <w:rStyle w:val="FootnoteReference"/>
          <w:rFonts w:ascii="Arial" w:hAnsi="Arial" w:cs="Arial"/>
          <w:sz w:val="18"/>
          <w:szCs w:val="18"/>
        </w:rPr>
        <w:footnoteRef/>
      </w:r>
      <w:r w:rsidRPr="000013BA">
        <w:rPr>
          <w:rFonts w:ascii="Arial" w:hAnsi="Arial" w:cs="Arial"/>
          <w:sz w:val="18"/>
          <w:szCs w:val="18"/>
        </w:rPr>
        <w:t xml:space="preserve"> S</w:t>
      </w:r>
      <w:r w:rsidRPr="00215D10">
        <w:rPr>
          <w:rFonts w:ascii="Arial" w:hAnsi="Arial" w:cs="Arial"/>
          <w:sz w:val="18"/>
          <w:szCs w:val="18"/>
          <w:lang w:val="es-ES_tradnl"/>
        </w:rPr>
        <w:t xml:space="preserve">e utilizará como </w:t>
      </w:r>
      <w:r w:rsidR="0013184F">
        <w:rPr>
          <w:rFonts w:ascii="Arial" w:hAnsi="Arial" w:cs="Arial"/>
          <w:sz w:val="18"/>
          <w:szCs w:val="18"/>
          <w:lang w:val="es-ES_tradnl"/>
        </w:rPr>
        <w:t>guía</w:t>
      </w:r>
      <w:r w:rsidRPr="00215D10">
        <w:rPr>
          <w:rFonts w:ascii="Arial" w:hAnsi="Arial" w:cs="Arial"/>
          <w:sz w:val="18"/>
          <w:szCs w:val="18"/>
          <w:lang w:val="es-ES_tradnl"/>
        </w:rPr>
        <w:t xml:space="preserve"> el </w:t>
      </w:r>
      <w:r w:rsidRPr="00215D10">
        <w:rPr>
          <w:rFonts w:ascii="Arial" w:hAnsi="Arial" w:cs="Arial"/>
          <w:bCs/>
          <w:sz w:val="18"/>
          <w:szCs w:val="18"/>
          <w:lang w:val="es-AR"/>
        </w:rPr>
        <w:t>convenio utilizado en el “Programa de competitividad de economías regionales (AR-L1154)”, entre el Ministerio de Produccion y el Banco de Inversión y Comercio Exterior.</w:t>
      </w:r>
    </w:p>
  </w:footnote>
  <w:footnote w:id="2">
    <w:p w14:paraId="3B3D7DBE" w14:textId="77777777" w:rsidR="000125D4" w:rsidRPr="00D82072" w:rsidRDefault="000125D4" w:rsidP="00986E05">
      <w:pPr>
        <w:pStyle w:val="FootnoteText"/>
        <w:jc w:val="both"/>
        <w:rPr>
          <w:rFonts w:ascii="Arial" w:hAnsi="Arial" w:cs="Arial"/>
          <w:sz w:val="18"/>
          <w:szCs w:val="18"/>
          <w:lang w:val="es-ES_tradnl"/>
        </w:rPr>
      </w:pPr>
      <w:r w:rsidRPr="0005728C">
        <w:rPr>
          <w:rStyle w:val="FootnoteReference"/>
          <w:rFonts w:ascii="Arial" w:hAnsi="Arial" w:cs="Arial"/>
          <w:sz w:val="18"/>
          <w:szCs w:val="18"/>
        </w:rPr>
        <w:footnoteRef/>
      </w:r>
      <w:r>
        <w:rPr>
          <w:rFonts w:ascii="Arial" w:hAnsi="Arial" w:cs="Arial"/>
          <w:sz w:val="18"/>
          <w:szCs w:val="18"/>
        </w:rPr>
        <w:t xml:space="preserve"> </w:t>
      </w:r>
      <w:r w:rsidRPr="0005728C">
        <w:rPr>
          <w:rFonts w:ascii="Arial" w:hAnsi="Arial" w:cs="Arial"/>
          <w:sz w:val="18"/>
          <w:szCs w:val="18"/>
        </w:rPr>
        <w:t xml:space="preserve">Mediante </w:t>
      </w:r>
      <w:r w:rsidRPr="007A76E7">
        <w:rPr>
          <w:rFonts w:ascii="Arial" w:hAnsi="Arial" w:cs="Arial"/>
          <w:sz w:val="18"/>
          <w:szCs w:val="18"/>
          <w:lang w:val="es-ES_tradnl"/>
        </w:rPr>
        <w:t xml:space="preserve">resolución publicada el </w:t>
      </w:r>
      <w:r w:rsidRPr="00F23A3F">
        <w:rPr>
          <w:rFonts w:ascii="Arial" w:hAnsi="Arial" w:cs="Arial"/>
          <w:sz w:val="18"/>
          <w:szCs w:val="18"/>
        </w:rPr>
        <w:t>27 de julio del año en curso</w:t>
      </w:r>
      <w:r w:rsidRPr="007A76E7">
        <w:rPr>
          <w:rFonts w:ascii="Arial" w:hAnsi="Arial" w:cs="Arial"/>
          <w:sz w:val="18"/>
          <w:szCs w:val="18"/>
        </w:rPr>
        <w:t xml:space="preserve">, </w:t>
      </w:r>
      <w:r w:rsidRPr="007A76E7">
        <w:rPr>
          <w:rFonts w:ascii="Arial" w:hAnsi="Arial" w:cs="Arial"/>
          <w:sz w:val="18"/>
          <w:szCs w:val="18"/>
          <w:lang w:val="es-ES_tradnl"/>
        </w:rPr>
        <w:t xml:space="preserve">el Ministerio de Finanzas crea el Consejo de Coordinación de Inclusión Financiera, </w:t>
      </w:r>
      <w:r w:rsidRPr="00F23A3F">
        <w:rPr>
          <w:rFonts w:ascii="Arial" w:hAnsi="Arial" w:cs="Arial"/>
          <w:sz w:val="18"/>
          <w:szCs w:val="18"/>
          <w:lang w:val="es-ES_tradnl"/>
        </w:rPr>
        <w:t>que t</w:t>
      </w:r>
      <w:r>
        <w:rPr>
          <w:rFonts w:ascii="Arial" w:hAnsi="Arial" w:cs="Arial"/>
          <w:sz w:val="18"/>
          <w:szCs w:val="18"/>
          <w:lang w:val="es-ES_tradnl"/>
        </w:rPr>
        <w:t xml:space="preserve">iene </w:t>
      </w:r>
      <w:r w:rsidRPr="00F23A3F">
        <w:rPr>
          <w:rFonts w:ascii="Arial" w:hAnsi="Arial" w:cs="Arial"/>
          <w:sz w:val="18"/>
          <w:szCs w:val="18"/>
          <w:lang w:val="es-ES_tradnl"/>
        </w:rPr>
        <w:t>como objetivos la elaboración e implementación de una estrategia de inclusión financiera</w:t>
      </w:r>
      <w:r w:rsidRPr="007A76E7">
        <w:rPr>
          <w:rFonts w:ascii="Arial" w:hAnsi="Arial" w:cs="Arial"/>
          <w:sz w:val="18"/>
          <w:szCs w:val="18"/>
          <w:lang w:val="es-ES_tradnl"/>
        </w:rPr>
        <w:t xml:space="preserve"> </w:t>
      </w:r>
      <w:r w:rsidRPr="00F23A3F">
        <w:rPr>
          <w:rFonts w:ascii="Arial" w:hAnsi="Arial" w:cs="Arial"/>
          <w:sz w:val="18"/>
          <w:szCs w:val="18"/>
          <w:lang w:val="es-ES_tradnl"/>
        </w:rPr>
        <w:t>para el desarrollo de políticas de acceso universal a servicios bancarios y financieros</w:t>
      </w:r>
      <w:r w:rsidRPr="007A76E7">
        <w:rPr>
          <w:rFonts w:ascii="Arial" w:hAnsi="Arial" w:cs="Arial"/>
          <w:sz w:val="18"/>
          <w:szCs w:val="18"/>
          <w:lang w:val="es-ES_tradnl"/>
        </w:rPr>
        <w:t>.</w:t>
      </w:r>
      <w:r>
        <w:rPr>
          <w:rFonts w:ascii="Arial" w:hAnsi="Arial" w:cs="Arial"/>
          <w:sz w:val="18"/>
          <w:szCs w:val="18"/>
          <w:lang w:val="es-ES_tradnl"/>
        </w:rPr>
        <w:t xml:space="preserve"> Entre otras funciones, coordina el diseño de políticas públicas y articula los procesos participativos entre los distintos actores públicos y privados.  </w:t>
      </w:r>
    </w:p>
  </w:footnote>
  <w:footnote w:id="3">
    <w:p w14:paraId="410DACE1" w14:textId="77777777" w:rsidR="007D408C" w:rsidRPr="00C842D7" w:rsidRDefault="007D408C" w:rsidP="007D408C">
      <w:pPr>
        <w:pStyle w:val="FootnoteText"/>
        <w:tabs>
          <w:tab w:val="left" w:pos="270"/>
        </w:tabs>
        <w:ind w:left="270" w:hanging="270"/>
        <w:jc w:val="both"/>
        <w:rPr>
          <w:rFonts w:ascii="Arial" w:hAnsi="Arial" w:cs="Arial"/>
          <w:sz w:val="18"/>
          <w:szCs w:val="18"/>
        </w:rPr>
      </w:pPr>
      <w:r w:rsidRPr="00C842D7">
        <w:rPr>
          <w:rStyle w:val="FootnoteReference"/>
          <w:rFonts w:ascii="Arial" w:hAnsi="Arial" w:cs="Arial"/>
          <w:sz w:val="18"/>
          <w:szCs w:val="18"/>
        </w:rPr>
        <w:footnoteRef/>
      </w:r>
      <w:r w:rsidRPr="00C842D7">
        <w:rPr>
          <w:rFonts w:ascii="Arial" w:hAnsi="Arial" w:cs="Arial"/>
          <w:sz w:val="18"/>
          <w:szCs w:val="18"/>
        </w:rPr>
        <w:t xml:space="preserve"> </w:t>
      </w:r>
      <w:r>
        <w:rPr>
          <w:rFonts w:ascii="Arial" w:hAnsi="Arial" w:cs="Arial"/>
          <w:sz w:val="18"/>
          <w:szCs w:val="18"/>
        </w:rPr>
        <w:tab/>
      </w:r>
      <w:r w:rsidRPr="00C842D7">
        <w:rPr>
          <w:rFonts w:ascii="Arial" w:hAnsi="Arial" w:cs="Arial"/>
          <w:sz w:val="18"/>
          <w:szCs w:val="18"/>
        </w:rPr>
        <w:t>Servicios financieros digitales cubre productos y servicios financieros que son entregados a los clientes a través de tecnología digital o electrónica (</w:t>
      </w:r>
      <w:r>
        <w:rPr>
          <w:rFonts w:ascii="Arial" w:hAnsi="Arial" w:cs="Arial"/>
          <w:i/>
          <w:sz w:val="18"/>
          <w:szCs w:val="18"/>
        </w:rPr>
        <w:t>G20 </w:t>
      </w:r>
      <w:r w:rsidRPr="00C842D7">
        <w:rPr>
          <w:rFonts w:ascii="Arial" w:hAnsi="Arial" w:cs="Arial"/>
          <w:i/>
          <w:sz w:val="18"/>
          <w:szCs w:val="18"/>
        </w:rPr>
        <w:t>High-Level Principles for Financial Inclusion</w:t>
      </w:r>
      <w:r w:rsidRPr="00C842D7">
        <w:rPr>
          <w:rFonts w:ascii="Arial" w:hAnsi="Arial" w:cs="Arial"/>
          <w:sz w:val="18"/>
          <w:szCs w:val="18"/>
        </w:rPr>
        <w:t xml:space="preserve">). </w:t>
      </w:r>
    </w:p>
  </w:footnote>
  <w:footnote w:id="4">
    <w:p w14:paraId="44ADF8D2" w14:textId="77777777" w:rsidR="007D408C" w:rsidRPr="006F135B" w:rsidRDefault="007D408C" w:rsidP="007D408C">
      <w:pPr>
        <w:pStyle w:val="FootnoteText"/>
        <w:rPr>
          <w:rFonts w:ascii="Arial" w:hAnsi="Arial" w:cs="Arial"/>
          <w:sz w:val="18"/>
          <w:szCs w:val="18"/>
        </w:rPr>
      </w:pPr>
      <w:r w:rsidRPr="006F135B">
        <w:rPr>
          <w:rStyle w:val="FootnoteReference"/>
          <w:rFonts w:ascii="Arial" w:hAnsi="Arial" w:cs="Arial"/>
          <w:sz w:val="18"/>
          <w:szCs w:val="18"/>
        </w:rPr>
        <w:footnoteRef/>
      </w:r>
      <w:r w:rsidRPr="006F135B">
        <w:rPr>
          <w:rFonts w:ascii="Arial" w:hAnsi="Arial" w:cs="Arial"/>
          <w:sz w:val="18"/>
          <w:szCs w:val="18"/>
        </w:rPr>
        <w:t xml:space="preserve"> </w:t>
      </w:r>
      <w:r w:rsidRPr="006F135B">
        <w:rPr>
          <w:rFonts w:ascii="Arial" w:hAnsi="Arial" w:cs="Arial"/>
          <w:sz w:val="18"/>
          <w:szCs w:val="18"/>
        </w:rPr>
        <w:tab/>
      </w:r>
      <w:r>
        <w:rPr>
          <w:rFonts w:ascii="Arial" w:hAnsi="Arial" w:cs="Arial"/>
          <w:sz w:val="18"/>
          <w:szCs w:val="18"/>
        </w:rPr>
        <w:t>Incluye</w:t>
      </w:r>
      <w:r>
        <w:rPr>
          <w:rFonts w:ascii="Arial" w:hAnsi="Arial" w:cs="Arial"/>
          <w:sz w:val="18"/>
          <w:szCs w:val="18"/>
          <w:lang w:val="es-ES_tradnl"/>
        </w:rPr>
        <w:t xml:space="preserve"> </w:t>
      </w:r>
      <w:r w:rsidRPr="00134634">
        <w:rPr>
          <w:rFonts w:ascii="Arial" w:hAnsi="Arial" w:cs="Arial"/>
          <w:sz w:val="18"/>
          <w:szCs w:val="18"/>
          <w:lang w:val="es-ES_tradnl"/>
        </w:rPr>
        <w:t>TEF, el débito directo, tarjeta débito y tarjeta de crédito</w:t>
      </w:r>
      <w:r w:rsidRPr="006F135B">
        <w:rPr>
          <w:rFonts w:ascii="Arial" w:hAnsi="Arial" w:cs="Arial"/>
          <w:sz w:val="18"/>
          <w:szCs w:val="18"/>
        </w:rPr>
        <w:t>.</w:t>
      </w:r>
    </w:p>
  </w:footnote>
  <w:footnote w:id="5">
    <w:p w14:paraId="612F7C42" w14:textId="77777777" w:rsidR="007D408C" w:rsidRPr="00932095" w:rsidRDefault="007D408C" w:rsidP="007D408C">
      <w:pPr>
        <w:pStyle w:val="FootnoteText"/>
        <w:rPr>
          <w:lang w:val="es-ES_tradnl"/>
        </w:rPr>
      </w:pPr>
      <w:r w:rsidRPr="00932095">
        <w:rPr>
          <w:rStyle w:val="FootnoteReference"/>
          <w:rFonts w:ascii="Arial" w:hAnsi="Arial" w:cs="Arial"/>
          <w:sz w:val="18"/>
          <w:szCs w:val="18"/>
        </w:rPr>
        <w:footnoteRef/>
      </w:r>
      <w:r w:rsidRPr="00932095">
        <w:rPr>
          <w:rFonts w:ascii="Arial" w:hAnsi="Arial" w:cs="Arial"/>
          <w:sz w:val="18"/>
          <w:szCs w:val="18"/>
        </w:rPr>
        <w:t xml:space="preserve">   P</w:t>
      </w:r>
      <w:r w:rsidRPr="006F135B">
        <w:rPr>
          <w:rFonts w:ascii="Arial" w:hAnsi="Arial" w:cs="Arial"/>
          <w:sz w:val="18"/>
          <w:szCs w:val="18"/>
          <w:lang w:val="es-ES_tradnl"/>
        </w:rPr>
        <w:t xml:space="preserve">or </w:t>
      </w:r>
      <w:r>
        <w:rPr>
          <w:rFonts w:ascii="Arial" w:hAnsi="Arial" w:cs="Arial"/>
          <w:sz w:val="18"/>
          <w:szCs w:val="18"/>
          <w:lang w:val="es-ES_tradnl"/>
        </w:rPr>
        <w:t>definición no se puede saber cuá</w:t>
      </w:r>
      <w:r w:rsidRPr="006F135B">
        <w:rPr>
          <w:rFonts w:ascii="Arial" w:hAnsi="Arial" w:cs="Arial"/>
          <w:sz w:val="18"/>
          <w:szCs w:val="18"/>
          <w:lang w:val="es-ES_tradnl"/>
        </w:rPr>
        <w:t>ntas entidades financieras participarán ya que justamente son concursos que buscan incentivar la demanda, sin embargo</w:t>
      </w:r>
      <w:r>
        <w:rPr>
          <w:rFonts w:ascii="Arial" w:hAnsi="Arial" w:cs="Arial"/>
          <w:sz w:val="18"/>
          <w:szCs w:val="18"/>
          <w:lang w:val="es-ES_tradnl"/>
        </w:rPr>
        <w:t>,</w:t>
      </w:r>
      <w:r w:rsidRPr="006F135B">
        <w:rPr>
          <w:rFonts w:ascii="Arial" w:hAnsi="Arial" w:cs="Arial"/>
          <w:sz w:val="18"/>
          <w:szCs w:val="18"/>
          <w:lang w:val="es-ES_tradnl"/>
        </w:rPr>
        <w:t xml:space="preserve"> la experiencia de BdO en Colombia señala que en promedio podría haber 3 entidades participantes por concurso.</w:t>
      </w:r>
      <w:r>
        <w:rPr>
          <w:rFonts w:ascii="Arial" w:hAnsi="Arial" w:cs="Arial"/>
          <w:sz w:val="18"/>
          <w:szCs w:val="18"/>
          <w:lang w:val="es-ES_tradnl"/>
        </w:rPr>
        <w:t xml:space="preserve"> </w:t>
      </w:r>
    </w:p>
  </w:footnote>
  <w:footnote w:id="6">
    <w:p w14:paraId="75BEE65C" w14:textId="77777777" w:rsidR="007D408C" w:rsidRPr="00C842D7" w:rsidRDefault="007D408C" w:rsidP="007D408C">
      <w:pPr>
        <w:pStyle w:val="FootnoteText"/>
        <w:tabs>
          <w:tab w:val="left" w:pos="270"/>
        </w:tabs>
        <w:ind w:left="270" w:hanging="270"/>
        <w:jc w:val="both"/>
        <w:rPr>
          <w:rFonts w:ascii="Arial" w:hAnsi="Arial" w:cs="Arial"/>
          <w:sz w:val="18"/>
          <w:szCs w:val="18"/>
        </w:rPr>
      </w:pPr>
      <w:r w:rsidRPr="00C842D7">
        <w:rPr>
          <w:rStyle w:val="FootnoteReference"/>
          <w:rFonts w:ascii="Arial" w:hAnsi="Arial" w:cs="Arial"/>
          <w:sz w:val="18"/>
          <w:szCs w:val="18"/>
        </w:rPr>
        <w:footnoteRef/>
      </w:r>
      <w:r w:rsidRPr="00C842D7">
        <w:rPr>
          <w:rFonts w:ascii="Arial" w:hAnsi="Arial" w:cs="Arial"/>
          <w:sz w:val="18"/>
          <w:szCs w:val="18"/>
        </w:rPr>
        <w:t xml:space="preserve"> </w:t>
      </w:r>
      <w:r>
        <w:rPr>
          <w:rFonts w:ascii="Arial" w:hAnsi="Arial" w:cs="Arial"/>
          <w:sz w:val="18"/>
          <w:szCs w:val="18"/>
        </w:rPr>
        <w:tab/>
      </w:r>
      <w:r w:rsidRPr="00C842D7">
        <w:rPr>
          <w:rFonts w:ascii="Arial" w:hAnsi="Arial" w:cs="Arial"/>
          <w:sz w:val="18"/>
          <w:szCs w:val="18"/>
        </w:rPr>
        <w:t>Servicios financieros digitales cubre productos y servicios financieros que son entregados a los clientes a través de tecnología digital o electrónica (</w:t>
      </w:r>
      <w:r>
        <w:rPr>
          <w:rFonts w:ascii="Arial" w:hAnsi="Arial" w:cs="Arial"/>
          <w:i/>
          <w:sz w:val="18"/>
          <w:szCs w:val="18"/>
        </w:rPr>
        <w:t>G20 </w:t>
      </w:r>
      <w:r w:rsidRPr="00C842D7">
        <w:rPr>
          <w:rFonts w:ascii="Arial" w:hAnsi="Arial" w:cs="Arial"/>
          <w:i/>
          <w:sz w:val="18"/>
          <w:szCs w:val="18"/>
        </w:rPr>
        <w:t>High-Level Principles for Financial Inclusion</w:t>
      </w:r>
      <w:r w:rsidRPr="00C842D7">
        <w:rPr>
          <w:rFonts w:ascii="Arial" w:hAnsi="Arial" w:cs="Arial"/>
          <w:sz w:val="18"/>
          <w:szCs w:val="18"/>
        </w:rPr>
        <w:t xml:space="preserve">). </w:t>
      </w:r>
    </w:p>
  </w:footnote>
  <w:footnote w:id="7">
    <w:p w14:paraId="37985753" w14:textId="77777777" w:rsidR="007D408C" w:rsidRPr="006F135B" w:rsidRDefault="007D408C" w:rsidP="007D408C">
      <w:pPr>
        <w:pStyle w:val="FootnoteText"/>
        <w:rPr>
          <w:rFonts w:ascii="Arial" w:hAnsi="Arial" w:cs="Arial"/>
          <w:sz w:val="18"/>
          <w:szCs w:val="18"/>
        </w:rPr>
      </w:pPr>
      <w:r w:rsidRPr="006F135B">
        <w:rPr>
          <w:rStyle w:val="FootnoteReference"/>
          <w:rFonts w:ascii="Arial" w:hAnsi="Arial" w:cs="Arial"/>
          <w:sz w:val="18"/>
          <w:szCs w:val="18"/>
        </w:rPr>
        <w:footnoteRef/>
      </w:r>
      <w:r>
        <w:rPr>
          <w:rFonts w:ascii="Arial" w:hAnsi="Arial" w:cs="Arial"/>
          <w:sz w:val="18"/>
          <w:szCs w:val="18"/>
        </w:rPr>
        <w:t xml:space="preserve">  Incluye</w:t>
      </w:r>
      <w:r>
        <w:rPr>
          <w:rFonts w:ascii="Arial" w:hAnsi="Arial" w:cs="Arial"/>
          <w:sz w:val="18"/>
          <w:szCs w:val="18"/>
          <w:lang w:val="es-ES_tradnl"/>
        </w:rPr>
        <w:t xml:space="preserve"> </w:t>
      </w:r>
      <w:r w:rsidRPr="00134634">
        <w:rPr>
          <w:rFonts w:ascii="Arial" w:hAnsi="Arial" w:cs="Arial"/>
          <w:sz w:val="18"/>
          <w:szCs w:val="18"/>
          <w:lang w:val="es-ES_tradnl"/>
        </w:rPr>
        <w:t>TEF, el débito directo, tarjeta débito y tarjeta de crédito</w:t>
      </w:r>
      <w:r w:rsidRPr="006F135B">
        <w:rPr>
          <w:rFonts w:ascii="Arial" w:hAnsi="Arial" w:cs="Arial"/>
          <w:sz w:val="18"/>
          <w:szCs w:val="18"/>
        </w:rPr>
        <w:t>.</w:t>
      </w:r>
    </w:p>
  </w:footnote>
  <w:footnote w:id="8">
    <w:p w14:paraId="6A5AE763" w14:textId="77777777" w:rsidR="007D408C" w:rsidRPr="000013BA" w:rsidRDefault="007D408C" w:rsidP="007D408C">
      <w:pPr>
        <w:pStyle w:val="FootnoteText"/>
        <w:rPr>
          <w:rFonts w:ascii="Arial" w:hAnsi="Arial" w:cs="Arial"/>
          <w:sz w:val="18"/>
          <w:szCs w:val="18"/>
          <w:lang w:val="es-ES_tradnl"/>
        </w:rPr>
      </w:pPr>
      <w:r w:rsidRPr="000013BA">
        <w:rPr>
          <w:rStyle w:val="FootnoteReference"/>
          <w:rFonts w:ascii="Arial" w:hAnsi="Arial" w:cs="Arial"/>
          <w:sz w:val="18"/>
          <w:szCs w:val="18"/>
        </w:rPr>
        <w:footnoteRef/>
      </w:r>
      <w:r w:rsidRPr="000013BA">
        <w:rPr>
          <w:rFonts w:ascii="Arial" w:hAnsi="Arial" w:cs="Arial"/>
          <w:sz w:val="18"/>
          <w:szCs w:val="18"/>
        </w:rPr>
        <w:t xml:space="preserve"> </w:t>
      </w:r>
      <w:r w:rsidRPr="000013BA">
        <w:rPr>
          <w:rFonts w:ascii="Arial" w:hAnsi="Arial" w:cs="Arial"/>
          <w:sz w:val="18"/>
          <w:szCs w:val="18"/>
          <w:lang w:val="es-ES_tradnl"/>
        </w:rPr>
        <w:t xml:space="preserve">Incluye ATM, POS, </w:t>
      </w:r>
      <w:r>
        <w:rPr>
          <w:rFonts w:ascii="Arial" w:hAnsi="Arial" w:cs="Arial"/>
          <w:sz w:val="18"/>
          <w:szCs w:val="18"/>
          <w:lang w:val="es-ES_tradnl"/>
        </w:rPr>
        <w:t xml:space="preserve">sucursales, </w:t>
      </w:r>
      <w:r w:rsidRPr="000013BA">
        <w:rPr>
          <w:rFonts w:ascii="Arial" w:hAnsi="Arial" w:cs="Arial"/>
          <w:sz w:val="18"/>
          <w:szCs w:val="18"/>
          <w:lang w:val="es-ES_tradnl"/>
        </w:rPr>
        <w:t>corresponsales</w:t>
      </w:r>
      <w:r>
        <w:rPr>
          <w:rFonts w:ascii="Arial" w:hAnsi="Arial" w:cs="Arial"/>
          <w:sz w:val="18"/>
          <w:szCs w:val="18"/>
          <w:lang w:val="es-ES_tradnl"/>
        </w:rPr>
        <w:t>,</w:t>
      </w:r>
      <w:r w:rsidRPr="000013BA">
        <w:rPr>
          <w:rFonts w:ascii="Arial" w:hAnsi="Arial" w:cs="Arial"/>
          <w:sz w:val="18"/>
          <w:szCs w:val="18"/>
          <w:lang w:val="es-ES_tradnl"/>
        </w:rPr>
        <w:t xml:space="preserve"> agen</w:t>
      </w:r>
      <w:r>
        <w:rPr>
          <w:rFonts w:ascii="Arial" w:hAnsi="Arial" w:cs="Arial"/>
          <w:sz w:val="18"/>
          <w:szCs w:val="18"/>
          <w:lang w:val="es-ES_tradnl"/>
        </w:rPr>
        <w:t>cias</w:t>
      </w:r>
      <w:r w:rsidRPr="000013BA">
        <w:rPr>
          <w:rFonts w:ascii="Arial" w:hAnsi="Arial" w:cs="Arial"/>
          <w:sz w:val="18"/>
          <w:szCs w:val="18"/>
          <w:lang w:val="es-ES_tradnl"/>
        </w:rPr>
        <w:t xml:space="preserve">, dispositivos móviles, y pasarelas de internet.  </w:t>
      </w:r>
      <w:r w:rsidRPr="004C481B">
        <w:rPr>
          <w:rFonts w:ascii="Arial" w:hAnsi="Arial" w:cs="Arial"/>
          <w:sz w:val="18"/>
          <w:szCs w:val="18"/>
        </w:rPr>
        <w:t xml:space="preserve"> </w:t>
      </w:r>
    </w:p>
  </w:footnote>
  <w:footnote w:id="9">
    <w:p w14:paraId="3C6BB1CF" w14:textId="77777777" w:rsidR="000125D4" w:rsidRPr="00350C98" w:rsidRDefault="000125D4" w:rsidP="002515E0">
      <w:pPr>
        <w:pStyle w:val="FootnoteText"/>
        <w:tabs>
          <w:tab w:val="left" w:pos="270"/>
        </w:tabs>
        <w:ind w:left="270" w:hanging="270"/>
        <w:jc w:val="both"/>
        <w:rPr>
          <w:rFonts w:ascii="Arial" w:hAnsi="Arial" w:cs="Arial"/>
          <w:sz w:val="18"/>
          <w:szCs w:val="18"/>
          <w:lang w:val="es-MX"/>
        </w:rPr>
      </w:pPr>
      <w:r w:rsidRPr="00C842D7">
        <w:rPr>
          <w:rStyle w:val="FootnoteReference"/>
          <w:rFonts w:ascii="Arial" w:hAnsi="Arial" w:cs="Arial"/>
          <w:sz w:val="18"/>
          <w:szCs w:val="18"/>
        </w:rPr>
        <w:footnoteRef/>
      </w:r>
      <w:r w:rsidRPr="00C842D7">
        <w:rPr>
          <w:rFonts w:ascii="Arial" w:hAnsi="Arial" w:cs="Arial"/>
          <w:sz w:val="18"/>
          <w:szCs w:val="18"/>
        </w:rPr>
        <w:t xml:space="preserve"> </w:t>
      </w:r>
      <w:r>
        <w:rPr>
          <w:rFonts w:ascii="Arial" w:hAnsi="Arial" w:cs="Arial"/>
          <w:sz w:val="18"/>
          <w:szCs w:val="18"/>
        </w:rPr>
        <w:tab/>
      </w:r>
      <w:r w:rsidRPr="00C842D7">
        <w:rPr>
          <w:rFonts w:ascii="Arial" w:hAnsi="Arial" w:cs="Arial"/>
          <w:sz w:val="18"/>
          <w:szCs w:val="18"/>
        </w:rPr>
        <w:t>Se considera un punto de acceso a los corresponsales, ATM, POS, sucursales, agencias, ventanillas de extensión y centros de transacción.</w:t>
      </w:r>
    </w:p>
  </w:footnote>
  <w:footnote w:id="10">
    <w:p w14:paraId="0A911ACF" w14:textId="77777777" w:rsidR="00A56680" w:rsidRPr="000013BA" w:rsidRDefault="00A56680" w:rsidP="00A56680">
      <w:pPr>
        <w:pStyle w:val="FootnoteText"/>
        <w:rPr>
          <w:rFonts w:ascii="Arial" w:hAnsi="Arial" w:cs="Arial"/>
          <w:sz w:val="18"/>
          <w:szCs w:val="18"/>
          <w:lang w:val="es-ES_tradnl"/>
        </w:rPr>
      </w:pPr>
      <w:r w:rsidRPr="000013BA">
        <w:rPr>
          <w:rStyle w:val="FootnoteReference"/>
          <w:rFonts w:ascii="Arial" w:hAnsi="Arial" w:cs="Arial"/>
          <w:sz w:val="18"/>
          <w:szCs w:val="18"/>
        </w:rPr>
        <w:footnoteRef/>
      </w:r>
      <w:r w:rsidRPr="000013BA">
        <w:rPr>
          <w:rFonts w:ascii="Arial" w:hAnsi="Arial" w:cs="Arial"/>
          <w:sz w:val="18"/>
          <w:szCs w:val="18"/>
        </w:rPr>
        <w:t xml:space="preserve"> </w:t>
      </w:r>
      <w:r w:rsidRPr="000013BA">
        <w:rPr>
          <w:rFonts w:ascii="Arial" w:hAnsi="Arial" w:cs="Arial"/>
          <w:sz w:val="18"/>
          <w:szCs w:val="18"/>
          <w:lang w:val="es-ES_tradnl"/>
        </w:rPr>
        <w:t xml:space="preserve">Incluye ATM, POS, </w:t>
      </w:r>
      <w:r>
        <w:rPr>
          <w:rFonts w:ascii="Arial" w:hAnsi="Arial" w:cs="Arial"/>
          <w:sz w:val="18"/>
          <w:szCs w:val="18"/>
          <w:lang w:val="es-ES_tradnl"/>
        </w:rPr>
        <w:t xml:space="preserve">sucursales, </w:t>
      </w:r>
      <w:r w:rsidRPr="000013BA">
        <w:rPr>
          <w:rFonts w:ascii="Arial" w:hAnsi="Arial" w:cs="Arial"/>
          <w:sz w:val="18"/>
          <w:szCs w:val="18"/>
          <w:lang w:val="es-ES_tradnl"/>
        </w:rPr>
        <w:t>corresponsales</w:t>
      </w:r>
      <w:r>
        <w:rPr>
          <w:rFonts w:ascii="Arial" w:hAnsi="Arial" w:cs="Arial"/>
          <w:sz w:val="18"/>
          <w:szCs w:val="18"/>
          <w:lang w:val="es-ES_tradnl"/>
        </w:rPr>
        <w:t>,</w:t>
      </w:r>
      <w:r w:rsidRPr="000013BA">
        <w:rPr>
          <w:rFonts w:ascii="Arial" w:hAnsi="Arial" w:cs="Arial"/>
          <w:sz w:val="18"/>
          <w:szCs w:val="18"/>
          <w:lang w:val="es-ES_tradnl"/>
        </w:rPr>
        <w:t xml:space="preserve"> agen</w:t>
      </w:r>
      <w:r>
        <w:rPr>
          <w:rFonts w:ascii="Arial" w:hAnsi="Arial" w:cs="Arial"/>
          <w:sz w:val="18"/>
          <w:szCs w:val="18"/>
          <w:lang w:val="es-ES_tradnl"/>
        </w:rPr>
        <w:t>cias</w:t>
      </w:r>
      <w:r w:rsidRPr="000013BA">
        <w:rPr>
          <w:rFonts w:ascii="Arial" w:hAnsi="Arial" w:cs="Arial"/>
          <w:sz w:val="18"/>
          <w:szCs w:val="18"/>
          <w:lang w:val="es-ES_tradnl"/>
        </w:rPr>
        <w:t xml:space="preserve">, dispositivos móviles, y pasarelas de internet.  </w:t>
      </w:r>
      <w:r w:rsidRPr="004C481B">
        <w:rPr>
          <w:rFonts w:ascii="Arial" w:hAnsi="Arial" w:cs="Arial"/>
          <w:sz w:val="18"/>
          <w:szCs w:val="18"/>
        </w:rPr>
        <w:t xml:space="preserve"> </w:t>
      </w:r>
    </w:p>
  </w:footnote>
  <w:footnote w:id="11">
    <w:p w14:paraId="7BBE2B0C" w14:textId="77777777" w:rsidR="000125D4" w:rsidRPr="00E94D4F" w:rsidRDefault="000125D4" w:rsidP="000125D4">
      <w:pPr>
        <w:pStyle w:val="FootnoteText"/>
        <w:ind w:left="270" w:hanging="270"/>
        <w:rPr>
          <w:rFonts w:ascii="Arial" w:hAnsi="Arial" w:cs="Arial"/>
          <w:sz w:val="18"/>
          <w:szCs w:val="18"/>
        </w:rPr>
      </w:pPr>
      <w:r w:rsidRPr="00E94D4F">
        <w:rPr>
          <w:rStyle w:val="FootnoteReference"/>
          <w:rFonts w:ascii="Arial" w:hAnsi="Arial" w:cs="Arial"/>
          <w:sz w:val="18"/>
          <w:szCs w:val="18"/>
        </w:rPr>
        <w:footnoteRef/>
      </w:r>
      <w:r w:rsidRPr="00E94D4F">
        <w:rPr>
          <w:rFonts w:ascii="Arial" w:hAnsi="Arial" w:cs="Arial"/>
          <w:sz w:val="18"/>
          <w:szCs w:val="18"/>
          <w:lang w:val="es-ES"/>
        </w:rPr>
        <w:t xml:space="preserve"> </w:t>
      </w:r>
      <w:r>
        <w:rPr>
          <w:rFonts w:ascii="Arial" w:hAnsi="Arial" w:cs="Arial"/>
          <w:sz w:val="18"/>
          <w:szCs w:val="18"/>
          <w:lang w:val="es-ES"/>
        </w:rPr>
        <w:tab/>
      </w:r>
      <w:r w:rsidRPr="00E94D4F">
        <w:rPr>
          <w:rFonts w:ascii="Arial" w:hAnsi="Arial" w:cs="Arial"/>
          <w:sz w:val="18"/>
          <w:szCs w:val="18"/>
          <w:lang w:val="es-ES"/>
        </w:rPr>
        <w:t>Políticas para la Adquisición de Bienes y Obras financiadas por el Banco Interamericano de Desarrollo (</w:t>
      </w:r>
      <w:hyperlink r:id="rId1" w:history="1">
        <w:r>
          <w:rPr>
            <w:rStyle w:val="Hyperlink"/>
            <w:rFonts w:ascii="Arial" w:hAnsi="Arial" w:cs="Arial"/>
            <w:sz w:val="18"/>
            <w:szCs w:val="18"/>
          </w:rPr>
          <w:t>GN</w:t>
        </w:r>
        <w:r>
          <w:rPr>
            <w:rStyle w:val="Hyperlink"/>
            <w:rFonts w:ascii="Arial" w:hAnsi="Arial" w:cs="Arial"/>
            <w:sz w:val="18"/>
            <w:szCs w:val="18"/>
          </w:rPr>
          <w:noBreakHyphen/>
        </w:r>
        <w:r w:rsidRPr="00E94D4F">
          <w:rPr>
            <w:rStyle w:val="Hyperlink"/>
            <w:rFonts w:ascii="Arial" w:hAnsi="Arial" w:cs="Arial"/>
            <w:sz w:val="18"/>
            <w:szCs w:val="18"/>
          </w:rPr>
          <w:t>2349-9</w:t>
        </w:r>
      </w:hyperlink>
      <w:r w:rsidRPr="00E94D4F">
        <w:rPr>
          <w:rFonts w:ascii="Arial" w:hAnsi="Arial" w:cs="Arial"/>
          <w:sz w:val="18"/>
          <w:szCs w:val="18"/>
          <w:lang w:val="es-ES"/>
        </w:rPr>
        <w:t xml:space="preserve">) párrafo 1.1: </w:t>
      </w:r>
      <w:r w:rsidRPr="00E94D4F">
        <w:rPr>
          <w:rFonts w:ascii="Arial" w:hAnsi="Arial" w:cs="Arial"/>
          <w:sz w:val="18"/>
          <w:szCs w:val="18"/>
        </w:rPr>
        <w:t>Los servicios diferentes a los de consultoría tienen un tratamiento similar a los bienes.</w:t>
      </w:r>
    </w:p>
  </w:footnote>
  <w:footnote w:id="12">
    <w:p w14:paraId="49865FDF" w14:textId="77777777" w:rsidR="000125D4" w:rsidRPr="00BF75DF" w:rsidRDefault="000125D4" w:rsidP="000125D4">
      <w:pPr>
        <w:pStyle w:val="FootnoteText"/>
        <w:ind w:left="270" w:hanging="270"/>
        <w:rPr>
          <w:sz w:val="16"/>
          <w:szCs w:val="16"/>
        </w:rPr>
      </w:pPr>
      <w:r w:rsidRPr="00E94D4F">
        <w:rPr>
          <w:rStyle w:val="FootnoteReference"/>
          <w:rFonts w:ascii="Arial" w:hAnsi="Arial" w:cs="Arial"/>
          <w:sz w:val="18"/>
          <w:szCs w:val="18"/>
        </w:rPr>
        <w:footnoteRef/>
      </w:r>
      <w:r w:rsidRPr="00E94D4F">
        <w:rPr>
          <w:rStyle w:val="FootnoteReference"/>
          <w:rFonts w:ascii="Arial" w:hAnsi="Arial" w:cs="Arial"/>
          <w:sz w:val="18"/>
          <w:szCs w:val="18"/>
        </w:rPr>
        <w:t xml:space="preserve"> </w:t>
      </w:r>
      <w:r>
        <w:rPr>
          <w:rFonts w:ascii="Arial" w:hAnsi="Arial" w:cs="Arial"/>
          <w:sz w:val="18"/>
          <w:szCs w:val="18"/>
        </w:rPr>
        <w:tab/>
      </w:r>
      <w:r w:rsidRPr="00E94D4F">
        <w:rPr>
          <w:rFonts w:ascii="Arial" w:hAnsi="Arial" w:cs="Arial"/>
          <w:sz w:val="18"/>
          <w:szCs w:val="18"/>
          <w:lang w:val="es-ES"/>
        </w:rPr>
        <w:t>Excepcionalmente</w:t>
      </w:r>
      <w:r w:rsidRPr="00E94D4F">
        <w:rPr>
          <w:rFonts w:ascii="Arial" w:hAnsi="Arial" w:cs="Arial"/>
          <w:sz w:val="18"/>
          <w:szCs w:val="18"/>
        </w:rPr>
        <w:t>, se financian costos incrementales de personal en que incurre el organismo ejecutor específicamente vinculados con la ejecución del proyecto. (</w:t>
      </w:r>
      <w:hyperlink r:id="rId2" w:history="1">
        <w:r w:rsidRPr="00E94D4F">
          <w:rPr>
            <w:rStyle w:val="Hyperlink"/>
            <w:rFonts w:ascii="Arial" w:hAnsi="Arial" w:cs="Arial"/>
            <w:sz w:val="18"/>
            <w:szCs w:val="18"/>
          </w:rPr>
          <w:t>GN-2331-5</w:t>
        </w:r>
      </w:hyperlink>
      <w:r w:rsidRPr="00E94D4F">
        <w:rPr>
          <w:rFonts w:ascii="Arial" w:hAnsi="Arial" w:cs="Arial"/>
          <w:sz w:val="18"/>
          <w:szCs w:val="18"/>
        </w:rPr>
        <w:t xml:space="preserve"> Anexo I 1.7. C.c.1.22).</w:t>
      </w:r>
    </w:p>
  </w:footnote>
  <w:footnote w:id="13">
    <w:p w14:paraId="4318D93C" w14:textId="77777777" w:rsidR="000125D4" w:rsidRPr="00EE3400" w:rsidRDefault="000125D4" w:rsidP="000125D4">
      <w:pPr>
        <w:pStyle w:val="FootnoteText"/>
        <w:ind w:left="270" w:hanging="270"/>
        <w:rPr>
          <w:rFonts w:ascii="Arial" w:hAnsi="Arial" w:cs="Arial"/>
          <w:sz w:val="18"/>
          <w:szCs w:val="18"/>
        </w:rPr>
      </w:pPr>
      <w:r w:rsidRPr="00EE3400">
        <w:rPr>
          <w:rStyle w:val="FootnoteReference"/>
          <w:rFonts w:ascii="Arial" w:hAnsi="Arial" w:cs="Arial"/>
          <w:sz w:val="18"/>
          <w:szCs w:val="18"/>
        </w:rPr>
        <w:footnoteRef/>
      </w:r>
      <w:r w:rsidRPr="00EE3400">
        <w:rPr>
          <w:rFonts w:ascii="Arial" w:hAnsi="Arial" w:cs="Arial"/>
          <w:sz w:val="18"/>
          <w:szCs w:val="18"/>
        </w:rPr>
        <w:t xml:space="preserve"> </w:t>
      </w:r>
      <w:r>
        <w:rPr>
          <w:rFonts w:ascii="Arial" w:hAnsi="Arial" w:cs="Arial"/>
          <w:sz w:val="18"/>
          <w:szCs w:val="18"/>
        </w:rPr>
        <w:tab/>
      </w:r>
      <w:r w:rsidRPr="00EE3400">
        <w:rPr>
          <w:rFonts w:ascii="Arial" w:hAnsi="Arial" w:cs="Arial"/>
          <w:sz w:val="18"/>
          <w:szCs w:val="18"/>
        </w:rPr>
        <w:t xml:space="preserve">Ver Guía de Gestión Financiera para Proyectos Financiados por el BID (OP-273-6) Anexo I Aplicación de los Principios y Requisitos de Gestión Financiera requisito 4 Supervisión Financiera.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9614B" w14:textId="77777777" w:rsidR="000125D4" w:rsidRDefault="000125D4">
    <w:pPr>
      <w:pStyle w:val="Header"/>
    </w:pPr>
    <w:r>
      <w:rPr>
        <w:noProof/>
        <w:lang w:val="en-US"/>
      </w:rPr>
      <mc:AlternateContent>
        <mc:Choice Requires="wps">
          <w:drawing>
            <wp:anchor distT="0" distB="0" distL="114300" distR="114300" simplePos="0" relativeHeight="251658240" behindDoc="1" locked="0" layoutInCell="0" allowOverlap="1" wp14:anchorId="38C6BA72" wp14:editId="3AEB8839">
              <wp:simplePos x="0" y="0"/>
              <wp:positionH relativeFrom="page">
                <wp:posOffset>1188085</wp:posOffset>
              </wp:positionH>
              <wp:positionV relativeFrom="page">
                <wp:posOffset>571500</wp:posOffset>
              </wp:positionV>
              <wp:extent cx="939800" cy="8382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98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5FAD" w14:textId="77777777" w:rsidR="000125D4" w:rsidRDefault="000125D4" w:rsidP="00216D4D">
                          <w:pPr>
                            <w:spacing w:after="0" w:line="1320" w:lineRule="atLeast"/>
                            <w:rPr>
                              <w:rFonts w:ascii="Times New Roman" w:hAnsi="Times New Roman"/>
                              <w:sz w:val="24"/>
                              <w:szCs w:val="24"/>
                            </w:rPr>
                          </w:pPr>
                        </w:p>
                        <w:p w14:paraId="6FA221E6" w14:textId="77777777" w:rsidR="000125D4" w:rsidRDefault="000125D4" w:rsidP="00216D4D">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ect w14:anchorId="38C6BA72" id="Rectangle 1" o:spid="_x0000_s1026" style="position:absolute;margin-left:93.55pt;margin-top:45pt;width:74pt;height:6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" o:allowincell="f" filled="f" stroked="f">
              <v:textbox inset="0,0,0,0">
                <w:txbxContent>
                  <w:p w14:paraId="1D4B5FAD" w14:textId="77777777" w:rsidR="000125D4" w:rsidRDefault="000125D4" w:rsidP="00216D4D">
                    <w:pPr>
                      <w:spacing w:after="0" w:line="1320" w:lineRule="atLeast"/>
                      <w:rPr>
                        <w:rFonts w:ascii="Times New Roman" w:hAnsi="Times New Roman"/>
                        <w:sz w:val="24"/>
                        <w:szCs w:val="24"/>
                      </w:rPr>
                    </w:pPr>
                  </w:p>
                  <w:p w14:paraId="6FA221E6" w14:textId="77777777" w:rsidR="000125D4" w:rsidRDefault="000125D4" w:rsidP="00216D4D">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D9C"/>
    <w:multiLevelType w:val="hybridMultilevel"/>
    <w:tmpl w:val="A9E4152C"/>
    <w:lvl w:ilvl="0" w:tplc="59CC74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91C1C"/>
    <w:multiLevelType w:val="hybridMultilevel"/>
    <w:tmpl w:val="C0F02FC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058D28F7"/>
    <w:multiLevelType w:val="hybridMultilevel"/>
    <w:tmpl w:val="F03CDAE0"/>
    <w:lvl w:ilvl="0" w:tplc="983E11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E0AA0"/>
    <w:multiLevelType w:val="hybridMultilevel"/>
    <w:tmpl w:val="92C4F36C"/>
    <w:lvl w:ilvl="0" w:tplc="126879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35056"/>
    <w:multiLevelType w:val="hybridMultilevel"/>
    <w:tmpl w:val="EC2AB4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6F35AA"/>
    <w:multiLevelType w:val="hybridMultilevel"/>
    <w:tmpl w:val="E568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F5984"/>
    <w:multiLevelType w:val="multilevel"/>
    <w:tmpl w:val="D6C02054"/>
    <w:lvl w:ilvl="0">
      <w:start w:val="1"/>
      <w:numFmt w:val="lowerLetter"/>
      <w:lvlText w:val="%1)"/>
      <w:lvlJc w:val="left"/>
      <w:pPr>
        <w:ind w:left="786" w:hanging="360"/>
      </w:pPr>
      <w:rPr>
        <w:rFonts w:hint="default"/>
      </w:rPr>
    </w:lvl>
    <w:lvl w:ilvl="1">
      <w:start w:val="1"/>
      <w:numFmt w:val="bullet"/>
      <w:lvlText w:val=""/>
      <w:lvlJc w:val="left"/>
      <w:pPr>
        <w:ind w:left="1048" w:hanging="480"/>
      </w:pPr>
      <w:rPr>
        <w:rFonts w:ascii="Symbol" w:hAnsi="Symbol"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362" w:hanging="1800"/>
      </w:pPr>
      <w:rPr>
        <w:rFonts w:hint="default"/>
      </w:rPr>
    </w:lvl>
  </w:abstractNum>
  <w:abstractNum w:abstractNumId="7" w15:restartNumberingAfterBreak="0">
    <w:nsid w:val="208300F7"/>
    <w:multiLevelType w:val="hybridMultilevel"/>
    <w:tmpl w:val="AC1062E4"/>
    <w:lvl w:ilvl="0" w:tplc="0C0A0017">
      <w:start w:val="1"/>
      <w:numFmt w:val="lowerLetter"/>
      <w:lvlText w:val="%1)"/>
      <w:lvlJc w:val="left"/>
      <w:pPr>
        <w:ind w:left="928" w:hanging="360"/>
      </w:p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8" w15:restartNumberingAfterBreak="0">
    <w:nsid w:val="21602045"/>
    <w:multiLevelType w:val="hybridMultilevel"/>
    <w:tmpl w:val="4C862566"/>
    <w:lvl w:ilvl="0" w:tplc="EFE8228E">
      <w:start w:val="1"/>
      <w:numFmt w:val="lowerLetter"/>
      <w:lvlText w:val="%1)"/>
      <w:lvlJc w:val="left"/>
      <w:pPr>
        <w:tabs>
          <w:tab w:val="num" w:pos="720"/>
        </w:tabs>
        <w:ind w:left="720" w:hanging="360"/>
      </w:pPr>
      <w:rPr>
        <w:rFonts w:cs="Times New Roman" w:hint="default"/>
        <w:b w:val="0"/>
        <w:i w:val="0"/>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1A77E5"/>
    <w:multiLevelType w:val="hybridMultilevel"/>
    <w:tmpl w:val="33C6A0A8"/>
    <w:lvl w:ilvl="0" w:tplc="E2B4B312">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0056ED"/>
    <w:multiLevelType w:val="hybridMultilevel"/>
    <w:tmpl w:val="AA2CEC4E"/>
    <w:lvl w:ilvl="0" w:tplc="1046B2F6">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515657"/>
    <w:multiLevelType w:val="hybridMultilevel"/>
    <w:tmpl w:val="05FE47F4"/>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945457D"/>
    <w:multiLevelType w:val="hybridMultilevel"/>
    <w:tmpl w:val="141CBB10"/>
    <w:lvl w:ilvl="0" w:tplc="0C0A000F">
      <w:start w:val="1"/>
      <w:numFmt w:val="lowerLetter"/>
      <w:lvlText w:val="%1)"/>
      <w:lvlJc w:val="left"/>
      <w:pPr>
        <w:ind w:left="786"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3D220CBD"/>
    <w:multiLevelType w:val="hybridMultilevel"/>
    <w:tmpl w:val="BCC2F99E"/>
    <w:lvl w:ilvl="0" w:tplc="E99ED91E">
      <w:start w:val="1"/>
      <w:numFmt w:val="lowerLetter"/>
      <w:lvlText w:val="%1."/>
      <w:lvlJc w:val="left"/>
      <w:pPr>
        <w:ind w:left="720" w:hanging="360"/>
      </w:pPr>
      <w:rPr>
        <w:b/>
      </w:rPr>
    </w:lvl>
    <w:lvl w:ilvl="1" w:tplc="0409001B">
      <w:start w:val="1"/>
      <w:numFmt w:val="lowerRoman"/>
      <w:lvlText w:val="%2."/>
      <w:lvlJc w:val="righ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3D4836C2"/>
    <w:multiLevelType w:val="hybridMultilevel"/>
    <w:tmpl w:val="ED821AC6"/>
    <w:lvl w:ilvl="0" w:tplc="77800874">
      <w:start w:val="1"/>
      <w:numFmt w:val="lowerLetter"/>
      <w:lvlText w:val="%1."/>
      <w:lvlJc w:val="left"/>
      <w:pPr>
        <w:tabs>
          <w:tab w:val="num" w:pos="900"/>
        </w:tabs>
        <w:ind w:left="900" w:hanging="360"/>
      </w:pPr>
      <w:rPr>
        <w:b w:val="0"/>
        <w:i w:val="0"/>
        <w:sz w:val="22"/>
        <w:szCs w:val="22"/>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16D368A"/>
    <w:multiLevelType w:val="multilevel"/>
    <w:tmpl w:val="E88CEE54"/>
    <w:lvl w:ilvl="0">
      <w:start w:val="1"/>
      <w:numFmt w:val="none"/>
      <w:lvlRestart w:val="0"/>
      <w:suff w:val="nothing"/>
      <w:lvlText w:val=""/>
      <w:lvlJc w:val="left"/>
      <w:pPr>
        <w:ind w:left="4824" w:hanging="720"/>
      </w:pPr>
      <w:rPr>
        <w:rFonts w:cs="Times New Roman"/>
      </w:rPr>
    </w:lvl>
    <w:lvl w:ilvl="1">
      <w:start w:val="1"/>
      <w:numFmt w:val="decimal"/>
      <w:lvlText w:val="%2."/>
      <w:lvlJc w:val="left"/>
      <w:pPr>
        <w:tabs>
          <w:tab w:val="num" w:pos="5400"/>
        </w:tabs>
        <w:ind w:left="5400" w:hanging="576"/>
      </w:pPr>
      <w:rPr>
        <w:rFonts w:cs="Times New Roman"/>
        <w:b/>
      </w:rPr>
    </w:lvl>
    <w:lvl w:ilvl="2">
      <w:start w:val="1"/>
      <w:numFmt w:val="lowerLetter"/>
      <w:lvlText w:val="%3)"/>
      <w:lvlJc w:val="left"/>
      <w:pPr>
        <w:tabs>
          <w:tab w:val="num" w:pos="5976"/>
        </w:tabs>
        <w:ind w:left="5976" w:hanging="576"/>
      </w:pPr>
      <w:rPr>
        <w:rFonts w:cs="Times New Roman"/>
        <w:b/>
      </w:rPr>
    </w:lvl>
    <w:lvl w:ilvl="3">
      <w:start w:val="1"/>
      <w:numFmt w:val="lowerRoman"/>
      <w:lvlText w:val="(%4)"/>
      <w:lvlJc w:val="right"/>
      <w:pPr>
        <w:tabs>
          <w:tab w:val="num" w:pos="6480"/>
        </w:tabs>
        <w:ind w:left="6480" w:hanging="288"/>
      </w:pPr>
      <w:rPr>
        <w:rFonts w:cs="Times New Roman"/>
        <w:b/>
      </w:rPr>
    </w:lvl>
    <w:lvl w:ilvl="4">
      <w:start w:val="1"/>
      <w:numFmt w:val="decimal"/>
      <w:pStyle w:val="Heading5"/>
      <w:lvlText w:val="%5)"/>
      <w:lvlJc w:val="left"/>
      <w:pPr>
        <w:ind w:left="5112" w:hanging="432"/>
      </w:pPr>
      <w:rPr>
        <w:rFonts w:cs="Times New Roman"/>
      </w:rPr>
    </w:lvl>
    <w:lvl w:ilvl="5">
      <w:start w:val="1"/>
      <w:numFmt w:val="lowerLetter"/>
      <w:pStyle w:val="Heading6"/>
      <w:lvlText w:val="%6)"/>
      <w:lvlJc w:val="left"/>
      <w:pPr>
        <w:ind w:left="5256" w:hanging="432"/>
      </w:pPr>
      <w:rPr>
        <w:rFonts w:cs="Times New Roman"/>
      </w:rPr>
    </w:lvl>
    <w:lvl w:ilvl="6">
      <w:start w:val="1"/>
      <w:numFmt w:val="lowerRoman"/>
      <w:pStyle w:val="Heading7"/>
      <w:lvlText w:val="%7)"/>
      <w:lvlJc w:val="right"/>
      <w:pPr>
        <w:ind w:left="5400" w:hanging="288"/>
      </w:pPr>
      <w:rPr>
        <w:rFonts w:cs="Times New Roman"/>
      </w:rPr>
    </w:lvl>
    <w:lvl w:ilvl="7">
      <w:start w:val="1"/>
      <w:numFmt w:val="lowerLetter"/>
      <w:pStyle w:val="Heading8"/>
      <w:lvlText w:val="%8."/>
      <w:lvlJc w:val="left"/>
      <w:pPr>
        <w:ind w:left="5544" w:hanging="432"/>
      </w:pPr>
      <w:rPr>
        <w:rFonts w:cs="Times New Roman"/>
      </w:rPr>
    </w:lvl>
    <w:lvl w:ilvl="8">
      <w:start w:val="1"/>
      <w:numFmt w:val="lowerRoman"/>
      <w:pStyle w:val="Heading9"/>
      <w:lvlText w:val="%9."/>
      <w:lvlJc w:val="right"/>
      <w:pPr>
        <w:ind w:left="5688" w:hanging="144"/>
      </w:pPr>
      <w:rPr>
        <w:rFonts w:cs="Times New Roman"/>
      </w:rPr>
    </w:lvl>
  </w:abstractNum>
  <w:abstractNum w:abstractNumId="16" w15:restartNumberingAfterBreak="0">
    <w:nsid w:val="47DF7656"/>
    <w:multiLevelType w:val="multilevel"/>
    <w:tmpl w:val="C4EAFAF2"/>
    <w:lvl w:ilvl="0">
      <w:start w:val="1"/>
      <w:numFmt w:val="decimal"/>
      <w:lvlText w:val="%1."/>
      <w:lvlJc w:val="left"/>
      <w:pPr>
        <w:ind w:left="420" w:hanging="420"/>
      </w:pPr>
      <w:rPr>
        <w:rFonts w:hint="default"/>
        <w:sz w:val="28"/>
        <w:szCs w:val="28"/>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4B0395"/>
    <w:multiLevelType w:val="hybridMultilevel"/>
    <w:tmpl w:val="2E0E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418B3"/>
    <w:multiLevelType w:val="hybridMultilevel"/>
    <w:tmpl w:val="7F881D8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4F1F05"/>
    <w:multiLevelType w:val="hybridMultilevel"/>
    <w:tmpl w:val="4F668B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614460"/>
    <w:multiLevelType w:val="hybridMultilevel"/>
    <w:tmpl w:val="41C48796"/>
    <w:lvl w:ilvl="0" w:tplc="2DAEB228">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DD49CB"/>
    <w:multiLevelType w:val="hybridMultilevel"/>
    <w:tmpl w:val="37BEC6F4"/>
    <w:lvl w:ilvl="0" w:tplc="0A327DFC">
      <w:start w:val="1"/>
      <w:numFmt w:val="lowerLetter"/>
      <w:lvlText w:val="%1."/>
      <w:lvlJc w:val="left"/>
      <w:pPr>
        <w:tabs>
          <w:tab w:val="num" w:pos="900"/>
        </w:tabs>
        <w:ind w:left="900" w:hanging="360"/>
      </w:pPr>
      <w:rPr>
        <w:rFonts w:ascii="Arial" w:hAnsi="Arial" w:cs="Arial" w:hint="default"/>
        <w:b w:val="0"/>
        <w:i w:val="0"/>
        <w:sz w:val="22"/>
        <w:szCs w:val="22"/>
      </w:rPr>
    </w:lvl>
    <w:lvl w:ilvl="1" w:tplc="04090001">
      <w:start w:val="1"/>
      <w:numFmt w:val="bullet"/>
      <w:lvlText w:val=""/>
      <w:lvlJc w:val="left"/>
      <w:pPr>
        <w:tabs>
          <w:tab w:val="num" w:pos="1170"/>
        </w:tabs>
        <w:ind w:left="1170" w:hanging="360"/>
      </w:pPr>
      <w:rPr>
        <w:rFonts w:ascii="Symbol" w:hAnsi="Symbol" w:hint="default"/>
        <w:b w:val="0"/>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C31596A"/>
    <w:multiLevelType w:val="hybridMultilevel"/>
    <w:tmpl w:val="54BC34B0"/>
    <w:lvl w:ilvl="0" w:tplc="CE646990">
      <w:start w:val="1"/>
      <w:numFmt w:val="lowerLetter"/>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B1DCD"/>
    <w:multiLevelType w:val="multilevel"/>
    <w:tmpl w:val="C4CEA59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4" w15:restartNumberingAfterBreak="0">
    <w:nsid w:val="7EBA6CBD"/>
    <w:multiLevelType w:val="multilevel"/>
    <w:tmpl w:val="AED0F200"/>
    <w:lvl w:ilvl="0">
      <w:start w:val="1"/>
      <w:numFmt w:val="lowerLetter"/>
      <w:lvlText w:val="%1)"/>
      <w:lvlJc w:val="left"/>
      <w:pPr>
        <w:ind w:left="786" w:hanging="360"/>
      </w:pPr>
      <w:rPr>
        <w:rFonts w:hint="default"/>
      </w:rPr>
    </w:lvl>
    <w:lvl w:ilvl="1">
      <w:start w:val="1"/>
      <w:numFmt w:val="bullet"/>
      <w:lvlText w:val=""/>
      <w:lvlJc w:val="left"/>
      <w:pPr>
        <w:ind w:left="1048" w:hanging="480"/>
      </w:pPr>
      <w:rPr>
        <w:rFonts w:ascii="Symbol" w:hAnsi="Symbol"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362" w:hanging="1800"/>
      </w:pPr>
      <w:rPr>
        <w:rFonts w:hint="default"/>
      </w:rPr>
    </w:lvl>
  </w:abstractNum>
  <w:abstractNum w:abstractNumId="25" w15:restartNumberingAfterBreak="0">
    <w:nsid w:val="7FD67F8D"/>
    <w:multiLevelType w:val="hybridMultilevel"/>
    <w:tmpl w:val="57EC6D56"/>
    <w:lvl w:ilvl="0" w:tplc="1F78AA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2"/>
  </w:num>
  <w:num w:numId="4">
    <w:abstractNumId w:val="24"/>
  </w:num>
  <w:num w:numId="5">
    <w:abstractNumId w:val="16"/>
  </w:num>
  <w:num w:numId="6">
    <w:abstractNumId w:val="11"/>
  </w:num>
  <w:num w:numId="7">
    <w:abstractNumId w:val="6"/>
  </w:num>
  <w:num w:numId="8">
    <w:abstractNumId w:val="7"/>
  </w:num>
  <w:num w:numId="9">
    <w:abstractNumId w:val="4"/>
  </w:num>
  <w:num w:numId="10">
    <w:abstractNumId w:val="1"/>
  </w:num>
  <w:num w:numId="11">
    <w:abstractNumId w:val="19"/>
  </w:num>
  <w:num w:numId="12">
    <w:abstractNumId w:val="25"/>
  </w:num>
  <w:num w:numId="13">
    <w:abstractNumId w:val="0"/>
  </w:num>
  <w:num w:numId="14">
    <w:abstractNumId w:val="2"/>
  </w:num>
  <w:num w:numId="15">
    <w:abstractNumId w:val="23"/>
  </w:num>
  <w:num w:numId="16">
    <w:abstractNumId w:val="3"/>
  </w:num>
  <w:num w:numId="17">
    <w:abstractNumId w:val="21"/>
  </w:num>
  <w:num w:numId="18">
    <w:abstractNumId w:val="14"/>
  </w:num>
  <w:num w:numId="19">
    <w:abstractNumId w:val="13"/>
  </w:num>
  <w:num w:numId="20">
    <w:abstractNumId w:val="10"/>
  </w:num>
  <w:num w:numId="21">
    <w:abstractNumId w:val="22"/>
  </w:num>
  <w:num w:numId="22">
    <w:abstractNumId w:val="20"/>
  </w:num>
  <w:num w:numId="23">
    <w:abstractNumId w:val="9"/>
  </w:num>
  <w:num w:numId="24">
    <w:abstractNumId w:val="18"/>
  </w:num>
  <w:num w:numId="25">
    <w:abstractNumId w:val="5"/>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30E"/>
    <w:rsid w:val="00000969"/>
    <w:rsid w:val="00005C02"/>
    <w:rsid w:val="00007AD4"/>
    <w:rsid w:val="000125D4"/>
    <w:rsid w:val="00012C31"/>
    <w:rsid w:val="00012D73"/>
    <w:rsid w:val="000142DD"/>
    <w:rsid w:val="00015B53"/>
    <w:rsid w:val="0001756E"/>
    <w:rsid w:val="00023986"/>
    <w:rsid w:val="00026DB6"/>
    <w:rsid w:val="00026DDC"/>
    <w:rsid w:val="000272D7"/>
    <w:rsid w:val="00027A2D"/>
    <w:rsid w:val="00030306"/>
    <w:rsid w:val="00035F8A"/>
    <w:rsid w:val="00040BC4"/>
    <w:rsid w:val="000436D3"/>
    <w:rsid w:val="000439A4"/>
    <w:rsid w:val="000445D3"/>
    <w:rsid w:val="0004499F"/>
    <w:rsid w:val="00047E32"/>
    <w:rsid w:val="0005286A"/>
    <w:rsid w:val="00055B0A"/>
    <w:rsid w:val="00055FDC"/>
    <w:rsid w:val="0006348A"/>
    <w:rsid w:val="00065517"/>
    <w:rsid w:val="000679BD"/>
    <w:rsid w:val="00072834"/>
    <w:rsid w:val="00074936"/>
    <w:rsid w:val="00082712"/>
    <w:rsid w:val="00084587"/>
    <w:rsid w:val="00084DAF"/>
    <w:rsid w:val="000A3912"/>
    <w:rsid w:val="000B2BFF"/>
    <w:rsid w:val="000B2CFB"/>
    <w:rsid w:val="000B48FE"/>
    <w:rsid w:val="000B4E7E"/>
    <w:rsid w:val="000B784A"/>
    <w:rsid w:val="000B7EA4"/>
    <w:rsid w:val="000C27BA"/>
    <w:rsid w:val="000C34F2"/>
    <w:rsid w:val="000C374B"/>
    <w:rsid w:val="000C3F2D"/>
    <w:rsid w:val="000C4642"/>
    <w:rsid w:val="000D1236"/>
    <w:rsid w:val="000D6B58"/>
    <w:rsid w:val="000D70BB"/>
    <w:rsid w:val="000E0423"/>
    <w:rsid w:val="000E10A5"/>
    <w:rsid w:val="000E3F77"/>
    <w:rsid w:val="000E5CEF"/>
    <w:rsid w:val="000E689E"/>
    <w:rsid w:val="000F0D2F"/>
    <w:rsid w:val="000F128A"/>
    <w:rsid w:val="000F34DB"/>
    <w:rsid w:val="000F4194"/>
    <w:rsid w:val="001005FC"/>
    <w:rsid w:val="00100B09"/>
    <w:rsid w:val="0010336E"/>
    <w:rsid w:val="00105980"/>
    <w:rsid w:val="00105E79"/>
    <w:rsid w:val="00106157"/>
    <w:rsid w:val="00106E8F"/>
    <w:rsid w:val="00107241"/>
    <w:rsid w:val="00111768"/>
    <w:rsid w:val="001118FE"/>
    <w:rsid w:val="00112F87"/>
    <w:rsid w:val="00114667"/>
    <w:rsid w:val="00116C56"/>
    <w:rsid w:val="0011701C"/>
    <w:rsid w:val="00117A2F"/>
    <w:rsid w:val="00120B0D"/>
    <w:rsid w:val="001230CB"/>
    <w:rsid w:val="00125073"/>
    <w:rsid w:val="00125340"/>
    <w:rsid w:val="00125414"/>
    <w:rsid w:val="00125C44"/>
    <w:rsid w:val="001260BC"/>
    <w:rsid w:val="001263A1"/>
    <w:rsid w:val="00126E80"/>
    <w:rsid w:val="0013105D"/>
    <w:rsid w:val="0013184F"/>
    <w:rsid w:val="00133DC5"/>
    <w:rsid w:val="001349B4"/>
    <w:rsid w:val="001354AA"/>
    <w:rsid w:val="00136495"/>
    <w:rsid w:val="00141125"/>
    <w:rsid w:val="0014206B"/>
    <w:rsid w:val="00142DDC"/>
    <w:rsid w:val="00144004"/>
    <w:rsid w:val="0014472D"/>
    <w:rsid w:val="00150C43"/>
    <w:rsid w:val="0015223B"/>
    <w:rsid w:val="0015359C"/>
    <w:rsid w:val="001541D3"/>
    <w:rsid w:val="00154593"/>
    <w:rsid w:val="0015485D"/>
    <w:rsid w:val="001561F5"/>
    <w:rsid w:val="00156859"/>
    <w:rsid w:val="00164726"/>
    <w:rsid w:val="00165078"/>
    <w:rsid w:val="00165B6D"/>
    <w:rsid w:val="00165E95"/>
    <w:rsid w:val="0016679B"/>
    <w:rsid w:val="001679C8"/>
    <w:rsid w:val="001706CA"/>
    <w:rsid w:val="001710AF"/>
    <w:rsid w:val="00171C3B"/>
    <w:rsid w:val="00172CF5"/>
    <w:rsid w:val="00175188"/>
    <w:rsid w:val="0017685B"/>
    <w:rsid w:val="00182AC4"/>
    <w:rsid w:val="00185D78"/>
    <w:rsid w:val="001867B8"/>
    <w:rsid w:val="001901F9"/>
    <w:rsid w:val="00192416"/>
    <w:rsid w:val="00195D23"/>
    <w:rsid w:val="001961E6"/>
    <w:rsid w:val="00197945"/>
    <w:rsid w:val="001A0F6C"/>
    <w:rsid w:val="001A1740"/>
    <w:rsid w:val="001A308F"/>
    <w:rsid w:val="001A65D6"/>
    <w:rsid w:val="001B0938"/>
    <w:rsid w:val="001B0EB9"/>
    <w:rsid w:val="001B32CD"/>
    <w:rsid w:val="001B5961"/>
    <w:rsid w:val="001B7747"/>
    <w:rsid w:val="001C037C"/>
    <w:rsid w:val="001C0CF1"/>
    <w:rsid w:val="001D037A"/>
    <w:rsid w:val="001D4CAD"/>
    <w:rsid w:val="001D5A2D"/>
    <w:rsid w:val="001D5ADC"/>
    <w:rsid w:val="001D7E26"/>
    <w:rsid w:val="001E00CF"/>
    <w:rsid w:val="001E0215"/>
    <w:rsid w:val="001E0267"/>
    <w:rsid w:val="001E198F"/>
    <w:rsid w:val="001E3EC5"/>
    <w:rsid w:val="001F093D"/>
    <w:rsid w:val="001F38B6"/>
    <w:rsid w:val="001F7E0B"/>
    <w:rsid w:val="00203B8C"/>
    <w:rsid w:val="00204E9E"/>
    <w:rsid w:val="0020574F"/>
    <w:rsid w:val="00205F10"/>
    <w:rsid w:val="00206BDA"/>
    <w:rsid w:val="00214C09"/>
    <w:rsid w:val="00216A8B"/>
    <w:rsid w:val="00216D4D"/>
    <w:rsid w:val="00220B8E"/>
    <w:rsid w:val="002210B8"/>
    <w:rsid w:val="00224B07"/>
    <w:rsid w:val="00224CB7"/>
    <w:rsid w:val="00227989"/>
    <w:rsid w:val="00230FE5"/>
    <w:rsid w:val="002319F3"/>
    <w:rsid w:val="00232457"/>
    <w:rsid w:val="00233167"/>
    <w:rsid w:val="00235E75"/>
    <w:rsid w:val="00236133"/>
    <w:rsid w:val="00236225"/>
    <w:rsid w:val="00243E2B"/>
    <w:rsid w:val="00246483"/>
    <w:rsid w:val="00250C54"/>
    <w:rsid w:val="002515E0"/>
    <w:rsid w:val="00253B66"/>
    <w:rsid w:val="00254850"/>
    <w:rsid w:val="002570BB"/>
    <w:rsid w:val="00257239"/>
    <w:rsid w:val="0026351F"/>
    <w:rsid w:val="00265C5F"/>
    <w:rsid w:val="00265EA6"/>
    <w:rsid w:val="002710B4"/>
    <w:rsid w:val="00276B75"/>
    <w:rsid w:val="00277D94"/>
    <w:rsid w:val="00286D35"/>
    <w:rsid w:val="00297BE1"/>
    <w:rsid w:val="00297FAF"/>
    <w:rsid w:val="002A0FBF"/>
    <w:rsid w:val="002A45DF"/>
    <w:rsid w:val="002A47BD"/>
    <w:rsid w:val="002A57C6"/>
    <w:rsid w:val="002B15AA"/>
    <w:rsid w:val="002C0C49"/>
    <w:rsid w:val="002C6596"/>
    <w:rsid w:val="002C67C6"/>
    <w:rsid w:val="002C69EF"/>
    <w:rsid w:val="002C73C9"/>
    <w:rsid w:val="002D14A7"/>
    <w:rsid w:val="002D2ABB"/>
    <w:rsid w:val="002D2B69"/>
    <w:rsid w:val="002E0D05"/>
    <w:rsid w:val="002E390B"/>
    <w:rsid w:val="002E3E83"/>
    <w:rsid w:val="002E41A4"/>
    <w:rsid w:val="002E474A"/>
    <w:rsid w:val="002E6637"/>
    <w:rsid w:val="002E6E7F"/>
    <w:rsid w:val="002E745D"/>
    <w:rsid w:val="002F3E75"/>
    <w:rsid w:val="003011C8"/>
    <w:rsid w:val="00305735"/>
    <w:rsid w:val="00307F92"/>
    <w:rsid w:val="003155C4"/>
    <w:rsid w:val="003158BB"/>
    <w:rsid w:val="00316730"/>
    <w:rsid w:val="003176DB"/>
    <w:rsid w:val="00324252"/>
    <w:rsid w:val="00331F10"/>
    <w:rsid w:val="003363C0"/>
    <w:rsid w:val="0034335A"/>
    <w:rsid w:val="003436CE"/>
    <w:rsid w:val="00347DAD"/>
    <w:rsid w:val="00351712"/>
    <w:rsid w:val="003539D6"/>
    <w:rsid w:val="00354014"/>
    <w:rsid w:val="00355173"/>
    <w:rsid w:val="00356AE1"/>
    <w:rsid w:val="00367293"/>
    <w:rsid w:val="00367D32"/>
    <w:rsid w:val="00373A23"/>
    <w:rsid w:val="0037506E"/>
    <w:rsid w:val="003766E2"/>
    <w:rsid w:val="003875F7"/>
    <w:rsid w:val="0038766F"/>
    <w:rsid w:val="00390C2C"/>
    <w:rsid w:val="00394005"/>
    <w:rsid w:val="00394B0A"/>
    <w:rsid w:val="00395A85"/>
    <w:rsid w:val="003A6B63"/>
    <w:rsid w:val="003A6D77"/>
    <w:rsid w:val="003B0F9E"/>
    <w:rsid w:val="003B1CEE"/>
    <w:rsid w:val="003C500D"/>
    <w:rsid w:val="003C706B"/>
    <w:rsid w:val="003C72AF"/>
    <w:rsid w:val="003C7707"/>
    <w:rsid w:val="003D170A"/>
    <w:rsid w:val="003D7647"/>
    <w:rsid w:val="003D7743"/>
    <w:rsid w:val="003E6C43"/>
    <w:rsid w:val="003F0B3B"/>
    <w:rsid w:val="003F163B"/>
    <w:rsid w:val="003F22C2"/>
    <w:rsid w:val="003F43B3"/>
    <w:rsid w:val="003F6A27"/>
    <w:rsid w:val="0040218F"/>
    <w:rsid w:val="00402645"/>
    <w:rsid w:val="00403E2F"/>
    <w:rsid w:val="004101BA"/>
    <w:rsid w:val="00411B21"/>
    <w:rsid w:val="00414918"/>
    <w:rsid w:val="004224B1"/>
    <w:rsid w:val="00424AFE"/>
    <w:rsid w:val="00431C0D"/>
    <w:rsid w:val="00433DD8"/>
    <w:rsid w:val="0043416C"/>
    <w:rsid w:val="0043746B"/>
    <w:rsid w:val="00440972"/>
    <w:rsid w:val="0044284F"/>
    <w:rsid w:val="00443B4B"/>
    <w:rsid w:val="004451A1"/>
    <w:rsid w:val="00445903"/>
    <w:rsid w:val="004516A6"/>
    <w:rsid w:val="0045216C"/>
    <w:rsid w:val="00452C3E"/>
    <w:rsid w:val="00454F41"/>
    <w:rsid w:val="0045635D"/>
    <w:rsid w:val="004567C7"/>
    <w:rsid w:val="0046130C"/>
    <w:rsid w:val="004630A6"/>
    <w:rsid w:val="0046532D"/>
    <w:rsid w:val="00471471"/>
    <w:rsid w:val="00471B9A"/>
    <w:rsid w:val="00472300"/>
    <w:rsid w:val="0047459A"/>
    <w:rsid w:val="00476E1C"/>
    <w:rsid w:val="00481079"/>
    <w:rsid w:val="00483BC0"/>
    <w:rsid w:val="0048482C"/>
    <w:rsid w:val="00485653"/>
    <w:rsid w:val="004910F2"/>
    <w:rsid w:val="00492D12"/>
    <w:rsid w:val="00493DC3"/>
    <w:rsid w:val="00496F08"/>
    <w:rsid w:val="004A1153"/>
    <w:rsid w:val="004A7117"/>
    <w:rsid w:val="004B23A5"/>
    <w:rsid w:val="004B4D2E"/>
    <w:rsid w:val="004C7039"/>
    <w:rsid w:val="004D3451"/>
    <w:rsid w:val="004D4BFB"/>
    <w:rsid w:val="004D734E"/>
    <w:rsid w:val="004E09ED"/>
    <w:rsid w:val="004E171A"/>
    <w:rsid w:val="004E4F5D"/>
    <w:rsid w:val="004F1400"/>
    <w:rsid w:val="004F2AA6"/>
    <w:rsid w:val="004F65CE"/>
    <w:rsid w:val="00500968"/>
    <w:rsid w:val="00502470"/>
    <w:rsid w:val="005028EC"/>
    <w:rsid w:val="00504BF3"/>
    <w:rsid w:val="00505FE8"/>
    <w:rsid w:val="00506B01"/>
    <w:rsid w:val="00507513"/>
    <w:rsid w:val="00511667"/>
    <w:rsid w:val="005151D8"/>
    <w:rsid w:val="00516F8B"/>
    <w:rsid w:val="0052398F"/>
    <w:rsid w:val="00525F4B"/>
    <w:rsid w:val="00526C86"/>
    <w:rsid w:val="0052708B"/>
    <w:rsid w:val="00530DA1"/>
    <w:rsid w:val="00531CC2"/>
    <w:rsid w:val="005350A7"/>
    <w:rsid w:val="00536E1F"/>
    <w:rsid w:val="005371F3"/>
    <w:rsid w:val="00537E6A"/>
    <w:rsid w:val="0054277D"/>
    <w:rsid w:val="00544363"/>
    <w:rsid w:val="00544C37"/>
    <w:rsid w:val="00544DE3"/>
    <w:rsid w:val="00547D13"/>
    <w:rsid w:val="00554C4A"/>
    <w:rsid w:val="00556980"/>
    <w:rsid w:val="00560F41"/>
    <w:rsid w:val="00562BAE"/>
    <w:rsid w:val="00563321"/>
    <w:rsid w:val="00564B8E"/>
    <w:rsid w:val="00566E68"/>
    <w:rsid w:val="005708B0"/>
    <w:rsid w:val="00570A4D"/>
    <w:rsid w:val="00570D62"/>
    <w:rsid w:val="005730F9"/>
    <w:rsid w:val="005804CD"/>
    <w:rsid w:val="00583DC5"/>
    <w:rsid w:val="00584848"/>
    <w:rsid w:val="00590584"/>
    <w:rsid w:val="005909A6"/>
    <w:rsid w:val="0059156A"/>
    <w:rsid w:val="00591D6B"/>
    <w:rsid w:val="00594386"/>
    <w:rsid w:val="00596361"/>
    <w:rsid w:val="00596F9C"/>
    <w:rsid w:val="005A1A79"/>
    <w:rsid w:val="005A1DBB"/>
    <w:rsid w:val="005A3019"/>
    <w:rsid w:val="005A4251"/>
    <w:rsid w:val="005A5B0C"/>
    <w:rsid w:val="005A7912"/>
    <w:rsid w:val="005B129B"/>
    <w:rsid w:val="005B12D7"/>
    <w:rsid w:val="005B2108"/>
    <w:rsid w:val="005B30F6"/>
    <w:rsid w:val="005B495D"/>
    <w:rsid w:val="005C0318"/>
    <w:rsid w:val="005C1CFB"/>
    <w:rsid w:val="005C52CC"/>
    <w:rsid w:val="005C530E"/>
    <w:rsid w:val="005C6FE9"/>
    <w:rsid w:val="005C7F59"/>
    <w:rsid w:val="005E15D7"/>
    <w:rsid w:val="005E4FFE"/>
    <w:rsid w:val="005E54DE"/>
    <w:rsid w:val="00600683"/>
    <w:rsid w:val="00601C67"/>
    <w:rsid w:val="00602167"/>
    <w:rsid w:val="006023D4"/>
    <w:rsid w:val="00604BD0"/>
    <w:rsid w:val="00607B9A"/>
    <w:rsid w:val="00611E51"/>
    <w:rsid w:val="006121E6"/>
    <w:rsid w:val="00614BE7"/>
    <w:rsid w:val="006250A3"/>
    <w:rsid w:val="00625B9D"/>
    <w:rsid w:val="00626783"/>
    <w:rsid w:val="00627298"/>
    <w:rsid w:val="00636CFB"/>
    <w:rsid w:val="00637647"/>
    <w:rsid w:val="00645788"/>
    <w:rsid w:val="00650E2C"/>
    <w:rsid w:val="006510AE"/>
    <w:rsid w:val="0065309E"/>
    <w:rsid w:val="00656750"/>
    <w:rsid w:val="00657383"/>
    <w:rsid w:val="00657932"/>
    <w:rsid w:val="00663AB1"/>
    <w:rsid w:val="00663D9C"/>
    <w:rsid w:val="0067083C"/>
    <w:rsid w:val="006725BD"/>
    <w:rsid w:val="00675BCE"/>
    <w:rsid w:val="00677CFF"/>
    <w:rsid w:val="00680309"/>
    <w:rsid w:val="006833D5"/>
    <w:rsid w:val="006856B2"/>
    <w:rsid w:val="00690507"/>
    <w:rsid w:val="00691894"/>
    <w:rsid w:val="0069659B"/>
    <w:rsid w:val="006A0FBC"/>
    <w:rsid w:val="006A46B4"/>
    <w:rsid w:val="006A5962"/>
    <w:rsid w:val="006A63F5"/>
    <w:rsid w:val="006A6F15"/>
    <w:rsid w:val="006B5928"/>
    <w:rsid w:val="006C27FC"/>
    <w:rsid w:val="006D7951"/>
    <w:rsid w:val="006E06AE"/>
    <w:rsid w:val="006E09CC"/>
    <w:rsid w:val="006E2375"/>
    <w:rsid w:val="006E6623"/>
    <w:rsid w:val="006E679C"/>
    <w:rsid w:val="006F1B98"/>
    <w:rsid w:val="006F6718"/>
    <w:rsid w:val="006F796D"/>
    <w:rsid w:val="006F7CFD"/>
    <w:rsid w:val="00701541"/>
    <w:rsid w:val="007022C9"/>
    <w:rsid w:val="00702A28"/>
    <w:rsid w:val="00702E13"/>
    <w:rsid w:val="00704F7E"/>
    <w:rsid w:val="00705BD0"/>
    <w:rsid w:val="0071006F"/>
    <w:rsid w:val="0071235A"/>
    <w:rsid w:val="007128BE"/>
    <w:rsid w:val="00712FE6"/>
    <w:rsid w:val="00716261"/>
    <w:rsid w:val="00721197"/>
    <w:rsid w:val="00722FAF"/>
    <w:rsid w:val="00723505"/>
    <w:rsid w:val="00724151"/>
    <w:rsid w:val="0072499B"/>
    <w:rsid w:val="00725DDD"/>
    <w:rsid w:val="0073117B"/>
    <w:rsid w:val="00736878"/>
    <w:rsid w:val="007454A2"/>
    <w:rsid w:val="00747C67"/>
    <w:rsid w:val="00750F43"/>
    <w:rsid w:val="00751771"/>
    <w:rsid w:val="00751DBA"/>
    <w:rsid w:val="00752864"/>
    <w:rsid w:val="00755FA8"/>
    <w:rsid w:val="007571E1"/>
    <w:rsid w:val="00761A82"/>
    <w:rsid w:val="00766860"/>
    <w:rsid w:val="00772466"/>
    <w:rsid w:val="007739EC"/>
    <w:rsid w:val="0077521B"/>
    <w:rsid w:val="00782127"/>
    <w:rsid w:val="00784AB1"/>
    <w:rsid w:val="00787730"/>
    <w:rsid w:val="007A3A75"/>
    <w:rsid w:val="007A6EA9"/>
    <w:rsid w:val="007C17C5"/>
    <w:rsid w:val="007C1D70"/>
    <w:rsid w:val="007C503E"/>
    <w:rsid w:val="007C53D7"/>
    <w:rsid w:val="007C6B3D"/>
    <w:rsid w:val="007D39FF"/>
    <w:rsid w:val="007D408C"/>
    <w:rsid w:val="007D6BA8"/>
    <w:rsid w:val="007D7764"/>
    <w:rsid w:val="007E0620"/>
    <w:rsid w:val="007E171A"/>
    <w:rsid w:val="007E1C81"/>
    <w:rsid w:val="007E2A96"/>
    <w:rsid w:val="007E35FB"/>
    <w:rsid w:val="007F01D5"/>
    <w:rsid w:val="007F51C6"/>
    <w:rsid w:val="00806F89"/>
    <w:rsid w:val="008076C3"/>
    <w:rsid w:val="00807FA0"/>
    <w:rsid w:val="0081399F"/>
    <w:rsid w:val="00816752"/>
    <w:rsid w:val="0082789A"/>
    <w:rsid w:val="008341C1"/>
    <w:rsid w:val="00835F37"/>
    <w:rsid w:val="00836396"/>
    <w:rsid w:val="0084064C"/>
    <w:rsid w:val="008433F7"/>
    <w:rsid w:val="00846403"/>
    <w:rsid w:val="00850129"/>
    <w:rsid w:val="00850C7E"/>
    <w:rsid w:val="00862C92"/>
    <w:rsid w:val="00863D87"/>
    <w:rsid w:val="008644C1"/>
    <w:rsid w:val="00880AAD"/>
    <w:rsid w:val="00883C1A"/>
    <w:rsid w:val="00884A69"/>
    <w:rsid w:val="00886D6B"/>
    <w:rsid w:val="00887D35"/>
    <w:rsid w:val="00890485"/>
    <w:rsid w:val="00891694"/>
    <w:rsid w:val="00892AEF"/>
    <w:rsid w:val="00893DF8"/>
    <w:rsid w:val="00894D12"/>
    <w:rsid w:val="008A25D7"/>
    <w:rsid w:val="008A73D4"/>
    <w:rsid w:val="008A768D"/>
    <w:rsid w:val="008A78ED"/>
    <w:rsid w:val="008C0F85"/>
    <w:rsid w:val="008C13F2"/>
    <w:rsid w:val="008C2626"/>
    <w:rsid w:val="008C2F92"/>
    <w:rsid w:val="008C38B9"/>
    <w:rsid w:val="008C4CAE"/>
    <w:rsid w:val="008D161B"/>
    <w:rsid w:val="008D24B5"/>
    <w:rsid w:val="008D2CF0"/>
    <w:rsid w:val="008D4E04"/>
    <w:rsid w:val="008D796C"/>
    <w:rsid w:val="008D7D3C"/>
    <w:rsid w:val="008E531D"/>
    <w:rsid w:val="008E623E"/>
    <w:rsid w:val="008F0A0E"/>
    <w:rsid w:val="008F21A8"/>
    <w:rsid w:val="008F6095"/>
    <w:rsid w:val="009039C1"/>
    <w:rsid w:val="0090567A"/>
    <w:rsid w:val="00911C48"/>
    <w:rsid w:val="009132A6"/>
    <w:rsid w:val="009157E6"/>
    <w:rsid w:val="00925BD7"/>
    <w:rsid w:val="009325EB"/>
    <w:rsid w:val="00932CF5"/>
    <w:rsid w:val="00934256"/>
    <w:rsid w:val="00935B0F"/>
    <w:rsid w:val="0094087B"/>
    <w:rsid w:val="00946D61"/>
    <w:rsid w:val="00951756"/>
    <w:rsid w:val="00951BCF"/>
    <w:rsid w:val="009576FD"/>
    <w:rsid w:val="00960425"/>
    <w:rsid w:val="00960881"/>
    <w:rsid w:val="00961039"/>
    <w:rsid w:val="00966E49"/>
    <w:rsid w:val="00967310"/>
    <w:rsid w:val="009674FC"/>
    <w:rsid w:val="00970486"/>
    <w:rsid w:val="00970F57"/>
    <w:rsid w:val="00971252"/>
    <w:rsid w:val="00977327"/>
    <w:rsid w:val="00977FFD"/>
    <w:rsid w:val="00980B8B"/>
    <w:rsid w:val="0098204C"/>
    <w:rsid w:val="00985405"/>
    <w:rsid w:val="00986E05"/>
    <w:rsid w:val="0098717B"/>
    <w:rsid w:val="00991461"/>
    <w:rsid w:val="00991481"/>
    <w:rsid w:val="00992876"/>
    <w:rsid w:val="00992AC2"/>
    <w:rsid w:val="00992FC3"/>
    <w:rsid w:val="0099533F"/>
    <w:rsid w:val="009959D0"/>
    <w:rsid w:val="009A5A3D"/>
    <w:rsid w:val="009B1E16"/>
    <w:rsid w:val="009B4198"/>
    <w:rsid w:val="009C2AAB"/>
    <w:rsid w:val="009C516D"/>
    <w:rsid w:val="009C6FA8"/>
    <w:rsid w:val="009C7CF0"/>
    <w:rsid w:val="009D3E32"/>
    <w:rsid w:val="009D7830"/>
    <w:rsid w:val="009E06C6"/>
    <w:rsid w:val="009E21CB"/>
    <w:rsid w:val="009E3F62"/>
    <w:rsid w:val="009E560B"/>
    <w:rsid w:val="009E5912"/>
    <w:rsid w:val="009F1463"/>
    <w:rsid w:val="009F662B"/>
    <w:rsid w:val="00A006F2"/>
    <w:rsid w:val="00A00DBC"/>
    <w:rsid w:val="00A00E9C"/>
    <w:rsid w:val="00A0577D"/>
    <w:rsid w:val="00A114F4"/>
    <w:rsid w:val="00A12D32"/>
    <w:rsid w:val="00A144EC"/>
    <w:rsid w:val="00A239AE"/>
    <w:rsid w:val="00A32435"/>
    <w:rsid w:val="00A41114"/>
    <w:rsid w:val="00A42F7E"/>
    <w:rsid w:val="00A449B5"/>
    <w:rsid w:val="00A46249"/>
    <w:rsid w:val="00A467F4"/>
    <w:rsid w:val="00A51290"/>
    <w:rsid w:val="00A55AD8"/>
    <w:rsid w:val="00A56680"/>
    <w:rsid w:val="00A57BF8"/>
    <w:rsid w:val="00A60FE6"/>
    <w:rsid w:val="00A6183E"/>
    <w:rsid w:val="00A633EC"/>
    <w:rsid w:val="00A66AAC"/>
    <w:rsid w:val="00A71BF9"/>
    <w:rsid w:val="00A7530E"/>
    <w:rsid w:val="00A75C0E"/>
    <w:rsid w:val="00A81D88"/>
    <w:rsid w:val="00A82367"/>
    <w:rsid w:val="00A848CA"/>
    <w:rsid w:val="00A91363"/>
    <w:rsid w:val="00A92C45"/>
    <w:rsid w:val="00A936DD"/>
    <w:rsid w:val="00A93804"/>
    <w:rsid w:val="00A971EF"/>
    <w:rsid w:val="00AA124C"/>
    <w:rsid w:val="00AA1DFD"/>
    <w:rsid w:val="00AA5139"/>
    <w:rsid w:val="00AB01E9"/>
    <w:rsid w:val="00AB04BF"/>
    <w:rsid w:val="00AB3D77"/>
    <w:rsid w:val="00AB4628"/>
    <w:rsid w:val="00AB51F3"/>
    <w:rsid w:val="00AB64E2"/>
    <w:rsid w:val="00AB679E"/>
    <w:rsid w:val="00AB7458"/>
    <w:rsid w:val="00AC71D6"/>
    <w:rsid w:val="00AD0F7B"/>
    <w:rsid w:val="00AD1A56"/>
    <w:rsid w:val="00AD44C9"/>
    <w:rsid w:val="00AE39A3"/>
    <w:rsid w:val="00AF3D98"/>
    <w:rsid w:val="00AF70D9"/>
    <w:rsid w:val="00AF754A"/>
    <w:rsid w:val="00B02FD5"/>
    <w:rsid w:val="00B036BE"/>
    <w:rsid w:val="00B07F0E"/>
    <w:rsid w:val="00B26079"/>
    <w:rsid w:val="00B26E8F"/>
    <w:rsid w:val="00B27B08"/>
    <w:rsid w:val="00B403A2"/>
    <w:rsid w:val="00B4517F"/>
    <w:rsid w:val="00B547BC"/>
    <w:rsid w:val="00B55C84"/>
    <w:rsid w:val="00B57C81"/>
    <w:rsid w:val="00B646D4"/>
    <w:rsid w:val="00B648BF"/>
    <w:rsid w:val="00B662AB"/>
    <w:rsid w:val="00B72674"/>
    <w:rsid w:val="00B73025"/>
    <w:rsid w:val="00B75DD2"/>
    <w:rsid w:val="00B7714A"/>
    <w:rsid w:val="00B80C93"/>
    <w:rsid w:val="00B87A32"/>
    <w:rsid w:val="00B87C8A"/>
    <w:rsid w:val="00B92180"/>
    <w:rsid w:val="00B9252E"/>
    <w:rsid w:val="00B9346D"/>
    <w:rsid w:val="00B95794"/>
    <w:rsid w:val="00B95804"/>
    <w:rsid w:val="00B97BBD"/>
    <w:rsid w:val="00B97C1B"/>
    <w:rsid w:val="00BA42ED"/>
    <w:rsid w:val="00BA5623"/>
    <w:rsid w:val="00BA5A00"/>
    <w:rsid w:val="00BA6733"/>
    <w:rsid w:val="00BB0C16"/>
    <w:rsid w:val="00BB0D9F"/>
    <w:rsid w:val="00BB129C"/>
    <w:rsid w:val="00BB1A22"/>
    <w:rsid w:val="00BB1B17"/>
    <w:rsid w:val="00BB309F"/>
    <w:rsid w:val="00BC0DD1"/>
    <w:rsid w:val="00BC22C8"/>
    <w:rsid w:val="00BC3C5A"/>
    <w:rsid w:val="00BD3C9E"/>
    <w:rsid w:val="00BD4BCA"/>
    <w:rsid w:val="00BD4C3C"/>
    <w:rsid w:val="00BD6B9D"/>
    <w:rsid w:val="00BD7BD1"/>
    <w:rsid w:val="00BE203A"/>
    <w:rsid w:val="00BF6431"/>
    <w:rsid w:val="00BF68C5"/>
    <w:rsid w:val="00C00B50"/>
    <w:rsid w:val="00C022AC"/>
    <w:rsid w:val="00C057A7"/>
    <w:rsid w:val="00C10DA6"/>
    <w:rsid w:val="00C10F06"/>
    <w:rsid w:val="00C138B0"/>
    <w:rsid w:val="00C16D1D"/>
    <w:rsid w:val="00C16E77"/>
    <w:rsid w:val="00C172E9"/>
    <w:rsid w:val="00C20E92"/>
    <w:rsid w:val="00C21EA9"/>
    <w:rsid w:val="00C23581"/>
    <w:rsid w:val="00C2457A"/>
    <w:rsid w:val="00C2493D"/>
    <w:rsid w:val="00C249E6"/>
    <w:rsid w:val="00C25D97"/>
    <w:rsid w:val="00C268FE"/>
    <w:rsid w:val="00C30B88"/>
    <w:rsid w:val="00C30DDC"/>
    <w:rsid w:val="00C41C7B"/>
    <w:rsid w:val="00C42F1B"/>
    <w:rsid w:val="00C45FC9"/>
    <w:rsid w:val="00C46882"/>
    <w:rsid w:val="00C50C73"/>
    <w:rsid w:val="00C522B8"/>
    <w:rsid w:val="00C52BB9"/>
    <w:rsid w:val="00C5366B"/>
    <w:rsid w:val="00C5748E"/>
    <w:rsid w:val="00C576FB"/>
    <w:rsid w:val="00C57A32"/>
    <w:rsid w:val="00C57AB5"/>
    <w:rsid w:val="00C62E0A"/>
    <w:rsid w:val="00C64900"/>
    <w:rsid w:val="00C72082"/>
    <w:rsid w:val="00C72A82"/>
    <w:rsid w:val="00C762BA"/>
    <w:rsid w:val="00C7689A"/>
    <w:rsid w:val="00C7731B"/>
    <w:rsid w:val="00C86BEB"/>
    <w:rsid w:val="00C9083C"/>
    <w:rsid w:val="00C916BB"/>
    <w:rsid w:val="00C924CA"/>
    <w:rsid w:val="00C95EBC"/>
    <w:rsid w:val="00C97773"/>
    <w:rsid w:val="00CA0159"/>
    <w:rsid w:val="00CA1413"/>
    <w:rsid w:val="00CA327E"/>
    <w:rsid w:val="00CA3FC6"/>
    <w:rsid w:val="00CA5647"/>
    <w:rsid w:val="00CA6F24"/>
    <w:rsid w:val="00CA79F0"/>
    <w:rsid w:val="00CB332C"/>
    <w:rsid w:val="00CC05E2"/>
    <w:rsid w:val="00CC1756"/>
    <w:rsid w:val="00CC4601"/>
    <w:rsid w:val="00CC727B"/>
    <w:rsid w:val="00CE5EFE"/>
    <w:rsid w:val="00CF080B"/>
    <w:rsid w:val="00CF0A0D"/>
    <w:rsid w:val="00CF5379"/>
    <w:rsid w:val="00CF53C8"/>
    <w:rsid w:val="00D005DA"/>
    <w:rsid w:val="00D02953"/>
    <w:rsid w:val="00D06EBE"/>
    <w:rsid w:val="00D1516A"/>
    <w:rsid w:val="00D17551"/>
    <w:rsid w:val="00D17619"/>
    <w:rsid w:val="00D17EDF"/>
    <w:rsid w:val="00D230E6"/>
    <w:rsid w:val="00D23735"/>
    <w:rsid w:val="00D2543B"/>
    <w:rsid w:val="00D27279"/>
    <w:rsid w:val="00D307A1"/>
    <w:rsid w:val="00D348E5"/>
    <w:rsid w:val="00D43F79"/>
    <w:rsid w:val="00D44352"/>
    <w:rsid w:val="00D4492F"/>
    <w:rsid w:val="00D46C2D"/>
    <w:rsid w:val="00D513A9"/>
    <w:rsid w:val="00D51AE4"/>
    <w:rsid w:val="00D55220"/>
    <w:rsid w:val="00D569A0"/>
    <w:rsid w:val="00D56D1B"/>
    <w:rsid w:val="00D576AE"/>
    <w:rsid w:val="00D67C2C"/>
    <w:rsid w:val="00D721F2"/>
    <w:rsid w:val="00D72BEA"/>
    <w:rsid w:val="00D81BB3"/>
    <w:rsid w:val="00D82615"/>
    <w:rsid w:val="00D8487C"/>
    <w:rsid w:val="00D85C06"/>
    <w:rsid w:val="00D86E92"/>
    <w:rsid w:val="00D900F1"/>
    <w:rsid w:val="00D91F5B"/>
    <w:rsid w:val="00D91FE3"/>
    <w:rsid w:val="00DA34EA"/>
    <w:rsid w:val="00DA475F"/>
    <w:rsid w:val="00DA7BE8"/>
    <w:rsid w:val="00DB3D55"/>
    <w:rsid w:val="00DB4A8C"/>
    <w:rsid w:val="00DB6771"/>
    <w:rsid w:val="00DB6C91"/>
    <w:rsid w:val="00DC18CD"/>
    <w:rsid w:val="00DC5B4F"/>
    <w:rsid w:val="00DD4AF5"/>
    <w:rsid w:val="00DD63DB"/>
    <w:rsid w:val="00DE2300"/>
    <w:rsid w:val="00DE29A9"/>
    <w:rsid w:val="00DE60BA"/>
    <w:rsid w:val="00DF4AE3"/>
    <w:rsid w:val="00DF7DFC"/>
    <w:rsid w:val="00E04E26"/>
    <w:rsid w:val="00E05A82"/>
    <w:rsid w:val="00E1286F"/>
    <w:rsid w:val="00E245A0"/>
    <w:rsid w:val="00E26FCD"/>
    <w:rsid w:val="00E360A5"/>
    <w:rsid w:val="00E45C76"/>
    <w:rsid w:val="00E512D0"/>
    <w:rsid w:val="00E52A9F"/>
    <w:rsid w:val="00E55484"/>
    <w:rsid w:val="00E55EBB"/>
    <w:rsid w:val="00E643AF"/>
    <w:rsid w:val="00E6456D"/>
    <w:rsid w:val="00E6508E"/>
    <w:rsid w:val="00E6561D"/>
    <w:rsid w:val="00E74482"/>
    <w:rsid w:val="00E80026"/>
    <w:rsid w:val="00E81ED7"/>
    <w:rsid w:val="00E82585"/>
    <w:rsid w:val="00E82A24"/>
    <w:rsid w:val="00E85017"/>
    <w:rsid w:val="00E86CAC"/>
    <w:rsid w:val="00E8744D"/>
    <w:rsid w:val="00E904F5"/>
    <w:rsid w:val="00E9579F"/>
    <w:rsid w:val="00E95839"/>
    <w:rsid w:val="00E9605E"/>
    <w:rsid w:val="00E978D6"/>
    <w:rsid w:val="00EA4680"/>
    <w:rsid w:val="00EA7B94"/>
    <w:rsid w:val="00EB1299"/>
    <w:rsid w:val="00EC1520"/>
    <w:rsid w:val="00EC54A8"/>
    <w:rsid w:val="00ED02F3"/>
    <w:rsid w:val="00ED0D94"/>
    <w:rsid w:val="00ED2EBD"/>
    <w:rsid w:val="00ED4B3A"/>
    <w:rsid w:val="00ED4ECF"/>
    <w:rsid w:val="00ED55E5"/>
    <w:rsid w:val="00ED6207"/>
    <w:rsid w:val="00EE13C7"/>
    <w:rsid w:val="00EE1B18"/>
    <w:rsid w:val="00EE53AC"/>
    <w:rsid w:val="00EE67D8"/>
    <w:rsid w:val="00EF4218"/>
    <w:rsid w:val="00F027C8"/>
    <w:rsid w:val="00F04367"/>
    <w:rsid w:val="00F06183"/>
    <w:rsid w:val="00F067CD"/>
    <w:rsid w:val="00F106A9"/>
    <w:rsid w:val="00F11208"/>
    <w:rsid w:val="00F12F13"/>
    <w:rsid w:val="00F13CBB"/>
    <w:rsid w:val="00F14C84"/>
    <w:rsid w:val="00F17AAA"/>
    <w:rsid w:val="00F2122C"/>
    <w:rsid w:val="00F22334"/>
    <w:rsid w:val="00F26308"/>
    <w:rsid w:val="00F265BE"/>
    <w:rsid w:val="00F27B95"/>
    <w:rsid w:val="00F27BDB"/>
    <w:rsid w:val="00F27C89"/>
    <w:rsid w:val="00F334F0"/>
    <w:rsid w:val="00F3682F"/>
    <w:rsid w:val="00F40443"/>
    <w:rsid w:val="00F40BF8"/>
    <w:rsid w:val="00F40C9B"/>
    <w:rsid w:val="00F4357A"/>
    <w:rsid w:val="00F61316"/>
    <w:rsid w:val="00F701B4"/>
    <w:rsid w:val="00F71CED"/>
    <w:rsid w:val="00F72BB2"/>
    <w:rsid w:val="00F75F96"/>
    <w:rsid w:val="00F800B6"/>
    <w:rsid w:val="00F80755"/>
    <w:rsid w:val="00F8160B"/>
    <w:rsid w:val="00F832AD"/>
    <w:rsid w:val="00F86B89"/>
    <w:rsid w:val="00F9508D"/>
    <w:rsid w:val="00FA138B"/>
    <w:rsid w:val="00FA1E23"/>
    <w:rsid w:val="00FA2305"/>
    <w:rsid w:val="00FB5648"/>
    <w:rsid w:val="00FC0153"/>
    <w:rsid w:val="00FC2620"/>
    <w:rsid w:val="00FC3449"/>
    <w:rsid w:val="00FC60C1"/>
    <w:rsid w:val="00FC79D1"/>
    <w:rsid w:val="00FD1ECC"/>
    <w:rsid w:val="00FD7582"/>
    <w:rsid w:val="00FE10D5"/>
    <w:rsid w:val="00FE39DE"/>
    <w:rsid w:val="00FE6975"/>
    <w:rsid w:val="00FE6AF6"/>
    <w:rsid w:val="00FE755C"/>
    <w:rsid w:val="00FF3B00"/>
    <w:rsid w:val="00FF3B7F"/>
    <w:rsid w:val="00FF5141"/>
    <w:rsid w:val="00FF5624"/>
    <w:rsid w:val="00FF78DB"/>
    <w:rsid w:val="00FF7BB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1FF87D"/>
  <w15:docId w15:val="{FDC2495D-440E-4637-9E13-120B3673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7530E"/>
    <w:pPr>
      <w:spacing w:after="200" w:line="276" w:lineRule="auto"/>
    </w:pPr>
    <w:rPr>
      <w:lang w:val="es-EC" w:eastAsia="en-US"/>
    </w:rPr>
  </w:style>
  <w:style w:type="paragraph" w:styleId="Heading1">
    <w:name w:val="heading 1"/>
    <w:basedOn w:val="Normal"/>
    <w:next w:val="Normal"/>
    <w:link w:val="Heading1Char"/>
    <w:uiPriority w:val="99"/>
    <w:qFormat/>
    <w:rsid w:val="00A7530E"/>
    <w:pPr>
      <w:keepNext/>
      <w:spacing w:before="240" w:after="60" w:line="240" w:lineRule="auto"/>
      <w:outlineLvl w:val="0"/>
    </w:pPr>
    <w:rPr>
      <w:rFonts w:ascii="Arial" w:eastAsia="Times New Roman" w:hAnsi="Arial" w:cs="Arial"/>
      <w:b/>
      <w:bCs/>
      <w:kern w:val="32"/>
      <w:sz w:val="32"/>
      <w:szCs w:val="32"/>
      <w:lang w:val="es-ES" w:eastAsia="es-ES"/>
    </w:rPr>
  </w:style>
  <w:style w:type="paragraph" w:styleId="Heading2">
    <w:name w:val="heading 2"/>
    <w:basedOn w:val="Normal"/>
    <w:next w:val="Normal"/>
    <w:link w:val="Heading2Char"/>
    <w:uiPriority w:val="99"/>
    <w:qFormat/>
    <w:rsid w:val="0073687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A7530E"/>
    <w:pPr>
      <w:keepNext/>
      <w:spacing w:before="240" w:after="60" w:line="240" w:lineRule="auto"/>
      <w:outlineLvl w:val="2"/>
    </w:pPr>
    <w:rPr>
      <w:rFonts w:ascii="Arial" w:eastAsia="Times New Roman" w:hAnsi="Arial" w:cs="Arial"/>
      <w:b/>
      <w:bCs/>
      <w:sz w:val="26"/>
      <w:szCs w:val="26"/>
      <w:lang w:val="es-ES" w:eastAsia="es-ES"/>
    </w:rPr>
  </w:style>
  <w:style w:type="paragraph" w:styleId="Heading4">
    <w:name w:val="heading 4"/>
    <w:basedOn w:val="Normal"/>
    <w:next w:val="Normal"/>
    <w:link w:val="Heading4Char"/>
    <w:uiPriority w:val="99"/>
    <w:qFormat/>
    <w:rsid w:val="00C72082"/>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A7530E"/>
    <w:pPr>
      <w:keepNext/>
      <w:keepLines/>
      <w:numPr>
        <w:ilvl w:val="4"/>
        <w:numId w:val="1"/>
      </w:numPr>
      <w:spacing w:before="200" w:after="0"/>
      <w:outlineLvl w:val="4"/>
    </w:pPr>
    <w:rPr>
      <w:rFonts w:ascii="Cambria" w:hAnsi="Cambria"/>
      <w:color w:val="243F60"/>
      <w:sz w:val="20"/>
      <w:szCs w:val="20"/>
      <w:lang w:val="es-ES"/>
    </w:rPr>
  </w:style>
  <w:style w:type="paragraph" w:styleId="Heading6">
    <w:name w:val="heading 6"/>
    <w:basedOn w:val="Normal"/>
    <w:next w:val="Normal"/>
    <w:link w:val="Heading6Char"/>
    <w:uiPriority w:val="9"/>
    <w:qFormat/>
    <w:rsid w:val="00A7530E"/>
    <w:pPr>
      <w:keepNext/>
      <w:keepLines/>
      <w:numPr>
        <w:ilvl w:val="5"/>
        <w:numId w:val="1"/>
      </w:numPr>
      <w:spacing w:before="200" w:after="0"/>
      <w:outlineLvl w:val="5"/>
    </w:pPr>
    <w:rPr>
      <w:rFonts w:ascii="Cambria" w:hAnsi="Cambria"/>
      <w:i/>
      <w:iCs/>
      <w:color w:val="243F60"/>
      <w:sz w:val="20"/>
      <w:szCs w:val="20"/>
      <w:lang w:val="es-ES"/>
    </w:rPr>
  </w:style>
  <w:style w:type="paragraph" w:styleId="Heading7">
    <w:name w:val="heading 7"/>
    <w:basedOn w:val="Normal"/>
    <w:next w:val="Normal"/>
    <w:link w:val="Heading7Char"/>
    <w:uiPriority w:val="9"/>
    <w:qFormat/>
    <w:rsid w:val="00A7530E"/>
    <w:pPr>
      <w:keepNext/>
      <w:keepLines/>
      <w:numPr>
        <w:ilvl w:val="6"/>
        <w:numId w:val="1"/>
      </w:numPr>
      <w:spacing w:before="200" w:after="0"/>
      <w:outlineLvl w:val="6"/>
    </w:pPr>
    <w:rPr>
      <w:rFonts w:ascii="Cambria" w:hAnsi="Cambria"/>
      <w:i/>
      <w:iCs/>
      <w:color w:val="404040"/>
      <w:sz w:val="20"/>
      <w:szCs w:val="20"/>
      <w:lang w:val="es-ES"/>
    </w:rPr>
  </w:style>
  <w:style w:type="paragraph" w:styleId="Heading8">
    <w:name w:val="heading 8"/>
    <w:basedOn w:val="Normal"/>
    <w:next w:val="Normal"/>
    <w:link w:val="Heading8Char"/>
    <w:uiPriority w:val="9"/>
    <w:qFormat/>
    <w:rsid w:val="00A7530E"/>
    <w:pPr>
      <w:keepNext/>
      <w:keepLines/>
      <w:numPr>
        <w:ilvl w:val="7"/>
        <w:numId w:val="1"/>
      </w:numPr>
      <w:spacing w:before="200" w:after="0"/>
      <w:outlineLvl w:val="7"/>
    </w:pPr>
    <w:rPr>
      <w:rFonts w:ascii="Cambria" w:hAnsi="Cambria"/>
      <w:color w:val="404040"/>
      <w:sz w:val="20"/>
      <w:szCs w:val="20"/>
      <w:lang w:val="es-ES"/>
    </w:rPr>
  </w:style>
  <w:style w:type="paragraph" w:styleId="Heading9">
    <w:name w:val="heading 9"/>
    <w:basedOn w:val="Normal"/>
    <w:next w:val="Normal"/>
    <w:link w:val="Heading9Char"/>
    <w:uiPriority w:val="9"/>
    <w:qFormat/>
    <w:rsid w:val="00A7530E"/>
    <w:pPr>
      <w:keepNext/>
      <w:keepLines/>
      <w:numPr>
        <w:ilvl w:val="8"/>
        <w:numId w:val="1"/>
      </w:numPr>
      <w:spacing w:before="200" w:after="0"/>
      <w:outlineLvl w:val="8"/>
    </w:pPr>
    <w:rPr>
      <w:rFonts w:ascii="Cambria" w:hAnsi="Cambria"/>
      <w:i/>
      <w:iCs/>
      <w:color w:val="404040"/>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530E"/>
    <w:rPr>
      <w:rFonts w:ascii="Arial" w:hAnsi="Arial" w:cs="Arial"/>
      <w:b/>
      <w:bCs/>
      <w:kern w:val="32"/>
      <w:sz w:val="32"/>
      <w:szCs w:val="32"/>
      <w:lang w:val="es-ES" w:eastAsia="es-ES"/>
    </w:rPr>
  </w:style>
  <w:style w:type="character" w:customStyle="1" w:styleId="Heading2Char">
    <w:name w:val="Heading 2 Char"/>
    <w:basedOn w:val="DefaultParagraphFont"/>
    <w:link w:val="Heading2"/>
    <w:uiPriority w:val="99"/>
    <w:locked/>
    <w:rsid w:val="00736878"/>
    <w:rPr>
      <w:rFonts w:ascii="Cambria" w:hAnsi="Cambria" w:cs="Times New Roman"/>
      <w:b/>
      <w:bCs/>
      <w:color w:val="4F81BD"/>
      <w:sz w:val="26"/>
      <w:szCs w:val="26"/>
      <w:lang w:val="es-EC" w:eastAsia="en-US"/>
    </w:rPr>
  </w:style>
  <w:style w:type="character" w:customStyle="1" w:styleId="Heading3Char">
    <w:name w:val="Heading 3 Char"/>
    <w:basedOn w:val="DefaultParagraphFont"/>
    <w:link w:val="Heading3"/>
    <w:uiPriority w:val="99"/>
    <w:locked/>
    <w:rsid w:val="00A7530E"/>
    <w:rPr>
      <w:rFonts w:ascii="Arial" w:hAnsi="Arial" w:cs="Arial"/>
      <w:b/>
      <w:bCs/>
      <w:sz w:val="26"/>
      <w:szCs w:val="26"/>
      <w:lang w:val="es-ES" w:eastAsia="es-ES"/>
    </w:rPr>
  </w:style>
  <w:style w:type="character" w:customStyle="1" w:styleId="Heading4Char">
    <w:name w:val="Heading 4 Char"/>
    <w:basedOn w:val="DefaultParagraphFont"/>
    <w:link w:val="Heading4"/>
    <w:uiPriority w:val="99"/>
    <w:locked/>
    <w:rsid w:val="00C72082"/>
    <w:rPr>
      <w:rFonts w:ascii="Cambria" w:hAnsi="Cambria" w:cs="Times New Roman"/>
      <w:b/>
      <w:bCs/>
      <w:i/>
      <w:iCs/>
      <w:color w:val="4F81BD"/>
    </w:rPr>
  </w:style>
  <w:style w:type="character" w:customStyle="1" w:styleId="Heading5Char">
    <w:name w:val="Heading 5 Char"/>
    <w:basedOn w:val="DefaultParagraphFont"/>
    <w:link w:val="Heading5"/>
    <w:uiPriority w:val="9"/>
    <w:locked/>
    <w:rsid w:val="00A7530E"/>
    <w:rPr>
      <w:rFonts w:ascii="Cambria" w:hAnsi="Cambria"/>
      <w:color w:val="243F60"/>
      <w:sz w:val="20"/>
      <w:szCs w:val="20"/>
      <w:lang w:eastAsia="en-US"/>
    </w:rPr>
  </w:style>
  <w:style w:type="character" w:customStyle="1" w:styleId="Heading6Char">
    <w:name w:val="Heading 6 Char"/>
    <w:basedOn w:val="DefaultParagraphFont"/>
    <w:link w:val="Heading6"/>
    <w:uiPriority w:val="9"/>
    <w:locked/>
    <w:rsid w:val="00A7530E"/>
    <w:rPr>
      <w:rFonts w:ascii="Cambria" w:hAnsi="Cambria"/>
      <w:i/>
      <w:iCs/>
      <w:color w:val="243F60"/>
      <w:sz w:val="20"/>
      <w:szCs w:val="20"/>
      <w:lang w:eastAsia="en-US"/>
    </w:rPr>
  </w:style>
  <w:style w:type="character" w:customStyle="1" w:styleId="Heading7Char">
    <w:name w:val="Heading 7 Char"/>
    <w:basedOn w:val="DefaultParagraphFont"/>
    <w:link w:val="Heading7"/>
    <w:uiPriority w:val="9"/>
    <w:locked/>
    <w:rsid w:val="00A7530E"/>
    <w:rPr>
      <w:rFonts w:ascii="Cambria" w:hAnsi="Cambria"/>
      <w:i/>
      <w:iCs/>
      <w:color w:val="404040"/>
      <w:sz w:val="20"/>
      <w:szCs w:val="20"/>
      <w:lang w:eastAsia="en-US"/>
    </w:rPr>
  </w:style>
  <w:style w:type="character" w:customStyle="1" w:styleId="Heading8Char">
    <w:name w:val="Heading 8 Char"/>
    <w:basedOn w:val="DefaultParagraphFont"/>
    <w:link w:val="Heading8"/>
    <w:uiPriority w:val="9"/>
    <w:locked/>
    <w:rsid w:val="00A7530E"/>
    <w:rPr>
      <w:rFonts w:ascii="Cambria" w:hAnsi="Cambria"/>
      <w:color w:val="404040"/>
      <w:sz w:val="20"/>
      <w:szCs w:val="20"/>
      <w:lang w:eastAsia="en-US"/>
    </w:rPr>
  </w:style>
  <w:style w:type="character" w:customStyle="1" w:styleId="Heading9Char">
    <w:name w:val="Heading 9 Char"/>
    <w:basedOn w:val="DefaultParagraphFont"/>
    <w:link w:val="Heading9"/>
    <w:uiPriority w:val="9"/>
    <w:locked/>
    <w:rsid w:val="00A7530E"/>
    <w:rPr>
      <w:rFonts w:ascii="Cambria" w:hAnsi="Cambria"/>
      <w:i/>
      <w:iCs/>
      <w:color w:val="404040"/>
      <w:sz w:val="20"/>
      <w:szCs w:val="20"/>
      <w:lang w:eastAsia="en-US"/>
    </w:rPr>
  </w:style>
  <w:style w:type="paragraph" w:customStyle="1" w:styleId="Default">
    <w:name w:val="Default"/>
    <w:rsid w:val="00A7530E"/>
    <w:pPr>
      <w:autoSpaceDE w:val="0"/>
      <w:autoSpaceDN w:val="0"/>
      <w:adjustRightInd w:val="0"/>
    </w:pPr>
    <w:rPr>
      <w:rFonts w:cs="Calibri"/>
      <w:color w:val="000000"/>
      <w:sz w:val="24"/>
      <w:szCs w:val="24"/>
      <w:lang w:val="es-EC" w:eastAsia="es-EC"/>
    </w:rPr>
  </w:style>
  <w:style w:type="paragraph" w:styleId="BodyTextIndent">
    <w:name w:val="Body Text Indent"/>
    <w:basedOn w:val="Normal"/>
    <w:link w:val="BodyTextIndentChar"/>
    <w:uiPriority w:val="99"/>
    <w:rsid w:val="00A7530E"/>
    <w:pPr>
      <w:spacing w:after="120" w:line="240" w:lineRule="auto"/>
      <w:ind w:left="283"/>
    </w:pPr>
    <w:rPr>
      <w:rFonts w:ascii="Times New Roman" w:eastAsia="Times New Roman" w:hAnsi="Times New Roman"/>
      <w:sz w:val="24"/>
      <w:szCs w:val="24"/>
      <w:lang w:val="es-ES" w:eastAsia="es-ES"/>
    </w:rPr>
  </w:style>
  <w:style w:type="character" w:customStyle="1" w:styleId="BodyTextIndentChar">
    <w:name w:val="Body Text Indent Char"/>
    <w:basedOn w:val="DefaultParagraphFont"/>
    <w:link w:val="BodyTextIndent"/>
    <w:uiPriority w:val="99"/>
    <w:locked/>
    <w:rsid w:val="00A7530E"/>
    <w:rPr>
      <w:rFonts w:ascii="Times New Roman" w:hAnsi="Times New Roman" w:cs="Times New Roman"/>
      <w:sz w:val="24"/>
      <w:szCs w:val="24"/>
      <w:lang w:val="es-ES" w:eastAsia="es-ES"/>
    </w:rPr>
  </w:style>
  <w:style w:type="paragraph" w:styleId="BodyText">
    <w:name w:val="Body Text"/>
    <w:basedOn w:val="Normal"/>
    <w:link w:val="BodyTextChar"/>
    <w:uiPriority w:val="99"/>
    <w:rsid w:val="00A7530E"/>
    <w:pPr>
      <w:spacing w:after="120" w:line="240" w:lineRule="auto"/>
    </w:pPr>
    <w:rPr>
      <w:rFonts w:ascii="Times New Roman" w:eastAsia="Times New Roman" w:hAnsi="Times New Roman"/>
      <w:sz w:val="24"/>
      <w:szCs w:val="24"/>
      <w:lang w:val="es-ES" w:eastAsia="es-ES"/>
    </w:rPr>
  </w:style>
  <w:style w:type="character" w:customStyle="1" w:styleId="BodyTextChar">
    <w:name w:val="Body Text Char"/>
    <w:basedOn w:val="DefaultParagraphFont"/>
    <w:link w:val="BodyText"/>
    <w:uiPriority w:val="99"/>
    <w:locked/>
    <w:rsid w:val="00A7530E"/>
    <w:rPr>
      <w:rFonts w:ascii="Times New Roman" w:hAnsi="Times New Roman" w:cs="Times New Roman"/>
      <w:sz w:val="24"/>
      <w:szCs w:val="24"/>
      <w:lang w:val="es-ES" w:eastAsia="es-ES"/>
    </w:rPr>
  </w:style>
  <w:style w:type="paragraph" w:customStyle="1" w:styleId="normalsangr1">
    <w:name w:val="normal sangr 1"/>
    <w:basedOn w:val="Normal"/>
    <w:uiPriority w:val="99"/>
    <w:rsid w:val="00A7530E"/>
    <w:pPr>
      <w:tabs>
        <w:tab w:val="left" w:pos="283"/>
        <w:tab w:val="left" w:pos="567"/>
        <w:tab w:val="left" w:pos="1416"/>
        <w:tab w:val="left" w:pos="2124"/>
      </w:tabs>
      <w:spacing w:after="28" w:line="240" w:lineRule="auto"/>
      <w:ind w:left="283" w:hanging="283"/>
      <w:jc w:val="both"/>
    </w:pPr>
    <w:rPr>
      <w:rFonts w:ascii="Ottawa" w:eastAsia="Times New Roman" w:hAnsi="Ottawa"/>
      <w:sz w:val="20"/>
      <w:szCs w:val="20"/>
      <w:lang w:val="es-ES" w:eastAsia="es-ES"/>
    </w:rPr>
  </w:style>
  <w:style w:type="table" w:styleId="TableGrid">
    <w:name w:val="Table Grid"/>
    <w:basedOn w:val="TableNormal"/>
    <w:uiPriority w:val="99"/>
    <w:rsid w:val="00A7530E"/>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A7530E"/>
    <w:pPr>
      <w:keepNext/>
      <w:tabs>
        <w:tab w:val="left" w:pos="0"/>
        <w:tab w:val="left" w:pos="86"/>
      </w:tabs>
      <w:spacing w:before="120" w:after="120" w:line="240" w:lineRule="auto"/>
      <w:ind w:left="720" w:hanging="720"/>
    </w:pPr>
    <w:rPr>
      <w:rFonts w:ascii="Times New Roman" w:eastAsia="Times New Roman" w:hAnsi="Times New Roman"/>
      <w:b/>
      <w:sz w:val="24"/>
      <w:szCs w:val="24"/>
      <w:lang w:val="es-ES"/>
    </w:rPr>
  </w:style>
  <w:style w:type="paragraph" w:customStyle="1" w:styleId="SecHeading">
    <w:name w:val="SecHeading"/>
    <w:basedOn w:val="Normal"/>
    <w:next w:val="Normal"/>
    <w:link w:val="SecHeadingChar"/>
    <w:rsid w:val="00A7530E"/>
    <w:pPr>
      <w:keepNext/>
      <w:tabs>
        <w:tab w:val="num" w:pos="5400"/>
      </w:tabs>
      <w:spacing w:before="120" w:after="120" w:line="240" w:lineRule="auto"/>
      <w:ind w:left="5400" w:hanging="576"/>
    </w:pPr>
    <w:rPr>
      <w:rFonts w:ascii="Times New Roman" w:eastAsia="Times New Roman" w:hAnsi="Times New Roman"/>
      <w:b/>
      <w:sz w:val="24"/>
      <w:szCs w:val="24"/>
      <w:lang w:val="es-ES"/>
    </w:rPr>
  </w:style>
  <w:style w:type="character" w:customStyle="1" w:styleId="SecHeadingChar">
    <w:name w:val="SecHeading Char"/>
    <w:basedOn w:val="DefaultParagraphFont"/>
    <w:link w:val="SecHeading"/>
    <w:uiPriority w:val="99"/>
    <w:locked/>
    <w:rsid w:val="00A7530E"/>
    <w:rPr>
      <w:rFonts w:ascii="Times New Roman" w:hAnsi="Times New Roman" w:cs="Times New Roman"/>
      <w:b/>
      <w:sz w:val="24"/>
      <w:szCs w:val="24"/>
      <w:lang w:eastAsia="en-US"/>
    </w:rPr>
  </w:style>
  <w:style w:type="paragraph" w:customStyle="1" w:styleId="SubHeading1">
    <w:name w:val="SubHeading1"/>
    <w:basedOn w:val="SecHeading"/>
    <w:rsid w:val="00A7530E"/>
    <w:pPr>
      <w:numPr>
        <w:ilvl w:val="2"/>
      </w:numPr>
      <w:tabs>
        <w:tab w:val="num" w:pos="1872"/>
        <w:tab w:val="num" w:pos="2160"/>
        <w:tab w:val="num" w:pos="5400"/>
      </w:tabs>
      <w:ind w:left="1872" w:hanging="360"/>
    </w:pPr>
  </w:style>
  <w:style w:type="paragraph" w:customStyle="1" w:styleId="Subheading2">
    <w:name w:val="Subheading2"/>
    <w:basedOn w:val="SecHeading"/>
    <w:rsid w:val="00A7530E"/>
    <w:pPr>
      <w:numPr>
        <w:ilvl w:val="3"/>
      </w:numPr>
      <w:tabs>
        <w:tab w:val="num" w:pos="2376"/>
        <w:tab w:val="num" w:pos="2880"/>
        <w:tab w:val="num" w:pos="5400"/>
      </w:tabs>
      <w:ind w:left="2376" w:hanging="360"/>
    </w:pPr>
  </w:style>
  <w:style w:type="paragraph" w:styleId="Header">
    <w:name w:val="header"/>
    <w:basedOn w:val="Normal"/>
    <w:link w:val="HeaderChar"/>
    <w:uiPriority w:val="99"/>
    <w:rsid w:val="00A7530E"/>
    <w:pPr>
      <w:tabs>
        <w:tab w:val="center" w:pos="4419"/>
        <w:tab w:val="right" w:pos="8838"/>
      </w:tabs>
    </w:pPr>
  </w:style>
  <w:style w:type="character" w:customStyle="1" w:styleId="HeaderChar">
    <w:name w:val="Header Char"/>
    <w:basedOn w:val="DefaultParagraphFont"/>
    <w:link w:val="Header"/>
    <w:uiPriority w:val="99"/>
    <w:locked/>
    <w:rsid w:val="00A7530E"/>
    <w:rPr>
      <w:rFonts w:ascii="Calibri" w:eastAsia="Times New Roman" w:hAnsi="Calibri" w:cs="Times New Roman"/>
    </w:rPr>
  </w:style>
  <w:style w:type="paragraph" w:styleId="Footer">
    <w:name w:val="footer"/>
    <w:basedOn w:val="Normal"/>
    <w:link w:val="FooterChar"/>
    <w:uiPriority w:val="99"/>
    <w:rsid w:val="00A7530E"/>
    <w:pPr>
      <w:tabs>
        <w:tab w:val="center" w:pos="4419"/>
        <w:tab w:val="right" w:pos="8838"/>
      </w:tabs>
    </w:pPr>
  </w:style>
  <w:style w:type="character" w:customStyle="1" w:styleId="FooterChar">
    <w:name w:val="Footer Char"/>
    <w:basedOn w:val="DefaultParagraphFont"/>
    <w:link w:val="Footer"/>
    <w:uiPriority w:val="99"/>
    <w:locked/>
    <w:rsid w:val="00A7530E"/>
    <w:rPr>
      <w:rFonts w:ascii="Calibri" w:eastAsia="Times New Roman" w:hAnsi="Calibri" w:cs="Times New Roman"/>
    </w:rPr>
  </w:style>
  <w:style w:type="paragraph" w:styleId="ListParagraph">
    <w:name w:val="List Paragraph"/>
    <w:basedOn w:val="Normal"/>
    <w:link w:val="ListParagraphChar"/>
    <w:uiPriority w:val="99"/>
    <w:qFormat/>
    <w:rsid w:val="00A7530E"/>
    <w:pPr>
      <w:spacing w:after="0" w:line="240" w:lineRule="auto"/>
      <w:ind w:left="720"/>
      <w:contextualSpacing/>
    </w:pPr>
    <w:rPr>
      <w:rFonts w:ascii="Times New Roman" w:eastAsia="Times New Roman" w:hAnsi="Times New Roman"/>
      <w:sz w:val="24"/>
      <w:szCs w:val="24"/>
      <w:lang w:val="es-ES" w:eastAsia="es-ES"/>
    </w:rPr>
  </w:style>
  <w:style w:type="character" w:customStyle="1" w:styleId="ListParagraphChar">
    <w:name w:val="List Paragraph Char"/>
    <w:basedOn w:val="DefaultParagraphFont"/>
    <w:link w:val="ListParagraph"/>
    <w:uiPriority w:val="99"/>
    <w:locked/>
    <w:rsid w:val="00D17551"/>
    <w:rPr>
      <w:rFonts w:ascii="Times New Roman" w:hAnsi="Times New Roman" w:cs="Times New Roman"/>
      <w:sz w:val="24"/>
      <w:szCs w:val="24"/>
    </w:rPr>
  </w:style>
  <w:style w:type="character" w:styleId="Hyperlink">
    <w:name w:val="Hyperlink"/>
    <w:basedOn w:val="DefaultParagraphFont"/>
    <w:uiPriority w:val="99"/>
    <w:rsid w:val="00A7530E"/>
    <w:rPr>
      <w:rFonts w:cs="Times New Roman"/>
      <w:color w:val="0000FF"/>
      <w:u w:val="single"/>
    </w:rPr>
  </w:style>
  <w:style w:type="paragraph" w:customStyle="1" w:styleId="Chapter">
    <w:name w:val="Chapter"/>
    <w:basedOn w:val="Normal"/>
    <w:next w:val="Normal"/>
    <w:qFormat/>
    <w:rsid w:val="00A7530E"/>
    <w:pPr>
      <w:tabs>
        <w:tab w:val="num" w:pos="360"/>
        <w:tab w:val="left" w:pos="1440"/>
      </w:tabs>
      <w:spacing w:after="240" w:line="240" w:lineRule="auto"/>
      <w:ind w:left="-288" w:firstLine="288"/>
      <w:jc w:val="center"/>
    </w:pPr>
    <w:rPr>
      <w:rFonts w:ascii="Times New Roman" w:eastAsia="Times New Roman" w:hAnsi="Times New Roman"/>
      <w:b/>
      <w:smallCaps/>
      <w:sz w:val="24"/>
      <w:szCs w:val="20"/>
      <w:lang w:val="es-ES"/>
    </w:rPr>
  </w:style>
  <w:style w:type="paragraph" w:customStyle="1" w:styleId="Paragraph">
    <w:name w:val="Paragraph"/>
    <w:aliases w:val="p,PARAGRAPH,PG,pa,at,paragraph"/>
    <w:basedOn w:val="BodyTextIndent"/>
    <w:link w:val="ParagraphChar"/>
    <w:qFormat/>
    <w:rsid w:val="00A7530E"/>
    <w:pPr>
      <w:tabs>
        <w:tab w:val="num" w:pos="720"/>
      </w:tabs>
      <w:spacing w:before="120"/>
      <w:ind w:left="720" w:hanging="720"/>
      <w:jc w:val="both"/>
      <w:outlineLvl w:val="1"/>
    </w:pPr>
    <w:rPr>
      <w:szCs w:val="20"/>
      <w:lang w:eastAsia="en-US"/>
    </w:rPr>
  </w:style>
  <w:style w:type="paragraph" w:customStyle="1" w:styleId="Newpage">
    <w:name w:val="Newpage"/>
    <w:basedOn w:val="Normal"/>
    <w:uiPriority w:val="99"/>
    <w:rsid w:val="00A7530E"/>
    <w:pPr>
      <w:tabs>
        <w:tab w:val="left" w:pos="3060"/>
      </w:tabs>
      <w:spacing w:after="0" w:line="240" w:lineRule="auto"/>
      <w:jc w:val="center"/>
    </w:pPr>
    <w:rPr>
      <w:rFonts w:ascii="Times New Roman" w:eastAsia="Times New Roman" w:hAnsi="Times New Roman"/>
      <w:b/>
      <w:smallCaps/>
      <w:sz w:val="24"/>
      <w:szCs w:val="24"/>
      <w:lang w:val="es-ES"/>
    </w:rPr>
  </w:style>
  <w:style w:type="character" w:customStyle="1" w:styleId="nrmar">
    <w:name w:val="nrmar"/>
    <w:basedOn w:val="DefaultParagraphFont"/>
    <w:uiPriority w:val="99"/>
    <w:rsid w:val="00A7530E"/>
    <w:rPr>
      <w:rFonts w:cs="Times New Roman"/>
    </w:rPr>
  </w:style>
  <w:style w:type="paragraph" w:styleId="FootnoteText">
    <w:name w:val="footnote text"/>
    <w:aliases w:val="fn,Texto nota pie IIRSA,foottextfra,footnote,F,Car,ft,Texto,nota,pie,Ref.,al,F1,texto de nota al pie,NOTA AL PIE TESIS PUCP,footnote text,Geneva 9,Font: Geneva 9,Boston 10,f,Fußnotentextr,Texto nota pie Car Car,single space,Fußn,nota_rodap"/>
    <w:basedOn w:val="Normal"/>
    <w:link w:val="FootnoteTextChar"/>
    <w:qFormat/>
    <w:rsid w:val="00A7530E"/>
    <w:pPr>
      <w:spacing w:after="0" w:line="240" w:lineRule="auto"/>
    </w:pPr>
    <w:rPr>
      <w:sz w:val="20"/>
      <w:szCs w:val="20"/>
    </w:rPr>
  </w:style>
  <w:style w:type="character" w:customStyle="1" w:styleId="FootnoteTextChar">
    <w:name w:val="Footnote Text Char"/>
    <w:aliases w:val="fn Char,Texto nota pie IIRSA Char,foottextfra Char,footnote Char,F Char,Car Char,ft Char,Texto Char,nota Char,pie Char,Ref. Char,al Char,F1 Char,texto de nota al pie Char,NOTA AL PIE TESIS PUCP Char,footnote text Char,Geneva 9 Char"/>
    <w:basedOn w:val="DefaultParagraphFont"/>
    <w:link w:val="FootnoteText"/>
    <w:locked/>
    <w:rsid w:val="00A7530E"/>
    <w:rPr>
      <w:rFonts w:ascii="Calibri" w:eastAsia="Times New Roman" w:hAnsi="Calibri" w:cs="Times New Roman"/>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fr"/>
    <w:basedOn w:val="DefaultParagraphFont"/>
    <w:uiPriority w:val="99"/>
    <w:qFormat/>
    <w:rsid w:val="00A7530E"/>
    <w:rPr>
      <w:rFonts w:cs="Times New Roman"/>
      <w:vertAlign w:val="superscript"/>
    </w:rPr>
  </w:style>
  <w:style w:type="paragraph" w:styleId="BalloonText">
    <w:name w:val="Balloon Text"/>
    <w:basedOn w:val="Normal"/>
    <w:link w:val="BalloonTextChar"/>
    <w:uiPriority w:val="99"/>
    <w:semiHidden/>
    <w:rsid w:val="00A75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530E"/>
    <w:rPr>
      <w:rFonts w:ascii="Tahoma" w:eastAsia="Times New Roman" w:hAnsi="Tahoma" w:cs="Tahoma"/>
      <w:sz w:val="16"/>
      <w:szCs w:val="16"/>
    </w:rPr>
  </w:style>
  <w:style w:type="character" w:styleId="CommentReference">
    <w:name w:val="annotation reference"/>
    <w:basedOn w:val="DefaultParagraphFont"/>
    <w:semiHidden/>
    <w:rsid w:val="00A7530E"/>
    <w:rPr>
      <w:rFonts w:cs="Times New Roman"/>
      <w:sz w:val="16"/>
      <w:szCs w:val="16"/>
    </w:rPr>
  </w:style>
  <w:style w:type="paragraph" w:styleId="CommentText">
    <w:name w:val="annotation text"/>
    <w:basedOn w:val="Normal"/>
    <w:link w:val="CommentTextChar"/>
    <w:rsid w:val="00A7530E"/>
    <w:pPr>
      <w:spacing w:line="240" w:lineRule="auto"/>
    </w:pPr>
    <w:rPr>
      <w:sz w:val="20"/>
      <w:szCs w:val="20"/>
    </w:rPr>
  </w:style>
  <w:style w:type="character" w:customStyle="1" w:styleId="CommentTextChar">
    <w:name w:val="Comment Text Char"/>
    <w:basedOn w:val="DefaultParagraphFont"/>
    <w:link w:val="CommentText"/>
    <w:locked/>
    <w:rsid w:val="00A7530E"/>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A7530E"/>
    <w:rPr>
      <w:b/>
      <w:bCs/>
    </w:rPr>
  </w:style>
  <w:style w:type="character" w:customStyle="1" w:styleId="CommentSubjectChar">
    <w:name w:val="Comment Subject Char"/>
    <w:basedOn w:val="CommentTextChar"/>
    <w:link w:val="CommentSubject"/>
    <w:uiPriority w:val="99"/>
    <w:semiHidden/>
    <w:locked/>
    <w:rsid w:val="00A7530E"/>
    <w:rPr>
      <w:rFonts w:ascii="Calibri" w:eastAsia="Times New Roman" w:hAnsi="Calibri" w:cs="Times New Roman"/>
      <w:b/>
      <w:bCs/>
      <w:sz w:val="20"/>
      <w:szCs w:val="20"/>
    </w:rPr>
  </w:style>
  <w:style w:type="paragraph" w:styleId="TOCHeading">
    <w:name w:val="TOC Heading"/>
    <w:basedOn w:val="Heading1"/>
    <w:next w:val="Normal"/>
    <w:uiPriority w:val="99"/>
    <w:qFormat/>
    <w:rsid w:val="008E531D"/>
    <w:pPr>
      <w:keepLines/>
      <w:spacing w:before="480" w:after="0" w:line="276" w:lineRule="auto"/>
      <w:outlineLvl w:val="9"/>
    </w:pPr>
    <w:rPr>
      <w:rFonts w:ascii="Cambria" w:hAnsi="Cambria" w:cs="Times New Roman"/>
      <w:color w:val="365F91"/>
      <w:kern w:val="0"/>
      <w:sz w:val="28"/>
      <w:szCs w:val="28"/>
      <w:lang w:eastAsia="en-US"/>
    </w:rPr>
  </w:style>
  <w:style w:type="paragraph" w:styleId="TOC3">
    <w:name w:val="toc 3"/>
    <w:basedOn w:val="Normal"/>
    <w:next w:val="Normal"/>
    <w:autoRedefine/>
    <w:uiPriority w:val="39"/>
    <w:rsid w:val="0046532D"/>
    <w:pPr>
      <w:tabs>
        <w:tab w:val="left" w:pos="709"/>
        <w:tab w:val="right" w:leader="dot" w:pos="8505"/>
      </w:tabs>
      <w:spacing w:after="100"/>
    </w:pPr>
    <w:rPr>
      <w:rFonts w:ascii="Times New Roman" w:hAnsi="Times New Roman"/>
      <w:b/>
      <w:noProof/>
      <w:sz w:val="18"/>
      <w:szCs w:val="18"/>
    </w:rPr>
  </w:style>
  <w:style w:type="paragraph" w:styleId="TOC2">
    <w:name w:val="toc 2"/>
    <w:basedOn w:val="Normal"/>
    <w:next w:val="Normal"/>
    <w:autoRedefine/>
    <w:uiPriority w:val="39"/>
    <w:rsid w:val="001E0215"/>
    <w:pPr>
      <w:tabs>
        <w:tab w:val="left" w:pos="709"/>
        <w:tab w:val="right" w:leader="dot" w:pos="8494"/>
      </w:tabs>
      <w:spacing w:after="100"/>
    </w:pPr>
    <w:rPr>
      <w:rFonts w:ascii="Times New Roman" w:hAnsi="Times New Roman"/>
      <w:noProof/>
      <w:sz w:val="24"/>
      <w:szCs w:val="24"/>
    </w:rPr>
  </w:style>
  <w:style w:type="paragraph" w:styleId="BodyText2">
    <w:name w:val="Body Text 2"/>
    <w:basedOn w:val="Normal"/>
    <w:link w:val="BodyText2Char"/>
    <w:uiPriority w:val="99"/>
    <w:semiHidden/>
    <w:rsid w:val="00736878"/>
    <w:pPr>
      <w:spacing w:after="120" w:line="480" w:lineRule="auto"/>
    </w:pPr>
  </w:style>
  <w:style w:type="character" w:customStyle="1" w:styleId="BodyText2Char">
    <w:name w:val="Body Text 2 Char"/>
    <w:basedOn w:val="DefaultParagraphFont"/>
    <w:link w:val="BodyText2"/>
    <w:uiPriority w:val="99"/>
    <w:semiHidden/>
    <w:locked/>
    <w:rsid w:val="00736878"/>
    <w:rPr>
      <w:rFonts w:cs="Times New Roman"/>
      <w:sz w:val="22"/>
      <w:szCs w:val="22"/>
      <w:lang w:val="es-EC" w:eastAsia="en-US"/>
    </w:rPr>
  </w:style>
  <w:style w:type="character" w:styleId="FollowedHyperlink">
    <w:name w:val="FollowedHyperlink"/>
    <w:basedOn w:val="DefaultParagraphFont"/>
    <w:uiPriority w:val="99"/>
    <w:semiHidden/>
    <w:rsid w:val="00D17551"/>
    <w:rPr>
      <w:rFonts w:cs="Times New Roman"/>
      <w:color w:val="800080"/>
      <w:u w:val="single"/>
    </w:rPr>
  </w:style>
  <w:style w:type="paragraph" w:customStyle="1" w:styleId="xl65">
    <w:name w:val="xl65"/>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US"/>
    </w:rPr>
  </w:style>
  <w:style w:type="paragraph" w:customStyle="1" w:styleId="xl66">
    <w:name w:val="xl66"/>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val="en-US"/>
    </w:rPr>
  </w:style>
  <w:style w:type="paragraph" w:customStyle="1" w:styleId="xl67">
    <w:name w:val="xl67"/>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68">
    <w:name w:val="xl68"/>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69">
    <w:name w:val="xl69"/>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0">
    <w:name w:val="xl70"/>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1">
    <w:name w:val="xl71"/>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2">
    <w:name w:val="xl72"/>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3">
    <w:name w:val="xl73"/>
    <w:basedOn w:val="Normal"/>
    <w:uiPriority w:val="99"/>
    <w:rsid w:val="00D17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4">
    <w:name w:val="xl74"/>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sz w:val="24"/>
      <w:szCs w:val="24"/>
      <w:lang w:val="en-US"/>
    </w:rPr>
  </w:style>
  <w:style w:type="paragraph" w:customStyle="1" w:styleId="xl75">
    <w:name w:val="xl75"/>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6">
    <w:name w:val="xl76"/>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7">
    <w:name w:val="xl77"/>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8">
    <w:name w:val="xl78"/>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9">
    <w:name w:val="xl79"/>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80">
    <w:name w:val="xl80"/>
    <w:basedOn w:val="Normal"/>
    <w:uiPriority w:val="99"/>
    <w:rsid w:val="00D175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24"/>
      <w:szCs w:val="24"/>
      <w:lang w:val="en-US"/>
    </w:rPr>
  </w:style>
  <w:style w:type="character" w:styleId="Emphasis">
    <w:name w:val="Emphasis"/>
    <w:basedOn w:val="DefaultParagraphFont"/>
    <w:uiPriority w:val="99"/>
    <w:qFormat/>
    <w:rsid w:val="00D17551"/>
    <w:rPr>
      <w:rFonts w:cs="Times New Roman"/>
      <w:b/>
      <w:bCs/>
    </w:rPr>
  </w:style>
  <w:style w:type="character" w:customStyle="1" w:styleId="st">
    <w:name w:val="st"/>
    <w:basedOn w:val="DefaultParagraphFont"/>
    <w:uiPriority w:val="99"/>
    <w:rsid w:val="00FC2620"/>
    <w:rPr>
      <w:rFonts w:cs="Times New Roman"/>
    </w:rPr>
  </w:style>
  <w:style w:type="paragraph" w:styleId="Revision">
    <w:name w:val="Revision"/>
    <w:hidden/>
    <w:uiPriority w:val="99"/>
    <w:semiHidden/>
    <w:rsid w:val="00F72BB2"/>
    <w:rPr>
      <w:lang w:val="es-EC" w:eastAsia="en-US"/>
    </w:rPr>
  </w:style>
  <w:style w:type="paragraph" w:styleId="TOC1">
    <w:name w:val="toc 1"/>
    <w:basedOn w:val="Normal"/>
    <w:next w:val="Normal"/>
    <w:autoRedefine/>
    <w:uiPriority w:val="39"/>
    <w:rsid w:val="00ED4ECF"/>
    <w:pPr>
      <w:tabs>
        <w:tab w:val="left" w:pos="708"/>
        <w:tab w:val="right" w:leader="dot" w:pos="8494"/>
      </w:tabs>
      <w:spacing w:after="100"/>
    </w:pPr>
    <w:rPr>
      <w:rFonts w:ascii="Times New Roman" w:hAnsi="Times New Roman"/>
      <w:noProof/>
      <w:sz w:val="18"/>
      <w:szCs w:val="18"/>
    </w:rPr>
  </w:style>
  <w:style w:type="paragraph" w:styleId="TOC4">
    <w:name w:val="toc 4"/>
    <w:basedOn w:val="Normal"/>
    <w:next w:val="Normal"/>
    <w:autoRedefine/>
    <w:uiPriority w:val="99"/>
    <w:rsid w:val="00CF0A0D"/>
    <w:pPr>
      <w:spacing w:after="100"/>
      <w:ind w:left="660"/>
    </w:pPr>
    <w:rPr>
      <w:rFonts w:eastAsia="Times New Roman"/>
      <w:lang w:val="es-ES" w:eastAsia="es-ES"/>
    </w:rPr>
  </w:style>
  <w:style w:type="paragraph" w:styleId="TOC5">
    <w:name w:val="toc 5"/>
    <w:basedOn w:val="Normal"/>
    <w:next w:val="Normal"/>
    <w:autoRedefine/>
    <w:uiPriority w:val="99"/>
    <w:rsid w:val="00CF0A0D"/>
    <w:pPr>
      <w:spacing w:after="100"/>
      <w:ind w:left="880"/>
    </w:pPr>
    <w:rPr>
      <w:rFonts w:eastAsia="Times New Roman"/>
      <w:lang w:val="es-ES" w:eastAsia="es-ES"/>
    </w:rPr>
  </w:style>
  <w:style w:type="paragraph" w:styleId="TOC6">
    <w:name w:val="toc 6"/>
    <w:basedOn w:val="Normal"/>
    <w:next w:val="Normal"/>
    <w:autoRedefine/>
    <w:uiPriority w:val="99"/>
    <w:rsid w:val="00CF0A0D"/>
    <w:pPr>
      <w:spacing w:after="100"/>
      <w:ind w:left="1100"/>
    </w:pPr>
    <w:rPr>
      <w:rFonts w:eastAsia="Times New Roman"/>
      <w:lang w:val="es-ES" w:eastAsia="es-ES"/>
    </w:rPr>
  </w:style>
  <w:style w:type="paragraph" w:styleId="TOC7">
    <w:name w:val="toc 7"/>
    <w:basedOn w:val="Normal"/>
    <w:next w:val="Normal"/>
    <w:autoRedefine/>
    <w:uiPriority w:val="99"/>
    <w:rsid w:val="00CF0A0D"/>
    <w:pPr>
      <w:spacing w:after="100"/>
      <w:ind w:left="1320"/>
    </w:pPr>
    <w:rPr>
      <w:rFonts w:eastAsia="Times New Roman"/>
      <w:lang w:val="es-ES" w:eastAsia="es-ES"/>
    </w:rPr>
  </w:style>
  <w:style w:type="paragraph" w:styleId="TOC8">
    <w:name w:val="toc 8"/>
    <w:basedOn w:val="Normal"/>
    <w:next w:val="Normal"/>
    <w:autoRedefine/>
    <w:uiPriority w:val="99"/>
    <w:rsid w:val="00CF0A0D"/>
    <w:pPr>
      <w:spacing w:after="100"/>
      <w:ind w:left="1540"/>
    </w:pPr>
    <w:rPr>
      <w:rFonts w:eastAsia="Times New Roman"/>
      <w:lang w:val="es-ES" w:eastAsia="es-ES"/>
    </w:rPr>
  </w:style>
  <w:style w:type="paragraph" w:styleId="TOC9">
    <w:name w:val="toc 9"/>
    <w:basedOn w:val="Normal"/>
    <w:next w:val="Normal"/>
    <w:autoRedefine/>
    <w:uiPriority w:val="99"/>
    <w:rsid w:val="00CF0A0D"/>
    <w:pPr>
      <w:spacing w:after="100"/>
      <w:ind w:left="1760"/>
    </w:pPr>
    <w:rPr>
      <w:rFonts w:eastAsia="Times New Roman"/>
      <w:lang w:val="es-ES" w:eastAsia="es-ES"/>
    </w:rPr>
  </w:style>
  <w:style w:type="paragraph" w:styleId="NormalWeb">
    <w:name w:val="Normal (Web)"/>
    <w:basedOn w:val="Normal"/>
    <w:uiPriority w:val="99"/>
    <w:semiHidden/>
    <w:rsid w:val="00932CF5"/>
    <w:pPr>
      <w:spacing w:before="100" w:beforeAutospacing="1" w:after="100" w:afterAutospacing="1" w:line="240" w:lineRule="auto"/>
    </w:pPr>
    <w:rPr>
      <w:rFonts w:ascii="Times New Roman" w:eastAsia="Times New Roman" w:hAnsi="Times New Roman"/>
      <w:sz w:val="24"/>
      <w:szCs w:val="24"/>
      <w:lang w:val="en-US"/>
    </w:rPr>
  </w:style>
  <w:style w:type="paragraph" w:styleId="DocumentMap">
    <w:name w:val="Document Map"/>
    <w:basedOn w:val="Normal"/>
    <w:link w:val="DocumentMapChar"/>
    <w:uiPriority w:val="99"/>
    <w:semiHidden/>
    <w:rsid w:val="005A1A7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5A1A79"/>
    <w:rPr>
      <w:rFonts w:ascii="Tahoma" w:hAnsi="Tahoma" w:cs="Tahoma"/>
      <w:sz w:val="16"/>
      <w:szCs w:val="16"/>
      <w:lang w:val="es-EC" w:eastAsia="en-US"/>
    </w:rPr>
  </w:style>
  <w:style w:type="paragraph" w:styleId="EndnoteText">
    <w:name w:val="endnote text"/>
    <w:basedOn w:val="Normal"/>
    <w:link w:val="EndnoteTextChar"/>
    <w:uiPriority w:val="99"/>
    <w:semiHidden/>
    <w:unhideWhenUsed/>
    <w:rsid w:val="00E904F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904F5"/>
    <w:rPr>
      <w:sz w:val="20"/>
      <w:szCs w:val="20"/>
      <w:lang w:val="es-EC" w:eastAsia="en-US"/>
    </w:rPr>
  </w:style>
  <w:style w:type="character" w:styleId="EndnoteReference">
    <w:name w:val="endnote reference"/>
    <w:basedOn w:val="DefaultParagraphFont"/>
    <w:uiPriority w:val="99"/>
    <w:semiHidden/>
    <w:unhideWhenUsed/>
    <w:rsid w:val="00E904F5"/>
    <w:rPr>
      <w:vertAlign w:val="superscript"/>
    </w:rPr>
  </w:style>
  <w:style w:type="paragraph" w:customStyle="1" w:styleId="subpar">
    <w:name w:val="subpar"/>
    <w:basedOn w:val="BodyTextIndent3"/>
    <w:link w:val="subparChar"/>
    <w:rsid w:val="00CC4601"/>
    <w:pPr>
      <w:tabs>
        <w:tab w:val="num" w:pos="1152"/>
      </w:tabs>
      <w:spacing w:before="120" w:line="240" w:lineRule="auto"/>
      <w:ind w:left="1152" w:hanging="432"/>
      <w:jc w:val="both"/>
      <w:outlineLvl w:val="2"/>
    </w:pPr>
    <w:rPr>
      <w:rFonts w:ascii="Times New Roman" w:hAnsi="Times New Roman"/>
      <w:sz w:val="24"/>
      <w:lang w:val="es-ES"/>
    </w:rPr>
  </w:style>
  <w:style w:type="character" w:customStyle="1" w:styleId="subparChar">
    <w:name w:val="subpar Char"/>
    <w:link w:val="subpar"/>
    <w:rsid w:val="00CC4601"/>
    <w:rPr>
      <w:rFonts w:ascii="Times New Roman" w:hAnsi="Times New Roman"/>
      <w:sz w:val="24"/>
      <w:szCs w:val="16"/>
      <w:lang w:eastAsia="en-US"/>
    </w:rPr>
  </w:style>
  <w:style w:type="paragraph" w:customStyle="1" w:styleId="SubSubPar">
    <w:name w:val="SubSubPar"/>
    <w:basedOn w:val="subpar"/>
    <w:link w:val="SubSubParChar"/>
    <w:rsid w:val="00CC4601"/>
    <w:pPr>
      <w:tabs>
        <w:tab w:val="clear" w:pos="1152"/>
        <w:tab w:val="left" w:pos="0"/>
        <w:tab w:val="num" w:pos="2736"/>
      </w:tabs>
      <w:ind w:left="2736" w:hanging="288"/>
    </w:pPr>
  </w:style>
  <w:style w:type="character" w:customStyle="1" w:styleId="SubSubParChar">
    <w:name w:val="SubSubPar Char"/>
    <w:link w:val="SubSubPar"/>
    <w:rsid w:val="00CC4601"/>
    <w:rPr>
      <w:rFonts w:ascii="Times New Roman" w:hAnsi="Times New Roman"/>
      <w:sz w:val="24"/>
      <w:szCs w:val="16"/>
      <w:lang w:eastAsia="en-US"/>
    </w:rPr>
  </w:style>
  <w:style w:type="paragraph" w:styleId="BodyTextIndent3">
    <w:name w:val="Body Text Indent 3"/>
    <w:basedOn w:val="Normal"/>
    <w:link w:val="BodyTextIndent3Char"/>
    <w:uiPriority w:val="99"/>
    <w:semiHidden/>
    <w:unhideWhenUsed/>
    <w:rsid w:val="00CC460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C4601"/>
    <w:rPr>
      <w:sz w:val="16"/>
      <w:szCs w:val="16"/>
      <w:lang w:val="es-EC" w:eastAsia="en-US"/>
    </w:rPr>
  </w:style>
  <w:style w:type="character" w:customStyle="1" w:styleId="UnresolvedMention">
    <w:name w:val="Unresolved Mention"/>
    <w:basedOn w:val="DefaultParagraphFont"/>
    <w:uiPriority w:val="99"/>
    <w:semiHidden/>
    <w:unhideWhenUsed/>
    <w:rsid w:val="000125D4"/>
    <w:rPr>
      <w:color w:val="808080"/>
      <w:shd w:val="clear" w:color="auto" w:fill="E6E6E6"/>
    </w:rPr>
  </w:style>
  <w:style w:type="character" w:customStyle="1" w:styleId="FirstHeadingChar">
    <w:name w:val="FirstHeading Char"/>
    <w:link w:val="FirstHeading"/>
    <w:rsid w:val="000125D4"/>
    <w:rPr>
      <w:rFonts w:ascii="Times New Roman" w:eastAsia="Times New Roman" w:hAnsi="Times New Roman"/>
      <w:b/>
      <w:sz w:val="24"/>
      <w:szCs w:val="24"/>
      <w:lang w:eastAsia="en-US"/>
    </w:rPr>
  </w:style>
  <w:style w:type="character" w:customStyle="1" w:styleId="ParagraphChar">
    <w:name w:val="Paragraph Char"/>
    <w:link w:val="Paragraph"/>
    <w:rsid w:val="000125D4"/>
    <w:rPr>
      <w:rFonts w:ascii="Times New Roman" w:eastAsia="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621328">
      <w:marLeft w:val="0"/>
      <w:marRight w:val="0"/>
      <w:marTop w:val="0"/>
      <w:marBottom w:val="0"/>
      <w:divBdr>
        <w:top w:val="none" w:sz="0" w:space="0" w:color="auto"/>
        <w:left w:val="none" w:sz="0" w:space="0" w:color="auto"/>
        <w:bottom w:val="none" w:sz="0" w:space="0" w:color="auto"/>
        <w:right w:val="none" w:sz="0" w:space="0" w:color="auto"/>
      </w:divBdr>
    </w:div>
    <w:div w:id="2000621329">
      <w:marLeft w:val="0"/>
      <w:marRight w:val="0"/>
      <w:marTop w:val="0"/>
      <w:marBottom w:val="0"/>
      <w:divBdr>
        <w:top w:val="none" w:sz="0" w:space="0" w:color="auto"/>
        <w:left w:val="none" w:sz="0" w:space="0" w:color="auto"/>
        <w:bottom w:val="none" w:sz="0" w:space="0" w:color="auto"/>
        <w:right w:val="none" w:sz="0" w:space="0" w:color="auto"/>
      </w:divBdr>
    </w:div>
    <w:div w:id="2000621330">
      <w:marLeft w:val="0"/>
      <w:marRight w:val="0"/>
      <w:marTop w:val="0"/>
      <w:marBottom w:val="0"/>
      <w:divBdr>
        <w:top w:val="none" w:sz="0" w:space="0" w:color="auto"/>
        <w:left w:val="none" w:sz="0" w:space="0" w:color="auto"/>
        <w:bottom w:val="none" w:sz="0" w:space="0" w:color="auto"/>
        <w:right w:val="none" w:sz="0" w:space="0" w:color="auto"/>
      </w:divBdr>
    </w:div>
    <w:div w:id="2000621331">
      <w:marLeft w:val="0"/>
      <w:marRight w:val="0"/>
      <w:marTop w:val="0"/>
      <w:marBottom w:val="0"/>
      <w:divBdr>
        <w:top w:val="none" w:sz="0" w:space="0" w:color="auto"/>
        <w:left w:val="none" w:sz="0" w:space="0" w:color="auto"/>
        <w:bottom w:val="none" w:sz="0" w:space="0" w:color="auto"/>
        <w:right w:val="none" w:sz="0" w:space="0" w:color="auto"/>
      </w:divBdr>
    </w:div>
    <w:div w:id="2000621332">
      <w:marLeft w:val="0"/>
      <w:marRight w:val="0"/>
      <w:marTop w:val="0"/>
      <w:marBottom w:val="0"/>
      <w:divBdr>
        <w:top w:val="none" w:sz="0" w:space="0" w:color="auto"/>
        <w:left w:val="none" w:sz="0" w:space="0" w:color="auto"/>
        <w:bottom w:val="none" w:sz="0" w:space="0" w:color="auto"/>
        <w:right w:val="none" w:sz="0" w:space="0" w:color="auto"/>
      </w:divBdr>
    </w:div>
    <w:div w:id="2000621333">
      <w:marLeft w:val="0"/>
      <w:marRight w:val="0"/>
      <w:marTop w:val="0"/>
      <w:marBottom w:val="0"/>
      <w:divBdr>
        <w:top w:val="none" w:sz="0" w:space="0" w:color="auto"/>
        <w:left w:val="none" w:sz="0" w:space="0" w:color="auto"/>
        <w:bottom w:val="none" w:sz="0" w:space="0" w:color="auto"/>
        <w:right w:val="none" w:sz="0" w:space="0" w:color="auto"/>
      </w:divBdr>
    </w:div>
    <w:div w:id="21273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AR-LON/AR-L1249/_layouts/15/DocIdRedir.aspx?ID=EZSHARE-1077447252-24" TargetMode="Externa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yperlink" Target="https://idbg.sharepoint.com/teams/EZ-AR-LON/AR-L1249/_layouts/15/DocIdRedir.aspx?ID=EZSHARE-1077447252-16"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410065"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F4EF6246F5724BB3223C35758BD43D" ma:contentTypeVersion="20" ma:contentTypeDescription="The base project type from which other project content types inherit their information." ma:contentTypeScope="" ma:versionID="f665829d5e3a501044df79a75e4556a0">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F545721A546A409C9B7B1F2DE426BA" ma:contentTypeVersion="31" ma:contentTypeDescription="A content type to manage public (operations) IDB documents" ma:contentTypeScope="" ma:versionID="75ee8775ae9885bc51e78da33ae4465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R0001313612</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EZSHARE-1077447252-29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147</Value>
      <Value>4</Value>
      <Value>5</Value>
      <Value>1</Value>
      <Value>84</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AR-L1249</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Document_x0020_Language_x0020_IDB xmlns="cdc7663a-08f0-4737-9e8c-148ce897a09c">English</Document_x0020_Language_x0020_IDB>
    <_dlc_DocIdUrl xmlns="cdc7663a-08f0-4737-9e8c-148ce897a09c">
      <Url>https://idbg.sharepoint.com/teams/EZ-AR-LON/AR-L1249/_layouts/15/DocIdRedir.aspx?ID=EZSHARE-1077447252-29</Url>
      <Description>EZSHARE-1077447252-29</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11B7457-59B4-476A-9653-44E4569C4BDA}">
  <ds:schemaRefs>
    <ds:schemaRef ds:uri="http://schemas.openxmlformats.org/officeDocument/2006/bibliography"/>
  </ds:schemaRefs>
</ds:datastoreItem>
</file>

<file path=customXml/itemProps2.xml><?xml version="1.0" encoding="utf-8"?>
<ds:datastoreItem xmlns:ds="http://schemas.openxmlformats.org/officeDocument/2006/customXml" ds:itemID="{CCB2FD9C-CE41-40DF-8F5B-23A7230CBF1B}"/>
</file>

<file path=customXml/itemProps3.xml><?xml version="1.0" encoding="utf-8"?>
<ds:datastoreItem xmlns:ds="http://schemas.openxmlformats.org/officeDocument/2006/customXml" ds:itemID="{CDABD9CC-12E6-4227-8D8C-498A8F348DCA}"/>
</file>

<file path=customXml/itemProps4.xml><?xml version="1.0" encoding="utf-8"?>
<ds:datastoreItem xmlns:ds="http://schemas.openxmlformats.org/officeDocument/2006/customXml" ds:itemID="{5D051841-26ED-4CD4-86D2-B412D1B4E6C3}"/>
</file>

<file path=customXml/itemProps5.xml><?xml version="1.0" encoding="utf-8"?>
<ds:datastoreItem xmlns:ds="http://schemas.openxmlformats.org/officeDocument/2006/customXml" ds:itemID="{6624BA0A-021A-45F5-A1D1-DA6168A7B330}"/>
</file>

<file path=customXml/itemProps6.xml><?xml version="1.0" encoding="utf-8"?>
<ds:datastoreItem xmlns:ds="http://schemas.openxmlformats.org/officeDocument/2006/customXml" ds:itemID="{81A6A47F-18DB-4E24-8494-4264495FFEAC}"/>
</file>

<file path=customXml/itemProps7.xml><?xml version="1.0" encoding="utf-8"?>
<ds:datastoreItem xmlns:ds="http://schemas.openxmlformats.org/officeDocument/2006/customXml" ds:itemID="{3A661B99-2922-4AFE-8153-DEFE5027F7D2}"/>
</file>

<file path=customXml/itemProps8.xml><?xml version="1.0" encoding="utf-8"?>
<ds:datastoreItem xmlns:ds="http://schemas.openxmlformats.org/officeDocument/2006/customXml" ds:itemID="{705CC611-050C-4CCF-8F82-B02BB98FED3C}"/>
</file>

<file path=docProps/app.xml><?xml version="1.0" encoding="utf-8"?>
<Properties xmlns="http://schemas.openxmlformats.org/officeDocument/2006/extended-properties" xmlns:vt="http://schemas.openxmlformats.org/officeDocument/2006/docPropsVTypes">
  <Template>Normal.dotm</Template>
  <TotalTime>2</TotalTime>
  <Pages>25</Pages>
  <Words>8004</Words>
  <Characters>45624</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OPERATIVO DEL PROGRAMA</vt:lpstr>
      <vt:lpstr>REGLAMENTO OPERATIVO DEL PROGRAMA</vt:lpstr>
    </vt:vector>
  </TitlesOfParts>
  <Company>HP</Company>
  <LinksUpToDate>false</LinksUpToDate>
  <CharactersWithSpaces>53521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DEL PROGRAMA</dc:title>
  <dc:creator>Roberto Andrade</dc:creator>
  <cp:keywords/>
  <cp:lastModifiedBy>Bernedo, Cecilia</cp:lastModifiedBy>
  <cp:revision>3</cp:revision>
  <cp:lastPrinted>2012-05-08T01:53:00Z</cp:lastPrinted>
  <dcterms:created xsi:type="dcterms:W3CDTF">2017-11-07T20:43:00Z</dcterms:created>
  <dcterms:modified xsi:type="dcterms:W3CDTF">2017-11-07T22:42:00Z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147;#FINANCIAL INCLUSION|c2f14676-e4fa-4804-b3fb-fa0bd62b66c7</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0a147e97-4276-4e85-b721-a8429a9851a7</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/teams/EZ-AR-LON/AR-L1249/05 Basic Data/Draft Area/Reglamento Operativo del Programa.docx</vt:lpwstr>
  </property>
  <property fmtid="{D5CDD505-2E9C-101B-9397-08002B2CF9AE}" pid="13" name="RecordStorageActiveId">
    <vt:lpwstr>2deffb3b-277f-4aef-9ec9-740e3db9f3a6</vt:lpwstr>
  </property>
  <property fmtid="{D5CDD505-2E9C-101B-9397-08002B2CF9AE}" pid="14" name="Disclosure Activity">
    <vt:lpwstr>Loan Proposal</vt:lpwstr>
  </property>
  <property fmtid="{D5CDD505-2E9C-101B-9397-08002B2CF9AE}" pid="15" name="ContentTypeId">
    <vt:lpwstr>0x0101001A458A224826124E8B45B1D613300CFC00EDF545721A546A409C9B7B1F2DE426BA</vt:lpwstr>
  </property>
</Properties>
</file>