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2CB1" w:rsidRPr="00500CA6" w:rsidRDefault="00E94D4F" w:rsidP="00752053">
      <w:pPr>
        <w:autoSpaceDE w:val="0"/>
        <w:autoSpaceDN w:val="0"/>
        <w:adjustRightInd w:val="0"/>
        <w:jc w:val="center"/>
        <w:rPr>
          <w:rFonts w:ascii="Arial" w:hAnsi="Arial" w:cs="Arial"/>
          <w:b/>
          <w:smallCaps/>
          <w:lang w:val="es-ES"/>
        </w:rPr>
      </w:pPr>
      <w:r w:rsidRPr="00500CA6">
        <w:rPr>
          <w:rFonts w:ascii="Arial" w:hAnsi="Arial" w:cs="Arial"/>
          <w:b/>
          <w:smallCaps/>
          <w:lang w:val="es-ES"/>
        </w:rPr>
        <w:t>Acuerdos y Requisitos Fiduciarios</w:t>
      </w:r>
    </w:p>
    <w:p w:rsidR="00DD2CB1" w:rsidRPr="00E94D4F" w:rsidRDefault="00DD2CB1" w:rsidP="00752053">
      <w:pPr>
        <w:autoSpaceDE w:val="0"/>
        <w:autoSpaceDN w:val="0"/>
        <w:adjustRightInd w:val="0"/>
        <w:rPr>
          <w:rFonts w:ascii="Arial" w:hAnsi="Arial" w:cs="Arial"/>
          <w:i/>
          <w:sz w:val="22"/>
          <w:szCs w:val="22"/>
        </w:rPr>
      </w:pPr>
    </w:p>
    <w:p w:rsidR="00DD2CB1" w:rsidRPr="00E94D4F" w:rsidRDefault="00DD2CB1" w:rsidP="00752053">
      <w:pPr>
        <w:autoSpaceDE w:val="0"/>
        <w:autoSpaceDN w:val="0"/>
        <w:adjustRightInd w:val="0"/>
        <w:jc w:val="center"/>
        <w:rPr>
          <w:rFonts w:ascii="Arial" w:hAnsi="Arial" w:cs="Arial"/>
          <w:sz w:val="22"/>
          <w:szCs w:val="22"/>
        </w:rPr>
      </w:pPr>
    </w:p>
    <w:p w:rsidR="00DD2CB1" w:rsidRPr="00E94D4F" w:rsidRDefault="00E94D4F" w:rsidP="00E94D4F">
      <w:pPr>
        <w:autoSpaceDE w:val="0"/>
        <w:autoSpaceDN w:val="0"/>
        <w:adjustRightInd w:val="0"/>
        <w:jc w:val="both"/>
        <w:rPr>
          <w:rFonts w:ascii="Arial" w:hAnsi="Arial" w:cs="Arial"/>
          <w:sz w:val="22"/>
          <w:szCs w:val="22"/>
          <w:u w:val="single"/>
        </w:rPr>
      </w:pPr>
      <w:r w:rsidRPr="00E94D4F">
        <w:rPr>
          <w:rFonts w:ascii="Arial" w:hAnsi="Arial" w:cs="Arial"/>
          <w:b/>
          <w:smallCaps/>
          <w:sz w:val="22"/>
          <w:szCs w:val="22"/>
        </w:rPr>
        <w:t>País:</w:t>
      </w:r>
      <w:r w:rsidRPr="00E94D4F">
        <w:rPr>
          <w:rFonts w:ascii="Arial" w:hAnsi="Arial" w:cs="Arial"/>
          <w:b/>
          <w:smallCaps/>
          <w:sz w:val="22"/>
          <w:szCs w:val="22"/>
        </w:rPr>
        <w:tab/>
      </w:r>
      <w:r w:rsidRPr="00E94D4F">
        <w:rPr>
          <w:rFonts w:ascii="Arial" w:hAnsi="Arial" w:cs="Arial"/>
          <w:b/>
          <w:smallCaps/>
          <w:sz w:val="22"/>
          <w:szCs w:val="22"/>
        </w:rPr>
        <w:tab/>
      </w:r>
      <w:r w:rsidR="009916AF" w:rsidRPr="00E94D4F">
        <w:rPr>
          <w:rFonts w:ascii="Arial" w:hAnsi="Arial" w:cs="Arial"/>
          <w:b/>
          <w:sz w:val="22"/>
          <w:szCs w:val="22"/>
        </w:rPr>
        <w:tab/>
      </w:r>
      <w:r w:rsidRPr="00E94D4F">
        <w:rPr>
          <w:rFonts w:ascii="Arial" w:hAnsi="Arial" w:cs="Arial"/>
          <w:b/>
          <w:sz w:val="22"/>
          <w:szCs w:val="22"/>
        </w:rPr>
        <w:tab/>
      </w:r>
      <w:r w:rsidR="00142944" w:rsidRPr="00E94D4F">
        <w:rPr>
          <w:rFonts w:ascii="Arial" w:hAnsi="Arial" w:cs="Arial"/>
          <w:sz w:val="22"/>
          <w:szCs w:val="22"/>
        </w:rPr>
        <w:t>Argentina</w:t>
      </w:r>
    </w:p>
    <w:p w:rsidR="00142944" w:rsidRPr="00E94D4F" w:rsidRDefault="00E94D4F" w:rsidP="00E94D4F">
      <w:pPr>
        <w:autoSpaceDE w:val="0"/>
        <w:autoSpaceDN w:val="0"/>
        <w:adjustRightInd w:val="0"/>
        <w:jc w:val="both"/>
        <w:rPr>
          <w:rFonts w:ascii="Arial" w:hAnsi="Arial" w:cs="Arial"/>
          <w:sz w:val="22"/>
          <w:szCs w:val="22"/>
          <w:lang w:val="es-ES"/>
        </w:rPr>
      </w:pPr>
      <w:r w:rsidRPr="00E94D4F">
        <w:rPr>
          <w:rFonts w:ascii="Arial" w:hAnsi="Arial" w:cs="Arial"/>
          <w:b/>
          <w:smallCaps/>
          <w:sz w:val="22"/>
          <w:szCs w:val="22"/>
          <w:lang w:val="es-ES"/>
        </w:rPr>
        <w:t xml:space="preserve">Proyecto </w:t>
      </w:r>
      <w:proofErr w:type="spellStart"/>
      <w:r w:rsidRPr="00E94D4F">
        <w:rPr>
          <w:rFonts w:ascii="Arial" w:hAnsi="Arial" w:cs="Arial"/>
          <w:b/>
          <w:smallCaps/>
          <w:sz w:val="22"/>
          <w:szCs w:val="22"/>
          <w:lang w:val="es-ES"/>
        </w:rPr>
        <w:t>Nº</w:t>
      </w:r>
      <w:proofErr w:type="spellEnd"/>
      <w:r w:rsidRPr="00E94D4F">
        <w:rPr>
          <w:rFonts w:ascii="Arial" w:hAnsi="Arial" w:cs="Arial"/>
          <w:b/>
          <w:smallCaps/>
          <w:sz w:val="22"/>
          <w:szCs w:val="22"/>
          <w:lang w:val="es-ES"/>
        </w:rPr>
        <w:t>:</w:t>
      </w:r>
      <w:r w:rsidRPr="00E94D4F">
        <w:rPr>
          <w:rFonts w:ascii="Arial" w:hAnsi="Arial" w:cs="Arial"/>
          <w:b/>
          <w:smallCaps/>
          <w:sz w:val="22"/>
          <w:szCs w:val="22"/>
          <w:lang w:val="es-ES"/>
        </w:rPr>
        <w:tab/>
      </w:r>
      <w:r w:rsidRPr="00E94D4F">
        <w:rPr>
          <w:rFonts w:ascii="Arial" w:hAnsi="Arial" w:cs="Arial"/>
          <w:b/>
          <w:sz w:val="22"/>
          <w:szCs w:val="22"/>
          <w:lang w:val="es-ES"/>
        </w:rPr>
        <w:tab/>
      </w:r>
      <w:r w:rsidRPr="00E94D4F">
        <w:rPr>
          <w:rFonts w:ascii="Arial" w:hAnsi="Arial" w:cs="Arial"/>
          <w:b/>
          <w:sz w:val="22"/>
          <w:szCs w:val="22"/>
          <w:lang w:val="es-ES"/>
        </w:rPr>
        <w:tab/>
      </w:r>
      <w:r w:rsidR="00142944" w:rsidRPr="00E94D4F">
        <w:rPr>
          <w:rFonts w:ascii="Arial" w:hAnsi="Arial" w:cs="Arial"/>
          <w:sz w:val="22"/>
          <w:szCs w:val="22"/>
          <w:lang w:val="es-ES"/>
        </w:rPr>
        <w:t xml:space="preserve">AR-L1249 </w:t>
      </w:r>
    </w:p>
    <w:p w:rsidR="009E5DD8" w:rsidRPr="00E94D4F" w:rsidRDefault="00E94D4F" w:rsidP="00E94D4F">
      <w:pPr>
        <w:tabs>
          <w:tab w:val="left" w:pos="2880"/>
        </w:tabs>
        <w:ind w:left="2880" w:hanging="2880"/>
        <w:jc w:val="both"/>
        <w:rPr>
          <w:rFonts w:ascii="Arial" w:hAnsi="Arial" w:cs="Arial"/>
          <w:sz w:val="22"/>
          <w:szCs w:val="22"/>
        </w:rPr>
      </w:pPr>
      <w:r w:rsidRPr="00E94D4F">
        <w:rPr>
          <w:rFonts w:ascii="Arial" w:hAnsi="Arial" w:cs="Arial"/>
          <w:b/>
          <w:smallCaps/>
          <w:sz w:val="22"/>
          <w:szCs w:val="22"/>
          <w:lang w:val="es-ES"/>
        </w:rPr>
        <w:t>Nombre</w:t>
      </w:r>
      <w:r w:rsidRPr="00E94D4F">
        <w:rPr>
          <w:rFonts w:ascii="Arial" w:hAnsi="Arial" w:cs="Arial"/>
          <w:smallCaps/>
          <w:sz w:val="22"/>
          <w:szCs w:val="22"/>
          <w:lang w:val="es-ES"/>
        </w:rPr>
        <w:t>:</w:t>
      </w:r>
      <w:r w:rsidRPr="00E94D4F">
        <w:rPr>
          <w:rFonts w:ascii="Arial" w:hAnsi="Arial" w:cs="Arial"/>
          <w:sz w:val="22"/>
          <w:szCs w:val="22"/>
          <w:lang w:val="es-ES"/>
        </w:rPr>
        <w:t xml:space="preserve"> </w:t>
      </w:r>
      <w:r w:rsidRPr="00E94D4F">
        <w:rPr>
          <w:rFonts w:ascii="Arial" w:hAnsi="Arial" w:cs="Arial"/>
          <w:sz w:val="22"/>
          <w:szCs w:val="22"/>
          <w:lang w:val="es-ES"/>
        </w:rPr>
        <w:tab/>
      </w:r>
      <w:r w:rsidR="009E5DD8" w:rsidRPr="00E94D4F">
        <w:rPr>
          <w:rFonts w:ascii="Arial" w:hAnsi="Arial" w:cs="Arial"/>
          <w:sz w:val="22"/>
          <w:szCs w:val="22"/>
        </w:rPr>
        <w:t>Programa para la Implementación de la Estrategia Nacional de Inclusión Financiera de Argentina</w:t>
      </w:r>
    </w:p>
    <w:p w:rsidR="00DD2CB1" w:rsidRPr="00E94D4F" w:rsidRDefault="00E94D4F" w:rsidP="00E94D4F">
      <w:pPr>
        <w:tabs>
          <w:tab w:val="left" w:pos="2880"/>
        </w:tabs>
        <w:ind w:left="2880" w:hanging="2880"/>
        <w:jc w:val="both"/>
        <w:rPr>
          <w:rFonts w:ascii="Arial" w:hAnsi="Arial" w:cs="Arial"/>
          <w:sz w:val="22"/>
          <w:szCs w:val="22"/>
          <w:lang w:val="es-ES"/>
        </w:rPr>
      </w:pPr>
      <w:r w:rsidRPr="00E94D4F">
        <w:rPr>
          <w:rFonts w:ascii="Arial" w:hAnsi="Arial" w:cs="Arial"/>
          <w:b/>
          <w:smallCaps/>
          <w:sz w:val="22"/>
          <w:szCs w:val="22"/>
          <w:lang w:val="es-ES"/>
        </w:rPr>
        <w:t>Organismo Ejecutor</w:t>
      </w:r>
      <w:r w:rsidR="00537F8A">
        <w:rPr>
          <w:rFonts w:ascii="Arial" w:hAnsi="Arial" w:cs="Arial"/>
          <w:b/>
          <w:smallCaps/>
          <w:sz w:val="22"/>
          <w:szCs w:val="22"/>
          <w:lang w:val="es-ES"/>
        </w:rPr>
        <w:t xml:space="preserve"> (OE)</w:t>
      </w:r>
      <w:r w:rsidRPr="00E94D4F">
        <w:rPr>
          <w:rFonts w:ascii="Arial" w:hAnsi="Arial" w:cs="Arial"/>
          <w:smallCaps/>
          <w:sz w:val="22"/>
          <w:szCs w:val="22"/>
          <w:lang w:val="es-ES"/>
        </w:rPr>
        <w:t>:</w:t>
      </w:r>
      <w:r w:rsidR="009916AF" w:rsidRPr="00E94D4F">
        <w:rPr>
          <w:rFonts w:ascii="Arial" w:hAnsi="Arial" w:cs="Arial"/>
          <w:sz w:val="22"/>
          <w:szCs w:val="22"/>
          <w:lang w:val="es-ES"/>
        </w:rPr>
        <w:tab/>
      </w:r>
      <w:r w:rsidR="009E5DD8" w:rsidRPr="00E94D4F">
        <w:rPr>
          <w:rFonts w:ascii="Arial" w:hAnsi="Arial" w:cs="Arial"/>
          <w:sz w:val="22"/>
          <w:szCs w:val="22"/>
        </w:rPr>
        <w:t>Ministerio</w:t>
      </w:r>
      <w:r w:rsidR="009E5DD8" w:rsidRPr="00E94D4F">
        <w:rPr>
          <w:rFonts w:ascii="Arial" w:hAnsi="Arial" w:cs="Arial"/>
          <w:sz w:val="22"/>
          <w:szCs w:val="22"/>
          <w:lang w:val="es-ES"/>
        </w:rPr>
        <w:t xml:space="preserve"> de Finanzas a través de la </w:t>
      </w:r>
      <w:bookmarkStart w:id="0" w:name="_Hlk491952535"/>
      <w:r w:rsidR="00BA18FC" w:rsidRPr="00E94D4F">
        <w:rPr>
          <w:rFonts w:ascii="Arial" w:hAnsi="Arial" w:cs="Arial"/>
          <w:sz w:val="22"/>
          <w:szCs w:val="22"/>
          <w:lang w:val="es-ES"/>
        </w:rPr>
        <w:t>Unidad de Coordinación de Programas y Proyectos con Enfoque Sectorial Amplio (UCP)</w:t>
      </w:r>
    </w:p>
    <w:bookmarkEnd w:id="0"/>
    <w:p w:rsidR="00DD2CB1" w:rsidRPr="00E94D4F" w:rsidRDefault="00E94D4F" w:rsidP="00E94D4F">
      <w:pPr>
        <w:autoSpaceDE w:val="0"/>
        <w:autoSpaceDN w:val="0"/>
        <w:adjustRightInd w:val="0"/>
        <w:spacing w:after="120"/>
        <w:jc w:val="both"/>
        <w:rPr>
          <w:rFonts w:ascii="Arial" w:hAnsi="Arial" w:cs="Arial"/>
          <w:sz w:val="22"/>
          <w:szCs w:val="22"/>
          <w:u w:val="single"/>
          <w:lang w:val="es-ES"/>
        </w:rPr>
      </w:pPr>
      <w:r w:rsidRPr="00E94D4F">
        <w:rPr>
          <w:rFonts w:ascii="Arial" w:hAnsi="Arial" w:cs="Arial"/>
          <w:b/>
          <w:smallCaps/>
          <w:sz w:val="22"/>
          <w:szCs w:val="22"/>
          <w:lang w:val="es-ES"/>
        </w:rPr>
        <w:t>Equipo Fiduciario:</w:t>
      </w:r>
      <w:r w:rsidR="009916AF" w:rsidRPr="00E94D4F">
        <w:rPr>
          <w:rFonts w:ascii="Arial" w:hAnsi="Arial" w:cs="Arial"/>
          <w:b/>
          <w:sz w:val="22"/>
          <w:szCs w:val="22"/>
          <w:lang w:val="es-ES"/>
        </w:rPr>
        <w:tab/>
      </w:r>
      <w:r w:rsidRPr="00E94D4F">
        <w:rPr>
          <w:rFonts w:ascii="Arial" w:hAnsi="Arial" w:cs="Arial"/>
          <w:b/>
          <w:sz w:val="22"/>
          <w:szCs w:val="22"/>
          <w:lang w:val="es-ES"/>
        </w:rPr>
        <w:tab/>
      </w:r>
      <w:r w:rsidR="009E5DD8" w:rsidRPr="00E94D4F">
        <w:rPr>
          <w:rFonts w:ascii="Arial" w:hAnsi="Arial" w:cs="Arial"/>
          <w:sz w:val="22"/>
          <w:szCs w:val="22"/>
        </w:rPr>
        <w:t>Marisol Pinto (FMP/CAR) y Teodoro Noel (FMP/CAR)</w:t>
      </w:r>
    </w:p>
    <w:p w:rsidR="00DD2CB1" w:rsidRPr="00C44A0C" w:rsidRDefault="00BD46E8" w:rsidP="004B78E1">
      <w:pPr>
        <w:numPr>
          <w:ilvl w:val="0"/>
          <w:numId w:val="11"/>
        </w:numPr>
        <w:autoSpaceDE w:val="0"/>
        <w:autoSpaceDN w:val="0"/>
        <w:adjustRightInd w:val="0"/>
        <w:spacing w:before="240" w:after="240"/>
        <w:ind w:left="360"/>
        <w:jc w:val="center"/>
        <w:rPr>
          <w:rFonts w:ascii="Arial" w:hAnsi="Arial" w:cs="Arial"/>
          <w:b/>
          <w:smallCaps/>
        </w:rPr>
      </w:pPr>
      <w:r w:rsidRPr="00C44A0C">
        <w:rPr>
          <w:rFonts w:ascii="Arial" w:hAnsi="Arial" w:cs="Arial"/>
          <w:b/>
          <w:smallCaps/>
        </w:rPr>
        <w:t xml:space="preserve">Resumen </w:t>
      </w:r>
      <w:r w:rsidR="00306D10">
        <w:rPr>
          <w:rFonts w:ascii="Arial" w:hAnsi="Arial" w:cs="Arial"/>
          <w:b/>
          <w:smallCaps/>
        </w:rPr>
        <w:t>E</w:t>
      </w:r>
      <w:r w:rsidRPr="00C44A0C">
        <w:rPr>
          <w:rFonts w:ascii="Arial" w:hAnsi="Arial" w:cs="Arial"/>
          <w:b/>
          <w:smallCaps/>
        </w:rPr>
        <w:t>jecutivo</w:t>
      </w:r>
    </w:p>
    <w:p w:rsidR="000D3325" w:rsidRPr="00E94D4F" w:rsidRDefault="00F919DB" w:rsidP="00E94D4F">
      <w:pPr>
        <w:numPr>
          <w:ilvl w:val="0"/>
          <w:numId w:val="17"/>
        </w:numPr>
        <w:autoSpaceDE w:val="0"/>
        <w:autoSpaceDN w:val="0"/>
        <w:adjustRightInd w:val="0"/>
        <w:spacing w:before="120" w:after="120"/>
        <w:ind w:hanging="720"/>
        <w:jc w:val="both"/>
        <w:rPr>
          <w:rFonts w:ascii="Arial" w:hAnsi="Arial" w:cs="Arial"/>
          <w:sz w:val="22"/>
          <w:szCs w:val="22"/>
          <w:lang w:val="es-ES"/>
        </w:rPr>
      </w:pPr>
      <w:r w:rsidRPr="00E94D4F">
        <w:rPr>
          <w:rFonts w:ascii="Arial" w:hAnsi="Arial" w:cs="Arial"/>
          <w:sz w:val="22"/>
          <w:szCs w:val="22"/>
        </w:rPr>
        <w:t xml:space="preserve">Para evaluar la capacidad del OE en materia fiduciaria (adquisiciones y financiera), se aplicó en </w:t>
      </w:r>
      <w:r w:rsidR="00AD209C" w:rsidRPr="00E94D4F">
        <w:rPr>
          <w:rFonts w:ascii="Arial" w:hAnsi="Arial" w:cs="Arial"/>
          <w:sz w:val="22"/>
          <w:szCs w:val="22"/>
        </w:rPr>
        <w:t xml:space="preserve">agosto de </w:t>
      </w:r>
      <w:r w:rsidRPr="00E94D4F">
        <w:rPr>
          <w:rFonts w:ascii="Arial" w:hAnsi="Arial" w:cs="Arial"/>
          <w:sz w:val="22"/>
          <w:szCs w:val="22"/>
        </w:rPr>
        <w:t xml:space="preserve">2016 </w:t>
      </w:r>
      <w:r w:rsidR="00AD209C" w:rsidRPr="00E94D4F">
        <w:rPr>
          <w:rFonts w:ascii="Arial" w:hAnsi="Arial" w:cs="Arial"/>
          <w:sz w:val="22"/>
          <w:szCs w:val="22"/>
        </w:rPr>
        <w:t>la metodología del Sistema de Evaluación de Capacidad Institucional (SECI) a</w:t>
      </w:r>
      <w:r w:rsidR="00A30145" w:rsidRPr="00E94D4F">
        <w:rPr>
          <w:rFonts w:ascii="Arial" w:hAnsi="Arial" w:cs="Arial"/>
          <w:sz w:val="22"/>
          <w:szCs w:val="22"/>
        </w:rPr>
        <w:t xml:space="preserve"> </w:t>
      </w:r>
      <w:r w:rsidR="00AD209C" w:rsidRPr="00E94D4F">
        <w:rPr>
          <w:rFonts w:ascii="Arial" w:hAnsi="Arial" w:cs="Arial"/>
          <w:sz w:val="22"/>
          <w:szCs w:val="22"/>
        </w:rPr>
        <w:t>l</w:t>
      </w:r>
      <w:r w:rsidR="00A30145" w:rsidRPr="00E94D4F">
        <w:rPr>
          <w:rFonts w:ascii="Arial" w:hAnsi="Arial" w:cs="Arial"/>
          <w:sz w:val="22"/>
          <w:szCs w:val="22"/>
        </w:rPr>
        <w:t>a</w:t>
      </w:r>
      <w:r w:rsidR="00AD209C" w:rsidRPr="00E94D4F">
        <w:rPr>
          <w:rFonts w:ascii="Arial" w:hAnsi="Arial" w:cs="Arial"/>
          <w:sz w:val="22"/>
          <w:szCs w:val="22"/>
        </w:rPr>
        <w:t xml:space="preserve"> </w:t>
      </w:r>
      <w:bookmarkStart w:id="1" w:name="_Hlk491952600"/>
      <w:r w:rsidR="00181BFB" w:rsidRPr="00E94D4F">
        <w:rPr>
          <w:rFonts w:ascii="Arial" w:hAnsi="Arial" w:cs="Arial"/>
          <w:sz w:val="22"/>
          <w:szCs w:val="22"/>
        </w:rPr>
        <w:t>Unidad de Coordinación de Programas</w:t>
      </w:r>
      <w:r w:rsidR="001156B6">
        <w:rPr>
          <w:rFonts w:ascii="Arial" w:hAnsi="Arial" w:cs="Arial"/>
          <w:sz w:val="22"/>
          <w:szCs w:val="22"/>
        </w:rPr>
        <w:t xml:space="preserve"> (UCP)</w:t>
      </w:r>
      <w:r w:rsidR="004B25B7" w:rsidRPr="00E94D4F">
        <w:rPr>
          <w:rFonts w:ascii="Arial" w:hAnsi="Arial" w:cs="Arial"/>
          <w:sz w:val="22"/>
          <w:szCs w:val="22"/>
        </w:rPr>
        <w:t xml:space="preserve">, </w:t>
      </w:r>
      <w:bookmarkEnd w:id="1"/>
      <w:r w:rsidR="000456D5" w:rsidRPr="00E94D4F">
        <w:rPr>
          <w:rFonts w:ascii="Arial" w:hAnsi="Arial" w:cs="Arial"/>
          <w:sz w:val="22"/>
          <w:szCs w:val="22"/>
        </w:rPr>
        <w:t>en el marc</w:t>
      </w:r>
      <w:r w:rsidR="00C44A0C">
        <w:rPr>
          <w:rFonts w:ascii="Arial" w:hAnsi="Arial" w:cs="Arial"/>
          <w:sz w:val="22"/>
          <w:szCs w:val="22"/>
        </w:rPr>
        <w:t xml:space="preserve">o del diseño de la operación </w:t>
      </w:r>
      <w:r w:rsidR="00537F8A">
        <w:rPr>
          <w:rFonts w:ascii="Arial" w:hAnsi="Arial" w:cs="Arial"/>
          <w:sz w:val="22"/>
          <w:szCs w:val="22"/>
        </w:rPr>
        <w:t>3759/OC-</w:t>
      </w:r>
      <w:r w:rsidR="00C44A0C">
        <w:rPr>
          <w:rFonts w:ascii="Arial" w:hAnsi="Arial" w:cs="Arial"/>
          <w:sz w:val="22"/>
          <w:szCs w:val="22"/>
        </w:rPr>
        <w:t>AR</w:t>
      </w:r>
      <w:r w:rsidR="005149B7" w:rsidRPr="00E94D4F">
        <w:rPr>
          <w:rFonts w:ascii="Arial" w:hAnsi="Arial" w:cs="Arial"/>
          <w:sz w:val="22"/>
          <w:szCs w:val="22"/>
        </w:rPr>
        <w:t>. Esta es la misma unidad ejecutora que estará c</w:t>
      </w:r>
      <w:r w:rsidR="00FA31AA" w:rsidRPr="00E94D4F">
        <w:rPr>
          <w:rFonts w:ascii="Arial" w:hAnsi="Arial" w:cs="Arial"/>
          <w:sz w:val="22"/>
          <w:szCs w:val="22"/>
        </w:rPr>
        <w:t>arg</w:t>
      </w:r>
      <w:r w:rsidR="005149B7" w:rsidRPr="00E94D4F">
        <w:rPr>
          <w:rFonts w:ascii="Arial" w:hAnsi="Arial" w:cs="Arial"/>
          <w:sz w:val="22"/>
          <w:szCs w:val="22"/>
        </w:rPr>
        <w:t xml:space="preserve">o </w:t>
      </w:r>
      <w:r w:rsidR="00FA31AA" w:rsidRPr="00E94D4F">
        <w:rPr>
          <w:rFonts w:ascii="Arial" w:hAnsi="Arial" w:cs="Arial"/>
          <w:sz w:val="22"/>
          <w:szCs w:val="22"/>
        </w:rPr>
        <w:t>del presente programa.</w:t>
      </w:r>
      <w:r w:rsidR="004B25B7" w:rsidRPr="00E94D4F">
        <w:rPr>
          <w:rFonts w:ascii="Arial" w:hAnsi="Arial" w:cs="Arial"/>
          <w:sz w:val="22"/>
          <w:szCs w:val="22"/>
        </w:rPr>
        <w:t xml:space="preserve"> </w:t>
      </w:r>
    </w:p>
    <w:p w:rsidR="000D3325" w:rsidRPr="001156B6" w:rsidRDefault="005149B7" w:rsidP="00E0539E">
      <w:pPr>
        <w:numPr>
          <w:ilvl w:val="0"/>
          <w:numId w:val="17"/>
        </w:numPr>
        <w:autoSpaceDE w:val="0"/>
        <w:autoSpaceDN w:val="0"/>
        <w:adjustRightInd w:val="0"/>
        <w:spacing w:before="120" w:after="120"/>
        <w:ind w:hanging="720"/>
        <w:jc w:val="both"/>
        <w:rPr>
          <w:rFonts w:ascii="Arial" w:hAnsi="Arial" w:cs="Arial"/>
          <w:sz w:val="22"/>
          <w:szCs w:val="22"/>
          <w:lang w:val="es-ES"/>
        </w:rPr>
      </w:pPr>
      <w:r w:rsidRPr="001156B6">
        <w:rPr>
          <w:rFonts w:ascii="Arial" w:hAnsi="Arial" w:cs="Arial"/>
          <w:sz w:val="22"/>
          <w:szCs w:val="22"/>
        </w:rPr>
        <w:t>La evaluación realizada</w:t>
      </w:r>
      <w:r w:rsidR="004B25B7" w:rsidRPr="001156B6">
        <w:rPr>
          <w:rFonts w:ascii="Arial" w:hAnsi="Arial" w:cs="Arial"/>
          <w:sz w:val="22"/>
          <w:szCs w:val="22"/>
        </w:rPr>
        <w:t xml:space="preserve"> cubrió los sistemas de: programación de actividades y componentes, organización administrativa, administración de personal, administración de bienes y servicios, administración financiera, control interno y externo. La evaluación indic</w:t>
      </w:r>
      <w:r w:rsidR="006E54F5" w:rsidRPr="001156B6">
        <w:rPr>
          <w:rFonts w:ascii="Arial" w:hAnsi="Arial" w:cs="Arial"/>
          <w:sz w:val="22"/>
          <w:szCs w:val="22"/>
        </w:rPr>
        <w:t>ó</w:t>
      </w:r>
      <w:r w:rsidR="004B25B7" w:rsidRPr="001156B6">
        <w:rPr>
          <w:rFonts w:ascii="Arial" w:hAnsi="Arial" w:cs="Arial"/>
          <w:sz w:val="22"/>
          <w:szCs w:val="22"/>
        </w:rPr>
        <w:t xml:space="preserve"> que la </w:t>
      </w:r>
      <w:r w:rsidR="00181BFB" w:rsidRPr="001156B6">
        <w:rPr>
          <w:rFonts w:ascii="Arial" w:hAnsi="Arial" w:cs="Arial"/>
          <w:sz w:val="22"/>
          <w:szCs w:val="22"/>
        </w:rPr>
        <w:t>UCP</w:t>
      </w:r>
      <w:r w:rsidR="004B25B7" w:rsidRPr="001156B6">
        <w:rPr>
          <w:rFonts w:ascii="Arial" w:hAnsi="Arial" w:cs="Arial"/>
          <w:sz w:val="22"/>
          <w:szCs w:val="22"/>
        </w:rPr>
        <w:t xml:space="preserve"> cuenta con capacidad institucional y un grado de desarrollo satisfactorio, y un nivel de riesgo bajo para la ejecución del programa.</w:t>
      </w:r>
    </w:p>
    <w:p w:rsidR="00DD2CB1" w:rsidRPr="00C44A0C" w:rsidRDefault="00DD2CB1" w:rsidP="004B78E1">
      <w:pPr>
        <w:numPr>
          <w:ilvl w:val="0"/>
          <w:numId w:val="11"/>
        </w:numPr>
        <w:autoSpaceDE w:val="0"/>
        <w:autoSpaceDN w:val="0"/>
        <w:adjustRightInd w:val="0"/>
        <w:spacing w:before="240" w:after="240"/>
        <w:ind w:left="360"/>
        <w:jc w:val="center"/>
        <w:rPr>
          <w:rFonts w:ascii="Arial" w:hAnsi="Arial" w:cs="Arial"/>
          <w:b/>
          <w:smallCaps/>
        </w:rPr>
      </w:pPr>
      <w:r w:rsidRPr="00C44A0C">
        <w:rPr>
          <w:rFonts w:ascii="Arial" w:hAnsi="Arial" w:cs="Arial"/>
          <w:b/>
          <w:smallCaps/>
        </w:rPr>
        <w:t xml:space="preserve">Contexto </w:t>
      </w:r>
      <w:r w:rsidR="00306D10">
        <w:rPr>
          <w:rFonts w:ascii="Arial" w:hAnsi="Arial" w:cs="Arial"/>
          <w:b/>
          <w:smallCaps/>
        </w:rPr>
        <w:t>F</w:t>
      </w:r>
      <w:r w:rsidRPr="00C44A0C">
        <w:rPr>
          <w:rFonts w:ascii="Arial" w:hAnsi="Arial" w:cs="Arial"/>
          <w:b/>
          <w:smallCaps/>
        </w:rPr>
        <w:t>iduciario del Organismo Ejecutor</w:t>
      </w:r>
    </w:p>
    <w:p w:rsidR="003229D5" w:rsidRPr="00E94D4F" w:rsidRDefault="003229D5" w:rsidP="00E94D4F">
      <w:pPr>
        <w:numPr>
          <w:ilvl w:val="0"/>
          <w:numId w:val="36"/>
        </w:numPr>
        <w:autoSpaceDE w:val="0"/>
        <w:autoSpaceDN w:val="0"/>
        <w:adjustRightInd w:val="0"/>
        <w:spacing w:before="120" w:after="120"/>
        <w:ind w:hanging="720"/>
        <w:jc w:val="both"/>
        <w:rPr>
          <w:rFonts w:ascii="Arial" w:hAnsi="Arial" w:cs="Arial"/>
          <w:sz w:val="22"/>
          <w:szCs w:val="22"/>
        </w:rPr>
      </w:pPr>
      <w:r w:rsidRPr="00E94D4F">
        <w:rPr>
          <w:rFonts w:ascii="Arial" w:hAnsi="Arial" w:cs="Arial"/>
          <w:sz w:val="22"/>
          <w:szCs w:val="22"/>
        </w:rPr>
        <w:t xml:space="preserve">El Programa para la Implementación de la Estrategia Nacional de Inclusión Financiera de Argentina será ejecutado por </w:t>
      </w:r>
      <w:r w:rsidRPr="00E94D4F">
        <w:rPr>
          <w:rFonts w:ascii="Arial" w:hAnsi="Arial" w:cs="Arial"/>
          <w:sz w:val="22"/>
          <w:szCs w:val="22"/>
          <w:lang w:val="es-ES"/>
        </w:rPr>
        <w:t>Ministerio de Finanzas</w:t>
      </w:r>
      <w:r w:rsidR="001156B6">
        <w:rPr>
          <w:rFonts w:ascii="Arial" w:hAnsi="Arial" w:cs="Arial"/>
          <w:sz w:val="22"/>
          <w:szCs w:val="22"/>
          <w:lang w:val="es-ES"/>
        </w:rPr>
        <w:t xml:space="preserve"> (MF) </w:t>
      </w:r>
      <w:r w:rsidRPr="00E94D4F">
        <w:rPr>
          <w:rFonts w:ascii="Arial" w:hAnsi="Arial" w:cs="Arial"/>
          <w:sz w:val="22"/>
          <w:szCs w:val="22"/>
          <w:lang w:val="es-ES"/>
        </w:rPr>
        <w:t>a través de la UCP</w:t>
      </w:r>
      <w:r w:rsidRPr="00E94D4F">
        <w:rPr>
          <w:rFonts w:ascii="Arial" w:hAnsi="Arial" w:cs="Arial"/>
          <w:sz w:val="22"/>
          <w:szCs w:val="22"/>
        </w:rPr>
        <w:t xml:space="preserve">. </w:t>
      </w:r>
    </w:p>
    <w:p w:rsidR="003229D5" w:rsidRPr="00E94D4F" w:rsidRDefault="003229D5" w:rsidP="00E94D4F">
      <w:pPr>
        <w:numPr>
          <w:ilvl w:val="0"/>
          <w:numId w:val="36"/>
        </w:numPr>
        <w:autoSpaceDE w:val="0"/>
        <w:autoSpaceDN w:val="0"/>
        <w:adjustRightInd w:val="0"/>
        <w:spacing w:before="120" w:after="120"/>
        <w:ind w:hanging="720"/>
        <w:jc w:val="both"/>
        <w:rPr>
          <w:rFonts w:ascii="Arial" w:hAnsi="Arial" w:cs="Arial"/>
          <w:sz w:val="22"/>
          <w:szCs w:val="22"/>
        </w:rPr>
      </w:pPr>
      <w:r w:rsidRPr="00E94D4F">
        <w:rPr>
          <w:rFonts w:ascii="Arial" w:hAnsi="Arial" w:cs="Arial"/>
          <w:sz w:val="22"/>
          <w:szCs w:val="22"/>
        </w:rPr>
        <w:t xml:space="preserve">Los </w:t>
      </w:r>
      <w:r w:rsidRPr="00E94D4F">
        <w:rPr>
          <w:rFonts w:ascii="Arial" w:hAnsi="Arial" w:cs="Arial"/>
          <w:sz w:val="22"/>
          <w:szCs w:val="22"/>
          <w:lang w:val="es-ES"/>
        </w:rPr>
        <w:t>sistemas</w:t>
      </w:r>
      <w:r w:rsidRPr="00E94D4F">
        <w:rPr>
          <w:rFonts w:ascii="Arial" w:hAnsi="Arial" w:cs="Arial"/>
          <w:sz w:val="22"/>
          <w:szCs w:val="22"/>
        </w:rPr>
        <w:t xml:space="preserve"> fiduciarios utilizados para la ejecución del programa son el Presupuestario a través del Sistema Integrado de Información Financiera (SIDIF) y el </w:t>
      </w:r>
      <w:r w:rsidR="001D0EE7" w:rsidRPr="00E94D4F">
        <w:rPr>
          <w:rFonts w:ascii="Arial" w:hAnsi="Arial" w:cs="Arial"/>
          <w:sz w:val="22"/>
          <w:szCs w:val="22"/>
        </w:rPr>
        <w:t xml:space="preserve">Sistema </w:t>
      </w:r>
      <w:r w:rsidR="005F656A">
        <w:rPr>
          <w:rFonts w:ascii="Arial" w:hAnsi="Arial" w:cs="Arial"/>
          <w:sz w:val="22"/>
          <w:szCs w:val="22"/>
        </w:rPr>
        <w:t>de I</w:t>
      </w:r>
      <w:r w:rsidRPr="00E94D4F">
        <w:rPr>
          <w:rFonts w:ascii="Arial" w:hAnsi="Arial" w:cs="Arial"/>
          <w:sz w:val="22"/>
          <w:szCs w:val="22"/>
        </w:rPr>
        <w:t xml:space="preserve">nformación y </w:t>
      </w:r>
      <w:r w:rsidR="005F656A">
        <w:rPr>
          <w:rFonts w:ascii="Arial" w:hAnsi="Arial" w:cs="Arial"/>
          <w:sz w:val="22"/>
          <w:szCs w:val="22"/>
        </w:rPr>
        <w:t>C</w:t>
      </w:r>
      <w:r w:rsidRPr="00E94D4F">
        <w:rPr>
          <w:rFonts w:ascii="Arial" w:hAnsi="Arial" w:cs="Arial"/>
          <w:sz w:val="22"/>
          <w:szCs w:val="22"/>
        </w:rPr>
        <w:t xml:space="preserve">ontabilidad (UEPEX). </w:t>
      </w:r>
    </w:p>
    <w:p w:rsidR="00DD2CB1" w:rsidRPr="00C44A0C" w:rsidRDefault="00DD2CB1" w:rsidP="001438A4">
      <w:pPr>
        <w:numPr>
          <w:ilvl w:val="0"/>
          <w:numId w:val="11"/>
        </w:numPr>
        <w:autoSpaceDE w:val="0"/>
        <w:autoSpaceDN w:val="0"/>
        <w:adjustRightInd w:val="0"/>
        <w:spacing w:before="240" w:after="240"/>
        <w:ind w:hanging="540"/>
        <w:jc w:val="center"/>
        <w:rPr>
          <w:rFonts w:ascii="Arial" w:hAnsi="Arial" w:cs="Arial"/>
          <w:b/>
          <w:smallCaps/>
        </w:rPr>
      </w:pPr>
      <w:r w:rsidRPr="00C44A0C">
        <w:rPr>
          <w:rFonts w:ascii="Arial" w:hAnsi="Arial" w:cs="Arial"/>
          <w:b/>
          <w:smallCaps/>
        </w:rPr>
        <w:t xml:space="preserve">Evaluación del </w:t>
      </w:r>
      <w:r w:rsidR="00306D10">
        <w:rPr>
          <w:rFonts w:ascii="Arial" w:hAnsi="Arial" w:cs="Arial"/>
          <w:b/>
          <w:smallCaps/>
        </w:rPr>
        <w:t>Riesgo F</w:t>
      </w:r>
      <w:r w:rsidRPr="00C44A0C">
        <w:rPr>
          <w:rFonts w:ascii="Arial" w:hAnsi="Arial" w:cs="Arial"/>
          <w:b/>
          <w:smallCaps/>
        </w:rPr>
        <w:t xml:space="preserve">iduciario y </w:t>
      </w:r>
      <w:r w:rsidR="00306D10">
        <w:rPr>
          <w:rFonts w:ascii="Arial" w:hAnsi="Arial" w:cs="Arial"/>
          <w:b/>
          <w:smallCaps/>
        </w:rPr>
        <w:t>A</w:t>
      </w:r>
      <w:r w:rsidRPr="00C44A0C">
        <w:rPr>
          <w:rFonts w:ascii="Arial" w:hAnsi="Arial" w:cs="Arial"/>
          <w:b/>
          <w:smallCaps/>
        </w:rPr>
        <w:t xml:space="preserve">cciones de </w:t>
      </w:r>
      <w:r w:rsidR="00306D10">
        <w:rPr>
          <w:rFonts w:ascii="Arial" w:hAnsi="Arial" w:cs="Arial"/>
          <w:b/>
          <w:smallCaps/>
        </w:rPr>
        <w:t>M</w:t>
      </w:r>
      <w:r w:rsidRPr="00C44A0C">
        <w:rPr>
          <w:rFonts w:ascii="Arial" w:hAnsi="Arial" w:cs="Arial"/>
          <w:b/>
          <w:smallCaps/>
        </w:rPr>
        <w:t>itigación</w:t>
      </w:r>
    </w:p>
    <w:p w:rsidR="007D4ED0" w:rsidRPr="00E94D4F" w:rsidRDefault="007D4ED0" w:rsidP="00E94D4F">
      <w:pPr>
        <w:numPr>
          <w:ilvl w:val="0"/>
          <w:numId w:val="26"/>
        </w:numPr>
        <w:autoSpaceDE w:val="0"/>
        <w:autoSpaceDN w:val="0"/>
        <w:adjustRightInd w:val="0"/>
        <w:spacing w:before="120" w:after="120"/>
        <w:ind w:hanging="720"/>
        <w:jc w:val="both"/>
        <w:rPr>
          <w:rFonts w:ascii="Arial" w:hAnsi="Arial" w:cs="Arial"/>
          <w:sz w:val="22"/>
          <w:szCs w:val="22"/>
        </w:rPr>
      </w:pPr>
      <w:r w:rsidRPr="00E94D4F">
        <w:rPr>
          <w:rFonts w:ascii="Arial" w:hAnsi="Arial" w:cs="Arial"/>
          <w:sz w:val="22"/>
          <w:szCs w:val="22"/>
        </w:rPr>
        <w:t xml:space="preserve">La </w:t>
      </w:r>
      <w:r w:rsidR="0035665C" w:rsidRPr="00E94D4F">
        <w:rPr>
          <w:rFonts w:ascii="Arial" w:hAnsi="Arial" w:cs="Arial"/>
          <w:sz w:val="22"/>
          <w:szCs w:val="22"/>
        </w:rPr>
        <w:t>UCP</w:t>
      </w:r>
      <w:r w:rsidRPr="00E94D4F">
        <w:rPr>
          <w:rFonts w:ascii="Arial" w:hAnsi="Arial" w:cs="Arial"/>
          <w:sz w:val="22"/>
          <w:szCs w:val="22"/>
        </w:rPr>
        <w:t xml:space="preserve"> posee una estructura de funcionamiento administrativo y técnico </w:t>
      </w:r>
      <w:r w:rsidR="00D41FEF" w:rsidRPr="00E94D4F">
        <w:rPr>
          <w:rFonts w:ascii="Arial" w:hAnsi="Arial" w:cs="Arial"/>
          <w:sz w:val="22"/>
          <w:szCs w:val="22"/>
        </w:rPr>
        <w:t xml:space="preserve">con </w:t>
      </w:r>
      <w:r w:rsidRPr="00E94D4F">
        <w:rPr>
          <w:rFonts w:ascii="Arial" w:hAnsi="Arial" w:cs="Arial"/>
          <w:sz w:val="22"/>
          <w:szCs w:val="22"/>
        </w:rPr>
        <w:t>experiencia y capacidad suficiente para la administración de la presente operación. La Estructura Orgánica de la Secretaría fue aprobada por Resolución del Ministerio de Economía en el año 2009, cuenta con personal permanente y transitorio del M</w:t>
      </w:r>
      <w:r w:rsidR="001156B6">
        <w:rPr>
          <w:rFonts w:ascii="Arial" w:hAnsi="Arial" w:cs="Arial"/>
          <w:sz w:val="22"/>
          <w:szCs w:val="22"/>
        </w:rPr>
        <w:t>F</w:t>
      </w:r>
      <w:r w:rsidRPr="00E94D4F">
        <w:rPr>
          <w:rFonts w:ascii="Arial" w:hAnsi="Arial" w:cs="Arial"/>
          <w:sz w:val="22"/>
          <w:szCs w:val="22"/>
        </w:rPr>
        <w:t xml:space="preserve">, el cual tiene una baja rotación.  </w:t>
      </w:r>
    </w:p>
    <w:p w:rsidR="007D4ED0" w:rsidRPr="00E94D4F" w:rsidRDefault="007D4ED0" w:rsidP="00E94D4F">
      <w:pPr>
        <w:numPr>
          <w:ilvl w:val="0"/>
          <w:numId w:val="26"/>
        </w:numPr>
        <w:autoSpaceDE w:val="0"/>
        <w:autoSpaceDN w:val="0"/>
        <w:adjustRightInd w:val="0"/>
        <w:spacing w:before="120" w:after="120"/>
        <w:ind w:hanging="720"/>
        <w:jc w:val="both"/>
        <w:rPr>
          <w:rFonts w:ascii="Arial" w:hAnsi="Arial" w:cs="Arial"/>
          <w:sz w:val="22"/>
          <w:szCs w:val="22"/>
        </w:rPr>
      </w:pPr>
      <w:r w:rsidRPr="00E94D4F">
        <w:rPr>
          <w:rFonts w:ascii="Arial" w:hAnsi="Arial" w:cs="Arial"/>
          <w:sz w:val="22"/>
          <w:szCs w:val="22"/>
        </w:rPr>
        <w:t>Para los actos ref</w:t>
      </w:r>
      <w:r w:rsidR="007739B7" w:rsidRPr="00E94D4F">
        <w:rPr>
          <w:rFonts w:ascii="Arial" w:hAnsi="Arial" w:cs="Arial"/>
          <w:sz w:val="22"/>
          <w:szCs w:val="22"/>
        </w:rPr>
        <w:t xml:space="preserve">eridos a las adquisiciones, la </w:t>
      </w:r>
      <w:r w:rsidR="0035665C" w:rsidRPr="00E94D4F">
        <w:rPr>
          <w:rFonts w:ascii="Arial" w:hAnsi="Arial" w:cs="Arial"/>
          <w:sz w:val="22"/>
          <w:szCs w:val="22"/>
        </w:rPr>
        <w:t>UCP</w:t>
      </w:r>
      <w:r w:rsidRPr="00E94D4F">
        <w:rPr>
          <w:rFonts w:ascii="Arial" w:hAnsi="Arial" w:cs="Arial"/>
          <w:sz w:val="22"/>
          <w:szCs w:val="22"/>
        </w:rPr>
        <w:t xml:space="preserve">, </w:t>
      </w:r>
      <w:r w:rsidR="007739B7" w:rsidRPr="00E94D4F">
        <w:rPr>
          <w:rFonts w:ascii="Arial" w:hAnsi="Arial" w:cs="Arial"/>
          <w:sz w:val="22"/>
          <w:szCs w:val="22"/>
        </w:rPr>
        <w:t>contratará</w:t>
      </w:r>
      <w:r w:rsidRPr="00E94D4F">
        <w:rPr>
          <w:rFonts w:ascii="Arial" w:hAnsi="Arial" w:cs="Arial"/>
          <w:sz w:val="22"/>
          <w:szCs w:val="22"/>
        </w:rPr>
        <w:t xml:space="preserve"> dos consultores quienes gestionarán las contrataciones del programa. </w:t>
      </w:r>
      <w:r w:rsidR="00FF77D5" w:rsidRPr="00E94D4F">
        <w:rPr>
          <w:rFonts w:ascii="Arial" w:hAnsi="Arial" w:cs="Arial"/>
          <w:sz w:val="22"/>
          <w:szCs w:val="22"/>
        </w:rPr>
        <w:t>L</w:t>
      </w:r>
      <w:r w:rsidRPr="00E94D4F">
        <w:rPr>
          <w:rFonts w:ascii="Arial" w:hAnsi="Arial" w:cs="Arial"/>
          <w:sz w:val="22"/>
          <w:szCs w:val="22"/>
        </w:rPr>
        <w:t xml:space="preserve">a </w:t>
      </w:r>
      <w:r w:rsidR="0035665C" w:rsidRPr="00E94D4F">
        <w:rPr>
          <w:rFonts w:ascii="Arial" w:hAnsi="Arial" w:cs="Arial"/>
          <w:sz w:val="22"/>
          <w:szCs w:val="22"/>
        </w:rPr>
        <w:t>UCP</w:t>
      </w:r>
      <w:r w:rsidRPr="00E94D4F">
        <w:rPr>
          <w:rFonts w:ascii="Arial" w:hAnsi="Arial" w:cs="Arial"/>
          <w:sz w:val="22"/>
          <w:szCs w:val="22"/>
        </w:rPr>
        <w:t xml:space="preserve"> se encuentra en un proceso de fortalecimiento,</w:t>
      </w:r>
      <w:r w:rsidR="00FF77D5" w:rsidRPr="00E94D4F">
        <w:rPr>
          <w:rFonts w:ascii="Arial" w:hAnsi="Arial" w:cs="Arial"/>
          <w:sz w:val="22"/>
          <w:szCs w:val="22"/>
        </w:rPr>
        <w:t xml:space="preserve"> sin embargo,</w:t>
      </w:r>
      <w:r w:rsidRPr="00E94D4F">
        <w:rPr>
          <w:rFonts w:ascii="Arial" w:hAnsi="Arial" w:cs="Arial"/>
          <w:sz w:val="22"/>
          <w:szCs w:val="22"/>
        </w:rPr>
        <w:t xml:space="preserve"> su capacidad de ejecución expresa un nivel de riesgo bajo.</w:t>
      </w:r>
      <w:r w:rsidR="004D10C7" w:rsidRPr="00E94D4F">
        <w:rPr>
          <w:rFonts w:ascii="Arial" w:hAnsi="Arial" w:cs="Arial"/>
          <w:sz w:val="22"/>
          <w:szCs w:val="22"/>
        </w:rPr>
        <w:t xml:space="preserve"> </w:t>
      </w:r>
      <w:r w:rsidR="00FF77D5" w:rsidRPr="00E94D4F">
        <w:rPr>
          <w:rFonts w:ascii="Arial" w:hAnsi="Arial" w:cs="Arial"/>
          <w:sz w:val="22"/>
          <w:szCs w:val="22"/>
        </w:rPr>
        <w:t>S</w:t>
      </w:r>
      <w:r w:rsidR="004D10C7" w:rsidRPr="00E94D4F">
        <w:rPr>
          <w:rFonts w:ascii="Arial" w:hAnsi="Arial" w:cs="Arial"/>
          <w:sz w:val="22"/>
          <w:szCs w:val="22"/>
        </w:rPr>
        <w:t>e han detectado algunas áreas de mejora por lo que para la pr</w:t>
      </w:r>
      <w:r w:rsidR="006B430F">
        <w:rPr>
          <w:rFonts w:ascii="Arial" w:hAnsi="Arial" w:cs="Arial"/>
          <w:sz w:val="22"/>
          <w:szCs w:val="22"/>
        </w:rPr>
        <w:t>esente operación se recomienda</w:t>
      </w:r>
      <w:r w:rsidRPr="00E94D4F">
        <w:rPr>
          <w:rFonts w:ascii="Arial" w:hAnsi="Arial" w:cs="Arial"/>
          <w:sz w:val="22"/>
          <w:szCs w:val="22"/>
        </w:rPr>
        <w:t xml:space="preserve"> incluir dentro del Plan Operativo Anual del Programa mecanismos y procedimientos de monitoreo que permitan dar </w:t>
      </w:r>
      <w:r w:rsidRPr="00E94D4F">
        <w:rPr>
          <w:rFonts w:ascii="Arial" w:hAnsi="Arial" w:cs="Arial"/>
          <w:sz w:val="22"/>
          <w:szCs w:val="22"/>
        </w:rPr>
        <w:lastRenderedPageBreak/>
        <w:t xml:space="preserve">seguimiento al cumplimiento de los principales hitos del </w:t>
      </w:r>
      <w:r w:rsidR="00537F8A">
        <w:rPr>
          <w:rFonts w:ascii="Arial" w:hAnsi="Arial" w:cs="Arial"/>
          <w:sz w:val="22"/>
          <w:szCs w:val="22"/>
        </w:rPr>
        <w:t>p</w:t>
      </w:r>
      <w:r w:rsidRPr="00E94D4F">
        <w:rPr>
          <w:rFonts w:ascii="Arial" w:hAnsi="Arial" w:cs="Arial"/>
          <w:sz w:val="22"/>
          <w:szCs w:val="22"/>
        </w:rPr>
        <w:t>rograma y la existencia de eventuales desvíos entre las actividades programadas y ejecutadas</w:t>
      </w:r>
      <w:r w:rsidR="00C11F97" w:rsidRPr="00E94D4F">
        <w:rPr>
          <w:rFonts w:ascii="Arial" w:hAnsi="Arial" w:cs="Arial"/>
          <w:sz w:val="22"/>
          <w:szCs w:val="22"/>
        </w:rPr>
        <w:t>.</w:t>
      </w:r>
    </w:p>
    <w:p w:rsidR="00A415B4" w:rsidRDefault="009038F6" w:rsidP="00A415B4">
      <w:pPr>
        <w:numPr>
          <w:ilvl w:val="0"/>
          <w:numId w:val="26"/>
        </w:numPr>
        <w:autoSpaceDE w:val="0"/>
        <w:autoSpaceDN w:val="0"/>
        <w:adjustRightInd w:val="0"/>
        <w:spacing w:before="120" w:after="120"/>
        <w:ind w:hanging="720"/>
        <w:jc w:val="both"/>
        <w:rPr>
          <w:rFonts w:ascii="Arial" w:hAnsi="Arial" w:cs="Arial"/>
          <w:sz w:val="22"/>
          <w:szCs w:val="22"/>
        </w:rPr>
      </w:pPr>
      <w:r w:rsidRPr="00E94D4F">
        <w:rPr>
          <w:rFonts w:ascii="Arial" w:hAnsi="Arial" w:cs="Arial"/>
          <w:sz w:val="22"/>
          <w:szCs w:val="22"/>
        </w:rPr>
        <w:t>Para analizar los riesgos de la operación, el Jefe de Equipo de Proyecto</w:t>
      </w:r>
      <w:r w:rsidR="001438A4">
        <w:rPr>
          <w:rFonts w:ascii="Arial" w:hAnsi="Arial" w:cs="Arial"/>
          <w:sz w:val="22"/>
          <w:szCs w:val="22"/>
        </w:rPr>
        <w:t xml:space="preserve"> (JEP)</w:t>
      </w:r>
      <w:r w:rsidRPr="00E94D4F">
        <w:rPr>
          <w:rFonts w:ascii="Arial" w:hAnsi="Arial" w:cs="Arial"/>
          <w:sz w:val="22"/>
          <w:szCs w:val="22"/>
        </w:rPr>
        <w:t xml:space="preserve"> aplicó la metodología de Gestión de Riesgos en Proyectos (GRP), para actualizar la matriz realizada en 2016 al programa antes mencionado</w:t>
      </w:r>
      <w:r w:rsidR="00A27607" w:rsidRPr="00E94D4F">
        <w:rPr>
          <w:rFonts w:ascii="Arial" w:hAnsi="Arial" w:cs="Arial"/>
          <w:sz w:val="22"/>
          <w:szCs w:val="22"/>
        </w:rPr>
        <w:t xml:space="preserve">, arrojando un nivel de riesgo medio para los aspectos fiduciarios </w:t>
      </w:r>
      <w:r w:rsidR="00C150E7" w:rsidRPr="00E94D4F">
        <w:rPr>
          <w:rFonts w:ascii="Arial" w:hAnsi="Arial" w:cs="Arial"/>
          <w:sz w:val="22"/>
          <w:szCs w:val="22"/>
        </w:rPr>
        <w:t>de adquisiciones</w:t>
      </w:r>
      <w:r w:rsidR="001156B6">
        <w:rPr>
          <w:rFonts w:ascii="Arial" w:hAnsi="Arial" w:cs="Arial"/>
          <w:sz w:val="22"/>
          <w:szCs w:val="22"/>
        </w:rPr>
        <w:t>.</w:t>
      </w:r>
      <w:r w:rsidR="00C150E7" w:rsidRPr="00E94D4F">
        <w:rPr>
          <w:rFonts w:ascii="Arial" w:hAnsi="Arial" w:cs="Arial"/>
          <w:sz w:val="22"/>
          <w:szCs w:val="22"/>
        </w:rPr>
        <w:t xml:space="preserve"> </w:t>
      </w:r>
    </w:p>
    <w:p w:rsidR="00306D10" w:rsidRPr="006B430F" w:rsidRDefault="00306D10" w:rsidP="001654EB">
      <w:pPr>
        <w:autoSpaceDE w:val="0"/>
        <w:autoSpaceDN w:val="0"/>
        <w:adjustRightInd w:val="0"/>
        <w:spacing w:before="240"/>
        <w:jc w:val="center"/>
        <w:rPr>
          <w:rFonts w:ascii="Arial" w:hAnsi="Arial" w:cs="Arial"/>
          <w:b/>
          <w:sz w:val="18"/>
          <w:szCs w:val="18"/>
        </w:rPr>
      </w:pPr>
      <w:r w:rsidRPr="006B430F">
        <w:rPr>
          <w:rFonts w:ascii="Arial" w:hAnsi="Arial" w:cs="Arial"/>
          <w:b/>
          <w:sz w:val="18"/>
          <w:szCs w:val="18"/>
        </w:rPr>
        <w:t>Cuadro 1. Aspectos Fiduciarios de Adquisiciones</w:t>
      </w:r>
    </w:p>
    <w:tbl>
      <w:tblPr>
        <w:tblW w:w="8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8"/>
        <w:gridCol w:w="2760"/>
        <w:gridCol w:w="1530"/>
        <w:gridCol w:w="1350"/>
        <w:gridCol w:w="2160"/>
      </w:tblGrid>
      <w:tr w:rsidR="00C150E7" w:rsidRPr="00E94D4F" w:rsidTr="001654EB">
        <w:trPr>
          <w:trHeight w:val="301"/>
          <w:jc w:val="center"/>
        </w:trPr>
        <w:tc>
          <w:tcPr>
            <w:tcW w:w="8838" w:type="dxa"/>
            <w:gridSpan w:val="5"/>
            <w:shd w:val="clear" w:color="auto" w:fill="00B0F0"/>
            <w:vAlign w:val="center"/>
          </w:tcPr>
          <w:p w:rsidR="00C150E7" w:rsidRPr="00537F8A" w:rsidRDefault="00C150E7" w:rsidP="001654EB">
            <w:pPr>
              <w:contextualSpacing/>
              <w:jc w:val="center"/>
              <w:rPr>
                <w:rFonts w:ascii="Arial" w:hAnsi="Arial" w:cs="Arial"/>
                <w:bCs/>
                <w:color w:val="FFFFFF"/>
                <w:sz w:val="18"/>
                <w:szCs w:val="18"/>
                <w:lang w:val="es-CO" w:eastAsia="en-US"/>
              </w:rPr>
            </w:pPr>
            <w:r w:rsidRPr="00537F8A">
              <w:rPr>
                <w:rFonts w:ascii="Arial" w:hAnsi="Arial" w:cs="Arial"/>
                <w:b/>
                <w:bCs/>
                <w:color w:val="FFFFFF"/>
                <w:sz w:val="18"/>
                <w:szCs w:val="18"/>
                <w:lang w:eastAsia="en-US"/>
              </w:rPr>
              <w:t>Capacidad Institucional y Riesgo Fiduciario</w:t>
            </w:r>
          </w:p>
        </w:tc>
      </w:tr>
      <w:tr w:rsidR="00C150E7" w:rsidRPr="00E94D4F" w:rsidTr="001654EB">
        <w:trPr>
          <w:trHeight w:val="301"/>
          <w:jc w:val="center"/>
        </w:trPr>
        <w:tc>
          <w:tcPr>
            <w:tcW w:w="3798" w:type="dxa"/>
            <w:gridSpan w:val="2"/>
            <w:shd w:val="clear" w:color="auto" w:fill="FFFFFF"/>
            <w:vAlign w:val="center"/>
          </w:tcPr>
          <w:p w:rsidR="00C150E7" w:rsidRPr="00537F8A" w:rsidRDefault="00C150E7" w:rsidP="001654EB">
            <w:pPr>
              <w:contextualSpacing/>
              <w:rPr>
                <w:rFonts w:ascii="Arial" w:hAnsi="Arial" w:cs="Arial"/>
                <w:b/>
                <w:bCs/>
                <w:sz w:val="18"/>
                <w:szCs w:val="18"/>
                <w:lang w:val="es-CO" w:eastAsia="en-US"/>
              </w:rPr>
            </w:pPr>
            <w:r w:rsidRPr="00537F8A">
              <w:rPr>
                <w:rFonts w:ascii="Arial" w:hAnsi="Arial" w:cs="Arial"/>
                <w:b/>
                <w:bCs/>
                <w:sz w:val="18"/>
                <w:szCs w:val="18"/>
                <w:lang w:val="es-CO" w:eastAsia="en-US"/>
              </w:rPr>
              <w:t>Capacidad Institucional</w:t>
            </w:r>
          </w:p>
        </w:tc>
        <w:tc>
          <w:tcPr>
            <w:tcW w:w="1530" w:type="dxa"/>
            <w:shd w:val="clear" w:color="auto" w:fill="FFFFFF"/>
            <w:noWrap/>
            <w:vAlign w:val="center"/>
          </w:tcPr>
          <w:p w:rsidR="00C150E7" w:rsidRPr="002F6BD4" w:rsidRDefault="00387C0C" w:rsidP="001654EB">
            <w:pPr>
              <w:contextualSpacing/>
              <w:rPr>
                <w:rFonts w:ascii="Arial" w:hAnsi="Arial" w:cs="Arial"/>
                <w:bCs/>
                <w:sz w:val="18"/>
                <w:szCs w:val="18"/>
                <w:lang w:val="es-CO" w:eastAsia="en-US"/>
              </w:rPr>
            </w:pPr>
            <w:r w:rsidRPr="002F6BD4">
              <w:rPr>
                <w:rFonts w:ascii="Arial" w:hAnsi="Arial" w:cs="Arial"/>
                <w:bCs/>
                <w:sz w:val="18"/>
                <w:szCs w:val="18"/>
                <w:lang w:val="es-CO" w:eastAsia="en-US"/>
              </w:rPr>
              <w:t>Satisfactoria</w:t>
            </w:r>
          </w:p>
        </w:tc>
        <w:tc>
          <w:tcPr>
            <w:tcW w:w="1350" w:type="dxa"/>
            <w:shd w:val="clear" w:color="auto" w:fill="FFFFFF"/>
            <w:noWrap/>
            <w:vAlign w:val="center"/>
          </w:tcPr>
          <w:p w:rsidR="00C150E7" w:rsidRPr="00537F8A" w:rsidRDefault="00C150E7" w:rsidP="001654EB">
            <w:pPr>
              <w:contextualSpacing/>
              <w:rPr>
                <w:rFonts w:ascii="Arial" w:hAnsi="Arial" w:cs="Arial"/>
                <w:b/>
                <w:bCs/>
                <w:sz w:val="18"/>
                <w:szCs w:val="18"/>
                <w:lang w:val="es-CO" w:eastAsia="en-US"/>
              </w:rPr>
            </w:pPr>
            <w:r w:rsidRPr="00537F8A">
              <w:rPr>
                <w:rFonts w:ascii="Arial" w:hAnsi="Arial" w:cs="Arial"/>
                <w:b/>
                <w:bCs/>
                <w:sz w:val="18"/>
                <w:szCs w:val="18"/>
                <w:lang w:val="es-CO" w:eastAsia="en-US"/>
              </w:rPr>
              <w:t>Herramienta:</w:t>
            </w:r>
          </w:p>
        </w:tc>
        <w:tc>
          <w:tcPr>
            <w:tcW w:w="2160" w:type="dxa"/>
            <w:shd w:val="clear" w:color="auto" w:fill="FFFFFF"/>
            <w:vAlign w:val="center"/>
          </w:tcPr>
          <w:p w:rsidR="00C150E7" w:rsidRPr="002F6BD4" w:rsidRDefault="00C150E7" w:rsidP="001654EB">
            <w:pPr>
              <w:contextualSpacing/>
              <w:rPr>
                <w:rFonts w:ascii="Arial" w:hAnsi="Arial" w:cs="Arial"/>
                <w:bCs/>
                <w:sz w:val="18"/>
                <w:szCs w:val="18"/>
                <w:lang w:val="en-US" w:eastAsia="en-US"/>
              </w:rPr>
            </w:pPr>
            <w:r w:rsidRPr="002F6BD4">
              <w:rPr>
                <w:rFonts w:ascii="Arial" w:hAnsi="Arial" w:cs="Arial"/>
                <w:bCs/>
                <w:sz w:val="18"/>
                <w:szCs w:val="18"/>
                <w:lang w:val="en-US" w:eastAsia="en-US"/>
              </w:rPr>
              <w:t>SECI</w:t>
            </w:r>
          </w:p>
        </w:tc>
      </w:tr>
      <w:tr w:rsidR="00C150E7" w:rsidRPr="00E94D4F" w:rsidTr="001654EB">
        <w:trPr>
          <w:trHeight w:val="301"/>
          <w:jc w:val="center"/>
        </w:trPr>
        <w:tc>
          <w:tcPr>
            <w:tcW w:w="3798" w:type="dxa"/>
            <w:gridSpan w:val="2"/>
            <w:shd w:val="clear" w:color="auto" w:fill="FFFFFF"/>
            <w:vAlign w:val="center"/>
          </w:tcPr>
          <w:p w:rsidR="00C150E7" w:rsidRPr="00537F8A" w:rsidRDefault="00C150E7" w:rsidP="001654EB">
            <w:pPr>
              <w:contextualSpacing/>
              <w:rPr>
                <w:rFonts w:ascii="Arial" w:hAnsi="Arial" w:cs="Arial"/>
                <w:b/>
                <w:bCs/>
                <w:sz w:val="18"/>
                <w:szCs w:val="18"/>
                <w:lang w:val="es-CO" w:eastAsia="en-US"/>
              </w:rPr>
            </w:pPr>
            <w:r w:rsidRPr="00537F8A">
              <w:rPr>
                <w:rFonts w:ascii="Arial" w:hAnsi="Arial" w:cs="Arial"/>
                <w:b/>
                <w:bCs/>
                <w:sz w:val="18"/>
                <w:szCs w:val="18"/>
                <w:lang w:val="es-CO" w:eastAsia="en-US"/>
              </w:rPr>
              <w:t>Riesgo Fiduciario</w:t>
            </w:r>
            <w:r w:rsidR="00237CD6" w:rsidRPr="00537F8A">
              <w:rPr>
                <w:rFonts w:ascii="Arial" w:hAnsi="Arial" w:cs="Arial"/>
                <w:b/>
                <w:bCs/>
                <w:sz w:val="18"/>
                <w:szCs w:val="18"/>
                <w:lang w:val="es-CO" w:eastAsia="en-US"/>
              </w:rPr>
              <w:t xml:space="preserve"> (*)</w:t>
            </w:r>
          </w:p>
        </w:tc>
        <w:tc>
          <w:tcPr>
            <w:tcW w:w="1530" w:type="dxa"/>
            <w:shd w:val="clear" w:color="auto" w:fill="FFFFFF"/>
            <w:noWrap/>
            <w:vAlign w:val="center"/>
          </w:tcPr>
          <w:p w:rsidR="00C150E7" w:rsidRPr="002F6BD4" w:rsidRDefault="00C150E7" w:rsidP="001654EB">
            <w:pPr>
              <w:contextualSpacing/>
              <w:rPr>
                <w:rFonts w:ascii="Arial" w:hAnsi="Arial" w:cs="Arial"/>
                <w:bCs/>
                <w:sz w:val="18"/>
                <w:szCs w:val="18"/>
                <w:lang w:val="es-CO" w:eastAsia="en-US"/>
              </w:rPr>
            </w:pPr>
            <w:r w:rsidRPr="002F6BD4">
              <w:rPr>
                <w:rFonts w:ascii="Arial" w:hAnsi="Arial" w:cs="Arial"/>
                <w:sz w:val="18"/>
                <w:szCs w:val="18"/>
                <w:lang w:eastAsia="en-US"/>
              </w:rPr>
              <w:t>Medio</w:t>
            </w:r>
            <w:r w:rsidR="009B5683" w:rsidRPr="002F6BD4">
              <w:rPr>
                <w:rFonts w:ascii="Arial" w:hAnsi="Arial" w:cs="Arial"/>
                <w:sz w:val="18"/>
                <w:szCs w:val="18"/>
                <w:lang w:eastAsia="en-US"/>
              </w:rPr>
              <w:t xml:space="preserve"> (</w:t>
            </w:r>
            <w:proofErr w:type="spellStart"/>
            <w:r w:rsidR="009B5683" w:rsidRPr="002F6BD4">
              <w:rPr>
                <w:rFonts w:ascii="Arial" w:hAnsi="Arial" w:cs="Arial"/>
                <w:sz w:val="18"/>
                <w:szCs w:val="18"/>
                <w:lang w:eastAsia="en-US"/>
              </w:rPr>
              <w:t>Adq</w:t>
            </w:r>
            <w:proofErr w:type="spellEnd"/>
            <w:r w:rsidR="009B5683" w:rsidRPr="002F6BD4">
              <w:rPr>
                <w:rFonts w:ascii="Arial" w:hAnsi="Arial" w:cs="Arial"/>
                <w:sz w:val="18"/>
                <w:szCs w:val="18"/>
                <w:lang w:eastAsia="en-US"/>
              </w:rPr>
              <w:t>.)</w:t>
            </w:r>
          </w:p>
        </w:tc>
        <w:tc>
          <w:tcPr>
            <w:tcW w:w="1350" w:type="dxa"/>
            <w:shd w:val="clear" w:color="auto" w:fill="FFFFFF"/>
            <w:noWrap/>
            <w:vAlign w:val="center"/>
          </w:tcPr>
          <w:p w:rsidR="00C150E7" w:rsidRPr="00537F8A" w:rsidRDefault="00C150E7" w:rsidP="001654EB">
            <w:pPr>
              <w:contextualSpacing/>
              <w:rPr>
                <w:rFonts w:ascii="Arial" w:hAnsi="Arial" w:cs="Arial"/>
                <w:b/>
                <w:bCs/>
                <w:sz w:val="18"/>
                <w:szCs w:val="18"/>
                <w:lang w:val="es-CO" w:eastAsia="en-US"/>
              </w:rPr>
            </w:pPr>
            <w:r w:rsidRPr="00537F8A">
              <w:rPr>
                <w:rFonts w:ascii="Arial" w:hAnsi="Arial" w:cs="Arial"/>
                <w:b/>
                <w:bCs/>
                <w:sz w:val="18"/>
                <w:szCs w:val="18"/>
                <w:lang w:val="es-CO" w:eastAsia="en-US"/>
              </w:rPr>
              <w:t>Herramienta:</w:t>
            </w:r>
          </w:p>
        </w:tc>
        <w:tc>
          <w:tcPr>
            <w:tcW w:w="2160" w:type="dxa"/>
            <w:shd w:val="clear" w:color="auto" w:fill="FFFFFF"/>
            <w:vAlign w:val="center"/>
          </w:tcPr>
          <w:p w:rsidR="00C150E7" w:rsidRPr="002F6BD4" w:rsidRDefault="00C150E7" w:rsidP="001654EB">
            <w:pPr>
              <w:contextualSpacing/>
              <w:rPr>
                <w:rFonts w:ascii="Arial" w:hAnsi="Arial" w:cs="Arial"/>
                <w:bCs/>
                <w:sz w:val="18"/>
                <w:szCs w:val="18"/>
                <w:lang w:val="es-CO" w:eastAsia="en-US"/>
              </w:rPr>
            </w:pPr>
            <w:r w:rsidRPr="002F6BD4">
              <w:rPr>
                <w:rFonts w:ascii="Arial" w:hAnsi="Arial" w:cs="Arial"/>
                <w:bCs/>
                <w:sz w:val="18"/>
                <w:szCs w:val="18"/>
                <w:lang w:val="es-CO" w:eastAsia="en-US"/>
              </w:rPr>
              <w:t xml:space="preserve">GRP  </w:t>
            </w:r>
          </w:p>
        </w:tc>
      </w:tr>
      <w:tr w:rsidR="00C150E7" w:rsidRPr="00E94D4F" w:rsidTr="001654EB">
        <w:trPr>
          <w:trHeight w:val="301"/>
          <w:jc w:val="center"/>
        </w:trPr>
        <w:tc>
          <w:tcPr>
            <w:tcW w:w="1038" w:type="dxa"/>
            <w:shd w:val="clear" w:color="auto" w:fill="00B0F0"/>
            <w:vAlign w:val="center"/>
          </w:tcPr>
          <w:p w:rsidR="00C150E7" w:rsidRPr="00537F8A" w:rsidRDefault="00C150E7" w:rsidP="001654EB">
            <w:pPr>
              <w:contextualSpacing/>
              <w:jc w:val="center"/>
              <w:rPr>
                <w:rFonts w:ascii="Arial" w:hAnsi="Arial" w:cs="Arial"/>
                <w:b/>
                <w:bCs/>
                <w:color w:val="FFFFFF"/>
                <w:sz w:val="18"/>
                <w:szCs w:val="18"/>
                <w:lang w:val="es-CO" w:eastAsia="en-US"/>
              </w:rPr>
            </w:pPr>
            <w:r w:rsidRPr="00537F8A">
              <w:rPr>
                <w:rFonts w:ascii="Arial" w:hAnsi="Arial" w:cs="Arial"/>
                <w:b/>
                <w:bCs/>
                <w:color w:val="FFFFFF"/>
                <w:sz w:val="18"/>
                <w:szCs w:val="18"/>
                <w:lang w:val="es-CO" w:eastAsia="en-US"/>
              </w:rPr>
              <w:t>Tipo de riesgo</w:t>
            </w:r>
            <w:r w:rsidRPr="00537F8A">
              <w:rPr>
                <w:rStyle w:val="FootnoteReference"/>
                <w:rFonts w:ascii="Arial" w:hAnsi="Arial" w:cs="Arial"/>
                <w:i/>
                <w:color w:val="FFFFFF"/>
                <w:sz w:val="18"/>
                <w:szCs w:val="18"/>
              </w:rPr>
              <w:footnoteReference w:id="2"/>
            </w:r>
          </w:p>
        </w:tc>
        <w:tc>
          <w:tcPr>
            <w:tcW w:w="2760" w:type="dxa"/>
            <w:shd w:val="clear" w:color="auto" w:fill="00B0F0"/>
            <w:noWrap/>
            <w:vAlign w:val="center"/>
            <w:hideMark/>
          </w:tcPr>
          <w:p w:rsidR="00C150E7" w:rsidRPr="00537F8A" w:rsidRDefault="00C150E7" w:rsidP="001654EB">
            <w:pPr>
              <w:contextualSpacing/>
              <w:jc w:val="center"/>
              <w:rPr>
                <w:rFonts w:ascii="Arial" w:hAnsi="Arial" w:cs="Arial"/>
                <w:b/>
                <w:bCs/>
                <w:color w:val="FFFFFF"/>
                <w:sz w:val="18"/>
                <w:szCs w:val="18"/>
                <w:lang w:val="en-US" w:eastAsia="en-US"/>
              </w:rPr>
            </w:pPr>
            <w:r w:rsidRPr="00537F8A">
              <w:rPr>
                <w:rFonts w:ascii="Arial" w:hAnsi="Arial" w:cs="Arial"/>
                <w:b/>
                <w:bCs/>
                <w:color w:val="FFFFFF"/>
                <w:sz w:val="18"/>
                <w:szCs w:val="18"/>
                <w:lang w:val="es-CO" w:eastAsia="en-US"/>
              </w:rPr>
              <w:t>Riesgo</w:t>
            </w:r>
          </w:p>
        </w:tc>
        <w:tc>
          <w:tcPr>
            <w:tcW w:w="1530" w:type="dxa"/>
            <w:shd w:val="clear" w:color="auto" w:fill="00B0F0"/>
            <w:noWrap/>
            <w:vAlign w:val="center"/>
            <w:hideMark/>
          </w:tcPr>
          <w:p w:rsidR="00C150E7" w:rsidRPr="00537F8A" w:rsidRDefault="00C150E7" w:rsidP="001654EB">
            <w:pPr>
              <w:contextualSpacing/>
              <w:jc w:val="center"/>
              <w:rPr>
                <w:rFonts w:ascii="Arial" w:hAnsi="Arial" w:cs="Arial"/>
                <w:b/>
                <w:bCs/>
                <w:color w:val="FFFFFF"/>
                <w:sz w:val="18"/>
                <w:szCs w:val="18"/>
                <w:lang w:val="en-US" w:eastAsia="en-US"/>
              </w:rPr>
            </w:pPr>
            <w:r w:rsidRPr="00537F8A">
              <w:rPr>
                <w:rFonts w:ascii="Arial" w:hAnsi="Arial" w:cs="Arial"/>
                <w:b/>
                <w:bCs/>
                <w:color w:val="FFFFFF"/>
                <w:sz w:val="18"/>
                <w:szCs w:val="18"/>
                <w:lang w:val="es-CO" w:eastAsia="en-US"/>
              </w:rPr>
              <w:t>Calificación</w:t>
            </w:r>
          </w:p>
        </w:tc>
        <w:tc>
          <w:tcPr>
            <w:tcW w:w="3510" w:type="dxa"/>
            <w:gridSpan w:val="2"/>
            <w:shd w:val="clear" w:color="auto" w:fill="00B0F0"/>
            <w:noWrap/>
            <w:vAlign w:val="center"/>
            <w:hideMark/>
          </w:tcPr>
          <w:p w:rsidR="00C150E7" w:rsidRPr="00537F8A" w:rsidRDefault="00C150E7" w:rsidP="001654EB">
            <w:pPr>
              <w:contextualSpacing/>
              <w:jc w:val="center"/>
              <w:rPr>
                <w:rFonts w:ascii="Arial" w:hAnsi="Arial" w:cs="Arial"/>
                <w:b/>
                <w:bCs/>
                <w:color w:val="FFFFFF"/>
                <w:sz w:val="18"/>
                <w:szCs w:val="18"/>
                <w:lang w:val="en-US" w:eastAsia="en-US"/>
              </w:rPr>
            </w:pPr>
            <w:r w:rsidRPr="00537F8A">
              <w:rPr>
                <w:rFonts w:ascii="Arial" w:hAnsi="Arial" w:cs="Arial"/>
                <w:b/>
                <w:bCs/>
                <w:color w:val="FFFFFF"/>
                <w:sz w:val="18"/>
                <w:szCs w:val="18"/>
                <w:lang w:val="es-CO" w:eastAsia="en-US"/>
              </w:rPr>
              <w:t>Acciones</w:t>
            </w:r>
            <w:r w:rsidRPr="00537F8A">
              <w:rPr>
                <w:rFonts w:ascii="Arial" w:hAnsi="Arial" w:cs="Arial"/>
                <w:b/>
                <w:bCs/>
                <w:color w:val="FFFFFF"/>
                <w:sz w:val="18"/>
                <w:szCs w:val="18"/>
                <w:lang w:val="en-US" w:eastAsia="en-US"/>
              </w:rPr>
              <w:t xml:space="preserve"> de </w:t>
            </w:r>
            <w:r w:rsidRPr="00537F8A">
              <w:rPr>
                <w:rFonts w:ascii="Arial" w:hAnsi="Arial" w:cs="Arial"/>
                <w:b/>
                <w:bCs/>
                <w:color w:val="FFFFFF"/>
                <w:sz w:val="18"/>
                <w:szCs w:val="18"/>
                <w:lang w:val="es-CO" w:eastAsia="en-US"/>
              </w:rPr>
              <w:t>Mitigación</w:t>
            </w:r>
          </w:p>
        </w:tc>
      </w:tr>
      <w:tr w:rsidR="00237CD6" w:rsidRPr="00E94D4F" w:rsidTr="001654EB">
        <w:trPr>
          <w:trHeight w:val="189"/>
          <w:jc w:val="center"/>
        </w:trPr>
        <w:tc>
          <w:tcPr>
            <w:tcW w:w="1038" w:type="dxa"/>
            <w:shd w:val="clear" w:color="000000" w:fill="FFFFFF"/>
            <w:vAlign w:val="center"/>
          </w:tcPr>
          <w:p w:rsidR="00237CD6" w:rsidRPr="00537F8A" w:rsidRDefault="00237CD6" w:rsidP="001654EB">
            <w:pPr>
              <w:contextualSpacing/>
              <w:rPr>
                <w:rFonts w:ascii="Arial" w:hAnsi="Arial" w:cs="Arial"/>
                <w:sz w:val="18"/>
                <w:szCs w:val="18"/>
                <w:highlight w:val="red"/>
                <w:lang w:eastAsia="en-US"/>
              </w:rPr>
            </w:pPr>
            <w:r w:rsidRPr="00537F8A">
              <w:rPr>
                <w:rFonts w:ascii="Arial" w:hAnsi="Arial" w:cs="Arial"/>
                <w:sz w:val="18"/>
                <w:szCs w:val="18"/>
                <w:lang w:eastAsia="en-US"/>
              </w:rPr>
              <w:t>AD</w:t>
            </w:r>
          </w:p>
        </w:tc>
        <w:tc>
          <w:tcPr>
            <w:tcW w:w="2760" w:type="dxa"/>
            <w:shd w:val="clear" w:color="000000" w:fill="FFFFFF"/>
            <w:vAlign w:val="center"/>
          </w:tcPr>
          <w:p w:rsidR="00237CD6" w:rsidRPr="00537F8A" w:rsidRDefault="00237CD6" w:rsidP="001654EB">
            <w:pPr>
              <w:contextualSpacing/>
              <w:rPr>
                <w:rFonts w:ascii="Arial" w:hAnsi="Arial" w:cs="Arial"/>
                <w:sz w:val="18"/>
                <w:szCs w:val="18"/>
                <w:highlight w:val="red"/>
                <w:lang w:eastAsia="en-US"/>
              </w:rPr>
            </w:pPr>
            <w:r w:rsidRPr="00537F8A">
              <w:rPr>
                <w:rFonts w:ascii="Arial" w:hAnsi="Arial" w:cs="Arial"/>
                <w:sz w:val="18"/>
                <w:szCs w:val="18"/>
                <w:lang w:eastAsia="en-US"/>
              </w:rPr>
              <w:t>Demoras en la elaboración de los pliegos de adquisiciones</w:t>
            </w:r>
          </w:p>
        </w:tc>
        <w:tc>
          <w:tcPr>
            <w:tcW w:w="1530" w:type="dxa"/>
            <w:shd w:val="clear" w:color="auto" w:fill="auto"/>
            <w:vAlign w:val="center"/>
          </w:tcPr>
          <w:p w:rsidR="00237CD6" w:rsidRPr="00537F8A" w:rsidRDefault="00237CD6" w:rsidP="001654EB">
            <w:pPr>
              <w:contextualSpacing/>
              <w:jc w:val="center"/>
              <w:rPr>
                <w:rFonts w:ascii="Arial" w:hAnsi="Arial" w:cs="Arial"/>
                <w:sz w:val="18"/>
                <w:szCs w:val="18"/>
                <w:highlight w:val="red"/>
                <w:lang w:val="es-CO" w:eastAsia="en-US"/>
              </w:rPr>
            </w:pPr>
            <w:r w:rsidRPr="00537F8A">
              <w:rPr>
                <w:rFonts w:ascii="Arial" w:hAnsi="Arial" w:cs="Arial"/>
                <w:sz w:val="18"/>
                <w:szCs w:val="18"/>
                <w:lang w:val="es-CO" w:eastAsia="en-US"/>
              </w:rPr>
              <w:t>Medio</w:t>
            </w:r>
          </w:p>
        </w:tc>
        <w:tc>
          <w:tcPr>
            <w:tcW w:w="3510" w:type="dxa"/>
            <w:gridSpan w:val="2"/>
            <w:shd w:val="clear" w:color="000000" w:fill="FFFFFF"/>
            <w:vAlign w:val="center"/>
          </w:tcPr>
          <w:p w:rsidR="00237CD6" w:rsidRPr="00537F8A" w:rsidRDefault="00237CD6" w:rsidP="00A9078D">
            <w:pPr>
              <w:contextualSpacing/>
              <w:jc w:val="both"/>
              <w:rPr>
                <w:rFonts w:ascii="Arial" w:hAnsi="Arial" w:cs="Arial"/>
                <w:sz w:val="18"/>
                <w:szCs w:val="18"/>
                <w:highlight w:val="red"/>
                <w:lang w:val="es-CO" w:eastAsia="en-US"/>
              </w:rPr>
            </w:pPr>
            <w:r w:rsidRPr="00537F8A">
              <w:rPr>
                <w:rFonts w:ascii="Arial" w:hAnsi="Arial" w:cs="Arial"/>
                <w:sz w:val="18"/>
                <w:szCs w:val="18"/>
                <w:lang w:eastAsia="en-US"/>
              </w:rPr>
              <w:t>Acompañamiento por parte del Banco para la preparación de documentos de licitación, para asegurar la calidad de los mismos</w:t>
            </w:r>
          </w:p>
        </w:tc>
      </w:tr>
      <w:tr w:rsidR="00237CD6" w:rsidRPr="00E94D4F" w:rsidTr="001654EB">
        <w:trPr>
          <w:trHeight w:val="189"/>
          <w:jc w:val="center"/>
        </w:trPr>
        <w:tc>
          <w:tcPr>
            <w:tcW w:w="1038" w:type="dxa"/>
            <w:shd w:val="clear" w:color="000000" w:fill="FFFFFF"/>
            <w:vAlign w:val="center"/>
          </w:tcPr>
          <w:p w:rsidR="00237CD6" w:rsidRPr="00537F8A" w:rsidRDefault="00237CD6" w:rsidP="001654EB">
            <w:pPr>
              <w:contextualSpacing/>
              <w:rPr>
                <w:rFonts w:ascii="Arial" w:hAnsi="Arial" w:cs="Arial"/>
                <w:sz w:val="18"/>
                <w:szCs w:val="18"/>
                <w:highlight w:val="red"/>
                <w:lang w:eastAsia="en-US"/>
              </w:rPr>
            </w:pPr>
            <w:r w:rsidRPr="00537F8A">
              <w:rPr>
                <w:rFonts w:ascii="Arial" w:hAnsi="Arial" w:cs="Arial"/>
                <w:sz w:val="18"/>
                <w:szCs w:val="18"/>
                <w:lang w:eastAsia="en-US"/>
              </w:rPr>
              <w:t>AD</w:t>
            </w:r>
          </w:p>
        </w:tc>
        <w:tc>
          <w:tcPr>
            <w:tcW w:w="2760" w:type="dxa"/>
            <w:tcBorders>
              <w:bottom w:val="single" w:sz="4" w:space="0" w:color="auto"/>
            </w:tcBorders>
            <w:shd w:val="clear" w:color="000000" w:fill="FFFFFF"/>
            <w:vAlign w:val="center"/>
          </w:tcPr>
          <w:p w:rsidR="00237CD6" w:rsidRPr="00537F8A" w:rsidRDefault="00237CD6" w:rsidP="001654EB">
            <w:pPr>
              <w:contextualSpacing/>
              <w:rPr>
                <w:rFonts w:ascii="Arial" w:hAnsi="Arial" w:cs="Arial"/>
                <w:sz w:val="18"/>
                <w:szCs w:val="18"/>
                <w:highlight w:val="red"/>
                <w:lang w:eastAsia="en-US"/>
              </w:rPr>
            </w:pPr>
            <w:r w:rsidRPr="00537F8A">
              <w:rPr>
                <w:rFonts w:ascii="Arial" w:hAnsi="Arial" w:cs="Arial"/>
                <w:sz w:val="18"/>
                <w:szCs w:val="18"/>
                <w:lang w:eastAsia="en-US"/>
              </w:rPr>
              <w:t>Demoras en la realización de los procesos de adquisición por desconocimiento de las políticas</w:t>
            </w:r>
          </w:p>
        </w:tc>
        <w:tc>
          <w:tcPr>
            <w:tcW w:w="1530" w:type="dxa"/>
            <w:shd w:val="clear" w:color="auto" w:fill="auto"/>
            <w:vAlign w:val="center"/>
          </w:tcPr>
          <w:p w:rsidR="00237CD6" w:rsidRPr="00537F8A" w:rsidRDefault="00237CD6" w:rsidP="001654EB">
            <w:pPr>
              <w:contextualSpacing/>
              <w:jc w:val="center"/>
              <w:rPr>
                <w:rFonts w:ascii="Arial" w:hAnsi="Arial" w:cs="Arial"/>
                <w:sz w:val="18"/>
                <w:szCs w:val="18"/>
                <w:highlight w:val="red"/>
                <w:lang w:val="es-CO" w:eastAsia="en-US"/>
              </w:rPr>
            </w:pPr>
            <w:r w:rsidRPr="00537F8A">
              <w:rPr>
                <w:rFonts w:ascii="Arial" w:hAnsi="Arial" w:cs="Arial"/>
                <w:sz w:val="18"/>
                <w:szCs w:val="18"/>
                <w:lang w:eastAsia="en-US"/>
              </w:rPr>
              <w:t>Medio</w:t>
            </w:r>
          </w:p>
        </w:tc>
        <w:tc>
          <w:tcPr>
            <w:tcW w:w="3510" w:type="dxa"/>
            <w:gridSpan w:val="2"/>
            <w:shd w:val="clear" w:color="000000" w:fill="FFFFFF"/>
            <w:vAlign w:val="center"/>
          </w:tcPr>
          <w:p w:rsidR="00237CD6" w:rsidRPr="00537F8A" w:rsidRDefault="00237CD6" w:rsidP="00A9078D">
            <w:pPr>
              <w:contextualSpacing/>
              <w:jc w:val="both"/>
              <w:rPr>
                <w:rFonts w:ascii="Arial" w:hAnsi="Arial" w:cs="Arial"/>
                <w:sz w:val="18"/>
                <w:szCs w:val="18"/>
                <w:lang w:eastAsia="en-US"/>
              </w:rPr>
            </w:pPr>
            <w:r w:rsidRPr="00537F8A">
              <w:rPr>
                <w:rFonts w:ascii="Arial" w:hAnsi="Arial" w:cs="Arial"/>
                <w:sz w:val="18"/>
                <w:szCs w:val="18"/>
                <w:lang w:eastAsia="en-US"/>
              </w:rPr>
              <w:t>Capacitación y seguimiento al OE</w:t>
            </w:r>
          </w:p>
          <w:p w:rsidR="00237CD6" w:rsidRPr="00537F8A" w:rsidRDefault="00237CD6" w:rsidP="00A9078D">
            <w:pPr>
              <w:contextualSpacing/>
              <w:jc w:val="both"/>
              <w:rPr>
                <w:rFonts w:ascii="Arial" w:hAnsi="Arial" w:cs="Arial"/>
                <w:sz w:val="18"/>
                <w:szCs w:val="18"/>
                <w:lang w:eastAsia="en-US"/>
              </w:rPr>
            </w:pPr>
          </w:p>
          <w:p w:rsidR="00237CD6" w:rsidRPr="00537F8A" w:rsidRDefault="00237CD6" w:rsidP="00A9078D">
            <w:pPr>
              <w:contextualSpacing/>
              <w:jc w:val="both"/>
              <w:rPr>
                <w:rFonts w:ascii="Arial" w:hAnsi="Arial" w:cs="Arial"/>
                <w:sz w:val="18"/>
                <w:szCs w:val="18"/>
                <w:highlight w:val="red"/>
                <w:lang w:eastAsia="en-US"/>
              </w:rPr>
            </w:pPr>
            <w:r w:rsidRPr="00537F8A">
              <w:rPr>
                <w:rFonts w:ascii="Arial" w:hAnsi="Arial" w:cs="Arial"/>
                <w:sz w:val="18"/>
                <w:szCs w:val="18"/>
                <w:lang w:eastAsia="en-US"/>
              </w:rPr>
              <w:t xml:space="preserve">Especificar en el Reglamento </w:t>
            </w:r>
            <w:r w:rsidR="00090E6F">
              <w:rPr>
                <w:rFonts w:ascii="Arial" w:hAnsi="Arial" w:cs="Arial"/>
                <w:sz w:val="18"/>
                <w:szCs w:val="18"/>
                <w:lang w:eastAsia="en-US"/>
              </w:rPr>
              <w:t>Opera</w:t>
            </w:r>
            <w:r w:rsidR="00C65AE2">
              <w:rPr>
                <w:rFonts w:ascii="Arial" w:hAnsi="Arial" w:cs="Arial"/>
                <w:sz w:val="18"/>
                <w:szCs w:val="18"/>
                <w:lang w:eastAsia="en-US"/>
              </w:rPr>
              <w:t xml:space="preserve">tivo </w:t>
            </w:r>
            <w:r w:rsidRPr="00537F8A">
              <w:rPr>
                <w:rFonts w:ascii="Arial" w:hAnsi="Arial" w:cs="Arial"/>
                <w:sz w:val="18"/>
                <w:szCs w:val="18"/>
                <w:lang w:eastAsia="en-US"/>
              </w:rPr>
              <w:t>del Programa</w:t>
            </w:r>
            <w:r w:rsidR="001438A4">
              <w:rPr>
                <w:rFonts w:ascii="Arial" w:hAnsi="Arial" w:cs="Arial"/>
                <w:sz w:val="18"/>
                <w:szCs w:val="18"/>
                <w:lang w:eastAsia="en-US"/>
              </w:rPr>
              <w:t xml:space="preserve"> (ROP)</w:t>
            </w:r>
            <w:r w:rsidRPr="00537F8A">
              <w:rPr>
                <w:rFonts w:ascii="Arial" w:hAnsi="Arial" w:cs="Arial"/>
                <w:sz w:val="18"/>
                <w:szCs w:val="18"/>
                <w:lang w:eastAsia="en-US"/>
              </w:rPr>
              <w:t xml:space="preserve"> el detalle de los flujos y políticas que aplican</w:t>
            </w:r>
          </w:p>
        </w:tc>
      </w:tr>
    </w:tbl>
    <w:p w:rsidR="00C150E7" w:rsidRPr="001438A4" w:rsidRDefault="00237CD6" w:rsidP="003D6EEE">
      <w:pPr>
        <w:autoSpaceDE w:val="0"/>
        <w:autoSpaceDN w:val="0"/>
        <w:adjustRightInd w:val="0"/>
        <w:spacing w:after="120"/>
        <w:ind w:left="-90" w:right="274"/>
        <w:jc w:val="both"/>
        <w:rPr>
          <w:rFonts w:ascii="Arial" w:hAnsi="Arial" w:cs="Arial"/>
          <w:sz w:val="18"/>
          <w:szCs w:val="18"/>
        </w:rPr>
      </w:pPr>
      <w:r w:rsidRPr="001438A4">
        <w:rPr>
          <w:rFonts w:ascii="Arial" w:hAnsi="Arial" w:cs="Arial"/>
          <w:sz w:val="18"/>
          <w:szCs w:val="18"/>
        </w:rPr>
        <w:t>(*) Respecto a los riesgos de gestión financiera,</w:t>
      </w:r>
      <w:r w:rsidR="00782FF3" w:rsidRPr="001438A4">
        <w:rPr>
          <w:rFonts w:ascii="Arial" w:hAnsi="Arial" w:cs="Arial"/>
          <w:sz w:val="18"/>
          <w:szCs w:val="18"/>
        </w:rPr>
        <w:t xml:space="preserve"> </w:t>
      </w:r>
      <w:r w:rsidRPr="001438A4">
        <w:rPr>
          <w:rFonts w:ascii="Arial" w:hAnsi="Arial" w:cs="Arial"/>
          <w:sz w:val="18"/>
          <w:szCs w:val="18"/>
        </w:rPr>
        <w:t xml:space="preserve">el análisis </w:t>
      </w:r>
      <w:r w:rsidR="00782FF3" w:rsidRPr="001438A4">
        <w:rPr>
          <w:rFonts w:ascii="Arial" w:hAnsi="Arial" w:cs="Arial"/>
          <w:sz w:val="18"/>
          <w:szCs w:val="18"/>
        </w:rPr>
        <w:t xml:space="preserve">inicial </w:t>
      </w:r>
      <w:r w:rsidRPr="001438A4">
        <w:rPr>
          <w:rFonts w:ascii="Arial" w:hAnsi="Arial" w:cs="Arial"/>
          <w:sz w:val="18"/>
          <w:szCs w:val="18"/>
        </w:rPr>
        <w:t>de</w:t>
      </w:r>
      <w:r w:rsidR="00782FF3" w:rsidRPr="001438A4">
        <w:rPr>
          <w:rFonts w:ascii="Arial" w:hAnsi="Arial" w:cs="Arial"/>
          <w:sz w:val="18"/>
          <w:szCs w:val="18"/>
        </w:rPr>
        <w:t xml:space="preserve"> los mismos se realizó en base el SECI elaborado</w:t>
      </w:r>
      <w:r w:rsidRPr="001438A4">
        <w:rPr>
          <w:rFonts w:ascii="Arial" w:hAnsi="Arial" w:cs="Arial"/>
          <w:sz w:val="18"/>
          <w:szCs w:val="18"/>
        </w:rPr>
        <w:t xml:space="preserve"> para la ope</w:t>
      </w:r>
      <w:r w:rsidR="00782FF3" w:rsidRPr="001438A4">
        <w:rPr>
          <w:rFonts w:ascii="Arial" w:hAnsi="Arial" w:cs="Arial"/>
          <w:sz w:val="18"/>
          <w:szCs w:val="18"/>
        </w:rPr>
        <w:t xml:space="preserve">ración </w:t>
      </w:r>
      <w:r w:rsidR="001654EB" w:rsidRPr="001438A4">
        <w:rPr>
          <w:rFonts w:ascii="Arial" w:hAnsi="Arial" w:cs="Arial"/>
          <w:sz w:val="18"/>
          <w:szCs w:val="18"/>
        </w:rPr>
        <w:t>3759/OC-AR</w:t>
      </w:r>
      <w:r w:rsidR="00782FF3" w:rsidRPr="001438A4">
        <w:rPr>
          <w:rFonts w:ascii="Arial" w:hAnsi="Arial" w:cs="Arial"/>
          <w:sz w:val="18"/>
          <w:szCs w:val="18"/>
        </w:rPr>
        <w:t xml:space="preserve"> el cual reflejaba</w:t>
      </w:r>
      <w:r w:rsidRPr="001438A4">
        <w:rPr>
          <w:rFonts w:ascii="Arial" w:hAnsi="Arial" w:cs="Arial"/>
          <w:sz w:val="18"/>
          <w:szCs w:val="18"/>
        </w:rPr>
        <w:t xml:space="preserve"> un nivel bajo de riesgos </w:t>
      </w:r>
      <w:r w:rsidR="00FF77D5" w:rsidRPr="001438A4">
        <w:rPr>
          <w:rFonts w:ascii="Arial" w:hAnsi="Arial" w:cs="Arial"/>
          <w:sz w:val="18"/>
          <w:szCs w:val="18"/>
        </w:rPr>
        <w:t xml:space="preserve">de </w:t>
      </w:r>
      <w:r w:rsidR="00E94D4F" w:rsidRPr="001438A4">
        <w:rPr>
          <w:rFonts w:ascii="Arial" w:hAnsi="Arial" w:cs="Arial"/>
          <w:sz w:val="18"/>
          <w:szCs w:val="18"/>
        </w:rPr>
        <w:t>gestión financiera</w:t>
      </w:r>
      <w:r w:rsidRPr="001438A4">
        <w:rPr>
          <w:rFonts w:ascii="Arial" w:hAnsi="Arial" w:cs="Arial"/>
          <w:sz w:val="18"/>
          <w:szCs w:val="18"/>
        </w:rPr>
        <w:t xml:space="preserve">. </w:t>
      </w:r>
    </w:p>
    <w:p w:rsidR="00DD2CB1" w:rsidRPr="00C44A0C" w:rsidRDefault="00515BA9" w:rsidP="004B78E1">
      <w:pPr>
        <w:numPr>
          <w:ilvl w:val="0"/>
          <w:numId w:val="11"/>
        </w:numPr>
        <w:autoSpaceDE w:val="0"/>
        <w:autoSpaceDN w:val="0"/>
        <w:adjustRightInd w:val="0"/>
        <w:spacing w:before="240" w:after="240"/>
        <w:ind w:left="360"/>
        <w:jc w:val="center"/>
        <w:rPr>
          <w:rFonts w:ascii="Arial" w:hAnsi="Arial" w:cs="Arial"/>
          <w:b/>
          <w:smallCaps/>
        </w:rPr>
      </w:pPr>
      <w:proofErr w:type="gramStart"/>
      <w:r w:rsidRPr="00C44A0C">
        <w:rPr>
          <w:rFonts w:ascii="Arial" w:hAnsi="Arial" w:cs="Arial"/>
          <w:b/>
          <w:smallCaps/>
        </w:rPr>
        <w:t xml:space="preserve">Aspectos a </w:t>
      </w:r>
      <w:r w:rsidR="001438A4">
        <w:rPr>
          <w:rFonts w:ascii="Arial" w:hAnsi="Arial" w:cs="Arial"/>
          <w:b/>
          <w:smallCaps/>
        </w:rPr>
        <w:t>C</w:t>
      </w:r>
      <w:r w:rsidR="00DD2CB1" w:rsidRPr="00C44A0C">
        <w:rPr>
          <w:rFonts w:ascii="Arial" w:hAnsi="Arial" w:cs="Arial"/>
          <w:b/>
          <w:smallCaps/>
        </w:rPr>
        <w:t>onsidera</w:t>
      </w:r>
      <w:r w:rsidRPr="00C44A0C">
        <w:rPr>
          <w:rFonts w:ascii="Arial" w:hAnsi="Arial" w:cs="Arial"/>
          <w:b/>
          <w:smallCaps/>
        </w:rPr>
        <w:t>r</w:t>
      </w:r>
      <w:proofErr w:type="gramEnd"/>
      <w:r w:rsidR="00DD2CB1" w:rsidRPr="00C44A0C">
        <w:rPr>
          <w:rFonts w:ascii="Arial" w:hAnsi="Arial" w:cs="Arial"/>
          <w:b/>
          <w:smallCaps/>
        </w:rPr>
        <w:t xml:space="preserve"> en Estipulaciones Especiales a los </w:t>
      </w:r>
      <w:r w:rsidR="001438A4">
        <w:rPr>
          <w:rFonts w:ascii="Arial" w:hAnsi="Arial" w:cs="Arial"/>
          <w:b/>
          <w:smallCaps/>
        </w:rPr>
        <w:t>C</w:t>
      </w:r>
      <w:r w:rsidR="00DD2CB1" w:rsidRPr="00C44A0C">
        <w:rPr>
          <w:rFonts w:ascii="Arial" w:hAnsi="Arial" w:cs="Arial"/>
          <w:b/>
          <w:smallCaps/>
        </w:rPr>
        <w:t>ontratos</w:t>
      </w:r>
    </w:p>
    <w:p w:rsidR="00DD2CB1" w:rsidRPr="00E94D4F" w:rsidRDefault="001156B6" w:rsidP="004A36BB">
      <w:pPr>
        <w:numPr>
          <w:ilvl w:val="0"/>
          <w:numId w:val="37"/>
        </w:numPr>
        <w:autoSpaceDE w:val="0"/>
        <w:autoSpaceDN w:val="0"/>
        <w:adjustRightInd w:val="0"/>
        <w:spacing w:before="120" w:after="100" w:afterAutospacing="1"/>
        <w:ind w:hanging="810"/>
        <w:jc w:val="both"/>
        <w:rPr>
          <w:rFonts w:ascii="Arial" w:hAnsi="Arial" w:cs="Arial"/>
          <w:i/>
          <w:sz w:val="22"/>
          <w:szCs w:val="22"/>
          <w:lang w:val="es-ES"/>
        </w:rPr>
      </w:pPr>
      <w:r>
        <w:rPr>
          <w:rFonts w:ascii="Arial" w:hAnsi="Arial" w:cs="Arial"/>
          <w:sz w:val="22"/>
          <w:szCs w:val="22"/>
          <w:lang w:val="es-ES"/>
        </w:rPr>
        <w:t>S</w:t>
      </w:r>
      <w:r w:rsidR="00DD2CB1" w:rsidRPr="00E94D4F">
        <w:rPr>
          <w:rFonts w:ascii="Arial" w:hAnsi="Arial" w:cs="Arial"/>
          <w:sz w:val="22"/>
          <w:szCs w:val="22"/>
          <w:lang w:val="es-ES"/>
        </w:rPr>
        <w:t xml:space="preserve">e incluyen a continuación aquellos </w:t>
      </w:r>
      <w:r w:rsidR="001438A4">
        <w:rPr>
          <w:rFonts w:ascii="Arial" w:hAnsi="Arial" w:cs="Arial"/>
          <w:sz w:val="22"/>
          <w:szCs w:val="22"/>
          <w:lang w:val="es-ES"/>
        </w:rPr>
        <w:t>acuerdos y r</w:t>
      </w:r>
      <w:r w:rsidR="00DD2CB1" w:rsidRPr="00E94D4F">
        <w:rPr>
          <w:rFonts w:ascii="Arial" w:hAnsi="Arial" w:cs="Arial"/>
          <w:sz w:val="22"/>
          <w:szCs w:val="22"/>
          <w:lang w:val="es-ES"/>
        </w:rPr>
        <w:t>equisitos que deberán ser considerados en las estipulaciones especiales:</w:t>
      </w:r>
    </w:p>
    <w:p w:rsidR="00235ABB" w:rsidRPr="0013112F" w:rsidRDefault="00261DF1" w:rsidP="004A36BB">
      <w:pPr>
        <w:numPr>
          <w:ilvl w:val="0"/>
          <w:numId w:val="24"/>
        </w:numPr>
        <w:autoSpaceDE w:val="0"/>
        <w:autoSpaceDN w:val="0"/>
        <w:adjustRightInd w:val="0"/>
        <w:spacing w:after="240"/>
        <w:ind w:left="1170" w:hanging="450"/>
        <w:jc w:val="both"/>
        <w:rPr>
          <w:rFonts w:ascii="Arial" w:hAnsi="Arial" w:cs="Arial"/>
          <w:sz w:val="22"/>
          <w:szCs w:val="22"/>
          <w:lang w:val="es-ES"/>
        </w:rPr>
      </w:pPr>
      <w:r w:rsidRPr="00E94D4F">
        <w:rPr>
          <w:rFonts w:ascii="Arial" w:hAnsi="Arial" w:cs="Arial"/>
          <w:b/>
          <w:sz w:val="22"/>
          <w:szCs w:val="22"/>
          <w:lang w:val="es-ES"/>
        </w:rPr>
        <w:t>Adquisicion</w:t>
      </w:r>
      <w:r w:rsidRPr="006B430F">
        <w:rPr>
          <w:rFonts w:ascii="Arial" w:hAnsi="Arial" w:cs="Arial"/>
          <w:b/>
          <w:sz w:val="22"/>
          <w:szCs w:val="22"/>
          <w:lang w:val="es-ES"/>
        </w:rPr>
        <w:t>es.</w:t>
      </w:r>
      <w:r w:rsidRPr="00E94D4F">
        <w:rPr>
          <w:rFonts w:ascii="Arial" w:hAnsi="Arial" w:cs="Arial"/>
          <w:sz w:val="22"/>
          <w:szCs w:val="22"/>
          <w:lang w:val="es-ES"/>
        </w:rPr>
        <w:t xml:space="preserve"> Se aplicarán las Políticas para la Adquisición de Obras y Bienes Financiados por el BID (GN-2349-9) y las Políticas para la Selección y Contratación de Consultores Financiados por el BID (GN-2350-9)</w:t>
      </w:r>
      <w:r w:rsidR="00CA4D3E" w:rsidRPr="00E94D4F">
        <w:rPr>
          <w:rFonts w:ascii="Arial" w:hAnsi="Arial" w:cs="Arial"/>
          <w:sz w:val="22"/>
          <w:szCs w:val="22"/>
          <w:lang w:val="es-ES"/>
        </w:rPr>
        <w:t xml:space="preserve"> para todas las adquisiciones realizadas por el OE</w:t>
      </w:r>
      <w:r w:rsidRPr="00E94D4F">
        <w:rPr>
          <w:rFonts w:ascii="Arial" w:hAnsi="Arial" w:cs="Arial"/>
          <w:sz w:val="22"/>
          <w:szCs w:val="22"/>
          <w:lang w:val="es-ES"/>
        </w:rPr>
        <w:t>.</w:t>
      </w:r>
      <w:r w:rsidR="003C56AC" w:rsidRPr="00E94D4F">
        <w:rPr>
          <w:rFonts w:ascii="Arial" w:hAnsi="Arial" w:cs="Arial"/>
          <w:sz w:val="22"/>
          <w:szCs w:val="22"/>
          <w:lang w:val="es-ES"/>
        </w:rPr>
        <w:t xml:space="preserve"> </w:t>
      </w:r>
      <w:r w:rsidR="00F237FB" w:rsidRPr="00E94D4F">
        <w:rPr>
          <w:rFonts w:ascii="Arial" w:hAnsi="Arial" w:cs="Arial"/>
          <w:sz w:val="22"/>
          <w:szCs w:val="22"/>
          <w:lang w:val="es-ES"/>
        </w:rPr>
        <w:t>Para l</w:t>
      </w:r>
      <w:r w:rsidR="003C56AC" w:rsidRPr="00E94D4F">
        <w:rPr>
          <w:rFonts w:ascii="Arial" w:hAnsi="Arial" w:cs="Arial"/>
          <w:sz w:val="22"/>
          <w:szCs w:val="22"/>
          <w:lang w:val="es-ES"/>
        </w:rPr>
        <w:t xml:space="preserve">a ejecución de las adquisiciones realizada en el marco de </w:t>
      </w:r>
      <w:r w:rsidR="007A2009" w:rsidRPr="00E94D4F">
        <w:rPr>
          <w:rFonts w:ascii="Arial" w:hAnsi="Arial" w:cs="Arial"/>
          <w:sz w:val="22"/>
          <w:szCs w:val="22"/>
          <w:lang w:val="es-ES"/>
        </w:rPr>
        <w:t xml:space="preserve">los </w:t>
      </w:r>
      <w:r w:rsidR="00D35AF3" w:rsidRPr="00D35AF3">
        <w:rPr>
          <w:rFonts w:ascii="Arial" w:hAnsi="Arial" w:cs="Arial"/>
          <w:sz w:val="22"/>
          <w:szCs w:val="22"/>
        </w:rPr>
        <w:t>Aportes No Reembolsables</w:t>
      </w:r>
      <w:r w:rsidR="00D35AF3" w:rsidRPr="00BA5B15">
        <w:rPr>
          <w:rFonts w:ascii="Arial" w:hAnsi="Arial" w:cs="Arial"/>
          <w:b/>
          <w:sz w:val="22"/>
          <w:szCs w:val="22"/>
        </w:rPr>
        <w:t xml:space="preserve"> </w:t>
      </w:r>
      <w:r w:rsidR="00D35AF3">
        <w:rPr>
          <w:rFonts w:ascii="Arial" w:hAnsi="Arial" w:cs="Arial"/>
          <w:sz w:val="22"/>
          <w:szCs w:val="22"/>
          <w:lang w:val="es-ES"/>
        </w:rPr>
        <w:t>(</w:t>
      </w:r>
      <w:r w:rsidR="007A2009" w:rsidRPr="00E94D4F">
        <w:rPr>
          <w:rFonts w:ascii="Arial" w:hAnsi="Arial" w:cs="Arial"/>
          <w:sz w:val="22"/>
          <w:szCs w:val="22"/>
          <w:lang w:val="es-ES"/>
        </w:rPr>
        <w:t>ANR</w:t>
      </w:r>
      <w:r w:rsidR="00D35AF3">
        <w:rPr>
          <w:rFonts w:ascii="Arial" w:hAnsi="Arial" w:cs="Arial"/>
          <w:sz w:val="22"/>
          <w:szCs w:val="22"/>
          <w:lang w:val="es-ES"/>
        </w:rPr>
        <w:t xml:space="preserve">), siendo las </w:t>
      </w:r>
      <w:r w:rsidR="007A2009" w:rsidRPr="00E94D4F">
        <w:rPr>
          <w:rFonts w:ascii="Arial" w:hAnsi="Arial" w:cs="Arial"/>
          <w:sz w:val="22"/>
          <w:szCs w:val="22"/>
          <w:lang w:val="es-ES"/>
        </w:rPr>
        <w:t xml:space="preserve">transferencias para </w:t>
      </w:r>
      <w:r w:rsidR="003C56AC" w:rsidRPr="00E94D4F">
        <w:rPr>
          <w:rFonts w:ascii="Arial" w:hAnsi="Arial" w:cs="Arial"/>
          <w:sz w:val="22"/>
          <w:szCs w:val="22"/>
          <w:lang w:val="es-ES"/>
        </w:rPr>
        <w:t>concurs</w:t>
      </w:r>
      <w:r w:rsidR="001156B6">
        <w:rPr>
          <w:rFonts w:ascii="Arial" w:hAnsi="Arial" w:cs="Arial"/>
          <w:sz w:val="22"/>
          <w:szCs w:val="22"/>
          <w:lang w:val="es-ES"/>
        </w:rPr>
        <w:t>os</w:t>
      </w:r>
      <w:r w:rsidR="003C56AC" w:rsidRPr="00E94D4F">
        <w:rPr>
          <w:rFonts w:ascii="Arial" w:hAnsi="Arial" w:cs="Arial"/>
          <w:sz w:val="22"/>
          <w:szCs w:val="22"/>
          <w:lang w:val="es-ES"/>
        </w:rPr>
        <w:t xml:space="preserve"> del Subcomponente 1</w:t>
      </w:r>
      <w:r w:rsidR="001156B6">
        <w:rPr>
          <w:rFonts w:ascii="Arial" w:hAnsi="Arial" w:cs="Arial"/>
          <w:sz w:val="22"/>
          <w:szCs w:val="22"/>
          <w:lang w:val="es-ES"/>
        </w:rPr>
        <w:t>.1</w:t>
      </w:r>
      <w:r w:rsidR="003C56AC" w:rsidRPr="00E94D4F">
        <w:rPr>
          <w:rFonts w:ascii="Arial" w:hAnsi="Arial" w:cs="Arial"/>
          <w:sz w:val="22"/>
          <w:szCs w:val="22"/>
          <w:lang w:val="es-ES"/>
        </w:rPr>
        <w:t xml:space="preserve"> y todas las del Componente 2, </w:t>
      </w:r>
      <w:r w:rsidR="00CF76F5" w:rsidRPr="00E94D4F">
        <w:rPr>
          <w:rFonts w:ascii="Arial" w:hAnsi="Arial" w:cs="Arial"/>
          <w:sz w:val="22"/>
          <w:szCs w:val="22"/>
          <w:lang w:val="es-ES"/>
        </w:rPr>
        <w:t xml:space="preserve">corresponderá la aplicación de las </w:t>
      </w:r>
      <w:r w:rsidR="00CA4D3E" w:rsidRPr="00E94D4F">
        <w:rPr>
          <w:rFonts w:ascii="Arial" w:hAnsi="Arial" w:cs="Arial"/>
          <w:sz w:val="22"/>
          <w:szCs w:val="22"/>
          <w:lang w:val="es-ES"/>
        </w:rPr>
        <w:t>prácticas comerciales usuales, bajo la supervisión de</w:t>
      </w:r>
      <w:r w:rsidR="00252587" w:rsidRPr="00E94D4F">
        <w:rPr>
          <w:rFonts w:ascii="Arial" w:hAnsi="Arial" w:cs="Arial"/>
          <w:sz w:val="22"/>
          <w:szCs w:val="22"/>
          <w:lang w:val="es-ES"/>
        </w:rPr>
        <w:t xml:space="preserve"> </w:t>
      </w:r>
      <w:r w:rsidR="00CA4D3E" w:rsidRPr="00E94D4F">
        <w:rPr>
          <w:rFonts w:ascii="Arial" w:hAnsi="Arial" w:cs="Arial"/>
          <w:sz w:val="22"/>
          <w:szCs w:val="22"/>
          <w:lang w:val="es-ES"/>
        </w:rPr>
        <w:t>l</w:t>
      </w:r>
      <w:r w:rsidR="00252587" w:rsidRPr="00E94D4F">
        <w:rPr>
          <w:rFonts w:ascii="Arial" w:hAnsi="Arial" w:cs="Arial"/>
          <w:sz w:val="22"/>
          <w:szCs w:val="22"/>
          <w:lang w:val="es-ES"/>
        </w:rPr>
        <w:t xml:space="preserve">a </w:t>
      </w:r>
      <w:r w:rsidR="00685832" w:rsidRPr="00E94D4F">
        <w:rPr>
          <w:rFonts w:ascii="Arial" w:hAnsi="Arial" w:cs="Arial"/>
          <w:sz w:val="22"/>
          <w:szCs w:val="22"/>
        </w:rPr>
        <w:t>UCP</w:t>
      </w:r>
      <w:r w:rsidR="00CA4D3E" w:rsidRPr="00E94D4F">
        <w:rPr>
          <w:rFonts w:ascii="Arial" w:hAnsi="Arial" w:cs="Arial"/>
          <w:sz w:val="22"/>
          <w:szCs w:val="22"/>
          <w:lang w:val="es-ES"/>
        </w:rPr>
        <w:t>.</w:t>
      </w:r>
      <w:r w:rsidR="00463DD7" w:rsidRPr="00E94D4F">
        <w:rPr>
          <w:rFonts w:ascii="Arial" w:hAnsi="Arial" w:cs="Arial"/>
          <w:sz w:val="22"/>
          <w:szCs w:val="22"/>
          <w:lang w:val="es-ES"/>
        </w:rPr>
        <w:t xml:space="preserve"> </w:t>
      </w:r>
      <w:r w:rsidR="00E60CE0" w:rsidRPr="00E94D4F">
        <w:rPr>
          <w:rFonts w:ascii="Arial" w:hAnsi="Arial" w:cs="Arial"/>
          <w:sz w:val="22"/>
          <w:szCs w:val="22"/>
          <w:lang w:val="es-ES"/>
        </w:rPr>
        <w:t>Los criterios de selección de los concurs</w:t>
      </w:r>
      <w:r w:rsidR="001156B6">
        <w:rPr>
          <w:rFonts w:ascii="Arial" w:hAnsi="Arial" w:cs="Arial"/>
          <w:sz w:val="22"/>
          <w:szCs w:val="22"/>
          <w:lang w:val="es-ES"/>
        </w:rPr>
        <w:t xml:space="preserve">os y </w:t>
      </w:r>
      <w:r w:rsidR="00E60CE0" w:rsidRPr="00E94D4F">
        <w:rPr>
          <w:rFonts w:ascii="Arial" w:hAnsi="Arial" w:cs="Arial"/>
          <w:sz w:val="22"/>
          <w:szCs w:val="22"/>
          <w:lang w:val="es-ES"/>
        </w:rPr>
        <w:t xml:space="preserve">para el otorgamiento de los </w:t>
      </w:r>
      <w:proofErr w:type="spellStart"/>
      <w:r w:rsidR="00E60CE0" w:rsidRPr="00E94D4F">
        <w:rPr>
          <w:rFonts w:ascii="Arial" w:hAnsi="Arial" w:cs="Arial"/>
          <w:sz w:val="22"/>
          <w:szCs w:val="22"/>
          <w:lang w:val="es-ES"/>
        </w:rPr>
        <w:t>subpr</w:t>
      </w:r>
      <w:r w:rsidR="005D34C0" w:rsidRPr="00E94D4F">
        <w:rPr>
          <w:rFonts w:ascii="Arial" w:hAnsi="Arial" w:cs="Arial"/>
          <w:sz w:val="22"/>
          <w:szCs w:val="22"/>
          <w:lang w:val="es-ES"/>
        </w:rPr>
        <w:t>éstamos</w:t>
      </w:r>
      <w:proofErr w:type="spellEnd"/>
      <w:r w:rsidR="005D34C0" w:rsidRPr="00E94D4F">
        <w:rPr>
          <w:rFonts w:ascii="Arial" w:hAnsi="Arial" w:cs="Arial"/>
          <w:sz w:val="22"/>
          <w:szCs w:val="22"/>
          <w:lang w:val="es-ES"/>
        </w:rPr>
        <w:t xml:space="preserve"> del Componente 2</w:t>
      </w:r>
      <w:r w:rsidR="00E60CE0" w:rsidRPr="00E94D4F">
        <w:rPr>
          <w:rFonts w:ascii="Arial" w:hAnsi="Arial" w:cs="Arial"/>
          <w:sz w:val="22"/>
          <w:szCs w:val="22"/>
          <w:lang w:val="es-ES"/>
        </w:rPr>
        <w:t xml:space="preserve"> serán establecidos en el Reglamento </w:t>
      </w:r>
      <w:r w:rsidR="001156B6">
        <w:rPr>
          <w:rFonts w:ascii="Arial" w:hAnsi="Arial" w:cs="Arial"/>
          <w:sz w:val="22"/>
          <w:szCs w:val="22"/>
          <w:lang w:val="es-ES"/>
        </w:rPr>
        <w:t xml:space="preserve">Operativo </w:t>
      </w:r>
      <w:r w:rsidR="00E60CE0" w:rsidRPr="00E94D4F">
        <w:rPr>
          <w:rFonts w:ascii="Arial" w:hAnsi="Arial" w:cs="Arial"/>
          <w:sz w:val="22"/>
          <w:szCs w:val="22"/>
          <w:lang w:val="es-ES"/>
        </w:rPr>
        <w:t xml:space="preserve">del </w:t>
      </w:r>
      <w:r w:rsidR="00537F8A">
        <w:rPr>
          <w:rFonts w:ascii="Arial" w:hAnsi="Arial" w:cs="Arial"/>
          <w:sz w:val="22"/>
          <w:szCs w:val="22"/>
          <w:lang w:val="es-ES"/>
        </w:rPr>
        <w:t>P</w:t>
      </w:r>
      <w:r w:rsidR="00E60CE0" w:rsidRPr="00E94D4F">
        <w:rPr>
          <w:rFonts w:ascii="Arial" w:hAnsi="Arial" w:cs="Arial"/>
          <w:sz w:val="22"/>
          <w:szCs w:val="22"/>
          <w:lang w:val="es-ES"/>
        </w:rPr>
        <w:t>rograma</w:t>
      </w:r>
      <w:r w:rsidR="00D35AF3">
        <w:rPr>
          <w:rFonts w:ascii="Arial" w:hAnsi="Arial" w:cs="Arial"/>
          <w:sz w:val="22"/>
          <w:szCs w:val="22"/>
          <w:lang w:val="es-ES"/>
        </w:rPr>
        <w:t xml:space="preserve"> (</w:t>
      </w:r>
      <w:r w:rsidR="00D35AF3" w:rsidRPr="00E94D4F">
        <w:rPr>
          <w:rFonts w:ascii="Arial" w:hAnsi="Arial" w:cs="Arial"/>
          <w:sz w:val="22"/>
          <w:szCs w:val="22"/>
        </w:rPr>
        <w:t>ROP</w:t>
      </w:r>
      <w:r w:rsidR="00D35AF3">
        <w:rPr>
          <w:rFonts w:ascii="Arial" w:hAnsi="Arial" w:cs="Arial"/>
          <w:sz w:val="22"/>
          <w:szCs w:val="22"/>
        </w:rPr>
        <w:t>)</w:t>
      </w:r>
      <w:r w:rsidR="0042049B" w:rsidRPr="00E94D4F">
        <w:rPr>
          <w:rFonts w:ascii="Arial" w:hAnsi="Arial" w:cs="Arial"/>
          <w:sz w:val="22"/>
          <w:szCs w:val="22"/>
          <w:lang w:val="es-ES"/>
        </w:rPr>
        <w:t>.</w:t>
      </w:r>
    </w:p>
    <w:p w:rsidR="0042049B" w:rsidRPr="00E94D4F" w:rsidRDefault="0042049B" w:rsidP="004A36BB">
      <w:pPr>
        <w:numPr>
          <w:ilvl w:val="0"/>
          <w:numId w:val="24"/>
        </w:numPr>
        <w:autoSpaceDE w:val="0"/>
        <w:autoSpaceDN w:val="0"/>
        <w:adjustRightInd w:val="0"/>
        <w:spacing w:after="240"/>
        <w:ind w:left="1170" w:hanging="450"/>
        <w:jc w:val="both"/>
        <w:rPr>
          <w:rFonts w:ascii="Arial" w:hAnsi="Arial" w:cs="Arial"/>
          <w:sz w:val="22"/>
          <w:szCs w:val="22"/>
        </w:rPr>
      </w:pPr>
      <w:r w:rsidRPr="00E94D4F">
        <w:rPr>
          <w:rFonts w:ascii="Arial" w:hAnsi="Arial" w:cs="Arial"/>
          <w:b/>
          <w:sz w:val="22"/>
          <w:szCs w:val="22"/>
        </w:rPr>
        <w:t xml:space="preserve">Gestión de </w:t>
      </w:r>
      <w:r w:rsidR="001438A4">
        <w:rPr>
          <w:rFonts w:ascii="Arial" w:hAnsi="Arial" w:cs="Arial"/>
          <w:b/>
          <w:sz w:val="22"/>
          <w:szCs w:val="22"/>
        </w:rPr>
        <w:t>D</w:t>
      </w:r>
      <w:r w:rsidRPr="00E94D4F">
        <w:rPr>
          <w:rFonts w:ascii="Arial" w:hAnsi="Arial" w:cs="Arial"/>
          <w:b/>
          <w:sz w:val="22"/>
          <w:szCs w:val="22"/>
        </w:rPr>
        <w:t>esembolsos.</w:t>
      </w:r>
      <w:r w:rsidRPr="00E94D4F">
        <w:rPr>
          <w:rFonts w:ascii="Arial" w:hAnsi="Arial" w:cs="Arial"/>
          <w:sz w:val="22"/>
          <w:szCs w:val="22"/>
        </w:rPr>
        <w:t xml:space="preserve"> El ejecutor deberá presentar la planificación financiera del programa de acuerdo con los lineamientos acordados entre el Banco y el país. El porcentaje mínimo que se requerirá para la reposición de anticipo de fondos será del 80%.</w:t>
      </w:r>
    </w:p>
    <w:p w:rsidR="00F746A3" w:rsidRPr="00E94D4F" w:rsidRDefault="0042049B" w:rsidP="004A36BB">
      <w:pPr>
        <w:numPr>
          <w:ilvl w:val="0"/>
          <w:numId w:val="24"/>
        </w:numPr>
        <w:autoSpaceDE w:val="0"/>
        <w:autoSpaceDN w:val="0"/>
        <w:adjustRightInd w:val="0"/>
        <w:spacing w:after="240"/>
        <w:ind w:left="1170" w:hanging="450"/>
        <w:jc w:val="both"/>
        <w:rPr>
          <w:rFonts w:ascii="Arial" w:hAnsi="Arial" w:cs="Arial"/>
          <w:sz w:val="22"/>
          <w:szCs w:val="22"/>
        </w:rPr>
      </w:pPr>
      <w:r w:rsidRPr="00E94D4F">
        <w:rPr>
          <w:rFonts w:ascii="Arial" w:hAnsi="Arial" w:cs="Arial"/>
          <w:b/>
          <w:sz w:val="22"/>
          <w:szCs w:val="22"/>
        </w:rPr>
        <w:t xml:space="preserve">Tipo de Cambio. </w:t>
      </w:r>
      <w:r w:rsidRPr="00E94D4F">
        <w:rPr>
          <w:rFonts w:ascii="Arial" w:hAnsi="Arial" w:cs="Arial"/>
          <w:sz w:val="22"/>
          <w:szCs w:val="22"/>
        </w:rPr>
        <w:t>Para efectos de lo estipulado en el Artículo 4.10 de las Normas Generales, las Partes acuerdan que la tasa de cambio aplicable será la indicada en el inciso (b)</w:t>
      </w:r>
      <w:r w:rsidR="00E94D4F">
        <w:rPr>
          <w:rFonts w:ascii="Arial" w:hAnsi="Arial" w:cs="Arial"/>
          <w:sz w:val="22"/>
          <w:szCs w:val="22"/>
        </w:rPr>
        <w:t xml:space="preserve"> </w:t>
      </w:r>
      <w:r w:rsidRPr="00E94D4F">
        <w:rPr>
          <w:rFonts w:ascii="Arial" w:hAnsi="Arial" w:cs="Arial"/>
          <w:sz w:val="22"/>
          <w:szCs w:val="22"/>
        </w:rPr>
        <w:t xml:space="preserve">(i) de dicho Artículo. Para efectos de determinar la equivalencia de gastos incurridos en </w:t>
      </w:r>
      <w:r w:rsidR="001438A4">
        <w:rPr>
          <w:rFonts w:ascii="Arial" w:hAnsi="Arial" w:cs="Arial"/>
          <w:sz w:val="22"/>
          <w:szCs w:val="22"/>
        </w:rPr>
        <w:t>m</w:t>
      </w:r>
      <w:r w:rsidRPr="00E94D4F">
        <w:rPr>
          <w:rFonts w:ascii="Arial" w:hAnsi="Arial" w:cs="Arial"/>
          <w:sz w:val="22"/>
          <w:szCs w:val="22"/>
        </w:rPr>
        <w:t xml:space="preserve">oneda </w:t>
      </w:r>
      <w:r w:rsidR="001438A4">
        <w:rPr>
          <w:rFonts w:ascii="Arial" w:hAnsi="Arial" w:cs="Arial"/>
          <w:sz w:val="22"/>
          <w:szCs w:val="22"/>
        </w:rPr>
        <w:t>l</w:t>
      </w:r>
      <w:r w:rsidRPr="00E94D4F">
        <w:rPr>
          <w:rFonts w:ascii="Arial" w:hAnsi="Arial" w:cs="Arial"/>
          <w:sz w:val="22"/>
          <w:szCs w:val="22"/>
        </w:rPr>
        <w:t xml:space="preserve">ocal con cargo al </w:t>
      </w:r>
      <w:r w:rsidR="001438A4">
        <w:rPr>
          <w:rFonts w:ascii="Arial" w:hAnsi="Arial" w:cs="Arial"/>
          <w:sz w:val="22"/>
          <w:szCs w:val="22"/>
        </w:rPr>
        <w:t>a</w:t>
      </w:r>
      <w:r w:rsidRPr="00E94D4F">
        <w:rPr>
          <w:rFonts w:ascii="Arial" w:hAnsi="Arial" w:cs="Arial"/>
          <w:sz w:val="22"/>
          <w:szCs w:val="22"/>
        </w:rPr>
        <w:t xml:space="preserve">porte </w:t>
      </w:r>
      <w:r w:rsidR="001438A4">
        <w:rPr>
          <w:rFonts w:ascii="Arial" w:hAnsi="Arial" w:cs="Arial"/>
          <w:sz w:val="22"/>
          <w:szCs w:val="22"/>
        </w:rPr>
        <w:t>l</w:t>
      </w:r>
      <w:r w:rsidRPr="00E94D4F">
        <w:rPr>
          <w:rFonts w:ascii="Arial" w:hAnsi="Arial" w:cs="Arial"/>
          <w:sz w:val="22"/>
          <w:szCs w:val="22"/>
        </w:rPr>
        <w:t xml:space="preserve">ocal, </w:t>
      </w:r>
      <w:r w:rsidRPr="00E94D4F">
        <w:rPr>
          <w:rFonts w:ascii="Arial" w:hAnsi="Arial" w:cs="Arial"/>
          <w:sz w:val="22"/>
          <w:szCs w:val="22"/>
        </w:rPr>
        <w:lastRenderedPageBreak/>
        <w:t>la tasa de cambio acordada será la tasa de cambio del primer día hábil del mes del p</w:t>
      </w:r>
      <w:r w:rsidR="00C44A0C">
        <w:rPr>
          <w:rFonts w:ascii="Arial" w:hAnsi="Arial" w:cs="Arial"/>
          <w:sz w:val="22"/>
          <w:szCs w:val="22"/>
        </w:rPr>
        <w:t xml:space="preserve">ago en que el </w:t>
      </w:r>
      <w:r w:rsidR="001438A4">
        <w:rPr>
          <w:rFonts w:ascii="Arial" w:hAnsi="Arial" w:cs="Arial"/>
          <w:sz w:val="22"/>
          <w:szCs w:val="22"/>
        </w:rPr>
        <w:t>p</w:t>
      </w:r>
      <w:r w:rsidR="00C44A0C">
        <w:rPr>
          <w:rFonts w:ascii="Arial" w:hAnsi="Arial" w:cs="Arial"/>
          <w:sz w:val="22"/>
          <w:szCs w:val="22"/>
        </w:rPr>
        <w:t>restatario, el O</w:t>
      </w:r>
      <w:r w:rsidRPr="00E94D4F">
        <w:rPr>
          <w:rFonts w:ascii="Arial" w:hAnsi="Arial" w:cs="Arial"/>
          <w:sz w:val="22"/>
          <w:szCs w:val="22"/>
        </w:rPr>
        <w:t xml:space="preserve">E o cualquier otra persona natural o jurídica a quien se le haya delegado la facultad de efectuar gastos, efectúe los pagos respectivos en favor del contratista, proveedor o beneficiario. Para efectos de determinar la equivalencia del reembolso de gastos con cargo al </w:t>
      </w:r>
      <w:r w:rsidR="001438A4">
        <w:rPr>
          <w:rFonts w:ascii="Arial" w:hAnsi="Arial" w:cs="Arial"/>
          <w:sz w:val="22"/>
          <w:szCs w:val="22"/>
        </w:rPr>
        <w:t>p</w:t>
      </w:r>
      <w:r w:rsidRPr="00E94D4F">
        <w:rPr>
          <w:rFonts w:ascii="Arial" w:hAnsi="Arial" w:cs="Arial"/>
          <w:sz w:val="22"/>
          <w:szCs w:val="22"/>
        </w:rPr>
        <w:t>réstamo, la tasa de cambio acordada será la tasa de cambio del primer día hábil del mes de la presentación de la solicitud de reembolso.</w:t>
      </w:r>
      <w:r w:rsidRPr="00E94D4F">
        <w:rPr>
          <w:rFonts w:ascii="Arial" w:hAnsi="Arial" w:cs="Arial"/>
          <w:b/>
          <w:bCs/>
          <w:sz w:val="22"/>
          <w:szCs w:val="22"/>
        </w:rPr>
        <w:t xml:space="preserve"> </w:t>
      </w:r>
      <w:r w:rsidRPr="00E94D4F">
        <w:rPr>
          <w:rFonts w:ascii="Arial" w:hAnsi="Arial" w:cs="Arial"/>
          <w:sz w:val="22"/>
          <w:szCs w:val="22"/>
        </w:rPr>
        <w:t xml:space="preserve">Adicionalmente, debido a las limitaciones del sistema UEPEX, para determinar la equivalencia de gastos incurridos en Moneda Local con cargo a los recursos del </w:t>
      </w:r>
      <w:r w:rsidR="001438A4">
        <w:rPr>
          <w:rFonts w:ascii="Arial" w:hAnsi="Arial" w:cs="Arial"/>
          <w:sz w:val="22"/>
          <w:szCs w:val="22"/>
        </w:rPr>
        <w:t>p</w:t>
      </w:r>
      <w:r w:rsidRPr="00E94D4F">
        <w:rPr>
          <w:rFonts w:ascii="Arial" w:hAnsi="Arial" w:cs="Arial"/>
          <w:sz w:val="22"/>
          <w:szCs w:val="22"/>
        </w:rPr>
        <w:t xml:space="preserve">réstamo y del Aporte Local se utilizará la tasa de cambio </w:t>
      </w:r>
      <w:r w:rsidR="00DC6CF8">
        <w:rPr>
          <w:rFonts w:ascii="Arial" w:hAnsi="Arial" w:cs="Arial"/>
          <w:sz w:val="22"/>
          <w:szCs w:val="22"/>
        </w:rPr>
        <w:t>indicada en el inciso (b) (i) </w:t>
      </w:r>
      <w:r w:rsidRPr="00E94D4F">
        <w:rPr>
          <w:rFonts w:ascii="Arial" w:hAnsi="Arial" w:cs="Arial"/>
          <w:sz w:val="22"/>
          <w:szCs w:val="22"/>
        </w:rPr>
        <w:t>del Artículo 4.10 de las Normas Generales.</w:t>
      </w:r>
    </w:p>
    <w:p w:rsidR="004F0D96" w:rsidRPr="00E94D4F" w:rsidRDefault="004F0D96" w:rsidP="00DC6CF8">
      <w:pPr>
        <w:numPr>
          <w:ilvl w:val="0"/>
          <w:numId w:val="24"/>
        </w:numPr>
        <w:tabs>
          <w:tab w:val="left" w:pos="1170"/>
        </w:tabs>
        <w:autoSpaceDE w:val="0"/>
        <w:autoSpaceDN w:val="0"/>
        <w:adjustRightInd w:val="0"/>
        <w:spacing w:after="120"/>
        <w:ind w:firstLine="0"/>
        <w:jc w:val="both"/>
        <w:rPr>
          <w:rFonts w:ascii="Arial" w:hAnsi="Arial" w:cs="Arial"/>
          <w:b/>
          <w:sz w:val="22"/>
          <w:szCs w:val="22"/>
        </w:rPr>
      </w:pPr>
      <w:r w:rsidRPr="00E94D4F">
        <w:rPr>
          <w:rFonts w:ascii="Arial" w:hAnsi="Arial" w:cs="Arial"/>
          <w:b/>
          <w:sz w:val="22"/>
          <w:szCs w:val="22"/>
        </w:rPr>
        <w:t>Supervisión Financiera</w:t>
      </w:r>
      <w:r w:rsidR="007D444B" w:rsidRPr="00E94D4F">
        <w:rPr>
          <w:rFonts w:ascii="Arial" w:hAnsi="Arial" w:cs="Arial"/>
          <w:b/>
          <w:sz w:val="22"/>
          <w:szCs w:val="22"/>
          <w:lang w:val="en-US"/>
        </w:rPr>
        <w:t>:</w:t>
      </w:r>
    </w:p>
    <w:p w:rsidR="004F0D96" w:rsidRPr="00C44A0C" w:rsidRDefault="004F0D96" w:rsidP="006B430F">
      <w:pPr>
        <w:numPr>
          <w:ilvl w:val="1"/>
          <w:numId w:val="24"/>
        </w:numPr>
        <w:autoSpaceDE w:val="0"/>
        <w:autoSpaceDN w:val="0"/>
        <w:adjustRightInd w:val="0"/>
        <w:spacing w:before="100" w:beforeAutospacing="1" w:after="100" w:afterAutospacing="1"/>
        <w:ind w:hanging="180"/>
        <w:jc w:val="both"/>
        <w:rPr>
          <w:rFonts w:ascii="Arial" w:hAnsi="Arial" w:cs="Arial"/>
          <w:sz w:val="22"/>
          <w:szCs w:val="22"/>
        </w:rPr>
      </w:pPr>
      <w:r w:rsidRPr="00E94D4F">
        <w:rPr>
          <w:rFonts w:ascii="Arial" w:hAnsi="Arial" w:cs="Arial"/>
          <w:sz w:val="22"/>
          <w:szCs w:val="22"/>
        </w:rPr>
        <w:t xml:space="preserve">A fin de tener flexibilidad y poder ajustar la cartera de préstamos a la </w:t>
      </w:r>
      <w:r w:rsidRPr="00C44A0C">
        <w:rPr>
          <w:rFonts w:ascii="Arial" w:hAnsi="Arial" w:cs="Arial"/>
          <w:sz w:val="22"/>
          <w:szCs w:val="22"/>
        </w:rPr>
        <w:t>capacidad de auditoria oportuna de la Auditor</w:t>
      </w:r>
      <w:r w:rsidR="001438A4">
        <w:rPr>
          <w:rFonts w:ascii="Arial" w:hAnsi="Arial" w:cs="Arial"/>
          <w:sz w:val="22"/>
          <w:szCs w:val="22"/>
        </w:rPr>
        <w:t>í</w:t>
      </w:r>
      <w:r w:rsidRPr="00C44A0C">
        <w:rPr>
          <w:rFonts w:ascii="Arial" w:hAnsi="Arial" w:cs="Arial"/>
          <w:sz w:val="22"/>
          <w:szCs w:val="22"/>
        </w:rPr>
        <w:t>a General de la Nación Argentina (AGN) se recomienda que tanto la AGN como firmas auditoras independientes sean elegibles contractualmente para realizar las auditorías del programa.</w:t>
      </w:r>
    </w:p>
    <w:p w:rsidR="004F0D96" w:rsidRPr="00E94D4F" w:rsidRDefault="004F0D96" w:rsidP="006B430F">
      <w:pPr>
        <w:numPr>
          <w:ilvl w:val="1"/>
          <w:numId w:val="24"/>
        </w:numPr>
        <w:autoSpaceDE w:val="0"/>
        <w:autoSpaceDN w:val="0"/>
        <w:adjustRightInd w:val="0"/>
        <w:spacing w:before="100" w:beforeAutospacing="1" w:after="100" w:afterAutospacing="1"/>
        <w:ind w:hanging="180"/>
        <w:jc w:val="both"/>
        <w:rPr>
          <w:rFonts w:ascii="Arial" w:hAnsi="Arial" w:cs="Arial"/>
          <w:sz w:val="22"/>
          <w:szCs w:val="22"/>
        </w:rPr>
      </w:pPr>
      <w:r w:rsidRPr="00C44A0C">
        <w:rPr>
          <w:rFonts w:ascii="Arial" w:hAnsi="Arial" w:cs="Arial"/>
          <w:sz w:val="22"/>
          <w:szCs w:val="22"/>
        </w:rPr>
        <w:t>El informe que se requerirá</w:t>
      </w:r>
      <w:r w:rsidRPr="00E94D4F">
        <w:rPr>
          <w:rFonts w:ascii="Arial" w:hAnsi="Arial" w:cs="Arial"/>
          <w:sz w:val="22"/>
          <w:szCs w:val="22"/>
        </w:rPr>
        <w:t xml:space="preserve"> para realizar la supervisión financiera adicional a los requeridos para tramitar desembolsos y el de auditoría anual, será el plan financiero</w:t>
      </w:r>
      <w:r w:rsidRPr="001438A4">
        <w:rPr>
          <w:rFonts w:ascii="Arial" w:hAnsi="Arial" w:cs="Arial"/>
          <w:smallCaps/>
          <w:sz w:val="22"/>
          <w:szCs w:val="22"/>
        </w:rPr>
        <w:t>.</w:t>
      </w:r>
    </w:p>
    <w:p w:rsidR="00DD2CB1" w:rsidRPr="00E94D4F" w:rsidRDefault="00DD2CB1" w:rsidP="004B78E1">
      <w:pPr>
        <w:numPr>
          <w:ilvl w:val="0"/>
          <w:numId w:val="11"/>
        </w:numPr>
        <w:autoSpaceDE w:val="0"/>
        <w:autoSpaceDN w:val="0"/>
        <w:adjustRightInd w:val="0"/>
        <w:spacing w:before="240" w:after="240"/>
        <w:ind w:left="360"/>
        <w:jc w:val="center"/>
        <w:rPr>
          <w:rFonts w:ascii="Arial" w:hAnsi="Arial" w:cs="Arial"/>
          <w:b/>
          <w:smallCaps/>
          <w:sz w:val="22"/>
          <w:szCs w:val="22"/>
        </w:rPr>
      </w:pPr>
      <w:r w:rsidRPr="00E94D4F">
        <w:rPr>
          <w:rFonts w:ascii="Arial" w:hAnsi="Arial" w:cs="Arial"/>
          <w:b/>
          <w:smallCaps/>
          <w:sz w:val="22"/>
          <w:szCs w:val="22"/>
        </w:rPr>
        <w:t>Acuerdos y Requisitos para la Ejecución de las Adquisiciones</w:t>
      </w:r>
    </w:p>
    <w:p w:rsidR="00DD2CB1" w:rsidRPr="00E94D4F" w:rsidRDefault="00DD2CB1" w:rsidP="00C41AB9">
      <w:pPr>
        <w:numPr>
          <w:ilvl w:val="0"/>
          <w:numId w:val="14"/>
        </w:numPr>
        <w:tabs>
          <w:tab w:val="left" w:pos="720"/>
          <w:tab w:val="left" w:pos="1170"/>
        </w:tabs>
        <w:autoSpaceDE w:val="0"/>
        <w:autoSpaceDN w:val="0"/>
        <w:adjustRightInd w:val="0"/>
        <w:spacing w:before="120" w:after="120"/>
        <w:ind w:hanging="720"/>
        <w:jc w:val="both"/>
        <w:rPr>
          <w:rFonts w:ascii="Arial" w:hAnsi="Arial" w:cs="Arial"/>
          <w:b/>
          <w:sz w:val="22"/>
          <w:szCs w:val="22"/>
        </w:rPr>
      </w:pPr>
      <w:bookmarkStart w:id="2" w:name="_Toc244412081"/>
      <w:r w:rsidRPr="00E94D4F">
        <w:rPr>
          <w:rFonts w:ascii="Arial" w:hAnsi="Arial" w:cs="Arial"/>
          <w:b/>
          <w:sz w:val="22"/>
          <w:szCs w:val="22"/>
        </w:rPr>
        <w:t>Ejecución de las Adquisiciones</w:t>
      </w:r>
      <w:bookmarkEnd w:id="2"/>
    </w:p>
    <w:p w:rsidR="00DD2CB1" w:rsidRPr="00E94D4F" w:rsidRDefault="00AD0FE5" w:rsidP="00C41AB9">
      <w:pPr>
        <w:numPr>
          <w:ilvl w:val="0"/>
          <w:numId w:val="38"/>
        </w:numPr>
        <w:tabs>
          <w:tab w:val="clear" w:pos="900"/>
          <w:tab w:val="num" w:pos="720"/>
        </w:tabs>
        <w:autoSpaceDE w:val="0"/>
        <w:autoSpaceDN w:val="0"/>
        <w:adjustRightInd w:val="0"/>
        <w:spacing w:before="120" w:after="120"/>
        <w:ind w:left="720" w:hanging="720"/>
        <w:jc w:val="both"/>
        <w:rPr>
          <w:rFonts w:ascii="Arial" w:hAnsi="Arial" w:cs="Arial"/>
          <w:sz w:val="22"/>
          <w:szCs w:val="22"/>
        </w:rPr>
      </w:pPr>
      <w:r w:rsidRPr="00E94D4F">
        <w:rPr>
          <w:rFonts w:ascii="Arial" w:hAnsi="Arial" w:cs="Arial"/>
          <w:sz w:val="22"/>
          <w:szCs w:val="22"/>
        </w:rPr>
        <w:t>Las adquisiciones de bienes, servicios diferentes a consultoría y servicios de consultoría</w:t>
      </w:r>
      <w:r w:rsidR="006433FE" w:rsidRPr="00E94D4F">
        <w:rPr>
          <w:rFonts w:ascii="Arial" w:hAnsi="Arial" w:cs="Arial"/>
          <w:sz w:val="22"/>
          <w:szCs w:val="22"/>
        </w:rPr>
        <w:t xml:space="preserve"> realizadas por </w:t>
      </w:r>
      <w:r w:rsidR="001429DC" w:rsidRPr="00E94D4F">
        <w:rPr>
          <w:rFonts w:ascii="Arial" w:hAnsi="Arial" w:cs="Arial"/>
          <w:sz w:val="22"/>
          <w:szCs w:val="22"/>
        </w:rPr>
        <w:t xml:space="preserve">la </w:t>
      </w:r>
      <w:r w:rsidR="00685832" w:rsidRPr="00E94D4F">
        <w:rPr>
          <w:rFonts w:ascii="Arial" w:hAnsi="Arial" w:cs="Arial"/>
          <w:sz w:val="22"/>
          <w:szCs w:val="22"/>
        </w:rPr>
        <w:t>UCP</w:t>
      </w:r>
      <w:r w:rsidR="006433FE" w:rsidRPr="00E94D4F">
        <w:rPr>
          <w:rFonts w:ascii="Arial" w:hAnsi="Arial" w:cs="Arial"/>
          <w:sz w:val="22"/>
          <w:szCs w:val="22"/>
        </w:rPr>
        <w:t>,</w:t>
      </w:r>
      <w:r w:rsidRPr="00E94D4F">
        <w:rPr>
          <w:rFonts w:ascii="Arial" w:hAnsi="Arial" w:cs="Arial"/>
          <w:sz w:val="22"/>
          <w:szCs w:val="22"/>
        </w:rPr>
        <w:t xml:space="preserve"> se realizarán de acuerdo </w:t>
      </w:r>
      <w:r w:rsidR="006433FE" w:rsidRPr="00E94D4F">
        <w:rPr>
          <w:rFonts w:ascii="Arial" w:hAnsi="Arial" w:cs="Arial"/>
          <w:sz w:val="22"/>
          <w:szCs w:val="22"/>
        </w:rPr>
        <w:t>con</w:t>
      </w:r>
      <w:r w:rsidR="001156B6">
        <w:rPr>
          <w:rFonts w:ascii="Arial" w:hAnsi="Arial" w:cs="Arial"/>
          <w:sz w:val="22"/>
          <w:szCs w:val="22"/>
        </w:rPr>
        <w:t xml:space="preserve"> las </w:t>
      </w:r>
      <w:r w:rsidR="006B430F">
        <w:rPr>
          <w:rFonts w:ascii="Arial" w:hAnsi="Arial" w:cs="Arial"/>
          <w:sz w:val="22"/>
          <w:szCs w:val="22"/>
        </w:rPr>
        <w:t>Políticas GN</w:t>
      </w:r>
      <w:r w:rsidR="006B430F">
        <w:rPr>
          <w:rFonts w:ascii="Arial" w:hAnsi="Arial" w:cs="Arial"/>
          <w:sz w:val="22"/>
          <w:szCs w:val="22"/>
        </w:rPr>
        <w:noBreakHyphen/>
      </w:r>
      <w:r w:rsidRPr="00E94D4F">
        <w:rPr>
          <w:rFonts w:ascii="Arial" w:hAnsi="Arial" w:cs="Arial"/>
          <w:sz w:val="22"/>
          <w:szCs w:val="22"/>
        </w:rPr>
        <w:t>2349-9</w:t>
      </w:r>
      <w:r w:rsidR="001156B6">
        <w:rPr>
          <w:rFonts w:ascii="Arial" w:hAnsi="Arial" w:cs="Arial"/>
          <w:sz w:val="22"/>
          <w:szCs w:val="22"/>
        </w:rPr>
        <w:t xml:space="preserve"> y </w:t>
      </w:r>
      <w:r w:rsidRPr="00E94D4F">
        <w:rPr>
          <w:rFonts w:ascii="Arial" w:hAnsi="Arial" w:cs="Arial"/>
          <w:sz w:val="22"/>
          <w:szCs w:val="22"/>
        </w:rPr>
        <w:t>GN</w:t>
      </w:r>
      <w:r w:rsidRPr="00E94D4F">
        <w:rPr>
          <w:rFonts w:ascii="Arial" w:hAnsi="Arial" w:cs="Arial"/>
          <w:sz w:val="22"/>
          <w:szCs w:val="22"/>
        </w:rPr>
        <w:noBreakHyphen/>
        <w:t>2350</w:t>
      </w:r>
      <w:r w:rsidRPr="00E94D4F">
        <w:rPr>
          <w:rFonts w:ascii="Arial" w:hAnsi="Arial" w:cs="Arial"/>
          <w:sz w:val="22"/>
          <w:szCs w:val="22"/>
        </w:rPr>
        <w:noBreakHyphen/>
        <w:t>9, respectivamente.</w:t>
      </w:r>
      <w:r w:rsidR="009D32B9" w:rsidRPr="00E94D4F">
        <w:rPr>
          <w:rFonts w:ascii="Arial" w:hAnsi="Arial" w:cs="Arial"/>
          <w:sz w:val="22"/>
          <w:szCs w:val="22"/>
        </w:rPr>
        <w:t xml:space="preserve"> </w:t>
      </w:r>
      <w:r w:rsidR="0047244E" w:rsidRPr="00E94D4F">
        <w:rPr>
          <w:rFonts w:ascii="Arial" w:hAnsi="Arial" w:cs="Arial"/>
          <w:sz w:val="22"/>
          <w:szCs w:val="22"/>
        </w:rPr>
        <w:t>Los procesos de selección y contratación serán supervisados en forma ex ante y ex post según se defina en el respectivo Plan de Adquisicio</w:t>
      </w:r>
      <w:r w:rsidR="00DB3505" w:rsidRPr="00E94D4F">
        <w:rPr>
          <w:rFonts w:ascii="Arial" w:hAnsi="Arial" w:cs="Arial"/>
          <w:sz w:val="22"/>
          <w:szCs w:val="22"/>
        </w:rPr>
        <w:t xml:space="preserve">nes (PA), el cual deberá ser manejado a través de SEPA y será </w:t>
      </w:r>
      <w:r w:rsidR="0047244E" w:rsidRPr="00E94D4F">
        <w:rPr>
          <w:rFonts w:ascii="Arial" w:hAnsi="Arial" w:cs="Arial"/>
          <w:sz w:val="22"/>
          <w:szCs w:val="22"/>
        </w:rPr>
        <w:t xml:space="preserve">revisado y ajustado por </w:t>
      </w:r>
      <w:r w:rsidR="00745446" w:rsidRPr="00E94D4F">
        <w:rPr>
          <w:rFonts w:ascii="Arial" w:hAnsi="Arial" w:cs="Arial"/>
          <w:sz w:val="22"/>
          <w:szCs w:val="22"/>
        </w:rPr>
        <w:t>el</w:t>
      </w:r>
      <w:r w:rsidR="0047244E" w:rsidRPr="00E94D4F">
        <w:rPr>
          <w:rFonts w:ascii="Arial" w:hAnsi="Arial" w:cs="Arial"/>
          <w:sz w:val="22"/>
          <w:szCs w:val="22"/>
        </w:rPr>
        <w:t xml:space="preserve"> </w:t>
      </w:r>
      <w:r w:rsidR="00745446" w:rsidRPr="00E94D4F">
        <w:rPr>
          <w:rFonts w:ascii="Arial" w:hAnsi="Arial" w:cs="Arial"/>
          <w:sz w:val="22"/>
          <w:szCs w:val="22"/>
        </w:rPr>
        <w:t>OE</w:t>
      </w:r>
      <w:r w:rsidR="0047244E" w:rsidRPr="00E94D4F">
        <w:rPr>
          <w:rFonts w:ascii="Arial" w:hAnsi="Arial" w:cs="Arial"/>
          <w:sz w:val="22"/>
          <w:szCs w:val="22"/>
        </w:rPr>
        <w:t xml:space="preserve">, </w:t>
      </w:r>
      <w:r w:rsidR="00745446" w:rsidRPr="00E94D4F">
        <w:rPr>
          <w:rFonts w:ascii="Arial" w:hAnsi="Arial" w:cs="Arial"/>
          <w:sz w:val="22"/>
          <w:szCs w:val="22"/>
        </w:rPr>
        <w:t>de acuerdo con las necesidades del proyecto. L</w:t>
      </w:r>
      <w:r w:rsidR="0047244E" w:rsidRPr="00E94D4F">
        <w:rPr>
          <w:rFonts w:ascii="Arial" w:hAnsi="Arial" w:cs="Arial"/>
          <w:sz w:val="22"/>
          <w:szCs w:val="22"/>
        </w:rPr>
        <w:t>as modificaciones del PA deberán contar con la respectiva no objeción del Banco, la cual se debe obtener antes de la realización de los procesos allí incluidos.</w:t>
      </w:r>
      <w:r w:rsidR="00D32E38" w:rsidRPr="00E94D4F">
        <w:rPr>
          <w:rFonts w:ascii="Arial" w:hAnsi="Arial" w:cs="Arial"/>
          <w:sz w:val="22"/>
          <w:szCs w:val="22"/>
        </w:rPr>
        <w:t xml:space="preserve"> La responsabilidad de aprobación </w:t>
      </w:r>
      <w:r w:rsidR="00D35AF3">
        <w:rPr>
          <w:rFonts w:ascii="Arial" w:hAnsi="Arial" w:cs="Arial"/>
          <w:sz w:val="22"/>
          <w:szCs w:val="22"/>
        </w:rPr>
        <w:t xml:space="preserve">y actualización </w:t>
      </w:r>
      <w:r w:rsidR="00D32E38" w:rsidRPr="00E94D4F">
        <w:rPr>
          <w:rFonts w:ascii="Arial" w:hAnsi="Arial" w:cs="Arial"/>
          <w:sz w:val="22"/>
          <w:szCs w:val="22"/>
        </w:rPr>
        <w:t xml:space="preserve">del </w:t>
      </w:r>
      <w:r w:rsidR="001156B6">
        <w:rPr>
          <w:rFonts w:ascii="Arial" w:hAnsi="Arial" w:cs="Arial"/>
          <w:sz w:val="22"/>
          <w:szCs w:val="22"/>
        </w:rPr>
        <w:t xml:space="preserve">PA </w:t>
      </w:r>
      <w:r w:rsidR="00D32E38" w:rsidRPr="00E94D4F">
        <w:rPr>
          <w:rFonts w:ascii="Arial" w:hAnsi="Arial" w:cs="Arial"/>
          <w:sz w:val="22"/>
          <w:szCs w:val="22"/>
        </w:rPr>
        <w:t>durante la ejecución es del JEP.</w:t>
      </w:r>
    </w:p>
    <w:p w:rsidR="00BC067B" w:rsidRPr="00E94D4F" w:rsidRDefault="00DD2CB1" w:rsidP="006B430F">
      <w:pPr>
        <w:numPr>
          <w:ilvl w:val="0"/>
          <w:numId w:val="8"/>
        </w:numPr>
        <w:tabs>
          <w:tab w:val="clear" w:pos="900"/>
          <w:tab w:val="num" w:pos="1260"/>
          <w:tab w:val="num" w:pos="1620"/>
        </w:tabs>
        <w:autoSpaceDE w:val="0"/>
        <w:autoSpaceDN w:val="0"/>
        <w:adjustRightInd w:val="0"/>
        <w:spacing w:before="120" w:after="120"/>
        <w:ind w:left="1170" w:hanging="450"/>
        <w:jc w:val="both"/>
        <w:outlineLvl w:val="2"/>
        <w:rPr>
          <w:rFonts w:ascii="Arial" w:hAnsi="Arial" w:cs="Arial"/>
          <w:i/>
          <w:sz w:val="22"/>
          <w:szCs w:val="22"/>
        </w:rPr>
      </w:pPr>
      <w:bookmarkStart w:id="3" w:name="_Toc244412082"/>
      <w:r w:rsidRPr="00BA5B15">
        <w:rPr>
          <w:rFonts w:ascii="Arial" w:hAnsi="Arial" w:cs="Arial"/>
          <w:b/>
          <w:sz w:val="22"/>
          <w:szCs w:val="22"/>
        </w:rPr>
        <w:t>Adquisiciones de Bienes y Servicios Diferentes de Consultoría</w:t>
      </w:r>
      <w:r w:rsidR="001438A4">
        <w:rPr>
          <w:rFonts w:ascii="Arial" w:hAnsi="Arial" w:cs="Arial"/>
          <w:b/>
          <w:sz w:val="22"/>
          <w:szCs w:val="22"/>
        </w:rPr>
        <w:t>.</w:t>
      </w:r>
      <w:r w:rsidRPr="00E94D4F">
        <w:rPr>
          <w:rFonts w:ascii="Arial" w:hAnsi="Arial" w:cs="Arial"/>
          <w:sz w:val="22"/>
          <w:szCs w:val="22"/>
        </w:rPr>
        <w:t xml:space="preserve"> </w:t>
      </w:r>
      <w:bookmarkStart w:id="4" w:name="_Toc244412095"/>
      <w:bookmarkEnd w:id="3"/>
      <w:r w:rsidR="00BC067B" w:rsidRPr="00E94D4F">
        <w:rPr>
          <w:rFonts w:ascii="Arial" w:hAnsi="Arial" w:cs="Arial"/>
          <w:sz w:val="22"/>
          <w:szCs w:val="22"/>
        </w:rPr>
        <w:t xml:space="preserve">Los contratos de </w:t>
      </w:r>
      <w:r w:rsidR="001438A4">
        <w:rPr>
          <w:rFonts w:ascii="Arial" w:hAnsi="Arial" w:cs="Arial"/>
          <w:sz w:val="22"/>
          <w:szCs w:val="22"/>
        </w:rPr>
        <w:t>b</w:t>
      </w:r>
      <w:r w:rsidR="00BC067B" w:rsidRPr="00E94D4F">
        <w:rPr>
          <w:rFonts w:ascii="Arial" w:hAnsi="Arial" w:cs="Arial"/>
          <w:sz w:val="22"/>
          <w:szCs w:val="22"/>
        </w:rPr>
        <w:t xml:space="preserve">ienes y </w:t>
      </w:r>
      <w:r w:rsidR="001438A4">
        <w:rPr>
          <w:rFonts w:ascii="Arial" w:hAnsi="Arial" w:cs="Arial"/>
          <w:sz w:val="22"/>
          <w:szCs w:val="22"/>
        </w:rPr>
        <w:t>s</w:t>
      </w:r>
      <w:r w:rsidR="00BC067B" w:rsidRPr="00E94D4F">
        <w:rPr>
          <w:rFonts w:ascii="Arial" w:hAnsi="Arial" w:cs="Arial"/>
          <w:sz w:val="22"/>
          <w:szCs w:val="22"/>
        </w:rPr>
        <w:t xml:space="preserve">ervicios </w:t>
      </w:r>
      <w:r w:rsidR="001438A4">
        <w:rPr>
          <w:rFonts w:ascii="Arial" w:hAnsi="Arial" w:cs="Arial"/>
          <w:sz w:val="22"/>
          <w:szCs w:val="22"/>
        </w:rPr>
        <w:t>d</w:t>
      </w:r>
      <w:r w:rsidR="00BC067B" w:rsidRPr="00E94D4F">
        <w:rPr>
          <w:rFonts w:ascii="Arial" w:hAnsi="Arial" w:cs="Arial"/>
          <w:sz w:val="22"/>
          <w:szCs w:val="22"/>
        </w:rPr>
        <w:t xml:space="preserve">iferentes de </w:t>
      </w:r>
      <w:r w:rsidR="001438A4">
        <w:rPr>
          <w:rFonts w:ascii="Arial" w:hAnsi="Arial" w:cs="Arial"/>
          <w:sz w:val="22"/>
          <w:szCs w:val="22"/>
        </w:rPr>
        <w:t>c</w:t>
      </w:r>
      <w:r w:rsidR="00BC067B" w:rsidRPr="00E94D4F">
        <w:rPr>
          <w:rFonts w:ascii="Arial" w:hAnsi="Arial" w:cs="Arial"/>
          <w:sz w:val="22"/>
          <w:szCs w:val="22"/>
        </w:rPr>
        <w:t>onsultoría</w:t>
      </w:r>
      <w:r w:rsidR="00BC067B" w:rsidRPr="00E94D4F">
        <w:rPr>
          <w:rFonts w:ascii="Arial" w:hAnsi="Arial" w:cs="Arial"/>
          <w:sz w:val="22"/>
          <w:szCs w:val="22"/>
          <w:vertAlign w:val="superscript"/>
        </w:rPr>
        <w:footnoteReference w:id="3"/>
      </w:r>
      <w:r w:rsidR="00BC067B" w:rsidRPr="00E94D4F">
        <w:rPr>
          <w:rFonts w:ascii="Arial" w:hAnsi="Arial" w:cs="Arial"/>
          <w:sz w:val="22"/>
          <w:szCs w:val="22"/>
        </w:rPr>
        <w:t xml:space="preserve"> generados bajo el proyecto y sujetos a Licitación Pública Internacional (LPI) se ejecutarán utilizando los Documentos Estándar de Licitaciones (</w:t>
      </w:r>
      <w:proofErr w:type="spellStart"/>
      <w:r w:rsidR="00BC067B" w:rsidRPr="00E94D4F">
        <w:rPr>
          <w:rFonts w:ascii="Arial" w:hAnsi="Arial" w:cs="Arial"/>
          <w:sz w:val="22"/>
          <w:szCs w:val="22"/>
        </w:rPr>
        <w:t>DELs</w:t>
      </w:r>
      <w:proofErr w:type="spellEnd"/>
      <w:r w:rsidR="00BC067B" w:rsidRPr="00E94D4F">
        <w:rPr>
          <w:rFonts w:ascii="Arial" w:hAnsi="Arial" w:cs="Arial"/>
          <w:sz w:val="22"/>
          <w:szCs w:val="22"/>
        </w:rPr>
        <w:t xml:space="preserve">) emitidos por el Banco. Las licitaciones sujetas a Licitación Pública Nacional (LPN) se ejecutarán usando Documentos de Licitación Nacional acordados con el Banco. La revisión de las especificaciones técnicas de las adquisiciones durante la preparación de procesos de </w:t>
      </w:r>
      <w:r w:rsidR="003F04B6" w:rsidRPr="00E94D4F">
        <w:rPr>
          <w:rFonts w:ascii="Arial" w:hAnsi="Arial" w:cs="Arial"/>
          <w:sz w:val="22"/>
          <w:szCs w:val="22"/>
        </w:rPr>
        <w:t>selección</w:t>
      </w:r>
      <w:r w:rsidR="00BC067B" w:rsidRPr="00E94D4F">
        <w:rPr>
          <w:rFonts w:ascii="Arial" w:hAnsi="Arial" w:cs="Arial"/>
          <w:sz w:val="22"/>
          <w:szCs w:val="22"/>
        </w:rPr>
        <w:t xml:space="preserve"> es responsabilidad del especialista sectorial del proyecto. No se contemplan contrataciones directas en estas categorías, pero las que se definan a lo largo del programa, serán identificadas previa y oportunamente en el PA, con su respectiva justificación, </w:t>
      </w:r>
      <w:r w:rsidR="00BC067B" w:rsidRPr="00E94D4F">
        <w:rPr>
          <w:rFonts w:ascii="Arial" w:hAnsi="Arial" w:cs="Arial"/>
          <w:sz w:val="22"/>
          <w:szCs w:val="22"/>
        </w:rPr>
        <w:lastRenderedPageBreak/>
        <w:t>así como también se deberán identificar los procesos de selección que requieran precalificación de oferentes.</w:t>
      </w:r>
    </w:p>
    <w:p w:rsidR="00C52AFA" w:rsidRPr="00E94D4F" w:rsidRDefault="00DD2CB1" w:rsidP="006B430F">
      <w:pPr>
        <w:numPr>
          <w:ilvl w:val="0"/>
          <w:numId w:val="8"/>
        </w:numPr>
        <w:tabs>
          <w:tab w:val="clear" w:pos="900"/>
          <w:tab w:val="num" w:pos="1260"/>
          <w:tab w:val="num" w:pos="1620"/>
        </w:tabs>
        <w:autoSpaceDE w:val="0"/>
        <w:autoSpaceDN w:val="0"/>
        <w:adjustRightInd w:val="0"/>
        <w:spacing w:before="120" w:after="120"/>
        <w:ind w:left="1170" w:hanging="450"/>
        <w:jc w:val="both"/>
        <w:outlineLvl w:val="2"/>
        <w:rPr>
          <w:rFonts w:ascii="Arial" w:hAnsi="Arial" w:cs="Arial"/>
          <w:sz w:val="22"/>
          <w:szCs w:val="22"/>
        </w:rPr>
      </w:pPr>
      <w:bookmarkStart w:id="5" w:name="_Toc244412085"/>
      <w:bookmarkEnd w:id="4"/>
      <w:r w:rsidRPr="00BA5B15">
        <w:rPr>
          <w:rFonts w:ascii="Arial" w:hAnsi="Arial" w:cs="Arial"/>
          <w:b/>
          <w:sz w:val="22"/>
          <w:szCs w:val="22"/>
        </w:rPr>
        <w:t xml:space="preserve">Selección y Contratación de </w:t>
      </w:r>
      <w:r w:rsidRPr="006B430F">
        <w:rPr>
          <w:rFonts w:ascii="Arial" w:hAnsi="Arial" w:cs="Arial"/>
          <w:b/>
          <w:sz w:val="22"/>
          <w:szCs w:val="22"/>
        </w:rPr>
        <w:t>Consultores</w:t>
      </w:r>
      <w:r w:rsidR="001438A4">
        <w:rPr>
          <w:rFonts w:ascii="Arial" w:hAnsi="Arial" w:cs="Arial"/>
          <w:b/>
          <w:sz w:val="22"/>
          <w:szCs w:val="22"/>
        </w:rPr>
        <w:t>.</w:t>
      </w:r>
      <w:r w:rsidRPr="00E94D4F">
        <w:rPr>
          <w:rFonts w:ascii="Arial" w:hAnsi="Arial" w:cs="Arial"/>
          <w:sz w:val="22"/>
          <w:szCs w:val="22"/>
        </w:rPr>
        <w:t xml:space="preserve"> </w:t>
      </w:r>
      <w:r w:rsidR="00C52AFA" w:rsidRPr="00E94D4F">
        <w:rPr>
          <w:rFonts w:ascii="Arial" w:hAnsi="Arial" w:cs="Arial"/>
          <w:sz w:val="22"/>
          <w:szCs w:val="22"/>
        </w:rPr>
        <w:t>Los contratos de Servicios de Consultoría generados bajo el proyecto se ejecutarán utilizando la Solicitud Estándar de Propuestas (</w:t>
      </w:r>
      <w:proofErr w:type="spellStart"/>
      <w:r w:rsidR="00C52AFA" w:rsidRPr="00E94D4F">
        <w:rPr>
          <w:rFonts w:ascii="Arial" w:hAnsi="Arial" w:cs="Arial"/>
          <w:sz w:val="22"/>
          <w:szCs w:val="22"/>
        </w:rPr>
        <w:t>SEPs</w:t>
      </w:r>
      <w:proofErr w:type="spellEnd"/>
      <w:r w:rsidR="00C52AFA" w:rsidRPr="00E94D4F">
        <w:rPr>
          <w:rFonts w:ascii="Arial" w:hAnsi="Arial" w:cs="Arial"/>
          <w:sz w:val="22"/>
          <w:szCs w:val="22"/>
        </w:rPr>
        <w:t xml:space="preserve">) emitida o acordada con el Banco. La revisión de términos de referencia para la contratación de servicios de consultoría es responsabilidad del especialista sectorial del proyecto. No se contemplan contrataciones directas en esta categoría, pero las que </w:t>
      </w:r>
      <w:r w:rsidR="00C52AFA" w:rsidRPr="001438A4">
        <w:rPr>
          <w:rFonts w:ascii="Arial" w:hAnsi="Arial" w:cs="Arial"/>
          <w:sz w:val="22"/>
          <w:szCs w:val="22"/>
        </w:rPr>
        <w:t>se definan</w:t>
      </w:r>
      <w:r w:rsidR="00C52AFA" w:rsidRPr="00E94D4F">
        <w:rPr>
          <w:rFonts w:ascii="Arial" w:hAnsi="Arial" w:cs="Arial"/>
          <w:sz w:val="22"/>
          <w:szCs w:val="22"/>
        </w:rPr>
        <w:t xml:space="preserve"> a lo largo del programa, serán identificadas previa y oportunamente en el PA, con su respectiva justificación.</w:t>
      </w:r>
    </w:p>
    <w:p w:rsidR="00024A23" w:rsidRPr="00E94D4F" w:rsidRDefault="006B430F" w:rsidP="006B430F">
      <w:pPr>
        <w:pStyle w:val="ListParagraph"/>
        <w:numPr>
          <w:ilvl w:val="1"/>
          <w:numId w:val="8"/>
        </w:numPr>
        <w:tabs>
          <w:tab w:val="clear" w:pos="1170"/>
        </w:tabs>
        <w:ind w:left="1620" w:hanging="450"/>
        <w:jc w:val="both"/>
        <w:rPr>
          <w:rFonts w:ascii="Arial" w:hAnsi="Arial" w:cs="Arial"/>
          <w:sz w:val="22"/>
          <w:szCs w:val="22"/>
        </w:rPr>
      </w:pPr>
      <w:r>
        <w:rPr>
          <w:rFonts w:ascii="Arial" w:hAnsi="Arial" w:cs="Arial"/>
          <w:b/>
          <w:sz w:val="22"/>
          <w:szCs w:val="22"/>
        </w:rPr>
        <w:t xml:space="preserve">Selección de </w:t>
      </w:r>
      <w:r w:rsidR="00DD2CB1" w:rsidRPr="00BA5B15">
        <w:rPr>
          <w:rFonts w:ascii="Arial" w:hAnsi="Arial" w:cs="Arial"/>
          <w:b/>
          <w:sz w:val="22"/>
          <w:szCs w:val="22"/>
        </w:rPr>
        <w:t xml:space="preserve">consultores </w:t>
      </w:r>
      <w:r w:rsidR="00DD2CB1" w:rsidRPr="006B430F">
        <w:rPr>
          <w:rFonts w:ascii="Arial" w:hAnsi="Arial" w:cs="Arial"/>
          <w:b/>
          <w:sz w:val="22"/>
          <w:szCs w:val="22"/>
        </w:rPr>
        <w:t>individuales</w:t>
      </w:r>
      <w:r w:rsidR="001438A4">
        <w:rPr>
          <w:rFonts w:ascii="Arial" w:hAnsi="Arial" w:cs="Arial"/>
          <w:b/>
          <w:sz w:val="22"/>
          <w:szCs w:val="22"/>
        </w:rPr>
        <w:t>.</w:t>
      </w:r>
      <w:r w:rsidR="00DD2CB1" w:rsidRPr="00E94D4F">
        <w:rPr>
          <w:rFonts w:ascii="Arial" w:hAnsi="Arial" w:cs="Arial"/>
          <w:i/>
          <w:sz w:val="22"/>
          <w:szCs w:val="22"/>
        </w:rPr>
        <w:t xml:space="preserve"> </w:t>
      </w:r>
      <w:bookmarkEnd w:id="5"/>
      <w:r w:rsidR="00024A23" w:rsidRPr="00E94D4F">
        <w:rPr>
          <w:rFonts w:ascii="Arial" w:hAnsi="Arial" w:cs="Arial"/>
          <w:sz w:val="22"/>
          <w:szCs w:val="22"/>
        </w:rPr>
        <w:t>En los casos identificados en el PA, la contratación de consultores individuales se regirá por lo establecido en el documento GN</w:t>
      </w:r>
      <w:r>
        <w:rPr>
          <w:rFonts w:ascii="Arial" w:hAnsi="Arial" w:cs="Arial"/>
          <w:sz w:val="22"/>
          <w:szCs w:val="22"/>
        </w:rPr>
        <w:noBreakHyphen/>
      </w:r>
      <w:r w:rsidR="00024A23" w:rsidRPr="00E94D4F">
        <w:rPr>
          <w:rFonts w:ascii="Arial" w:hAnsi="Arial" w:cs="Arial"/>
          <w:sz w:val="22"/>
          <w:szCs w:val="22"/>
        </w:rPr>
        <w:t xml:space="preserve">2350-9, Sección V, párrafos del 5.1 al 5.4. Para el funcionamiento de </w:t>
      </w:r>
      <w:r w:rsidR="00820C0D" w:rsidRPr="00E94D4F">
        <w:rPr>
          <w:rFonts w:ascii="Arial" w:hAnsi="Arial" w:cs="Arial"/>
          <w:sz w:val="22"/>
          <w:szCs w:val="22"/>
        </w:rPr>
        <w:t>la unidad ejecutora</w:t>
      </w:r>
      <w:r w:rsidR="00024A23" w:rsidRPr="00E94D4F">
        <w:rPr>
          <w:rFonts w:ascii="Arial" w:hAnsi="Arial" w:cs="Arial"/>
          <w:sz w:val="22"/>
          <w:szCs w:val="22"/>
        </w:rPr>
        <w:t>, se podrá contratar según el método de selección directa a consultores que en ese momento se encuentren desarrollando actividades en el marco de contratos financiados por otros programas que estas unidades estén ejecutando</w:t>
      </w:r>
      <w:r w:rsidR="00024A23" w:rsidRPr="00737D58">
        <w:rPr>
          <w:rStyle w:val="FootnoteReference"/>
          <w:rFonts w:ascii="Arial" w:hAnsi="Arial" w:cs="Arial"/>
          <w:sz w:val="22"/>
          <w:szCs w:val="22"/>
        </w:rPr>
        <w:footnoteReference w:id="4"/>
      </w:r>
      <w:r w:rsidR="00024A23" w:rsidRPr="00737D58">
        <w:rPr>
          <w:rFonts w:ascii="Arial" w:hAnsi="Arial" w:cs="Arial"/>
          <w:sz w:val="22"/>
          <w:szCs w:val="22"/>
        </w:rPr>
        <w:t>.</w:t>
      </w:r>
    </w:p>
    <w:p w:rsidR="00AA2A6D" w:rsidRPr="00E94D4F" w:rsidRDefault="00AA2A6D" w:rsidP="006B430F">
      <w:pPr>
        <w:numPr>
          <w:ilvl w:val="0"/>
          <w:numId w:val="8"/>
        </w:numPr>
        <w:tabs>
          <w:tab w:val="clear" w:pos="900"/>
          <w:tab w:val="num" w:pos="1260"/>
          <w:tab w:val="num" w:pos="1620"/>
        </w:tabs>
        <w:autoSpaceDE w:val="0"/>
        <w:autoSpaceDN w:val="0"/>
        <w:adjustRightInd w:val="0"/>
        <w:spacing w:before="120" w:after="120"/>
        <w:ind w:left="1170" w:hanging="450"/>
        <w:jc w:val="both"/>
        <w:outlineLvl w:val="2"/>
        <w:rPr>
          <w:rFonts w:ascii="Arial" w:hAnsi="Arial" w:cs="Arial"/>
          <w:sz w:val="22"/>
          <w:szCs w:val="22"/>
        </w:rPr>
      </w:pPr>
      <w:bookmarkStart w:id="6" w:name="_Toc244412086"/>
      <w:r w:rsidRPr="00BA5B15">
        <w:rPr>
          <w:rFonts w:ascii="Arial" w:hAnsi="Arial" w:cs="Arial"/>
          <w:b/>
          <w:sz w:val="22"/>
          <w:szCs w:val="22"/>
        </w:rPr>
        <w:t>A</w:t>
      </w:r>
      <w:r w:rsidR="00D35AF3">
        <w:rPr>
          <w:rFonts w:ascii="Arial" w:hAnsi="Arial" w:cs="Arial"/>
          <w:b/>
          <w:sz w:val="22"/>
          <w:szCs w:val="22"/>
        </w:rPr>
        <w:t>NR</w:t>
      </w:r>
      <w:r w:rsidR="001438A4">
        <w:rPr>
          <w:rFonts w:ascii="Arial" w:hAnsi="Arial" w:cs="Arial"/>
          <w:b/>
          <w:sz w:val="22"/>
          <w:szCs w:val="22"/>
        </w:rPr>
        <w:t>.</w:t>
      </w:r>
      <w:r w:rsidR="00C41AB9">
        <w:rPr>
          <w:rFonts w:ascii="Arial" w:hAnsi="Arial" w:cs="Arial"/>
          <w:sz w:val="22"/>
          <w:szCs w:val="22"/>
        </w:rPr>
        <w:t xml:space="preserve"> </w:t>
      </w:r>
      <w:r w:rsidRPr="00E94D4F">
        <w:rPr>
          <w:rFonts w:ascii="Arial" w:hAnsi="Arial" w:cs="Arial"/>
          <w:sz w:val="22"/>
          <w:szCs w:val="22"/>
        </w:rPr>
        <w:t xml:space="preserve">La entrega de los fondos en el marco de los </w:t>
      </w:r>
      <w:r w:rsidR="008D78FC" w:rsidRPr="00E94D4F">
        <w:rPr>
          <w:rFonts w:ascii="Arial" w:hAnsi="Arial" w:cs="Arial"/>
          <w:sz w:val="22"/>
          <w:szCs w:val="22"/>
        </w:rPr>
        <w:t>Subcomponente 1</w:t>
      </w:r>
      <w:r w:rsidR="00C65AE2">
        <w:rPr>
          <w:rFonts w:ascii="Arial" w:hAnsi="Arial" w:cs="Arial"/>
          <w:sz w:val="22"/>
          <w:szCs w:val="22"/>
        </w:rPr>
        <w:t>.1</w:t>
      </w:r>
      <w:r w:rsidR="008D78FC" w:rsidRPr="00E94D4F">
        <w:rPr>
          <w:rFonts w:ascii="Arial" w:hAnsi="Arial" w:cs="Arial"/>
          <w:sz w:val="22"/>
          <w:szCs w:val="22"/>
        </w:rPr>
        <w:t xml:space="preserve"> y Componente </w:t>
      </w:r>
      <w:r w:rsidR="00D35AF3">
        <w:rPr>
          <w:rFonts w:ascii="Arial" w:hAnsi="Arial" w:cs="Arial"/>
          <w:sz w:val="22"/>
          <w:szCs w:val="22"/>
        </w:rPr>
        <w:t>2</w:t>
      </w:r>
      <w:r w:rsidRPr="00E94D4F">
        <w:rPr>
          <w:rFonts w:ascii="Arial" w:hAnsi="Arial" w:cs="Arial"/>
          <w:sz w:val="22"/>
          <w:szCs w:val="22"/>
        </w:rPr>
        <w:t xml:space="preserve"> se hará por medio de </w:t>
      </w:r>
      <w:r w:rsidR="008D78FC" w:rsidRPr="00E94D4F">
        <w:rPr>
          <w:rFonts w:ascii="Arial" w:hAnsi="Arial" w:cs="Arial"/>
          <w:sz w:val="22"/>
          <w:szCs w:val="22"/>
        </w:rPr>
        <w:t>ANR</w:t>
      </w:r>
      <w:r w:rsidR="009557CA" w:rsidRPr="00E94D4F">
        <w:rPr>
          <w:rFonts w:ascii="Arial" w:hAnsi="Arial" w:cs="Arial"/>
          <w:sz w:val="22"/>
          <w:szCs w:val="22"/>
        </w:rPr>
        <w:t xml:space="preserve"> </w:t>
      </w:r>
      <w:r w:rsidR="00D35AF3">
        <w:rPr>
          <w:rFonts w:ascii="Arial" w:hAnsi="Arial" w:cs="Arial"/>
          <w:sz w:val="22"/>
          <w:szCs w:val="22"/>
        </w:rPr>
        <w:t xml:space="preserve">conforme al </w:t>
      </w:r>
      <w:r w:rsidRPr="00E94D4F">
        <w:rPr>
          <w:rFonts w:ascii="Arial" w:hAnsi="Arial" w:cs="Arial"/>
          <w:sz w:val="22"/>
          <w:szCs w:val="22"/>
        </w:rPr>
        <w:t>ROP</w:t>
      </w:r>
      <w:r w:rsidR="00D35AF3">
        <w:rPr>
          <w:rFonts w:ascii="Arial" w:hAnsi="Arial" w:cs="Arial"/>
          <w:sz w:val="22"/>
          <w:szCs w:val="22"/>
        </w:rPr>
        <w:t>. E</w:t>
      </w:r>
      <w:r w:rsidR="009557CA" w:rsidRPr="00E94D4F">
        <w:rPr>
          <w:rFonts w:ascii="Arial" w:hAnsi="Arial" w:cs="Arial"/>
          <w:sz w:val="22"/>
          <w:szCs w:val="22"/>
        </w:rPr>
        <w:t>l OE firmará un convenio subsidiario con FONCAP para el manejo de</w:t>
      </w:r>
      <w:r w:rsidR="00E94D4F">
        <w:rPr>
          <w:rFonts w:ascii="Arial" w:hAnsi="Arial" w:cs="Arial"/>
          <w:sz w:val="22"/>
          <w:szCs w:val="22"/>
        </w:rPr>
        <w:t xml:space="preserve"> los recursos del </w:t>
      </w:r>
      <w:r w:rsidR="00E94D4F" w:rsidRPr="001438A4">
        <w:rPr>
          <w:rFonts w:ascii="Arial" w:hAnsi="Arial" w:cs="Arial"/>
          <w:sz w:val="22"/>
          <w:szCs w:val="22"/>
        </w:rPr>
        <w:t>Componente 2.</w:t>
      </w:r>
      <w:r w:rsidR="00E94D4F">
        <w:rPr>
          <w:rFonts w:ascii="Arial" w:hAnsi="Arial" w:cs="Arial"/>
          <w:sz w:val="22"/>
          <w:szCs w:val="22"/>
        </w:rPr>
        <w:t xml:space="preserve"> </w:t>
      </w:r>
      <w:r w:rsidR="00167663" w:rsidRPr="00E94D4F">
        <w:rPr>
          <w:rFonts w:ascii="Arial" w:hAnsi="Arial" w:cs="Arial"/>
          <w:sz w:val="22"/>
          <w:szCs w:val="22"/>
        </w:rPr>
        <w:t>Las contrataciones en el marco de los ANR se realizarán según prácticas corrientes del sector privado o com</w:t>
      </w:r>
      <w:r w:rsidR="007F2800" w:rsidRPr="00E94D4F">
        <w:rPr>
          <w:rFonts w:ascii="Arial" w:hAnsi="Arial" w:cs="Arial"/>
          <w:sz w:val="22"/>
          <w:szCs w:val="22"/>
        </w:rPr>
        <w:t xml:space="preserve">erciales, bajo la supervisión del OE. </w:t>
      </w:r>
      <w:r w:rsidRPr="00E94D4F">
        <w:rPr>
          <w:rFonts w:ascii="Arial" w:hAnsi="Arial" w:cs="Arial"/>
          <w:sz w:val="22"/>
          <w:szCs w:val="22"/>
        </w:rPr>
        <w:t xml:space="preserve">El Banco verificará la pertinencia del gasto el marco de los proyectos. </w:t>
      </w:r>
    </w:p>
    <w:p w:rsidR="00BB6CB4" w:rsidRPr="00E94D4F" w:rsidRDefault="00BB6CB4" w:rsidP="006B430F">
      <w:pPr>
        <w:numPr>
          <w:ilvl w:val="0"/>
          <w:numId w:val="8"/>
        </w:numPr>
        <w:tabs>
          <w:tab w:val="clear" w:pos="900"/>
          <w:tab w:val="num" w:pos="1260"/>
          <w:tab w:val="num" w:pos="1620"/>
        </w:tabs>
        <w:autoSpaceDE w:val="0"/>
        <w:autoSpaceDN w:val="0"/>
        <w:adjustRightInd w:val="0"/>
        <w:spacing w:before="120" w:after="120"/>
        <w:ind w:left="1170" w:hanging="450"/>
        <w:jc w:val="both"/>
        <w:outlineLvl w:val="2"/>
        <w:rPr>
          <w:rFonts w:ascii="Arial" w:hAnsi="Arial" w:cs="Arial"/>
          <w:sz w:val="22"/>
          <w:szCs w:val="22"/>
        </w:rPr>
      </w:pPr>
      <w:r w:rsidRPr="00BA5B15">
        <w:rPr>
          <w:rFonts w:ascii="Arial" w:hAnsi="Arial" w:cs="Arial"/>
          <w:b/>
          <w:sz w:val="22"/>
          <w:szCs w:val="22"/>
        </w:rPr>
        <w:t>Uso de Sistema Nacional de Adquisiciones</w:t>
      </w:r>
      <w:r w:rsidR="001438A4">
        <w:rPr>
          <w:rFonts w:ascii="Arial" w:hAnsi="Arial" w:cs="Arial"/>
          <w:b/>
          <w:sz w:val="22"/>
          <w:szCs w:val="22"/>
        </w:rPr>
        <w:t>.</w:t>
      </w:r>
      <w:r w:rsidRPr="00E94D4F">
        <w:rPr>
          <w:rFonts w:ascii="Arial" w:hAnsi="Arial" w:cs="Arial"/>
          <w:sz w:val="22"/>
          <w:szCs w:val="22"/>
        </w:rPr>
        <w:t xml:space="preserve"> Cualquier sistema o subsistema que sea aprobado con posterioridad será aplicable a la operación. El</w:t>
      </w:r>
      <w:r w:rsidR="00D35AF3">
        <w:rPr>
          <w:rFonts w:ascii="Arial" w:hAnsi="Arial" w:cs="Arial"/>
          <w:sz w:val="22"/>
          <w:szCs w:val="22"/>
        </w:rPr>
        <w:t xml:space="preserve"> PA</w:t>
      </w:r>
      <w:r w:rsidRPr="00E94D4F">
        <w:rPr>
          <w:rFonts w:ascii="Arial" w:hAnsi="Arial" w:cs="Arial"/>
          <w:sz w:val="22"/>
          <w:szCs w:val="22"/>
        </w:rPr>
        <w:t xml:space="preserve"> indicará qué contrataciones se ejecutarán a través de lo</w:t>
      </w:r>
      <w:r w:rsidR="000F32CC" w:rsidRPr="00E94D4F">
        <w:rPr>
          <w:rFonts w:ascii="Arial" w:hAnsi="Arial" w:cs="Arial"/>
          <w:sz w:val="22"/>
          <w:szCs w:val="22"/>
        </w:rPr>
        <w:t>s sistemas nacionales aprobados</w:t>
      </w:r>
      <w:r w:rsidRPr="00E94D4F">
        <w:rPr>
          <w:rFonts w:ascii="Arial" w:hAnsi="Arial" w:cs="Arial"/>
          <w:sz w:val="22"/>
          <w:szCs w:val="22"/>
        </w:rPr>
        <w:t xml:space="preserve">. </w:t>
      </w:r>
    </w:p>
    <w:p w:rsidR="008C2032" w:rsidRPr="00E94D4F" w:rsidRDefault="00DD2CB1" w:rsidP="006B430F">
      <w:pPr>
        <w:numPr>
          <w:ilvl w:val="0"/>
          <w:numId w:val="8"/>
        </w:numPr>
        <w:tabs>
          <w:tab w:val="clear" w:pos="900"/>
          <w:tab w:val="num" w:pos="1260"/>
          <w:tab w:val="num" w:pos="1620"/>
        </w:tabs>
        <w:autoSpaceDE w:val="0"/>
        <w:autoSpaceDN w:val="0"/>
        <w:adjustRightInd w:val="0"/>
        <w:spacing w:before="120" w:after="120"/>
        <w:ind w:left="1170" w:hanging="450"/>
        <w:jc w:val="both"/>
        <w:outlineLvl w:val="2"/>
        <w:rPr>
          <w:rFonts w:ascii="Arial" w:hAnsi="Arial" w:cs="Arial"/>
          <w:sz w:val="22"/>
          <w:szCs w:val="22"/>
        </w:rPr>
      </w:pPr>
      <w:r w:rsidRPr="00BA5B15">
        <w:rPr>
          <w:rFonts w:ascii="Arial" w:hAnsi="Arial" w:cs="Arial"/>
          <w:b/>
          <w:sz w:val="22"/>
          <w:szCs w:val="22"/>
        </w:rPr>
        <w:t>Gastos Recurrentes</w:t>
      </w:r>
      <w:r w:rsidR="001438A4">
        <w:rPr>
          <w:rFonts w:ascii="Arial" w:hAnsi="Arial" w:cs="Arial"/>
          <w:b/>
          <w:sz w:val="22"/>
          <w:szCs w:val="22"/>
        </w:rPr>
        <w:t>.</w:t>
      </w:r>
      <w:r w:rsidRPr="00E94D4F">
        <w:rPr>
          <w:rFonts w:ascii="Arial" w:hAnsi="Arial" w:cs="Arial"/>
          <w:sz w:val="22"/>
          <w:szCs w:val="22"/>
        </w:rPr>
        <w:t xml:space="preserve"> </w:t>
      </w:r>
      <w:bookmarkEnd w:id="6"/>
      <w:r w:rsidR="008C2032" w:rsidRPr="00E94D4F">
        <w:rPr>
          <w:rFonts w:ascii="Arial" w:hAnsi="Arial" w:cs="Arial"/>
          <w:sz w:val="22"/>
          <w:szCs w:val="22"/>
        </w:rPr>
        <w:t xml:space="preserve">Los gastos recurrentes o gastos operativos y de mantenimiento requeridos durante el proyecto serán: pasajes, viáticos, movilidad, alquileres de equipos y servicios, mantenimiento de oficinas, expensas, gastos de librería y de capacitación, productos de artes gráficas, imprenta, publicaciones y reproducciones, mensajería y correo, servicios de limpieza, insumos informáticos, seguros, telefonía, y gastos menores que demande la </w:t>
      </w:r>
      <w:r w:rsidR="00685832" w:rsidRPr="00E94D4F">
        <w:rPr>
          <w:rFonts w:ascii="Arial" w:hAnsi="Arial" w:cs="Arial"/>
          <w:sz w:val="22"/>
          <w:szCs w:val="22"/>
        </w:rPr>
        <w:t>UCP</w:t>
      </w:r>
      <w:r w:rsidR="00C41309" w:rsidRPr="00E94D4F">
        <w:rPr>
          <w:rFonts w:ascii="Arial" w:hAnsi="Arial" w:cs="Arial"/>
          <w:sz w:val="22"/>
          <w:szCs w:val="22"/>
        </w:rPr>
        <w:t xml:space="preserve"> </w:t>
      </w:r>
      <w:r w:rsidR="008C2032" w:rsidRPr="00E94D4F">
        <w:rPr>
          <w:rFonts w:ascii="Arial" w:hAnsi="Arial" w:cs="Arial"/>
          <w:sz w:val="22"/>
          <w:szCs w:val="22"/>
        </w:rPr>
        <w:t xml:space="preserve">para el funcionamiento del </w:t>
      </w:r>
      <w:r w:rsidR="00537F8A">
        <w:rPr>
          <w:rFonts w:ascii="Arial" w:hAnsi="Arial" w:cs="Arial"/>
          <w:sz w:val="22"/>
          <w:szCs w:val="22"/>
        </w:rPr>
        <w:t>p</w:t>
      </w:r>
      <w:r w:rsidR="008C2032" w:rsidRPr="00E94D4F">
        <w:rPr>
          <w:rFonts w:ascii="Arial" w:hAnsi="Arial" w:cs="Arial"/>
          <w:sz w:val="22"/>
          <w:szCs w:val="22"/>
        </w:rPr>
        <w:t xml:space="preserve">rograma. Estos gastos serán financiados por el proyecto con recursos de contrapartida, y serían realizados siguiendo los procedimientos administrativos del OE, siempre que no vulneren los principios fundamentales </w:t>
      </w:r>
      <w:r w:rsidR="00CC39DC" w:rsidRPr="00E94D4F">
        <w:rPr>
          <w:rFonts w:ascii="Arial" w:hAnsi="Arial" w:cs="Arial"/>
          <w:sz w:val="22"/>
          <w:szCs w:val="22"/>
        </w:rPr>
        <w:t>de las Políticas del Banco con relación a</w:t>
      </w:r>
      <w:r w:rsidR="008C2032" w:rsidRPr="00E94D4F">
        <w:rPr>
          <w:rFonts w:ascii="Arial" w:hAnsi="Arial" w:cs="Arial"/>
          <w:sz w:val="22"/>
          <w:szCs w:val="22"/>
        </w:rPr>
        <w:t xml:space="preserve"> competencia, eficiencia, y economía. Los costos de operación no incluyen salarios de funcionarios en ejercicio público.</w:t>
      </w:r>
    </w:p>
    <w:p w:rsidR="00DD2CB1" w:rsidRPr="00E94D4F" w:rsidRDefault="00C3447F" w:rsidP="001438A4">
      <w:pPr>
        <w:numPr>
          <w:ilvl w:val="0"/>
          <w:numId w:val="8"/>
        </w:numPr>
        <w:tabs>
          <w:tab w:val="clear" w:pos="900"/>
          <w:tab w:val="num" w:pos="1260"/>
          <w:tab w:val="num" w:pos="1620"/>
        </w:tabs>
        <w:autoSpaceDE w:val="0"/>
        <w:autoSpaceDN w:val="0"/>
        <w:adjustRightInd w:val="0"/>
        <w:spacing w:before="120" w:after="120"/>
        <w:ind w:left="1170" w:hanging="450"/>
        <w:jc w:val="both"/>
        <w:outlineLvl w:val="2"/>
        <w:rPr>
          <w:rFonts w:ascii="Arial" w:hAnsi="Arial" w:cs="Arial"/>
          <w:b/>
          <w:i/>
          <w:sz w:val="22"/>
          <w:szCs w:val="22"/>
          <w:u w:val="single"/>
        </w:rPr>
      </w:pPr>
      <w:bookmarkStart w:id="7" w:name="_Toc244412089"/>
      <w:r>
        <w:rPr>
          <w:rFonts w:ascii="Arial" w:hAnsi="Arial" w:cs="Arial"/>
          <w:b/>
          <w:sz w:val="22"/>
          <w:szCs w:val="22"/>
        </w:rPr>
        <w:t>Pertinencia del G</w:t>
      </w:r>
      <w:r w:rsidR="0020300E" w:rsidRPr="00BA5B15">
        <w:rPr>
          <w:rFonts w:ascii="Arial" w:hAnsi="Arial" w:cs="Arial"/>
          <w:b/>
          <w:sz w:val="22"/>
          <w:szCs w:val="22"/>
        </w:rPr>
        <w:t>asto</w:t>
      </w:r>
      <w:r w:rsidR="001438A4">
        <w:rPr>
          <w:rFonts w:ascii="Arial" w:hAnsi="Arial" w:cs="Arial"/>
          <w:b/>
          <w:sz w:val="22"/>
          <w:szCs w:val="22"/>
        </w:rPr>
        <w:t>.</w:t>
      </w:r>
      <w:r w:rsidR="00DD2CB1" w:rsidRPr="00E94D4F">
        <w:rPr>
          <w:rFonts w:ascii="Arial" w:hAnsi="Arial" w:cs="Arial"/>
          <w:i/>
          <w:sz w:val="22"/>
          <w:szCs w:val="22"/>
        </w:rPr>
        <w:t xml:space="preserve"> </w:t>
      </w:r>
      <w:r w:rsidR="0020300E" w:rsidRPr="00E94D4F">
        <w:rPr>
          <w:rFonts w:ascii="Arial" w:hAnsi="Arial" w:cs="Arial"/>
          <w:sz w:val="22"/>
          <w:szCs w:val="22"/>
        </w:rPr>
        <w:t>La pertinencia del ga</w:t>
      </w:r>
      <w:r w:rsidR="00C44A0C">
        <w:rPr>
          <w:rFonts w:ascii="Arial" w:hAnsi="Arial" w:cs="Arial"/>
          <w:sz w:val="22"/>
          <w:szCs w:val="22"/>
        </w:rPr>
        <w:t>sto, los Términos de Referencia</w:t>
      </w:r>
      <w:r w:rsidR="0020300E" w:rsidRPr="00E94D4F">
        <w:rPr>
          <w:rFonts w:ascii="Arial" w:hAnsi="Arial" w:cs="Arial"/>
          <w:sz w:val="22"/>
          <w:szCs w:val="22"/>
        </w:rPr>
        <w:t xml:space="preserve">, las especificaciones técnicas y el presupuesto de las adquisiciones que se realicen en el </w:t>
      </w:r>
      <w:r w:rsidR="008429FB" w:rsidRPr="00E94D4F">
        <w:rPr>
          <w:rFonts w:ascii="Arial" w:hAnsi="Arial" w:cs="Arial"/>
          <w:sz w:val="22"/>
          <w:szCs w:val="22"/>
        </w:rPr>
        <w:t xml:space="preserve">marco del </w:t>
      </w:r>
      <w:r w:rsidR="00537F8A">
        <w:rPr>
          <w:rFonts w:ascii="Arial" w:hAnsi="Arial" w:cs="Arial"/>
          <w:sz w:val="22"/>
          <w:szCs w:val="22"/>
        </w:rPr>
        <w:t>p</w:t>
      </w:r>
      <w:r w:rsidR="00EE3400" w:rsidRPr="00E94D4F">
        <w:rPr>
          <w:rFonts w:ascii="Arial" w:hAnsi="Arial" w:cs="Arial"/>
          <w:sz w:val="22"/>
          <w:szCs w:val="22"/>
        </w:rPr>
        <w:t>rograma</w:t>
      </w:r>
      <w:r w:rsidR="0020300E" w:rsidRPr="00E94D4F">
        <w:rPr>
          <w:rFonts w:ascii="Arial" w:hAnsi="Arial" w:cs="Arial"/>
          <w:sz w:val="22"/>
          <w:szCs w:val="22"/>
        </w:rPr>
        <w:t xml:space="preserve"> serán responsabilidad</w:t>
      </w:r>
      <w:r w:rsidR="00C44A0C">
        <w:rPr>
          <w:rFonts w:ascii="Arial" w:hAnsi="Arial" w:cs="Arial"/>
          <w:sz w:val="22"/>
          <w:szCs w:val="22"/>
        </w:rPr>
        <w:t xml:space="preserve"> del </w:t>
      </w:r>
      <w:r w:rsidR="0020300E" w:rsidRPr="00E94D4F">
        <w:rPr>
          <w:rFonts w:ascii="Arial" w:hAnsi="Arial" w:cs="Arial"/>
          <w:sz w:val="22"/>
          <w:szCs w:val="22"/>
        </w:rPr>
        <w:t>JEP y necesitarán siempre de la no</w:t>
      </w:r>
      <w:r w:rsidR="001438A4">
        <w:rPr>
          <w:rFonts w:ascii="Arial" w:hAnsi="Arial" w:cs="Arial"/>
          <w:sz w:val="22"/>
          <w:szCs w:val="22"/>
        </w:rPr>
        <w:t xml:space="preserve"> </w:t>
      </w:r>
      <w:r w:rsidR="0020300E" w:rsidRPr="00E94D4F">
        <w:rPr>
          <w:rFonts w:ascii="Arial" w:hAnsi="Arial" w:cs="Arial"/>
          <w:sz w:val="22"/>
          <w:szCs w:val="22"/>
        </w:rPr>
        <w:t>objeción previa del Banco.</w:t>
      </w:r>
      <w:r w:rsidR="00DD2CB1" w:rsidRPr="00E94D4F">
        <w:rPr>
          <w:rFonts w:ascii="Arial" w:hAnsi="Arial" w:cs="Arial"/>
          <w:i/>
          <w:sz w:val="22"/>
          <w:szCs w:val="22"/>
        </w:rPr>
        <w:t xml:space="preserve"> </w:t>
      </w:r>
      <w:bookmarkEnd w:id="7"/>
    </w:p>
    <w:p w:rsidR="00DD2CB1" w:rsidRDefault="00DD2CB1" w:rsidP="00BA5B15">
      <w:pPr>
        <w:numPr>
          <w:ilvl w:val="0"/>
          <w:numId w:val="14"/>
        </w:numPr>
        <w:tabs>
          <w:tab w:val="clear" w:pos="720"/>
          <w:tab w:val="left" w:pos="540"/>
        </w:tabs>
        <w:autoSpaceDE w:val="0"/>
        <w:autoSpaceDN w:val="0"/>
        <w:adjustRightInd w:val="0"/>
        <w:spacing w:before="120" w:after="120"/>
        <w:ind w:left="540" w:hanging="540"/>
        <w:jc w:val="both"/>
        <w:rPr>
          <w:rFonts w:ascii="Arial" w:hAnsi="Arial" w:cs="Arial"/>
          <w:b/>
          <w:sz w:val="22"/>
          <w:szCs w:val="22"/>
        </w:rPr>
      </w:pPr>
      <w:r w:rsidRPr="00E94D4F">
        <w:rPr>
          <w:rFonts w:ascii="Arial" w:hAnsi="Arial" w:cs="Arial"/>
          <w:b/>
          <w:sz w:val="22"/>
          <w:szCs w:val="22"/>
        </w:rPr>
        <w:lastRenderedPageBreak/>
        <w:t>Montos Límites</w:t>
      </w:r>
      <w:r w:rsidR="0005039A" w:rsidRPr="00E94D4F">
        <w:rPr>
          <w:rFonts w:ascii="Arial" w:hAnsi="Arial" w:cs="Arial"/>
          <w:b/>
          <w:sz w:val="22"/>
          <w:szCs w:val="22"/>
        </w:rPr>
        <w:t xml:space="preserve"> para Licitación Internacional y Lista Corta con Conformación Internacional</w:t>
      </w:r>
      <w:r w:rsidRPr="00E94D4F">
        <w:rPr>
          <w:rFonts w:ascii="Arial" w:hAnsi="Arial" w:cs="Arial"/>
          <w:b/>
          <w:sz w:val="22"/>
          <w:szCs w:val="22"/>
        </w:rPr>
        <w:t xml:space="preserve"> (miles US$)</w:t>
      </w:r>
    </w:p>
    <w:p w:rsidR="00376F1B" w:rsidRPr="00C41AB9" w:rsidRDefault="00376F1B" w:rsidP="001654EB">
      <w:pPr>
        <w:autoSpaceDE w:val="0"/>
        <w:autoSpaceDN w:val="0"/>
        <w:adjustRightInd w:val="0"/>
        <w:spacing w:before="120"/>
        <w:ind w:left="187"/>
        <w:jc w:val="center"/>
        <w:rPr>
          <w:rFonts w:ascii="Arial" w:hAnsi="Arial" w:cs="Arial"/>
          <w:b/>
          <w:sz w:val="18"/>
          <w:szCs w:val="18"/>
        </w:rPr>
      </w:pPr>
      <w:r w:rsidRPr="00C41AB9">
        <w:rPr>
          <w:rFonts w:ascii="Arial" w:hAnsi="Arial" w:cs="Arial"/>
          <w:b/>
          <w:sz w:val="18"/>
          <w:szCs w:val="18"/>
        </w:rPr>
        <w:t>Cuadro 2. Montos Límites</w:t>
      </w:r>
    </w:p>
    <w:tbl>
      <w:tblPr>
        <w:tblW w:w="0" w:type="auto"/>
        <w:jc w:val="center"/>
        <w:tblLook w:val="04A0" w:firstRow="1" w:lastRow="0" w:firstColumn="1" w:lastColumn="0" w:noHBand="0" w:noVBand="1"/>
      </w:tblPr>
      <w:tblGrid>
        <w:gridCol w:w="1325"/>
        <w:gridCol w:w="1686"/>
        <w:gridCol w:w="3382"/>
        <w:gridCol w:w="2237"/>
      </w:tblGrid>
      <w:tr w:rsidR="007667FB" w:rsidRPr="00C41AB9" w:rsidTr="001438A4">
        <w:trPr>
          <w:trHeight w:val="873"/>
          <w:jc w:val="center"/>
        </w:trPr>
        <w:tc>
          <w:tcPr>
            <w:tcW w:w="1350" w:type="dxa"/>
            <w:tcBorders>
              <w:left w:val="single" w:sz="4" w:space="0" w:color="FFFFFF"/>
              <w:right w:val="single" w:sz="4" w:space="0" w:color="FFFFFF"/>
            </w:tcBorders>
            <w:shd w:val="clear" w:color="auto" w:fill="00B0F0"/>
          </w:tcPr>
          <w:p w:rsidR="007667FB" w:rsidRPr="00C41AB9" w:rsidRDefault="007667FB" w:rsidP="00FE4BAE">
            <w:pPr>
              <w:autoSpaceDE w:val="0"/>
              <w:autoSpaceDN w:val="0"/>
              <w:adjustRightInd w:val="0"/>
              <w:spacing w:before="360" w:after="120"/>
              <w:jc w:val="center"/>
              <w:rPr>
                <w:rFonts w:ascii="Arial" w:hAnsi="Arial" w:cs="Arial"/>
                <w:b/>
                <w:color w:val="FFFFFF"/>
                <w:sz w:val="18"/>
                <w:szCs w:val="18"/>
              </w:rPr>
            </w:pPr>
            <w:r w:rsidRPr="00C41AB9">
              <w:rPr>
                <w:rFonts w:ascii="Arial" w:hAnsi="Arial" w:cs="Arial"/>
                <w:b/>
                <w:color w:val="FFFFFF"/>
                <w:sz w:val="18"/>
                <w:szCs w:val="18"/>
              </w:rPr>
              <w:t>Método</w:t>
            </w:r>
          </w:p>
        </w:tc>
        <w:tc>
          <w:tcPr>
            <w:tcW w:w="1710" w:type="dxa"/>
            <w:tcBorders>
              <w:left w:val="single" w:sz="4" w:space="0" w:color="FFFFFF"/>
              <w:right w:val="single" w:sz="4" w:space="0" w:color="FFFFFF"/>
            </w:tcBorders>
            <w:shd w:val="clear" w:color="auto" w:fill="00B0F0"/>
          </w:tcPr>
          <w:p w:rsidR="007667FB" w:rsidRPr="00C41AB9" w:rsidRDefault="007667FB" w:rsidP="00FE4BAE">
            <w:pPr>
              <w:autoSpaceDE w:val="0"/>
              <w:autoSpaceDN w:val="0"/>
              <w:adjustRightInd w:val="0"/>
              <w:spacing w:before="360" w:after="120"/>
              <w:jc w:val="center"/>
              <w:rPr>
                <w:rFonts w:ascii="Arial" w:hAnsi="Arial" w:cs="Arial"/>
                <w:b/>
                <w:color w:val="FFFFFF"/>
                <w:sz w:val="18"/>
                <w:szCs w:val="18"/>
              </w:rPr>
            </w:pPr>
            <w:r w:rsidRPr="00C41AB9">
              <w:rPr>
                <w:rFonts w:ascii="Arial" w:hAnsi="Arial" w:cs="Arial"/>
                <w:b/>
                <w:color w:val="FFFFFF"/>
                <w:sz w:val="18"/>
                <w:szCs w:val="18"/>
              </w:rPr>
              <w:t>LPI Obras</w:t>
            </w:r>
          </w:p>
        </w:tc>
        <w:tc>
          <w:tcPr>
            <w:tcW w:w="3494" w:type="dxa"/>
            <w:tcBorders>
              <w:left w:val="single" w:sz="4" w:space="0" w:color="FFFFFF"/>
              <w:right w:val="single" w:sz="4" w:space="0" w:color="FFFFFF"/>
            </w:tcBorders>
            <w:shd w:val="clear" w:color="auto" w:fill="00B0F0"/>
          </w:tcPr>
          <w:p w:rsidR="007667FB" w:rsidRPr="00C41AB9" w:rsidRDefault="00C44A0C" w:rsidP="00FE4BAE">
            <w:pPr>
              <w:autoSpaceDE w:val="0"/>
              <w:autoSpaceDN w:val="0"/>
              <w:adjustRightInd w:val="0"/>
              <w:spacing w:before="360" w:after="120"/>
              <w:jc w:val="center"/>
              <w:rPr>
                <w:rFonts w:ascii="Arial" w:hAnsi="Arial" w:cs="Arial"/>
                <w:b/>
                <w:color w:val="FFFFFF"/>
                <w:sz w:val="18"/>
                <w:szCs w:val="18"/>
              </w:rPr>
            </w:pPr>
            <w:r w:rsidRPr="00C41AB9">
              <w:rPr>
                <w:rFonts w:ascii="Arial" w:hAnsi="Arial" w:cs="Arial"/>
                <w:b/>
                <w:color w:val="FFFFFF"/>
                <w:sz w:val="18"/>
                <w:szCs w:val="18"/>
              </w:rPr>
              <w:t>LPI Bienes</w:t>
            </w:r>
            <w:r w:rsidR="007667FB" w:rsidRPr="00C41AB9">
              <w:rPr>
                <w:rFonts w:ascii="Arial" w:hAnsi="Arial" w:cs="Arial"/>
                <w:b/>
                <w:color w:val="FFFFFF"/>
                <w:sz w:val="18"/>
                <w:szCs w:val="18"/>
              </w:rPr>
              <w:t xml:space="preserve"> y Servicios </w:t>
            </w:r>
            <w:r w:rsidR="001438A4">
              <w:rPr>
                <w:rFonts w:ascii="Arial" w:hAnsi="Arial" w:cs="Arial"/>
                <w:b/>
                <w:color w:val="FFFFFF"/>
                <w:sz w:val="18"/>
                <w:szCs w:val="18"/>
              </w:rPr>
              <w:t>D</w:t>
            </w:r>
            <w:r w:rsidR="007667FB" w:rsidRPr="00C41AB9">
              <w:rPr>
                <w:rFonts w:ascii="Arial" w:hAnsi="Arial" w:cs="Arial"/>
                <w:b/>
                <w:color w:val="FFFFFF"/>
                <w:sz w:val="18"/>
                <w:szCs w:val="18"/>
              </w:rPr>
              <w:t xml:space="preserve">iferentes a la </w:t>
            </w:r>
            <w:r w:rsidR="001438A4">
              <w:rPr>
                <w:rFonts w:ascii="Arial" w:hAnsi="Arial" w:cs="Arial"/>
                <w:b/>
                <w:color w:val="FFFFFF"/>
                <w:sz w:val="18"/>
                <w:szCs w:val="18"/>
              </w:rPr>
              <w:t>C</w:t>
            </w:r>
            <w:r w:rsidR="007667FB" w:rsidRPr="00C41AB9">
              <w:rPr>
                <w:rFonts w:ascii="Arial" w:hAnsi="Arial" w:cs="Arial"/>
                <w:b/>
                <w:color w:val="FFFFFF"/>
                <w:sz w:val="18"/>
                <w:szCs w:val="18"/>
              </w:rPr>
              <w:t>onsultoría</w:t>
            </w:r>
          </w:p>
        </w:tc>
        <w:tc>
          <w:tcPr>
            <w:tcW w:w="2284" w:type="dxa"/>
            <w:tcBorders>
              <w:left w:val="single" w:sz="4" w:space="0" w:color="FFFFFF"/>
              <w:right w:val="single" w:sz="4" w:space="0" w:color="FFFFFF"/>
            </w:tcBorders>
            <w:shd w:val="clear" w:color="auto" w:fill="00B0F0"/>
          </w:tcPr>
          <w:p w:rsidR="007667FB" w:rsidRPr="00C41AB9" w:rsidRDefault="007667FB" w:rsidP="001654EB">
            <w:pPr>
              <w:autoSpaceDE w:val="0"/>
              <w:autoSpaceDN w:val="0"/>
              <w:adjustRightInd w:val="0"/>
              <w:spacing w:before="120" w:after="120"/>
              <w:jc w:val="center"/>
              <w:rPr>
                <w:rFonts w:ascii="Arial" w:hAnsi="Arial" w:cs="Arial"/>
                <w:b/>
                <w:color w:val="FFFFFF"/>
                <w:sz w:val="18"/>
                <w:szCs w:val="18"/>
              </w:rPr>
            </w:pPr>
            <w:r w:rsidRPr="00C41AB9">
              <w:rPr>
                <w:rFonts w:ascii="Arial" w:hAnsi="Arial" w:cs="Arial"/>
                <w:b/>
                <w:color w:val="FFFFFF"/>
                <w:sz w:val="18"/>
                <w:szCs w:val="18"/>
              </w:rPr>
              <w:t xml:space="preserve">Lista Corta Internacional en </w:t>
            </w:r>
            <w:r w:rsidR="001438A4">
              <w:rPr>
                <w:rFonts w:ascii="Arial" w:hAnsi="Arial" w:cs="Arial"/>
                <w:b/>
                <w:color w:val="FFFFFF"/>
                <w:sz w:val="18"/>
                <w:szCs w:val="18"/>
              </w:rPr>
              <w:t>S</w:t>
            </w:r>
            <w:r w:rsidRPr="00C41AB9">
              <w:rPr>
                <w:rFonts w:ascii="Arial" w:hAnsi="Arial" w:cs="Arial"/>
                <w:b/>
                <w:color w:val="FFFFFF"/>
                <w:sz w:val="18"/>
                <w:szCs w:val="18"/>
              </w:rPr>
              <w:t xml:space="preserve">ervicios de </w:t>
            </w:r>
            <w:r w:rsidR="001438A4">
              <w:rPr>
                <w:rFonts w:ascii="Arial" w:hAnsi="Arial" w:cs="Arial"/>
                <w:b/>
                <w:color w:val="FFFFFF"/>
                <w:sz w:val="18"/>
                <w:szCs w:val="18"/>
              </w:rPr>
              <w:t>C</w:t>
            </w:r>
            <w:r w:rsidRPr="00C41AB9">
              <w:rPr>
                <w:rFonts w:ascii="Arial" w:hAnsi="Arial" w:cs="Arial"/>
                <w:b/>
                <w:color w:val="FFFFFF"/>
                <w:sz w:val="18"/>
                <w:szCs w:val="18"/>
              </w:rPr>
              <w:t>onsultoría</w:t>
            </w:r>
          </w:p>
        </w:tc>
      </w:tr>
      <w:tr w:rsidR="007667FB" w:rsidRPr="00C41AB9" w:rsidTr="001654EB">
        <w:trPr>
          <w:trHeight w:val="188"/>
          <w:jc w:val="center"/>
        </w:trPr>
        <w:tc>
          <w:tcPr>
            <w:tcW w:w="1350" w:type="dxa"/>
            <w:tcBorders>
              <w:left w:val="single" w:sz="4" w:space="0" w:color="808080"/>
              <w:bottom w:val="single" w:sz="4" w:space="0" w:color="808080"/>
              <w:right w:val="single" w:sz="4" w:space="0" w:color="808080"/>
            </w:tcBorders>
            <w:shd w:val="clear" w:color="auto" w:fill="auto"/>
          </w:tcPr>
          <w:p w:rsidR="007667FB" w:rsidRPr="00C41AB9" w:rsidRDefault="007667FB" w:rsidP="001654EB">
            <w:pPr>
              <w:spacing w:before="120" w:after="120"/>
              <w:jc w:val="center"/>
              <w:rPr>
                <w:rFonts w:ascii="Arial" w:hAnsi="Arial" w:cs="Arial"/>
                <w:b/>
                <w:sz w:val="18"/>
                <w:szCs w:val="18"/>
              </w:rPr>
            </w:pPr>
            <w:r w:rsidRPr="00C41AB9">
              <w:rPr>
                <w:rFonts w:ascii="Arial" w:hAnsi="Arial" w:cs="Arial"/>
                <w:b/>
                <w:sz w:val="18"/>
                <w:szCs w:val="18"/>
              </w:rPr>
              <w:t>Monto Límite</w:t>
            </w:r>
          </w:p>
        </w:tc>
        <w:tc>
          <w:tcPr>
            <w:tcW w:w="1710" w:type="dxa"/>
            <w:tcBorders>
              <w:left w:val="single" w:sz="4" w:space="0" w:color="808080"/>
              <w:bottom w:val="single" w:sz="4" w:space="0" w:color="808080"/>
              <w:right w:val="single" w:sz="4" w:space="0" w:color="808080"/>
            </w:tcBorders>
            <w:shd w:val="clear" w:color="auto" w:fill="auto"/>
          </w:tcPr>
          <w:p w:rsidR="007667FB" w:rsidRPr="006B430F" w:rsidRDefault="007667FB" w:rsidP="001654EB">
            <w:pPr>
              <w:spacing w:before="120" w:after="120"/>
              <w:jc w:val="center"/>
              <w:rPr>
                <w:rFonts w:ascii="Arial" w:hAnsi="Arial" w:cs="Arial"/>
                <w:sz w:val="18"/>
                <w:szCs w:val="18"/>
              </w:rPr>
            </w:pPr>
            <w:r w:rsidRPr="006B430F">
              <w:rPr>
                <w:rFonts w:ascii="Arial" w:hAnsi="Arial" w:cs="Arial"/>
                <w:sz w:val="18"/>
                <w:szCs w:val="18"/>
              </w:rPr>
              <w:t>≥25.000.000</w:t>
            </w:r>
          </w:p>
        </w:tc>
        <w:tc>
          <w:tcPr>
            <w:tcW w:w="3494" w:type="dxa"/>
            <w:tcBorders>
              <w:left w:val="single" w:sz="4" w:space="0" w:color="808080"/>
              <w:bottom w:val="single" w:sz="4" w:space="0" w:color="808080"/>
              <w:right w:val="single" w:sz="4" w:space="0" w:color="808080"/>
            </w:tcBorders>
          </w:tcPr>
          <w:p w:rsidR="007667FB" w:rsidRPr="006B430F" w:rsidRDefault="007667FB" w:rsidP="001654EB">
            <w:pPr>
              <w:spacing w:before="120" w:after="120"/>
              <w:jc w:val="center"/>
              <w:rPr>
                <w:rFonts w:ascii="Arial" w:hAnsi="Arial" w:cs="Arial"/>
                <w:sz w:val="18"/>
                <w:szCs w:val="18"/>
              </w:rPr>
            </w:pPr>
            <w:r w:rsidRPr="006B430F">
              <w:rPr>
                <w:rFonts w:ascii="Arial" w:hAnsi="Arial" w:cs="Arial"/>
                <w:sz w:val="18"/>
                <w:szCs w:val="18"/>
              </w:rPr>
              <w:t>≥1.500.000</w:t>
            </w:r>
          </w:p>
        </w:tc>
        <w:tc>
          <w:tcPr>
            <w:tcW w:w="2284" w:type="dxa"/>
            <w:tcBorders>
              <w:left w:val="single" w:sz="4" w:space="0" w:color="808080"/>
              <w:bottom w:val="single" w:sz="4" w:space="0" w:color="808080"/>
              <w:right w:val="single" w:sz="4" w:space="0" w:color="808080"/>
            </w:tcBorders>
            <w:shd w:val="clear" w:color="auto" w:fill="auto"/>
            <w:vAlign w:val="center"/>
          </w:tcPr>
          <w:p w:rsidR="007667FB" w:rsidRPr="006B430F" w:rsidRDefault="007667FB" w:rsidP="001654EB">
            <w:pPr>
              <w:keepNext/>
              <w:jc w:val="center"/>
              <w:rPr>
                <w:rFonts w:ascii="Arial" w:hAnsi="Arial" w:cs="Arial"/>
                <w:sz w:val="18"/>
                <w:szCs w:val="18"/>
              </w:rPr>
            </w:pPr>
            <w:r w:rsidRPr="006B430F">
              <w:rPr>
                <w:rFonts w:ascii="Arial" w:hAnsi="Arial" w:cs="Arial"/>
                <w:sz w:val="18"/>
                <w:szCs w:val="18"/>
              </w:rPr>
              <w:t>≥1.000.000</w:t>
            </w:r>
          </w:p>
        </w:tc>
      </w:tr>
    </w:tbl>
    <w:p w:rsidR="007667FB" w:rsidRPr="00FE4BAE" w:rsidRDefault="007667FB" w:rsidP="00FE4BAE">
      <w:pPr>
        <w:keepNext/>
        <w:autoSpaceDE w:val="0"/>
        <w:autoSpaceDN w:val="0"/>
        <w:adjustRightInd w:val="0"/>
        <w:jc w:val="both"/>
        <w:rPr>
          <w:rFonts w:ascii="Arial" w:hAnsi="Arial" w:cs="Arial"/>
          <w:i/>
          <w:sz w:val="18"/>
          <w:szCs w:val="18"/>
        </w:rPr>
      </w:pPr>
      <w:r w:rsidRPr="00FE4BAE">
        <w:rPr>
          <w:rFonts w:ascii="Arial" w:hAnsi="Arial" w:cs="Arial"/>
          <w:sz w:val="18"/>
          <w:szCs w:val="18"/>
        </w:rPr>
        <w:t>Nota: Los procesos de servicios de consultoría de valor mayor al equivalente de US$200.000 se deben anunciar en los sitios de Internet del UNDB online y del Banco.</w:t>
      </w:r>
    </w:p>
    <w:p w:rsidR="00DD2CB1" w:rsidRPr="00E94D4F" w:rsidRDefault="00DD2CB1" w:rsidP="00BA5B15">
      <w:pPr>
        <w:numPr>
          <w:ilvl w:val="0"/>
          <w:numId w:val="14"/>
        </w:numPr>
        <w:tabs>
          <w:tab w:val="clear" w:pos="720"/>
          <w:tab w:val="left" w:pos="540"/>
        </w:tabs>
        <w:autoSpaceDE w:val="0"/>
        <w:autoSpaceDN w:val="0"/>
        <w:adjustRightInd w:val="0"/>
        <w:spacing w:before="120" w:after="120"/>
        <w:ind w:left="540" w:hanging="540"/>
        <w:jc w:val="both"/>
        <w:rPr>
          <w:rFonts w:ascii="Arial" w:hAnsi="Arial" w:cs="Arial"/>
          <w:b/>
          <w:sz w:val="22"/>
          <w:szCs w:val="22"/>
        </w:rPr>
      </w:pPr>
      <w:bookmarkStart w:id="8" w:name="_Toc244412090"/>
      <w:r w:rsidRPr="00E94D4F">
        <w:rPr>
          <w:rFonts w:ascii="Arial" w:hAnsi="Arial" w:cs="Arial"/>
          <w:b/>
          <w:sz w:val="22"/>
          <w:szCs w:val="22"/>
        </w:rPr>
        <w:t xml:space="preserve">Adquisiciones </w:t>
      </w:r>
      <w:bookmarkEnd w:id="8"/>
      <w:r w:rsidR="007C4410" w:rsidRPr="00E94D4F">
        <w:rPr>
          <w:rFonts w:ascii="Arial" w:hAnsi="Arial" w:cs="Arial"/>
          <w:b/>
          <w:sz w:val="22"/>
          <w:szCs w:val="22"/>
        </w:rPr>
        <w:t>Principales</w:t>
      </w:r>
    </w:p>
    <w:p w:rsidR="00DD2CB1" w:rsidRPr="00C41AB9" w:rsidRDefault="00376F1B" w:rsidP="001654EB">
      <w:pPr>
        <w:autoSpaceDE w:val="0"/>
        <w:autoSpaceDN w:val="0"/>
        <w:adjustRightInd w:val="0"/>
        <w:spacing w:before="120"/>
        <w:ind w:left="187"/>
        <w:jc w:val="center"/>
        <w:rPr>
          <w:rFonts w:ascii="Arial" w:hAnsi="Arial" w:cs="Arial"/>
          <w:b/>
          <w:sz w:val="18"/>
          <w:szCs w:val="18"/>
        </w:rPr>
      </w:pPr>
      <w:r w:rsidRPr="00C41AB9">
        <w:rPr>
          <w:rFonts w:ascii="Arial" w:hAnsi="Arial" w:cs="Arial"/>
          <w:b/>
          <w:sz w:val="18"/>
          <w:szCs w:val="18"/>
        </w:rPr>
        <w:t>Cuadro 3. Adquisiciones Principales</w:t>
      </w:r>
    </w:p>
    <w:tbl>
      <w:tblPr>
        <w:tblW w:w="8630" w:type="dxa"/>
        <w:jc w:val="center"/>
        <w:tblCellMar>
          <w:left w:w="70" w:type="dxa"/>
          <w:right w:w="70" w:type="dxa"/>
        </w:tblCellMar>
        <w:tblLook w:val="04A0" w:firstRow="1" w:lastRow="0" w:firstColumn="1" w:lastColumn="0" w:noHBand="0" w:noVBand="1"/>
      </w:tblPr>
      <w:tblGrid>
        <w:gridCol w:w="3950"/>
        <w:gridCol w:w="981"/>
        <w:gridCol w:w="2151"/>
        <w:gridCol w:w="1548"/>
      </w:tblGrid>
      <w:tr w:rsidR="00937726" w:rsidRPr="00C41AB9" w:rsidTr="00C41AB9">
        <w:trPr>
          <w:trHeight w:val="745"/>
          <w:tblHeader/>
          <w:jc w:val="center"/>
        </w:trPr>
        <w:tc>
          <w:tcPr>
            <w:tcW w:w="3950" w:type="dxa"/>
            <w:tcBorders>
              <w:top w:val="single" w:sz="8" w:space="0" w:color="F2F2F2"/>
              <w:left w:val="single" w:sz="8" w:space="0" w:color="F2F2F2"/>
              <w:bottom w:val="nil"/>
              <w:right w:val="single" w:sz="8" w:space="0" w:color="F2F2F2"/>
            </w:tcBorders>
            <w:shd w:val="clear" w:color="000000" w:fill="00B0F0"/>
            <w:vAlign w:val="center"/>
            <w:hideMark/>
          </w:tcPr>
          <w:p w:rsidR="00AB3550" w:rsidRPr="00C41AB9" w:rsidRDefault="00AB3550" w:rsidP="00AB3550">
            <w:pPr>
              <w:jc w:val="center"/>
              <w:rPr>
                <w:rFonts w:ascii="Arial" w:eastAsia="Times New Roman" w:hAnsi="Arial" w:cs="Arial"/>
                <w:b/>
                <w:bCs/>
                <w:color w:val="FFFFFF"/>
                <w:sz w:val="18"/>
                <w:szCs w:val="18"/>
                <w:lang w:eastAsia="es-ES_tradnl"/>
              </w:rPr>
            </w:pPr>
            <w:bookmarkStart w:id="9" w:name="_Toc244412091"/>
            <w:r w:rsidRPr="00C41AB9">
              <w:rPr>
                <w:rFonts w:ascii="Arial" w:eastAsia="Times New Roman" w:hAnsi="Arial" w:cs="Arial"/>
                <w:b/>
                <w:bCs/>
                <w:color w:val="FFFFFF"/>
                <w:sz w:val="18"/>
                <w:szCs w:val="18"/>
                <w:lang w:eastAsia="es-ES_tradnl"/>
              </w:rPr>
              <w:t>Actividad</w:t>
            </w:r>
          </w:p>
        </w:tc>
        <w:bookmarkStart w:id="10" w:name="RANGE!B1"/>
        <w:tc>
          <w:tcPr>
            <w:tcW w:w="917" w:type="dxa"/>
            <w:tcBorders>
              <w:top w:val="single" w:sz="8" w:space="0" w:color="F2F2F2"/>
              <w:left w:val="nil"/>
              <w:bottom w:val="nil"/>
              <w:right w:val="single" w:sz="8" w:space="0" w:color="F2F2F2"/>
            </w:tcBorders>
            <w:shd w:val="clear" w:color="000000" w:fill="00B0F0"/>
            <w:vAlign w:val="center"/>
            <w:hideMark/>
          </w:tcPr>
          <w:p w:rsidR="00AB3550" w:rsidRPr="00C41AB9" w:rsidRDefault="00AB3550" w:rsidP="00AB3550">
            <w:pPr>
              <w:jc w:val="center"/>
              <w:rPr>
                <w:rFonts w:ascii="Arial" w:eastAsia="Times New Roman" w:hAnsi="Arial" w:cs="Arial"/>
                <w:b/>
                <w:bCs/>
                <w:color w:val="FFFFFF"/>
                <w:sz w:val="18"/>
                <w:szCs w:val="18"/>
                <w:lang w:eastAsia="es-ES_tradnl"/>
              </w:rPr>
            </w:pPr>
            <w:r w:rsidRPr="00C41AB9">
              <w:rPr>
                <w:rFonts w:ascii="Arial" w:eastAsia="Times New Roman" w:hAnsi="Arial" w:cs="Arial"/>
                <w:b/>
                <w:bCs/>
                <w:color w:val="FFFFFF"/>
                <w:sz w:val="18"/>
                <w:szCs w:val="18"/>
                <w:lang w:eastAsia="es-ES_tradnl"/>
              </w:rPr>
              <w:fldChar w:fldCharType="begin"/>
            </w:r>
            <w:r w:rsidR="00EF0ADE" w:rsidRPr="00C41AB9">
              <w:rPr>
                <w:rFonts w:ascii="Arial" w:eastAsia="Times New Roman" w:hAnsi="Arial" w:cs="Arial"/>
                <w:b/>
                <w:bCs/>
                <w:color w:val="FFFFFF"/>
                <w:sz w:val="18"/>
                <w:szCs w:val="18"/>
                <w:lang w:eastAsia="es-ES_tradnl"/>
              </w:rPr>
              <w:instrText>HYPERLINK "C:\\Users\\fdeolloqui\\AppData\\AppData\\AppData\\AppData\\Local\\Microsoft\\marisolp\\Documents\\DATA\\DATA.IDB\\Documents\\Argentina\\Adquisiciones\\2017\\Anexo III\\AR-L1249\\Plan Adquisiciones BORRADOR.xlsx" \l "RANGE!A19"</w:instrText>
            </w:r>
            <w:r w:rsidRPr="00C41AB9">
              <w:rPr>
                <w:rFonts w:ascii="Arial" w:eastAsia="Times New Roman" w:hAnsi="Arial" w:cs="Arial"/>
                <w:b/>
                <w:bCs/>
                <w:color w:val="FFFFFF"/>
                <w:sz w:val="18"/>
                <w:szCs w:val="18"/>
                <w:lang w:eastAsia="es-ES_tradnl"/>
              </w:rPr>
              <w:fldChar w:fldCharType="separate"/>
            </w:r>
            <w:r w:rsidRPr="00C41AB9">
              <w:rPr>
                <w:rFonts w:ascii="Arial" w:eastAsia="Times New Roman" w:hAnsi="Arial" w:cs="Arial"/>
                <w:b/>
                <w:bCs/>
                <w:color w:val="FFFFFF"/>
                <w:sz w:val="18"/>
                <w:szCs w:val="18"/>
                <w:lang w:eastAsia="es-ES_tradnl"/>
              </w:rPr>
              <w:t>Método de Selección</w:t>
            </w:r>
            <w:r w:rsidRPr="00C41AB9">
              <w:rPr>
                <w:rFonts w:ascii="Arial" w:eastAsia="Times New Roman" w:hAnsi="Arial" w:cs="Arial"/>
                <w:b/>
                <w:bCs/>
                <w:color w:val="FFFFFF"/>
                <w:sz w:val="18"/>
                <w:szCs w:val="18"/>
                <w:lang w:eastAsia="es-ES_tradnl"/>
              </w:rPr>
              <w:fldChar w:fldCharType="end"/>
            </w:r>
            <w:bookmarkEnd w:id="10"/>
          </w:p>
        </w:tc>
        <w:tc>
          <w:tcPr>
            <w:tcW w:w="2143" w:type="dxa"/>
            <w:tcBorders>
              <w:top w:val="single" w:sz="8" w:space="0" w:color="F2F2F2"/>
              <w:left w:val="nil"/>
              <w:bottom w:val="nil"/>
              <w:right w:val="single" w:sz="8" w:space="0" w:color="F2F2F2"/>
            </w:tcBorders>
            <w:shd w:val="clear" w:color="000000" w:fill="00B0F0"/>
            <w:vAlign w:val="center"/>
            <w:hideMark/>
          </w:tcPr>
          <w:p w:rsidR="00AB3550" w:rsidRPr="00C41AB9" w:rsidRDefault="00AB3550" w:rsidP="00AB3550">
            <w:pPr>
              <w:jc w:val="center"/>
              <w:rPr>
                <w:rFonts w:ascii="Arial" w:eastAsia="Times New Roman" w:hAnsi="Arial" w:cs="Arial"/>
                <w:b/>
                <w:bCs/>
                <w:color w:val="FFFFFF"/>
                <w:sz w:val="18"/>
                <w:szCs w:val="18"/>
                <w:lang w:eastAsia="es-ES_tradnl"/>
              </w:rPr>
            </w:pPr>
            <w:r w:rsidRPr="00C41AB9">
              <w:rPr>
                <w:rFonts w:ascii="Arial" w:eastAsia="Times New Roman" w:hAnsi="Arial" w:cs="Arial"/>
                <w:b/>
                <w:bCs/>
                <w:color w:val="FFFFFF"/>
                <w:sz w:val="18"/>
                <w:szCs w:val="18"/>
                <w:lang w:eastAsia="es-ES_tradnl"/>
              </w:rPr>
              <w:t>Fecha Estimada de convocatoria/invitación</w:t>
            </w:r>
          </w:p>
        </w:tc>
        <w:tc>
          <w:tcPr>
            <w:tcW w:w="1620" w:type="dxa"/>
            <w:tcBorders>
              <w:top w:val="single" w:sz="8" w:space="0" w:color="F2F2F2"/>
              <w:left w:val="nil"/>
              <w:bottom w:val="nil"/>
              <w:right w:val="single" w:sz="8" w:space="0" w:color="F2F2F2"/>
            </w:tcBorders>
            <w:shd w:val="clear" w:color="000000" w:fill="00B0F0"/>
            <w:vAlign w:val="center"/>
            <w:hideMark/>
          </w:tcPr>
          <w:p w:rsidR="00AB3550" w:rsidRPr="00C41AB9" w:rsidRDefault="00AB3550" w:rsidP="00AB3550">
            <w:pPr>
              <w:jc w:val="center"/>
              <w:rPr>
                <w:rFonts w:ascii="Arial" w:eastAsia="Times New Roman" w:hAnsi="Arial" w:cs="Arial"/>
                <w:b/>
                <w:bCs/>
                <w:color w:val="FFFFFF"/>
                <w:sz w:val="18"/>
                <w:szCs w:val="18"/>
                <w:lang w:eastAsia="es-ES_tradnl"/>
              </w:rPr>
            </w:pPr>
            <w:r w:rsidRPr="00C41AB9">
              <w:rPr>
                <w:rFonts w:ascii="Arial" w:eastAsia="Times New Roman" w:hAnsi="Arial" w:cs="Arial"/>
                <w:b/>
                <w:bCs/>
                <w:color w:val="FFFFFF"/>
                <w:sz w:val="18"/>
                <w:szCs w:val="18"/>
                <w:lang w:eastAsia="es-ES_tradnl"/>
              </w:rPr>
              <w:t>Monto Estimado</w:t>
            </w:r>
          </w:p>
        </w:tc>
      </w:tr>
      <w:tr w:rsidR="00937726" w:rsidRPr="00C41AB9" w:rsidTr="00C41AB9">
        <w:trPr>
          <w:trHeight w:val="324"/>
          <w:jc w:val="center"/>
        </w:trPr>
        <w:tc>
          <w:tcPr>
            <w:tcW w:w="3950" w:type="dxa"/>
            <w:tcBorders>
              <w:top w:val="nil"/>
              <w:left w:val="single" w:sz="8" w:space="0" w:color="BFBFBF"/>
              <w:bottom w:val="single" w:sz="8" w:space="0" w:color="BFBFBF"/>
              <w:right w:val="single" w:sz="8" w:space="0" w:color="BFBFBF"/>
            </w:tcBorders>
            <w:shd w:val="clear" w:color="000000" w:fill="BFBFBF"/>
            <w:vAlign w:val="center"/>
            <w:hideMark/>
          </w:tcPr>
          <w:p w:rsidR="00AB3550" w:rsidRPr="00C41AB9" w:rsidRDefault="00AB3550" w:rsidP="00AB3550">
            <w:pPr>
              <w:jc w:val="both"/>
              <w:rPr>
                <w:rFonts w:ascii="Arial" w:eastAsia="Times New Roman" w:hAnsi="Arial" w:cs="Arial"/>
                <w:b/>
                <w:bCs/>
                <w:color w:val="FFFFFF"/>
                <w:sz w:val="18"/>
                <w:szCs w:val="18"/>
                <w:lang w:eastAsia="es-ES_tradnl"/>
              </w:rPr>
            </w:pPr>
            <w:r w:rsidRPr="00C41AB9">
              <w:rPr>
                <w:rFonts w:ascii="Arial" w:eastAsia="Times New Roman" w:hAnsi="Arial" w:cs="Arial"/>
                <w:b/>
                <w:bCs/>
                <w:color w:val="FFFFFF"/>
                <w:sz w:val="18"/>
                <w:szCs w:val="18"/>
                <w:lang w:eastAsia="es-ES_tradnl"/>
              </w:rPr>
              <w:t>Transferencias</w:t>
            </w:r>
          </w:p>
        </w:tc>
        <w:tc>
          <w:tcPr>
            <w:tcW w:w="917" w:type="dxa"/>
            <w:tcBorders>
              <w:top w:val="nil"/>
              <w:left w:val="nil"/>
              <w:bottom w:val="single" w:sz="8" w:space="0" w:color="BFBFBF"/>
              <w:right w:val="single" w:sz="8" w:space="0" w:color="BFBFBF"/>
            </w:tcBorders>
            <w:shd w:val="clear" w:color="000000" w:fill="BFBFBF"/>
            <w:vAlign w:val="center"/>
            <w:hideMark/>
          </w:tcPr>
          <w:p w:rsidR="00AB3550" w:rsidRPr="00C41AB9" w:rsidRDefault="00AB3550" w:rsidP="00AB3550">
            <w:pPr>
              <w:jc w:val="both"/>
              <w:rPr>
                <w:rFonts w:ascii="Arial" w:eastAsia="Times New Roman" w:hAnsi="Arial" w:cs="Arial"/>
                <w:color w:val="FFFFFF"/>
                <w:sz w:val="18"/>
                <w:szCs w:val="18"/>
                <w:lang w:eastAsia="es-ES_tradnl"/>
              </w:rPr>
            </w:pPr>
            <w:r w:rsidRPr="00C41AB9">
              <w:rPr>
                <w:rFonts w:ascii="Arial" w:eastAsia="Times New Roman" w:hAnsi="Arial" w:cs="Arial"/>
                <w:color w:val="FFFFFF"/>
                <w:sz w:val="18"/>
                <w:szCs w:val="18"/>
                <w:lang w:eastAsia="es-ES_tradnl"/>
              </w:rPr>
              <w:t> </w:t>
            </w:r>
          </w:p>
        </w:tc>
        <w:tc>
          <w:tcPr>
            <w:tcW w:w="2143" w:type="dxa"/>
            <w:tcBorders>
              <w:top w:val="nil"/>
              <w:left w:val="nil"/>
              <w:bottom w:val="single" w:sz="8" w:space="0" w:color="BFBFBF"/>
              <w:right w:val="single" w:sz="8" w:space="0" w:color="BFBFBF"/>
            </w:tcBorders>
            <w:shd w:val="clear" w:color="000000" w:fill="BFBFBF"/>
            <w:vAlign w:val="center"/>
            <w:hideMark/>
          </w:tcPr>
          <w:p w:rsidR="00AB3550" w:rsidRPr="00C41AB9" w:rsidRDefault="00AB3550" w:rsidP="00AB3550">
            <w:pPr>
              <w:jc w:val="both"/>
              <w:rPr>
                <w:rFonts w:ascii="Arial" w:eastAsia="Times New Roman" w:hAnsi="Arial" w:cs="Arial"/>
                <w:color w:val="FFFFFF"/>
                <w:sz w:val="18"/>
                <w:szCs w:val="18"/>
                <w:lang w:eastAsia="es-ES_tradnl"/>
              </w:rPr>
            </w:pPr>
            <w:r w:rsidRPr="00C41AB9">
              <w:rPr>
                <w:rFonts w:ascii="Arial" w:eastAsia="Times New Roman" w:hAnsi="Arial" w:cs="Arial"/>
                <w:color w:val="FFFFFF"/>
                <w:sz w:val="18"/>
                <w:szCs w:val="18"/>
                <w:lang w:eastAsia="es-ES_tradnl"/>
              </w:rPr>
              <w:t> </w:t>
            </w:r>
          </w:p>
        </w:tc>
        <w:tc>
          <w:tcPr>
            <w:tcW w:w="1620" w:type="dxa"/>
            <w:tcBorders>
              <w:top w:val="nil"/>
              <w:left w:val="nil"/>
              <w:bottom w:val="single" w:sz="8" w:space="0" w:color="BFBFBF"/>
              <w:right w:val="single" w:sz="8" w:space="0" w:color="BFBFBF"/>
            </w:tcBorders>
            <w:shd w:val="clear" w:color="000000" w:fill="BFBFBF"/>
            <w:vAlign w:val="center"/>
            <w:hideMark/>
          </w:tcPr>
          <w:p w:rsidR="00AB3550" w:rsidRPr="00C41AB9" w:rsidRDefault="00AB3550" w:rsidP="00AB3550">
            <w:pPr>
              <w:jc w:val="both"/>
              <w:rPr>
                <w:rFonts w:ascii="Arial" w:eastAsia="Times New Roman" w:hAnsi="Arial" w:cs="Arial"/>
                <w:color w:val="FFFFFF"/>
                <w:sz w:val="18"/>
                <w:szCs w:val="18"/>
                <w:lang w:eastAsia="es-ES_tradnl"/>
              </w:rPr>
            </w:pPr>
            <w:r w:rsidRPr="00C41AB9">
              <w:rPr>
                <w:rFonts w:ascii="Arial" w:eastAsia="Times New Roman" w:hAnsi="Arial" w:cs="Arial"/>
                <w:color w:val="FFFFFF"/>
                <w:sz w:val="18"/>
                <w:szCs w:val="18"/>
                <w:lang w:eastAsia="es-ES_tradnl"/>
              </w:rPr>
              <w:t> </w:t>
            </w:r>
          </w:p>
        </w:tc>
      </w:tr>
      <w:tr w:rsidR="00AB3550" w:rsidRPr="00C41AB9" w:rsidTr="00C41AB9">
        <w:trPr>
          <w:trHeight w:val="324"/>
          <w:jc w:val="center"/>
        </w:trPr>
        <w:tc>
          <w:tcPr>
            <w:tcW w:w="3950" w:type="dxa"/>
            <w:tcBorders>
              <w:top w:val="nil"/>
              <w:left w:val="single" w:sz="8" w:space="0" w:color="D9D9D9"/>
              <w:bottom w:val="single" w:sz="8" w:space="0" w:color="D9D9D9"/>
              <w:right w:val="single" w:sz="8" w:space="0" w:color="D9D9D9"/>
            </w:tcBorders>
            <w:shd w:val="clear" w:color="auto" w:fill="auto"/>
            <w:noWrap/>
            <w:vAlign w:val="bottom"/>
            <w:hideMark/>
          </w:tcPr>
          <w:p w:rsidR="00AB3550" w:rsidRPr="00C41AB9" w:rsidRDefault="00AB3550" w:rsidP="00AB3550">
            <w:pPr>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ANR (</w:t>
            </w:r>
            <w:r w:rsidR="00537F8A" w:rsidRPr="00C41AB9">
              <w:rPr>
                <w:rFonts w:ascii="Arial" w:eastAsia="Times New Roman" w:hAnsi="Arial" w:cs="Arial"/>
                <w:color w:val="000000"/>
                <w:sz w:val="18"/>
                <w:szCs w:val="18"/>
                <w:lang w:eastAsia="es-ES_tradnl"/>
              </w:rPr>
              <w:t>C</w:t>
            </w:r>
            <w:r w:rsidRPr="00C41AB9">
              <w:rPr>
                <w:rFonts w:ascii="Arial" w:eastAsia="Times New Roman" w:hAnsi="Arial" w:cs="Arial"/>
                <w:color w:val="000000"/>
                <w:sz w:val="18"/>
                <w:szCs w:val="18"/>
                <w:lang w:eastAsia="es-ES_tradnl"/>
              </w:rPr>
              <w:t>omponente 1)</w:t>
            </w:r>
          </w:p>
        </w:tc>
        <w:tc>
          <w:tcPr>
            <w:tcW w:w="917" w:type="dxa"/>
            <w:tcBorders>
              <w:top w:val="nil"/>
              <w:left w:val="nil"/>
              <w:bottom w:val="single" w:sz="8" w:space="0" w:color="BFBFBF"/>
              <w:right w:val="single" w:sz="8" w:space="0" w:color="BFBFBF"/>
            </w:tcBorders>
            <w:shd w:val="clear" w:color="auto" w:fill="auto"/>
            <w:vAlign w:val="center"/>
            <w:hideMark/>
          </w:tcPr>
          <w:p w:rsidR="00AB3550" w:rsidRPr="00C41AB9" w:rsidRDefault="00AB3550" w:rsidP="00AB3550">
            <w:pPr>
              <w:jc w:val="center"/>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 </w:t>
            </w:r>
          </w:p>
        </w:tc>
        <w:tc>
          <w:tcPr>
            <w:tcW w:w="2143" w:type="dxa"/>
            <w:tcBorders>
              <w:top w:val="nil"/>
              <w:left w:val="nil"/>
              <w:bottom w:val="single" w:sz="8" w:space="0" w:color="BFBFBF"/>
              <w:right w:val="single" w:sz="8" w:space="0" w:color="BFBFBF"/>
            </w:tcBorders>
            <w:shd w:val="clear" w:color="auto" w:fill="auto"/>
            <w:vAlign w:val="center"/>
            <w:hideMark/>
          </w:tcPr>
          <w:p w:rsidR="00AB3550" w:rsidRPr="00C41AB9" w:rsidRDefault="00AB3550" w:rsidP="00AB3550">
            <w:pPr>
              <w:jc w:val="center"/>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2018</w:t>
            </w:r>
          </w:p>
        </w:tc>
        <w:tc>
          <w:tcPr>
            <w:tcW w:w="1620" w:type="dxa"/>
            <w:tcBorders>
              <w:top w:val="nil"/>
              <w:left w:val="single" w:sz="8" w:space="0" w:color="D9D9D9"/>
              <w:bottom w:val="single" w:sz="8" w:space="0" w:color="D9D9D9"/>
              <w:right w:val="single" w:sz="8" w:space="0" w:color="D9D9D9"/>
            </w:tcBorders>
            <w:shd w:val="clear" w:color="auto" w:fill="auto"/>
            <w:vAlign w:val="center"/>
            <w:hideMark/>
          </w:tcPr>
          <w:p w:rsidR="00AB3550" w:rsidRPr="00C41AB9" w:rsidRDefault="00AB3550" w:rsidP="00937726">
            <w:pPr>
              <w:jc w:val="right"/>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10</w:t>
            </w:r>
            <w:r w:rsidR="002D6148" w:rsidRPr="00C41AB9">
              <w:rPr>
                <w:rFonts w:ascii="Arial" w:eastAsia="Times New Roman" w:hAnsi="Arial" w:cs="Arial"/>
                <w:color w:val="000000"/>
                <w:sz w:val="18"/>
                <w:szCs w:val="18"/>
                <w:lang w:eastAsia="es-ES_tradnl"/>
              </w:rPr>
              <w:t>.</w:t>
            </w:r>
            <w:r w:rsidRPr="00C41AB9">
              <w:rPr>
                <w:rFonts w:ascii="Arial" w:eastAsia="Times New Roman" w:hAnsi="Arial" w:cs="Arial"/>
                <w:color w:val="000000"/>
                <w:sz w:val="18"/>
                <w:szCs w:val="18"/>
                <w:lang w:eastAsia="es-ES_tradnl"/>
              </w:rPr>
              <w:t>000</w:t>
            </w:r>
            <w:r w:rsidR="002D6148" w:rsidRPr="00C41AB9">
              <w:rPr>
                <w:rFonts w:ascii="Arial" w:eastAsia="Times New Roman" w:hAnsi="Arial" w:cs="Arial"/>
                <w:color w:val="000000"/>
                <w:sz w:val="18"/>
                <w:szCs w:val="18"/>
                <w:lang w:eastAsia="es-ES_tradnl"/>
              </w:rPr>
              <w:t>.</w:t>
            </w:r>
            <w:r w:rsidRPr="00C41AB9">
              <w:rPr>
                <w:rFonts w:ascii="Arial" w:eastAsia="Times New Roman" w:hAnsi="Arial" w:cs="Arial"/>
                <w:color w:val="000000"/>
                <w:sz w:val="18"/>
                <w:szCs w:val="18"/>
                <w:lang w:eastAsia="es-ES_tradnl"/>
              </w:rPr>
              <w:t>000</w:t>
            </w:r>
            <w:r w:rsidR="002D6148" w:rsidRPr="00C41AB9">
              <w:rPr>
                <w:rFonts w:ascii="Arial" w:eastAsia="Times New Roman" w:hAnsi="Arial" w:cs="Arial"/>
                <w:color w:val="000000"/>
                <w:sz w:val="18"/>
                <w:szCs w:val="18"/>
                <w:lang w:eastAsia="es-ES_tradnl"/>
              </w:rPr>
              <w:t>,</w:t>
            </w:r>
            <w:r w:rsidRPr="00C41AB9">
              <w:rPr>
                <w:rFonts w:ascii="Arial" w:eastAsia="Times New Roman" w:hAnsi="Arial" w:cs="Arial"/>
                <w:color w:val="000000"/>
                <w:sz w:val="18"/>
                <w:szCs w:val="18"/>
                <w:lang w:eastAsia="es-ES_tradnl"/>
              </w:rPr>
              <w:t>00</w:t>
            </w:r>
          </w:p>
        </w:tc>
      </w:tr>
      <w:tr w:rsidR="00AB3550" w:rsidRPr="00C41AB9" w:rsidTr="00C41AB9">
        <w:trPr>
          <w:trHeight w:val="324"/>
          <w:jc w:val="center"/>
        </w:trPr>
        <w:tc>
          <w:tcPr>
            <w:tcW w:w="3950" w:type="dxa"/>
            <w:tcBorders>
              <w:top w:val="single" w:sz="8" w:space="0" w:color="BFBFBF"/>
              <w:left w:val="single" w:sz="8" w:space="0" w:color="D9D9D9"/>
              <w:bottom w:val="single" w:sz="8" w:space="0" w:color="D9D9D9"/>
              <w:right w:val="single" w:sz="8" w:space="0" w:color="D9D9D9"/>
            </w:tcBorders>
            <w:shd w:val="clear" w:color="auto" w:fill="auto"/>
            <w:noWrap/>
            <w:vAlign w:val="bottom"/>
            <w:hideMark/>
          </w:tcPr>
          <w:p w:rsidR="00AB3550" w:rsidRPr="00C41AB9" w:rsidRDefault="00537F8A" w:rsidP="00AB3550">
            <w:pPr>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ANR + Créditos (C</w:t>
            </w:r>
            <w:r w:rsidR="00AB3550" w:rsidRPr="00C41AB9">
              <w:rPr>
                <w:rFonts w:ascii="Arial" w:eastAsia="Times New Roman" w:hAnsi="Arial" w:cs="Arial"/>
                <w:color w:val="000000"/>
                <w:sz w:val="18"/>
                <w:szCs w:val="18"/>
                <w:lang w:eastAsia="es-ES_tradnl"/>
              </w:rPr>
              <w:t>omponente 2)</w:t>
            </w:r>
          </w:p>
        </w:tc>
        <w:tc>
          <w:tcPr>
            <w:tcW w:w="917" w:type="dxa"/>
            <w:tcBorders>
              <w:top w:val="nil"/>
              <w:left w:val="nil"/>
              <w:bottom w:val="single" w:sz="8" w:space="0" w:color="BFBFBF"/>
              <w:right w:val="single" w:sz="8" w:space="0" w:color="BFBFBF"/>
            </w:tcBorders>
            <w:shd w:val="clear" w:color="auto" w:fill="auto"/>
            <w:vAlign w:val="center"/>
            <w:hideMark/>
          </w:tcPr>
          <w:p w:rsidR="00AB3550" w:rsidRPr="00C41AB9" w:rsidRDefault="00AB3550" w:rsidP="00AB3550">
            <w:pPr>
              <w:jc w:val="center"/>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 </w:t>
            </w:r>
          </w:p>
        </w:tc>
        <w:tc>
          <w:tcPr>
            <w:tcW w:w="2143" w:type="dxa"/>
            <w:tcBorders>
              <w:top w:val="nil"/>
              <w:left w:val="nil"/>
              <w:bottom w:val="single" w:sz="8" w:space="0" w:color="BFBFBF"/>
              <w:right w:val="single" w:sz="8" w:space="0" w:color="BFBFBF"/>
            </w:tcBorders>
            <w:shd w:val="clear" w:color="auto" w:fill="auto"/>
            <w:vAlign w:val="center"/>
            <w:hideMark/>
          </w:tcPr>
          <w:p w:rsidR="00AB3550" w:rsidRPr="00C41AB9" w:rsidRDefault="00AB3550" w:rsidP="00AB3550">
            <w:pPr>
              <w:jc w:val="center"/>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2018</w:t>
            </w:r>
          </w:p>
        </w:tc>
        <w:tc>
          <w:tcPr>
            <w:tcW w:w="1620" w:type="dxa"/>
            <w:tcBorders>
              <w:top w:val="single" w:sz="8" w:space="0" w:color="BFBFBF"/>
              <w:left w:val="single" w:sz="8" w:space="0" w:color="D9D9D9"/>
              <w:bottom w:val="single" w:sz="8" w:space="0" w:color="D9D9D9"/>
              <w:right w:val="single" w:sz="8" w:space="0" w:color="D9D9D9"/>
            </w:tcBorders>
            <w:shd w:val="clear" w:color="auto" w:fill="auto"/>
            <w:vAlign w:val="center"/>
            <w:hideMark/>
          </w:tcPr>
          <w:p w:rsidR="00AB3550" w:rsidRPr="00C41AB9" w:rsidRDefault="00AB3550" w:rsidP="00937726">
            <w:pPr>
              <w:jc w:val="right"/>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6</w:t>
            </w:r>
            <w:r w:rsidR="002D6148" w:rsidRPr="00C41AB9">
              <w:rPr>
                <w:rFonts w:ascii="Arial" w:eastAsia="Times New Roman" w:hAnsi="Arial" w:cs="Arial"/>
                <w:color w:val="000000"/>
                <w:sz w:val="18"/>
                <w:szCs w:val="18"/>
                <w:lang w:eastAsia="es-ES_tradnl"/>
              </w:rPr>
              <w:t>.</w:t>
            </w:r>
            <w:r w:rsidRPr="00C41AB9">
              <w:rPr>
                <w:rFonts w:ascii="Arial" w:eastAsia="Times New Roman" w:hAnsi="Arial" w:cs="Arial"/>
                <w:color w:val="000000"/>
                <w:sz w:val="18"/>
                <w:szCs w:val="18"/>
                <w:lang w:eastAsia="es-ES_tradnl"/>
              </w:rPr>
              <w:t>500</w:t>
            </w:r>
            <w:r w:rsidR="002D6148" w:rsidRPr="00C41AB9">
              <w:rPr>
                <w:rFonts w:ascii="Arial" w:eastAsia="Times New Roman" w:hAnsi="Arial" w:cs="Arial"/>
                <w:color w:val="000000"/>
                <w:sz w:val="18"/>
                <w:szCs w:val="18"/>
                <w:lang w:eastAsia="es-ES_tradnl"/>
              </w:rPr>
              <w:t>.</w:t>
            </w:r>
            <w:r w:rsidRPr="00C41AB9">
              <w:rPr>
                <w:rFonts w:ascii="Arial" w:eastAsia="Times New Roman" w:hAnsi="Arial" w:cs="Arial"/>
                <w:color w:val="000000"/>
                <w:sz w:val="18"/>
                <w:szCs w:val="18"/>
                <w:lang w:eastAsia="es-ES_tradnl"/>
              </w:rPr>
              <w:t>000</w:t>
            </w:r>
            <w:r w:rsidR="002D6148" w:rsidRPr="00C41AB9">
              <w:rPr>
                <w:rFonts w:ascii="Arial" w:eastAsia="Times New Roman" w:hAnsi="Arial" w:cs="Arial"/>
                <w:color w:val="000000"/>
                <w:sz w:val="18"/>
                <w:szCs w:val="18"/>
                <w:lang w:eastAsia="es-ES_tradnl"/>
              </w:rPr>
              <w:t>,</w:t>
            </w:r>
            <w:r w:rsidRPr="00C41AB9">
              <w:rPr>
                <w:rFonts w:ascii="Arial" w:eastAsia="Times New Roman" w:hAnsi="Arial" w:cs="Arial"/>
                <w:color w:val="000000"/>
                <w:sz w:val="18"/>
                <w:szCs w:val="18"/>
                <w:lang w:eastAsia="es-ES_tradnl"/>
              </w:rPr>
              <w:t>00</w:t>
            </w:r>
          </w:p>
        </w:tc>
      </w:tr>
      <w:tr w:rsidR="00937726" w:rsidRPr="00C41AB9" w:rsidTr="00C41AB9">
        <w:trPr>
          <w:trHeight w:val="502"/>
          <w:jc w:val="center"/>
        </w:trPr>
        <w:tc>
          <w:tcPr>
            <w:tcW w:w="3950" w:type="dxa"/>
            <w:tcBorders>
              <w:top w:val="nil"/>
              <w:left w:val="single" w:sz="8" w:space="0" w:color="BFBFBF"/>
              <w:bottom w:val="single" w:sz="8" w:space="0" w:color="BFBFBF"/>
              <w:right w:val="single" w:sz="8" w:space="0" w:color="BFBFBF"/>
            </w:tcBorders>
            <w:shd w:val="clear" w:color="000000" w:fill="BFBFBF"/>
            <w:vAlign w:val="center"/>
            <w:hideMark/>
          </w:tcPr>
          <w:p w:rsidR="00AB3550" w:rsidRPr="00C41AB9" w:rsidRDefault="00AB3550" w:rsidP="00AB3550">
            <w:pPr>
              <w:jc w:val="both"/>
              <w:rPr>
                <w:rFonts w:ascii="Arial" w:eastAsia="Times New Roman" w:hAnsi="Arial" w:cs="Arial"/>
                <w:b/>
                <w:bCs/>
                <w:color w:val="FFFFFF"/>
                <w:sz w:val="18"/>
                <w:szCs w:val="18"/>
                <w:lang w:eastAsia="es-ES_tradnl"/>
              </w:rPr>
            </w:pPr>
            <w:r w:rsidRPr="00C41AB9">
              <w:rPr>
                <w:rFonts w:ascii="Arial" w:eastAsia="Times New Roman" w:hAnsi="Arial" w:cs="Arial"/>
                <w:b/>
                <w:bCs/>
                <w:color w:val="FFFFFF"/>
                <w:sz w:val="18"/>
                <w:szCs w:val="18"/>
                <w:lang w:eastAsia="es-ES_tradnl"/>
              </w:rPr>
              <w:t xml:space="preserve">Servicios de no consultoría </w:t>
            </w:r>
          </w:p>
        </w:tc>
        <w:tc>
          <w:tcPr>
            <w:tcW w:w="917" w:type="dxa"/>
            <w:tcBorders>
              <w:top w:val="nil"/>
              <w:left w:val="nil"/>
              <w:bottom w:val="single" w:sz="8" w:space="0" w:color="BFBFBF"/>
              <w:right w:val="single" w:sz="8" w:space="0" w:color="BFBFBF"/>
            </w:tcBorders>
            <w:shd w:val="clear" w:color="000000" w:fill="BFBFBF"/>
            <w:vAlign w:val="center"/>
            <w:hideMark/>
          </w:tcPr>
          <w:p w:rsidR="00AB3550" w:rsidRPr="00C41AB9" w:rsidRDefault="00AB3550" w:rsidP="00AB3550">
            <w:pPr>
              <w:jc w:val="center"/>
              <w:rPr>
                <w:rFonts w:ascii="Arial" w:eastAsia="Times New Roman" w:hAnsi="Arial" w:cs="Arial"/>
                <w:color w:val="FFFFFF"/>
                <w:sz w:val="18"/>
                <w:szCs w:val="18"/>
                <w:lang w:eastAsia="es-ES_tradnl"/>
              </w:rPr>
            </w:pPr>
            <w:r w:rsidRPr="00C41AB9">
              <w:rPr>
                <w:rFonts w:ascii="Arial" w:eastAsia="Times New Roman" w:hAnsi="Arial" w:cs="Arial"/>
                <w:color w:val="FFFFFF"/>
                <w:sz w:val="18"/>
                <w:szCs w:val="18"/>
                <w:lang w:eastAsia="es-ES_tradnl"/>
              </w:rPr>
              <w:t> </w:t>
            </w:r>
          </w:p>
        </w:tc>
        <w:tc>
          <w:tcPr>
            <w:tcW w:w="2143" w:type="dxa"/>
            <w:tcBorders>
              <w:top w:val="nil"/>
              <w:left w:val="nil"/>
              <w:bottom w:val="single" w:sz="8" w:space="0" w:color="BFBFBF"/>
              <w:right w:val="single" w:sz="8" w:space="0" w:color="BFBFBF"/>
            </w:tcBorders>
            <w:shd w:val="clear" w:color="000000" w:fill="BFBFBF"/>
            <w:vAlign w:val="center"/>
            <w:hideMark/>
          </w:tcPr>
          <w:p w:rsidR="00AB3550" w:rsidRPr="00C41AB9" w:rsidRDefault="00AB3550" w:rsidP="00AB3550">
            <w:pPr>
              <w:jc w:val="center"/>
              <w:rPr>
                <w:rFonts w:ascii="Arial" w:eastAsia="Times New Roman" w:hAnsi="Arial" w:cs="Arial"/>
                <w:color w:val="FFFFFF"/>
                <w:sz w:val="18"/>
                <w:szCs w:val="18"/>
                <w:lang w:eastAsia="es-ES_tradnl"/>
              </w:rPr>
            </w:pPr>
            <w:r w:rsidRPr="00C41AB9">
              <w:rPr>
                <w:rFonts w:ascii="Arial" w:eastAsia="Times New Roman" w:hAnsi="Arial" w:cs="Arial"/>
                <w:color w:val="FFFFFF"/>
                <w:sz w:val="18"/>
                <w:szCs w:val="18"/>
                <w:lang w:eastAsia="es-ES_tradnl"/>
              </w:rPr>
              <w:t> </w:t>
            </w:r>
          </w:p>
        </w:tc>
        <w:tc>
          <w:tcPr>
            <w:tcW w:w="1620" w:type="dxa"/>
            <w:tcBorders>
              <w:top w:val="nil"/>
              <w:left w:val="nil"/>
              <w:bottom w:val="single" w:sz="8" w:space="0" w:color="BFBFBF"/>
              <w:right w:val="single" w:sz="8" w:space="0" w:color="BFBFBF"/>
            </w:tcBorders>
            <w:shd w:val="clear" w:color="000000" w:fill="BFBFBF"/>
            <w:vAlign w:val="center"/>
            <w:hideMark/>
          </w:tcPr>
          <w:p w:rsidR="00AB3550" w:rsidRPr="00C41AB9" w:rsidRDefault="00AB3550" w:rsidP="00937726">
            <w:pPr>
              <w:jc w:val="right"/>
              <w:rPr>
                <w:rFonts w:ascii="Arial" w:eastAsia="Times New Roman" w:hAnsi="Arial" w:cs="Arial"/>
                <w:color w:val="FFFFFF"/>
                <w:sz w:val="18"/>
                <w:szCs w:val="18"/>
                <w:lang w:eastAsia="es-ES_tradnl"/>
              </w:rPr>
            </w:pPr>
            <w:r w:rsidRPr="00C41AB9">
              <w:rPr>
                <w:rFonts w:ascii="Arial" w:eastAsia="Times New Roman" w:hAnsi="Arial" w:cs="Arial"/>
                <w:color w:val="FFFFFF"/>
                <w:sz w:val="18"/>
                <w:szCs w:val="18"/>
                <w:lang w:eastAsia="es-ES_tradnl"/>
              </w:rPr>
              <w:t> </w:t>
            </w:r>
          </w:p>
        </w:tc>
      </w:tr>
      <w:tr w:rsidR="00AB3550" w:rsidRPr="00C41AB9" w:rsidTr="00C41AB9">
        <w:trPr>
          <w:trHeight w:val="520"/>
          <w:jc w:val="center"/>
        </w:trPr>
        <w:tc>
          <w:tcPr>
            <w:tcW w:w="3950" w:type="dxa"/>
            <w:tcBorders>
              <w:top w:val="nil"/>
              <w:left w:val="single" w:sz="8" w:space="0" w:color="D9D9D9"/>
              <w:bottom w:val="single" w:sz="8" w:space="0" w:color="D9D9D9"/>
              <w:right w:val="single" w:sz="8" w:space="0" w:color="D9D9D9"/>
            </w:tcBorders>
            <w:shd w:val="clear" w:color="auto" w:fill="auto"/>
            <w:vAlign w:val="bottom"/>
            <w:hideMark/>
          </w:tcPr>
          <w:p w:rsidR="00AB3550" w:rsidRPr="00C41AB9" w:rsidRDefault="001438A4" w:rsidP="00AB3550">
            <w:pPr>
              <w:rPr>
                <w:rFonts w:ascii="Arial" w:eastAsia="Times New Roman" w:hAnsi="Arial" w:cs="Arial"/>
                <w:color w:val="000000"/>
                <w:sz w:val="18"/>
                <w:szCs w:val="18"/>
                <w:lang w:eastAsia="es-ES_tradnl"/>
              </w:rPr>
            </w:pPr>
            <w:r>
              <w:rPr>
                <w:rFonts w:ascii="Arial" w:eastAsia="Times New Roman" w:hAnsi="Arial" w:cs="Arial"/>
                <w:color w:val="000000"/>
                <w:sz w:val="18"/>
                <w:szCs w:val="18"/>
                <w:lang w:eastAsia="es-ES_tradnl"/>
              </w:rPr>
              <w:t>Gastos relacionados con e</w:t>
            </w:r>
            <w:r w:rsidR="00AB3550" w:rsidRPr="00C41AB9">
              <w:rPr>
                <w:rFonts w:ascii="Arial" w:eastAsia="Times New Roman" w:hAnsi="Arial" w:cs="Arial"/>
                <w:color w:val="000000"/>
                <w:sz w:val="18"/>
                <w:szCs w:val="18"/>
                <w:lang w:eastAsia="es-ES_tradnl"/>
              </w:rPr>
              <w:t>ducación fi</w:t>
            </w:r>
            <w:r w:rsidR="007D6A1A" w:rsidRPr="00C41AB9">
              <w:rPr>
                <w:rFonts w:ascii="Arial" w:eastAsia="Times New Roman" w:hAnsi="Arial" w:cs="Arial"/>
                <w:color w:val="000000"/>
                <w:sz w:val="18"/>
                <w:szCs w:val="18"/>
                <w:lang w:eastAsia="es-ES_tradnl"/>
              </w:rPr>
              <w:t>nanciera y protección del consu</w:t>
            </w:r>
            <w:r w:rsidR="00AB3550" w:rsidRPr="00C41AB9">
              <w:rPr>
                <w:rFonts w:ascii="Arial" w:eastAsia="Times New Roman" w:hAnsi="Arial" w:cs="Arial"/>
                <w:color w:val="000000"/>
                <w:sz w:val="18"/>
                <w:szCs w:val="18"/>
                <w:lang w:eastAsia="es-ES_tradnl"/>
              </w:rPr>
              <w:t>midor (Varios procesos a lo largo de la vida del proyecto)</w:t>
            </w:r>
          </w:p>
        </w:tc>
        <w:tc>
          <w:tcPr>
            <w:tcW w:w="917" w:type="dxa"/>
            <w:tcBorders>
              <w:top w:val="nil"/>
              <w:left w:val="nil"/>
              <w:bottom w:val="single" w:sz="8" w:space="0" w:color="D9D9D9"/>
              <w:right w:val="single" w:sz="8" w:space="0" w:color="D9D9D9"/>
            </w:tcBorders>
            <w:shd w:val="clear" w:color="auto" w:fill="auto"/>
            <w:vAlign w:val="center"/>
            <w:hideMark/>
          </w:tcPr>
          <w:p w:rsidR="00AB3550" w:rsidRPr="00C41AB9" w:rsidRDefault="00AB3550" w:rsidP="00AB3550">
            <w:pPr>
              <w:jc w:val="center"/>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CP</w:t>
            </w:r>
          </w:p>
        </w:tc>
        <w:tc>
          <w:tcPr>
            <w:tcW w:w="2143" w:type="dxa"/>
            <w:tcBorders>
              <w:top w:val="nil"/>
              <w:left w:val="nil"/>
              <w:bottom w:val="single" w:sz="8" w:space="0" w:color="D9D9D9"/>
              <w:right w:val="single" w:sz="8" w:space="0" w:color="D9D9D9"/>
            </w:tcBorders>
            <w:shd w:val="clear" w:color="auto" w:fill="auto"/>
            <w:vAlign w:val="center"/>
            <w:hideMark/>
          </w:tcPr>
          <w:p w:rsidR="00AB3550" w:rsidRPr="00C41AB9" w:rsidRDefault="00AB3550" w:rsidP="00AB3550">
            <w:pPr>
              <w:jc w:val="center"/>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2018</w:t>
            </w:r>
          </w:p>
        </w:tc>
        <w:tc>
          <w:tcPr>
            <w:tcW w:w="1620" w:type="dxa"/>
            <w:tcBorders>
              <w:top w:val="nil"/>
              <w:left w:val="nil"/>
              <w:bottom w:val="single" w:sz="8" w:space="0" w:color="D9D9D9"/>
              <w:right w:val="single" w:sz="8" w:space="0" w:color="D9D9D9"/>
            </w:tcBorders>
            <w:shd w:val="clear" w:color="auto" w:fill="auto"/>
            <w:vAlign w:val="center"/>
            <w:hideMark/>
          </w:tcPr>
          <w:p w:rsidR="00AB3550" w:rsidRPr="00C41AB9" w:rsidRDefault="00AB3550" w:rsidP="00937726">
            <w:pPr>
              <w:jc w:val="right"/>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1</w:t>
            </w:r>
            <w:r w:rsidR="002D6148" w:rsidRPr="00C41AB9">
              <w:rPr>
                <w:rFonts w:ascii="Arial" w:eastAsia="Times New Roman" w:hAnsi="Arial" w:cs="Arial"/>
                <w:color w:val="000000"/>
                <w:sz w:val="18"/>
                <w:szCs w:val="18"/>
                <w:lang w:eastAsia="es-ES_tradnl"/>
              </w:rPr>
              <w:t>.</w:t>
            </w:r>
            <w:r w:rsidRPr="00C41AB9">
              <w:rPr>
                <w:rFonts w:ascii="Arial" w:eastAsia="Times New Roman" w:hAnsi="Arial" w:cs="Arial"/>
                <w:color w:val="000000"/>
                <w:sz w:val="18"/>
                <w:szCs w:val="18"/>
                <w:lang w:eastAsia="es-ES_tradnl"/>
              </w:rPr>
              <w:t>000</w:t>
            </w:r>
            <w:r w:rsidR="002D6148" w:rsidRPr="00C41AB9">
              <w:rPr>
                <w:rFonts w:ascii="Arial" w:eastAsia="Times New Roman" w:hAnsi="Arial" w:cs="Arial"/>
                <w:color w:val="000000"/>
                <w:sz w:val="18"/>
                <w:szCs w:val="18"/>
                <w:lang w:eastAsia="es-ES_tradnl"/>
              </w:rPr>
              <w:t>.</w:t>
            </w:r>
            <w:r w:rsidRPr="00C41AB9">
              <w:rPr>
                <w:rFonts w:ascii="Arial" w:eastAsia="Times New Roman" w:hAnsi="Arial" w:cs="Arial"/>
                <w:color w:val="000000"/>
                <w:sz w:val="18"/>
                <w:szCs w:val="18"/>
                <w:lang w:eastAsia="es-ES_tradnl"/>
              </w:rPr>
              <w:t>000</w:t>
            </w:r>
            <w:r w:rsidR="002D6148" w:rsidRPr="00C41AB9">
              <w:rPr>
                <w:rFonts w:ascii="Arial" w:eastAsia="Times New Roman" w:hAnsi="Arial" w:cs="Arial"/>
                <w:color w:val="000000"/>
                <w:sz w:val="18"/>
                <w:szCs w:val="18"/>
                <w:lang w:eastAsia="es-ES_tradnl"/>
              </w:rPr>
              <w:t>,</w:t>
            </w:r>
            <w:r w:rsidRPr="00C41AB9">
              <w:rPr>
                <w:rFonts w:ascii="Arial" w:eastAsia="Times New Roman" w:hAnsi="Arial" w:cs="Arial"/>
                <w:color w:val="000000"/>
                <w:sz w:val="18"/>
                <w:szCs w:val="18"/>
                <w:lang w:eastAsia="es-ES_tradnl"/>
              </w:rPr>
              <w:t>00</w:t>
            </w:r>
          </w:p>
        </w:tc>
      </w:tr>
      <w:tr w:rsidR="00AB3550" w:rsidRPr="00C41AB9" w:rsidTr="00C41AB9">
        <w:trPr>
          <w:trHeight w:val="565"/>
          <w:jc w:val="center"/>
        </w:trPr>
        <w:tc>
          <w:tcPr>
            <w:tcW w:w="3950" w:type="dxa"/>
            <w:tcBorders>
              <w:top w:val="nil"/>
              <w:left w:val="single" w:sz="8" w:space="0" w:color="D9D9D9"/>
              <w:bottom w:val="single" w:sz="8" w:space="0" w:color="D9D9D9"/>
              <w:right w:val="single" w:sz="8" w:space="0" w:color="D9D9D9"/>
            </w:tcBorders>
            <w:shd w:val="clear" w:color="auto" w:fill="auto"/>
            <w:vAlign w:val="bottom"/>
            <w:hideMark/>
          </w:tcPr>
          <w:p w:rsidR="00AB3550" w:rsidRPr="00C41AB9" w:rsidRDefault="00AB3550" w:rsidP="00AB3550">
            <w:pPr>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Gastos l</w:t>
            </w:r>
            <w:r w:rsidR="007D6A1A" w:rsidRPr="00C41AB9">
              <w:rPr>
                <w:rFonts w:ascii="Arial" w:eastAsia="Times New Roman" w:hAnsi="Arial" w:cs="Arial"/>
                <w:color w:val="000000"/>
                <w:sz w:val="18"/>
                <w:szCs w:val="18"/>
                <w:lang w:eastAsia="es-ES_tradnl"/>
              </w:rPr>
              <w:t>o</w:t>
            </w:r>
            <w:r w:rsidRPr="00C41AB9">
              <w:rPr>
                <w:rFonts w:ascii="Arial" w:eastAsia="Times New Roman" w:hAnsi="Arial" w:cs="Arial"/>
                <w:color w:val="000000"/>
                <w:sz w:val="18"/>
                <w:szCs w:val="18"/>
                <w:lang w:eastAsia="es-ES_tradnl"/>
              </w:rPr>
              <w:t>g</w:t>
            </w:r>
            <w:r w:rsidR="007D6A1A" w:rsidRPr="00C41AB9">
              <w:rPr>
                <w:rFonts w:ascii="Arial" w:eastAsia="Times New Roman" w:hAnsi="Arial" w:cs="Arial"/>
                <w:color w:val="000000"/>
                <w:sz w:val="18"/>
                <w:szCs w:val="18"/>
                <w:lang w:eastAsia="es-ES_tradnl"/>
              </w:rPr>
              <w:t>í</w:t>
            </w:r>
            <w:r w:rsidRPr="00C41AB9">
              <w:rPr>
                <w:rFonts w:ascii="Arial" w:eastAsia="Times New Roman" w:hAnsi="Arial" w:cs="Arial"/>
                <w:color w:val="000000"/>
                <w:sz w:val="18"/>
                <w:szCs w:val="18"/>
                <w:lang w:eastAsia="es-ES_tradnl"/>
              </w:rPr>
              <w:t>sticos (realización de eventos/ Talleres/ Seminarios) (Varios procesos a lo largo de la vida del proyecto)</w:t>
            </w:r>
          </w:p>
        </w:tc>
        <w:tc>
          <w:tcPr>
            <w:tcW w:w="917" w:type="dxa"/>
            <w:tcBorders>
              <w:top w:val="nil"/>
              <w:left w:val="nil"/>
              <w:bottom w:val="single" w:sz="8" w:space="0" w:color="BFBFBF"/>
              <w:right w:val="single" w:sz="8" w:space="0" w:color="D9D9D9"/>
            </w:tcBorders>
            <w:shd w:val="clear" w:color="auto" w:fill="auto"/>
            <w:vAlign w:val="center"/>
            <w:hideMark/>
          </w:tcPr>
          <w:p w:rsidR="00AB3550" w:rsidRPr="00C41AB9" w:rsidRDefault="00AB3550" w:rsidP="00AB3550">
            <w:pPr>
              <w:jc w:val="center"/>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CP</w:t>
            </w:r>
          </w:p>
        </w:tc>
        <w:tc>
          <w:tcPr>
            <w:tcW w:w="2143" w:type="dxa"/>
            <w:tcBorders>
              <w:top w:val="nil"/>
              <w:left w:val="nil"/>
              <w:bottom w:val="single" w:sz="8" w:space="0" w:color="BFBFBF"/>
              <w:right w:val="single" w:sz="8" w:space="0" w:color="D9D9D9"/>
            </w:tcBorders>
            <w:shd w:val="clear" w:color="auto" w:fill="auto"/>
            <w:vAlign w:val="center"/>
            <w:hideMark/>
          </w:tcPr>
          <w:p w:rsidR="00AB3550" w:rsidRPr="00C41AB9" w:rsidRDefault="00AB3550" w:rsidP="00AB3550">
            <w:pPr>
              <w:jc w:val="center"/>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2018</w:t>
            </w:r>
          </w:p>
        </w:tc>
        <w:tc>
          <w:tcPr>
            <w:tcW w:w="1620" w:type="dxa"/>
            <w:tcBorders>
              <w:top w:val="nil"/>
              <w:left w:val="nil"/>
              <w:bottom w:val="nil"/>
              <w:right w:val="single" w:sz="8" w:space="0" w:color="D9D9D9"/>
            </w:tcBorders>
            <w:shd w:val="clear" w:color="auto" w:fill="auto"/>
            <w:vAlign w:val="center"/>
            <w:hideMark/>
          </w:tcPr>
          <w:p w:rsidR="00AB3550" w:rsidRPr="00C41AB9" w:rsidRDefault="00AB3550" w:rsidP="00937726">
            <w:pPr>
              <w:jc w:val="right"/>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400</w:t>
            </w:r>
            <w:r w:rsidR="002D6148" w:rsidRPr="00C41AB9">
              <w:rPr>
                <w:rFonts w:ascii="Arial" w:eastAsia="Times New Roman" w:hAnsi="Arial" w:cs="Arial"/>
                <w:color w:val="000000"/>
                <w:sz w:val="18"/>
                <w:szCs w:val="18"/>
                <w:lang w:eastAsia="es-ES_tradnl"/>
              </w:rPr>
              <w:t>.</w:t>
            </w:r>
            <w:r w:rsidRPr="00C41AB9">
              <w:rPr>
                <w:rFonts w:ascii="Arial" w:eastAsia="Times New Roman" w:hAnsi="Arial" w:cs="Arial"/>
                <w:color w:val="000000"/>
                <w:sz w:val="18"/>
                <w:szCs w:val="18"/>
                <w:lang w:eastAsia="es-ES_tradnl"/>
              </w:rPr>
              <w:t>000</w:t>
            </w:r>
            <w:r w:rsidR="002D6148" w:rsidRPr="00C41AB9">
              <w:rPr>
                <w:rFonts w:ascii="Arial" w:eastAsia="Times New Roman" w:hAnsi="Arial" w:cs="Arial"/>
                <w:color w:val="000000"/>
                <w:sz w:val="18"/>
                <w:szCs w:val="18"/>
                <w:lang w:eastAsia="es-ES_tradnl"/>
              </w:rPr>
              <w:t>,</w:t>
            </w:r>
            <w:r w:rsidRPr="00C41AB9">
              <w:rPr>
                <w:rFonts w:ascii="Arial" w:eastAsia="Times New Roman" w:hAnsi="Arial" w:cs="Arial"/>
                <w:color w:val="000000"/>
                <w:sz w:val="18"/>
                <w:szCs w:val="18"/>
                <w:lang w:eastAsia="es-ES_tradnl"/>
              </w:rPr>
              <w:t xml:space="preserve">00 </w:t>
            </w:r>
          </w:p>
        </w:tc>
      </w:tr>
      <w:tr w:rsidR="00937726" w:rsidRPr="00C41AB9" w:rsidTr="00C41AB9">
        <w:trPr>
          <w:trHeight w:val="324"/>
          <w:jc w:val="center"/>
        </w:trPr>
        <w:tc>
          <w:tcPr>
            <w:tcW w:w="3950" w:type="dxa"/>
            <w:tcBorders>
              <w:top w:val="nil"/>
              <w:left w:val="single" w:sz="8" w:space="0" w:color="BFBFBF"/>
              <w:bottom w:val="nil"/>
              <w:right w:val="single" w:sz="8" w:space="0" w:color="BFBFBF"/>
            </w:tcBorders>
            <w:shd w:val="clear" w:color="000000" w:fill="BFBFBF"/>
            <w:vAlign w:val="center"/>
            <w:hideMark/>
          </w:tcPr>
          <w:p w:rsidR="00AB3550" w:rsidRPr="00C41AB9" w:rsidRDefault="00AB3550" w:rsidP="00AB3550">
            <w:pPr>
              <w:jc w:val="both"/>
              <w:rPr>
                <w:rFonts w:ascii="Arial" w:eastAsia="Times New Roman" w:hAnsi="Arial" w:cs="Arial"/>
                <w:b/>
                <w:bCs/>
                <w:color w:val="FFFFFF"/>
                <w:sz w:val="18"/>
                <w:szCs w:val="18"/>
                <w:lang w:eastAsia="es-ES_tradnl"/>
              </w:rPr>
            </w:pPr>
            <w:r w:rsidRPr="00C41AB9">
              <w:rPr>
                <w:rFonts w:ascii="Arial" w:eastAsia="Times New Roman" w:hAnsi="Arial" w:cs="Arial"/>
                <w:b/>
                <w:bCs/>
                <w:color w:val="FFFFFF"/>
                <w:sz w:val="18"/>
                <w:szCs w:val="18"/>
                <w:lang w:eastAsia="es-ES_tradnl"/>
              </w:rPr>
              <w:t>Firmas</w:t>
            </w:r>
          </w:p>
        </w:tc>
        <w:tc>
          <w:tcPr>
            <w:tcW w:w="917" w:type="dxa"/>
            <w:tcBorders>
              <w:top w:val="nil"/>
              <w:left w:val="nil"/>
              <w:bottom w:val="nil"/>
              <w:right w:val="single" w:sz="8" w:space="0" w:color="BFBFBF"/>
            </w:tcBorders>
            <w:shd w:val="clear" w:color="000000" w:fill="BFBFBF"/>
            <w:vAlign w:val="center"/>
            <w:hideMark/>
          </w:tcPr>
          <w:p w:rsidR="00AB3550" w:rsidRPr="00C41AB9" w:rsidRDefault="00AB3550" w:rsidP="00AB3550">
            <w:pPr>
              <w:jc w:val="center"/>
              <w:rPr>
                <w:rFonts w:ascii="Arial" w:eastAsia="Times New Roman" w:hAnsi="Arial" w:cs="Arial"/>
                <w:color w:val="FFFFFF"/>
                <w:sz w:val="18"/>
                <w:szCs w:val="18"/>
                <w:lang w:eastAsia="es-ES_tradnl"/>
              </w:rPr>
            </w:pPr>
            <w:r w:rsidRPr="00C41AB9">
              <w:rPr>
                <w:rFonts w:ascii="Arial" w:eastAsia="Times New Roman" w:hAnsi="Arial" w:cs="Arial"/>
                <w:color w:val="FFFFFF"/>
                <w:sz w:val="18"/>
                <w:szCs w:val="18"/>
                <w:lang w:eastAsia="es-ES_tradnl"/>
              </w:rPr>
              <w:t> </w:t>
            </w:r>
          </w:p>
        </w:tc>
        <w:tc>
          <w:tcPr>
            <w:tcW w:w="2143" w:type="dxa"/>
            <w:tcBorders>
              <w:top w:val="nil"/>
              <w:left w:val="nil"/>
              <w:bottom w:val="nil"/>
              <w:right w:val="single" w:sz="8" w:space="0" w:color="BFBFBF"/>
            </w:tcBorders>
            <w:shd w:val="clear" w:color="000000" w:fill="BFBFBF"/>
            <w:vAlign w:val="center"/>
            <w:hideMark/>
          </w:tcPr>
          <w:p w:rsidR="00AB3550" w:rsidRPr="00C41AB9" w:rsidRDefault="00AB3550" w:rsidP="00AB3550">
            <w:pPr>
              <w:jc w:val="center"/>
              <w:rPr>
                <w:rFonts w:ascii="Arial" w:eastAsia="Times New Roman" w:hAnsi="Arial" w:cs="Arial"/>
                <w:color w:val="FFFFFF"/>
                <w:sz w:val="18"/>
                <w:szCs w:val="18"/>
                <w:lang w:eastAsia="es-ES_tradnl"/>
              </w:rPr>
            </w:pPr>
            <w:r w:rsidRPr="00C41AB9">
              <w:rPr>
                <w:rFonts w:ascii="Arial" w:eastAsia="Times New Roman" w:hAnsi="Arial" w:cs="Arial"/>
                <w:color w:val="FFFFFF"/>
                <w:sz w:val="18"/>
                <w:szCs w:val="18"/>
                <w:lang w:eastAsia="es-ES_tradnl"/>
              </w:rPr>
              <w:t> </w:t>
            </w:r>
          </w:p>
        </w:tc>
        <w:tc>
          <w:tcPr>
            <w:tcW w:w="1620" w:type="dxa"/>
            <w:tcBorders>
              <w:top w:val="nil"/>
              <w:left w:val="nil"/>
              <w:bottom w:val="nil"/>
              <w:right w:val="single" w:sz="8" w:space="0" w:color="BFBFBF"/>
            </w:tcBorders>
            <w:shd w:val="clear" w:color="000000" w:fill="BFBFBF"/>
            <w:vAlign w:val="center"/>
            <w:hideMark/>
          </w:tcPr>
          <w:p w:rsidR="00AB3550" w:rsidRPr="00C41AB9" w:rsidRDefault="00AB3550" w:rsidP="00937726">
            <w:pPr>
              <w:jc w:val="right"/>
              <w:rPr>
                <w:rFonts w:ascii="Arial" w:eastAsia="Times New Roman" w:hAnsi="Arial" w:cs="Arial"/>
                <w:color w:val="FFFFFF"/>
                <w:sz w:val="18"/>
                <w:szCs w:val="18"/>
                <w:lang w:eastAsia="es-ES_tradnl"/>
              </w:rPr>
            </w:pPr>
            <w:r w:rsidRPr="00C41AB9">
              <w:rPr>
                <w:rFonts w:ascii="Arial" w:eastAsia="Times New Roman" w:hAnsi="Arial" w:cs="Arial"/>
                <w:color w:val="FFFFFF"/>
                <w:sz w:val="18"/>
                <w:szCs w:val="18"/>
                <w:lang w:eastAsia="es-ES_tradnl"/>
              </w:rPr>
              <w:t> </w:t>
            </w:r>
          </w:p>
        </w:tc>
      </w:tr>
      <w:tr w:rsidR="00AB3550" w:rsidRPr="00C41AB9" w:rsidTr="00C41AB9">
        <w:trPr>
          <w:trHeight w:val="655"/>
          <w:jc w:val="center"/>
        </w:trPr>
        <w:tc>
          <w:tcPr>
            <w:tcW w:w="3950" w:type="dxa"/>
            <w:tcBorders>
              <w:top w:val="single" w:sz="8" w:space="0" w:color="BFBFBF"/>
              <w:left w:val="single" w:sz="8" w:space="0" w:color="D9D9D9"/>
              <w:bottom w:val="single" w:sz="8" w:space="0" w:color="D9D9D9"/>
              <w:right w:val="single" w:sz="8" w:space="0" w:color="D9D9D9"/>
            </w:tcBorders>
            <w:shd w:val="clear" w:color="auto" w:fill="auto"/>
            <w:vAlign w:val="bottom"/>
            <w:hideMark/>
          </w:tcPr>
          <w:p w:rsidR="00AB3550" w:rsidRPr="00C41AB9" w:rsidRDefault="00AB3550" w:rsidP="00AB3550">
            <w:pPr>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 xml:space="preserve">Firma Consultora para </w:t>
            </w:r>
            <w:r w:rsidR="001438A4">
              <w:rPr>
                <w:rFonts w:ascii="Arial" w:eastAsia="Times New Roman" w:hAnsi="Arial" w:cs="Arial"/>
                <w:color w:val="000000"/>
                <w:sz w:val="18"/>
                <w:szCs w:val="18"/>
                <w:lang w:eastAsia="es-ES_tradnl"/>
              </w:rPr>
              <w:t>Estudios y C</w:t>
            </w:r>
            <w:r w:rsidRPr="00C41AB9">
              <w:rPr>
                <w:rFonts w:ascii="Arial" w:eastAsia="Times New Roman" w:hAnsi="Arial" w:cs="Arial"/>
                <w:color w:val="000000"/>
                <w:sz w:val="18"/>
                <w:szCs w:val="18"/>
                <w:lang w:eastAsia="es-ES_tradnl"/>
              </w:rPr>
              <w:t>apac</w:t>
            </w:r>
            <w:r w:rsidR="007D6A1A" w:rsidRPr="00C41AB9">
              <w:rPr>
                <w:rFonts w:ascii="Arial" w:eastAsia="Times New Roman" w:hAnsi="Arial" w:cs="Arial"/>
                <w:color w:val="000000"/>
                <w:sz w:val="18"/>
                <w:szCs w:val="18"/>
                <w:lang w:eastAsia="es-ES_tradnl"/>
              </w:rPr>
              <w:t xml:space="preserve">itación de los </w:t>
            </w:r>
            <w:r w:rsidR="001438A4">
              <w:rPr>
                <w:rFonts w:ascii="Arial" w:eastAsia="Times New Roman" w:hAnsi="Arial" w:cs="Arial"/>
                <w:color w:val="000000"/>
                <w:sz w:val="18"/>
                <w:szCs w:val="18"/>
                <w:lang w:eastAsia="es-ES_tradnl"/>
              </w:rPr>
              <w:t>H</w:t>
            </w:r>
            <w:r w:rsidR="007D6A1A" w:rsidRPr="00C41AB9">
              <w:rPr>
                <w:rFonts w:ascii="Arial" w:eastAsia="Times New Roman" w:hAnsi="Arial" w:cs="Arial"/>
                <w:color w:val="000000"/>
                <w:sz w:val="18"/>
                <w:szCs w:val="18"/>
                <w:lang w:eastAsia="es-ES_tradnl"/>
              </w:rPr>
              <w:t xml:space="preserve">acedores de </w:t>
            </w:r>
            <w:r w:rsidR="001438A4">
              <w:rPr>
                <w:rFonts w:ascii="Arial" w:eastAsia="Times New Roman" w:hAnsi="Arial" w:cs="Arial"/>
                <w:color w:val="000000"/>
                <w:sz w:val="18"/>
                <w:szCs w:val="18"/>
                <w:lang w:eastAsia="es-ES_tradnl"/>
              </w:rPr>
              <w:t>P</w:t>
            </w:r>
            <w:r w:rsidR="007D6A1A" w:rsidRPr="00C41AB9">
              <w:rPr>
                <w:rFonts w:ascii="Arial" w:eastAsia="Times New Roman" w:hAnsi="Arial" w:cs="Arial"/>
                <w:color w:val="000000"/>
                <w:sz w:val="18"/>
                <w:szCs w:val="18"/>
                <w:lang w:eastAsia="es-ES_tradnl"/>
              </w:rPr>
              <w:t xml:space="preserve">olíticas que </w:t>
            </w:r>
            <w:r w:rsidR="001438A4">
              <w:rPr>
                <w:rFonts w:ascii="Arial" w:eastAsia="Times New Roman" w:hAnsi="Arial" w:cs="Arial"/>
                <w:color w:val="000000"/>
                <w:sz w:val="18"/>
                <w:szCs w:val="18"/>
                <w:lang w:eastAsia="es-ES_tradnl"/>
              </w:rPr>
              <w:t>P</w:t>
            </w:r>
            <w:r w:rsidR="007D6A1A" w:rsidRPr="00C41AB9">
              <w:rPr>
                <w:rFonts w:ascii="Arial" w:eastAsia="Times New Roman" w:hAnsi="Arial" w:cs="Arial"/>
                <w:color w:val="000000"/>
                <w:sz w:val="18"/>
                <w:szCs w:val="18"/>
                <w:lang w:eastAsia="es-ES_tradnl"/>
              </w:rPr>
              <w:t xml:space="preserve">romuevan </w:t>
            </w:r>
            <w:r w:rsidR="001438A4">
              <w:rPr>
                <w:rFonts w:ascii="Arial" w:eastAsia="Times New Roman" w:hAnsi="Arial" w:cs="Arial"/>
                <w:color w:val="000000"/>
                <w:sz w:val="18"/>
                <w:szCs w:val="18"/>
                <w:lang w:eastAsia="es-ES_tradnl"/>
              </w:rPr>
              <w:t>Reformas Normativas</w:t>
            </w:r>
          </w:p>
        </w:tc>
        <w:tc>
          <w:tcPr>
            <w:tcW w:w="917" w:type="dxa"/>
            <w:tcBorders>
              <w:top w:val="single" w:sz="8" w:space="0" w:color="D9D9D9"/>
              <w:left w:val="nil"/>
              <w:bottom w:val="single" w:sz="8" w:space="0" w:color="D9D9D9"/>
              <w:right w:val="single" w:sz="8" w:space="0" w:color="D9D9D9"/>
            </w:tcBorders>
            <w:shd w:val="clear" w:color="auto" w:fill="auto"/>
            <w:vAlign w:val="center"/>
            <w:hideMark/>
          </w:tcPr>
          <w:p w:rsidR="00AB3550" w:rsidRPr="00C41AB9" w:rsidRDefault="00AB3550" w:rsidP="00AB3550">
            <w:pPr>
              <w:jc w:val="center"/>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SBCC</w:t>
            </w:r>
          </w:p>
        </w:tc>
        <w:tc>
          <w:tcPr>
            <w:tcW w:w="2143" w:type="dxa"/>
            <w:tcBorders>
              <w:top w:val="single" w:sz="8" w:space="0" w:color="D9D9D9"/>
              <w:left w:val="nil"/>
              <w:bottom w:val="single" w:sz="8" w:space="0" w:color="D9D9D9"/>
              <w:right w:val="single" w:sz="8" w:space="0" w:color="D9D9D9"/>
            </w:tcBorders>
            <w:shd w:val="clear" w:color="auto" w:fill="auto"/>
            <w:vAlign w:val="center"/>
            <w:hideMark/>
          </w:tcPr>
          <w:p w:rsidR="00AB3550" w:rsidRPr="00C41AB9" w:rsidRDefault="00AB3550" w:rsidP="00AB3550">
            <w:pPr>
              <w:jc w:val="center"/>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2018</w:t>
            </w:r>
          </w:p>
        </w:tc>
        <w:tc>
          <w:tcPr>
            <w:tcW w:w="1620" w:type="dxa"/>
            <w:tcBorders>
              <w:top w:val="single" w:sz="8" w:space="0" w:color="D9D9D9"/>
              <w:left w:val="nil"/>
              <w:bottom w:val="single" w:sz="8" w:space="0" w:color="D9D9D9"/>
              <w:right w:val="single" w:sz="8" w:space="0" w:color="D9D9D9"/>
            </w:tcBorders>
            <w:shd w:val="clear" w:color="auto" w:fill="auto"/>
            <w:vAlign w:val="center"/>
            <w:hideMark/>
          </w:tcPr>
          <w:p w:rsidR="00AB3550" w:rsidRPr="00C41AB9" w:rsidRDefault="00AB3550" w:rsidP="00937726">
            <w:pPr>
              <w:jc w:val="right"/>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500</w:t>
            </w:r>
            <w:r w:rsidR="002D6148" w:rsidRPr="00C41AB9">
              <w:rPr>
                <w:rFonts w:ascii="Arial" w:eastAsia="Times New Roman" w:hAnsi="Arial" w:cs="Arial"/>
                <w:color w:val="000000"/>
                <w:sz w:val="18"/>
                <w:szCs w:val="18"/>
                <w:lang w:eastAsia="es-ES_tradnl"/>
              </w:rPr>
              <w:t>.</w:t>
            </w:r>
            <w:r w:rsidRPr="00C41AB9">
              <w:rPr>
                <w:rFonts w:ascii="Arial" w:eastAsia="Times New Roman" w:hAnsi="Arial" w:cs="Arial"/>
                <w:color w:val="000000"/>
                <w:sz w:val="18"/>
                <w:szCs w:val="18"/>
                <w:lang w:eastAsia="es-ES_tradnl"/>
              </w:rPr>
              <w:t>000</w:t>
            </w:r>
            <w:r w:rsidR="002D6148" w:rsidRPr="00C41AB9">
              <w:rPr>
                <w:rFonts w:ascii="Arial" w:eastAsia="Times New Roman" w:hAnsi="Arial" w:cs="Arial"/>
                <w:color w:val="000000"/>
                <w:sz w:val="18"/>
                <w:szCs w:val="18"/>
                <w:lang w:eastAsia="es-ES_tradnl"/>
              </w:rPr>
              <w:t>,</w:t>
            </w:r>
            <w:r w:rsidRPr="00C41AB9">
              <w:rPr>
                <w:rFonts w:ascii="Arial" w:eastAsia="Times New Roman" w:hAnsi="Arial" w:cs="Arial"/>
                <w:color w:val="000000"/>
                <w:sz w:val="18"/>
                <w:szCs w:val="18"/>
                <w:lang w:eastAsia="es-ES_tradnl"/>
              </w:rPr>
              <w:t xml:space="preserve">00 </w:t>
            </w:r>
          </w:p>
        </w:tc>
      </w:tr>
      <w:tr w:rsidR="00AB3550" w:rsidRPr="00C41AB9" w:rsidTr="00C41AB9">
        <w:trPr>
          <w:trHeight w:val="430"/>
          <w:jc w:val="center"/>
        </w:trPr>
        <w:tc>
          <w:tcPr>
            <w:tcW w:w="3950" w:type="dxa"/>
            <w:tcBorders>
              <w:top w:val="single" w:sz="8" w:space="0" w:color="BFBFBF"/>
              <w:left w:val="single" w:sz="8" w:space="0" w:color="D9D9D9"/>
              <w:bottom w:val="single" w:sz="8" w:space="0" w:color="D9D9D9"/>
              <w:right w:val="single" w:sz="8" w:space="0" w:color="D9D9D9"/>
            </w:tcBorders>
            <w:shd w:val="clear" w:color="auto" w:fill="auto"/>
            <w:vAlign w:val="bottom"/>
            <w:hideMark/>
          </w:tcPr>
          <w:p w:rsidR="00AB3550" w:rsidRPr="00C41AB9" w:rsidRDefault="00AB3550" w:rsidP="00AB3550">
            <w:pPr>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 xml:space="preserve">Firma Consultora para Encuesta de </w:t>
            </w:r>
            <w:r w:rsidR="001438A4">
              <w:rPr>
                <w:rFonts w:ascii="Arial" w:eastAsia="Times New Roman" w:hAnsi="Arial" w:cs="Arial"/>
                <w:color w:val="000000"/>
                <w:sz w:val="18"/>
                <w:szCs w:val="18"/>
                <w:lang w:eastAsia="es-ES_tradnl"/>
              </w:rPr>
              <w:t>Demanda de S</w:t>
            </w:r>
            <w:r w:rsidRPr="00C41AB9">
              <w:rPr>
                <w:rFonts w:ascii="Arial" w:eastAsia="Times New Roman" w:hAnsi="Arial" w:cs="Arial"/>
                <w:color w:val="000000"/>
                <w:sz w:val="18"/>
                <w:szCs w:val="18"/>
                <w:lang w:eastAsia="es-ES_tradnl"/>
              </w:rPr>
              <w:t xml:space="preserve">ervicios </w:t>
            </w:r>
            <w:r w:rsidR="001438A4">
              <w:rPr>
                <w:rFonts w:ascii="Arial" w:eastAsia="Times New Roman" w:hAnsi="Arial" w:cs="Arial"/>
                <w:color w:val="000000"/>
                <w:sz w:val="18"/>
                <w:szCs w:val="18"/>
                <w:lang w:eastAsia="es-ES_tradnl"/>
              </w:rPr>
              <w:t>F</w:t>
            </w:r>
            <w:r w:rsidRPr="00C41AB9">
              <w:rPr>
                <w:rFonts w:ascii="Arial" w:eastAsia="Times New Roman" w:hAnsi="Arial" w:cs="Arial"/>
                <w:color w:val="000000"/>
                <w:sz w:val="18"/>
                <w:szCs w:val="18"/>
                <w:lang w:eastAsia="es-ES_tradnl"/>
              </w:rPr>
              <w:t xml:space="preserve">inancieros </w:t>
            </w:r>
          </w:p>
        </w:tc>
        <w:tc>
          <w:tcPr>
            <w:tcW w:w="917" w:type="dxa"/>
            <w:tcBorders>
              <w:top w:val="nil"/>
              <w:left w:val="nil"/>
              <w:bottom w:val="single" w:sz="8" w:space="0" w:color="D9D9D9"/>
              <w:right w:val="single" w:sz="8" w:space="0" w:color="D9D9D9"/>
            </w:tcBorders>
            <w:shd w:val="clear" w:color="auto" w:fill="auto"/>
            <w:vAlign w:val="center"/>
            <w:hideMark/>
          </w:tcPr>
          <w:p w:rsidR="00AB3550" w:rsidRPr="00C41AB9" w:rsidRDefault="00AB3550" w:rsidP="00AB3550">
            <w:pPr>
              <w:jc w:val="center"/>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SBCC</w:t>
            </w:r>
          </w:p>
        </w:tc>
        <w:tc>
          <w:tcPr>
            <w:tcW w:w="2143" w:type="dxa"/>
            <w:tcBorders>
              <w:top w:val="nil"/>
              <w:left w:val="nil"/>
              <w:bottom w:val="single" w:sz="8" w:space="0" w:color="D9D9D9"/>
              <w:right w:val="single" w:sz="8" w:space="0" w:color="D9D9D9"/>
            </w:tcBorders>
            <w:shd w:val="clear" w:color="auto" w:fill="auto"/>
            <w:vAlign w:val="center"/>
            <w:hideMark/>
          </w:tcPr>
          <w:p w:rsidR="00AB3550" w:rsidRPr="00C41AB9" w:rsidRDefault="00AB3550" w:rsidP="00AB3550">
            <w:pPr>
              <w:jc w:val="center"/>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2018</w:t>
            </w:r>
          </w:p>
        </w:tc>
        <w:tc>
          <w:tcPr>
            <w:tcW w:w="1620" w:type="dxa"/>
            <w:tcBorders>
              <w:top w:val="nil"/>
              <w:left w:val="nil"/>
              <w:bottom w:val="single" w:sz="8" w:space="0" w:color="D9D9D9"/>
              <w:right w:val="single" w:sz="8" w:space="0" w:color="D9D9D9"/>
            </w:tcBorders>
            <w:shd w:val="clear" w:color="auto" w:fill="auto"/>
            <w:vAlign w:val="center"/>
            <w:hideMark/>
          </w:tcPr>
          <w:p w:rsidR="00AB3550" w:rsidRPr="00C41AB9" w:rsidRDefault="002D6148" w:rsidP="00937726">
            <w:pPr>
              <w:jc w:val="right"/>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500.000,</w:t>
            </w:r>
            <w:r w:rsidR="00AB3550" w:rsidRPr="00C41AB9">
              <w:rPr>
                <w:rFonts w:ascii="Arial" w:eastAsia="Times New Roman" w:hAnsi="Arial" w:cs="Arial"/>
                <w:color w:val="000000"/>
                <w:sz w:val="18"/>
                <w:szCs w:val="18"/>
                <w:lang w:eastAsia="es-ES_tradnl"/>
              </w:rPr>
              <w:t xml:space="preserve">00 </w:t>
            </w:r>
          </w:p>
        </w:tc>
      </w:tr>
      <w:tr w:rsidR="00AB3550" w:rsidRPr="00C41AB9" w:rsidTr="00C41AB9">
        <w:trPr>
          <w:trHeight w:val="421"/>
          <w:jc w:val="center"/>
        </w:trPr>
        <w:tc>
          <w:tcPr>
            <w:tcW w:w="3950" w:type="dxa"/>
            <w:tcBorders>
              <w:top w:val="single" w:sz="8" w:space="0" w:color="BFBFBF"/>
              <w:left w:val="single" w:sz="8" w:space="0" w:color="D9D9D9"/>
              <w:bottom w:val="single" w:sz="8" w:space="0" w:color="D9D9D9"/>
              <w:right w:val="single" w:sz="8" w:space="0" w:color="D9D9D9"/>
            </w:tcBorders>
            <w:shd w:val="clear" w:color="auto" w:fill="auto"/>
            <w:vAlign w:val="bottom"/>
            <w:hideMark/>
          </w:tcPr>
          <w:p w:rsidR="00AB3550" w:rsidRPr="00C41AB9" w:rsidRDefault="00AB3550" w:rsidP="00AB3550">
            <w:pPr>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Firma para Desarrollo e Implementación de Estadística</w:t>
            </w:r>
            <w:r w:rsidR="001438A4">
              <w:rPr>
                <w:rFonts w:ascii="Arial" w:eastAsia="Times New Roman" w:hAnsi="Arial" w:cs="Arial"/>
                <w:color w:val="000000"/>
                <w:sz w:val="18"/>
                <w:szCs w:val="18"/>
                <w:lang w:eastAsia="es-ES_tradnl"/>
              </w:rPr>
              <w:t>s, Indicadores, para el mercado</w:t>
            </w:r>
          </w:p>
        </w:tc>
        <w:tc>
          <w:tcPr>
            <w:tcW w:w="917" w:type="dxa"/>
            <w:tcBorders>
              <w:top w:val="nil"/>
              <w:left w:val="nil"/>
              <w:bottom w:val="single" w:sz="8" w:space="0" w:color="D9D9D9"/>
              <w:right w:val="single" w:sz="8" w:space="0" w:color="D9D9D9"/>
            </w:tcBorders>
            <w:shd w:val="clear" w:color="auto" w:fill="auto"/>
            <w:vAlign w:val="center"/>
            <w:hideMark/>
          </w:tcPr>
          <w:p w:rsidR="00AB3550" w:rsidRPr="00C41AB9" w:rsidRDefault="00AB3550" w:rsidP="00AB3550">
            <w:pPr>
              <w:jc w:val="center"/>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SBCC</w:t>
            </w:r>
          </w:p>
        </w:tc>
        <w:tc>
          <w:tcPr>
            <w:tcW w:w="2143" w:type="dxa"/>
            <w:tcBorders>
              <w:top w:val="nil"/>
              <w:left w:val="nil"/>
              <w:bottom w:val="single" w:sz="8" w:space="0" w:color="D9D9D9"/>
              <w:right w:val="single" w:sz="8" w:space="0" w:color="D9D9D9"/>
            </w:tcBorders>
            <w:shd w:val="clear" w:color="auto" w:fill="auto"/>
            <w:vAlign w:val="center"/>
            <w:hideMark/>
          </w:tcPr>
          <w:p w:rsidR="00AB3550" w:rsidRPr="00C41AB9" w:rsidRDefault="00AB3550" w:rsidP="00AB3550">
            <w:pPr>
              <w:jc w:val="center"/>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2018</w:t>
            </w:r>
          </w:p>
        </w:tc>
        <w:tc>
          <w:tcPr>
            <w:tcW w:w="1620" w:type="dxa"/>
            <w:tcBorders>
              <w:top w:val="nil"/>
              <w:left w:val="nil"/>
              <w:bottom w:val="single" w:sz="8" w:space="0" w:color="D9D9D9"/>
              <w:right w:val="single" w:sz="8" w:space="0" w:color="D9D9D9"/>
            </w:tcBorders>
            <w:shd w:val="clear" w:color="auto" w:fill="auto"/>
            <w:vAlign w:val="center"/>
            <w:hideMark/>
          </w:tcPr>
          <w:p w:rsidR="00AB3550" w:rsidRPr="00C41AB9" w:rsidRDefault="00AB3550" w:rsidP="00937726">
            <w:pPr>
              <w:jc w:val="right"/>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400</w:t>
            </w:r>
            <w:r w:rsidR="002D6148" w:rsidRPr="00C41AB9">
              <w:rPr>
                <w:rFonts w:ascii="Arial" w:eastAsia="Times New Roman" w:hAnsi="Arial" w:cs="Arial"/>
                <w:color w:val="000000"/>
                <w:sz w:val="18"/>
                <w:szCs w:val="18"/>
                <w:lang w:eastAsia="es-ES_tradnl"/>
              </w:rPr>
              <w:t>.</w:t>
            </w:r>
            <w:r w:rsidRPr="00C41AB9">
              <w:rPr>
                <w:rFonts w:ascii="Arial" w:eastAsia="Times New Roman" w:hAnsi="Arial" w:cs="Arial"/>
                <w:color w:val="000000"/>
                <w:sz w:val="18"/>
                <w:szCs w:val="18"/>
                <w:lang w:eastAsia="es-ES_tradnl"/>
              </w:rPr>
              <w:t>000</w:t>
            </w:r>
            <w:r w:rsidR="002D6148" w:rsidRPr="00C41AB9">
              <w:rPr>
                <w:rFonts w:ascii="Arial" w:eastAsia="Times New Roman" w:hAnsi="Arial" w:cs="Arial"/>
                <w:color w:val="000000"/>
                <w:sz w:val="18"/>
                <w:szCs w:val="18"/>
                <w:lang w:eastAsia="es-ES_tradnl"/>
              </w:rPr>
              <w:t>,</w:t>
            </w:r>
            <w:r w:rsidRPr="00C41AB9">
              <w:rPr>
                <w:rFonts w:ascii="Arial" w:eastAsia="Times New Roman" w:hAnsi="Arial" w:cs="Arial"/>
                <w:color w:val="000000"/>
                <w:sz w:val="18"/>
                <w:szCs w:val="18"/>
                <w:lang w:eastAsia="es-ES_tradnl"/>
              </w:rPr>
              <w:t xml:space="preserve">00 </w:t>
            </w:r>
          </w:p>
        </w:tc>
      </w:tr>
      <w:tr w:rsidR="00AB3550" w:rsidRPr="00C41AB9" w:rsidTr="00C41AB9">
        <w:trPr>
          <w:trHeight w:val="340"/>
          <w:jc w:val="center"/>
        </w:trPr>
        <w:tc>
          <w:tcPr>
            <w:tcW w:w="3950" w:type="dxa"/>
            <w:tcBorders>
              <w:top w:val="single" w:sz="8" w:space="0" w:color="BFBFBF"/>
              <w:left w:val="single" w:sz="8" w:space="0" w:color="D9D9D9"/>
              <w:bottom w:val="single" w:sz="8" w:space="0" w:color="D9D9D9"/>
              <w:right w:val="single" w:sz="8" w:space="0" w:color="D9D9D9"/>
            </w:tcBorders>
            <w:shd w:val="clear" w:color="auto" w:fill="auto"/>
            <w:vAlign w:val="bottom"/>
            <w:hideMark/>
          </w:tcPr>
          <w:p w:rsidR="00AB3550" w:rsidRPr="00C41AB9" w:rsidRDefault="007D6A1A" w:rsidP="00AB3550">
            <w:pPr>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 xml:space="preserve">Firma Consultora para </w:t>
            </w:r>
            <w:r w:rsidR="00AB3550" w:rsidRPr="00C41AB9">
              <w:rPr>
                <w:rFonts w:ascii="Arial" w:eastAsia="Times New Roman" w:hAnsi="Arial" w:cs="Arial"/>
                <w:color w:val="000000"/>
                <w:sz w:val="18"/>
                <w:szCs w:val="18"/>
                <w:lang w:eastAsia="es-ES_tradnl"/>
              </w:rPr>
              <w:t>Actividades de Dif</w:t>
            </w:r>
            <w:r w:rsidR="001438A4">
              <w:rPr>
                <w:rFonts w:ascii="Arial" w:eastAsia="Times New Roman" w:hAnsi="Arial" w:cs="Arial"/>
                <w:color w:val="000000"/>
                <w:sz w:val="18"/>
                <w:szCs w:val="18"/>
                <w:lang w:eastAsia="es-ES_tradnl"/>
              </w:rPr>
              <w:t>usión y comunicación de la ENIF</w:t>
            </w:r>
          </w:p>
        </w:tc>
        <w:tc>
          <w:tcPr>
            <w:tcW w:w="917" w:type="dxa"/>
            <w:tcBorders>
              <w:top w:val="nil"/>
              <w:left w:val="nil"/>
              <w:bottom w:val="single" w:sz="8" w:space="0" w:color="D9D9D9"/>
              <w:right w:val="single" w:sz="8" w:space="0" w:color="D9D9D9"/>
            </w:tcBorders>
            <w:shd w:val="clear" w:color="auto" w:fill="auto"/>
            <w:vAlign w:val="center"/>
            <w:hideMark/>
          </w:tcPr>
          <w:p w:rsidR="00AB3550" w:rsidRPr="00C41AB9" w:rsidRDefault="00AB3550" w:rsidP="00AB3550">
            <w:pPr>
              <w:jc w:val="center"/>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SBCC</w:t>
            </w:r>
          </w:p>
        </w:tc>
        <w:tc>
          <w:tcPr>
            <w:tcW w:w="2143" w:type="dxa"/>
            <w:tcBorders>
              <w:top w:val="nil"/>
              <w:left w:val="nil"/>
              <w:bottom w:val="nil"/>
              <w:right w:val="single" w:sz="8" w:space="0" w:color="D9D9D9"/>
            </w:tcBorders>
            <w:shd w:val="clear" w:color="auto" w:fill="auto"/>
            <w:vAlign w:val="center"/>
            <w:hideMark/>
          </w:tcPr>
          <w:p w:rsidR="00AB3550" w:rsidRPr="00C41AB9" w:rsidRDefault="00AB3550" w:rsidP="00AB3550">
            <w:pPr>
              <w:jc w:val="center"/>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2018</w:t>
            </w:r>
          </w:p>
        </w:tc>
        <w:tc>
          <w:tcPr>
            <w:tcW w:w="1620" w:type="dxa"/>
            <w:tcBorders>
              <w:top w:val="nil"/>
              <w:left w:val="nil"/>
              <w:bottom w:val="nil"/>
              <w:right w:val="single" w:sz="8" w:space="0" w:color="D9D9D9"/>
            </w:tcBorders>
            <w:shd w:val="clear" w:color="auto" w:fill="auto"/>
            <w:vAlign w:val="center"/>
            <w:hideMark/>
          </w:tcPr>
          <w:p w:rsidR="00AB3550" w:rsidRPr="00C41AB9" w:rsidRDefault="00AB3550" w:rsidP="00937726">
            <w:pPr>
              <w:jc w:val="right"/>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200</w:t>
            </w:r>
            <w:r w:rsidR="002D6148" w:rsidRPr="00C41AB9">
              <w:rPr>
                <w:rFonts w:ascii="Arial" w:eastAsia="Times New Roman" w:hAnsi="Arial" w:cs="Arial"/>
                <w:color w:val="000000"/>
                <w:sz w:val="18"/>
                <w:szCs w:val="18"/>
                <w:lang w:eastAsia="es-ES_tradnl"/>
              </w:rPr>
              <w:t>.</w:t>
            </w:r>
            <w:r w:rsidRPr="00C41AB9">
              <w:rPr>
                <w:rFonts w:ascii="Arial" w:eastAsia="Times New Roman" w:hAnsi="Arial" w:cs="Arial"/>
                <w:color w:val="000000"/>
                <w:sz w:val="18"/>
                <w:szCs w:val="18"/>
                <w:lang w:eastAsia="es-ES_tradnl"/>
              </w:rPr>
              <w:t>000</w:t>
            </w:r>
            <w:r w:rsidR="002D6148" w:rsidRPr="00C41AB9">
              <w:rPr>
                <w:rFonts w:ascii="Arial" w:eastAsia="Times New Roman" w:hAnsi="Arial" w:cs="Arial"/>
                <w:color w:val="000000"/>
                <w:sz w:val="18"/>
                <w:szCs w:val="18"/>
                <w:lang w:eastAsia="es-ES_tradnl"/>
              </w:rPr>
              <w:t>,</w:t>
            </w:r>
            <w:r w:rsidRPr="00C41AB9">
              <w:rPr>
                <w:rFonts w:ascii="Arial" w:eastAsia="Times New Roman" w:hAnsi="Arial" w:cs="Arial"/>
                <w:color w:val="000000"/>
                <w:sz w:val="18"/>
                <w:szCs w:val="18"/>
                <w:lang w:eastAsia="es-ES_tradnl"/>
              </w:rPr>
              <w:t xml:space="preserve">00 </w:t>
            </w:r>
          </w:p>
        </w:tc>
      </w:tr>
      <w:tr w:rsidR="00AB3550" w:rsidRPr="00C41AB9" w:rsidTr="00C41AB9">
        <w:trPr>
          <w:trHeight w:val="538"/>
          <w:jc w:val="center"/>
        </w:trPr>
        <w:tc>
          <w:tcPr>
            <w:tcW w:w="3950" w:type="dxa"/>
            <w:tcBorders>
              <w:top w:val="single" w:sz="8" w:space="0" w:color="BFBFBF"/>
              <w:left w:val="single" w:sz="8" w:space="0" w:color="D9D9D9"/>
              <w:bottom w:val="single" w:sz="8" w:space="0" w:color="D9D9D9"/>
              <w:right w:val="single" w:sz="8" w:space="0" w:color="D9D9D9"/>
            </w:tcBorders>
            <w:shd w:val="clear" w:color="auto" w:fill="auto"/>
            <w:vAlign w:val="bottom"/>
            <w:hideMark/>
          </w:tcPr>
          <w:p w:rsidR="00AB3550" w:rsidRPr="00C41AB9" w:rsidRDefault="00AB3550" w:rsidP="00AB3550">
            <w:pPr>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Firma Consultora para Desarrollo e Implementación del Sistema de Monitoreo y Evaluación de la ENIF</w:t>
            </w:r>
          </w:p>
        </w:tc>
        <w:tc>
          <w:tcPr>
            <w:tcW w:w="917" w:type="dxa"/>
            <w:tcBorders>
              <w:top w:val="nil"/>
              <w:left w:val="nil"/>
              <w:bottom w:val="single" w:sz="8" w:space="0" w:color="D9D9D9"/>
              <w:right w:val="single" w:sz="8" w:space="0" w:color="D9D9D9"/>
            </w:tcBorders>
            <w:shd w:val="clear" w:color="auto" w:fill="auto"/>
            <w:vAlign w:val="center"/>
            <w:hideMark/>
          </w:tcPr>
          <w:p w:rsidR="00AB3550" w:rsidRPr="00C41AB9" w:rsidRDefault="00AB3550" w:rsidP="00AB3550">
            <w:pPr>
              <w:jc w:val="center"/>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SBCC</w:t>
            </w:r>
          </w:p>
        </w:tc>
        <w:tc>
          <w:tcPr>
            <w:tcW w:w="2143" w:type="dxa"/>
            <w:tcBorders>
              <w:top w:val="single" w:sz="8" w:space="0" w:color="D9D9D9"/>
              <w:left w:val="nil"/>
              <w:bottom w:val="single" w:sz="8" w:space="0" w:color="D9D9D9"/>
              <w:right w:val="single" w:sz="8" w:space="0" w:color="D9D9D9"/>
            </w:tcBorders>
            <w:shd w:val="clear" w:color="auto" w:fill="auto"/>
            <w:vAlign w:val="center"/>
            <w:hideMark/>
          </w:tcPr>
          <w:p w:rsidR="00AB3550" w:rsidRPr="00C41AB9" w:rsidRDefault="00AB3550" w:rsidP="00AB3550">
            <w:pPr>
              <w:jc w:val="center"/>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2018</w:t>
            </w:r>
          </w:p>
        </w:tc>
        <w:tc>
          <w:tcPr>
            <w:tcW w:w="1620" w:type="dxa"/>
            <w:tcBorders>
              <w:top w:val="single" w:sz="8" w:space="0" w:color="D9D9D9"/>
              <w:left w:val="nil"/>
              <w:bottom w:val="single" w:sz="8" w:space="0" w:color="D9D9D9"/>
              <w:right w:val="single" w:sz="8" w:space="0" w:color="D9D9D9"/>
            </w:tcBorders>
            <w:shd w:val="clear" w:color="auto" w:fill="auto"/>
            <w:vAlign w:val="center"/>
            <w:hideMark/>
          </w:tcPr>
          <w:p w:rsidR="00AB3550" w:rsidRPr="00C41AB9" w:rsidRDefault="00AB3550" w:rsidP="00937726">
            <w:pPr>
              <w:jc w:val="right"/>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200</w:t>
            </w:r>
            <w:r w:rsidR="002D6148" w:rsidRPr="00C41AB9">
              <w:rPr>
                <w:rFonts w:ascii="Arial" w:eastAsia="Times New Roman" w:hAnsi="Arial" w:cs="Arial"/>
                <w:color w:val="000000"/>
                <w:sz w:val="18"/>
                <w:szCs w:val="18"/>
                <w:lang w:eastAsia="es-ES_tradnl"/>
              </w:rPr>
              <w:t>.</w:t>
            </w:r>
            <w:r w:rsidRPr="00C41AB9">
              <w:rPr>
                <w:rFonts w:ascii="Arial" w:eastAsia="Times New Roman" w:hAnsi="Arial" w:cs="Arial"/>
                <w:color w:val="000000"/>
                <w:sz w:val="18"/>
                <w:szCs w:val="18"/>
                <w:lang w:eastAsia="es-ES_tradnl"/>
              </w:rPr>
              <w:t>000</w:t>
            </w:r>
            <w:r w:rsidR="002D6148" w:rsidRPr="00C41AB9">
              <w:rPr>
                <w:rFonts w:ascii="Arial" w:eastAsia="Times New Roman" w:hAnsi="Arial" w:cs="Arial"/>
                <w:color w:val="000000"/>
                <w:sz w:val="18"/>
                <w:szCs w:val="18"/>
                <w:lang w:eastAsia="es-ES_tradnl"/>
              </w:rPr>
              <w:t>,</w:t>
            </w:r>
            <w:r w:rsidRPr="00C41AB9">
              <w:rPr>
                <w:rFonts w:ascii="Arial" w:eastAsia="Times New Roman" w:hAnsi="Arial" w:cs="Arial"/>
                <w:color w:val="000000"/>
                <w:sz w:val="18"/>
                <w:szCs w:val="18"/>
                <w:lang w:eastAsia="es-ES_tradnl"/>
              </w:rPr>
              <w:t xml:space="preserve">00 </w:t>
            </w:r>
          </w:p>
        </w:tc>
      </w:tr>
      <w:tr w:rsidR="00937726" w:rsidRPr="00C41AB9" w:rsidTr="00C41AB9">
        <w:trPr>
          <w:trHeight w:val="324"/>
          <w:jc w:val="center"/>
        </w:trPr>
        <w:tc>
          <w:tcPr>
            <w:tcW w:w="3950" w:type="dxa"/>
            <w:tcBorders>
              <w:top w:val="nil"/>
              <w:left w:val="single" w:sz="8" w:space="0" w:color="BFBFBF"/>
              <w:bottom w:val="single" w:sz="8" w:space="0" w:color="BFBFBF"/>
              <w:right w:val="single" w:sz="8" w:space="0" w:color="BFBFBF"/>
            </w:tcBorders>
            <w:shd w:val="clear" w:color="000000" w:fill="BFBFBF"/>
            <w:vAlign w:val="center"/>
            <w:hideMark/>
          </w:tcPr>
          <w:p w:rsidR="00AB3550" w:rsidRPr="00C41AB9" w:rsidRDefault="00AB3550" w:rsidP="00AB3550">
            <w:pPr>
              <w:jc w:val="both"/>
              <w:rPr>
                <w:rFonts w:ascii="Arial" w:eastAsia="Times New Roman" w:hAnsi="Arial" w:cs="Arial"/>
                <w:b/>
                <w:bCs/>
                <w:color w:val="FFFFFF"/>
                <w:sz w:val="18"/>
                <w:szCs w:val="18"/>
                <w:lang w:eastAsia="es-ES_tradnl"/>
              </w:rPr>
            </w:pPr>
            <w:r w:rsidRPr="00C41AB9">
              <w:rPr>
                <w:rFonts w:ascii="Arial" w:eastAsia="Times New Roman" w:hAnsi="Arial" w:cs="Arial"/>
                <w:b/>
                <w:bCs/>
                <w:color w:val="FFFFFF"/>
                <w:sz w:val="18"/>
                <w:szCs w:val="18"/>
                <w:lang w:eastAsia="es-ES_tradnl"/>
              </w:rPr>
              <w:t>Individuos</w:t>
            </w:r>
          </w:p>
        </w:tc>
        <w:tc>
          <w:tcPr>
            <w:tcW w:w="917" w:type="dxa"/>
            <w:tcBorders>
              <w:top w:val="nil"/>
              <w:left w:val="nil"/>
              <w:bottom w:val="single" w:sz="8" w:space="0" w:color="BFBFBF"/>
              <w:right w:val="single" w:sz="8" w:space="0" w:color="BFBFBF"/>
            </w:tcBorders>
            <w:shd w:val="clear" w:color="000000" w:fill="BFBFBF"/>
            <w:vAlign w:val="center"/>
            <w:hideMark/>
          </w:tcPr>
          <w:p w:rsidR="00AB3550" w:rsidRPr="00C41AB9" w:rsidRDefault="00AB3550" w:rsidP="00AB3550">
            <w:pPr>
              <w:jc w:val="center"/>
              <w:rPr>
                <w:rFonts w:ascii="Arial" w:eastAsia="Times New Roman" w:hAnsi="Arial" w:cs="Arial"/>
                <w:color w:val="FFFFFF"/>
                <w:sz w:val="18"/>
                <w:szCs w:val="18"/>
                <w:lang w:eastAsia="es-ES_tradnl"/>
              </w:rPr>
            </w:pPr>
            <w:r w:rsidRPr="00C41AB9">
              <w:rPr>
                <w:rFonts w:ascii="Arial" w:eastAsia="Times New Roman" w:hAnsi="Arial" w:cs="Arial"/>
                <w:color w:val="FFFFFF"/>
                <w:sz w:val="18"/>
                <w:szCs w:val="18"/>
                <w:lang w:eastAsia="es-ES_tradnl"/>
              </w:rPr>
              <w:t> </w:t>
            </w:r>
          </w:p>
        </w:tc>
        <w:tc>
          <w:tcPr>
            <w:tcW w:w="2143" w:type="dxa"/>
            <w:tcBorders>
              <w:top w:val="nil"/>
              <w:left w:val="nil"/>
              <w:bottom w:val="single" w:sz="8" w:space="0" w:color="BFBFBF"/>
              <w:right w:val="single" w:sz="8" w:space="0" w:color="BFBFBF"/>
            </w:tcBorders>
            <w:shd w:val="clear" w:color="000000" w:fill="BFBFBF"/>
            <w:vAlign w:val="center"/>
            <w:hideMark/>
          </w:tcPr>
          <w:p w:rsidR="00AB3550" w:rsidRPr="00C41AB9" w:rsidRDefault="00AB3550" w:rsidP="00AB3550">
            <w:pPr>
              <w:jc w:val="center"/>
              <w:rPr>
                <w:rFonts w:ascii="Arial" w:eastAsia="Times New Roman" w:hAnsi="Arial" w:cs="Arial"/>
                <w:color w:val="FFFFFF"/>
                <w:sz w:val="18"/>
                <w:szCs w:val="18"/>
                <w:lang w:eastAsia="es-ES_tradnl"/>
              </w:rPr>
            </w:pPr>
            <w:r w:rsidRPr="00C41AB9">
              <w:rPr>
                <w:rFonts w:ascii="Arial" w:eastAsia="Times New Roman" w:hAnsi="Arial" w:cs="Arial"/>
                <w:color w:val="FFFFFF"/>
                <w:sz w:val="18"/>
                <w:szCs w:val="18"/>
                <w:lang w:eastAsia="es-ES_tradnl"/>
              </w:rPr>
              <w:t> </w:t>
            </w:r>
          </w:p>
        </w:tc>
        <w:tc>
          <w:tcPr>
            <w:tcW w:w="1620" w:type="dxa"/>
            <w:tcBorders>
              <w:top w:val="nil"/>
              <w:left w:val="nil"/>
              <w:bottom w:val="single" w:sz="8" w:space="0" w:color="BFBFBF"/>
              <w:right w:val="single" w:sz="8" w:space="0" w:color="BFBFBF"/>
            </w:tcBorders>
            <w:shd w:val="clear" w:color="000000" w:fill="BFBFBF"/>
            <w:vAlign w:val="center"/>
            <w:hideMark/>
          </w:tcPr>
          <w:p w:rsidR="00AB3550" w:rsidRPr="00C41AB9" w:rsidRDefault="00AB3550" w:rsidP="00937726">
            <w:pPr>
              <w:jc w:val="right"/>
              <w:rPr>
                <w:rFonts w:ascii="Arial" w:eastAsia="Times New Roman" w:hAnsi="Arial" w:cs="Arial"/>
                <w:color w:val="FFFFFF"/>
                <w:sz w:val="18"/>
                <w:szCs w:val="18"/>
                <w:lang w:eastAsia="es-ES_tradnl"/>
              </w:rPr>
            </w:pPr>
            <w:r w:rsidRPr="00C41AB9">
              <w:rPr>
                <w:rFonts w:ascii="Arial" w:eastAsia="Times New Roman" w:hAnsi="Arial" w:cs="Arial"/>
                <w:color w:val="FFFFFF"/>
                <w:sz w:val="18"/>
                <w:szCs w:val="18"/>
                <w:lang w:eastAsia="es-ES_tradnl"/>
              </w:rPr>
              <w:t> </w:t>
            </w:r>
          </w:p>
        </w:tc>
      </w:tr>
      <w:tr w:rsidR="00AB3550" w:rsidRPr="00C41AB9" w:rsidTr="00C41AB9">
        <w:trPr>
          <w:trHeight w:val="448"/>
          <w:jc w:val="center"/>
        </w:trPr>
        <w:tc>
          <w:tcPr>
            <w:tcW w:w="3950" w:type="dxa"/>
            <w:tcBorders>
              <w:top w:val="nil"/>
              <w:left w:val="single" w:sz="8" w:space="0" w:color="D9D9D9"/>
              <w:bottom w:val="single" w:sz="8" w:space="0" w:color="D9D9D9"/>
              <w:right w:val="single" w:sz="8" w:space="0" w:color="D9D9D9"/>
            </w:tcBorders>
            <w:shd w:val="clear" w:color="auto" w:fill="auto"/>
            <w:vAlign w:val="bottom"/>
            <w:hideMark/>
          </w:tcPr>
          <w:p w:rsidR="00AB3550" w:rsidRPr="00C41AB9" w:rsidRDefault="00AB3550" w:rsidP="00AB3550">
            <w:pPr>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 xml:space="preserve">Consultoría para </w:t>
            </w:r>
            <w:r w:rsidR="001438A4">
              <w:rPr>
                <w:rFonts w:ascii="Arial" w:eastAsia="Times New Roman" w:hAnsi="Arial" w:cs="Arial"/>
                <w:color w:val="000000"/>
                <w:sz w:val="18"/>
                <w:szCs w:val="18"/>
                <w:lang w:eastAsia="es-ES_tradnl"/>
              </w:rPr>
              <w:t>a</w:t>
            </w:r>
            <w:r w:rsidRPr="00C41AB9">
              <w:rPr>
                <w:rFonts w:ascii="Arial" w:eastAsia="Times New Roman" w:hAnsi="Arial" w:cs="Arial"/>
                <w:color w:val="000000"/>
                <w:sz w:val="18"/>
                <w:szCs w:val="18"/>
                <w:lang w:eastAsia="es-ES_tradnl"/>
              </w:rPr>
              <w:t xml:space="preserve">sistencia </w:t>
            </w:r>
            <w:r w:rsidR="001438A4">
              <w:rPr>
                <w:rFonts w:ascii="Arial" w:eastAsia="Times New Roman" w:hAnsi="Arial" w:cs="Arial"/>
                <w:color w:val="000000"/>
                <w:sz w:val="18"/>
                <w:szCs w:val="18"/>
                <w:lang w:eastAsia="es-ES_tradnl"/>
              </w:rPr>
              <w:t>t</w:t>
            </w:r>
            <w:r w:rsidRPr="00C41AB9">
              <w:rPr>
                <w:rFonts w:ascii="Arial" w:eastAsia="Times New Roman" w:hAnsi="Arial" w:cs="Arial"/>
                <w:color w:val="000000"/>
                <w:sz w:val="18"/>
                <w:szCs w:val="18"/>
                <w:lang w:eastAsia="es-ES_tradnl"/>
              </w:rPr>
              <w:t>écnica p</w:t>
            </w:r>
            <w:r w:rsidR="00FE4BAE">
              <w:rPr>
                <w:rFonts w:ascii="Arial" w:eastAsia="Times New Roman" w:hAnsi="Arial" w:cs="Arial"/>
                <w:color w:val="000000"/>
                <w:sz w:val="18"/>
                <w:szCs w:val="18"/>
                <w:lang w:eastAsia="es-ES_tradnl"/>
              </w:rPr>
              <w:t>ara la Gestión de la Estrategia</w:t>
            </w:r>
          </w:p>
        </w:tc>
        <w:tc>
          <w:tcPr>
            <w:tcW w:w="917" w:type="dxa"/>
            <w:tcBorders>
              <w:top w:val="nil"/>
              <w:left w:val="single" w:sz="8" w:space="0" w:color="BFBFBF"/>
              <w:bottom w:val="single" w:sz="8" w:space="0" w:color="BFBFBF"/>
              <w:right w:val="single" w:sz="8" w:space="0" w:color="BFBFBF"/>
            </w:tcBorders>
            <w:shd w:val="clear" w:color="auto" w:fill="auto"/>
            <w:vAlign w:val="center"/>
            <w:hideMark/>
          </w:tcPr>
          <w:p w:rsidR="00AB3550" w:rsidRPr="00C41AB9" w:rsidRDefault="00AB3550" w:rsidP="00AB3550">
            <w:pPr>
              <w:jc w:val="center"/>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3cv</w:t>
            </w:r>
          </w:p>
        </w:tc>
        <w:tc>
          <w:tcPr>
            <w:tcW w:w="2143" w:type="dxa"/>
            <w:tcBorders>
              <w:top w:val="nil"/>
              <w:left w:val="nil"/>
              <w:bottom w:val="single" w:sz="8" w:space="0" w:color="BFBFBF"/>
              <w:right w:val="single" w:sz="8" w:space="0" w:color="BFBFBF"/>
            </w:tcBorders>
            <w:shd w:val="clear" w:color="auto" w:fill="auto"/>
            <w:vAlign w:val="center"/>
            <w:hideMark/>
          </w:tcPr>
          <w:p w:rsidR="00AB3550" w:rsidRPr="00C41AB9" w:rsidRDefault="00AB3550" w:rsidP="00AB3550">
            <w:pPr>
              <w:jc w:val="center"/>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2018</w:t>
            </w:r>
          </w:p>
        </w:tc>
        <w:tc>
          <w:tcPr>
            <w:tcW w:w="1620" w:type="dxa"/>
            <w:tcBorders>
              <w:top w:val="nil"/>
              <w:left w:val="nil"/>
              <w:bottom w:val="single" w:sz="8" w:space="0" w:color="BFBFBF"/>
              <w:right w:val="single" w:sz="8" w:space="0" w:color="BFBFBF"/>
            </w:tcBorders>
            <w:shd w:val="clear" w:color="auto" w:fill="auto"/>
            <w:vAlign w:val="center"/>
            <w:hideMark/>
          </w:tcPr>
          <w:p w:rsidR="00AB3550" w:rsidRPr="00C41AB9" w:rsidRDefault="00AB3550" w:rsidP="00937726">
            <w:pPr>
              <w:jc w:val="right"/>
              <w:rPr>
                <w:rFonts w:ascii="Arial" w:eastAsia="Times New Roman" w:hAnsi="Arial" w:cs="Arial"/>
                <w:color w:val="000000"/>
                <w:sz w:val="18"/>
                <w:szCs w:val="18"/>
                <w:lang w:eastAsia="es-ES_tradnl"/>
              </w:rPr>
            </w:pPr>
            <w:r w:rsidRPr="00C41AB9">
              <w:rPr>
                <w:rFonts w:ascii="Arial" w:eastAsia="Times New Roman" w:hAnsi="Arial" w:cs="Arial"/>
                <w:color w:val="000000"/>
                <w:sz w:val="18"/>
                <w:szCs w:val="18"/>
                <w:lang w:eastAsia="es-ES_tradnl"/>
              </w:rPr>
              <w:t>300</w:t>
            </w:r>
            <w:r w:rsidR="002D6148" w:rsidRPr="00C41AB9">
              <w:rPr>
                <w:rFonts w:ascii="Arial" w:eastAsia="Times New Roman" w:hAnsi="Arial" w:cs="Arial"/>
                <w:color w:val="000000"/>
                <w:sz w:val="18"/>
                <w:szCs w:val="18"/>
                <w:lang w:eastAsia="es-ES_tradnl"/>
              </w:rPr>
              <w:t>.</w:t>
            </w:r>
            <w:r w:rsidRPr="00C41AB9">
              <w:rPr>
                <w:rFonts w:ascii="Arial" w:eastAsia="Times New Roman" w:hAnsi="Arial" w:cs="Arial"/>
                <w:color w:val="000000"/>
                <w:sz w:val="18"/>
                <w:szCs w:val="18"/>
                <w:lang w:eastAsia="es-ES_tradnl"/>
              </w:rPr>
              <w:t>000</w:t>
            </w:r>
            <w:r w:rsidR="002D6148" w:rsidRPr="00C41AB9">
              <w:rPr>
                <w:rFonts w:ascii="Arial" w:eastAsia="Times New Roman" w:hAnsi="Arial" w:cs="Arial"/>
                <w:color w:val="000000"/>
                <w:sz w:val="18"/>
                <w:szCs w:val="18"/>
                <w:lang w:eastAsia="es-ES_tradnl"/>
              </w:rPr>
              <w:t>,</w:t>
            </w:r>
            <w:r w:rsidRPr="00C41AB9">
              <w:rPr>
                <w:rFonts w:ascii="Arial" w:eastAsia="Times New Roman" w:hAnsi="Arial" w:cs="Arial"/>
                <w:color w:val="000000"/>
                <w:sz w:val="18"/>
                <w:szCs w:val="18"/>
                <w:lang w:eastAsia="es-ES_tradnl"/>
              </w:rPr>
              <w:t xml:space="preserve">00 </w:t>
            </w:r>
          </w:p>
        </w:tc>
      </w:tr>
    </w:tbl>
    <w:p w:rsidR="00DD2CB1" w:rsidRPr="00EE3400" w:rsidRDefault="00EE1DD8" w:rsidP="00EE3400">
      <w:pPr>
        <w:autoSpaceDE w:val="0"/>
        <w:autoSpaceDN w:val="0"/>
        <w:adjustRightInd w:val="0"/>
        <w:spacing w:after="120"/>
        <w:jc w:val="both"/>
        <w:rPr>
          <w:rFonts w:ascii="Arial" w:hAnsi="Arial" w:cs="Arial"/>
          <w:sz w:val="18"/>
          <w:szCs w:val="18"/>
        </w:rPr>
      </w:pPr>
      <w:r w:rsidRPr="00EE3400">
        <w:rPr>
          <w:rFonts w:ascii="Arial" w:hAnsi="Arial" w:cs="Arial"/>
          <w:sz w:val="18"/>
          <w:szCs w:val="18"/>
        </w:rPr>
        <w:t xml:space="preserve">* Para acceder al </w:t>
      </w:r>
      <w:r w:rsidR="00BD46E8">
        <w:rPr>
          <w:rFonts w:ascii="Arial" w:hAnsi="Arial" w:cs="Arial"/>
          <w:sz w:val="18"/>
          <w:szCs w:val="18"/>
        </w:rPr>
        <w:t>P</w:t>
      </w:r>
      <w:r w:rsidR="00B54A7F">
        <w:rPr>
          <w:rFonts w:ascii="Arial" w:hAnsi="Arial" w:cs="Arial"/>
          <w:sz w:val="18"/>
          <w:szCs w:val="18"/>
        </w:rPr>
        <w:t xml:space="preserve">A </w:t>
      </w:r>
      <w:r w:rsidRPr="00EE3400">
        <w:rPr>
          <w:rFonts w:ascii="Arial" w:hAnsi="Arial" w:cs="Arial"/>
          <w:sz w:val="18"/>
          <w:szCs w:val="18"/>
        </w:rPr>
        <w:t>18 meses</w:t>
      </w:r>
      <w:r w:rsidR="00956A4B" w:rsidRPr="00EE3400">
        <w:rPr>
          <w:rFonts w:ascii="Arial" w:hAnsi="Arial" w:cs="Arial"/>
          <w:sz w:val="18"/>
          <w:szCs w:val="18"/>
        </w:rPr>
        <w:t xml:space="preserve"> PA</w:t>
      </w:r>
      <w:r w:rsidRPr="00EE3400">
        <w:rPr>
          <w:rFonts w:ascii="Arial" w:hAnsi="Arial" w:cs="Arial"/>
          <w:sz w:val="18"/>
          <w:szCs w:val="18"/>
        </w:rPr>
        <w:t xml:space="preserve">, haga clic </w:t>
      </w:r>
      <w:hyperlink r:id="rId12" w:history="1">
        <w:r w:rsidRPr="00EE3400">
          <w:rPr>
            <w:rStyle w:val="Hyperlink"/>
            <w:rFonts w:ascii="Arial" w:hAnsi="Arial" w:cs="Arial"/>
            <w:sz w:val="18"/>
            <w:szCs w:val="18"/>
          </w:rPr>
          <w:t>aquí</w:t>
        </w:r>
      </w:hyperlink>
      <w:r w:rsidRPr="00EE3400">
        <w:rPr>
          <w:rFonts w:ascii="Arial" w:hAnsi="Arial" w:cs="Arial"/>
          <w:sz w:val="18"/>
          <w:szCs w:val="18"/>
        </w:rPr>
        <w:t>.</w:t>
      </w:r>
    </w:p>
    <w:p w:rsidR="00DD2CB1" w:rsidRPr="00E94D4F" w:rsidRDefault="00DD2CB1" w:rsidP="00C41AB9">
      <w:pPr>
        <w:numPr>
          <w:ilvl w:val="0"/>
          <w:numId w:val="14"/>
        </w:numPr>
        <w:tabs>
          <w:tab w:val="left" w:pos="720"/>
        </w:tabs>
        <w:autoSpaceDE w:val="0"/>
        <w:autoSpaceDN w:val="0"/>
        <w:adjustRightInd w:val="0"/>
        <w:spacing w:before="120" w:after="120"/>
        <w:ind w:hanging="720"/>
        <w:jc w:val="both"/>
        <w:rPr>
          <w:rFonts w:ascii="Arial" w:hAnsi="Arial" w:cs="Arial"/>
          <w:b/>
          <w:sz w:val="22"/>
          <w:szCs w:val="22"/>
        </w:rPr>
      </w:pPr>
      <w:r w:rsidRPr="00E94D4F">
        <w:rPr>
          <w:rFonts w:ascii="Arial" w:hAnsi="Arial" w:cs="Arial"/>
          <w:b/>
          <w:sz w:val="22"/>
          <w:szCs w:val="22"/>
        </w:rPr>
        <w:t>Supervisión de Adquisiciones</w:t>
      </w:r>
      <w:bookmarkEnd w:id="9"/>
    </w:p>
    <w:p w:rsidR="00D91E15" w:rsidRPr="00E94D4F" w:rsidRDefault="00D91E15" w:rsidP="00C41AB9">
      <w:pPr>
        <w:numPr>
          <w:ilvl w:val="0"/>
          <w:numId w:val="38"/>
        </w:numPr>
        <w:tabs>
          <w:tab w:val="clear" w:pos="900"/>
          <w:tab w:val="num" w:pos="720"/>
        </w:tabs>
        <w:autoSpaceDE w:val="0"/>
        <w:autoSpaceDN w:val="0"/>
        <w:adjustRightInd w:val="0"/>
        <w:spacing w:before="120" w:after="120"/>
        <w:ind w:left="720" w:hanging="720"/>
        <w:jc w:val="both"/>
        <w:rPr>
          <w:rFonts w:ascii="Arial" w:hAnsi="Arial" w:cs="Arial"/>
          <w:sz w:val="22"/>
          <w:szCs w:val="22"/>
        </w:rPr>
      </w:pPr>
      <w:bookmarkStart w:id="11" w:name="_Toc244412092"/>
      <w:r w:rsidRPr="00E94D4F">
        <w:rPr>
          <w:rFonts w:ascii="Arial" w:hAnsi="Arial" w:cs="Arial"/>
          <w:sz w:val="22"/>
          <w:szCs w:val="22"/>
        </w:rPr>
        <w:t>Las adquisiciones serán supervisadas de manera ex ante con exc</w:t>
      </w:r>
      <w:r w:rsidR="00D5557A" w:rsidRPr="00E94D4F">
        <w:rPr>
          <w:rFonts w:ascii="Arial" w:hAnsi="Arial" w:cs="Arial"/>
          <w:sz w:val="22"/>
          <w:szCs w:val="22"/>
        </w:rPr>
        <w:t>epción de los procesos de Comparación de P</w:t>
      </w:r>
      <w:r w:rsidRPr="00E94D4F">
        <w:rPr>
          <w:rFonts w:ascii="Arial" w:hAnsi="Arial" w:cs="Arial"/>
          <w:sz w:val="22"/>
          <w:szCs w:val="22"/>
        </w:rPr>
        <w:t>recios</w:t>
      </w:r>
      <w:r w:rsidR="004F27BF" w:rsidRPr="00E94D4F">
        <w:rPr>
          <w:rFonts w:ascii="Arial" w:hAnsi="Arial" w:cs="Arial"/>
          <w:sz w:val="22"/>
          <w:szCs w:val="22"/>
        </w:rPr>
        <w:t xml:space="preserve"> (bienes y servicios de no consultoría inferiores a US</w:t>
      </w:r>
      <w:r w:rsidR="00EE3400">
        <w:rPr>
          <w:rFonts w:ascii="Arial" w:hAnsi="Arial" w:cs="Arial"/>
          <w:sz w:val="22"/>
          <w:szCs w:val="22"/>
        </w:rPr>
        <w:t>$1</w:t>
      </w:r>
      <w:r w:rsidR="004F27BF" w:rsidRPr="00E94D4F">
        <w:rPr>
          <w:rFonts w:ascii="Arial" w:hAnsi="Arial" w:cs="Arial"/>
          <w:sz w:val="22"/>
          <w:szCs w:val="22"/>
        </w:rPr>
        <w:t>00</w:t>
      </w:r>
      <w:r w:rsidR="006B430F">
        <w:rPr>
          <w:rFonts w:ascii="Arial" w:hAnsi="Arial" w:cs="Arial"/>
          <w:sz w:val="22"/>
          <w:szCs w:val="22"/>
        </w:rPr>
        <w:t>.000</w:t>
      </w:r>
      <w:r w:rsidR="004F27BF" w:rsidRPr="00E94D4F">
        <w:rPr>
          <w:rFonts w:ascii="Arial" w:hAnsi="Arial" w:cs="Arial"/>
          <w:sz w:val="22"/>
          <w:szCs w:val="22"/>
        </w:rPr>
        <w:t>)</w:t>
      </w:r>
      <w:r w:rsidRPr="00E94D4F">
        <w:rPr>
          <w:rFonts w:ascii="Arial" w:hAnsi="Arial" w:cs="Arial"/>
          <w:sz w:val="22"/>
          <w:szCs w:val="22"/>
        </w:rPr>
        <w:t xml:space="preserve"> y </w:t>
      </w:r>
      <w:r w:rsidR="00D5557A" w:rsidRPr="00E94D4F">
        <w:rPr>
          <w:rFonts w:ascii="Arial" w:hAnsi="Arial" w:cs="Arial"/>
          <w:sz w:val="22"/>
          <w:szCs w:val="22"/>
        </w:rPr>
        <w:t>Consultoría I</w:t>
      </w:r>
      <w:r w:rsidRPr="00E94D4F">
        <w:rPr>
          <w:rFonts w:ascii="Arial" w:hAnsi="Arial" w:cs="Arial"/>
          <w:sz w:val="22"/>
          <w:szCs w:val="22"/>
        </w:rPr>
        <w:t xml:space="preserve">ndividual, </w:t>
      </w:r>
      <w:r w:rsidR="00882D9E" w:rsidRPr="00E94D4F">
        <w:rPr>
          <w:rFonts w:ascii="Arial" w:hAnsi="Arial" w:cs="Arial"/>
          <w:sz w:val="22"/>
          <w:szCs w:val="22"/>
        </w:rPr>
        <w:t xml:space="preserve">que serán realizados </w:t>
      </w:r>
      <w:r w:rsidRPr="00E94D4F">
        <w:rPr>
          <w:rFonts w:ascii="Arial" w:hAnsi="Arial" w:cs="Arial"/>
          <w:sz w:val="22"/>
          <w:szCs w:val="22"/>
        </w:rPr>
        <w:t xml:space="preserve">de manera ex post. Las visitas de revisión ex post se realizarán, cada 12 meses. Los reportes </w:t>
      </w:r>
      <w:r w:rsidRPr="00E94D4F">
        <w:rPr>
          <w:rFonts w:ascii="Arial" w:hAnsi="Arial" w:cs="Arial"/>
          <w:sz w:val="22"/>
          <w:szCs w:val="22"/>
        </w:rPr>
        <w:lastRenderedPageBreak/>
        <w:t xml:space="preserve">de </w:t>
      </w:r>
      <w:r w:rsidR="00EE3400">
        <w:rPr>
          <w:rFonts w:ascii="Arial" w:hAnsi="Arial" w:cs="Arial"/>
          <w:sz w:val="22"/>
          <w:szCs w:val="22"/>
        </w:rPr>
        <w:t>revisión ex</w:t>
      </w:r>
      <w:r w:rsidR="00C65AE2">
        <w:rPr>
          <w:rFonts w:ascii="Arial" w:hAnsi="Arial" w:cs="Arial"/>
          <w:sz w:val="22"/>
          <w:szCs w:val="22"/>
        </w:rPr>
        <w:t xml:space="preserve"> </w:t>
      </w:r>
      <w:r w:rsidRPr="00E94D4F">
        <w:rPr>
          <w:rFonts w:ascii="Arial" w:hAnsi="Arial" w:cs="Arial"/>
          <w:sz w:val="22"/>
          <w:szCs w:val="22"/>
        </w:rPr>
        <w:t>post incluirán al menos una visita de inspección física, escogida de los procesos de adquisiciones sujetos a la revisión ex post. Al menos el 10% de los contratos revisados se inspeccionarán físicamente durante el programa.</w:t>
      </w:r>
    </w:p>
    <w:p w:rsidR="00D91E15" w:rsidRPr="006B430F" w:rsidRDefault="00306D10" w:rsidP="001654EB">
      <w:pPr>
        <w:autoSpaceDE w:val="0"/>
        <w:autoSpaceDN w:val="0"/>
        <w:adjustRightInd w:val="0"/>
        <w:spacing w:before="120"/>
        <w:ind w:left="187"/>
        <w:jc w:val="center"/>
        <w:rPr>
          <w:rFonts w:ascii="Arial" w:hAnsi="Arial" w:cs="Arial"/>
          <w:b/>
          <w:sz w:val="18"/>
          <w:szCs w:val="18"/>
        </w:rPr>
      </w:pPr>
      <w:r w:rsidRPr="006B430F">
        <w:rPr>
          <w:rFonts w:ascii="Arial" w:hAnsi="Arial" w:cs="Arial"/>
          <w:b/>
          <w:sz w:val="18"/>
          <w:szCs w:val="18"/>
        </w:rPr>
        <w:t xml:space="preserve">Cuadro 4. </w:t>
      </w:r>
      <w:r w:rsidR="00D91E15" w:rsidRPr="006B430F">
        <w:rPr>
          <w:rFonts w:ascii="Arial" w:hAnsi="Arial" w:cs="Arial"/>
          <w:b/>
          <w:sz w:val="18"/>
          <w:szCs w:val="18"/>
        </w:rPr>
        <w:t>Límites para Revisión Ex</w:t>
      </w:r>
      <w:r w:rsidRPr="006B430F">
        <w:rPr>
          <w:rFonts w:ascii="Arial" w:hAnsi="Arial" w:cs="Arial"/>
          <w:b/>
          <w:sz w:val="18"/>
          <w:szCs w:val="18"/>
        </w:rPr>
        <w:t xml:space="preserve"> P</w:t>
      </w:r>
      <w:r w:rsidR="00D91E15" w:rsidRPr="006B430F">
        <w:rPr>
          <w:rFonts w:ascii="Arial" w:hAnsi="Arial" w:cs="Arial"/>
          <w:b/>
          <w:sz w:val="18"/>
          <w:szCs w:val="18"/>
        </w:rPr>
        <w:t>ost</w:t>
      </w:r>
    </w:p>
    <w:tbl>
      <w:tblPr>
        <w:tblW w:w="0" w:type="auto"/>
        <w:jc w:val="center"/>
        <w:tblLayout w:type="fixed"/>
        <w:tblLook w:val="0000" w:firstRow="0" w:lastRow="0" w:firstColumn="0" w:lastColumn="0" w:noHBand="0" w:noVBand="0"/>
      </w:tblPr>
      <w:tblGrid>
        <w:gridCol w:w="3456"/>
        <w:gridCol w:w="2340"/>
      </w:tblGrid>
      <w:tr w:rsidR="00D91E15" w:rsidRPr="00E94D4F" w:rsidTr="00306D10">
        <w:trPr>
          <w:jc w:val="center"/>
        </w:trPr>
        <w:tc>
          <w:tcPr>
            <w:tcW w:w="3456" w:type="dxa"/>
            <w:tcBorders>
              <w:top w:val="single" w:sz="4" w:space="0" w:color="808080"/>
              <w:left w:val="single" w:sz="4" w:space="0" w:color="808080"/>
              <w:bottom w:val="single" w:sz="4" w:space="0" w:color="808080"/>
            </w:tcBorders>
            <w:shd w:val="clear" w:color="auto" w:fill="00B0F0"/>
          </w:tcPr>
          <w:p w:rsidR="00D91E15" w:rsidRPr="00EE3400" w:rsidRDefault="00D91E15" w:rsidP="004C3025">
            <w:pPr>
              <w:autoSpaceDE w:val="0"/>
              <w:snapToGrid w:val="0"/>
              <w:jc w:val="center"/>
              <w:rPr>
                <w:rFonts w:ascii="Arial" w:hAnsi="Arial" w:cs="Arial"/>
                <w:b/>
                <w:color w:val="EEECE1"/>
                <w:sz w:val="18"/>
                <w:szCs w:val="18"/>
                <w:lang w:val="es-AR"/>
              </w:rPr>
            </w:pPr>
            <w:r w:rsidRPr="00EE3400">
              <w:rPr>
                <w:rFonts w:ascii="Arial" w:hAnsi="Arial" w:cs="Arial"/>
                <w:b/>
                <w:color w:val="EEECE1"/>
                <w:sz w:val="18"/>
                <w:szCs w:val="18"/>
                <w:lang w:val="es-AR"/>
              </w:rPr>
              <w:t>Comparación de precios</w:t>
            </w:r>
            <w:r w:rsidR="000602C3" w:rsidRPr="00EE3400">
              <w:rPr>
                <w:rFonts w:ascii="Arial" w:hAnsi="Arial" w:cs="Arial"/>
                <w:b/>
                <w:color w:val="EEECE1"/>
                <w:sz w:val="18"/>
                <w:szCs w:val="18"/>
                <w:lang w:val="es-AR"/>
              </w:rPr>
              <w:t xml:space="preserve"> (Bienes</w:t>
            </w:r>
            <w:r w:rsidR="004F27BF" w:rsidRPr="00EE3400">
              <w:rPr>
                <w:rFonts w:ascii="Arial" w:hAnsi="Arial" w:cs="Arial"/>
                <w:b/>
                <w:color w:val="EEECE1"/>
                <w:sz w:val="18"/>
                <w:szCs w:val="18"/>
                <w:lang w:val="es-AR"/>
              </w:rPr>
              <w:t xml:space="preserve"> y Servicios de No Consultoría</w:t>
            </w:r>
            <w:r w:rsidR="000602C3" w:rsidRPr="00EE3400">
              <w:rPr>
                <w:rFonts w:ascii="Arial" w:hAnsi="Arial" w:cs="Arial"/>
                <w:b/>
                <w:color w:val="EEECE1"/>
                <w:sz w:val="18"/>
                <w:szCs w:val="18"/>
                <w:lang w:val="es-AR"/>
              </w:rPr>
              <w:t>)</w:t>
            </w:r>
          </w:p>
        </w:tc>
        <w:tc>
          <w:tcPr>
            <w:tcW w:w="2340" w:type="dxa"/>
            <w:tcBorders>
              <w:top w:val="single" w:sz="4" w:space="0" w:color="808080"/>
              <w:left w:val="single" w:sz="4" w:space="0" w:color="808080"/>
              <w:bottom w:val="single" w:sz="4" w:space="0" w:color="808080"/>
              <w:right w:val="single" w:sz="4" w:space="0" w:color="808080"/>
            </w:tcBorders>
            <w:shd w:val="clear" w:color="auto" w:fill="00B0F0"/>
          </w:tcPr>
          <w:p w:rsidR="00D91E15" w:rsidRPr="00EE3400" w:rsidRDefault="00D91E15" w:rsidP="004C3025">
            <w:pPr>
              <w:autoSpaceDE w:val="0"/>
              <w:snapToGrid w:val="0"/>
              <w:jc w:val="center"/>
              <w:rPr>
                <w:rFonts w:ascii="Arial" w:hAnsi="Arial" w:cs="Arial"/>
                <w:b/>
                <w:color w:val="EEECE1"/>
                <w:sz w:val="18"/>
                <w:szCs w:val="18"/>
                <w:lang w:val="es-AR"/>
              </w:rPr>
            </w:pPr>
            <w:r w:rsidRPr="00EE3400">
              <w:rPr>
                <w:rFonts w:ascii="Arial" w:hAnsi="Arial" w:cs="Arial"/>
                <w:b/>
                <w:color w:val="EEECE1"/>
                <w:sz w:val="18"/>
                <w:szCs w:val="18"/>
                <w:lang w:val="es-AR"/>
              </w:rPr>
              <w:t>Consultoría Individual</w:t>
            </w:r>
          </w:p>
        </w:tc>
      </w:tr>
      <w:tr w:rsidR="00D91E15" w:rsidRPr="00E94D4F" w:rsidTr="004F27BF">
        <w:trPr>
          <w:trHeight w:val="293"/>
          <w:jc w:val="center"/>
        </w:trPr>
        <w:tc>
          <w:tcPr>
            <w:tcW w:w="3456" w:type="dxa"/>
            <w:tcBorders>
              <w:top w:val="single" w:sz="4" w:space="0" w:color="808080"/>
              <w:left w:val="single" w:sz="4" w:space="0" w:color="808080"/>
              <w:bottom w:val="single" w:sz="4" w:space="0" w:color="808080"/>
            </w:tcBorders>
            <w:shd w:val="clear" w:color="auto" w:fill="auto"/>
          </w:tcPr>
          <w:p w:rsidR="00D91E15" w:rsidRPr="00EE3400" w:rsidRDefault="00D91E15" w:rsidP="004C3025">
            <w:pPr>
              <w:autoSpaceDE w:val="0"/>
              <w:snapToGrid w:val="0"/>
              <w:jc w:val="center"/>
              <w:rPr>
                <w:rFonts w:ascii="Arial" w:hAnsi="Arial" w:cs="Arial"/>
                <w:color w:val="000000"/>
                <w:sz w:val="18"/>
                <w:szCs w:val="18"/>
              </w:rPr>
            </w:pPr>
            <w:r w:rsidRPr="00EE3400">
              <w:rPr>
                <w:rFonts w:ascii="Arial" w:hAnsi="Arial" w:cs="Arial"/>
                <w:color w:val="000000"/>
                <w:sz w:val="18"/>
                <w:szCs w:val="18"/>
              </w:rPr>
              <w:t>&lt;</w:t>
            </w:r>
            <w:r w:rsidRPr="00EE3400">
              <w:rPr>
                <w:rFonts w:ascii="Arial" w:eastAsia="Calibri" w:hAnsi="Arial" w:cs="Arial"/>
                <w:color w:val="000000"/>
                <w:sz w:val="18"/>
                <w:szCs w:val="18"/>
              </w:rPr>
              <w:t>1</w:t>
            </w:r>
            <w:r w:rsidRPr="00EE3400">
              <w:rPr>
                <w:rFonts w:ascii="Arial" w:hAnsi="Arial" w:cs="Arial"/>
                <w:color w:val="000000"/>
                <w:sz w:val="18"/>
                <w:szCs w:val="18"/>
              </w:rPr>
              <w:t>00.000</w:t>
            </w:r>
          </w:p>
        </w:tc>
        <w:tc>
          <w:tcPr>
            <w:tcW w:w="2340" w:type="dxa"/>
            <w:tcBorders>
              <w:top w:val="single" w:sz="4" w:space="0" w:color="808080"/>
              <w:left w:val="single" w:sz="4" w:space="0" w:color="808080"/>
              <w:bottom w:val="single" w:sz="4" w:space="0" w:color="808080"/>
              <w:right w:val="single" w:sz="4" w:space="0" w:color="808080"/>
            </w:tcBorders>
            <w:shd w:val="clear" w:color="auto" w:fill="auto"/>
          </w:tcPr>
          <w:p w:rsidR="00D91E15" w:rsidRPr="00EE3400" w:rsidRDefault="00D91E15" w:rsidP="004C3025">
            <w:pPr>
              <w:autoSpaceDE w:val="0"/>
              <w:snapToGrid w:val="0"/>
              <w:jc w:val="center"/>
              <w:rPr>
                <w:rFonts w:ascii="Arial" w:hAnsi="Arial" w:cs="Arial"/>
                <w:color w:val="000000"/>
                <w:sz w:val="18"/>
                <w:szCs w:val="18"/>
              </w:rPr>
            </w:pPr>
            <w:r w:rsidRPr="00EE3400">
              <w:rPr>
                <w:rFonts w:ascii="Arial" w:hAnsi="Arial" w:cs="Arial"/>
                <w:color w:val="000000"/>
                <w:sz w:val="18"/>
                <w:szCs w:val="18"/>
              </w:rPr>
              <w:t>&lt;50.000</w:t>
            </w:r>
          </w:p>
        </w:tc>
      </w:tr>
    </w:tbl>
    <w:p w:rsidR="00D91E15" w:rsidRPr="00306D10" w:rsidRDefault="00D91E15" w:rsidP="00FE4BAE">
      <w:pPr>
        <w:autoSpaceDE w:val="0"/>
        <w:autoSpaceDN w:val="0"/>
        <w:adjustRightInd w:val="0"/>
        <w:spacing w:after="120"/>
        <w:ind w:left="810"/>
        <w:jc w:val="both"/>
        <w:rPr>
          <w:rFonts w:ascii="Arial" w:hAnsi="Arial" w:cs="Arial"/>
          <w:sz w:val="16"/>
          <w:szCs w:val="16"/>
        </w:rPr>
      </w:pPr>
      <w:r w:rsidRPr="001438A4">
        <w:rPr>
          <w:rFonts w:ascii="Arial" w:hAnsi="Arial" w:cs="Arial"/>
          <w:sz w:val="16"/>
          <w:szCs w:val="16"/>
        </w:rPr>
        <w:t>Nota:</w:t>
      </w:r>
      <w:r w:rsidRPr="00306D10">
        <w:rPr>
          <w:rFonts w:ascii="Arial" w:hAnsi="Arial" w:cs="Arial"/>
          <w:sz w:val="16"/>
          <w:szCs w:val="16"/>
        </w:rPr>
        <w:t xml:space="preserve"> Los montos límites establecidos para revisión ex-post se aplican en función de la capacidad fiduciaria de ejecución del OE y pueden ser modificados por el Banco en la medida que tal capacidad varíe.</w:t>
      </w:r>
    </w:p>
    <w:p w:rsidR="00DD2CB1" w:rsidRPr="00E94D4F" w:rsidRDefault="00DD2CB1" w:rsidP="00C41AB9">
      <w:pPr>
        <w:numPr>
          <w:ilvl w:val="0"/>
          <w:numId w:val="14"/>
        </w:numPr>
        <w:tabs>
          <w:tab w:val="clear" w:pos="720"/>
        </w:tabs>
        <w:autoSpaceDE w:val="0"/>
        <w:autoSpaceDN w:val="0"/>
        <w:adjustRightInd w:val="0"/>
        <w:spacing w:before="120" w:after="120"/>
        <w:ind w:hanging="720"/>
        <w:jc w:val="both"/>
        <w:rPr>
          <w:rFonts w:ascii="Arial" w:hAnsi="Arial" w:cs="Arial"/>
          <w:b/>
          <w:sz w:val="22"/>
          <w:szCs w:val="22"/>
        </w:rPr>
      </w:pPr>
      <w:r w:rsidRPr="00E94D4F">
        <w:rPr>
          <w:rFonts w:ascii="Arial" w:hAnsi="Arial" w:cs="Arial"/>
          <w:b/>
          <w:sz w:val="22"/>
          <w:szCs w:val="22"/>
        </w:rPr>
        <w:t xml:space="preserve">Disposiciones </w:t>
      </w:r>
      <w:r w:rsidR="001438A4">
        <w:rPr>
          <w:rFonts w:ascii="Arial" w:hAnsi="Arial" w:cs="Arial"/>
          <w:b/>
          <w:sz w:val="22"/>
          <w:szCs w:val="22"/>
        </w:rPr>
        <w:t>E</w:t>
      </w:r>
      <w:r w:rsidRPr="00E94D4F">
        <w:rPr>
          <w:rFonts w:ascii="Arial" w:hAnsi="Arial" w:cs="Arial"/>
          <w:b/>
          <w:sz w:val="22"/>
          <w:szCs w:val="22"/>
        </w:rPr>
        <w:t>speciales</w:t>
      </w:r>
      <w:bookmarkEnd w:id="11"/>
    </w:p>
    <w:p w:rsidR="00C86290" w:rsidRPr="00E94D4F" w:rsidRDefault="00C86290" w:rsidP="00C41AB9">
      <w:pPr>
        <w:numPr>
          <w:ilvl w:val="0"/>
          <w:numId w:val="38"/>
        </w:numPr>
        <w:tabs>
          <w:tab w:val="clear" w:pos="900"/>
          <w:tab w:val="num" w:pos="720"/>
        </w:tabs>
        <w:autoSpaceDE w:val="0"/>
        <w:autoSpaceDN w:val="0"/>
        <w:adjustRightInd w:val="0"/>
        <w:spacing w:before="120" w:after="120"/>
        <w:ind w:left="720" w:hanging="720"/>
        <w:jc w:val="both"/>
        <w:rPr>
          <w:rFonts w:ascii="Arial" w:hAnsi="Arial" w:cs="Arial"/>
          <w:sz w:val="22"/>
          <w:szCs w:val="22"/>
        </w:rPr>
      </w:pPr>
      <w:bookmarkStart w:id="12" w:name="_Toc244412094"/>
      <w:bookmarkStart w:id="13" w:name="_Toc244412099"/>
      <w:r w:rsidRPr="00E94D4F">
        <w:rPr>
          <w:rFonts w:ascii="Arial" w:hAnsi="Arial" w:cs="Arial"/>
          <w:b/>
          <w:sz w:val="22"/>
          <w:szCs w:val="22"/>
        </w:rPr>
        <w:t xml:space="preserve">Medidas para </w:t>
      </w:r>
      <w:r w:rsidR="00A87433">
        <w:rPr>
          <w:rFonts w:ascii="Arial" w:hAnsi="Arial" w:cs="Arial"/>
          <w:b/>
          <w:sz w:val="22"/>
          <w:szCs w:val="22"/>
        </w:rPr>
        <w:t>R</w:t>
      </w:r>
      <w:r w:rsidRPr="00E94D4F">
        <w:rPr>
          <w:rFonts w:ascii="Arial" w:hAnsi="Arial" w:cs="Arial"/>
          <w:b/>
          <w:sz w:val="22"/>
          <w:szCs w:val="22"/>
        </w:rPr>
        <w:t xml:space="preserve">educir las </w:t>
      </w:r>
      <w:r w:rsidR="00A87433">
        <w:rPr>
          <w:rFonts w:ascii="Arial" w:hAnsi="Arial" w:cs="Arial"/>
          <w:b/>
          <w:sz w:val="22"/>
          <w:szCs w:val="22"/>
        </w:rPr>
        <w:t>Probabilidades de C</w:t>
      </w:r>
      <w:r w:rsidRPr="00E94D4F">
        <w:rPr>
          <w:rFonts w:ascii="Arial" w:hAnsi="Arial" w:cs="Arial"/>
          <w:b/>
          <w:sz w:val="22"/>
          <w:szCs w:val="22"/>
        </w:rPr>
        <w:t>orrupción</w:t>
      </w:r>
      <w:r w:rsidR="006B430F">
        <w:rPr>
          <w:rFonts w:ascii="Arial" w:hAnsi="Arial" w:cs="Arial"/>
          <w:b/>
          <w:sz w:val="22"/>
          <w:szCs w:val="22"/>
        </w:rPr>
        <w:t>.</w:t>
      </w:r>
      <w:r w:rsidRPr="00E94D4F">
        <w:rPr>
          <w:rFonts w:ascii="Arial" w:hAnsi="Arial" w:cs="Arial"/>
          <w:sz w:val="22"/>
          <w:szCs w:val="22"/>
        </w:rPr>
        <w:t xml:space="preserve"> </w:t>
      </w:r>
      <w:bookmarkStart w:id="14" w:name="_Toc244412096"/>
      <w:bookmarkEnd w:id="12"/>
      <w:r w:rsidRPr="00E94D4F">
        <w:rPr>
          <w:rFonts w:ascii="Arial" w:hAnsi="Arial" w:cs="Arial"/>
          <w:sz w:val="22"/>
          <w:szCs w:val="22"/>
        </w:rPr>
        <w:t>At</w:t>
      </w:r>
      <w:r w:rsidR="00C41AB9">
        <w:rPr>
          <w:rFonts w:ascii="Arial" w:hAnsi="Arial" w:cs="Arial"/>
          <w:sz w:val="22"/>
          <w:szCs w:val="22"/>
        </w:rPr>
        <w:t>ender las disposiciones de las P</w:t>
      </w:r>
      <w:r w:rsidRPr="00E94D4F">
        <w:rPr>
          <w:rFonts w:ascii="Arial" w:hAnsi="Arial" w:cs="Arial"/>
          <w:sz w:val="22"/>
          <w:szCs w:val="22"/>
        </w:rPr>
        <w:t xml:space="preserve">olíticas GN-2349-9 y </w:t>
      </w:r>
      <w:r w:rsidR="00C41AB9">
        <w:rPr>
          <w:rFonts w:ascii="Arial" w:hAnsi="Arial" w:cs="Arial"/>
          <w:sz w:val="22"/>
          <w:szCs w:val="22"/>
        </w:rPr>
        <w:t>GN-</w:t>
      </w:r>
      <w:r w:rsidRPr="00E94D4F">
        <w:rPr>
          <w:rFonts w:ascii="Arial" w:hAnsi="Arial" w:cs="Arial"/>
          <w:sz w:val="22"/>
          <w:szCs w:val="22"/>
        </w:rPr>
        <w:t xml:space="preserve">2350-9 en cuanto a prácticas prohibidas. También será deber del ejecutor revisar el listado de firmas y personas sancionadas para participar en procesos financiados por la </w:t>
      </w:r>
      <w:r w:rsidR="001438A4">
        <w:rPr>
          <w:rFonts w:ascii="Arial" w:hAnsi="Arial" w:cs="Arial"/>
          <w:sz w:val="22"/>
          <w:szCs w:val="22"/>
        </w:rPr>
        <w:t>banca m</w:t>
      </w:r>
      <w:r w:rsidRPr="00E94D4F">
        <w:rPr>
          <w:rFonts w:ascii="Arial" w:hAnsi="Arial" w:cs="Arial"/>
          <w:sz w:val="22"/>
          <w:szCs w:val="22"/>
        </w:rPr>
        <w:t>ultilateral.</w:t>
      </w:r>
    </w:p>
    <w:p w:rsidR="00C86290" w:rsidRPr="00E94D4F" w:rsidRDefault="00C86290" w:rsidP="00C41AB9">
      <w:pPr>
        <w:numPr>
          <w:ilvl w:val="0"/>
          <w:numId w:val="38"/>
        </w:numPr>
        <w:tabs>
          <w:tab w:val="clear" w:pos="900"/>
          <w:tab w:val="num" w:pos="720"/>
        </w:tabs>
        <w:autoSpaceDE w:val="0"/>
        <w:autoSpaceDN w:val="0"/>
        <w:adjustRightInd w:val="0"/>
        <w:spacing w:before="120" w:after="120"/>
        <w:ind w:left="720" w:hanging="720"/>
        <w:jc w:val="both"/>
        <w:rPr>
          <w:rFonts w:ascii="Arial" w:hAnsi="Arial" w:cs="Arial"/>
          <w:b/>
          <w:sz w:val="22"/>
          <w:szCs w:val="22"/>
        </w:rPr>
      </w:pPr>
      <w:r w:rsidRPr="00E94D4F">
        <w:rPr>
          <w:rFonts w:ascii="Arial" w:hAnsi="Arial" w:cs="Arial"/>
          <w:b/>
          <w:sz w:val="22"/>
          <w:szCs w:val="22"/>
        </w:rPr>
        <w:t xml:space="preserve">Otros Procedimientos </w:t>
      </w:r>
      <w:r w:rsidR="00A87433">
        <w:rPr>
          <w:rFonts w:ascii="Arial" w:hAnsi="Arial" w:cs="Arial"/>
          <w:b/>
          <w:sz w:val="22"/>
          <w:szCs w:val="22"/>
        </w:rPr>
        <w:t>E</w:t>
      </w:r>
      <w:r w:rsidRPr="00E94D4F">
        <w:rPr>
          <w:rFonts w:ascii="Arial" w:hAnsi="Arial" w:cs="Arial"/>
          <w:b/>
          <w:sz w:val="22"/>
          <w:szCs w:val="22"/>
        </w:rPr>
        <w:t>speciales</w:t>
      </w:r>
      <w:r w:rsidR="006B430F">
        <w:rPr>
          <w:rFonts w:ascii="Arial" w:hAnsi="Arial" w:cs="Arial"/>
          <w:b/>
          <w:sz w:val="22"/>
          <w:szCs w:val="22"/>
        </w:rPr>
        <w:t>.</w:t>
      </w:r>
      <w:r w:rsidRPr="00E94D4F">
        <w:rPr>
          <w:rFonts w:ascii="Arial" w:hAnsi="Arial" w:cs="Arial"/>
          <w:b/>
          <w:sz w:val="22"/>
          <w:szCs w:val="22"/>
        </w:rPr>
        <w:t xml:space="preserve"> </w:t>
      </w:r>
      <w:bookmarkEnd w:id="14"/>
      <w:r w:rsidRPr="00E94D4F">
        <w:rPr>
          <w:rFonts w:ascii="Arial" w:hAnsi="Arial" w:cs="Arial"/>
          <w:sz w:val="22"/>
          <w:szCs w:val="22"/>
        </w:rPr>
        <w:t>Mantener el PA actualizado de acuerdo con las necesidades del proyecto e integrado a la planificación del mismo.</w:t>
      </w:r>
    </w:p>
    <w:p w:rsidR="00DD2CB1" w:rsidRPr="00A87433" w:rsidRDefault="00DD2CB1" w:rsidP="00C41AB9">
      <w:pPr>
        <w:numPr>
          <w:ilvl w:val="0"/>
          <w:numId w:val="14"/>
        </w:numPr>
        <w:tabs>
          <w:tab w:val="clear" w:pos="720"/>
        </w:tabs>
        <w:autoSpaceDE w:val="0"/>
        <w:autoSpaceDN w:val="0"/>
        <w:adjustRightInd w:val="0"/>
        <w:spacing w:before="120" w:after="120"/>
        <w:ind w:hanging="720"/>
        <w:jc w:val="both"/>
        <w:rPr>
          <w:rFonts w:ascii="Arial" w:hAnsi="Arial" w:cs="Arial"/>
          <w:b/>
          <w:sz w:val="22"/>
          <w:szCs w:val="22"/>
        </w:rPr>
      </w:pPr>
      <w:r w:rsidRPr="00A87433">
        <w:rPr>
          <w:rFonts w:ascii="Arial" w:hAnsi="Arial" w:cs="Arial"/>
          <w:b/>
          <w:sz w:val="22"/>
          <w:szCs w:val="22"/>
        </w:rPr>
        <w:t>Registros y Archivos</w:t>
      </w:r>
      <w:bookmarkEnd w:id="13"/>
    </w:p>
    <w:p w:rsidR="00DD2CB1" w:rsidRDefault="00147CAD" w:rsidP="00C41AB9">
      <w:pPr>
        <w:numPr>
          <w:ilvl w:val="0"/>
          <w:numId w:val="38"/>
        </w:numPr>
        <w:tabs>
          <w:tab w:val="clear" w:pos="900"/>
          <w:tab w:val="num" w:pos="720"/>
        </w:tabs>
        <w:autoSpaceDE w:val="0"/>
        <w:autoSpaceDN w:val="0"/>
        <w:adjustRightInd w:val="0"/>
        <w:spacing w:before="120" w:after="120"/>
        <w:ind w:left="720" w:hanging="720"/>
        <w:jc w:val="both"/>
        <w:rPr>
          <w:rFonts w:ascii="Arial" w:hAnsi="Arial" w:cs="Arial"/>
          <w:sz w:val="22"/>
          <w:szCs w:val="22"/>
        </w:rPr>
      </w:pPr>
      <w:r w:rsidRPr="00A87433">
        <w:rPr>
          <w:rFonts w:ascii="Arial" w:hAnsi="Arial" w:cs="Arial"/>
          <w:sz w:val="22"/>
          <w:szCs w:val="22"/>
        </w:rPr>
        <w:t xml:space="preserve">La documentación de los procesos de </w:t>
      </w:r>
      <w:r w:rsidR="00930FC8" w:rsidRPr="00A87433">
        <w:rPr>
          <w:rFonts w:ascii="Arial" w:hAnsi="Arial" w:cs="Arial"/>
          <w:sz w:val="22"/>
          <w:szCs w:val="22"/>
        </w:rPr>
        <w:t>adquisiciones llevadas a cabo por el O</w:t>
      </w:r>
      <w:r w:rsidR="00D35AF3" w:rsidRPr="00A87433">
        <w:rPr>
          <w:rFonts w:ascii="Arial" w:hAnsi="Arial" w:cs="Arial"/>
          <w:sz w:val="22"/>
          <w:szCs w:val="22"/>
        </w:rPr>
        <w:t>E estará</w:t>
      </w:r>
      <w:r w:rsidR="00930FC8" w:rsidRPr="00A87433">
        <w:rPr>
          <w:rFonts w:ascii="Arial" w:hAnsi="Arial" w:cs="Arial"/>
          <w:sz w:val="22"/>
          <w:szCs w:val="22"/>
        </w:rPr>
        <w:t xml:space="preserve"> en las oficinas de la </w:t>
      </w:r>
      <w:r w:rsidR="000959ED" w:rsidRPr="00A87433">
        <w:rPr>
          <w:rFonts w:ascii="Arial" w:hAnsi="Arial" w:cs="Arial"/>
          <w:sz w:val="22"/>
          <w:szCs w:val="22"/>
        </w:rPr>
        <w:t>UCP</w:t>
      </w:r>
      <w:r w:rsidR="001212D6" w:rsidRPr="00A87433">
        <w:rPr>
          <w:rFonts w:ascii="Arial" w:hAnsi="Arial" w:cs="Arial"/>
          <w:sz w:val="22"/>
          <w:szCs w:val="22"/>
        </w:rPr>
        <w:t>, y esta secretaría será la responsable de mantener los registros y archivos debidamente ordenados, clasificados y actualizados con</w:t>
      </w:r>
      <w:r w:rsidR="001212D6" w:rsidRPr="00E94D4F">
        <w:rPr>
          <w:rFonts w:ascii="Arial" w:hAnsi="Arial" w:cs="Arial"/>
          <w:sz w:val="22"/>
          <w:szCs w:val="22"/>
        </w:rPr>
        <w:t xml:space="preserve"> toda la documentación que generen los procesos de adquisición y contratación</w:t>
      </w:r>
      <w:r w:rsidR="00DD2CB1" w:rsidRPr="00E94D4F">
        <w:rPr>
          <w:rFonts w:ascii="Arial" w:hAnsi="Arial" w:cs="Arial"/>
          <w:i/>
          <w:sz w:val="22"/>
          <w:szCs w:val="22"/>
        </w:rPr>
        <w:t xml:space="preserve">. </w:t>
      </w:r>
      <w:r w:rsidR="00DD2CB1" w:rsidRPr="00E94D4F">
        <w:rPr>
          <w:rFonts w:ascii="Arial" w:hAnsi="Arial" w:cs="Arial"/>
          <w:sz w:val="22"/>
          <w:szCs w:val="22"/>
        </w:rPr>
        <w:t xml:space="preserve">Para la preparación y archivo de los reportes del proyecto se deben utilizar los formatos o procedimientos que han sido acordados y están descritos en el </w:t>
      </w:r>
      <w:r w:rsidR="00D35AF3">
        <w:rPr>
          <w:rFonts w:ascii="Arial" w:hAnsi="Arial" w:cs="Arial"/>
          <w:sz w:val="22"/>
          <w:szCs w:val="22"/>
        </w:rPr>
        <w:t>ROP</w:t>
      </w:r>
      <w:r w:rsidR="00BA65FA" w:rsidRPr="00E94D4F">
        <w:rPr>
          <w:rFonts w:ascii="Arial" w:hAnsi="Arial" w:cs="Arial"/>
          <w:sz w:val="22"/>
          <w:szCs w:val="22"/>
        </w:rPr>
        <w:t>.</w:t>
      </w:r>
    </w:p>
    <w:p w:rsidR="0042049B" w:rsidRPr="00306D10" w:rsidRDefault="0042049B" w:rsidP="004B78E1">
      <w:pPr>
        <w:numPr>
          <w:ilvl w:val="0"/>
          <w:numId w:val="11"/>
        </w:numPr>
        <w:autoSpaceDE w:val="0"/>
        <w:autoSpaceDN w:val="0"/>
        <w:adjustRightInd w:val="0"/>
        <w:spacing w:before="240" w:after="240"/>
        <w:ind w:left="360"/>
        <w:jc w:val="center"/>
        <w:rPr>
          <w:rFonts w:ascii="Arial" w:hAnsi="Arial" w:cs="Arial"/>
          <w:b/>
          <w:smallCaps/>
        </w:rPr>
      </w:pPr>
      <w:r w:rsidRPr="00306D10">
        <w:rPr>
          <w:rFonts w:ascii="Arial" w:hAnsi="Arial" w:cs="Arial"/>
          <w:b/>
          <w:smallCaps/>
        </w:rPr>
        <w:t>Acuerdos y Requisitos para la Gestión Financiera</w:t>
      </w:r>
    </w:p>
    <w:p w:rsidR="0042049B" w:rsidRPr="00E94D4F" w:rsidRDefault="0042049B" w:rsidP="00B828DC">
      <w:pPr>
        <w:numPr>
          <w:ilvl w:val="0"/>
          <w:numId w:val="29"/>
        </w:numPr>
        <w:tabs>
          <w:tab w:val="clear" w:pos="720"/>
        </w:tabs>
        <w:autoSpaceDE w:val="0"/>
        <w:autoSpaceDN w:val="0"/>
        <w:adjustRightInd w:val="0"/>
        <w:spacing w:before="120" w:after="120"/>
        <w:ind w:hanging="720"/>
        <w:jc w:val="both"/>
        <w:rPr>
          <w:rFonts w:ascii="Arial" w:hAnsi="Arial" w:cs="Arial"/>
          <w:sz w:val="22"/>
          <w:szCs w:val="22"/>
        </w:rPr>
      </w:pPr>
      <w:r w:rsidRPr="00E94D4F">
        <w:rPr>
          <w:rFonts w:ascii="Arial" w:hAnsi="Arial" w:cs="Arial"/>
          <w:b/>
          <w:sz w:val="22"/>
          <w:szCs w:val="22"/>
        </w:rPr>
        <w:t>Programación y Presupuesto</w:t>
      </w:r>
      <w:r w:rsidRPr="00E94D4F" w:rsidDel="002875B3">
        <w:rPr>
          <w:rFonts w:ascii="Arial" w:hAnsi="Arial" w:cs="Arial"/>
          <w:sz w:val="22"/>
          <w:szCs w:val="22"/>
        </w:rPr>
        <w:t xml:space="preserve"> </w:t>
      </w:r>
    </w:p>
    <w:p w:rsidR="0042049B" w:rsidRPr="00E94D4F" w:rsidRDefault="00D35AF3" w:rsidP="006B430F">
      <w:pPr>
        <w:pStyle w:val="ListParagraph"/>
        <w:numPr>
          <w:ilvl w:val="0"/>
          <w:numId w:val="30"/>
        </w:numPr>
        <w:tabs>
          <w:tab w:val="clear" w:pos="900"/>
        </w:tabs>
        <w:spacing w:after="120"/>
        <w:ind w:left="720" w:hanging="720"/>
        <w:contextualSpacing w:val="0"/>
        <w:jc w:val="both"/>
        <w:rPr>
          <w:rFonts w:ascii="Arial" w:hAnsi="Arial" w:cs="Arial"/>
          <w:sz w:val="22"/>
          <w:szCs w:val="22"/>
        </w:rPr>
      </w:pPr>
      <w:r>
        <w:rPr>
          <w:rFonts w:ascii="Arial" w:hAnsi="Arial" w:cs="Arial"/>
          <w:sz w:val="22"/>
          <w:szCs w:val="22"/>
        </w:rPr>
        <w:t xml:space="preserve">La UCP será </w:t>
      </w:r>
      <w:r w:rsidR="0042049B" w:rsidRPr="00E94D4F">
        <w:rPr>
          <w:rFonts w:ascii="Arial" w:hAnsi="Arial" w:cs="Arial"/>
          <w:sz w:val="22"/>
          <w:szCs w:val="22"/>
        </w:rPr>
        <w:t>responsable del proceso de formulación y programación del presupuesto anual</w:t>
      </w:r>
      <w:r>
        <w:rPr>
          <w:rFonts w:ascii="Arial" w:hAnsi="Arial" w:cs="Arial"/>
          <w:sz w:val="22"/>
          <w:szCs w:val="22"/>
        </w:rPr>
        <w:t>,</w:t>
      </w:r>
      <w:r w:rsidR="0042049B" w:rsidRPr="00E94D4F">
        <w:rPr>
          <w:rFonts w:ascii="Arial" w:hAnsi="Arial" w:cs="Arial"/>
          <w:sz w:val="22"/>
          <w:szCs w:val="22"/>
        </w:rPr>
        <w:t xml:space="preserve"> encarga</w:t>
      </w:r>
      <w:r>
        <w:rPr>
          <w:rFonts w:ascii="Arial" w:hAnsi="Arial" w:cs="Arial"/>
          <w:sz w:val="22"/>
          <w:szCs w:val="22"/>
        </w:rPr>
        <w:t>da</w:t>
      </w:r>
      <w:r w:rsidR="0042049B" w:rsidRPr="00E94D4F">
        <w:rPr>
          <w:rFonts w:ascii="Arial" w:hAnsi="Arial" w:cs="Arial"/>
          <w:sz w:val="22"/>
          <w:szCs w:val="22"/>
        </w:rPr>
        <w:t xml:space="preserve"> de realizar todos los procedimientos conducentes a la consolidación del presupuesto anual para su aprobación. </w:t>
      </w:r>
    </w:p>
    <w:p w:rsidR="00DF5147" w:rsidRPr="00E94D4F" w:rsidRDefault="0042049B" w:rsidP="006B430F">
      <w:pPr>
        <w:pStyle w:val="ListParagraph"/>
        <w:numPr>
          <w:ilvl w:val="0"/>
          <w:numId w:val="30"/>
        </w:numPr>
        <w:tabs>
          <w:tab w:val="clear" w:pos="900"/>
        </w:tabs>
        <w:spacing w:after="120"/>
        <w:ind w:left="720" w:hanging="720"/>
        <w:contextualSpacing w:val="0"/>
        <w:jc w:val="both"/>
        <w:rPr>
          <w:rFonts w:ascii="Arial" w:hAnsi="Arial" w:cs="Arial"/>
          <w:sz w:val="22"/>
          <w:szCs w:val="22"/>
        </w:rPr>
      </w:pPr>
      <w:r w:rsidRPr="00E94D4F">
        <w:rPr>
          <w:rFonts w:ascii="Arial" w:hAnsi="Arial" w:cs="Arial"/>
          <w:sz w:val="22"/>
          <w:szCs w:val="22"/>
        </w:rPr>
        <w:t>A medida que surgen necesidades de ampliaciones o reasignaciones de partidas, la UCP solicita las modificaciones encargándose de gestionar su aprobación. Los créditos presupuestarios se ejecutan mediante cuotas de compromiso trimestrales y mensuales de devengado, las cuales son asignadas por la Oficina Nacional de Presupuesto.</w:t>
      </w:r>
    </w:p>
    <w:p w:rsidR="00DF5147" w:rsidRDefault="0042049B" w:rsidP="00B828DC">
      <w:pPr>
        <w:pStyle w:val="ListParagraph"/>
        <w:numPr>
          <w:ilvl w:val="0"/>
          <w:numId w:val="30"/>
        </w:numPr>
        <w:tabs>
          <w:tab w:val="clear" w:pos="900"/>
        </w:tabs>
        <w:spacing w:after="240"/>
        <w:ind w:left="720" w:hanging="720"/>
        <w:jc w:val="both"/>
        <w:rPr>
          <w:rFonts w:ascii="Arial" w:hAnsi="Arial" w:cs="Arial"/>
          <w:sz w:val="22"/>
          <w:szCs w:val="22"/>
        </w:rPr>
      </w:pPr>
      <w:r w:rsidRPr="00E94D4F">
        <w:rPr>
          <w:rFonts w:ascii="Arial" w:hAnsi="Arial" w:cs="Arial"/>
          <w:sz w:val="22"/>
          <w:szCs w:val="22"/>
        </w:rPr>
        <w:t>No se anticipan dificultades pa</w:t>
      </w:r>
      <w:r w:rsidR="00DF5147" w:rsidRPr="00E94D4F">
        <w:rPr>
          <w:rFonts w:ascii="Arial" w:hAnsi="Arial" w:cs="Arial"/>
          <w:sz w:val="22"/>
          <w:szCs w:val="22"/>
        </w:rPr>
        <w:t xml:space="preserve">ra el manejo presupuestario </w:t>
      </w:r>
      <w:r w:rsidRPr="00E94D4F">
        <w:rPr>
          <w:rFonts w:ascii="Arial" w:hAnsi="Arial" w:cs="Arial"/>
          <w:sz w:val="22"/>
          <w:szCs w:val="22"/>
        </w:rPr>
        <w:t xml:space="preserve">que afecten la ejecución. </w:t>
      </w:r>
    </w:p>
    <w:p w:rsidR="00DF5147" w:rsidRPr="00E94D4F" w:rsidRDefault="0042049B" w:rsidP="00B828DC">
      <w:pPr>
        <w:numPr>
          <w:ilvl w:val="0"/>
          <w:numId w:val="29"/>
        </w:numPr>
        <w:tabs>
          <w:tab w:val="clear" w:pos="720"/>
        </w:tabs>
        <w:autoSpaceDE w:val="0"/>
        <w:autoSpaceDN w:val="0"/>
        <w:adjustRightInd w:val="0"/>
        <w:spacing w:before="120" w:after="120"/>
        <w:ind w:hanging="720"/>
        <w:jc w:val="both"/>
        <w:rPr>
          <w:rFonts w:ascii="Arial" w:hAnsi="Arial" w:cs="Arial"/>
          <w:b/>
          <w:sz w:val="22"/>
          <w:szCs w:val="22"/>
        </w:rPr>
      </w:pPr>
      <w:r w:rsidRPr="00E94D4F">
        <w:rPr>
          <w:rFonts w:ascii="Arial" w:hAnsi="Arial" w:cs="Arial"/>
          <w:b/>
          <w:sz w:val="22"/>
          <w:szCs w:val="22"/>
        </w:rPr>
        <w:t>Tesorería y Gestión de Desembolsos</w:t>
      </w:r>
    </w:p>
    <w:p w:rsidR="0042049B" w:rsidRDefault="0042049B" w:rsidP="00B828DC">
      <w:pPr>
        <w:pStyle w:val="ListParagraph"/>
        <w:numPr>
          <w:ilvl w:val="0"/>
          <w:numId w:val="30"/>
        </w:numPr>
        <w:tabs>
          <w:tab w:val="clear" w:pos="900"/>
        </w:tabs>
        <w:spacing w:after="240"/>
        <w:ind w:left="720" w:hanging="720"/>
        <w:jc w:val="both"/>
        <w:rPr>
          <w:rFonts w:ascii="Arial" w:hAnsi="Arial" w:cs="Arial"/>
          <w:sz w:val="22"/>
          <w:szCs w:val="22"/>
        </w:rPr>
      </w:pPr>
      <w:r w:rsidRPr="00E94D4F">
        <w:rPr>
          <w:rFonts w:ascii="Arial" w:hAnsi="Arial" w:cs="Arial"/>
          <w:sz w:val="22"/>
          <w:szCs w:val="22"/>
        </w:rPr>
        <w:t>Los desembolsos se realizarán con base en un plan financiero detallado, cuyo modelo ha sido acordado con las autoridades del Ministerio de Finanzas y Je</w:t>
      </w:r>
      <w:r w:rsidR="00C44A0C">
        <w:rPr>
          <w:rFonts w:ascii="Arial" w:hAnsi="Arial" w:cs="Arial"/>
          <w:sz w:val="22"/>
          <w:szCs w:val="22"/>
        </w:rPr>
        <w:t>fatura de Gabinete de Ministros</w:t>
      </w:r>
      <w:r w:rsidRPr="00E94D4F">
        <w:rPr>
          <w:rFonts w:ascii="Arial" w:hAnsi="Arial" w:cs="Arial"/>
          <w:sz w:val="22"/>
          <w:szCs w:val="22"/>
        </w:rPr>
        <w:t>.</w:t>
      </w:r>
    </w:p>
    <w:p w:rsidR="00681A1E" w:rsidRDefault="00681A1E" w:rsidP="00681A1E">
      <w:pPr>
        <w:pStyle w:val="ListParagraph"/>
        <w:spacing w:after="240"/>
        <w:jc w:val="both"/>
        <w:rPr>
          <w:rFonts w:ascii="Arial" w:hAnsi="Arial" w:cs="Arial"/>
          <w:sz w:val="22"/>
          <w:szCs w:val="22"/>
        </w:rPr>
      </w:pPr>
    </w:p>
    <w:p w:rsidR="00681A1E" w:rsidRDefault="00681A1E" w:rsidP="00681A1E">
      <w:pPr>
        <w:pStyle w:val="ListParagraph"/>
        <w:spacing w:after="240"/>
        <w:jc w:val="both"/>
        <w:rPr>
          <w:rFonts w:ascii="Arial" w:hAnsi="Arial" w:cs="Arial"/>
          <w:sz w:val="22"/>
          <w:szCs w:val="22"/>
        </w:rPr>
      </w:pPr>
    </w:p>
    <w:p w:rsidR="00681A1E" w:rsidRPr="00E94D4F" w:rsidRDefault="00681A1E" w:rsidP="00681A1E">
      <w:pPr>
        <w:pStyle w:val="ListParagraph"/>
        <w:spacing w:after="240"/>
        <w:jc w:val="both"/>
        <w:rPr>
          <w:rFonts w:ascii="Arial" w:hAnsi="Arial" w:cs="Arial"/>
          <w:sz w:val="22"/>
          <w:szCs w:val="22"/>
        </w:rPr>
      </w:pPr>
      <w:bookmarkStart w:id="15" w:name="_GoBack"/>
      <w:bookmarkEnd w:id="15"/>
    </w:p>
    <w:p w:rsidR="0042049B" w:rsidRPr="00E94D4F" w:rsidRDefault="0042049B" w:rsidP="00B828DC">
      <w:pPr>
        <w:numPr>
          <w:ilvl w:val="0"/>
          <w:numId w:val="29"/>
        </w:numPr>
        <w:tabs>
          <w:tab w:val="clear" w:pos="720"/>
        </w:tabs>
        <w:autoSpaceDE w:val="0"/>
        <w:autoSpaceDN w:val="0"/>
        <w:adjustRightInd w:val="0"/>
        <w:spacing w:before="120" w:after="120"/>
        <w:ind w:hanging="720"/>
        <w:jc w:val="both"/>
        <w:rPr>
          <w:rFonts w:ascii="Arial" w:hAnsi="Arial" w:cs="Arial"/>
          <w:b/>
          <w:sz w:val="22"/>
          <w:szCs w:val="22"/>
        </w:rPr>
      </w:pPr>
      <w:r w:rsidRPr="00E94D4F">
        <w:rPr>
          <w:rFonts w:ascii="Arial" w:hAnsi="Arial" w:cs="Arial"/>
          <w:b/>
          <w:sz w:val="22"/>
          <w:szCs w:val="22"/>
        </w:rPr>
        <w:lastRenderedPageBreak/>
        <w:t>Contabilidad, Sistemas de Información y Generación de Reportes</w:t>
      </w:r>
    </w:p>
    <w:p w:rsidR="0042049B" w:rsidRPr="00E94D4F" w:rsidRDefault="0042049B" w:rsidP="00B828DC">
      <w:pPr>
        <w:pStyle w:val="ListParagraph"/>
        <w:numPr>
          <w:ilvl w:val="0"/>
          <w:numId w:val="30"/>
        </w:numPr>
        <w:tabs>
          <w:tab w:val="clear" w:pos="900"/>
        </w:tabs>
        <w:spacing w:after="240"/>
        <w:ind w:left="720" w:hanging="720"/>
        <w:jc w:val="both"/>
        <w:rPr>
          <w:rFonts w:ascii="Arial" w:hAnsi="Arial" w:cs="Arial"/>
          <w:sz w:val="22"/>
          <w:szCs w:val="22"/>
        </w:rPr>
      </w:pPr>
      <w:r w:rsidRPr="00E94D4F">
        <w:rPr>
          <w:rFonts w:ascii="Arial" w:hAnsi="Arial" w:cs="Arial"/>
          <w:sz w:val="22"/>
          <w:szCs w:val="22"/>
        </w:rPr>
        <w:t xml:space="preserve">La </w:t>
      </w:r>
      <w:r w:rsidR="00DF5147" w:rsidRPr="00E94D4F">
        <w:rPr>
          <w:rFonts w:ascii="Arial" w:hAnsi="Arial" w:cs="Arial"/>
          <w:sz w:val="22"/>
          <w:szCs w:val="22"/>
        </w:rPr>
        <w:t>UCP</w:t>
      </w:r>
      <w:r w:rsidRPr="00E94D4F">
        <w:rPr>
          <w:rFonts w:ascii="Arial" w:hAnsi="Arial" w:cs="Arial"/>
          <w:sz w:val="22"/>
          <w:szCs w:val="22"/>
        </w:rPr>
        <w:t xml:space="preserve"> utilizará el sistema UEPEX como sistema de administración financiera. El registro de la contabilidad se hará en base de caja y se seguirán las Normas Internacionales de Información Financiera cuando aplique </w:t>
      </w:r>
      <w:r w:rsidR="00DF5147" w:rsidRPr="00E94D4F">
        <w:rPr>
          <w:rFonts w:ascii="Arial" w:hAnsi="Arial" w:cs="Arial"/>
          <w:sz w:val="22"/>
          <w:szCs w:val="22"/>
        </w:rPr>
        <w:t>de acuerdo con</w:t>
      </w:r>
      <w:r w:rsidRPr="00E94D4F">
        <w:rPr>
          <w:rFonts w:ascii="Arial" w:hAnsi="Arial" w:cs="Arial"/>
          <w:sz w:val="22"/>
          <w:szCs w:val="22"/>
        </w:rPr>
        <w:t xml:space="preserve"> los criterios nacionales establecidos. Los informes financieros requeridos serán: (i) Plan de Ejecución Financiera para hasta 180 días posteriores a la solicitud de anticipos; (ii) estados financieros anuales auditados, según lo</w:t>
      </w:r>
      <w:r w:rsidR="00DC6CF8">
        <w:rPr>
          <w:rFonts w:ascii="Arial" w:hAnsi="Arial" w:cs="Arial"/>
          <w:sz w:val="22"/>
          <w:szCs w:val="22"/>
        </w:rPr>
        <w:t xml:space="preserve"> estipulado en el artículo 7.03 </w:t>
      </w:r>
      <w:r w:rsidRPr="00E94D4F">
        <w:rPr>
          <w:rFonts w:ascii="Arial" w:hAnsi="Arial" w:cs="Arial"/>
          <w:sz w:val="22"/>
          <w:szCs w:val="22"/>
        </w:rPr>
        <w:t>inciso (a) de las Normas Generales del Con</w:t>
      </w:r>
      <w:r w:rsidR="00C44A0C">
        <w:rPr>
          <w:rFonts w:ascii="Arial" w:hAnsi="Arial" w:cs="Arial"/>
          <w:sz w:val="22"/>
          <w:szCs w:val="22"/>
        </w:rPr>
        <w:t>trato de Préstamo; y (iii) </w:t>
      </w:r>
      <w:r w:rsidRPr="00E94D4F">
        <w:rPr>
          <w:rFonts w:ascii="Arial" w:hAnsi="Arial" w:cs="Arial"/>
          <w:sz w:val="22"/>
          <w:szCs w:val="22"/>
        </w:rPr>
        <w:t xml:space="preserve">otros informes a ser requeridos por los especialistas fiduciarios. </w:t>
      </w:r>
    </w:p>
    <w:p w:rsidR="0042049B" w:rsidRPr="00E94D4F" w:rsidRDefault="0042049B" w:rsidP="00B828DC">
      <w:pPr>
        <w:numPr>
          <w:ilvl w:val="0"/>
          <w:numId w:val="29"/>
        </w:numPr>
        <w:tabs>
          <w:tab w:val="clear" w:pos="720"/>
        </w:tabs>
        <w:autoSpaceDE w:val="0"/>
        <w:autoSpaceDN w:val="0"/>
        <w:adjustRightInd w:val="0"/>
        <w:spacing w:before="120" w:after="120"/>
        <w:ind w:hanging="720"/>
        <w:jc w:val="both"/>
        <w:rPr>
          <w:rFonts w:ascii="Arial" w:hAnsi="Arial" w:cs="Arial"/>
          <w:b/>
          <w:sz w:val="22"/>
          <w:szCs w:val="22"/>
        </w:rPr>
      </w:pPr>
      <w:r w:rsidRPr="00E94D4F">
        <w:rPr>
          <w:rFonts w:ascii="Arial" w:hAnsi="Arial" w:cs="Arial"/>
          <w:b/>
          <w:sz w:val="22"/>
          <w:szCs w:val="22"/>
        </w:rPr>
        <w:t>Control Interno y Auditoría Interna</w:t>
      </w:r>
    </w:p>
    <w:p w:rsidR="00537F8A" w:rsidRDefault="0042049B" w:rsidP="00B828DC">
      <w:pPr>
        <w:pStyle w:val="ListParagraph"/>
        <w:numPr>
          <w:ilvl w:val="0"/>
          <w:numId w:val="30"/>
        </w:numPr>
        <w:tabs>
          <w:tab w:val="clear" w:pos="900"/>
        </w:tabs>
        <w:spacing w:after="240"/>
        <w:ind w:left="720" w:hanging="720"/>
        <w:jc w:val="both"/>
        <w:rPr>
          <w:rFonts w:ascii="Arial" w:hAnsi="Arial" w:cs="Arial"/>
          <w:sz w:val="22"/>
          <w:szCs w:val="22"/>
        </w:rPr>
      </w:pPr>
      <w:r w:rsidRPr="00E94D4F">
        <w:rPr>
          <w:rFonts w:ascii="Arial" w:hAnsi="Arial" w:cs="Arial"/>
          <w:sz w:val="22"/>
          <w:szCs w:val="22"/>
        </w:rPr>
        <w:t xml:space="preserve">El ente nacional de </w:t>
      </w:r>
      <w:r w:rsidR="00746085">
        <w:rPr>
          <w:rFonts w:ascii="Arial" w:hAnsi="Arial" w:cs="Arial"/>
          <w:sz w:val="22"/>
          <w:szCs w:val="22"/>
        </w:rPr>
        <w:t>c</w:t>
      </w:r>
      <w:r w:rsidRPr="00E94D4F">
        <w:rPr>
          <w:rFonts w:ascii="Arial" w:hAnsi="Arial" w:cs="Arial"/>
          <w:sz w:val="22"/>
          <w:szCs w:val="22"/>
        </w:rPr>
        <w:t xml:space="preserve">ontrol </w:t>
      </w:r>
      <w:r w:rsidR="00746085">
        <w:rPr>
          <w:rFonts w:ascii="Arial" w:hAnsi="Arial" w:cs="Arial"/>
          <w:sz w:val="22"/>
          <w:szCs w:val="22"/>
        </w:rPr>
        <w:t>i</w:t>
      </w:r>
      <w:r w:rsidRPr="00E94D4F">
        <w:rPr>
          <w:rFonts w:ascii="Arial" w:hAnsi="Arial" w:cs="Arial"/>
          <w:sz w:val="22"/>
          <w:szCs w:val="22"/>
        </w:rPr>
        <w:t xml:space="preserve">nterno es la Sindicatura General de la Nación (SIGEN). La auditoría interna de cada OE se realiza por intermedio de la Unidad de Auditoría Interna (UAI). Dicha unidad, dependiente en forma directa del </w:t>
      </w:r>
      <w:r w:rsidR="00EE3400" w:rsidRPr="00E94D4F">
        <w:rPr>
          <w:rFonts w:ascii="Arial" w:hAnsi="Arial" w:cs="Arial"/>
          <w:sz w:val="22"/>
          <w:szCs w:val="22"/>
        </w:rPr>
        <w:t>ministro</w:t>
      </w:r>
      <w:r w:rsidRPr="00E94D4F">
        <w:rPr>
          <w:rFonts w:ascii="Arial" w:hAnsi="Arial" w:cs="Arial"/>
          <w:sz w:val="22"/>
          <w:szCs w:val="22"/>
        </w:rPr>
        <w:t xml:space="preserve">, es la encargada de efectuar las auditorias y recomendaciones de acuerdo con las facultades conferidas por la Ley 24.156 (Ley de Administración Financiera). </w:t>
      </w:r>
    </w:p>
    <w:p w:rsidR="0042049B" w:rsidRPr="00E94D4F" w:rsidRDefault="0042049B" w:rsidP="00B828DC">
      <w:pPr>
        <w:numPr>
          <w:ilvl w:val="0"/>
          <w:numId w:val="29"/>
        </w:numPr>
        <w:tabs>
          <w:tab w:val="clear" w:pos="720"/>
        </w:tabs>
        <w:autoSpaceDE w:val="0"/>
        <w:autoSpaceDN w:val="0"/>
        <w:adjustRightInd w:val="0"/>
        <w:spacing w:before="120" w:after="120"/>
        <w:ind w:hanging="720"/>
        <w:jc w:val="both"/>
        <w:rPr>
          <w:rFonts w:ascii="Arial" w:hAnsi="Arial" w:cs="Arial"/>
          <w:b/>
          <w:sz w:val="22"/>
          <w:szCs w:val="22"/>
        </w:rPr>
      </w:pPr>
      <w:r w:rsidRPr="00E94D4F">
        <w:rPr>
          <w:rFonts w:ascii="Arial" w:hAnsi="Arial" w:cs="Arial"/>
          <w:b/>
          <w:sz w:val="22"/>
          <w:szCs w:val="22"/>
        </w:rPr>
        <w:t>Control Externo: Auditoría Financiera Externa e Informes de los Proyectos</w:t>
      </w:r>
    </w:p>
    <w:p w:rsidR="0042049B" w:rsidRPr="00E94D4F" w:rsidRDefault="0042049B" w:rsidP="00B828DC">
      <w:pPr>
        <w:pStyle w:val="ListParagraph"/>
        <w:numPr>
          <w:ilvl w:val="0"/>
          <w:numId w:val="30"/>
        </w:numPr>
        <w:tabs>
          <w:tab w:val="clear" w:pos="900"/>
        </w:tabs>
        <w:spacing w:after="240"/>
        <w:ind w:left="720" w:hanging="720"/>
        <w:jc w:val="both"/>
        <w:rPr>
          <w:rFonts w:ascii="Arial" w:hAnsi="Arial" w:cs="Arial"/>
          <w:sz w:val="22"/>
          <w:szCs w:val="22"/>
        </w:rPr>
      </w:pPr>
      <w:r w:rsidRPr="00E94D4F">
        <w:rPr>
          <w:rFonts w:ascii="Arial" w:hAnsi="Arial" w:cs="Arial"/>
          <w:sz w:val="22"/>
          <w:szCs w:val="22"/>
        </w:rPr>
        <w:t xml:space="preserve">En el año 2011 el Banco concluyó un diagnóstico sobre Prácticas de Auditoría Gubernamental de la AGN, realizado </w:t>
      </w:r>
      <w:proofErr w:type="gramStart"/>
      <w:r w:rsidR="00C44A0C">
        <w:rPr>
          <w:rFonts w:ascii="Arial" w:hAnsi="Arial" w:cs="Arial"/>
          <w:sz w:val="22"/>
          <w:szCs w:val="22"/>
        </w:rPr>
        <w:t>de acuerdo a</w:t>
      </w:r>
      <w:proofErr w:type="gramEnd"/>
      <w:r w:rsidRPr="00E94D4F">
        <w:rPr>
          <w:rFonts w:ascii="Arial" w:hAnsi="Arial" w:cs="Arial"/>
          <w:sz w:val="22"/>
          <w:szCs w:val="22"/>
        </w:rPr>
        <w:t xml:space="preserve"> la guía del Banco para determinar el nivel de desarrollo de los sistemas de gestión financiera pública. La evaluación concluyó en la validación de la AGN como auditor de proyectos del Banco.</w:t>
      </w:r>
    </w:p>
    <w:p w:rsidR="00DF5147" w:rsidRPr="00E94D4F" w:rsidRDefault="00DF5147" w:rsidP="00DF5147">
      <w:pPr>
        <w:pStyle w:val="ListParagraph"/>
        <w:spacing w:after="240"/>
        <w:ind w:left="900"/>
        <w:jc w:val="both"/>
        <w:rPr>
          <w:rFonts w:ascii="Arial" w:hAnsi="Arial" w:cs="Arial"/>
          <w:sz w:val="22"/>
          <w:szCs w:val="22"/>
        </w:rPr>
      </w:pPr>
    </w:p>
    <w:p w:rsidR="0042049B" w:rsidRPr="00E94D4F" w:rsidRDefault="0042049B" w:rsidP="00B828DC">
      <w:pPr>
        <w:pStyle w:val="ListParagraph"/>
        <w:numPr>
          <w:ilvl w:val="0"/>
          <w:numId w:val="30"/>
        </w:numPr>
        <w:tabs>
          <w:tab w:val="clear" w:pos="900"/>
        </w:tabs>
        <w:spacing w:after="240"/>
        <w:ind w:left="720" w:hanging="720"/>
        <w:jc w:val="both"/>
        <w:rPr>
          <w:rFonts w:ascii="Arial" w:hAnsi="Arial" w:cs="Arial"/>
          <w:sz w:val="22"/>
          <w:szCs w:val="22"/>
        </w:rPr>
      </w:pPr>
      <w:r w:rsidRPr="00E94D4F">
        <w:rPr>
          <w:rFonts w:ascii="Arial" w:hAnsi="Arial" w:cs="Arial"/>
          <w:sz w:val="22"/>
          <w:szCs w:val="22"/>
        </w:rPr>
        <w:t xml:space="preserve">La AGN es un órgano dependiente y de asistencia del Congreso Nacional en el control del estado de cuentas del Sector Público. Su creación y funcionamiento se encuentran reglamentados en el Título VII, Capítulo I de la Ley 24.156 de Administración Financiera y de los Sistemas del Control Externo. Allí se especifica que la AGN es una entidad con personería jurídica propia y con independencia funcional, por lo cual también tiene independencia financiera, siendo su patrimonio una composición de todos los bienes que le asigne el Estado Nacional, aquellos pertenecientes con anterioridad al Tribunal de Cuentas de la Nación y los transferidos por causa jurídica. </w:t>
      </w:r>
    </w:p>
    <w:p w:rsidR="00DF5147" w:rsidRPr="00E94D4F" w:rsidRDefault="00DF5147" w:rsidP="00DF5147">
      <w:pPr>
        <w:pStyle w:val="ListParagraph"/>
        <w:spacing w:after="240"/>
        <w:ind w:left="0"/>
        <w:jc w:val="both"/>
        <w:rPr>
          <w:rFonts w:ascii="Arial" w:hAnsi="Arial" w:cs="Arial"/>
          <w:sz w:val="22"/>
          <w:szCs w:val="22"/>
        </w:rPr>
      </w:pPr>
    </w:p>
    <w:p w:rsidR="0042049B" w:rsidRPr="00C05A1A" w:rsidRDefault="0042049B" w:rsidP="00B828DC">
      <w:pPr>
        <w:pStyle w:val="ListParagraph"/>
        <w:numPr>
          <w:ilvl w:val="0"/>
          <w:numId w:val="30"/>
        </w:numPr>
        <w:tabs>
          <w:tab w:val="clear" w:pos="900"/>
        </w:tabs>
        <w:spacing w:after="240"/>
        <w:ind w:left="720" w:hanging="720"/>
        <w:jc w:val="both"/>
        <w:rPr>
          <w:rFonts w:ascii="Arial" w:hAnsi="Arial" w:cs="Arial"/>
          <w:b/>
          <w:sz w:val="22"/>
          <w:szCs w:val="22"/>
        </w:rPr>
      </w:pPr>
      <w:r w:rsidRPr="00E94D4F">
        <w:rPr>
          <w:rFonts w:ascii="Arial" w:hAnsi="Arial" w:cs="Arial"/>
          <w:sz w:val="22"/>
          <w:szCs w:val="22"/>
        </w:rPr>
        <w:t>A fin de tener flexibilidad y poder ajustar la cartera de préstamos a la capacidad de auditor</w:t>
      </w:r>
      <w:r w:rsidR="00ED0682">
        <w:rPr>
          <w:rFonts w:ascii="Arial" w:hAnsi="Arial" w:cs="Arial"/>
          <w:sz w:val="22"/>
          <w:szCs w:val="22"/>
        </w:rPr>
        <w:t>í</w:t>
      </w:r>
      <w:r w:rsidRPr="00E94D4F">
        <w:rPr>
          <w:rFonts w:ascii="Arial" w:hAnsi="Arial" w:cs="Arial"/>
          <w:sz w:val="22"/>
          <w:szCs w:val="22"/>
        </w:rPr>
        <w:t xml:space="preserve">a oportuna de la AGN se recomienda que tanto la AGN como firmas independientes sean elegibles contractualmente para realizar las auditorías del </w:t>
      </w:r>
      <w:r w:rsidR="00537F8A">
        <w:rPr>
          <w:rFonts w:ascii="Arial" w:hAnsi="Arial" w:cs="Arial"/>
          <w:sz w:val="22"/>
          <w:szCs w:val="22"/>
        </w:rPr>
        <w:t>p</w:t>
      </w:r>
      <w:r w:rsidRPr="00E94D4F">
        <w:rPr>
          <w:rFonts w:ascii="Arial" w:hAnsi="Arial" w:cs="Arial"/>
          <w:sz w:val="22"/>
          <w:szCs w:val="22"/>
        </w:rPr>
        <w:t>rograma.</w:t>
      </w:r>
    </w:p>
    <w:p w:rsidR="00C05A1A" w:rsidRPr="00C05A1A" w:rsidRDefault="00C05A1A" w:rsidP="00C05A1A">
      <w:pPr>
        <w:pStyle w:val="ListParagraph"/>
        <w:rPr>
          <w:rFonts w:ascii="Arial" w:hAnsi="Arial" w:cs="Arial"/>
          <w:b/>
          <w:sz w:val="22"/>
          <w:szCs w:val="22"/>
        </w:rPr>
      </w:pPr>
    </w:p>
    <w:p w:rsidR="0042049B" w:rsidRPr="00E94D4F" w:rsidRDefault="0042049B" w:rsidP="00B828DC">
      <w:pPr>
        <w:numPr>
          <w:ilvl w:val="0"/>
          <w:numId w:val="29"/>
        </w:numPr>
        <w:tabs>
          <w:tab w:val="clear" w:pos="720"/>
        </w:tabs>
        <w:autoSpaceDE w:val="0"/>
        <w:autoSpaceDN w:val="0"/>
        <w:adjustRightInd w:val="0"/>
        <w:spacing w:after="120"/>
        <w:ind w:hanging="720"/>
        <w:jc w:val="both"/>
        <w:rPr>
          <w:rFonts w:ascii="Arial" w:hAnsi="Arial" w:cs="Arial"/>
          <w:sz w:val="22"/>
          <w:szCs w:val="22"/>
        </w:rPr>
      </w:pPr>
      <w:r w:rsidRPr="00E94D4F">
        <w:rPr>
          <w:rFonts w:ascii="Arial" w:hAnsi="Arial" w:cs="Arial"/>
          <w:b/>
          <w:sz w:val="22"/>
          <w:szCs w:val="22"/>
        </w:rPr>
        <w:t>Supervisión Financiera de Proyecto</w:t>
      </w:r>
      <w:r w:rsidRPr="00E94D4F">
        <w:rPr>
          <w:rStyle w:val="FootnoteReference"/>
          <w:rFonts w:ascii="Arial" w:hAnsi="Arial" w:cs="Arial"/>
          <w:bCs/>
          <w:sz w:val="22"/>
          <w:szCs w:val="22"/>
        </w:rPr>
        <w:footnoteReference w:id="5"/>
      </w:r>
    </w:p>
    <w:p w:rsidR="0042049B" w:rsidRPr="00E94D4F" w:rsidRDefault="0042049B" w:rsidP="00B828DC">
      <w:pPr>
        <w:pStyle w:val="ListParagraph"/>
        <w:numPr>
          <w:ilvl w:val="0"/>
          <w:numId w:val="30"/>
        </w:numPr>
        <w:tabs>
          <w:tab w:val="clear" w:pos="900"/>
        </w:tabs>
        <w:spacing w:after="240"/>
        <w:ind w:left="720" w:hanging="720"/>
        <w:jc w:val="both"/>
        <w:rPr>
          <w:rFonts w:ascii="Arial" w:hAnsi="Arial" w:cs="Arial"/>
          <w:sz w:val="22"/>
          <w:szCs w:val="22"/>
        </w:rPr>
      </w:pPr>
      <w:r w:rsidRPr="00E94D4F">
        <w:rPr>
          <w:rFonts w:ascii="Arial" w:hAnsi="Arial" w:cs="Arial"/>
          <w:sz w:val="22"/>
          <w:szCs w:val="22"/>
        </w:rPr>
        <w:t xml:space="preserve">El plan de supervisión financiera inicial surge a partir de las evaluaciones de riesgo y capacidad fiduciaria realizadas </w:t>
      </w:r>
      <w:proofErr w:type="gramStart"/>
      <w:r w:rsidRPr="00E94D4F">
        <w:rPr>
          <w:rFonts w:ascii="Arial" w:hAnsi="Arial" w:cs="Arial"/>
          <w:sz w:val="22"/>
          <w:szCs w:val="22"/>
        </w:rPr>
        <w:t>de acuerdo a</w:t>
      </w:r>
      <w:proofErr w:type="gramEnd"/>
      <w:r w:rsidRPr="00E94D4F">
        <w:rPr>
          <w:rFonts w:ascii="Arial" w:hAnsi="Arial" w:cs="Arial"/>
          <w:sz w:val="22"/>
          <w:szCs w:val="22"/>
        </w:rPr>
        <w:t xml:space="preserve"> las revisiones </w:t>
      </w:r>
      <w:r w:rsidRPr="009E2300">
        <w:rPr>
          <w:rFonts w:ascii="Arial" w:hAnsi="Arial" w:cs="Arial"/>
          <w:sz w:val="22"/>
          <w:szCs w:val="22"/>
        </w:rPr>
        <w:t>in situ</w:t>
      </w:r>
      <w:r w:rsidRPr="00E94D4F">
        <w:rPr>
          <w:rFonts w:ascii="Arial" w:hAnsi="Arial" w:cs="Arial"/>
          <w:sz w:val="22"/>
          <w:szCs w:val="22"/>
        </w:rPr>
        <w:t xml:space="preserve"> y de “escritorio” previstas para el programa que incluye el alcance de las acciones operacional, financiera y contable, de cumplimiento y legalidad, frecuencia y responsable de las mismas. </w:t>
      </w:r>
    </w:p>
    <w:p w:rsidR="00DF5147" w:rsidRPr="00E94D4F" w:rsidRDefault="00DF5147" w:rsidP="00DF5147">
      <w:pPr>
        <w:pStyle w:val="ListParagraph"/>
        <w:spacing w:after="240"/>
        <w:ind w:left="900"/>
        <w:jc w:val="both"/>
        <w:rPr>
          <w:rFonts w:ascii="Arial" w:hAnsi="Arial" w:cs="Arial"/>
          <w:sz w:val="22"/>
          <w:szCs w:val="22"/>
        </w:rPr>
      </w:pPr>
    </w:p>
    <w:p w:rsidR="00DF5147" w:rsidRPr="00EE3400" w:rsidRDefault="0042049B" w:rsidP="00B828DC">
      <w:pPr>
        <w:pStyle w:val="ListParagraph"/>
        <w:numPr>
          <w:ilvl w:val="0"/>
          <w:numId w:val="30"/>
        </w:numPr>
        <w:tabs>
          <w:tab w:val="clear" w:pos="900"/>
        </w:tabs>
        <w:spacing w:after="240"/>
        <w:ind w:left="720" w:hanging="720"/>
        <w:jc w:val="both"/>
        <w:rPr>
          <w:rFonts w:ascii="Arial" w:hAnsi="Arial" w:cs="Arial"/>
          <w:sz w:val="22"/>
          <w:szCs w:val="22"/>
        </w:rPr>
      </w:pPr>
      <w:r w:rsidRPr="00E94D4F">
        <w:rPr>
          <w:rFonts w:ascii="Arial" w:hAnsi="Arial" w:cs="Arial"/>
          <w:sz w:val="22"/>
          <w:szCs w:val="22"/>
        </w:rPr>
        <w:lastRenderedPageBreak/>
        <w:t xml:space="preserve">El informe que se requerirá para realizar la supervisión financiera, adicionales a los requeridos para tramitar desembolsos y el de auditoría anual, será el Plan Financiero. </w:t>
      </w:r>
    </w:p>
    <w:p w:rsidR="0042049B" w:rsidRPr="00E94D4F" w:rsidRDefault="0042049B" w:rsidP="00B828DC">
      <w:pPr>
        <w:numPr>
          <w:ilvl w:val="0"/>
          <w:numId w:val="29"/>
        </w:numPr>
        <w:tabs>
          <w:tab w:val="clear" w:pos="720"/>
        </w:tabs>
        <w:autoSpaceDE w:val="0"/>
        <w:autoSpaceDN w:val="0"/>
        <w:adjustRightInd w:val="0"/>
        <w:spacing w:before="120" w:after="120"/>
        <w:ind w:hanging="720"/>
        <w:jc w:val="both"/>
        <w:rPr>
          <w:rFonts w:ascii="Arial" w:hAnsi="Arial" w:cs="Arial"/>
          <w:b/>
          <w:sz w:val="22"/>
          <w:szCs w:val="22"/>
        </w:rPr>
      </w:pPr>
      <w:r w:rsidRPr="00E94D4F">
        <w:rPr>
          <w:rFonts w:ascii="Arial" w:hAnsi="Arial" w:cs="Arial"/>
          <w:b/>
          <w:sz w:val="22"/>
          <w:szCs w:val="22"/>
        </w:rPr>
        <w:t>Mecanismo de Ejecución</w:t>
      </w:r>
    </w:p>
    <w:p w:rsidR="007D444B" w:rsidRPr="00EE3400" w:rsidRDefault="0042049B" w:rsidP="00B828DC">
      <w:pPr>
        <w:pStyle w:val="ListParagraph"/>
        <w:numPr>
          <w:ilvl w:val="0"/>
          <w:numId w:val="30"/>
        </w:numPr>
        <w:tabs>
          <w:tab w:val="clear" w:pos="900"/>
        </w:tabs>
        <w:spacing w:after="240"/>
        <w:ind w:left="720" w:hanging="720"/>
        <w:jc w:val="both"/>
        <w:rPr>
          <w:rFonts w:ascii="Arial" w:hAnsi="Arial" w:cs="Arial"/>
          <w:sz w:val="22"/>
          <w:szCs w:val="22"/>
        </w:rPr>
      </w:pPr>
      <w:r w:rsidRPr="00E94D4F">
        <w:rPr>
          <w:rFonts w:ascii="Arial" w:hAnsi="Arial" w:cs="Arial"/>
          <w:sz w:val="22"/>
          <w:szCs w:val="22"/>
        </w:rPr>
        <w:t xml:space="preserve">Los detalles de la ejecución del programa se encuentran en el borrador de reglamento operativo y en el </w:t>
      </w:r>
      <w:r w:rsidR="00746085">
        <w:rPr>
          <w:rFonts w:ascii="Arial" w:hAnsi="Arial" w:cs="Arial"/>
          <w:sz w:val="22"/>
          <w:szCs w:val="22"/>
        </w:rPr>
        <w:t>documento principal.</w:t>
      </w:r>
    </w:p>
    <w:sectPr w:rsidR="007D444B" w:rsidRPr="00EE3400" w:rsidSect="00B30319">
      <w:headerReference w:type="default" r:id="rId13"/>
      <w:footerReference w:type="default" r:id="rId14"/>
      <w:headerReference w:type="first" r:id="rId15"/>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6980" w:rsidRDefault="005D6980" w:rsidP="004F4C1E">
      <w:r>
        <w:separator/>
      </w:r>
    </w:p>
  </w:endnote>
  <w:endnote w:type="continuationSeparator" w:id="0">
    <w:p w:rsidR="005D6980" w:rsidRDefault="005D6980" w:rsidP="004F4C1E">
      <w:r>
        <w:continuationSeparator/>
      </w:r>
    </w:p>
  </w:endnote>
  <w:endnote w:type="continuationNotice" w:id="1">
    <w:p w:rsidR="005D6980" w:rsidRDefault="005D69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2300" w:rsidRDefault="009E23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6980" w:rsidRDefault="005D6980" w:rsidP="004F4C1E">
      <w:r>
        <w:separator/>
      </w:r>
    </w:p>
  </w:footnote>
  <w:footnote w:type="continuationSeparator" w:id="0">
    <w:p w:rsidR="005D6980" w:rsidRDefault="005D6980" w:rsidP="004F4C1E">
      <w:r>
        <w:continuationSeparator/>
      </w:r>
    </w:p>
  </w:footnote>
  <w:footnote w:type="continuationNotice" w:id="1">
    <w:p w:rsidR="005D6980" w:rsidRDefault="005D6980"/>
  </w:footnote>
  <w:footnote w:id="2">
    <w:p w:rsidR="00C150E7" w:rsidRPr="00E94D4F" w:rsidRDefault="00C150E7" w:rsidP="00C150E7">
      <w:pPr>
        <w:pStyle w:val="FootnoteText"/>
        <w:spacing w:after="0"/>
        <w:rPr>
          <w:rFonts w:ascii="Arial" w:hAnsi="Arial" w:cs="Arial"/>
          <w:sz w:val="18"/>
          <w:szCs w:val="18"/>
        </w:rPr>
      </w:pPr>
      <w:r w:rsidRPr="00E94D4F">
        <w:rPr>
          <w:rStyle w:val="FootnoteReference"/>
          <w:rFonts w:ascii="Arial" w:hAnsi="Arial" w:cs="Arial"/>
          <w:sz w:val="18"/>
          <w:szCs w:val="18"/>
        </w:rPr>
        <w:footnoteRef/>
      </w:r>
      <w:r w:rsidRPr="00E94D4F">
        <w:rPr>
          <w:rFonts w:ascii="Arial" w:hAnsi="Arial" w:cs="Arial"/>
          <w:sz w:val="18"/>
          <w:szCs w:val="18"/>
        </w:rPr>
        <w:t xml:space="preserve"> </w:t>
      </w:r>
      <w:r w:rsidR="00E94D4F">
        <w:rPr>
          <w:rFonts w:ascii="Arial" w:hAnsi="Arial" w:cs="Arial"/>
          <w:sz w:val="18"/>
          <w:szCs w:val="18"/>
        </w:rPr>
        <w:tab/>
      </w:r>
      <w:r w:rsidRPr="00E94D4F">
        <w:rPr>
          <w:rFonts w:ascii="Arial" w:hAnsi="Arial" w:cs="Arial"/>
          <w:sz w:val="18"/>
          <w:szCs w:val="18"/>
          <w:lang w:val="es-ES"/>
        </w:rPr>
        <w:t>Gestión Financiera (GF); Adquisiciones (AD)</w:t>
      </w:r>
      <w:r w:rsidR="00E94D4F">
        <w:rPr>
          <w:rFonts w:ascii="Arial" w:hAnsi="Arial" w:cs="Arial"/>
          <w:sz w:val="18"/>
          <w:szCs w:val="18"/>
          <w:lang w:val="es-ES"/>
        </w:rPr>
        <w:t>.</w:t>
      </w:r>
    </w:p>
  </w:footnote>
  <w:footnote w:id="3">
    <w:p w:rsidR="00BC067B" w:rsidRPr="00E94D4F" w:rsidRDefault="00BC067B" w:rsidP="00E94D4F">
      <w:pPr>
        <w:pStyle w:val="FootnoteText"/>
        <w:spacing w:after="0"/>
        <w:ind w:left="270" w:hanging="270"/>
        <w:rPr>
          <w:rFonts w:ascii="Arial" w:hAnsi="Arial" w:cs="Arial"/>
          <w:sz w:val="18"/>
          <w:szCs w:val="18"/>
        </w:rPr>
      </w:pPr>
      <w:r w:rsidRPr="00E94D4F">
        <w:rPr>
          <w:rStyle w:val="FootnoteReference"/>
          <w:rFonts w:ascii="Arial" w:hAnsi="Arial" w:cs="Arial"/>
          <w:sz w:val="18"/>
          <w:szCs w:val="18"/>
        </w:rPr>
        <w:footnoteRef/>
      </w:r>
      <w:r w:rsidRPr="00E94D4F">
        <w:rPr>
          <w:rFonts w:ascii="Arial" w:hAnsi="Arial" w:cs="Arial"/>
          <w:sz w:val="18"/>
          <w:szCs w:val="18"/>
          <w:lang w:val="es-ES"/>
        </w:rPr>
        <w:t xml:space="preserve"> </w:t>
      </w:r>
      <w:r w:rsidR="00E94D4F">
        <w:rPr>
          <w:rFonts w:ascii="Arial" w:hAnsi="Arial" w:cs="Arial"/>
          <w:sz w:val="18"/>
          <w:szCs w:val="18"/>
          <w:lang w:val="es-ES"/>
        </w:rPr>
        <w:tab/>
      </w:r>
      <w:r w:rsidRPr="00E94D4F">
        <w:rPr>
          <w:rFonts w:ascii="Arial" w:hAnsi="Arial" w:cs="Arial"/>
          <w:sz w:val="18"/>
          <w:szCs w:val="18"/>
          <w:lang w:val="es-ES"/>
        </w:rPr>
        <w:t xml:space="preserve">Políticas </w:t>
      </w:r>
      <w:r w:rsidR="00E94D4F" w:rsidRPr="006B430F">
        <w:rPr>
          <w:rFonts w:ascii="Arial" w:hAnsi="Arial" w:cs="Arial"/>
          <w:sz w:val="18"/>
          <w:szCs w:val="18"/>
          <w:lang w:val="es-ES"/>
        </w:rPr>
        <w:t>GN</w:t>
      </w:r>
      <w:r w:rsidR="00E94D4F" w:rsidRPr="006B430F">
        <w:rPr>
          <w:rFonts w:ascii="Arial" w:hAnsi="Arial" w:cs="Arial"/>
          <w:sz w:val="18"/>
          <w:szCs w:val="18"/>
          <w:lang w:val="es-ES"/>
        </w:rPr>
        <w:noBreakHyphen/>
      </w:r>
      <w:r w:rsidRPr="006B430F">
        <w:rPr>
          <w:rFonts w:ascii="Arial" w:hAnsi="Arial" w:cs="Arial"/>
          <w:sz w:val="18"/>
          <w:szCs w:val="18"/>
          <w:lang w:val="es-ES"/>
        </w:rPr>
        <w:t>2349-9</w:t>
      </w:r>
      <w:r w:rsidRPr="00E94D4F">
        <w:rPr>
          <w:rFonts w:ascii="Arial" w:hAnsi="Arial" w:cs="Arial"/>
          <w:sz w:val="18"/>
          <w:szCs w:val="18"/>
          <w:lang w:val="es-ES"/>
        </w:rPr>
        <w:t xml:space="preserve"> párrafo 1.1: </w:t>
      </w:r>
      <w:r w:rsidRPr="00E94D4F">
        <w:rPr>
          <w:rFonts w:ascii="Arial" w:hAnsi="Arial" w:cs="Arial"/>
          <w:sz w:val="18"/>
          <w:szCs w:val="18"/>
        </w:rPr>
        <w:t>Los servicios diferentes a los de consultoría tienen un tratamiento similar a los bienes.</w:t>
      </w:r>
    </w:p>
  </w:footnote>
  <w:footnote w:id="4">
    <w:p w:rsidR="00024A23" w:rsidRPr="00C05A1A" w:rsidRDefault="00024A23" w:rsidP="00E94D4F">
      <w:pPr>
        <w:pStyle w:val="FootnoteText"/>
        <w:spacing w:after="0"/>
        <w:ind w:left="270" w:hanging="270"/>
        <w:rPr>
          <w:rFonts w:ascii="Calibri" w:hAnsi="Calibri"/>
          <w:sz w:val="16"/>
          <w:szCs w:val="16"/>
          <w:lang w:val="pt-BR"/>
        </w:rPr>
      </w:pPr>
      <w:r w:rsidRPr="00E94D4F">
        <w:rPr>
          <w:rStyle w:val="FootnoteReference"/>
          <w:rFonts w:ascii="Arial" w:hAnsi="Arial" w:cs="Arial"/>
          <w:sz w:val="18"/>
          <w:szCs w:val="18"/>
        </w:rPr>
        <w:footnoteRef/>
      </w:r>
      <w:r w:rsidRPr="00E94D4F">
        <w:rPr>
          <w:rStyle w:val="FootnoteReference"/>
          <w:rFonts w:ascii="Arial" w:hAnsi="Arial" w:cs="Arial"/>
          <w:sz w:val="18"/>
          <w:szCs w:val="18"/>
        </w:rPr>
        <w:t xml:space="preserve"> </w:t>
      </w:r>
      <w:r w:rsidR="00E94D4F">
        <w:rPr>
          <w:rFonts w:ascii="Arial" w:hAnsi="Arial" w:cs="Arial"/>
          <w:sz w:val="18"/>
          <w:szCs w:val="18"/>
        </w:rPr>
        <w:tab/>
      </w:r>
      <w:r w:rsidRPr="00E94D4F">
        <w:rPr>
          <w:rFonts w:ascii="Arial" w:hAnsi="Arial" w:cs="Arial"/>
          <w:sz w:val="18"/>
          <w:szCs w:val="18"/>
          <w:lang w:val="es-ES"/>
        </w:rPr>
        <w:t>Excepcionalmente</w:t>
      </w:r>
      <w:r w:rsidRPr="00E94D4F">
        <w:rPr>
          <w:rFonts w:ascii="Arial" w:hAnsi="Arial" w:cs="Arial"/>
          <w:sz w:val="18"/>
          <w:szCs w:val="18"/>
        </w:rPr>
        <w:t>, se financian costos incrementales</w:t>
      </w:r>
      <w:r w:rsidR="00C41AB9">
        <w:rPr>
          <w:rFonts w:ascii="Arial" w:hAnsi="Arial" w:cs="Arial"/>
          <w:sz w:val="18"/>
          <w:szCs w:val="18"/>
        </w:rPr>
        <w:t xml:space="preserve"> de personal en que incurre el OE</w:t>
      </w:r>
      <w:r w:rsidRPr="00E94D4F">
        <w:rPr>
          <w:rFonts w:ascii="Arial" w:hAnsi="Arial" w:cs="Arial"/>
          <w:sz w:val="18"/>
          <w:szCs w:val="18"/>
        </w:rPr>
        <w:t xml:space="preserve"> específicamente vinculados con la ejecución del proyecto. </w:t>
      </w:r>
      <w:r w:rsidRPr="00C05A1A">
        <w:rPr>
          <w:rFonts w:ascii="Arial" w:hAnsi="Arial" w:cs="Arial"/>
          <w:sz w:val="18"/>
          <w:szCs w:val="18"/>
          <w:lang w:val="pt-BR"/>
        </w:rPr>
        <w:t>(</w:t>
      </w:r>
      <w:r w:rsidRPr="006B430F">
        <w:rPr>
          <w:rFonts w:ascii="Arial" w:hAnsi="Arial" w:cs="Arial"/>
          <w:sz w:val="18"/>
          <w:szCs w:val="18"/>
          <w:lang w:val="pt-BR"/>
        </w:rPr>
        <w:t>GN-2331-5</w:t>
      </w:r>
      <w:r w:rsidRPr="00C05A1A">
        <w:rPr>
          <w:rFonts w:ascii="Arial" w:hAnsi="Arial" w:cs="Arial"/>
          <w:sz w:val="18"/>
          <w:szCs w:val="18"/>
          <w:lang w:val="pt-BR"/>
        </w:rPr>
        <w:t xml:space="preserve"> Anexo I 1.7. C.c.1.22).</w:t>
      </w:r>
    </w:p>
  </w:footnote>
  <w:footnote w:id="5">
    <w:p w:rsidR="0042049B" w:rsidRPr="00C05A1A" w:rsidRDefault="0042049B" w:rsidP="00376F1B">
      <w:pPr>
        <w:pStyle w:val="FootnoteText"/>
        <w:spacing w:after="0"/>
        <w:ind w:left="270" w:hanging="270"/>
        <w:rPr>
          <w:rFonts w:ascii="Arial" w:hAnsi="Arial" w:cs="Arial"/>
          <w:sz w:val="18"/>
          <w:szCs w:val="18"/>
          <w:lang w:val="pt-BR"/>
        </w:rPr>
      </w:pPr>
      <w:r w:rsidRPr="00EE3400">
        <w:rPr>
          <w:rStyle w:val="FootnoteReference"/>
          <w:rFonts w:ascii="Arial" w:hAnsi="Arial" w:cs="Arial"/>
          <w:sz w:val="18"/>
          <w:szCs w:val="18"/>
        </w:rPr>
        <w:footnoteRef/>
      </w:r>
      <w:r w:rsidRPr="00C05A1A">
        <w:rPr>
          <w:rFonts w:ascii="Arial" w:hAnsi="Arial" w:cs="Arial"/>
          <w:sz w:val="18"/>
          <w:szCs w:val="18"/>
          <w:lang w:val="pt-BR"/>
        </w:rPr>
        <w:t xml:space="preserve"> </w:t>
      </w:r>
      <w:r w:rsidR="00EE3400" w:rsidRPr="00C05A1A">
        <w:rPr>
          <w:rFonts w:ascii="Arial" w:hAnsi="Arial" w:cs="Arial"/>
          <w:sz w:val="18"/>
          <w:szCs w:val="18"/>
          <w:lang w:val="pt-BR"/>
        </w:rPr>
        <w:tab/>
      </w:r>
      <w:r w:rsidRPr="00C05A1A">
        <w:rPr>
          <w:rFonts w:ascii="Arial" w:hAnsi="Arial" w:cs="Arial"/>
          <w:sz w:val="18"/>
          <w:szCs w:val="18"/>
          <w:lang w:val="pt-BR"/>
        </w:rPr>
        <w:t xml:space="preserve">Ver </w:t>
      </w:r>
      <w:proofErr w:type="spellStart"/>
      <w:r w:rsidRPr="00C05A1A">
        <w:rPr>
          <w:rFonts w:ascii="Arial" w:hAnsi="Arial" w:cs="Arial"/>
          <w:sz w:val="18"/>
          <w:szCs w:val="18"/>
          <w:lang w:val="pt-BR"/>
        </w:rPr>
        <w:t>Guía</w:t>
      </w:r>
      <w:proofErr w:type="spellEnd"/>
      <w:r w:rsidRPr="00C05A1A">
        <w:rPr>
          <w:rFonts w:ascii="Arial" w:hAnsi="Arial" w:cs="Arial"/>
          <w:sz w:val="18"/>
          <w:szCs w:val="18"/>
          <w:lang w:val="pt-BR"/>
        </w:rPr>
        <w:t xml:space="preserve"> OP-273-6</w:t>
      </w:r>
      <w:r w:rsidR="00D35AF3" w:rsidRPr="00C05A1A">
        <w:rPr>
          <w:rFonts w:ascii="Arial" w:hAnsi="Arial" w:cs="Arial"/>
          <w:sz w:val="18"/>
          <w:szCs w:val="18"/>
          <w:lang w:val="pt-BR"/>
        </w:rPr>
        <w:t>,</w:t>
      </w:r>
      <w:r w:rsidRPr="00C05A1A">
        <w:rPr>
          <w:rFonts w:ascii="Arial" w:hAnsi="Arial" w:cs="Arial"/>
          <w:sz w:val="18"/>
          <w:szCs w:val="18"/>
          <w:lang w:val="pt-BR"/>
        </w:rPr>
        <w:t xml:space="preserve"> Anexo 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0319" w:rsidRPr="00B30319" w:rsidRDefault="00B30319" w:rsidP="00B30319">
    <w:pPr>
      <w:pStyle w:val="Header"/>
      <w:jc w:val="right"/>
      <w:rPr>
        <w:rFonts w:ascii="Arial" w:hAnsi="Arial" w:cs="Arial"/>
        <w:sz w:val="18"/>
        <w:szCs w:val="18"/>
        <w:lang w:val="pt-BR"/>
      </w:rPr>
    </w:pPr>
    <w:r w:rsidRPr="00B30319">
      <w:rPr>
        <w:rFonts w:ascii="Arial" w:hAnsi="Arial" w:cs="Arial"/>
        <w:sz w:val="18"/>
        <w:szCs w:val="18"/>
        <w:lang w:val="pt-BR"/>
      </w:rPr>
      <w:t>Anexo III – AR-L1249</w:t>
    </w:r>
  </w:p>
  <w:p w:rsidR="00B30319" w:rsidRPr="00B30319" w:rsidRDefault="00B30319" w:rsidP="00B30319">
    <w:pPr>
      <w:pStyle w:val="Header"/>
      <w:jc w:val="right"/>
      <w:rPr>
        <w:rFonts w:ascii="Arial" w:hAnsi="Arial" w:cs="Arial"/>
        <w:sz w:val="18"/>
        <w:szCs w:val="18"/>
        <w:lang w:val="pt-BR"/>
      </w:rPr>
    </w:pPr>
    <w:r w:rsidRPr="00B30319">
      <w:rPr>
        <w:rFonts w:ascii="Arial" w:hAnsi="Arial" w:cs="Arial"/>
        <w:sz w:val="18"/>
        <w:szCs w:val="18"/>
        <w:lang w:val="pt-BR"/>
      </w:rPr>
      <w:t xml:space="preserve">Página </w:t>
    </w:r>
    <w:r w:rsidRPr="00B30319">
      <w:rPr>
        <w:rFonts w:ascii="Arial" w:hAnsi="Arial" w:cs="Arial"/>
        <w:bCs/>
        <w:sz w:val="18"/>
        <w:szCs w:val="18"/>
      </w:rPr>
      <w:fldChar w:fldCharType="begin"/>
    </w:r>
    <w:r w:rsidRPr="00B30319">
      <w:rPr>
        <w:rFonts w:ascii="Arial" w:hAnsi="Arial" w:cs="Arial"/>
        <w:bCs/>
        <w:sz w:val="18"/>
        <w:szCs w:val="18"/>
        <w:lang w:val="pt-BR"/>
      </w:rPr>
      <w:instrText xml:space="preserve"> PAGE </w:instrText>
    </w:r>
    <w:r w:rsidRPr="00B30319">
      <w:rPr>
        <w:rFonts w:ascii="Arial" w:hAnsi="Arial" w:cs="Arial"/>
        <w:bCs/>
        <w:sz w:val="18"/>
        <w:szCs w:val="18"/>
      </w:rPr>
      <w:fldChar w:fldCharType="separate"/>
    </w:r>
    <w:r w:rsidR="00681A1E">
      <w:rPr>
        <w:rFonts w:ascii="Arial" w:hAnsi="Arial" w:cs="Arial"/>
        <w:bCs/>
        <w:noProof/>
        <w:sz w:val="18"/>
        <w:szCs w:val="18"/>
        <w:lang w:val="pt-BR"/>
      </w:rPr>
      <w:t>8</w:t>
    </w:r>
    <w:r w:rsidRPr="00B30319">
      <w:rPr>
        <w:rFonts w:ascii="Arial" w:hAnsi="Arial" w:cs="Arial"/>
        <w:bCs/>
        <w:sz w:val="18"/>
        <w:szCs w:val="18"/>
      </w:rPr>
      <w:fldChar w:fldCharType="end"/>
    </w:r>
    <w:r w:rsidRPr="00B30319">
      <w:rPr>
        <w:rFonts w:ascii="Arial" w:hAnsi="Arial" w:cs="Arial"/>
        <w:sz w:val="18"/>
        <w:szCs w:val="18"/>
        <w:lang w:val="pt-BR"/>
      </w:rPr>
      <w:t xml:space="preserve"> de </w:t>
    </w:r>
    <w:r w:rsidRPr="00B30319">
      <w:rPr>
        <w:rFonts w:ascii="Arial" w:hAnsi="Arial" w:cs="Arial"/>
        <w:bCs/>
        <w:sz w:val="18"/>
        <w:szCs w:val="18"/>
      </w:rPr>
      <w:fldChar w:fldCharType="begin"/>
    </w:r>
    <w:r w:rsidRPr="00B30319">
      <w:rPr>
        <w:rFonts w:ascii="Arial" w:hAnsi="Arial" w:cs="Arial"/>
        <w:bCs/>
        <w:sz w:val="18"/>
        <w:szCs w:val="18"/>
        <w:lang w:val="pt-BR"/>
      </w:rPr>
      <w:instrText xml:space="preserve"> NUMPAGES  </w:instrText>
    </w:r>
    <w:r w:rsidRPr="00B30319">
      <w:rPr>
        <w:rFonts w:ascii="Arial" w:hAnsi="Arial" w:cs="Arial"/>
        <w:bCs/>
        <w:sz w:val="18"/>
        <w:szCs w:val="18"/>
      </w:rPr>
      <w:fldChar w:fldCharType="separate"/>
    </w:r>
    <w:r w:rsidR="00681A1E">
      <w:rPr>
        <w:rFonts w:ascii="Arial" w:hAnsi="Arial" w:cs="Arial"/>
        <w:bCs/>
        <w:noProof/>
        <w:sz w:val="18"/>
        <w:szCs w:val="18"/>
        <w:lang w:val="pt-BR"/>
      </w:rPr>
      <w:t>8</w:t>
    </w:r>
    <w:r w:rsidRPr="00B30319">
      <w:rPr>
        <w:rFonts w:ascii="Arial" w:hAnsi="Arial" w:cs="Arial"/>
        <w:bCs/>
        <w:sz w:val="18"/>
        <w:szCs w:val="18"/>
      </w:rPr>
      <w:fldChar w:fldCharType="end"/>
    </w:r>
  </w:p>
  <w:p w:rsidR="00B30319" w:rsidRPr="00B30319" w:rsidRDefault="00B30319" w:rsidP="00CB62EA">
    <w:pPr>
      <w:pStyle w:val="Footer"/>
      <w:tabs>
        <w:tab w:val="clear" w:pos="8640"/>
        <w:tab w:val="right" w:pos="9360"/>
      </w:tabs>
      <w:jc w:val="center"/>
      <w:rPr>
        <w:rFonts w:ascii="Calibri" w:hAnsi="Calibri"/>
        <w:sz w:val="20"/>
        <w:szCs w:val="20"/>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0319" w:rsidRPr="00C65AE2" w:rsidRDefault="00B30319" w:rsidP="00B30319">
    <w:pPr>
      <w:pStyle w:val="Header"/>
      <w:jc w:val="right"/>
      <w:rPr>
        <w:rFonts w:ascii="Arial" w:hAnsi="Arial" w:cs="Arial"/>
        <w:sz w:val="18"/>
        <w:szCs w:val="18"/>
        <w:lang w:val="pt-BR"/>
      </w:rPr>
    </w:pPr>
    <w:r w:rsidRPr="00C65AE2">
      <w:rPr>
        <w:rFonts w:ascii="Arial" w:hAnsi="Arial" w:cs="Arial"/>
        <w:sz w:val="18"/>
        <w:szCs w:val="18"/>
        <w:lang w:val="pt-BR"/>
      </w:rPr>
      <w:t>Anexo III – AR-L1249</w:t>
    </w:r>
  </w:p>
  <w:p w:rsidR="00B30319" w:rsidRPr="00C65AE2" w:rsidRDefault="00B30319" w:rsidP="00B30319">
    <w:pPr>
      <w:pStyle w:val="Header"/>
      <w:jc w:val="right"/>
      <w:rPr>
        <w:lang w:val="pt-BR"/>
      </w:rPr>
    </w:pPr>
    <w:r w:rsidRPr="00C65AE2">
      <w:rPr>
        <w:rFonts w:ascii="Arial" w:hAnsi="Arial" w:cs="Arial"/>
        <w:sz w:val="18"/>
        <w:szCs w:val="18"/>
        <w:lang w:val="pt-BR"/>
      </w:rPr>
      <w:t xml:space="preserve">Página </w:t>
    </w:r>
    <w:r w:rsidRPr="00B30319">
      <w:rPr>
        <w:rFonts w:ascii="Arial" w:hAnsi="Arial" w:cs="Arial"/>
        <w:bCs/>
        <w:sz w:val="18"/>
        <w:szCs w:val="18"/>
      </w:rPr>
      <w:fldChar w:fldCharType="begin"/>
    </w:r>
    <w:r w:rsidRPr="00C65AE2">
      <w:rPr>
        <w:rFonts w:ascii="Arial" w:hAnsi="Arial" w:cs="Arial"/>
        <w:bCs/>
        <w:sz w:val="18"/>
        <w:szCs w:val="18"/>
        <w:lang w:val="pt-BR"/>
      </w:rPr>
      <w:instrText xml:space="preserve"> PAGE </w:instrText>
    </w:r>
    <w:r w:rsidRPr="00B30319">
      <w:rPr>
        <w:rFonts w:ascii="Arial" w:hAnsi="Arial" w:cs="Arial"/>
        <w:bCs/>
        <w:sz w:val="18"/>
        <w:szCs w:val="18"/>
      </w:rPr>
      <w:fldChar w:fldCharType="separate"/>
    </w:r>
    <w:r w:rsidRPr="00C65AE2">
      <w:rPr>
        <w:rFonts w:ascii="Arial" w:hAnsi="Arial" w:cs="Arial"/>
        <w:bCs/>
        <w:noProof/>
        <w:sz w:val="18"/>
        <w:szCs w:val="18"/>
        <w:lang w:val="pt-BR"/>
      </w:rPr>
      <w:t>1</w:t>
    </w:r>
    <w:r w:rsidRPr="00B30319">
      <w:rPr>
        <w:rFonts w:ascii="Arial" w:hAnsi="Arial" w:cs="Arial"/>
        <w:bCs/>
        <w:sz w:val="18"/>
        <w:szCs w:val="18"/>
      </w:rPr>
      <w:fldChar w:fldCharType="end"/>
    </w:r>
    <w:r w:rsidRPr="00C65AE2">
      <w:rPr>
        <w:rFonts w:ascii="Arial" w:hAnsi="Arial" w:cs="Arial"/>
        <w:sz w:val="18"/>
        <w:szCs w:val="18"/>
        <w:lang w:val="pt-BR"/>
      </w:rPr>
      <w:t xml:space="preserve"> de </w:t>
    </w:r>
    <w:r w:rsidRPr="00B30319">
      <w:rPr>
        <w:rFonts w:ascii="Arial" w:hAnsi="Arial" w:cs="Arial"/>
        <w:bCs/>
        <w:sz w:val="18"/>
        <w:szCs w:val="18"/>
      </w:rPr>
      <w:fldChar w:fldCharType="begin"/>
    </w:r>
    <w:r w:rsidRPr="00C65AE2">
      <w:rPr>
        <w:rFonts w:ascii="Arial" w:hAnsi="Arial" w:cs="Arial"/>
        <w:bCs/>
        <w:sz w:val="18"/>
        <w:szCs w:val="18"/>
        <w:lang w:val="pt-BR"/>
      </w:rPr>
      <w:instrText xml:space="preserve"> NUMPAGES  </w:instrText>
    </w:r>
    <w:r w:rsidRPr="00B30319">
      <w:rPr>
        <w:rFonts w:ascii="Arial" w:hAnsi="Arial" w:cs="Arial"/>
        <w:bCs/>
        <w:sz w:val="18"/>
        <w:szCs w:val="18"/>
      </w:rPr>
      <w:fldChar w:fldCharType="separate"/>
    </w:r>
    <w:r w:rsidR="00044D68">
      <w:rPr>
        <w:rFonts w:ascii="Arial" w:hAnsi="Arial" w:cs="Arial"/>
        <w:bCs/>
        <w:noProof/>
        <w:sz w:val="18"/>
        <w:szCs w:val="18"/>
        <w:lang w:val="pt-BR"/>
      </w:rPr>
      <w:t>8</w:t>
    </w:r>
    <w:r w:rsidRPr="00B30319">
      <w:rPr>
        <w:rFonts w:ascii="Arial" w:hAnsi="Arial" w:cs="Arial"/>
        <w:bCs/>
        <w:sz w:val="18"/>
        <w:szCs w:val="18"/>
      </w:rPr>
      <w:fldChar w:fldCharType="end"/>
    </w:r>
  </w:p>
  <w:p w:rsidR="00E94D4F" w:rsidRPr="00E94D4F" w:rsidRDefault="00E94D4F">
    <w:pPr>
      <w:pStyle w:val="Heade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80B5E"/>
    <w:multiLevelType w:val="hybridMultilevel"/>
    <w:tmpl w:val="93944134"/>
    <w:lvl w:ilvl="0" w:tplc="0409001B">
      <w:start w:val="1"/>
      <w:numFmt w:val="lowerRoman"/>
      <w:lvlText w:val="%1."/>
      <w:lvlJc w:val="right"/>
      <w:pPr>
        <w:tabs>
          <w:tab w:val="num" w:pos="1440"/>
        </w:tabs>
        <w:ind w:left="144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9F2FA5"/>
    <w:multiLevelType w:val="hybridMultilevel"/>
    <w:tmpl w:val="B24CB0E8"/>
    <w:lvl w:ilvl="0" w:tplc="29BEC9E6">
      <w:start w:val="4"/>
      <w:numFmt w:val="upperRoman"/>
      <w:lvlText w:val="%1."/>
      <w:lvlJc w:val="left"/>
      <w:pPr>
        <w:tabs>
          <w:tab w:val="num" w:pos="1080"/>
        </w:tabs>
        <w:ind w:left="1080" w:hanging="72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FB6C9F"/>
    <w:multiLevelType w:val="hybridMultilevel"/>
    <w:tmpl w:val="A63E23F8"/>
    <w:lvl w:ilvl="0" w:tplc="37620DB6">
      <w:start w:val="1"/>
      <w:numFmt w:val="lowerLetter"/>
      <w:lvlText w:val="%1."/>
      <w:lvlJc w:val="left"/>
      <w:pPr>
        <w:tabs>
          <w:tab w:val="num" w:pos="1540"/>
        </w:tabs>
        <w:ind w:left="1540" w:hanging="360"/>
      </w:pPr>
      <w:rPr>
        <w:rFonts w:hint="default"/>
      </w:rPr>
    </w:lvl>
    <w:lvl w:ilvl="1" w:tplc="04090019">
      <w:start w:val="1"/>
      <w:numFmt w:val="lowerLetter"/>
      <w:lvlText w:val="%2."/>
      <w:lvlJc w:val="left"/>
      <w:pPr>
        <w:tabs>
          <w:tab w:val="num" w:pos="100"/>
        </w:tabs>
        <w:ind w:left="100" w:hanging="360"/>
      </w:pPr>
    </w:lvl>
    <w:lvl w:ilvl="2" w:tplc="0409001B" w:tentative="1">
      <w:start w:val="1"/>
      <w:numFmt w:val="lowerRoman"/>
      <w:lvlText w:val="%3."/>
      <w:lvlJc w:val="right"/>
      <w:pPr>
        <w:tabs>
          <w:tab w:val="num" w:pos="820"/>
        </w:tabs>
        <w:ind w:left="820" w:hanging="180"/>
      </w:pPr>
    </w:lvl>
    <w:lvl w:ilvl="3" w:tplc="0409000F" w:tentative="1">
      <w:start w:val="1"/>
      <w:numFmt w:val="decimal"/>
      <w:lvlText w:val="%4."/>
      <w:lvlJc w:val="left"/>
      <w:pPr>
        <w:tabs>
          <w:tab w:val="num" w:pos="1540"/>
        </w:tabs>
        <w:ind w:left="1540" w:hanging="360"/>
      </w:pPr>
    </w:lvl>
    <w:lvl w:ilvl="4" w:tplc="04090019" w:tentative="1">
      <w:start w:val="1"/>
      <w:numFmt w:val="lowerLetter"/>
      <w:lvlText w:val="%5."/>
      <w:lvlJc w:val="left"/>
      <w:pPr>
        <w:tabs>
          <w:tab w:val="num" w:pos="2260"/>
        </w:tabs>
        <w:ind w:left="2260" w:hanging="360"/>
      </w:pPr>
    </w:lvl>
    <w:lvl w:ilvl="5" w:tplc="0409001B" w:tentative="1">
      <w:start w:val="1"/>
      <w:numFmt w:val="lowerRoman"/>
      <w:lvlText w:val="%6."/>
      <w:lvlJc w:val="right"/>
      <w:pPr>
        <w:tabs>
          <w:tab w:val="num" w:pos="2980"/>
        </w:tabs>
        <w:ind w:left="2980" w:hanging="180"/>
      </w:pPr>
    </w:lvl>
    <w:lvl w:ilvl="6" w:tplc="0409000F" w:tentative="1">
      <w:start w:val="1"/>
      <w:numFmt w:val="decimal"/>
      <w:lvlText w:val="%7."/>
      <w:lvlJc w:val="left"/>
      <w:pPr>
        <w:tabs>
          <w:tab w:val="num" w:pos="3700"/>
        </w:tabs>
        <w:ind w:left="3700" w:hanging="360"/>
      </w:pPr>
    </w:lvl>
    <w:lvl w:ilvl="7" w:tplc="04090019" w:tentative="1">
      <w:start w:val="1"/>
      <w:numFmt w:val="lowerLetter"/>
      <w:lvlText w:val="%8."/>
      <w:lvlJc w:val="left"/>
      <w:pPr>
        <w:tabs>
          <w:tab w:val="num" w:pos="4420"/>
        </w:tabs>
        <w:ind w:left="4420" w:hanging="360"/>
      </w:pPr>
    </w:lvl>
    <w:lvl w:ilvl="8" w:tplc="0409001B" w:tentative="1">
      <w:start w:val="1"/>
      <w:numFmt w:val="lowerRoman"/>
      <w:lvlText w:val="%9."/>
      <w:lvlJc w:val="right"/>
      <w:pPr>
        <w:tabs>
          <w:tab w:val="num" w:pos="5140"/>
        </w:tabs>
        <w:ind w:left="5140" w:hanging="180"/>
      </w:pPr>
    </w:lvl>
  </w:abstractNum>
  <w:abstractNum w:abstractNumId="3" w15:restartNumberingAfterBreak="0">
    <w:nsid w:val="14221003"/>
    <w:multiLevelType w:val="hybridMultilevel"/>
    <w:tmpl w:val="2A36A284"/>
    <w:lvl w:ilvl="0" w:tplc="9EB628A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D90407"/>
    <w:multiLevelType w:val="hybridMultilevel"/>
    <w:tmpl w:val="7B468F88"/>
    <w:lvl w:ilvl="0" w:tplc="68CAADE4">
      <w:start w:val="1"/>
      <w:numFmt w:val="decimal"/>
      <w:lvlText w:val="1.%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A446318"/>
    <w:multiLevelType w:val="multilevel"/>
    <w:tmpl w:val="BF941CD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106"/>
        </w:tabs>
        <w:ind w:left="2106" w:hanging="1296"/>
      </w:pPr>
      <w:rPr>
        <w:lang w:val="es-ES"/>
      </w:rPr>
    </w:lvl>
    <w:lvl w:ilvl="2">
      <w:start w:val="1"/>
      <w:numFmt w:val="lowerLetter"/>
      <w:pStyle w:val="subpar"/>
      <w:lvlText w:val="%3."/>
      <w:lvlJc w:val="left"/>
      <w:pPr>
        <w:tabs>
          <w:tab w:val="num" w:pos="2304"/>
        </w:tabs>
        <w:ind w:left="2304" w:hanging="432"/>
      </w:pPr>
      <w:rPr>
        <w:b w:val="0"/>
        <w:lang w:val="es-ES"/>
      </w:rPr>
    </w:lvl>
    <w:lvl w:ilvl="3">
      <w:start w:val="1"/>
      <w:numFmt w:val="lowerLetter"/>
      <w:pStyle w:val="SubSubPar"/>
      <w:lvlText w:val="%4)"/>
      <w:lvlJc w:val="lef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 w15:restartNumberingAfterBreak="0">
    <w:nsid w:val="221A77E5"/>
    <w:multiLevelType w:val="hybridMultilevel"/>
    <w:tmpl w:val="33C6A0A8"/>
    <w:lvl w:ilvl="0" w:tplc="E2B4B312">
      <w:start w:val="1"/>
      <w:numFmt w:val="lowerLetter"/>
      <w:lvlText w:val="%1."/>
      <w:lvlJc w:val="left"/>
      <w:pPr>
        <w:tabs>
          <w:tab w:val="num" w:pos="900"/>
        </w:tabs>
        <w:ind w:left="900" w:hanging="360"/>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957708"/>
    <w:multiLevelType w:val="hybridMultilevel"/>
    <w:tmpl w:val="A5706190"/>
    <w:lvl w:ilvl="0" w:tplc="AD7842DA">
      <w:start w:val="1"/>
      <w:numFmt w:val="decimal"/>
      <w:lvlText w:val="2.%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42E2405"/>
    <w:multiLevelType w:val="hybridMultilevel"/>
    <w:tmpl w:val="DFB6E258"/>
    <w:lvl w:ilvl="0" w:tplc="10583AF6">
      <w:start w:val="1"/>
      <w:numFmt w:val="decimal"/>
      <w:lvlText w:val="%1."/>
      <w:lvlJc w:val="left"/>
      <w:pPr>
        <w:ind w:left="540" w:hanging="360"/>
      </w:pPr>
      <w:rPr>
        <w:b/>
        <w:i w:val="0"/>
        <w:sz w:val="20"/>
      </w:rPr>
    </w:lvl>
    <w:lvl w:ilvl="1" w:tplc="240A0019">
      <w:start w:val="1"/>
      <w:numFmt w:val="lowerLetter"/>
      <w:lvlText w:val="%2."/>
      <w:lvlJc w:val="left"/>
      <w:pPr>
        <w:ind w:left="1260" w:hanging="360"/>
      </w:pPr>
    </w:lvl>
    <w:lvl w:ilvl="2" w:tplc="240A001B" w:tentative="1">
      <w:start w:val="1"/>
      <w:numFmt w:val="lowerRoman"/>
      <w:lvlText w:val="%3."/>
      <w:lvlJc w:val="right"/>
      <w:pPr>
        <w:ind w:left="1980" w:hanging="180"/>
      </w:pPr>
    </w:lvl>
    <w:lvl w:ilvl="3" w:tplc="240A000F" w:tentative="1">
      <w:start w:val="1"/>
      <w:numFmt w:val="decimal"/>
      <w:lvlText w:val="%4."/>
      <w:lvlJc w:val="left"/>
      <w:pPr>
        <w:ind w:left="2700" w:hanging="360"/>
      </w:pPr>
    </w:lvl>
    <w:lvl w:ilvl="4" w:tplc="240A0019" w:tentative="1">
      <w:start w:val="1"/>
      <w:numFmt w:val="lowerLetter"/>
      <w:lvlText w:val="%5."/>
      <w:lvlJc w:val="left"/>
      <w:pPr>
        <w:ind w:left="3420" w:hanging="360"/>
      </w:pPr>
    </w:lvl>
    <w:lvl w:ilvl="5" w:tplc="240A001B" w:tentative="1">
      <w:start w:val="1"/>
      <w:numFmt w:val="lowerRoman"/>
      <w:lvlText w:val="%6."/>
      <w:lvlJc w:val="right"/>
      <w:pPr>
        <w:ind w:left="4140" w:hanging="180"/>
      </w:pPr>
    </w:lvl>
    <w:lvl w:ilvl="6" w:tplc="240A000F" w:tentative="1">
      <w:start w:val="1"/>
      <w:numFmt w:val="decimal"/>
      <w:lvlText w:val="%7."/>
      <w:lvlJc w:val="left"/>
      <w:pPr>
        <w:ind w:left="4860" w:hanging="360"/>
      </w:pPr>
    </w:lvl>
    <w:lvl w:ilvl="7" w:tplc="240A0019" w:tentative="1">
      <w:start w:val="1"/>
      <w:numFmt w:val="lowerLetter"/>
      <w:lvlText w:val="%8."/>
      <w:lvlJc w:val="left"/>
      <w:pPr>
        <w:ind w:left="5580" w:hanging="360"/>
      </w:pPr>
    </w:lvl>
    <w:lvl w:ilvl="8" w:tplc="240A001B" w:tentative="1">
      <w:start w:val="1"/>
      <w:numFmt w:val="lowerRoman"/>
      <w:lvlText w:val="%9."/>
      <w:lvlJc w:val="right"/>
      <w:pPr>
        <w:ind w:left="6300" w:hanging="180"/>
      </w:pPr>
    </w:lvl>
  </w:abstractNum>
  <w:abstractNum w:abstractNumId="9" w15:restartNumberingAfterBreak="0">
    <w:nsid w:val="24B57D2E"/>
    <w:multiLevelType w:val="hybridMultilevel"/>
    <w:tmpl w:val="F72852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70056ED"/>
    <w:multiLevelType w:val="hybridMultilevel"/>
    <w:tmpl w:val="A0429AEA"/>
    <w:lvl w:ilvl="0" w:tplc="49686EDC">
      <w:start w:val="1"/>
      <w:numFmt w:val="decimal"/>
      <w:lvlText w:val="6.%1"/>
      <w:lvlJc w:val="left"/>
      <w:pPr>
        <w:tabs>
          <w:tab w:val="num" w:pos="900"/>
        </w:tabs>
        <w:ind w:left="900" w:hanging="360"/>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651D23"/>
    <w:multiLevelType w:val="hybridMultilevel"/>
    <w:tmpl w:val="CB7257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2A5AB8"/>
    <w:multiLevelType w:val="hybridMultilevel"/>
    <w:tmpl w:val="C9148140"/>
    <w:lvl w:ilvl="0" w:tplc="A5CE41C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220CBD"/>
    <w:multiLevelType w:val="hybridMultilevel"/>
    <w:tmpl w:val="CB1A4FA6"/>
    <w:lvl w:ilvl="0" w:tplc="F5A21190">
      <w:start w:val="1"/>
      <w:numFmt w:val="lowerLetter"/>
      <w:lvlText w:val="%1."/>
      <w:lvlJc w:val="left"/>
      <w:pPr>
        <w:ind w:left="720" w:hanging="360"/>
      </w:pPr>
      <w:rPr>
        <w:b w:val="0"/>
      </w:rPr>
    </w:lvl>
    <w:lvl w:ilvl="1" w:tplc="0409001B">
      <w:start w:val="1"/>
      <w:numFmt w:val="lowerRoman"/>
      <w:lvlText w:val="%2."/>
      <w:lvlJc w:val="right"/>
      <w:pPr>
        <w:ind w:left="1440" w:hanging="360"/>
      </w:p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3D4836C2"/>
    <w:multiLevelType w:val="hybridMultilevel"/>
    <w:tmpl w:val="ED821AC6"/>
    <w:lvl w:ilvl="0" w:tplc="77800874">
      <w:start w:val="1"/>
      <w:numFmt w:val="lowerLetter"/>
      <w:lvlText w:val="%1."/>
      <w:lvlJc w:val="left"/>
      <w:pPr>
        <w:tabs>
          <w:tab w:val="num" w:pos="900"/>
        </w:tabs>
        <w:ind w:left="900" w:hanging="360"/>
      </w:pPr>
      <w:rPr>
        <w:b w:val="0"/>
        <w:i w:val="0"/>
        <w:sz w:val="22"/>
        <w:szCs w:val="22"/>
      </w:rPr>
    </w:lvl>
    <w:lvl w:ilvl="1" w:tplc="04090001">
      <w:start w:val="1"/>
      <w:numFmt w:val="bullet"/>
      <w:lvlText w:val=""/>
      <w:lvlJc w:val="left"/>
      <w:pPr>
        <w:tabs>
          <w:tab w:val="num" w:pos="1170"/>
        </w:tabs>
        <w:ind w:left="1170" w:hanging="360"/>
      </w:pPr>
      <w:rPr>
        <w:rFonts w:ascii="Symbol" w:hAnsi="Symbol" w:hint="default"/>
        <w:b w:val="0"/>
        <w:i w:val="0"/>
        <w:sz w:val="24"/>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491A3F43"/>
    <w:multiLevelType w:val="hybridMultilevel"/>
    <w:tmpl w:val="78A24F18"/>
    <w:lvl w:ilvl="0" w:tplc="C58E5CC6">
      <w:start w:val="1"/>
      <w:numFmt w:val="lowerLetter"/>
      <w:lvlText w:val="%1."/>
      <w:lvlJc w:val="left"/>
      <w:pPr>
        <w:tabs>
          <w:tab w:val="num" w:pos="900"/>
        </w:tabs>
        <w:ind w:left="900" w:hanging="360"/>
      </w:pPr>
      <w:rPr>
        <w:rFonts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ED491A"/>
    <w:multiLevelType w:val="hybridMultilevel"/>
    <w:tmpl w:val="EFE0241A"/>
    <w:lvl w:ilvl="0" w:tplc="04090015">
      <w:start w:val="1"/>
      <w:numFmt w:val="upperLetter"/>
      <w:lvlText w:val="%1."/>
      <w:lvlJc w:val="left"/>
      <w:pPr>
        <w:tabs>
          <w:tab w:val="num" w:pos="720"/>
        </w:tabs>
        <w:ind w:left="720" w:hanging="360"/>
      </w:pPr>
      <w:rPr>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F0C3E9E"/>
    <w:multiLevelType w:val="hybridMultilevel"/>
    <w:tmpl w:val="F53CB578"/>
    <w:lvl w:ilvl="0" w:tplc="3B603942">
      <w:start w:val="1"/>
      <w:numFmt w:val="decimal"/>
      <w:lvlText w:val="3.%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5857D8"/>
    <w:multiLevelType w:val="hybridMultilevel"/>
    <w:tmpl w:val="A63E23F8"/>
    <w:lvl w:ilvl="0" w:tplc="37620DB6">
      <w:start w:val="1"/>
      <w:numFmt w:val="lowerLetter"/>
      <w:lvlText w:val="%1."/>
      <w:lvlJc w:val="left"/>
      <w:pPr>
        <w:tabs>
          <w:tab w:val="num" w:pos="1540"/>
        </w:tabs>
        <w:ind w:left="1540" w:hanging="360"/>
      </w:pPr>
      <w:rPr>
        <w:rFonts w:hint="default"/>
      </w:rPr>
    </w:lvl>
    <w:lvl w:ilvl="1" w:tplc="04090019">
      <w:start w:val="1"/>
      <w:numFmt w:val="lowerLetter"/>
      <w:lvlText w:val="%2."/>
      <w:lvlJc w:val="left"/>
      <w:pPr>
        <w:tabs>
          <w:tab w:val="num" w:pos="100"/>
        </w:tabs>
        <w:ind w:left="10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1540"/>
        </w:tabs>
        <w:ind w:left="1540" w:hanging="360"/>
      </w:pPr>
    </w:lvl>
    <w:lvl w:ilvl="4" w:tplc="04090019">
      <w:start w:val="1"/>
      <w:numFmt w:val="lowerLetter"/>
      <w:lvlText w:val="%5."/>
      <w:lvlJc w:val="left"/>
      <w:pPr>
        <w:tabs>
          <w:tab w:val="num" w:pos="2260"/>
        </w:tabs>
        <w:ind w:left="2260" w:hanging="360"/>
      </w:pPr>
    </w:lvl>
    <w:lvl w:ilvl="5" w:tplc="0409001B" w:tentative="1">
      <w:start w:val="1"/>
      <w:numFmt w:val="lowerRoman"/>
      <w:lvlText w:val="%6."/>
      <w:lvlJc w:val="right"/>
      <w:pPr>
        <w:tabs>
          <w:tab w:val="num" w:pos="2980"/>
        </w:tabs>
        <w:ind w:left="2980" w:hanging="180"/>
      </w:pPr>
    </w:lvl>
    <w:lvl w:ilvl="6" w:tplc="0409000F" w:tentative="1">
      <w:start w:val="1"/>
      <w:numFmt w:val="decimal"/>
      <w:lvlText w:val="%7."/>
      <w:lvlJc w:val="left"/>
      <w:pPr>
        <w:tabs>
          <w:tab w:val="num" w:pos="3700"/>
        </w:tabs>
        <w:ind w:left="3700" w:hanging="360"/>
      </w:pPr>
    </w:lvl>
    <w:lvl w:ilvl="7" w:tplc="04090019" w:tentative="1">
      <w:start w:val="1"/>
      <w:numFmt w:val="lowerLetter"/>
      <w:lvlText w:val="%8."/>
      <w:lvlJc w:val="left"/>
      <w:pPr>
        <w:tabs>
          <w:tab w:val="num" w:pos="4420"/>
        </w:tabs>
        <w:ind w:left="4420" w:hanging="360"/>
      </w:pPr>
    </w:lvl>
    <w:lvl w:ilvl="8" w:tplc="0409001B" w:tentative="1">
      <w:start w:val="1"/>
      <w:numFmt w:val="lowerRoman"/>
      <w:lvlText w:val="%9."/>
      <w:lvlJc w:val="right"/>
      <w:pPr>
        <w:tabs>
          <w:tab w:val="num" w:pos="5140"/>
        </w:tabs>
        <w:ind w:left="5140" w:hanging="180"/>
      </w:pPr>
    </w:lvl>
  </w:abstractNum>
  <w:abstractNum w:abstractNumId="19" w15:restartNumberingAfterBreak="0">
    <w:nsid w:val="588A65D6"/>
    <w:multiLevelType w:val="hybridMultilevel"/>
    <w:tmpl w:val="EB64FBD8"/>
    <w:lvl w:ilvl="0" w:tplc="0409000F">
      <w:start w:val="1"/>
      <w:numFmt w:val="decimal"/>
      <w:lvlText w:val="%1."/>
      <w:lvlJc w:val="left"/>
      <w:pPr>
        <w:tabs>
          <w:tab w:val="num" w:pos="720"/>
        </w:tabs>
        <w:ind w:left="720" w:hanging="360"/>
      </w:pPr>
    </w:lvl>
    <w:lvl w:ilvl="1" w:tplc="3B28D4C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EDB3BE6"/>
    <w:multiLevelType w:val="multilevel"/>
    <w:tmpl w:val="E2289A00"/>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1836"/>
        </w:tabs>
        <w:ind w:left="183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21" w15:restartNumberingAfterBreak="0">
    <w:nsid w:val="604637AF"/>
    <w:multiLevelType w:val="hybridMultilevel"/>
    <w:tmpl w:val="D7BCF890"/>
    <w:lvl w:ilvl="0" w:tplc="37620DB6">
      <w:start w:val="1"/>
      <w:numFmt w:val="lowerLetter"/>
      <w:lvlText w:val="%1."/>
      <w:lvlJc w:val="left"/>
      <w:pPr>
        <w:tabs>
          <w:tab w:val="num" w:pos="1540"/>
        </w:tabs>
        <w:ind w:left="1540" w:hanging="360"/>
      </w:pPr>
      <w:rPr>
        <w:rFonts w:hint="default"/>
      </w:rPr>
    </w:lvl>
    <w:lvl w:ilvl="1" w:tplc="04090019">
      <w:start w:val="1"/>
      <w:numFmt w:val="lowerLetter"/>
      <w:lvlText w:val="%2."/>
      <w:lvlJc w:val="left"/>
      <w:pPr>
        <w:tabs>
          <w:tab w:val="num" w:pos="100"/>
        </w:tabs>
        <w:ind w:left="100" w:hanging="360"/>
      </w:pPr>
    </w:lvl>
    <w:lvl w:ilvl="2" w:tplc="036C823C">
      <w:start w:val="1"/>
      <w:numFmt w:val="lowerRoman"/>
      <w:lvlText w:val="%3."/>
      <w:lvlJc w:val="left"/>
      <w:pPr>
        <w:tabs>
          <w:tab w:val="num" w:pos="1440"/>
        </w:tabs>
        <w:ind w:left="1440" w:hanging="180"/>
      </w:pPr>
      <w:rPr>
        <w:rFonts w:ascii="Calibri" w:hAnsi="Calibri" w:hint="default"/>
        <w:sz w:val="20"/>
        <w:szCs w:val="20"/>
      </w:rPr>
    </w:lvl>
    <w:lvl w:ilvl="3" w:tplc="0409000F">
      <w:start w:val="1"/>
      <w:numFmt w:val="decimal"/>
      <w:lvlText w:val="%4."/>
      <w:lvlJc w:val="left"/>
      <w:pPr>
        <w:tabs>
          <w:tab w:val="num" w:pos="1540"/>
        </w:tabs>
        <w:ind w:left="1540" w:hanging="360"/>
      </w:pPr>
    </w:lvl>
    <w:lvl w:ilvl="4" w:tplc="04090019">
      <w:start w:val="1"/>
      <w:numFmt w:val="lowerLetter"/>
      <w:lvlText w:val="%5."/>
      <w:lvlJc w:val="left"/>
      <w:pPr>
        <w:tabs>
          <w:tab w:val="num" w:pos="2260"/>
        </w:tabs>
        <w:ind w:left="2260" w:hanging="360"/>
      </w:pPr>
    </w:lvl>
    <w:lvl w:ilvl="5" w:tplc="0409001B" w:tentative="1">
      <w:start w:val="1"/>
      <w:numFmt w:val="lowerRoman"/>
      <w:lvlText w:val="%6."/>
      <w:lvlJc w:val="right"/>
      <w:pPr>
        <w:tabs>
          <w:tab w:val="num" w:pos="2980"/>
        </w:tabs>
        <w:ind w:left="2980" w:hanging="180"/>
      </w:pPr>
    </w:lvl>
    <w:lvl w:ilvl="6" w:tplc="0409000F" w:tentative="1">
      <w:start w:val="1"/>
      <w:numFmt w:val="decimal"/>
      <w:lvlText w:val="%7."/>
      <w:lvlJc w:val="left"/>
      <w:pPr>
        <w:tabs>
          <w:tab w:val="num" w:pos="3700"/>
        </w:tabs>
        <w:ind w:left="3700" w:hanging="360"/>
      </w:pPr>
    </w:lvl>
    <w:lvl w:ilvl="7" w:tplc="04090019" w:tentative="1">
      <w:start w:val="1"/>
      <w:numFmt w:val="lowerLetter"/>
      <w:lvlText w:val="%8."/>
      <w:lvlJc w:val="left"/>
      <w:pPr>
        <w:tabs>
          <w:tab w:val="num" w:pos="4420"/>
        </w:tabs>
        <w:ind w:left="4420" w:hanging="360"/>
      </w:pPr>
    </w:lvl>
    <w:lvl w:ilvl="8" w:tplc="0409001B" w:tentative="1">
      <w:start w:val="1"/>
      <w:numFmt w:val="lowerRoman"/>
      <w:lvlText w:val="%9."/>
      <w:lvlJc w:val="right"/>
      <w:pPr>
        <w:tabs>
          <w:tab w:val="num" w:pos="5140"/>
        </w:tabs>
        <w:ind w:left="5140" w:hanging="180"/>
      </w:pPr>
    </w:lvl>
  </w:abstractNum>
  <w:abstractNum w:abstractNumId="22" w15:restartNumberingAfterBreak="0">
    <w:nsid w:val="63E04DFB"/>
    <w:multiLevelType w:val="hybridMultilevel"/>
    <w:tmpl w:val="A198F320"/>
    <w:lvl w:ilvl="0" w:tplc="A79812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614460"/>
    <w:multiLevelType w:val="hybridMultilevel"/>
    <w:tmpl w:val="41C48796"/>
    <w:lvl w:ilvl="0" w:tplc="2DAEB228">
      <w:start w:val="1"/>
      <w:numFmt w:val="lowerLetter"/>
      <w:lvlText w:val="%1."/>
      <w:lvlJc w:val="left"/>
      <w:pPr>
        <w:tabs>
          <w:tab w:val="num" w:pos="900"/>
        </w:tabs>
        <w:ind w:left="900" w:hanging="360"/>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BDD49CB"/>
    <w:multiLevelType w:val="hybridMultilevel"/>
    <w:tmpl w:val="6E507B9A"/>
    <w:lvl w:ilvl="0" w:tplc="0A327DFC">
      <w:start w:val="1"/>
      <w:numFmt w:val="lowerLetter"/>
      <w:lvlText w:val="%1."/>
      <w:lvlJc w:val="left"/>
      <w:pPr>
        <w:tabs>
          <w:tab w:val="num" w:pos="900"/>
        </w:tabs>
        <w:ind w:left="900" w:hanging="360"/>
      </w:pPr>
      <w:rPr>
        <w:rFonts w:ascii="Arial" w:hAnsi="Arial" w:cs="Arial" w:hint="default"/>
        <w:b w:val="0"/>
        <w:i w:val="0"/>
        <w:sz w:val="22"/>
        <w:szCs w:val="22"/>
      </w:rPr>
    </w:lvl>
    <w:lvl w:ilvl="1" w:tplc="6382CE3C">
      <w:start w:val="1"/>
      <w:numFmt w:val="lowerRoman"/>
      <w:lvlText w:val="(%2)"/>
      <w:lvlJc w:val="left"/>
      <w:pPr>
        <w:tabs>
          <w:tab w:val="num" w:pos="1170"/>
        </w:tabs>
        <w:ind w:left="1170" w:hanging="360"/>
      </w:pPr>
      <w:rPr>
        <w:rFonts w:hint="default"/>
        <w:b w:val="0"/>
        <w:i w:val="0"/>
        <w:sz w:val="24"/>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C31596A"/>
    <w:multiLevelType w:val="hybridMultilevel"/>
    <w:tmpl w:val="54BC34B0"/>
    <w:lvl w:ilvl="0" w:tplc="CE646990">
      <w:start w:val="1"/>
      <w:numFmt w:val="lowerLetter"/>
      <w:lvlText w:val="%1."/>
      <w:lvlJc w:val="left"/>
      <w:pPr>
        <w:tabs>
          <w:tab w:val="num" w:pos="900"/>
        </w:tabs>
        <w:ind w:left="900" w:hanging="360"/>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1518F4"/>
    <w:multiLevelType w:val="hybridMultilevel"/>
    <w:tmpl w:val="F72852A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D9D748C"/>
    <w:multiLevelType w:val="hybridMultilevel"/>
    <w:tmpl w:val="14D8257A"/>
    <w:lvl w:ilvl="0" w:tplc="3688873A">
      <w:start w:val="1"/>
      <w:numFmt w:val="decimal"/>
      <w:lvlText w:val="4.%1"/>
      <w:lvlJc w:val="left"/>
      <w:pPr>
        <w:tabs>
          <w:tab w:val="num" w:pos="720"/>
        </w:tabs>
        <w:ind w:left="720" w:hanging="360"/>
      </w:pPr>
      <w:rPr>
        <w:rFonts w:hint="default"/>
        <w:i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8" w15:restartNumberingAfterBreak="0">
    <w:nsid w:val="717602AA"/>
    <w:multiLevelType w:val="hybridMultilevel"/>
    <w:tmpl w:val="969417CA"/>
    <w:lvl w:ilvl="0" w:tplc="2494C268">
      <w:start w:val="7"/>
      <w:numFmt w:val="upperLetter"/>
      <w:lvlText w:val="%1."/>
      <w:lvlJc w:val="left"/>
      <w:pPr>
        <w:tabs>
          <w:tab w:val="num" w:pos="1139"/>
        </w:tabs>
        <w:ind w:left="1139" w:hanging="360"/>
      </w:pPr>
      <w:rPr>
        <w:rFonts w:hint="default"/>
      </w:rPr>
    </w:lvl>
    <w:lvl w:ilvl="1" w:tplc="A27C0A52">
      <w:start w:val="1"/>
      <w:numFmt w:val="decimal"/>
      <w:lvlText w:val="%2."/>
      <w:lvlJc w:val="left"/>
      <w:pPr>
        <w:tabs>
          <w:tab w:val="num" w:pos="1440"/>
        </w:tabs>
        <w:ind w:left="1440" w:hanging="360"/>
      </w:pPr>
      <w:rPr>
        <w:rFonts w:hint="default"/>
      </w:rPr>
    </w:lvl>
    <w:lvl w:ilvl="2" w:tplc="04090001">
      <w:start w:val="1"/>
      <w:numFmt w:val="bullet"/>
      <w:lvlText w:val=""/>
      <w:lvlJc w:val="left"/>
      <w:pPr>
        <w:tabs>
          <w:tab w:val="num" w:pos="2340"/>
        </w:tabs>
        <w:ind w:left="2340" w:hanging="360"/>
      </w:pPr>
      <w:rPr>
        <w:rFonts w:ascii="Symbol" w:hAnsi="Symbol" w:hint="default"/>
      </w:rPr>
    </w:lvl>
    <w:lvl w:ilvl="3" w:tplc="0D76B5DC">
      <w:numFmt w:val="bullet"/>
      <w:lvlText w:val="-"/>
      <w:lvlJc w:val="left"/>
      <w:pPr>
        <w:ind w:left="2880" w:hanging="360"/>
      </w:pPr>
      <w:rPr>
        <w:rFonts w:ascii="Calibri" w:eastAsia="Batang" w:hAnsi="Calibri"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1BD2BF2"/>
    <w:multiLevelType w:val="hybridMultilevel"/>
    <w:tmpl w:val="52AC0730"/>
    <w:lvl w:ilvl="0" w:tplc="04090001">
      <w:start w:val="1"/>
      <w:numFmt w:val="bullet"/>
      <w:lvlText w:val=""/>
      <w:lvlJc w:val="left"/>
      <w:pPr>
        <w:tabs>
          <w:tab w:val="num" w:pos="1540"/>
        </w:tabs>
        <w:ind w:left="1540" w:hanging="360"/>
      </w:pPr>
      <w:rPr>
        <w:rFonts w:ascii="Symbol" w:hAnsi="Symbol" w:hint="default"/>
      </w:rPr>
    </w:lvl>
    <w:lvl w:ilvl="1" w:tplc="04090019">
      <w:start w:val="1"/>
      <w:numFmt w:val="lowerLetter"/>
      <w:lvlText w:val="%2."/>
      <w:lvlJc w:val="left"/>
      <w:pPr>
        <w:tabs>
          <w:tab w:val="num" w:pos="100"/>
        </w:tabs>
        <w:ind w:left="10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1540"/>
        </w:tabs>
        <w:ind w:left="1540" w:hanging="360"/>
      </w:pPr>
    </w:lvl>
    <w:lvl w:ilvl="4" w:tplc="04090019">
      <w:start w:val="1"/>
      <w:numFmt w:val="lowerLetter"/>
      <w:lvlText w:val="%5."/>
      <w:lvlJc w:val="left"/>
      <w:pPr>
        <w:tabs>
          <w:tab w:val="num" w:pos="2260"/>
        </w:tabs>
        <w:ind w:left="2260" w:hanging="360"/>
      </w:pPr>
    </w:lvl>
    <w:lvl w:ilvl="5" w:tplc="0409001B" w:tentative="1">
      <w:start w:val="1"/>
      <w:numFmt w:val="lowerRoman"/>
      <w:lvlText w:val="%6."/>
      <w:lvlJc w:val="right"/>
      <w:pPr>
        <w:tabs>
          <w:tab w:val="num" w:pos="2980"/>
        </w:tabs>
        <w:ind w:left="2980" w:hanging="180"/>
      </w:pPr>
    </w:lvl>
    <w:lvl w:ilvl="6" w:tplc="0409000F" w:tentative="1">
      <w:start w:val="1"/>
      <w:numFmt w:val="decimal"/>
      <w:lvlText w:val="%7."/>
      <w:lvlJc w:val="left"/>
      <w:pPr>
        <w:tabs>
          <w:tab w:val="num" w:pos="3700"/>
        </w:tabs>
        <w:ind w:left="3700" w:hanging="360"/>
      </w:pPr>
    </w:lvl>
    <w:lvl w:ilvl="7" w:tplc="04090019" w:tentative="1">
      <w:start w:val="1"/>
      <w:numFmt w:val="lowerLetter"/>
      <w:lvlText w:val="%8."/>
      <w:lvlJc w:val="left"/>
      <w:pPr>
        <w:tabs>
          <w:tab w:val="num" w:pos="4420"/>
        </w:tabs>
        <w:ind w:left="4420" w:hanging="360"/>
      </w:pPr>
    </w:lvl>
    <w:lvl w:ilvl="8" w:tplc="0409001B" w:tentative="1">
      <w:start w:val="1"/>
      <w:numFmt w:val="lowerRoman"/>
      <w:lvlText w:val="%9."/>
      <w:lvlJc w:val="right"/>
      <w:pPr>
        <w:tabs>
          <w:tab w:val="num" w:pos="5140"/>
        </w:tabs>
        <w:ind w:left="5140" w:hanging="180"/>
      </w:pPr>
    </w:lvl>
  </w:abstractNum>
  <w:abstractNum w:abstractNumId="30" w15:restartNumberingAfterBreak="0">
    <w:nsid w:val="72917C12"/>
    <w:multiLevelType w:val="hybridMultilevel"/>
    <w:tmpl w:val="93944134"/>
    <w:lvl w:ilvl="0" w:tplc="0409001B">
      <w:start w:val="1"/>
      <w:numFmt w:val="lowerRoman"/>
      <w:lvlText w:val="%1."/>
      <w:lvlJc w:val="right"/>
      <w:pPr>
        <w:tabs>
          <w:tab w:val="num" w:pos="360"/>
        </w:tabs>
        <w:ind w:left="360" w:hanging="180"/>
      </w:p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1" w15:restartNumberingAfterBreak="0">
    <w:nsid w:val="72F15F62"/>
    <w:multiLevelType w:val="hybridMultilevel"/>
    <w:tmpl w:val="D560469E"/>
    <w:lvl w:ilvl="0" w:tplc="37620DB6">
      <w:start w:val="1"/>
      <w:numFmt w:val="lowerLetter"/>
      <w:lvlText w:val="%1."/>
      <w:lvlJc w:val="left"/>
      <w:pPr>
        <w:tabs>
          <w:tab w:val="num" w:pos="1540"/>
        </w:tabs>
        <w:ind w:left="1540" w:hanging="360"/>
      </w:pPr>
      <w:rPr>
        <w:rFonts w:hint="default"/>
      </w:rPr>
    </w:lvl>
    <w:lvl w:ilvl="1" w:tplc="04090019">
      <w:start w:val="1"/>
      <w:numFmt w:val="lowerLetter"/>
      <w:lvlText w:val="%2."/>
      <w:lvlJc w:val="left"/>
      <w:pPr>
        <w:tabs>
          <w:tab w:val="num" w:pos="100"/>
        </w:tabs>
        <w:ind w:left="100" w:hanging="360"/>
      </w:pPr>
    </w:lvl>
    <w:lvl w:ilvl="2" w:tplc="FA7AD22C">
      <w:start w:val="1"/>
      <w:numFmt w:val="lowerRoman"/>
      <w:lvlText w:val="%3."/>
      <w:lvlJc w:val="right"/>
      <w:pPr>
        <w:tabs>
          <w:tab w:val="num" w:pos="1440"/>
        </w:tabs>
        <w:ind w:left="1440" w:hanging="180"/>
      </w:pPr>
      <w:rPr>
        <w:rFonts w:ascii="Calibri" w:hAnsi="Calibri" w:hint="default"/>
        <w:sz w:val="20"/>
        <w:szCs w:val="20"/>
      </w:rPr>
    </w:lvl>
    <w:lvl w:ilvl="3" w:tplc="0409000F">
      <w:start w:val="1"/>
      <w:numFmt w:val="decimal"/>
      <w:lvlText w:val="%4."/>
      <w:lvlJc w:val="left"/>
      <w:pPr>
        <w:tabs>
          <w:tab w:val="num" w:pos="1540"/>
        </w:tabs>
        <w:ind w:left="1540" w:hanging="360"/>
      </w:pPr>
    </w:lvl>
    <w:lvl w:ilvl="4" w:tplc="04090019">
      <w:start w:val="1"/>
      <w:numFmt w:val="lowerLetter"/>
      <w:lvlText w:val="%5."/>
      <w:lvlJc w:val="left"/>
      <w:pPr>
        <w:tabs>
          <w:tab w:val="num" w:pos="2260"/>
        </w:tabs>
        <w:ind w:left="2260" w:hanging="360"/>
      </w:pPr>
    </w:lvl>
    <w:lvl w:ilvl="5" w:tplc="0409001B" w:tentative="1">
      <w:start w:val="1"/>
      <w:numFmt w:val="lowerRoman"/>
      <w:lvlText w:val="%6."/>
      <w:lvlJc w:val="right"/>
      <w:pPr>
        <w:tabs>
          <w:tab w:val="num" w:pos="2980"/>
        </w:tabs>
        <w:ind w:left="2980" w:hanging="180"/>
      </w:pPr>
    </w:lvl>
    <w:lvl w:ilvl="6" w:tplc="0409000F" w:tentative="1">
      <w:start w:val="1"/>
      <w:numFmt w:val="decimal"/>
      <w:lvlText w:val="%7."/>
      <w:lvlJc w:val="left"/>
      <w:pPr>
        <w:tabs>
          <w:tab w:val="num" w:pos="3700"/>
        </w:tabs>
        <w:ind w:left="3700" w:hanging="360"/>
      </w:pPr>
    </w:lvl>
    <w:lvl w:ilvl="7" w:tplc="04090019" w:tentative="1">
      <w:start w:val="1"/>
      <w:numFmt w:val="lowerLetter"/>
      <w:lvlText w:val="%8."/>
      <w:lvlJc w:val="left"/>
      <w:pPr>
        <w:tabs>
          <w:tab w:val="num" w:pos="4420"/>
        </w:tabs>
        <w:ind w:left="4420" w:hanging="360"/>
      </w:pPr>
    </w:lvl>
    <w:lvl w:ilvl="8" w:tplc="0409001B" w:tentative="1">
      <w:start w:val="1"/>
      <w:numFmt w:val="lowerRoman"/>
      <w:lvlText w:val="%9."/>
      <w:lvlJc w:val="right"/>
      <w:pPr>
        <w:tabs>
          <w:tab w:val="num" w:pos="5140"/>
        </w:tabs>
        <w:ind w:left="5140" w:hanging="180"/>
      </w:pPr>
    </w:lvl>
  </w:abstractNum>
  <w:abstractNum w:abstractNumId="32" w15:restartNumberingAfterBreak="0">
    <w:nsid w:val="73EA2798"/>
    <w:multiLevelType w:val="hybridMultilevel"/>
    <w:tmpl w:val="65644E4A"/>
    <w:lvl w:ilvl="0" w:tplc="240A000F">
      <w:start w:val="1"/>
      <w:numFmt w:val="decimal"/>
      <w:lvlText w:val="%1."/>
      <w:lvlJc w:val="left"/>
      <w:pPr>
        <w:ind w:left="900" w:hanging="360"/>
      </w:pPr>
    </w:lvl>
    <w:lvl w:ilvl="1" w:tplc="240A0019" w:tentative="1">
      <w:start w:val="1"/>
      <w:numFmt w:val="lowerLetter"/>
      <w:lvlText w:val="%2."/>
      <w:lvlJc w:val="left"/>
      <w:pPr>
        <w:ind w:left="1620" w:hanging="360"/>
      </w:pPr>
    </w:lvl>
    <w:lvl w:ilvl="2" w:tplc="240A001B" w:tentative="1">
      <w:start w:val="1"/>
      <w:numFmt w:val="lowerRoman"/>
      <w:lvlText w:val="%3."/>
      <w:lvlJc w:val="right"/>
      <w:pPr>
        <w:ind w:left="2340" w:hanging="180"/>
      </w:pPr>
    </w:lvl>
    <w:lvl w:ilvl="3" w:tplc="240A000F" w:tentative="1">
      <w:start w:val="1"/>
      <w:numFmt w:val="decimal"/>
      <w:lvlText w:val="%4."/>
      <w:lvlJc w:val="left"/>
      <w:pPr>
        <w:ind w:left="3060" w:hanging="360"/>
      </w:pPr>
    </w:lvl>
    <w:lvl w:ilvl="4" w:tplc="240A0019" w:tentative="1">
      <w:start w:val="1"/>
      <w:numFmt w:val="lowerLetter"/>
      <w:lvlText w:val="%5."/>
      <w:lvlJc w:val="left"/>
      <w:pPr>
        <w:ind w:left="3780" w:hanging="360"/>
      </w:pPr>
    </w:lvl>
    <w:lvl w:ilvl="5" w:tplc="240A001B" w:tentative="1">
      <w:start w:val="1"/>
      <w:numFmt w:val="lowerRoman"/>
      <w:lvlText w:val="%6."/>
      <w:lvlJc w:val="right"/>
      <w:pPr>
        <w:ind w:left="4500" w:hanging="180"/>
      </w:pPr>
    </w:lvl>
    <w:lvl w:ilvl="6" w:tplc="240A000F" w:tentative="1">
      <w:start w:val="1"/>
      <w:numFmt w:val="decimal"/>
      <w:lvlText w:val="%7."/>
      <w:lvlJc w:val="left"/>
      <w:pPr>
        <w:ind w:left="5220" w:hanging="360"/>
      </w:pPr>
    </w:lvl>
    <w:lvl w:ilvl="7" w:tplc="240A0019" w:tentative="1">
      <w:start w:val="1"/>
      <w:numFmt w:val="lowerLetter"/>
      <w:lvlText w:val="%8."/>
      <w:lvlJc w:val="left"/>
      <w:pPr>
        <w:ind w:left="5940" w:hanging="360"/>
      </w:pPr>
    </w:lvl>
    <w:lvl w:ilvl="8" w:tplc="240A001B" w:tentative="1">
      <w:start w:val="1"/>
      <w:numFmt w:val="lowerRoman"/>
      <w:lvlText w:val="%9."/>
      <w:lvlJc w:val="right"/>
      <w:pPr>
        <w:ind w:left="6660" w:hanging="180"/>
      </w:pPr>
    </w:lvl>
  </w:abstractNum>
  <w:abstractNum w:abstractNumId="33" w15:restartNumberingAfterBreak="0">
    <w:nsid w:val="794B789F"/>
    <w:multiLevelType w:val="hybridMultilevel"/>
    <w:tmpl w:val="4DF2C892"/>
    <w:lvl w:ilvl="0" w:tplc="022223C6">
      <w:start w:val="1"/>
      <w:numFmt w:val="decimal"/>
      <w:lvlText w:val="5.%1"/>
      <w:lvlJc w:val="left"/>
      <w:pPr>
        <w:tabs>
          <w:tab w:val="num" w:pos="900"/>
        </w:tabs>
        <w:ind w:left="900" w:hanging="360"/>
      </w:pPr>
      <w:rPr>
        <w:rFonts w:hint="default"/>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15:restartNumberingAfterBreak="0">
    <w:nsid w:val="7A7E05D0"/>
    <w:multiLevelType w:val="hybridMultilevel"/>
    <w:tmpl w:val="59EC3AA8"/>
    <w:lvl w:ilvl="0" w:tplc="2B14F754">
      <w:start w:val="1"/>
      <w:numFmt w:val="upperRoman"/>
      <w:lvlText w:val="%1."/>
      <w:lvlJc w:val="center"/>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7A8F23EE"/>
    <w:multiLevelType w:val="hybridMultilevel"/>
    <w:tmpl w:val="D870BCF8"/>
    <w:lvl w:ilvl="0" w:tplc="04090015">
      <w:start w:val="1"/>
      <w:numFmt w:val="upperLetter"/>
      <w:lvlText w:val="%1."/>
      <w:lvlJc w:val="left"/>
      <w:pPr>
        <w:tabs>
          <w:tab w:val="num" w:pos="720"/>
        </w:tabs>
        <w:ind w:left="720" w:hanging="360"/>
      </w:pPr>
      <w:rPr>
        <w:rFonts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AE5D42"/>
    <w:multiLevelType w:val="hybridMultilevel"/>
    <w:tmpl w:val="12D82CCE"/>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19"/>
  </w:num>
  <w:num w:numId="2">
    <w:abstractNumId w:val="1"/>
  </w:num>
  <w:num w:numId="3">
    <w:abstractNumId w:val="18"/>
  </w:num>
  <w:num w:numId="4">
    <w:abstractNumId w:val="2"/>
  </w:num>
  <w:num w:numId="5">
    <w:abstractNumId w:val="0"/>
  </w:num>
  <w:num w:numId="6">
    <w:abstractNumId w:val="3"/>
  </w:num>
  <w:num w:numId="7">
    <w:abstractNumId w:val="28"/>
  </w:num>
  <w:num w:numId="8">
    <w:abstractNumId w:val="24"/>
  </w:num>
  <w:num w:numId="9">
    <w:abstractNumId w:val="30"/>
  </w:num>
  <w:num w:numId="10">
    <w:abstractNumId w:val="8"/>
  </w:num>
  <w:num w:numId="11">
    <w:abstractNumId w:val="34"/>
  </w:num>
  <w:num w:numId="12">
    <w:abstractNumId w:val="32"/>
  </w:num>
  <w:num w:numId="13">
    <w:abstractNumId w:val="9"/>
  </w:num>
  <w:num w:numId="14">
    <w:abstractNumId w:val="16"/>
  </w:num>
  <w:num w:numId="15">
    <w:abstractNumId w:val="14"/>
  </w:num>
  <w:num w:numId="16">
    <w:abstractNumId w:val="26"/>
  </w:num>
  <w:num w:numId="17">
    <w:abstractNumId w:val="4"/>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31"/>
  </w:num>
  <w:num w:numId="21">
    <w:abstractNumId w:val="29"/>
  </w:num>
  <w:num w:numId="22">
    <w:abstractNumId w:val="11"/>
  </w:num>
  <w:num w:numId="23">
    <w:abstractNumId w:val="12"/>
  </w:num>
  <w:num w:numId="24">
    <w:abstractNumId w:val="13"/>
  </w:num>
  <w:num w:numId="25">
    <w:abstractNumId w:val="5"/>
  </w:num>
  <w:num w:numId="26">
    <w:abstractNumId w:val="17"/>
  </w:num>
  <w:num w:numId="27">
    <w:abstractNumId w:val="22"/>
  </w:num>
  <w:num w:numId="28">
    <w:abstractNumId w:val="20"/>
  </w:num>
  <w:num w:numId="29">
    <w:abstractNumId w:val="35"/>
  </w:num>
  <w:num w:numId="30">
    <w:abstractNumId w:val="10"/>
  </w:num>
  <w:num w:numId="31">
    <w:abstractNumId w:val="25"/>
  </w:num>
  <w:num w:numId="32">
    <w:abstractNumId w:val="15"/>
  </w:num>
  <w:num w:numId="33">
    <w:abstractNumId w:val="23"/>
  </w:num>
  <w:num w:numId="34">
    <w:abstractNumId w:val="6"/>
  </w:num>
  <w:num w:numId="35">
    <w:abstractNumId w:val="36"/>
  </w:num>
  <w:num w:numId="36">
    <w:abstractNumId w:val="7"/>
  </w:num>
  <w:num w:numId="37">
    <w:abstractNumId w:val="27"/>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doNotHyphenateCaps/>
  <w:characterSpacingControl w:val="doNotCompress"/>
  <w:doNotValidateAgainstSchema/>
  <w:doNotDemarcateInvalidXml/>
  <w:hdrShapeDefaults>
    <o:shapedefaults v:ext="edit" spidmax="2049" fillcolor="#0078b4" strokecolor="#4a7ebb">
      <v:fill color="#0078b4"/>
      <v:stroke color="#4a7ebb"/>
      <v:shadow opacity="22938f" offset="0"/>
      <v:textbox inset=",7.2pt,,7.2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C1E"/>
    <w:rsid w:val="0000262E"/>
    <w:rsid w:val="00010CB4"/>
    <w:rsid w:val="00014E5E"/>
    <w:rsid w:val="0001580D"/>
    <w:rsid w:val="00024A23"/>
    <w:rsid w:val="000319B2"/>
    <w:rsid w:val="00034231"/>
    <w:rsid w:val="00035AA2"/>
    <w:rsid w:val="000372D4"/>
    <w:rsid w:val="00042921"/>
    <w:rsid w:val="0004451F"/>
    <w:rsid w:val="000446CE"/>
    <w:rsid w:val="00044D68"/>
    <w:rsid w:val="000456D5"/>
    <w:rsid w:val="00045F41"/>
    <w:rsid w:val="0005039A"/>
    <w:rsid w:val="0005274F"/>
    <w:rsid w:val="0005563E"/>
    <w:rsid w:val="00056C9F"/>
    <w:rsid w:val="000602C3"/>
    <w:rsid w:val="00060B87"/>
    <w:rsid w:val="00071155"/>
    <w:rsid w:val="000777BE"/>
    <w:rsid w:val="00080C69"/>
    <w:rsid w:val="00090E6F"/>
    <w:rsid w:val="000948B4"/>
    <w:rsid w:val="000959ED"/>
    <w:rsid w:val="000A5C8C"/>
    <w:rsid w:val="000B1498"/>
    <w:rsid w:val="000C1647"/>
    <w:rsid w:val="000C19AA"/>
    <w:rsid w:val="000C1E42"/>
    <w:rsid w:val="000C3846"/>
    <w:rsid w:val="000C5518"/>
    <w:rsid w:val="000C6133"/>
    <w:rsid w:val="000D1BC2"/>
    <w:rsid w:val="000D2DA0"/>
    <w:rsid w:val="000D3325"/>
    <w:rsid w:val="000E0219"/>
    <w:rsid w:val="000E2260"/>
    <w:rsid w:val="000E4EEE"/>
    <w:rsid w:val="000E51C3"/>
    <w:rsid w:val="000F32CC"/>
    <w:rsid w:val="00100B51"/>
    <w:rsid w:val="001156B6"/>
    <w:rsid w:val="00117ACA"/>
    <w:rsid w:val="001212B4"/>
    <w:rsid w:val="001212D6"/>
    <w:rsid w:val="00126813"/>
    <w:rsid w:val="00130DAF"/>
    <w:rsid w:val="0013112F"/>
    <w:rsid w:val="001403BA"/>
    <w:rsid w:val="0014043D"/>
    <w:rsid w:val="00142944"/>
    <w:rsid w:val="001429DC"/>
    <w:rsid w:val="001438A4"/>
    <w:rsid w:val="00144F88"/>
    <w:rsid w:val="00147B73"/>
    <w:rsid w:val="00147CAD"/>
    <w:rsid w:val="00151777"/>
    <w:rsid w:val="00160D71"/>
    <w:rsid w:val="0016230B"/>
    <w:rsid w:val="00164758"/>
    <w:rsid w:val="001654EB"/>
    <w:rsid w:val="00166B8C"/>
    <w:rsid w:val="00167663"/>
    <w:rsid w:val="0017327F"/>
    <w:rsid w:val="00173DCF"/>
    <w:rsid w:val="001762F2"/>
    <w:rsid w:val="0017795D"/>
    <w:rsid w:val="001809F8"/>
    <w:rsid w:val="00181BFB"/>
    <w:rsid w:val="001941B6"/>
    <w:rsid w:val="00196130"/>
    <w:rsid w:val="001A23FB"/>
    <w:rsid w:val="001A7D8B"/>
    <w:rsid w:val="001B4D89"/>
    <w:rsid w:val="001C101F"/>
    <w:rsid w:val="001C11B0"/>
    <w:rsid w:val="001C176C"/>
    <w:rsid w:val="001C71E5"/>
    <w:rsid w:val="001D078E"/>
    <w:rsid w:val="001D0EE7"/>
    <w:rsid w:val="001E3448"/>
    <w:rsid w:val="001E4685"/>
    <w:rsid w:val="001E6506"/>
    <w:rsid w:val="001F1D8D"/>
    <w:rsid w:val="001F7EED"/>
    <w:rsid w:val="0020300E"/>
    <w:rsid w:val="002033BE"/>
    <w:rsid w:val="00204B08"/>
    <w:rsid w:val="002051A6"/>
    <w:rsid w:val="00206F10"/>
    <w:rsid w:val="00213549"/>
    <w:rsid w:val="00214008"/>
    <w:rsid w:val="00220B61"/>
    <w:rsid w:val="00232878"/>
    <w:rsid w:val="002356A5"/>
    <w:rsid w:val="00235ABB"/>
    <w:rsid w:val="00237B4A"/>
    <w:rsid w:val="00237B75"/>
    <w:rsid w:val="00237CD6"/>
    <w:rsid w:val="00244B33"/>
    <w:rsid w:val="00252587"/>
    <w:rsid w:val="00257FE6"/>
    <w:rsid w:val="00261DF1"/>
    <w:rsid w:val="00262601"/>
    <w:rsid w:val="002677F3"/>
    <w:rsid w:val="00271259"/>
    <w:rsid w:val="0027705A"/>
    <w:rsid w:val="00277C2F"/>
    <w:rsid w:val="002813BC"/>
    <w:rsid w:val="00283291"/>
    <w:rsid w:val="0028393A"/>
    <w:rsid w:val="002A2851"/>
    <w:rsid w:val="002A4EFA"/>
    <w:rsid w:val="002A6BA5"/>
    <w:rsid w:val="002D3B8E"/>
    <w:rsid w:val="002D6148"/>
    <w:rsid w:val="002D6803"/>
    <w:rsid w:val="002E3158"/>
    <w:rsid w:val="002E7A03"/>
    <w:rsid w:val="002F6BD4"/>
    <w:rsid w:val="00306CE9"/>
    <w:rsid w:val="00306D10"/>
    <w:rsid w:val="00307818"/>
    <w:rsid w:val="00316935"/>
    <w:rsid w:val="003229D5"/>
    <w:rsid w:val="00326D7F"/>
    <w:rsid w:val="0033379A"/>
    <w:rsid w:val="00334B90"/>
    <w:rsid w:val="003353FB"/>
    <w:rsid w:val="00337865"/>
    <w:rsid w:val="0034110F"/>
    <w:rsid w:val="003449FA"/>
    <w:rsid w:val="00353F72"/>
    <w:rsid w:val="00355E58"/>
    <w:rsid w:val="0035665C"/>
    <w:rsid w:val="00360F2E"/>
    <w:rsid w:val="00361A9D"/>
    <w:rsid w:val="00366043"/>
    <w:rsid w:val="00366DAA"/>
    <w:rsid w:val="00376F1B"/>
    <w:rsid w:val="00387C0C"/>
    <w:rsid w:val="0039079F"/>
    <w:rsid w:val="003A1F5B"/>
    <w:rsid w:val="003A3B7C"/>
    <w:rsid w:val="003A5988"/>
    <w:rsid w:val="003A6495"/>
    <w:rsid w:val="003C1B7B"/>
    <w:rsid w:val="003C217E"/>
    <w:rsid w:val="003C56AC"/>
    <w:rsid w:val="003D0E9F"/>
    <w:rsid w:val="003D6EEE"/>
    <w:rsid w:val="003D7372"/>
    <w:rsid w:val="003F04B6"/>
    <w:rsid w:val="00403F90"/>
    <w:rsid w:val="004176C8"/>
    <w:rsid w:val="0042049B"/>
    <w:rsid w:val="00421CC1"/>
    <w:rsid w:val="00426EE5"/>
    <w:rsid w:val="004608F0"/>
    <w:rsid w:val="00463DD7"/>
    <w:rsid w:val="00464218"/>
    <w:rsid w:val="004702AC"/>
    <w:rsid w:val="0047244E"/>
    <w:rsid w:val="00476295"/>
    <w:rsid w:val="004778CA"/>
    <w:rsid w:val="0048310F"/>
    <w:rsid w:val="00494D95"/>
    <w:rsid w:val="00497998"/>
    <w:rsid w:val="004A36BB"/>
    <w:rsid w:val="004A50EC"/>
    <w:rsid w:val="004A58B0"/>
    <w:rsid w:val="004A5A95"/>
    <w:rsid w:val="004B02C7"/>
    <w:rsid w:val="004B25B7"/>
    <w:rsid w:val="004B50DD"/>
    <w:rsid w:val="004B6192"/>
    <w:rsid w:val="004B7494"/>
    <w:rsid w:val="004B78E1"/>
    <w:rsid w:val="004C3025"/>
    <w:rsid w:val="004D10C7"/>
    <w:rsid w:val="004D3691"/>
    <w:rsid w:val="004D69A5"/>
    <w:rsid w:val="004E3F91"/>
    <w:rsid w:val="004F0CAC"/>
    <w:rsid w:val="004F0D96"/>
    <w:rsid w:val="004F27BF"/>
    <w:rsid w:val="004F4C1E"/>
    <w:rsid w:val="004F72C0"/>
    <w:rsid w:val="004F77D7"/>
    <w:rsid w:val="00500CA6"/>
    <w:rsid w:val="00502B98"/>
    <w:rsid w:val="00504085"/>
    <w:rsid w:val="00507535"/>
    <w:rsid w:val="005149B7"/>
    <w:rsid w:val="00515BA9"/>
    <w:rsid w:val="00515DE6"/>
    <w:rsid w:val="00520766"/>
    <w:rsid w:val="00525A51"/>
    <w:rsid w:val="005310A8"/>
    <w:rsid w:val="00537961"/>
    <w:rsid w:val="00537F8A"/>
    <w:rsid w:val="00540438"/>
    <w:rsid w:val="0054621F"/>
    <w:rsid w:val="00547033"/>
    <w:rsid w:val="0054786F"/>
    <w:rsid w:val="00563933"/>
    <w:rsid w:val="005648CB"/>
    <w:rsid w:val="0057671F"/>
    <w:rsid w:val="00582A8E"/>
    <w:rsid w:val="005907EE"/>
    <w:rsid w:val="0059247B"/>
    <w:rsid w:val="00592F01"/>
    <w:rsid w:val="005A2449"/>
    <w:rsid w:val="005A2BB2"/>
    <w:rsid w:val="005A471A"/>
    <w:rsid w:val="005B7C9C"/>
    <w:rsid w:val="005C4263"/>
    <w:rsid w:val="005D34C0"/>
    <w:rsid w:val="005D3BE8"/>
    <w:rsid w:val="005D456A"/>
    <w:rsid w:val="005D4AA0"/>
    <w:rsid w:val="005D6980"/>
    <w:rsid w:val="005F2D9B"/>
    <w:rsid w:val="005F656A"/>
    <w:rsid w:val="00602518"/>
    <w:rsid w:val="00610C73"/>
    <w:rsid w:val="00623955"/>
    <w:rsid w:val="00625BEF"/>
    <w:rsid w:val="006270A3"/>
    <w:rsid w:val="00632637"/>
    <w:rsid w:val="00636B5A"/>
    <w:rsid w:val="00643305"/>
    <w:rsid w:val="006433FE"/>
    <w:rsid w:val="006470BA"/>
    <w:rsid w:val="00650DF5"/>
    <w:rsid w:val="00652DAA"/>
    <w:rsid w:val="00665795"/>
    <w:rsid w:val="00670D6C"/>
    <w:rsid w:val="0067780C"/>
    <w:rsid w:val="00677C16"/>
    <w:rsid w:val="00681A1E"/>
    <w:rsid w:val="00681CDC"/>
    <w:rsid w:val="00685832"/>
    <w:rsid w:val="00685B5C"/>
    <w:rsid w:val="00690BC9"/>
    <w:rsid w:val="00692C8D"/>
    <w:rsid w:val="00693637"/>
    <w:rsid w:val="00696657"/>
    <w:rsid w:val="006A49EE"/>
    <w:rsid w:val="006A4A41"/>
    <w:rsid w:val="006A6306"/>
    <w:rsid w:val="006B430F"/>
    <w:rsid w:val="006B5091"/>
    <w:rsid w:val="006D15E3"/>
    <w:rsid w:val="006D6646"/>
    <w:rsid w:val="006E04C4"/>
    <w:rsid w:val="006E46DD"/>
    <w:rsid w:val="006E54F5"/>
    <w:rsid w:val="006E77A6"/>
    <w:rsid w:val="006F2CEF"/>
    <w:rsid w:val="006F2D2C"/>
    <w:rsid w:val="006F31AA"/>
    <w:rsid w:val="006F3984"/>
    <w:rsid w:val="007005FE"/>
    <w:rsid w:val="00702716"/>
    <w:rsid w:val="00704867"/>
    <w:rsid w:val="007127E1"/>
    <w:rsid w:val="00713547"/>
    <w:rsid w:val="00714B89"/>
    <w:rsid w:val="007212EE"/>
    <w:rsid w:val="007237BA"/>
    <w:rsid w:val="0072537A"/>
    <w:rsid w:val="00726474"/>
    <w:rsid w:val="00726C73"/>
    <w:rsid w:val="007309D2"/>
    <w:rsid w:val="0073275D"/>
    <w:rsid w:val="00734E01"/>
    <w:rsid w:val="007364C1"/>
    <w:rsid w:val="00736705"/>
    <w:rsid w:val="00736C3C"/>
    <w:rsid w:val="00737D58"/>
    <w:rsid w:val="00743091"/>
    <w:rsid w:val="00745446"/>
    <w:rsid w:val="00746085"/>
    <w:rsid w:val="00752053"/>
    <w:rsid w:val="007667FB"/>
    <w:rsid w:val="00766D5B"/>
    <w:rsid w:val="007739B7"/>
    <w:rsid w:val="007748EC"/>
    <w:rsid w:val="007816CF"/>
    <w:rsid w:val="00782FF3"/>
    <w:rsid w:val="007918D0"/>
    <w:rsid w:val="00792162"/>
    <w:rsid w:val="007948C5"/>
    <w:rsid w:val="00795A43"/>
    <w:rsid w:val="007A2009"/>
    <w:rsid w:val="007A671E"/>
    <w:rsid w:val="007A6CEC"/>
    <w:rsid w:val="007B2E42"/>
    <w:rsid w:val="007B4BDA"/>
    <w:rsid w:val="007C4410"/>
    <w:rsid w:val="007C56B1"/>
    <w:rsid w:val="007D444B"/>
    <w:rsid w:val="007D4ED0"/>
    <w:rsid w:val="007D6A1A"/>
    <w:rsid w:val="007D78DD"/>
    <w:rsid w:val="007E1472"/>
    <w:rsid w:val="007E3230"/>
    <w:rsid w:val="007E6F29"/>
    <w:rsid w:val="007F00CD"/>
    <w:rsid w:val="007F03E8"/>
    <w:rsid w:val="007F2800"/>
    <w:rsid w:val="00802A97"/>
    <w:rsid w:val="00804EB2"/>
    <w:rsid w:val="00807B5C"/>
    <w:rsid w:val="008118AB"/>
    <w:rsid w:val="00814441"/>
    <w:rsid w:val="00820C0D"/>
    <w:rsid w:val="008214DA"/>
    <w:rsid w:val="008429FB"/>
    <w:rsid w:val="00842B17"/>
    <w:rsid w:val="00844CFE"/>
    <w:rsid w:val="00850E49"/>
    <w:rsid w:val="00854EA6"/>
    <w:rsid w:val="00864425"/>
    <w:rsid w:val="0086620A"/>
    <w:rsid w:val="0087361F"/>
    <w:rsid w:val="00882D9E"/>
    <w:rsid w:val="00891CD2"/>
    <w:rsid w:val="008A6339"/>
    <w:rsid w:val="008A72F1"/>
    <w:rsid w:val="008B0053"/>
    <w:rsid w:val="008C2032"/>
    <w:rsid w:val="008C2832"/>
    <w:rsid w:val="008C305E"/>
    <w:rsid w:val="008D269D"/>
    <w:rsid w:val="008D32CF"/>
    <w:rsid w:val="008D78FC"/>
    <w:rsid w:val="008E4E51"/>
    <w:rsid w:val="008E57F9"/>
    <w:rsid w:val="008F044B"/>
    <w:rsid w:val="008F21CF"/>
    <w:rsid w:val="008F4BD4"/>
    <w:rsid w:val="00900FEC"/>
    <w:rsid w:val="0090350C"/>
    <w:rsid w:val="00903681"/>
    <w:rsid w:val="009038F6"/>
    <w:rsid w:val="00905776"/>
    <w:rsid w:val="00916A21"/>
    <w:rsid w:val="0092152B"/>
    <w:rsid w:val="00924006"/>
    <w:rsid w:val="00930FC8"/>
    <w:rsid w:val="00934597"/>
    <w:rsid w:val="00937726"/>
    <w:rsid w:val="009426B4"/>
    <w:rsid w:val="00942D5C"/>
    <w:rsid w:val="009557CA"/>
    <w:rsid w:val="00956812"/>
    <w:rsid w:val="00956A4B"/>
    <w:rsid w:val="009605CB"/>
    <w:rsid w:val="009611FF"/>
    <w:rsid w:val="0096306C"/>
    <w:rsid w:val="0096426C"/>
    <w:rsid w:val="00965AA3"/>
    <w:rsid w:val="00965BCF"/>
    <w:rsid w:val="00966624"/>
    <w:rsid w:val="0097074F"/>
    <w:rsid w:val="00971E11"/>
    <w:rsid w:val="00990D15"/>
    <w:rsid w:val="00990D6A"/>
    <w:rsid w:val="009916AF"/>
    <w:rsid w:val="00991CD5"/>
    <w:rsid w:val="009B5683"/>
    <w:rsid w:val="009C33AF"/>
    <w:rsid w:val="009D32B9"/>
    <w:rsid w:val="009E0284"/>
    <w:rsid w:val="009E2300"/>
    <w:rsid w:val="009E5DD8"/>
    <w:rsid w:val="009E73D3"/>
    <w:rsid w:val="009F1802"/>
    <w:rsid w:val="009F2DBF"/>
    <w:rsid w:val="00A013AD"/>
    <w:rsid w:val="00A13AAB"/>
    <w:rsid w:val="00A141A7"/>
    <w:rsid w:val="00A1530C"/>
    <w:rsid w:val="00A165A0"/>
    <w:rsid w:val="00A22A9D"/>
    <w:rsid w:val="00A24007"/>
    <w:rsid w:val="00A251DA"/>
    <w:rsid w:val="00A27607"/>
    <w:rsid w:val="00A30145"/>
    <w:rsid w:val="00A30DCD"/>
    <w:rsid w:val="00A32F46"/>
    <w:rsid w:val="00A415B4"/>
    <w:rsid w:val="00A44087"/>
    <w:rsid w:val="00A502A9"/>
    <w:rsid w:val="00A52E27"/>
    <w:rsid w:val="00A70365"/>
    <w:rsid w:val="00A73C6E"/>
    <w:rsid w:val="00A75638"/>
    <w:rsid w:val="00A7572B"/>
    <w:rsid w:val="00A87433"/>
    <w:rsid w:val="00A9078D"/>
    <w:rsid w:val="00A917CE"/>
    <w:rsid w:val="00A94914"/>
    <w:rsid w:val="00A9648A"/>
    <w:rsid w:val="00AA2A6D"/>
    <w:rsid w:val="00AA2D98"/>
    <w:rsid w:val="00AA2DBE"/>
    <w:rsid w:val="00AA3E97"/>
    <w:rsid w:val="00AA5656"/>
    <w:rsid w:val="00AA79CB"/>
    <w:rsid w:val="00AB3550"/>
    <w:rsid w:val="00AC3126"/>
    <w:rsid w:val="00AC3A11"/>
    <w:rsid w:val="00AC5641"/>
    <w:rsid w:val="00AC75B4"/>
    <w:rsid w:val="00AD0FE5"/>
    <w:rsid w:val="00AD1B62"/>
    <w:rsid w:val="00AD1D03"/>
    <w:rsid w:val="00AD209C"/>
    <w:rsid w:val="00AD293A"/>
    <w:rsid w:val="00AF5939"/>
    <w:rsid w:val="00B015EA"/>
    <w:rsid w:val="00B05D2F"/>
    <w:rsid w:val="00B10F2D"/>
    <w:rsid w:val="00B30319"/>
    <w:rsid w:val="00B333AF"/>
    <w:rsid w:val="00B52937"/>
    <w:rsid w:val="00B54A7F"/>
    <w:rsid w:val="00B60DAA"/>
    <w:rsid w:val="00B631B9"/>
    <w:rsid w:val="00B70165"/>
    <w:rsid w:val="00B7070C"/>
    <w:rsid w:val="00B7237B"/>
    <w:rsid w:val="00B734D2"/>
    <w:rsid w:val="00B828DC"/>
    <w:rsid w:val="00B86ACB"/>
    <w:rsid w:val="00B902C9"/>
    <w:rsid w:val="00B917A7"/>
    <w:rsid w:val="00B95E67"/>
    <w:rsid w:val="00B9726C"/>
    <w:rsid w:val="00BA0EDA"/>
    <w:rsid w:val="00BA131B"/>
    <w:rsid w:val="00BA18FC"/>
    <w:rsid w:val="00BA3491"/>
    <w:rsid w:val="00BA509A"/>
    <w:rsid w:val="00BA5B15"/>
    <w:rsid w:val="00BA65FA"/>
    <w:rsid w:val="00BB5467"/>
    <w:rsid w:val="00BB6CB4"/>
    <w:rsid w:val="00BB7887"/>
    <w:rsid w:val="00BC067B"/>
    <w:rsid w:val="00BC1B83"/>
    <w:rsid w:val="00BD3DF6"/>
    <w:rsid w:val="00BD46E8"/>
    <w:rsid w:val="00BE08CD"/>
    <w:rsid w:val="00BE3F7D"/>
    <w:rsid w:val="00BF0B81"/>
    <w:rsid w:val="00BF4E52"/>
    <w:rsid w:val="00BF75DF"/>
    <w:rsid w:val="00BF7610"/>
    <w:rsid w:val="00C004D6"/>
    <w:rsid w:val="00C02789"/>
    <w:rsid w:val="00C05A1A"/>
    <w:rsid w:val="00C06D44"/>
    <w:rsid w:val="00C11F97"/>
    <w:rsid w:val="00C150E7"/>
    <w:rsid w:val="00C17961"/>
    <w:rsid w:val="00C256C9"/>
    <w:rsid w:val="00C2619A"/>
    <w:rsid w:val="00C30354"/>
    <w:rsid w:val="00C31EEC"/>
    <w:rsid w:val="00C3447F"/>
    <w:rsid w:val="00C34FA0"/>
    <w:rsid w:val="00C40175"/>
    <w:rsid w:val="00C41309"/>
    <w:rsid w:val="00C41AB9"/>
    <w:rsid w:val="00C44A0C"/>
    <w:rsid w:val="00C522C1"/>
    <w:rsid w:val="00C524E4"/>
    <w:rsid w:val="00C52AFA"/>
    <w:rsid w:val="00C61749"/>
    <w:rsid w:val="00C65250"/>
    <w:rsid w:val="00C65AE2"/>
    <w:rsid w:val="00C72727"/>
    <w:rsid w:val="00C72EB8"/>
    <w:rsid w:val="00C75105"/>
    <w:rsid w:val="00C75792"/>
    <w:rsid w:val="00C80CAE"/>
    <w:rsid w:val="00C848D5"/>
    <w:rsid w:val="00C86290"/>
    <w:rsid w:val="00C955F4"/>
    <w:rsid w:val="00CA186E"/>
    <w:rsid w:val="00CA4A94"/>
    <w:rsid w:val="00CA4D3E"/>
    <w:rsid w:val="00CB410F"/>
    <w:rsid w:val="00CB62EA"/>
    <w:rsid w:val="00CB6AFE"/>
    <w:rsid w:val="00CC39DC"/>
    <w:rsid w:val="00CC6F04"/>
    <w:rsid w:val="00CD05F1"/>
    <w:rsid w:val="00CE034D"/>
    <w:rsid w:val="00CE0B81"/>
    <w:rsid w:val="00CE40E0"/>
    <w:rsid w:val="00CE58A0"/>
    <w:rsid w:val="00CF2CF7"/>
    <w:rsid w:val="00CF76F5"/>
    <w:rsid w:val="00D009BF"/>
    <w:rsid w:val="00D01CDA"/>
    <w:rsid w:val="00D0289D"/>
    <w:rsid w:val="00D07E2A"/>
    <w:rsid w:val="00D165C2"/>
    <w:rsid w:val="00D17EF5"/>
    <w:rsid w:val="00D257A0"/>
    <w:rsid w:val="00D25FEE"/>
    <w:rsid w:val="00D31695"/>
    <w:rsid w:val="00D32E38"/>
    <w:rsid w:val="00D33BB5"/>
    <w:rsid w:val="00D35AF3"/>
    <w:rsid w:val="00D400BA"/>
    <w:rsid w:val="00D41066"/>
    <w:rsid w:val="00D41FEF"/>
    <w:rsid w:val="00D510E5"/>
    <w:rsid w:val="00D54F05"/>
    <w:rsid w:val="00D5557A"/>
    <w:rsid w:val="00D565D8"/>
    <w:rsid w:val="00D6298C"/>
    <w:rsid w:val="00D64FD4"/>
    <w:rsid w:val="00D67FE1"/>
    <w:rsid w:val="00D71139"/>
    <w:rsid w:val="00D91E15"/>
    <w:rsid w:val="00DA6461"/>
    <w:rsid w:val="00DB3505"/>
    <w:rsid w:val="00DB4CB5"/>
    <w:rsid w:val="00DC45A7"/>
    <w:rsid w:val="00DC67CE"/>
    <w:rsid w:val="00DC6CF8"/>
    <w:rsid w:val="00DD0161"/>
    <w:rsid w:val="00DD2CB1"/>
    <w:rsid w:val="00DD71B1"/>
    <w:rsid w:val="00DE0756"/>
    <w:rsid w:val="00DE3227"/>
    <w:rsid w:val="00DE78B5"/>
    <w:rsid w:val="00DF1876"/>
    <w:rsid w:val="00DF1B90"/>
    <w:rsid w:val="00DF5147"/>
    <w:rsid w:val="00DF6FDD"/>
    <w:rsid w:val="00E00DA6"/>
    <w:rsid w:val="00E05986"/>
    <w:rsid w:val="00E10145"/>
    <w:rsid w:val="00E2133E"/>
    <w:rsid w:val="00E225AA"/>
    <w:rsid w:val="00E24E2E"/>
    <w:rsid w:val="00E35719"/>
    <w:rsid w:val="00E444EE"/>
    <w:rsid w:val="00E50132"/>
    <w:rsid w:val="00E54680"/>
    <w:rsid w:val="00E5664C"/>
    <w:rsid w:val="00E60CE0"/>
    <w:rsid w:val="00E65230"/>
    <w:rsid w:val="00E71287"/>
    <w:rsid w:val="00E744D7"/>
    <w:rsid w:val="00E82D61"/>
    <w:rsid w:val="00E90111"/>
    <w:rsid w:val="00E91A77"/>
    <w:rsid w:val="00E94D4F"/>
    <w:rsid w:val="00EA096A"/>
    <w:rsid w:val="00EA6C08"/>
    <w:rsid w:val="00EB491C"/>
    <w:rsid w:val="00EB54C6"/>
    <w:rsid w:val="00EC2FBA"/>
    <w:rsid w:val="00ED0682"/>
    <w:rsid w:val="00ED1B0F"/>
    <w:rsid w:val="00ED2517"/>
    <w:rsid w:val="00EE1DD8"/>
    <w:rsid w:val="00EE3400"/>
    <w:rsid w:val="00EF0705"/>
    <w:rsid w:val="00EF0ADE"/>
    <w:rsid w:val="00F012D8"/>
    <w:rsid w:val="00F024A5"/>
    <w:rsid w:val="00F05C73"/>
    <w:rsid w:val="00F10561"/>
    <w:rsid w:val="00F14F70"/>
    <w:rsid w:val="00F17461"/>
    <w:rsid w:val="00F23112"/>
    <w:rsid w:val="00F237FB"/>
    <w:rsid w:val="00F3140E"/>
    <w:rsid w:val="00F33E8E"/>
    <w:rsid w:val="00F43358"/>
    <w:rsid w:val="00F63A65"/>
    <w:rsid w:val="00F64BC7"/>
    <w:rsid w:val="00F70CA7"/>
    <w:rsid w:val="00F746A3"/>
    <w:rsid w:val="00F75E29"/>
    <w:rsid w:val="00F777ED"/>
    <w:rsid w:val="00F831C6"/>
    <w:rsid w:val="00F87825"/>
    <w:rsid w:val="00F919DB"/>
    <w:rsid w:val="00F91E23"/>
    <w:rsid w:val="00FA29DD"/>
    <w:rsid w:val="00FA31AA"/>
    <w:rsid w:val="00FA35F2"/>
    <w:rsid w:val="00FA3EDF"/>
    <w:rsid w:val="00FA64D1"/>
    <w:rsid w:val="00FB1B69"/>
    <w:rsid w:val="00FB4EF4"/>
    <w:rsid w:val="00FB5195"/>
    <w:rsid w:val="00FB7537"/>
    <w:rsid w:val="00FB7A89"/>
    <w:rsid w:val="00FC22C8"/>
    <w:rsid w:val="00FD1CD6"/>
    <w:rsid w:val="00FD7104"/>
    <w:rsid w:val="00FD773B"/>
    <w:rsid w:val="00FE3451"/>
    <w:rsid w:val="00FE4BAE"/>
    <w:rsid w:val="00FF245E"/>
    <w:rsid w:val="00FF39C5"/>
    <w:rsid w:val="00FF3B57"/>
    <w:rsid w:val="00FF77D5"/>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0078b4" strokecolor="#4a7ebb">
      <v:fill color="#0078b4"/>
      <v:stroke color="#4a7ebb"/>
      <v:shadow opacity="22938f" offset="0"/>
      <v:textbox inset=",7.2pt,,7.2pt"/>
    </o:shapedefaults>
    <o:shapelayout v:ext="edit">
      <o:idmap v:ext="edit" data="1"/>
    </o:shapelayout>
  </w:shapeDefaults>
  <w:decimalSymbol w:val="."/>
  <w:listSeparator w:val=","/>
  <w14:docId w14:val="23D78D8A"/>
  <w15:chartTrackingRefBased/>
  <w15:docId w15:val="{C39BAD2C-02E3-4C68-A68C-69A6EBD12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4C1E"/>
    <w:rPr>
      <w:rFonts w:ascii="Times New Roman" w:eastAsia="Batang" w:hAnsi="Times New Roman"/>
      <w:sz w:val="24"/>
      <w:szCs w:val="24"/>
      <w:lang w:val="es-ES_tradnl" w:eastAsia="ko-KR"/>
    </w:rPr>
  </w:style>
  <w:style w:type="paragraph" w:styleId="Heading5">
    <w:name w:val="heading 5"/>
    <w:basedOn w:val="Normal"/>
    <w:next w:val="Normal"/>
    <w:link w:val="Heading5Char"/>
    <w:uiPriority w:val="99"/>
    <w:unhideWhenUsed/>
    <w:qFormat/>
    <w:rsid w:val="0042049B"/>
    <w:pPr>
      <w:keepNext/>
      <w:keepLines/>
      <w:numPr>
        <w:ilvl w:val="4"/>
        <w:numId w:val="28"/>
      </w:numPr>
      <w:spacing w:before="200"/>
      <w:outlineLvl w:val="4"/>
    </w:pPr>
    <w:rPr>
      <w:rFonts w:ascii="Cambria" w:eastAsia="SimSun" w:hAnsi="Cambria"/>
      <w:color w:val="243F60"/>
      <w:lang w:eastAsia="es-ES_tradnl"/>
    </w:rPr>
  </w:style>
  <w:style w:type="paragraph" w:styleId="Heading6">
    <w:name w:val="heading 6"/>
    <w:basedOn w:val="Normal"/>
    <w:next w:val="Normal"/>
    <w:link w:val="Heading6Char"/>
    <w:uiPriority w:val="99"/>
    <w:unhideWhenUsed/>
    <w:qFormat/>
    <w:rsid w:val="0042049B"/>
    <w:pPr>
      <w:keepNext/>
      <w:keepLines/>
      <w:numPr>
        <w:ilvl w:val="5"/>
        <w:numId w:val="28"/>
      </w:numPr>
      <w:spacing w:before="200"/>
      <w:outlineLvl w:val="5"/>
    </w:pPr>
    <w:rPr>
      <w:rFonts w:ascii="Cambria" w:eastAsia="SimSun" w:hAnsi="Cambria"/>
      <w:i/>
      <w:iCs/>
      <w:color w:val="243F60"/>
      <w:lang w:eastAsia="es-ES_tradnl"/>
    </w:rPr>
  </w:style>
  <w:style w:type="paragraph" w:styleId="Heading7">
    <w:name w:val="heading 7"/>
    <w:basedOn w:val="Normal"/>
    <w:next w:val="Normal"/>
    <w:link w:val="Heading7Char"/>
    <w:uiPriority w:val="99"/>
    <w:unhideWhenUsed/>
    <w:qFormat/>
    <w:rsid w:val="0042049B"/>
    <w:pPr>
      <w:keepNext/>
      <w:keepLines/>
      <w:numPr>
        <w:ilvl w:val="6"/>
        <w:numId w:val="28"/>
      </w:numPr>
      <w:spacing w:before="200"/>
      <w:outlineLvl w:val="6"/>
    </w:pPr>
    <w:rPr>
      <w:rFonts w:ascii="Cambria" w:eastAsia="SimSun" w:hAnsi="Cambria"/>
      <w:i/>
      <w:iCs/>
      <w:color w:val="404040"/>
      <w:lang w:eastAsia="es-ES_tradnl"/>
    </w:rPr>
  </w:style>
  <w:style w:type="paragraph" w:styleId="Heading8">
    <w:name w:val="heading 8"/>
    <w:basedOn w:val="Normal"/>
    <w:next w:val="Normal"/>
    <w:link w:val="Heading8Char"/>
    <w:uiPriority w:val="99"/>
    <w:unhideWhenUsed/>
    <w:qFormat/>
    <w:rsid w:val="0042049B"/>
    <w:pPr>
      <w:keepNext/>
      <w:keepLines/>
      <w:numPr>
        <w:ilvl w:val="7"/>
        <w:numId w:val="28"/>
      </w:numPr>
      <w:spacing w:before="200"/>
      <w:outlineLvl w:val="7"/>
    </w:pPr>
    <w:rPr>
      <w:rFonts w:ascii="Cambria" w:eastAsia="SimSun" w:hAnsi="Cambria"/>
      <w:color w:val="404040"/>
      <w:sz w:val="20"/>
      <w:szCs w:val="20"/>
      <w:lang w:eastAsia="es-ES_tradnl"/>
    </w:rPr>
  </w:style>
  <w:style w:type="paragraph" w:styleId="Heading9">
    <w:name w:val="heading 9"/>
    <w:basedOn w:val="Normal"/>
    <w:next w:val="Normal"/>
    <w:link w:val="Heading9Char"/>
    <w:uiPriority w:val="99"/>
    <w:unhideWhenUsed/>
    <w:qFormat/>
    <w:rsid w:val="0042049B"/>
    <w:pPr>
      <w:keepNext/>
      <w:keepLines/>
      <w:numPr>
        <w:ilvl w:val="8"/>
        <w:numId w:val="28"/>
      </w:numPr>
      <w:spacing w:before="200"/>
      <w:outlineLvl w:val="8"/>
    </w:pPr>
    <w:rPr>
      <w:rFonts w:ascii="Cambria" w:eastAsia="SimSun" w:hAnsi="Cambria"/>
      <w:i/>
      <w:iCs/>
      <w:color w:val="404040"/>
      <w:sz w:val="20"/>
      <w:szCs w:val="20"/>
      <w:lang w:eastAsia="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F4C1E"/>
    <w:pPr>
      <w:tabs>
        <w:tab w:val="center" w:pos="4320"/>
        <w:tab w:val="right" w:pos="8640"/>
      </w:tabs>
    </w:pPr>
  </w:style>
  <w:style w:type="character" w:customStyle="1" w:styleId="FooterChar">
    <w:name w:val="Footer Char"/>
    <w:link w:val="Footer"/>
    <w:uiPriority w:val="99"/>
    <w:rsid w:val="004F4C1E"/>
    <w:rPr>
      <w:rFonts w:ascii="Times New Roman" w:eastAsia="Batang" w:hAnsi="Times New Roman" w:cs="Times New Roman"/>
      <w:sz w:val="24"/>
      <w:lang w:val="es-ES_tradnl" w:eastAsia="ko-KR"/>
    </w:rPr>
  </w:style>
  <w:style w:type="paragraph" w:styleId="FootnoteText">
    <w:name w:val="footnote text"/>
    <w:aliases w:val="fn,foottextfra,footnote,F,Texto nota pie Car Car,Texto de rodapé,nota_rodapé,nota de rodapé,FOOTNOTES,single space,footnote text,Footnote Text Char Char,texto de nota al pie,Nota a pie/Bibliog,ADB,Footnote Text1 Char"/>
    <w:basedOn w:val="Normal"/>
    <w:link w:val="FootnoteTextChar"/>
    <w:uiPriority w:val="99"/>
    <w:rsid w:val="004F4C1E"/>
    <w:pPr>
      <w:keepNext/>
      <w:keepLines/>
      <w:spacing w:after="120"/>
      <w:ind w:left="288" w:hanging="288"/>
      <w:jc w:val="both"/>
    </w:pPr>
    <w:rPr>
      <w:spacing w:val="-3"/>
      <w:sz w:val="20"/>
      <w:szCs w:val="20"/>
      <w:lang w:eastAsia="en-US"/>
    </w:rPr>
  </w:style>
  <w:style w:type="character" w:customStyle="1" w:styleId="FootnoteTextChar">
    <w:name w:val="Footnote Text Char"/>
    <w:aliases w:val="fn Char1,foottextfra Char1,footnote Char1,F Char1,Texto nota pie Car Car Char1,Texto de rodapé Char1,nota_rodapé Char1,nota de rodapé Char1,FOOTNOTES Char1,single space Char1,footnote text Char1,Footnote Text Char Char Char1,ADB Char1"/>
    <w:link w:val="FootnoteText"/>
    <w:uiPriority w:val="99"/>
    <w:semiHidden/>
    <w:rsid w:val="004F4C1E"/>
    <w:rPr>
      <w:rFonts w:ascii="Times New Roman" w:eastAsia="Batang" w:hAnsi="Times New Roman" w:cs="Times New Roman"/>
      <w:spacing w:val="-3"/>
      <w:sz w:val="20"/>
      <w:lang w:val="es-ES_tradnl"/>
    </w:rPr>
  </w:style>
  <w:style w:type="character" w:styleId="FootnoteReference">
    <w:name w:val="footnote reference"/>
    <w:aliases w:val="FC,Ref. de nota al pie.,16 Point,Superscript 6 Point,ftref,Ref,de nota al pie,referencia nota al pie,titulo 2,Fußnotenzeichen DISS,Ref. de nota al pie EDEP,pie pddes,Footnote Reference Number,Footnote Reference_LVL6,fr,SUPERS"/>
    <w:uiPriority w:val="99"/>
    <w:qFormat/>
    <w:rsid w:val="004F4C1E"/>
    <w:rPr>
      <w:rFonts w:cs="Times New Roman"/>
      <w:vertAlign w:val="superscript"/>
    </w:rPr>
  </w:style>
  <w:style w:type="character" w:styleId="CommentReference">
    <w:name w:val="annotation reference"/>
    <w:rsid w:val="004F4C1E"/>
    <w:rPr>
      <w:rFonts w:cs="Times New Roman"/>
      <w:sz w:val="18"/>
    </w:rPr>
  </w:style>
  <w:style w:type="paragraph" w:styleId="CommentText">
    <w:name w:val="annotation text"/>
    <w:basedOn w:val="Normal"/>
    <w:link w:val="CommentTextChar"/>
    <w:uiPriority w:val="99"/>
    <w:rsid w:val="004F4C1E"/>
  </w:style>
  <w:style w:type="character" w:customStyle="1" w:styleId="CommentTextChar">
    <w:name w:val="Comment Text Char"/>
    <w:link w:val="CommentText"/>
    <w:uiPriority w:val="99"/>
    <w:rsid w:val="004F4C1E"/>
    <w:rPr>
      <w:rFonts w:ascii="Times New Roman" w:eastAsia="Batang" w:hAnsi="Times New Roman" w:cs="Times New Roman"/>
      <w:sz w:val="24"/>
      <w:lang w:val="es-ES_tradnl" w:eastAsia="ko-KR"/>
    </w:rPr>
  </w:style>
  <w:style w:type="paragraph" w:styleId="BalloonText">
    <w:name w:val="Balloon Text"/>
    <w:basedOn w:val="Normal"/>
    <w:link w:val="BalloonTextChar"/>
    <w:uiPriority w:val="99"/>
    <w:semiHidden/>
    <w:rsid w:val="004F4C1E"/>
    <w:rPr>
      <w:rFonts w:ascii="Tahoma" w:hAnsi="Tahoma" w:cs="Tahoma"/>
      <w:sz w:val="16"/>
      <w:szCs w:val="16"/>
    </w:rPr>
  </w:style>
  <w:style w:type="character" w:customStyle="1" w:styleId="BalloonTextChar">
    <w:name w:val="Balloon Text Char"/>
    <w:link w:val="BalloonText"/>
    <w:uiPriority w:val="99"/>
    <w:semiHidden/>
    <w:rsid w:val="004F4C1E"/>
    <w:rPr>
      <w:rFonts w:ascii="Tahoma" w:eastAsia="Batang" w:hAnsi="Tahoma" w:cs="Tahoma"/>
      <w:sz w:val="16"/>
      <w:lang w:val="es-ES_tradnl" w:eastAsia="ko-KR"/>
    </w:rPr>
  </w:style>
  <w:style w:type="paragraph" w:styleId="ListParagraph">
    <w:name w:val="List Paragraph"/>
    <w:basedOn w:val="Normal"/>
    <w:uiPriority w:val="99"/>
    <w:qFormat/>
    <w:rsid w:val="00752053"/>
    <w:pPr>
      <w:ind w:left="720"/>
      <w:contextualSpacing/>
    </w:pPr>
  </w:style>
  <w:style w:type="character" w:styleId="Hyperlink">
    <w:name w:val="Hyperlink"/>
    <w:uiPriority w:val="99"/>
    <w:rsid w:val="008F044B"/>
    <w:rPr>
      <w:rFonts w:cs="Times New Roman"/>
      <w:color w:val="0000FF"/>
      <w:u w:val="single"/>
    </w:rPr>
  </w:style>
  <w:style w:type="paragraph" w:styleId="CommentSubject">
    <w:name w:val="annotation subject"/>
    <w:basedOn w:val="CommentText"/>
    <w:next w:val="CommentText"/>
    <w:link w:val="CommentSubjectChar"/>
    <w:uiPriority w:val="99"/>
    <w:semiHidden/>
    <w:rsid w:val="00592F01"/>
    <w:rPr>
      <w:b/>
      <w:bCs/>
      <w:sz w:val="20"/>
      <w:szCs w:val="20"/>
    </w:rPr>
  </w:style>
  <w:style w:type="character" w:customStyle="1" w:styleId="CommentSubjectChar">
    <w:name w:val="Comment Subject Char"/>
    <w:link w:val="CommentSubject"/>
    <w:uiPriority w:val="99"/>
    <w:semiHidden/>
    <w:rsid w:val="00592F01"/>
    <w:rPr>
      <w:rFonts w:ascii="Times New Roman" w:eastAsia="Batang" w:hAnsi="Times New Roman" w:cs="Times New Roman"/>
      <w:b/>
      <w:bCs/>
      <w:sz w:val="20"/>
      <w:lang w:val="es-ES_tradnl" w:eastAsia="ko-KR"/>
    </w:rPr>
  </w:style>
  <w:style w:type="table" w:styleId="TableGrid">
    <w:name w:val="Table Grid"/>
    <w:basedOn w:val="TableNormal"/>
    <w:uiPriority w:val="99"/>
    <w:rsid w:val="001403B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E71287"/>
    <w:pPr>
      <w:tabs>
        <w:tab w:val="center" w:pos="4680"/>
        <w:tab w:val="right" w:pos="9360"/>
      </w:tabs>
    </w:pPr>
  </w:style>
  <w:style w:type="character" w:customStyle="1" w:styleId="HeaderChar">
    <w:name w:val="Header Char"/>
    <w:link w:val="Header"/>
    <w:uiPriority w:val="99"/>
    <w:rsid w:val="00E71287"/>
    <w:rPr>
      <w:rFonts w:ascii="Times New Roman" w:eastAsia="Batang" w:hAnsi="Times New Roman"/>
      <w:sz w:val="24"/>
      <w:szCs w:val="24"/>
      <w:lang w:val="es-ES_tradnl" w:eastAsia="ko-KR"/>
    </w:rPr>
  </w:style>
  <w:style w:type="paragraph" w:customStyle="1" w:styleId="Default">
    <w:name w:val="Default"/>
    <w:rsid w:val="00CB62EA"/>
    <w:pPr>
      <w:autoSpaceDE w:val="0"/>
      <w:autoSpaceDN w:val="0"/>
      <w:adjustRightInd w:val="0"/>
    </w:pPr>
    <w:rPr>
      <w:rFonts w:ascii="Times New Roman" w:eastAsia="Times New Roman" w:hAnsi="Times New Roman"/>
      <w:color w:val="000000"/>
      <w:sz w:val="24"/>
      <w:szCs w:val="24"/>
    </w:rPr>
  </w:style>
  <w:style w:type="character" w:customStyle="1" w:styleId="FootnoteTextChar1">
    <w:name w:val="Footnote Text Char1"/>
    <w:aliases w:val="fn Char,foottextfra Char,footnote Char,F Char,Texto nota pie Car Car Char,Texto de rodapé Char,nota_rodapé Char,nota de rodapé Char,FOOTNOTES Char,single space Char,footnote text Char,Footnote Text Char Char Char,ADB Char"/>
    <w:uiPriority w:val="99"/>
    <w:rsid w:val="00C150E7"/>
    <w:rPr>
      <w:rFonts w:ascii="Times New Roman" w:hAnsi="Times New Roman" w:cs="Times New Roman"/>
      <w:spacing w:val="-3"/>
      <w:sz w:val="20"/>
      <w:szCs w:val="20"/>
    </w:rPr>
  </w:style>
  <w:style w:type="character" w:styleId="FollowedHyperlink">
    <w:name w:val="FollowedHyperlink"/>
    <w:uiPriority w:val="99"/>
    <w:semiHidden/>
    <w:unhideWhenUsed/>
    <w:rsid w:val="00820C0D"/>
    <w:rPr>
      <w:color w:val="954F72"/>
      <w:u w:val="single"/>
    </w:rPr>
  </w:style>
  <w:style w:type="paragraph" w:customStyle="1" w:styleId="Chapter">
    <w:name w:val="Chapter"/>
    <w:basedOn w:val="Normal"/>
    <w:next w:val="Normal"/>
    <w:link w:val="ChapterChar"/>
    <w:rsid w:val="003229D5"/>
    <w:pPr>
      <w:keepNext/>
      <w:numPr>
        <w:numId w:val="25"/>
      </w:numPr>
      <w:tabs>
        <w:tab w:val="left" w:pos="1440"/>
      </w:tabs>
      <w:spacing w:before="240" w:after="240"/>
      <w:jc w:val="center"/>
    </w:pPr>
    <w:rPr>
      <w:rFonts w:eastAsia="Times New Roman"/>
      <w:b/>
      <w:smallCaps/>
      <w:lang w:eastAsia="es-ES_tradnl"/>
    </w:rPr>
  </w:style>
  <w:style w:type="paragraph" w:customStyle="1" w:styleId="Paragraph">
    <w:name w:val="Paragraph"/>
    <w:aliases w:val="paragraph,p,PARAGRAPH,PG,pa,at"/>
    <w:basedOn w:val="BodyTextIndent"/>
    <w:link w:val="ParagraphChar"/>
    <w:qFormat/>
    <w:rsid w:val="003229D5"/>
    <w:pPr>
      <w:numPr>
        <w:ilvl w:val="1"/>
        <w:numId w:val="25"/>
      </w:numPr>
      <w:tabs>
        <w:tab w:val="clear" w:pos="2106"/>
        <w:tab w:val="num" w:pos="2448"/>
      </w:tabs>
      <w:spacing w:before="120"/>
      <w:ind w:left="2448"/>
      <w:jc w:val="both"/>
      <w:outlineLvl w:val="1"/>
    </w:pPr>
    <w:rPr>
      <w:rFonts w:eastAsia="Times New Roman"/>
      <w:lang w:eastAsia="es-ES_tradnl"/>
    </w:rPr>
  </w:style>
  <w:style w:type="character" w:customStyle="1" w:styleId="ParagraphChar">
    <w:name w:val="Paragraph Char"/>
    <w:aliases w:val="paragraph Char,p Char,PARAGRAPH Char,PG Char,pa Char,at Char"/>
    <w:link w:val="Paragraph"/>
    <w:rsid w:val="003229D5"/>
    <w:rPr>
      <w:rFonts w:ascii="Times New Roman" w:eastAsia="Times New Roman" w:hAnsi="Times New Roman"/>
      <w:sz w:val="24"/>
      <w:szCs w:val="24"/>
      <w:lang w:val="es-ES_tradnl" w:eastAsia="es-ES_tradnl"/>
    </w:rPr>
  </w:style>
  <w:style w:type="paragraph" w:customStyle="1" w:styleId="subpar">
    <w:name w:val="subpar"/>
    <w:basedOn w:val="BodyTextIndent3"/>
    <w:link w:val="subparChar"/>
    <w:rsid w:val="003229D5"/>
    <w:pPr>
      <w:numPr>
        <w:ilvl w:val="2"/>
        <w:numId w:val="25"/>
      </w:numPr>
      <w:tabs>
        <w:tab w:val="clear" w:pos="2304"/>
        <w:tab w:val="num" w:pos="1152"/>
        <w:tab w:val="num" w:pos="2160"/>
      </w:tabs>
      <w:spacing w:before="120"/>
      <w:ind w:left="1152" w:hanging="180"/>
      <w:jc w:val="both"/>
      <w:outlineLvl w:val="2"/>
    </w:pPr>
    <w:rPr>
      <w:rFonts w:eastAsia="Times New Roman"/>
      <w:sz w:val="24"/>
      <w:lang w:eastAsia="es-ES_tradnl"/>
    </w:rPr>
  </w:style>
  <w:style w:type="paragraph" w:customStyle="1" w:styleId="SubSubPar">
    <w:name w:val="SubSubPar"/>
    <w:basedOn w:val="subpar"/>
    <w:rsid w:val="003229D5"/>
    <w:pPr>
      <w:numPr>
        <w:ilvl w:val="3"/>
      </w:numPr>
      <w:tabs>
        <w:tab w:val="left" w:pos="0"/>
        <w:tab w:val="num" w:pos="2160"/>
        <w:tab w:val="num" w:pos="2880"/>
      </w:tabs>
      <w:ind w:left="2880" w:hanging="360"/>
    </w:pPr>
  </w:style>
  <w:style w:type="paragraph" w:styleId="BodyTextIndent">
    <w:name w:val="Body Text Indent"/>
    <w:basedOn w:val="Normal"/>
    <w:link w:val="BodyTextIndentChar"/>
    <w:uiPriority w:val="99"/>
    <w:semiHidden/>
    <w:unhideWhenUsed/>
    <w:rsid w:val="003229D5"/>
    <w:pPr>
      <w:spacing w:after="120"/>
      <w:ind w:left="360"/>
    </w:pPr>
  </w:style>
  <w:style w:type="character" w:customStyle="1" w:styleId="BodyTextIndentChar">
    <w:name w:val="Body Text Indent Char"/>
    <w:link w:val="BodyTextIndent"/>
    <w:uiPriority w:val="99"/>
    <w:semiHidden/>
    <w:rsid w:val="003229D5"/>
    <w:rPr>
      <w:rFonts w:ascii="Times New Roman" w:eastAsia="Batang" w:hAnsi="Times New Roman"/>
      <w:sz w:val="24"/>
      <w:szCs w:val="24"/>
      <w:lang w:val="es-ES_tradnl" w:eastAsia="ko-KR"/>
    </w:rPr>
  </w:style>
  <w:style w:type="paragraph" w:styleId="BodyTextIndent3">
    <w:name w:val="Body Text Indent 3"/>
    <w:basedOn w:val="Normal"/>
    <w:link w:val="BodyTextIndent3Char"/>
    <w:uiPriority w:val="99"/>
    <w:semiHidden/>
    <w:unhideWhenUsed/>
    <w:rsid w:val="003229D5"/>
    <w:pPr>
      <w:spacing w:after="120"/>
      <w:ind w:left="360"/>
    </w:pPr>
    <w:rPr>
      <w:sz w:val="16"/>
      <w:szCs w:val="16"/>
    </w:rPr>
  </w:style>
  <w:style w:type="character" w:customStyle="1" w:styleId="BodyTextIndent3Char">
    <w:name w:val="Body Text Indent 3 Char"/>
    <w:link w:val="BodyTextIndent3"/>
    <w:uiPriority w:val="99"/>
    <w:semiHidden/>
    <w:rsid w:val="003229D5"/>
    <w:rPr>
      <w:rFonts w:ascii="Times New Roman" w:eastAsia="Batang" w:hAnsi="Times New Roman"/>
      <w:sz w:val="16"/>
      <w:szCs w:val="16"/>
      <w:lang w:val="es-ES_tradnl" w:eastAsia="ko-KR"/>
    </w:rPr>
  </w:style>
  <w:style w:type="character" w:customStyle="1" w:styleId="subparChar">
    <w:name w:val="subpar Char"/>
    <w:link w:val="subpar"/>
    <w:rsid w:val="0042049B"/>
    <w:rPr>
      <w:rFonts w:ascii="Times New Roman" w:eastAsia="Times New Roman" w:hAnsi="Times New Roman"/>
      <w:sz w:val="24"/>
      <w:szCs w:val="16"/>
      <w:lang w:val="es-ES_tradnl" w:eastAsia="es-ES_tradnl"/>
    </w:rPr>
  </w:style>
  <w:style w:type="character" w:customStyle="1" w:styleId="Heading5Char">
    <w:name w:val="Heading 5 Char"/>
    <w:link w:val="Heading5"/>
    <w:rsid w:val="0042049B"/>
    <w:rPr>
      <w:rFonts w:ascii="Cambria" w:eastAsia="SimSun" w:hAnsi="Cambria"/>
      <w:color w:val="243F60"/>
      <w:sz w:val="24"/>
      <w:szCs w:val="24"/>
      <w:lang w:val="es-ES_tradnl" w:eastAsia="es-ES_tradnl"/>
    </w:rPr>
  </w:style>
  <w:style w:type="character" w:customStyle="1" w:styleId="Heading6Char">
    <w:name w:val="Heading 6 Char"/>
    <w:link w:val="Heading6"/>
    <w:rsid w:val="0042049B"/>
    <w:rPr>
      <w:rFonts w:ascii="Cambria" w:eastAsia="SimSun" w:hAnsi="Cambria"/>
      <w:i/>
      <w:iCs/>
      <w:color w:val="243F60"/>
      <w:sz w:val="24"/>
      <w:szCs w:val="24"/>
      <w:lang w:val="es-ES_tradnl" w:eastAsia="es-ES_tradnl"/>
    </w:rPr>
  </w:style>
  <w:style w:type="character" w:customStyle="1" w:styleId="Heading7Char">
    <w:name w:val="Heading 7 Char"/>
    <w:link w:val="Heading7"/>
    <w:rsid w:val="0042049B"/>
    <w:rPr>
      <w:rFonts w:ascii="Cambria" w:eastAsia="SimSun" w:hAnsi="Cambria"/>
      <w:i/>
      <w:iCs/>
      <w:color w:val="404040"/>
      <w:sz w:val="24"/>
      <w:szCs w:val="24"/>
      <w:lang w:val="es-ES_tradnl" w:eastAsia="es-ES_tradnl"/>
    </w:rPr>
  </w:style>
  <w:style w:type="character" w:customStyle="1" w:styleId="Heading8Char">
    <w:name w:val="Heading 8 Char"/>
    <w:link w:val="Heading8"/>
    <w:rsid w:val="0042049B"/>
    <w:rPr>
      <w:rFonts w:ascii="Cambria" w:eastAsia="SimSun" w:hAnsi="Cambria"/>
      <w:color w:val="404040"/>
      <w:lang w:val="es-ES_tradnl" w:eastAsia="es-ES_tradnl"/>
    </w:rPr>
  </w:style>
  <w:style w:type="character" w:customStyle="1" w:styleId="Heading9Char">
    <w:name w:val="Heading 9 Char"/>
    <w:link w:val="Heading9"/>
    <w:rsid w:val="0042049B"/>
    <w:rPr>
      <w:rFonts w:ascii="Cambria" w:eastAsia="SimSun" w:hAnsi="Cambria"/>
      <w:i/>
      <w:iCs/>
      <w:color w:val="404040"/>
      <w:lang w:val="es-ES_tradnl" w:eastAsia="es-ES_tradnl"/>
    </w:rPr>
  </w:style>
  <w:style w:type="character" w:customStyle="1" w:styleId="ChapterChar">
    <w:name w:val="Chapter Char"/>
    <w:link w:val="Chapter"/>
    <w:rsid w:val="0042049B"/>
    <w:rPr>
      <w:rFonts w:ascii="Times New Roman" w:eastAsia="Times New Roman" w:hAnsi="Times New Roman"/>
      <w:b/>
      <w:smallCaps/>
      <w:sz w:val="24"/>
      <w:szCs w:val="24"/>
      <w:lang w:val="es-ES_tradnl" w:eastAsia="es-ES_tradnl"/>
    </w:rPr>
  </w:style>
  <w:style w:type="paragraph" w:customStyle="1" w:styleId="FirstHeading">
    <w:name w:val="FirstHeading"/>
    <w:basedOn w:val="Normal"/>
    <w:next w:val="Normal"/>
    <w:link w:val="FirstHeadingChar"/>
    <w:uiPriority w:val="99"/>
    <w:rsid w:val="0042049B"/>
    <w:pPr>
      <w:keepNext/>
      <w:numPr>
        <w:numId w:val="28"/>
      </w:numPr>
      <w:tabs>
        <w:tab w:val="left" w:pos="0"/>
        <w:tab w:val="left" w:pos="86"/>
      </w:tabs>
      <w:spacing w:before="120" w:after="120"/>
    </w:pPr>
    <w:rPr>
      <w:rFonts w:eastAsia="Times New Roman"/>
      <w:b/>
      <w:lang w:eastAsia="es-ES_tradnl"/>
    </w:rPr>
  </w:style>
  <w:style w:type="character" w:customStyle="1" w:styleId="FirstHeadingChar">
    <w:name w:val="FirstHeading Char"/>
    <w:link w:val="FirstHeading"/>
    <w:uiPriority w:val="99"/>
    <w:rsid w:val="0042049B"/>
    <w:rPr>
      <w:rFonts w:ascii="Times New Roman" w:eastAsia="Times New Roman" w:hAnsi="Times New Roman"/>
      <w:b/>
      <w:sz w:val="24"/>
      <w:szCs w:val="24"/>
      <w:lang w:val="es-ES_tradnl" w:eastAsia="es-ES_tradnl"/>
    </w:rPr>
  </w:style>
  <w:style w:type="paragraph" w:customStyle="1" w:styleId="SecHeading">
    <w:name w:val="SecHeading"/>
    <w:basedOn w:val="Normal"/>
    <w:next w:val="Paragraph"/>
    <w:uiPriority w:val="99"/>
    <w:rsid w:val="0042049B"/>
    <w:pPr>
      <w:keepNext/>
      <w:numPr>
        <w:ilvl w:val="1"/>
        <w:numId w:val="28"/>
      </w:numPr>
      <w:tabs>
        <w:tab w:val="clear" w:pos="5400"/>
        <w:tab w:val="num" w:pos="1296"/>
      </w:tabs>
      <w:spacing w:before="120" w:after="120"/>
      <w:ind w:left="1296"/>
    </w:pPr>
    <w:rPr>
      <w:rFonts w:eastAsia="Times New Roman"/>
      <w:b/>
      <w:lang w:eastAsia="es-ES_tradnl"/>
    </w:rPr>
  </w:style>
  <w:style w:type="paragraph" w:customStyle="1" w:styleId="SubHeading1">
    <w:name w:val="SubHeading1"/>
    <w:basedOn w:val="SecHeading"/>
    <w:uiPriority w:val="99"/>
    <w:rsid w:val="0042049B"/>
    <w:pPr>
      <w:numPr>
        <w:ilvl w:val="2"/>
      </w:numPr>
      <w:tabs>
        <w:tab w:val="clear" w:pos="1836"/>
        <w:tab w:val="num" w:pos="1872"/>
      </w:tabs>
      <w:ind w:left="1872"/>
    </w:pPr>
  </w:style>
  <w:style w:type="paragraph" w:customStyle="1" w:styleId="Subheading2">
    <w:name w:val="Subheading2"/>
    <w:basedOn w:val="SecHeading"/>
    <w:uiPriority w:val="99"/>
    <w:rsid w:val="0042049B"/>
    <w:pPr>
      <w:numPr>
        <w:ilvl w:val="3"/>
      </w:numPr>
      <w:tabs>
        <w:tab w:val="clear" w:pos="6480"/>
        <w:tab w:val="num" w:pos="2376"/>
      </w:tabs>
      <w:ind w:left="237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0821902">
      <w:bodyDiv w:val="1"/>
      <w:marLeft w:val="0"/>
      <w:marRight w:val="0"/>
      <w:marTop w:val="0"/>
      <w:marBottom w:val="0"/>
      <w:divBdr>
        <w:top w:val="none" w:sz="0" w:space="0" w:color="auto"/>
        <w:left w:val="none" w:sz="0" w:space="0" w:color="auto"/>
        <w:bottom w:val="none" w:sz="0" w:space="0" w:color="auto"/>
        <w:right w:val="none" w:sz="0" w:space="0" w:color="auto"/>
      </w:divBdr>
    </w:div>
    <w:div w:id="1291593006">
      <w:bodyDiv w:val="1"/>
      <w:marLeft w:val="0"/>
      <w:marRight w:val="0"/>
      <w:marTop w:val="0"/>
      <w:marBottom w:val="0"/>
      <w:divBdr>
        <w:top w:val="none" w:sz="0" w:space="0" w:color="auto"/>
        <w:left w:val="none" w:sz="0" w:space="0" w:color="auto"/>
        <w:bottom w:val="none" w:sz="0" w:space="0" w:color="auto"/>
        <w:right w:val="none" w:sz="0" w:space="0" w:color="auto"/>
      </w:divBdr>
    </w:div>
    <w:div w:id="12935142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idbg.sharepoint.com/teams/EZ-AR-LON/AR-L1249/_layouts/15/DocIdRedir.aspx?ID=EZSHARE-1077447252-24"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customXml" Target="../customXml/item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Arauz Herrera, Alison</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FINANCIAL INCLUSION</TermName>
          <TermId xmlns="http://schemas.microsoft.com/office/infopath/2007/PartnerControls">c2f14676-e4fa-4804-b3fb-fa0bd62b66c7</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147</Value>
      <Value>4</Value>
      <Value>5</Value>
      <Value>1</Value>
      <Value>84</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AR-L1249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R0001314097</Record_x0020_Number>
    <_dlc_DocId xmlns="cdc7663a-08f0-4737-9e8c-148ce897a09c">EZSHARE-1077447252-32</_dlc_DocId>
    <_dlc_DocIdUrl xmlns="cdc7663a-08f0-4737-9e8c-148ce897a09c">
      <Url>https://idbg.sharepoint.com/teams/EZ-AR-LON/AR-L1249/_layouts/15/DocIdRedir.aspx?ID=EZSHARE-1077447252-32</Url>
      <Description>EZSHARE-1077447252-32</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9D1A77A1C34D445935F4E76FBBEBEFD" ma:contentTypeVersion="31" ma:contentTypeDescription="A content type to manage public (operations) IDB documents" ma:contentTypeScope="" ma:versionID="a385671cbf029f93a29721e3fd9928d9">
  <xsd:schema xmlns:xsd="http://www.w3.org/2001/XMLSchema" xmlns:xs="http://www.w3.org/2001/XMLSchema" xmlns:p="http://schemas.microsoft.com/office/2006/metadata/properties" xmlns:ns2="cdc7663a-08f0-4737-9e8c-148ce897a09c" targetNamespace="http://schemas.microsoft.com/office/2006/metadata/properties" ma:root="true" ma:fieldsID="08435bb4c08a46c5c37ae1d3407254a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BFC2AFF5-D5D8-4932-982F-52BE2F890A46}">
  <ds:schemaRefs>
    <ds:schemaRef ds:uri="http://schemas.microsoft.com/office/2006/metadata/properties"/>
    <ds:schemaRef ds:uri="http://schemas.microsoft.com/office/infopath/2007/PartnerControls"/>
    <ds:schemaRef ds:uri="http://schemas.microsoft.com/sharepoint/v3"/>
    <ds:schemaRef ds:uri="http://schemas.microsoft.com/sharepoint/v3/fields"/>
    <ds:schemaRef ds:uri="2E6EA1C9-82A0-4F99-ACFA-F298EC059D38"/>
  </ds:schemaRefs>
</ds:datastoreItem>
</file>

<file path=customXml/itemProps2.xml><?xml version="1.0" encoding="utf-8"?>
<ds:datastoreItem xmlns:ds="http://schemas.openxmlformats.org/officeDocument/2006/customXml" ds:itemID="{C1191C4B-7122-4E33-B628-BE1E3020814B}">
  <ds:schemaRefs>
    <ds:schemaRef ds:uri="http://schemas.microsoft.com/sharepoint/v3/contenttype/forms"/>
  </ds:schemaRefs>
</ds:datastoreItem>
</file>

<file path=customXml/itemProps3.xml><?xml version="1.0" encoding="utf-8"?>
<ds:datastoreItem xmlns:ds="http://schemas.openxmlformats.org/officeDocument/2006/customXml" ds:itemID="{1D48D354-2E3D-4A09-8B81-455F0D02D9D8}">
  <ds:schemaRefs>
    <ds:schemaRef ds:uri="http://schemas.microsoft.com/office/2006/metadata/longProperties"/>
  </ds:schemaRefs>
</ds:datastoreItem>
</file>

<file path=customXml/itemProps4.xml><?xml version="1.0" encoding="utf-8"?>
<ds:datastoreItem xmlns:ds="http://schemas.openxmlformats.org/officeDocument/2006/customXml" ds:itemID="{6F073EAE-64AD-47C0-86D7-A691831018A6}"/>
</file>

<file path=customXml/itemProps5.xml><?xml version="1.0" encoding="utf-8"?>
<ds:datastoreItem xmlns:ds="http://schemas.openxmlformats.org/officeDocument/2006/customXml" ds:itemID="{CA19F7BA-B0FF-4337-B49F-DD57DF13EF02}">
  <ds:schemaRefs>
    <ds:schemaRef ds:uri="http://schemas.openxmlformats.org/officeDocument/2006/bibliography"/>
  </ds:schemaRefs>
</ds:datastoreItem>
</file>

<file path=customXml/itemProps6.xml><?xml version="1.0" encoding="utf-8"?>
<ds:datastoreItem xmlns:ds="http://schemas.openxmlformats.org/officeDocument/2006/customXml" ds:itemID="{EACED14A-3538-461B-BB2E-A704710DE5C8}"/>
</file>

<file path=customXml/itemProps7.xml><?xml version="1.0" encoding="utf-8"?>
<ds:datastoreItem xmlns:ds="http://schemas.openxmlformats.org/officeDocument/2006/customXml" ds:itemID="{1B251EAB-5D13-4577-BF61-591A9E906765}"/>
</file>

<file path=customXml/itemProps8.xml><?xml version="1.0" encoding="utf-8"?>
<ds:datastoreItem xmlns:ds="http://schemas.openxmlformats.org/officeDocument/2006/customXml" ds:itemID="{63044FC8-EE22-4375-8788-30D3C18779F6}"/>
</file>

<file path=docProps/app.xml><?xml version="1.0" encoding="utf-8"?>
<Properties xmlns="http://schemas.openxmlformats.org/officeDocument/2006/extended-properties" xmlns:vt="http://schemas.openxmlformats.org/officeDocument/2006/docPropsVTypes">
  <Template>Normal.dotm</Template>
  <TotalTime>154</TotalTime>
  <Pages>8</Pages>
  <Words>2970</Words>
  <Characters>16339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lpstr>
    </vt:vector>
  </TitlesOfParts>
  <Company>Inter-American Development Bank</Company>
  <LinksUpToDate>false</LinksUpToDate>
  <CharactersWithSpaces>19271</CharactersWithSpaces>
  <SharedDoc>false</SharedDoc>
  <HLinks>
    <vt:vector size="24" baseType="variant">
      <vt:variant>
        <vt:i4>2293774</vt:i4>
      </vt:variant>
      <vt:variant>
        <vt:i4>6</vt:i4>
      </vt:variant>
      <vt:variant>
        <vt:i4>0</vt:i4>
      </vt:variant>
      <vt:variant>
        <vt:i4>5</vt:i4>
      </vt:variant>
      <vt:variant>
        <vt:lpwstr>https://idbg.sharepoint.com/teams/EZ-AR-LON/AR-L1249/_layouts/15/DocIdRedir.aspx?ID=EZSHARE-1077447252-24</vt:lpwstr>
      </vt:variant>
      <vt:variant>
        <vt:lpwstr/>
      </vt:variant>
      <vt:variant>
        <vt:i4>131155</vt:i4>
      </vt:variant>
      <vt:variant>
        <vt:i4>3</vt:i4>
      </vt:variant>
      <vt:variant>
        <vt:i4>0</vt:i4>
      </vt:variant>
      <vt:variant>
        <vt:i4>5</vt:i4>
      </vt:variant>
      <vt:variant>
        <vt:lpwstr>../../../../../../AppData/AppData/AppData/Local/Microsoft/marisolp/Documents/DATA/DATA.IDB/Documents/Argentina/Adquisiciones/2017/Anexo III/AR-L1249/Plan Adquisiciones BORRADOR.xlsx</vt:lpwstr>
      </vt:variant>
      <vt:variant>
        <vt:lpwstr>RANGE!A19</vt:lpwstr>
      </vt:variant>
      <vt:variant>
        <vt:i4>4522010</vt:i4>
      </vt:variant>
      <vt:variant>
        <vt:i4>3</vt:i4>
      </vt:variant>
      <vt:variant>
        <vt:i4>0</vt:i4>
      </vt:variant>
      <vt:variant>
        <vt:i4>5</vt:i4>
      </vt:variant>
      <vt:variant>
        <vt:lpwstr>http://idbdocs.iadb.org/wsdocs/getDocument.aspx?DOCNUM=410065</vt:lpwstr>
      </vt:variant>
      <vt:variant>
        <vt:lpwstr/>
      </vt:variant>
      <vt:variant>
        <vt:i4>5046303</vt:i4>
      </vt:variant>
      <vt:variant>
        <vt:i4>0</vt:i4>
      </vt:variant>
      <vt:variant>
        <vt:i4>0</vt:i4>
      </vt:variant>
      <vt:variant>
        <vt:i4>5</vt:i4>
      </vt:variant>
      <vt:variant>
        <vt:lpwstr>http://idbdocs.iadb.org/wsdocs/getDocument.aspx?DOCNUM=774396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María Camila Padilla</dc:creator>
  <cp:keywords/>
  <cp:lastModifiedBy>Arauz Herrera, Alison</cp:lastModifiedBy>
  <cp:revision>28</cp:revision>
  <cp:lastPrinted>2017-10-18T17:18:00Z</cp:lastPrinted>
  <dcterms:created xsi:type="dcterms:W3CDTF">2017-10-11T14:40:00Z</dcterms:created>
  <dcterms:modified xsi:type="dcterms:W3CDTF">2017-10-25T18:57:00Z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c_System_Copyright">
    <vt:lpwstr/>
  </property>
  <property fmtid="{D5CDD505-2E9C-101B-9397-08002B2CF9AE}" pid="3" name="PublishingExpirationDate">
    <vt:lpwstr/>
  </property>
  <property fmtid="{D5CDD505-2E9C-101B-9397-08002B2CF9AE}" pid="4" name="PublishingStartDate">
    <vt:lpwstr/>
  </property>
  <property fmtid="{D5CDD505-2E9C-101B-9397-08002B2CF9AE}" pid="5" name="ImageCreateDate">
    <vt:lpwstr/>
  </property>
  <property fmtid="{D5CDD505-2E9C-101B-9397-08002B2CF9AE}" pid="6" name="TaxKeyword">
    <vt:lpwstr/>
  </property>
  <property fmtid="{D5CDD505-2E9C-101B-9397-08002B2CF9AE}" pid="8" name="TaxKeywordTaxHTField">
    <vt:lpwstr/>
  </property>
  <property fmtid="{D5CDD505-2E9C-101B-9397-08002B2CF9AE}" pid="9" name="Series Operations IDB">
    <vt:lpwstr/>
  </property>
  <property fmtid="{D5CDD505-2E9C-101B-9397-08002B2CF9AE}" pid="10" name="Sub-Sector">
    <vt:lpwstr>147;#FINANCIAL INCLUSION|c2f14676-e4fa-4804-b3fb-fa0bd62b66c7</vt:lpwstr>
  </property>
  <property fmtid="{D5CDD505-2E9C-101B-9397-08002B2CF9AE}" pid="11" name="Country">
    <vt:lpwstr>5;#Argentina|eb1b705c-195f-4c3b-9661-b201f2fee3c5</vt:lpwstr>
  </property>
  <property fmtid="{D5CDD505-2E9C-101B-9397-08002B2CF9AE}" pid="12" name="Fund IDB">
    <vt:lpwstr>4;#ORC|c028a4b2-ad8b-4cf4-9cac-a2ae6a778e23</vt:lpwstr>
  </property>
  <property fmtid="{D5CDD505-2E9C-101B-9397-08002B2CF9AE}" pid="13" name="_dlc_DocIdItemGuid">
    <vt:lpwstr>bf1f310f-f117-4401-8de4-81b767bc7f1b</vt:lpwstr>
  </property>
  <property fmtid="{D5CDD505-2E9C-101B-9397-08002B2CF9AE}" pid="14" name="Sector IDB">
    <vt:lpwstr>84;#FINANCIAL MARKETS|75500f29-2419-473a-bcd8-84901ddc2aa7</vt:lpwstr>
  </property>
  <property fmtid="{D5CDD505-2E9C-101B-9397-08002B2CF9AE}" pid="15" name="Function Operations IDB">
    <vt:lpwstr>1;#Project Preparation, Planning and Design|29ca0c72-1fc4-435f-a09c-28585cb5eac9</vt:lpwstr>
  </property>
  <property fmtid="{D5CDD505-2E9C-101B-9397-08002B2CF9AE}" pid="16" name="RecordPoint_ActiveItemMoved">
    <vt:lpwstr>/teams/EZ-AR-LON/AR-L1249/05 Basic Data/Draft Area/POD - Anexo III - Acuerdo Fiduciarios - AR-L1249.docx</vt:lpwstr>
  </property>
  <property fmtid="{D5CDD505-2E9C-101B-9397-08002B2CF9AE}" pid="17" name="RecordStorageActiveId">
    <vt:lpwstr>b7df8b51-3d32-462b-97cb-62b904d55344</vt:lpwstr>
  </property>
  <property fmtid="{D5CDD505-2E9C-101B-9397-08002B2CF9AE}" pid="18" name="Disclosure Activity">
    <vt:lpwstr>Loan Proposal</vt:lpwstr>
  </property>
  <property fmtid="{D5CDD505-2E9C-101B-9397-08002B2CF9AE}" pid="19" name="ContentTypeId">
    <vt:lpwstr>0x0101001A458A224826124E8B45B1D613300CFC0059D1A77A1C34D445935F4E76FBBEBEFD</vt:lpwstr>
  </property>
</Properties>
</file>